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5D4B1" w14:textId="77777777" w:rsidR="00736161" w:rsidRDefault="00736161" w:rsidP="00736161">
      <w:pPr>
        <w:pStyle w:val="paragraph"/>
        <w:spacing w:before="0" w:beforeAutospacing="0" w:after="0" w:afterAutospacing="0"/>
        <w:textAlignment w:val="baseline"/>
        <w:rPr>
          <w:rFonts w:ascii="Segoe UI" w:hAnsi="Segoe UI" w:cs="Segoe UI"/>
          <w:sz w:val="18"/>
          <w:szCs w:val="18"/>
        </w:rPr>
      </w:pPr>
      <w:r>
        <w:rPr>
          <w:rStyle w:val="normaltextrun"/>
          <w:rFonts w:ascii="Verdana" w:hAnsi="Verdana" w:cs="Segoe UI"/>
          <w:b/>
          <w:bCs/>
          <w:sz w:val="22"/>
          <w:szCs w:val="22"/>
          <w:lang w:val="es-MX"/>
        </w:rPr>
        <w:t>LEY DE GARANTÍAS ELECTORALES ‒ Finalidad</w:t>
      </w:r>
      <w:r>
        <w:rPr>
          <w:rStyle w:val="eop"/>
          <w:rFonts w:ascii="Verdana" w:hAnsi="Verdana" w:cs="Segoe UI"/>
          <w:sz w:val="22"/>
          <w:szCs w:val="22"/>
        </w:rPr>
        <w:t> </w:t>
      </w:r>
    </w:p>
    <w:p w14:paraId="7B7D8FF8" w14:textId="77777777" w:rsidR="00736161" w:rsidRDefault="00736161" w:rsidP="00736161">
      <w:pPr>
        <w:pStyle w:val="paragraph"/>
        <w:spacing w:before="0" w:beforeAutospacing="0" w:after="0" w:afterAutospacing="0"/>
        <w:textAlignment w:val="baseline"/>
        <w:rPr>
          <w:rFonts w:ascii="Segoe UI" w:hAnsi="Segoe UI" w:cs="Segoe UI"/>
          <w:sz w:val="18"/>
          <w:szCs w:val="18"/>
        </w:rPr>
      </w:pPr>
      <w:r>
        <w:rPr>
          <w:rStyle w:val="eop"/>
          <w:rFonts w:ascii="Verdana" w:hAnsi="Verdana" w:cs="Segoe UI"/>
          <w:sz w:val="22"/>
          <w:szCs w:val="22"/>
        </w:rPr>
        <w:t> </w:t>
      </w:r>
    </w:p>
    <w:p w14:paraId="1B091F19" w14:textId="77777777" w:rsidR="00736161" w:rsidRDefault="00736161" w:rsidP="00736161">
      <w:pPr>
        <w:pStyle w:val="paragraph"/>
        <w:spacing w:before="0" w:beforeAutospacing="0" w:after="0" w:afterAutospacing="0"/>
        <w:jc w:val="both"/>
        <w:textAlignment w:val="baseline"/>
        <w:rPr>
          <w:rStyle w:val="eop"/>
          <w:rFonts w:ascii="Verdana" w:hAnsi="Verdana" w:cs="Segoe UI"/>
          <w:sz w:val="20"/>
          <w:szCs w:val="20"/>
        </w:rPr>
      </w:pPr>
      <w:r>
        <w:rPr>
          <w:rStyle w:val="normaltextrun"/>
          <w:rFonts w:ascii="Verdana" w:hAnsi="Verdana" w:cs="Segoe UI"/>
          <w:sz w:val="20"/>
          <w:szCs w:val="20"/>
        </w:rPr>
        <w:t>El ordenamiento jurídico colombiano contempla previsiones claras para evitar la obtención de beneficios personales en asuntos propios de la administración pública</w:t>
      </w:r>
      <w:r>
        <w:rPr>
          <w:rStyle w:val="normaltextrun"/>
          <w:rFonts w:ascii="Verdana" w:hAnsi="Verdana" w:cs="Segoe UI"/>
          <w:i/>
          <w:iCs/>
          <w:sz w:val="20"/>
          <w:szCs w:val="20"/>
        </w:rPr>
        <w:t>. </w:t>
      </w:r>
      <w:r>
        <w:rPr>
          <w:rStyle w:val="normaltextrun"/>
          <w:rFonts w:ascii="Verdana" w:hAnsi="Verdana" w:cs="Segoe UI"/>
          <w:sz w:val="20"/>
          <w:szCs w:val="20"/>
        </w:rPr>
        <w:t>Por ejemplo, el artículo 127 de la Constitución Política establece una prohibición contractual a los servidores públicos y, en cuanto a aspectos políticos, establece restricciones a ciertos empleados del Estado, incluso en época no electoral. </w:t>
      </w:r>
      <w:r>
        <w:rPr>
          <w:rStyle w:val="eop"/>
          <w:rFonts w:ascii="Verdana" w:hAnsi="Verdana" w:cs="Segoe UI"/>
          <w:sz w:val="20"/>
          <w:szCs w:val="20"/>
        </w:rPr>
        <w:t> </w:t>
      </w:r>
    </w:p>
    <w:p w14:paraId="47FABB41" w14:textId="77777777" w:rsidR="00736161" w:rsidRDefault="00736161" w:rsidP="00736161">
      <w:pPr>
        <w:pStyle w:val="paragraph"/>
        <w:spacing w:before="0" w:beforeAutospacing="0" w:after="0" w:afterAutospacing="0"/>
        <w:jc w:val="both"/>
        <w:textAlignment w:val="baseline"/>
        <w:rPr>
          <w:rFonts w:ascii="Segoe UI" w:hAnsi="Segoe UI" w:cs="Segoe UI"/>
          <w:sz w:val="18"/>
          <w:szCs w:val="18"/>
        </w:rPr>
      </w:pPr>
    </w:p>
    <w:p w14:paraId="78EE76CA" w14:textId="77777777" w:rsidR="00736161" w:rsidRDefault="00736161" w:rsidP="00736161">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sz w:val="20"/>
          <w:szCs w:val="20"/>
          <w:lang w:val="es-MX"/>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Pr>
          <w:rStyle w:val="eop"/>
          <w:rFonts w:ascii="Verdana" w:hAnsi="Verdana" w:cs="Segoe UI"/>
          <w:sz w:val="20"/>
          <w:szCs w:val="20"/>
        </w:rPr>
        <w:t> </w:t>
      </w:r>
    </w:p>
    <w:p w14:paraId="6F501CD7" w14:textId="77777777" w:rsidR="00736161" w:rsidRDefault="00736161" w:rsidP="00736161">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sz w:val="20"/>
          <w:szCs w:val="20"/>
        </w:rPr>
        <w:t> </w:t>
      </w:r>
    </w:p>
    <w:p w14:paraId="6F6F4EE0" w14:textId="77777777" w:rsidR="00736161" w:rsidRDefault="00736161" w:rsidP="00736161">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b/>
          <w:bCs/>
          <w:sz w:val="22"/>
          <w:szCs w:val="22"/>
          <w:lang w:val="es-MX"/>
        </w:rPr>
        <w:t>LEY DE GARANTÍAS ELECTORALES ‒ Tipos de restricciones ‒ Ámbito temporal – Celebración – Límite</w:t>
      </w:r>
      <w:r>
        <w:rPr>
          <w:rStyle w:val="eop"/>
          <w:rFonts w:ascii="Verdana" w:hAnsi="Verdana" w:cs="Segoe UI"/>
          <w:sz w:val="22"/>
          <w:szCs w:val="22"/>
        </w:rPr>
        <w:t> </w:t>
      </w:r>
    </w:p>
    <w:p w14:paraId="1C31E170" w14:textId="77777777" w:rsidR="00736161" w:rsidRDefault="00736161" w:rsidP="00736161">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sz w:val="22"/>
          <w:szCs w:val="22"/>
        </w:rPr>
        <w:t> </w:t>
      </w:r>
    </w:p>
    <w:p w14:paraId="40A2351E" w14:textId="77777777" w:rsidR="00736161" w:rsidRDefault="00736161" w:rsidP="00736161">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sz w:val="20"/>
          <w:szCs w:val="20"/>
          <w:lang w:val="es-MX"/>
        </w:rPr>
        <w:t>De</w:t>
      </w:r>
      <w:r>
        <w:rPr>
          <w:rStyle w:val="normaltextrun"/>
          <w:rFonts w:ascii="Verdana" w:hAnsi="Verdana" w:cs="Segoe UI"/>
          <w:sz w:val="20"/>
          <w:szCs w:val="20"/>
          <w:lang w:val="es-ES"/>
        </w:rPr>
        <w:t>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r>
        <w:rPr>
          <w:rStyle w:val="eop"/>
          <w:rFonts w:ascii="Verdana" w:hAnsi="Verdana" w:cs="Segoe UI"/>
          <w:sz w:val="20"/>
          <w:szCs w:val="20"/>
        </w:rPr>
        <w:t> </w:t>
      </w:r>
    </w:p>
    <w:p w14:paraId="29DC98EA" w14:textId="77777777" w:rsidR="00736161" w:rsidRDefault="00736161" w:rsidP="00736161">
      <w:pPr>
        <w:pStyle w:val="paragraph"/>
        <w:spacing w:before="0" w:beforeAutospacing="0" w:after="0" w:afterAutospacing="0"/>
        <w:ind w:firstLine="705"/>
        <w:jc w:val="both"/>
        <w:textAlignment w:val="baseline"/>
        <w:rPr>
          <w:rFonts w:ascii="Segoe UI" w:hAnsi="Segoe UI" w:cs="Segoe UI"/>
          <w:sz w:val="18"/>
          <w:szCs w:val="18"/>
        </w:rPr>
      </w:pPr>
      <w:r>
        <w:rPr>
          <w:rStyle w:val="eop"/>
          <w:rFonts w:ascii="Verdana" w:hAnsi="Verdana" w:cs="Segoe UI"/>
          <w:sz w:val="20"/>
          <w:szCs w:val="20"/>
        </w:rPr>
        <w:t> </w:t>
      </w:r>
    </w:p>
    <w:p w14:paraId="0EE31AC2" w14:textId="77777777" w:rsidR="00736161" w:rsidRDefault="00736161" w:rsidP="00736161">
      <w:pPr>
        <w:pStyle w:val="paragraph"/>
        <w:spacing w:before="0" w:beforeAutospacing="0" w:after="0" w:afterAutospacing="0"/>
        <w:jc w:val="both"/>
        <w:textAlignment w:val="baseline"/>
        <w:rPr>
          <w:rStyle w:val="eop"/>
          <w:rFonts w:ascii="Verdana" w:hAnsi="Verdana" w:cs="Segoe UI"/>
          <w:sz w:val="20"/>
          <w:szCs w:val="20"/>
        </w:rPr>
      </w:pPr>
      <w:r>
        <w:rPr>
          <w:rStyle w:val="normaltextrun"/>
          <w:rFonts w:ascii="Verdana" w:hAnsi="Verdana" w:cs="Segoe UI"/>
          <w:sz w:val="20"/>
          <w:szCs w:val="20"/>
          <w:lang w:val="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r>
        <w:rPr>
          <w:rStyle w:val="eop"/>
          <w:rFonts w:ascii="Verdana" w:hAnsi="Verdana" w:cs="Segoe UI"/>
          <w:sz w:val="20"/>
          <w:szCs w:val="20"/>
        </w:rPr>
        <w:t> </w:t>
      </w:r>
    </w:p>
    <w:p w14:paraId="39863E79" w14:textId="77777777" w:rsidR="00736161" w:rsidRDefault="00736161" w:rsidP="00736161">
      <w:pPr>
        <w:pStyle w:val="paragraph"/>
        <w:spacing w:before="0" w:beforeAutospacing="0" w:after="0" w:afterAutospacing="0"/>
        <w:jc w:val="both"/>
        <w:textAlignment w:val="baseline"/>
        <w:rPr>
          <w:rFonts w:ascii="Segoe UI" w:hAnsi="Segoe UI" w:cs="Segoe UI"/>
          <w:sz w:val="18"/>
          <w:szCs w:val="18"/>
        </w:rPr>
      </w:pPr>
    </w:p>
    <w:p w14:paraId="6E17720F" w14:textId="77777777" w:rsidR="00736161" w:rsidRDefault="00736161" w:rsidP="00736161">
      <w:pPr>
        <w:pStyle w:val="paragraph"/>
        <w:spacing w:before="0" w:beforeAutospacing="0" w:after="0" w:afterAutospacing="0"/>
        <w:jc w:val="both"/>
        <w:textAlignment w:val="baseline"/>
        <w:rPr>
          <w:rStyle w:val="normaltextrun"/>
          <w:rFonts w:ascii="Verdana" w:hAnsi="Verdana" w:cs="Segoe UI"/>
          <w:sz w:val="20"/>
          <w:szCs w:val="20"/>
        </w:rPr>
      </w:pPr>
      <w:r>
        <w:rPr>
          <w:rStyle w:val="normaltextrun"/>
          <w:rFonts w:ascii="Verdana" w:hAnsi="Verdana" w:cs="Segoe UI"/>
          <w:sz w:val="20"/>
          <w:szCs w:val="20"/>
        </w:rPr>
        <w:t>Por un lado, el </w:t>
      </w:r>
      <w:r>
        <w:rPr>
          <w:rStyle w:val="normaltextrun"/>
          <w:rFonts w:ascii="Verdana" w:hAnsi="Verdana" w:cs="Segoe UI"/>
          <w:i/>
          <w:iCs/>
          <w:sz w:val="20"/>
          <w:szCs w:val="20"/>
        </w:rPr>
        <w:t>artículo 33 de la Ley 996 de 2005</w:t>
      </w:r>
      <w:r>
        <w:rPr>
          <w:rStyle w:val="normaltextrun"/>
          <w:rFonts w:ascii="Verdana" w:hAnsi="Verdana" w:cs="Segoe UI"/>
          <w:sz w:val="20"/>
          <w:szCs w:val="20"/>
        </w:rPr>
        <w:t>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47F9BF1" w14:textId="77777777" w:rsidR="00736161" w:rsidRDefault="00736161" w:rsidP="00736161">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sz w:val="20"/>
          <w:szCs w:val="20"/>
        </w:rPr>
        <w:t> </w:t>
      </w:r>
    </w:p>
    <w:p w14:paraId="7E8E3501" w14:textId="77777777" w:rsidR="00736161" w:rsidRPr="005E1813" w:rsidRDefault="00736161" w:rsidP="00736161">
      <w:pPr>
        <w:pStyle w:val="paragraph"/>
        <w:spacing w:before="0" w:beforeAutospacing="0" w:after="0" w:afterAutospacing="0"/>
        <w:jc w:val="both"/>
        <w:textAlignment w:val="baseline"/>
        <w:rPr>
          <w:rStyle w:val="eop"/>
          <w:rFonts w:ascii="Segoe UI" w:hAnsi="Segoe UI" w:cs="Segoe UI"/>
          <w:sz w:val="18"/>
          <w:szCs w:val="18"/>
        </w:rPr>
      </w:pPr>
      <w:r>
        <w:rPr>
          <w:rStyle w:val="normaltextrun"/>
          <w:rFonts w:ascii="Verdana" w:hAnsi="Verdana" w:cs="Segoe UI"/>
          <w:sz w:val="20"/>
          <w:szCs w:val="20"/>
        </w:rPr>
        <w:t>Por otro lado, </w:t>
      </w:r>
      <w:r>
        <w:rPr>
          <w:rStyle w:val="normaltextrun"/>
          <w:rFonts w:ascii="Verdana" w:hAnsi="Verdana" w:cs="Segoe UI"/>
          <w:i/>
          <w:iCs/>
          <w:sz w:val="20"/>
          <w:szCs w:val="20"/>
        </w:rPr>
        <w:t>el parágrafo del artículo 38 de la Ley 996 de 2005</w:t>
      </w:r>
      <w:r>
        <w:rPr>
          <w:rStyle w:val="normaltextrun"/>
          <w:rFonts w:ascii="Verdana" w:hAnsi="Verdana" w:cs="Segoe UI"/>
          <w:sz w:val="20"/>
          <w:szCs w:val="20"/>
        </w:rPr>
        <w:t> prevé una restricción, aplicable respecto de cualquier tipo de contienda electoral, que prohíbe a los gobernadores, alcaldes municipales o distritales, secretarios, gerentes y directores de entidades descentralizadas del orden municipal, departamental o distrital “[…] </w:t>
      </w:r>
      <w:r>
        <w:rPr>
          <w:rStyle w:val="normaltextrun"/>
          <w:rFonts w:ascii="Verdana" w:hAnsi="Verdana" w:cs="Segoe UI"/>
          <w:sz w:val="20"/>
          <w:szCs w:val="20"/>
          <w:lang w:val="es-MX"/>
        </w:rPr>
        <w:t xml:space="preserve">celebrar </w:t>
      </w:r>
      <w:r>
        <w:rPr>
          <w:rStyle w:val="normaltextrun"/>
          <w:rFonts w:ascii="Verdana" w:hAnsi="Verdana" w:cs="Segoe UI"/>
          <w:sz w:val="20"/>
          <w:szCs w:val="20"/>
          <w:lang w:val="es-MX"/>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Style w:val="eop"/>
          <w:rFonts w:ascii="Verdana" w:hAnsi="Verdana" w:cs="Segoe UI"/>
          <w:sz w:val="20"/>
          <w:szCs w:val="20"/>
        </w:rPr>
        <w:t> </w:t>
      </w:r>
    </w:p>
    <w:p w14:paraId="30945A01" w14:textId="77777777" w:rsidR="00736161" w:rsidRPr="00252092" w:rsidRDefault="00736161" w:rsidP="00736161">
      <w:pPr>
        <w:pStyle w:val="paragraph"/>
        <w:spacing w:before="0" w:beforeAutospacing="0" w:after="0" w:afterAutospacing="0"/>
        <w:jc w:val="both"/>
        <w:textAlignment w:val="baseline"/>
        <w:rPr>
          <w:rStyle w:val="eop"/>
          <w:rFonts w:ascii="Verdana" w:hAnsi="Verdana" w:cs="Segoe UI"/>
          <w:b/>
          <w:bCs/>
          <w:sz w:val="20"/>
          <w:szCs w:val="20"/>
        </w:rPr>
      </w:pPr>
    </w:p>
    <w:p w14:paraId="464DAEE8" w14:textId="77777777" w:rsidR="00736161" w:rsidRDefault="00736161" w:rsidP="00736161">
      <w:pPr>
        <w:pStyle w:val="paragraph"/>
        <w:spacing w:before="0" w:beforeAutospacing="0" w:after="0" w:afterAutospacing="0"/>
        <w:jc w:val="both"/>
        <w:textAlignment w:val="baseline"/>
        <w:rPr>
          <w:rFonts w:ascii="Verdana" w:eastAsia="Aptos" w:hAnsi="Verdana" w:cs="Arial"/>
          <w:b/>
          <w:bCs/>
          <w:sz w:val="22"/>
          <w:szCs w:val="22"/>
          <w:lang w:val="es-MX" w:eastAsia="es-ES"/>
        </w:rPr>
      </w:pPr>
      <w:r w:rsidRPr="00252092">
        <w:rPr>
          <w:rFonts w:ascii="Verdana" w:eastAsia="Aptos" w:hAnsi="Verdana" w:cs="Arial"/>
          <w:b/>
          <w:bCs/>
          <w:sz w:val="22"/>
          <w:szCs w:val="22"/>
          <w:lang w:val="es-MX" w:eastAsia="es-ES"/>
        </w:rPr>
        <w:t xml:space="preserve">LEY DE GARANTÍAS ELECTORALES – Prohibición – Artículo 38 – Contratación directa – Alcance </w:t>
      </w:r>
    </w:p>
    <w:p w14:paraId="2D3BCC41" w14:textId="77777777" w:rsidR="00736161" w:rsidRDefault="00736161" w:rsidP="00736161">
      <w:pPr>
        <w:pStyle w:val="paragraph"/>
        <w:spacing w:before="0" w:beforeAutospacing="0" w:after="0" w:afterAutospacing="0"/>
        <w:jc w:val="both"/>
        <w:textAlignment w:val="baseline"/>
        <w:rPr>
          <w:rFonts w:ascii="Verdana" w:eastAsia="Aptos" w:hAnsi="Verdana" w:cs="Arial"/>
          <w:sz w:val="20"/>
          <w:szCs w:val="20"/>
          <w:lang w:val="es-MX" w:eastAsia="es-ES"/>
        </w:rPr>
      </w:pPr>
    </w:p>
    <w:p w14:paraId="6A17A883" w14:textId="77777777" w:rsidR="00736161" w:rsidRDefault="00736161" w:rsidP="00736161">
      <w:pPr>
        <w:pStyle w:val="paragraph"/>
        <w:spacing w:before="0" w:beforeAutospacing="0" w:after="0" w:afterAutospacing="0"/>
        <w:jc w:val="both"/>
        <w:textAlignment w:val="baseline"/>
        <w:rPr>
          <w:rFonts w:ascii="Verdana" w:eastAsia="Aptos" w:hAnsi="Verdana" w:cs="Arial"/>
          <w:sz w:val="20"/>
          <w:szCs w:val="20"/>
          <w:lang w:val="es-MX" w:eastAsia="es-ES"/>
        </w:rPr>
      </w:pPr>
      <w:r w:rsidRPr="005E1813">
        <w:rPr>
          <w:rFonts w:ascii="Verdana" w:eastAsia="Aptos" w:hAnsi="Verdana" w:cs="Arial"/>
          <w:sz w:val="20"/>
          <w:szCs w:val="20"/>
          <w:lang w:val="es-MX" w:eastAsia="es-ES"/>
        </w:rPr>
        <w:t>De esta manera, se observa entonces que el parágrafo del artículo 38 de la Ley 996 de 2005 prohíbe a los Alcaldes, Gobernadores, Secretarios, Gerentes y Directores de las entidades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w:t>
      </w:r>
    </w:p>
    <w:p w14:paraId="28A88DB2" w14:textId="77777777" w:rsidR="00736161" w:rsidRPr="005E1813" w:rsidRDefault="00736161" w:rsidP="00736161">
      <w:pPr>
        <w:pStyle w:val="paragraph"/>
        <w:spacing w:before="0" w:beforeAutospacing="0" w:after="0" w:afterAutospacing="0"/>
        <w:jc w:val="both"/>
        <w:textAlignment w:val="baseline"/>
        <w:rPr>
          <w:rFonts w:ascii="Verdana" w:eastAsia="Aptos" w:hAnsi="Verdana" w:cs="Arial"/>
          <w:b/>
          <w:bCs/>
          <w:sz w:val="22"/>
          <w:szCs w:val="22"/>
          <w:lang w:val="es-MX" w:eastAsia="es-ES"/>
        </w:rPr>
      </w:pPr>
    </w:p>
    <w:p w14:paraId="6550B2EA" w14:textId="77777777" w:rsidR="00736161" w:rsidRDefault="00736161" w:rsidP="00736161">
      <w:pPr>
        <w:pStyle w:val="paragraph"/>
        <w:spacing w:before="0" w:beforeAutospacing="0" w:after="0" w:afterAutospacing="0"/>
        <w:jc w:val="both"/>
        <w:textAlignment w:val="baseline"/>
        <w:rPr>
          <w:rFonts w:ascii="Verdana" w:eastAsia="Aptos" w:hAnsi="Verdana" w:cs="Arial"/>
          <w:sz w:val="20"/>
          <w:szCs w:val="20"/>
          <w:lang w:val="es-MX" w:eastAsia="es-ES"/>
        </w:rPr>
      </w:pPr>
      <w:r w:rsidRPr="005E1813">
        <w:rPr>
          <w:rFonts w:ascii="Verdana" w:eastAsia="Aptos" w:hAnsi="Verdana" w:cs="Arial"/>
          <w:sz w:val="20"/>
          <w:szCs w:val="20"/>
          <w:lang w:val="es-MX" w:eastAsia="es-ES"/>
        </w:rPr>
        <w:t>En este aspecto, se destaca que uno de los sujetos de aplicación de dicha restricción son las entidades descentralizadas por servicios, las cuales –sin perjuicio del control de tutela– tienen personería jurídica, autonomía administrativa y patrimonio propio. Dentro de la categoría amplia de entidades descentralizadas por servicios se encuentran las Empresas Industriales y Comerciales del Estado, los establecimientos públicos, las sociedades públicas, las sociedades de economía mixta, las empresas sociales del Estado, entre otras entidades.</w:t>
      </w:r>
    </w:p>
    <w:p w14:paraId="63EC9F43" w14:textId="77777777" w:rsidR="00736161" w:rsidRPr="004D2656" w:rsidRDefault="00736161" w:rsidP="00736161">
      <w:pPr>
        <w:pStyle w:val="paragraph"/>
        <w:spacing w:before="0" w:beforeAutospacing="0" w:after="0" w:afterAutospacing="0"/>
        <w:jc w:val="both"/>
        <w:textAlignment w:val="baseline"/>
        <w:rPr>
          <w:rFonts w:ascii="Verdana" w:eastAsia="Aptos" w:hAnsi="Verdana" w:cs="Arial"/>
          <w:sz w:val="18"/>
          <w:szCs w:val="18"/>
          <w:lang w:val="es-MX" w:eastAsia="es-ES"/>
        </w:rPr>
      </w:pPr>
    </w:p>
    <w:p w14:paraId="07A6A888" w14:textId="77777777" w:rsidR="00736161" w:rsidRPr="00663BBD" w:rsidRDefault="00736161" w:rsidP="00736161">
      <w:pPr>
        <w:pStyle w:val="paragraph"/>
        <w:jc w:val="both"/>
        <w:textAlignment w:val="baseline"/>
        <w:rPr>
          <w:rFonts w:ascii="Verdana" w:eastAsia="Aptos" w:hAnsi="Verdana" w:cs="Arial"/>
          <w:b/>
          <w:bCs/>
          <w:sz w:val="22"/>
          <w:szCs w:val="22"/>
          <w:lang w:val="es-MX" w:eastAsia="es-ES"/>
        </w:rPr>
      </w:pPr>
      <w:r w:rsidRPr="00663BBD">
        <w:rPr>
          <w:rFonts w:ascii="Verdana" w:eastAsia="Aptos" w:hAnsi="Verdana" w:cs="Arial"/>
          <w:b/>
          <w:bCs/>
          <w:sz w:val="22"/>
          <w:szCs w:val="22"/>
          <w:lang w:val="es-MX" w:eastAsia="es-ES"/>
        </w:rPr>
        <w:t xml:space="preserve">LEY DE GARANTÍAS ELECTORALES – Contratos y convenios interadministrativos – Criterio orgánico </w:t>
      </w:r>
    </w:p>
    <w:p w14:paraId="1F9C1F0F" w14:textId="77777777" w:rsidR="00736161" w:rsidRPr="005D646A" w:rsidRDefault="00736161" w:rsidP="00736161">
      <w:pPr>
        <w:pStyle w:val="paragraph"/>
        <w:spacing w:after="0"/>
        <w:jc w:val="both"/>
        <w:textAlignment w:val="baseline"/>
        <w:rPr>
          <w:rFonts w:ascii="Verdana" w:eastAsia="Aptos" w:hAnsi="Verdana" w:cs="Arial"/>
          <w:sz w:val="20"/>
          <w:szCs w:val="20"/>
          <w:lang w:val="es-MX" w:eastAsia="es-ES_tradnl"/>
        </w:rPr>
      </w:pPr>
      <w:r w:rsidRPr="005D646A">
        <w:rPr>
          <w:rFonts w:ascii="Verdana" w:eastAsia="Aptos" w:hAnsi="Verdana" w:cs="Arial"/>
          <w:sz w:val="20"/>
          <w:szCs w:val="20"/>
          <w:lang w:val="es-MX" w:eastAsia="es-ES_tradnl"/>
        </w:rPr>
        <w:t>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43603806" w14:textId="77777777" w:rsidR="00736161" w:rsidRPr="005D646A" w:rsidRDefault="00736161" w:rsidP="00736161">
      <w:pPr>
        <w:pStyle w:val="paragraph"/>
        <w:spacing w:after="0"/>
        <w:jc w:val="both"/>
        <w:textAlignment w:val="baseline"/>
        <w:rPr>
          <w:rFonts w:ascii="Verdana" w:eastAsia="Aptos" w:hAnsi="Verdana" w:cs="Arial"/>
          <w:sz w:val="20"/>
          <w:szCs w:val="20"/>
          <w:lang w:val="es-MX" w:eastAsia="es-ES_tradnl"/>
        </w:rPr>
      </w:pPr>
      <w:r w:rsidRPr="005D646A">
        <w:rPr>
          <w:rFonts w:ascii="Verdana" w:eastAsia="Aptos" w:hAnsi="Verdana" w:cs="Arial"/>
          <w:sz w:val="20"/>
          <w:szCs w:val="20"/>
          <w:lang w:val="es-MX" w:eastAsia="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5D521326" w14:textId="77777777" w:rsidR="00736161" w:rsidRPr="004D2656" w:rsidRDefault="00736161" w:rsidP="00736161">
      <w:pPr>
        <w:pStyle w:val="paragraph"/>
        <w:spacing w:after="0"/>
        <w:jc w:val="both"/>
        <w:textAlignment w:val="baseline"/>
        <w:rPr>
          <w:rFonts w:ascii="Verdana" w:eastAsia="Aptos" w:hAnsi="Verdana" w:cs="Arial"/>
          <w:sz w:val="20"/>
          <w:szCs w:val="20"/>
          <w:lang w:val="es-MX" w:eastAsia="es-ES_tradnl"/>
        </w:rPr>
      </w:pPr>
      <w:r w:rsidRPr="005D646A">
        <w:rPr>
          <w:rFonts w:ascii="Verdana" w:eastAsia="Aptos" w:hAnsi="Verdana" w:cs="Arial"/>
          <w:sz w:val="20"/>
          <w:szCs w:val="20"/>
          <w:lang w:val="es-MX" w:eastAsia="es-ES_tradnl"/>
        </w:rPr>
        <w:lastRenderedPageBreak/>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30B571E5" w14:textId="77777777" w:rsidR="00736161" w:rsidRPr="004D2656" w:rsidRDefault="00736161" w:rsidP="00736161">
      <w:pPr>
        <w:pStyle w:val="paragraph"/>
        <w:spacing w:before="0" w:beforeAutospacing="0" w:after="0" w:afterAutospacing="0"/>
        <w:jc w:val="both"/>
        <w:textAlignment w:val="baseline"/>
        <w:rPr>
          <w:rStyle w:val="eop"/>
          <w:rFonts w:ascii="Verdana" w:hAnsi="Verdana" w:cs="Segoe UI"/>
          <w:b/>
          <w:bCs/>
          <w:sz w:val="18"/>
          <w:szCs w:val="18"/>
        </w:rPr>
      </w:pPr>
      <w:r w:rsidRPr="004D2656">
        <w:rPr>
          <w:rFonts w:ascii="Verdana" w:eastAsia="Aptos" w:hAnsi="Verdana" w:cs="Arial"/>
          <w:b/>
          <w:bCs/>
          <w:sz w:val="22"/>
          <w:szCs w:val="22"/>
          <w:lang w:val="es-MX" w:eastAsia="es-ES_tradnl"/>
        </w:rPr>
        <w:t>CONTRATOS Y CONVENIOS INTERADMINISTRATIVOS – Circular Externa Única – Medida cautelar de suspensión.</w:t>
      </w:r>
    </w:p>
    <w:p w14:paraId="3BDF36E8" w14:textId="77777777" w:rsidR="00736161" w:rsidRPr="004D2656" w:rsidRDefault="00736161" w:rsidP="00736161">
      <w:pPr>
        <w:pStyle w:val="paragraph"/>
        <w:spacing w:after="0"/>
        <w:jc w:val="both"/>
        <w:textAlignment w:val="baseline"/>
        <w:rPr>
          <w:rStyle w:val="eop"/>
          <w:rFonts w:ascii="Verdana" w:hAnsi="Verdana" w:cs="Segoe UI"/>
          <w:sz w:val="20"/>
          <w:szCs w:val="20"/>
        </w:rPr>
      </w:pPr>
      <w:r w:rsidRPr="004D2656">
        <w:rPr>
          <w:rStyle w:val="eop"/>
          <w:rFonts w:ascii="Verdana" w:hAnsi="Verdana" w:cs="Segoe UI"/>
          <w:sz w:val="20"/>
          <w:szCs w:val="20"/>
        </w:rPr>
        <w:t xml:space="preserve">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“si el legislador no diferenció al establecer la prohibición o la restricción, mal haría el reglamento en aplicar un efecto expansivo o extensivo para incluir una categoría no cobijada con la limitación, (…)”. Por tal motivo, para efectos de decretar la medida de suspensión provisional de los apartes señalados del numeral 16.2 de la Circular Externa Única, argumentó que “con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7D4A3E84" w14:textId="77777777" w:rsidR="00736161" w:rsidRPr="004D2656" w:rsidRDefault="00736161" w:rsidP="00736161">
      <w:pPr>
        <w:pStyle w:val="paragraph"/>
        <w:spacing w:after="0"/>
        <w:jc w:val="both"/>
        <w:textAlignment w:val="baseline"/>
        <w:rPr>
          <w:rStyle w:val="eop"/>
          <w:rFonts w:ascii="Verdana" w:hAnsi="Verdana" w:cs="Segoe UI"/>
          <w:sz w:val="20"/>
          <w:szCs w:val="20"/>
        </w:rPr>
      </w:pPr>
      <w:r w:rsidRPr="004D2656">
        <w:rPr>
          <w:rStyle w:val="eop"/>
          <w:rFonts w:ascii="Verdana" w:hAnsi="Verdana" w:cs="Segoe UI"/>
          <w:sz w:val="20"/>
          <w:szCs w:val="20"/>
        </w:rPr>
        <w:t xml:space="preserve">De igual manera, mediante auto del 6 de noviembre de 2025, el Consejo de Estado, Subsección A de la Sección Tercera, decretó 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4D2656">
        <w:rPr>
          <w:rStyle w:val="eop"/>
          <w:rFonts w:ascii="Verdana" w:hAnsi="Verdana" w:cs="Segoe UI"/>
          <w:sz w:val="20"/>
          <w:szCs w:val="20"/>
        </w:rPr>
        <w:t>legis</w:t>
      </w:r>
      <w:proofErr w:type="spellEnd"/>
      <w:r w:rsidRPr="004D2656">
        <w:rPr>
          <w:rStyle w:val="eop"/>
          <w:rFonts w:ascii="Verdana" w:hAnsi="Verdana" w:cs="Segoe UI"/>
          <w:sz w:val="20"/>
          <w:szCs w:val="20"/>
        </w:rPr>
        <w:t xml:space="preserve"> o iuris y la interpretación extensiva y reiteró los argumentos sobre la diferencia entre contratos y convenios interadministrativos. </w:t>
      </w:r>
    </w:p>
    <w:p w14:paraId="244D3ECC" w14:textId="77777777" w:rsidR="00736161" w:rsidRDefault="00736161" w:rsidP="00736161">
      <w:pPr>
        <w:pStyle w:val="paragraph"/>
        <w:spacing w:before="0" w:beforeAutospacing="0" w:after="0" w:afterAutospacing="0"/>
        <w:jc w:val="both"/>
        <w:textAlignment w:val="baseline"/>
        <w:rPr>
          <w:rStyle w:val="eop"/>
          <w:rFonts w:ascii="Verdana" w:hAnsi="Verdana" w:cs="Segoe UI"/>
          <w:sz w:val="20"/>
          <w:szCs w:val="20"/>
        </w:rPr>
      </w:pPr>
      <w:r w:rsidRPr="004D2656">
        <w:rPr>
          <w:rStyle w:val="eop"/>
          <w:rFonts w:ascii="Verdana" w:hAnsi="Verdana" w:cs="Segoe UI"/>
          <w:sz w:val="20"/>
          <w:szCs w:val="20"/>
        </w:rPr>
        <w:t>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w:t>
      </w:r>
    </w:p>
    <w:p w14:paraId="426EE0DD" w14:textId="77777777" w:rsidR="00736161" w:rsidRDefault="00736161" w:rsidP="00736161">
      <w:pPr>
        <w:pStyle w:val="paragraph"/>
        <w:spacing w:before="0" w:beforeAutospacing="0" w:after="0" w:afterAutospacing="0"/>
        <w:jc w:val="both"/>
        <w:textAlignment w:val="baseline"/>
        <w:rPr>
          <w:rStyle w:val="eop"/>
          <w:rFonts w:ascii="Verdana" w:hAnsi="Verdana" w:cs="Segoe UI"/>
          <w:sz w:val="20"/>
          <w:szCs w:val="20"/>
        </w:rPr>
      </w:pPr>
    </w:p>
    <w:p w14:paraId="32B56670" w14:textId="2D8A9951" w:rsidR="00736161" w:rsidRPr="00D332C4" w:rsidRDefault="00942FFC" w:rsidP="00736161">
      <w:pPr>
        <w:spacing w:after="0"/>
        <w:rPr>
          <w:rFonts w:ascii="Verdana" w:hAnsi="Verdana"/>
        </w:rPr>
      </w:pPr>
      <w:r w:rsidRPr="00942FFC">
        <w:rPr>
          <w:rFonts w:ascii="Verdana" w:eastAsia="Calibri" w:hAnsi="Verdana" w:cs="Arial"/>
          <w:b/>
          <w:noProof/>
          <w:lang w:eastAsia="es-ES_tradnl"/>
        </w:rPr>
        <w:lastRenderedPageBreak/>
        <w:drawing>
          <wp:anchor distT="0" distB="0" distL="114300" distR="114300" simplePos="0" relativeHeight="251658240" behindDoc="0" locked="0" layoutInCell="1" allowOverlap="1" wp14:anchorId="5B4B2EFE" wp14:editId="6D2CFFE2">
            <wp:simplePos x="0" y="0"/>
            <wp:positionH relativeFrom="margin">
              <wp:posOffset>2928495</wp:posOffset>
            </wp:positionH>
            <wp:positionV relativeFrom="margin">
              <wp:posOffset>360608</wp:posOffset>
            </wp:positionV>
            <wp:extent cx="3314700" cy="1019175"/>
            <wp:effectExtent l="0" t="0" r="0" b="9525"/>
            <wp:wrapSquare wrapText="bothSides"/>
            <wp:docPr id="214145992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45992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14700" cy="1019175"/>
                    </a:xfrm>
                    <a:prstGeom prst="rect">
                      <a:avLst/>
                    </a:prstGeom>
                  </pic:spPr>
                </pic:pic>
              </a:graphicData>
            </a:graphic>
          </wp:anchor>
        </w:drawing>
      </w:r>
      <w:r w:rsidR="00736161" w:rsidRPr="0024624F">
        <w:rPr>
          <w:rFonts w:ascii="Verdana" w:hAnsi="Verdana"/>
        </w:rPr>
        <w:t xml:space="preserve">Bogotá D.C., </w:t>
      </w:r>
      <w:r w:rsidR="000523A1" w:rsidRPr="000523A1">
        <w:rPr>
          <w:rFonts w:ascii="Verdana" w:hAnsi="Verdana"/>
        </w:rPr>
        <w:t xml:space="preserve">21 </w:t>
      </w:r>
      <w:proofErr w:type="gramStart"/>
      <w:r w:rsidR="000523A1" w:rsidRPr="000523A1">
        <w:rPr>
          <w:rFonts w:ascii="Verdana" w:hAnsi="Verdana"/>
        </w:rPr>
        <w:t>Enero</w:t>
      </w:r>
      <w:proofErr w:type="gramEnd"/>
      <w:r w:rsidR="000523A1" w:rsidRPr="000523A1">
        <w:rPr>
          <w:rFonts w:ascii="Verdana" w:hAnsi="Verdana"/>
        </w:rPr>
        <w:t xml:space="preserve"> 2026</w:t>
      </w:r>
      <w:r w:rsidR="00736161" w:rsidRPr="000E2B93">
        <w:rPr>
          <w:rFonts w:ascii="Verdana" w:hAnsi="Verdana"/>
        </w:rPr>
        <w:tab/>
      </w:r>
      <w:r w:rsidR="00736161" w:rsidRPr="000E2B93">
        <w:rPr>
          <w:rFonts w:ascii="Verdana" w:hAnsi="Verdana"/>
        </w:rPr>
        <w:br/>
      </w:r>
      <w:r w:rsidR="00736161" w:rsidRPr="0024624F">
        <w:rPr>
          <w:rFonts w:ascii="Verdana" w:hAnsi="Verdana"/>
        </w:rPr>
        <w:tab/>
      </w:r>
    </w:p>
    <w:p w14:paraId="74279C98" w14:textId="64639880" w:rsidR="00736161" w:rsidRPr="002274EF" w:rsidRDefault="00736161" w:rsidP="00736161">
      <w:pPr>
        <w:tabs>
          <w:tab w:val="left" w:pos="6279"/>
        </w:tabs>
        <w:spacing w:after="0" w:line="240" w:lineRule="auto"/>
        <w:jc w:val="both"/>
        <w:rPr>
          <w:rFonts w:ascii="Verdana" w:eastAsia="Calibri" w:hAnsi="Verdana" w:cs="Arial"/>
          <w:lang w:eastAsia="es-ES"/>
        </w:rPr>
      </w:pPr>
      <w:r w:rsidRPr="002274EF">
        <w:rPr>
          <w:rFonts w:ascii="Verdana" w:eastAsia="Calibri" w:hAnsi="Verdana" w:cs="Arial"/>
          <w:lang w:eastAsia="es-ES"/>
        </w:rPr>
        <w:t>Señor</w:t>
      </w:r>
    </w:p>
    <w:p w14:paraId="2EAF5F1E" w14:textId="05EF17D7" w:rsidR="00736161" w:rsidRPr="002274EF" w:rsidRDefault="00736161" w:rsidP="00736161">
      <w:pPr>
        <w:spacing w:after="0" w:line="240" w:lineRule="auto"/>
        <w:jc w:val="both"/>
        <w:rPr>
          <w:rFonts w:ascii="Verdana" w:eastAsia="Calibri" w:hAnsi="Verdana" w:cs="Arial"/>
          <w:b/>
          <w:lang w:eastAsia="es-ES_tradnl"/>
        </w:rPr>
      </w:pPr>
      <w:r w:rsidRPr="002274EF">
        <w:rPr>
          <w:rFonts w:ascii="Verdana" w:eastAsia="Calibri" w:hAnsi="Verdana" w:cs="Arial"/>
          <w:b/>
          <w:lang w:eastAsia="es-ES_tradnl"/>
        </w:rPr>
        <w:t>Marco Antonio Navarro Palacios</w:t>
      </w:r>
    </w:p>
    <w:p w14:paraId="18E0CAF5" w14:textId="77777777" w:rsidR="00736161" w:rsidRPr="002274EF" w:rsidRDefault="00736161" w:rsidP="00736161">
      <w:pPr>
        <w:spacing w:after="0" w:line="240" w:lineRule="auto"/>
        <w:jc w:val="both"/>
        <w:rPr>
          <w:rFonts w:ascii="Verdana" w:eastAsia="Calibri" w:hAnsi="Verdana" w:cs="Arial"/>
          <w:bCs/>
          <w:lang w:eastAsia="es-ES_tradnl"/>
        </w:rPr>
      </w:pPr>
      <w:r w:rsidRPr="002274EF">
        <w:rPr>
          <w:rFonts w:ascii="Verdana" w:eastAsia="Calibri" w:hAnsi="Verdana" w:cs="Arial"/>
          <w:bCs/>
          <w:lang w:eastAsia="es-ES_tradnl"/>
        </w:rPr>
        <w:t>Líder Gestión y Desarrollo del Talento Humano</w:t>
      </w:r>
    </w:p>
    <w:p w14:paraId="02D6D04E" w14:textId="77777777" w:rsidR="00736161" w:rsidRPr="002274EF" w:rsidRDefault="00736161" w:rsidP="00736161">
      <w:pPr>
        <w:spacing w:after="0" w:line="240" w:lineRule="auto"/>
        <w:jc w:val="both"/>
        <w:rPr>
          <w:rFonts w:ascii="Verdana" w:eastAsia="Calibri" w:hAnsi="Verdana" w:cs="Arial"/>
          <w:bCs/>
          <w:lang w:eastAsia="es-ES_tradnl"/>
        </w:rPr>
      </w:pPr>
      <w:r w:rsidRPr="002274EF">
        <w:rPr>
          <w:rFonts w:ascii="Verdana" w:eastAsia="Calibri" w:hAnsi="Verdana" w:cs="Arial"/>
          <w:bCs/>
          <w:lang w:eastAsia="es-ES_tradnl"/>
        </w:rPr>
        <w:t>ESE Hospital Universitario Erasmo Meoz</w:t>
      </w:r>
    </w:p>
    <w:p w14:paraId="0601F5C4" w14:textId="77777777" w:rsidR="00736161" w:rsidRPr="002274EF" w:rsidRDefault="00736161" w:rsidP="00736161">
      <w:pPr>
        <w:spacing w:after="0" w:line="240" w:lineRule="auto"/>
        <w:jc w:val="both"/>
        <w:rPr>
          <w:rFonts w:ascii="Verdana" w:hAnsi="Verdana"/>
          <w:bCs/>
        </w:rPr>
      </w:pPr>
      <w:hyperlink r:id="rId11" w:history="1">
        <w:r w:rsidRPr="002274EF">
          <w:rPr>
            <w:rStyle w:val="Hipervnculo"/>
            <w:rFonts w:ascii="Verdana" w:hAnsi="Verdana"/>
            <w:bCs/>
          </w:rPr>
          <w:t>talentohum@herasmomeoz.gov.co</w:t>
        </w:r>
      </w:hyperlink>
    </w:p>
    <w:p w14:paraId="143E00E1" w14:textId="77777777" w:rsidR="00736161" w:rsidRPr="002274EF" w:rsidRDefault="00736161" w:rsidP="00736161">
      <w:pPr>
        <w:spacing w:after="0" w:line="240" w:lineRule="auto"/>
        <w:jc w:val="both"/>
        <w:rPr>
          <w:rFonts w:ascii="Verdana" w:hAnsi="Verdana"/>
        </w:rPr>
      </w:pPr>
      <w:r w:rsidRPr="002274EF">
        <w:rPr>
          <w:rFonts w:ascii="Verdana" w:hAnsi="Verdana"/>
        </w:rPr>
        <w:t>Bogotá D.C.</w:t>
      </w:r>
    </w:p>
    <w:p w14:paraId="29B46357" w14:textId="77777777" w:rsidR="00736161" w:rsidRDefault="00736161" w:rsidP="00736161">
      <w:pPr>
        <w:spacing w:after="0" w:line="240" w:lineRule="auto"/>
        <w:jc w:val="both"/>
        <w:rPr>
          <w:rFonts w:ascii="Verdana" w:eastAsia="Calibri" w:hAnsi="Verdana" w:cs="Arial"/>
          <w:b/>
          <w:bCs/>
          <w:lang w:val="it-CH" w:eastAsia="es-ES_tradnl"/>
        </w:rPr>
      </w:pPr>
    </w:p>
    <w:p w14:paraId="63EC4B06" w14:textId="77777777" w:rsidR="000523A1" w:rsidRPr="00D332C4" w:rsidRDefault="000523A1" w:rsidP="00736161">
      <w:pPr>
        <w:spacing w:after="0" w:line="240" w:lineRule="auto"/>
        <w:jc w:val="both"/>
        <w:rPr>
          <w:rFonts w:ascii="Verdana" w:eastAsia="Calibri" w:hAnsi="Verdana" w:cs="Arial"/>
          <w:b/>
          <w:bCs/>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36161" w:rsidRPr="00D332C4" w14:paraId="25C010F6" w14:textId="77777777" w:rsidTr="005F09E0">
        <w:trPr>
          <w:trHeight w:val="162"/>
        </w:trPr>
        <w:tc>
          <w:tcPr>
            <w:tcW w:w="3119" w:type="dxa"/>
          </w:tcPr>
          <w:p w14:paraId="0853C043" w14:textId="77777777" w:rsidR="00736161" w:rsidRPr="00D332C4" w:rsidRDefault="00736161" w:rsidP="005F09E0">
            <w:pPr>
              <w:jc w:val="both"/>
              <w:rPr>
                <w:rFonts w:ascii="Verdana" w:eastAsia="Calibri" w:hAnsi="Verdana" w:cs="Arial"/>
                <w:b/>
                <w:bCs/>
                <w:lang w:val="it-CH" w:eastAsia="es-ES_tradnl"/>
              </w:rPr>
            </w:pPr>
          </w:p>
        </w:tc>
        <w:tc>
          <w:tcPr>
            <w:tcW w:w="5670" w:type="dxa"/>
          </w:tcPr>
          <w:p w14:paraId="1003764A" w14:textId="77777777" w:rsidR="00736161" w:rsidRPr="00D332C4" w:rsidRDefault="00736161" w:rsidP="005F09E0">
            <w:pPr>
              <w:jc w:val="both"/>
              <w:rPr>
                <w:rFonts w:ascii="Verdana" w:eastAsia="Calibri" w:hAnsi="Verdana" w:cs="Arial"/>
                <w:b/>
                <w:bCs/>
                <w:lang w:eastAsia="es-ES"/>
              </w:rPr>
            </w:pPr>
            <w:r w:rsidRPr="00D332C4">
              <w:rPr>
                <w:rFonts w:ascii="Verdana" w:eastAsia="Calibri" w:hAnsi="Verdana" w:cs="Arial"/>
                <w:b/>
                <w:bCs/>
                <w:lang w:eastAsia="es-ES"/>
              </w:rPr>
              <w:t>Concepto C- 18</w:t>
            </w:r>
            <w:r>
              <w:rPr>
                <w:rFonts w:ascii="Verdana" w:eastAsia="Calibri" w:hAnsi="Verdana" w:cs="Arial"/>
                <w:b/>
                <w:bCs/>
                <w:lang w:eastAsia="es-ES"/>
              </w:rPr>
              <w:t>12</w:t>
            </w:r>
            <w:r w:rsidRPr="00D332C4">
              <w:rPr>
                <w:rFonts w:ascii="Verdana" w:eastAsia="Calibri" w:hAnsi="Verdana" w:cs="Arial"/>
                <w:b/>
                <w:bCs/>
                <w:lang w:eastAsia="es-ES"/>
              </w:rPr>
              <w:t xml:space="preserve"> de 2025</w:t>
            </w:r>
          </w:p>
          <w:p w14:paraId="6FDDA998" w14:textId="77777777" w:rsidR="00736161" w:rsidRPr="00D332C4" w:rsidRDefault="00736161" w:rsidP="005F09E0">
            <w:pPr>
              <w:jc w:val="both"/>
              <w:rPr>
                <w:rFonts w:ascii="Verdana" w:eastAsia="Calibri" w:hAnsi="Verdana" w:cs="Arial"/>
                <w:b/>
                <w:bCs/>
                <w:lang w:eastAsia="es-ES"/>
              </w:rPr>
            </w:pPr>
          </w:p>
        </w:tc>
      </w:tr>
      <w:tr w:rsidR="00736161" w:rsidRPr="00D332C4" w14:paraId="6F462A6F" w14:textId="77777777" w:rsidTr="005F09E0">
        <w:trPr>
          <w:trHeight w:val="884"/>
        </w:trPr>
        <w:tc>
          <w:tcPr>
            <w:tcW w:w="3119" w:type="dxa"/>
          </w:tcPr>
          <w:p w14:paraId="54577C6A" w14:textId="77777777" w:rsidR="00736161" w:rsidRPr="00D332C4" w:rsidRDefault="00736161" w:rsidP="005F09E0">
            <w:pPr>
              <w:jc w:val="both"/>
              <w:rPr>
                <w:rFonts w:ascii="Verdana" w:eastAsia="Calibri" w:hAnsi="Verdana" w:cs="Arial"/>
                <w:lang w:eastAsia="es-ES_tradnl"/>
              </w:rPr>
            </w:pPr>
            <w:r w:rsidRPr="00D332C4">
              <w:rPr>
                <w:rFonts w:ascii="Verdana" w:eastAsia="Calibri" w:hAnsi="Verdana" w:cs="Arial"/>
                <w:b/>
                <w:lang w:eastAsia="es-ES_tradnl"/>
              </w:rPr>
              <w:t>Temas:</w:t>
            </w:r>
            <w:r w:rsidRPr="00D332C4">
              <w:rPr>
                <w:rFonts w:ascii="Verdana" w:eastAsia="Calibri" w:hAnsi="Verdana" w:cs="Arial"/>
                <w:lang w:eastAsia="es-ES_tradnl"/>
              </w:rPr>
              <w:t xml:space="preserve">                   </w:t>
            </w:r>
          </w:p>
        </w:tc>
        <w:tc>
          <w:tcPr>
            <w:tcW w:w="5670" w:type="dxa"/>
          </w:tcPr>
          <w:p w14:paraId="0F4F463C" w14:textId="78CD6E71" w:rsidR="003F2616" w:rsidRPr="003F2616" w:rsidRDefault="00736161" w:rsidP="003F2616">
            <w:pPr>
              <w:spacing w:after="120" w:line="276" w:lineRule="auto"/>
              <w:jc w:val="both"/>
              <w:rPr>
                <w:rFonts w:ascii="Verdana" w:eastAsia="Aptos" w:hAnsi="Verdana" w:cs="Arial"/>
                <w:lang w:val="es-MX" w:eastAsia="es-ES_tradnl"/>
              </w:rPr>
            </w:pPr>
            <w:r w:rsidRPr="00343E12">
              <w:rPr>
                <w:rFonts w:ascii="Verdana" w:eastAsia="Aptos" w:hAnsi="Verdana" w:cs="Arial"/>
                <w:lang w:val="es-MX" w:eastAsia="es-ES"/>
              </w:rPr>
              <w:t>LEY DE GARANTÍAS ELECTORALES ‒ Finalidad / LEY DE GARANTÍAS ELECTORALES ‒ Tipos de restricciones ‒ Ámbito temporal – Celebración - Límite / LEY DE GARANTÍAS ELECTORALES – Prohibición – Artículo 3</w:t>
            </w:r>
            <w:r>
              <w:rPr>
                <w:rFonts w:ascii="Verdana" w:eastAsia="Aptos" w:hAnsi="Verdana" w:cs="Arial"/>
                <w:lang w:val="es-MX" w:eastAsia="es-ES"/>
              </w:rPr>
              <w:t>8</w:t>
            </w:r>
            <w:r w:rsidRPr="00343E12">
              <w:rPr>
                <w:rFonts w:ascii="Verdana" w:eastAsia="Aptos" w:hAnsi="Verdana" w:cs="Arial"/>
                <w:lang w:val="es-MX" w:eastAsia="es-ES"/>
              </w:rPr>
              <w:t xml:space="preserve"> – Contratación directa – Alcance / LEY DE GARANTÍAS ELECTORALES – Excepciones </w:t>
            </w:r>
            <w:r w:rsidRPr="00343E12">
              <w:rPr>
                <w:rFonts w:ascii="Verdana" w:eastAsia="Times New Roman" w:hAnsi="Verdana" w:cs="Arial"/>
                <w:color w:val="000000"/>
                <w:lang w:val="es-ES"/>
              </w:rPr>
              <w:t xml:space="preserve">/ </w:t>
            </w:r>
            <w:r w:rsidRPr="00343E12">
              <w:rPr>
                <w:rFonts w:ascii="Verdana" w:eastAsia="Aptos" w:hAnsi="Verdana" w:cs="Arial"/>
                <w:lang w:val="es-MX" w:eastAsia="es-ES_tradnl"/>
              </w:rPr>
              <w:t xml:space="preserve">CONVENIOS INTERADMINISTRATIVOS – Criterio orgánico / CONTRATOS Y CONVENIOS INTERADMINISTRATIVOS – </w:t>
            </w:r>
            <w:r w:rsidR="003F2616" w:rsidRPr="003F2616">
              <w:rPr>
                <w:rFonts w:ascii="Verdana" w:eastAsia="Aptos" w:hAnsi="Verdana" w:cs="Arial"/>
                <w:lang w:val="es-MX" w:eastAsia="es-ES_tradnl"/>
              </w:rPr>
              <w:t>Circular Externa Única – Medida cautelar de suspensión.</w:t>
            </w:r>
          </w:p>
        </w:tc>
      </w:tr>
      <w:tr w:rsidR="00736161" w:rsidRPr="00D332C4" w14:paraId="451A1620" w14:textId="77777777" w:rsidTr="005F09E0">
        <w:tc>
          <w:tcPr>
            <w:tcW w:w="3119" w:type="dxa"/>
          </w:tcPr>
          <w:p w14:paraId="71D6DED4" w14:textId="77777777" w:rsidR="00736161" w:rsidRPr="00D332C4" w:rsidRDefault="00736161" w:rsidP="005F09E0">
            <w:pPr>
              <w:jc w:val="both"/>
              <w:rPr>
                <w:rFonts w:ascii="Verdana" w:eastAsia="Calibri" w:hAnsi="Verdana" w:cs="Arial"/>
                <w:b/>
                <w:lang w:eastAsia="es-ES_tradnl"/>
              </w:rPr>
            </w:pPr>
            <w:r w:rsidRPr="00D332C4">
              <w:rPr>
                <w:rFonts w:ascii="Verdana" w:eastAsia="Calibri" w:hAnsi="Verdana" w:cs="Arial"/>
                <w:b/>
                <w:lang w:eastAsia="es-ES_tradnl"/>
              </w:rPr>
              <w:t>Radicación:</w:t>
            </w:r>
            <w:r w:rsidRPr="00D332C4">
              <w:rPr>
                <w:rFonts w:ascii="Verdana" w:eastAsia="Calibri" w:hAnsi="Verdana" w:cs="Arial"/>
                <w:lang w:eastAsia="es-ES_tradnl"/>
              </w:rPr>
              <w:t xml:space="preserve">               </w:t>
            </w:r>
          </w:p>
        </w:tc>
        <w:tc>
          <w:tcPr>
            <w:tcW w:w="5670" w:type="dxa"/>
          </w:tcPr>
          <w:p w14:paraId="5B2F6A9E" w14:textId="77777777" w:rsidR="00736161" w:rsidRPr="00D332C4" w:rsidRDefault="00736161" w:rsidP="005F09E0">
            <w:pPr>
              <w:jc w:val="both"/>
              <w:rPr>
                <w:rFonts w:ascii="Verdana" w:eastAsia="Calibri" w:hAnsi="Verdana" w:cs="Arial"/>
                <w:lang w:eastAsia="es-ES_tradnl"/>
              </w:rPr>
            </w:pPr>
            <w:r w:rsidRPr="00D332C4">
              <w:rPr>
                <w:rFonts w:ascii="Verdana" w:eastAsia="Calibri" w:hAnsi="Verdana" w:cs="Arial"/>
                <w:lang w:eastAsia="es-ES_tradnl"/>
              </w:rPr>
              <w:t xml:space="preserve">Respuesta a consultas con radicado No. </w:t>
            </w:r>
            <w:r w:rsidRPr="002A644F">
              <w:rPr>
                <w:rFonts w:ascii="Verdana" w:eastAsia="Calibri" w:hAnsi="Verdana" w:cs="Arial"/>
                <w:lang w:eastAsia="es-ES_tradnl"/>
              </w:rPr>
              <w:t>1_2025_12_29_014396</w:t>
            </w:r>
          </w:p>
        </w:tc>
      </w:tr>
    </w:tbl>
    <w:p w14:paraId="14CFA497" w14:textId="77777777" w:rsidR="00736161" w:rsidRPr="00D332C4" w:rsidRDefault="00736161" w:rsidP="00736161">
      <w:pPr>
        <w:spacing w:after="0" w:line="276" w:lineRule="auto"/>
        <w:jc w:val="both"/>
        <w:rPr>
          <w:rFonts w:ascii="Verdana" w:eastAsia="Calibri" w:hAnsi="Verdana" w:cs="Arial"/>
          <w:lang w:eastAsia="es-ES"/>
        </w:rPr>
      </w:pPr>
    </w:p>
    <w:p w14:paraId="7CE9FBF6" w14:textId="77777777" w:rsidR="00736161" w:rsidRPr="00D332C4" w:rsidRDefault="00736161" w:rsidP="00736161">
      <w:pPr>
        <w:spacing w:after="0" w:line="276" w:lineRule="auto"/>
        <w:jc w:val="both"/>
        <w:rPr>
          <w:rFonts w:ascii="Verdana" w:eastAsia="Calibri" w:hAnsi="Verdana" w:cs="Arial"/>
          <w:lang w:eastAsia="es-ES"/>
        </w:rPr>
      </w:pPr>
      <w:r w:rsidRPr="00D332C4">
        <w:rPr>
          <w:rFonts w:ascii="Verdana" w:eastAsia="Calibri" w:hAnsi="Verdana" w:cs="Arial"/>
          <w:lang w:eastAsia="es-ES"/>
        </w:rPr>
        <w:t>Estimad</w:t>
      </w:r>
      <w:r>
        <w:rPr>
          <w:rFonts w:ascii="Verdana" w:eastAsia="Calibri" w:hAnsi="Verdana" w:cs="Arial"/>
          <w:lang w:eastAsia="es-ES"/>
        </w:rPr>
        <w:t>o</w:t>
      </w:r>
      <w:r w:rsidRPr="00D332C4">
        <w:rPr>
          <w:rFonts w:ascii="Verdana" w:eastAsia="Calibri" w:hAnsi="Verdana" w:cs="Arial"/>
          <w:lang w:eastAsia="es-ES"/>
        </w:rPr>
        <w:t xml:space="preserve"> señor </w:t>
      </w:r>
      <w:r>
        <w:rPr>
          <w:rFonts w:ascii="Verdana" w:eastAsia="Calibri" w:hAnsi="Verdana" w:cs="Arial"/>
          <w:lang w:eastAsia="es-ES"/>
        </w:rPr>
        <w:t>Marco Antonio</w:t>
      </w:r>
      <w:r w:rsidRPr="40D45686">
        <w:rPr>
          <w:rFonts w:ascii="Verdana" w:eastAsia="Calibri" w:hAnsi="Verdana" w:cs="Arial"/>
          <w:lang w:eastAsia="es-ES"/>
        </w:rPr>
        <w:t>, cordial saludo</w:t>
      </w:r>
      <w:r w:rsidRPr="00D332C4">
        <w:rPr>
          <w:rFonts w:ascii="Verdana" w:eastAsia="Calibri" w:hAnsi="Verdana" w:cs="Arial"/>
          <w:lang w:eastAsia="es-ES"/>
        </w:rPr>
        <w:t xml:space="preserve">: </w:t>
      </w:r>
    </w:p>
    <w:p w14:paraId="3773F4AB" w14:textId="77777777" w:rsidR="00736161" w:rsidRPr="00D332C4" w:rsidRDefault="00736161" w:rsidP="00736161">
      <w:pPr>
        <w:tabs>
          <w:tab w:val="left" w:pos="3768"/>
        </w:tabs>
        <w:spacing w:after="0" w:line="240" w:lineRule="auto"/>
        <w:jc w:val="both"/>
        <w:rPr>
          <w:rFonts w:ascii="Verdana" w:eastAsia="Calibri" w:hAnsi="Verdana" w:cs="Arial"/>
          <w:lang w:eastAsia="es-ES"/>
        </w:rPr>
      </w:pPr>
    </w:p>
    <w:p w14:paraId="767E17F6" w14:textId="77777777" w:rsidR="00736161" w:rsidRPr="0057575A" w:rsidRDefault="00736161" w:rsidP="00736161">
      <w:pPr>
        <w:tabs>
          <w:tab w:val="left" w:pos="3768"/>
        </w:tabs>
        <w:spacing w:after="0" w:line="276" w:lineRule="auto"/>
        <w:jc w:val="both"/>
        <w:rPr>
          <w:rFonts w:ascii="Verdana" w:eastAsia="Calibri" w:hAnsi="Verdana" w:cs="Arial"/>
          <w:lang w:eastAsia="es-ES"/>
        </w:rPr>
      </w:pPr>
      <w:r w:rsidRPr="00D332C4">
        <w:rPr>
          <w:rFonts w:ascii="Verdana" w:eastAsia="Calibri" w:hAnsi="Verdana" w:cs="Arial"/>
          <w:lang w:eastAsia="es-ES"/>
        </w:rPr>
        <w:t>En ejercicio de la competencia otorgada por los artículos 3, numeral 5º, y 11, numeral 8º, del Decreto Ley 4170 de 2011,</w:t>
      </w:r>
      <w:r w:rsidRPr="00D332C4">
        <w:rPr>
          <w:rFonts w:ascii="Verdana" w:eastAsia="Arial MT" w:hAnsi="Verdana" w:cs="Arial MT"/>
          <w:lang w:eastAsia="es-ES"/>
        </w:rPr>
        <w:t xml:space="preserve"> </w:t>
      </w:r>
      <w:r w:rsidRPr="00D332C4">
        <w:rPr>
          <w:rFonts w:ascii="Verdana" w:hAnsi="Verdana" w:cs="Arial"/>
        </w:rPr>
        <w:t xml:space="preserve">así como lo establecido en la Resolución 469 de 2025 expedida por esta Entidad, </w:t>
      </w:r>
      <w:r w:rsidRPr="00D332C4">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26</w:t>
      </w:r>
      <w:r w:rsidRPr="00D332C4">
        <w:rPr>
          <w:rFonts w:ascii="Verdana" w:eastAsia="Calibri" w:hAnsi="Verdana" w:cs="Arial"/>
          <w:lang w:eastAsia="es-ES"/>
        </w:rPr>
        <w:t xml:space="preserve"> de diciembre de 2025, en la cual manifiesta lo siguiente: </w:t>
      </w:r>
    </w:p>
    <w:p w14:paraId="5E6A4262" w14:textId="77777777" w:rsidR="00736161" w:rsidRPr="00F97E5B" w:rsidRDefault="00736161" w:rsidP="00736161">
      <w:pPr>
        <w:spacing w:after="0" w:line="240" w:lineRule="auto"/>
        <w:ind w:right="709"/>
        <w:jc w:val="both"/>
        <w:rPr>
          <w:rFonts w:ascii="Verdana" w:eastAsia="Century Gothic" w:hAnsi="Verdana" w:cs="Century Gothic"/>
          <w:sz w:val="20"/>
          <w:szCs w:val="20"/>
        </w:rPr>
      </w:pPr>
    </w:p>
    <w:p w14:paraId="2F6244CC" w14:textId="29823FD4" w:rsidR="00736161" w:rsidRPr="00BF4BE7" w:rsidRDefault="00736161" w:rsidP="00BF4BE7">
      <w:pPr>
        <w:numPr>
          <w:ilvl w:val="0"/>
          <w:numId w:val="18"/>
        </w:numPr>
        <w:spacing w:after="0" w:line="240" w:lineRule="auto"/>
        <w:ind w:left="709" w:right="709"/>
        <w:jc w:val="both"/>
        <w:rPr>
          <w:rFonts w:ascii="Verdana" w:eastAsia="Times New Roman" w:hAnsi="Verdana" w:cs="Arial"/>
          <w:i/>
          <w:iCs/>
          <w:sz w:val="20"/>
          <w:szCs w:val="20"/>
          <w:lang w:val="es-MX" w:eastAsia="es-CO"/>
        </w:rPr>
      </w:pPr>
      <w:r w:rsidRPr="00BF4BE7">
        <w:rPr>
          <w:rFonts w:ascii="Verdana" w:eastAsia="Times New Roman" w:hAnsi="Verdana" w:cs="Arial"/>
          <w:i/>
          <w:iCs/>
          <w:sz w:val="20"/>
          <w:szCs w:val="20"/>
          <w:lang w:val="es-MX" w:eastAsia="es-CO"/>
        </w:rPr>
        <w:t xml:space="preserve">“[...] La Ley de Garantías Electorales (Ley 996 de 2005) establece restricciones sobre la nómina y la contratación en las entidades públicas, pero simultáneamente introduce excepciones específicas para las Empresas Sociales del Estado (ESE), debido a su naturaleza de entidades </w:t>
      </w:r>
      <w:r w:rsidRPr="00BF4BE7">
        <w:rPr>
          <w:rFonts w:ascii="Verdana" w:eastAsia="Times New Roman" w:hAnsi="Verdana" w:cs="Arial"/>
          <w:i/>
          <w:iCs/>
          <w:sz w:val="20"/>
          <w:szCs w:val="20"/>
          <w:lang w:val="es-MX" w:eastAsia="es-CO"/>
        </w:rPr>
        <w:lastRenderedPageBreak/>
        <w:t xml:space="preserve">sanitarias y hospitalarias y la esencialidad del servicio de salud. Con el fin de precisar el alcance de estas normas, solicitamos su concepto oficial sobre los siguientes puntos: </w:t>
      </w:r>
    </w:p>
    <w:p w14:paraId="67F611A3" w14:textId="77777777" w:rsidR="00736161" w:rsidRPr="0057575A" w:rsidRDefault="00736161" w:rsidP="00736161">
      <w:pPr>
        <w:numPr>
          <w:ilvl w:val="0"/>
          <w:numId w:val="18"/>
        </w:numPr>
        <w:spacing w:after="0" w:line="240" w:lineRule="auto"/>
        <w:ind w:right="709"/>
        <w:jc w:val="both"/>
        <w:rPr>
          <w:rFonts w:ascii="Verdana" w:eastAsia="Times New Roman" w:hAnsi="Verdana" w:cs="Arial"/>
          <w:i/>
          <w:iCs/>
          <w:sz w:val="20"/>
          <w:szCs w:val="20"/>
          <w:lang w:val="es-MX" w:eastAsia="es-CO"/>
        </w:rPr>
      </w:pPr>
    </w:p>
    <w:p w14:paraId="660F77A6" w14:textId="77777777" w:rsidR="00736161" w:rsidRPr="0057575A" w:rsidRDefault="00736161" w:rsidP="00736161">
      <w:pPr>
        <w:numPr>
          <w:ilvl w:val="0"/>
          <w:numId w:val="18"/>
        </w:numPr>
        <w:spacing w:after="0" w:line="240" w:lineRule="auto"/>
        <w:ind w:left="709" w:right="709"/>
        <w:jc w:val="both"/>
        <w:rPr>
          <w:rFonts w:ascii="Verdana" w:eastAsia="Times New Roman" w:hAnsi="Verdana" w:cs="Arial"/>
          <w:i/>
          <w:iCs/>
          <w:sz w:val="20"/>
          <w:szCs w:val="20"/>
          <w:lang w:val="es-MX" w:eastAsia="es-CO"/>
        </w:rPr>
      </w:pPr>
      <w:r w:rsidRPr="0057575A">
        <w:rPr>
          <w:rFonts w:ascii="Verdana" w:eastAsia="Times New Roman" w:hAnsi="Verdana" w:cs="Arial"/>
          <w:i/>
          <w:iCs/>
          <w:sz w:val="20"/>
          <w:szCs w:val="20"/>
          <w:lang w:val="es-MX" w:eastAsia="es-CO"/>
        </w:rPr>
        <w:t xml:space="preserve">Teniendo en cuenta que el inciso segundo del Artículo 33 de la Ley 996 de 2005 exime a las entidades sanitarias y hospitalarias (ESE) de la restricción de modificación de nómina para la provisión de vacantes a partir de los cuatro meses anteriores a las elecciones presidenciales, solicitamos respetuosamente dar claridad sobre: </w:t>
      </w:r>
    </w:p>
    <w:p w14:paraId="7A6E088C" w14:textId="77777777" w:rsidR="00736161" w:rsidRPr="0057575A" w:rsidRDefault="00736161" w:rsidP="00736161">
      <w:pPr>
        <w:numPr>
          <w:ilvl w:val="0"/>
          <w:numId w:val="18"/>
        </w:numPr>
        <w:spacing w:after="0" w:line="240" w:lineRule="auto"/>
        <w:ind w:left="709" w:right="709"/>
        <w:jc w:val="both"/>
        <w:rPr>
          <w:rFonts w:ascii="Verdana" w:eastAsia="Times New Roman" w:hAnsi="Verdana" w:cs="Arial"/>
          <w:i/>
          <w:iCs/>
          <w:sz w:val="20"/>
          <w:szCs w:val="20"/>
          <w:lang w:val="es-MX" w:eastAsia="es-CO"/>
        </w:rPr>
      </w:pPr>
    </w:p>
    <w:p w14:paraId="6A4ADC9E" w14:textId="77777777" w:rsidR="00736161" w:rsidRPr="0057575A" w:rsidRDefault="00736161" w:rsidP="00736161">
      <w:pPr>
        <w:numPr>
          <w:ilvl w:val="0"/>
          <w:numId w:val="18"/>
        </w:numPr>
        <w:spacing w:after="0" w:line="240" w:lineRule="auto"/>
        <w:ind w:left="709" w:right="709"/>
        <w:jc w:val="both"/>
        <w:rPr>
          <w:rFonts w:ascii="Verdana" w:eastAsia="Times New Roman" w:hAnsi="Verdana" w:cs="Arial"/>
          <w:i/>
          <w:iCs/>
          <w:sz w:val="20"/>
          <w:szCs w:val="20"/>
          <w:lang w:val="es-MX" w:eastAsia="es-CO"/>
        </w:rPr>
      </w:pPr>
      <w:r w:rsidRPr="0057575A">
        <w:rPr>
          <w:rFonts w:ascii="Verdana" w:eastAsia="Times New Roman" w:hAnsi="Verdana" w:cs="Arial"/>
          <w:i/>
          <w:iCs/>
          <w:sz w:val="20"/>
          <w:szCs w:val="20"/>
          <w:lang w:val="es-MX" w:eastAsia="es-CO"/>
        </w:rPr>
        <w:t>¿Esta excepción de la norma, únicamente se aplica para la provisión de cargos vacantes?, o si, por el contrario, ¿también se le otorga a la Ese la facultad de Crear nuevos cargos o suprimirlos (modificación y/o alteración estructural de la planta de personal), durante el periodo de restricciones laborales con ocasión a la ley de garantías?</w:t>
      </w:r>
      <w:r w:rsidRPr="0057575A">
        <w:rPr>
          <w:rFonts w:eastAsia="Times New Roman" w:cs="Arial"/>
          <w:i/>
          <w:iCs/>
          <w:lang w:val="es-MX" w:eastAsia="es-CO"/>
        </w:rPr>
        <w:footnoteReference w:id="1"/>
      </w:r>
      <w:r w:rsidRPr="0057575A">
        <w:rPr>
          <w:rFonts w:ascii="Verdana" w:eastAsia="Times New Roman" w:hAnsi="Verdana" w:cs="Arial"/>
          <w:i/>
          <w:iCs/>
          <w:sz w:val="20"/>
          <w:szCs w:val="20"/>
          <w:lang w:val="es-MX" w:eastAsia="es-CO"/>
        </w:rPr>
        <w:t xml:space="preserve">  </w:t>
      </w:r>
    </w:p>
    <w:p w14:paraId="54FE79AE" w14:textId="77777777" w:rsidR="00736161" w:rsidRPr="0057575A" w:rsidRDefault="00736161" w:rsidP="00736161">
      <w:pPr>
        <w:numPr>
          <w:ilvl w:val="0"/>
          <w:numId w:val="18"/>
        </w:numPr>
        <w:spacing w:after="0" w:line="240" w:lineRule="auto"/>
        <w:ind w:left="709" w:right="709"/>
        <w:jc w:val="both"/>
        <w:rPr>
          <w:rFonts w:ascii="Verdana" w:eastAsia="Times New Roman" w:hAnsi="Verdana" w:cs="Arial"/>
          <w:i/>
          <w:iCs/>
          <w:sz w:val="20"/>
          <w:szCs w:val="20"/>
          <w:lang w:val="es-MX" w:eastAsia="es-CO"/>
        </w:rPr>
      </w:pPr>
    </w:p>
    <w:p w14:paraId="418EF1B6" w14:textId="77777777" w:rsidR="00736161" w:rsidRPr="0057575A" w:rsidRDefault="00736161" w:rsidP="00736161">
      <w:pPr>
        <w:numPr>
          <w:ilvl w:val="0"/>
          <w:numId w:val="18"/>
        </w:numPr>
        <w:spacing w:after="0" w:line="240" w:lineRule="auto"/>
        <w:ind w:left="709" w:right="709"/>
        <w:jc w:val="both"/>
        <w:rPr>
          <w:rFonts w:ascii="Verdana" w:eastAsia="Times New Roman" w:hAnsi="Verdana" w:cs="Arial"/>
          <w:i/>
          <w:iCs/>
          <w:sz w:val="20"/>
          <w:szCs w:val="20"/>
          <w:lang w:val="es-MX" w:eastAsia="es-CO"/>
        </w:rPr>
      </w:pPr>
      <w:r w:rsidRPr="0057575A">
        <w:rPr>
          <w:rFonts w:ascii="Verdana" w:eastAsia="Times New Roman" w:hAnsi="Verdana" w:cs="Arial"/>
          <w:i/>
          <w:iCs/>
          <w:sz w:val="20"/>
          <w:szCs w:val="20"/>
          <w:lang w:val="es-MX" w:eastAsia="es-CO"/>
        </w:rPr>
        <w:t xml:space="preserve">El Parágrafo del Artículo 38 de la Ley 996 de 2005 prohíbe de forma general que los gerentes de entidades descentralizadas del orden territorial celebren convenios interadministrativos para la ejecución de recursos públicos dentro de los cuatro meses anteriores a las elecciones, respetuosamente solicitamos claridad respecto a lo siguiente: </w:t>
      </w:r>
    </w:p>
    <w:p w14:paraId="23DBA35E" w14:textId="77777777" w:rsidR="00736161" w:rsidRPr="0057575A" w:rsidRDefault="00736161" w:rsidP="00736161">
      <w:pPr>
        <w:numPr>
          <w:ilvl w:val="0"/>
          <w:numId w:val="18"/>
        </w:numPr>
        <w:spacing w:after="0" w:line="240" w:lineRule="auto"/>
        <w:ind w:left="709" w:right="709"/>
        <w:jc w:val="both"/>
        <w:rPr>
          <w:rFonts w:ascii="Verdana" w:eastAsia="Times New Roman" w:hAnsi="Verdana" w:cs="Arial"/>
          <w:i/>
          <w:iCs/>
          <w:sz w:val="20"/>
          <w:szCs w:val="20"/>
          <w:lang w:val="es-MX" w:eastAsia="es-CO"/>
        </w:rPr>
      </w:pPr>
    </w:p>
    <w:p w14:paraId="3C17153B" w14:textId="77777777" w:rsidR="00736161" w:rsidRPr="0057575A" w:rsidRDefault="00736161" w:rsidP="00736161">
      <w:pPr>
        <w:numPr>
          <w:ilvl w:val="0"/>
          <w:numId w:val="18"/>
        </w:numPr>
        <w:spacing w:after="0" w:line="240" w:lineRule="auto"/>
        <w:ind w:left="709" w:right="709"/>
        <w:jc w:val="both"/>
        <w:rPr>
          <w:rFonts w:ascii="Verdana" w:eastAsia="Times New Roman" w:hAnsi="Verdana" w:cs="Arial"/>
          <w:i/>
          <w:iCs/>
          <w:sz w:val="20"/>
          <w:szCs w:val="20"/>
          <w:lang w:val="es-MX" w:eastAsia="es-CO"/>
        </w:rPr>
      </w:pPr>
      <w:r w:rsidRPr="0057575A">
        <w:rPr>
          <w:rFonts w:ascii="Verdana" w:eastAsia="Times New Roman" w:hAnsi="Verdana" w:cs="Arial"/>
          <w:i/>
          <w:iCs/>
          <w:sz w:val="20"/>
          <w:szCs w:val="20"/>
          <w:lang w:val="es-MX" w:eastAsia="es-CO"/>
        </w:rPr>
        <w:t>• ¿Es esta prohibición es de carácter absoluto para el Gerente de una ESE, o existe alguna excepción de orden legal que permita la suscripción de convenios interadministrativos esenciales y vitales para la prestación del servicio de salud о para la red hospitalaria, a pesar de la restricción general? ¨</w:t>
      </w:r>
    </w:p>
    <w:p w14:paraId="5C96483B" w14:textId="77777777" w:rsidR="00736161" w:rsidRPr="00D332C4" w:rsidRDefault="00736161" w:rsidP="00736161">
      <w:pPr>
        <w:spacing w:before="120" w:after="0" w:line="276" w:lineRule="auto"/>
        <w:ind w:firstLine="709"/>
        <w:jc w:val="both"/>
        <w:rPr>
          <w:rFonts w:ascii="Verdana" w:eastAsia="Calibri" w:hAnsi="Verdana" w:cs="Arial"/>
          <w:szCs w:val="24"/>
          <w:lang w:eastAsia="es-ES_tradnl"/>
        </w:rPr>
      </w:pPr>
      <w:r w:rsidRPr="0057575A">
        <w:rPr>
          <w:rFonts w:ascii="Verdana" w:eastAsia="Times New Roman" w:hAnsi="Verdana" w:cs="Arial"/>
          <w:lang w:val="es-MX" w:eastAsia="es-CO"/>
        </w:rPr>
        <w:t>De manera preliminar</w:t>
      </w:r>
      <w:r w:rsidRPr="0057575A">
        <w:rPr>
          <w:rFonts w:ascii="Verdana" w:eastAsia="Calibri" w:hAnsi="Verdana" w:cs="Arial"/>
          <w:lang w:eastAsia="es-ES"/>
        </w:rPr>
        <w:t>,</w:t>
      </w:r>
      <w:r w:rsidRPr="00D332C4">
        <w:rPr>
          <w:rFonts w:ascii="Verdana" w:eastAsia="Calibri" w:hAnsi="Verdana" w:cs="Arial"/>
          <w:lang w:eastAsia="es-ES"/>
        </w:rPr>
        <w:t xml:space="preserve">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D332C4">
        <w:rPr>
          <w:rFonts w:ascii="Verdana" w:eastAsia="Calibri" w:hAnsi="Verdana" w:cs="Arial"/>
          <w:lang w:eastAsia="es-ES"/>
        </w:rPr>
        <w:lastRenderedPageBreak/>
        <w:t xml:space="preserve">interpretación de normas generales, por definición, no puede extenderse a la resolución de controversias, ni a brindar asesorías sobre casos puntuales. </w:t>
      </w:r>
    </w:p>
    <w:p w14:paraId="0C5DEA6F" w14:textId="77777777" w:rsidR="00736161" w:rsidRPr="00D332C4" w:rsidRDefault="00736161" w:rsidP="00736161">
      <w:pPr>
        <w:spacing w:before="120" w:after="0" w:line="276" w:lineRule="auto"/>
        <w:ind w:firstLine="709"/>
        <w:jc w:val="both"/>
        <w:rPr>
          <w:rFonts w:ascii="Verdana" w:eastAsia="Calibri" w:hAnsi="Verdana" w:cs="Arial"/>
          <w:szCs w:val="24"/>
          <w:lang w:eastAsia="es-ES_tradnl"/>
        </w:rPr>
      </w:pPr>
      <w:r w:rsidRPr="00D332C4">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09F7667D" w14:textId="77777777" w:rsidR="00736161" w:rsidRPr="00D332C4" w:rsidRDefault="00736161" w:rsidP="00736161">
      <w:pPr>
        <w:spacing w:after="0"/>
        <w:jc w:val="both"/>
        <w:rPr>
          <w:rFonts w:ascii="Verdana" w:eastAsia="Calibri" w:hAnsi="Verdana" w:cs="Arial"/>
          <w:lang w:eastAsia="es-ES"/>
        </w:rPr>
      </w:pPr>
    </w:p>
    <w:p w14:paraId="73238BCB" w14:textId="77777777" w:rsidR="00736161" w:rsidRPr="004039DB" w:rsidRDefault="00736161" w:rsidP="00736161">
      <w:pPr>
        <w:pStyle w:val="Prrafodelista"/>
        <w:numPr>
          <w:ilvl w:val="0"/>
          <w:numId w:val="16"/>
        </w:numPr>
        <w:tabs>
          <w:tab w:val="left" w:pos="142"/>
          <w:tab w:val="left" w:pos="284"/>
        </w:tabs>
        <w:spacing w:afterLines="120" w:after="288" w:line="276" w:lineRule="auto"/>
        <w:ind w:left="0" w:firstLine="0"/>
        <w:contextualSpacing w:val="0"/>
        <w:jc w:val="both"/>
        <w:rPr>
          <w:rFonts w:ascii="Verdana" w:eastAsia="Century Gothic" w:hAnsi="Verdana" w:cs="Century Gothic"/>
          <w:b/>
          <w:bCs/>
        </w:rPr>
      </w:pPr>
      <w:r w:rsidRPr="00D332C4">
        <w:rPr>
          <w:rFonts w:ascii="Verdana" w:eastAsia="Century Gothic" w:hAnsi="Verdana" w:cs="Century Gothic"/>
          <w:b/>
          <w:bCs/>
        </w:rPr>
        <w:t>Problema planteado:</w:t>
      </w:r>
    </w:p>
    <w:p w14:paraId="35B6E867" w14:textId="77777777" w:rsidR="00736161" w:rsidRPr="00D332C4" w:rsidRDefault="00736161" w:rsidP="00736161">
      <w:pPr>
        <w:spacing w:afterLines="120" w:after="288" w:line="276" w:lineRule="auto"/>
        <w:jc w:val="both"/>
        <w:rPr>
          <w:rFonts w:ascii="Verdana" w:hAnsi="Verdana"/>
        </w:rPr>
      </w:pPr>
      <w:r w:rsidRPr="00D332C4">
        <w:rPr>
          <w:rFonts w:ascii="Verdana" w:eastAsia="Calibri" w:hAnsi="Verdana" w:cs="Arial"/>
          <w:lang w:eastAsia="es-ES"/>
        </w:rPr>
        <w:t>De acuerdo con el contenido de su solicitud, esta Agencia resolverá el siguiente problema jurídico:</w:t>
      </w:r>
      <w:r>
        <w:rPr>
          <w:rFonts w:ascii="Verdana" w:eastAsia="Calibri" w:hAnsi="Verdana" w:cs="Arial"/>
          <w:lang w:eastAsia="es-ES"/>
        </w:rPr>
        <w:t xml:space="preserve"> </w:t>
      </w:r>
      <w:r w:rsidRPr="004039DB">
        <w:rPr>
          <w:rFonts w:ascii="Verdana" w:eastAsia="Calibri" w:hAnsi="Verdana" w:cs="Arial"/>
          <w:lang w:eastAsia="es-ES"/>
        </w:rPr>
        <w:t>¿La prohibición establecida en el parágrafo del artículo 38 de la Ley 996 de 2005 para la celebración de convenios interadministrativos es absoluta? ¿existe algún tipo de excepción?</w:t>
      </w:r>
    </w:p>
    <w:p w14:paraId="44FE826C" w14:textId="77777777" w:rsidR="00736161" w:rsidRPr="00D332C4" w:rsidRDefault="00736161" w:rsidP="00736161">
      <w:pPr>
        <w:spacing w:afterLines="120" w:after="288" w:line="276" w:lineRule="auto"/>
        <w:jc w:val="both"/>
        <w:rPr>
          <w:rFonts w:ascii="Verdana" w:eastAsia="Century Gothic" w:hAnsi="Verdana" w:cs="Century Gothic"/>
          <w:b/>
          <w:bCs/>
        </w:rPr>
      </w:pPr>
      <w:r w:rsidRPr="00D332C4">
        <w:rPr>
          <w:rFonts w:ascii="Verdana" w:eastAsia="Century Gothic" w:hAnsi="Verdana" w:cs="Century Gothic"/>
          <w:b/>
          <w:bCs/>
        </w:rPr>
        <w:t>2. Respuesta:</w:t>
      </w: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36161" w:rsidRPr="00D332C4" w14:paraId="1BBF9186" w14:textId="77777777" w:rsidTr="00990EC4">
        <w:tc>
          <w:tcPr>
            <w:tcW w:w="8828" w:type="dxa"/>
          </w:tcPr>
          <w:p w14:paraId="72DE3C41" w14:textId="77777777" w:rsidR="00736161" w:rsidRPr="001815A1" w:rsidRDefault="00736161" w:rsidP="00990EC4">
            <w:pPr>
              <w:tabs>
                <w:tab w:val="left" w:pos="0"/>
              </w:tabs>
              <w:spacing w:after="120" w:line="276" w:lineRule="auto"/>
              <w:jc w:val="both"/>
              <w:rPr>
                <w:rFonts w:ascii="Verdana" w:eastAsia="Calibri" w:hAnsi="Verdana" w:cs="Arial"/>
                <w:lang w:val="es-ES"/>
              </w:rPr>
            </w:pPr>
            <w:r w:rsidRPr="00990EC4">
              <w:rPr>
                <w:rFonts w:ascii="Verdana" w:eastAsia="Calibri" w:hAnsi="Verdana" w:cs="Arial"/>
                <w:lang w:val="es-ES"/>
              </w:rPr>
              <w:t xml:space="preserve">En el ámbito de aplicación de la ley de garantías, el parágrafo del artículo 38 de la Ley 996 de 2005 establece una prohibición autónoma, distinta e independiente de la prevista en el artículo 33, cuyo ámbito de aplicación no se circunscribe a las elecciones presidenciales, sino que opera frente a cualquier tipo de contienda electoral. Esta disposición está </w:t>
            </w:r>
            <w:r w:rsidRPr="00990EC4">
              <w:rPr>
                <w:rFonts w:ascii="Verdana" w:eastAsia="Calibri" w:hAnsi="Verdana" w:cs="Arial"/>
                <w:i/>
                <w:iCs/>
                <w:lang w:val="es-ES"/>
              </w:rPr>
              <w:t>dirigida específicamente a los alcaldes, gobernadores, secretarios, gerentes y directores de las entidades del orden municipal, departamental o distrital,</w:t>
            </w:r>
            <w:r w:rsidRPr="00990EC4">
              <w:rPr>
                <w:rFonts w:ascii="Verdana" w:eastAsia="Calibri" w:hAnsi="Verdana" w:cs="Arial"/>
                <w:lang w:val="es-ES"/>
              </w:rPr>
              <w:t xml:space="preserve"> y </w:t>
            </w:r>
            <w:r w:rsidRPr="00990EC4">
              <w:rPr>
                <w:rFonts w:ascii="Verdana" w:eastAsia="Calibri" w:hAnsi="Verdana" w:cs="Arial"/>
                <w:i/>
                <w:iCs/>
                <w:lang w:val="es-ES"/>
              </w:rPr>
              <w:t>les prohíbe celebrar convenios interadministrativos que impliquen la ejecución de recursos públicos dentro de los cuatro meses anteriores a las elecciones</w:t>
            </w:r>
          </w:p>
          <w:p w14:paraId="52BA6D58" w14:textId="21ED2802" w:rsidR="00736161" w:rsidRPr="001815A1" w:rsidRDefault="00736161" w:rsidP="005F09E0">
            <w:pPr>
              <w:tabs>
                <w:tab w:val="left" w:pos="0"/>
              </w:tabs>
              <w:spacing w:after="120" w:line="276" w:lineRule="auto"/>
              <w:ind w:firstLine="709"/>
              <w:jc w:val="both"/>
              <w:rPr>
                <w:rFonts w:ascii="Verdana" w:eastAsia="Calibri" w:hAnsi="Verdana" w:cs="Arial"/>
                <w:lang w:val="es-ES"/>
              </w:rPr>
            </w:pPr>
            <w:r w:rsidRPr="001815A1">
              <w:rPr>
                <w:rFonts w:ascii="Verdana" w:eastAsia="Calibri" w:hAnsi="Verdana" w:cs="Arial"/>
                <w:lang w:val="es-ES"/>
              </w:rPr>
              <w:t xml:space="preserve">Para que dicha prohibición resulte aplicable deben concurrir de manera simultánea </w:t>
            </w:r>
            <w:r>
              <w:rPr>
                <w:rFonts w:ascii="Verdana" w:eastAsia="Calibri" w:hAnsi="Verdana" w:cs="Arial"/>
                <w:lang w:val="es-ES"/>
              </w:rPr>
              <w:t>los siguientes elementos</w:t>
            </w:r>
            <w:r w:rsidRPr="001815A1">
              <w:rPr>
                <w:rFonts w:ascii="Verdana" w:eastAsia="Calibri" w:hAnsi="Verdana" w:cs="Arial"/>
                <w:lang w:val="es-ES"/>
              </w:rPr>
              <w:t xml:space="preserve">: </w:t>
            </w:r>
            <w:r>
              <w:rPr>
                <w:rFonts w:ascii="Verdana" w:eastAsia="Calibri" w:hAnsi="Verdana" w:cs="Arial"/>
                <w:lang w:val="es-ES"/>
              </w:rPr>
              <w:t xml:space="preserve">i) </w:t>
            </w:r>
            <w:r w:rsidRPr="001815A1">
              <w:rPr>
                <w:rFonts w:ascii="Verdana" w:eastAsia="Calibri" w:hAnsi="Verdana" w:cs="Arial"/>
                <w:lang w:val="es-ES"/>
              </w:rPr>
              <w:t xml:space="preserve">que el instrumento jurídico a suscribir tenga la naturaleza de convenio interadministrativo, </w:t>
            </w:r>
            <w:proofErr w:type="spellStart"/>
            <w:r>
              <w:rPr>
                <w:rFonts w:ascii="Verdana" w:eastAsia="Calibri" w:hAnsi="Verdana" w:cs="Arial"/>
                <w:lang w:val="es-ES"/>
              </w:rPr>
              <w:t>ii</w:t>
            </w:r>
            <w:proofErr w:type="spellEnd"/>
            <w:r>
              <w:rPr>
                <w:rFonts w:ascii="Verdana" w:eastAsia="Calibri" w:hAnsi="Verdana" w:cs="Arial"/>
                <w:lang w:val="es-ES"/>
              </w:rPr>
              <w:t xml:space="preserve">). </w:t>
            </w:r>
            <w:r w:rsidRPr="001815A1">
              <w:rPr>
                <w:rFonts w:ascii="Verdana" w:eastAsia="Calibri" w:hAnsi="Verdana" w:cs="Arial"/>
                <w:lang w:val="es-ES"/>
              </w:rPr>
              <w:t>que su objeto conlleve la ejecución de recursos públicos y</w:t>
            </w:r>
            <w:r>
              <w:rPr>
                <w:rFonts w:ascii="Verdana" w:eastAsia="Calibri" w:hAnsi="Verdana" w:cs="Arial"/>
                <w:lang w:val="es-ES"/>
              </w:rPr>
              <w:t xml:space="preserve"> </w:t>
            </w:r>
            <w:proofErr w:type="spellStart"/>
            <w:r>
              <w:rPr>
                <w:rFonts w:ascii="Verdana" w:eastAsia="Calibri" w:hAnsi="Verdana" w:cs="Arial"/>
                <w:lang w:val="es-ES"/>
              </w:rPr>
              <w:t>iii</w:t>
            </w:r>
            <w:proofErr w:type="spellEnd"/>
            <w:proofErr w:type="gramStart"/>
            <w:r>
              <w:rPr>
                <w:rFonts w:ascii="Verdana" w:eastAsia="Calibri" w:hAnsi="Verdana" w:cs="Arial"/>
                <w:lang w:val="es-ES"/>
              </w:rPr>
              <w:t xml:space="preserve">) </w:t>
            </w:r>
            <w:r w:rsidRPr="001815A1">
              <w:rPr>
                <w:rFonts w:ascii="Verdana" w:eastAsia="Calibri" w:hAnsi="Verdana" w:cs="Arial"/>
                <w:lang w:val="es-ES"/>
              </w:rPr>
              <w:t xml:space="preserve"> que</w:t>
            </w:r>
            <w:proofErr w:type="gramEnd"/>
            <w:r w:rsidRPr="001815A1">
              <w:rPr>
                <w:rFonts w:ascii="Verdana" w:eastAsia="Calibri" w:hAnsi="Verdana" w:cs="Arial"/>
                <w:lang w:val="es-ES"/>
              </w:rPr>
              <w:t xml:space="preserve"> su celebración se produzca dentro del período de cuatro meses previo a una elección, sin importar la clase de proceso electoral de que se trate. A diferencia de lo previsto en el artículo 33 de la Ley de Garantías Electorales, el parágrafo del artículo 38 no contempla excepción alguna, razón por la cual la restricción opera de manera objetiva y general, incluso cuando el objeto contractual esté relacionado con la </w:t>
            </w:r>
            <w:r w:rsidRPr="001815A1">
              <w:rPr>
                <w:rFonts w:ascii="Verdana" w:eastAsia="Calibri" w:hAnsi="Verdana" w:cs="Arial"/>
                <w:lang w:val="es-ES"/>
              </w:rPr>
              <w:lastRenderedPageBreak/>
              <w:t>prestación de servicios esenciales, actividades del sector salud o la ejecución de programas de interés público.</w:t>
            </w:r>
          </w:p>
          <w:p w14:paraId="550199D1" w14:textId="77777777" w:rsidR="00736161" w:rsidRDefault="00736161" w:rsidP="005F09E0">
            <w:pPr>
              <w:tabs>
                <w:tab w:val="left" w:pos="0"/>
              </w:tabs>
              <w:spacing w:after="120" w:line="276" w:lineRule="auto"/>
              <w:ind w:firstLine="709"/>
              <w:jc w:val="both"/>
              <w:rPr>
                <w:rFonts w:ascii="Verdana" w:eastAsia="Calibri" w:hAnsi="Verdana" w:cs="Arial"/>
                <w:lang w:val="es-ES"/>
              </w:rPr>
            </w:pPr>
            <w:r w:rsidRPr="00556C7D">
              <w:rPr>
                <w:rFonts w:ascii="Verdana" w:eastAsia="Calibri" w:hAnsi="Verdana" w:cs="Arial"/>
                <w:lang w:val="es-ES"/>
              </w:rPr>
              <w:t xml:space="preserve">En ese sentido, no existen excepciones cuando se trate de la celebración de un convenio interadministrativo para la ejecución de recursos públicos, siempre que este sea suscrito por alguna de las autoridades expresamente mencionadas en la norma dentro del período preelectoral. Por ello, la existencia de excepciones a la prohibición de la contratación directa previstas en el artículo 33 no </w:t>
            </w:r>
            <w:r>
              <w:rPr>
                <w:rFonts w:ascii="Verdana" w:eastAsia="Calibri" w:hAnsi="Verdana" w:cs="Arial"/>
                <w:lang w:val="es-ES"/>
              </w:rPr>
              <w:t xml:space="preserve">es aplicable a </w:t>
            </w:r>
            <w:r w:rsidRPr="00556C7D">
              <w:rPr>
                <w:rFonts w:ascii="Verdana" w:eastAsia="Calibri" w:hAnsi="Verdana" w:cs="Arial"/>
                <w:lang w:val="es-ES"/>
              </w:rPr>
              <w:t>la restricción contenida en el parágrafo del artículo 38, dado que se trata de disposiciones con objetos, destinatarios y alcances normativos distintos.</w:t>
            </w:r>
          </w:p>
          <w:p w14:paraId="3976C064" w14:textId="139FF421" w:rsidR="00736161" w:rsidRPr="00627B4F" w:rsidRDefault="00736161" w:rsidP="002A060E">
            <w:pPr>
              <w:spacing w:before="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Pr>
                <w:rFonts w:ascii="Verdana" w:eastAsia="Times New Roman" w:hAnsi="Verdana" w:cs="Arial"/>
                <w:i/>
                <w:iCs/>
                <w:lang w:eastAsia="es-CO"/>
              </w:rPr>
              <w:t>convenios interadministrativos</w:t>
            </w:r>
            <w:r>
              <w:rPr>
                <w:rFonts w:ascii="Verdana" w:eastAsia="Times New Roman" w:hAnsi="Verdana" w:cs="Arial"/>
                <w:lang w:eastAsia="es-CO"/>
              </w:rPr>
              <w:t xml:space="preserve"> en los que se contemple la </w:t>
            </w:r>
            <w:r>
              <w:rPr>
                <w:rFonts w:ascii="Verdana" w:eastAsia="Times New Roman" w:hAnsi="Verdana" w:cs="Arial"/>
                <w:i/>
                <w:iCs/>
                <w:lang w:eastAsia="es-CO"/>
              </w:rPr>
              <w:t>ejecución de recursos públicos</w:t>
            </w:r>
            <w:r>
              <w:rPr>
                <w:rFonts w:ascii="Verdana" w:eastAsia="Times New Roman" w:hAnsi="Verdana" w:cs="Arial"/>
                <w:lang w:eastAsia="es-CO"/>
              </w:rPr>
              <w:t xml:space="preserve">. Esto significa que la prohibición no resulta aplicable a </w:t>
            </w:r>
            <w:r>
              <w:rPr>
                <w:rFonts w:ascii="Verdana" w:eastAsia="Times New Roman" w:hAnsi="Verdana" w:cs="Arial"/>
                <w:i/>
                <w:iCs/>
                <w:lang w:eastAsia="es-CO"/>
              </w:rPr>
              <w:t>convenios interadministrativos a título gratuito,</w:t>
            </w:r>
            <w:r w:rsidR="000A7286">
              <w:rPr>
                <w:rFonts w:ascii="Verdana" w:eastAsia="Times New Roman" w:hAnsi="Verdana" w:cs="Arial"/>
                <w:i/>
                <w:iCs/>
                <w:lang w:eastAsia="es-CO"/>
              </w:rPr>
              <w:t xml:space="preserve"> </w:t>
            </w:r>
            <w:r w:rsidR="000A7286" w:rsidRPr="003479FD">
              <w:rPr>
                <w:rFonts w:ascii="Verdana" w:eastAsia="Times New Roman" w:hAnsi="Verdana" w:cs="Arial"/>
                <w:lang w:eastAsia="es-CO"/>
              </w:rPr>
              <w:t>ni a</w:t>
            </w:r>
            <w:r w:rsidR="000A7286">
              <w:rPr>
                <w:rFonts w:ascii="Verdana" w:eastAsia="Times New Roman" w:hAnsi="Verdana" w:cs="Arial"/>
                <w:i/>
                <w:iCs/>
                <w:lang w:eastAsia="es-CO"/>
              </w:rPr>
              <w:t xml:space="preserve"> </w:t>
            </w:r>
            <w:r w:rsidR="000A7286" w:rsidRPr="000A7286">
              <w:rPr>
                <w:rFonts w:ascii="Verdana" w:eastAsia="Times New Roman" w:hAnsi="Verdana" w:cs="Arial"/>
                <w:i/>
                <w:iCs/>
                <w:lang w:eastAsia="es-CO"/>
              </w:rPr>
              <w:t>contratos intera</w:t>
            </w:r>
            <w:r w:rsidR="002A060E">
              <w:rPr>
                <w:rFonts w:ascii="Verdana" w:eastAsia="Times New Roman" w:hAnsi="Verdana" w:cs="Arial"/>
                <w:i/>
                <w:iCs/>
                <w:lang w:eastAsia="es-CO"/>
              </w:rPr>
              <w:t>d</w:t>
            </w:r>
            <w:r w:rsidR="000A7286" w:rsidRPr="000A7286">
              <w:rPr>
                <w:rFonts w:ascii="Verdana" w:eastAsia="Times New Roman" w:hAnsi="Verdana" w:cs="Arial"/>
                <w:i/>
                <w:iCs/>
                <w:lang w:eastAsia="es-CO"/>
              </w:rPr>
              <w:t>ministrativos,</w:t>
            </w:r>
            <w:r>
              <w:rPr>
                <w:rFonts w:ascii="Verdana" w:eastAsia="Times New Roman" w:hAnsi="Verdana" w:cs="Arial"/>
                <w:lang w:eastAsia="es-CO"/>
              </w:rPr>
              <w:t xml:space="preserve"> los cuales pueden celebrarse válidamente durante la vigencia de la mencionada restricción. </w:t>
            </w:r>
            <w:r w:rsidR="00AA17B0">
              <w:rPr>
                <w:rFonts w:ascii="Verdana" w:eastAsia="Times New Roman" w:hAnsi="Verdana" w:cs="Arial"/>
                <w:lang w:eastAsia="es-CO"/>
              </w:rPr>
              <w:t xml:space="preserve">No obstante, en vigencia de la </w:t>
            </w:r>
            <w:r w:rsidR="00A43C6C">
              <w:rPr>
                <w:rFonts w:ascii="Verdana" w:eastAsia="Times New Roman" w:hAnsi="Verdana" w:cs="Arial"/>
                <w:lang w:eastAsia="es-CO"/>
              </w:rPr>
              <w:t>prohibición</w:t>
            </w:r>
            <w:r w:rsidR="00AA17B0">
              <w:rPr>
                <w:rFonts w:ascii="Verdana" w:eastAsia="Times New Roman" w:hAnsi="Verdana" w:cs="Arial"/>
                <w:lang w:eastAsia="es-CO"/>
              </w:rPr>
              <w:t xml:space="preserve"> del artículo 33, este tipo de </w:t>
            </w:r>
            <w:r w:rsidR="00A43C6C">
              <w:rPr>
                <w:rFonts w:ascii="Verdana" w:eastAsia="Times New Roman" w:hAnsi="Verdana" w:cs="Arial"/>
                <w:lang w:eastAsia="es-CO"/>
              </w:rPr>
              <w:t xml:space="preserve">negocios jurídicos solo podrán celebrarse si se </w:t>
            </w:r>
            <w:r w:rsidR="002A060E">
              <w:rPr>
                <w:rFonts w:ascii="Verdana" w:eastAsia="Times New Roman" w:hAnsi="Verdana" w:cs="Arial"/>
                <w:lang w:eastAsia="es-CO"/>
              </w:rPr>
              <w:t>enmarcan en alguna de las excepciones establecidas en dicha norma.</w:t>
            </w:r>
          </w:p>
        </w:tc>
      </w:tr>
    </w:tbl>
    <w:p w14:paraId="1F3E8950" w14:textId="77777777" w:rsidR="00736161" w:rsidRPr="00D332C4" w:rsidRDefault="00736161" w:rsidP="00736161">
      <w:pPr>
        <w:tabs>
          <w:tab w:val="left" w:pos="142"/>
          <w:tab w:val="left" w:pos="284"/>
        </w:tabs>
        <w:spacing w:after="0" w:line="276" w:lineRule="auto"/>
        <w:jc w:val="both"/>
        <w:rPr>
          <w:rFonts w:ascii="Verdana" w:eastAsia="Century Gothic" w:hAnsi="Verdana" w:cs="Century Gothic"/>
          <w:b/>
          <w:bCs/>
        </w:rPr>
      </w:pPr>
    </w:p>
    <w:p w14:paraId="0B3255DF" w14:textId="37B75BBE" w:rsidR="00736161" w:rsidRDefault="00736161" w:rsidP="00B3117D">
      <w:pPr>
        <w:tabs>
          <w:tab w:val="left" w:pos="142"/>
          <w:tab w:val="left" w:pos="284"/>
        </w:tabs>
        <w:spacing w:after="0" w:line="276" w:lineRule="auto"/>
        <w:jc w:val="both"/>
        <w:rPr>
          <w:rFonts w:ascii="Verdana" w:eastAsia="Century Gothic" w:hAnsi="Verdana" w:cs="Century Gothic"/>
          <w:b/>
          <w:bCs/>
        </w:rPr>
      </w:pPr>
      <w:r w:rsidRPr="00D332C4">
        <w:rPr>
          <w:rFonts w:ascii="Verdana" w:eastAsia="Century Gothic" w:hAnsi="Verdana" w:cs="Century Gothic"/>
          <w:b/>
          <w:bCs/>
        </w:rPr>
        <w:t>3. Razones de la respuesta:</w:t>
      </w:r>
      <w:bookmarkStart w:id="0" w:name="_Hlk204854194"/>
    </w:p>
    <w:p w14:paraId="1E9EC028" w14:textId="77777777" w:rsidR="00B3117D" w:rsidRPr="00B3117D" w:rsidRDefault="00B3117D" w:rsidP="00B3117D">
      <w:pPr>
        <w:tabs>
          <w:tab w:val="left" w:pos="142"/>
          <w:tab w:val="left" w:pos="284"/>
        </w:tabs>
        <w:spacing w:after="0" w:line="276" w:lineRule="auto"/>
        <w:jc w:val="both"/>
        <w:rPr>
          <w:rFonts w:ascii="Verdana" w:eastAsia="Century Gothic" w:hAnsi="Verdana" w:cs="Century Gothic"/>
          <w:b/>
          <w:bCs/>
        </w:rPr>
      </w:pPr>
    </w:p>
    <w:p w14:paraId="2FE7C0C9" w14:textId="77777777" w:rsidR="00B3117D" w:rsidRDefault="00736161" w:rsidP="00B3117D">
      <w:pPr>
        <w:spacing w:afterLines="120" w:after="288" w:line="276" w:lineRule="auto"/>
        <w:jc w:val="both"/>
        <w:rPr>
          <w:rFonts w:ascii="Verdana" w:eastAsia="Calibri" w:hAnsi="Verdana" w:cs="Arial"/>
          <w:lang w:val="es-ES"/>
        </w:rPr>
      </w:pPr>
      <w:r w:rsidRPr="005E0F58">
        <w:rPr>
          <w:rFonts w:ascii="Verdana" w:eastAsia="Calibri" w:hAnsi="Verdana" w:cs="Arial"/>
          <w:lang w:val="es-ES"/>
        </w:rPr>
        <w:t xml:space="preserve">Lo anterior se sustenta en las siguientes consideraciones: </w:t>
      </w:r>
    </w:p>
    <w:p w14:paraId="584CF8E5" w14:textId="3587A593" w:rsidR="00E379F9" w:rsidRPr="00B3117D" w:rsidRDefault="00736161" w:rsidP="00B3117D">
      <w:pPr>
        <w:spacing w:afterLines="120" w:after="288" w:line="276" w:lineRule="auto"/>
        <w:jc w:val="both"/>
        <w:rPr>
          <w:rFonts w:ascii="Verdana" w:eastAsia="Calibri" w:hAnsi="Verdana" w:cs="Arial"/>
          <w:lang w:val="es-ES"/>
        </w:rPr>
      </w:pPr>
      <w:r>
        <w:rPr>
          <w:rFonts w:ascii="Verdana" w:eastAsia="Calibri" w:hAnsi="Verdana" w:cs="Arial"/>
        </w:rPr>
        <w:t xml:space="preserve">La </w:t>
      </w:r>
      <w:r w:rsidRPr="00343E12">
        <w:rPr>
          <w:rFonts w:ascii="Verdana" w:eastAsia="Calibri" w:hAnsi="Verdana" w:cs="Arial"/>
        </w:rPr>
        <w:t xml:space="preserve">Ley 996 de 2005, conocida como “Ley de Garantías Electorales”, </w:t>
      </w:r>
      <w:r>
        <w:rPr>
          <w:rFonts w:ascii="Verdana" w:eastAsia="Calibri" w:hAnsi="Verdana" w:cs="Arial"/>
        </w:rPr>
        <w:t xml:space="preserve">es parte del </w:t>
      </w:r>
      <w:r w:rsidRPr="00343E12">
        <w:rPr>
          <w:rFonts w:ascii="Verdana" w:eastAsia="Calibri" w:hAnsi="Verdana" w:cs="Arial"/>
        </w:rPr>
        <w:t>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43E12">
        <w:rPr>
          <w:rFonts w:ascii="Verdana" w:eastAsia="Calibri" w:hAnsi="Verdana" w:cs="Arial"/>
          <w:vertAlign w:val="superscript"/>
        </w:rPr>
        <w:footnoteReference w:id="2"/>
      </w:r>
      <w:r w:rsidRPr="00343E12">
        <w:rPr>
          <w:rFonts w:ascii="Verdana" w:eastAsia="Calibri" w:hAnsi="Verdana" w:cs="Arial"/>
        </w:rPr>
        <w:t xml:space="preserve">. En esta medida, introduce limitaciones para realizar nombramientos, postulaciones, </w:t>
      </w:r>
      <w:r w:rsidRPr="00343E12">
        <w:rPr>
          <w:rFonts w:ascii="Verdana" w:eastAsia="Calibri" w:hAnsi="Verdana" w:cs="Arial"/>
        </w:rPr>
        <w:lastRenderedPageBreak/>
        <w:t>contrataciones o cualquier otro tipo de actividad que implique destinación de recursos públicos bajo el devenir propio de las entidades estatales.</w:t>
      </w:r>
    </w:p>
    <w:p w14:paraId="04DC18DF" w14:textId="77777777" w:rsidR="00736161" w:rsidRDefault="00736161" w:rsidP="00736161">
      <w:pPr>
        <w:tabs>
          <w:tab w:val="left" w:pos="142"/>
          <w:tab w:val="left" w:pos="284"/>
        </w:tabs>
        <w:spacing w:after="120" w:line="23" w:lineRule="atLeast"/>
        <w:ind w:firstLine="709"/>
        <w:jc w:val="both"/>
        <w:rPr>
          <w:rFonts w:ascii="Verdana" w:eastAsia="Times New Roman" w:hAnsi="Verdana" w:cs="Arial"/>
          <w:lang w:val="es-MX" w:eastAsia="es-CO"/>
        </w:rPr>
      </w:pPr>
      <w:r w:rsidRPr="00343E12">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A899F30" w14:textId="77777777" w:rsidR="00E379F9" w:rsidRPr="00343E12" w:rsidRDefault="00E379F9" w:rsidP="00736161">
      <w:pPr>
        <w:tabs>
          <w:tab w:val="left" w:pos="142"/>
          <w:tab w:val="left" w:pos="284"/>
        </w:tabs>
        <w:spacing w:after="120" w:line="23" w:lineRule="atLeast"/>
        <w:ind w:firstLine="709"/>
        <w:jc w:val="both"/>
        <w:rPr>
          <w:rFonts w:ascii="Verdana" w:eastAsia="Calibri" w:hAnsi="Verdana" w:cs="Arial"/>
        </w:rPr>
      </w:pPr>
    </w:p>
    <w:p w14:paraId="0AB2E2B4" w14:textId="77777777" w:rsidR="00736161" w:rsidRPr="00343E12" w:rsidRDefault="00736161" w:rsidP="003479FD">
      <w:pPr>
        <w:spacing w:after="120" w:line="23" w:lineRule="atLeast"/>
        <w:ind w:left="709" w:right="709"/>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ES" w:eastAsia="es-CO"/>
        </w:rPr>
        <w:t xml:space="preserve">“[…] </w:t>
      </w:r>
      <w:r w:rsidRPr="00E61A81">
        <w:rPr>
          <w:rFonts w:ascii="Verdana" w:eastAsia="Times New Roman" w:hAnsi="Verdana" w:cs="Arial"/>
          <w:sz w:val="20"/>
          <w:szCs w:val="20"/>
          <w:lang w:val="es-ES" w:eastAsia="es-CO"/>
        </w:rPr>
        <w:t>la definición de reglas claras que permitan acceder a los canales de expresión democrática de manera efectiva e igualitaria. El</w:t>
      </w:r>
      <w:r w:rsidRPr="00343E12">
        <w:rPr>
          <w:rFonts w:ascii="Verdana" w:eastAsia="Times New Roman" w:hAnsi="Verdana" w:cs="Arial"/>
          <w:sz w:val="20"/>
          <w:szCs w:val="20"/>
          <w:lang w:val="es-MX" w:eastAsia="es-CO"/>
        </w:rPr>
        <w:t xml:space="preserve"> objetivo de una ley de garantías es definir esas reglas.</w:t>
      </w:r>
    </w:p>
    <w:p w14:paraId="0BAFD601" w14:textId="5AD06B52" w:rsidR="00736161" w:rsidRPr="00343E12" w:rsidRDefault="00736161" w:rsidP="003479FD">
      <w:pPr>
        <w:spacing w:after="120" w:line="23" w:lineRule="atLeast"/>
        <w:ind w:left="709" w:right="709" w:firstLine="708"/>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 xml:space="preserve">[…] </w:t>
      </w:r>
    </w:p>
    <w:p w14:paraId="73B1AA32" w14:textId="77777777" w:rsidR="00736161" w:rsidRDefault="00736161" w:rsidP="003479FD">
      <w:pPr>
        <w:spacing w:after="120" w:line="23" w:lineRule="atLeast"/>
        <w:ind w:left="709" w:right="709"/>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343E12">
        <w:rPr>
          <w:rFonts w:ascii="Verdana" w:eastAsia="Calibri" w:hAnsi="Verdana" w:cs="Arial"/>
          <w:sz w:val="20"/>
          <w:szCs w:val="20"/>
          <w:vertAlign w:val="superscript"/>
          <w:lang w:val="es-MX"/>
        </w:rPr>
        <w:footnoteReference w:id="3"/>
      </w:r>
      <w:r w:rsidRPr="00343E12">
        <w:rPr>
          <w:rFonts w:ascii="Verdana" w:eastAsia="Times New Roman" w:hAnsi="Verdana" w:cs="Arial"/>
          <w:sz w:val="20"/>
          <w:szCs w:val="20"/>
          <w:lang w:val="es-MX" w:eastAsia="es-CO"/>
        </w:rPr>
        <w:t>.</w:t>
      </w:r>
    </w:p>
    <w:p w14:paraId="29CBD493" w14:textId="77777777" w:rsidR="00B3117D" w:rsidRPr="00B861BD" w:rsidRDefault="00B3117D" w:rsidP="003479FD">
      <w:pPr>
        <w:spacing w:after="120" w:line="23" w:lineRule="atLeast"/>
        <w:ind w:left="709" w:right="709"/>
        <w:jc w:val="both"/>
        <w:rPr>
          <w:rFonts w:ascii="Verdana" w:eastAsia="Times New Roman" w:hAnsi="Verdana" w:cs="Arial"/>
          <w:sz w:val="20"/>
          <w:szCs w:val="20"/>
          <w:lang w:val="es-MX" w:eastAsia="es-CO"/>
        </w:rPr>
      </w:pPr>
    </w:p>
    <w:p w14:paraId="01DB2519" w14:textId="77777777" w:rsidR="00736161" w:rsidRPr="00343E12" w:rsidRDefault="00736161" w:rsidP="003479FD">
      <w:pPr>
        <w:spacing w:after="120" w:line="276" w:lineRule="auto"/>
        <w:ind w:firstLine="709"/>
        <w:jc w:val="both"/>
        <w:rPr>
          <w:rFonts w:ascii="Verdana" w:eastAsia="Times New Roman" w:hAnsi="Verdana" w:cs="Arial"/>
          <w:lang w:val="es-MX" w:eastAsia="es-CO"/>
        </w:rPr>
      </w:pPr>
      <w:r w:rsidRPr="00343E12">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4F2AD6F8" w14:textId="307FE3CA" w:rsidR="00736161" w:rsidRPr="006A3CD6" w:rsidRDefault="00736161" w:rsidP="0087066F">
      <w:pPr>
        <w:spacing w:after="120" w:line="23" w:lineRule="atLeast"/>
        <w:ind w:left="709" w:right="709" w:firstLine="709"/>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w:t>
      </w:r>
      <w:proofErr w:type="spellStart"/>
      <w:proofErr w:type="gramStart"/>
      <w:r w:rsidRPr="00343E12">
        <w:rPr>
          <w:rFonts w:ascii="Verdana" w:eastAsia="Times New Roman" w:hAnsi="Verdana" w:cs="Arial"/>
          <w:sz w:val="20"/>
          <w:szCs w:val="20"/>
          <w:lang w:val="es-MX" w:eastAsia="es-CO"/>
        </w:rPr>
        <w:t>legal;la</w:t>
      </w:r>
      <w:proofErr w:type="spellEnd"/>
      <w:proofErr w:type="gramEnd"/>
      <w:r w:rsidRPr="00343E12">
        <w:rPr>
          <w:rFonts w:ascii="Verdana" w:eastAsia="Times New Roman" w:hAnsi="Verdana" w:cs="Arial"/>
          <w:sz w:val="20"/>
          <w:szCs w:val="20"/>
          <w:lang w:val="es-MX" w:eastAsia="es-CO"/>
        </w:rPr>
        <w:t xml:space="preserve"> tipificación de sus causas, vigencia, naturaleza y efectos es rígida y taxativa; y su aplicación es restrictiva, de manera que excluye la analogía legis o iuris y la interpretación extensiva. Las normas legales de </w:t>
      </w:r>
      <w:r w:rsidRPr="00343E12">
        <w:rPr>
          <w:rFonts w:ascii="Verdana" w:eastAsia="Times New Roman" w:hAnsi="Verdana" w:cs="Arial"/>
          <w:sz w:val="20"/>
          <w:szCs w:val="20"/>
          <w:lang w:val="es-MX" w:eastAsia="es-CO"/>
        </w:rPr>
        <w:lastRenderedPageBreak/>
        <w:t>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985CC5A" w14:textId="77777777" w:rsidR="00736161" w:rsidRPr="009861B1" w:rsidRDefault="00736161" w:rsidP="00736161">
      <w:pPr>
        <w:spacing w:after="120" w:line="23" w:lineRule="atLeast"/>
        <w:ind w:left="709" w:right="709" w:firstLine="709"/>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La jurisprudencia de la Corte Constitucional</w:t>
      </w:r>
      <w:r w:rsidRPr="00343E12">
        <w:rPr>
          <w:rFonts w:ascii="Verdana" w:eastAsia="Times New Roman" w:hAnsi="Verdana" w:cs="Arial"/>
          <w:sz w:val="20"/>
          <w:szCs w:val="20"/>
          <w:vertAlign w:val="superscript"/>
          <w:lang w:val="es-MX" w:eastAsia="es-CO"/>
        </w:rPr>
        <w:footnoteReference w:id="4"/>
      </w:r>
      <w:r w:rsidRPr="00343E12">
        <w:rPr>
          <w:rFonts w:ascii="Verdana" w:eastAsia="Times New Roman" w:hAnsi="Verdana" w:cs="Arial"/>
          <w:sz w:val="20"/>
          <w:szCs w:val="20"/>
          <w:lang w:val="es-MX" w:eastAsia="es-CO"/>
        </w:rPr>
        <w:t> y del Consejo de Estado</w:t>
      </w:r>
      <w:r w:rsidRPr="00343E12">
        <w:rPr>
          <w:rFonts w:ascii="Verdana" w:eastAsia="Times New Roman" w:hAnsi="Verdana" w:cs="Arial"/>
          <w:sz w:val="20"/>
          <w:szCs w:val="20"/>
          <w:vertAlign w:val="superscript"/>
          <w:lang w:val="es-MX" w:eastAsia="es-CO"/>
        </w:rPr>
        <w:footnoteReference w:id="5"/>
      </w:r>
      <w:r w:rsidRPr="00343E12">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343E12">
        <w:rPr>
          <w:rFonts w:ascii="Verdana" w:eastAsia="Times New Roman" w:hAnsi="Verdana" w:cs="Arial"/>
          <w:sz w:val="20"/>
          <w:szCs w:val="20"/>
          <w:vertAlign w:val="superscript"/>
          <w:lang w:val="es-MX" w:eastAsia="es-CO"/>
        </w:rPr>
        <w:footnoteReference w:id="6"/>
      </w:r>
      <w:r w:rsidRPr="00343E12">
        <w:rPr>
          <w:rFonts w:ascii="Verdana" w:eastAsia="Times New Roman" w:hAnsi="Verdana" w:cs="Arial"/>
          <w:sz w:val="20"/>
          <w:szCs w:val="20"/>
          <w:lang w:val="es-MX" w:eastAsia="es-CO"/>
        </w:rPr>
        <w:t>.</w:t>
      </w:r>
    </w:p>
    <w:p w14:paraId="5CFD6485" w14:textId="77777777" w:rsidR="00736161" w:rsidRPr="00343E12" w:rsidRDefault="00736161" w:rsidP="003479FD">
      <w:pPr>
        <w:spacing w:after="120" w:line="276" w:lineRule="auto"/>
        <w:ind w:firstLine="709"/>
        <w:jc w:val="both"/>
        <w:rPr>
          <w:rFonts w:ascii="Verdana" w:eastAsia="Arial" w:hAnsi="Verdana" w:cs="Arial"/>
          <w:lang w:val="es-ES" w:eastAsia="es-ES" w:bidi="es-ES"/>
        </w:rPr>
      </w:pPr>
      <w:r w:rsidRPr="00343E12">
        <w:rPr>
          <w:rFonts w:ascii="Verdana" w:eastAsia="Times New Roman" w:hAnsi="Verdana" w:cs="Arial"/>
          <w:lang w:val="es-MX" w:eastAsia="es-CO"/>
        </w:rPr>
        <w:t>De</w:t>
      </w:r>
      <w:r w:rsidRPr="00343E12">
        <w:rPr>
          <w:rFonts w:ascii="Verdana" w:eastAsia="Arial" w:hAnsi="Verdana" w:cs="Arial"/>
          <w:lang w:val="es-ES" w:eastAsia="es-ES" w:bidi="es-ES"/>
        </w:rPr>
        <w:t xml:space="preserve"> conformidad con lo anterior, </w:t>
      </w:r>
      <w:bookmarkStart w:id="1" w:name="_Hlk77236098"/>
      <w:bookmarkStart w:id="2" w:name="_Hlk100679383"/>
      <w:r w:rsidRPr="00343E12">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DCDA60C" w14:textId="3691B6E0" w:rsidR="00B3117D" w:rsidRPr="00343E12" w:rsidRDefault="00736161" w:rsidP="00B3117D">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1"/>
    </w:p>
    <w:p w14:paraId="0A2A45E4" w14:textId="77777777" w:rsidR="00736161" w:rsidRPr="00343E12" w:rsidRDefault="00736161" w:rsidP="003479FD">
      <w:pPr>
        <w:spacing w:after="120" w:line="276" w:lineRule="auto"/>
        <w:ind w:firstLine="709"/>
        <w:jc w:val="both"/>
        <w:rPr>
          <w:rFonts w:ascii="Verdana" w:eastAsia="Calibri" w:hAnsi="Verdana" w:cs="Arial"/>
        </w:rPr>
      </w:pPr>
      <w:r w:rsidRPr="00343E12">
        <w:rPr>
          <w:rFonts w:ascii="Verdana" w:eastAsia="Calibri" w:hAnsi="Verdana" w:cs="Arial"/>
        </w:rPr>
        <w:t xml:space="preserve">Por un lado, el </w:t>
      </w:r>
      <w:r w:rsidRPr="00343E12">
        <w:rPr>
          <w:rFonts w:ascii="Verdana" w:eastAsia="Calibri" w:hAnsi="Verdana" w:cs="Arial"/>
          <w:i/>
          <w:iCs/>
        </w:rPr>
        <w:t>artículo 33 de la Ley 996 de 2005</w:t>
      </w:r>
      <w:r w:rsidRPr="00343E12">
        <w:rPr>
          <w:rFonts w:ascii="Verdana" w:eastAsia="Calibri" w:hAnsi="Verdana" w:cs="Arial"/>
        </w:rPr>
        <w:t xml:space="preserve"> prohíbe “(…) la contratación directa por parte de todos los entes del Estado (…)” durante los cuatro (4) meses anteriores a las elecciones presidenciales, salvo “(…) lo referente a la defensa y seguridad del Estado, los contratos de crédito público, </w:t>
      </w:r>
      <w:r w:rsidRPr="00343E12">
        <w:rPr>
          <w:rFonts w:ascii="Verdana" w:eastAsia="Calibri" w:hAnsi="Verdana" w:cs="Arial"/>
        </w:rPr>
        <w:lastRenderedPageBreak/>
        <w:t>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r w:rsidRPr="00343E12">
        <w:rPr>
          <w:rFonts w:ascii="Verdana" w:eastAsia="Calibri" w:hAnsi="Verdana" w:cs="Arial"/>
          <w:vertAlign w:val="superscript"/>
        </w:rPr>
        <w:footnoteReference w:id="7"/>
      </w:r>
      <w:r w:rsidRPr="00343E12">
        <w:rPr>
          <w:rFonts w:ascii="Verdana" w:eastAsia="Calibri" w:hAnsi="Verdana" w:cs="Arial"/>
        </w:rPr>
        <w:t>.</w:t>
      </w:r>
    </w:p>
    <w:p w14:paraId="12C7EA5D" w14:textId="77777777" w:rsidR="00736161" w:rsidRPr="00343E12" w:rsidRDefault="00736161" w:rsidP="003479FD">
      <w:pPr>
        <w:widowControl w:val="0"/>
        <w:autoSpaceDE w:val="0"/>
        <w:autoSpaceDN w:val="0"/>
        <w:spacing w:after="120" w:line="276" w:lineRule="auto"/>
        <w:ind w:right="113" w:firstLine="709"/>
        <w:jc w:val="both"/>
        <w:rPr>
          <w:rFonts w:ascii="Verdana" w:eastAsia="Arial" w:hAnsi="Verdana" w:cs="Arial"/>
          <w:lang w:val="es-ES" w:eastAsia="es-ES" w:bidi="es-ES"/>
        </w:rPr>
      </w:pPr>
      <w:r w:rsidRPr="00343E12">
        <w:rPr>
          <w:rFonts w:ascii="Verdana" w:eastAsia="Calibri" w:hAnsi="Verdana" w:cs="Arial"/>
        </w:rPr>
        <w:t xml:space="preserve">Por otro lado, </w:t>
      </w:r>
      <w:r w:rsidRPr="00343E12">
        <w:rPr>
          <w:rFonts w:ascii="Verdana" w:eastAsia="Calibri" w:hAnsi="Verdana" w:cs="Arial"/>
          <w:i/>
          <w:iCs/>
        </w:rPr>
        <w:t>el parágrafo del artículo 38 de la Ley 996 de 2005</w:t>
      </w:r>
      <w:r w:rsidRPr="00343E12">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343E12">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r w:rsidRPr="00343E12">
        <w:rPr>
          <w:rFonts w:ascii="Verdana" w:eastAsia="Calibri" w:hAnsi="Verdana" w:cs="Arial"/>
        </w:rPr>
        <w:t>”</w:t>
      </w:r>
      <w:bookmarkEnd w:id="2"/>
      <w:r w:rsidRPr="00343E12">
        <w:rPr>
          <w:rFonts w:ascii="Verdana" w:eastAsia="Calibri" w:hAnsi="Verdana" w:cs="Arial"/>
          <w:vertAlign w:val="superscript"/>
        </w:rPr>
        <w:footnoteReference w:id="8"/>
      </w:r>
      <w:r w:rsidRPr="00343E12">
        <w:rPr>
          <w:rFonts w:ascii="Verdana" w:eastAsia="Calibri" w:hAnsi="Verdana" w:cs="Arial"/>
          <w:lang w:val="es-MX"/>
        </w:rPr>
        <w:t>.</w:t>
      </w:r>
      <w:r w:rsidRPr="00343E12">
        <w:rPr>
          <w:rFonts w:ascii="Verdana" w:eastAsia="Arial" w:hAnsi="Verdana" w:cs="Arial"/>
          <w:lang w:val="es-ES" w:eastAsia="es-ES" w:bidi="es-ES"/>
        </w:rPr>
        <w:t xml:space="preserve"> </w:t>
      </w:r>
    </w:p>
    <w:p w14:paraId="55929AC3" w14:textId="67FB6044" w:rsidR="00736161" w:rsidRDefault="00736161" w:rsidP="0087066F">
      <w:pPr>
        <w:widowControl w:val="0"/>
        <w:autoSpaceDE w:val="0"/>
        <w:autoSpaceDN w:val="0"/>
        <w:spacing w:after="120" w:line="276" w:lineRule="auto"/>
        <w:ind w:right="113" w:firstLine="709"/>
        <w:jc w:val="both"/>
        <w:rPr>
          <w:rFonts w:ascii="Verdana" w:eastAsia="Arial" w:hAnsi="Verdana" w:cs="Arial"/>
          <w:lang w:val="es-ES" w:eastAsia="es-ES" w:bidi="es-ES"/>
        </w:rPr>
      </w:pPr>
      <w:r w:rsidRPr="00343E1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B6543B3" w14:textId="77777777" w:rsidR="0087066F" w:rsidRPr="00343E12" w:rsidRDefault="0087066F" w:rsidP="0087066F">
      <w:pPr>
        <w:widowControl w:val="0"/>
        <w:autoSpaceDE w:val="0"/>
        <w:autoSpaceDN w:val="0"/>
        <w:spacing w:after="120" w:line="276" w:lineRule="auto"/>
        <w:ind w:right="113" w:firstLine="709"/>
        <w:jc w:val="both"/>
        <w:rPr>
          <w:rFonts w:ascii="Verdana" w:eastAsia="Arial" w:hAnsi="Verdana" w:cs="Arial"/>
          <w:lang w:val="es-ES" w:eastAsia="es-ES" w:bidi="es-ES"/>
        </w:rPr>
      </w:pPr>
    </w:p>
    <w:p w14:paraId="74480D50" w14:textId="77777777" w:rsidR="00736161" w:rsidRPr="00401774" w:rsidRDefault="00736161" w:rsidP="00736161">
      <w:pPr>
        <w:widowControl w:val="0"/>
        <w:autoSpaceDE w:val="0"/>
        <w:autoSpaceDN w:val="0"/>
        <w:spacing w:after="120" w:line="240" w:lineRule="auto"/>
        <w:ind w:left="709" w:right="709"/>
        <w:jc w:val="both"/>
        <w:rPr>
          <w:rFonts w:ascii="Verdana" w:eastAsia="Arial" w:hAnsi="Verdana" w:cs="Arial"/>
          <w:sz w:val="20"/>
          <w:szCs w:val="20"/>
          <w:lang w:eastAsia="es-ES" w:bidi="es-ES"/>
        </w:rPr>
      </w:pPr>
      <w:r w:rsidRPr="00343E12">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w:t>
      </w:r>
      <w:r w:rsidRPr="00343E12">
        <w:rPr>
          <w:rFonts w:ascii="Verdana" w:eastAsia="Arial" w:hAnsi="Verdana" w:cs="Arial"/>
          <w:sz w:val="20"/>
          <w:szCs w:val="20"/>
          <w:lang w:eastAsia="es-ES" w:bidi="es-ES"/>
        </w:rPr>
        <w:lastRenderedPageBreak/>
        <w:t>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343E12">
        <w:rPr>
          <w:rFonts w:ascii="Verdana" w:eastAsia="Arial" w:hAnsi="Verdana" w:cs="Arial"/>
          <w:sz w:val="20"/>
          <w:szCs w:val="20"/>
          <w:vertAlign w:val="superscript"/>
          <w:lang w:eastAsia="es-ES" w:bidi="es-ES"/>
        </w:rPr>
        <w:footnoteReference w:id="9"/>
      </w:r>
      <w:r w:rsidRPr="00343E12">
        <w:rPr>
          <w:rFonts w:ascii="Verdana" w:eastAsia="Arial" w:hAnsi="Verdana" w:cs="Arial"/>
          <w:sz w:val="20"/>
          <w:szCs w:val="20"/>
          <w:lang w:eastAsia="es-ES" w:bidi="es-ES"/>
        </w:rPr>
        <w:t>.</w:t>
      </w:r>
    </w:p>
    <w:p w14:paraId="0B33A1F6" w14:textId="77777777" w:rsidR="00736161" w:rsidRPr="002D1B75" w:rsidRDefault="00736161" w:rsidP="00736161">
      <w:pPr>
        <w:spacing w:after="120" w:line="276" w:lineRule="auto"/>
        <w:ind w:firstLine="709"/>
        <w:jc w:val="both"/>
        <w:rPr>
          <w:rFonts w:ascii="Verdana" w:eastAsia="Arial" w:hAnsi="Verdana" w:cs="Arial"/>
          <w:color w:val="000000" w:themeColor="text1"/>
          <w:lang w:val="es-ES" w:eastAsia="es-ES" w:bidi="es-ES"/>
        </w:rPr>
      </w:pPr>
      <w:r w:rsidRPr="002D1B75">
        <w:rPr>
          <w:rFonts w:ascii="Verdana" w:eastAsia="Arial" w:hAnsi="Verdana" w:cs="Arial"/>
          <w:color w:val="000000" w:themeColor="text1"/>
          <w:lang w:val="es-ES" w:eastAsia="es-ES" w:bidi="es-ES"/>
        </w:rPr>
        <w:t xml:space="preserve">De lo anterior, es pertinente señalar que 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2D1B75">
        <w:rPr>
          <w:rFonts w:ascii="Verdana" w:eastAsia="Arial" w:hAnsi="Verdana" w:cs="Arial"/>
          <w:color w:val="000000" w:themeColor="text1"/>
          <w:lang w:val="es-ES" w:eastAsia="es-ES" w:bidi="es-ES"/>
        </w:rPr>
        <w:t>Presidente</w:t>
      </w:r>
      <w:proofErr w:type="gramEnd"/>
      <w:r w:rsidRPr="002D1B75">
        <w:rPr>
          <w:rFonts w:ascii="Verdana" w:eastAsia="Arial" w:hAnsi="Verdana" w:cs="Arial"/>
          <w:color w:val="000000" w:themeColor="text1"/>
          <w:lang w:val="es-ES" w:eastAsia="es-ES" w:bidi="es-ES"/>
        </w:rPr>
        <w:t xml:space="preserve"> de la República, las autoridades allí mencionadas sólo deben aplicar las restricciones contenidas en el parágrafo del artículo 38.</w:t>
      </w:r>
    </w:p>
    <w:p w14:paraId="56D9236C" w14:textId="77777777" w:rsidR="00736161" w:rsidRPr="002D1B75" w:rsidRDefault="00736161" w:rsidP="00736161">
      <w:pPr>
        <w:widowControl w:val="0"/>
        <w:spacing w:after="120" w:line="276" w:lineRule="auto"/>
        <w:ind w:right="113" w:firstLine="709"/>
        <w:jc w:val="both"/>
        <w:rPr>
          <w:rFonts w:ascii="Verdana" w:eastAsia="Times New Roman" w:hAnsi="Verdana" w:cs="Arial"/>
          <w:bCs/>
          <w:color w:val="000000" w:themeColor="text1"/>
          <w:lang w:eastAsia="es-CO"/>
        </w:rPr>
      </w:pPr>
      <w:r w:rsidRPr="002D1B75">
        <w:rPr>
          <w:rFonts w:ascii="Verdana" w:eastAsia="Times New Roman" w:hAnsi="Verdana" w:cs="Arial"/>
          <w:bCs/>
          <w:color w:val="000000" w:themeColor="text1"/>
          <w:lang w:val="es-MX" w:eastAsia="es-CO"/>
        </w:rPr>
        <w:t>Para entender el momento de aplicación de estas restricciones, es preciso señalar que el vocablo “celebrar” es definido por el Diccionario Panhispánico del Español Jurídico como: “</w:t>
      </w:r>
      <w:r w:rsidRPr="002D1B75">
        <w:rPr>
          <w:rFonts w:ascii="Verdana" w:eastAsia="Times New Roman" w:hAnsi="Verdana" w:cs="Arial"/>
          <w:bCs/>
          <w:color w:val="000000" w:themeColor="text1"/>
          <w:lang w:eastAsia="es-CO"/>
        </w:rPr>
        <w:t>1. </w:t>
      </w:r>
      <w:r w:rsidRPr="002D1B75">
        <w:rPr>
          <w:rFonts w:ascii="Verdana" w:eastAsia="Times New Roman" w:hAnsi="Verdana" w:cs="Arial"/>
          <w:bCs/>
          <w:i/>
          <w:iCs/>
          <w:color w:val="000000" w:themeColor="text1"/>
          <w:lang w:eastAsia="es-CO"/>
        </w:rPr>
        <w:t>Gral.</w:t>
      </w:r>
      <w:r w:rsidRPr="002D1B75">
        <w:rPr>
          <w:rFonts w:ascii="Verdana" w:eastAsia="Times New Roman" w:hAnsi="Verdana" w:cs="Arial"/>
          <w:bCs/>
          <w:color w:val="000000" w:themeColor="text1"/>
          <w:lang w:eastAsia="es-CO"/>
        </w:rPr>
        <w:t xml:space="preserve"> Otorgar o firmar un contrato. 2. </w:t>
      </w:r>
      <w:proofErr w:type="spellStart"/>
      <w:r w:rsidRPr="002D1B75">
        <w:rPr>
          <w:rFonts w:ascii="Verdana" w:eastAsia="Times New Roman" w:hAnsi="Verdana" w:cs="Arial"/>
          <w:bCs/>
          <w:i/>
          <w:iCs/>
          <w:color w:val="000000" w:themeColor="text1"/>
          <w:lang w:eastAsia="es-CO"/>
        </w:rPr>
        <w:t>Proc</w:t>
      </w:r>
      <w:proofErr w:type="spellEnd"/>
      <w:r w:rsidRPr="002D1B75">
        <w:rPr>
          <w:rFonts w:ascii="Verdana" w:eastAsia="Times New Roman" w:hAnsi="Verdana" w:cs="Arial"/>
          <w:bCs/>
          <w:i/>
          <w:iCs/>
          <w:color w:val="000000" w:themeColor="text1"/>
          <w:lang w:eastAsia="es-CO"/>
        </w:rPr>
        <w:t>.</w:t>
      </w:r>
      <w:r w:rsidRPr="002D1B75">
        <w:rPr>
          <w:rFonts w:ascii="Verdana" w:eastAsia="Times New Roman" w:hAnsi="Verdana" w:cs="Arial"/>
          <w:bCs/>
          <w:color w:val="000000" w:themeColor="text1"/>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6330C3E5" w14:textId="77777777" w:rsidR="00736161" w:rsidRPr="002D1B75" w:rsidRDefault="00736161" w:rsidP="00736161">
      <w:pPr>
        <w:spacing w:after="120" w:line="276" w:lineRule="auto"/>
        <w:ind w:firstLine="709"/>
        <w:jc w:val="both"/>
        <w:rPr>
          <w:rFonts w:ascii="Verdana" w:eastAsia="Times New Roman" w:hAnsi="Verdana" w:cs="Arial"/>
          <w:bCs/>
          <w:color w:val="000000" w:themeColor="text1"/>
          <w:lang w:val="es-ES" w:eastAsia="es-CO"/>
        </w:rPr>
      </w:pPr>
      <w:r w:rsidRPr="002D1B75">
        <w:rPr>
          <w:rFonts w:ascii="Verdana" w:eastAsia="Times New Roman" w:hAnsi="Verdana" w:cs="Arial"/>
          <w:bCs/>
          <w:color w:val="000000" w:themeColor="text1"/>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2D1B75">
        <w:rPr>
          <w:rFonts w:ascii="Verdana" w:eastAsia="Times New Roman" w:hAnsi="Verdana" w:cs="Arial"/>
          <w:bCs/>
          <w:color w:val="000000" w:themeColor="text1"/>
          <w:lang w:val="es-ES" w:eastAsia="es-CO"/>
        </w:rPr>
        <w:t xml:space="preserve">la existencia de los contratos estatales, es decir, la producción de efectos jurídicos en los términos del artículo 1501 </w:t>
      </w:r>
      <w:proofErr w:type="spellStart"/>
      <w:r w:rsidRPr="002D1B75">
        <w:rPr>
          <w:rFonts w:ascii="Verdana" w:eastAsia="Times New Roman" w:hAnsi="Verdana" w:cs="Arial"/>
          <w:bCs/>
          <w:i/>
          <w:color w:val="000000" w:themeColor="text1"/>
          <w:lang w:val="es-ES" w:eastAsia="es-CO"/>
        </w:rPr>
        <w:t>ibídem</w:t>
      </w:r>
      <w:proofErr w:type="spellEnd"/>
      <w:r w:rsidRPr="002D1B75">
        <w:rPr>
          <w:rFonts w:ascii="Verdana" w:eastAsia="Times New Roman" w:hAnsi="Verdana" w:cs="Arial"/>
          <w:bCs/>
          <w:color w:val="000000" w:themeColor="text1"/>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w:t>
      </w:r>
      <w:r w:rsidRPr="002D1B75">
        <w:rPr>
          <w:rFonts w:ascii="Verdana" w:eastAsia="Times New Roman" w:hAnsi="Verdana" w:cs="Arial"/>
          <w:bCs/>
          <w:color w:val="000000" w:themeColor="text1"/>
          <w:lang w:val="es-ES" w:eastAsia="es-CO"/>
        </w:rPr>
        <w:lastRenderedPageBreak/>
        <w:t xml:space="preserve">y, en general, aquellos que conforme a las normas legales vigentes deban cumplir con dicha formalidad”. Por otra parte, “Los contratos del Estado se perfeccionan cuando se logre acuerdo sobre el objeto y la contraprestación y éste se eleve a escrito”. </w:t>
      </w:r>
    </w:p>
    <w:p w14:paraId="60D803FA" w14:textId="77777777" w:rsidR="00736161" w:rsidRPr="002D1B75" w:rsidRDefault="00736161" w:rsidP="00736161">
      <w:pPr>
        <w:spacing w:after="120" w:line="276" w:lineRule="auto"/>
        <w:ind w:firstLine="709"/>
        <w:jc w:val="both"/>
        <w:rPr>
          <w:rFonts w:ascii="Verdana" w:eastAsia="Times New Roman" w:hAnsi="Verdana" w:cs="Arial"/>
          <w:bCs/>
          <w:color w:val="000000" w:themeColor="text1"/>
          <w:lang w:val="es-ES" w:eastAsia="es-CO"/>
        </w:rPr>
      </w:pPr>
      <w:r w:rsidRPr="002D1B75">
        <w:rPr>
          <w:rFonts w:ascii="Verdana" w:eastAsia="Times New Roman" w:hAnsi="Verdana" w:cs="Arial"/>
          <w:bCs/>
          <w:color w:val="000000" w:themeColor="text1"/>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A1D7B37" w14:textId="77777777" w:rsidR="00736161" w:rsidRDefault="00736161" w:rsidP="00736161">
      <w:pPr>
        <w:spacing w:after="120" w:line="276" w:lineRule="auto"/>
        <w:ind w:firstLine="709"/>
        <w:jc w:val="both"/>
        <w:rPr>
          <w:rFonts w:ascii="Verdana" w:eastAsia="Arial" w:hAnsi="Verdana" w:cs="Arial"/>
          <w:color w:val="000000" w:themeColor="text1"/>
          <w:lang w:val="es-ES" w:eastAsia="es-ES" w:bidi="es-ES"/>
        </w:rPr>
      </w:pPr>
      <w:r w:rsidRPr="002D1B75">
        <w:rPr>
          <w:rFonts w:ascii="Verdana" w:eastAsia="Times New Roman" w:hAnsi="Verdana" w:cs="Arial"/>
          <w:bCs/>
          <w:color w:val="000000" w:themeColor="text1"/>
          <w:lang w:val="es-ES" w:eastAsia="es-CO"/>
        </w:rPr>
        <w:t xml:space="preserve">Así mismo, </w:t>
      </w:r>
      <w:r w:rsidRPr="002D1B75">
        <w:rPr>
          <w:rFonts w:ascii="Verdana" w:eastAsia="Times New Roman" w:hAnsi="Verdana" w:cs="Arial"/>
          <w:bCs/>
          <w:color w:val="000000" w:themeColor="text1"/>
          <w:lang w:val="es-MX" w:eastAsia="es-CO"/>
        </w:rPr>
        <w:t xml:space="preserve">como en otras oportunidades lo ha manifestado esta Agencia, las prórrogas, modificaciones o adiciones de los contratos suscritos antes de la </w:t>
      </w:r>
      <w:proofErr w:type="gramStart"/>
      <w:r w:rsidRPr="002D1B75">
        <w:rPr>
          <w:rFonts w:ascii="Verdana" w:eastAsia="Times New Roman" w:hAnsi="Verdana" w:cs="Arial"/>
          <w:bCs/>
          <w:color w:val="000000" w:themeColor="text1"/>
          <w:lang w:val="es-MX" w:eastAsia="es-CO"/>
        </w:rPr>
        <w:t>entrada en vigencia</w:t>
      </w:r>
      <w:proofErr w:type="gramEnd"/>
      <w:r w:rsidRPr="002D1B75">
        <w:rPr>
          <w:rFonts w:ascii="Verdana" w:eastAsia="Times New Roman" w:hAnsi="Verdana" w:cs="Arial"/>
          <w:bCs/>
          <w:color w:val="000000" w:themeColor="text1"/>
          <w:lang w:val="es-MX" w:eastAsia="es-CO"/>
        </w:rPr>
        <w:t xml:space="preserve"> de las prohibiciones anotadas, así como la cesión de </w:t>
      </w:r>
      <w:proofErr w:type="gramStart"/>
      <w:r w:rsidRPr="002D1B75">
        <w:rPr>
          <w:rFonts w:ascii="Verdana" w:eastAsia="Times New Roman" w:hAnsi="Verdana" w:cs="Arial"/>
          <w:bCs/>
          <w:color w:val="000000" w:themeColor="text1"/>
          <w:lang w:val="es-MX" w:eastAsia="es-CO"/>
        </w:rPr>
        <w:t>los mismos</w:t>
      </w:r>
      <w:proofErr w:type="gramEnd"/>
      <w:r w:rsidRPr="002D1B75">
        <w:rPr>
          <w:rFonts w:ascii="Verdana" w:eastAsia="Times New Roman" w:hAnsi="Verdana" w:cs="Arial"/>
          <w:bCs/>
          <w:color w:val="000000" w:themeColor="text1"/>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2D1B75">
        <w:rPr>
          <w:rFonts w:ascii="Verdana" w:eastAsia="Times New Roman" w:hAnsi="Verdana" w:cs="Arial"/>
          <w:bCs/>
          <w:color w:val="000000" w:themeColor="text1"/>
          <w:vertAlign w:val="superscript"/>
          <w:lang w:val="es-MX" w:eastAsia="es-CO"/>
        </w:rPr>
        <w:footnoteReference w:id="10"/>
      </w:r>
      <w:r w:rsidRPr="002D1B75">
        <w:rPr>
          <w:rFonts w:ascii="Verdana" w:eastAsia="Times New Roman" w:hAnsi="Verdana" w:cs="Arial"/>
          <w:bCs/>
          <w:color w:val="000000" w:themeColor="text1"/>
          <w:lang w:val="es-MX" w:eastAsia="es-CO"/>
        </w:rPr>
        <w:t xml:space="preserve">. </w:t>
      </w:r>
    </w:p>
    <w:p w14:paraId="380CCE50" w14:textId="77777777" w:rsidR="00736161" w:rsidRPr="00401774" w:rsidRDefault="00736161" w:rsidP="00736161">
      <w:pPr>
        <w:spacing w:after="120" w:line="276" w:lineRule="auto"/>
        <w:ind w:firstLine="709"/>
        <w:jc w:val="both"/>
        <w:rPr>
          <w:rFonts w:ascii="Verdana" w:eastAsia="Arial" w:hAnsi="Verdana" w:cs="Arial"/>
          <w:color w:val="000000" w:themeColor="text1"/>
          <w:lang w:val="es-ES" w:eastAsia="es-ES" w:bidi="es-ES"/>
        </w:rPr>
      </w:pPr>
      <w:r w:rsidRPr="00E5590F">
        <w:rPr>
          <w:rFonts w:ascii="Verdana" w:eastAsia="Arial" w:hAnsi="Verdana" w:cs="Arial"/>
          <w:color w:val="000000" w:themeColor="text1"/>
          <w:lang w:val="es-ES" w:eastAsia="es-ES" w:bidi="es-ES"/>
        </w:rPr>
        <w:t xml:space="preserve">Ahora bien, </w:t>
      </w:r>
      <w:r w:rsidRPr="00E5590F">
        <w:rPr>
          <w:rFonts w:ascii="Verdana" w:eastAsia="Calibri" w:hAnsi="Verdana" w:cs="Arial"/>
          <w:color w:val="000000" w:themeColor="text1"/>
          <w:lang w:eastAsia="es-ES" w:bidi="es-ES"/>
        </w:rPr>
        <w:t xml:space="preserve">para responder al problema jurídico planteado resulta necesario precisar el alcance de la prohibición </w:t>
      </w:r>
      <w:r w:rsidRPr="00E5590F">
        <w:rPr>
          <w:rFonts w:ascii="Verdana" w:eastAsia="Arial" w:hAnsi="Verdana" w:cs="Arial"/>
          <w:color w:val="000000" w:themeColor="text1"/>
          <w:lang w:val="es-ES" w:eastAsia="es-ES" w:bidi="es-ES"/>
        </w:rPr>
        <w:t>establecida en e</w:t>
      </w:r>
      <w:r w:rsidRPr="00E5590F">
        <w:rPr>
          <w:rFonts w:ascii="Verdana" w:eastAsia="Calibri" w:hAnsi="Verdana" w:cs="Arial"/>
          <w:color w:val="000000" w:themeColor="text1"/>
        </w:rPr>
        <w:t xml:space="preserve">l parágrafo del </w:t>
      </w:r>
      <w:r w:rsidRPr="00E5590F">
        <w:rPr>
          <w:rFonts w:ascii="Verdana" w:eastAsia="Times New Roman" w:hAnsi="Verdana" w:cs="Arial"/>
          <w:color w:val="000000" w:themeColor="text1"/>
          <w:lang w:val="es-MX"/>
        </w:rPr>
        <w:t>artículo 38 de la Ley 996 de 2005. El ámbito material de la prohibición contenida en esta disposición está delimitado por la expresión</w:t>
      </w:r>
      <w:r w:rsidRPr="00E5590F">
        <w:rPr>
          <w:rFonts w:ascii="Verdana" w:hAnsi="Verdana" w:cs="Arial"/>
          <w:color w:val="000000" w:themeColor="text1"/>
        </w:rPr>
        <w:t xml:space="preserve">: “[l]os Gobernadores, Alcaldes Municipales y/o Distritales, Secretarios, Gerentes y directores de Entidades Descentralizadas del orden Municipal, Departamental o Distrital, dentro de los cuatro (4) meses anteriores a las elecciones, no podrán celebrar </w:t>
      </w:r>
      <w:r w:rsidRPr="00E5590F">
        <w:rPr>
          <w:rFonts w:ascii="Verdana" w:hAnsi="Verdana" w:cs="Arial"/>
          <w:i/>
          <w:iCs/>
          <w:color w:val="000000" w:themeColor="text1"/>
        </w:rPr>
        <w:t>convenios interadministrativos</w:t>
      </w:r>
      <w:r w:rsidRPr="00E5590F">
        <w:rPr>
          <w:rFonts w:ascii="Verdana" w:hAnsi="Verdana" w:cs="Arial"/>
          <w:color w:val="000000" w:themeColor="text1"/>
        </w:rPr>
        <w:t xml:space="preserve"> </w:t>
      </w:r>
      <w:r w:rsidRPr="00E5590F">
        <w:rPr>
          <w:rFonts w:ascii="Verdana" w:hAnsi="Verdana" w:cs="Arial"/>
          <w:i/>
          <w:iCs/>
          <w:color w:val="000000" w:themeColor="text1"/>
        </w:rPr>
        <w:t>para la ejecución de recursos públicos</w:t>
      </w:r>
      <w:r w:rsidRPr="00E5590F">
        <w:rPr>
          <w:rFonts w:ascii="Verdana" w:hAnsi="Verdana" w:cs="Arial"/>
          <w:color w:val="000000" w:themeColor="text1"/>
        </w:rPr>
        <w:t>”.</w:t>
      </w:r>
      <w:r w:rsidRPr="00E5590F">
        <w:rPr>
          <w:rFonts w:ascii="Verdana" w:eastAsia="Times New Roman" w:hAnsi="Verdana" w:cs="Arial"/>
          <w:color w:val="000000" w:themeColor="text1"/>
          <w:lang w:val="es-MX" w:eastAsia="x-none"/>
        </w:rPr>
        <w:t xml:space="preserve"> [Én</w:t>
      </w:r>
      <w:r>
        <w:rPr>
          <w:rFonts w:ascii="Verdana" w:eastAsia="Times New Roman" w:hAnsi="Verdana" w:cs="Arial"/>
          <w:lang w:val="es-MX" w:eastAsia="x-none"/>
        </w:rPr>
        <w:t>fasis fuera del texto original]</w:t>
      </w:r>
    </w:p>
    <w:p w14:paraId="5E53AB07" w14:textId="77777777" w:rsidR="00736161" w:rsidRDefault="00736161" w:rsidP="00736161">
      <w:pPr>
        <w:spacing w:after="120" w:line="276" w:lineRule="auto"/>
        <w:ind w:firstLine="709"/>
        <w:jc w:val="both"/>
        <w:rPr>
          <w:rFonts w:ascii="Verdana" w:hAnsi="Verdana" w:cs="Arial"/>
          <w:lang w:eastAsia="es-ES"/>
        </w:rPr>
      </w:pPr>
      <w:r>
        <w:rPr>
          <w:rFonts w:ascii="Verdana" w:eastAsia="Times New Roman" w:hAnsi="Verdana" w:cs="Arial"/>
          <w:lang w:val="es-ES" w:eastAsia="es-ES"/>
        </w:rPr>
        <w:t xml:space="preserve">Para tales efectos, debe precisarse que </w:t>
      </w:r>
      <w:r>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Pr>
          <w:rFonts w:ascii="Verdana" w:hAnsi="Verdana" w:cs="Arial"/>
          <w:lang w:eastAsia="es-ES"/>
        </w:rPr>
        <w:t xml:space="preserve">independientemente de las normas que regulan la relación contractual. En este sentido, los convenios interadministrativos solo pueden ser celebrados entre </w:t>
      </w:r>
      <w:r>
        <w:rPr>
          <w:rFonts w:ascii="Verdana" w:hAnsi="Verdana" w:cs="Arial"/>
          <w:lang w:eastAsia="es-ES"/>
        </w:rPr>
        <w:lastRenderedPageBreak/>
        <w:t>entidades públicas, pues a éstas corresponde la realización de los fines y tareas que el legislador les ha asignado</w:t>
      </w:r>
      <w:r>
        <w:rPr>
          <w:rFonts w:ascii="Verdana" w:hAnsi="Verdana" w:cs="Arial"/>
          <w:vertAlign w:val="superscript"/>
          <w:lang w:eastAsia="es-ES"/>
        </w:rPr>
        <w:footnoteReference w:id="11"/>
      </w:r>
      <w:r>
        <w:rPr>
          <w:rFonts w:ascii="Verdana" w:hAnsi="Verdana" w:cs="Arial"/>
          <w:lang w:eastAsia="es-ES"/>
        </w:rPr>
        <w:t>.</w:t>
      </w:r>
    </w:p>
    <w:p w14:paraId="4AD50ED3" w14:textId="77777777" w:rsidR="00736161" w:rsidRDefault="00736161" w:rsidP="00736161">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AA681FA" w14:textId="77777777" w:rsidR="00736161" w:rsidRDefault="00736161" w:rsidP="00736161">
      <w:pPr>
        <w:spacing w:before="120" w:after="120" w:line="276" w:lineRule="auto"/>
        <w:ind w:firstLine="709"/>
        <w:jc w:val="both"/>
        <w:rPr>
          <w:rFonts w:ascii="Verdana" w:hAnsi="Verdana" w:cs="Arial"/>
          <w:lang w:val="es-ES_tradnl"/>
        </w:rPr>
      </w:pPr>
      <w:r>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Pr>
          <w:rFonts w:ascii="Verdana" w:hAnsi="Verdana" w:cs="Arial"/>
          <w:vertAlign w:val="superscript"/>
          <w:lang w:val="es-ES"/>
        </w:rPr>
        <w:footnoteReference w:id="12"/>
      </w:r>
      <w:r>
        <w:rPr>
          <w:rFonts w:ascii="Verdana" w:hAnsi="Verdana" w:cs="Arial"/>
          <w:lang w:val="es-ES"/>
        </w:rPr>
        <w:t>. Nótese que, en este caso, lo que cambia es la modalidad de selección y no la naturaleza de contrato interadministrativo.</w:t>
      </w:r>
    </w:p>
    <w:p w14:paraId="10D53F0C" w14:textId="77777777" w:rsidR="00736161" w:rsidRDefault="00736161" w:rsidP="00736161">
      <w:pPr>
        <w:spacing w:before="120" w:after="120" w:line="276" w:lineRule="auto"/>
        <w:ind w:firstLine="709"/>
        <w:jc w:val="both"/>
        <w:rPr>
          <w:rFonts w:ascii="Verdana" w:hAnsi="Verdana" w:cs="Arial"/>
          <w:lang w:val="es-ES_tradnl"/>
        </w:rPr>
      </w:pPr>
      <w:r>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Pr>
          <w:rFonts w:ascii="Verdana" w:hAnsi="Verdana" w:cs="Arial"/>
          <w:vertAlign w:val="superscript"/>
          <w:lang w:val="es-ES"/>
        </w:rPr>
        <w:footnoteReference w:id="13"/>
      </w:r>
      <w:r>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FE06010" w14:textId="77777777" w:rsidR="00736161" w:rsidRDefault="00736161" w:rsidP="00736161">
      <w:pPr>
        <w:spacing w:before="120" w:after="120" w:line="276" w:lineRule="auto"/>
        <w:ind w:firstLine="709"/>
        <w:jc w:val="both"/>
        <w:rPr>
          <w:rFonts w:ascii="Verdana" w:hAnsi="Verdana"/>
          <w:sz w:val="24"/>
          <w:szCs w:val="24"/>
          <w:lang w:eastAsia="es-CO"/>
        </w:rPr>
      </w:pPr>
      <w:r>
        <w:rPr>
          <w:rFonts w:ascii="Verdana" w:hAnsi="Verdana" w:cs="Arial"/>
          <w:lang w:val="es-ES"/>
        </w:rPr>
        <w:lastRenderedPageBreak/>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Pr>
          <w:rFonts w:ascii="Verdana" w:hAnsi="Verdana" w:cs="Arial"/>
          <w:vertAlign w:val="superscript"/>
          <w:lang w:val="es-ES"/>
        </w:rPr>
        <w:footnoteReference w:id="14"/>
      </w:r>
      <w:r>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Pr>
          <w:rFonts w:ascii="Verdana" w:hAnsi="Verdana"/>
          <w:sz w:val="24"/>
          <w:szCs w:val="24"/>
          <w:lang w:eastAsia="es-CO"/>
        </w:rPr>
        <w:t>.</w:t>
      </w:r>
    </w:p>
    <w:p w14:paraId="3DD22233" w14:textId="77777777" w:rsidR="00736161" w:rsidRDefault="00736161" w:rsidP="00736161">
      <w:pPr>
        <w:spacing w:before="120" w:after="120" w:line="276" w:lineRule="auto"/>
        <w:ind w:firstLine="709"/>
        <w:jc w:val="both"/>
        <w:rPr>
          <w:rFonts w:ascii="Verdana" w:eastAsia="Times New Roman" w:hAnsi="Verdana" w:cs="Arial"/>
          <w:lang w:val="es-MX" w:eastAsia="es-CO"/>
        </w:rPr>
      </w:pPr>
      <w:bookmarkStart w:id="5" w:name="_Hlk219368755"/>
      <w:r>
        <w:rPr>
          <w:rFonts w:ascii="Verdana" w:eastAsia="Arial" w:hAnsi="Verdana" w:cs="Arial"/>
          <w:lang w:val="es-MX" w:eastAsia="es-ES" w:bidi="es-ES"/>
        </w:rPr>
        <w:t>De esta manera, se</w:t>
      </w:r>
      <w:r>
        <w:rPr>
          <w:rFonts w:ascii="Verdana" w:eastAsia="Times New Roman" w:hAnsi="Verdana" w:cs="Arial"/>
          <w:lang w:eastAsia="es-CO"/>
        </w:rPr>
        <w:t xml:space="preserve"> observa entonces que </w:t>
      </w:r>
      <w:r>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Pr>
          <w:rFonts w:ascii="Verdana" w:eastAsia="Times New Roman" w:hAnsi="Verdana" w:cs="Arial"/>
          <w:i/>
          <w:lang w:val="es-MX" w:eastAsia="es-CO"/>
        </w:rPr>
        <w:t>ibidem</w:t>
      </w:r>
      <w:r>
        <w:rPr>
          <w:rFonts w:ascii="Verdana" w:eastAsia="Times New Roman" w:hAnsi="Verdana" w:cs="Arial"/>
          <w:lang w:val="es-MX" w:eastAsia="es-CO"/>
        </w:rPr>
        <w:t xml:space="preserve">,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4176D6F1" w14:textId="77777777" w:rsidR="00736161" w:rsidRPr="00373B20" w:rsidRDefault="00736161" w:rsidP="00736161">
      <w:pPr>
        <w:spacing w:before="120" w:after="120" w:line="276" w:lineRule="auto"/>
        <w:ind w:firstLine="709"/>
        <w:jc w:val="both"/>
        <w:rPr>
          <w:rFonts w:ascii="Verdana" w:eastAsia="Times New Roman" w:hAnsi="Verdana" w:cs="Arial"/>
          <w:lang w:eastAsia="es-CO"/>
        </w:rPr>
      </w:pPr>
      <w:r w:rsidRPr="00373B20">
        <w:rPr>
          <w:rFonts w:ascii="Verdana" w:eastAsia="Times New Roman" w:hAnsi="Verdana" w:cs="Arial"/>
          <w:lang w:val="es-MX" w:eastAsia="es-CO"/>
        </w:rPr>
        <w:t xml:space="preserve">En este aspecto, se destaca que uno de los sujetos de aplicación de dicha restricción son las entidades descentralizadas por servicios, </w:t>
      </w:r>
      <w:r w:rsidRPr="00373B20">
        <w:rPr>
          <w:rFonts w:ascii="Verdana" w:eastAsia="Times New Roman" w:hAnsi="Verdana" w:cs="Arial"/>
          <w:lang w:eastAsia="es-CO"/>
        </w:rPr>
        <w:t>las cuales –sin perjuicio del control de tutela– tienen personería jurídica, autonomía administrativa y patrimonio propio.</w:t>
      </w:r>
      <w:r w:rsidRPr="00373B20">
        <w:rPr>
          <w:rFonts w:ascii="Verdana" w:eastAsia="Times New Roman" w:hAnsi="Verdana" w:cs="Arial"/>
          <w:b/>
          <w:bCs/>
          <w:lang w:eastAsia="es-CO"/>
        </w:rPr>
        <w:t xml:space="preserve"> </w:t>
      </w:r>
      <w:r w:rsidRPr="00373B20">
        <w:rPr>
          <w:rFonts w:ascii="Verdana" w:eastAsia="Times New Roman" w:hAnsi="Verdana" w:cs="Arial"/>
          <w:lang w:eastAsia="es-CO"/>
        </w:rPr>
        <w:t xml:space="preserve">Dentro de la categoría amplia de entidades descentralizadas por servicios se encuentran las Empresas Industriales y Comerciales del Estado, los establecimientos públicos, las sociedades públicas, las sociedades de economía mixta, las empresas sociales del Estado, entre otras entidades. </w:t>
      </w:r>
    </w:p>
    <w:bookmarkEnd w:id="5"/>
    <w:p w14:paraId="0720C248" w14:textId="77777777" w:rsidR="00736161" w:rsidRDefault="00736161" w:rsidP="00736161">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val="es-MX" w:eastAsia="es-CO"/>
        </w:rPr>
        <w:t>Respecto del alcance de esta prohibición la Circular Externa No. 006 de 2025 expedida por la ANCP -CCE, en los literales ii) y iv) del numeral 2</w:t>
      </w:r>
      <w:r>
        <w:rPr>
          <w:rFonts w:ascii="Verdana" w:eastAsia="Times New Roman" w:hAnsi="Verdana" w:cs="Arial"/>
          <w:lang w:eastAsia="es-CO"/>
        </w:rPr>
        <w:t>,</w:t>
      </w:r>
      <w:r>
        <w:rPr>
          <w:rFonts w:ascii="Verdana" w:eastAsia="Times New Roman" w:hAnsi="Verdana" w:cs="Arial"/>
          <w:lang w:val="es-MX" w:eastAsia="es-CO"/>
        </w:rPr>
        <w:t xml:space="preserve"> indica que el </w:t>
      </w:r>
      <w:r>
        <w:rPr>
          <w:rFonts w:ascii="Verdana" w:eastAsia="Times New Roman" w:hAnsi="Verdana" w:cs="Arial"/>
          <w:lang w:eastAsia="es-CO"/>
        </w:rPr>
        <w:t xml:space="preserve">parágrafo del artículo 38 de la Ley 996 de 2005 cobija expresamente a los </w:t>
      </w:r>
      <w:r>
        <w:rPr>
          <w:rFonts w:ascii="Verdana" w:eastAsia="Times New Roman" w:hAnsi="Verdana" w:cs="Arial"/>
          <w:i/>
          <w:iCs/>
          <w:lang w:eastAsia="es-CO"/>
        </w:rPr>
        <w:t>convenios interadministrativos</w:t>
      </w:r>
      <w:r>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w:t>
      </w:r>
      <w:r>
        <w:rPr>
          <w:rFonts w:ascii="Verdana" w:eastAsia="Times New Roman" w:hAnsi="Verdana" w:cs="Arial"/>
          <w:lang w:eastAsia="es-CO"/>
        </w:rPr>
        <w:lastRenderedPageBreak/>
        <w:t xml:space="preserve">restricción referida a la celebración de convenios interadministrativos aplicará a los sujetos allí señalados, </w:t>
      </w:r>
      <w:r>
        <w:rPr>
          <w:rFonts w:ascii="Verdana" w:eastAsia="Times New Roman" w:hAnsi="Verdana" w:cs="Arial"/>
          <w:i/>
          <w:iCs/>
          <w:lang w:eastAsia="es-CO"/>
        </w:rPr>
        <w:t>“aunque se configure alguno de los supuestos de excepción que señaló el inciso final del artículo 33”.</w:t>
      </w:r>
      <w:r>
        <w:rPr>
          <w:rFonts w:ascii="Verdana" w:eastAsia="Times New Roman" w:hAnsi="Verdana" w:cs="Arial"/>
          <w:lang w:eastAsia="es-CO"/>
        </w:rPr>
        <w:t xml:space="preserve"> </w:t>
      </w:r>
    </w:p>
    <w:p w14:paraId="0EC9F8C2" w14:textId="0A00B26D" w:rsidR="00736161" w:rsidRPr="00E72F76" w:rsidRDefault="00736161" w:rsidP="00736161">
      <w:pPr>
        <w:spacing w:before="120" w:after="120" w:line="276" w:lineRule="auto"/>
        <w:ind w:firstLine="709"/>
        <w:jc w:val="both"/>
        <w:rPr>
          <w:rFonts w:ascii="Verdana" w:eastAsia="Times New Roman" w:hAnsi="Verdana" w:cs="Arial"/>
          <w:lang w:eastAsia="es-CO"/>
        </w:rPr>
      </w:pPr>
      <w:r w:rsidRPr="00B40D3B">
        <w:rPr>
          <w:rFonts w:ascii="Verdana" w:eastAsia="Times New Roman" w:hAnsi="Verdana" w:cs="Arial"/>
          <w:lang w:eastAsia="es-CO"/>
        </w:rPr>
        <w:t xml:space="preserve">Sin embargo, el ámbito de aplicación de la restricción prevista en el parágrafo del artículo 38 de la Ley 996 de 2005 comprende a los </w:t>
      </w:r>
      <w:r w:rsidRPr="00B40D3B">
        <w:rPr>
          <w:rFonts w:ascii="Verdana" w:eastAsia="Times New Roman" w:hAnsi="Verdana" w:cs="Arial"/>
          <w:i/>
          <w:iCs/>
          <w:lang w:eastAsia="es-CO"/>
        </w:rPr>
        <w:t>convenios interadministrativos</w:t>
      </w:r>
      <w:r w:rsidRPr="00B40D3B">
        <w:rPr>
          <w:rFonts w:ascii="Verdana" w:eastAsia="Times New Roman" w:hAnsi="Verdana" w:cs="Arial"/>
          <w:lang w:eastAsia="es-CO"/>
        </w:rPr>
        <w:t xml:space="preserve"> en los que exista </w:t>
      </w:r>
      <w:r w:rsidRPr="00B40D3B">
        <w:rPr>
          <w:rFonts w:ascii="Verdana" w:eastAsia="Times New Roman" w:hAnsi="Verdana" w:cs="Arial"/>
          <w:i/>
          <w:iCs/>
          <w:lang w:eastAsia="es-CO"/>
        </w:rPr>
        <w:t>ejecución de recursos públicos</w:t>
      </w:r>
      <w:r w:rsidRPr="00B40D3B">
        <w:rPr>
          <w:rFonts w:ascii="Verdana" w:eastAsia="Times New Roman" w:hAnsi="Verdana" w:cs="Arial"/>
          <w:lang w:eastAsia="es-CO"/>
        </w:rPr>
        <w:t xml:space="preserve">, sin importar de que estos sean en dinero o en especie, ya que la norma no distingue. </w:t>
      </w:r>
      <w:r w:rsidRPr="00B40D3B">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B40D3B">
        <w:rPr>
          <w:rFonts w:ascii="Verdana" w:eastAsia="Times New Roman" w:hAnsi="Verdana" w:cs="Arial"/>
          <w:vertAlign w:val="superscript"/>
          <w:lang w:val="es-ES" w:eastAsia="es-CO"/>
        </w:rPr>
        <w:footnoteReference w:id="15"/>
      </w:r>
      <w:r w:rsidRPr="00B40D3B">
        <w:rPr>
          <w:rFonts w:ascii="Verdana" w:eastAsia="Times New Roman" w:hAnsi="Verdana" w:cs="Arial"/>
          <w:lang w:val="es-ES" w:eastAsia="es-CO"/>
        </w:rPr>
        <w:t>.</w:t>
      </w:r>
      <w:r w:rsidRPr="00B40D3B">
        <w:rPr>
          <w:rFonts w:ascii="Verdana" w:eastAsia="Times New Roman" w:hAnsi="Verdana" w:cs="Arial"/>
          <w:lang w:eastAsia="es-CO"/>
        </w:rPr>
        <w:t xml:space="preserve"> Por ello, la Agencia Nacional de Contratación Pública, en varios conceptos ha sostenido que la ejecución de recursos no se agota en el “[…] el dinero que integra el ciclo presupuestal de la entidad […]”, pues “[…] también los bienes muebles, inmuebles y personal hacen parte del concepto de ‘recursos públicos”</w:t>
      </w:r>
      <w:r w:rsidR="000D52F2">
        <w:rPr>
          <w:rFonts w:ascii="Verdana" w:eastAsia="Times New Roman" w:hAnsi="Verdana" w:cs="Arial"/>
          <w:lang w:eastAsia="es-CO"/>
        </w:rPr>
        <w:t>.</w:t>
      </w:r>
    </w:p>
    <w:p w14:paraId="7558F195" w14:textId="77777777" w:rsidR="00736161" w:rsidRDefault="00736161" w:rsidP="00736161">
      <w:pPr>
        <w:spacing w:before="120" w:after="120" w:line="276" w:lineRule="auto"/>
        <w:ind w:firstLine="709"/>
        <w:jc w:val="both"/>
        <w:rPr>
          <w:rFonts w:ascii="Verdana" w:eastAsia="Times New Roman" w:hAnsi="Verdana" w:cs="Arial"/>
          <w:lang w:eastAsia="es-CO"/>
        </w:rPr>
      </w:pPr>
      <w:r w:rsidRPr="00E72F76">
        <w:rPr>
          <w:rFonts w:ascii="Verdana" w:eastAsia="Times New Roman" w:hAnsi="Verdana" w:cs="Arial"/>
          <w:lang w:eastAsia="es-CO"/>
        </w:rPr>
        <w:t xml:space="preserve">De esta manera, conforme a lo dispuesto en la Circular referida, si se suscriben </w:t>
      </w:r>
      <w:r w:rsidRPr="00E72F76">
        <w:rPr>
          <w:rFonts w:ascii="Verdana" w:eastAsia="Times New Roman" w:hAnsi="Verdana" w:cs="Arial"/>
          <w:i/>
          <w:iCs/>
          <w:lang w:eastAsia="es-CO"/>
        </w:rPr>
        <w:t>convenios interadministrativos para la ejecución de recursos públicos</w:t>
      </w:r>
      <w:r w:rsidRPr="00E72F7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E72F76">
        <w:rPr>
          <w:rFonts w:ascii="Verdana" w:eastAsia="Times New Roman" w:hAnsi="Verdana" w:cs="Arial"/>
          <w:i/>
          <w:iCs/>
          <w:lang w:eastAsia="es-CO"/>
        </w:rPr>
        <w:t>ibidem</w:t>
      </w:r>
      <w:r w:rsidRPr="00E72F76">
        <w:rPr>
          <w:rFonts w:ascii="Verdana" w:eastAsia="Times New Roman" w:hAnsi="Verdana" w:cs="Arial"/>
          <w:lang w:eastAsia="es-CO"/>
        </w:rPr>
        <w:t>, independientemente de que se configure alguno de los supuestos de excepción que señaló el inciso final del artículo 33, es decir, que se trate de:</w:t>
      </w:r>
      <w:r w:rsidRPr="00E72F76">
        <w:rPr>
          <w:rFonts w:ascii="Verdana" w:eastAsia="Times New Roman" w:hAnsi="Verdana" w:cs="Arial"/>
          <w:bCs/>
          <w:lang w:val="es-MX" w:eastAsia="es-CO"/>
        </w:rPr>
        <w:t xml:space="preserve"> i) la defensa y seguridad del Estado; ii) los contratos de crédito público; iii) los requeridos para cubrir las emergencias educativas, </w:t>
      </w:r>
      <w:r w:rsidRPr="00E72F76">
        <w:rPr>
          <w:rFonts w:ascii="Verdana" w:eastAsia="Times New Roman" w:hAnsi="Verdana" w:cs="Arial"/>
          <w:bCs/>
          <w:lang w:val="es-MX" w:eastAsia="es-CO"/>
        </w:rPr>
        <w:lastRenderedPageBreak/>
        <w:t xml:space="preserve">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r w:rsidRPr="00E72F76">
        <w:rPr>
          <w:rFonts w:ascii="Verdana" w:eastAsia="Times New Roman" w:hAnsi="Verdana" w:cs="Arial"/>
          <w:lang w:eastAsia="es-CO"/>
        </w:rPr>
        <w:t xml:space="preserve">  </w:t>
      </w:r>
    </w:p>
    <w:p w14:paraId="7038C96D" w14:textId="77777777" w:rsidR="00736161" w:rsidRDefault="00736161" w:rsidP="00736161">
      <w:pPr>
        <w:spacing w:before="120" w:after="120" w:line="276" w:lineRule="auto"/>
        <w:ind w:firstLine="709"/>
        <w:jc w:val="both"/>
        <w:rPr>
          <w:rFonts w:ascii="Verdana" w:eastAsia="Times New Roman" w:hAnsi="Verdana" w:cs="Arial"/>
          <w:lang w:val="es-MX" w:eastAsia="es-CO"/>
        </w:rPr>
      </w:pPr>
      <w:r w:rsidRPr="001E4DA4">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1E4DA4">
        <w:rPr>
          <w:rFonts w:ascii="Verdana" w:eastAsia="Times New Roman" w:hAnsi="Verdana" w:cs="Arial"/>
          <w:i/>
          <w:iCs/>
          <w:lang w:eastAsia="es-CO"/>
        </w:rPr>
        <w:t>convenios interadministrativos</w:t>
      </w:r>
      <w:r w:rsidRPr="001E4DA4">
        <w:rPr>
          <w:rFonts w:ascii="Verdana" w:eastAsia="Times New Roman" w:hAnsi="Verdana" w:cs="Arial"/>
          <w:lang w:eastAsia="es-CO"/>
        </w:rPr>
        <w:t xml:space="preserve"> en los que se contemple la </w:t>
      </w:r>
      <w:r w:rsidRPr="001E4DA4">
        <w:rPr>
          <w:rFonts w:ascii="Verdana" w:eastAsia="Times New Roman" w:hAnsi="Verdana" w:cs="Arial"/>
          <w:i/>
          <w:iCs/>
          <w:lang w:eastAsia="es-CO"/>
        </w:rPr>
        <w:t>ejecución de recursos públicos</w:t>
      </w:r>
      <w:r w:rsidRPr="001E4DA4">
        <w:rPr>
          <w:rFonts w:ascii="Verdana" w:eastAsia="Times New Roman" w:hAnsi="Verdana" w:cs="Arial"/>
          <w:lang w:eastAsia="es-CO"/>
        </w:rPr>
        <w:t xml:space="preserve">. Esto significa que la prohibición no resulta aplicable a </w:t>
      </w:r>
      <w:r w:rsidRPr="001E4DA4">
        <w:rPr>
          <w:rFonts w:ascii="Verdana" w:eastAsia="Times New Roman" w:hAnsi="Verdana" w:cs="Arial"/>
          <w:i/>
          <w:iCs/>
          <w:lang w:eastAsia="es-CO"/>
        </w:rPr>
        <w:t>convenios interadministrativos a título gratuito,</w:t>
      </w:r>
      <w:r w:rsidRPr="001E4DA4">
        <w:rPr>
          <w:rFonts w:ascii="Verdana" w:eastAsia="Times New Roman" w:hAnsi="Verdana" w:cs="Arial"/>
          <w:lang w:eastAsia="es-CO"/>
        </w:rPr>
        <w:t xml:space="preserve"> los cuales pueden celebrarse válidamente durante la vigencia de la mencionada restricción.</w:t>
      </w:r>
      <w:r>
        <w:rPr>
          <w:rFonts w:ascii="Verdana" w:eastAsia="Times New Roman" w:hAnsi="Verdana" w:cs="Arial"/>
          <w:lang w:eastAsia="es-CO"/>
        </w:rPr>
        <w:t xml:space="preserve"> </w:t>
      </w:r>
    </w:p>
    <w:p w14:paraId="4D9454CE" w14:textId="77777777" w:rsidR="00736161" w:rsidRPr="00174058" w:rsidRDefault="00736161" w:rsidP="00736161">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eastAsia="es-CO"/>
        </w:rPr>
        <w:t xml:space="preserve">En este punto, teniendo en cuenta el contenido de su petición vale la pena destacar que </w:t>
      </w:r>
      <w:r>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Pr>
          <w:rFonts w:ascii="Verdana" w:hAnsi="Verdana" w:cs="Arial"/>
        </w:rPr>
        <w:t>numeral 16.2 de la Circular Externa Única de 2022 expedida por la Agencia Nacional de Contratación Pública -Colombia Compra Eficiente-, concretamente, respecto de los siguientes apartes normativos</w:t>
      </w:r>
      <w:r>
        <w:rPr>
          <w:rFonts w:ascii="Verdana" w:hAnsi="Verdana" w:cs="Arial"/>
          <w:vertAlign w:val="superscript"/>
        </w:rPr>
        <w:footnoteReference w:id="16"/>
      </w:r>
      <w:r>
        <w:rPr>
          <w:rFonts w:ascii="Verdana" w:hAnsi="Verdana" w:cs="Arial"/>
        </w:rPr>
        <w:t xml:space="preserve">: </w:t>
      </w:r>
    </w:p>
    <w:p w14:paraId="4E864691" w14:textId="77777777" w:rsidR="00736161" w:rsidRPr="00343E12" w:rsidRDefault="00736161" w:rsidP="00736161">
      <w:pPr>
        <w:spacing w:after="0" w:line="240" w:lineRule="auto"/>
        <w:ind w:left="709" w:right="709"/>
        <w:jc w:val="both"/>
        <w:rPr>
          <w:rFonts w:ascii="Verdana" w:eastAsia="Aptos" w:hAnsi="Verdana" w:cs="Arial"/>
          <w:sz w:val="20"/>
          <w:szCs w:val="20"/>
        </w:rPr>
      </w:pPr>
      <w:r>
        <w:rPr>
          <w:rFonts w:ascii="Verdana" w:hAnsi="Verdana" w:cs="Arial"/>
          <w:sz w:val="20"/>
          <w:szCs w:val="20"/>
          <w:lang w:val="es-MX"/>
        </w:rPr>
        <w:t>“</w:t>
      </w: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104DF974" w14:textId="77777777" w:rsidR="00736161" w:rsidRPr="00343E12" w:rsidRDefault="00736161" w:rsidP="00736161">
      <w:pPr>
        <w:spacing w:after="0" w:line="240" w:lineRule="auto"/>
        <w:ind w:left="709" w:right="709"/>
        <w:jc w:val="both"/>
        <w:rPr>
          <w:rFonts w:ascii="Verdana" w:eastAsia="Aptos" w:hAnsi="Verdana" w:cs="Arial"/>
          <w:sz w:val="20"/>
          <w:szCs w:val="20"/>
        </w:rPr>
      </w:pPr>
    </w:p>
    <w:p w14:paraId="1A678347" w14:textId="77777777" w:rsidR="00736161" w:rsidRPr="00343E12" w:rsidRDefault="00736161" w:rsidP="00736161">
      <w:pPr>
        <w:spacing w:after="0" w:line="240" w:lineRule="auto"/>
        <w:ind w:left="709" w:right="709"/>
        <w:jc w:val="both"/>
        <w:rPr>
          <w:rFonts w:ascii="Verdana" w:eastAsia="Aptos" w:hAnsi="Verdana" w:cs="Arial"/>
          <w:sz w:val="20"/>
          <w:szCs w:val="20"/>
        </w:rPr>
      </w:pPr>
      <w:proofErr w:type="spellStart"/>
      <w:r w:rsidRPr="00343E12">
        <w:rPr>
          <w:rFonts w:ascii="Verdana" w:eastAsia="Aptos" w:hAnsi="Verdana" w:cs="Arial"/>
          <w:sz w:val="20"/>
          <w:szCs w:val="20"/>
        </w:rPr>
        <w:t>ii</w:t>
      </w:r>
      <w:proofErr w:type="spellEnd"/>
      <w:r w:rsidRPr="00343E12">
        <w:rPr>
          <w:rFonts w:ascii="Verdana" w:eastAsia="Aptos"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023EDBF" w14:textId="77777777" w:rsidR="00736161" w:rsidRPr="00343E12" w:rsidRDefault="00736161" w:rsidP="00736161">
      <w:pPr>
        <w:spacing w:after="120" w:line="23" w:lineRule="atLeast"/>
        <w:ind w:left="709" w:right="709" w:firstLine="709"/>
        <w:jc w:val="both"/>
        <w:rPr>
          <w:rFonts w:ascii="Verdana" w:eastAsia="Aptos" w:hAnsi="Verdana" w:cs="Arial"/>
        </w:rPr>
      </w:pPr>
    </w:p>
    <w:p w14:paraId="4D647FA5" w14:textId="77777777" w:rsidR="00736161" w:rsidRDefault="00736161" w:rsidP="003479FD">
      <w:pPr>
        <w:spacing w:after="120" w:line="276" w:lineRule="auto"/>
        <w:ind w:firstLine="709"/>
        <w:jc w:val="both"/>
        <w:rPr>
          <w:rFonts w:ascii="Verdana" w:eastAsia="Arial" w:hAnsi="Verdana" w:cs="Arial"/>
          <w:i/>
          <w:iCs/>
          <w:lang w:eastAsia="es-ES" w:bidi="es-ES"/>
        </w:rPr>
      </w:pPr>
      <w:r>
        <w:rPr>
          <w:rFonts w:ascii="Verdana" w:eastAsia="Arial" w:hAnsi="Verdana" w:cs="Arial"/>
          <w:lang w:val="es-MX" w:eastAsia="es-ES" w:bidi="es-ES"/>
        </w:rPr>
        <w:t xml:space="preserve">De conformidad con los argumentos de dicha providencia, se parte de la distinción entre los conceptos </w:t>
      </w:r>
      <w:r>
        <w:rPr>
          <w:rFonts w:ascii="Verdana" w:eastAsia="Arial" w:hAnsi="Verdana" w:cs="Arial"/>
          <w:lang w:eastAsia="es-ES" w:bidi="es-ES"/>
        </w:rPr>
        <w:t xml:space="preserve">de “convenio” y “contrato” interadministrativos, </w:t>
      </w:r>
      <w:r>
        <w:rPr>
          <w:rFonts w:ascii="Verdana" w:eastAsia="Arial" w:hAnsi="Verdana" w:cs="Arial"/>
          <w:lang w:eastAsia="es-ES" w:bidi="es-ES"/>
        </w:rPr>
        <w:lastRenderedPageBreak/>
        <w:t>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Pr>
          <w:rFonts w:ascii="Verdana" w:eastAsia="Arial" w:hAnsi="Verdana" w:cs="Arial"/>
          <w:lang w:eastAsia="es-ES" w:bidi="es-ES"/>
        </w:rPr>
        <w:t xml:space="preserve">En este sentido, en relación con el parágrafo del artículo 38 de la Ley 996 de 2005 concluyó que </w:t>
      </w:r>
      <w:r>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381ACD1" w14:textId="77777777" w:rsidR="00736161" w:rsidRDefault="00736161" w:rsidP="003479FD">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De igual manera, mediante auto del 6 de noviembre de 2025, el Consejo de Estado, Subsección A de la Sección Tercera, decretó</w:t>
      </w:r>
      <w:r>
        <w:rPr>
          <w:rFonts w:ascii="Verdana" w:eastAsia="Arial" w:hAnsi="Verdana" w:cs="Arial"/>
          <w:b/>
          <w:bCs/>
          <w:lang w:eastAsia="es-ES" w:bidi="es-ES"/>
        </w:rPr>
        <w:t xml:space="preserve"> </w:t>
      </w:r>
      <w:r>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Pr>
          <w:rFonts w:ascii="Verdana" w:eastAsia="Arial" w:hAnsi="Verdana" w:cs="Arial"/>
          <w:vertAlign w:val="superscript"/>
          <w:lang w:eastAsia="es-ES" w:bidi="es-ES"/>
        </w:rPr>
        <w:footnoteReference w:id="17"/>
      </w:r>
      <w:r>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Pr>
          <w:rFonts w:ascii="Verdana" w:eastAsia="Arial" w:hAnsi="Verdana" w:cs="Arial"/>
          <w:lang w:eastAsia="es-ES" w:bidi="es-ES"/>
        </w:rPr>
        <w:t>legis</w:t>
      </w:r>
      <w:proofErr w:type="spellEnd"/>
      <w:r>
        <w:rPr>
          <w:rFonts w:ascii="Verdana" w:eastAsia="Arial" w:hAnsi="Verdana" w:cs="Arial"/>
          <w:lang w:eastAsia="es-ES" w:bidi="es-ES"/>
        </w:rPr>
        <w:t xml:space="preserve"> o iuris y la interpretación </w:t>
      </w:r>
      <w:r>
        <w:rPr>
          <w:rFonts w:ascii="Verdana" w:eastAsia="Arial" w:hAnsi="Verdana" w:cs="Arial"/>
          <w:lang w:eastAsia="es-ES" w:bidi="es-ES"/>
        </w:rPr>
        <w:lastRenderedPageBreak/>
        <w:t xml:space="preserve">extensiva y reiteró los argumentos sobre la diferencia entre contratos y convenios interadministrativos. </w:t>
      </w:r>
    </w:p>
    <w:p w14:paraId="40CF9987" w14:textId="77777777" w:rsidR="00736161" w:rsidRDefault="00736161" w:rsidP="003479FD">
      <w:pPr>
        <w:spacing w:after="120" w:line="276" w:lineRule="auto"/>
        <w:ind w:firstLine="709"/>
        <w:jc w:val="both"/>
        <w:rPr>
          <w:rFonts w:ascii="Verdana" w:eastAsia="Times New Roman" w:hAnsi="Verdana" w:cs="Times New Roman"/>
          <w:lang w:eastAsia="es-ES"/>
        </w:rPr>
      </w:pPr>
      <w:r>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5D575D4" w14:textId="1AB6BB61" w:rsidR="00DC7DAF" w:rsidRDefault="00736161" w:rsidP="003479FD">
      <w:pPr>
        <w:spacing w:after="120" w:line="276" w:lineRule="auto"/>
        <w:ind w:firstLine="709"/>
        <w:jc w:val="both"/>
        <w:rPr>
          <w:rFonts w:ascii="Verdana" w:eastAsia="Times New Roman" w:hAnsi="Verdana" w:cs="Times New Roman"/>
          <w:lang w:eastAsia="es-ES"/>
        </w:rPr>
      </w:pPr>
      <w:r>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Pr>
          <w:rStyle w:val="Refdenotaalpie"/>
          <w:rFonts w:ascii="Verdana" w:eastAsia="Times New Roman" w:hAnsi="Verdana" w:cs="Times New Roman"/>
          <w:lang w:eastAsia="es-ES"/>
        </w:rPr>
        <w:footnoteReference w:id="18"/>
      </w:r>
      <w:r>
        <w:rPr>
          <w:rFonts w:ascii="Verdana" w:eastAsia="Times New Roman" w:hAnsi="Verdana" w:cs="Times New Roman"/>
          <w:lang w:eastAsia="es-ES"/>
        </w:rPr>
        <w:t xml:space="preserve">. Sobre el </w:t>
      </w:r>
      <w:r>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9351BFA" w14:textId="77777777" w:rsidR="00736161" w:rsidRPr="00534313" w:rsidRDefault="00736161" w:rsidP="003479FD">
      <w:pPr>
        <w:spacing w:after="120" w:line="276" w:lineRule="auto"/>
        <w:ind w:firstLine="709"/>
        <w:jc w:val="both"/>
        <w:rPr>
          <w:rFonts w:ascii="Verdana" w:eastAsia="Times New Roman" w:hAnsi="Verdana" w:cs="Arial"/>
          <w:lang w:eastAsia="es-CO"/>
        </w:rPr>
      </w:pPr>
      <w:r w:rsidRPr="00534313">
        <w:rPr>
          <w:rFonts w:ascii="Verdana" w:eastAsia="Times New Roman" w:hAnsi="Verdana" w:cs="Arial"/>
          <w:lang w:eastAsia="es-CO"/>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534313">
        <w:rPr>
          <w:rFonts w:ascii="Verdana" w:eastAsia="Times New Roman" w:hAnsi="Verdana" w:cs="Arial"/>
          <w:i/>
          <w:iCs/>
          <w:lang w:eastAsia="es-CO"/>
        </w:rPr>
        <w:t>contratos interadministrativos</w:t>
      </w:r>
      <w:r w:rsidRPr="00534313">
        <w:rPr>
          <w:rFonts w:ascii="Verdana" w:eastAsia="Times New Roman" w:hAnsi="Verdana" w:cs="Arial"/>
          <w:lang w:eastAsia="es-CO"/>
        </w:rPr>
        <w:t>, esta prohibición solo aplicaría a los convenios interadministrativos que impliquen la ejecución de recursos públicos</w:t>
      </w:r>
      <w:r w:rsidRPr="00534313">
        <w:rPr>
          <w:rFonts w:ascii="Verdana" w:eastAsia="Times New Roman" w:hAnsi="Verdana" w:cs="Arial"/>
          <w:vertAlign w:val="superscript"/>
          <w:lang w:eastAsia="es-CO"/>
        </w:rPr>
        <w:footnoteReference w:id="19"/>
      </w:r>
      <w:r w:rsidRPr="00534313">
        <w:rPr>
          <w:rFonts w:ascii="Verdana" w:eastAsia="Times New Roman" w:hAnsi="Verdana" w:cs="Arial"/>
          <w:lang w:eastAsia="es-CO"/>
        </w:rPr>
        <w:t xml:space="preserve">. Conforme a lo señalado por el Consejo de Estado, cuando dos entidades públicas celebren un </w:t>
      </w:r>
      <w:r w:rsidRPr="00534313">
        <w:rPr>
          <w:rFonts w:ascii="Verdana" w:eastAsia="Times New Roman" w:hAnsi="Verdana" w:cs="Arial"/>
          <w:i/>
          <w:iCs/>
          <w:lang w:eastAsia="es-CO"/>
        </w:rPr>
        <w:t>contrato interadministrativo,</w:t>
      </w:r>
      <w:r w:rsidRPr="00534313">
        <w:rPr>
          <w:rFonts w:ascii="Verdana" w:eastAsia="Times New Roman" w:hAnsi="Verdana" w:cs="Arial"/>
          <w:lang w:eastAsia="es-CO"/>
        </w:rPr>
        <w:t xml:space="preserve"> independientemente del objeto, dicho contrato puede suscribirse durante el periodo preelectoral.</w:t>
      </w:r>
    </w:p>
    <w:p w14:paraId="657F2979" w14:textId="77777777" w:rsidR="00736161" w:rsidRPr="00534313" w:rsidRDefault="00736161" w:rsidP="003479FD">
      <w:pPr>
        <w:spacing w:after="120" w:line="276" w:lineRule="auto"/>
        <w:ind w:firstLine="709"/>
        <w:jc w:val="both"/>
        <w:rPr>
          <w:rFonts w:ascii="Verdana" w:eastAsia="Times New Roman" w:hAnsi="Verdana" w:cs="Arial"/>
          <w:lang w:eastAsia="es-CO"/>
        </w:rPr>
      </w:pPr>
      <w:r w:rsidRPr="00534313">
        <w:rPr>
          <w:rFonts w:ascii="Verdana" w:eastAsia="Times New Roman" w:hAnsi="Verdana" w:cs="Arial"/>
          <w:lang w:eastAsia="es-CO"/>
        </w:rPr>
        <w:t xml:space="preserve">En este aspecto, se encuentra que la restricción para la celebración de convenios interadministrativos para la ejecución de recursos públicos no puede aludirse a contratantes o contratistas, sino de partes cooperantes o </w:t>
      </w:r>
      <w:r w:rsidRPr="00534313">
        <w:rPr>
          <w:rFonts w:ascii="Verdana" w:eastAsia="Times New Roman" w:hAnsi="Verdana" w:cs="Arial"/>
          <w:lang w:eastAsia="es-CO"/>
        </w:rPr>
        <w:lastRenderedPageBreak/>
        <w:t>colaboradoras. Así mismo, aplica para cualquier tipo de elección, lo que implica que la restricción del parágrafo del artículo 38</w:t>
      </w:r>
      <w:r w:rsidRPr="00534313">
        <w:rPr>
          <w:rFonts w:ascii="Verdana" w:eastAsia="Times New Roman" w:hAnsi="Verdana" w:cs="Arial"/>
          <w:bCs/>
          <w:lang w:val="es-MX" w:eastAsia="es-CO"/>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5A66F720" w14:textId="77777777" w:rsidR="00736161" w:rsidRPr="00534313" w:rsidRDefault="00736161" w:rsidP="003479FD">
      <w:pPr>
        <w:spacing w:after="120" w:line="276" w:lineRule="auto"/>
        <w:ind w:firstLine="709"/>
        <w:jc w:val="both"/>
        <w:rPr>
          <w:rFonts w:ascii="Verdana" w:eastAsia="Times New Roman" w:hAnsi="Verdana" w:cs="Arial"/>
          <w:lang w:eastAsia="es-CO"/>
        </w:rPr>
      </w:pPr>
      <w:r w:rsidRPr="00534313">
        <w:rPr>
          <w:rFonts w:ascii="Verdana" w:eastAsia="Times New Roman" w:hAnsi="Verdana" w:cs="Arial"/>
          <w:lang w:eastAsia="es-CO"/>
        </w:rPr>
        <w:t xml:space="preserve"> No obstante, es importante mencionar que aún se encuentra por definir la demanda </w:t>
      </w:r>
      <w:r w:rsidRPr="00534313">
        <w:rPr>
          <w:rFonts w:ascii="Verdana" w:eastAsia="Times New Roman" w:hAnsi="Verdana" w:cs="Arial"/>
          <w:lang w:val="es-ES" w:eastAsia="es-CO"/>
        </w:rPr>
        <w:t xml:space="preserve">de nulidad simple, identificada con el Radicado número 11001-03-26-000-2025-00016-00, en la cual se cuestiona </w:t>
      </w:r>
      <w:r w:rsidRPr="00534313">
        <w:rPr>
          <w:rFonts w:ascii="Verdana" w:eastAsia="Times New Roman" w:hAnsi="Verdana" w:cs="Arial"/>
          <w:lang w:eastAsia="es-CO"/>
        </w:rPr>
        <w:t>parcialmente el numeral 16.2 de la Circular Externa Única CCE-EICP-MA-06, Versión 03 del 27 de diciembre de 2023.</w:t>
      </w:r>
      <w:r w:rsidRPr="00534313">
        <w:rPr>
          <w:rFonts w:ascii="Verdana" w:eastAsia="Times New Roman" w:hAnsi="Verdana" w:cs="Arial"/>
          <w:lang w:val="es-ES" w:eastAsia="es-CO"/>
        </w:rPr>
        <w:t xml:space="preserve"> </w:t>
      </w:r>
      <w:r w:rsidRPr="00534313">
        <w:rPr>
          <w:rFonts w:ascii="Verdana" w:eastAsia="Times New Roman" w:hAnsi="Verdana" w:cs="Arial"/>
          <w:bCs/>
          <w:lang w:eastAsia="es-CO"/>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534313">
        <w:rPr>
          <w:rFonts w:ascii="Verdana" w:eastAsia="Times New Roman" w:hAnsi="Verdana" w:cs="Arial"/>
          <w:lang w:eastAsia="es-CO"/>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3B235D3E" w14:textId="77777777" w:rsidR="00736161" w:rsidRPr="005639B7" w:rsidRDefault="00736161" w:rsidP="003479FD">
      <w:pPr>
        <w:spacing w:after="120" w:line="276" w:lineRule="auto"/>
        <w:ind w:firstLine="709"/>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bookmarkStart w:id="6" w:name="_Hlk215234154"/>
    </w:p>
    <w:p w14:paraId="56BCEC76" w14:textId="77777777" w:rsidR="00736161" w:rsidRPr="00343E12" w:rsidRDefault="00736161" w:rsidP="003479FD">
      <w:pPr>
        <w:spacing w:after="120" w:line="276" w:lineRule="auto"/>
        <w:ind w:firstLine="709"/>
        <w:jc w:val="both"/>
        <w:rPr>
          <w:rFonts w:ascii="Verdana" w:eastAsia="Aptos" w:hAnsi="Verdana" w:cs="Arial"/>
          <w:bCs/>
          <w:color w:val="000000"/>
        </w:rPr>
      </w:pPr>
      <w:r w:rsidRPr="00343E12">
        <w:rPr>
          <w:rFonts w:ascii="Verdana" w:eastAsia="Aptos" w:hAnsi="Verdana" w:cs="Arial"/>
          <w:bCs/>
          <w:color w:val="000000"/>
        </w:rPr>
        <w:t xml:space="preserve">Dentro de este marco, la entidad contratante definirá en cada caso concreto lo relacionado con el tema objeto de consulta. Al tratarse de un análisis </w:t>
      </w:r>
      <w:r w:rsidRPr="00343E12">
        <w:rPr>
          <w:rFonts w:ascii="Verdana" w:eastAsia="Aptos" w:hAnsi="Verdana" w:cs="Arial"/>
          <w:bCs/>
          <w:color w:val="000000"/>
        </w:rPr>
        <w:lastRenderedPageBreak/>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End w:id="6"/>
      <w:r w:rsidRPr="00343E12">
        <w:rPr>
          <w:rFonts w:ascii="Verdana" w:eastAsia="Aptos" w:hAnsi="Verdana" w:cs="Arial"/>
          <w:bCs/>
          <w:color w:val="000000"/>
        </w:rPr>
        <w:t xml:space="preserve"> </w:t>
      </w:r>
    </w:p>
    <w:p w14:paraId="297E9D35" w14:textId="77777777" w:rsidR="00736161" w:rsidRDefault="00736161" w:rsidP="00736161">
      <w:pPr>
        <w:tabs>
          <w:tab w:val="left" w:pos="142"/>
          <w:tab w:val="left" w:pos="284"/>
        </w:tabs>
        <w:spacing w:after="0" w:line="276" w:lineRule="auto"/>
        <w:rPr>
          <w:rFonts w:ascii="Verdana" w:eastAsia="Century Gothic" w:hAnsi="Verdana" w:cs="Century Gothic"/>
          <w:b/>
          <w:bCs/>
        </w:rPr>
      </w:pPr>
      <w:r w:rsidRPr="00805B99">
        <w:rPr>
          <w:rFonts w:ascii="Verdana" w:eastAsia="Century Gothic" w:hAnsi="Verdana" w:cs="Century Gothic"/>
          <w:b/>
          <w:bCs/>
        </w:rPr>
        <w:t>4. Referencias normativas:</w:t>
      </w:r>
      <w:bookmarkEnd w:id="0"/>
    </w:p>
    <w:p w14:paraId="7961C3FB" w14:textId="77777777" w:rsidR="00736161" w:rsidRPr="0007648E" w:rsidRDefault="00736161" w:rsidP="00736161">
      <w:pPr>
        <w:tabs>
          <w:tab w:val="left" w:pos="142"/>
          <w:tab w:val="left" w:pos="284"/>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36161" w:rsidRPr="000F126F" w14:paraId="053DB89C" w14:textId="77777777" w:rsidTr="005F09E0">
        <w:trPr>
          <w:trHeight w:val="870"/>
          <w:jc w:val="center"/>
        </w:trPr>
        <w:tc>
          <w:tcPr>
            <w:tcW w:w="8647" w:type="dxa"/>
          </w:tcPr>
          <w:p w14:paraId="36A86A32" w14:textId="77777777" w:rsidR="00736161" w:rsidRPr="000E2A3A"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Constitución Política de Colombia. Artículos: 127 y 197. </w:t>
            </w:r>
          </w:p>
          <w:p w14:paraId="75FEDD4C" w14:textId="77777777" w:rsidR="00736161" w:rsidRPr="000E2A3A"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Ley 80 de 1993. Artículos: 39 y 41. </w:t>
            </w:r>
          </w:p>
          <w:p w14:paraId="4D7CA458" w14:textId="77777777" w:rsidR="00736161" w:rsidRPr="000E2A3A"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Ley 1150 de 2007. Artículo 2.  </w:t>
            </w:r>
          </w:p>
          <w:p w14:paraId="41B9A800" w14:textId="77777777" w:rsidR="00736161" w:rsidRPr="000E2A3A"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Ley 996 de 2025. Artículos: 9, 33 y 38.  </w:t>
            </w:r>
          </w:p>
          <w:p w14:paraId="0A6ECE49" w14:textId="77777777" w:rsidR="00736161" w:rsidRPr="000E2A3A"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Consejo de Estado. Sala de lo Contencioso Administrativo. Sección Primera. Sentencia de 3 de marzo de 2005. Radicado: 25001-23-15-000-2004-00823-01(PI). C.P: Camilo Arciniegas Andrade.  </w:t>
            </w:r>
          </w:p>
          <w:p w14:paraId="57EC8888" w14:textId="77777777" w:rsidR="00736161" w:rsidRPr="000E2A3A"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Consejo de Estado. Sala de Consulta y Servicio Civil. 24 de julio de 2013, radicado: 11001-03-06-000-2013-00407-00 (2166). C.P. Álvaro Namén Vargas. </w:t>
            </w:r>
          </w:p>
          <w:p w14:paraId="283EA439" w14:textId="77777777" w:rsidR="00736161" w:rsidRPr="000E2A3A"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Consejo de Estado. Sala de Consulta y Servicio Civil. Concepto del 17 de febrero de 2015. Radicado: 11001-03-06-000-2015-00164-00 (2269). C.P. William Zambrano Cetina. </w:t>
            </w:r>
          </w:p>
          <w:p w14:paraId="062ED7E2" w14:textId="77777777" w:rsidR="00736161"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Consejo de Estado. Sala de Consulta y Servicio Civil. Concepto del 2 de septiembre de 2013. Radicación: 11001-03-06-000-2013-00412-00 (2168). Consejero Ponente: Álvaro Namén Vargas. </w:t>
            </w:r>
          </w:p>
          <w:p w14:paraId="4E1C9CEB" w14:textId="77777777" w:rsidR="00736161" w:rsidRPr="00A418DB"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143132">
              <w:rPr>
                <w:rFonts w:ascii="Verdana" w:eastAsia="Times New Roman" w:hAnsi="Verdana" w:cs="Times New Roman"/>
                <w:lang w:val="es-ES" w:eastAsia="es-ES"/>
              </w:rPr>
              <w:t xml:space="preserve">Consejo de Estado. Sala de lo Contencioso Administrativo. Sección Tercera. Subsección B. </w:t>
            </w:r>
            <w:r w:rsidRPr="000A4A44">
              <w:rPr>
                <w:rFonts w:ascii="Verdana" w:eastAsia="Times New Roman" w:hAnsi="Verdana" w:cs="Times New Roman"/>
                <w:lang w:eastAsia="es-ES"/>
              </w:rPr>
              <w:t>Sentencia del</w:t>
            </w:r>
            <w:r>
              <w:rPr>
                <w:rFonts w:ascii="Verdana" w:eastAsia="Times New Roman" w:hAnsi="Verdana" w:cs="Times New Roman"/>
                <w:lang w:eastAsia="es-ES"/>
              </w:rPr>
              <w:t xml:space="preserve"> </w:t>
            </w:r>
            <w:r>
              <w:rPr>
                <w:rFonts w:ascii="Verdana" w:eastAsia="Times New Roman" w:hAnsi="Verdana" w:cs="Times New Roman"/>
                <w:lang w:val="es-ES" w:eastAsia="es-ES"/>
              </w:rPr>
              <w:t>04</w:t>
            </w:r>
            <w:r w:rsidRPr="00143132">
              <w:rPr>
                <w:rFonts w:ascii="Verdana" w:eastAsia="Times New Roman" w:hAnsi="Verdana" w:cs="Times New Roman"/>
                <w:lang w:val="es-ES" w:eastAsia="es-ES"/>
              </w:rPr>
              <w:t xml:space="preserve"> de octubre de 202</w:t>
            </w:r>
            <w:r>
              <w:rPr>
                <w:rFonts w:ascii="Verdana" w:eastAsia="Times New Roman" w:hAnsi="Verdana" w:cs="Times New Roman"/>
                <w:lang w:val="es-ES" w:eastAsia="es-ES"/>
              </w:rPr>
              <w:t>4</w:t>
            </w:r>
            <w:r w:rsidRPr="00143132">
              <w:rPr>
                <w:rFonts w:ascii="Verdana" w:eastAsia="Times New Roman" w:hAnsi="Verdana" w:cs="Times New Roman"/>
                <w:lang w:val="es-ES" w:eastAsia="es-ES"/>
              </w:rPr>
              <w:t>.</w:t>
            </w:r>
            <w:r w:rsidRPr="001400DD">
              <w:t xml:space="preserve"> </w:t>
            </w:r>
            <w:r w:rsidRPr="001400DD">
              <w:rPr>
                <w:rFonts w:ascii="Verdana" w:eastAsia="Times New Roman" w:hAnsi="Verdana" w:cs="Times New Roman"/>
                <w:lang w:eastAsia="es-ES"/>
              </w:rPr>
              <w:t xml:space="preserve">Radicado: 11001-03-26-000-2023-00139-00 (70.313). C.P. </w:t>
            </w:r>
            <w:r w:rsidRPr="00A418DB">
              <w:rPr>
                <w:rFonts w:ascii="Verdana" w:eastAsia="Times New Roman" w:hAnsi="Verdana" w:cs="Times New Roman"/>
                <w:lang w:eastAsia="es-ES"/>
              </w:rPr>
              <w:t>Fredy Ibarra Martínez</w:t>
            </w:r>
            <w:r>
              <w:rPr>
                <w:rFonts w:ascii="Verdana" w:eastAsia="Times New Roman" w:hAnsi="Verdana" w:cs="Times New Roman"/>
                <w:lang w:eastAsia="es-ES"/>
              </w:rPr>
              <w:t>.</w:t>
            </w:r>
          </w:p>
          <w:p w14:paraId="3ABCB678" w14:textId="77777777" w:rsidR="00736161"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F79F9">
              <w:rPr>
                <w:rFonts w:ascii="Verdana" w:eastAsia="Arial MT" w:hAnsi="Verdana" w:cs="Arial"/>
                <w:lang w:eastAsia="es-ES" w:bidi="es-ES"/>
              </w:rPr>
              <w:t>Consejo de Estado. Sala de lo Contencioso Administrativo. Sección Tercera. Subsección A. Sentencia del 13 de noviembre de 2013. Radicado: 25000-23-26-000-1999-02197-01 (25646). C.P. Mauricio Fajardo Gómez.  </w:t>
            </w:r>
          </w:p>
          <w:p w14:paraId="74B0DDED" w14:textId="77777777" w:rsidR="00736161" w:rsidRPr="00760CA8" w:rsidRDefault="00736161" w:rsidP="00736161">
            <w:pPr>
              <w:widowControl w:val="0"/>
              <w:numPr>
                <w:ilvl w:val="0"/>
                <w:numId w:val="17"/>
              </w:numPr>
              <w:autoSpaceDE w:val="0"/>
              <w:autoSpaceDN w:val="0"/>
              <w:spacing w:before="120" w:after="120" w:line="259" w:lineRule="auto"/>
              <w:jc w:val="both"/>
              <w:rPr>
                <w:rFonts w:ascii="Verdana" w:eastAsia="Arial MT" w:hAnsi="Verdana" w:cs="Arial"/>
                <w:lang w:eastAsia="es-ES" w:bidi="es-ES"/>
              </w:rPr>
            </w:pPr>
            <w:r w:rsidRPr="00760CA8">
              <w:rPr>
                <w:rFonts w:ascii="Verdana" w:eastAsia="Arial MT" w:hAnsi="Verdana" w:cs="Arial"/>
                <w:lang w:eastAsia="es-ES" w:bidi="es-ES"/>
              </w:rPr>
              <w:t>Consejo de Estado. Sala de lo Contencioso Administrativo. Sección Tercera. Subsección B. 13 de noviembre de 2024. Radicado: 11001-</w:t>
            </w:r>
            <w:r w:rsidRPr="00760CA8">
              <w:rPr>
                <w:rFonts w:ascii="Verdana" w:eastAsia="Arial MT" w:hAnsi="Verdana" w:cs="Arial"/>
                <w:lang w:eastAsia="es-ES" w:bidi="es-ES"/>
              </w:rPr>
              <w:lastRenderedPageBreak/>
              <w:t>03-26-000-2023-00139-00 (70.313). C.P. Fredy Ibarra Martínez.</w:t>
            </w:r>
          </w:p>
          <w:p w14:paraId="403EC01D" w14:textId="77777777" w:rsidR="00736161" w:rsidRPr="000E2A3A" w:rsidRDefault="00736161" w:rsidP="00736161">
            <w:pPr>
              <w:widowControl w:val="0"/>
              <w:numPr>
                <w:ilvl w:val="0"/>
                <w:numId w:val="17"/>
              </w:numPr>
              <w:autoSpaceDE w:val="0"/>
              <w:autoSpaceDN w:val="0"/>
              <w:spacing w:before="120" w:after="120" w:line="259" w:lineRule="auto"/>
              <w:jc w:val="both"/>
              <w:rPr>
                <w:rFonts w:ascii="Verdana" w:eastAsia="Arial MT" w:hAnsi="Verdana" w:cs="Arial"/>
                <w:lang w:eastAsia="es-ES" w:bidi="es-ES"/>
              </w:rPr>
            </w:pPr>
            <w:r w:rsidRPr="00760CA8">
              <w:rPr>
                <w:rFonts w:ascii="Verdana" w:eastAsia="Arial MT" w:hAnsi="Verdana" w:cs="Arial"/>
                <w:lang w:eastAsia="es-ES" w:bidi="es-ES"/>
              </w:rPr>
              <w:t>Consejo de Estado. Sala de lo Contencioso Administrativo. Sección Tercera. Subsección B. 06 de noviembre de 2025. Radicado: 11001-03-26-000-2025-00016-00 (72.424). C.P. Fernando Alexei Pardo Flórez.</w:t>
            </w:r>
          </w:p>
          <w:p w14:paraId="425CEB7B" w14:textId="77777777" w:rsidR="00736161" w:rsidRPr="00343E12" w:rsidRDefault="00736161" w:rsidP="00736161">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C-1153 de 2005 de 11 de noviembre de 2005. M.P: Marco Gerardo Monroy Cabra.</w:t>
            </w:r>
          </w:p>
          <w:p w14:paraId="01C2AA73" w14:textId="77777777" w:rsidR="00736161" w:rsidRPr="00343E12" w:rsidRDefault="00736161" w:rsidP="00736161">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C-233 de 4 de abril de 2002. M.P: Álvaro Tafur Galvis.</w:t>
            </w:r>
          </w:p>
          <w:p w14:paraId="2411AC4F" w14:textId="77777777" w:rsidR="00736161" w:rsidRPr="00343E12" w:rsidRDefault="00736161" w:rsidP="00736161">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C-551 de 9 de julio de 2003. M.P: Eduardo Montealegre Lynnet.</w:t>
            </w:r>
          </w:p>
          <w:p w14:paraId="550C24D2" w14:textId="77777777" w:rsidR="00736161" w:rsidRPr="00343E12" w:rsidRDefault="00736161" w:rsidP="00736161">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Corte Constitucional. Sentencia C-353 de 20 de mayo de 2009. M.P: Jorge Iván Palacio </w:t>
            </w:r>
            <w:proofErr w:type="spellStart"/>
            <w:r w:rsidRPr="00343E12">
              <w:rPr>
                <w:rFonts w:ascii="Verdana" w:eastAsia="Times New Roman" w:hAnsi="Verdana" w:cs="Arial"/>
                <w:color w:val="000000"/>
                <w:lang w:eastAsia="es-CO"/>
              </w:rPr>
              <w:t>Palacio</w:t>
            </w:r>
            <w:proofErr w:type="spellEnd"/>
            <w:r w:rsidRPr="00343E12">
              <w:rPr>
                <w:rFonts w:ascii="Verdana" w:eastAsia="Times New Roman" w:hAnsi="Verdana" w:cs="Arial"/>
                <w:color w:val="000000"/>
                <w:lang w:eastAsia="es-CO"/>
              </w:rPr>
              <w:t>.</w:t>
            </w:r>
          </w:p>
          <w:p w14:paraId="4DED8021" w14:textId="77777777" w:rsidR="00736161" w:rsidRPr="00343E12" w:rsidRDefault="00736161" w:rsidP="00736161">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C-541 de 30 de junio de 2010. M.P: Gabriel Eduardo Mendoza Martelo.</w:t>
            </w:r>
          </w:p>
          <w:p w14:paraId="2B5944C9" w14:textId="77777777" w:rsidR="00736161" w:rsidRPr="000E2A3A" w:rsidRDefault="00736161" w:rsidP="00736161">
            <w:pPr>
              <w:widowControl w:val="0"/>
              <w:numPr>
                <w:ilvl w:val="0"/>
                <w:numId w:val="17"/>
              </w:numPr>
              <w:autoSpaceDE w:val="0"/>
              <w:autoSpaceDN w:val="0"/>
              <w:spacing w:before="120" w:after="120"/>
              <w:jc w:val="both"/>
              <w:rPr>
                <w:rFonts w:ascii="Verdana" w:eastAsia="Arial MT" w:hAnsi="Verdana" w:cs="Arial"/>
                <w:lang w:eastAsia="es-ES" w:bidi="es-ES"/>
              </w:rPr>
            </w:pPr>
            <w:r w:rsidRPr="000E2A3A">
              <w:rPr>
                <w:rFonts w:ascii="Verdana" w:eastAsia="Arial MT" w:hAnsi="Verdana" w:cs="Arial"/>
                <w:lang w:eastAsia="es-ES" w:bidi="es-ES"/>
              </w:rPr>
              <w:t>Circular única Externa. En </w:t>
            </w:r>
            <w:hyperlink r:id="rId12" w:tgtFrame="_blank" w:history="1">
              <w:r w:rsidRPr="000E2A3A">
                <w:rPr>
                  <w:rStyle w:val="Hipervnculo"/>
                  <w:rFonts w:ascii="Verdana" w:eastAsia="Arial MT" w:hAnsi="Verdana" w:cs="Arial"/>
                  <w:lang w:eastAsia="es-ES" w:bidi="es-ES"/>
                </w:rPr>
                <w:t>circular_externa_unica_version_3_vf49.pdf</w:t>
              </w:r>
            </w:hyperlink>
            <w:r w:rsidRPr="000E2A3A">
              <w:rPr>
                <w:rFonts w:ascii="Verdana" w:eastAsia="Arial MT" w:hAnsi="Verdana" w:cs="Arial"/>
                <w:lang w:eastAsia="es-ES" w:bidi="es-ES"/>
              </w:rPr>
              <w:t> </w:t>
            </w:r>
          </w:p>
          <w:p w14:paraId="1AB0A1D9" w14:textId="77777777" w:rsidR="00736161" w:rsidRPr="0059477D" w:rsidRDefault="00736161" w:rsidP="00A21201">
            <w:pPr>
              <w:snapToGrid w:val="0"/>
              <w:spacing w:line="276" w:lineRule="auto"/>
              <w:ind w:left="360"/>
              <w:jc w:val="both"/>
              <w:rPr>
                <w:rFonts w:ascii="Verdana" w:eastAsia="Aptos" w:hAnsi="Verdana" w:cs="Arial"/>
                <w:lang w:val="es-ES_tradnl"/>
              </w:rPr>
            </w:pPr>
          </w:p>
        </w:tc>
      </w:tr>
    </w:tbl>
    <w:p w14:paraId="2BDFE3AF" w14:textId="77777777" w:rsidR="00736161" w:rsidRPr="000F126F" w:rsidRDefault="00736161" w:rsidP="00736161">
      <w:pPr>
        <w:widowControl w:val="0"/>
        <w:autoSpaceDE w:val="0"/>
        <w:autoSpaceDN w:val="0"/>
        <w:spacing w:after="0" w:line="276" w:lineRule="auto"/>
        <w:jc w:val="both"/>
        <w:rPr>
          <w:rFonts w:ascii="Verdana" w:hAnsi="Verdana" w:cs="Arial"/>
        </w:rPr>
      </w:pPr>
    </w:p>
    <w:p w14:paraId="472E6E17" w14:textId="77777777" w:rsidR="00736161" w:rsidRDefault="00736161" w:rsidP="00736161">
      <w:pPr>
        <w:tabs>
          <w:tab w:val="left" w:pos="142"/>
          <w:tab w:val="left" w:pos="284"/>
        </w:tabs>
        <w:spacing w:after="0" w:line="276" w:lineRule="auto"/>
        <w:jc w:val="both"/>
        <w:rPr>
          <w:rFonts w:ascii="Verdana" w:eastAsia="Century Gothic" w:hAnsi="Verdana" w:cs="Century Gothic"/>
          <w:b/>
          <w:bCs/>
        </w:rPr>
      </w:pPr>
      <w:r w:rsidRPr="00805B99">
        <w:rPr>
          <w:rFonts w:ascii="Verdana" w:eastAsia="Century Gothic" w:hAnsi="Verdana" w:cs="Century Gothic"/>
          <w:b/>
          <w:bCs/>
        </w:rPr>
        <w:t>5. Doctrina de la Agencia Nacional de Contratación Pública:</w:t>
      </w:r>
    </w:p>
    <w:p w14:paraId="318F1F20" w14:textId="77777777" w:rsidR="000338F2" w:rsidRPr="00805B99" w:rsidRDefault="000338F2" w:rsidP="00736161">
      <w:pPr>
        <w:tabs>
          <w:tab w:val="left" w:pos="142"/>
          <w:tab w:val="left" w:pos="284"/>
        </w:tabs>
        <w:spacing w:after="0" w:line="276" w:lineRule="auto"/>
        <w:jc w:val="both"/>
        <w:rPr>
          <w:rFonts w:ascii="Verdana" w:eastAsia="Century Gothic" w:hAnsi="Verdana" w:cs="Century Gothic"/>
          <w:b/>
          <w:bCs/>
        </w:rPr>
      </w:pPr>
    </w:p>
    <w:p w14:paraId="5B424710" w14:textId="77777777" w:rsidR="00736161" w:rsidRDefault="00736161" w:rsidP="00736161">
      <w:pPr>
        <w:spacing w:after="0" w:line="240" w:lineRule="auto"/>
        <w:jc w:val="both"/>
        <w:rPr>
          <w:rFonts w:ascii="Verdana" w:hAnsi="Verdana" w:cs="Arial"/>
          <w:color w:val="0070C0"/>
          <w:shd w:val="clear" w:color="auto" w:fill="FFFFFF"/>
        </w:rPr>
      </w:pPr>
    </w:p>
    <w:p w14:paraId="18AD216F" w14:textId="77777777" w:rsidR="00736161" w:rsidRPr="00CC1C63" w:rsidRDefault="00736161" w:rsidP="00736161">
      <w:pPr>
        <w:spacing w:after="120" w:line="276" w:lineRule="auto"/>
        <w:jc w:val="both"/>
        <w:rPr>
          <w:rFonts w:ascii="Verdana" w:hAnsi="Verdana"/>
        </w:rPr>
      </w:pPr>
      <w:r w:rsidRPr="00CC1C63">
        <w:rPr>
          <w:rFonts w:ascii="Verdana" w:hAnsi="Verdana"/>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w:t>
      </w:r>
      <w:r w:rsidRPr="00CC1C63">
        <w:rPr>
          <w:rFonts w:ascii="Verdana" w:hAnsi="Verdana"/>
        </w:rPr>
        <w:lastRenderedPageBreak/>
        <w:t>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 – 1603 del 9 de diciembre de 2025, C-1646 del 17 de diciembre de 2025,  C-1703 del 29 de diciembre de 2025,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hyperlink r:id="rId13" w:history="1">
        <w:r w:rsidRPr="00CC1C63">
          <w:rPr>
            <w:rStyle w:val="Hipervnculo"/>
            <w:rFonts w:ascii="Verdana" w:hAnsi="Verdana"/>
          </w:rPr>
          <w:t>https://relatoria.colombiacompra.gov.co/busqueda/conceptos</w:t>
        </w:r>
      </w:hyperlink>
      <w:r w:rsidRPr="00CC1C63">
        <w:rPr>
          <w:rFonts w:ascii="Verdana" w:hAnsi="Verdana"/>
        </w:rPr>
        <w:t xml:space="preserve">. </w:t>
      </w:r>
    </w:p>
    <w:p w14:paraId="44E85306" w14:textId="77777777" w:rsidR="00736161" w:rsidRDefault="00736161" w:rsidP="00736161">
      <w:pPr>
        <w:widowControl w:val="0"/>
        <w:autoSpaceDE w:val="0"/>
        <w:autoSpaceDN w:val="0"/>
        <w:spacing w:after="0" w:line="276" w:lineRule="auto"/>
        <w:jc w:val="both"/>
        <w:rPr>
          <w:rFonts w:ascii="Verdana" w:hAnsi="Verdana" w:cs="Arial"/>
          <w:shd w:val="clear" w:color="auto" w:fill="FFFFFF"/>
        </w:rPr>
      </w:pPr>
    </w:p>
    <w:p w14:paraId="1FC5F3C2" w14:textId="77777777" w:rsidR="00736161" w:rsidRDefault="00736161" w:rsidP="00736161">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Por último, lo invitamos a seguirnos en las redes sociales en las cuales se difunde información institucional:  </w:t>
      </w:r>
    </w:p>
    <w:p w14:paraId="08252682" w14:textId="77777777" w:rsidR="00736161" w:rsidRPr="00D01FFE" w:rsidRDefault="00736161" w:rsidP="00736161">
      <w:pPr>
        <w:widowControl w:val="0"/>
        <w:autoSpaceDE w:val="0"/>
        <w:autoSpaceDN w:val="0"/>
        <w:spacing w:after="0" w:line="276" w:lineRule="auto"/>
        <w:jc w:val="both"/>
        <w:rPr>
          <w:rFonts w:ascii="Verdana" w:hAnsi="Verdana" w:cs="Arial"/>
          <w:shd w:val="clear" w:color="auto" w:fill="FFFFFF"/>
        </w:rPr>
      </w:pPr>
    </w:p>
    <w:p w14:paraId="1442F237" w14:textId="77777777" w:rsidR="00736161" w:rsidRPr="005D5DBA" w:rsidRDefault="00736161" w:rsidP="00736161">
      <w:pPr>
        <w:widowControl w:val="0"/>
        <w:autoSpaceDE w:val="0"/>
        <w:autoSpaceDN w:val="0"/>
        <w:spacing w:after="0" w:line="276" w:lineRule="auto"/>
        <w:jc w:val="both"/>
        <w:rPr>
          <w:rFonts w:ascii="Verdana" w:hAnsi="Verdana" w:cs="Arial"/>
          <w:u w:val="single"/>
          <w:shd w:val="clear" w:color="auto" w:fill="FFFFFF"/>
        </w:rPr>
      </w:pPr>
      <w:r w:rsidRPr="00D01FFE">
        <w:rPr>
          <w:rFonts w:ascii="Verdana" w:hAnsi="Verdana" w:cs="Arial"/>
          <w:shd w:val="clear" w:color="auto" w:fill="FFFFFF"/>
        </w:rPr>
        <w:t>Twitter: </w:t>
      </w:r>
      <w:r w:rsidRPr="00D01FFE">
        <w:rPr>
          <w:rFonts w:ascii="Verdana" w:hAnsi="Verdana" w:cs="Arial"/>
          <w:u w:val="single"/>
          <w:shd w:val="clear" w:color="auto" w:fill="FFFFFF"/>
        </w:rPr>
        <w:t>@colombiacompra</w:t>
      </w:r>
      <w:r w:rsidRPr="00D01FFE">
        <w:rPr>
          <w:rFonts w:ascii="Verdana" w:hAnsi="Verdana" w:cs="Arial"/>
          <w:shd w:val="clear" w:color="auto" w:fill="FFFFFF"/>
        </w:rPr>
        <w:t>  </w:t>
      </w:r>
    </w:p>
    <w:p w14:paraId="6752E92A" w14:textId="77777777" w:rsidR="00736161" w:rsidRPr="00D01FFE" w:rsidRDefault="00736161" w:rsidP="00736161">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Facebook: </w:t>
      </w:r>
      <w:r w:rsidRPr="00D01FFE">
        <w:rPr>
          <w:rFonts w:ascii="Verdana" w:hAnsi="Verdana" w:cs="Arial"/>
          <w:u w:val="single"/>
          <w:shd w:val="clear" w:color="auto" w:fill="FFFFFF"/>
        </w:rPr>
        <w:t>ColombiaCompraEficiente</w:t>
      </w:r>
      <w:r w:rsidRPr="00D01FFE">
        <w:rPr>
          <w:rFonts w:ascii="Verdana" w:hAnsi="Verdana" w:cs="Arial"/>
          <w:shd w:val="clear" w:color="auto" w:fill="FFFFFF"/>
        </w:rPr>
        <w:t> </w:t>
      </w:r>
    </w:p>
    <w:p w14:paraId="72C7F182" w14:textId="77777777" w:rsidR="00736161" w:rsidRPr="00D01FFE" w:rsidRDefault="00736161" w:rsidP="00736161">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LinkedIn: Agencia Nacional de Contratación Pública - Colombia Compra Eficiente</w:t>
      </w:r>
    </w:p>
    <w:p w14:paraId="7B88EEBA" w14:textId="77777777" w:rsidR="00736161" w:rsidRPr="00D01FFE" w:rsidRDefault="00736161" w:rsidP="00736161">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Instagram: </w:t>
      </w:r>
      <w:r w:rsidRPr="00D01FFE">
        <w:rPr>
          <w:rFonts w:ascii="Verdana" w:hAnsi="Verdana" w:cs="Arial"/>
          <w:u w:val="single"/>
          <w:shd w:val="clear" w:color="auto" w:fill="FFFFFF"/>
        </w:rPr>
        <w:t>@colombiacompraeficiente_cce</w:t>
      </w:r>
    </w:p>
    <w:p w14:paraId="4F3B41FE" w14:textId="77777777" w:rsidR="00736161" w:rsidRPr="00D01FFE" w:rsidRDefault="00736161" w:rsidP="00736161">
      <w:pPr>
        <w:widowControl w:val="0"/>
        <w:autoSpaceDE w:val="0"/>
        <w:autoSpaceDN w:val="0"/>
        <w:spacing w:after="0" w:line="276" w:lineRule="auto"/>
        <w:jc w:val="both"/>
        <w:rPr>
          <w:rFonts w:ascii="Verdana" w:hAnsi="Verdana" w:cs="Arial"/>
          <w:shd w:val="clear" w:color="auto" w:fill="FFFFFF"/>
        </w:rPr>
      </w:pPr>
    </w:p>
    <w:p w14:paraId="2F5F80D2" w14:textId="77777777" w:rsidR="00736161" w:rsidRPr="00805B99" w:rsidRDefault="00736161" w:rsidP="00736161">
      <w:pPr>
        <w:spacing w:after="0" w:line="276" w:lineRule="auto"/>
        <w:jc w:val="both"/>
        <w:rPr>
          <w:rFonts w:ascii="Verdana" w:hAnsi="Verdana"/>
        </w:rPr>
      </w:pPr>
      <w:r w:rsidRPr="00805B99">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DDDC011" w14:textId="77777777" w:rsidR="00736161" w:rsidRPr="00805B99" w:rsidRDefault="00736161" w:rsidP="00736161">
      <w:pPr>
        <w:spacing w:after="0" w:line="276" w:lineRule="auto"/>
        <w:jc w:val="both"/>
        <w:rPr>
          <w:rFonts w:ascii="Verdana" w:eastAsia="Calibri" w:hAnsi="Verdana" w:cs="Times New Roman"/>
        </w:rPr>
      </w:pPr>
    </w:p>
    <w:p w14:paraId="3F1E4CD4" w14:textId="77777777" w:rsidR="00736161" w:rsidRDefault="00736161" w:rsidP="00736161">
      <w:pPr>
        <w:spacing w:after="0" w:line="276" w:lineRule="auto"/>
        <w:jc w:val="both"/>
        <w:rPr>
          <w:rFonts w:ascii="Verdana" w:eastAsia="Calibri" w:hAnsi="Verdana" w:cs="Times New Roman"/>
        </w:rPr>
      </w:pPr>
      <w:r w:rsidRPr="00805B99">
        <w:rPr>
          <w:rFonts w:ascii="Verdana" w:eastAsia="Calibri" w:hAnsi="Verdana" w:cs="Times New Roman"/>
        </w:rPr>
        <w:t>Atentamente,</w:t>
      </w:r>
    </w:p>
    <w:p w14:paraId="08763636" w14:textId="33B206E7" w:rsidR="00736161" w:rsidRDefault="000338F2" w:rsidP="00736161">
      <w:pPr>
        <w:spacing w:after="0" w:line="276" w:lineRule="auto"/>
        <w:jc w:val="center"/>
        <w:rPr>
          <w:rFonts w:ascii="Verdana" w:eastAsia="Calibri" w:hAnsi="Verdana" w:cs="Times New Roman"/>
        </w:rPr>
      </w:pPr>
      <w:r>
        <w:rPr>
          <w:rFonts w:ascii="Verdana" w:eastAsia="Calibri" w:hAnsi="Verdana" w:cs="Times New Roman"/>
          <w:noProof/>
        </w:rPr>
        <w:lastRenderedPageBreak/>
        <w:drawing>
          <wp:inline distT="0" distB="0" distL="0" distR="0" wp14:anchorId="4FBFA262" wp14:editId="4A111EA7">
            <wp:extent cx="3493311" cy="1298561"/>
            <wp:effectExtent l="0" t="0" r="0" b="0"/>
            <wp:docPr id="41784404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844040"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3A0A7D40" w14:textId="77777777" w:rsidR="00736161" w:rsidRPr="00902D8C" w:rsidRDefault="00736161" w:rsidP="00736161">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36161" w:rsidRPr="00FA01CB" w14:paraId="191F118E" w14:textId="77777777" w:rsidTr="005F09E0">
        <w:trPr>
          <w:trHeight w:val="315"/>
        </w:trPr>
        <w:tc>
          <w:tcPr>
            <w:tcW w:w="893" w:type="dxa"/>
            <w:vAlign w:val="center"/>
            <w:hideMark/>
          </w:tcPr>
          <w:p w14:paraId="3F73CC9A" w14:textId="77777777" w:rsidR="00736161" w:rsidRPr="00FA01CB" w:rsidRDefault="00736161" w:rsidP="005F09E0">
            <w:pPr>
              <w:contextualSpacing/>
              <w:rPr>
                <w:rFonts w:ascii="Verdana" w:hAnsi="Verdana" w:cs="Arial"/>
                <w:sz w:val="16"/>
                <w:szCs w:val="16"/>
                <w:lang w:eastAsia="es-ES"/>
              </w:rPr>
            </w:pPr>
            <w:r w:rsidRPr="00FA01C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87D0D4E" w14:textId="77777777" w:rsidR="00736161" w:rsidRPr="00FA01CB" w:rsidRDefault="00736161" w:rsidP="005F09E0">
            <w:pPr>
              <w:contextualSpacing/>
              <w:rPr>
                <w:rFonts w:ascii="Verdana" w:hAnsi="Verdana"/>
                <w:sz w:val="16"/>
                <w:szCs w:val="16"/>
              </w:rPr>
            </w:pPr>
            <w:r w:rsidRPr="00FA01CB">
              <w:rPr>
                <w:rFonts w:ascii="Verdana" w:hAnsi="Verdana"/>
                <w:sz w:val="16"/>
                <w:szCs w:val="16"/>
              </w:rPr>
              <w:t>Denis Andrea Cárdenas Hernández</w:t>
            </w:r>
          </w:p>
          <w:p w14:paraId="50744F9D" w14:textId="77777777" w:rsidR="00736161" w:rsidRPr="00FA01CB" w:rsidRDefault="00736161" w:rsidP="005F09E0">
            <w:pPr>
              <w:contextualSpacing/>
              <w:rPr>
                <w:rFonts w:ascii="Verdana" w:eastAsia="Arial" w:hAnsi="Verdana" w:cs="Arial"/>
                <w:sz w:val="16"/>
                <w:szCs w:val="16"/>
              </w:rPr>
            </w:pPr>
            <w:r w:rsidRPr="00FA01CB">
              <w:rPr>
                <w:rFonts w:ascii="Verdana" w:hAnsi="Verdana"/>
                <w:sz w:val="16"/>
                <w:szCs w:val="16"/>
              </w:rPr>
              <w:t xml:space="preserve">Analista </w:t>
            </w:r>
            <w:r w:rsidRPr="00FA01CB">
              <w:rPr>
                <w:rFonts w:ascii="Verdana" w:hAnsi="Verdana" w:cs="Arial"/>
                <w:sz w:val="16"/>
                <w:szCs w:val="16"/>
                <w:lang w:val="es-ES_tradnl"/>
              </w:rPr>
              <w:t>T2 ‒ 1 de la Subdirección de Gestión Contractual</w:t>
            </w:r>
          </w:p>
        </w:tc>
      </w:tr>
      <w:tr w:rsidR="00736161" w:rsidRPr="00FA01CB" w14:paraId="42389422" w14:textId="77777777" w:rsidTr="005F09E0">
        <w:trPr>
          <w:trHeight w:val="330"/>
        </w:trPr>
        <w:tc>
          <w:tcPr>
            <w:tcW w:w="893" w:type="dxa"/>
            <w:vAlign w:val="center"/>
            <w:hideMark/>
          </w:tcPr>
          <w:p w14:paraId="57F12E0E" w14:textId="77777777" w:rsidR="00736161" w:rsidRPr="00FA01CB" w:rsidRDefault="00736161" w:rsidP="005F09E0">
            <w:pPr>
              <w:contextualSpacing/>
              <w:rPr>
                <w:rFonts w:ascii="Verdana" w:hAnsi="Verdana" w:cs="Arial"/>
                <w:sz w:val="16"/>
                <w:szCs w:val="16"/>
                <w:lang w:eastAsia="es-ES"/>
              </w:rPr>
            </w:pPr>
            <w:r w:rsidRPr="00FA01C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80B523" w14:textId="77777777" w:rsidR="00736161" w:rsidRPr="00FA01CB" w:rsidRDefault="00736161" w:rsidP="005F09E0">
            <w:pPr>
              <w:rPr>
                <w:rFonts w:ascii="Verdana" w:eastAsia="Aptos" w:hAnsi="Verdana" w:cs="Arial"/>
                <w:sz w:val="16"/>
                <w:szCs w:val="16"/>
                <w:lang w:eastAsia="es-ES"/>
              </w:rPr>
            </w:pPr>
            <w:r w:rsidRPr="00FA01CB">
              <w:rPr>
                <w:rFonts w:ascii="Verdana" w:eastAsia="Aptos" w:hAnsi="Verdana" w:cs="Arial"/>
                <w:sz w:val="16"/>
                <w:szCs w:val="16"/>
                <w:lang w:eastAsia="es-ES"/>
              </w:rPr>
              <w:t>Alejandro Sarmiento Cantillo</w:t>
            </w:r>
          </w:p>
          <w:p w14:paraId="16B1E8B1" w14:textId="77777777" w:rsidR="00736161" w:rsidRPr="00FA01CB" w:rsidRDefault="00736161" w:rsidP="005F09E0">
            <w:pPr>
              <w:contextualSpacing/>
              <w:textAlignment w:val="baseline"/>
              <w:rPr>
                <w:rFonts w:ascii="Verdana" w:eastAsia="Times New Roman" w:hAnsi="Verdana" w:cs="Segoe UI"/>
                <w:sz w:val="16"/>
                <w:szCs w:val="16"/>
                <w:lang w:eastAsia="es-ES_tradnl"/>
              </w:rPr>
            </w:pPr>
            <w:r w:rsidRPr="00FA01CB">
              <w:rPr>
                <w:rFonts w:ascii="Verdana" w:eastAsia="Aptos" w:hAnsi="Verdana" w:cs="Arial"/>
                <w:sz w:val="16"/>
                <w:szCs w:val="16"/>
                <w:lang w:eastAsia="es-ES"/>
              </w:rPr>
              <w:t>Gestor T1 – 15 de la Subdirección de Gestión Contractual</w:t>
            </w:r>
          </w:p>
        </w:tc>
      </w:tr>
      <w:tr w:rsidR="00736161" w:rsidRPr="00FA01CB" w14:paraId="08FB7092" w14:textId="77777777" w:rsidTr="005F09E0">
        <w:trPr>
          <w:trHeight w:val="300"/>
        </w:trPr>
        <w:tc>
          <w:tcPr>
            <w:tcW w:w="893" w:type="dxa"/>
            <w:vAlign w:val="center"/>
          </w:tcPr>
          <w:p w14:paraId="0F97C149" w14:textId="77777777" w:rsidR="00736161" w:rsidRPr="00FA01CB" w:rsidRDefault="00736161" w:rsidP="005F09E0">
            <w:pPr>
              <w:contextualSpacing/>
              <w:rPr>
                <w:rFonts w:ascii="Verdana" w:hAnsi="Verdana" w:cs="Arial"/>
                <w:sz w:val="16"/>
                <w:szCs w:val="16"/>
                <w:lang w:eastAsia="es-ES"/>
              </w:rPr>
            </w:pPr>
            <w:r w:rsidRPr="00FA01C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BDEB455" w14:textId="77777777" w:rsidR="00736161" w:rsidRPr="00FA01CB" w:rsidRDefault="00736161" w:rsidP="005F09E0">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Carolina Quintero Gacharná</w:t>
            </w:r>
          </w:p>
          <w:p w14:paraId="39B8FE2A" w14:textId="77777777" w:rsidR="00736161" w:rsidRPr="00FA01CB" w:rsidRDefault="00736161" w:rsidP="005F09E0">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Subdirectora de Gestión Contractual ANCP – CCE</w:t>
            </w:r>
          </w:p>
        </w:tc>
      </w:tr>
    </w:tbl>
    <w:p w14:paraId="311A4650" w14:textId="77777777" w:rsidR="00736161" w:rsidRPr="0015699B" w:rsidRDefault="00736161" w:rsidP="00736161">
      <w:pPr>
        <w:spacing w:after="0"/>
        <w:rPr>
          <w:rFonts w:ascii="Verdana" w:eastAsia="Times New Roman" w:hAnsi="Verdana" w:cs="Segoe UI"/>
          <w:lang w:eastAsia="es-CO"/>
        </w:rPr>
      </w:pPr>
    </w:p>
    <w:p w14:paraId="0F293BF4" w14:textId="22D5DD15" w:rsidR="00127233" w:rsidRPr="00736161" w:rsidRDefault="00127233" w:rsidP="00736161"/>
    <w:sectPr w:rsidR="00127233" w:rsidRPr="0073616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EE837" w14:textId="77777777" w:rsidR="00E72F03" w:rsidRDefault="00E72F03" w:rsidP="004A1847">
      <w:pPr>
        <w:spacing w:after="0" w:line="240" w:lineRule="auto"/>
      </w:pPr>
      <w:r>
        <w:separator/>
      </w:r>
    </w:p>
  </w:endnote>
  <w:endnote w:type="continuationSeparator" w:id="0">
    <w:p w14:paraId="4A700B43" w14:textId="77777777" w:rsidR="00E72F03" w:rsidRDefault="00E72F0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19632" w14:textId="77777777" w:rsidR="00E72F03" w:rsidRDefault="00E72F03" w:rsidP="004A1847">
      <w:pPr>
        <w:spacing w:after="0" w:line="240" w:lineRule="auto"/>
      </w:pPr>
      <w:r>
        <w:separator/>
      </w:r>
    </w:p>
  </w:footnote>
  <w:footnote w:type="continuationSeparator" w:id="0">
    <w:p w14:paraId="37F2BD56" w14:textId="77777777" w:rsidR="00E72F03" w:rsidRDefault="00E72F03" w:rsidP="004A1847">
      <w:pPr>
        <w:spacing w:after="0" w:line="240" w:lineRule="auto"/>
      </w:pPr>
      <w:r>
        <w:continuationSeparator/>
      </w:r>
    </w:p>
  </w:footnote>
  <w:footnote w:id="1">
    <w:p w14:paraId="19EB8B52" w14:textId="77777777" w:rsidR="00736161" w:rsidRPr="00382345" w:rsidRDefault="00736161" w:rsidP="00736161">
      <w:pPr>
        <w:pStyle w:val="Textonotapie"/>
        <w:jc w:val="both"/>
        <w:rPr>
          <w:rFonts w:ascii="Verdana" w:hAnsi="Verdana"/>
          <w:sz w:val="16"/>
          <w:szCs w:val="16"/>
          <w:lang w:val="es-CO"/>
        </w:rPr>
      </w:pPr>
      <w:r w:rsidRPr="00676B87">
        <w:rPr>
          <w:rStyle w:val="Refdenotaalpie"/>
          <w:rFonts w:ascii="Verdana" w:hAnsi="Verdana"/>
          <w:sz w:val="16"/>
          <w:szCs w:val="16"/>
        </w:rPr>
        <w:footnoteRef/>
      </w:r>
      <w:r w:rsidRPr="00676B87">
        <w:rPr>
          <w:rFonts w:ascii="Verdana" w:hAnsi="Verdana"/>
          <w:sz w:val="16"/>
          <w:szCs w:val="16"/>
        </w:rPr>
        <w:t xml:space="preserve"> </w:t>
      </w:r>
      <w:r w:rsidRPr="00382345">
        <w:rPr>
          <w:rFonts w:ascii="Verdana" w:hAnsi="Verdana"/>
          <w:sz w:val="16"/>
          <w:szCs w:val="16"/>
        </w:rPr>
        <w:t xml:space="preserve">Este punto de la consulta fue remitido al Departamento Administrativo de la Función Pública, bajo el radicado de salida No. </w:t>
      </w:r>
      <w:r w:rsidRPr="00382345">
        <w:rPr>
          <w:rFonts w:ascii="Verdana" w:hAnsi="Verdana"/>
          <w:sz w:val="16"/>
          <w:szCs w:val="16"/>
          <w:lang w:val="es-CO"/>
        </w:rPr>
        <w:t>2_2025_12_31_013668</w:t>
      </w:r>
    </w:p>
    <w:p w14:paraId="742026FF" w14:textId="77777777" w:rsidR="00350B0A" w:rsidRPr="00676B87" w:rsidRDefault="00350B0A" w:rsidP="00736161">
      <w:pPr>
        <w:pStyle w:val="Textonotapie"/>
        <w:jc w:val="both"/>
        <w:rPr>
          <w:rFonts w:ascii="Verdana" w:hAnsi="Verdana"/>
          <w:sz w:val="16"/>
          <w:szCs w:val="16"/>
        </w:rPr>
      </w:pPr>
    </w:p>
  </w:footnote>
  <w:footnote w:id="2">
    <w:p w14:paraId="7C4C98F5" w14:textId="1084FA94" w:rsidR="00736161" w:rsidRPr="00676B87" w:rsidRDefault="00736161" w:rsidP="00736161">
      <w:pPr>
        <w:pStyle w:val="Textonotapie"/>
        <w:ind w:firstLine="709"/>
        <w:jc w:val="both"/>
        <w:rPr>
          <w:rFonts w:ascii="Verdana" w:hAnsi="Verdana" w:cs="Arial"/>
          <w:sz w:val="16"/>
          <w:szCs w:val="16"/>
        </w:rPr>
      </w:pPr>
      <w:r w:rsidRPr="00676B87">
        <w:rPr>
          <w:rStyle w:val="Refdenotaalpie"/>
          <w:rFonts w:ascii="Verdana" w:hAnsi="Verdana"/>
          <w:sz w:val="16"/>
          <w:szCs w:val="16"/>
        </w:rPr>
        <w:footnoteRef/>
      </w:r>
      <w:r w:rsidRPr="00676B87">
        <w:rPr>
          <w:rFonts w:ascii="Verdana" w:hAnsi="Verdana"/>
          <w:sz w:val="16"/>
          <w:szCs w:val="16"/>
        </w:rPr>
        <w:t xml:space="preserve"> </w:t>
      </w:r>
      <w:r w:rsidRPr="00676B87">
        <w:rPr>
          <w:rFonts w:ascii="Verdana" w:hAnsi="Verdana" w:cs="Arial"/>
          <w:sz w:val="16"/>
          <w:szCs w:val="16"/>
        </w:rPr>
        <w:t>Gaceta del Congreso de la República No. 71 del 2005.</w:t>
      </w:r>
    </w:p>
    <w:p w14:paraId="2194FCD8" w14:textId="77777777" w:rsidR="00736161" w:rsidRPr="00676B87" w:rsidRDefault="00736161" w:rsidP="00736161">
      <w:pPr>
        <w:pStyle w:val="Textonotapie"/>
        <w:jc w:val="both"/>
        <w:rPr>
          <w:rFonts w:ascii="Verdana" w:hAnsi="Verdana"/>
          <w:sz w:val="16"/>
          <w:szCs w:val="16"/>
        </w:rPr>
      </w:pPr>
    </w:p>
  </w:footnote>
  <w:footnote w:id="3">
    <w:p w14:paraId="6ACCFB19" w14:textId="77777777" w:rsidR="00B3117D" w:rsidRPr="00676B87" w:rsidRDefault="00B3117D" w:rsidP="00C14818">
      <w:pPr>
        <w:pStyle w:val="Textonotapie"/>
        <w:jc w:val="both"/>
        <w:rPr>
          <w:rFonts w:ascii="Verdana" w:hAnsi="Verdana" w:cs="Arial"/>
          <w:sz w:val="16"/>
          <w:szCs w:val="16"/>
          <w:lang w:val="pt-BR"/>
        </w:rPr>
      </w:pPr>
    </w:p>
    <w:p w14:paraId="6BB4BE76" w14:textId="4AC52214" w:rsidR="00736161" w:rsidRPr="00676B87" w:rsidRDefault="00736161" w:rsidP="00736161">
      <w:pPr>
        <w:pStyle w:val="Textonotapie"/>
        <w:ind w:firstLine="709"/>
        <w:jc w:val="both"/>
        <w:rPr>
          <w:rFonts w:ascii="Verdana" w:hAnsi="Verdana" w:cs="Arial"/>
          <w:sz w:val="16"/>
          <w:szCs w:val="16"/>
          <w:lang w:val="pt-BR"/>
        </w:rPr>
      </w:pPr>
      <w:r w:rsidRPr="00676B87">
        <w:rPr>
          <w:rStyle w:val="Refdenotaalpie"/>
          <w:rFonts w:ascii="Verdana" w:hAnsi="Verdana" w:cs="Arial"/>
          <w:sz w:val="16"/>
          <w:szCs w:val="16"/>
        </w:rPr>
        <w:footnoteRef/>
      </w:r>
      <w:r w:rsidRPr="00676B87">
        <w:rPr>
          <w:rFonts w:ascii="Verdana" w:hAnsi="Verdana" w:cs="Arial"/>
          <w:sz w:val="16"/>
          <w:szCs w:val="16"/>
          <w:lang w:val="pt-BR"/>
        </w:rPr>
        <w:t xml:space="preserve"> Corte Constitucional, Sentencia C- 1153 de 2005, M.P. Marco Gerardo Monroy Cabra.</w:t>
      </w:r>
    </w:p>
  </w:footnote>
  <w:footnote w:id="4">
    <w:p w14:paraId="0FFBA676" w14:textId="51EF972F" w:rsidR="00736161" w:rsidRPr="00676B87" w:rsidRDefault="00736161" w:rsidP="00736161">
      <w:pPr>
        <w:pStyle w:val="Textonotapie"/>
        <w:ind w:firstLine="709"/>
        <w:jc w:val="both"/>
        <w:rPr>
          <w:rFonts w:ascii="Verdana" w:hAnsi="Verdana" w:cs="Arial"/>
          <w:sz w:val="16"/>
          <w:szCs w:val="16"/>
          <w:lang w:val="es-CO"/>
        </w:rPr>
      </w:pPr>
      <w:r w:rsidRPr="00676B87">
        <w:rPr>
          <w:rStyle w:val="Refdenotaalpie"/>
          <w:rFonts w:ascii="Verdana" w:hAnsi="Verdana" w:cs="Arial"/>
          <w:sz w:val="16"/>
          <w:szCs w:val="16"/>
        </w:rPr>
        <w:footnoteRef/>
      </w:r>
      <w:r w:rsidRPr="00676B87">
        <w:rPr>
          <w:rFonts w:ascii="Verdana" w:hAnsi="Verdana" w:cs="Arial"/>
          <w:sz w:val="16"/>
          <w:szCs w:val="16"/>
          <w:lang w:val="pt-BR"/>
        </w:rPr>
        <w:t xml:space="preserve"> </w:t>
      </w:r>
      <w:r w:rsidRPr="00676B87">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442DBE6E" w14:textId="77777777" w:rsidR="00736161" w:rsidRPr="00676B87" w:rsidRDefault="00736161" w:rsidP="00736161">
      <w:pPr>
        <w:pStyle w:val="Textonotapie"/>
        <w:ind w:firstLine="709"/>
        <w:jc w:val="both"/>
        <w:rPr>
          <w:rFonts w:ascii="Verdana" w:hAnsi="Verdana" w:cs="Arial"/>
          <w:sz w:val="16"/>
          <w:szCs w:val="16"/>
          <w:lang w:val="pt-BR"/>
        </w:rPr>
      </w:pPr>
    </w:p>
  </w:footnote>
  <w:footnote w:id="5">
    <w:p w14:paraId="29EF5954" w14:textId="77777777" w:rsidR="00736161" w:rsidRPr="00676B87" w:rsidRDefault="00736161" w:rsidP="00736161">
      <w:pPr>
        <w:pStyle w:val="Textonotapie"/>
        <w:ind w:firstLine="709"/>
        <w:jc w:val="both"/>
        <w:rPr>
          <w:rFonts w:ascii="Verdana" w:hAnsi="Verdana" w:cs="Arial"/>
          <w:sz w:val="16"/>
          <w:szCs w:val="16"/>
          <w:lang w:val="es-ES"/>
        </w:rPr>
      </w:pPr>
      <w:r w:rsidRPr="00676B87">
        <w:rPr>
          <w:rStyle w:val="Refdenotaalpie"/>
          <w:rFonts w:ascii="Verdana" w:hAnsi="Verdana" w:cs="Arial"/>
          <w:sz w:val="16"/>
          <w:szCs w:val="16"/>
        </w:rPr>
        <w:footnoteRef/>
      </w:r>
      <w:r w:rsidRPr="00676B87">
        <w:rPr>
          <w:rFonts w:ascii="Verdana" w:hAnsi="Verdana" w:cs="Arial"/>
          <w:sz w:val="16"/>
          <w:szCs w:val="16"/>
          <w:lang w:val="es-CO"/>
        </w:rPr>
        <w:t xml:space="preserve"> Consejo de Estado. Sala de lo Contencioso Administrativo. Sección Primera. Sentencia de 3 de marzo de 2005. Radicado: </w:t>
      </w:r>
      <w:r w:rsidRPr="00676B87">
        <w:rPr>
          <w:rFonts w:ascii="Verdana" w:hAnsi="Verdana" w:cs="Arial"/>
          <w:sz w:val="16"/>
          <w:szCs w:val="16"/>
          <w:lang w:val="es-ES"/>
        </w:rPr>
        <w:t xml:space="preserve">25001-23-15-000-2004-00823-01 (PI). </w:t>
      </w:r>
      <w:r w:rsidRPr="00676B87">
        <w:rPr>
          <w:rFonts w:ascii="Verdana" w:hAnsi="Verdana" w:cs="Arial"/>
          <w:sz w:val="16"/>
          <w:szCs w:val="16"/>
          <w:lang w:val="es-CO"/>
        </w:rPr>
        <w:t xml:space="preserve">C.P:  Arciniegas Andrade. Ver también, de la Sección Tercera. </w:t>
      </w:r>
    </w:p>
    <w:p w14:paraId="5E42BD69" w14:textId="77777777" w:rsidR="00736161" w:rsidRPr="00676B87" w:rsidRDefault="00736161" w:rsidP="00736161">
      <w:pPr>
        <w:pStyle w:val="Textonotapie"/>
        <w:ind w:firstLine="709"/>
        <w:jc w:val="both"/>
        <w:rPr>
          <w:rFonts w:ascii="Verdana" w:hAnsi="Verdana" w:cs="Arial"/>
          <w:sz w:val="16"/>
          <w:szCs w:val="16"/>
          <w:lang w:val="es-CO"/>
        </w:rPr>
      </w:pPr>
    </w:p>
  </w:footnote>
  <w:footnote w:id="6">
    <w:p w14:paraId="41695370" w14:textId="77777777" w:rsidR="00736161" w:rsidRPr="00676B87" w:rsidRDefault="00736161" w:rsidP="00736161">
      <w:pPr>
        <w:pStyle w:val="Textonotapie"/>
        <w:ind w:firstLine="709"/>
        <w:jc w:val="both"/>
        <w:rPr>
          <w:rFonts w:ascii="Verdana" w:hAnsi="Verdana" w:cs="Arial"/>
          <w:sz w:val="16"/>
          <w:szCs w:val="16"/>
        </w:rPr>
      </w:pPr>
      <w:r w:rsidRPr="00676B87">
        <w:rPr>
          <w:rStyle w:val="Refdenotaalpie"/>
          <w:rFonts w:ascii="Verdana" w:hAnsi="Verdana" w:cs="Arial"/>
          <w:sz w:val="16"/>
          <w:szCs w:val="16"/>
        </w:rPr>
        <w:footnoteRef/>
      </w:r>
      <w:r w:rsidRPr="00676B87">
        <w:rPr>
          <w:rFonts w:ascii="Verdana" w:hAnsi="Verdana" w:cs="Arial"/>
          <w:sz w:val="16"/>
          <w:szCs w:val="16"/>
        </w:rPr>
        <w:t xml:space="preserve"> Consejo de Estado, Sala de Consulta y Servicio Civil. 24 de julio de 2013. Radicado: </w:t>
      </w:r>
      <w:r w:rsidRPr="00676B87">
        <w:rPr>
          <w:rFonts w:ascii="Verdana" w:hAnsi="Verdana" w:cs="Arial"/>
          <w:sz w:val="16"/>
          <w:szCs w:val="16"/>
          <w:lang w:val="es-CO"/>
        </w:rPr>
        <w:t xml:space="preserve">11001-03-06-000-2013-00407-00 </w:t>
      </w:r>
      <w:r w:rsidRPr="00676B87">
        <w:rPr>
          <w:rFonts w:ascii="Verdana" w:hAnsi="Verdana" w:cs="Arial"/>
          <w:sz w:val="16"/>
          <w:szCs w:val="16"/>
        </w:rPr>
        <w:t xml:space="preserve">(2166). C.P. Álvaro Namén Vargas.  </w:t>
      </w:r>
    </w:p>
  </w:footnote>
  <w:footnote w:id="7">
    <w:p w14:paraId="00B2D7EB" w14:textId="65BA6769" w:rsidR="00736161" w:rsidRPr="00676B87" w:rsidRDefault="00736161" w:rsidP="00736161">
      <w:pPr>
        <w:spacing w:after="0" w:line="240" w:lineRule="auto"/>
        <w:ind w:firstLine="709"/>
        <w:jc w:val="both"/>
        <w:rPr>
          <w:rFonts w:ascii="Verdana" w:eastAsia="Times New Roman" w:hAnsi="Verdana" w:cs="Arial"/>
          <w:sz w:val="16"/>
          <w:szCs w:val="16"/>
        </w:rPr>
      </w:pPr>
      <w:r w:rsidRPr="00676B87">
        <w:rPr>
          <w:rStyle w:val="Refdenotaalpie"/>
          <w:rFonts w:ascii="Verdana" w:hAnsi="Verdana" w:cs="Arial"/>
          <w:sz w:val="16"/>
          <w:szCs w:val="16"/>
        </w:rPr>
        <w:footnoteRef/>
      </w:r>
      <w:r w:rsidRPr="00676B87">
        <w:rPr>
          <w:rFonts w:ascii="Verdana" w:hAnsi="Verdana" w:cs="Arial"/>
          <w:sz w:val="16"/>
          <w:szCs w:val="16"/>
        </w:rPr>
        <w:t xml:space="preserve"> </w:t>
      </w:r>
      <w:bookmarkStart w:id="3" w:name="33"/>
      <w:r w:rsidRPr="00676B87">
        <w:rPr>
          <w:rFonts w:ascii="Verdana" w:eastAsia="Calibri" w:hAnsi="Verdana" w:cs="Arial"/>
          <w:color w:val="000000"/>
          <w:sz w:val="16"/>
          <w:szCs w:val="16"/>
        </w:rPr>
        <w:t>“</w:t>
      </w:r>
      <w:r w:rsidRPr="00676B87">
        <w:rPr>
          <w:rFonts w:ascii="Verdana" w:eastAsia="Times New Roman" w:hAnsi="Verdana" w:cs="Arial"/>
          <w:sz w:val="16"/>
          <w:szCs w:val="16"/>
        </w:rPr>
        <w:t>Artículo 33. Restricciones a la contratación pública.</w:t>
      </w:r>
      <w:bookmarkEnd w:id="3"/>
      <w:r w:rsidRPr="00676B87">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811F8E2" w14:textId="77777777" w:rsidR="00736161" w:rsidRPr="00676B87" w:rsidRDefault="00736161" w:rsidP="00736161">
      <w:pPr>
        <w:spacing w:after="0" w:line="240" w:lineRule="auto"/>
        <w:ind w:firstLine="709"/>
        <w:jc w:val="both"/>
        <w:rPr>
          <w:rFonts w:ascii="Verdana" w:eastAsia="Times New Roman" w:hAnsi="Verdana" w:cs="Arial"/>
          <w:sz w:val="16"/>
          <w:szCs w:val="16"/>
        </w:rPr>
      </w:pPr>
      <w:r w:rsidRPr="00676B87">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76B87">
        <w:rPr>
          <w:rFonts w:ascii="Verdana" w:eastAsia="Calibri" w:hAnsi="Verdana" w:cs="Arial"/>
          <w:color w:val="000000"/>
          <w:sz w:val="16"/>
          <w:szCs w:val="16"/>
        </w:rPr>
        <w:t>”</w:t>
      </w:r>
      <w:r w:rsidRPr="00676B87">
        <w:rPr>
          <w:rFonts w:ascii="Verdana" w:eastAsia="Times New Roman" w:hAnsi="Verdana" w:cs="Arial"/>
          <w:sz w:val="16"/>
          <w:szCs w:val="16"/>
        </w:rPr>
        <w:t>.</w:t>
      </w:r>
    </w:p>
    <w:p w14:paraId="1485DDE2" w14:textId="77777777" w:rsidR="00736161" w:rsidRPr="00676B87" w:rsidRDefault="00736161" w:rsidP="00736161">
      <w:pPr>
        <w:spacing w:after="0" w:line="240" w:lineRule="auto"/>
        <w:ind w:firstLine="709"/>
        <w:jc w:val="both"/>
        <w:rPr>
          <w:rFonts w:ascii="Verdana" w:eastAsia="Times New Roman" w:hAnsi="Verdana" w:cs="Arial"/>
          <w:sz w:val="16"/>
          <w:szCs w:val="16"/>
        </w:rPr>
      </w:pPr>
    </w:p>
  </w:footnote>
  <w:footnote w:id="8">
    <w:p w14:paraId="6E9DD5A1" w14:textId="77777777" w:rsidR="00736161" w:rsidRPr="00676B87" w:rsidRDefault="00736161" w:rsidP="00736161">
      <w:pPr>
        <w:pStyle w:val="NormalWeb"/>
        <w:spacing w:before="0" w:beforeAutospacing="0" w:after="0" w:afterAutospacing="0"/>
        <w:ind w:firstLine="709"/>
        <w:jc w:val="both"/>
        <w:rPr>
          <w:rFonts w:ascii="Verdana" w:hAnsi="Verdana" w:cs="Arial"/>
          <w:sz w:val="16"/>
          <w:szCs w:val="16"/>
          <w:lang w:val="es-MX"/>
        </w:rPr>
      </w:pPr>
      <w:r w:rsidRPr="00676B87">
        <w:rPr>
          <w:rStyle w:val="Refdenotaalpie"/>
          <w:rFonts w:ascii="Verdana" w:eastAsiaTheme="majorEastAsia" w:hAnsi="Verdana" w:cs="Arial"/>
          <w:sz w:val="16"/>
          <w:szCs w:val="16"/>
        </w:rPr>
        <w:footnoteRef/>
      </w:r>
      <w:r w:rsidRPr="00676B87">
        <w:rPr>
          <w:rFonts w:ascii="Verdana" w:hAnsi="Verdana" w:cs="Arial"/>
          <w:sz w:val="16"/>
          <w:szCs w:val="16"/>
        </w:rPr>
        <w:t xml:space="preserve"> </w:t>
      </w:r>
      <w:bookmarkStart w:id="4" w:name="38"/>
      <w:r w:rsidRPr="00676B87">
        <w:rPr>
          <w:rFonts w:ascii="Verdana" w:eastAsia="Calibri" w:hAnsi="Verdana" w:cs="Arial"/>
          <w:color w:val="000000"/>
          <w:sz w:val="16"/>
          <w:szCs w:val="16"/>
        </w:rPr>
        <w:t>“</w:t>
      </w:r>
      <w:r w:rsidRPr="00676B87">
        <w:rPr>
          <w:rFonts w:ascii="Verdana" w:hAnsi="Verdana" w:cs="Arial"/>
          <w:sz w:val="16"/>
          <w:szCs w:val="16"/>
          <w:lang w:val="es-MX"/>
        </w:rPr>
        <w:t>Artículo 38. Prohibiciones para los servidores públicos. A los empleados del Estado les está prohibido:</w:t>
      </w:r>
      <w:bookmarkEnd w:id="4"/>
      <w:r w:rsidRPr="00676B87">
        <w:rPr>
          <w:rFonts w:ascii="Verdana" w:hAnsi="Verdana" w:cs="Arial"/>
          <w:sz w:val="16"/>
          <w:szCs w:val="16"/>
          <w:lang w:val="es-MX"/>
        </w:rPr>
        <w:t xml:space="preserve"> (…)</w:t>
      </w:r>
    </w:p>
    <w:p w14:paraId="381979F9" w14:textId="77777777" w:rsidR="00736161" w:rsidRPr="00676B87" w:rsidRDefault="00736161" w:rsidP="00736161">
      <w:pPr>
        <w:pStyle w:val="NormalWeb"/>
        <w:spacing w:before="0" w:beforeAutospacing="0" w:after="0" w:afterAutospacing="0"/>
        <w:ind w:firstLine="709"/>
        <w:jc w:val="both"/>
        <w:rPr>
          <w:rFonts w:ascii="Verdana" w:hAnsi="Verdana" w:cs="Arial"/>
          <w:sz w:val="16"/>
          <w:szCs w:val="16"/>
          <w:lang w:val="es-MX"/>
        </w:rPr>
      </w:pPr>
      <w:r w:rsidRPr="00676B87">
        <w:rPr>
          <w:rStyle w:val="baj"/>
          <w:rFonts w:ascii="Verdana" w:hAnsi="Verdana" w:cs="Arial"/>
          <w:sz w:val="16"/>
          <w:szCs w:val="16"/>
          <w:lang w:val="es-MX"/>
        </w:rPr>
        <w:t>Parágrafo.</w:t>
      </w:r>
      <w:r w:rsidRPr="00676B87">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76B87">
        <w:rPr>
          <w:rFonts w:ascii="Verdana" w:eastAsia="Calibri" w:hAnsi="Verdana" w:cs="Arial"/>
          <w:color w:val="000000"/>
          <w:sz w:val="16"/>
          <w:szCs w:val="16"/>
        </w:rPr>
        <w:t>”</w:t>
      </w:r>
      <w:r w:rsidRPr="00676B87">
        <w:rPr>
          <w:rFonts w:ascii="Verdana" w:hAnsi="Verdana" w:cs="Arial"/>
          <w:sz w:val="16"/>
          <w:szCs w:val="16"/>
          <w:lang w:val="es-MX"/>
        </w:rPr>
        <w:t>.</w:t>
      </w:r>
    </w:p>
  </w:footnote>
  <w:footnote w:id="9">
    <w:p w14:paraId="4469224B" w14:textId="77777777" w:rsidR="00736161" w:rsidRDefault="00736161" w:rsidP="00736161">
      <w:pPr>
        <w:spacing w:after="0" w:line="240" w:lineRule="auto"/>
        <w:ind w:left="100" w:right="244" w:firstLine="709"/>
        <w:jc w:val="both"/>
        <w:rPr>
          <w:rFonts w:ascii="Verdana" w:hAnsi="Verdana" w:cs="Arial"/>
          <w:sz w:val="16"/>
          <w:szCs w:val="16"/>
        </w:rPr>
      </w:pPr>
      <w:r w:rsidRPr="00676B87">
        <w:rPr>
          <w:rStyle w:val="Refdenotaalpie"/>
          <w:rFonts w:ascii="Verdana" w:hAnsi="Verdana" w:cs="Arial"/>
          <w:sz w:val="16"/>
          <w:szCs w:val="16"/>
        </w:rPr>
        <w:footnoteRef/>
      </w:r>
      <w:r w:rsidRPr="00676B87">
        <w:rPr>
          <w:rFonts w:ascii="Verdana" w:hAnsi="Verdana" w:cs="Arial"/>
          <w:sz w:val="16"/>
          <w:szCs w:val="16"/>
        </w:rPr>
        <w:t xml:space="preserve"> Consejo de Estado. Sala de Consulta y Servicio Civil. Concepto del 17 de febrero de 2015. Radicado: 11001-03-06-000-2015-00164-00 (2269). C.P. William Zambrano Cetina.</w:t>
      </w:r>
    </w:p>
    <w:p w14:paraId="42B63D06" w14:textId="77777777" w:rsidR="0066125C" w:rsidRPr="00676B87" w:rsidRDefault="0066125C" w:rsidP="00736161">
      <w:pPr>
        <w:spacing w:after="0" w:line="240" w:lineRule="auto"/>
        <w:ind w:left="100" w:right="244" w:firstLine="709"/>
        <w:jc w:val="both"/>
        <w:rPr>
          <w:rFonts w:ascii="Verdana" w:hAnsi="Verdana" w:cs="Arial"/>
          <w:sz w:val="16"/>
          <w:szCs w:val="16"/>
          <w:lang w:val="es-ES"/>
        </w:rPr>
      </w:pPr>
    </w:p>
  </w:footnote>
  <w:footnote w:id="10">
    <w:p w14:paraId="1055731D" w14:textId="6FC1DE20" w:rsidR="00736161" w:rsidRPr="00676B87" w:rsidRDefault="00736161" w:rsidP="00736161">
      <w:pPr>
        <w:pStyle w:val="Textonotapie"/>
        <w:ind w:firstLine="708"/>
        <w:jc w:val="both"/>
        <w:rPr>
          <w:rFonts w:ascii="Verdana" w:hAnsi="Verdana" w:cs="Arial"/>
          <w:sz w:val="16"/>
          <w:szCs w:val="16"/>
        </w:rPr>
      </w:pPr>
      <w:r w:rsidRPr="00676B87">
        <w:rPr>
          <w:rStyle w:val="Refdenotaalpie"/>
          <w:rFonts w:ascii="Verdana" w:hAnsi="Verdana" w:cs="Arial"/>
          <w:sz w:val="16"/>
          <w:szCs w:val="16"/>
        </w:rPr>
        <w:footnoteRef/>
      </w:r>
      <w:r w:rsidRPr="00676B87">
        <w:rPr>
          <w:rFonts w:ascii="Verdana" w:hAnsi="Verdana" w:cs="Arial"/>
          <w:sz w:val="16"/>
          <w:szCs w:val="16"/>
        </w:rPr>
        <w:t xml:space="preserve"> Colombia Compra Eficiente. Circular Externa Única. Numeral 16.5. </w:t>
      </w:r>
    </w:p>
    <w:p w14:paraId="392DC72C" w14:textId="77777777" w:rsidR="00736161" w:rsidRPr="00676B87" w:rsidRDefault="00736161" w:rsidP="00736161">
      <w:pPr>
        <w:pStyle w:val="Textonotapie"/>
        <w:ind w:firstLine="708"/>
        <w:jc w:val="both"/>
        <w:rPr>
          <w:rFonts w:ascii="Verdana" w:hAnsi="Verdana" w:cs="Arial"/>
          <w:sz w:val="16"/>
          <w:szCs w:val="16"/>
        </w:rPr>
      </w:pPr>
    </w:p>
  </w:footnote>
  <w:footnote w:id="11">
    <w:p w14:paraId="7E601680" w14:textId="084E79A1" w:rsidR="00736161" w:rsidRPr="00382345" w:rsidRDefault="00736161" w:rsidP="00736161">
      <w:pPr>
        <w:pStyle w:val="Textonotapie"/>
        <w:ind w:firstLine="709"/>
        <w:jc w:val="both"/>
        <w:rPr>
          <w:rFonts w:ascii="Verdana" w:hAnsi="Verdana" w:cs="Arial"/>
          <w:sz w:val="16"/>
          <w:szCs w:val="16"/>
        </w:rPr>
      </w:pPr>
      <w:r w:rsidRPr="00382345">
        <w:rPr>
          <w:rStyle w:val="Refdenotaalpie"/>
          <w:rFonts w:ascii="Verdana" w:hAnsi="Verdana"/>
          <w:sz w:val="16"/>
          <w:szCs w:val="16"/>
        </w:rPr>
        <w:footnoteRef/>
      </w:r>
      <w:r w:rsidRPr="00382345">
        <w:rPr>
          <w:rFonts w:ascii="Verdana" w:hAnsi="Verdana"/>
          <w:sz w:val="16"/>
          <w:szCs w:val="16"/>
        </w:rPr>
        <w:t xml:space="preserve"> </w:t>
      </w:r>
      <w:r w:rsidRPr="00382345">
        <w:rPr>
          <w:rFonts w:ascii="Verdana" w:hAnsi="Verdana" w:cs="Arial"/>
          <w:sz w:val="16"/>
          <w:szCs w:val="16"/>
        </w:rPr>
        <w:t>Consejo de Estado -Sección Tercera-. Sentencia del 21 de febrero de 2025. Radicación Número: 68.280. CP: José Roberto Sáchica Méndez.</w:t>
      </w:r>
    </w:p>
  </w:footnote>
  <w:footnote w:id="12">
    <w:p w14:paraId="474C329F" w14:textId="13868F05" w:rsidR="00736161" w:rsidRPr="00382345" w:rsidRDefault="00736161" w:rsidP="00736161">
      <w:pPr>
        <w:pStyle w:val="Textonotapie"/>
        <w:ind w:firstLine="709"/>
        <w:jc w:val="both"/>
        <w:rPr>
          <w:rFonts w:ascii="Verdana" w:hAnsi="Verdana" w:cs="Arial"/>
          <w:sz w:val="16"/>
          <w:szCs w:val="16"/>
        </w:rPr>
      </w:pPr>
      <w:r w:rsidRPr="00382345">
        <w:rPr>
          <w:rFonts w:ascii="Verdana" w:hAnsi="Verdana"/>
          <w:sz w:val="16"/>
          <w:szCs w:val="16"/>
          <w:vertAlign w:val="superscript"/>
        </w:rPr>
        <w:footnoteRef/>
      </w:r>
      <w:r w:rsidRPr="00382345">
        <w:rPr>
          <w:rFonts w:ascii="Verdana" w:hAnsi="Verdana"/>
          <w:sz w:val="16"/>
          <w:szCs w:val="16"/>
          <w:vertAlign w:val="superscript"/>
        </w:rPr>
        <w:t xml:space="preserve"> </w:t>
      </w:r>
      <w:r w:rsidRPr="0038234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513EDCFF" w14:textId="77777777" w:rsidR="00736161" w:rsidRPr="00382345" w:rsidRDefault="00736161" w:rsidP="00736161">
      <w:pPr>
        <w:pStyle w:val="Textonotapie"/>
        <w:ind w:firstLine="709"/>
        <w:jc w:val="both"/>
        <w:rPr>
          <w:rFonts w:ascii="Verdana" w:hAnsi="Verdana" w:cs="Arial"/>
          <w:sz w:val="16"/>
          <w:szCs w:val="16"/>
        </w:rPr>
      </w:pPr>
    </w:p>
  </w:footnote>
  <w:footnote w:id="13">
    <w:p w14:paraId="670C4EEA" w14:textId="1ED59B53" w:rsidR="00736161" w:rsidRPr="00382345" w:rsidRDefault="00736161" w:rsidP="00676B87">
      <w:pPr>
        <w:pStyle w:val="Textonotapie"/>
        <w:jc w:val="both"/>
        <w:rPr>
          <w:rFonts w:ascii="Verdana" w:hAnsi="Verdana" w:cs="Arial"/>
          <w:sz w:val="16"/>
          <w:szCs w:val="16"/>
        </w:rPr>
      </w:pPr>
      <w:r w:rsidRPr="00382345">
        <w:rPr>
          <w:rFonts w:ascii="Verdana" w:hAnsi="Verdana"/>
          <w:sz w:val="16"/>
          <w:szCs w:val="16"/>
          <w:vertAlign w:val="superscript"/>
        </w:rPr>
        <w:footnoteRef/>
      </w:r>
      <w:r w:rsidRPr="00382345">
        <w:rPr>
          <w:rFonts w:ascii="Verdana" w:hAnsi="Verdana" w:cs="Arial"/>
          <w:sz w:val="16"/>
          <w:szCs w:val="16"/>
          <w:vertAlign w:val="superscript"/>
        </w:rPr>
        <w:t xml:space="preserve"> </w:t>
      </w:r>
      <w:r w:rsidRPr="00382345">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r w:rsidR="00382345">
        <w:rPr>
          <w:rFonts w:ascii="Verdana" w:hAnsi="Verdana" w:cs="Arial"/>
          <w:sz w:val="16"/>
          <w:szCs w:val="16"/>
        </w:rPr>
        <w:t xml:space="preserve"> </w:t>
      </w:r>
      <w:r w:rsidRPr="00382345">
        <w:rPr>
          <w:rFonts w:ascii="Verdana" w:hAnsi="Verdana" w:cs="Arial"/>
          <w:sz w:val="16"/>
          <w:szCs w:val="16"/>
        </w:rPr>
        <w:t>[…]”.</w:t>
      </w:r>
    </w:p>
    <w:p w14:paraId="5E3C5048" w14:textId="77777777" w:rsidR="00736161" w:rsidRPr="00382345" w:rsidRDefault="00736161" w:rsidP="00736161">
      <w:pPr>
        <w:pStyle w:val="Textonotapie"/>
        <w:ind w:firstLine="709"/>
        <w:jc w:val="both"/>
        <w:rPr>
          <w:rFonts w:ascii="Verdana" w:hAnsi="Verdana" w:cs="Arial"/>
          <w:sz w:val="16"/>
          <w:szCs w:val="16"/>
        </w:rPr>
      </w:pPr>
    </w:p>
  </w:footnote>
  <w:footnote w:id="14">
    <w:p w14:paraId="4AE0BBDD" w14:textId="77777777" w:rsidR="00736161" w:rsidRPr="00382345" w:rsidRDefault="00736161" w:rsidP="00736161">
      <w:pPr>
        <w:pStyle w:val="Textonotapie"/>
        <w:ind w:firstLine="709"/>
        <w:jc w:val="both"/>
        <w:rPr>
          <w:rFonts w:ascii="Verdana" w:hAnsi="Verdana" w:cs="Arial"/>
          <w:sz w:val="16"/>
          <w:szCs w:val="16"/>
        </w:rPr>
      </w:pPr>
      <w:r w:rsidRPr="00382345">
        <w:rPr>
          <w:rFonts w:ascii="Verdana" w:hAnsi="Verdana"/>
          <w:sz w:val="16"/>
          <w:szCs w:val="16"/>
          <w:vertAlign w:val="superscript"/>
        </w:rPr>
        <w:footnoteRef/>
      </w:r>
      <w:r w:rsidRPr="00382345">
        <w:rPr>
          <w:rFonts w:ascii="Verdana" w:hAnsi="Verdana" w:cs="Arial"/>
          <w:sz w:val="16"/>
          <w:szCs w:val="16"/>
          <w:vertAlign w:val="superscript"/>
        </w:rPr>
        <w:t xml:space="preserve"> </w:t>
      </w:r>
      <w:r w:rsidRPr="00382345">
        <w:rPr>
          <w:rFonts w:ascii="Verdana" w:hAnsi="Verdana" w:cs="Arial"/>
          <w:sz w:val="16"/>
          <w:szCs w:val="16"/>
        </w:rPr>
        <w:t>Código Civil: “Artículo 27. Cuando el sentido de la ley sea claro, no se desatenderá su tenor a pretexto de consultar su espíritu”.</w:t>
      </w:r>
    </w:p>
  </w:footnote>
  <w:footnote w:id="15">
    <w:p w14:paraId="70FA43AD" w14:textId="77777777" w:rsidR="00350B0A" w:rsidRPr="00382345" w:rsidRDefault="00350B0A" w:rsidP="00736161">
      <w:pPr>
        <w:pStyle w:val="Textonotapie"/>
        <w:ind w:firstLine="708"/>
        <w:jc w:val="both"/>
        <w:rPr>
          <w:rFonts w:ascii="Verdana" w:hAnsi="Verdana"/>
          <w:sz w:val="16"/>
          <w:szCs w:val="16"/>
        </w:rPr>
      </w:pPr>
    </w:p>
    <w:p w14:paraId="2A93E1BB" w14:textId="4E42BA84" w:rsidR="00736161" w:rsidRPr="00382345" w:rsidRDefault="00736161" w:rsidP="00736161">
      <w:pPr>
        <w:pStyle w:val="Textonotapie"/>
        <w:ind w:firstLine="708"/>
        <w:jc w:val="both"/>
        <w:rPr>
          <w:rFonts w:ascii="Verdana" w:hAnsi="Verdana"/>
          <w:sz w:val="16"/>
          <w:szCs w:val="16"/>
          <w:lang w:val="es-ES"/>
        </w:rPr>
      </w:pPr>
      <w:r w:rsidRPr="00382345">
        <w:rPr>
          <w:rFonts w:ascii="Verdana" w:hAnsi="Verdana"/>
          <w:sz w:val="16"/>
          <w:szCs w:val="16"/>
          <w:vertAlign w:val="superscript"/>
        </w:rPr>
        <w:footnoteRef/>
      </w:r>
      <w:r w:rsidRPr="00382345">
        <w:rPr>
          <w:rFonts w:ascii="Verdana" w:hAnsi="Verdana"/>
          <w:sz w:val="16"/>
          <w:szCs w:val="16"/>
        </w:rPr>
        <w:t xml:space="preserve"> </w:t>
      </w:r>
      <w:r w:rsidRPr="00382345">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382345">
        <w:rPr>
          <w:rFonts w:ascii="Verdana" w:hAnsi="Verdana"/>
          <w:i/>
          <w:iCs/>
          <w:sz w:val="16"/>
          <w:szCs w:val="16"/>
          <w:lang w:val="es-ES"/>
        </w:rPr>
        <w:t>Ubi lex non distinguit nec nos distinguere debemus</w:t>
      </w:r>
      <w:r w:rsidRPr="00382345">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0647919D" w14:textId="77777777" w:rsidR="00736161" w:rsidRPr="00382345" w:rsidRDefault="00736161" w:rsidP="00736161">
      <w:pPr>
        <w:pStyle w:val="Textonotapie"/>
        <w:ind w:firstLine="708"/>
        <w:jc w:val="both"/>
        <w:rPr>
          <w:rFonts w:ascii="Verdana" w:hAnsi="Verdana"/>
          <w:sz w:val="16"/>
          <w:szCs w:val="16"/>
        </w:rPr>
      </w:pPr>
      <w:r w:rsidRPr="00382345">
        <w:rPr>
          <w:rFonts w:ascii="Verdana" w:hAnsi="Verdana"/>
          <w:sz w:val="16"/>
          <w:szCs w:val="16"/>
          <w:lang w:val="es-ES"/>
        </w:rPr>
        <w:t xml:space="preserve">En el derecho antiguo y en el derecho canónico se distinguían las leyes en favorables y odiosas, para ampliar o restringir su interpretación. </w:t>
      </w:r>
      <w:r w:rsidRPr="00382345">
        <w:rPr>
          <w:rFonts w:ascii="Verdana" w:hAnsi="Verdana"/>
          <w:i/>
          <w:iCs/>
          <w:sz w:val="16"/>
          <w:szCs w:val="16"/>
          <w:lang w:val="es-ES"/>
        </w:rPr>
        <w:t>Odia restringí et favores convenit ampliari</w:t>
      </w:r>
      <w:r w:rsidRPr="00382345">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382345">
        <w:rPr>
          <w:rFonts w:ascii="Verdana" w:hAnsi="Verdana"/>
          <w:sz w:val="16"/>
          <w:szCs w:val="16"/>
        </w:rPr>
        <w:t>CLARO SOLAR, Luis. Explicaciones de derecho civil chileno y comparado. Volumen I. Tomo I. Santiago: Editorial Jurídica de Chile, 2013. p. 119. Énfasis dentro del texto).</w:t>
      </w:r>
    </w:p>
    <w:p w14:paraId="02A9DCE0" w14:textId="77777777" w:rsidR="00736161" w:rsidRPr="00676B87" w:rsidRDefault="00736161" w:rsidP="00736161">
      <w:pPr>
        <w:pStyle w:val="Textonotapie"/>
        <w:ind w:firstLine="708"/>
        <w:jc w:val="both"/>
        <w:rPr>
          <w:sz w:val="16"/>
          <w:szCs w:val="16"/>
        </w:rPr>
      </w:pPr>
    </w:p>
  </w:footnote>
  <w:footnote w:id="16">
    <w:p w14:paraId="7BD54D41" w14:textId="77777777" w:rsidR="00736161" w:rsidRPr="00382345" w:rsidRDefault="00736161" w:rsidP="00736161">
      <w:pPr>
        <w:pStyle w:val="Textonotapie"/>
        <w:ind w:firstLine="709"/>
        <w:jc w:val="both"/>
        <w:rPr>
          <w:rFonts w:ascii="Verdana" w:hAnsi="Verdana"/>
          <w:sz w:val="16"/>
          <w:szCs w:val="16"/>
          <w:lang w:val="es-CO"/>
        </w:rPr>
      </w:pPr>
      <w:r w:rsidRPr="00382345">
        <w:rPr>
          <w:rStyle w:val="Refdenotaalpie"/>
          <w:rFonts w:ascii="Verdana" w:hAnsi="Verdana"/>
          <w:sz w:val="16"/>
          <w:szCs w:val="16"/>
        </w:rPr>
        <w:footnoteRef/>
      </w:r>
      <w:r w:rsidRPr="00382345">
        <w:rPr>
          <w:rFonts w:ascii="Verdana" w:hAnsi="Verdana"/>
          <w:sz w:val="16"/>
          <w:szCs w:val="16"/>
          <w:lang w:val="es-CO"/>
        </w:rPr>
        <w:t xml:space="preserve"> Consejo de Estado, Sección Tercera. Auto del 4 de octubre de 2024. Exp. 70.313. C.P: Fredy Ibarra Martínez.</w:t>
      </w:r>
    </w:p>
  </w:footnote>
  <w:footnote w:id="17">
    <w:p w14:paraId="4101B35F" w14:textId="77777777" w:rsidR="00736161" w:rsidRPr="00382345" w:rsidRDefault="00736161" w:rsidP="00736161">
      <w:pPr>
        <w:pStyle w:val="Textonotapie"/>
        <w:ind w:firstLine="709"/>
        <w:jc w:val="both"/>
        <w:rPr>
          <w:rFonts w:ascii="Verdana" w:hAnsi="Verdana"/>
          <w:sz w:val="16"/>
          <w:szCs w:val="16"/>
          <w:lang w:val="es-CO"/>
        </w:rPr>
      </w:pPr>
      <w:r w:rsidRPr="00382345">
        <w:rPr>
          <w:rStyle w:val="Refdenotaalpie"/>
          <w:rFonts w:ascii="Verdana" w:hAnsi="Verdana"/>
          <w:sz w:val="16"/>
          <w:szCs w:val="16"/>
        </w:rPr>
        <w:footnoteRef/>
      </w:r>
      <w:r w:rsidRPr="00382345">
        <w:rPr>
          <w:rFonts w:ascii="Verdana" w:hAnsi="Verdana"/>
          <w:sz w:val="16"/>
          <w:szCs w:val="16"/>
        </w:rPr>
        <w:t xml:space="preserve"> La parte resolutiva del auto dispone lo siguiente; “</w:t>
      </w:r>
      <w:r w:rsidRPr="00382345">
        <w:rPr>
          <w:rFonts w:ascii="Verdana" w:hAnsi="Verdana"/>
          <w:sz w:val="16"/>
          <w:szCs w:val="16"/>
          <w:lang w:val="es-CO"/>
        </w:rPr>
        <w:t xml:space="preserve">PRIMERO: DECRETAR la suspensión provisional de los apartes cuestionados del inciso segundo del numeral 16.2 de la Circular Externa única, versión 3 del 27 de diciembre de 2023, expedida por la Agencia Nacional de Contratación Pública – Colombia Compra Eficiente, según el cual </w:t>
      </w:r>
      <w:r w:rsidRPr="00382345">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382345">
        <w:rPr>
          <w:rFonts w:ascii="Verdana" w:hAnsi="Verdana"/>
          <w:sz w:val="16"/>
          <w:szCs w:val="16"/>
          <w:lang w:val="es-CO"/>
        </w:rPr>
        <w:t xml:space="preserve">, por las razones expuestas en precedencia. </w:t>
      </w:r>
    </w:p>
    <w:p w14:paraId="794B079E" w14:textId="77777777" w:rsidR="00736161" w:rsidRPr="00382345" w:rsidRDefault="00736161" w:rsidP="00736161">
      <w:pPr>
        <w:pStyle w:val="Textonotapie"/>
        <w:ind w:firstLine="709"/>
        <w:jc w:val="both"/>
        <w:rPr>
          <w:rFonts w:ascii="Verdana" w:hAnsi="Verdana"/>
          <w:sz w:val="16"/>
          <w:szCs w:val="16"/>
          <w:lang w:val="es-CO"/>
        </w:rPr>
      </w:pPr>
      <w:r w:rsidRPr="00382345">
        <w:rPr>
          <w:rFonts w:ascii="Verdana" w:hAnsi="Verdana"/>
          <w:sz w:val="16"/>
          <w:szCs w:val="16"/>
          <w:lang w:val="es-CO"/>
        </w:rPr>
        <w:t>SEGUNDO: DECRETAR la suspensión provisional de la expresión “</w:t>
      </w:r>
      <w:r w:rsidRPr="00382345">
        <w:rPr>
          <w:rFonts w:ascii="Verdana" w:hAnsi="Verdana"/>
          <w:i/>
          <w:sz w:val="16"/>
          <w:szCs w:val="16"/>
          <w:lang w:val="es-CO"/>
        </w:rPr>
        <w:t>contratos</w:t>
      </w:r>
      <w:r w:rsidRPr="00382345">
        <w:rPr>
          <w:rFonts w:ascii="Verdana" w:hAnsi="Verdana"/>
          <w:sz w:val="16"/>
          <w:szCs w:val="16"/>
          <w:lang w:val="es-CO"/>
        </w:rPr>
        <w:t xml:space="preserve">” y del párrafo </w:t>
      </w:r>
      <w:r w:rsidRPr="0038234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38234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18">
    <w:p w14:paraId="4E703CDF" w14:textId="77777777" w:rsidR="00736161" w:rsidRDefault="00736161" w:rsidP="00736161">
      <w:pPr>
        <w:spacing w:line="240" w:lineRule="auto"/>
        <w:ind w:firstLine="709"/>
        <w:contextualSpacing/>
        <w:jc w:val="both"/>
        <w:rPr>
          <w:rFonts w:ascii="Verdana" w:eastAsia="Times New Roman" w:hAnsi="Verdana" w:cs="Times New Roman"/>
          <w:sz w:val="16"/>
          <w:szCs w:val="16"/>
          <w:lang w:eastAsia="es-ES"/>
        </w:rPr>
      </w:pPr>
      <w:r w:rsidRPr="00382345">
        <w:rPr>
          <w:rStyle w:val="Refdenotaalpie"/>
          <w:rFonts w:ascii="Verdana" w:hAnsi="Verdana"/>
          <w:sz w:val="16"/>
          <w:szCs w:val="16"/>
        </w:rPr>
        <w:footnoteRef/>
      </w:r>
      <w:r w:rsidRPr="00382345">
        <w:rPr>
          <w:rFonts w:ascii="Verdana" w:hAnsi="Verdana"/>
          <w:sz w:val="16"/>
          <w:szCs w:val="16"/>
        </w:rPr>
        <w:t xml:space="preserve"> </w:t>
      </w:r>
      <w:r w:rsidRPr="0038234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382345">
        <w:rPr>
          <w:rFonts w:ascii="Verdana" w:hAnsi="Verdana"/>
          <w:sz w:val="16"/>
          <w:szCs w:val="16"/>
        </w:rPr>
        <w:t xml:space="preserve">La parte de la providencia señala: </w:t>
      </w:r>
      <w:r w:rsidRPr="00382345">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7CFBA545" w14:textId="77777777" w:rsidR="001E25F0" w:rsidRDefault="001E25F0" w:rsidP="00736161">
      <w:pPr>
        <w:spacing w:line="240" w:lineRule="auto"/>
        <w:ind w:firstLine="709"/>
        <w:contextualSpacing/>
        <w:jc w:val="both"/>
        <w:rPr>
          <w:rFonts w:ascii="Verdana" w:eastAsia="Times New Roman" w:hAnsi="Verdana" w:cs="Times New Roman"/>
          <w:sz w:val="16"/>
          <w:szCs w:val="16"/>
          <w:lang w:eastAsia="es-ES"/>
        </w:rPr>
      </w:pPr>
    </w:p>
    <w:p w14:paraId="6D886054" w14:textId="77777777" w:rsidR="001E25F0" w:rsidRDefault="001E25F0" w:rsidP="00736161">
      <w:pPr>
        <w:spacing w:line="240" w:lineRule="auto"/>
        <w:ind w:firstLine="709"/>
        <w:contextualSpacing/>
        <w:jc w:val="both"/>
        <w:rPr>
          <w:rFonts w:ascii="Verdana" w:eastAsia="Times New Roman" w:hAnsi="Verdana" w:cs="Times New Roman"/>
          <w:sz w:val="16"/>
          <w:szCs w:val="16"/>
          <w:lang w:eastAsia="es-ES"/>
        </w:rPr>
      </w:pPr>
    </w:p>
    <w:p w14:paraId="0F045EA9" w14:textId="77777777" w:rsidR="001E25F0" w:rsidRDefault="001E25F0" w:rsidP="00736161">
      <w:pPr>
        <w:spacing w:line="240" w:lineRule="auto"/>
        <w:ind w:firstLine="709"/>
        <w:contextualSpacing/>
        <w:jc w:val="both"/>
        <w:rPr>
          <w:rFonts w:ascii="Verdana" w:eastAsia="Times New Roman" w:hAnsi="Verdana" w:cs="Times New Roman"/>
          <w:sz w:val="16"/>
          <w:szCs w:val="16"/>
          <w:lang w:eastAsia="es-ES"/>
        </w:rPr>
      </w:pPr>
    </w:p>
    <w:p w14:paraId="7D4FE07A"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15A115E0"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32461FA2"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58979782"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6ECC0E4F"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383E7A69"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7E7706E2"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1592F70C"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5296780E"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21BEAFCF"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52D7C8C1"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3F9BB0B5"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1AD4B1FF"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32935E39"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43EDE21E" w14:textId="77777777" w:rsidR="00F62B37" w:rsidRDefault="00F62B37" w:rsidP="00736161">
      <w:pPr>
        <w:spacing w:line="240" w:lineRule="auto"/>
        <w:ind w:firstLine="709"/>
        <w:contextualSpacing/>
        <w:jc w:val="both"/>
        <w:rPr>
          <w:rFonts w:ascii="Verdana" w:eastAsia="Times New Roman" w:hAnsi="Verdana" w:cs="Times New Roman"/>
          <w:sz w:val="16"/>
          <w:szCs w:val="16"/>
          <w:lang w:eastAsia="es-ES"/>
        </w:rPr>
      </w:pPr>
    </w:p>
    <w:p w14:paraId="154963CE" w14:textId="77777777" w:rsidR="00F62B37" w:rsidRPr="00382345" w:rsidRDefault="00F62B37" w:rsidP="00736161">
      <w:pPr>
        <w:spacing w:line="240" w:lineRule="auto"/>
        <w:ind w:firstLine="709"/>
        <w:contextualSpacing/>
        <w:jc w:val="both"/>
        <w:rPr>
          <w:rFonts w:ascii="Verdana" w:eastAsia="Times New Roman" w:hAnsi="Verdana" w:cs="Times New Roman"/>
          <w:sz w:val="16"/>
          <w:szCs w:val="16"/>
          <w:lang w:eastAsia="es-ES"/>
        </w:rPr>
      </w:pPr>
    </w:p>
  </w:footnote>
  <w:footnote w:id="19">
    <w:p w14:paraId="42DC163F" w14:textId="77777777" w:rsidR="00736161" w:rsidRDefault="00736161" w:rsidP="00736161">
      <w:pPr>
        <w:pStyle w:val="Textonotapie"/>
        <w:ind w:firstLine="709"/>
        <w:jc w:val="both"/>
        <w:rPr>
          <w:rFonts w:ascii="Verdana" w:hAnsi="Verdana"/>
          <w:sz w:val="16"/>
          <w:szCs w:val="16"/>
        </w:rPr>
      </w:pPr>
      <w:r w:rsidRPr="00382345">
        <w:rPr>
          <w:rFonts w:ascii="Verdana" w:hAnsi="Verdana"/>
          <w:sz w:val="16"/>
          <w:szCs w:val="16"/>
          <w:vertAlign w:val="superscript"/>
        </w:rPr>
        <w:footnoteRef/>
      </w:r>
      <w:r w:rsidRPr="00382345">
        <w:rPr>
          <w:rFonts w:ascii="Verdana" w:hAnsi="Verdana"/>
          <w:sz w:val="16"/>
          <w:szCs w:val="16"/>
        </w:rPr>
        <w:t xml:space="preserve"> No </w:t>
      </w:r>
      <w:r w:rsidRPr="00382345">
        <w:rPr>
          <w:rFonts w:ascii="Verdana" w:hAnsi="Verdana"/>
          <w:sz w:val="16"/>
          <w:szCs w:val="16"/>
        </w:rPr>
        <w:t>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655FC8AC" w14:textId="77777777" w:rsidR="00F62B37" w:rsidRDefault="00F62B37" w:rsidP="00736161">
      <w:pPr>
        <w:pStyle w:val="Textonotapie"/>
        <w:ind w:firstLine="709"/>
        <w:jc w:val="both"/>
        <w:rPr>
          <w:rFonts w:ascii="Verdana" w:hAnsi="Verdana"/>
          <w:sz w:val="16"/>
          <w:szCs w:val="16"/>
        </w:rPr>
      </w:pPr>
    </w:p>
    <w:p w14:paraId="3EB6FC0B" w14:textId="77777777" w:rsidR="00F62B37" w:rsidRDefault="00F62B37" w:rsidP="00736161">
      <w:pPr>
        <w:pStyle w:val="Textonotapie"/>
        <w:ind w:firstLine="709"/>
        <w:jc w:val="both"/>
        <w:rPr>
          <w:rFonts w:ascii="Verdana" w:hAnsi="Verdana"/>
          <w:sz w:val="16"/>
          <w:szCs w:val="16"/>
        </w:rPr>
      </w:pPr>
    </w:p>
    <w:p w14:paraId="6FC964FF" w14:textId="77777777" w:rsidR="00F62B37" w:rsidRDefault="00F62B37" w:rsidP="00736161">
      <w:pPr>
        <w:pStyle w:val="Textonotapie"/>
        <w:ind w:firstLine="709"/>
        <w:jc w:val="both"/>
        <w:rPr>
          <w:rFonts w:ascii="Verdana" w:hAnsi="Verdana"/>
          <w:sz w:val="16"/>
          <w:szCs w:val="16"/>
        </w:rPr>
      </w:pPr>
    </w:p>
    <w:p w14:paraId="278862CD" w14:textId="77777777" w:rsidR="00F62B37" w:rsidRDefault="00F62B37" w:rsidP="00736161">
      <w:pPr>
        <w:pStyle w:val="Textonotapie"/>
        <w:ind w:firstLine="709"/>
        <w:jc w:val="both"/>
        <w:rPr>
          <w:rFonts w:ascii="Verdana" w:hAnsi="Verdana"/>
          <w:sz w:val="16"/>
          <w:szCs w:val="16"/>
        </w:rPr>
      </w:pPr>
    </w:p>
    <w:p w14:paraId="480541E2" w14:textId="77777777" w:rsidR="00F62B37" w:rsidRDefault="00F62B37" w:rsidP="00736161">
      <w:pPr>
        <w:pStyle w:val="Textonotapie"/>
        <w:ind w:firstLine="709"/>
        <w:jc w:val="both"/>
        <w:rPr>
          <w:rFonts w:ascii="Verdana" w:hAnsi="Verdana"/>
          <w:sz w:val="16"/>
          <w:szCs w:val="16"/>
        </w:rPr>
      </w:pPr>
    </w:p>
    <w:p w14:paraId="57AF84DE" w14:textId="77777777" w:rsidR="00F62B37" w:rsidRDefault="00F62B37" w:rsidP="00736161">
      <w:pPr>
        <w:pStyle w:val="Textonotapie"/>
        <w:ind w:firstLine="709"/>
        <w:jc w:val="both"/>
        <w:rPr>
          <w:rFonts w:ascii="Verdana" w:hAnsi="Verdana"/>
          <w:sz w:val="16"/>
          <w:szCs w:val="16"/>
        </w:rPr>
      </w:pPr>
    </w:p>
    <w:p w14:paraId="3CF5F2D1" w14:textId="77777777" w:rsidR="00F62B37" w:rsidRDefault="00F62B37" w:rsidP="00736161">
      <w:pPr>
        <w:pStyle w:val="Textonotapie"/>
        <w:ind w:firstLine="709"/>
        <w:jc w:val="both"/>
        <w:rPr>
          <w:rFonts w:ascii="Verdana" w:hAnsi="Verdana"/>
          <w:sz w:val="16"/>
          <w:szCs w:val="16"/>
        </w:rPr>
      </w:pPr>
    </w:p>
    <w:p w14:paraId="042996BD" w14:textId="77777777" w:rsidR="00F62B37" w:rsidRDefault="00F62B37" w:rsidP="00736161">
      <w:pPr>
        <w:pStyle w:val="Textonotapie"/>
        <w:ind w:firstLine="709"/>
        <w:jc w:val="both"/>
        <w:rPr>
          <w:rFonts w:ascii="Verdana" w:hAnsi="Verdana"/>
          <w:sz w:val="16"/>
          <w:szCs w:val="16"/>
        </w:rPr>
      </w:pPr>
    </w:p>
    <w:p w14:paraId="6FFA7EA3" w14:textId="77777777" w:rsidR="00F62B37" w:rsidRDefault="00F62B37" w:rsidP="00736161">
      <w:pPr>
        <w:pStyle w:val="Textonotapie"/>
        <w:ind w:firstLine="709"/>
        <w:jc w:val="both"/>
        <w:rPr>
          <w:rFonts w:ascii="Verdana" w:hAnsi="Verdana"/>
          <w:sz w:val="16"/>
          <w:szCs w:val="16"/>
        </w:rPr>
      </w:pPr>
    </w:p>
    <w:p w14:paraId="61688F45" w14:textId="77777777" w:rsidR="00F62B37" w:rsidRDefault="00F62B37" w:rsidP="00736161">
      <w:pPr>
        <w:pStyle w:val="Textonotapie"/>
        <w:ind w:firstLine="709"/>
        <w:jc w:val="both"/>
        <w:rPr>
          <w:rFonts w:ascii="Verdana" w:hAnsi="Verdana"/>
          <w:sz w:val="16"/>
          <w:szCs w:val="16"/>
        </w:rPr>
      </w:pPr>
    </w:p>
    <w:p w14:paraId="450AA30D" w14:textId="77777777" w:rsidR="00F62B37" w:rsidRDefault="00F62B37" w:rsidP="00736161">
      <w:pPr>
        <w:pStyle w:val="Textonotapie"/>
        <w:ind w:firstLine="709"/>
        <w:jc w:val="both"/>
        <w:rPr>
          <w:rFonts w:ascii="Verdana" w:hAnsi="Verdana"/>
          <w:sz w:val="16"/>
          <w:szCs w:val="16"/>
        </w:rPr>
      </w:pPr>
    </w:p>
    <w:p w14:paraId="4F89C7D4" w14:textId="77777777" w:rsidR="00F62B37" w:rsidRDefault="00F62B37" w:rsidP="00736161">
      <w:pPr>
        <w:pStyle w:val="Textonotapie"/>
        <w:ind w:firstLine="709"/>
        <w:jc w:val="both"/>
        <w:rPr>
          <w:rFonts w:ascii="Verdana" w:hAnsi="Verdana"/>
          <w:sz w:val="16"/>
          <w:szCs w:val="16"/>
        </w:rPr>
      </w:pPr>
    </w:p>
    <w:p w14:paraId="41B23CE8" w14:textId="77777777" w:rsidR="00F62B37" w:rsidRDefault="00F62B37" w:rsidP="00736161">
      <w:pPr>
        <w:pStyle w:val="Textonotapie"/>
        <w:ind w:firstLine="709"/>
        <w:jc w:val="both"/>
        <w:rPr>
          <w:rFonts w:ascii="Verdana" w:hAnsi="Verdana"/>
          <w:sz w:val="16"/>
          <w:szCs w:val="16"/>
        </w:rPr>
      </w:pPr>
    </w:p>
    <w:p w14:paraId="7C14B8AC" w14:textId="77777777" w:rsidR="00F62B37" w:rsidRDefault="00F62B37" w:rsidP="00736161">
      <w:pPr>
        <w:pStyle w:val="Textonotapie"/>
        <w:ind w:firstLine="709"/>
        <w:jc w:val="both"/>
        <w:rPr>
          <w:rFonts w:ascii="Verdana" w:hAnsi="Verdana"/>
          <w:sz w:val="16"/>
          <w:szCs w:val="16"/>
        </w:rPr>
      </w:pPr>
    </w:p>
    <w:p w14:paraId="387026B0" w14:textId="77777777" w:rsidR="00F62B37" w:rsidRPr="00676B87" w:rsidRDefault="00F62B37" w:rsidP="00736161">
      <w:pPr>
        <w:pStyle w:val="Textonotapie"/>
        <w:ind w:firstLine="709"/>
        <w:jc w:val="both"/>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4E2C8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560793310">
    <w:abstractNumId w:val="0"/>
  </w:num>
  <w:num w:numId="17" w16cid:durableId="1009600534">
    <w:abstractNumId w:val="9"/>
  </w:num>
  <w:num w:numId="18" w16cid:durableId="17237452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8F2"/>
    <w:rsid w:val="00045A4E"/>
    <w:rsid w:val="00046945"/>
    <w:rsid w:val="000523A1"/>
    <w:rsid w:val="00061B2A"/>
    <w:rsid w:val="000709B2"/>
    <w:rsid w:val="00082362"/>
    <w:rsid w:val="000A683E"/>
    <w:rsid w:val="000A7286"/>
    <w:rsid w:val="000B19B9"/>
    <w:rsid w:val="000D0334"/>
    <w:rsid w:val="000D52F2"/>
    <w:rsid w:val="000D5DA7"/>
    <w:rsid w:val="000F6486"/>
    <w:rsid w:val="00116940"/>
    <w:rsid w:val="00125105"/>
    <w:rsid w:val="00127233"/>
    <w:rsid w:val="0015699B"/>
    <w:rsid w:val="001A33BF"/>
    <w:rsid w:val="001C6BF0"/>
    <w:rsid w:val="001E25F0"/>
    <w:rsid w:val="001E4177"/>
    <w:rsid w:val="001F0B24"/>
    <w:rsid w:val="001F7DC6"/>
    <w:rsid w:val="0022400B"/>
    <w:rsid w:val="0023567A"/>
    <w:rsid w:val="002421BB"/>
    <w:rsid w:val="002520B3"/>
    <w:rsid w:val="0025796E"/>
    <w:rsid w:val="002707A2"/>
    <w:rsid w:val="00277A22"/>
    <w:rsid w:val="002951A0"/>
    <w:rsid w:val="002962BC"/>
    <w:rsid w:val="002A060E"/>
    <w:rsid w:val="002A093D"/>
    <w:rsid w:val="002A0DD0"/>
    <w:rsid w:val="002A49AC"/>
    <w:rsid w:val="002A64FD"/>
    <w:rsid w:val="002C7A84"/>
    <w:rsid w:val="002E2BF8"/>
    <w:rsid w:val="002E4FD9"/>
    <w:rsid w:val="0030657A"/>
    <w:rsid w:val="00322A85"/>
    <w:rsid w:val="00324168"/>
    <w:rsid w:val="00326EC5"/>
    <w:rsid w:val="00330834"/>
    <w:rsid w:val="003448F4"/>
    <w:rsid w:val="003479FD"/>
    <w:rsid w:val="00350B0A"/>
    <w:rsid w:val="003658CE"/>
    <w:rsid w:val="00374F5E"/>
    <w:rsid w:val="00377E3E"/>
    <w:rsid w:val="00382345"/>
    <w:rsid w:val="00393B96"/>
    <w:rsid w:val="003A779E"/>
    <w:rsid w:val="003D0F4D"/>
    <w:rsid w:val="003D5B0D"/>
    <w:rsid w:val="003E0499"/>
    <w:rsid w:val="003E4F80"/>
    <w:rsid w:val="003E6439"/>
    <w:rsid w:val="003F2616"/>
    <w:rsid w:val="003F3941"/>
    <w:rsid w:val="00406575"/>
    <w:rsid w:val="004124E6"/>
    <w:rsid w:val="00414C74"/>
    <w:rsid w:val="0042722E"/>
    <w:rsid w:val="0044528D"/>
    <w:rsid w:val="00466E39"/>
    <w:rsid w:val="00484273"/>
    <w:rsid w:val="004A1847"/>
    <w:rsid w:val="004A2327"/>
    <w:rsid w:val="004A305D"/>
    <w:rsid w:val="004F21C4"/>
    <w:rsid w:val="004F685F"/>
    <w:rsid w:val="005566E8"/>
    <w:rsid w:val="00574867"/>
    <w:rsid w:val="00591460"/>
    <w:rsid w:val="005A65E0"/>
    <w:rsid w:val="005C3777"/>
    <w:rsid w:val="005C5CDC"/>
    <w:rsid w:val="005D22C0"/>
    <w:rsid w:val="005D476C"/>
    <w:rsid w:val="005E4A8A"/>
    <w:rsid w:val="005F09E0"/>
    <w:rsid w:val="006200BF"/>
    <w:rsid w:val="006219F8"/>
    <w:rsid w:val="006302F7"/>
    <w:rsid w:val="00646B9F"/>
    <w:rsid w:val="0066125C"/>
    <w:rsid w:val="00665D70"/>
    <w:rsid w:val="00676B87"/>
    <w:rsid w:val="006900D9"/>
    <w:rsid w:val="006D094E"/>
    <w:rsid w:val="006F7A6E"/>
    <w:rsid w:val="00706C16"/>
    <w:rsid w:val="007340C3"/>
    <w:rsid w:val="00736161"/>
    <w:rsid w:val="0075235A"/>
    <w:rsid w:val="00752EC4"/>
    <w:rsid w:val="00756841"/>
    <w:rsid w:val="007649AB"/>
    <w:rsid w:val="00764A2D"/>
    <w:rsid w:val="00771D0C"/>
    <w:rsid w:val="007833AC"/>
    <w:rsid w:val="0079471B"/>
    <w:rsid w:val="007B268C"/>
    <w:rsid w:val="007B7171"/>
    <w:rsid w:val="007C0C0F"/>
    <w:rsid w:val="007C3DC2"/>
    <w:rsid w:val="007E5497"/>
    <w:rsid w:val="00806F5F"/>
    <w:rsid w:val="00820278"/>
    <w:rsid w:val="008258C9"/>
    <w:rsid w:val="00844AE9"/>
    <w:rsid w:val="00867F95"/>
    <w:rsid w:val="0087066F"/>
    <w:rsid w:val="008843B6"/>
    <w:rsid w:val="00891928"/>
    <w:rsid w:val="008A446D"/>
    <w:rsid w:val="008B25F1"/>
    <w:rsid w:val="008D180B"/>
    <w:rsid w:val="008F0EA7"/>
    <w:rsid w:val="00923EEF"/>
    <w:rsid w:val="009419F9"/>
    <w:rsid w:val="00942FFC"/>
    <w:rsid w:val="0095685E"/>
    <w:rsid w:val="00961B09"/>
    <w:rsid w:val="00965334"/>
    <w:rsid w:val="0097093E"/>
    <w:rsid w:val="00990EC4"/>
    <w:rsid w:val="00994967"/>
    <w:rsid w:val="009A0DFA"/>
    <w:rsid w:val="009A1C6F"/>
    <w:rsid w:val="009A2DF4"/>
    <w:rsid w:val="009B2D26"/>
    <w:rsid w:val="009C71FA"/>
    <w:rsid w:val="009C72E7"/>
    <w:rsid w:val="009C7F7E"/>
    <w:rsid w:val="009D3058"/>
    <w:rsid w:val="009E6A86"/>
    <w:rsid w:val="009F3A13"/>
    <w:rsid w:val="00A122D3"/>
    <w:rsid w:val="00A14468"/>
    <w:rsid w:val="00A17F13"/>
    <w:rsid w:val="00A20739"/>
    <w:rsid w:val="00A21201"/>
    <w:rsid w:val="00A23AF9"/>
    <w:rsid w:val="00A33C78"/>
    <w:rsid w:val="00A43C6C"/>
    <w:rsid w:val="00AA17B0"/>
    <w:rsid w:val="00AB0ADB"/>
    <w:rsid w:val="00B00C0E"/>
    <w:rsid w:val="00B01B1A"/>
    <w:rsid w:val="00B0381D"/>
    <w:rsid w:val="00B22984"/>
    <w:rsid w:val="00B3117D"/>
    <w:rsid w:val="00B44A47"/>
    <w:rsid w:val="00B72CD3"/>
    <w:rsid w:val="00B72FFF"/>
    <w:rsid w:val="00BC3D36"/>
    <w:rsid w:val="00BD54A6"/>
    <w:rsid w:val="00BD7F72"/>
    <w:rsid w:val="00BF4BE7"/>
    <w:rsid w:val="00BF7425"/>
    <w:rsid w:val="00C04FB3"/>
    <w:rsid w:val="00C11D8B"/>
    <w:rsid w:val="00C14818"/>
    <w:rsid w:val="00C15139"/>
    <w:rsid w:val="00C330EB"/>
    <w:rsid w:val="00C50D69"/>
    <w:rsid w:val="00C5365C"/>
    <w:rsid w:val="00C754BE"/>
    <w:rsid w:val="00C76B1C"/>
    <w:rsid w:val="00C925AC"/>
    <w:rsid w:val="00C9609B"/>
    <w:rsid w:val="00CB6357"/>
    <w:rsid w:val="00CC1B26"/>
    <w:rsid w:val="00D361FD"/>
    <w:rsid w:val="00D423A2"/>
    <w:rsid w:val="00D44E26"/>
    <w:rsid w:val="00D520D8"/>
    <w:rsid w:val="00D63AC2"/>
    <w:rsid w:val="00D7383B"/>
    <w:rsid w:val="00D7788A"/>
    <w:rsid w:val="00DA231B"/>
    <w:rsid w:val="00DC39FC"/>
    <w:rsid w:val="00DC7DAF"/>
    <w:rsid w:val="00DF5254"/>
    <w:rsid w:val="00E02524"/>
    <w:rsid w:val="00E163EC"/>
    <w:rsid w:val="00E16408"/>
    <w:rsid w:val="00E20894"/>
    <w:rsid w:val="00E245AB"/>
    <w:rsid w:val="00E2764C"/>
    <w:rsid w:val="00E27F2E"/>
    <w:rsid w:val="00E379F9"/>
    <w:rsid w:val="00E50AFE"/>
    <w:rsid w:val="00E72F03"/>
    <w:rsid w:val="00E75C92"/>
    <w:rsid w:val="00E771DC"/>
    <w:rsid w:val="00E8772A"/>
    <w:rsid w:val="00E90F6B"/>
    <w:rsid w:val="00E92C27"/>
    <w:rsid w:val="00E9353F"/>
    <w:rsid w:val="00EA0E3D"/>
    <w:rsid w:val="00EC38A7"/>
    <w:rsid w:val="00EE1AA8"/>
    <w:rsid w:val="00EE1F6E"/>
    <w:rsid w:val="00EE28A2"/>
    <w:rsid w:val="00F23FEA"/>
    <w:rsid w:val="00F3004F"/>
    <w:rsid w:val="00F31EDC"/>
    <w:rsid w:val="00F409DE"/>
    <w:rsid w:val="00F462B3"/>
    <w:rsid w:val="00F5664F"/>
    <w:rsid w:val="00F62B37"/>
    <w:rsid w:val="00F666C4"/>
    <w:rsid w:val="00F76AFC"/>
    <w:rsid w:val="00F83A97"/>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BD87B5A-3ECB-470C-955D-78C1FEC28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3616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36161"/>
    <w:rPr>
      <w:rFonts w:ascii="Geomanist Light" w:hAnsi="Geomanist Light"/>
      <w:lang w:val="es-ES"/>
    </w:rPr>
  </w:style>
  <w:style w:type="character" w:customStyle="1" w:styleId="NormalWebCar">
    <w:name w:val="Normal (Web) Car"/>
    <w:link w:val="NormalWeb"/>
    <w:uiPriority w:val="99"/>
    <w:locked/>
    <w:rsid w:val="00736161"/>
    <w:rPr>
      <w:rFonts w:ascii="Times New Roman" w:eastAsia="Times New Roman" w:hAnsi="Times New Roman" w:cs="Times New Roman"/>
      <w:sz w:val="24"/>
      <w:szCs w:val="24"/>
      <w:lang w:eastAsia="es-CO"/>
    </w:rPr>
  </w:style>
  <w:style w:type="character" w:customStyle="1" w:styleId="baj">
    <w:name w:val="b_aj"/>
    <w:basedOn w:val="Fuentedeprrafopredeter"/>
    <w:rsid w:val="007361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operaciones.colombiacompra.gov.co/sites/cce_public/files/cce_circulares/circular_externa_unica_version_3_vf49.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alentohum@herasmomeoz.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A80BC9-1C7D-4F14-94F7-183E3B191C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24</Pages>
  <Words>7517</Words>
  <Characters>41346</Characters>
  <Application>Microsoft Office Word</Application>
  <DocSecurity>0</DocSecurity>
  <Lines>751</Lines>
  <Paragraphs>153</Paragraphs>
  <ScaleCrop>false</ScaleCrop>
  <Company/>
  <LinksUpToDate>false</LinksUpToDate>
  <CharactersWithSpaces>48710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13</cp:revision>
  <cp:lastPrinted>2023-01-10T21:18:00Z</cp:lastPrinted>
  <dcterms:created xsi:type="dcterms:W3CDTF">2026-01-20T23:34:00Z</dcterms:created>
  <dcterms:modified xsi:type="dcterms:W3CDTF">2026-01-27T15:09:00Z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