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C2C64" w14:textId="77777777" w:rsidR="00C24D4F" w:rsidRDefault="00C24D4F" w:rsidP="00C24D4F">
      <w:pPr>
        <w:spacing w:line="240" w:lineRule="auto"/>
        <w:rPr>
          <w:rFonts w:ascii="Verdana" w:eastAsia="Geomanist Light" w:hAnsi="Verdana" w:cs="Arial"/>
          <w:b/>
          <w:color w:val="000000" w:themeColor="text1"/>
          <w:lang w:val="es-MX"/>
        </w:rPr>
      </w:pPr>
      <w:bookmarkStart w:id="0" w:name="_Hlk143780582"/>
      <w:r>
        <w:rPr>
          <w:rFonts w:ascii="Verdana" w:hAnsi="Verdana" w:cs="Arial"/>
          <w:b/>
        </w:rPr>
        <w:t>LEY DE EMPRENDIMIENTO – Ley 2069 de 2021 - Finalidad</w:t>
      </w:r>
    </w:p>
    <w:p w14:paraId="12BFA271" w14:textId="77777777" w:rsidR="00C24D4F" w:rsidRDefault="00C24D4F" w:rsidP="00C24D4F">
      <w:pPr>
        <w:spacing w:after="0" w:line="240" w:lineRule="auto"/>
        <w:ind w:right="62"/>
        <w:jc w:val="both"/>
        <w:rPr>
          <w:rFonts w:ascii="Verdana" w:hAnsi="Verdana"/>
          <w:sz w:val="20"/>
          <w:szCs w:val="20"/>
        </w:rPr>
      </w:pPr>
      <w:r w:rsidRPr="00C24D4F">
        <w:rPr>
          <w:rFonts w:ascii="Verdana" w:hAnsi="Verdana"/>
          <w:sz w:val="20"/>
          <w:szCs w:val="20"/>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0CE6B204" w14:textId="77777777" w:rsidR="00C24D4F" w:rsidRPr="00C24D4F" w:rsidRDefault="00C24D4F" w:rsidP="00C24D4F">
      <w:pPr>
        <w:spacing w:after="0" w:line="240" w:lineRule="auto"/>
        <w:ind w:right="62"/>
        <w:jc w:val="both"/>
        <w:rPr>
          <w:rFonts w:ascii="Verdana" w:hAnsi="Verdana"/>
          <w:sz w:val="20"/>
          <w:szCs w:val="20"/>
        </w:rPr>
      </w:pPr>
    </w:p>
    <w:p w14:paraId="5CC77FAC" w14:textId="77777777" w:rsidR="00C24D4F" w:rsidRDefault="00C24D4F" w:rsidP="00C24D4F">
      <w:pPr>
        <w:spacing w:after="311" w:line="268" w:lineRule="auto"/>
        <w:ind w:right="63"/>
        <w:jc w:val="both"/>
        <w:rPr>
          <w:rFonts w:ascii="Verdana" w:hAnsi="Verdana" w:cs="Arial"/>
          <w:b/>
        </w:rPr>
      </w:pPr>
      <w:r>
        <w:rPr>
          <w:rFonts w:ascii="Verdana" w:hAnsi="Verdana" w:cs="Arial"/>
          <w:b/>
        </w:rPr>
        <w:t>LEY DE EMPRENDIMIENTO – Ley 2069 de 2020 – Artículo 32 – Criterios diferenciales – Emprendimientos y empresas de mujeres – Decreto 1860 de 2021</w:t>
      </w:r>
    </w:p>
    <w:p w14:paraId="6C79D348" w14:textId="77777777" w:rsidR="00C24D4F" w:rsidRDefault="00C24D4F" w:rsidP="00C24D4F">
      <w:pPr>
        <w:spacing w:after="0" w:line="240" w:lineRule="auto"/>
        <w:ind w:right="62"/>
        <w:jc w:val="both"/>
        <w:rPr>
          <w:rFonts w:ascii="Verdana" w:hAnsi="Verdana"/>
          <w:sz w:val="20"/>
          <w:szCs w:val="20"/>
        </w:rPr>
      </w:pPr>
      <w:r w:rsidRPr="00C24D4F">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209C2F58" w14:textId="77777777" w:rsidR="00C24D4F" w:rsidRPr="00C24D4F" w:rsidRDefault="00C24D4F" w:rsidP="00C24D4F">
      <w:pPr>
        <w:spacing w:after="0" w:line="240" w:lineRule="auto"/>
        <w:ind w:right="62"/>
        <w:jc w:val="both"/>
        <w:rPr>
          <w:rFonts w:ascii="Verdana" w:hAnsi="Verdana"/>
          <w:sz w:val="20"/>
          <w:szCs w:val="20"/>
        </w:rPr>
      </w:pPr>
    </w:p>
    <w:p w14:paraId="18AB5D48" w14:textId="1FF7FA9D" w:rsidR="00C24D4F" w:rsidRPr="009804A6" w:rsidRDefault="00C24D4F" w:rsidP="00C24D4F">
      <w:pPr>
        <w:spacing w:line="276" w:lineRule="auto"/>
        <w:jc w:val="both"/>
        <w:rPr>
          <w:rFonts w:ascii="Verdana" w:hAnsi="Verdana" w:cs="Arial"/>
          <w:b/>
        </w:rPr>
      </w:pPr>
      <w:r>
        <w:rPr>
          <w:rFonts w:ascii="Verdana" w:hAnsi="Verdana" w:cs="Arial"/>
          <w:b/>
        </w:rPr>
        <w:t xml:space="preserve">EMPRENDIMIENTOS Y EMPRESAS DE MUJERES </w:t>
      </w:r>
      <w:r w:rsidRPr="009804A6">
        <w:rPr>
          <w:rFonts w:ascii="Verdana" w:hAnsi="Verdana" w:cs="Arial"/>
          <w:b/>
        </w:rPr>
        <w:t xml:space="preserve">– </w:t>
      </w:r>
      <w:r w:rsidR="007E5D44" w:rsidRPr="009804A6">
        <w:rPr>
          <w:rFonts w:ascii="Verdana" w:hAnsi="Verdana" w:cs="Arial"/>
          <w:b/>
        </w:rPr>
        <w:t xml:space="preserve">Definición - Artículo 2.2.1.2.4.2.14 del Decreto 1082 de 2015 – Numeral 2 – Acreditación </w:t>
      </w:r>
    </w:p>
    <w:p w14:paraId="7B40AE8F" w14:textId="77777777" w:rsidR="007E5D44" w:rsidRDefault="007E5D44" w:rsidP="007E5D44">
      <w:pPr>
        <w:spacing w:after="0" w:line="240" w:lineRule="auto"/>
        <w:jc w:val="both"/>
        <w:rPr>
          <w:rFonts w:ascii="Verdana" w:hAnsi="Verdana" w:cs="Arial"/>
          <w:color w:val="000000" w:themeColor="text1"/>
          <w:sz w:val="20"/>
          <w:szCs w:val="20"/>
        </w:rPr>
      </w:pPr>
      <w:r w:rsidRPr="007E5D44">
        <w:rPr>
          <w:rFonts w:ascii="Verdana" w:hAnsi="Verdana"/>
          <w:sz w:val="20"/>
          <w:szCs w:val="20"/>
        </w:rPr>
        <w:t xml:space="preserve">De acuerdo con el numeral 2 del artículo </w:t>
      </w:r>
      <w:r w:rsidRPr="007E5D44">
        <w:rPr>
          <w:rFonts w:ascii="Verdana" w:hAnsi="Verdana" w:cs="Arial"/>
          <w:color w:val="000000" w:themeColor="text1"/>
          <w:sz w:val="20"/>
          <w:szCs w:val="20"/>
        </w:rPr>
        <w:t>2.2.1.2.4.2.14 del Decreto 1082 de 2015</w:t>
      </w:r>
      <w:r w:rsidRPr="007E5D44">
        <w:rPr>
          <w:rFonts w:ascii="Verdana" w:hAnsi="Verdana"/>
          <w:sz w:val="20"/>
          <w:szCs w:val="20"/>
        </w:rPr>
        <w:t xml:space="preserve">, una persona jurídica podrá ser considerada como un emprendimiento o empresa de mujeres cuando más del 50 % de los empleos del </w:t>
      </w:r>
      <w:r w:rsidRPr="007E5D44">
        <w:rPr>
          <w:rFonts w:ascii="Verdana" w:hAnsi="Verdana"/>
          <w:i/>
          <w:iCs/>
          <w:sz w:val="20"/>
          <w:szCs w:val="20"/>
        </w:rPr>
        <w:t>nivel directivo</w:t>
      </w:r>
      <w:r w:rsidRPr="007E5D44">
        <w:rPr>
          <w:rFonts w:ascii="Verdana" w:hAnsi="Verdana"/>
          <w:sz w:val="20"/>
          <w:szCs w:val="20"/>
        </w:rPr>
        <w:t xml:space="preserve"> hayan sido ejercidos por mujeres al menos durante el último año previo a la fecha de cierre del correspondiente proceso. Las personas jurídicas que acrediten estas condiciones podrán acceder a los requisitos habilitantes diferenciales y el puntaje adicional regulado por el artículo </w:t>
      </w:r>
      <w:r w:rsidRPr="007E5D44">
        <w:rPr>
          <w:rFonts w:ascii="Verdana" w:hAnsi="Verdana" w:cs="Arial"/>
          <w:color w:val="000000" w:themeColor="text1"/>
          <w:sz w:val="20"/>
          <w:szCs w:val="20"/>
        </w:rPr>
        <w:t>2.2.1.2.4.2.15 del Decreto 1082 de 2015.</w:t>
      </w:r>
    </w:p>
    <w:p w14:paraId="6ED93884" w14:textId="78B60DE9" w:rsidR="007E5D44" w:rsidRPr="007E5D44" w:rsidRDefault="007E5D44" w:rsidP="007E5D44">
      <w:pPr>
        <w:spacing w:after="0" w:line="240" w:lineRule="auto"/>
        <w:jc w:val="both"/>
        <w:rPr>
          <w:rFonts w:ascii="Verdana" w:hAnsi="Verdana" w:cs="Arial"/>
          <w:color w:val="000000" w:themeColor="text1"/>
          <w:sz w:val="20"/>
          <w:szCs w:val="20"/>
        </w:rPr>
      </w:pPr>
      <w:r w:rsidRPr="007E5D44">
        <w:rPr>
          <w:rFonts w:ascii="Verdana" w:hAnsi="Verdana" w:cs="Arial"/>
          <w:color w:val="000000" w:themeColor="text1"/>
          <w:sz w:val="20"/>
          <w:szCs w:val="20"/>
        </w:rPr>
        <w:t xml:space="preserve"> </w:t>
      </w:r>
    </w:p>
    <w:p w14:paraId="1E5A191D" w14:textId="77777777" w:rsidR="007E5D44" w:rsidRPr="007E5D44" w:rsidRDefault="007E5D44" w:rsidP="007E5D44">
      <w:pPr>
        <w:spacing w:after="0" w:line="240" w:lineRule="auto"/>
        <w:jc w:val="both"/>
        <w:rPr>
          <w:rFonts w:ascii="Verdana" w:hAnsi="Verdana"/>
          <w:sz w:val="20"/>
          <w:szCs w:val="20"/>
        </w:rPr>
      </w:pPr>
      <w:r w:rsidRPr="007E5D44">
        <w:rPr>
          <w:rFonts w:ascii="Verdana" w:hAnsi="Verdana" w:cs="Arial"/>
          <w:color w:val="000000" w:themeColor="text1"/>
          <w:sz w:val="20"/>
          <w:szCs w:val="20"/>
        </w:rPr>
        <w:t xml:space="preserve">Para estos efectos, el proponente debe presentar una certificación expedida por el representante legal y el revisor fiscal de la empresa en la que se señalen de manera detallada todas las personas que conforman los cargos en el nivel directivo, número de mujeres y el tiempo de vinculación, y en dicho documento, deberán ir los nombres de las personas, con sus respectivos números de identificación, así como los soportes mencionados en dicho artículo, entre los cuales se incluyen las copias de los documentos de identidad, copia de los contratos de trabajo o certificación laboral con funciones y certificados de los aportes a la seguridad social del último año donde se reflejen los pagos por el empleador. Corresponderá a la entidad estatal contratante verificar la información consignada en los documentos mencionados a efectos de verificar que se cumplan todos los elementos del supuesto de hecho establecido en el inciso primero del numeral 2 del artículo </w:t>
      </w:r>
      <w:r w:rsidRPr="007E5D44">
        <w:rPr>
          <w:rFonts w:ascii="Verdana" w:hAnsi="Verdana"/>
          <w:sz w:val="20"/>
          <w:szCs w:val="20"/>
        </w:rPr>
        <w:t xml:space="preserve">2.2.1.2.4.2.14, a efectos de verificar que, en efecto, el proponente se encuentre en las condiciones para ser considerado un emprendimiento o empresa de mujeres. </w:t>
      </w:r>
    </w:p>
    <w:p w14:paraId="2B2C4C62" w14:textId="77777777" w:rsidR="007E5D44" w:rsidRDefault="007E5D44" w:rsidP="00C24D4F">
      <w:pPr>
        <w:spacing w:line="276" w:lineRule="auto"/>
        <w:jc w:val="both"/>
        <w:rPr>
          <w:rFonts w:ascii="Verdana" w:hAnsi="Verdana" w:cs="Arial"/>
          <w:bCs/>
        </w:rPr>
      </w:pPr>
    </w:p>
    <w:p w14:paraId="5B72CF6C" w14:textId="474B3490" w:rsidR="007E5D44" w:rsidRPr="009804A6" w:rsidRDefault="007E5D44" w:rsidP="00C24D4F">
      <w:pPr>
        <w:spacing w:line="276" w:lineRule="auto"/>
        <w:jc w:val="both"/>
        <w:rPr>
          <w:rFonts w:ascii="Verdana" w:hAnsi="Verdana" w:cs="Arial"/>
          <w:b/>
        </w:rPr>
      </w:pPr>
      <w:r w:rsidRPr="009804A6">
        <w:rPr>
          <w:rFonts w:ascii="Verdana" w:hAnsi="Verdana" w:cs="Arial"/>
          <w:b/>
        </w:rPr>
        <w:lastRenderedPageBreak/>
        <w:t>EMPRENDIMIENTOS Y EMPRESAS DE MUJERES – Definición – Empleos del nivel directivo – Pago de aportes al Sistema de Seguridad Social</w:t>
      </w:r>
    </w:p>
    <w:p w14:paraId="7B4CC5F2" w14:textId="1879E1A5" w:rsidR="00C24D4F" w:rsidRPr="0050761F" w:rsidRDefault="0050761F" w:rsidP="0050761F">
      <w:pPr>
        <w:spacing w:after="0" w:line="240" w:lineRule="auto"/>
        <w:jc w:val="both"/>
        <w:rPr>
          <w:rFonts w:ascii="Verdana" w:hAnsi="Verdana" w:cs="Arial"/>
          <w:b/>
          <w:sz w:val="20"/>
          <w:szCs w:val="20"/>
        </w:rPr>
      </w:pPr>
      <w:r w:rsidRPr="0050761F">
        <w:rPr>
          <w:rFonts w:ascii="Verdana" w:hAnsi="Verdana"/>
          <w:sz w:val="20"/>
          <w:szCs w:val="20"/>
        </w:rPr>
        <w:t xml:space="preserve">En todo caso, es pertinente señalar que el cumplimiento tardío de la obligación del empleador de realizar los aportes correspondientes al sistema de seguridad social respecto de sus trabajadores, en principio, no resulta suficiente para negar el acceso a los criterios diferenciales establecidos en el artículo 32 de la Ley 2069 de 2020, reglamentados por los artículos 2.2.1.2.4.2.14 y 2.2.1.2.4.2.15 del Decreto 1082 de 2015, en la medida en que ninguna de estas normas autoriza a negar el acceso a los referidos criterios habilitantes diferenciales y puntajes adicionales creados en beneficio de los emprendimientos y empresas de mujeres. Sin embargo, asunto distinto es que no solo se constante el pago tardío de los aportes al sistema de seguridad social sino que, a partir de la contrastación de las certificaciones y los soportes correspondientes, la entidad estatal llegue a la certeza de que las relaciones laborales de mujeres en cargos del nivel directivo,  no se extendieron durante al menos el último año previo a la fecha de cierre, o que las mujeres vinculadas no ejercieron empleos que obedecieran a la noción de cargos del nivel directivos, cuestiones que si darían cuenta del incumplimiento del criterio establecido en el numeral 2 del artículo 2.2.1.2.4.2.14, y en consecuencia, haría inviable aplicar los requisitos habilitantes diferenciales y puntaje adicional establecido por el artículo 2.2.1.2.4.2.15 del Decreto 1082 de 2015.    </w:t>
      </w:r>
    </w:p>
    <w:p w14:paraId="4B52C39F" w14:textId="77777777" w:rsidR="00C24D4F" w:rsidRDefault="00C24D4F" w:rsidP="00C24D4F">
      <w:pPr>
        <w:spacing w:after="311" w:line="268" w:lineRule="auto"/>
        <w:ind w:right="63"/>
        <w:jc w:val="both"/>
        <w:rPr>
          <w:rFonts w:ascii="Verdana" w:hAnsi="Verdana"/>
          <w:b/>
        </w:rPr>
      </w:pPr>
    </w:p>
    <w:p w14:paraId="0F48F4E3" w14:textId="77777777" w:rsidR="00C24D4F" w:rsidRDefault="00C24D4F" w:rsidP="00ED26F5">
      <w:pPr>
        <w:spacing w:after="0"/>
        <w:rPr>
          <w:rFonts w:ascii="Verdana" w:hAnsi="Verdana"/>
        </w:rPr>
      </w:pPr>
    </w:p>
    <w:p w14:paraId="50E4B390" w14:textId="77777777" w:rsidR="00C24D4F" w:rsidRDefault="00C24D4F" w:rsidP="00ED26F5">
      <w:pPr>
        <w:spacing w:after="0"/>
        <w:rPr>
          <w:rFonts w:ascii="Verdana" w:hAnsi="Verdana"/>
        </w:rPr>
      </w:pPr>
    </w:p>
    <w:p w14:paraId="00354FA6" w14:textId="77777777" w:rsidR="0050761F" w:rsidRDefault="0050761F" w:rsidP="00ED26F5">
      <w:pPr>
        <w:spacing w:after="0"/>
        <w:rPr>
          <w:rFonts w:ascii="Verdana" w:hAnsi="Verdana"/>
        </w:rPr>
      </w:pPr>
    </w:p>
    <w:p w14:paraId="034F8722" w14:textId="77777777" w:rsidR="0050761F" w:rsidRDefault="0050761F" w:rsidP="00ED26F5">
      <w:pPr>
        <w:spacing w:after="0"/>
        <w:rPr>
          <w:rFonts w:ascii="Verdana" w:hAnsi="Verdana"/>
        </w:rPr>
      </w:pPr>
    </w:p>
    <w:p w14:paraId="1E50B7AE" w14:textId="77777777" w:rsidR="0050761F" w:rsidRDefault="0050761F" w:rsidP="00ED26F5">
      <w:pPr>
        <w:spacing w:after="0"/>
        <w:rPr>
          <w:rFonts w:ascii="Verdana" w:hAnsi="Verdana"/>
        </w:rPr>
      </w:pPr>
    </w:p>
    <w:p w14:paraId="2AFCF1EE" w14:textId="77777777" w:rsidR="0050761F" w:rsidRDefault="0050761F" w:rsidP="00ED26F5">
      <w:pPr>
        <w:spacing w:after="0"/>
        <w:rPr>
          <w:rFonts w:ascii="Verdana" w:hAnsi="Verdana"/>
        </w:rPr>
      </w:pPr>
    </w:p>
    <w:p w14:paraId="793D4217" w14:textId="77777777" w:rsidR="0050761F" w:rsidRDefault="0050761F" w:rsidP="00ED26F5">
      <w:pPr>
        <w:spacing w:after="0"/>
        <w:rPr>
          <w:rFonts w:ascii="Verdana" w:hAnsi="Verdana"/>
        </w:rPr>
      </w:pPr>
    </w:p>
    <w:p w14:paraId="095EE130" w14:textId="77777777" w:rsidR="0050761F" w:rsidRDefault="0050761F" w:rsidP="00ED26F5">
      <w:pPr>
        <w:spacing w:after="0"/>
        <w:rPr>
          <w:rFonts w:ascii="Verdana" w:hAnsi="Verdana"/>
        </w:rPr>
      </w:pPr>
    </w:p>
    <w:p w14:paraId="299B99AD" w14:textId="77777777" w:rsidR="0050761F" w:rsidRDefault="0050761F" w:rsidP="00ED26F5">
      <w:pPr>
        <w:spacing w:after="0"/>
        <w:rPr>
          <w:rFonts w:ascii="Verdana" w:hAnsi="Verdana"/>
        </w:rPr>
      </w:pPr>
    </w:p>
    <w:p w14:paraId="69573C6A" w14:textId="77777777" w:rsidR="0050761F" w:rsidRDefault="0050761F" w:rsidP="00ED26F5">
      <w:pPr>
        <w:spacing w:after="0"/>
        <w:rPr>
          <w:rFonts w:ascii="Verdana" w:hAnsi="Verdana"/>
        </w:rPr>
      </w:pPr>
    </w:p>
    <w:p w14:paraId="19B82A72" w14:textId="77777777" w:rsidR="0050761F" w:rsidRDefault="0050761F" w:rsidP="00ED26F5">
      <w:pPr>
        <w:spacing w:after="0"/>
        <w:rPr>
          <w:rFonts w:ascii="Verdana" w:hAnsi="Verdana"/>
        </w:rPr>
      </w:pPr>
    </w:p>
    <w:p w14:paraId="616AE60E" w14:textId="77777777" w:rsidR="0050761F" w:rsidRDefault="0050761F" w:rsidP="00ED26F5">
      <w:pPr>
        <w:spacing w:after="0"/>
        <w:rPr>
          <w:rFonts w:ascii="Verdana" w:hAnsi="Verdana"/>
        </w:rPr>
      </w:pPr>
    </w:p>
    <w:p w14:paraId="2E37C861" w14:textId="77777777" w:rsidR="0050761F" w:rsidRDefault="0050761F" w:rsidP="00ED26F5">
      <w:pPr>
        <w:spacing w:after="0"/>
        <w:rPr>
          <w:rFonts w:ascii="Verdana" w:hAnsi="Verdana"/>
        </w:rPr>
      </w:pPr>
    </w:p>
    <w:p w14:paraId="3109DF67" w14:textId="77777777" w:rsidR="0050761F" w:rsidRDefault="0050761F" w:rsidP="00ED26F5">
      <w:pPr>
        <w:spacing w:after="0"/>
        <w:rPr>
          <w:rFonts w:ascii="Verdana" w:hAnsi="Verdana"/>
        </w:rPr>
      </w:pPr>
    </w:p>
    <w:p w14:paraId="4F351893" w14:textId="77777777" w:rsidR="0050761F" w:rsidRDefault="0050761F" w:rsidP="00ED26F5">
      <w:pPr>
        <w:spacing w:after="0"/>
        <w:rPr>
          <w:rFonts w:ascii="Verdana" w:hAnsi="Verdana"/>
        </w:rPr>
      </w:pPr>
    </w:p>
    <w:p w14:paraId="7169FBDB" w14:textId="77777777" w:rsidR="0050761F" w:rsidRDefault="0050761F" w:rsidP="00ED26F5">
      <w:pPr>
        <w:spacing w:after="0"/>
        <w:rPr>
          <w:rFonts w:ascii="Verdana" w:hAnsi="Verdana"/>
        </w:rPr>
      </w:pPr>
    </w:p>
    <w:p w14:paraId="531E5B6B" w14:textId="77777777" w:rsidR="0050761F" w:rsidRDefault="0050761F" w:rsidP="00ED26F5">
      <w:pPr>
        <w:spacing w:after="0"/>
        <w:rPr>
          <w:rFonts w:ascii="Verdana" w:hAnsi="Verdana"/>
        </w:rPr>
      </w:pPr>
    </w:p>
    <w:p w14:paraId="4E594EBF" w14:textId="77777777" w:rsidR="0050761F" w:rsidRDefault="0050761F" w:rsidP="00ED26F5">
      <w:pPr>
        <w:spacing w:after="0"/>
        <w:rPr>
          <w:rFonts w:ascii="Verdana" w:hAnsi="Verdana"/>
        </w:rPr>
      </w:pPr>
    </w:p>
    <w:p w14:paraId="474F048B" w14:textId="77777777" w:rsidR="0050761F" w:rsidRDefault="0050761F" w:rsidP="00ED26F5">
      <w:pPr>
        <w:spacing w:after="0"/>
        <w:rPr>
          <w:rFonts w:ascii="Verdana" w:hAnsi="Verdana"/>
        </w:rPr>
      </w:pPr>
    </w:p>
    <w:p w14:paraId="437042B3" w14:textId="77777777" w:rsidR="0050761F" w:rsidRDefault="0050761F" w:rsidP="00ED26F5">
      <w:pPr>
        <w:spacing w:after="0"/>
        <w:rPr>
          <w:rFonts w:ascii="Verdana" w:hAnsi="Verdana"/>
        </w:rPr>
      </w:pPr>
    </w:p>
    <w:p w14:paraId="706D2841" w14:textId="77777777" w:rsidR="0050761F" w:rsidRDefault="0050761F" w:rsidP="00ED26F5">
      <w:pPr>
        <w:spacing w:after="0"/>
        <w:rPr>
          <w:rFonts w:ascii="Verdana" w:hAnsi="Verdana"/>
        </w:rPr>
      </w:pPr>
    </w:p>
    <w:p w14:paraId="47A2C2C0" w14:textId="77777777" w:rsidR="0050761F" w:rsidRDefault="0050761F" w:rsidP="00ED26F5">
      <w:pPr>
        <w:spacing w:after="0"/>
        <w:rPr>
          <w:rFonts w:ascii="Verdana" w:hAnsi="Verdana"/>
        </w:rPr>
      </w:pPr>
    </w:p>
    <w:p w14:paraId="58D5F0F4" w14:textId="77777777" w:rsidR="0050761F" w:rsidRDefault="0050761F" w:rsidP="00ED26F5">
      <w:pPr>
        <w:spacing w:after="0"/>
        <w:rPr>
          <w:rFonts w:ascii="Verdana" w:hAnsi="Verdana"/>
        </w:rPr>
      </w:pPr>
    </w:p>
    <w:p w14:paraId="2957009D" w14:textId="752A53AC" w:rsidR="00ED26F5" w:rsidRDefault="00ED26F5" w:rsidP="00ED26F5">
      <w:pPr>
        <w:spacing w:after="0"/>
        <w:rPr>
          <w:rFonts w:ascii="Verdana" w:hAnsi="Verdana"/>
        </w:rPr>
      </w:pPr>
      <w:r w:rsidRPr="001D0D1B">
        <w:rPr>
          <w:rFonts w:ascii="Verdana" w:hAnsi="Verdana"/>
        </w:rPr>
        <w:lastRenderedPageBreak/>
        <w:t>Bogotá D.C.,</w:t>
      </w:r>
      <w:r w:rsidR="0003463C">
        <w:rPr>
          <w:rFonts w:ascii="Verdana" w:hAnsi="Verdana"/>
        </w:rPr>
        <w:t xml:space="preserve"> 31 de diciembre de 2025</w:t>
      </w:r>
      <w:r>
        <w:rPr>
          <w:rFonts w:ascii="Verdana" w:hAnsi="Verdana"/>
        </w:rPr>
        <w:t xml:space="preserve">                                                                  </w:t>
      </w:r>
    </w:p>
    <w:p w14:paraId="14C1694E" w14:textId="77777777" w:rsidR="0050761F" w:rsidRDefault="00ED26F5" w:rsidP="00ED26F5">
      <w:pPr>
        <w:spacing w:after="0"/>
        <w:rPr>
          <w:rFonts w:ascii="Verdana" w:hAnsi="Verdana"/>
        </w:rPr>
      </w:pPr>
      <w:r>
        <w:rPr>
          <w:rFonts w:ascii="Verdana" w:hAnsi="Verdana"/>
        </w:rPr>
        <w:t xml:space="preserve">  </w:t>
      </w:r>
    </w:p>
    <w:p w14:paraId="09BF60CE" w14:textId="320AADB5" w:rsidR="00ED26F5" w:rsidRDefault="00ED26F5" w:rsidP="006053B5">
      <w:pPr>
        <w:spacing w:after="0"/>
        <w:jc w:val="right"/>
        <w:rPr>
          <w:rFonts w:ascii="Verdana" w:hAnsi="Verdana"/>
        </w:rPr>
      </w:pPr>
      <w:r>
        <w:rPr>
          <w:rFonts w:ascii="Verdana" w:hAnsi="Verdana"/>
        </w:rPr>
        <w:t xml:space="preserve">  </w:t>
      </w:r>
      <w:r w:rsidR="006053B5" w:rsidRPr="006053B5">
        <w:rPr>
          <w:rFonts w:ascii="Verdana" w:hAnsi="Verdana"/>
          <w:noProof/>
        </w:rPr>
        <w:drawing>
          <wp:inline distT="0" distB="0" distL="0" distR="0" wp14:anchorId="6F817DA1" wp14:editId="67123A51">
            <wp:extent cx="2796540" cy="952500"/>
            <wp:effectExtent l="0" t="0" r="3810" b="0"/>
            <wp:docPr id="2607202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96540" cy="952500"/>
                    </a:xfrm>
                    <a:prstGeom prst="rect">
                      <a:avLst/>
                    </a:prstGeom>
                    <a:noFill/>
                    <a:ln>
                      <a:noFill/>
                    </a:ln>
                  </pic:spPr>
                </pic:pic>
              </a:graphicData>
            </a:graphic>
          </wp:inline>
        </w:drawing>
      </w:r>
      <w:r>
        <w:rPr>
          <w:rFonts w:ascii="Verdana" w:hAnsi="Verdana"/>
        </w:rPr>
        <w:t xml:space="preserve">                                           </w:t>
      </w:r>
      <w:bookmarkEnd w:id="0"/>
    </w:p>
    <w:p w14:paraId="0DF1632E" w14:textId="77777777" w:rsidR="00ED26F5" w:rsidRPr="005D6331" w:rsidRDefault="00ED26F5" w:rsidP="00ED26F5">
      <w:pPr>
        <w:spacing w:after="0"/>
        <w:jc w:val="both"/>
        <w:rPr>
          <w:rFonts w:ascii="Verdana" w:hAnsi="Verdana"/>
        </w:rPr>
      </w:pPr>
      <w:r w:rsidRPr="005D6331">
        <w:rPr>
          <w:rFonts w:ascii="Verdana" w:hAnsi="Verdana"/>
        </w:rPr>
        <w:t>Señor</w:t>
      </w:r>
      <w:r>
        <w:rPr>
          <w:rFonts w:ascii="Verdana" w:hAnsi="Verdana"/>
        </w:rPr>
        <w:t xml:space="preserve">a                                   </w:t>
      </w:r>
    </w:p>
    <w:p w14:paraId="007692DD" w14:textId="77777777" w:rsidR="00ED26F5" w:rsidRPr="00B37E9A" w:rsidRDefault="00ED26F5" w:rsidP="00ED26F5">
      <w:pPr>
        <w:spacing w:after="0"/>
        <w:jc w:val="both"/>
        <w:rPr>
          <w:rFonts w:ascii="Verdana" w:hAnsi="Verdana"/>
          <w:b/>
        </w:rPr>
      </w:pPr>
      <w:r>
        <w:rPr>
          <w:rFonts w:ascii="Verdana" w:hAnsi="Verdana"/>
          <w:b/>
        </w:rPr>
        <w:t>Lissy Maryuri Fernández Montenegro</w:t>
      </w:r>
    </w:p>
    <w:p w14:paraId="5FECCFC5" w14:textId="77777777" w:rsidR="00ED26F5" w:rsidRPr="00CD0D2B" w:rsidRDefault="00ED26F5" w:rsidP="00ED26F5">
      <w:pPr>
        <w:spacing w:after="0"/>
        <w:jc w:val="both"/>
        <w:rPr>
          <w:rFonts w:ascii="Verdana" w:hAnsi="Verdana"/>
        </w:rPr>
      </w:pPr>
      <w:hyperlink r:id="rId12" w:history="1">
        <w:r w:rsidRPr="00CD0D2B">
          <w:rPr>
            <w:rStyle w:val="Hipervnculo"/>
            <w:rFonts w:ascii="Verdana" w:hAnsi="Verdana"/>
          </w:rPr>
          <w:t>kaxaingenieria@gmail.com</w:t>
        </w:r>
      </w:hyperlink>
      <w:r w:rsidRPr="00CD0D2B">
        <w:rPr>
          <w:rFonts w:ascii="Verdana" w:hAnsi="Verdana"/>
        </w:rPr>
        <w:t xml:space="preserve"> </w:t>
      </w:r>
      <w:hyperlink r:id="rId13" w:history="1"/>
      <w:r w:rsidRPr="00CD0D2B">
        <w:rPr>
          <w:rFonts w:ascii="Verdana" w:hAnsi="Verdana"/>
        </w:rPr>
        <w:t xml:space="preserve"> </w:t>
      </w:r>
    </w:p>
    <w:p w14:paraId="1AEBAE35" w14:textId="77777777" w:rsidR="00ED26F5" w:rsidRPr="005D6331" w:rsidRDefault="00ED26F5" w:rsidP="00ED26F5">
      <w:pPr>
        <w:spacing w:after="0"/>
        <w:jc w:val="both"/>
        <w:rPr>
          <w:rFonts w:ascii="Verdana" w:hAnsi="Verdana"/>
        </w:rPr>
      </w:pPr>
      <w:r>
        <w:rPr>
          <w:rFonts w:ascii="Verdana" w:hAnsi="Verdana"/>
        </w:rPr>
        <w:t xml:space="preserve">Ibagué, Tolima </w:t>
      </w:r>
    </w:p>
    <w:p w14:paraId="5E86ECF0" w14:textId="77777777" w:rsidR="00ED26F5" w:rsidRDefault="00ED26F5" w:rsidP="00ED26F5">
      <w:pPr>
        <w:spacing w:after="0"/>
        <w:jc w:val="both"/>
        <w:rPr>
          <w:rFonts w:ascii="Century Gothic" w:hAnsi="Century Gothic"/>
        </w:rPr>
      </w:pPr>
    </w:p>
    <w:tbl>
      <w:tblPr>
        <w:tblStyle w:val="Tablaconcuadrcula"/>
        <w:tblW w:w="9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99"/>
        <w:gridCol w:w="520"/>
      </w:tblGrid>
      <w:tr w:rsidR="00ED26F5" w:rsidRPr="00413568" w14:paraId="59A2BABF" w14:textId="77777777" w:rsidTr="00FB2425">
        <w:trPr>
          <w:trHeight w:val="3572"/>
        </w:trPr>
        <w:tc>
          <w:tcPr>
            <w:tcW w:w="8799" w:type="dxa"/>
          </w:tcPr>
          <w:p w14:paraId="793C8A2D" w14:textId="77777777" w:rsidR="00ED26F5" w:rsidRPr="00413568" w:rsidRDefault="00ED26F5" w:rsidP="00FB2425">
            <w:pPr>
              <w:jc w:val="both"/>
              <w:rPr>
                <w:rFonts w:ascii="Verdana" w:eastAsia="Calibri" w:hAnsi="Verdana" w:cs="Arial"/>
                <w:lang w:val="es-ES_tradnl" w:eastAsia="es-ES_tradnl"/>
              </w:rPr>
            </w:pPr>
            <w:r w:rsidRPr="00413568">
              <w:rPr>
                <w:rFonts w:ascii="Verdana" w:eastAsia="Calibri" w:hAnsi="Verdana" w:cs="Arial"/>
                <w:b/>
                <w:lang w:val="es-ES_tradnl" w:eastAsia="es-ES_tradnl"/>
              </w:rPr>
              <w:t xml:space="preserve">                         </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95"/>
              <w:gridCol w:w="6394"/>
            </w:tblGrid>
            <w:tr w:rsidR="00ED26F5" w:rsidRPr="00413568" w14:paraId="15FA8D09" w14:textId="77777777" w:rsidTr="00FB2425">
              <w:trPr>
                <w:trHeight w:val="458"/>
              </w:trPr>
              <w:tc>
                <w:tcPr>
                  <w:tcW w:w="2395" w:type="dxa"/>
                </w:tcPr>
                <w:p w14:paraId="228DDC22" w14:textId="77777777" w:rsidR="00ED26F5" w:rsidRPr="00413568" w:rsidRDefault="00ED26F5" w:rsidP="00FB2425">
                  <w:pPr>
                    <w:jc w:val="both"/>
                    <w:rPr>
                      <w:rFonts w:ascii="Verdana" w:eastAsia="Calibri" w:hAnsi="Verdana" w:cs="Arial"/>
                      <w:b/>
                      <w:bCs/>
                      <w:lang w:val="es-ES_tradnl" w:eastAsia="es-ES_tradnl"/>
                    </w:rPr>
                  </w:pPr>
                </w:p>
              </w:tc>
              <w:tc>
                <w:tcPr>
                  <w:tcW w:w="6394" w:type="dxa"/>
                </w:tcPr>
                <w:p w14:paraId="3742BA87" w14:textId="77777777" w:rsidR="00ED26F5" w:rsidRPr="00413568" w:rsidRDefault="00ED26F5" w:rsidP="00FB2425">
                  <w:pPr>
                    <w:jc w:val="both"/>
                    <w:rPr>
                      <w:rFonts w:ascii="Verdana" w:eastAsia="Calibri" w:hAnsi="Verdana" w:cs="Arial"/>
                      <w:b/>
                      <w:bCs/>
                      <w:lang w:val="es-ES" w:eastAsia="es-ES"/>
                    </w:rPr>
                  </w:pPr>
                  <w:r w:rsidRPr="00413568">
                    <w:rPr>
                      <w:rFonts w:ascii="Verdana" w:eastAsia="Calibri" w:hAnsi="Verdana" w:cs="Arial"/>
                      <w:b/>
                      <w:bCs/>
                      <w:lang w:val="es-ES" w:eastAsia="es-ES"/>
                    </w:rPr>
                    <w:t xml:space="preserve">Concepto C- </w:t>
                  </w:r>
                  <w:r>
                    <w:rPr>
                      <w:rFonts w:ascii="Verdana" w:eastAsia="Calibri" w:hAnsi="Verdana" w:cs="Arial"/>
                      <w:b/>
                      <w:bCs/>
                      <w:lang w:val="es-ES" w:eastAsia="es-ES"/>
                    </w:rPr>
                    <w:t>1816 de 2025</w:t>
                  </w:r>
                </w:p>
              </w:tc>
            </w:tr>
            <w:tr w:rsidR="00ED26F5" w:rsidRPr="00413568" w14:paraId="00CD14B4" w14:textId="77777777" w:rsidTr="00FB2425">
              <w:trPr>
                <w:trHeight w:val="884"/>
              </w:trPr>
              <w:tc>
                <w:tcPr>
                  <w:tcW w:w="2395" w:type="dxa"/>
                </w:tcPr>
                <w:p w14:paraId="48014A64" w14:textId="77777777" w:rsidR="00ED26F5" w:rsidRDefault="00ED26F5" w:rsidP="00FB2425">
                  <w:pPr>
                    <w:tabs>
                      <w:tab w:val="left" w:pos="3768"/>
                    </w:tabs>
                    <w:spacing w:line="276" w:lineRule="auto"/>
                    <w:jc w:val="both"/>
                    <w:rPr>
                      <w:rFonts w:ascii="Verdana" w:eastAsia="Calibri" w:hAnsi="Verdana" w:cs="Arial"/>
                      <w:lang w:val="es-ES_tradnl" w:eastAsia="es-ES_tradnl"/>
                    </w:rPr>
                  </w:pPr>
                  <w:r w:rsidRPr="00413568">
                    <w:rPr>
                      <w:rFonts w:ascii="Verdana" w:eastAsia="Calibri" w:hAnsi="Verdana" w:cs="Arial"/>
                      <w:b/>
                      <w:lang w:val="es-ES_tradnl" w:eastAsia="es-ES_tradnl"/>
                    </w:rPr>
                    <w:t>Temas:</w:t>
                  </w:r>
                  <w:r w:rsidRPr="00413568">
                    <w:rPr>
                      <w:rFonts w:ascii="Verdana" w:eastAsia="Calibri" w:hAnsi="Verdana" w:cs="Arial"/>
                      <w:lang w:val="es-ES_tradnl" w:eastAsia="es-ES_tradnl"/>
                    </w:rPr>
                    <w:t xml:space="preserve">                </w:t>
                  </w:r>
                </w:p>
                <w:p w14:paraId="748FBA0A"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48E0F80F"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79993CF9"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06C52162"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539E6911"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7F31A16A"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2E0A6375"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5F965465"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25309F2E" w14:textId="77777777" w:rsidR="00ED26F5" w:rsidRDefault="00ED26F5" w:rsidP="00FB2425">
                  <w:pPr>
                    <w:tabs>
                      <w:tab w:val="left" w:pos="3768"/>
                    </w:tabs>
                    <w:spacing w:line="276" w:lineRule="auto"/>
                    <w:jc w:val="both"/>
                    <w:rPr>
                      <w:rFonts w:ascii="Verdana" w:eastAsia="Calibri" w:hAnsi="Verdana" w:cs="Arial"/>
                      <w:b/>
                      <w:lang w:val="es-ES_tradnl" w:eastAsia="es-ES_tradnl"/>
                    </w:rPr>
                  </w:pPr>
                </w:p>
                <w:p w14:paraId="55575E2F" w14:textId="77777777" w:rsidR="00ED26F5" w:rsidRPr="00413568" w:rsidRDefault="00ED26F5" w:rsidP="00FB2425">
                  <w:pPr>
                    <w:tabs>
                      <w:tab w:val="left" w:pos="3768"/>
                    </w:tabs>
                    <w:spacing w:line="276" w:lineRule="auto"/>
                    <w:jc w:val="both"/>
                    <w:rPr>
                      <w:rFonts w:ascii="Verdana" w:eastAsia="Calibri" w:hAnsi="Verdana" w:cs="Arial"/>
                      <w:lang w:val="es-ES_tradnl" w:eastAsia="es-ES_tradnl"/>
                    </w:rPr>
                  </w:pPr>
                  <w:r w:rsidRPr="00413568">
                    <w:rPr>
                      <w:rFonts w:ascii="Verdana" w:eastAsia="Calibri" w:hAnsi="Verdana" w:cs="Arial"/>
                      <w:b/>
                      <w:lang w:val="es-ES_tradnl" w:eastAsia="es-ES_tradnl"/>
                    </w:rPr>
                    <w:t>Radicación:</w:t>
                  </w:r>
                  <w:r w:rsidRPr="00413568">
                    <w:rPr>
                      <w:rFonts w:ascii="Verdana" w:eastAsia="Calibri" w:hAnsi="Verdana" w:cs="Arial"/>
                      <w:lang w:val="es-ES_tradnl" w:eastAsia="es-ES_tradnl"/>
                    </w:rPr>
                    <w:t xml:space="preserve">                  </w:t>
                  </w:r>
                </w:p>
              </w:tc>
              <w:tc>
                <w:tcPr>
                  <w:tcW w:w="6394" w:type="dxa"/>
                </w:tcPr>
                <w:p w14:paraId="13C50CF0" w14:textId="77777777" w:rsidR="00ED26F5" w:rsidRDefault="00ED26F5" w:rsidP="00FB2425">
                  <w:pPr>
                    <w:spacing w:line="276" w:lineRule="auto"/>
                    <w:jc w:val="both"/>
                    <w:rPr>
                      <w:rFonts w:ascii="Verdana" w:hAnsi="Verdana" w:cs="Arial"/>
                      <w:bCs/>
                    </w:rPr>
                  </w:pPr>
                  <w:r>
                    <w:rPr>
                      <w:rFonts w:ascii="Verdana" w:hAnsi="Verdana" w:cs="Arial"/>
                      <w:bCs/>
                    </w:rPr>
                    <w:t>LEY DE EMPRENDIMIENTO</w:t>
                  </w:r>
                  <w:r w:rsidRPr="00413568">
                    <w:rPr>
                      <w:rFonts w:ascii="Verdana" w:hAnsi="Verdana" w:cs="Arial"/>
                      <w:bCs/>
                    </w:rPr>
                    <w:t xml:space="preserve"> – </w:t>
                  </w:r>
                  <w:r>
                    <w:rPr>
                      <w:rFonts w:ascii="Verdana" w:hAnsi="Verdana" w:cs="Arial"/>
                      <w:bCs/>
                    </w:rPr>
                    <w:t>Ley 2069 de 2020 - Finalidad</w:t>
                  </w:r>
                  <w:r w:rsidRPr="00413568">
                    <w:rPr>
                      <w:rFonts w:ascii="Verdana" w:hAnsi="Verdana" w:cs="Arial"/>
                      <w:bCs/>
                    </w:rPr>
                    <w:t xml:space="preserve"> / </w:t>
                  </w:r>
                  <w:r>
                    <w:rPr>
                      <w:rFonts w:ascii="Verdana" w:hAnsi="Verdana" w:cs="Arial"/>
                      <w:bCs/>
                    </w:rPr>
                    <w:t>LEY DE EMPRENDIMIENTO</w:t>
                  </w:r>
                  <w:r w:rsidRPr="00413568">
                    <w:rPr>
                      <w:rFonts w:ascii="Verdana" w:hAnsi="Verdana" w:cs="Arial"/>
                      <w:bCs/>
                    </w:rPr>
                    <w:t xml:space="preserve"> –</w:t>
                  </w:r>
                  <w:r>
                    <w:rPr>
                      <w:rFonts w:ascii="Verdana" w:hAnsi="Verdana" w:cs="Arial"/>
                      <w:bCs/>
                    </w:rPr>
                    <w:t xml:space="preserve"> Ley 2069 de 2020 – Artículo 32 – Criterios diferenciales – Emprendimientos y empresas de mujeres – Decreto 1860 de 2021</w:t>
                  </w:r>
                  <w:r w:rsidRPr="00413568">
                    <w:rPr>
                      <w:rFonts w:ascii="Verdana" w:hAnsi="Verdana" w:cs="Arial"/>
                      <w:bCs/>
                    </w:rPr>
                    <w:t xml:space="preserve"> / 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 xml:space="preserve">Definición - Artículo 2.2.1.2.4.2.14 del Decreto 1082 de 2015 – Numeral 2 – Acreditación – / </w:t>
                  </w:r>
                  <w:r w:rsidRPr="00413568">
                    <w:rPr>
                      <w:rFonts w:ascii="Verdana" w:hAnsi="Verdana" w:cs="Arial"/>
                      <w:bCs/>
                    </w:rPr>
                    <w:t>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Definición – Empleos del nivel directivo – Pago de aportes al Sistema de Seguridad Social</w:t>
                  </w:r>
                </w:p>
                <w:p w14:paraId="098E2131" w14:textId="77777777" w:rsidR="00ED26F5" w:rsidRDefault="00ED26F5" w:rsidP="00FB2425">
                  <w:pPr>
                    <w:spacing w:line="276" w:lineRule="auto"/>
                    <w:jc w:val="both"/>
                    <w:rPr>
                      <w:rFonts w:ascii="Verdana" w:hAnsi="Verdana" w:cs="Arial"/>
                      <w:bCs/>
                    </w:rPr>
                  </w:pPr>
                </w:p>
                <w:p w14:paraId="2C9C0BA6" w14:textId="77777777" w:rsidR="00ED26F5" w:rsidRPr="00FC61A7" w:rsidRDefault="00ED26F5" w:rsidP="00FB2425">
                  <w:pPr>
                    <w:tabs>
                      <w:tab w:val="left" w:pos="3768"/>
                    </w:tabs>
                    <w:spacing w:line="276" w:lineRule="auto"/>
                    <w:jc w:val="both"/>
                    <w:rPr>
                      <w:rFonts w:ascii="Verdana" w:eastAsia="Calibri" w:hAnsi="Verdana" w:cs="Arial"/>
                      <w:lang w:val="es-ES" w:eastAsia="es-ES"/>
                    </w:rPr>
                  </w:pPr>
                  <w:r w:rsidRPr="00413568">
                    <w:rPr>
                      <w:rFonts w:ascii="Verdana" w:eastAsia="Calibri" w:hAnsi="Verdana" w:cs="Arial"/>
                      <w:lang w:val="es-ES_tradnl" w:eastAsia="es-ES_tradnl"/>
                    </w:rPr>
                    <w:t>Respuesta a consulta</w:t>
                  </w:r>
                  <w:r>
                    <w:rPr>
                      <w:rFonts w:ascii="Verdana" w:eastAsia="Calibri" w:hAnsi="Verdana" w:cs="Arial"/>
                      <w:lang w:val="es-ES_tradnl" w:eastAsia="es-ES_tradnl"/>
                    </w:rPr>
                    <w:t>s</w:t>
                  </w:r>
                  <w:r w:rsidRPr="00413568">
                    <w:rPr>
                      <w:rFonts w:ascii="Verdana" w:eastAsia="Calibri" w:hAnsi="Verdana" w:cs="Arial"/>
                      <w:lang w:val="es-ES_tradnl" w:eastAsia="es-ES_tradnl"/>
                    </w:rPr>
                    <w:t xml:space="preserve"> con radicado No</w:t>
                  </w:r>
                  <w:r>
                    <w:rPr>
                      <w:rFonts w:ascii="Verdana" w:eastAsia="Calibri" w:hAnsi="Verdana" w:cs="Arial"/>
                      <w:lang w:val="es-ES_tradnl" w:eastAsia="es-ES_tradnl"/>
                    </w:rPr>
                    <w:t xml:space="preserve">s. </w:t>
                  </w:r>
                  <w:r w:rsidRPr="004C2A96">
                    <w:rPr>
                      <w:rFonts w:ascii="Verdana" w:eastAsia="Calibri" w:hAnsi="Verdana" w:cs="Arial"/>
                      <w:lang w:val="es-ES_tradnl" w:eastAsia="es-ES_tradnl"/>
                    </w:rPr>
                    <w:t>1_2025_12_15_013948 y 1_2025_12_12_013915</w:t>
                  </w:r>
                </w:p>
                <w:p w14:paraId="7977B7A4" w14:textId="77777777" w:rsidR="00ED26F5" w:rsidRPr="00413568" w:rsidRDefault="00ED26F5" w:rsidP="00FB2425">
                  <w:pPr>
                    <w:spacing w:line="276" w:lineRule="auto"/>
                    <w:jc w:val="both"/>
                    <w:rPr>
                      <w:rFonts w:ascii="Verdana" w:hAnsi="Verdana" w:cs="Arial"/>
                      <w:bCs/>
                    </w:rPr>
                  </w:pPr>
                </w:p>
              </w:tc>
            </w:tr>
          </w:tbl>
          <w:p w14:paraId="569FF643" w14:textId="77777777" w:rsidR="00ED26F5" w:rsidRPr="00413568" w:rsidRDefault="00ED26F5" w:rsidP="00FB2425">
            <w:pPr>
              <w:jc w:val="both"/>
              <w:rPr>
                <w:rFonts w:ascii="Verdana" w:eastAsia="Calibri" w:hAnsi="Verdana" w:cs="Arial"/>
                <w:lang w:val="es-ES_tradnl" w:eastAsia="es-ES_tradnl"/>
              </w:rPr>
            </w:pPr>
            <w:r w:rsidRPr="00413568">
              <w:rPr>
                <w:rFonts w:ascii="Verdana" w:eastAsia="Calibri" w:hAnsi="Verdana" w:cs="Arial"/>
                <w:lang w:val="es-ES_tradnl" w:eastAsia="es-ES_tradnl"/>
              </w:rPr>
              <w:t xml:space="preserve">                                             </w:t>
            </w:r>
          </w:p>
        </w:tc>
        <w:tc>
          <w:tcPr>
            <w:tcW w:w="520" w:type="dxa"/>
          </w:tcPr>
          <w:p w14:paraId="51B73D02" w14:textId="77777777" w:rsidR="00ED26F5" w:rsidRPr="00413568" w:rsidRDefault="00ED26F5" w:rsidP="00FB2425">
            <w:pPr>
              <w:spacing w:line="276" w:lineRule="auto"/>
              <w:jc w:val="both"/>
              <w:rPr>
                <w:rFonts w:ascii="Verdana" w:eastAsia="Calibri" w:hAnsi="Verdana" w:cs="Arial"/>
                <w:lang w:eastAsia="es-ES"/>
              </w:rPr>
            </w:pPr>
            <w:r w:rsidRPr="00413568">
              <w:rPr>
                <w:rFonts w:ascii="Verdana" w:eastAsia="Calibri" w:hAnsi="Verdana" w:cs="Arial"/>
                <w:lang w:eastAsia="es-ES"/>
              </w:rPr>
              <w:t xml:space="preserve">  </w:t>
            </w:r>
          </w:p>
          <w:p w14:paraId="7DAC64C4" w14:textId="77777777" w:rsidR="00ED26F5" w:rsidRPr="00413568" w:rsidRDefault="00ED26F5" w:rsidP="00FB2425">
            <w:pPr>
              <w:spacing w:line="276" w:lineRule="auto"/>
              <w:jc w:val="both"/>
              <w:rPr>
                <w:rFonts w:ascii="Verdana" w:eastAsia="Calibri" w:hAnsi="Verdana" w:cs="Arial"/>
                <w:highlight w:val="cyan"/>
                <w:lang w:eastAsia="es-ES"/>
              </w:rPr>
            </w:pPr>
          </w:p>
        </w:tc>
      </w:tr>
    </w:tbl>
    <w:p w14:paraId="52E321DA" w14:textId="77777777" w:rsidR="00ED26F5" w:rsidRPr="00413568" w:rsidRDefault="00ED26F5" w:rsidP="00ED26F5">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Estimad</w:t>
      </w:r>
      <w:r>
        <w:rPr>
          <w:rFonts w:ascii="Verdana" w:eastAsia="Calibri" w:hAnsi="Verdana" w:cs="Arial"/>
          <w:lang w:val="es-ES" w:eastAsia="es-ES"/>
        </w:rPr>
        <w:t xml:space="preserve">a señora Fernández: </w:t>
      </w:r>
    </w:p>
    <w:p w14:paraId="6E969AAF" w14:textId="77777777" w:rsidR="00ED26F5" w:rsidRPr="00413568" w:rsidRDefault="00ED26F5" w:rsidP="00ED26F5">
      <w:pPr>
        <w:tabs>
          <w:tab w:val="left" w:pos="3768"/>
        </w:tabs>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ab/>
      </w:r>
    </w:p>
    <w:p w14:paraId="22B91A65" w14:textId="77777777" w:rsidR="00ED26F5" w:rsidRPr="00413568" w:rsidRDefault="00ED26F5" w:rsidP="00ED26F5">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En ejercicio de la competencia otorgada por los artículos 3, numeral 5º, y 11, numeral 8º, del Decreto Ley 4170 de 2011</w:t>
      </w:r>
      <w:r>
        <w:rPr>
          <w:rFonts w:ascii="Verdana" w:eastAsia="Calibri" w:hAnsi="Verdana" w:cs="Arial"/>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sidRPr="00413568">
        <w:rPr>
          <w:rFonts w:ascii="Verdana" w:hAnsi="Verdana" w:cs="Arial"/>
        </w:rPr>
        <w:t xml:space="preserve">, </w:t>
      </w:r>
      <w:r w:rsidRPr="0041356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15</w:t>
      </w:r>
      <w:r w:rsidRPr="00413568">
        <w:rPr>
          <w:rFonts w:ascii="Verdana" w:eastAsia="Calibri" w:hAnsi="Verdana" w:cs="Arial"/>
          <w:lang w:val="es-ES" w:eastAsia="es-ES"/>
        </w:rPr>
        <w:t xml:space="preserve"> de </w:t>
      </w:r>
      <w:r>
        <w:rPr>
          <w:rFonts w:ascii="Verdana" w:eastAsia="Calibri" w:hAnsi="Verdana" w:cs="Arial"/>
          <w:lang w:val="es-ES" w:eastAsia="es-ES"/>
        </w:rPr>
        <w:t>diciembre</w:t>
      </w:r>
      <w:r w:rsidRPr="00413568">
        <w:rPr>
          <w:rFonts w:ascii="Verdana" w:eastAsia="Calibri" w:hAnsi="Verdana" w:cs="Arial"/>
          <w:lang w:val="es-ES" w:eastAsia="es-ES"/>
        </w:rPr>
        <w:t xml:space="preserve"> de 202</w:t>
      </w:r>
      <w:r>
        <w:rPr>
          <w:rFonts w:ascii="Verdana" w:eastAsia="Calibri" w:hAnsi="Verdana" w:cs="Arial"/>
          <w:lang w:val="es-ES" w:eastAsia="es-ES"/>
        </w:rPr>
        <w:t>5</w:t>
      </w:r>
      <w:r w:rsidRPr="00413568">
        <w:rPr>
          <w:rFonts w:ascii="Verdana" w:eastAsia="Calibri" w:hAnsi="Verdana" w:cs="Arial"/>
          <w:lang w:val="es-ES" w:eastAsia="es-ES"/>
        </w:rPr>
        <w:t>.</w:t>
      </w:r>
    </w:p>
    <w:p w14:paraId="3236610B" w14:textId="77777777" w:rsidR="00ED26F5" w:rsidRDefault="00ED26F5" w:rsidP="00ED26F5">
      <w:pPr>
        <w:spacing w:after="0"/>
        <w:jc w:val="both"/>
        <w:rPr>
          <w:rFonts w:ascii="Century Gothic" w:hAnsi="Century Gothic"/>
          <w:lang w:val="es-ES"/>
        </w:rPr>
      </w:pPr>
    </w:p>
    <w:p w14:paraId="6B35C05B" w14:textId="77777777" w:rsidR="00ED26F5" w:rsidRPr="00012169" w:rsidRDefault="00ED26F5" w:rsidP="00ED26F5">
      <w:pPr>
        <w:spacing w:after="0"/>
        <w:ind w:left="720" w:right="709"/>
        <w:jc w:val="both"/>
        <w:rPr>
          <w:rFonts w:ascii="Verdana" w:hAnsi="Verdana"/>
          <w:i/>
          <w:sz w:val="20"/>
          <w:szCs w:val="20"/>
        </w:rPr>
      </w:pPr>
      <w:r w:rsidRPr="001D0D1B">
        <w:rPr>
          <w:rFonts w:ascii="Verdana" w:hAnsi="Verdana"/>
          <w:i/>
          <w:sz w:val="20"/>
          <w:szCs w:val="20"/>
          <w:lang w:val="es-ES"/>
        </w:rPr>
        <w:t>“</w:t>
      </w:r>
      <w:r w:rsidRPr="00012169">
        <w:rPr>
          <w:rFonts w:ascii="Verdana" w:hAnsi="Verdana"/>
          <w:i/>
          <w:sz w:val="20"/>
          <w:szCs w:val="20"/>
        </w:rPr>
        <w:t>De manera respetuosa solicito concepto jurídico en relación con la correcta aplicación del incentivo de Emprendimiento y Empresa de Mujeres, previsto en el artículo 2.2.1.2.4.2.14 del Decreto 1082 de 2015.</w:t>
      </w:r>
    </w:p>
    <w:p w14:paraId="08214957" w14:textId="77777777" w:rsidR="00ED26F5" w:rsidRPr="00012169" w:rsidRDefault="00ED26F5" w:rsidP="00ED26F5">
      <w:pPr>
        <w:spacing w:after="0" w:line="240" w:lineRule="auto"/>
        <w:ind w:left="720" w:right="709"/>
        <w:jc w:val="both"/>
        <w:rPr>
          <w:rFonts w:ascii="Verdana" w:hAnsi="Verdana"/>
          <w:i/>
          <w:sz w:val="20"/>
          <w:szCs w:val="20"/>
        </w:rPr>
      </w:pPr>
    </w:p>
    <w:p w14:paraId="00073FD6" w14:textId="77777777" w:rsidR="00ED26F5" w:rsidRPr="00012169" w:rsidRDefault="00ED26F5" w:rsidP="00ED26F5">
      <w:pPr>
        <w:spacing w:after="0" w:line="240" w:lineRule="auto"/>
        <w:ind w:left="720" w:right="709"/>
        <w:jc w:val="both"/>
        <w:rPr>
          <w:rFonts w:ascii="Verdana" w:hAnsi="Verdana"/>
          <w:i/>
          <w:sz w:val="20"/>
          <w:szCs w:val="20"/>
        </w:rPr>
      </w:pPr>
      <w:r w:rsidRPr="00012169">
        <w:rPr>
          <w:rFonts w:ascii="Verdana" w:hAnsi="Verdana"/>
          <w:i/>
          <w:sz w:val="20"/>
          <w:szCs w:val="20"/>
        </w:rPr>
        <w:lastRenderedPageBreak/>
        <w:t>En particular, se requiere aclarar si es procedente otorgar dicho incentivo cuando un oferente acredita que más del cincuenta por ciento (50%) de los cargos del nivel directivo han sido ocupados por mujeres durante el último año, pero los certificados de aportes a seguridad social del último año —documento expresamente exigido por la norma— evidencian una desvinculación, retiro del sistema y posterior reingreso con una interrupción de dieciocho (18) días, rompiendo la continuidad en los aportes.</w:t>
      </w:r>
    </w:p>
    <w:p w14:paraId="3128B52F" w14:textId="77777777" w:rsidR="00ED26F5" w:rsidRPr="00012169" w:rsidRDefault="00ED26F5" w:rsidP="00ED26F5">
      <w:pPr>
        <w:spacing w:after="0" w:line="240" w:lineRule="auto"/>
        <w:ind w:left="720" w:right="709"/>
        <w:jc w:val="both"/>
        <w:rPr>
          <w:rFonts w:ascii="Verdana" w:hAnsi="Verdana"/>
          <w:i/>
          <w:sz w:val="20"/>
          <w:szCs w:val="20"/>
        </w:rPr>
      </w:pPr>
    </w:p>
    <w:p w14:paraId="01BB87A6" w14:textId="77777777" w:rsidR="00ED26F5" w:rsidRPr="00012169" w:rsidRDefault="00ED26F5" w:rsidP="00ED26F5">
      <w:pPr>
        <w:spacing w:after="0" w:line="240" w:lineRule="auto"/>
        <w:ind w:left="720" w:right="709"/>
        <w:jc w:val="both"/>
        <w:rPr>
          <w:rFonts w:ascii="Verdana" w:hAnsi="Verdana"/>
          <w:i/>
          <w:sz w:val="20"/>
          <w:szCs w:val="20"/>
        </w:rPr>
      </w:pPr>
      <w:r w:rsidRPr="00012169">
        <w:rPr>
          <w:rFonts w:ascii="Verdana" w:hAnsi="Verdana"/>
          <w:i/>
          <w:sz w:val="20"/>
          <w:szCs w:val="20"/>
        </w:rPr>
        <w:t>Lo anterior genera duda sobre si, pese a la existencia de un contrato laboral, la interrupción en los aportes a seguridad social desvirtúa el requisito de continuidad laboral mínima de un (1) año, exigido por la norma como condición sustancial para acceder al incentivo</w:t>
      </w:r>
      <w:r>
        <w:rPr>
          <w:rFonts w:ascii="Verdana" w:hAnsi="Verdana"/>
          <w:i/>
          <w:sz w:val="20"/>
          <w:szCs w:val="20"/>
        </w:rPr>
        <w:t>”</w:t>
      </w:r>
      <w:r w:rsidRPr="00012169">
        <w:rPr>
          <w:rFonts w:ascii="Verdana" w:hAnsi="Verdana"/>
          <w:i/>
          <w:sz w:val="20"/>
          <w:szCs w:val="20"/>
        </w:rPr>
        <w:t>.</w:t>
      </w:r>
    </w:p>
    <w:p w14:paraId="124F9591" w14:textId="77777777" w:rsidR="00ED26F5" w:rsidRDefault="00ED26F5" w:rsidP="00ED26F5">
      <w:pPr>
        <w:spacing w:after="0"/>
        <w:ind w:left="720" w:right="709"/>
        <w:jc w:val="both"/>
        <w:rPr>
          <w:rFonts w:ascii="Verdana" w:hAnsi="Verdana"/>
          <w:i/>
          <w:iCs/>
          <w:lang w:val="es-ES"/>
        </w:rPr>
      </w:pPr>
    </w:p>
    <w:p w14:paraId="1229A03E" w14:textId="77777777" w:rsidR="00ED26F5" w:rsidRDefault="00ED26F5" w:rsidP="00ED26F5">
      <w:pPr>
        <w:spacing w:after="120"/>
        <w:ind w:firstLine="708"/>
        <w:jc w:val="both"/>
        <w:rPr>
          <w:rFonts w:ascii="Verdana" w:hAnsi="Verdana"/>
          <w:lang w:val="es-ES"/>
        </w:rPr>
      </w:pPr>
      <w:r>
        <w:rPr>
          <w:rFonts w:ascii="Verdana" w:hAnsi="Verdana"/>
          <w:lang w:val="es-ES"/>
        </w:rPr>
        <w:t>De manera preliminar, resulta necesario acotar que esta entidad solo tiene competencia para responder consultas sobre la aplicación de normas de carácter general en materias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brindar asesorías sobre casos puntuales.</w:t>
      </w:r>
    </w:p>
    <w:p w14:paraId="61F5165B" w14:textId="77777777" w:rsidR="00ED26F5" w:rsidRDefault="00ED26F5" w:rsidP="00ED26F5">
      <w:pPr>
        <w:spacing w:after="0"/>
        <w:ind w:firstLine="709"/>
        <w:jc w:val="both"/>
        <w:rPr>
          <w:rFonts w:ascii="Verdana" w:hAnsi="Verdana"/>
          <w:lang w:val="es-ES"/>
        </w:rPr>
      </w:pPr>
      <w:r>
        <w:rPr>
          <w:rFonts w:ascii="Verdana" w:hAnsi="Verdana"/>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consideraciones sobre las normas generales relacionadas con los problemas jurídicos de su consulta.</w:t>
      </w:r>
    </w:p>
    <w:p w14:paraId="126784DE" w14:textId="77777777" w:rsidR="00ED26F5" w:rsidRDefault="00ED26F5" w:rsidP="00ED26F5">
      <w:pPr>
        <w:spacing w:after="0"/>
        <w:ind w:firstLine="709"/>
        <w:jc w:val="both"/>
        <w:rPr>
          <w:rFonts w:ascii="Verdana" w:hAnsi="Verdana"/>
          <w:lang w:val="es-ES"/>
        </w:rPr>
      </w:pPr>
    </w:p>
    <w:p w14:paraId="2860EA07" w14:textId="77777777" w:rsidR="00ED26F5" w:rsidRDefault="00ED26F5" w:rsidP="00ED26F5">
      <w:pPr>
        <w:spacing w:after="0"/>
        <w:jc w:val="both"/>
        <w:rPr>
          <w:rFonts w:ascii="Verdana" w:hAnsi="Verdana"/>
          <w:b/>
          <w:bCs/>
          <w:lang w:val="es-ES"/>
        </w:rPr>
      </w:pPr>
      <w:r>
        <w:rPr>
          <w:rFonts w:ascii="Verdana" w:hAnsi="Verdana"/>
          <w:b/>
          <w:bCs/>
          <w:lang w:val="es-ES"/>
        </w:rPr>
        <w:t xml:space="preserve">1. Problema planteado: </w:t>
      </w:r>
    </w:p>
    <w:p w14:paraId="28FEDCEB" w14:textId="77777777" w:rsidR="00ED26F5" w:rsidRDefault="00ED26F5" w:rsidP="00ED26F5">
      <w:pPr>
        <w:spacing w:after="0"/>
        <w:jc w:val="both"/>
        <w:rPr>
          <w:rFonts w:ascii="Verdana" w:hAnsi="Verdana"/>
          <w:lang w:val="es-ES"/>
        </w:rPr>
      </w:pPr>
    </w:p>
    <w:p w14:paraId="546DFD0F" w14:textId="77777777" w:rsidR="00ED26F5" w:rsidRPr="00046007" w:rsidRDefault="00ED26F5" w:rsidP="00ED26F5">
      <w:pPr>
        <w:spacing w:after="0" w:line="276" w:lineRule="auto"/>
        <w:jc w:val="both"/>
        <w:rPr>
          <w:rFonts w:ascii="Verdana" w:hAnsi="Verdana"/>
          <w:lang w:val="es-ES"/>
        </w:rPr>
      </w:pPr>
      <w:r>
        <w:rPr>
          <w:rFonts w:ascii="Verdana" w:hAnsi="Verdana"/>
          <w:lang w:val="es-ES"/>
        </w:rPr>
        <w:t xml:space="preserve">De acuerdo con el contenido de su solicitud, esta Agencia resolverá el siguiente problema jurídico: </w:t>
      </w:r>
      <w:r w:rsidRPr="00C84299">
        <w:rPr>
          <w:rFonts w:ascii="Verdana" w:eastAsia="Century Gothic" w:hAnsi="Verdana" w:cs="Century Gothic"/>
        </w:rPr>
        <w:t>¿Para la acreditación de empresa y emprendimiento de mujer, es obligatorio</w:t>
      </w:r>
      <w:r>
        <w:rPr>
          <w:rFonts w:ascii="Verdana" w:eastAsia="Century Gothic" w:hAnsi="Verdana" w:cs="Century Gothic"/>
        </w:rPr>
        <w:t xml:space="preserve"> que los aportes a seguridad social se efectúen durante al menos un año</w:t>
      </w:r>
      <w:r w:rsidRPr="000F0F9C">
        <w:rPr>
          <w:rFonts w:ascii="Verdana" w:hAnsi="Verdana"/>
        </w:rPr>
        <w:t xml:space="preserve"> </w:t>
      </w:r>
      <w:r>
        <w:rPr>
          <w:rFonts w:ascii="Verdana" w:hAnsi="Verdana"/>
        </w:rPr>
        <w:t>previo a la fecha de cierre</w:t>
      </w:r>
      <w:r w:rsidRPr="00C84299">
        <w:rPr>
          <w:rFonts w:ascii="Verdana" w:eastAsia="Century Gothic" w:hAnsi="Verdana" w:cs="Century Gothic"/>
        </w:rPr>
        <w:t>?</w:t>
      </w:r>
    </w:p>
    <w:p w14:paraId="1A92128D" w14:textId="77777777" w:rsidR="00ED26F5" w:rsidRPr="00413568" w:rsidRDefault="00ED26F5" w:rsidP="00ED26F5">
      <w:pPr>
        <w:spacing w:after="0" w:line="276" w:lineRule="auto"/>
        <w:jc w:val="both"/>
        <w:rPr>
          <w:rFonts w:ascii="Verdana" w:eastAsia="Century Gothic" w:hAnsi="Verdana" w:cs="Century Gothic"/>
        </w:rPr>
      </w:pPr>
    </w:p>
    <w:p w14:paraId="70DE667D" w14:textId="77777777" w:rsidR="00ED26F5" w:rsidRPr="00413568" w:rsidRDefault="00ED26F5" w:rsidP="00ED26F5">
      <w:pPr>
        <w:spacing w:after="0" w:line="276" w:lineRule="auto"/>
        <w:rPr>
          <w:rFonts w:ascii="Verdana" w:eastAsia="Century Gothic" w:hAnsi="Verdana" w:cs="Century Gothic"/>
          <w:b/>
          <w:bCs/>
        </w:rPr>
      </w:pPr>
      <w:r w:rsidRPr="00413568">
        <w:rPr>
          <w:rFonts w:ascii="Verdana" w:eastAsia="Century Gothic" w:hAnsi="Verdana" w:cs="Century Gothic"/>
          <w:b/>
          <w:bCs/>
        </w:rPr>
        <w:t>2. Respuesta:</w:t>
      </w:r>
    </w:p>
    <w:p w14:paraId="1F0EBD40" w14:textId="77777777" w:rsidR="00ED26F5" w:rsidRPr="00413568" w:rsidRDefault="00ED26F5" w:rsidP="00ED26F5">
      <w:pPr>
        <w:tabs>
          <w:tab w:val="left" w:pos="142"/>
          <w:tab w:val="left" w:pos="284"/>
        </w:tabs>
        <w:spacing w:after="0" w:line="276" w:lineRule="auto"/>
        <w:jc w:val="both"/>
        <w:rPr>
          <w:rFonts w:ascii="Verdana" w:eastAsia="Century Gothic" w:hAnsi="Verdana" w:cs="Century Gothic"/>
          <w:b/>
          <w:bCs/>
        </w:rPr>
      </w:pPr>
    </w:p>
    <w:p w14:paraId="137F1333" w14:textId="77777777" w:rsidR="00ED26F5" w:rsidRPr="00413568" w:rsidRDefault="00ED26F5" w:rsidP="00ED26F5">
      <w:pPr>
        <w:tabs>
          <w:tab w:val="left" w:pos="142"/>
          <w:tab w:val="left" w:pos="284"/>
        </w:tabs>
        <w:spacing w:after="0" w:line="276" w:lineRule="auto"/>
        <w:jc w:val="both"/>
        <w:rPr>
          <w:rFonts w:ascii="Verdana" w:eastAsia="Century Gothic" w:hAnsi="Verdana" w:cs="Century Gothic"/>
          <w:b/>
          <w:bCs/>
          <w:lang w:val="es-ES"/>
        </w:rPr>
      </w:pPr>
    </w:p>
    <w:p w14:paraId="0D1041EE" w14:textId="77777777" w:rsidR="00ED26F5" w:rsidRDefault="00ED26F5" w:rsidP="00ED26F5">
      <w:r>
        <w:br w:type="page"/>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681"/>
      </w:tblGrid>
      <w:tr w:rsidR="00ED26F5" w:rsidRPr="00413568" w14:paraId="4F11F4E8" w14:textId="77777777" w:rsidTr="00FB2425">
        <w:trPr>
          <w:trHeight w:val="1691"/>
        </w:trPr>
        <w:tc>
          <w:tcPr>
            <w:tcW w:w="8681" w:type="dxa"/>
          </w:tcPr>
          <w:p w14:paraId="43BDF5FE" w14:textId="77777777" w:rsidR="00ED26F5" w:rsidRDefault="00ED26F5" w:rsidP="00FB2425">
            <w:pPr>
              <w:spacing w:after="120" w:line="276" w:lineRule="auto"/>
              <w:jc w:val="both"/>
              <w:rPr>
                <w:rFonts w:ascii="Verdana" w:hAnsi="Verdana"/>
              </w:rPr>
            </w:pPr>
            <w:r w:rsidRPr="00210AEB">
              <w:rPr>
                <w:rFonts w:ascii="Verdana" w:hAnsi="Verdana"/>
              </w:rPr>
              <w:lastRenderedPageBreak/>
              <w:t xml:space="preserve">De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6992E365" w14:textId="77777777" w:rsidR="00ED26F5" w:rsidRDefault="00ED26F5" w:rsidP="00FB2425">
            <w:pPr>
              <w:spacing w:before="120" w:after="120" w:line="276" w:lineRule="auto"/>
              <w:ind w:firstLine="709"/>
              <w:jc w:val="both"/>
              <w:rPr>
                <w:rFonts w:ascii="Verdana" w:hAnsi="Verdana" w:cs="Arial"/>
                <w:color w:val="000000" w:themeColor="text1"/>
              </w:rPr>
            </w:pPr>
            <w:r>
              <w:rPr>
                <w:rFonts w:ascii="Verdana" w:hAnsi="Verdana" w:cs="Arial"/>
                <w:color w:val="000000" w:themeColor="text1"/>
              </w:rPr>
              <w:t xml:space="preserve">Para estos efectos, el proponente debe presentar una certificación expedida por el representante legal y el revisor fiscal de la empresa en la que se señalen de manera detallada todas las personas que conforman los cargos en el nivel directivo, número de mujeres y el tiempo de vinculación, y en dicho documento, deberán ir los nombres de las personas, con el sus respectivos números de identificación , así como los soportes, como copias de los documentos de identidad, copia de los contratos de trabajo o certificación laboral con funciones y certificados de los aportes a la seguridad social del último año donde se reflejen los pagos por el empleador. Corresponderá a la entidad estatal contratante verificar la información consignada en los documentos mencionados a efectos de verificar que se cumpla todos los elementos del supuesto de hecho establecido en el inciso primero del numeral 2 del artículo </w:t>
            </w:r>
            <w:r w:rsidRPr="00210AEB">
              <w:rPr>
                <w:rFonts w:ascii="Verdana" w:hAnsi="Verdana"/>
              </w:rPr>
              <w:t>2.2.1.2.4.2.14</w:t>
            </w:r>
            <w:r>
              <w:rPr>
                <w:rFonts w:ascii="Verdana" w:hAnsi="Verdana"/>
              </w:rPr>
              <w:t xml:space="preserve">, a efectos de verificar que, en efecto, el proponente se encuentre en las condiciones para ser considerado un emprendimiento o empresa de mujeres. </w:t>
            </w:r>
            <w:r>
              <w:rPr>
                <w:rFonts w:ascii="Verdana" w:hAnsi="Verdana" w:cs="Arial"/>
                <w:color w:val="000000" w:themeColor="text1"/>
              </w:rPr>
              <w:t xml:space="preserve">  </w:t>
            </w:r>
          </w:p>
          <w:p w14:paraId="432A7687" w14:textId="0FC3D596" w:rsidR="00ED26F5" w:rsidRPr="005E44F9" w:rsidRDefault="00ED26F5" w:rsidP="00FB2425">
            <w:pPr>
              <w:spacing w:after="120" w:line="276" w:lineRule="auto"/>
              <w:ind w:firstLine="708"/>
              <w:jc w:val="both"/>
              <w:rPr>
                <w:rFonts w:ascii="Verdana" w:hAnsi="Verdana"/>
              </w:rPr>
            </w:pPr>
            <w:r>
              <w:rPr>
                <w:rFonts w:ascii="Verdana" w:hAnsi="Verdana"/>
              </w:rPr>
              <w:t xml:space="preserve">En todo caso, es pertinente señalar que el cumplimiento tardío de la obligación del empleador de realizar los aportes correspondientes al sistema de seguridad social respecto de sus trabajadores, en principio, no resulta suficiente para negar el acceso a los criterios diferenciales establecidos en el artículo 32 de la Ley 2069 de 2020, reglamentados por los artículos </w:t>
            </w:r>
            <w:r w:rsidRPr="00210AEB">
              <w:rPr>
                <w:rFonts w:ascii="Verdana" w:hAnsi="Verdana"/>
              </w:rPr>
              <w:t>2.2.1.2.4.2.14</w:t>
            </w:r>
            <w:r>
              <w:rPr>
                <w:rFonts w:ascii="Verdana" w:hAnsi="Verdana"/>
              </w:rPr>
              <w:t xml:space="preserve"> y </w:t>
            </w:r>
            <w:r w:rsidRPr="00210AEB">
              <w:rPr>
                <w:rFonts w:ascii="Verdana" w:hAnsi="Verdana"/>
              </w:rPr>
              <w:t>2.2.1.2.4.2.1</w:t>
            </w:r>
            <w:r>
              <w:rPr>
                <w:rFonts w:ascii="Verdana" w:hAnsi="Verdana"/>
              </w:rPr>
              <w:t xml:space="preserve">5 del Decreto 1082 de 2015, en la medida en que ninguna de estas normas autoriza a negar el acceso a los referidos criterios habilitantes diferenciales y puntajes adicionales creados en beneficio de los emprendimientos y empresas de mujeres. Sin embargo, asunto distinto es que no solo se constante el pago tardío de los aportes al sistema de seguridad social sino que, a partir de la contrastación de las certificaciones y los soportes correspondientes, la entidad estatal llegue a la certeza de que las relaciones laborales de mujeres en cargos del nivel directivo,  no se extendieron durante al menos el último año previo a la fecha de cierre, o que las mujeres vinculadas no ejercieron empleos que obedecieran a la noción de </w:t>
            </w:r>
            <w:r>
              <w:rPr>
                <w:rFonts w:ascii="Verdana" w:hAnsi="Verdana"/>
              </w:rPr>
              <w:lastRenderedPageBreak/>
              <w:t xml:space="preserve">cargos del nivel directivos, cuestiones que si darían cuenta del incumplimiento del criterio establecido en el numeral 2 del artículo </w:t>
            </w:r>
            <w:r w:rsidRPr="00210AEB">
              <w:rPr>
                <w:rFonts w:ascii="Verdana" w:hAnsi="Verdana"/>
              </w:rPr>
              <w:t>2.2.1.2.4.2.14</w:t>
            </w:r>
            <w:r>
              <w:rPr>
                <w:rFonts w:ascii="Verdana" w:hAnsi="Verdana"/>
              </w:rPr>
              <w:t>, y en consecuencia, h</w:t>
            </w:r>
            <w:r w:rsidR="0050761F">
              <w:rPr>
                <w:rFonts w:ascii="Verdana" w:hAnsi="Verdana"/>
              </w:rPr>
              <w:t>aría</w:t>
            </w:r>
            <w:r>
              <w:rPr>
                <w:rFonts w:ascii="Verdana" w:hAnsi="Verdana"/>
              </w:rPr>
              <w:t xml:space="preserve"> inviable aplicar los requisitos habilitantes diferenciales y puntaje adicional establecido por el artículo </w:t>
            </w:r>
            <w:r w:rsidRPr="00210AEB">
              <w:rPr>
                <w:rFonts w:ascii="Verdana" w:hAnsi="Verdana"/>
              </w:rPr>
              <w:t>2.2.1.2.4.2.1</w:t>
            </w:r>
            <w:r>
              <w:rPr>
                <w:rFonts w:ascii="Verdana" w:hAnsi="Verdana"/>
              </w:rPr>
              <w:t xml:space="preserve">5 del Decreto 1082 de 2015.    </w:t>
            </w:r>
          </w:p>
        </w:tc>
      </w:tr>
    </w:tbl>
    <w:p w14:paraId="7EED3647" w14:textId="77777777" w:rsidR="00ED26F5" w:rsidRPr="00413568" w:rsidRDefault="00ED26F5" w:rsidP="00ED26F5">
      <w:pPr>
        <w:spacing w:after="0" w:line="276" w:lineRule="auto"/>
        <w:rPr>
          <w:rFonts w:ascii="Verdana" w:eastAsia="Century Gothic" w:hAnsi="Verdana" w:cs="Century Gothic"/>
        </w:rPr>
      </w:pPr>
    </w:p>
    <w:p w14:paraId="6D48455D" w14:textId="77777777" w:rsidR="00ED26F5" w:rsidRDefault="00ED26F5" w:rsidP="00ED26F5">
      <w:pPr>
        <w:spacing w:after="0"/>
        <w:rPr>
          <w:rFonts w:ascii="Verdana" w:hAnsi="Verdana"/>
          <w:b/>
          <w:bCs/>
        </w:rPr>
      </w:pPr>
      <w:r w:rsidRPr="00413568">
        <w:rPr>
          <w:rFonts w:ascii="Verdana" w:hAnsi="Verdana"/>
          <w:b/>
          <w:bCs/>
        </w:rPr>
        <w:t>3. Razones de la respuesta.</w:t>
      </w:r>
    </w:p>
    <w:p w14:paraId="0899FF7E" w14:textId="77777777" w:rsidR="00ED26F5" w:rsidRDefault="00ED26F5" w:rsidP="00ED26F5">
      <w:pPr>
        <w:spacing w:after="0"/>
        <w:rPr>
          <w:rFonts w:ascii="Verdana" w:hAnsi="Verdana"/>
          <w:b/>
          <w:bCs/>
        </w:rPr>
      </w:pPr>
    </w:p>
    <w:p w14:paraId="16EB3E3F" w14:textId="77777777" w:rsidR="00ED26F5" w:rsidRDefault="00ED26F5" w:rsidP="00ED26F5">
      <w:pPr>
        <w:spacing w:after="0"/>
        <w:rPr>
          <w:rFonts w:ascii="Verdana" w:hAnsi="Verdana"/>
        </w:rPr>
      </w:pPr>
      <w:r>
        <w:rPr>
          <w:rFonts w:ascii="Verdana" w:hAnsi="Verdana"/>
        </w:rPr>
        <w:t>La anterior respuesta se fundamenta en las siguientes consideraciones:</w:t>
      </w:r>
    </w:p>
    <w:p w14:paraId="59BFB693" w14:textId="77777777" w:rsidR="00ED26F5" w:rsidRDefault="00ED26F5" w:rsidP="00ED26F5">
      <w:pPr>
        <w:spacing w:after="0"/>
        <w:rPr>
          <w:rFonts w:ascii="Verdana" w:hAnsi="Verdana"/>
        </w:rPr>
      </w:pPr>
    </w:p>
    <w:p w14:paraId="2ACC0E61" w14:textId="77777777" w:rsidR="00ED26F5" w:rsidRPr="007C3182" w:rsidRDefault="00ED26F5" w:rsidP="00ED26F5">
      <w:pPr>
        <w:spacing w:after="0"/>
        <w:jc w:val="both"/>
        <w:rPr>
          <w:rFonts w:ascii="Verdana" w:hAnsi="Verdana"/>
        </w:rPr>
      </w:pPr>
      <w:r w:rsidRPr="007C3182">
        <w:rPr>
          <w:rFonts w:ascii="Verdana" w:hAnsi="Verdana"/>
        </w:rPr>
        <w:t>Con la entrada en vigencia de la Ley 2069 de 2020</w:t>
      </w:r>
      <w:r>
        <w:rPr>
          <w:rStyle w:val="Refdenotaalpie"/>
          <w:rFonts w:ascii="Verdana" w:hAnsi="Verdana"/>
        </w:rPr>
        <w:footnoteReference w:id="2"/>
      </w:r>
      <w:r w:rsidRPr="007C3182">
        <w:rPr>
          <w:rFonts w:ascii="Verdana" w:hAnsi="Verdana"/>
        </w:rPr>
        <w:t>, la cual impulsa el emprendimiento en Colombia, dentro de cuerpo normativo trae consigo el artículo 32, el cual regula los criterios diferenciales para los emprendimientos y empresas de mujeres, en el sistema de compras y contratación pública. En relación con este aspecto, el inciso primero de la norma citada prescribe lo siguiente:</w:t>
      </w:r>
    </w:p>
    <w:p w14:paraId="71506512" w14:textId="77777777" w:rsidR="00ED26F5" w:rsidRDefault="00ED26F5" w:rsidP="00ED26F5">
      <w:pPr>
        <w:pStyle w:val="Prrafodelista"/>
        <w:spacing w:after="0"/>
        <w:jc w:val="both"/>
        <w:rPr>
          <w:rFonts w:ascii="Verdana" w:hAnsi="Verdana"/>
        </w:rPr>
      </w:pPr>
    </w:p>
    <w:p w14:paraId="34424878" w14:textId="77777777" w:rsidR="00ED26F5" w:rsidRPr="000F0F9C" w:rsidRDefault="00ED26F5" w:rsidP="00ED26F5">
      <w:pPr>
        <w:pStyle w:val="Prrafodelista"/>
        <w:spacing w:after="0" w:line="240" w:lineRule="auto"/>
        <w:ind w:right="720"/>
        <w:jc w:val="both"/>
        <w:rPr>
          <w:rFonts w:ascii="Verdana" w:hAnsi="Verdana"/>
          <w:i/>
          <w:iCs/>
          <w:sz w:val="20"/>
          <w:szCs w:val="20"/>
        </w:rPr>
      </w:pPr>
      <w:r w:rsidRPr="000F0F9C">
        <w:rPr>
          <w:rFonts w:ascii="Verdana" w:hAnsi="Verdana"/>
          <w:i/>
          <w:iCs/>
          <w:sz w:val="20"/>
          <w:szCs w:val="20"/>
        </w:rPr>
        <w:t>“De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us gestión contractual el Estatuto General de Contratación de la Administración Pública, como medidas de acción afirmativa, para incentivar emprendimientos y empresas de mujeres en el sistema de compras públicas, sin perjuicio de los compromisos adquiridos por Colombia en los acuerdos comerciales en vigor”.</w:t>
      </w:r>
    </w:p>
    <w:p w14:paraId="6DE2F0D8" w14:textId="77777777" w:rsidR="00ED26F5" w:rsidRDefault="00ED26F5" w:rsidP="00ED26F5">
      <w:pPr>
        <w:pStyle w:val="Prrafodelista"/>
        <w:spacing w:after="0"/>
        <w:ind w:right="720"/>
        <w:jc w:val="both"/>
        <w:rPr>
          <w:rFonts w:ascii="Verdana" w:hAnsi="Verdana"/>
          <w:i/>
          <w:iCs/>
          <w:sz w:val="21"/>
          <w:szCs w:val="21"/>
        </w:rPr>
      </w:pPr>
    </w:p>
    <w:p w14:paraId="363E72B9" w14:textId="77777777" w:rsidR="00ED26F5" w:rsidRPr="004017B3" w:rsidRDefault="00ED26F5" w:rsidP="00ED26F5">
      <w:pPr>
        <w:pStyle w:val="Prrafodelista"/>
        <w:spacing w:after="120" w:line="276" w:lineRule="auto"/>
        <w:ind w:left="0" w:firstLine="709"/>
        <w:contextualSpacing w:val="0"/>
        <w:jc w:val="both"/>
        <w:rPr>
          <w:rFonts w:ascii="Verdana" w:hAnsi="Verdana"/>
        </w:rPr>
      </w:pPr>
      <w:r w:rsidRPr="004017B3">
        <w:rPr>
          <w:rFonts w:ascii="Verdana" w:hAnsi="Verdana"/>
        </w:rPr>
        <w:t xml:space="preserve">La norma analizada contiene los denominados “criterios diferenciales” y adicionalmente los “puntajes adicionales”, los cuales aplicaran a […] los procesos de </w:t>
      </w:r>
      <w:r w:rsidRPr="001D0D1B">
        <w:rPr>
          <w:rStyle w:val="normaltextrun"/>
          <w:rFonts w:ascii="Verdana" w:hAnsi="Verdana" w:cs="Arial"/>
          <w:shd w:val="clear" w:color="auto" w:fill="FFFFFF"/>
        </w:rPr>
        <w:t xml:space="preserve">procesos de licitación pública, selección abreviada de menor cuantía y concurso de méritos, así como en los procesos competitivos que adelanten las entidades estatales exceptuadas de aplicar el Estatuto General de Contratación de la Administración Pública, requisitos diferenciales y puntajes adicionales para </w:t>
      </w:r>
      <w:r w:rsidRPr="001D0D1B">
        <w:rPr>
          <w:rStyle w:val="normaltextrun"/>
          <w:rFonts w:ascii="Verdana" w:hAnsi="Verdana" w:cs="Arial"/>
          <w:shd w:val="clear" w:color="auto" w:fill="FFFFFF"/>
        </w:rPr>
        <w:lastRenderedPageBreak/>
        <w:t>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r w:rsidRPr="001D0D1B">
        <w:rPr>
          <w:rStyle w:val="eop"/>
          <w:rFonts w:ascii="Verdana" w:hAnsi="Verdana" w:cs="Arial"/>
          <w:shd w:val="clear" w:color="auto" w:fill="FFFFFF"/>
        </w:rPr>
        <w:t> </w:t>
      </w:r>
    </w:p>
    <w:p w14:paraId="14C3FE8C" w14:textId="77777777" w:rsidR="00ED26F5" w:rsidRDefault="00ED26F5" w:rsidP="00ED26F5">
      <w:pPr>
        <w:spacing w:after="120" w:line="276" w:lineRule="auto"/>
        <w:jc w:val="both"/>
        <w:rPr>
          <w:rFonts w:ascii="Verdana" w:hAnsi="Verdana"/>
        </w:rPr>
      </w:pPr>
      <w:r w:rsidRPr="00BC5BBE">
        <w:rPr>
          <w:rFonts w:ascii="Verdana" w:hAnsi="Verdana"/>
        </w:rPr>
        <w:tab/>
        <w:t xml:space="preserve">Al igual que otras disposiciones contractuales incluidas en la Ley 2069 de 2020, la vigencia del artículo 32 fue condicionada a la expedición de su reglamentación, razón por la que </w:t>
      </w:r>
      <w:r w:rsidRPr="004017B3">
        <w:rPr>
          <w:rFonts w:ascii="Verdana" w:hAnsi="Verdana"/>
        </w:rPr>
        <w:t xml:space="preserve">el Gobierno Nacional, expidió el Decreto 1860 de 2021, “por el cual se modifica y se adiciona el Decreto 1082 de 2015, Único Reglamentario del Sector Administrativo de Planeación Nacional, con el fin de reglamentar los artículos 30, 31, 32, 34 y 35 de la Ley 2069 de 2020, en lo relativo al sistema de compras públicas y se dictan otras disposiciones”. </w:t>
      </w:r>
      <w:r w:rsidRPr="001D0D1B">
        <w:rPr>
          <w:rFonts w:ascii="Verdana" w:eastAsia="Calibri" w:hAnsi="Verdana" w:cs="Arial"/>
          <w:lang w:val="es-ES_tradnl"/>
        </w:rPr>
        <w:t>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y regula su aplicación.</w:t>
      </w:r>
    </w:p>
    <w:p w14:paraId="3E090472" w14:textId="77777777" w:rsidR="00ED26F5" w:rsidRDefault="00ED26F5" w:rsidP="00ED26F5">
      <w:pPr>
        <w:pStyle w:val="Prrafodelista"/>
        <w:spacing w:after="0"/>
        <w:ind w:left="0" w:firstLine="709"/>
        <w:contextualSpacing w:val="0"/>
        <w:jc w:val="both"/>
        <w:rPr>
          <w:rFonts w:ascii="Verdana" w:hAnsi="Verdana"/>
        </w:rPr>
      </w:pPr>
      <w:r>
        <w:rPr>
          <w:rFonts w:ascii="Verdana" w:hAnsi="Verdana"/>
        </w:rPr>
        <w:t>Al establecer la definición de emprendimientos de empresas y mujeres, el</w:t>
      </w:r>
      <w:r w:rsidRPr="004017B3">
        <w:rPr>
          <w:rFonts w:ascii="Verdana" w:hAnsi="Verdana"/>
        </w:rPr>
        <w:t xml:space="preserve"> artículo 2.2.1.2.4.2.14</w:t>
      </w:r>
      <w:r>
        <w:rPr>
          <w:rFonts w:ascii="Verdana" w:hAnsi="Verdana"/>
        </w:rPr>
        <w:t xml:space="preserve"> consagra cuatro criterios alternativos en atención a los cuales una persona natural o jurídica puede acceder a los criterios diferenciales establecidos en el artículo </w:t>
      </w:r>
      <w:r w:rsidRPr="00210AEB">
        <w:rPr>
          <w:rFonts w:ascii="Verdana" w:eastAsia="Calibri" w:hAnsi="Verdana" w:cs="Arial"/>
          <w:lang w:val="es-ES_tradnl"/>
        </w:rPr>
        <w:t>2.2.1.2.4.2.15</w:t>
      </w:r>
      <w:r>
        <w:rPr>
          <w:rFonts w:ascii="Verdana" w:eastAsia="Calibri" w:hAnsi="Verdana" w:cs="Arial"/>
          <w:lang w:val="es-ES_tradnl"/>
        </w:rPr>
        <w:t xml:space="preserve">, bastando la configuración de uno de estos criterios para que se materialice la respectiva definición respecto de sujeto en particular. </w:t>
      </w:r>
      <w:r>
        <w:rPr>
          <w:rFonts w:ascii="Verdana" w:hAnsi="Verdana"/>
        </w:rPr>
        <w:t xml:space="preserve">Uno de estos criterios es el definido en el definido en el numeral 2 relacionado con la vinculación de mujeres en cargos del nivel directivo, con el cual se relaciona la consulta de la referencia. Dicha norma indica lo siguiente:  </w:t>
      </w:r>
    </w:p>
    <w:p w14:paraId="7AFC5D1B" w14:textId="77777777" w:rsidR="00ED26F5" w:rsidRDefault="00ED26F5" w:rsidP="00ED26F5">
      <w:pPr>
        <w:spacing w:after="0"/>
        <w:ind w:left="709" w:right="709"/>
        <w:jc w:val="both"/>
        <w:rPr>
          <w:rFonts w:ascii="Verdana" w:hAnsi="Verdana"/>
          <w:i/>
          <w:iCs/>
          <w:sz w:val="21"/>
          <w:szCs w:val="21"/>
        </w:rPr>
      </w:pPr>
    </w:p>
    <w:p w14:paraId="3E8CD0E4" w14:textId="77777777" w:rsidR="00ED26F5" w:rsidRPr="001D0D1B" w:rsidRDefault="00ED26F5" w:rsidP="00ED26F5">
      <w:pPr>
        <w:spacing w:after="0" w:line="240" w:lineRule="auto"/>
        <w:ind w:left="709" w:right="709"/>
        <w:jc w:val="both"/>
        <w:rPr>
          <w:rFonts w:ascii="Verdana" w:hAnsi="Verdana"/>
          <w:i/>
          <w:sz w:val="20"/>
          <w:szCs w:val="20"/>
        </w:rPr>
      </w:pPr>
      <w:r w:rsidRPr="001D0D1B">
        <w:rPr>
          <w:rFonts w:ascii="Verdana" w:hAnsi="Verdana"/>
          <w:i/>
          <w:sz w:val="20"/>
          <w:szCs w:val="20"/>
        </w:rPr>
        <w:t>“</w:t>
      </w:r>
      <w:r w:rsidRPr="001D0D1B">
        <w:rPr>
          <w:rFonts w:ascii="Verdana" w:hAnsi="Verdana"/>
          <w:sz w:val="20"/>
          <w:szCs w:val="20"/>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w:t>
      </w:r>
    </w:p>
    <w:p w14:paraId="3B368CE0" w14:textId="77777777" w:rsidR="00ED26F5" w:rsidRPr="001D0D1B" w:rsidRDefault="00ED26F5" w:rsidP="00ED26F5">
      <w:pPr>
        <w:spacing w:after="0" w:line="240" w:lineRule="auto"/>
        <w:ind w:left="709" w:right="709"/>
        <w:jc w:val="both"/>
        <w:rPr>
          <w:rFonts w:ascii="Verdana" w:hAnsi="Verdana"/>
          <w:i/>
          <w:sz w:val="20"/>
          <w:szCs w:val="20"/>
        </w:rPr>
      </w:pPr>
    </w:p>
    <w:p w14:paraId="36C7433E" w14:textId="77777777" w:rsidR="00ED26F5" w:rsidRPr="001D0D1B" w:rsidRDefault="00ED26F5" w:rsidP="00ED26F5">
      <w:pPr>
        <w:spacing w:after="0" w:line="240" w:lineRule="auto"/>
        <w:ind w:left="709" w:right="709"/>
        <w:jc w:val="both"/>
        <w:rPr>
          <w:rFonts w:ascii="Verdana" w:hAnsi="Verdana"/>
          <w:i/>
          <w:sz w:val="20"/>
          <w:szCs w:val="20"/>
        </w:rPr>
      </w:pPr>
      <w:r w:rsidRPr="001D0D1B">
        <w:rPr>
          <w:rFonts w:ascii="Verdana" w:hAnsi="Verdana"/>
          <w:i/>
          <w:sz w:val="20"/>
          <w:szCs w:val="20"/>
        </w:rPr>
        <w:t>[…]</w:t>
      </w:r>
    </w:p>
    <w:p w14:paraId="156B8182" w14:textId="77777777" w:rsidR="00ED26F5" w:rsidRPr="001D0D1B" w:rsidRDefault="00ED26F5" w:rsidP="00ED26F5">
      <w:pPr>
        <w:spacing w:after="0" w:line="240" w:lineRule="auto"/>
        <w:ind w:left="709" w:right="709"/>
        <w:jc w:val="both"/>
        <w:rPr>
          <w:rFonts w:ascii="Verdana" w:hAnsi="Verdana"/>
          <w:i/>
          <w:sz w:val="20"/>
          <w:szCs w:val="20"/>
        </w:rPr>
      </w:pPr>
    </w:p>
    <w:p w14:paraId="585425DA" w14:textId="77777777" w:rsidR="00ED26F5" w:rsidRPr="001D0D1B" w:rsidRDefault="00ED26F5" w:rsidP="00ED26F5">
      <w:pPr>
        <w:spacing w:after="0" w:line="240" w:lineRule="auto"/>
        <w:ind w:left="709" w:right="709"/>
        <w:jc w:val="both"/>
        <w:rPr>
          <w:rFonts w:ascii="Verdana" w:hAnsi="Verdana"/>
          <w:i/>
          <w:sz w:val="20"/>
          <w:szCs w:val="20"/>
          <w:u w:val="single"/>
        </w:rPr>
      </w:pPr>
      <w:r w:rsidRPr="001D0D1B">
        <w:rPr>
          <w:rFonts w:ascii="Verdana" w:hAnsi="Verdana"/>
          <w:i/>
          <w:sz w:val="20"/>
          <w:szCs w:val="20"/>
        </w:rPr>
        <w:t xml:space="preserve">2. </w:t>
      </w:r>
      <w:r w:rsidRPr="001D0D1B">
        <w:rPr>
          <w:rFonts w:ascii="Verdana" w:hAnsi="Verdana"/>
          <w:i/>
          <w:sz w:val="20"/>
          <w:szCs w:val="20"/>
          <w:u w:val="single"/>
        </w:rPr>
        <w:t>Cuando por lo menos el cincuenta por ciento (50%) de los empleos del nivel directivo de la persona jurídica sean ejercidos por mujeres y estás hayan estado vinculadas laboralmente a la empresa durante al menos el ultimo año anterior a la fecha de cierre del proceso de selección en el mismo cargo u otro del mismo nivel.</w:t>
      </w:r>
    </w:p>
    <w:p w14:paraId="2F3CFCEE" w14:textId="77777777" w:rsidR="00ED26F5" w:rsidRPr="001D0D1B" w:rsidRDefault="00ED26F5" w:rsidP="00ED26F5">
      <w:pPr>
        <w:spacing w:after="0" w:line="240" w:lineRule="auto"/>
        <w:ind w:left="709" w:right="709"/>
        <w:jc w:val="both"/>
        <w:rPr>
          <w:rFonts w:ascii="Verdana" w:hAnsi="Verdana"/>
          <w:i/>
          <w:sz w:val="20"/>
          <w:szCs w:val="20"/>
        </w:rPr>
      </w:pPr>
    </w:p>
    <w:p w14:paraId="51BFFD0B" w14:textId="77777777" w:rsidR="00ED26F5" w:rsidRPr="001D0D1B" w:rsidRDefault="00ED26F5" w:rsidP="00ED26F5">
      <w:pPr>
        <w:spacing w:after="0" w:line="240" w:lineRule="auto"/>
        <w:ind w:left="709" w:right="709"/>
        <w:jc w:val="both"/>
        <w:rPr>
          <w:rFonts w:ascii="Verdana" w:hAnsi="Verdana"/>
          <w:i/>
          <w:iCs/>
          <w:sz w:val="20"/>
          <w:szCs w:val="20"/>
        </w:rPr>
      </w:pPr>
      <w:r w:rsidRPr="001D0D1B">
        <w:rPr>
          <w:rFonts w:ascii="Verdana" w:hAnsi="Verdana"/>
          <w:i/>
          <w:sz w:val="20"/>
          <w:szCs w:val="20"/>
        </w:rPr>
        <w:t xml:space="preserve">Se entenderán como empleos del nivel directivo aquellos cuyas funciones están relacionadas con la dirección de áreas misionales de la empresa y la </w:t>
      </w:r>
      <w:r w:rsidRPr="001D0D1B">
        <w:rPr>
          <w:rFonts w:ascii="Verdana" w:hAnsi="Verdana"/>
          <w:i/>
          <w:sz w:val="20"/>
          <w:szCs w:val="20"/>
        </w:rPr>
        <w:lastRenderedPageBreak/>
        <w:t>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4D5B6CE1" w14:textId="77777777" w:rsidR="00ED26F5" w:rsidRPr="001D0D1B" w:rsidRDefault="00ED26F5" w:rsidP="00ED26F5">
      <w:pPr>
        <w:spacing w:after="0" w:line="240" w:lineRule="auto"/>
        <w:ind w:left="709" w:right="709"/>
        <w:jc w:val="both"/>
        <w:rPr>
          <w:rFonts w:ascii="Verdana" w:hAnsi="Verdana"/>
          <w:i/>
          <w:iCs/>
          <w:sz w:val="20"/>
          <w:szCs w:val="20"/>
        </w:rPr>
      </w:pPr>
      <w:r w:rsidRPr="001D0D1B">
        <w:rPr>
          <w:rFonts w:ascii="Verdana" w:hAnsi="Verdana"/>
          <w:i/>
          <w:iCs/>
          <w:sz w:val="20"/>
          <w:szCs w:val="20"/>
        </w:rPr>
        <w:t>  </w:t>
      </w:r>
    </w:p>
    <w:p w14:paraId="476CE46E" w14:textId="77777777" w:rsidR="00ED26F5" w:rsidRPr="001D0D1B" w:rsidRDefault="00ED26F5" w:rsidP="00ED26F5">
      <w:pPr>
        <w:spacing w:after="0" w:line="240" w:lineRule="auto"/>
        <w:ind w:left="709" w:right="709"/>
        <w:jc w:val="both"/>
        <w:rPr>
          <w:rFonts w:ascii="Verdana" w:hAnsi="Verdana"/>
          <w:i/>
          <w:iCs/>
          <w:sz w:val="20"/>
          <w:szCs w:val="20"/>
        </w:rPr>
      </w:pPr>
      <w:r w:rsidRPr="001D0D1B">
        <w:rPr>
          <w:rFonts w:ascii="Verdana" w:hAnsi="Verdana"/>
          <w:i/>
          <w:iCs/>
          <w:sz w:val="20"/>
          <w:szCs w:val="20"/>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 </w:t>
      </w:r>
    </w:p>
    <w:p w14:paraId="378430FE" w14:textId="77777777" w:rsidR="00ED26F5" w:rsidRPr="001D0D1B" w:rsidRDefault="00ED26F5" w:rsidP="00ED26F5">
      <w:pPr>
        <w:spacing w:after="0" w:line="240" w:lineRule="auto"/>
        <w:ind w:left="709" w:right="709"/>
        <w:jc w:val="both"/>
        <w:rPr>
          <w:rFonts w:ascii="Verdana" w:hAnsi="Verdana"/>
          <w:i/>
          <w:iCs/>
          <w:sz w:val="20"/>
          <w:szCs w:val="20"/>
        </w:rPr>
      </w:pPr>
      <w:r w:rsidRPr="001D0D1B">
        <w:rPr>
          <w:rFonts w:ascii="Verdana" w:hAnsi="Verdana"/>
          <w:i/>
          <w:iCs/>
          <w:sz w:val="20"/>
          <w:szCs w:val="20"/>
        </w:rPr>
        <w:t>  </w:t>
      </w:r>
    </w:p>
    <w:p w14:paraId="655862BA" w14:textId="77777777" w:rsidR="00ED26F5" w:rsidRDefault="00ED26F5" w:rsidP="00ED26F5">
      <w:pPr>
        <w:spacing w:after="0" w:line="240" w:lineRule="auto"/>
        <w:ind w:left="709" w:right="709"/>
        <w:jc w:val="both"/>
        <w:rPr>
          <w:rFonts w:ascii="Verdana" w:hAnsi="Verdana"/>
          <w:i/>
          <w:iCs/>
          <w:sz w:val="20"/>
          <w:szCs w:val="20"/>
        </w:rPr>
      </w:pPr>
      <w:r w:rsidRPr="001D0D1B">
        <w:rPr>
          <w:rFonts w:ascii="Verdana" w:hAnsi="Verdana"/>
          <w:i/>
          <w:iCs/>
          <w:sz w:val="20"/>
          <w:szCs w:val="20"/>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 </w:t>
      </w:r>
    </w:p>
    <w:p w14:paraId="0AD06D57" w14:textId="77777777" w:rsidR="00ED26F5" w:rsidRPr="001D0D1B" w:rsidRDefault="00ED26F5" w:rsidP="00ED26F5">
      <w:pPr>
        <w:spacing w:after="0" w:line="240" w:lineRule="auto"/>
        <w:ind w:left="709" w:right="709"/>
        <w:jc w:val="both"/>
        <w:rPr>
          <w:rFonts w:ascii="Verdana" w:hAnsi="Verdana"/>
          <w:sz w:val="20"/>
          <w:szCs w:val="20"/>
        </w:rPr>
      </w:pPr>
    </w:p>
    <w:p w14:paraId="78FF4811" w14:textId="77777777" w:rsidR="00ED26F5" w:rsidRPr="001D0D1B" w:rsidRDefault="00ED26F5" w:rsidP="00ED26F5">
      <w:pPr>
        <w:spacing w:after="0" w:line="240" w:lineRule="auto"/>
        <w:ind w:left="709" w:right="709"/>
        <w:jc w:val="both"/>
        <w:rPr>
          <w:rFonts w:ascii="Verdana" w:hAnsi="Verdana"/>
          <w:sz w:val="20"/>
          <w:szCs w:val="20"/>
        </w:rPr>
      </w:pPr>
      <w:r w:rsidRPr="001D0D1B">
        <w:rPr>
          <w:rFonts w:ascii="Verdana" w:hAnsi="Verdana"/>
          <w:sz w:val="20"/>
          <w:szCs w:val="20"/>
        </w:rPr>
        <w:t>[….]</w:t>
      </w:r>
    </w:p>
    <w:p w14:paraId="747CAD7B" w14:textId="77777777" w:rsidR="00ED26F5" w:rsidRPr="001D0D1B" w:rsidRDefault="00ED26F5" w:rsidP="00ED26F5">
      <w:pPr>
        <w:spacing w:after="0" w:line="240" w:lineRule="auto"/>
        <w:ind w:left="709" w:right="709"/>
        <w:jc w:val="both"/>
        <w:rPr>
          <w:rFonts w:ascii="Verdana" w:hAnsi="Verdana"/>
          <w:b/>
          <w:bCs/>
          <w:sz w:val="20"/>
          <w:szCs w:val="20"/>
        </w:rPr>
      </w:pPr>
    </w:p>
    <w:p w14:paraId="6E184AE1" w14:textId="77777777" w:rsidR="00ED26F5" w:rsidRPr="001D0D1B" w:rsidRDefault="00ED26F5" w:rsidP="00ED26F5">
      <w:pPr>
        <w:spacing w:after="0" w:line="240" w:lineRule="auto"/>
        <w:ind w:left="709" w:right="709"/>
        <w:jc w:val="both"/>
        <w:rPr>
          <w:rFonts w:ascii="Verdana" w:hAnsi="Verdana"/>
          <w:i/>
          <w:sz w:val="20"/>
          <w:szCs w:val="20"/>
        </w:rPr>
      </w:pPr>
      <w:r w:rsidRPr="001D0D1B">
        <w:rPr>
          <w:rFonts w:ascii="Verdana" w:hAnsi="Verdana"/>
          <w:sz w:val="20"/>
          <w:szCs w:val="20"/>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w:t>
      </w:r>
      <w:r w:rsidRPr="001D0D1B">
        <w:rPr>
          <w:rFonts w:ascii="Verdana" w:hAnsi="Verdana"/>
          <w:i/>
          <w:sz w:val="20"/>
          <w:szCs w:val="20"/>
        </w:rPr>
        <w:t>.</w:t>
      </w:r>
    </w:p>
    <w:p w14:paraId="34FD9C0A" w14:textId="77777777" w:rsidR="00ED26F5" w:rsidRDefault="00ED26F5" w:rsidP="00ED26F5">
      <w:pPr>
        <w:spacing w:after="0"/>
        <w:ind w:left="709" w:right="709"/>
        <w:jc w:val="both"/>
        <w:rPr>
          <w:rFonts w:ascii="Verdana" w:hAnsi="Verdana"/>
          <w:i/>
          <w:iCs/>
          <w:sz w:val="21"/>
          <w:szCs w:val="21"/>
        </w:rPr>
      </w:pPr>
    </w:p>
    <w:p w14:paraId="005800AE" w14:textId="77777777" w:rsidR="00ED26F5" w:rsidRPr="007C3182" w:rsidRDefault="00ED26F5" w:rsidP="00ED26F5">
      <w:pPr>
        <w:spacing w:after="120"/>
        <w:ind w:firstLine="709"/>
        <w:jc w:val="both"/>
        <w:rPr>
          <w:rFonts w:ascii="Verdana" w:hAnsi="Verdana"/>
        </w:rPr>
      </w:pPr>
      <w:r w:rsidRPr="007C3182">
        <w:rPr>
          <w:rFonts w:ascii="Verdana" w:hAnsi="Verdana"/>
        </w:rPr>
        <w:t xml:space="preserve">De acuerdo con el numeral citado, una persona jurídica podrá ser considerada como un emprendimiento o empresa de mujeres cuando más del 50 % de los empleos del </w:t>
      </w:r>
      <w:r w:rsidRPr="001D0D1B">
        <w:rPr>
          <w:rFonts w:ascii="Verdana" w:hAnsi="Verdana"/>
          <w:i/>
        </w:rPr>
        <w:t>nivel directivo</w:t>
      </w:r>
      <w:r w:rsidRPr="007C3182">
        <w:rPr>
          <w:rFonts w:ascii="Verdana" w:hAnsi="Verdana"/>
        </w:rPr>
        <w:t xml:space="preserve"> sean ejercidos por mujeres. De esta manera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 al empleador en los términos del artículo 32 del Código Sustantivo del Trabajo</w:t>
      </w:r>
      <w:r>
        <w:rPr>
          <w:rStyle w:val="Refdenotaalpie"/>
          <w:rFonts w:ascii="Verdana" w:hAnsi="Verdana"/>
        </w:rPr>
        <w:footnoteReference w:id="3"/>
      </w:r>
      <w:r w:rsidRPr="007C3182">
        <w:rPr>
          <w:rFonts w:ascii="Verdana" w:hAnsi="Verdana"/>
        </w:rPr>
        <w:t>.</w:t>
      </w:r>
    </w:p>
    <w:p w14:paraId="4B1ECCE8" w14:textId="77777777" w:rsidR="00ED26F5" w:rsidRDefault="00ED26F5" w:rsidP="00ED26F5">
      <w:pPr>
        <w:pStyle w:val="Prrafodelista"/>
        <w:spacing w:after="120"/>
        <w:ind w:left="0" w:firstLine="709"/>
        <w:contextualSpacing w:val="0"/>
        <w:jc w:val="both"/>
        <w:rPr>
          <w:rFonts w:ascii="Verdana" w:hAnsi="Verdana"/>
        </w:rPr>
      </w:pPr>
      <w:r>
        <w:rPr>
          <w:rFonts w:ascii="Verdana" w:hAnsi="Verdana"/>
        </w:rPr>
        <w:t xml:space="preserve">Para la aplicación de la definición que se comenta, debe tenerse en cuenta únicamente a los empleos del nivel directivo, lo que excluye a los demás empleos de planta de personal, como por ejemplo los operativos. En segundo lugar, no </w:t>
      </w:r>
      <w:r>
        <w:rPr>
          <w:rFonts w:ascii="Verdana" w:hAnsi="Verdana"/>
        </w:rPr>
        <w:lastRenderedPageBreak/>
        <w:t>basta con que los cargos directivos en una sociedad sean mayoritariamente de mujeres para que sea considerada como empresa o emprendimiento a los que se refiere la norma, sino que además es necesario que dicha vinculación mayoritaria de mujeres en los empleos del nivel directivo de la empresa se haya mantenido como mínimo durante el periodo de un año, contado a partir de la fecha de cierre del proceso de selección, de esta manera, el criterio establecido en la norma para definir los emprendimientos y empresas de mujeres deja por fuera de dicha categoría a aquellas sociedades que, a pesar de contar con la participación mayoritaria de mujeres en el nivel directivo, no cuenten con el requerimiento del tiempo mínimo de un año.</w:t>
      </w:r>
    </w:p>
    <w:p w14:paraId="77A7B4E0" w14:textId="77777777" w:rsidR="00ED26F5" w:rsidRDefault="00ED26F5" w:rsidP="00ED26F5">
      <w:pPr>
        <w:pStyle w:val="Prrafodelista"/>
        <w:spacing w:after="120"/>
        <w:ind w:left="0" w:firstLine="709"/>
        <w:contextualSpacing w:val="0"/>
        <w:jc w:val="both"/>
        <w:rPr>
          <w:rFonts w:ascii="Verdana" w:hAnsi="Verdana"/>
        </w:rPr>
      </w:pPr>
      <w:r>
        <w:rPr>
          <w:rFonts w:ascii="Verdana" w:hAnsi="Verdana"/>
        </w:rPr>
        <w:t>Como medio para la acreditación de la condición en comento, la disposición en cita establece una certificación expedida por el representante legal y el revisor fiscal en la que 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Adicionalmente, la norma dispone la mencionada certificación de presentarse acompañada de copia de los respectivos documentos de identidad, copia de los contratos de trabajo o certificación laboral con funciones, así como el certificado de aportes a seguridad social del último año en el que se demuestren los pagos realizados por el empleador, sin embargo, la sola presentación de la certificación con las copias de los documentos de identidad, de los contratos laborales y los certificados de aportes a la seguridad social no confiere no confiere automáticamente el acceso a criterios diferenciales.</w:t>
      </w:r>
    </w:p>
    <w:p w14:paraId="77D2E05F" w14:textId="77777777" w:rsidR="00ED26F5" w:rsidRDefault="00ED26F5" w:rsidP="00ED26F5">
      <w:pPr>
        <w:pStyle w:val="Prrafodelista"/>
        <w:spacing w:after="120"/>
        <w:ind w:left="0" w:firstLine="709"/>
        <w:contextualSpacing w:val="0"/>
        <w:jc w:val="both"/>
        <w:rPr>
          <w:rFonts w:ascii="Verdana" w:hAnsi="Verdana"/>
        </w:rPr>
      </w:pPr>
      <w:r>
        <w:rPr>
          <w:rFonts w:ascii="Verdana" w:hAnsi="Verdana"/>
        </w:rPr>
        <w:t>Conforme a lo anterior, para acceder a estos criterios diferenciales, la entidad debe comprobar que el número de mujeres vinculadas equivale a un porcentaje igual o superior al cincuenta por ciento (50%) de los empleos del nivel directivo, lo que se verificar con la información incluida en la certificación. Asimismo, deberá establecerse si en efecto tal porcentaje de empleos en cabeza de mujeres se ha mantenido durante al menos un año, contando a hasta la fecha de cierre, para lo que son útiles la certificación laboral, el contrato de trabajo y los certificados de aportes a seguridad social. También deberá establecerse si los empleos que ocupan las personas relacionadas en la certificación efectivamente son del nivel directivo, para lo que deberá analizarse si las funciones descritas en el contrato o certificación aportada se subsumen en la noción establecida en el segundo inciso del numeral 2 del artículo 2.2.1.2.4.2.14 del Decreto 1082 de 2015.</w:t>
      </w:r>
    </w:p>
    <w:p w14:paraId="6FF68509" w14:textId="77777777" w:rsidR="00ED26F5" w:rsidRDefault="00ED26F5" w:rsidP="00ED26F5">
      <w:pPr>
        <w:pStyle w:val="Prrafodelista"/>
        <w:spacing w:after="120"/>
        <w:ind w:left="0" w:firstLine="709"/>
        <w:contextualSpacing w:val="0"/>
        <w:jc w:val="both"/>
        <w:rPr>
          <w:rFonts w:ascii="Verdana" w:hAnsi="Verdana"/>
        </w:rPr>
      </w:pPr>
      <w:r>
        <w:rPr>
          <w:rFonts w:ascii="Verdana" w:hAnsi="Verdana"/>
        </w:rPr>
        <w:t xml:space="preserve">Conforme a lo anterior, en el evento en que un proponente presenta la referida certificación con los respectivos soportes, pero se encuentre que los mismos no acreditan las condiciones descritas en el numeral 2 del artículo </w:t>
      </w:r>
      <w:r>
        <w:rPr>
          <w:rFonts w:ascii="Verdana" w:hAnsi="Verdana"/>
        </w:rPr>
        <w:lastRenderedPageBreak/>
        <w:t>2.2.1.2.4.2.14. del Decreto 1082 de 2015,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menor el año anterior a la fecha del cierre del proceso de selección, no sería viable aplicar la mencionada definición. La misma consecuencia aplica al supuesto en el que se determine que las funciones de las trabajadoras presuntamente vinculadas a empleos del nivel directivo no corresponden con las atribuida a ese tipo de cargos de conformidad con lo señalado en la norma.</w:t>
      </w:r>
    </w:p>
    <w:p w14:paraId="5F5A9318" w14:textId="77777777" w:rsidR="00ED26F5" w:rsidRDefault="00ED26F5" w:rsidP="00ED26F5">
      <w:pPr>
        <w:pStyle w:val="Prrafodelista"/>
        <w:spacing w:after="120"/>
        <w:ind w:left="0" w:firstLine="709"/>
        <w:contextualSpacing w:val="0"/>
        <w:jc w:val="both"/>
        <w:rPr>
          <w:rFonts w:ascii="Verdana" w:hAnsi="Verdana"/>
        </w:rPr>
      </w:pPr>
      <w:r>
        <w:rPr>
          <w:rFonts w:ascii="Verdana" w:hAnsi="Verdana"/>
        </w:rPr>
        <w:t>Debe destacarse que, la noción de empleo del nivel directivo establecida en el inciso segundo del numeral 2 del artículo 2.2.1.2.4.2.14 se refiere a aquellos empleos “[…] cuyas funciones están relacionadas con la dirección de áreas misionales de la empresa y la toma de decisiones a nivel estratégico”. En ese orden, resulta claro que la norma no establece el monto de la remuneración como un criterio para determinar si un empleo es o no del nivel directivo, por cuanto solo se refiere a la de manera cualitativa a un tipo de funciones asociadas a estos empleos.</w:t>
      </w:r>
    </w:p>
    <w:p w14:paraId="30C9DE0E" w14:textId="77777777" w:rsidR="00ED26F5" w:rsidRDefault="00ED26F5" w:rsidP="00ED26F5">
      <w:pPr>
        <w:pStyle w:val="Prrafodelista"/>
        <w:spacing w:after="120" w:line="276" w:lineRule="auto"/>
        <w:ind w:left="0" w:firstLine="709"/>
        <w:contextualSpacing w:val="0"/>
        <w:jc w:val="both"/>
        <w:rPr>
          <w:rFonts w:ascii="Verdana" w:hAnsi="Verdana"/>
        </w:rPr>
      </w:pPr>
      <w:r>
        <w:rPr>
          <w:rFonts w:ascii="Verdana" w:hAnsi="Verdana"/>
        </w:rPr>
        <w:t>Esto implica que el hecho de que los empleos tengan una remuneración que pueda considerarse baja, per se, no es una razón suficiente para no aplicar la definición del numeral 2 del artículo 2.2.1.2.4.2.14, siempre que se encuentren acreditadas las demás condiciones a las que se refiere la norma. No obstante, si además de la baja remuneración si se advierte que las funciones asignadas a las trabajadoras certificadas no tienen que ver con la dirección de áreas misionales, ni con la toma de decisiones no serán susceptibles de ser tenidas en cuenta para la aplicación de la definición bajo estudio.</w:t>
      </w:r>
    </w:p>
    <w:p w14:paraId="4B588CDC" w14:textId="77777777" w:rsidR="00ED26F5" w:rsidRDefault="00ED26F5" w:rsidP="00ED26F5">
      <w:pPr>
        <w:spacing w:after="120" w:line="276" w:lineRule="auto"/>
        <w:ind w:firstLine="708"/>
        <w:jc w:val="both"/>
        <w:rPr>
          <w:rFonts w:ascii="Verdana" w:hAnsi="Verdana"/>
        </w:rPr>
      </w:pPr>
      <w:r w:rsidRPr="001D0D1B">
        <w:rPr>
          <w:rFonts w:ascii="Verdana" w:hAnsi="Verdana"/>
        </w:rPr>
        <w:t>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año anterior a la fecha de cierre del periodo para recibir ofertas en el correspondiente proceso.  Al respecto, resultan relevantes las fechas entre 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1F20C298" w14:textId="77777777" w:rsidR="00ED26F5" w:rsidRDefault="00ED26F5" w:rsidP="00ED26F5">
      <w:pPr>
        <w:spacing w:after="120" w:line="276" w:lineRule="auto"/>
        <w:ind w:firstLine="708"/>
        <w:jc w:val="both"/>
        <w:rPr>
          <w:rFonts w:ascii="Verdana" w:hAnsi="Verdana"/>
        </w:rPr>
      </w:pPr>
      <w:r>
        <w:rPr>
          <w:rFonts w:ascii="Verdana" w:hAnsi="Verdana"/>
        </w:rPr>
        <w:lastRenderedPageBreak/>
        <w:t xml:space="preserve"> Lo anterior teniendo en cuenta que, de conformidad con los artículos 17, 18, 22, 161, 204 de la Ley 100 de 1993, el pago de las cotizaciones obligatorias al sistema de seguridad social es una obligación de los empleadores que debe cumplirse a lo largo de toda la relación laboral. En ese sentido, la información que se reporta en </w:t>
      </w:r>
      <w:r w:rsidRPr="00D912A9">
        <w:rPr>
          <w:rFonts w:ascii="Verdana" w:hAnsi="Verdana"/>
        </w:rPr>
        <w:t xml:space="preserve">el certificado de aportes a seguridad social </w:t>
      </w:r>
      <w:r>
        <w:rPr>
          <w:rFonts w:ascii="Verdana" w:hAnsi="Verdana"/>
        </w:rPr>
        <w:t xml:space="preserve">al que se refiere el cuarto inciso del numeral 2 del artículo </w:t>
      </w:r>
      <w:r w:rsidRPr="00210AEB">
        <w:rPr>
          <w:rFonts w:ascii="Verdana" w:hAnsi="Verdana"/>
        </w:rPr>
        <w:t>2.2.1.2.4.2.14</w:t>
      </w:r>
      <w:r>
        <w:rPr>
          <w:rFonts w:ascii="Verdana" w:hAnsi="Verdana"/>
        </w:rPr>
        <w:t xml:space="preserve">, resulta útil a efectos de que la entidad verifique la veracidad de la información incluida en la certificación expedida </w:t>
      </w:r>
      <w:r w:rsidRPr="00D91FB1">
        <w:rPr>
          <w:rFonts w:ascii="Verdana" w:hAnsi="Verdana"/>
        </w:rPr>
        <w:t>por el representante legal y el revisor fiscal</w:t>
      </w:r>
      <w:r>
        <w:rPr>
          <w:rFonts w:ascii="Verdana" w:hAnsi="Verdana"/>
        </w:rPr>
        <w:t xml:space="preserve"> de conformidad con el tercer inciso del numeral 2 del referido artículo reglamentario. </w:t>
      </w:r>
    </w:p>
    <w:p w14:paraId="46D5FF8F" w14:textId="77777777" w:rsidR="00ED26F5" w:rsidRDefault="00ED26F5" w:rsidP="00ED26F5">
      <w:pPr>
        <w:spacing w:after="120" w:line="276" w:lineRule="auto"/>
        <w:ind w:firstLine="708"/>
        <w:jc w:val="both"/>
        <w:rPr>
          <w:rFonts w:ascii="Verdana" w:hAnsi="Verdana"/>
        </w:rPr>
      </w:pPr>
      <w:r>
        <w:rPr>
          <w:rFonts w:ascii="Verdana" w:hAnsi="Verdana"/>
        </w:rPr>
        <w:t xml:space="preserve">En aras de responder la consulta es necesario aseñalar que, si bien el pago de las cotizaciones al sistema de seguridad social integral es una obligación periódica que el empleador debe satisfacer, por lo general, de manera mensual, a lo largo de toda la relación laboral, su cumplimiento tardío no desvirtúa la relación laboral en sí misma, sin perjuicio de las consecuencias que se generen en materia de sanciones moratorias, acciones de cobro y afiliación al sistema de seguridad social, de conformidad con el artículos 23, 24, 209 y 210 de la Ley 100 de 1993. Esta distinción se torna relevante para efectos de la cuestión materia de consulta, ya que el numeral 2 del artículo </w:t>
      </w:r>
      <w:r w:rsidRPr="00210AEB">
        <w:rPr>
          <w:rFonts w:ascii="Verdana" w:hAnsi="Verdana"/>
        </w:rPr>
        <w:t>2.2.1.2.4.2.14</w:t>
      </w:r>
      <w:r>
        <w:rPr>
          <w:rFonts w:ascii="Verdana" w:hAnsi="Verdana"/>
        </w:rPr>
        <w:t xml:space="preserve"> establece como criterio definitorio la mayoría de mujeres vinculadas laboralmente a cargos del nivel directivo durante el año precede a la fecha de cierre, estableciendo como soporte de las certificación exigida la constancia de los pagos de los aportes realizados durante el último año, con el fin de que esta información sirva para verificar la información relevante a las relaciones laborales de las mujeres vinculadas a los cargos del nivel directivo. </w:t>
      </w:r>
    </w:p>
    <w:p w14:paraId="1AB9EF96" w14:textId="77777777" w:rsidR="00ED26F5" w:rsidRDefault="00ED26F5" w:rsidP="00ED26F5">
      <w:pPr>
        <w:spacing w:after="120" w:line="276" w:lineRule="auto"/>
        <w:ind w:firstLine="708"/>
        <w:jc w:val="both"/>
        <w:rPr>
          <w:rFonts w:ascii="Verdana" w:hAnsi="Verdana"/>
        </w:rPr>
      </w:pPr>
      <w:r>
        <w:rPr>
          <w:rFonts w:ascii="Verdana" w:hAnsi="Verdana"/>
        </w:rPr>
        <w:t xml:space="preserve">En ese orden, el cumplimiento tardío de la obligación del empleador de realizar los aportes correspondientes al sistema de seguridad social respecto de sus trabajadores, en principio, no resulta suficiente para negar el acceso a los criterios diferenciales establecidos en el artículo 32 de la Ley 2069 de 2020, reglamentados por los artículos </w:t>
      </w:r>
      <w:r w:rsidRPr="00210AEB">
        <w:rPr>
          <w:rFonts w:ascii="Verdana" w:hAnsi="Verdana"/>
        </w:rPr>
        <w:t>2.2.1.2.4.2.14</w:t>
      </w:r>
      <w:r>
        <w:rPr>
          <w:rFonts w:ascii="Verdana" w:hAnsi="Verdana"/>
        </w:rPr>
        <w:t xml:space="preserve"> y </w:t>
      </w:r>
      <w:r w:rsidRPr="00210AEB">
        <w:rPr>
          <w:rFonts w:ascii="Verdana" w:hAnsi="Verdana"/>
        </w:rPr>
        <w:t>2.2.1.2.4.2.1</w:t>
      </w:r>
      <w:r>
        <w:rPr>
          <w:rFonts w:ascii="Verdana" w:hAnsi="Verdana"/>
        </w:rPr>
        <w:t xml:space="preserve">5 del Decreto 1082 de 2015, en la medida en que ninguna de estas normas autoriza a negar el acceso a los referidos criterios habilitantes diferenciales y puntajes adicionales creados en beneficio de los emprendimientos y empresas de mujeres. Sin embargo, asunto distinto es que no solo se constante el pago tardío de los aportes al sistema de seguridad social sino que, a partir de la contrastación de las certificaciones y los soportes correspondientes, la entidad estatal llegue a la certeza de que las relaciones laborales de mujeres en cargos del nivel directivo,  no se extendieron durante al menos el último año previo a la fecha de cierre, o que las mujeres vinculadas no ejercieron empleos que obedecieran a la noción </w:t>
      </w:r>
      <w:r>
        <w:rPr>
          <w:rFonts w:ascii="Verdana" w:hAnsi="Verdana"/>
        </w:rPr>
        <w:lastRenderedPageBreak/>
        <w:t xml:space="preserve">de cargos del nivel directivos, cuestiones que si darían cuenta del incumplimiento del criterio establecido en el numeral 2 del artículo </w:t>
      </w:r>
      <w:r w:rsidRPr="00210AEB">
        <w:rPr>
          <w:rFonts w:ascii="Verdana" w:hAnsi="Verdana"/>
        </w:rPr>
        <w:t>2.2.1.2.4.2.14</w:t>
      </w:r>
      <w:r>
        <w:rPr>
          <w:rFonts w:ascii="Verdana" w:hAnsi="Verdana"/>
        </w:rPr>
        <w:t xml:space="preserve">, y en consecuencia, harían inviable aplicar los requisitos habilitantes diferenciales y puntaje adicional establecido por el artículo </w:t>
      </w:r>
      <w:r w:rsidRPr="00210AEB">
        <w:rPr>
          <w:rFonts w:ascii="Verdana" w:hAnsi="Verdana"/>
        </w:rPr>
        <w:t>2.2.1.2.4.2.1</w:t>
      </w:r>
      <w:r>
        <w:rPr>
          <w:rFonts w:ascii="Verdana" w:hAnsi="Verdana"/>
        </w:rPr>
        <w:t xml:space="preserve">5 del Decreto 1082 de 2015.     </w:t>
      </w:r>
    </w:p>
    <w:p w14:paraId="6A2910C7" w14:textId="77777777" w:rsidR="00ED26F5" w:rsidRDefault="00ED26F5" w:rsidP="00ED26F5">
      <w:pPr>
        <w:pStyle w:val="Prrafodelista"/>
        <w:spacing w:after="120"/>
        <w:ind w:left="0" w:firstLine="708"/>
        <w:jc w:val="both"/>
        <w:rPr>
          <w:rFonts w:ascii="Verdana" w:hAnsi="Verdana"/>
        </w:rPr>
      </w:pPr>
      <w:r>
        <w:rPr>
          <w:rFonts w:ascii="Verdana" w:hAnsi="Verdana"/>
        </w:rPr>
        <w:t>Con todo esto, debe advertirse que corresponde a las entidades estatales contratantes determinar en cada caso concreto si en efecto se cumplen las condiciones antes explicadas, verificando además que dicha acreditación se haga con sujeción al marco aplicable. Para estos efectos deberá realizarse el análisis de cada uno de los empleos certificados para poder si cada uno de ellos puede ser considerado del nivel directivo de las funciones que tenga asignadas., así como la temporalidad de tales vinculaciones.</w:t>
      </w:r>
    </w:p>
    <w:p w14:paraId="4475807A" w14:textId="77777777" w:rsidR="00ED26F5" w:rsidRPr="004D0265" w:rsidRDefault="00ED26F5" w:rsidP="00ED26F5">
      <w:pPr>
        <w:pStyle w:val="Prrafodelista"/>
        <w:rPr>
          <w:rFonts w:ascii="Verdana" w:hAnsi="Verdana"/>
        </w:rPr>
      </w:pPr>
    </w:p>
    <w:p w14:paraId="6ACEAE85" w14:textId="77777777" w:rsidR="00ED26F5" w:rsidRPr="00045B35" w:rsidRDefault="00ED26F5" w:rsidP="00ED26F5">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4. </w:t>
      </w:r>
      <w:r w:rsidRPr="00045B35">
        <w:rPr>
          <w:rFonts w:ascii="Verdana" w:eastAsia="Century Gothic" w:hAnsi="Verdana" w:cs="Century Gothic"/>
          <w:b/>
          <w:bCs/>
          <w:lang w:val="es-ES"/>
        </w:rPr>
        <w:t>Referencias normativas:</w:t>
      </w:r>
    </w:p>
    <w:p w14:paraId="160A1B3B" w14:textId="77777777" w:rsidR="00ED26F5" w:rsidRPr="00045B35" w:rsidRDefault="00ED26F5" w:rsidP="00ED26F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26F5" w:rsidRPr="00045B35" w14:paraId="440FDF1B" w14:textId="77777777" w:rsidTr="00AD5851">
        <w:trPr>
          <w:trHeight w:val="1058"/>
        </w:trPr>
        <w:tc>
          <w:tcPr>
            <w:tcW w:w="8647" w:type="dxa"/>
          </w:tcPr>
          <w:p w14:paraId="1CC3641A" w14:textId="77777777" w:rsidR="00ED26F5" w:rsidRDefault="00ED26F5" w:rsidP="00ED26F5">
            <w:pPr>
              <w:pStyle w:val="Prrafodelista"/>
              <w:widowControl w:val="0"/>
              <w:numPr>
                <w:ilvl w:val="0"/>
                <w:numId w:val="21"/>
              </w:numPr>
              <w:autoSpaceDE w:val="0"/>
              <w:autoSpaceDN w:val="0"/>
              <w:spacing w:after="120" w:line="276" w:lineRule="auto"/>
              <w:ind w:left="714" w:hanging="357"/>
              <w:jc w:val="both"/>
              <w:rPr>
                <w:rFonts w:ascii="Verdana" w:hAnsi="Verdana" w:cs="Arial"/>
              </w:rPr>
            </w:pPr>
            <w:r w:rsidRPr="004D0265">
              <w:rPr>
                <w:rFonts w:ascii="Verdana" w:hAnsi="Verdana" w:cs="Arial"/>
              </w:rPr>
              <w:t xml:space="preserve">Ley </w:t>
            </w:r>
            <w:r>
              <w:rPr>
                <w:rFonts w:ascii="Verdana" w:hAnsi="Verdana" w:cs="Arial"/>
              </w:rPr>
              <w:t>2069 de 2020: artículo 32.</w:t>
            </w:r>
          </w:p>
          <w:p w14:paraId="4CB002EA" w14:textId="77777777" w:rsidR="00AD5851" w:rsidRPr="00AD5851" w:rsidRDefault="00ED26F5" w:rsidP="00AD5851">
            <w:pPr>
              <w:pStyle w:val="Prrafodelista"/>
              <w:widowControl w:val="0"/>
              <w:numPr>
                <w:ilvl w:val="0"/>
                <w:numId w:val="21"/>
              </w:numPr>
              <w:autoSpaceDE w:val="0"/>
              <w:autoSpaceDN w:val="0"/>
              <w:spacing w:after="120" w:line="276" w:lineRule="auto"/>
              <w:ind w:left="714" w:hanging="357"/>
              <w:jc w:val="both"/>
              <w:rPr>
                <w:rFonts w:ascii="Verdana" w:hAnsi="Verdana" w:cs="Arial"/>
              </w:rPr>
            </w:pPr>
            <w:r>
              <w:rPr>
                <w:rFonts w:ascii="Verdana" w:hAnsi="Verdana" w:cs="Arial"/>
              </w:rPr>
              <w:t xml:space="preserve">Decreto 1082 de 2015: artículo 2.2.1.2.4.2.14 y </w:t>
            </w:r>
            <w:r w:rsidRPr="00210AEB">
              <w:rPr>
                <w:rFonts w:ascii="Verdana" w:hAnsi="Verdana"/>
              </w:rPr>
              <w:t>2.2.1.2.4.2.1</w:t>
            </w:r>
            <w:r>
              <w:rPr>
                <w:rFonts w:ascii="Verdana" w:hAnsi="Verdana"/>
              </w:rPr>
              <w:t>5</w:t>
            </w:r>
          </w:p>
          <w:p w14:paraId="4BD1A0BA" w14:textId="50EFBB2E" w:rsidR="00ED26F5" w:rsidRPr="00AD5851" w:rsidRDefault="00ED26F5" w:rsidP="00AD5851">
            <w:pPr>
              <w:pStyle w:val="Prrafodelista"/>
              <w:widowControl w:val="0"/>
              <w:numPr>
                <w:ilvl w:val="0"/>
                <w:numId w:val="21"/>
              </w:numPr>
              <w:autoSpaceDE w:val="0"/>
              <w:autoSpaceDN w:val="0"/>
              <w:spacing w:after="120" w:line="276" w:lineRule="auto"/>
              <w:ind w:left="714" w:hanging="357"/>
              <w:jc w:val="both"/>
              <w:rPr>
                <w:rFonts w:ascii="Verdana" w:hAnsi="Verdana" w:cs="Arial"/>
              </w:rPr>
            </w:pPr>
            <w:r w:rsidRPr="00AD5851">
              <w:rPr>
                <w:rFonts w:ascii="Verdana" w:hAnsi="Verdana" w:cs="Arial"/>
              </w:rPr>
              <w:t>Decreto 1860 de 2021, artículo 3</w:t>
            </w:r>
          </w:p>
        </w:tc>
      </w:tr>
    </w:tbl>
    <w:p w14:paraId="2FEED8FD" w14:textId="77777777" w:rsidR="00ED26F5" w:rsidRPr="00045B35" w:rsidRDefault="00ED26F5" w:rsidP="00ED26F5">
      <w:pPr>
        <w:widowControl w:val="0"/>
        <w:autoSpaceDE w:val="0"/>
        <w:autoSpaceDN w:val="0"/>
        <w:spacing w:after="0" w:line="276" w:lineRule="auto"/>
        <w:jc w:val="both"/>
        <w:rPr>
          <w:rFonts w:ascii="Verdana" w:hAnsi="Verdana" w:cs="Arial"/>
        </w:rPr>
      </w:pPr>
    </w:p>
    <w:p w14:paraId="79073501" w14:textId="77777777" w:rsidR="00ED26F5" w:rsidRDefault="00ED26F5" w:rsidP="00ED26F5">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5. </w:t>
      </w:r>
      <w:r w:rsidRPr="00045B35">
        <w:rPr>
          <w:rFonts w:ascii="Verdana" w:eastAsia="Century Gothic" w:hAnsi="Verdana" w:cs="Century Gothic"/>
          <w:b/>
          <w:bCs/>
          <w:lang w:val="es-ES"/>
        </w:rPr>
        <w:t>Doctrina de la Agencia Nacional de Contratación Pública:</w:t>
      </w:r>
    </w:p>
    <w:p w14:paraId="24895210" w14:textId="77777777" w:rsidR="00ED26F5" w:rsidRDefault="00ED26F5" w:rsidP="00ED26F5">
      <w:pPr>
        <w:tabs>
          <w:tab w:val="left" w:pos="142"/>
          <w:tab w:val="left" w:pos="284"/>
        </w:tabs>
        <w:spacing w:after="0" w:line="276" w:lineRule="auto"/>
        <w:jc w:val="both"/>
        <w:rPr>
          <w:rFonts w:ascii="Verdana" w:eastAsia="Century Gothic" w:hAnsi="Verdana" w:cs="Century Gothic"/>
          <w:b/>
          <w:bCs/>
          <w:lang w:val="es-ES"/>
        </w:rPr>
      </w:pPr>
    </w:p>
    <w:p w14:paraId="431DFC77" w14:textId="77777777" w:rsidR="00ED26F5" w:rsidRDefault="00ED26F5" w:rsidP="00ED26F5">
      <w:pPr>
        <w:spacing w:after="120"/>
        <w:ind w:left="-6"/>
        <w:jc w:val="both"/>
        <w:rPr>
          <w:rFonts w:ascii="Verdana" w:hAnsi="Verdana"/>
        </w:rPr>
      </w:pPr>
      <w:r w:rsidRPr="00274E89">
        <w:rPr>
          <w:rFonts w:ascii="Verdana" w:hAnsi="Verdana"/>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w:t>
      </w:r>
      <w:r>
        <w:rPr>
          <w:rFonts w:ascii="Verdana" w:hAnsi="Verdana"/>
        </w:rPr>
        <w:t xml:space="preserve"> C-804 del 25 de noviembre de 2022, y C-891 del 23 de diciembre de 2022, C-675 del 13 de octubre de 2022,</w:t>
      </w:r>
      <w:r w:rsidRPr="00274E89">
        <w:rPr>
          <w:rFonts w:ascii="Verdana" w:hAnsi="Verdana"/>
        </w:rPr>
        <w:t xml:space="preserve"> C-152 del 28 de septiembre de 2023 ,  C -156 del 23 de agosto de 2024 , C- 391 del 2 de septiembre de 2024, C-401 del 9 de noviembre de 2024.</w:t>
      </w:r>
      <w:r>
        <w:rPr>
          <w:rFonts w:ascii="Verdana" w:hAnsi="Verdana"/>
        </w:rPr>
        <w:t xml:space="preserve"> Estos y otros conceptos se encuentran disponibles para consulta en el Sistema de Relatoría de la Agencia, en el cual podrá encontrar jurisprudencia del Consejo de Estado, laudos arbitrales y la normativa de la contratación </w:t>
      </w:r>
      <w:r>
        <w:rPr>
          <w:rFonts w:ascii="Verdana" w:hAnsi="Verdana"/>
        </w:rPr>
        <w:lastRenderedPageBreak/>
        <w:t xml:space="preserve">concordada con la doctrina de la Subdirección de Gestión Contractual a través del siguiente enlace: </w:t>
      </w:r>
      <w:hyperlink r:id="rId14" w:history="1">
        <w:r w:rsidRPr="00C16633">
          <w:rPr>
            <w:rStyle w:val="Hipervnculo"/>
            <w:rFonts w:ascii="Verdana" w:hAnsi="Verdana"/>
          </w:rPr>
          <w:t>https://relatoria.colombiacompra.gov.co/</w:t>
        </w:r>
      </w:hyperlink>
      <w:r>
        <w:rPr>
          <w:rFonts w:ascii="Verdana" w:hAnsi="Verdana"/>
        </w:rPr>
        <w:t xml:space="preserve"> </w:t>
      </w:r>
    </w:p>
    <w:p w14:paraId="706B3419" w14:textId="77777777" w:rsidR="00ED26F5" w:rsidRPr="008B29EE" w:rsidRDefault="00ED26F5" w:rsidP="00ED26F5">
      <w:pPr>
        <w:shd w:val="clear" w:color="auto" w:fill="FFFFFF"/>
        <w:spacing w:after="120" w:line="276" w:lineRule="auto"/>
        <w:jc w:val="both"/>
        <w:textAlignment w:val="baseline"/>
        <w:rPr>
          <w:rFonts w:ascii="Verdana" w:eastAsia="Times New Roman" w:hAnsi="Verdana" w:cs="Times New Roman"/>
          <w:color w:val="242424"/>
          <w:lang w:eastAsia="es-CO"/>
        </w:rPr>
      </w:pPr>
      <w:r w:rsidRPr="00A277EA">
        <w:rPr>
          <w:rFonts w:ascii="Verdana" w:eastAsia="Times New Roman" w:hAnsi="Verdana" w:cs="Times New Roman"/>
          <w:color w:val="000000"/>
          <w:bdr w:val="none" w:sz="0" w:space="0" w:color="auto" w:frame="1"/>
          <w:lang w:eastAsia="es-CO"/>
        </w:rPr>
        <w:t>También le contamos que ya se encuentra disponible la </w:t>
      </w:r>
      <w:r w:rsidRPr="00A277EA">
        <w:rPr>
          <w:rFonts w:ascii="Verdana" w:eastAsia="Times New Roman" w:hAnsi="Verdana" w:cs="Times New Roman"/>
          <w:b/>
          <w:bCs/>
          <w:color w:val="000000"/>
          <w:bdr w:val="none" w:sz="0" w:space="0" w:color="auto" w:frame="1"/>
          <w:lang w:eastAsia="es-CO"/>
        </w:rPr>
        <w:t>Guía de lineamientos de transparencia y selección objetiva para el departamento de La Guajira – Objetivo sexto constitucional de la Sentencia T-302 del 2017. </w:t>
      </w:r>
      <w:r w:rsidRPr="00A277EA">
        <w:rPr>
          <w:rFonts w:ascii="Verdana" w:eastAsia="Times New Roman" w:hAnsi="Verdana" w:cs="Times New Roman"/>
          <w:color w:val="000000"/>
          <w:bdr w:val="none" w:sz="0" w:space="0" w:color="auto" w:frame="1"/>
          <w:lang w:eastAsia="es-CO"/>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A277EA">
          <w:rPr>
            <w:rFonts w:ascii="Verdana" w:eastAsia="Times New Roman" w:hAnsi="Verdana" w:cs="Times New Roman"/>
            <w:color w:val="467886"/>
            <w:u w:val="single"/>
            <w:bdr w:val="none" w:sz="0" w:space="0" w:color="auto" w:frame="1"/>
            <w:lang w:eastAsia="es-CO"/>
          </w:rPr>
          <w:t>Guía de lineamientos de transparencia y selección objetiva para el departamento de La Guajira – Objetivo sexto constitucional de la Sentencia T-302 del 2017</w:t>
        </w:r>
      </w:hyperlink>
      <w:r w:rsidRPr="00A277EA">
        <w:rPr>
          <w:rFonts w:ascii="Verdana" w:eastAsia="Times New Roman" w:hAnsi="Verdana" w:cs="Times New Roman"/>
          <w:color w:val="467886"/>
          <w:u w:val="single"/>
          <w:bdr w:val="none" w:sz="0" w:space="0" w:color="auto" w:frame="1"/>
          <w:lang w:eastAsia="es-CO"/>
        </w:rPr>
        <w:t>"</w:t>
      </w:r>
    </w:p>
    <w:p w14:paraId="5BBA9F3D" w14:textId="77777777" w:rsidR="00ED26F5" w:rsidRPr="00801B1E" w:rsidRDefault="00ED26F5" w:rsidP="00ED26F5">
      <w:pPr>
        <w:spacing w:after="0" w:line="276" w:lineRule="auto"/>
        <w:jc w:val="both"/>
        <w:rPr>
          <w:rFonts w:ascii="Verdana" w:hAnsi="Verdana"/>
        </w:rPr>
      </w:pPr>
      <w:r w:rsidRPr="00801B1E">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17BC041" w14:textId="77777777" w:rsidR="00ED26F5" w:rsidRPr="00801B1E" w:rsidRDefault="00ED26F5" w:rsidP="00ED26F5">
      <w:pPr>
        <w:spacing w:after="0" w:line="276" w:lineRule="auto"/>
        <w:jc w:val="both"/>
        <w:rPr>
          <w:rFonts w:ascii="Verdana" w:hAnsi="Verdana"/>
        </w:rPr>
      </w:pPr>
    </w:p>
    <w:p w14:paraId="238B2FF8" w14:textId="77777777" w:rsidR="00ED26F5" w:rsidRPr="00801B1E" w:rsidRDefault="00ED26F5" w:rsidP="00ED26F5">
      <w:pPr>
        <w:numPr>
          <w:ilvl w:val="0"/>
          <w:numId w:val="15"/>
        </w:numPr>
        <w:spacing w:after="0" w:line="276" w:lineRule="auto"/>
        <w:jc w:val="both"/>
        <w:rPr>
          <w:rFonts w:ascii="Verdana" w:hAnsi="Verdana"/>
          <w:lang w:val="es-ES"/>
        </w:rPr>
      </w:pPr>
      <w:r w:rsidRPr="00801B1E">
        <w:rPr>
          <w:rFonts w:ascii="Verdana" w:hAnsi="Verdana"/>
          <w:lang w:val="es-ES"/>
        </w:rPr>
        <w:t>Línea nacional gratuita o servicio a la ciudadanía: 01800 0520808</w:t>
      </w:r>
    </w:p>
    <w:p w14:paraId="2DBBF2F8" w14:textId="77777777" w:rsidR="00ED26F5" w:rsidRPr="00801B1E" w:rsidRDefault="00ED26F5" w:rsidP="00ED26F5">
      <w:pPr>
        <w:numPr>
          <w:ilvl w:val="0"/>
          <w:numId w:val="15"/>
        </w:numPr>
        <w:spacing w:after="0" w:line="276" w:lineRule="auto"/>
        <w:jc w:val="both"/>
        <w:rPr>
          <w:rFonts w:ascii="Verdana" w:hAnsi="Verdana"/>
          <w:lang w:val="es-ES"/>
        </w:rPr>
      </w:pPr>
      <w:r w:rsidRPr="00801B1E">
        <w:rPr>
          <w:rFonts w:ascii="Verdana" w:hAnsi="Verdana"/>
          <w:lang w:val="es-ES"/>
        </w:rPr>
        <w:t>Línea en Bogotá (Mesa de servicio): +57 601 7456788</w:t>
      </w:r>
    </w:p>
    <w:p w14:paraId="1E64DE93" w14:textId="77777777" w:rsidR="00ED26F5" w:rsidRPr="00801B1E" w:rsidRDefault="00ED26F5" w:rsidP="00ED26F5">
      <w:pPr>
        <w:numPr>
          <w:ilvl w:val="0"/>
          <w:numId w:val="15"/>
        </w:numPr>
        <w:spacing w:after="0" w:line="276" w:lineRule="auto"/>
        <w:jc w:val="both"/>
        <w:rPr>
          <w:rFonts w:ascii="Verdana" w:hAnsi="Verdana"/>
          <w:lang w:val="es-ES"/>
        </w:rPr>
      </w:pPr>
      <w:r w:rsidRPr="00801B1E">
        <w:rPr>
          <w:rFonts w:ascii="Verdana" w:hAnsi="Verdana"/>
          <w:lang w:val="es-ES"/>
        </w:rPr>
        <w:t>Línea de servicio y atención al ciudadano: +57 601 7956600</w:t>
      </w:r>
    </w:p>
    <w:p w14:paraId="1EBB7603" w14:textId="77777777" w:rsidR="00ED26F5" w:rsidRPr="00801B1E" w:rsidRDefault="00ED26F5" w:rsidP="00ED26F5">
      <w:pPr>
        <w:numPr>
          <w:ilvl w:val="0"/>
          <w:numId w:val="15"/>
        </w:numPr>
        <w:spacing w:after="0" w:line="276" w:lineRule="auto"/>
        <w:jc w:val="both"/>
        <w:rPr>
          <w:rFonts w:ascii="Verdana" w:hAnsi="Verdana"/>
          <w:lang w:val="es-ES"/>
        </w:rPr>
      </w:pPr>
      <w:r w:rsidRPr="00801B1E">
        <w:rPr>
          <w:rFonts w:ascii="Verdana" w:hAnsi="Verdana"/>
          <w:lang w:val="es-ES"/>
        </w:rPr>
        <w:t xml:space="preserve">Página web: </w:t>
      </w:r>
      <w:hyperlink r:id="rId16" w:history="1">
        <w:r w:rsidRPr="00801B1E">
          <w:rPr>
            <w:rFonts w:ascii="Verdana" w:hAnsi="Verdana"/>
            <w:color w:val="0000FF"/>
            <w:u w:val="single"/>
            <w:lang w:val="es-ES"/>
          </w:rPr>
          <w:t>www.colombiacompra.gov.co</w:t>
        </w:r>
      </w:hyperlink>
    </w:p>
    <w:p w14:paraId="18AB04F1" w14:textId="77777777" w:rsidR="00ED26F5" w:rsidRPr="00801B1E" w:rsidRDefault="00ED26F5" w:rsidP="00ED26F5">
      <w:pPr>
        <w:spacing w:after="0" w:line="276" w:lineRule="auto"/>
        <w:ind w:left="785"/>
        <w:jc w:val="both"/>
        <w:rPr>
          <w:rFonts w:ascii="Verdana" w:hAnsi="Verdana"/>
          <w:lang w:val="es-ES"/>
        </w:rPr>
      </w:pPr>
    </w:p>
    <w:p w14:paraId="73E95FB3" w14:textId="77777777" w:rsidR="00ED26F5" w:rsidRPr="00801B1E" w:rsidRDefault="00ED26F5" w:rsidP="00ED26F5">
      <w:pPr>
        <w:spacing w:after="0" w:line="276" w:lineRule="auto"/>
        <w:jc w:val="both"/>
        <w:rPr>
          <w:rFonts w:ascii="Verdana" w:hAnsi="Verdana"/>
        </w:rPr>
      </w:pPr>
      <w:r w:rsidRPr="00801B1E">
        <w:rPr>
          <w:rFonts w:ascii="Verdana" w:hAnsi="Verdana"/>
        </w:rPr>
        <w:t xml:space="preserve">Por último, lo invitamos a seguirnos en las redes sociales en las cuales se difunde información institucional: </w:t>
      </w:r>
    </w:p>
    <w:p w14:paraId="5B09412C" w14:textId="77777777" w:rsidR="00ED26F5" w:rsidRPr="00801B1E" w:rsidRDefault="00ED26F5" w:rsidP="00ED26F5">
      <w:pPr>
        <w:spacing w:after="0" w:line="276" w:lineRule="auto"/>
        <w:jc w:val="both"/>
        <w:rPr>
          <w:rFonts w:ascii="Verdana" w:hAnsi="Verdana"/>
        </w:rPr>
      </w:pPr>
    </w:p>
    <w:p w14:paraId="0D162B99" w14:textId="77777777" w:rsidR="00ED26F5" w:rsidRPr="00801B1E" w:rsidRDefault="00ED26F5" w:rsidP="00ED26F5">
      <w:pPr>
        <w:spacing w:after="0" w:line="276" w:lineRule="auto"/>
        <w:jc w:val="both"/>
        <w:rPr>
          <w:rFonts w:ascii="Verdana" w:hAnsi="Verdana"/>
        </w:rPr>
      </w:pPr>
      <w:r w:rsidRPr="00801B1E">
        <w:rPr>
          <w:rFonts w:ascii="Verdana" w:hAnsi="Verdana"/>
        </w:rPr>
        <w:t xml:space="preserve">Twitter: </w:t>
      </w:r>
      <w:r w:rsidRPr="00801B1E">
        <w:rPr>
          <w:rFonts w:ascii="Verdana" w:hAnsi="Verdana"/>
          <w:color w:val="0000FF"/>
          <w:u w:val="single"/>
        </w:rPr>
        <w:t>@colombiacompra</w:t>
      </w:r>
      <w:r w:rsidRPr="00801B1E">
        <w:rPr>
          <w:rFonts w:ascii="Verdana" w:hAnsi="Verdana"/>
        </w:rPr>
        <w:t xml:space="preserve"> </w:t>
      </w:r>
    </w:p>
    <w:p w14:paraId="269354AA" w14:textId="77777777" w:rsidR="00ED26F5" w:rsidRPr="00801B1E" w:rsidRDefault="00ED26F5" w:rsidP="00ED26F5">
      <w:pPr>
        <w:spacing w:after="0" w:line="276" w:lineRule="auto"/>
        <w:jc w:val="both"/>
        <w:rPr>
          <w:rFonts w:ascii="Verdana" w:hAnsi="Verdana"/>
        </w:rPr>
      </w:pPr>
      <w:r w:rsidRPr="00801B1E">
        <w:rPr>
          <w:rFonts w:ascii="Verdana" w:hAnsi="Verdana"/>
        </w:rPr>
        <w:t xml:space="preserve">Facebook: </w:t>
      </w:r>
      <w:r w:rsidRPr="00801B1E">
        <w:rPr>
          <w:rFonts w:ascii="Verdana" w:hAnsi="Verdana"/>
          <w:color w:val="0000FF"/>
          <w:u w:val="single"/>
        </w:rPr>
        <w:t>ColombiaCompraEficiente</w:t>
      </w:r>
    </w:p>
    <w:p w14:paraId="7D23CD8E" w14:textId="77777777" w:rsidR="00ED26F5" w:rsidRPr="00801B1E" w:rsidRDefault="00ED26F5" w:rsidP="00ED26F5">
      <w:pPr>
        <w:spacing w:after="0" w:line="276" w:lineRule="auto"/>
        <w:jc w:val="both"/>
        <w:rPr>
          <w:rFonts w:ascii="Verdana" w:hAnsi="Verdana"/>
        </w:rPr>
      </w:pPr>
      <w:r w:rsidRPr="00801B1E">
        <w:rPr>
          <w:rFonts w:ascii="Verdana" w:hAnsi="Verdana"/>
        </w:rPr>
        <w:t xml:space="preserve">LinkedIn: </w:t>
      </w:r>
      <w:r w:rsidRPr="00801B1E">
        <w:rPr>
          <w:rFonts w:ascii="Verdana" w:hAnsi="Verdana"/>
          <w:color w:val="0000FF"/>
          <w:u w:val="single"/>
        </w:rPr>
        <w:t>Agencia Nacional de Contratación Pública - Colombia Compra Eficiente</w:t>
      </w:r>
      <w:r w:rsidRPr="00801B1E">
        <w:rPr>
          <w:rFonts w:ascii="Verdana" w:hAnsi="Verdana"/>
        </w:rPr>
        <w:t xml:space="preserve"> Instagram: </w:t>
      </w:r>
      <w:r w:rsidRPr="00801B1E">
        <w:rPr>
          <w:rFonts w:ascii="Verdana" w:hAnsi="Verdana"/>
          <w:color w:val="0000FF"/>
          <w:u w:val="single"/>
        </w:rPr>
        <w:t>@colombiacompraeficiente_cce</w:t>
      </w:r>
    </w:p>
    <w:p w14:paraId="6191AB95" w14:textId="77777777" w:rsidR="00ED26F5" w:rsidRPr="00801B1E" w:rsidRDefault="00ED26F5" w:rsidP="00ED26F5">
      <w:pPr>
        <w:spacing w:after="0" w:line="276" w:lineRule="auto"/>
        <w:jc w:val="both"/>
        <w:rPr>
          <w:rFonts w:ascii="Verdana" w:hAnsi="Verdana"/>
        </w:rPr>
      </w:pPr>
    </w:p>
    <w:p w14:paraId="2C705BA8" w14:textId="77777777" w:rsidR="00ED26F5" w:rsidRPr="00801B1E" w:rsidRDefault="00ED26F5" w:rsidP="00ED26F5">
      <w:pPr>
        <w:spacing w:after="0" w:line="276" w:lineRule="auto"/>
        <w:jc w:val="both"/>
        <w:rPr>
          <w:rFonts w:ascii="Verdana" w:eastAsia="Calibri" w:hAnsi="Verdana" w:cs="Times New Roman"/>
          <w:bCs/>
          <w:lang w:val="es-ES_tradnl"/>
        </w:rPr>
      </w:pPr>
      <w:r w:rsidRPr="00801B1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D78FE6A" w14:textId="77777777" w:rsidR="00ED26F5" w:rsidRPr="00801B1E" w:rsidRDefault="00ED26F5" w:rsidP="00ED26F5">
      <w:pPr>
        <w:spacing w:after="0" w:line="276" w:lineRule="auto"/>
        <w:jc w:val="both"/>
        <w:rPr>
          <w:rFonts w:ascii="Verdana" w:eastAsia="Calibri" w:hAnsi="Verdana" w:cs="Times New Roman"/>
        </w:rPr>
      </w:pPr>
    </w:p>
    <w:p w14:paraId="55C52629" w14:textId="77777777" w:rsidR="00ED26F5" w:rsidRDefault="00ED26F5" w:rsidP="00ED26F5">
      <w:pPr>
        <w:spacing w:after="0" w:line="276" w:lineRule="auto"/>
        <w:jc w:val="both"/>
        <w:rPr>
          <w:rFonts w:ascii="Verdana" w:eastAsia="Calibri" w:hAnsi="Verdana" w:cs="Times New Roman"/>
        </w:rPr>
      </w:pPr>
      <w:r w:rsidRPr="00801B1E">
        <w:rPr>
          <w:rFonts w:ascii="Verdana" w:eastAsia="Calibri" w:hAnsi="Verdana" w:cs="Times New Roman"/>
        </w:rPr>
        <w:t>Atentamente,</w:t>
      </w:r>
    </w:p>
    <w:p w14:paraId="0755E444" w14:textId="77777777" w:rsidR="00ED26F5" w:rsidRPr="00827F85" w:rsidRDefault="00ED26F5" w:rsidP="00ED26F5">
      <w:pPr>
        <w:spacing w:after="0" w:line="276" w:lineRule="auto"/>
        <w:jc w:val="both"/>
        <w:rPr>
          <w:rFonts w:ascii="Verdana" w:eastAsia="Calibri" w:hAnsi="Verdana" w:cs="Times New Roman"/>
        </w:rPr>
      </w:pPr>
    </w:p>
    <w:p w14:paraId="0522B15D" w14:textId="5243B6C8" w:rsidR="00ED26F5" w:rsidRPr="00A27102" w:rsidRDefault="00AD5851" w:rsidP="00ED26F5">
      <w:pPr>
        <w:spacing w:line="276" w:lineRule="auto"/>
        <w:jc w:val="center"/>
        <w:rPr>
          <w:rFonts w:ascii="Verdana" w:hAnsi="Verdana" w:cs="Arial"/>
          <w:color w:val="000000"/>
          <w:lang w:val="es-ES_tradnl" w:eastAsia="es-CO"/>
        </w:rPr>
      </w:pPr>
      <w:r>
        <w:rPr>
          <w:noProof/>
        </w:rPr>
        <w:lastRenderedPageBreak/>
        <w:drawing>
          <wp:inline distT="0" distB="0" distL="0" distR="0" wp14:anchorId="0AC8003C" wp14:editId="35BDAEA7">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D26F5" w:rsidRPr="00A27102" w14:paraId="5B5A9FAC" w14:textId="77777777" w:rsidTr="00FB2425">
        <w:trPr>
          <w:trHeight w:val="315"/>
        </w:trPr>
        <w:tc>
          <w:tcPr>
            <w:tcW w:w="893" w:type="dxa"/>
            <w:vAlign w:val="center"/>
            <w:hideMark/>
          </w:tcPr>
          <w:p w14:paraId="1EFAFA27" w14:textId="77777777" w:rsidR="00ED26F5" w:rsidRPr="00A27102" w:rsidRDefault="00ED26F5"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5B7AF1" w14:textId="77777777" w:rsidR="00ED26F5" w:rsidRPr="00A27102" w:rsidRDefault="00ED26F5" w:rsidP="00FB2425">
            <w:pPr>
              <w:contextualSpacing/>
              <w:rPr>
                <w:rFonts w:ascii="Verdana" w:hAnsi="Verdana"/>
                <w:sz w:val="16"/>
                <w:szCs w:val="16"/>
              </w:rPr>
            </w:pPr>
            <w:r w:rsidRPr="00A27102">
              <w:rPr>
                <w:rFonts w:ascii="Verdana" w:hAnsi="Verdana"/>
                <w:sz w:val="16"/>
                <w:szCs w:val="16"/>
              </w:rPr>
              <w:t>Tatiana Baquero Iguarán</w:t>
            </w:r>
          </w:p>
          <w:p w14:paraId="5988420C" w14:textId="77777777" w:rsidR="00ED26F5" w:rsidRPr="00A27102" w:rsidRDefault="00ED26F5" w:rsidP="00FB242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ED26F5" w:rsidRPr="00A27102" w14:paraId="653FB9D3" w14:textId="77777777" w:rsidTr="00FB2425">
        <w:trPr>
          <w:trHeight w:val="330"/>
        </w:trPr>
        <w:tc>
          <w:tcPr>
            <w:tcW w:w="893" w:type="dxa"/>
            <w:vAlign w:val="center"/>
            <w:hideMark/>
          </w:tcPr>
          <w:p w14:paraId="3EAC771B" w14:textId="77777777" w:rsidR="00ED26F5" w:rsidRPr="00A27102" w:rsidRDefault="00ED26F5"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96216AE" w14:textId="77777777" w:rsidR="00ED26F5" w:rsidRPr="00A27102" w:rsidRDefault="00ED26F5" w:rsidP="00FB242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430D032D" w14:textId="77777777" w:rsidR="00ED26F5" w:rsidRPr="00A27102" w:rsidRDefault="00ED26F5" w:rsidP="00FB242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ED26F5" w:rsidRPr="00A27102" w14:paraId="14061B49" w14:textId="77777777" w:rsidTr="00FB2425">
        <w:trPr>
          <w:trHeight w:val="300"/>
        </w:trPr>
        <w:tc>
          <w:tcPr>
            <w:tcW w:w="893" w:type="dxa"/>
            <w:vAlign w:val="center"/>
          </w:tcPr>
          <w:p w14:paraId="58C8C3BE" w14:textId="77777777" w:rsidR="00ED26F5" w:rsidRPr="00A27102" w:rsidRDefault="00ED26F5" w:rsidP="00FB242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0A460A" w14:textId="77777777" w:rsidR="00ED26F5" w:rsidRPr="00A27102" w:rsidRDefault="00ED26F5" w:rsidP="00FB242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0A2DA456" w14:textId="77777777" w:rsidR="00ED26F5" w:rsidRPr="00A27102" w:rsidRDefault="00ED26F5" w:rsidP="00FB242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49518128" w14:textId="77777777" w:rsidR="00ED26F5" w:rsidRPr="00A27102" w:rsidRDefault="00ED26F5" w:rsidP="00ED26F5"/>
    <w:p w14:paraId="56D4B9DD" w14:textId="77777777" w:rsidR="00ED26F5" w:rsidRPr="00361154" w:rsidRDefault="00ED26F5" w:rsidP="00ED26F5">
      <w:pPr>
        <w:spacing w:after="120"/>
        <w:jc w:val="both"/>
        <w:rPr>
          <w:rFonts w:ascii="Verdana" w:hAnsi="Verdana"/>
        </w:rPr>
      </w:pPr>
    </w:p>
    <w:p w14:paraId="39EB476D" w14:textId="77777777" w:rsidR="00ED26F5" w:rsidRPr="00FE733E" w:rsidRDefault="00ED26F5" w:rsidP="00ED26F5"/>
    <w:p w14:paraId="31876D4D" w14:textId="422A7F14" w:rsidR="00F91C83" w:rsidRPr="00ED26F5" w:rsidRDefault="00F91C83" w:rsidP="00ED26F5"/>
    <w:sectPr w:rsidR="00F91C83" w:rsidRPr="00ED26F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77088" w14:textId="77777777" w:rsidR="00F1139A" w:rsidRDefault="00F1139A" w:rsidP="004A1847">
      <w:pPr>
        <w:spacing w:after="0" w:line="240" w:lineRule="auto"/>
      </w:pPr>
      <w:r>
        <w:separator/>
      </w:r>
    </w:p>
  </w:endnote>
  <w:endnote w:type="continuationSeparator" w:id="0">
    <w:p w14:paraId="0F2FE1B5" w14:textId="77777777" w:rsidR="00F1139A" w:rsidRDefault="00F1139A" w:rsidP="004A1847">
      <w:pPr>
        <w:spacing w:after="0" w:line="240" w:lineRule="auto"/>
      </w:pPr>
      <w:r>
        <w:continuationSeparator/>
      </w:r>
    </w:p>
  </w:endnote>
  <w:endnote w:type="continuationNotice" w:id="1">
    <w:p w14:paraId="0820A743" w14:textId="77777777" w:rsidR="00F1139A" w:rsidRDefault="00F113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4950E520" w:rsidR="004A1847" w:rsidRDefault="004A1847">
    <w:pPr>
      <w:pStyle w:val="Piedepgina"/>
    </w:pPr>
  </w:p>
  <w:p w14:paraId="594D6D9F" w14:textId="585670CB"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5EBC69CB"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0F03D115"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A1A5D01"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A8E6D" w14:textId="77777777" w:rsidR="00F1139A" w:rsidRDefault="00F1139A" w:rsidP="004A1847">
      <w:pPr>
        <w:spacing w:after="0" w:line="240" w:lineRule="auto"/>
      </w:pPr>
      <w:r>
        <w:separator/>
      </w:r>
    </w:p>
  </w:footnote>
  <w:footnote w:type="continuationSeparator" w:id="0">
    <w:p w14:paraId="322F5AF4" w14:textId="77777777" w:rsidR="00F1139A" w:rsidRDefault="00F1139A" w:rsidP="004A1847">
      <w:pPr>
        <w:spacing w:after="0" w:line="240" w:lineRule="auto"/>
      </w:pPr>
      <w:r>
        <w:continuationSeparator/>
      </w:r>
    </w:p>
  </w:footnote>
  <w:footnote w:type="continuationNotice" w:id="1">
    <w:p w14:paraId="51B10BE9" w14:textId="77777777" w:rsidR="00F1139A" w:rsidRDefault="00F1139A">
      <w:pPr>
        <w:spacing w:after="0" w:line="240" w:lineRule="auto"/>
      </w:pPr>
    </w:p>
  </w:footnote>
  <w:footnote w:id="2">
    <w:p w14:paraId="6A081465" w14:textId="77777777" w:rsidR="00ED26F5" w:rsidRPr="0061029A" w:rsidRDefault="00ED26F5" w:rsidP="00ED26F5">
      <w:pPr>
        <w:pStyle w:val="Textonotapie"/>
        <w:ind w:firstLine="708"/>
        <w:jc w:val="both"/>
        <w:rPr>
          <w:rFonts w:ascii="Verdana" w:hAnsi="Verdana" w:cs="Arial"/>
          <w:sz w:val="16"/>
          <w:szCs w:val="16"/>
        </w:rPr>
      </w:pPr>
      <w:r w:rsidRPr="0061029A">
        <w:rPr>
          <w:rStyle w:val="Refdenotaalpie"/>
          <w:rFonts w:ascii="Verdana" w:hAnsi="Verdana"/>
          <w:sz w:val="16"/>
          <w:szCs w:val="16"/>
        </w:rPr>
        <w:footnoteRef/>
      </w:r>
      <w:r w:rsidRPr="0061029A">
        <w:rPr>
          <w:rFonts w:ascii="Verdana" w:hAnsi="Verdana"/>
        </w:rPr>
        <w:t xml:space="preserve"> </w:t>
      </w:r>
      <w:r w:rsidRPr="0061029A">
        <w:rPr>
          <w:rFonts w:ascii="Verdana" w:hAnsi="Verdana" w:cs="Arial"/>
          <w:sz w:val="16"/>
          <w:szCs w:val="16"/>
        </w:rPr>
        <w:t xml:space="preserve">Ley 2069 de 2020 </w:t>
      </w:r>
      <w:r>
        <w:rPr>
          <w:rFonts w:ascii="Verdana" w:hAnsi="Verdana" w:cs="Arial"/>
          <w:sz w:val="16"/>
          <w:szCs w:val="16"/>
        </w:rPr>
        <w:t>“</w:t>
      </w:r>
      <w:r w:rsidRPr="0061029A">
        <w:rPr>
          <w:rFonts w:ascii="Verdana" w:hAnsi="Verdana" w:cs="Arial"/>
          <w:sz w:val="16"/>
          <w:szCs w:val="16"/>
        </w:rPr>
        <w:t>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5303506A" w14:textId="77777777" w:rsidR="00ED26F5" w:rsidRPr="0061029A" w:rsidRDefault="00ED26F5" w:rsidP="00ED26F5">
      <w:pPr>
        <w:pStyle w:val="Textonotapie"/>
        <w:rPr>
          <w:rFonts w:ascii="Verdana" w:hAnsi="Verdana"/>
        </w:rPr>
      </w:pPr>
      <w:r>
        <w:rPr>
          <w:rFonts w:ascii="Verdana" w:hAnsi="Verdana" w:cs="Arial"/>
          <w:sz w:val="16"/>
          <w:szCs w:val="16"/>
        </w:rPr>
        <w:t>“</w:t>
      </w:r>
      <w:r w:rsidRPr="0061029A">
        <w:rPr>
          <w:rFonts w:ascii="Verdana" w:hAnsi="Verdana" w:cs="Arial"/>
          <w:sz w:val="16"/>
          <w:szCs w:val="16"/>
        </w:rPr>
        <w:t xml:space="preserve"> Parágrafo primero. La definición de emprendimientos y empresas de mujeres se reglamentará por el gobierno nacional</w:t>
      </w:r>
    </w:p>
  </w:footnote>
  <w:footnote w:id="3">
    <w:p w14:paraId="4130D7A9" w14:textId="77777777" w:rsidR="00ED26F5" w:rsidRDefault="00ED26F5" w:rsidP="00ED26F5">
      <w:pPr>
        <w:pStyle w:val="Textonotapie"/>
        <w:rPr>
          <w:rFonts w:ascii="Verdana" w:hAnsi="Verdana"/>
          <w:sz w:val="16"/>
          <w:szCs w:val="16"/>
        </w:rPr>
      </w:pPr>
      <w:r w:rsidRPr="008C26F1">
        <w:rPr>
          <w:rStyle w:val="Refdenotaalpie"/>
          <w:rFonts w:ascii="Verdana" w:hAnsi="Verdana"/>
          <w:sz w:val="16"/>
          <w:szCs w:val="16"/>
        </w:rPr>
        <w:footnoteRef/>
      </w:r>
      <w:r w:rsidRPr="008C26F1">
        <w:rPr>
          <w:rFonts w:ascii="Verdana" w:hAnsi="Verdana"/>
          <w:sz w:val="16"/>
          <w:szCs w:val="16"/>
        </w:rPr>
        <w:t xml:space="preserve"> </w:t>
      </w:r>
      <w:r>
        <w:rPr>
          <w:rFonts w:ascii="Verdana" w:hAnsi="Verdana"/>
          <w:sz w:val="16"/>
          <w:szCs w:val="16"/>
        </w:rPr>
        <w:t xml:space="preserve">Código Sustantivo del Trabajo: “Son representantes del [empleador] y como tales lo obligan frente a sus trabajadores además de quienes tiene ese carácter según la ley, la convención o el reglamento de trabajo, las siguientes personas: </w:t>
      </w:r>
    </w:p>
    <w:p w14:paraId="09CE507B" w14:textId="77777777" w:rsidR="00ED26F5" w:rsidRDefault="00ED26F5" w:rsidP="00ED26F5">
      <w:pPr>
        <w:pStyle w:val="Textonotapie"/>
        <w:numPr>
          <w:ilvl w:val="0"/>
          <w:numId w:val="19"/>
        </w:numPr>
        <w:rPr>
          <w:rFonts w:ascii="Verdana" w:hAnsi="Verdana"/>
          <w:sz w:val="16"/>
          <w:szCs w:val="16"/>
        </w:rPr>
      </w:pPr>
      <w:r>
        <w:rPr>
          <w:rFonts w:ascii="Verdana" w:hAnsi="Verdana"/>
          <w:sz w:val="16"/>
          <w:szCs w:val="16"/>
        </w:rPr>
        <w:t>Las que ejerzan funciones de dirección o administración, tales como directores, gerentes, administradores, síndicos o liquidadores, mayordomos y capitanes de barco, y quienes ejercitan actos de representación con la aquiescencia expresa o tácita del [empleador];</w:t>
      </w:r>
    </w:p>
    <w:p w14:paraId="4AF2293E" w14:textId="77777777" w:rsidR="00ED26F5" w:rsidRPr="008C26F1" w:rsidRDefault="00ED26F5" w:rsidP="00ED26F5">
      <w:pPr>
        <w:pStyle w:val="Textonotapie"/>
        <w:numPr>
          <w:ilvl w:val="0"/>
          <w:numId w:val="19"/>
        </w:numPr>
        <w:rPr>
          <w:rFonts w:ascii="Verdana" w:hAnsi="Verdana"/>
          <w:sz w:val="16"/>
          <w:szCs w:val="16"/>
        </w:rPr>
      </w:pPr>
      <w:r>
        <w:rPr>
          <w:rFonts w:ascii="Verdana" w:hAnsi="Verdana"/>
          <w:sz w:val="16"/>
          <w:szCs w:val="16"/>
        </w:rPr>
        <w:t>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26510" w14:textId="775C8BAF" w:rsidR="00055415" w:rsidRDefault="00055415" w:rsidP="0005541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1E7D8EF">
          <wp:simplePos x="0" y="0"/>
          <wp:positionH relativeFrom="margin">
            <wp:posOffset>1599728</wp:posOffset>
          </wp:positionH>
          <wp:positionV relativeFrom="paragraph">
            <wp:posOffset>-412399</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554101"/>
    <w:multiLevelType w:val="hybridMultilevel"/>
    <w:tmpl w:val="19C4C7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556FB"/>
    <w:multiLevelType w:val="hybridMultilevel"/>
    <w:tmpl w:val="C8561E0E"/>
    <w:lvl w:ilvl="0" w:tplc="240A0001">
      <w:start w:val="1"/>
      <w:numFmt w:val="bullet"/>
      <w:lvlText w:val=""/>
      <w:lvlJc w:val="left"/>
      <w:pPr>
        <w:ind w:left="2148" w:hanging="360"/>
      </w:pPr>
      <w:rPr>
        <w:rFonts w:ascii="Symbol" w:hAnsi="Symbol" w:hint="default"/>
      </w:rPr>
    </w:lvl>
    <w:lvl w:ilvl="1" w:tplc="240A0003" w:tentative="1">
      <w:start w:val="1"/>
      <w:numFmt w:val="bullet"/>
      <w:lvlText w:val="o"/>
      <w:lvlJc w:val="left"/>
      <w:pPr>
        <w:ind w:left="2868" w:hanging="360"/>
      </w:pPr>
      <w:rPr>
        <w:rFonts w:ascii="Courier New" w:hAnsi="Courier New" w:cs="Courier New" w:hint="default"/>
      </w:rPr>
    </w:lvl>
    <w:lvl w:ilvl="2" w:tplc="240A0005" w:tentative="1">
      <w:start w:val="1"/>
      <w:numFmt w:val="bullet"/>
      <w:lvlText w:val=""/>
      <w:lvlJc w:val="left"/>
      <w:pPr>
        <w:ind w:left="3588" w:hanging="360"/>
      </w:pPr>
      <w:rPr>
        <w:rFonts w:ascii="Wingdings" w:hAnsi="Wingdings" w:hint="default"/>
      </w:rPr>
    </w:lvl>
    <w:lvl w:ilvl="3" w:tplc="240A0001" w:tentative="1">
      <w:start w:val="1"/>
      <w:numFmt w:val="bullet"/>
      <w:lvlText w:val=""/>
      <w:lvlJc w:val="left"/>
      <w:pPr>
        <w:ind w:left="4308" w:hanging="360"/>
      </w:pPr>
      <w:rPr>
        <w:rFonts w:ascii="Symbol" w:hAnsi="Symbol" w:hint="default"/>
      </w:rPr>
    </w:lvl>
    <w:lvl w:ilvl="4" w:tplc="240A0003" w:tentative="1">
      <w:start w:val="1"/>
      <w:numFmt w:val="bullet"/>
      <w:lvlText w:val="o"/>
      <w:lvlJc w:val="left"/>
      <w:pPr>
        <w:ind w:left="5028" w:hanging="360"/>
      </w:pPr>
      <w:rPr>
        <w:rFonts w:ascii="Courier New" w:hAnsi="Courier New" w:cs="Courier New" w:hint="default"/>
      </w:rPr>
    </w:lvl>
    <w:lvl w:ilvl="5" w:tplc="240A0005" w:tentative="1">
      <w:start w:val="1"/>
      <w:numFmt w:val="bullet"/>
      <w:lvlText w:val=""/>
      <w:lvlJc w:val="left"/>
      <w:pPr>
        <w:ind w:left="5748" w:hanging="360"/>
      </w:pPr>
      <w:rPr>
        <w:rFonts w:ascii="Wingdings" w:hAnsi="Wingdings" w:hint="default"/>
      </w:rPr>
    </w:lvl>
    <w:lvl w:ilvl="6" w:tplc="240A0001" w:tentative="1">
      <w:start w:val="1"/>
      <w:numFmt w:val="bullet"/>
      <w:lvlText w:val=""/>
      <w:lvlJc w:val="left"/>
      <w:pPr>
        <w:ind w:left="6468" w:hanging="360"/>
      </w:pPr>
      <w:rPr>
        <w:rFonts w:ascii="Symbol" w:hAnsi="Symbol" w:hint="default"/>
      </w:rPr>
    </w:lvl>
    <w:lvl w:ilvl="7" w:tplc="240A0003" w:tentative="1">
      <w:start w:val="1"/>
      <w:numFmt w:val="bullet"/>
      <w:lvlText w:val="o"/>
      <w:lvlJc w:val="left"/>
      <w:pPr>
        <w:ind w:left="7188" w:hanging="360"/>
      </w:pPr>
      <w:rPr>
        <w:rFonts w:ascii="Courier New" w:hAnsi="Courier New" w:cs="Courier New" w:hint="default"/>
      </w:rPr>
    </w:lvl>
    <w:lvl w:ilvl="8" w:tplc="240A0005" w:tentative="1">
      <w:start w:val="1"/>
      <w:numFmt w:val="bullet"/>
      <w:lvlText w:val=""/>
      <w:lvlJc w:val="left"/>
      <w:pPr>
        <w:ind w:left="7908"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A6B6324"/>
    <w:multiLevelType w:val="hybridMultilevel"/>
    <w:tmpl w:val="2A48736A"/>
    <w:lvl w:ilvl="0" w:tplc="240A0001">
      <w:start w:val="1"/>
      <w:numFmt w:val="bullet"/>
      <w:lvlText w:val=""/>
      <w:lvlJc w:val="left"/>
      <w:pPr>
        <w:ind w:left="4974" w:hanging="360"/>
      </w:pPr>
      <w:rPr>
        <w:rFonts w:ascii="Symbol" w:hAnsi="Symbol" w:hint="default"/>
      </w:rPr>
    </w:lvl>
    <w:lvl w:ilvl="1" w:tplc="240A0003" w:tentative="1">
      <w:start w:val="1"/>
      <w:numFmt w:val="bullet"/>
      <w:lvlText w:val="o"/>
      <w:lvlJc w:val="left"/>
      <w:pPr>
        <w:ind w:left="5694" w:hanging="360"/>
      </w:pPr>
      <w:rPr>
        <w:rFonts w:ascii="Courier New" w:hAnsi="Courier New" w:cs="Courier New" w:hint="default"/>
      </w:rPr>
    </w:lvl>
    <w:lvl w:ilvl="2" w:tplc="240A0005" w:tentative="1">
      <w:start w:val="1"/>
      <w:numFmt w:val="bullet"/>
      <w:lvlText w:val=""/>
      <w:lvlJc w:val="left"/>
      <w:pPr>
        <w:ind w:left="6414" w:hanging="360"/>
      </w:pPr>
      <w:rPr>
        <w:rFonts w:ascii="Wingdings" w:hAnsi="Wingdings" w:hint="default"/>
      </w:rPr>
    </w:lvl>
    <w:lvl w:ilvl="3" w:tplc="240A0001" w:tentative="1">
      <w:start w:val="1"/>
      <w:numFmt w:val="bullet"/>
      <w:lvlText w:val=""/>
      <w:lvlJc w:val="left"/>
      <w:pPr>
        <w:ind w:left="7134" w:hanging="360"/>
      </w:pPr>
      <w:rPr>
        <w:rFonts w:ascii="Symbol" w:hAnsi="Symbol" w:hint="default"/>
      </w:rPr>
    </w:lvl>
    <w:lvl w:ilvl="4" w:tplc="240A0003" w:tentative="1">
      <w:start w:val="1"/>
      <w:numFmt w:val="bullet"/>
      <w:lvlText w:val="o"/>
      <w:lvlJc w:val="left"/>
      <w:pPr>
        <w:ind w:left="7854" w:hanging="360"/>
      </w:pPr>
      <w:rPr>
        <w:rFonts w:ascii="Courier New" w:hAnsi="Courier New" w:cs="Courier New" w:hint="default"/>
      </w:rPr>
    </w:lvl>
    <w:lvl w:ilvl="5" w:tplc="240A0005" w:tentative="1">
      <w:start w:val="1"/>
      <w:numFmt w:val="bullet"/>
      <w:lvlText w:val=""/>
      <w:lvlJc w:val="left"/>
      <w:pPr>
        <w:ind w:left="8574" w:hanging="360"/>
      </w:pPr>
      <w:rPr>
        <w:rFonts w:ascii="Wingdings" w:hAnsi="Wingdings" w:hint="default"/>
      </w:rPr>
    </w:lvl>
    <w:lvl w:ilvl="6" w:tplc="240A0001" w:tentative="1">
      <w:start w:val="1"/>
      <w:numFmt w:val="bullet"/>
      <w:lvlText w:val=""/>
      <w:lvlJc w:val="left"/>
      <w:pPr>
        <w:ind w:left="9294" w:hanging="360"/>
      </w:pPr>
      <w:rPr>
        <w:rFonts w:ascii="Symbol" w:hAnsi="Symbol" w:hint="default"/>
      </w:rPr>
    </w:lvl>
    <w:lvl w:ilvl="7" w:tplc="240A0003" w:tentative="1">
      <w:start w:val="1"/>
      <w:numFmt w:val="bullet"/>
      <w:lvlText w:val="o"/>
      <w:lvlJc w:val="left"/>
      <w:pPr>
        <w:ind w:left="10014" w:hanging="360"/>
      </w:pPr>
      <w:rPr>
        <w:rFonts w:ascii="Courier New" w:hAnsi="Courier New" w:cs="Courier New" w:hint="default"/>
      </w:rPr>
    </w:lvl>
    <w:lvl w:ilvl="8" w:tplc="240A0005" w:tentative="1">
      <w:start w:val="1"/>
      <w:numFmt w:val="bullet"/>
      <w:lvlText w:val=""/>
      <w:lvlJc w:val="left"/>
      <w:pPr>
        <w:ind w:left="10734"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3"/>
  </w:num>
  <w:num w:numId="16" w16cid:durableId="341274352">
    <w:abstractNumId w:val="0"/>
  </w:num>
  <w:num w:numId="17" w16cid:durableId="1491946047">
    <w:abstractNumId w:val="5"/>
  </w:num>
  <w:num w:numId="18" w16cid:durableId="915167092">
    <w:abstractNumId w:val="12"/>
  </w:num>
  <w:num w:numId="19" w16cid:durableId="1348676311">
    <w:abstractNumId w:val="14"/>
  </w:num>
  <w:num w:numId="20" w16cid:durableId="524172276">
    <w:abstractNumId w:val="11"/>
  </w:num>
  <w:num w:numId="21" w16cid:durableId="19693136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169"/>
    <w:rsid w:val="00012184"/>
    <w:rsid w:val="0001604F"/>
    <w:rsid w:val="00016AC3"/>
    <w:rsid w:val="00020EE9"/>
    <w:rsid w:val="000216A2"/>
    <w:rsid w:val="000231B5"/>
    <w:rsid w:val="00025429"/>
    <w:rsid w:val="00031C57"/>
    <w:rsid w:val="0003463C"/>
    <w:rsid w:val="000358BB"/>
    <w:rsid w:val="000363B0"/>
    <w:rsid w:val="00036D5E"/>
    <w:rsid w:val="00042CD6"/>
    <w:rsid w:val="000434E8"/>
    <w:rsid w:val="00046007"/>
    <w:rsid w:val="00047445"/>
    <w:rsid w:val="00055415"/>
    <w:rsid w:val="00056951"/>
    <w:rsid w:val="00056A33"/>
    <w:rsid w:val="00061B2A"/>
    <w:rsid w:val="00075BD4"/>
    <w:rsid w:val="00076766"/>
    <w:rsid w:val="00076C3E"/>
    <w:rsid w:val="000803A4"/>
    <w:rsid w:val="00080D70"/>
    <w:rsid w:val="00082362"/>
    <w:rsid w:val="00083813"/>
    <w:rsid w:val="000923EA"/>
    <w:rsid w:val="00094A19"/>
    <w:rsid w:val="000A0D5E"/>
    <w:rsid w:val="000A683E"/>
    <w:rsid w:val="000B0D09"/>
    <w:rsid w:val="000B19B9"/>
    <w:rsid w:val="000B6BF4"/>
    <w:rsid w:val="000B7761"/>
    <w:rsid w:val="000D0334"/>
    <w:rsid w:val="000D12C2"/>
    <w:rsid w:val="000D19E4"/>
    <w:rsid w:val="000D5FEF"/>
    <w:rsid w:val="000E7568"/>
    <w:rsid w:val="000E7D01"/>
    <w:rsid w:val="000F0F9C"/>
    <w:rsid w:val="000F6486"/>
    <w:rsid w:val="00102B3D"/>
    <w:rsid w:val="001050B7"/>
    <w:rsid w:val="001057CF"/>
    <w:rsid w:val="00107FF2"/>
    <w:rsid w:val="0011027B"/>
    <w:rsid w:val="00113E64"/>
    <w:rsid w:val="001202C5"/>
    <w:rsid w:val="00121368"/>
    <w:rsid w:val="00124DEA"/>
    <w:rsid w:val="00125105"/>
    <w:rsid w:val="00127233"/>
    <w:rsid w:val="00127325"/>
    <w:rsid w:val="001370EC"/>
    <w:rsid w:val="00140089"/>
    <w:rsid w:val="00144FAA"/>
    <w:rsid w:val="00147A21"/>
    <w:rsid w:val="00160CE0"/>
    <w:rsid w:val="001618BF"/>
    <w:rsid w:val="00163254"/>
    <w:rsid w:val="001632F1"/>
    <w:rsid w:val="00166FB7"/>
    <w:rsid w:val="00170465"/>
    <w:rsid w:val="00170F5E"/>
    <w:rsid w:val="00171EAB"/>
    <w:rsid w:val="00175FC8"/>
    <w:rsid w:val="001809D6"/>
    <w:rsid w:val="00180BC4"/>
    <w:rsid w:val="00181DCD"/>
    <w:rsid w:val="00184486"/>
    <w:rsid w:val="00190699"/>
    <w:rsid w:val="001906CD"/>
    <w:rsid w:val="00190E01"/>
    <w:rsid w:val="00194AC8"/>
    <w:rsid w:val="00195AA1"/>
    <w:rsid w:val="001A50CF"/>
    <w:rsid w:val="001A55E6"/>
    <w:rsid w:val="001A7FD7"/>
    <w:rsid w:val="001C4276"/>
    <w:rsid w:val="001D05B5"/>
    <w:rsid w:val="001D0A82"/>
    <w:rsid w:val="001D0D1B"/>
    <w:rsid w:val="001D4FB1"/>
    <w:rsid w:val="001D502C"/>
    <w:rsid w:val="001D6B04"/>
    <w:rsid w:val="001D7658"/>
    <w:rsid w:val="001D7E37"/>
    <w:rsid w:val="001E3FC8"/>
    <w:rsid w:val="001E4177"/>
    <w:rsid w:val="001E6B73"/>
    <w:rsid w:val="001F1E8E"/>
    <w:rsid w:val="001F3152"/>
    <w:rsid w:val="001F409F"/>
    <w:rsid w:val="001F7DC6"/>
    <w:rsid w:val="00203788"/>
    <w:rsid w:val="00204A57"/>
    <w:rsid w:val="00207B8D"/>
    <w:rsid w:val="00220704"/>
    <w:rsid w:val="00223512"/>
    <w:rsid w:val="00226671"/>
    <w:rsid w:val="00231401"/>
    <w:rsid w:val="0023142D"/>
    <w:rsid w:val="002329E0"/>
    <w:rsid w:val="00233B87"/>
    <w:rsid w:val="00237C6D"/>
    <w:rsid w:val="002421BB"/>
    <w:rsid w:val="00243069"/>
    <w:rsid w:val="00243637"/>
    <w:rsid w:val="00250163"/>
    <w:rsid w:val="0025796E"/>
    <w:rsid w:val="00265138"/>
    <w:rsid w:val="002677A5"/>
    <w:rsid w:val="00267DE3"/>
    <w:rsid w:val="002707A2"/>
    <w:rsid w:val="00271815"/>
    <w:rsid w:val="00272C8F"/>
    <w:rsid w:val="00273724"/>
    <w:rsid w:val="00274E89"/>
    <w:rsid w:val="002762D6"/>
    <w:rsid w:val="00277C48"/>
    <w:rsid w:val="002811C5"/>
    <w:rsid w:val="002832A2"/>
    <w:rsid w:val="00285A09"/>
    <w:rsid w:val="002908A6"/>
    <w:rsid w:val="00293672"/>
    <w:rsid w:val="00293A0C"/>
    <w:rsid w:val="002951A0"/>
    <w:rsid w:val="002962BC"/>
    <w:rsid w:val="00296B41"/>
    <w:rsid w:val="002A093D"/>
    <w:rsid w:val="002A0DD0"/>
    <w:rsid w:val="002A49AC"/>
    <w:rsid w:val="002A64FD"/>
    <w:rsid w:val="002B2E49"/>
    <w:rsid w:val="002B3B4E"/>
    <w:rsid w:val="002B63C2"/>
    <w:rsid w:val="002B67E7"/>
    <w:rsid w:val="002C08FE"/>
    <w:rsid w:val="002C0AB1"/>
    <w:rsid w:val="002C6CE2"/>
    <w:rsid w:val="002C7979"/>
    <w:rsid w:val="002C7A84"/>
    <w:rsid w:val="002D3D07"/>
    <w:rsid w:val="002D4E93"/>
    <w:rsid w:val="002D790F"/>
    <w:rsid w:val="002E372B"/>
    <w:rsid w:val="002E4FD9"/>
    <w:rsid w:val="002E59BB"/>
    <w:rsid w:val="002E626D"/>
    <w:rsid w:val="002E6402"/>
    <w:rsid w:val="002E6B9F"/>
    <w:rsid w:val="002F22D8"/>
    <w:rsid w:val="002F5059"/>
    <w:rsid w:val="002F7745"/>
    <w:rsid w:val="00307474"/>
    <w:rsid w:val="00310814"/>
    <w:rsid w:val="00310E43"/>
    <w:rsid w:val="003111F8"/>
    <w:rsid w:val="00312746"/>
    <w:rsid w:val="00314C73"/>
    <w:rsid w:val="0031564A"/>
    <w:rsid w:val="003160B8"/>
    <w:rsid w:val="003202CC"/>
    <w:rsid w:val="00322A85"/>
    <w:rsid w:val="00323142"/>
    <w:rsid w:val="00324168"/>
    <w:rsid w:val="00324B37"/>
    <w:rsid w:val="00326349"/>
    <w:rsid w:val="00332B74"/>
    <w:rsid w:val="003440F8"/>
    <w:rsid w:val="003448F4"/>
    <w:rsid w:val="00345BD4"/>
    <w:rsid w:val="0035076B"/>
    <w:rsid w:val="003508CF"/>
    <w:rsid w:val="00350E71"/>
    <w:rsid w:val="00352666"/>
    <w:rsid w:val="00361154"/>
    <w:rsid w:val="003659AA"/>
    <w:rsid w:val="003709D7"/>
    <w:rsid w:val="00371153"/>
    <w:rsid w:val="00373455"/>
    <w:rsid w:val="003748E7"/>
    <w:rsid w:val="00374F5E"/>
    <w:rsid w:val="00377E3E"/>
    <w:rsid w:val="00381674"/>
    <w:rsid w:val="00381899"/>
    <w:rsid w:val="00387C51"/>
    <w:rsid w:val="00394813"/>
    <w:rsid w:val="003A06E6"/>
    <w:rsid w:val="003A11B3"/>
    <w:rsid w:val="003A26D1"/>
    <w:rsid w:val="003A3CFC"/>
    <w:rsid w:val="003A4137"/>
    <w:rsid w:val="003A54CD"/>
    <w:rsid w:val="003A66F1"/>
    <w:rsid w:val="003A6C73"/>
    <w:rsid w:val="003A779E"/>
    <w:rsid w:val="003A79AF"/>
    <w:rsid w:val="003B0BC3"/>
    <w:rsid w:val="003B1408"/>
    <w:rsid w:val="003B1D8C"/>
    <w:rsid w:val="003B3624"/>
    <w:rsid w:val="003B6AD1"/>
    <w:rsid w:val="003C3A33"/>
    <w:rsid w:val="003C6A8C"/>
    <w:rsid w:val="003C7FA9"/>
    <w:rsid w:val="003D0F4D"/>
    <w:rsid w:val="003D11C8"/>
    <w:rsid w:val="003D2BC5"/>
    <w:rsid w:val="003D58DB"/>
    <w:rsid w:val="003D5B0D"/>
    <w:rsid w:val="003D6899"/>
    <w:rsid w:val="003D75A3"/>
    <w:rsid w:val="003E0499"/>
    <w:rsid w:val="003F2D22"/>
    <w:rsid w:val="003F3941"/>
    <w:rsid w:val="003F56AC"/>
    <w:rsid w:val="003F64F8"/>
    <w:rsid w:val="004017B3"/>
    <w:rsid w:val="004024AD"/>
    <w:rsid w:val="00403696"/>
    <w:rsid w:val="00406575"/>
    <w:rsid w:val="00406844"/>
    <w:rsid w:val="00406AC7"/>
    <w:rsid w:val="004154BC"/>
    <w:rsid w:val="004178A2"/>
    <w:rsid w:val="004257A9"/>
    <w:rsid w:val="0042668A"/>
    <w:rsid w:val="00426F7E"/>
    <w:rsid w:val="0042722E"/>
    <w:rsid w:val="004274AE"/>
    <w:rsid w:val="00433D5F"/>
    <w:rsid w:val="004344F3"/>
    <w:rsid w:val="00435B0A"/>
    <w:rsid w:val="0043741C"/>
    <w:rsid w:val="00441714"/>
    <w:rsid w:val="00442574"/>
    <w:rsid w:val="00443015"/>
    <w:rsid w:val="00443E16"/>
    <w:rsid w:val="00444725"/>
    <w:rsid w:val="0044528D"/>
    <w:rsid w:val="004526EF"/>
    <w:rsid w:val="00455109"/>
    <w:rsid w:val="00457E66"/>
    <w:rsid w:val="00465FAF"/>
    <w:rsid w:val="00471C01"/>
    <w:rsid w:val="004742B9"/>
    <w:rsid w:val="00474844"/>
    <w:rsid w:val="004750E4"/>
    <w:rsid w:val="00485AE7"/>
    <w:rsid w:val="00492021"/>
    <w:rsid w:val="00494BEF"/>
    <w:rsid w:val="00496A80"/>
    <w:rsid w:val="004A1847"/>
    <w:rsid w:val="004A1F44"/>
    <w:rsid w:val="004A305D"/>
    <w:rsid w:val="004A557E"/>
    <w:rsid w:val="004B0AE9"/>
    <w:rsid w:val="004B2BB7"/>
    <w:rsid w:val="004B48DE"/>
    <w:rsid w:val="004B53CE"/>
    <w:rsid w:val="004C0271"/>
    <w:rsid w:val="004C2A96"/>
    <w:rsid w:val="004C3478"/>
    <w:rsid w:val="004C3AE8"/>
    <w:rsid w:val="004C675D"/>
    <w:rsid w:val="004C6BBD"/>
    <w:rsid w:val="004D147C"/>
    <w:rsid w:val="004D24B1"/>
    <w:rsid w:val="004D26A6"/>
    <w:rsid w:val="004D2A5C"/>
    <w:rsid w:val="004E2ED5"/>
    <w:rsid w:val="004E790B"/>
    <w:rsid w:val="004F21C4"/>
    <w:rsid w:val="004F5424"/>
    <w:rsid w:val="004F6348"/>
    <w:rsid w:val="004F685F"/>
    <w:rsid w:val="004F695E"/>
    <w:rsid w:val="004F7CF8"/>
    <w:rsid w:val="00500DC9"/>
    <w:rsid w:val="0050125E"/>
    <w:rsid w:val="0050128D"/>
    <w:rsid w:val="0050761F"/>
    <w:rsid w:val="00516E92"/>
    <w:rsid w:val="0052119A"/>
    <w:rsid w:val="00523266"/>
    <w:rsid w:val="00525D94"/>
    <w:rsid w:val="00532E98"/>
    <w:rsid w:val="005374F5"/>
    <w:rsid w:val="005419E6"/>
    <w:rsid w:val="005435A8"/>
    <w:rsid w:val="005445AF"/>
    <w:rsid w:val="0055312C"/>
    <w:rsid w:val="0055312E"/>
    <w:rsid w:val="00556024"/>
    <w:rsid w:val="005566E8"/>
    <w:rsid w:val="0055713E"/>
    <w:rsid w:val="00560A45"/>
    <w:rsid w:val="00562395"/>
    <w:rsid w:val="005644D5"/>
    <w:rsid w:val="00566933"/>
    <w:rsid w:val="00572E12"/>
    <w:rsid w:val="005736C6"/>
    <w:rsid w:val="00574867"/>
    <w:rsid w:val="00577F54"/>
    <w:rsid w:val="0058038C"/>
    <w:rsid w:val="00584B80"/>
    <w:rsid w:val="00585691"/>
    <w:rsid w:val="00586241"/>
    <w:rsid w:val="00587ECC"/>
    <w:rsid w:val="00591460"/>
    <w:rsid w:val="00592628"/>
    <w:rsid w:val="005968F7"/>
    <w:rsid w:val="005A3BB9"/>
    <w:rsid w:val="005A6C12"/>
    <w:rsid w:val="005A6F0B"/>
    <w:rsid w:val="005A7BA4"/>
    <w:rsid w:val="005B10C2"/>
    <w:rsid w:val="005B5F14"/>
    <w:rsid w:val="005B6231"/>
    <w:rsid w:val="005B6E68"/>
    <w:rsid w:val="005C3777"/>
    <w:rsid w:val="005C5CDC"/>
    <w:rsid w:val="005D3FF0"/>
    <w:rsid w:val="005D476C"/>
    <w:rsid w:val="005D6331"/>
    <w:rsid w:val="005D6CE8"/>
    <w:rsid w:val="005D72D3"/>
    <w:rsid w:val="005E0453"/>
    <w:rsid w:val="005E1E1E"/>
    <w:rsid w:val="005E42AD"/>
    <w:rsid w:val="005E42C7"/>
    <w:rsid w:val="005E44F9"/>
    <w:rsid w:val="005F0938"/>
    <w:rsid w:val="005F306C"/>
    <w:rsid w:val="005F6464"/>
    <w:rsid w:val="00603339"/>
    <w:rsid w:val="006053B5"/>
    <w:rsid w:val="006077E3"/>
    <w:rsid w:val="0061029A"/>
    <w:rsid w:val="00610812"/>
    <w:rsid w:val="00611AED"/>
    <w:rsid w:val="006156A5"/>
    <w:rsid w:val="006219F8"/>
    <w:rsid w:val="006338AE"/>
    <w:rsid w:val="00633D95"/>
    <w:rsid w:val="00641E9F"/>
    <w:rsid w:val="0065047F"/>
    <w:rsid w:val="00650FF7"/>
    <w:rsid w:val="006545EB"/>
    <w:rsid w:val="00657B6B"/>
    <w:rsid w:val="006656D4"/>
    <w:rsid w:val="00665D70"/>
    <w:rsid w:val="00671DAC"/>
    <w:rsid w:val="0067638F"/>
    <w:rsid w:val="006833B9"/>
    <w:rsid w:val="006848BE"/>
    <w:rsid w:val="006900D9"/>
    <w:rsid w:val="00693C49"/>
    <w:rsid w:val="00696C0E"/>
    <w:rsid w:val="006A4AE5"/>
    <w:rsid w:val="006A4C35"/>
    <w:rsid w:val="006A4C7F"/>
    <w:rsid w:val="006A5848"/>
    <w:rsid w:val="006B1D25"/>
    <w:rsid w:val="006B70EF"/>
    <w:rsid w:val="006C1442"/>
    <w:rsid w:val="006C2EC9"/>
    <w:rsid w:val="006C72DA"/>
    <w:rsid w:val="006D12F8"/>
    <w:rsid w:val="006D2B7F"/>
    <w:rsid w:val="006D4196"/>
    <w:rsid w:val="006D49B0"/>
    <w:rsid w:val="006D5379"/>
    <w:rsid w:val="006D6926"/>
    <w:rsid w:val="006D75E5"/>
    <w:rsid w:val="006E4D98"/>
    <w:rsid w:val="006F0F4D"/>
    <w:rsid w:val="006F19A5"/>
    <w:rsid w:val="006F71FB"/>
    <w:rsid w:val="00700BDD"/>
    <w:rsid w:val="007014FD"/>
    <w:rsid w:val="00706C16"/>
    <w:rsid w:val="00713DFB"/>
    <w:rsid w:val="00716A60"/>
    <w:rsid w:val="00731BAD"/>
    <w:rsid w:val="00731DE2"/>
    <w:rsid w:val="00741BD2"/>
    <w:rsid w:val="007433EF"/>
    <w:rsid w:val="0074586A"/>
    <w:rsid w:val="00752535"/>
    <w:rsid w:val="00752A05"/>
    <w:rsid w:val="00756841"/>
    <w:rsid w:val="0075722B"/>
    <w:rsid w:val="007617FE"/>
    <w:rsid w:val="0076293B"/>
    <w:rsid w:val="007630F9"/>
    <w:rsid w:val="007649AB"/>
    <w:rsid w:val="00770B4E"/>
    <w:rsid w:val="00771D0C"/>
    <w:rsid w:val="00772083"/>
    <w:rsid w:val="0077288F"/>
    <w:rsid w:val="0077317B"/>
    <w:rsid w:val="007733FE"/>
    <w:rsid w:val="00777773"/>
    <w:rsid w:val="00781114"/>
    <w:rsid w:val="007833AC"/>
    <w:rsid w:val="00786485"/>
    <w:rsid w:val="0079612F"/>
    <w:rsid w:val="007965D0"/>
    <w:rsid w:val="007970A3"/>
    <w:rsid w:val="007A1BFE"/>
    <w:rsid w:val="007A3E1D"/>
    <w:rsid w:val="007B04B7"/>
    <w:rsid w:val="007B268C"/>
    <w:rsid w:val="007B3542"/>
    <w:rsid w:val="007B7171"/>
    <w:rsid w:val="007C026D"/>
    <w:rsid w:val="007C0C0F"/>
    <w:rsid w:val="007C3182"/>
    <w:rsid w:val="007C3DC2"/>
    <w:rsid w:val="007D123A"/>
    <w:rsid w:val="007D31FD"/>
    <w:rsid w:val="007D3E44"/>
    <w:rsid w:val="007E0355"/>
    <w:rsid w:val="007E5497"/>
    <w:rsid w:val="007E5D44"/>
    <w:rsid w:val="007E68BE"/>
    <w:rsid w:val="007E755C"/>
    <w:rsid w:val="007E7ABA"/>
    <w:rsid w:val="007F4056"/>
    <w:rsid w:val="008055E4"/>
    <w:rsid w:val="00806F5F"/>
    <w:rsid w:val="00807D51"/>
    <w:rsid w:val="00812F56"/>
    <w:rsid w:val="00820278"/>
    <w:rsid w:val="00821A69"/>
    <w:rsid w:val="008315DE"/>
    <w:rsid w:val="0083303E"/>
    <w:rsid w:val="00833776"/>
    <w:rsid w:val="00834931"/>
    <w:rsid w:val="00836865"/>
    <w:rsid w:val="008426F9"/>
    <w:rsid w:val="008443EE"/>
    <w:rsid w:val="00851345"/>
    <w:rsid w:val="00854E98"/>
    <w:rsid w:val="008551FC"/>
    <w:rsid w:val="008619E1"/>
    <w:rsid w:val="00862B28"/>
    <w:rsid w:val="008634EB"/>
    <w:rsid w:val="008700F7"/>
    <w:rsid w:val="0087121D"/>
    <w:rsid w:val="00874EF9"/>
    <w:rsid w:val="0087780F"/>
    <w:rsid w:val="00880B22"/>
    <w:rsid w:val="008843B6"/>
    <w:rsid w:val="00891928"/>
    <w:rsid w:val="00891A2B"/>
    <w:rsid w:val="008925BF"/>
    <w:rsid w:val="00895039"/>
    <w:rsid w:val="008A0F15"/>
    <w:rsid w:val="008A11FB"/>
    <w:rsid w:val="008A1FE0"/>
    <w:rsid w:val="008A32DA"/>
    <w:rsid w:val="008A446D"/>
    <w:rsid w:val="008B1375"/>
    <w:rsid w:val="008B29EE"/>
    <w:rsid w:val="008C26F1"/>
    <w:rsid w:val="008C447F"/>
    <w:rsid w:val="008C5251"/>
    <w:rsid w:val="008D180B"/>
    <w:rsid w:val="008D21AA"/>
    <w:rsid w:val="008D5768"/>
    <w:rsid w:val="008D7D66"/>
    <w:rsid w:val="008E377A"/>
    <w:rsid w:val="008F0EA7"/>
    <w:rsid w:val="008F231B"/>
    <w:rsid w:val="008F239F"/>
    <w:rsid w:val="008F412B"/>
    <w:rsid w:val="008F5732"/>
    <w:rsid w:val="008F5CC6"/>
    <w:rsid w:val="008F72AB"/>
    <w:rsid w:val="008F7529"/>
    <w:rsid w:val="008F7B0B"/>
    <w:rsid w:val="009009F7"/>
    <w:rsid w:val="009060BD"/>
    <w:rsid w:val="00907B81"/>
    <w:rsid w:val="00910248"/>
    <w:rsid w:val="009112B7"/>
    <w:rsid w:val="00911DB5"/>
    <w:rsid w:val="00912226"/>
    <w:rsid w:val="00912BB9"/>
    <w:rsid w:val="00914912"/>
    <w:rsid w:val="00920F8F"/>
    <w:rsid w:val="00922471"/>
    <w:rsid w:val="00923EEF"/>
    <w:rsid w:val="00931743"/>
    <w:rsid w:val="00933B3F"/>
    <w:rsid w:val="009419F9"/>
    <w:rsid w:val="00941EE0"/>
    <w:rsid w:val="0094250E"/>
    <w:rsid w:val="0094358E"/>
    <w:rsid w:val="0094388F"/>
    <w:rsid w:val="009465E5"/>
    <w:rsid w:val="009470BA"/>
    <w:rsid w:val="00950844"/>
    <w:rsid w:val="00954C3D"/>
    <w:rsid w:val="009554E7"/>
    <w:rsid w:val="0095685E"/>
    <w:rsid w:val="00961B09"/>
    <w:rsid w:val="00965334"/>
    <w:rsid w:val="00967D57"/>
    <w:rsid w:val="0097093E"/>
    <w:rsid w:val="009729AE"/>
    <w:rsid w:val="00973F5D"/>
    <w:rsid w:val="00975FB7"/>
    <w:rsid w:val="009804A6"/>
    <w:rsid w:val="0099209D"/>
    <w:rsid w:val="009921E9"/>
    <w:rsid w:val="00993199"/>
    <w:rsid w:val="00996C21"/>
    <w:rsid w:val="009A0DFA"/>
    <w:rsid w:val="009A2006"/>
    <w:rsid w:val="009A28FE"/>
    <w:rsid w:val="009A5FDC"/>
    <w:rsid w:val="009A65DE"/>
    <w:rsid w:val="009A7FA8"/>
    <w:rsid w:val="009B2769"/>
    <w:rsid w:val="009B2D26"/>
    <w:rsid w:val="009B46AF"/>
    <w:rsid w:val="009B4A7B"/>
    <w:rsid w:val="009B6ECC"/>
    <w:rsid w:val="009C4D39"/>
    <w:rsid w:val="009C636F"/>
    <w:rsid w:val="009C71FA"/>
    <w:rsid w:val="009C72E7"/>
    <w:rsid w:val="009D3058"/>
    <w:rsid w:val="009D543A"/>
    <w:rsid w:val="009D5E1C"/>
    <w:rsid w:val="009E0176"/>
    <w:rsid w:val="009E0697"/>
    <w:rsid w:val="009E0FF2"/>
    <w:rsid w:val="009E52C8"/>
    <w:rsid w:val="009F3A13"/>
    <w:rsid w:val="00A02D4F"/>
    <w:rsid w:val="00A0479B"/>
    <w:rsid w:val="00A1044D"/>
    <w:rsid w:val="00A1125E"/>
    <w:rsid w:val="00A122D3"/>
    <w:rsid w:val="00A14C3A"/>
    <w:rsid w:val="00A15700"/>
    <w:rsid w:val="00A16222"/>
    <w:rsid w:val="00A17F13"/>
    <w:rsid w:val="00A20739"/>
    <w:rsid w:val="00A2403C"/>
    <w:rsid w:val="00A31BE4"/>
    <w:rsid w:val="00A33C78"/>
    <w:rsid w:val="00A35372"/>
    <w:rsid w:val="00A35F1B"/>
    <w:rsid w:val="00A361EF"/>
    <w:rsid w:val="00A362DA"/>
    <w:rsid w:val="00A40888"/>
    <w:rsid w:val="00A57DED"/>
    <w:rsid w:val="00A61741"/>
    <w:rsid w:val="00A62761"/>
    <w:rsid w:val="00A65E5C"/>
    <w:rsid w:val="00A701E9"/>
    <w:rsid w:val="00A704C2"/>
    <w:rsid w:val="00A73010"/>
    <w:rsid w:val="00A77593"/>
    <w:rsid w:val="00A85A9F"/>
    <w:rsid w:val="00A912D2"/>
    <w:rsid w:val="00A9158E"/>
    <w:rsid w:val="00AA64D2"/>
    <w:rsid w:val="00AB0620"/>
    <w:rsid w:val="00AB0ADB"/>
    <w:rsid w:val="00AB5109"/>
    <w:rsid w:val="00AB7570"/>
    <w:rsid w:val="00AC1278"/>
    <w:rsid w:val="00AC2777"/>
    <w:rsid w:val="00AC5976"/>
    <w:rsid w:val="00AD048E"/>
    <w:rsid w:val="00AD382E"/>
    <w:rsid w:val="00AD5851"/>
    <w:rsid w:val="00AE5963"/>
    <w:rsid w:val="00AF3C74"/>
    <w:rsid w:val="00AF657C"/>
    <w:rsid w:val="00AF7F52"/>
    <w:rsid w:val="00B01861"/>
    <w:rsid w:val="00B01B1A"/>
    <w:rsid w:val="00B022B5"/>
    <w:rsid w:val="00B06A70"/>
    <w:rsid w:val="00B07C8D"/>
    <w:rsid w:val="00B17544"/>
    <w:rsid w:val="00B21E65"/>
    <w:rsid w:val="00B30235"/>
    <w:rsid w:val="00B366CC"/>
    <w:rsid w:val="00B368A5"/>
    <w:rsid w:val="00B369EB"/>
    <w:rsid w:val="00B37E9A"/>
    <w:rsid w:val="00B37FBF"/>
    <w:rsid w:val="00B43063"/>
    <w:rsid w:val="00B447E4"/>
    <w:rsid w:val="00B4753D"/>
    <w:rsid w:val="00B5078C"/>
    <w:rsid w:val="00B54418"/>
    <w:rsid w:val="00B5511A"/>
    <w:rsid w:val="00B614D0"/>
    <w:rsid w:val="00B64290"/>
    <w:rsid w:val="00B654FD"/>
    <w:rsid w:val="00B70725"/>
    <w:rsid w:val="00B72CD3"/>
    <w:rsid w:val="00B72FFF"/>
    <w:rsid w:val="00B856D5"/>
    <w:rsid w:val="00B865C0"/>
    <w:rsid w:val="00B905CD"/>
    <w:rsid w:val="00B912BF"/>
    <w:rsid w:val="00B939F9"/>
    <w:rsid w:val="00BA2F5E"/>
    <w:rsid w:val="00BA3CBC"/>
    <w:rsid w:val="00BA5F2B"/>
    <w:rsid w:val="00BB4D77"/>
    <w:rsid w:val="00BB5B64"/>
    <w:rsid w:val="00BB74D8"/>
    <w:rsid w:val="00BC382F"/>
    <w:rsid w:val="00BC3D36"/>
    <w:rsid w:val="00BC5BBE"/>
    <w:rsid w:val="00BC781F"/>
    <w:rsid w:val="00BD00A2"/>
    <w:rsid w:val="00BD14EE"/>
    <w:rsid w:val="00BD4621"/>
    <w:rsid w:val="00BD68E8"/>
    <w:rsid w:val="00BD7F72"/>
    <w:rsid w:val="00BE0663"/>
    <w:rsid w:val="00BE094B"/>
    <w:rsid w:val="00BE0F40"/>
    <w:rsid w:val="00BE39D6"/>
    <w:rsid w:val="00BE760D"/>
    <w:rsid w:val="00C04FB3"/>
    <w:rsid w:val="00C10F7F"/>
    <w:rsid w:val="00C14E5C"/>
    <w:rsid w:val="00C15271"/>
    <w:rsid w:val="00C208FE"/>
    <w:rsid w:val="00C213A2"/>
    <w:rsid w:val="00C2270E"/>
    <w:rsid w:val="00C2416B"/>
    <w:rsid w:val="00C24D4F"/>
    <w:rsid w:val="00C253DF"/>
    <w:rsid w:val="00C2561A"/>
    <w:rsid w:val="00C330EB"/>
    <w:rsid w:val="00C4032D"/>
    <w:rsid w:val="00C41C8D"/>
    <w:rsid w:val="00C44185"/>
    <w:rsid w:val="00C46A3F"/>
    <w:rsid w:val="00C56841"/>
    <w:rsid w:val="00C61F7D"/>
    <w:rsid w:val="00C70E24"/>
    <w:rsid w:val="00C733E5"/>
    <w:rsid w:val="00C7481B"/>
    <w:rsid w:val="00C754BE"/>
    <w:rsid w:val="00C76B1C"/>
    <w:rsid w:val="00C77AA3"/>
    <w:rsid w:val="00C831E9"/>
    <w:rsid w:val="00C86560"/>
    <w:rsid w:val="00C86DA5"/>
    <w:rsid w:val="00C8721C"/>
    <w:rsid w:val="00C90C0C"/>
    <w:rsid w:val="00CA104B"/>
    <w:rsid w:val="00CA2AB2"/>
    <w:rsid w:val="00CA3E21"/>
    <w:rsid w:val="00CA4C5F"/>
    <w:rsid w:val="00CA7BE7"/>
    <w:rsid w:val="00CB197C"/>
    <w:rsid w:val="00CB38EC"/>
    <w:rsid w:val="00CB3BB0"/>
    <w:rsid w:val="00CB6357"/>
    <w:rsid w:val="00CC0DD4"/>
    <w:rsid w:val="00CC1B26"/>
    <w:rsid w:val="00CC36F6"/>
    <w:rsid w:val="00CC7A52"/>
    <w:rsid w:val="00CD0D2B"/>
    <w:rsid w:val="00CD2496"/>
    <w:rsid w:val="00CD4AB2"/>
    <w:rsid w:val="00CD4CA2"/>
    <w:rsid w:val="00CD6708"/>
    <w:rsid w:val="00CE1A1E"/>
    <w:rsid w:val="00CE4ED4"/>
    <w:rsid w:val="00CE5D52"/>
    <w:rsid w:val="00CE7442"/>
    <w:rsid w:val="00CF0CC4"/>
    <w:rsid w:val="00CF129A"/>
    <w:rsid w:val="00CF7AAB"/>
    <w:rsid w:val="00CF7CDE"/>
    <w:rsid w:val="00CF7D0A"/>
    <w:rsid w:val="00D021C7"/>
    <w:rsid w:val="00D16A83"/>
    <w:rsid w:val="00D2246C"/>
    <w:rsid w:val="00D22F88"/>
    <w:rsid w:val="00D2430F"/>
    <w:rsid w:val="00D25A4F"/>
    <w:rsid w:val="00D330A8"/>
    <w:rsid w:val="00D344BC"/>
    <w:rsid w:val="00D37B37"/>
    <w:rsid w:val="00D37B62"/>
    <w:rsid w:val="00D423A2"/>
    <w:rsid w:val="00D427FF"/>
    <w:rsid w:val="00D43065"/>
    <w:rsid w:val="00D47266"/>
    <w:rsid w:val="00D47AEA"/>
    <w:rsid w:val="00D520D8"/>
    <w:rsid w:val="00D633EB"/>
    <w:rsid w:val="00D63AC2"/>
    <w:rsid w:val="00D64DA1"/>
    <w:rsid w:val="00D70240"/>
    <w:rsid w:val="00D72D7A"/>
    <w:rsid w:val="00D73457"/>
    <w:rsid w:val="00D736DB"/>
    <w:rsid w:val="00D7383B"/>
    <w:rsid w:val="00D83DDD"/>
    <w:rsid w:val="00D912A9"/>
    <w:rsid w:val="00D91FB1"/>
    <w:rsid w:val="00D92815"/>
    <w:rsid w:val="00D95A24"/>
    <w:rsid w:val="00DA1D9F"/>
    <w:rsid w:val="00DA1E11"/>
    <w:rsid w:val="00DA231B"/>
    <w:rsid w:val="00DA23A0"/>
    <w:rsid w:val="00DA7CAE"/>
    <w:rsid w:val="00DC39FC"/>
    <w:rsid w:val="00DC44CD"/>
    <w:rsid w:val="00DD0997"/>
    <w:rsid w:val="00DD0B54"/>
    <w:rsid w:val="00DD60A1"/>
    <w:rsid w:val="00DE61AA"/>
    <w:rsid w:val="00DE6A50"/>
    <w:rsid w:val="00DF0682"/>
    <w:rsid w:val="00DF2C0A"/>
    <w:rsid w:val="00DF3B45"/>
    <w:rsid w:val="00DF4819"/>
    <w:rsid w:val="00DF4849"/>
    <w:rsid w:val="00DF5254"/>
    <w:rsid w:val="00DF5C33"/>
    <w:rsid w:val="00E06CD6"/>
    <w:rsid w:val="00E07919"/>
    <w:rsid w:val="00E151A2"/>
    <w:rsid w:val="00E16408"/>
    <w:rsid w:val="00E177D6"/>
    <w:rsid w:val="00E17A86"/>
    <w:rsid w:val="00E20894"/>
    <w:rsid w:val="00E2328D"/>
    <w:rsid w:val="00E245AB"/>
    <w:rsid w:val="00E2663A"/>
    <w:rsid w:val="00E2764C"/>
    <w:rsid w:val="00E27916"/>
    <w:rsid w:val="00E27B5B"/>
    <w:rsid w:val="00E27F2E"/>
    <w:rsid w:val="00E31427"/>
    <w:rsid w:val="00E326FB"/>
    <w:rsid w:val="00E36C63"/>
    <w:rsid w:val="00E40C7E"/>
    <w:rsid w:val="00E413EA"/>
    <w:rsid w:val="00E43415"/>
    <w:rsid w:val="00E4704E"/>
    <w:rsid w:val="00E50AFE"/>
    <w:rsid w:val="00E5662F"/>
    <w:rsid w:val="00E56CBC"/>
    <w:rsid w:val="00E57416"/>
    <w:rsid w:val="00E624D0"/>
    <w:rsid w:val="00E63034"/>
    <w:rsid w:val="00E71E68"/>
    <w:rsid w:val="00E735F3"/>
    <w:rsid w:val="00E73602"/>
    <w:rsid w:val="00E750A0"/>
    <w:rsid w:val="00E75C92"/>
    <w:rsid w:val="00E75D1F"/>
    <w:rsid w:val="00E76FCA"/>
    <w:rsid w:val="00E771DC"/>
    <w:rsid w:val="00E77A1F"/>
    <w:rsid w:val="00E83093"/>
    <w:rsid w:val="00E8772A"/>
    <w:rsid w:val="00E90F6B"/>
    <w:rsid w:val="00E921C3"/>
    <w:rsid w:val="00E92C27"/>
    <w:rsid w:val="00E97060"/>
    <w:rsid w:val="00E9776B"/>
    <w:rsid w:val="00EA0E3D"/>
    <w:rsid w:val="00EA5213"/>
    <w:rsid w:val="00EA7A06"/>
    <w:rsid w:val="00EB4E5C"/>
    <w:rsid w:val="00EC014F"/>
    <w:rsid w:val="00EC0A40"/>
    <w:rsid w:val="00EC299D"/>
    <w:rsid w:val="00EC38A7"/>
    <w:rsid w:val="00EC6384"/>
    <w:rsid w:val="00ED1F40"/>
    <w:rsid w:val="00ED2260"/>
    <w:rsid w:val="00ED26F5"/>
    <w:rsid w:val="00ED4A77"/>
    <w:rsid w:val="00ED6B47"/>
    <w:rsid w:val="00EE1AA8"/>
    <w:rsid w:val="00EE2B3E"/>
    <w:rsid w:val="00EF0AA2"/>
    <w:rsid w:val="00EF121C"/>
    <w:rsid w:val="00EF311C"/>
    <w:rsid w:val="00EF3EE9"/>
    <w:rsid w:val="00EF781E"/>
    <w:rsid w:val="00F01A55"/>
    <w:rsid w:val="00F03C01"/>
    <w:rsid w:val="00F06A72"/>
    <w:rsid w:val="00F06D0A"/>
    <w:rsid w:val="00F1139A"/>
    <w:rsid w:val="00F11BE0"/>
    <w:rsid w:val="00F16FEE"/>
    <w:rsid w:val="00F203E6"/>
    <w:rsid w:val="00F20B30"/>
    <w:rsid w:val="00F20D19"/>
    <w:rsid w:val="00F21E84"/>
    <w:rsid w:val="00F24CDF"/>
    <w:rsid w:val="00F27C78"/>
    <w:rsid w:val="00F31EDC"/>
    <w:rsid w:val="00F3271A"/>
    <w:rsid w:val="00F3526B"/>
    <w:rsid w:val="00F37059"/>
    <w:rsid w:val="00F421DE"/>
    <w:rsid w:val="00F432AE"/>
    <w:rsid w:val="00F437FA"/>
    <w:rsid w:val="00F43BBD"/>
    <w:rsid w:val="00F45FE2"/>
    <w:rsid w:val="00F462B3"/>
    <w:rsid w:val="00F5112E"/>
    <w:rsid w:val="00F51C0A"/>
    <w:rsid w:val="00F5612B"/>
    <w:rsid w:val="00F5664F"/>
    <w:rsid w:val="00F5687A"/>
    <w:rsid w:val="00F56AB4"/>
    <w:rsid w:val="00F6091A"/>
    <w:rsid w:val="00F60FD9"/>
    <w:rsid w:val="00F61419"/>
    <w:rsid w:val="00F666C4"/>
    <w:rsid w:val="00F70D14"/>
    <w:rsid w:val="00F72355"/>
    <w:rsid w:val="00F75ADD"/>
    <w:rsid w:val="00F768EB"/>
    <w:rsid w:val="00F76AFC"/>
    <w:rsid w:val="00F80310"/>
    <w:rsid w:val="00F80C41"/>
    <w:rsid w:val="00F83660"/>
    <w:rsid w:val="00F87DA1"/>
    <w:rsid w:val="00F91C83"/>
    <w:rsid w:val="00F92D81"/>
    <w:rsid w:val="00F94545"/>
    <w:rsid w:val="00F978FE"/>
    <w:rsid w:val="00FA47C0"/>
    <w:rsid w:val="00FA5520"/>
    <w:rsid w:val="00FB3E6D"/>
    <w:rsid w:val="00FB5DD1"/>
    <w:rsid w:val="00FB7FB6"/>
    <w:rsid w:val="00FC2B5D"/>
    <w:rsid w:val="00FC431B"/>
    <w:rsid w:val="00FC4DAF"/>
    <w:rsid w:val="00FC5EF3"/>
    <w:rsid w:val="00FC5FE5"/>
    <w:rsid w:val="00FC61A7"/>
    <w:rsid w:val="00FD4BCB"/>
    <w:rsid w:val="00FE4B5A"/>
    <w:rsid w:val="00FE69E0"/>
    <w:rsid w:val="00FF1449"/>
    <w:rsid w:val="00FF3A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04E"/>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46007"/>
    <w:rPr>
      <w:rFonts w:ascii="Geomanist Light" w:hAnsi="Geomanist Light"/>
      <w:lang w:val="es-ES"/>
    </w:rPr>
  </w:style>
  <w:style w:type="table" w:customStyle="1" w:styleId="Tablaconcuadrcula11">
    <w:name w:val="Tabla con cuadrícula11"/>
    <w:basedOn w:val="Tablanormal"/>
    <w:next w:val="Tablaconcuadrcula"/>
    <w:uiPriority w:val="59"/>
    <w:qFormat/>
    <w:rsid w:val="005D3F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05744308">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71036375">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veedornacional759@gmail.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kaxaingenieria@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tatiana.baquero%40colombiacompra.gov.co%7C7cfff6dece924643582c08dd97bfed90%7C7b09041e245149d08cb179d5e3d8c1be%7C0%7C0%7C638833572792347448%7CUnknown%7CTWFpbGZsb3d8eyJFbXB0eU1hcGkiOnRydWUsIlYiOiIwLjAuMDAwMCIsIlAiOiJXaW4zMiIsIkFOIjoiTWFpbCIsIldUIjoyfQ%3D%3D%7C0%7C%7C%7C&amp;sdata=K03nwa35iwf9ehvktYrXqXUKICQPG9uZh4Vu1Re28IU%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DFA63EB4-B9A8-4A8E-8305-3DF03D7A37EF}"/>
</file>

<file path=customXml/itemProps2.xml><?xml version="1.0" encoding="utf-8"?>
<ds:datastoreItem xmlns:ds="http://schemas.openxmlformats.org/officeDocument/2006/customXml" ds:itemID="{B76F8ABB-8D06-4D0B-A63F-CD9B8674EEFB}">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5097</Words>
  <Characters>28036</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33067</CharactersWithSpaces>
  <SharedDoc>false</SharedDoc>
  <HLinks>
    <vt:vector size="18" baseType="variant">
      <vt:variant>
        <vt:i4>6946935</vt:i4>
      </vt:variant>
      <vt:variant>
        <vt:i4>6</vt:i4>
      </vt:variant>
      <vt:variant>
        <vt:i4>0</vt:i4>
      </vt:variant>
      <vt:variant>
        <vt:i4>5</vt:i4>
      </vt:variant>
      <vt:variant>
        <vt:lpwstr>https://nam02.safelinks.protection.outlook.com/?url=https%3A%2F%2Fwww.colombiacompra.gov.co%2Fsala-de-prensa%2Fboletin-digital%2Fboletin-de-relatoria-2024-iv&amp;data=05%7C02%7Ckelmis.bruges%40colombiacompra.gov.co%7C616b83c3423e4d31151908dce489c00d%7C7b09041e245149d08cb179d5e3d8c1be%7C0%7C0%7C638636527542573168%7CUnknown%7CTWFpbGZsb3d8eyJWIjoiMC4wLjAwMDAiLCJQIjoiV2luMzIiLCJBTiI6Ik1haWwiLCJXVCI6Mn0%3D%7C0%7C%7C%7C&amp;sdata=oDWqaoqDpATZ5qZ9tEnUq0MTS1hcPxX67G1Ina%2FYTmU%3D&amp;reserved=0</vt:lpwstr>
      </vt:variant>
      <vt:variant>
        <vt:lpwstr/>
      </vt:variant>
      <vt:variant>
        <vt:i4>1900622</vt:i4>
      </vt:variant>
      <vt:variant>
        <vt:i4>3</vt:i4>
      </vt:variant>
      <vt:variant>
        <vt:i4>0</vt:i4>
      </vt:variant>
      <vt:variant>
        <vt:i4>5</vt:i4>
      </vt:variant>
      <vt:variant>
        <vt:lpwstr>https://relatoria.colombiacompra.gov.co/</vt:lpwstr>
      </vt:variant>
      <vt:variant>
        <vt:lpwstr/>
      </vt:variant>
      <vt:variant>
        <vt:i4>7798787</vt:i4>
      </vt:variant>
      <vt:variant>
        <vt:i4>0</vt:i4>
      </vt:variant>
      <vt:variant>
        <vt:i4>0</vt:i4>
      </vt:variant>
      <vt:variant>
        <vt:i4>5</vt:i4>
      </vt:variant>
      <vt:variant>
        <vt:lpwstr>mailto:veedornacional759@gmail.com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Tatiana Baquero Iguarán</cp:lastModifiedBy>
  <cp:revision>9</cp:revision>
  <cp:lastPrinted>2023-01-10T21:18:00Z</cp:lastPrinted>
  <dcterms:created xsi:type="dcterms:W3CDTF">2025-12-31T15:56:00Z</dcterms:created>
  <dcterms:modified xsi:type="dcterms:W3CDTF">2025-12-31T16:13:00Z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