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AB201" w14:textId="77777777" w:rsidR="00722A6C" w:rsidRPr="001147E5" w:rsidRDefault="00722A6C" w:rsidP="00722A6C">
      <w:pPr>
        <w:jc w:val="both"/>
        <w:rPr>
          <w:rFonts w:ascii="Verdana" w:hAnsi="Verdana" w:cs="Arial"/>
          <w:b/>
          <w:lang w:val="es-ES_tradnl"/>
        </w:rPr>
      </w:pPr>
      <w:bookmarkStart w:id="0" w:name="_Hlk219711250"/>
      <w:r w:rsidRPr="001147E5">
        <w:rPr>
          <w:rFonts w:ascii="Verdana" w:hAnsi="Verdana" w:cs="Arial"/>
          <w:b/>
          <w:lang w:val="es-ES_tradnl"/>
        </w:rPr>
        <w:t xml:space="preserve">REQUISITOS HABILITANTES ‒ Concepto </w:t>
      </w:r>
    </w:p>
    <w:p w14:paraId="0CFBC82D" w14:textId="77777777" w:rsidR="00722A6C" w:rsidRPr="006B260D" w:rsidRDefault="00722A6C" w:rsidP="00722A6C">
      <w:pPr>
        <w:spacing w:after="120" w:line="240" w:lineRule="auto"/>
        <w:jc w:val="both"/>
        <w:rPr>
          <w:rFonts w:ascii="Verdana" w:eastAsia="Calibri" w:hAnsi="Verdana" w:cs="Arial"/>
          <w:sz w:val="20"/>
          <w:szCs w:val="20"/>
          <w:lang w:val="es-ES" w:eastAsia="es-MX"/>
        </w:rPr>
      </w:pPr>
      <w:r w:rsidRPr="006B260D">
        <w:rPr>
          <w:rFonts w:ascii="Verdana" w:eastAsia="Calibri" w:hAnsi="Verdana" w:cs="Arial"/>
          <w:sz w:val="20"/>
          <w:szCs w:val="20"/>
          <w:lang w:val="es-ES" w:eastAsia="es-MX"/>
        </w:rPr>
        <w:t>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bookmarkEnd w:id="0"/>
    <w:p w14:paraId="323B2AE9" w14:textId="77777777" w:rsidR="00722A6C" w:rsidRPr="001147E5" w:rsidRDefault="00722A6C" w:rsidP="00722A6C">
      <w:pPr>
        <w:spacing w:after="0"/>
        <w:jc w:val="both"/>
        <w:rPr>
          <w:rFonts w:ascii="Verdana" w:eastAsia="Verdana" w:hAnsi="Verdana" w:cs="Verdana"/>
          <w:b/>
        </w:rPr>
      </w:pPr>
    </w:p>
    <w:p w14:paraId="22E9E7D7" w14:textId="77777777" w:rsidR="00722A6C" w:rsidRPr="001147E5" w:rsidRDefault="00722A6C" w:rsidP="00722A6C">
      <w:pPr>
        <w:spacing w:before="120" w:after="120" w:line="276" w:lineRule="auto"/>
        <w:contextualSpacing/>
        <w:jc w:val="both"/>
        <w:rPr>
          <w:rFonts w:ascii="Verdana" w:hAnsi="Verdana" w:cs="Arial"/>
          <w:b/>
          <w:lang w:val="es-ES_tradnl"/>
        </w:rPr>
      </w:pPr>
      <w:r w:rsidRPr="001147E5">
        <w:rPr>
          <w:rFonts w:ascii="Verdana" w:hAnsi="Verdana" w:cs="Arial"/>
          <w:b/>
          <w:lang w:val="es-ES_tradnl"/>
        </w:rPr>
        <w:t xml:space="preserve">REQUISITOS PONDERABLES – Asignación de puntaje </w:t>
      </w:r>
    </w:p>
    <w:p w14:paraId="026FE99E" w14:textId="77777777" w:rsidR="00722A6C" w:rsidRPr="001147E5" w:rsidRDefault="00722A6C" w:rsidP="00722A6C">
      <w:pPr>
        <w:spacing w:before="120" w:after="120" w:line="276" w:lineRule="auto"/>
        <w:contextualSpacing/>
        <w:jc w:val="both"/>
        <w:rPr>
          <w:rFonts w:ascii="Verdana" w:hAnsi="Verdana" w:cs="Arial"/>
          <w:b/>
          <w:lang w:val="es-ES_tradnl"/>
        </w:rPr>
      </w:pPr>
    </w:p>
    <w:p w14:paraId="1A6202F4" w14:textId="77777777" w:rsidR="00722A6C" w:rsidRPr="006B260D" w:rsidRDefault="00722A6C" w:rsidP="00722A6C">
      <w:pPr>
        <w:spacing w:after="120" w:line="240" w:lineRule="auto"/>
        <w:jc w:val="both"/>
        <w:rPr>
          <w:rFonts w:ascii="Verdana" w:hAnsi="Verdana" w:cs="Arial"/>
          <w:sz w:val="20"/>
          <w:szCs w:val="20"/>
        </w:rPr>
      </w:pPr>
      <w:r w:rsidRPr="006B260D">
        <w:rPr>
          <w:rFonts w:ascii="Verdana" w:hAnsi="Verdana" w:cs="Arial"/>
          <w:sz w:val="20"/>
          <w:szCs w:val="20"/>
        </w:rPr>
        <w:t xml:space="preserve">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3D181918" w14:textId="77777777" w:rsidR="00722A6C" w:rsidRDefault="00722A6C" w:rsidP="00722A6C">
      <w:pPr>
        <w:spacing w:after="0"/>
        <w:jc w:val="both"/>
        <w:rPr>
          <w:rFonts w:ascii="Verdana" w:eastAsia="Verdana" w:hAnsi="Verdana" w:cs="Verdana"/>
          <w:b/>
        </w:rPr>
      </w:pPr>
    </w:p>
    <w:p w14:paraId="60877F04" w14:textId="4C75FC97" w:rsidR="00722A6C" w:rsidRPr="00804628" w:rsidRDefault="00804628" w:rsidP="00722A6C">
      <w:pPr>
        <w:spacing w:after="0"/>
        <w:jc w:val="both"/>
        <w:rPr>
          <w:rFonts w:ascii="Verdana" w:eastAsia="Verdana" w:hAnsi="Verdana" w:cs="Verdana"/>
          <w:b/>
          <w:bCs/>
        </w:rPr>
      </w:pPr>
      <w:r w:rsidRPr="00804628">
        <w:rPr>
          <w:rFonts w:ascii="Verdana" w:eastAsia="Verdana" w:hAnsi="Verdana" w:cs="Verdana"/>
          <w:b/>
          <w:bCs/>
        </w:rPr>
        <w:t>ORGANISMOS DE ACCIÓN COMUNAL– Naturaleza jurídica– Capacidad para contratar</w:t>
      </w:r>
    </w:p>
    <w:p w14:paraId="4920995D" w14:textId="77777777" w:rsidR="00722A6C" w:rsidRPr="008471BC" w:rsidRDefault="00722A6C" w:rsidP="00722A6C">
      <w:pPr>
        <w:spacing w:after="0"/>
        <w:jc w:val="both"/>
        <w:rPr>
          <w:rFonts w:ascii="Verdana" w:eastAsia="Calibri" w:hAnsi="Verdana" w:cs="Arial"/>
          <w:b/>
        </w:rPr>
      </w:pPr>
    </w:p>
    <w:p w14:paraId="4B2B9618" w14:textId="5A8991B2" w:rsidR="00804628" w:rsidRPr="00804628" w:rsidRDefault="00804628" w:rsidP="00804628">
      <w:pPr>
        <w:spacing w:before="120" w:after="120" w:line="240" w:lineRule="auto"/>
        <w:contextualSpacing/>
        <w:jc w:val="both"/>
        <w:rPr>
          <w:rFonts w:ascii="Verdana" w:hAnsi="Verdana" w:cs="Arial"/>
          <w:bCs/>
          <w:sz w:val="20"/>
          <w:szCs w:val="20"/>
          <w:lang w:val="es-ES_tradnl"/>
        </w:rPr>
      </w:pPr>
      <w:r w:rsidRPr="00804628">
        <w:rPr>
          <w:rFonts w:ascii="Verdana" w:hAnsi="Verdana" w:cs="Arial"/>
          <w:bCs/>
          <w:sz w:val="20"/>
          <w:szCs w:val="20"/>
          <w:lang w:val="es-ES_tradnl"/>
        </w:rPr>
        <w:t xml:space="preserve">En atención a lo dispuesto en el artículo 7 de la Ley 2166 de 2021, los Organismos de Acción Comunal legalmente constituidos, en tanto personas jurídicas de naturaleza jurídica, son considerados sujetos con facultados para celebrar contratos con el Entidades Estatales. En el mismo sentido, estos organismos para suscribir convenios de asociación, de acuerdo con el artículo 96 de la Ley 489 de 1998, así como los convenios solidarios regulados por los artículos 63 y 95 de la Ley 2166 de 2021.  Los requisitos que deben cumplir los Organismos de Acción Comunal para celebrar este tipo de negocios jurídicos son aquellos que, de conformidad con la ley y los reglamentos, haya definido la Entidad Estatal para el respectivo proceso de contratación.  Dichos requisitos pueden ser habilitantes o ponderables y deben ser establecidos dentro del pliego de condiciones o documento equivalente, de acuerdo con lo determinado en el marco del análisis del sector económico y los estudios previos.  </w:t>
      </w:r>
    </w:p>
    <w:p w14:paraId="4CB35BE6" w14:textId="77777777" w:rsidR="002F1DC2" w:rsidRPr="00804628" w:rsidRDefault="002F1DC2" w:rsidP="00722A6C">
      <w:pPr>
        <w:spacing w:after="0" w:line="240" w:lineRule="auto"/>
        <w:contextualSpacing/>
        <w:jc w:val="both"/>
        <w:rPr>
          <w:rFonts w:ascii="Verdana" w:eastAsia="Calibri" w:hAnsi="Verdana" w:cs="Arial"/>
          <w:sz w:val="20"/>
          <w:szCs w:val="20"/>
          <w:lang w:val="es-ES"/>
        </w:rPr>
      </w:pPr>
    </w:p>
    <w:p w14:paraId="3768B1F5" w14:textId="77777777" w:rsidR="002F1DC2" w:rsidRDefault="002F1DC2" w:rsidP="00722A6C">
      <w:pPr>
        <w:spacing w:after="0" w:line="240" w:lineRule="auto"/>
        <w:contextualSpacing/>
        <w:jc w:val="both"/>
        <w:rPr>
          <w:rFonts w:ascii="Verdana" w:hAnsi="Verdana"/>
        </w:rPr>
      </w:pPr>
    </w:p>
    <w:p w14:paraId="30F5EA15" w14:textId="77777777" w:rsidR="002F1DC2" w:rsidRDefault="002F1DC2" w:rsidP="002F1DC2">
      <w:pPr>
        <w:spacing w:after="0" w:line="240" w:lineRule="auto"/>
        <w:contextualSpacing/>
        <w:jc w:val="both"/>
        <w:rPr>
          <w:rFonts w:ascii="Verdana" w:hAnsi="Verdana"/>
        </w:rPr>
      </w:pPr>
    </w:p>
    <w:p w14:paraId="21A39320" w14:textId="77777777" w:rsidR="00804628" w:rsidRDefault="00804628" w:rsidP="002F1DC2">
      <w:pPr>
        <w:spacing w:after="0" w:line="240" w:lineRule="auto"/>
        <w:contextualSpacing/>
        <w:jc w:val="both"/>
        <w:rPr>
          <w:rFonts w:ascii="Verdana" w:hAnsi="Verdana"/>
        </w:rPr>
      </w:pPr>
    </w:p>
    <w:p w14:paraId="646BF768" w14:textId="77777777" w:rsidR="00804628" w:rsidRDefault="00804628" w:rsidP="002F1DC2">
      <w:pPr>
        <w:spacing w:after="0" w:line="240" w:lineRule="auto"/>
        <w:contextualSpacing/>
        <w:jc w:val="both"/>
        <w:rPr>
          <w:rFonts w:ascii="Verdana" w:hAnsi="Verdana"/>
        </w:rPr>
      </w:pPr>
    </w:p>
    <w:p w14:paraId="17D9687D" w14:textId="41ED8D86" w:rsidR="002F1DC2" w:rsidRPr="00A869FE" w:rsidRDefault="002F1DC2" w:rsidP="002F1DC2">
      <w:pPr>
        <w:spacing w:after="0" w:line="240" w:lineRule="auto"/>
        <w:contextualSpacing/>
        <w:jc w:val="both"/>
        <w:rPr>
          <w:rFonts w:ascii="Verdana" w:eastAsia="Times New Roman" w:hAnsi="Verdana" w:cs="Arial"/>
          <w:lang w:eastAsia="es-ES"/>
        </w:rPr>
      </w:pPr>
      <w:r w:rsidRPr="00A869FE">
        <w:rPr>
          <w:rFonts w:ascii="Verdana" w:hAnsi="Verdana"/>
        </w:rPr>
        <w:lastRenderedPageBreak/>
        <w:t xml:space="preserve">Bogotá D.C., </w:t>
      </w:r>
      <w:r w:rsidR="00C862C8">
        <w:rPr>
          <w:rFonts w:ascii="Verdana" w:hAnsi="Verdana"/>
        </w:rPr>
        <w:t>20 Enero 2026</w:t>
      </w:r>
    </w:p>
    <w:p w14:paraId="0A8A4666" w14:textId="77777777" w:rsidR="002F1DC2" w:rsidRPr="00B52642" w:rsidRDefault="002F1DC2" w:rsidP="002F1DC2">
      <w:pPr>
        <w:spacing w:after="0" w:line="240" w:lineRule="auto"/>
        <w:rPr>
          <w:rFonts w:ascii="Verdana" w:eastAsia="Calibri" w:hAnsi="Verdana" w:cs="Arial"/>
          <w:lang w:val="es-ES"/>
        </w:rPr>
      </w:pPr>
    </w:p>
    <w:p w14:paraId="75BB795D" w14:textId="77777777" w:rsidR="002F1DC2" w:rsidRPr="00B52642" w:rsidRDefault="002F1DC2" w:rsidP="002F1DC2">
      <w:pPr>
        <w:spacing w:after="0" w:line="240" w:lineRule="auto"/>
        <w:jc w:val="both"/>
        <w:rPr>
          <w:rFonts w:ascii="Verdana" w:eastAsia="Calibri" w:hAnsi="Verdana" w:cs="Arial"/>
          <w:lang w:val="es-ES" w:eastAsia="es-ES"/>
        </w:rPr>
      </w:pPr>
      <w:r w:rsidRPr="00B52642">
        <w:rPr>
          <w:rFonts w:ascii="Verdana" w:eastAsia="Calibri" w:hAnsi="Verdana" w:cs="Arial"/>
          <w:lang w:val="es-ES" w:eastAsia="es-ES"/>
        </w:rPr>
        <w:t>Señor</w:t>
      </w:r>
      <w:r>
        <w:rPr>
          <w:rFonts w:ascii="Verdana" w:eastAsia="Calibri" w:hAnsi="Verdana" w:cs="Arial"/>
          <w:lang w:val="es-ES" w:eastAsia="es-ES"/>
        </w:rPr>
        <w:t>es</w:t>
      </w:r>
    </w:p>
    <w:p w14:paraId="342BDB79" w14:textId="77777777" w:rsidR="002F1DC2" w:rsidRDefault="002F1DC2" w:rsidP="002F1DC2">
      <w:pPr>
        <w:spacing w:after="0" w:line="240" w:lineRule="auto"/>
        <w:rPr>
          <w:rFonts w:ascii="Verdana" w:eastAsia="Calibri" w:hAnsi="Verdana" w:cs="Arial"/>
          <w:b/>
          <w:lang w:val="es-ES_tradnl" w:eastAsia="es-ES_tradnl"/>
        </w:rPr>
      </w:pPr>
      <w:r w:rsidRPr="003642E1">
        <w:rPr>
          <w:rFonts w:ascii="Verdana" w:eastAsia="Calibri" w:hAnsi="Verdana" w:cs="Arial"/>
          <w:b/>
          <w:lang w:val="es-ES_tradnl" w:eastAsia="es-ES_tradnl"/>
        </w:rPr>
        <w:t xml:space="preserve">Junta De Acción Comunal </w:t>
      </w:r>
      <w:r>
        <w:rPr>
          <w:rFonts w:ascii="Verdana" w:eastAsia="Calibri" w:hAnsi="Verdana" w:cs="Arial"/>
          <w:b/>
          <w:lang w:val="es-ES_tradnl" w:eastAsia="es-ES_tradnl"/>
        </w:rPr>
        <w:t>d</w:t>
      </w:r>
      <w:r w:rsidRPr="003642E1">
        <w:rPr>
          <w:rFonts w:ascii="Verdana" w:eastAsia="Calibri" w:hAnsi="Verdana" w:cs="Arial"/>
          <w:b/>
          <w:lang w:val="es-ES_tradnl" w:eastAsia="es-ES_tradnl"/>
        </w:rPr>
        <w:t>e La Vereda La Primavera</w:t>
      </w:r>
    </w:p>
    <w:p w14:paraId="118F8002" w14:textId="4FEF1764" w:rsidR="002F1DC2" w:rsidRPr="003642E1" w:rsidRDefault="002F1DC2" w:rsidP="002F1DC2">
      <w:pPr>
        <w:spacing w:after="0" w:line="240" w:lineRule="auto"/>
        <w:rPr>
          <w:rFonts w:ascii="Verdana" w:eastAsia="Calibri" w:hAnsi="Verdana" w:cs="Arial"/>
          <w:lang w:val="es-ES" w:eastAsia="es-ES"/>
        </w:rPr>
      </w:pPr>
      <w:hyperlink r:id="rId11" w:history="1">
        <w:r w:rsidRPr="00B0023D">
          <w:rPr>
            <w:rStyle w:val="Hipervnculo"/>
            <w:rFonts w:ascii="Verdana" w:eastAsia="Calibri" w:hAnsi="Verdana" w:cs="Arial"/>
            <w:lang w:val="es-ES" w:eastAsia="es-ES"/>
          </w:rPr>
          <w:t>jacprimaveravillarica@gmail.com</w:t>
        </w:r>
      </w:hyperlink>
      <w:r>
        <w:rPr>
          <w:rFonts w:ascii="Verdana" w:eastAsia="Calibri" w:hAnsi="Verdana" w:cs="Arial"/>
          <w:lang w:val="es-ES" w:eastAsia="es-ES"/>
        </w:rPr>
        <w:t xml:space="preserve"> </w:t>
      </w:r>
      <w:r w:rsidRPr="003642E1">
        <w:rPr>
          <w:rFonts w:ascii="Verdana" w:eastAsia="Calibri" w:hAnsi="Verdana" w:cs="Arial"/>
          <w:lang w:val="es-ES" w:eastAsia="es-ES"/>
        </w:rPr>
        <w:t xml:space="preserve"> </w:t>
      </w:r>
    </w:p>
    <w:p w14:paraId="492E9867" w14:textId="7D567CFB" w:rsidR="002F1DC2" w:rsidRDefault="007A0B05" w:rsidP="002F1DC2">
      <w:pPr>
        <w:spacing w:after="0" w:line="240" w:lineRule="auto"/>
        <w:rPr>
          <w:rFonts w:ascii="Verdana" w:eastAsia="Calibri" w:hAnsi="Verdana" w:cs="Arial"/>
          <w:lang w:val="es-ES" w:eastAsia="es-ES"/>
        </w:rPr>
      </w:pPr>
      <w:r w:rsidRPr="007A0B05">
        <w:rPr>
          <w:rFonts w:ascii="Verdana" w:eastAsia="Calibri" w:hAnsi="Verdana" w:cs="Arial"/>
          <w:b/>
          <w:bCs/>
          <w:lang w:val="es-ES_tradnl" w:eastAsia="es-ES_tradnl"/>
        </w:rPr>
        <w:drawing>
          <wp:anchor distT="0" distB="0" distL="114300" distR="114300" simplePos="0" relativeHeight="251659264" behindDoc="1" locked="0" layoutInCell="1" allowOverlap="1" wp14:anchorId="2A231467" wp14:editId="635CE0B9">
            <wp:simplePos x="0" y="0"/>
            <wp:positionH relativeFrom="margin">
              <wp:posOffset>3857200</wp:posOffset>
            </wp:positionH>
            <wp:positionV relativeFrom="paragraph">
              <wp:posOffset>122418</wp:posOffset>
            </wp:positionV>
            <wp:extent cx="2146725" cy="651834"/>
            <wp:effectExtent l="0" t="0" r="6350" b="0"/>
            <wp:wrapNone/>
            <wp:docPr id="3013357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35723" name=""/>
                    <pic:cNvPicPr/>
                  </pic:nvPicPr>
                  <pic:blipFill>
                    <a:blip r:embed="rId12">
                      <a:extLst>
                        <a:ext uri="{28A0092B-C50C-407E-A947-70E740481C1C}">
                          <a14:useLocalDpi xmlns:a14="http://schemas.microsoft.com/office/drawing/2010/main" val="0"/>
                        </a:ext>
                      </a:extLst>
                    </a:blip>
                    <a:stretch>
                      <a:fillRect/>
                    </a:stretch>
                  </pic:blipFill>
                  <pic:spPr>
                    <a:xfrm>
                      <a:off x="0" y="0"/>
                      <a:ext cx="2155117" cy="654382"/>
                    </a:xfrm>
                    <a:prstGeom prst="rect">
                      <a:avLst/>
                    </a:prstGeom>
                  </pic:spPr>
                </pic:pic>
              </a:graphicData>
            </a:graphic>
            <wp14:sizeRelH relativeFrom="margin">
              <wp14:pctWidth>0</wp14:pctWidth>
            </wp14:sizeRelH>
            <wp14:sizeRelV relativeFrom="margin">
              <wp14:pctHeight>0</wp14:pctHeight>
            </wp14:sizeRelV>
          </wp:anchor>
        </w:drawing>
      </w:r>
      <w:r w:rsidR="002F1DC2">
        <w:rPr>
          <w:rFonts w:ascii="Verdana" w:eastAsia="Calibri" w:hAnsi="Verdana" w:cs="Arial"/>
          <w:lang w:val="es-ES" w:eastAsia="es-ES"/>
        </w:rPr>
        <w:t>Villa Rica, Cauca</w:t>
      </w:r>
      <w:r w:rsidR="002F1DC2">
        <w:rPr>
          <w:rFonts w:ascii="Verdana" w:eastAsia="Calibri" w:hAnsi="Verdana" w:cs="Arial"/>
          <w:lang w:val="es-ES" w:eastAsia="es-ES"/>
        </w:rPr>
        <w:tab/>
      </w:r>
    </w:p>
    <w:p w14:paraId="1B9992CB" w14:textId="12D7D6C2" w:rsidR="002F1DC2" w:rsidRPr="00B52642" w:rsidRDefault="002F1DC2" w:rsidP="002F1DC2">
      <w:pPr>
        <w:spacing w:after="0" w:line="240" w:lineRule="auto"/>
        <w:rPr>
          <w:rFonts w:ascii="Verdana" w:eastAsia="Calibri" w:hAnsi="Verdana" w:cs="Arial"/>
          <w:b/>
          <w:bCs/>
          <w:lang w:val="es-ES_tradnl" w:eastAsia="es-ES_tradnl"/>
        </w:rPr>
      </w:pPr>
    </w:p>
    <w:p w14:paraId="6DA13462" w14:textId="0D103CBD" w:rsidR="00722A6C" w:rsidRPr="00B52642" w:rsidRDefault="00722A6C" w:rsidP="00722A6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22A6C" w:rsidRPr="00B52642" w14:paraId="73F01FCB" w14:textId="77777777" w:rsidTr="00804628">
        <w:trPr>
          <w:trHeight w:val="577"/>
        </w:trPr>
        <w:tc>
          <w:tcPr>
            <w:tcW w:w="2689" w:type="dxa"/>
          </w:tcPr>
          <w:p w14:paraId="5C638E1C" w14:textId="77777777" w:rsidR="00722A6C" w:rsidRPr="002415CD" w:rsidRDefault="00722A6C" w:rsidP="00956BB9">
            <w:pPr>
              <w:jc w:val="both"/>
              <w:rPr>
                <w:rFonts w:ascii="Verdana" w:eastAsia="Calibri" w:hAnsi="Verdana" w:cs="Arial"/>
                <w:b/>
                <w:bCs/>
                <w:lang w:val="es-ES_tradnl" w:eastAsia="es-ES_tradnl"/>
              </w:rPr>
            </w:pPr>
          </w:p>
        </w:tc>
        <w:tc>
          <w:tcPr>
            <w:tcW w:w="6100" w:type="dxa"/>
          </w:tcPr>
          <w:p w14:paraId="724FA169" w14:textId="73D544D0" w:rsidR="00722A6C" w:rsidRPr="002415CD" w:rsidRDefault="00722A6C" w:rsidP="00956BB9">
            <w:pPr>
              <w:jc w:val="both"/>
              <w:rPr>
                <w:rFonts w:ascii="Verdana" w:eastAsia="Calibri" w:hAnsi="Verdana" w:cs="Arial"/>
                <w:b/>
                <w:bCs/>
                <w:lang w:val="es-ES" w:eastAsia="es-ES"/>
              </w:rPr>
            </w:pPr>
            <w:r w:rsidRPr="002415CD">
              <w:rPr>
                <w:rFonts w:ascii="Verdana" w:eastAsia="Calibri" w:hAnsi="Verdana" w:cs="Arial"/>
                <w:b/>
                <w:bCs/>
                <w:lang w:val="es-ES" w:eastAsia="es-ES"/>
              </w:rPr>
              <w:t>Concepto C-</w:t>
            </w:r>
            <w:r>
              <w:rPr>
                <w:rFonts w:ascii="Verdana" w:eastAsia="Calibri" w:hAnsi="Verdana" w:cs="Arial"/>
                <w:b/>
                <w:bCs/>
                <w:lang w:val="es-ES" w:eastAsia="es-ES"/>
              </w:rPr>
              <w:t>1817</w:t>
            </w:r>
            <w:r w:rsidRPr="002415CD">
              <w:rPr>
                <w:rFonts w:ascii="Verdana" w:eastAsia="Calibri" w:hAnsi="Verdana" w:cs="Arial"/>
                <w:b/>
                <w:bCs/>
                <w:lang w:val="es-ES" w:eastAsia="es-ES"/>
              </w:rPr>
              <w:t xml:space="preserve"> de 2025</w:t>
            </w:r>
          </w:p>
        </w:tc>
      </w:tr>
      <w:tr w:rsidR="00722A6C" w:rsidRPr="00B52642" w14:paraId="50B3483E" w14:textId="77777777" w:rsidTr="00956BB9">
        <w:trPr>
          <w:trHeight w:val="884"/>
        </w:trPr>
        <w:tc>
          <w:tcPr>
            <w:tcW w:w="2689" w:type="dxa"/>
          </w:tcPr>
          <w:p w14:paraId="5E00A941" w14:textId="77777777" w:rsidR="00722A6C" w:rsidRPr="002415CD" w:rsidRDefault="00722A6C" w:rsidP="00956BB9">
            <w:pPr>
              <w:ind w:left="851" w:hanging="284"/>
              <w:jc w:val="both"/>
              <w:rPr>
                <w:rFonts w:ascii="Verdana" w:eastAsia="Calibri" w:hAnsi="Verdana" w:cs="Arial"/>
                <w:lang w:val="es-ES_tradnl" w:eastAsia="es-ES_tradnl"/>
              </w:rPr>
            </w:pPr>
            <w:r w:rsidRPr="002415CD">
              <w:rPr>
                <w:rFonts w:ascii="Verdana" w:eastAsia="Calibri" w:hAnsi="Verdana" w:cs="Arial"/>
                <w:b/>
                <w:lang w:val="es-ES_tradnl" w:eastAsia="es-ES_tradnl"/>
              </w:rPr>
              <w:t>Temas:</w:t>
            </w:r>
            <w:r w:rsidRPr="002415CD">
              <w:rPr>
                <w:rFonts w:ascii="Verdana" w:eastAsia="Calibri" w:hAnsi="Verdana" w:cs="Arial"/>
                <w:lang w:val="es-ES_tradnl" w:eastAsia="es-ES_tradnl"/>
              </w:rPr>
              <w:t xml:space="preserve">                   </w:t>
            </w:r>
          </w:p>
        </w:tc>
        <w:tc>
          <w:tcPr>
            <w:tcW w:w="6100" w:type="dxa"/>
          </w:tcPr>
          <w:p w14:paraId="5F088AF4" w14:textId="1E7EC352" w:rsidR="00722A6C" w:rsidRDefault="00722A6C" w:rsidP="00956BB9">
            <w:pPr>
              <w:spacing w:line="276" w:lineRule="auto"/>
              <w:jc w:val="both"/>
              <w:rPr>
                <w:rFonts w:ascii="Verdana" w:eastAsia="Calibri" w:hAnsi="Verdana" w:cs="Arial"/>
                <w:lang w:val="es-ES" w:eastAsia="es-ES"/>
              </w:rPr>
            </w:pPr>
            <w:r w:rsidRPr="00612B80">
              <w:rPr>
                <w:rFonts w:ascii="Verdana" w:eastAsia="Calibri" w:hAnsi="Verdana" w:cs="Arial"/>
                <w:lang w:val="es-ES" w:eastAsia="es-ES"/>
              </w:rPr>
              <w:t>REQUISITOS HABILITANTES ‒ Concepto</w:t>
            </w:r>
            <w:r w:rsidR="001327D3">
              <w:rPr>
                <w:rFonts w:ascii="Verdana" w:eastAsia="Calibri" w:hAnsi="Verdana" w:cs="Arial"/>
                <w:lang w:val="es-ES" w:eastAsia="es-ES"/>
              </w:rPr>
              <w:t xml:space="preserve"> – Finalidad</w:t>
            </w:r>
            <w:r w:rsidRPr="00612B80">
              <w:rPr>
                <w:rFonts w:ascii="Verdana" w:eastAsia="Calibri" w:hAnsi="Verdana" w:cs="Arial"/>
                <w:lang w:val="es-ES" w:eastAsia="es-ES"/>
              </w:rPr>
              <w:t xml:space="preserve"> / </w:t>
            </w:r>
            <w:r w:rsidRPr="00612B80">
              <w:rPr>
                <w:rFonts w:ascii="Verdana" w:hAnsi="Verdana" w:cs="Arial"/>
                <w:lang w:val="es-ES_tradnl"/>
              </w:rPr>
              <w:t xml:space="preserve">REQUISITOS </w:t>
            </w:r>
            <w:r w:rsidRPr="007E0E97">
              <w:rPr>
                <w:rFonts w:ascii="Verdana" w:hAnsi="Verdana" w:cs="Arial"/>
                <w:lang w:val="es-ES_tradnl"/>
              </w:rPr>
              <w:t xml:space="preserve">PONDERABLES – </w:t>
            </w:r>
            <w:r w:rsidR="001327D3" w:rsidRPr="00612B80">
              <w:rPr>
                <w:rFonts w:ascii="Verdana" w:eastAsia="Calibri" w:hAnsi="Verdana" w:cs="Arial"/>
                <w:lang w:val="es-ES" w:eastAsia="es-ES"/>
              </w:rPr>
              <w:t>Concepto</w:t>
            </w:r>
            <w:r w:rsidR="001327D3">
              <w:rPr>
                <w:rFonts w:ascii="Verdana" w:eastAsia="Calibri" w:hAnsi="Verdana" w:cs="Arial"/>
                <w:lang w:val="es-ES" w:eastAsia="es-ES"/>
              </w:rPr>
              <w:t xml:space="preserve"> – Finalidad</w:t>
            </w:r>
            <w:r w:rsidR="001327D3" w:rsidRPr="00612B80">
              <w:rPr>
                <w:rFonts w:ascii="Verdana" w:eastAsia="Calibri" w:hAnsi="Verdana" w:cs="Arial"/>
                <w:lang w:val="es-ES" w:eastAsia="es-ES"/>
              </w:rPr>
              <w:t xml:space="preserve"> </w:t>
            </w:r>
            <w:r w:rsidR="007E0E97" w:rsidRPr="007E0E97">
              <w:rPr>
                <w:rFonts w:ascii="Verdana" w:hAnsi="Verdana" w:cs="Arial"/>
                <w:lang w:val="es-ES_tradnl"/>
              </w:rPr>
              <w:t xml:space="preserve">/ </w:t>
            </w:r>
            <w:r w:rsidR="007E0E97" w:rsidRPr="007E0E97">
              <w:rPr>
                <w:rFonts w:ascii="Verdana" w:eastAsia="Verdana" w:hAnsi="Verdana" w:cs="Verdana"/>
              </w:rPr>
              <w:t xml:space="preserve">ORGANISMOS DE ACCIÓN COMUNAL– </w:t>
            </w:r>
            <w:r w:rsidR="001327D3">
              <w:rPr>
                <w:rFonts w:ascii="Verdana" w:eastAsia="Verdana" w:hAnsi="Verdana" w:cs="Verdana"/>
              </w:rPr>
              <w:t>Naturaleza jurídica– Capacidad para contratar</w:t>
            </w:r>
          </w:p>
          <w:p w14:paraId="3EC618D4" w14:textId="77777777" w:rsidR="00936880" w:rsidRPr="002415CD" w:rsidRDefault="00936880" w:rsidP="00956BB9">
            <w:pPr>
              <w:spacing w:line="276" w:lineRule="auto"/>
              <w:jc w:val="both"/>
              <w:rPr>
                <w:rFonts w:ascii="Verdana" w:eastAsia="Calibri" w:hAnsi="Verdana" w:cs="Arial"/>
                <w:lang w:val="es-ES" w:eastAsia="es-ES"/>
              </w:rPr>
            </w:pPr>
          </w:p>
        </w:tc>
      </w:tr>
      <w:tr w:rsidR="00722A6C" w:rsidRPr="00B52642" w14:paraId="5CE8EE56" w14:textId="77777777" w:rsidTr="00956BB9">
        <w:tc>
          <w:tcPr>
            <w:tcW w:w="2689" w:type="dxa"/>
          </w:tcPr>
          <w:p w14:paraId="08E75A74" w14:textId="77777777" w:rsidR="00722A6C" w:rsidRPr="00B52642" w:rsidRDefault="00722A6C" w:rsidP="00956BB9">
            <w:pPr>
              <w:ind w:firstLine="567"/>
              <w:jc w:val="both"/>
              <w:rPr>
                <w:rFonts w:ascii="Verdana" w:eastAsia="Calibri" w:hAnsi="Verdana" w:cs="Arial"/>
                <w:b/>
                <w:lang w:val="es-ES_tradnl" w:eastAsia="es-ES_tradnl"/>
              </w:rPr>
            </w:pPr>
            <w:r w:rsidRPr="00B52642">
              <w:rPr>
                <w:rFonts w:ascii="Verdana" w:eastAsia="Calibri" w:hAnsi="Verdana" w:cs="Arial"/>
                <w:b/>
                <w:lang w:val="es-ES_tradnl" w:eastAsia="es-ES_tradnl"/>
              </w:rPr>
              <w:t>Radicación:</w:t>
            </w:r>
            <w:r w:rsidRPr="00B52642">
              <w:rPr>
                <w:rFonts w:ascii="Verdana" w:eastAsia="Calibri" w:hAnsi="Verdana" w:cs="Arial"/>
                <w:lang w:val="es-ES_tradnl" w:eastAsia="es-ES_tradnl"/>
              </w:rPr>
              <w:t xml:space="preserve">               </w:t>
            </w:r>
          </w:p>
        </w:tc>
        <w:tc>
          <w:tcPr>
            <w:tcW w:w="6100" w:type="dxa"/>
          </w:tcPr>
          <w:p w14:paraId="2E85C525" w14:textId="77777777" w:rsidR="00722A6C" w:rsidRPr="00B52642" w:rsidRDefault="00722A6C" w:rsidP="00956BB9">
            <w:pPr>
              <w:jc w:val="both"/>
              <w:rPr>
                <w:rFonts w:ascii="Verdana" w:eastAsia="Calibri" w:hAnsi="Verdana" w:cs="Arial"/>
                <w:lang w:val="es-ES_tradnl" w:eastAsia="es-ES_tradnl"/>
              </w:rPr>
            </w:pPr>
            <w:r w:rsidRPr="00B52642">
              <w:rPr>
                <w:rFonts w:ascii="Verdana" w:eastAsia="Calibri" w:hAnsi="Verdana" w:cs="Arial"/>
                <w:lang w:val="es-ES_tradnl" w:eastAsia="es-ES_tradnl"/>
              </w:rPr>
              <w:t>Respuesta a consulta con radicado No. 1</w:t>
            </w:r>
            <w:r w:rsidRPr="003642E1">
              <w:rPr>
                <w:rFonts w:ascii="Verdana" w:eastAsia="Calibri" w:hAnsi="Verdana" w:cs="Arial"/>
                <w:lang w:val="es-ES_tradnl" w:eastAsia="es-ES_tradnl"/>
              </w:rPr>
              <w:t>_2025_12_15_013942</w:t>
            </w:r>
          </w:p>
        </w:tc>
      </w:tr>
    </w:tbl>
    <w:p w14:paraId="6F0C4789" w14:textId="77777777" w:rsidR="002F1DC2" w:rsidRPr="00B52642" w:rsidRDefault="002F1DC2" w:rsidP="002F1DC2">
      <w:pPr>
        <w:spacing w:after="0" w:line="240" w:lineRule="auto"/>
        <w:jc w:val="both"/>
        <w:rPr>
          <w:rFonts w:ascii="Verdana" w:eastAsia="Calibri" w:hAnsi="Verdana" w:cs="Arial"/>
          <w:lang w:val="es-ES_tradnl" w:eastAsia="es-ES_tradnl"/>
        </w:rPr>
      </w:pPr>
    </w:p>
    <w:p w14:paraId="45213AFF" w14:textId="77777777" w:rsidR="002F1DC2" w:rsidRPr="00B52642" w:rsidRDefault="002F1DC2" w:rsidP="002F1DC2">
      <w:pPr>
        <w:spacing w:after="0" w:line="240" w:lineRule="auto"/>
        <w:jc w:val="both"/>
        <w:rPr>
          <w:rFonts w:ascii="Verdana" w:eastAsia="Calibri" w:hAnsi="Verdana" w:cs="Arial"/>
          <w:lang w:val="es-ES_tradnl" w:eastAsia="es-ES_tradnl"/>
        </w:rPr>
      </w:pPr>
    </w:p>
    <w:p w14:paraId="26E11597" w14:textId="77777777" w:rsidR="002F1DC2" w:rsidRPr="00B52642" w:rsidRDefault="002F1DC2" w:rsidP="002F1DC2">
      <w:pPr>
        <w:spacing w:after="0" w:line="276" w:lineRule="auto"/>
        <w:jc w:val="both"/>
        <w:rPr>
          <w:rFonts w:ascii="Verdana" w:eastAsia="Calibri" w:hAnsi="Verdana" w:cs="Arial"/>
          <w:lang w:val="es-ES" w:eastAsia="es-ES"/>
        </w:rPr>
      </w:pPr>
      <w:r w:rsidRPr="00B52642">
        <w:rPr>
          <w:rFonts w:ascii="Verdana" w:eastAsia="Calibri" w:hAnsi="Verdana" w:cs="Arial"/>
          <w:lang w:val="es-ES" w:eastAsia="es-ES"/>
        </w:rPr>
        <w:t>Estimado</w:t>
      </w:r>
      <w:r>
        <w:rPr>
          <w:rFonts w:ascii="Verdana" w:eastAsia="Calibri" w:hAnsi="Verdana" w:cs="Arial"/>
          <w:lang w:val="es-ES" w:eastAsia="es-ES"/>
        </w:rPr>
        <w:t>s señores,</w:t>
      </w:r>
    </w:p>
    <w:p w14:paraId="24060A3D" w14:textId="77777777" w:rsidR="002F1DC2" w:rsidRPr="00B52642" w:rsidRDefault="002F1DC2" w:rsidP="002F1DC2">
      <w:pPr>
        <w:tabs>
          <w:tab w:val="left" w:pos="3768"/>
        </w:tabs>
        <w:spacing w:after="0" w:line="276" w:lineRule="auto"/>
        <w:jc w:val="both"/>
        <w:rPr>
          <w:rFonts w:ascii="Verdana" w:eastAsia="Calibri" w:hAnsi="Verdana" w:cs="Arial"/>
          <w:lang w:val="es-ES" w:eastAsia="es-ES"/>
        </w:rPr>
      </w:pPr>
    </w:p>
    <w:p w14:paraId="66CA551B" w14:textId="028D485B" w:rsidR="002F1DC2" w:rsidRPr="00F05584" w:rsidRDefault="002F1DC2" w:rsidP="004B21FD">
      <w:pPr>
        <w:spacing w:after="120" w:line="276" w:lineRule="auto"/>
        <w:jc w:val="both"/>
        <w:rPr>
          <w:rFonts w:ascii="Verdana" w:eastAsia="Verdana" w:hAnsi="Verdana" w:cs="Verdana"/>
          <w:lang w:val="es-MX"/>
        </w:rPr>
      </w:pPr>
      <w:r w:rsidRPr="00B52642">
        <w:rPr>
          <w:rFonts w:ascii="Verdana" w:eastAsia="Calibri" w:hAnsi="Verdana" w:cs="Arial"/>
          <w:lang w:val="es-ES" w:eastAsia="es-ES"/>
        </w:rPr>
        <w:t>En ejercicio de la competencia otorgada por los artículos 3, numeral 5º, y 11, numeral 8º, del Decreto Ley 4170 de 2011,</w:t>
      </w:r>
      <w:r w:rsidRPr="00B52642">
        <w:rPr>
          <w:rFonts w:ascii="Verdana" w:eastAsia="Arial MT" w:hAnsi="Verdana" w:cs="Arial MT"/>
          <w:lang w:val="es-ES" w:eastAsia="es-ES"/>
        </w:rPr>
        <w:t xml:space="preserve"> </w:t>
      </w:r>
      <w:r w:rsidRPr="66237D1D">
        <w:rPr>
          <w:rFonts w:ascii="Verdana" w:eastAsia="Verdana" w:hAnsi="Verdana" w:cs="Verdana"/>
        </w:rPr>
        <w:t xml:space="preserve">así como lo establecido en el artículo 4 de la Resolución 1707 de 2018 expedida por esta Entidad, </w:t>
      </w:r>
      <w:r w:rsidRPr="00B52642">
        <w:rPr>
          <w:rFonts w:ascii="Verdana" w:eastAsia="Calibri" w:hAnsi="Verdana" w:cs="Arial"/>
          <w:lang w:val="es-ES" w:eastAsia="es-ES"/>
        </w:rPr>
        <w:t xml:space="preserve">la Agencia Nacional de Contratación Pública – Colombia Compra Eficiente– responde su solicitud de petición de fecha </w:t>
      </w:r>
      <w:r>
        <w:rPr>
          <w:rFonts w:ascii="Verdana" w:eastAsia="Calibri" w:hAnsi="Verdana" w:cs="Arial"/>
          <w:lang w:val="es-ES" w:eastAsia="es-ES"/>
        </w:rPr>
        <w:t>13</w:t>
      </w:r>
      <w:r w:rsidRPr="00B52642">
        <w:rPr>
          <w:rFonts w:ascii="Verdana" w:eastAsia="Calibri" w:hAnsi="Verdana" w:cs="Arial"/>
          <w:lang w:val="es-ES" w:eastAsia="es-ES"/>
        </w:rPr>
        <w:t xml:space="preserve"> de </w:t>
      </w:r>
      <w:r>
        <w:rPr>
          <w:rFonts w:ascii="Verdana" w:eastAsia="Calibri" w:hAnsi="Verdana" w:cs="Arial"/>
          <w:lang w:val="es-ES" w:eastAsia="es-ES"/>
        </w:rPr>
        <w:t>enero</w:t>
      </w:r>
      <w:r w:rsidRPr="00B52642">
        <w:rPr>
          <w:rFonts w:ascii="Verdana" w:eastAsia="Calibri" w:hAnsi="Verdana" w:cs="Arial"/>
          <w:lang w:val="es-ES" w:eastAsia="es-ES"/>
        </w:rPr>
        <w:t xml:space="preserve"> de 202</w:t>
      </w:r>
      <w:r>
        <w:rPr>
          <w:rFonts w:ascii="Verdana" w:eastAsia="Calibri" w:hAnsi="Verdana" w:cs="Arial"/>
          <w:lang w:val="es-ES" w:eastAsia="es-ES"/>
        </w:rPr>
        <w:t>5</w:t>
      </w:r>
      <w:r w:rsidRPr="00B52642">
        <w:rPr>
          <w:rFonts w:ascii="Verdana" w:eastAsia="Calibri" w:hAnsi="Verdana" w:cs="Arial"/>
          <w:lang w:val="es-ES" w:eastAsia="es-ES"/>
        </w:rPr>
        <w:t>,</w:t>
      </w:r>
      <w:r>
        <w:rPr>
          <w:rFonts w:ascii="Verdana" w:eastAsia="Calibri" w:hAnsi="Verdana" w:cs="Arial"/>
          <w:lang w:val="es-ES" w:eastAsia="es-ES"/>
        </w:rPr>
        <w:t xml:space="preserve"> que fue remitida por la Dirección para la Democracia, la Participación y la Acción Comunal del Ministerio del Interior mediante oficio con Radicado Interno No. </w:t>
      </w:r>
      <w:r w:rsidRPr="003642E1">
        <w:rPr>
          <w:rFonts w:ascii="Verdana" w:eastAsia="Calibri" w:hAnsi="Verdana" w:cs="Arial"/>
          <w:lang w:val="es-ES" w:eastAsia="es-ES"/>
        </w:rPr>
        <w:t xml:space="preserve">2025-1-002100-064170 ID: 591426   </w:t>
      </w:r>
      <w:r>
        <w:rPr>
          <w:rFonts w:ascii="Verdana" w:eastAsia="Calibri" w:hAnsi="Verdana" w:cs="Arial"/>
          <w:lang w:val="es-ES" w:eastAsia="es-ES"/>
        </w:rPr>
        <w:t xml:space="preserve">y radicada el 15 de diciembre de 2025 en nuestro sistema. </w:t>
      </w:r>
      <w:r w:rsidR="00722A6C">
        <w:rPr>
          <w:rFonts w:ascii="Verdana" w:eastAsia="Calibri" w:hAnsi="Verdana" w:cs="Arial"/>
          <w:lang w:val="es-ES" w:eastAsia="es-ES"/>
        </w:rPr>
        <w:t>Usted</w:t>
      </w:r>
      <w:r w:rsidR="00722A6C" w:rsidRPr="00B52642">
        <w:rPr>
          <w:rFonts w:ascii="Verdana" w:eastAsia="Calibri" w:hAnsi="Verdana" w:cs="Arial"/>
          <w:lang w:val="es-ES" w:eastAsia="es-ES"/>
        </w:rPr>
        <w:t xml:space="preserve"> realiza la siguiente consulta</w:t>
      </w:r>
      <w:r w:rsidR="00722A6C" w:rsidRPr="00F05584">
        <w:rPr>
          <w:rFonts w:ascii="Verdana" w:eastAsia="Calibri" w:hAnsi="Verdana" w:cs="Arial"/>
          <w:lang w:val="es-ES" w:eastAsia="es-ES"/>
        </w:rPr>
        <w:t>:</w:t>
      </w:r>
      <w:r w:rsidR="00722A6C" w:rsidRPr="00F05584">
        <w:rPr>
          <w:rFonts w:ascii="Verdana" w:eastAsia="Verdana" w:hAnsi="Verdana" w:cs="Verdana"/>
          <w:lang w:val="es-MX"/>
        </w:rPr>
        <w:t xml:space="preserve"> </w:t>
      </w:r>
      <w:r w:rsidR="005302CC" w:rsidRPr="004B21FD">
        <w:rPr>
          <w:rFonts w:ascii="Verdana" w:eastAsia="Verdana" w:hAnsi="Verdana" w:cs="Verdana"/>
          <w:i/>
          <w:iCs/>
          <w:lang w:val="es-MX"/>
        </w:rPr>
        <w:t>“</w:t>
      </w:r>
      <w:r w:rsidRPr="004B21FD">
        <w:rPr>
          <w:rFonts w:ascii="Verdana" w:eastAsia="Verdana" w:hAnsi="Verdana" w:cs="Verdana"/>
          <w:i/>
          <w:iCs/>
          <w:lang w:val="es-MX"/>
        </w:rPr>
        <w:t>¿Cuáles son los requisitos que debe cumplir una Junta de Acción Comunal, para contratar con las entidades públicas del país?”</w:t>
      </w:r>
      <w:r w:rsidR="00F05584" w:rsidRPr="00F05584">
        <w:rPr>
          <w:rFonts w:ascii="Verdana" w:eastAsia="Verdana" w:hAnsi="Verdana" w:cs="Verdana"/>
          <w:lang w:val="es-MX"/>
        </w:rPr>
        <w:t>.</w:t>
      </w:r>
    </w:p>
    <w:p w14:paraId="7B2FD6D4" w14:textId="77777777" w:rsidR="002F1DC2" w:rsidRPr="00B52642" w:rsidRDefault="002F1DC2" w:rsidP="002F1DC2">
      <w:pPr>
        <w:spacing w:after="120" w:line="276" w:lineRule="auto"/>
        <w:ind w:firstLine="709"/>
        <w:jc w:val="both"/>
        <w:rPr>
          <w:rFonts w:ascii="Verdana" w:eastAsia="Calibri" w:hAnsi="Verdana" w:cs="Arial"/>
          <w:szCs w:val="24"/>
          <w:lang w:val="es-ES_tradnl" w:eastAsia="es-ES_tradnl"/>
        </w:rPr>
      </w:pPr>
      <w:r w:rsidRPr="66237D1D">
        <w:rPr>
          <w:rFonts w:ascii="Verdana" w:eastAsia="Verdana" w:hAnsi="Verdana" w:cs="Verdana"/>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66237D1D">
        <w:rPr>
          <w:rFonts w:ascii="Verdana" w:eastAsia="Verdana" w:hAnsi="Verdana" w:cs="Verdana"/>
          <w:lang w:val="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551840A" w14:textId="77777777" w:rsidR="002F1DC2" w:rsidRPr="00B52642" w:rsidRDefault="002F1DC2" w:rsidP="002F1DC2">
      <w:pPr>
        <w:spacing w:after="0" w:line="276" w:lineRule="auto"/>
        <w:ind w:firstLine="709"/>
        <w:jc w:val="both"/>
        <w:rPr>
          <w:rFonts w:ascii="Verdana" w:eastAsia="Calibri" w:hAnsi="Verdana" w:cs="Arial"/>
          <w:lang w:val="es-ES" w:eastAsia="es-ES"/>
        </w:rPr>
      </w:pPr>
      <w:r w:rsidRPr="00B5264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3436BBE" w14:textId="77777777" w:rsidR="002F1DC2" w:rsidRPr="00B52642" w:rsidRDefault="002F1DC2" w:rsidP="002F1DC2">
      <w:pPr>
        <w:spacing w:after="0" w:line="276" w:lineRule="auto"/>
        <w:ind w:firstLine="709"/>
        <w:jc w:val="both"/>
        <w:rPr>
          <w:rFonts w:ascii="Verdana" w:eastAsia="Calibri" w:hAnsi="Verdana" w:cs="Arial"/>
          <w:lang w:val="es-ES" w:eastAsia="es-ES"/>
        </w:rPr>
      </w:pPr>
    </w:p>
    <w:p w14:paraId="5C893874" w14:textId="77777777" w:rsidR="002F1DC2" w:rsidRPr="00B52642" w:rsidRDefault="002F1DC2" w:rsidP="002F1DC2">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B52642">
        <w:rPr>
          <w:rFonts w:ascii="Verdana" w:eastAsia="Arial" w:hAnsi="Verdana" w:cs="Arial"/>
          <w:b/>
          <w:bCs/>
          <w:lang w:val="es-ES"/>
        </w:rPr>
        <w:t>1. Problema planteado:</w:t>
      </w:r>
    </w:p>
    <w:p w14:paraId="1747B194" w14:textId="77777777" w:rsidR="002F1DC2" w:rsidRPr="00B52642" w:rsidRDefault="002F1DC2" w:rsidP="002F1DC2">
      <w:pPr>
        <w:tabs>
          <w:tab w:val="left" w:pos="426"/>
        </w:tabs>
        <w:spacing w:after="0" w:line="276" w:lineRule="auto"/>
        <w:jc w:val="both"/>
        <w:rPr>
          <w:rFonts w:ascii="Verdana" w:eastAsia="Century Gothic" w:hAnsi="Verdana" w:cs="Century Gothic"/>
          <w:lang w:val="es-ES"/>
        </w:rPr>
      </w:pPr>
    </w:p>
    <w:p w14:paraId="347442C6" w14:textId="77777777" w:rsidR="002F1DC2" w:rsidRDefault="002F1DC2" w:rsidP="002F1DC2">
      <w:pPr>
        <w:spacing w:after="0" w:line="276" w:lineRule="auto"/>
        <w:jc w:val="both"/>
        <w:rPr>
          <w:rFonts w:ascii="Verdana" w:eastAsia="Century Gothic" w:hAnsi="Verdana" w:cs="Century Gothic"/>
        </w:rPr>
      </w:pPr>
      <w:r w:rsidRPr="66237D1D">
        <w:rPr>
          <w:rFonts w:ascii="Verdana" w:eastAsia="Verdana" w:hAnsi="Verdana" w:cs="Verdana"/>
        </w:rPr>
        <w:t xml:space="preserve">De acuerdo con el contenido de su solicitud, </w:t>
      </w:r>
      <w:bookmarkStart w:id="1" w:name="_Hlk171070029"/>
      <w:r w:rsidRPr="66237D1D">
        <w:rPr>
          <w:rFonts w:ascii="Verdana" w:eastAsia="Verdana" w:hAnsi="Verdana" w:cs="Verdana"/>
        </w:rPr>
        <w:t>le informamos que la misma será resuelta desde el siguiente interrogante: ¿</w:t>
      </w:r>
      <w:r w:rsidR="0001486E">
        <w:rPr>
          <w:rFonts w:ascii="Verdana" w:eastAsia="Verdana" w:hAnsi="Verdana" w:cs="Verdana"/>
        </w:rPr>
        <w:t>Cuáles son los requisitos</w:t>
      </w:r>
      <w:r w:rsidRPr="66237D1D">
        <w:rPr>
          <w:rFonts w:ascii="Verdana" w:eastAsia="Verdana" w:hAnsi="Verdana" w:cs="Verdana"/>
        </w:rPr>
        <w:t xml:space="preserve"> </w:t>
      </w:r>
      <w:r w:rsidR="0001486E">
        <w:rPr>
          <w:rFonts w:ascii="Verdana" w:eastAsia="Verdana" w:hAnsi="Verdana" w:cs="Verdana"/>
        </w:rPr>
        <w:t xml:space="preserve">que deben cumplir los </w:t>
      </w:r>
      <w:r w:rsidRPr="66237D1D">
        <w:rPr>
          <w:rFonts w:ascii="Verdana" w:eastAsia="Verdana" w:hAnsi="Verdana" w:cs="Verdana"/>
        </w:rPr>
        <w:t xml:space="preserve">Organismos de Acción Comunal </w:t>
      </w:r>
      <w:r w:rsidR="0001486E">
        <w:rPr>
          <w:rFonts w:ascii="Verdana" w:eastAsia="Verdana" w:hAnsi="Verdana" w:cs="Verdana"/>
        </w:rPr>
        <w:t>para celebrar contratos y</w:t>
      </w:r>
      <w:r>
        <w:rPr>
          <w:rFonts w:ascii="Verdana" w:eastAsia="Verdana" w:hAnsi="Verdana" w:cs="Verdana"/>
        </w:rPr>
        <w:t xml:space="preserve"> </w:t>
      </w:r>
      <w:r w:rsidR="0071174F">
        <w:rPr>
          <w:rFonts w:ascii="Verdana" w:eastAsia="Verdana" w:hAnsi="Verdana" w:cs="Verdana"/>
        </w:rPr>
        <w:t>convenios con Entidades Estatales</w:t>
      </w:r>
      <w:r w:rsidRPr="66237D1D">
        <w:rPr>
          <w:rFonts w:ascii="Verdana" w:eastAsia="Verdana" w:hAnsi="Verdana" w:cs="Verdana"/>
        </w:rPr>
        <w:t>?</w:t>
      </w:r>
    </w:p>
    <w:p w14:paraId="6B326EC2" w14:textId="77777777" w:rsidR="002F1DC2" w:rsidRPr="00B52642" w:rsidRDefault="002F1DC2" w:rsidP="002F1DC2">
      <w:pPr>
        <w:spacing w:after="0" w:line="276" w:lineRule="auto"/>
        <w:jc w:val="both"/>
        <w:rPr>
          <w:rFonts w:ascii="Verdana" w:eastAsia="Calibri" w:hAnsi="Verdana" w:cs="Arial"/>
          <w:lang w:val="es-ES"/>
        </w:rPr>
      </w:pPr>
    </w:p>
    <w:bookmarkEnd w:id="1"/>
    <w:p w14:paraId="08CFF799" w14:textId="77777777" w:rsidR="002F1DC2" w:rsidRPr="00B52642" w:rsidRDefault="002F1DC2" w:rsidP="002F1DC2">
      <w:pPr>
        <w:widowControl w:val="0"/>
        <w:autoSpaceDE w:val="0"/>
        <w:autoSpaceDN w:val="0"/>
        <w:spacing w:before="1" w:after="0" w:line="240" w:lineRule="auto"/>
        <w:jc w:val="both"/>
        <w:outlineLvl w:val="0"/>
        <w:rPr>
          <w:rFonts w:ascii="Verdana" w:eastAsia="Arial" w:hAnsi="Verdana" w:cs="Arial"/>
          <w:b/>
          <w:bCs/>
          <w:lang w:val="es-ES"/>
        </w:rPr>
      </w:pPr>
      <w:r w:rsidRPr="00B52642">
        <w:rPr>
          <w:rFonts w:ascii="Verdana" w:eastAsia="Arial" w:hAnsi="Verdana" w:cs="Arial"/>
          <w:b/>
          <w:bCs/>
          <w:lang w:val="es-ES"/>
        </w:rPr>
        <w:t>2. Respuesta:</w:t>
      </w:r>
    </w:p>
    <w:p w14:paraId="2D5A6A72" w14:textId="77777777" w:rsidR="002F1DC2" w:rsidRPr="00B52642" w:rsidRDefault="002F1DC2" w:rsidP="002F1DC2">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2A6C" w:rsidRPr="00B52642" w14:paraId="03E29CB7" w14:textId="77777777" w:rsidTr="00956BB9">
        <w:tc>
          <w:tcPr>
            <w:tcW w:w="8828" w:type="dxa"/>
          </w:tcPr>
          <w:p w14:paraId="7308BE4E" w14:textId="22C61D90" w:rsidR="00473959" w:rsidRDefault="00473959" w:rsidP="00FB448A">
            <w:pPr>
              <w:pStyle w:val="Textoindependiente"/>
              <w:jc w:val="both"/>
              <w:rPr>
                <w:rFonts w:ascii="Verdana" w:eastAsia="Calibri" w:hAnsi="Verdana" w:cs="Arial"/>
              </w:rPr>
            </w:pPr>
            <w:bookmarkStart w:id="2" w:name="_Hlk171067516"/>
            <w:r>
              <w:rPr>
                <w:rFonts w:ascii="Verdana" w:eastAsia="Calibri" w:hAnsi="Verdana" w:cs="Arial"/>
              </w:rPr>
              <w:t xml:space="preserve">En atención a lo dispuesto en el artículo </w:t>
            </w:r>
            <w:r w:rsidR="00B1653E">
              <w:rPr>
                <w:rFonts w:ascii="Verdana" w:eastAsia="Calibri" w:hAnsi="Verdana" w:cs="Arial"/>
              </w:rPr>
              <w:t>7 de la Ley 2166 de 2021, los Organismos de Acción Comunal</w:t>
            </w:r>
            <w:r w:rsidR="002C54D8">
              <w:rPr>
                <w:rFonts w:ascii="Verdana" w:eastAsia="Calibri" w:hAnsi="Verdana" w:cs="Arial"/>
              </w:rPr>
              <w:t xml:space="preserve"> </w:t>
            </w:r>
            <w:r w:rsidR="00DC44C1">
              <w:rPr>
                <w:rFonts w:ascii="Verdana" w:eastAsia="Calibri" w:hAnsi="Verdana" w:cs="Arial"/>
              </w:rPr>
              <w:t xml:space="preserve">legalmente </w:t>
            </w:r>
            <w:r w:rsidR="002C54D8">
              <w:rPr>
                <w:rFonts w:ascii="Verdana" w:eastAsia="Calibri" w:hAnsi="Verdana" w:cs="Arial"/>
              </w:rPr>
              <w:t>constituidos</w:t>
            </w:r>
            <w:r w:rsidR="00B1653E">
              <w:rPr>
                <w:rFonts w:ascii="Verdana" w:eastAsia="Calibri" w:hAnsi="Verdana" w:cs="Arial"/>
              </w:rPr>
              <w:t xml:space="preserve">, en tanto personas jurídicas </w:t>
            </w:r>
            <w:r w:rsidR="002C54D8">
              <w:rPr>
                <w:rFonts w:ascii="Verdana" w:eastAsia="Calibri" w:hAnsi="Verdana" w:cs="Arial"/>
              </w:rPr>
              <w:t>de naturaleza jurídica,</w:t>
            </w:r>
            <w:r w:rsidR="00DC44C1">
              <w:rPr>
                <w:rFonts w:ascii="Verdana" w:eastAsia="Calibri" w:hAnsi="Verdana" w:cs="Arial"/>
              </w:rPr>
              <w:t xml:space="preserve"> son considera</w:t>
            </w:r>
            <w:r w:rsidR="00A5072D">
              <w:rPr>
                <w:rFonts w:ascii="Verdana" w:eastAsia="Calibri" w:hAnsi="Verdana" w:cs="Arial"/>
              </w:rPr>
              <w:t xml:space="preserve">dos sujetos con facultados para celebrar contratos con el </w:t>
            </w:r>
            <w:r w:rsidR="00200E45">
              <w:rPr>
                <w:rFonts w:ascii="Verdana" w:eastAsia="Calibri" w:hAnsi="Verdana" w:cs="Arial"/>
              </w:rPr>
              <w:t xml:space="preserve">Entidades Estatales. </w:t>
            </w:r>
            <w:r w:rsidR="000078CC">
              <w:rPr>
                <w:rFonts w:ascii="Verdana" w:eastAsia="Calibri" w:hAnsi="Verdana" w:cs="Arial"/>
              </w:rPr>
              <w:t xml:space="preserve">En el mismo sentido, </w:t>
            </w:r>
            <w:r w:rsidR="001A5FBA">
              <w:rPr>
                <w:rFonts w:ascii="Verdana" w:eastAsia="Calibri" w:hAnsi="Verdana" w:cs="Arial"/>
              </w:rPr>
              <w:t xml:space="preserve">estos organismos </w:t>
            </w:r>
            <w:r w:rsidR="000078CC">
              <w:rPr>
                <w:rFonts w:ascii="Verdana" w:eastAsia="Calibri" w:hAnsi="Verdana" w:cs="Arial"/>
              </w:rPr>
              <w:t>para suscribir convenios de asociación</w:t>
            </w:r>
            <w:r w:rsidR="00734E1A">
              <w:rPr>
                <w:rFonts w:ascii="Verdana" w:eastAsia="Calibri" w:hAnsi="Verdana" w:cs="Arial"/>
              </w:rPr>
              <w:t xml:space="preserve">, de acuerdo con el artículo 96 de la Ley 489 de 1998, así como </w:t>
            </w:r>
            <w:r w:rsidR="009D520C">
              <w:rPr>
                <w:rFonts w:ascii="Verdana" w:eastAsia="Calibri" w:hAnsi="Verdana" w:cs="Arial"/>
              </w:rPr>
              <w:t xml:space="preserve">los </w:t>
            </w:r>
            <w:r w:rsidR="00734E1A" w:rsidRPr="00211525">
              <w:rPr>
                <w:rFonts w:ascii="Verdana" w:eastAsia="Calibri" w:hAnsi="Verdana" w:cs="Arial"/>
                <w:i/>
                <w:iCs/>
              </w:rPr>
              <w:t>convenios solidarios</w:t>
            </w:r>
            <w:r w:rsidR="009D520C">
              <w:rPr>
                <w:rFonts w:ascii="Verdana" w:eastAsia="Calibri" w:hAnsi="Verdana" w:cs="Arial"/>
              </w:rPr>
              <w:t xml:space="preserve"> regulados</w:t>
            </w:r>
            <w:r w:rsidR="00734E1A">
              <w:rPr>
                <w:rFonts w:ascii="Verdana" w:eastAsia="Calibri" w:hAnsi="Verdana" w:cs="Arial"/>
              </w:rPr>
              <w:t xml:space="preserve"> </w:t>
            </w:r>
            <w:r w:rsidR="009D520C">
              <w:rPr>
                <w:rFonts w:ascii="Verdana" w:eastAsia="Calibri" w:hAnsi="Verdana" w:cs="Arial"/>
              </w:rPr>
              <w:t xml:space="preserve">por </w:t>
            </w:r>
            <w:r w:rsidR="00734E1A">
              <w:rPr>
                <w:rFonts w:ascii="Verdana" w:eastAsia="Calibri" w:hAnsi="Verdana" w:cs="Arial"/>
              </w:rPr>
              <w:t>l</w:t>
            </w:r>
            <w:r w:rsidR="000C6BE4">
              <w:rPr>
                <w:rFonts w:ascii="Verdana" w:eastAsia="Calibri" w:hAnsi="Verdana" w:cs="Arial"/>
              </w:rPr>
              <w:t>os artículos 63 y 9</w:t>
            </w:r>
            <w:r w:rsidR="001A5FBA">
              <w:rPr>
                <w:rFonts w:ascii="Verdana" w:eastAsia="Calibri" w:hAnsi="Verdana" w:cs="Arial"/>
              </w:rPr>
              <w:t xml:space="preserve">5 de la Ley 2166 de </w:t>
            </w:r>
            <w:r w:rsidR="009D520C">
              <w:rPr>
                <w:rFonts w:ascii="Verdana" w:eastAsia="Calibri" w:hAnsi="Verdana" w:cs="Arial"/>
              </w:rPr>
              <w:t>202</w:t>
            </w:r>
            <w:r w:rsidR="001A5FBA">
              <w:rPr>
                <w:rFonts w:ascii="Verdana" w:eastAsia="Calibri" w:hAnsi="Verdana" w:cs="Arial"/>
              </w:rPr>
              <w:t xml:space="preserve">1. </w:t>
            </w:r>
            <w:r w:rsidR="002C54D8">
              <w:rPr>
                <w:rFonts w:ascii="Verdana" w:eastAsia="Calibri" w:hAnsi="Verdana" w:cs="Arial"/>
              </w:rPr>
              <w:t xml:space="preserve">  </w:t>
            </w:r>
          </w:p>
          <w:p w14:paraId="00B2644B" w14:textId="78EDCEAF" w:rsidR="00722A6C" w:rsidRPr="00282474" w:rsidRDefault="003026FA" w:rsidP="00211525">
            <w:pPr>
              <w:pStyle w:val="Textoindependiente"/>
              <w:ind w:firstLine="709"/>
              <w:jc w:val="both"/>
              <w:rPr>
                <w:rFonts w:ascii="Verdana" w:eastAsia="Calibri" w:hAnsi="Verdana" w:cs="Arial"/>
                <w:lang w:val="es-ES"/>
              </w:rPr>
            </w:pPr>
            <w:r>
              <w:rPr>
                <w:rFonts w:ascii="Verdana" w:eastAsia="Calibri" w:hAnsi="Verdana" w:cs="Arial"/>
              </w:rPr>
              <w:t>Los requisitos que debe</w:t>
            </w:r>
            <w:r w:rsidR="00B22E7C">
              <w:rPr>
                <w:rFonts w:ascii="Verdana" w:eastAsia="Calibri" w:hAnsi="Verdana" w:cs="Arial"/>
              </w:rPr>
              <w:t>n</w:t>
            </w:r>
            <w:r>
              <w:rPr>
                <w:rFonts w:ascii="Verdana" w:eastAsia="Calibri" w:hAnsi="Verdana" w:cs="Arial"/>
              </w:rPr>
              <w:t xml:space="preserve"> cumplir los Organismos de Acción Comunal para </w:t>
            </w:r>
            <w:r w:rsidR="00C33DD1">
              <w:rPr>
                <w:rFonts w:ascii="Verdana" w:eastAsia="Calibri" w:hAnsi="Verdana" w:cs="Arial"/>
              </w:rPr>
              <w:t xml:space="preserve">celebrar este tipo de negocios </w:t>
            </w:r>
            <w:r w:rsidR="00B22E7C">
              <w:rPr>
                <w:rFonts w:ascii="Verdana" w:eastAsia="Calibri" w:hAnsi="Verdana" w:cs="Arial"/>
              </w:rPr>
              <w:t>jurídicos</w:t>
            </w:r>
            <w:r w:rsidR="00C33DD1">
              <w:rPr>
                <w:rFonts w:ascii="Verdana" w:eastAsia="Calibri" w:hAnsi="Verdana" w:cs="Arial"/>
              </w:rPr>
              <w:t xml:space="preserve"> son aquellos que, de conformidad con la le</w:t>
            </w:r>
            <w:r w:rsidR="004679E5">
              <w:rPr>
                <w:rFonts w:ascii="Verdana" w:eastAsia="Calibri" w:hAnsi="Verdana" w:cs="Arial"/>
              </w:rPr>
              <w:t>y y los reglamentos,</w:t>
            </w:r>
            <w:r w:rsidR="00C33DD1">
              <w:rPr>
                <w:rFonts w:ascii="Verdana" w:eastAsia="Calibri" w:hAnsi="Verdana" w:cs="Arial"/>
              </w:rPr>
              <w:t xml:space="preserve"> haya definido </w:t>
            </w:r>
            <w:r w:rsidR="00722A6C" w:rsidRPr="00A63CF3">
              <w:rPr>
                <w:rFonts w:ascii="Verdana" w:eastAsia="Calibri" w:hAnsi="Verdana" w:cs="Arial"/>
              </w:rPr>
              <w:t xml:space="preserve">la Entidad Estatal </w:t>
            </w:r>
            <w:r w:rsidR="00F032F4">
              <w:rPr>
                <w:rFonts w:ascii="Verdana" w:eastAsia="Calibri" w:hAnsi="Verdana" w:cs="Arial"/>
              </w:rPr>
              <w:t xml:space="preserve">para el respectivo proceso de contratación. </w:t>
            </w:r>
            <w:r w:rsidR="00722A6C" w:rsidRPr="009F6508">
              <w:rPr>
                <w:rFonts w:ascii="Verdana" w:eastAsia="Calibri" w:hAnsi="Verdana" w:cs="Arial"/>
              </w:rPr>
              <w:t xml:space="preserve"> </w:t>
            </w:r>
            <w:r w:rsidR="00E71A66" w:rsidRPr="009F6508">
              <w:rPr>
                <w:rFonts w:ascii="Verdana" w:eastAsia="Calibri" w:hAnsi="Verdana" w:cs="Arial"/>
              </w:rPr>
              <w:t>Dichos requisitos</w:t>
            </w:r>
            <w:r w:rsidR="004625A1">
              <w:rPr>
                <w:rFonts w:ascii="Verdana" w:eastAsia="Calibri" w:hAnsi="Verdana" w:cs="Arial"/>
              </w:rPr>
              <w:t xml:space="preserve"> pueden ser </w:t>
            </w:r>
            <w:r w:rsidR="004625A1" w:rsidRPr="00211525">
              <w:rPr>
                <w:rFonts w:ascii="Verdana" w:eastAsia="Calibri" w:hAnsi="Verdana" w:cs="Arial"/>
                <w:i/>
                <w:iCs/>
              </w:rPr>
              <w:t>habilitantes</w:t>
            </w:r>
            <w:r w:rsidR="004625A1">
              <w:rPr>
                <w:rFonts w:ascii="Verdana" w:eastAsia="Calibri" w:hAnsi="Verdana" w:cs="Arial"/>
              </w:rPr>
              <w:t xml:space="preserve"> o </w:t>
            </w:r>
            <w:r w:rsidR="004625A1" w:rsidRPr="00211525">
              <w:rPr>
                <w:rFonts w:ascii="Verdana" w:eastAsia="Calibri" w:hAnsi="Verdana" w:cs="Arial"/>
                <w:i/>
                <w:iCs/>
              </w:rPr>
              <w:t>ponderables</w:t>
            </w:r>
            <w:r w:rsidR="008F4C97">
              <w:rPr>
                <w:rFonts w:ascii="Verdana" w:eastAsia="Calibri" w:hAnsi="Verdana" w:cs="Arial"/>
                <w:i/>
                <w:iCs/>
              </w:rPr>
              <w:t xml:space="preserve"> y</w:t>
            </w:r>
            <w:r w:rsidR="005979A0">
              <w:rPr>
                <w:rFonts w:ascii="Verdana" w:eastAsia="Calibri" w:hAnsi="Verdana" w:cs="Arial"/>
              </w:rPr>
              <w:t xml:space="preserve"> deben ser establecidos de</w:t>
            </w:r>
            <w:r w:rsidR="00A24912">
              <w:rPr>
                <w:rFonts w:ascii="Verdana" w:eastAsia="Calibri" w:hAnsi="Verdana" w:cs="Arial"/>
              </w:rPr>
              <w:t>ntro del pliego de condiciones</w:t>
            </w:r>
            <w:r w:rsidR="00B22E7C">
              <w:rPr>
                <w:rFonts w:ascii="Verdana" w:eastAsia="Calibri" w:hAnsi="Verdana" w:cs="Arial"/>
              </w:rPr>
              <w:t xml:space="preserve"> o documento equivalente</w:t>
            </w:r>
            <w:r w:rsidR="007D76A4">
              <w:rPr>
                <w:rFonts w:ascii="Verdana" w:eastAsia="Calibri" w:hAnsi="Verdana" w:cs="Arial"/>
              </w:rPr>
              <w:t xml:space="preserve">, </w:t>
            </w:r>
            <w:r w:rsidR="004112CB">
              <w:rPr>
                <w:rFonts w:ascii="Verdana" w:eastAsia="Calibri" w:hAnsi="Verdana" w:cs="Arial"/>
              </w:rPr>
              <w:t>de acuerdo con lo determinado en el marco del análisis del sector</w:t>
            </w:r>
            <w:r w:rsidR="00B22E7C">
              <w:rPr>
                <w:rFonts w:ascii="Verdana" w:eastAsia="Calibri" w:hAnsi="Verdana" w:cs="Arial"/>
              </w:rPr>
              <w:t xml:space="preserve"> económico</w:t>
            </w:r>
            <w:r w:rsidR="004112CB">
              <w:rPr>
                <w:rFonts w:ascii="Verdana" w:eastAsia="Calibri" w:hAnsi="Verdana" w:cs="Arial"/>
              </w:rPr>
              <w:t xml:space="preserve"> y los estudios previos</w:t>
            </w:r>
            <w:r w:rsidR="00357617">
              <w:rPr>
                <w:rFonts w:ascii="Verdana" w:eastAsia="Calibri" w:hAnsi="Verdana" w:cs="Arial"/>
              </w:rPr>
              <w:t xml:space="preserve">. </w:t>
            </w:r>
            <w:r w:rsidR="00FB448A">
              <w:rPr>
                <w:rFonts w:ascii="Verdana" w:eastAsia="Calibri" w:hAnsi="Verdana" w:cs="Arial"/>
              </w:rPr>
              <w:t xml:space="preserve"> </w:t>
            </w:r>
          </w:p>
          <w:p w14:paraId="56BE52A8" w14:textId="24A8285E" w:rsidR="00722A6C" w:rsidRDefault="004154A0" w:rsidP="00956BB9">
            <w:pPr>
              <w:spacing w:before="120" w:after="120" w:line="276" w:lineRule="auto"/>
              <w:ind w:firstLine="741"/>
              <w:jc w:val="both"/>
              <w:rPr>
                <w:rFonts w:ascii="Verdana" w:hAnsi="Verdana" w:cs="Arial"/>
                <w:bCs/>
                <w:lang w:val="es-ES" w:eastAsia="es-ES" w:bidi="es-ES"/>
              </w:rPr>
            </w:pPr>
            <w:r>
              <w:rPr>
                <w:rFonts w:ascii="Verdana" w:hAnsi="Verdana" w:cs="Arial"/>
                <w:bCs/>
                <w:lang w:val="es-ES" w:eastAsia="es-ES" w:bidi="es-ES"/>
              </w:rPr>
              <w:lastRenderedPageBreak/>
              <w:t>L</w:t>
            </w:r>
            <w:r w:rsidR="00DC7D89">
              <w:rPr>
                <w:rFonts w:ascii="Verdana" w:hAnsi="Verdana" w:cs="Arial"/>
                <w:bCs/>
                <w:lang w:val="es-ES" w:eastAsia="es-ES" w:bidi="es-ES"/>
              </w:rPr>
              <w:t xml:space="preserve">os </w:t>
            </w:r>
            <w:r w:rsidR="00DC7D89" w:rsidRPr="00211525">
              <w:rPr>
                <w:rFonts w:ascii="Verdana" w:hAnsi="Verdana" w:cs="Arial"/>
                <w:bCs/>
                <w:i/>
                <w:iCs/>
                <w:lang w:val="es-ES" w:eastAsia="es-ES" w:bidi="es-ES"/>
              </w:rPr>
              <w:t>requisitos</w:t>
            </w:r>
            <w:r w:rsidR="008F4C97" w:rsidRPr="00211525">
              <w:rPr>
                <w:rFonts w:ascii="Verdana" w:hAnsi="Verdana" w:cs="Arial"/>
                <w:bCs/>
                <w:i/>
                <w:iCs/>
                <w:lang w:val="es-ES" w:eastAsia="es-ES" w:bidi="es-ES"/>
              </w:rPr>
              <w:t xml:space="preserve"> habilitantes</w:t>
            </w:r>
            <w:r w:rsidR="00DC7D89">
              <w:rPr>
                <w:rFonts w:ascii="Verdana" w:hAnsi="Verdana" w:cs="Arial"/>
                <w:bCs/>
                <w:lang w:val="es-ES" w:eastAsia="es-ES" w:bidi="es-ES"/>
              </w:rPr>
              <w:t xml:space="preserve"> </w:t>
            </w:r>
            <w:r w:rsidR="00C10D64">
              <w:rPr>
                <w:rFonts w:ascii="Verdana" w:hAnsi="Verdana" w:cs="Arial"/>
                <w:bCs/>
                <w:lang w:val="es-ES" w:eastAsia="es-ES" w:bidi="es-ES"/>
              </w:rPr>
              <w:t xml:space="preserve">se rigen por lo dispuesto en </w:t>
            </w:r>
            <w:r w:rsidR="00722A6C" w:rsidRPr="008D5F06">
              <w:rPr>
                <w:rFonts w:ascii="Verdana" w:hAnsi="Verdana" w:cs="Arial"/>
                <w:bCs/>
                <w:lang w:val="es-ES" w:eastAsia="es-ES" w:bidi="es-ES"/>
              </w:rPr>
              <w:t>el numeral 1 del artículo 5 de la Ley 1150 de 2007</w:t>
            </w:r>
            <w:r w:rsidR="00E42F6F">
              <w:rPr>
                <w:rFonts w:ascii="Verdana" w:hAnsi="Verdana" w:cs="Arial"/>
                <w:bCs/>
                <w:lang w:val="es-ES" w:eastAsia="es-ES" w:bidi="es-ES"/>
              </w:rPr>
              <w:t xml:space="preserve"> y son </w:t>
            </w:r>
            <w:r w:rsidR="00722A6C" w:rsidRPr="008D5F06">
              <w:rPr>
                <w:rFonts w:ascii="Verdana" w:hAnsi="Verdana" w:cs="Arial"/>
                <w:bCs/>
                <w:lang w:val="es-ES" w:eastAsia="es-ES" w:bidi="es-ES"/>
              </w:rPr>
              <w:t xml:space="preserve">exigibles en la generalidad de los procesos de selección adelantados conforma al -EGCAP-, tales </w:t>
            </w:r>
            <w:r w:rsidR="00722A6C" w:rsidRPr="008D5F06">
              <w:rPr>
                <w:rFonts w:ascii="Verdana" w:eastAsia="Calibri" w:hAnsi="Verdana" w:cs="Arial"/>
                <w:bCs/>
                <w:lang w:val="es-MX"/>
              </w:rPr>
              <w:t xml:space="preserve">como la capacidad jurídica, las condiciones de experiencia, la capacidad financiera y de organización, los cuales –en principio, salvo expresa disposición legal– no otorgan puntaje.  </w:t>
            </w:r>
            <w:r w:rsidR="00B51E8D">
              <w:rPr>
                <w:rFonts w:ascii="Verdana" w:hAnsi="Verdana" w:cs="Arial"/>
                <w:bCs/>
                <w:lang w:val="es-ES" w:eastAsia="es-ES" w:bidi="es-ES"/>
              </w:rPr>
              <w:t>Estos requisitos están dirigido</w:t>
            </w:r>
            <w:r w:rsidR="004C5415">
              <w:rPr>
                <w:rFonts w:ascii="Verdana" w:hAnsi="Verdana" w:cs="Arial"/>
                <w:bCs/>
                <w:lang w:val="es-ES" w:eastAsia="es-ES" w:bidi="es-ES"/>
              </w:rPr>
              <w:t>s</w:t>
            </w:r>
            <w:r w:rsidR="00B51E8D">
              <w:rPr>
                <w:rFonts w:ascii="Verdana" w:hAnsi="Verdana" w:cs="Arial"/>
                <w:bCs/>
                <w:lang w:val="es-ES" w:eastAsia="es-ES" w:bidi="es-ES"/>
              </w:rPr>
              <w:t xml:space="preserve"> a determinar la capacidad</w:t>
            </w:r>
            <w:r w:rsidR="000774BD">
              <w:rPr>
                <w:rFonts w:ascii="Verdana" w:hAnsi="Verdana" w:cs="Arial"/>
                <w:bCs/>
                <w:lang w:val="es-ES" w:eastAsia="es-ES" w:bidi="es-ES"/>
              </w:rPr>
              <w:t xml:space="preserve"> e</w:t>
            </w:r>
            <w:r w:rsidR="00B51E8D">
              <w:rPr>
                <w:rFonts w:ascii="Verdana" w:hAnsi="Verdana" w:cs="Arial"/>
                <w:bCs/>
                <w:lang w:val="es-ES" w:eastAsia="es-ES" w:bidi="es-ES"/>
              </w:rPr>
              <w:t xml:space="preserve"> idone</w:t>
            </w:r>
            <w:r w:rsidR="003A50B0">
              <w:rPr>
                <w:rFonts w:ascii="Verdana" w:hAnsi="Verdana" w:cs="Arial"/>
                <w:bCs/>
                <w:lang w:val="es-ES" w:eastAsia="es-ES" w:bidi="es-ES"/>
              </w:rPr>
              <w:t>idad</w:t>
            </w:r>
            <w:r w:rsidR="000774BD">
              <w:rPr>
                <w:rFonts w:ascii="Verdana" w:hAnsi="Verdana" w:cs="Arial"/>
                <w:bCs/>
                <w:lang w:val="es-ES" w:eastAsia="es-ES" w:bidi="es-ES"/>
              </w:rPr>
              <w:t xml:space="preserve"> </w:t>
            </w:r>
            <w:r w:rsidR="004C5415">
              <w:rPr>
                <w:rFonts w:ascii="Verdana" w:hAnsi="Verdana" w:cs="Arial"/>
                <w:bCs/>
                <w:lang w:val="es-ES" w:eastAsia="es-ES" w:bidi="es-ES"/>
              </w:rPr>
              <w:t xml:space="preserve">del eventual contratista </w:t>
            </w:r>
            <w:r w:rsidR="000774BD">
              <w:rPr>
                <w:rFonts w:ascii="Verdana" w:hAnsi="Verdana" w:cs="Arial"/>
                <w:bCs/>
                <w:lang w:val="es-ES" w:eastAsia="es-ES" w:bidi="es-ES"/>
              </w:rPr>
              <w:t xml:space="preserve">para suscribir y </w:t>
            </w:r>
            <w:r w:rsidR="00654CD4">
              <w:rPr>
                <w:rFonts w:ascii="Verdana" w:hAnsi="Verdana" w:cs="Arial"/>
                <w:bCs/>
                <w:lang w:val="es-ES" w:eastAsia="es-ES" w:bidi="es-ES"/>
              </w:rPr>
              <w:t>ejecutar el contrato.</w:t>
            </w:r>
            <w:r w:rsidR="00CA7B80">
              <w:rPr>
                <w:rFonts w:ascii="Verdana" w:hAnsi="Verdana" w:cs="Arial"/>
                <w:bCs/>
                <w:lang w:val="es-ES" w:eastAsia="es-ES" w:bidi="es-ES"/>
              </w:rPr>
              <w:t xml:space="preserve"> Tales requisitos deben ser</w:t>
            </w:r>
            <w:r w:rsidR="00DC701F">
              <w:rPr>
                <w:rFonts w:ascii="Verdana" w:hAnsi="Verdana" w:cs="Arial"/>
                <w:bCs/>
                <w:lang w:val="es-ES" w:eastAsia="es-ES" w:bidi="es-ES"/>
              </w:rPr>
              <w:t xml:space="preserve"> </w:t>
            </w:r>
            <w:r w:rsidR="00691A7E">
              <w:rPr>
                <w:rFonts w:ascii="Verdana" w:hAnsi="Verdana" w:cs="Arial"/>
                <w:bCs/>
                <w:lang w:val="es-ES" w:eastAsia="es-ES" w:bidi="es-ES"/>
              </w:rPr>
              <w:t>deben</w:t>
            </w:r>
            <w:r w:rsidR="00CA7B80">
              <w:rPr>
                <w:rFonts w:ascii="Verdana" w:hAnsi="Verdana" w:cs="Arial"/>
                <w:bCs/>
                <w:lang w:val="es-ES" w:eastAsia="es-ES" w:bidi="es-ES"/>
              </w:rPr>
              <w:t xml:space="preserve"> fijados </w:t>
            </w:r>
            <w:r w:rsidR="00200FDA">
              <w:rPr>
                <w:rFonts w:ascii="Verdana" w:hAnsi="Verdana" w:cs="Arial"/>
                <w:bCs/>
                <w:lang w:val="es-ES" w:eastAsia="es-ES" w:bidi="es-ES"/>
              </w:rPr>
              <w:t>durante la etapa de planeación</w:t>
            </w:r>
            <w:r w:rsidR="00722A6C" w:rsidRPr="008D5F06">
              <w:rPr>
                <w:rFonts w:ascii="Verdana" w:hAnsi="Verdana" w:cs="Arial"/>
                <w:bCs/>
                <w:lang w:val="es-ES" w:eastAsia="es-ES" w:bidi="es-ES"/>
              </w:rPr>
              <w:t xml:space="preserve"> </w:t>
            </w:r>
            <w:r w:rsidR="00222234">
              <w:rPr>
                <w:rFonts w:ascii="Verdana" w:hAnsi="Verdana" w:cs="Arial"/>
                <w:bCs/>
                <w:lang w:val="es-ES" w:eastAsia="es-ES" w:bidi="es-ES"/>
              </w:rPr>
              <w:t>y deben ser</w:t>
            </w:r>
            <w:r w:rsidR="00200FDA">
              <w:rPr>
                <w:rFonts w:ascii="Verdana" w:hAnsi="Verdana" w:cs="Arial"/>
                <w:bCs/>
                <w:lang w:val="es-ES" w:eastAsia="es-ES" w:bidi="es-ES"/>
              </w:rPr>
              <w:t xml:space="preserve"> </w:t>
            </w:r>
            <w:r w:rsidR="00722A6C" w:rsidRPr="008D5F06">
              <w:rPr>
                <w:rFonts w:ascii="Verdana" w:hAnsi="Verdana" w:cs="Arial"/>
                <w:bCs/>
                <w:i/>
                <w:iCs/>
                <w:lang w:val="es-ES" w:eastAsia="es-ES" w:bidi="es-ES"/>
              </w:rPr>
              <w:t>adecuados y proporcionales</w:t>
            </w:r>
            <w:r w:rsidR="00722A6C" w:rsidRPr="008D5F06">
              <w:rPr>
                <w:rFonts w:ascii="Verdana" w:hAnsi="Verdana" w:cs="Arial"/>
                <w:bCs/>
                <w:lang w:val="es-ES" w:eastAsia="es-ES" w:bidi="es-ES"/>
              </w:rPr>
              <w:t xml:space="preserve"> al</w:t>
            </w:r>
            <w:r w:rsidR="00E610AB">
              <w:rPr>
                <w:rFonts w:ascii="Verdana" w:hAnsi="Verdana" w:cs="Arial"/>
                <w:bCs/>
                <w:lang w:val="es-ES" w:eastAsia="es-ES" w:bidi="es-ES"/>
              </w:rPr>
              <w:t xml:space="preserve"> </w:t>
            </w:r>
            <w:r w:rsidR="00694004">
              <w:rPr>
                <w:rFonts w:ascii="Verdana" w:hAnsi="Verdana" w:cs="Arial"/>
                <w:bCs/>
                <w:lang w:val="es-ES" w:eastAsia="es-ES" w:bidi="es-ES"/>
              </w:rPr>
              <w:t>objeto y valor del contrato</w:t>
            </w:r>
            <w:r w:rsidR="00222234">
              <w:rPr>
                <w:rFonts w:ascii="Verdana" w:hAnsi="Verdana" w:cs="Arial"/>
                <w:bCs/>
                <w:lang w:val="es-ES" w:eastAsia="es-ES" w:bidi="es-ES"/>
              </w:rPr>
              <w:t>.</w:t>
            </w:r>
            <w:r w:rsidR="00694004">
              <w:rPr>
                <w:rFonts w:ascii="Verdana" w:hAnsi="Verdana" w:cs="Arial"/>
                <w:bCs/>
                <w:lang w:val="es-ES" w:eastAsia="es-ES" w:bidi="es-ES"/>
              </w:rPr>
              <w:t xml:space="preserve"> </w:t>
            </w:r>
            <w:r w:rsidR="00722A6C" w:rsidRPr="008D5F06">
              <w:rPr>
                <w:rFonts w:ascii="Verdana" w:hAnsi="Verdana" w:cs="Arial"/>
                <w:bCs/>
                <w:lang w:val="es-ES" w:eastAsia="es-ES" w:bidi="es-ES"/>
              </w:rPr>
              <w:t xml:space="preserve"> </w:t>
            </w:r>
          </w:p>
          <w:p w14:paraId="4FAD1D17" w14:textId="1F3CCE49" w:rsidR="00D3465E" w:rsidRDefault="00694004" w:rsidP="00D75EE0">
            <w:pPr>
              <w:spacing w:before="120" w:after="120" w:line="276" w:lineRule="auto"/>
              <w:ind w:firstLine="741"/>
              <w:jc w:val="both"/>
              <w:rPr>
                <w:rFonts w:ascii="Verdana" w:eastAsia="Calibri" w:hAnsi="Verdana" w:cs="Arial"/>
                <w:bCs/>
                <w:lang w:val="es-MX"/>
              </w:rPr>
            </w:pPr>
            <w:r>
              <w:rPr>
                <w:rFonts w:ascii="Verdana" w:hAnsi="Verdana" w:cs="Arial"/>
                <w:lang w:val="es-ES" w:eastAsia="es-ES" w:bidi="es-ES"/>
              </w:rPr>
              <w:t xml:space="preserve">De otra </w:t>
            </w:r>
            <w:r w:rsidR="00B25B50">
              <w:rPr>
                <w:rFonts w:ascii="Verdana" w:hAnsi="Verdana" w:cs="Arial"/>
                <w:lang w:val="es-ES" w:eastAsia="es-ES" w:bidi="es-ES"/>
              </w:rPr>
              <w:t>parte</w:t>
            </w:r>
            <w:r w:rsidR="00222234">
              <w:rPr>
                <w:rFonts w:ascii="Verdana" w:eastAsia="Calibri" w:hAnsi="Verdana" w:cs="Arial"/>
                <w:lang w:val="es-ES"/>
              </w:rPr>
              <w:t>,</w:t>
            </w:r>
            <w:r w:rsidR="00222234" w:rsidRPr="00DF405B">
              <w:rPr>
                <w:rFonts w:ascii="Verdana" w:hAnsi="Verdana" w:cs="Arial"/>
                <w:lang w:val="es-ES" w:eastAsia="es-ES" w:bidi="es-ES"/>
              </w:rPr>
              <w:t xml:space="preserve"> </w:t>
            </w:r>
            <w:r w:rsidR="00D75EE0" w:rsidRPr="00DF405B">
              <w:rPr>
                <w:rFonts w:ascii="Verdana" w:hAnsi="Verdana" w:cs="Arial"/>
                <w:lang w:val="es-ES" w:eastAsia="es-ES" w:bidi="es-ES"/>
              </w:rPr>
              <w:t xml:space="preserve">los </w:t>
            </w:r>
            <w:r w:rsidR="004747DC" w:rsidRPr="00211525">
              <w:rPr>
                <w:rFonts w:ascii="Verdana" w:eastAsia="Calibri" w:hAnsi="Verdana" w:cs="Arial"/>
                <w:i/>
                <w:iCs/>
                <w:lang w:val="es-ES"/>
              </w:rPr>
              <w:t>requisitos ponderables</w:t>
            </w:r>
            <w:r w:rsidR="00722A6C" w:rsidRPr="00DF405B">
              <w:rPr>
                <w:rFonts w:ascii="Verdana" w:eastAsia="Calibri" w:hAnsi="Verdana" w:cs="Arial"/>
                <w:lang w:val="es-ES"/>
              </w:rPr>
              <w:t xml:space="preserve"> </w:t>
            </w:r>
            <w:r w:rsidR="004747DC">
              <w:rPr>
                <w:rFonts w:ascii="Verdana" w:eastAsia="Calibri" w:hAnsi="Verdana" w:cs="Arial"/>
                <w:lang w:val="es-ES"/>
              </w:rPr>
              <w:t xml:space="preserve">o </w:t>
            </w:r>
            <w:r w:rsidR="00722A6C" w:rsidRPr="00211525">
              <w:rPr>
                <w:rFonts w:ascii="Verdana" w:eastAsia="Calibri" w:hAnsi="Verdana" w:cs="Arial"/>
                <w:i/>
                <w:iCs/>
                <w:lang w:val="es-ES"/>
              </w:rPr>
              <w:t xml:space="preserve">factores de escogencia </w:t>
            </w:r>
            <w:r w:rsidR="00D75EE0">
              <w:rPr>
                <w:rFonts w:ascii="Verdana" w:eastAsia="Calibri" w:hAnsi="Verdana" w:cs="Arial"/>
                <w:i/>
                <w:iCs/>
                <w:lang w:val="es-ES"/>
              </w:rPr>
              <w:t>o</w:t>
            </w:r>
            <w:r w:rsidR="00722A6C" w:rsidRPr="00211525">
              <w:rPr>
                <w:rFonts w:ascii="Verdana" w:eastAsia="Calibri" w:hAnsi="Verdana" w:cs="Arial"/>
                <w:i/>
                <w:iCs/>
                <w:lang w:val="es-ES"/>
              </w:rPr>
              <w:t xml:space="preserve"> calificación</w:t>
            </w:r>
            <w:r w:rsidR="00722A6C" w:rsidRPr="00DF405B">
              <w:rPr>
                <w:rFonts w:ascii="Verdana" w:eastAsia="Calibri" w:hAnsi="Verdana" w:cs="Arial"/>
                <w:lang w:val="es-ES"/>
              </w:rPr>
              <w:t xml:space="preserve">, </w:t>
            </w:r>
            <w:r w:rsidR="00D75EE0">
              <w:rPr>
                <w:rFonts w:ascii="Verdana" w:eastAsia="Calibri" w:hAnsi="Verdana" w:cs="Arial"/>
                <w:lang w:val="es-ES"/>
              </w:rPr>
              <w:t xml:space="preserve">a diferencia de las condiciones habilitantes, están </w:t>
            </w:r>
            <w:r w:rsidR="00722A6C" w:rsidRPr="00DF405B">
              <w:rPr>
                <w:rFonts w:ascii="Verdana" w:eastAsia="Calibri" w:hAnsi="Verdana" w:cs="Arial"/>
                <w:lang w:val="es-ES"/>
              </w:rPr>
              <w:t>orientados a</w:t>
            </w:r>
            <w:r w:rsidR="00626BD6">
              <w:rPr>
                <w:rFonts w:ascii="Verdana" w:eastAsia="Calibri" w:hAnsi="Verdana" w:cs="Arial"/>
                <w:lang w:val="es-ES"/>
              </w:rPr>
              <w:t xml:space="preserve"> permitir la comparación de ofertas </w:t>
            </w:r>
            <w:r w:rsidR="002713E7">
              <w:rPr>
                <w:rFonts w:ascii="Verdana" w:eastAsia="Calibri" w:hAnsi="Verdana" w:cs="Arial"/>
                <w:lang w:val="es-ES"/>
              </w:rPr>
              <w:t xml:space="preserve">con el fin de determinar cuál es la </w:t>
            </w:r>
            <w:r w:rsidR="00722A6C" w:rsidRPr="00DF405B">
              <w:rPr>
                <w:rFonts w:ascii="Verdana" w:eastAsia="Calibri" w:hAnsi="Verdana" w:cs="Arial"/>
                <w:lang w:val="es-ES"/>
              </w:rPr>
              <w:t xml:space="preserve">más favorable para la entidad. </w:t>
            </w:r>
            <w:r w:rsidR="00A63C9C">
              <w:rPr>
                <w:rFonts w:ascii="Verdana" w:eastAsia="Calibri" w:hAnsi="Verdana" w:cs="Arial"/>
                <w:lang w:val="es-ES"/>
              </w:rPr>
              <w:t xml:space="preserve">Estos requisitos </w:t>
            </w:r>
            <w:r w:rsidR="00722A6C" w:rsidRPr="00DF405B">
              <w:rPr>
                <w:rFonts w:ascii="Verdana" w:eastAsia="Calibri" w:hAnsi="Verdana" w:cs="Arial"/>
                <w:lang w:val="es-ES"/>
              </w:rPr>
              <w:t>permiten comparar la</w:t>
            </w:r>
            <w:r w:rsidR="00EC1B90">
              <w:rPr>
                <w:rFonts w:ascii="Verdana" w:eastAsia="Calibri" w:hAnsi="Verdana" w:cs="Arial"/>
                <w:lang w:val="es-ES"/>
              </w:rPr>
              <w:t>s</w:t>
            </w:r>
            <w:r w:rsidR="00722A6C" w:rsidRPr="00DF405B">
              <w:rPr>
                <w:rFonts w:ascii="Verdana" w:eastAsia="Calibri" w:hAnsi="Verdana" w:cs="Arial"/>
                <w:lang w:val="es-ES"/>
              </w:rPr>
              <w:t xml:space="preserve"> propuestas a partir de criterios técnicos y económicos</w:t>
            </w:r>
            <w:r w:rsidR="00613A3B">
              <w:rPr>
                <w:rFonts w:ascii="Verdana" w:eastAsia="Calibri" w:hAnsi="Verdana" w:cs="Arial"/>
                <w:lang w:val="es-ES"/>
              </w:rPr>
              <w:t xml:space="preserve"> previamente definidos por la entidad estatal,</w:t>
            </w:r>
            <w:r w:rsidR="00663A99">
              <w:rPr>
                <w:rFonts w:ascii="Verdana" w:eastAsia="Calibri" w:hAnsi="Verdana" w:cs="Arial"/>
                <w:lang w:val="es-ES"/>
              </w:rPr>
              <w:t xml:space="preserve"> que se</w:t>
            </w:r>
            <w:r w:rsidR="00136126">
              <w:rPr>
                <w:rFonts w:ascii="Verdana" w:eastAsia="Calibri" w:hAnsi="Verdana" w:cs="Arial"/>
                <w:lang w:val="es-ES"/>
              </w:rPr>
              <w:t xml:space="preserve"> </w:t>
            </w:r>
            <w:r w:rsidR="00663A99">
              <w:rPr>
                <w:rFonts w:ascii="Verdana" w:eastAsia="Calibri" w:hAnsi="Verdana" w:cs="Arial"/>
                <w:lang w:val="es-ES"/>
              </w:rPr>
              <w:t xml:space="preserve">basan en </w:t>
            </w:r>
            <w:r w:rsidR="00136126">
              <w:rPr>
                <w:rFonts w:ascii="Verdana" w:eastAsia="Calibri" w:hAnsi="Verdana" w:cs="Arial"/>
                <w:lang w:val="es-ES"/>
              </w:rPr>
              <w:t>sistemas de asignación de puntajes</w:t>
            </w:r>
            <w:r w:rsidR="00202259">
              <w:rPr>
                <w:rFonts w:ascii="Verdana" w:eastAsia="Calibri" w:hAnsi="Verdana" w:cs="Arial"/>
                <w:lang w:val="es-ES"/>
              </w:rPr>
              <w:t>, formulas o</w:t>
            </w:r>
            <w:r w:rsidR="00663A99">
              <w:rPr>
                <w:rFonts w:ascii="Verdana" w:eastAsia="Calibri" w:hAnsi="Verdana" w:cs="Arial"/>
                <w:lang w:val="es-ES"/>
              </w:rPr>
              <w:t xml:space="preserve"> menor valor ofertado.</w:t>
            </w:r>
            <w:r w:rsidR="00D3465E">
              <w:rPr>
                <w:rFonts w:ascii="Verdana" w:eastAsia="Calibri" w:hAnsi="Verdana" w:cs="Arial"/>
                <w:bCs/>
                <w:lang w:val="es-MX"/>
              </w:rPr>
              <w:t xml:space="preserve"> Tales factores además deben ser establecidos de acuerdo con la modalidad de selección, </w:t>
            </w:r>
            <w:r w:rsidR="002A69AB">
              <w:rPr>
                <w:rFonts w:ascii="Verdana" w:eastAsia="Calibri" w:hAnsi="Verdana" w:cs="Arial"/>
                <w:bCs/>
                <w:lang w:val="es-MX"/>
              </w:rPr>
              <w:t xml:space="preserve">con sujeción </w:t>
            </w:r>
            <w:r w:rsidR="00D3465E">
              <w:rPr>
                <w:rFonts w:ascii="Verdana" w:eastAsia="Calibri" w:hAnsi="Verdana" w:cs="Arial"/>
                <w:bCs/>
                <w:lang w:val="es-MX"/>
              </w:rPr>
              <w:t xml:space="preserve">con lo establecido en los </w:t>
            </w:r>
            <w:r w:rsidR="00A73974">
              <w:rPr>
                <w:rFonts w:ascii="Verdana" w:eastAsia="Calibri" w:hAnsi="Verdana" w:cs="Arial"/>
                <w:bCs/>
                <w:lang w:val="es-MX"/>
              </w:rPr>
              <w:t>numerales</w:t>
            </w:r>
            <w:r w:rsidR="002A69AB">
              <w:rPr>
                <w:rFonts w:ascii="Verdana" w:eastAsia="Calibri" w:hAnsi="Verdana" w:cs="Arial"/>
                <w:bCs/>
                <w:lang w:val="es-MX"/>
              </w:rPr>
              <w:t xml:space="preserve"> 2, 3</w:t>
            </w:r>
            <w:r w:rsidR="00101332">
              <w:rPr>
                <w:rFonts w:ascii="Verdana" w:eastAsia="Calibri" w:hAnsi="Verdana" w:cs="Arial"/>
                <w:bCs/>
                <w:lang w:val="es-MX"/>
              </w:rPr>
              <w:t xml:space="preserve"> y</w:t>
            </w:r>
            <w:r w:rsidR="002A69AB">
              <w:rPr>
                <w:rFonts w:ascii="Verdana" w:eastAsia="Calibri" w:hAnsi="Verdana" w:cs="Arial"/>
                <w:bCs/>
                <w:lang w:val="es-MX"/>
              </w:rPr>
              <w:t xml:space="preserve"> </w:t>
            </w:r>
            <w:r w:rsidR="00140C60">
              <w:rPr>
                <w:rFonts w:ascii="Verdana" w:eastAsia="Calibri" w:hAnsi="Verdana" w:cs="Arial"/>
                <w:bCs/>
                <w:lang w:val="es-MX"/>
              </w:rPr>
              <w:t>4</w:t>
            </w:r>
            <w:r w:rsidR="00101332">
              <w:rPr>
                <w:rFonts w:ascii="Verdana" w:eastAsia="Calibri" w:hAnsi="Verdana" w:cs="Arial"/>
                <w:bCs/>
                <w:lang w:val="es-MX"/>
              </w:rPr>
              <w:t xml:space="preserve"> del artículo 5 de la Ley 1150 de 2007. </w:t>
            </w:r>
            <w:r w:rsidR="00A73974">
              <w:rPr>
                <w:rFonts w:ascii="Verdana" w:eastAsia="Calibri" w:hAnsi="Verdana" w:cs="Arial"/>
                <w:bCs/>
                <w:lang w:val="es-MX"/>
              </w:rPr>
              <w:t xml:space="preserve"> </w:t>
            </w:r>
          </w:p>
          <w:p w14:paraId="474A8EF0" w14:textId="583EE6EF" w:rsidR="00663A99" w:rsidRDefault="001761EB" w:rsidP="00956BB9">
            <w:pPr>
              <w:pStyle w:val="Textoindependiente"/>
              <w:ind w:firstLine="709"/>
              <w:jc w:val="both"/>
              <w:rPr>
                <w:rFonts w:ascii="Verdana" w:eastAsia="Calibri" w:hAnsi="Verdana" w:cs="Arial"/>
                <w:bCs/>
                <w:color w:val="000000" w:themeColor="text1"/>
              </w:rPr>
            </w:pPr>
            <w:r>
              <w:rPr>
                <w:rFonts w:ascii="Verdana" w:eastAsia="Calibri" w:hAnsi="Verdana" w:cs="Arial"/>
                <w:bCs/>
                <w:lang w:val="es-MX"/>
              </w:rPr>
              <w:t xml:space="preserve">Adicionalmente, para </w:t>
            </w:r>
            <w:r w:rsidR="00163556">
              <w:rPr>
                <w:rFonts w:ascii="Verdana" w:eastAsia="Calibri" w:hAnsi="Verdana" w:cs="Arial"/>
                <w:bCs/>
                <w:lang w:val="es-MX"/>
              </w:rPr>
              <w:t>iniciar la ejecución del contrato o convenio</w:t>
            </w:r>
            <w:r w:rsidR="00C623BF">
              <w:rPr>
                <w:rFonts w:ascii="Verdana" w:eastAsia="Calibri" w:hAnsi="Verdana" w:cs="Arial"/>
                <w:bCs/>
                <w:lang w:val="es-MX"/>
              </w:rPr>
              <w:t xml:space="preserve">, es necesario acreditar los requisitos de ejecución, que </w:t>
            </w:r>
            <w:r w:rsidR="002C3911">
              <w:rPr>
                <w:rFonts w:ascii="Verdana" w:eastAsia="Calibri" w:hAnsi="Verdana" w:cs="Arial"/>
                <w:bCs/>
                <w:lang w:val="es-MX"/>
              </w:rPr>
              <w:t xml:space="preserve">de acuerdo con la ley o la autonomía de la voluntad resulten exigibles. En ese sentido, </w:t>
            </w:r>
            <w:r w:rsidR="00FC78E5">
              <w:rPr>
                <w:rFonts w:ascii="Verdana" w:eastAsia="Calibri" w:hAnsi="Verdana" w:cs="Arial"/>
                <w:bCs/>
                <w:lang w:val="es-MX"/>
              </w:rPr>
              <w:t xml:space="preserve">de conformidad con lo establecido en el artículo 41 de la Ley 80 de 1993, </w:t>
            </w:r>
            <w:r w:rsidR="002357C8">
              <w:rPr>
                <w:rFonts w:ascii="Verdana" w:eastAsia="Calibri" w:hAnsi="Verdana" w:cs="Arial"/>
                <w:bCs/>
                <w:lang w:val="es-MX"/>
              </w:rPr>
              <w:t xml:space="preserve">además de la expedición de certificados de disponibilidad y registros presupuestales, </w:t>
            </w:r>
            <w:r w:rsidR="00FF6B6D">
              <w:rPr>
                <w:rFonts w:ascii="Verdana" w:eastAsia="Calibri" w:hAnsi="Verdana" w:cs="Arial"/>
                <w:bCs/>
                <w:lang w:val="es-MX"/>
              </w:rPr>
              <w:t xml:space="preserve">para iniciar la ejecución del contrato es necesario que </w:t>
            </w:r>
            <w:r w:rsidR="00C63CCE">
              <w:rPr>
                <w:rFonts w:ascii="Verdana" w:eastAsia="Calibri" w:hAnsi="Verdana" w:cs="Arial"/>
                <w:bCs/>
                <w:lang w:val="es-MX"/>
              </w:rPr>
              <w:t>se hayan</w:t>
            </w:r>
            <w:r w:rsidR="004E0776">
              <w:rPr>
                <w:rFonts w:ascii="Verdana" w:eastAsia="Calibri" w:hAnsi="Verdana" w:cs="Arial"/>
                <w:bCs/>
                <w:lang w:val="es-MX"/>
              </w:rPr>
              <w:t xml:space="preserve"> </w:t>
            </w:r>
            <w:r w:rsidR="00C63CCE">
              <w:rPr>
                <w:rFonts w:ascii="Verdana" w:eastAsia="Calibri" w:hAnsi="Verdana" w:cs="Arial"/>
                <w:bCs/>
                <w:lang w:val="es-MX"/>
              </w:rPr>
              <w:t xml:space="preserve">sido </w:t>
            </w:r>
            <w:r w:rsidR="004E0776">
              <w:rPr>
                <w:rFonts w:ascii="Verdana" w:eastAsia="Calibri" w:hAnsi="Verdana" w:cs="Arial"/>
                <w:bCs/>
                <w:lang w:val="es-MX"/>
              </w:rPr>
              <w:t>aprobadas constitu</w:t>
            </w:r>
            <w:r w:rsidR="00C63CCE">
              <w:rPr>
                <w:rFonts w:ascii="Verdana" w:eastAsia="Calibri" w:hAnsi="Verdana" w:cs="Arial"/>
                <w:bCs/>
                <w:lang w:val="es-MX"/>
              </w:rPr>
              <w:t>idas</w:t>
            </w:r>
            <w:r w:rsidR="004E0776">
              <w:rPr>
                <w:rFonts w:ascii="Verdana" w:eastAsia="Calibri" w:hAnsi="Verdana" w:cs="Arial"/>
                <w:bCs/>
                <w:lang w:val="es-MX"/>
              </w:rPr>
              <w:t xml:space="preserve"> en favor de la entidad estatal</w:t>
            </w:r>
            <w:r w:rsidR="003E0EED">
              <w:rPr>
                <w:rFonts w:ascii="Verdana" w:eastAsia="Calibri" w:hAnsi="Verdana" w:cs="Arial"/>
                <w:bCs/>
                <w:lang w:val="es-MX"/>
              </w:rPr>
              <w:t xml:space="preserve"> y </w:t>
            </w:r>
            <w:r w:rsidR="004E0776">
              <w:rPr>
                <w:rFonts w:ascii="Verdana" w:eastAsia="Calibri" w:hAnsi="Verdana" w:cs="Arial"/>
                <w:bCs/>
                <w:lang w:val="es-MX"/>
              </w:rPr>
              <w:t xml:space="preserve"> </w:t>
            </w:r>
            <w:r w:rsidR="003E0EED">
              <w:rPr>
                <w:rFonts w:ascii="Verdana" w:eastAsia="Calibri" w:hAnsi="Verdana" w:cs="Arial"/>
                <w:bCs/>
              </w:rPr>
              <w:t xml:space="preserve">que el contratista se </w:t>
            </w:r>
            <w:r w:rsidR="00C63CCE" w:rsidRPr="00C63CCE">
              <w:rPr>
                <w:rFonts w:ascii="Verdana" w:eastAsia="Calibri" w:hAnsi="Verdana" w:cs="Arial"/>
                <w:bCs/>
              </w:rPr>
              <w:t>encuentr</w:t>
            </w:r>
            <w:r w:rsidR="003E0EED">
              <w:rPr>
                <w:rFonts w:ascii="Verdana" w:eastAsia="Calibri" w:hAnsi="Verdana" w:cs="Arial"/>
                <w:bCs/>
              </w:rPr>
              <w:t>e</w:t>
            </w:r>
            <w:r w:rsidR="00C63CCE" w:rsidRPr="00C63CCE">
              <w:rPr>
                <w:rFonts w:ascii="Verdana" w:eastAsia="Calibri" w:hAnsi="Verdana" w:cs="Arial"/>
                <w:bCs/>
              </w:rPr>
              <w:t xml:space="preserve"> al día en el pago de aportes parafiscales relativos al Sistema de Seguridad Social Integral, así como los propios del Sena, ICBF y Cajas de Compensación Familiar, cuando corresponda. </w:t>
            </w:r>
          </w:p>
          <w:p w14:paraId="653A2D24" w14:textId="718CF2C6" w:rsidR="00722A6C" w:rsidRPr="00B52642" w:rsidRDefault="00722A6C" w:rsidP="00956BB9">
            <w:pPr>
              <w:pStyle w:val="Textoindependiente"/>
              <w:ind w:firstLine="709"/>
              <w:jc w:val="both"/>
              <w:rPr>
                <w:rFonts w:ascii="Verdana" w:eastAsia="Calibri" w:hAnsi="Verdana" w:cs="Arial"/>
                <w:lang w:val="es-ES"/>
              </w:rPr>
            </w:pPr>
            <w:r>
              <w:rPr>
                <w:rFonts w:ascii="Verdana" w:eastAsia="Calibri" w:hAnsi="Verdana" w:cs="Arial"/>
                <w:bCs/>
                <w:color w:val="000000" w:themeColor="text1"/>
              </w:rPr>
              <w:t>Finalmente, a</w:t>
            </w:r>
            <w:r w:rsidRPr="00CA001D">
              <w:rPr>
                <w:rFonts w:ascii="Verdana" w:eastAsia="Calibri" w:hAnsi="Verdana" w:cs="Arial"/>
                <w:bCs/>
                <w:color w:val="000000" w:themeColor="text1"/>
              </w:rPr>
              <w:t xml:space="preserve">l margen de la explicación precedente debe advertirse que </w:t>
            </w:r>
            <w:r w:rsidRPr="00CA001D">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CA001D">
              <w:rPr>
                <w:rStyle w:val="apple-converted-space"/>
                <w:rFonts w:ascii="Verdana" w:hAnsi="Verdana"/>
                <w:color w:val="000000" w:themeColor="text1"/>
              </w:rPr>
              <w:t> </w:t>
            </w:r>
            <w:r w:rsidRPr="00CA001D">
              <w:rPr>
                <w:rStyle w:val="s15"/>
                <w:rFonts w:ascii="Verdana" w:hAnsi="Verdana"/>
                <w:color w:val="000000" w:themeColor="text1"/>
              </w:rPr>
              <w:t>Por lo anterior, previo</w:t>
            </w:r>
            <w:r w:rsidRPr="00CA001D">
              <w:rPr>
                <w:rStyle w:val="apple-converted-space"/>
                <w:rFonts w:ascii="Verdana" w:hAnsi="Verdana"/>
                <w:color w:val="000000" w:themeColor="text1"/>
              </w:rPr>
              <w:t> </w:t>
            </w:r>
            <w:r w:rsidRPr="00CA001D">
              <w:rPr>
                <w:rStyle w:val="s15"/>
                <w:rFonts w:ascii="Verdana" w:hAnsi="Verdana"/>
                <w:color w:val="000000" w:themeColor="text1"/>
              </w:rPr>
              <w:t xml:space="preserve">concepto de sus asesores, la solución de situaciones particulares corresponde a los interesados adoptar la decisión correspondiente y, en caso de conflicto, a las autoridades judiciales, fiscales y disciplinarias. Así, cada </w:t>
            </w:r>
            <w:r w:rsidRPr="00CA001D">
              <w:rPr>
                <w:rStyle w:val="s15"/>
                <w:rFonts w:ascii="Verdana" w:hAnsi="Verdana"/>
                <w:color w:val="000000" w:themeColor="text1"/>
              </w:rPr>
              <w:lastRenderedPageBreak/>
              <w:t>entidad definirá la forma de adelantar su gestión contractual, sin que sea atribución de Colombia Compra Eficiente validar sus actuaciones.</w:t>
            </w:r>
          </w:p>
        </w:tc>
      </w:tr>
      <w:bookmarkEnd w:id="2"/>
    </w:tbl>
    <w:p w14:paraId="27A2DBC5" w14:textId="77777777" w:rsidR="002F1DC2" w:rsidRPr="00B52642" w:rsidRDefault="002F1DC2" w:rsidP="002F1DC2">
      <w:pPr>
        <w:widowControl w:val="0"/>
        <w:autoSpaceDE w:val="0"/>
        <w:autoSpaceDN w:val="0"/>
        <w:spacing w:before="1" w:after="0" w:line="240" w:lineRule="auto"/>
        <w:ind w:left="360" w:hanging="360"/>
        <w:outlineLvl w:val="0"/>
        <w:rPr>
          <w:rFonts w:ascii="Verdana" w:eastAsia="Arial" w:hAnsi="Verdana" w:cs="Arial"/>
          <w:b/>
          <w:bCs/>
          <w:lang w:val="es-ES"/>
        </w:rPr>
      </w:pPr>
    </w:p>
    <w:p w14:paraId="2DD5CC64" w14:textId="77777777" w:rsidR="002F1DC2" w:rsidRPr="00B52642" w:rsidRDefault="002F1DC2" w:rsidP="002F1DC2">
      <w:pPr>
        <w:widowControl w:val="0"/>
        <w:autoSpaceDE w:val="0"/>
        <w:autoSpaceDN w:val="0"/>
        <w:spacing w:before="1" w:after="0" w:line="240" w:lineRule="auto"/>
        <w:ind w:left="360" w:hanging="360"/>
        <w:outlineLvl w:val="0"/>
        <w:rPr>
          <w:rFonts w:ascii="Verdana" w:eastAsia="Arial" w:hAnsi="Verdana" w:cs="Arial"/>
          <w:b/>
          <w:bCs/>
          <w:lang w:val="es-ES"/>
        </w:rPr>
      </w:pPr>
      <w:r w:rsidRPr="00B52642">
        <w:rPr>
          <w:rFonts w:ascii="Verdana" w:eastAsia="Arial" w:hAnsi="Verdana" w:cs="Arial"/>
          <w:b/>
          <w:bCs/>
          <w:lang w:val="es-ES"/>
        </w:rPr>
        <w:t>3. Razones de la respuesta</w:t>
      </w:r>
    </w:p>
    <w:p w14:paraId="7E0ED82A" w14:textId="77777777" w:rsidR="002F1DC2" w:rsidRPr="00B52642" w:rsidRDefault="002F1DC2" w:rsidP="002F1DC2">
      <w:pPr>
        <w:spacing w:after="0" w:line="276" w:lineRule="auto"/>
        <w:jc w:val="both"/>
        <w:rPr>
          <w:rFonts w:ascii="Verdana" w:eastAsia="Calibri" w:hAnsi="Verdana" w:cs="Arial"/>
          <w:lang w:val="es-ES"/>
        </w:rPr>
      </w:pPr>
    </w:p>
    <w:p w14:paraId="1A87BA2C" w14:textId="77777777" w:rsidR="002F1DC2" w:rsidRPr="00B52642" w:rsidRDefault="002F1DC2" w:rsidP="002F1DC2">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63FDE7A6" w14:textId="77777777" w:rsidR="002F1DC2" w:rsidRPr="00B52642" w:rsidRDefault="002F1DC2" w:rsidP="002F1DC2">
      <w:pPr>
        <w:spacing w:after="0" w:line="276" w:lineRule="auto"/>
        <w:contextualSpacing/>
        <w:jc w:val="both"/>
        <w:rPr>
          <w:rFonts w:ascii="Verdana" w:eastAsia="Calibri" w:hAnsi="Verdana" w:cs="Arial"/>
          <w:lang w:val="es-ES"/>
        </w:rPr>
      </w:pPr>
    </w:p>
    <w:p w14:paraId="1EACB7F4" w14:textId="77777777" w:rsidR="00722A6C" w:rsidRDefault="00722A6C" w:rsidP="00722A6C">
      <w:pPr>
        <w:spacing w:after="120" w:line="276" w:lineRule="auto"/>
        <w:jc w:val="both"/>
        <w:rPr>
          <w:rFonts w:ascii="Verdana" w:hAnsi="Verdana" w:cs="Arial"/>
          <w:bCs/>
          <w:lang w:val="es-ES_tradnl" w:eastAsia="es-ES" w:bidi="es-ES"/>
        </w:rPr>
      </w:pPr>
      <w:r w:rsidRPr="00CC581A">
        <w:rPr>
          <w:rFonts w:ascii="Verdana" w:hAnsi="Verdana" w:cs="Arial"/>
          <w:bCs/>
          <w:lang w:val="es-ES_tradnl" w:eastAsia="es-ES" w:bidi="es-ES"/>
        </w:rPr>
        <w:t>i) Lo</w:t>
      </w:r>
      <w:r w:rsidRPr="0041694B">
        <w:rPr>
          <w:rFonts w:ascii="Verdana" w:hAnsi="Verdana" w:cs="Arial"/>
          <w:bCs/>
          <w:lang w:val="es-ES_tradnl" w:eastAsia="es-ES" w:bidi="es-ES"/>
        </w:rPr>
        <w:t xml:space="preserve">s </w:t>
      </w:r>
      <w:r w:rsidRPr="00540444">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w:t>
      </w:r>
      <w:r>
        <w:rPr>
          <w:rFonts w:ascii="Verdana" w:hAnsi="Verdana" w:cs="Arial"/>
          <w:bCs/>
          <w:lang w:val="es-ES_tradnl" w:eastAsia="es-ES" w:bidi="es-ES"/>
        </w:rPr>
        <w:t>a</w:t>
      </w:r>
      <w:r w:rsidRPr="0041694B">
        <w:rPr>
          <w:rFonts w:ascii="Verdana" w:hAnsi="Verdana" w:cs="Arial"/>
          <w:bCs/>
          <w:lang w:val="es-ES_tradnl" w:eastAsia="es-ES" w:bidi="es-ES"/>
        </w:rPr>
        <w:t xml:space="preserve">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en que estos son los factores definidos por la Entidad Estatal para la asignación de puntaje en el momento de la comparación de las ofertas, y que, a partir de su ponderación, permiten establecer el orden de elegibilidad y</w:t>
      </w:r>
      <w:r w:rsidRPr="00C94107">
        <w:rPr>
          <w:rFonts w:ascii="Verdana" w:hAnsi="Verdana" w:cs="Arial"/>
          <w:bCs/>
          <w:lang w:val="es-ES_tradnl" w:eastAsia="es-ES" w:bidi="es-ES"/>
        </w:rPr>
        <w:t>, por ende,</w:t>
      </w:r>
      <w:r>
        <w:rPr>
          <w:rFonts w:ascii="Verdana" w:hAnsi="Verdana" w:cs="Arial"/>
          <w:bCs/>
          <w:lang w:val="es-ES_tradnl" w:eastAsia="es-ES" w:bidi="es-ES"/>
        </w:rPr>
        <w:t xml:space="preserve"> </w:t>
      </w:r>
      <w:r w:rsidRPr="0041694B">
        <w:rPr>
          <w:rFonts w:ascii="Verdana" w:hAnsi="Verdana" w:cs="Arial"/>
          <w:bCs/>
          <w:lang w:val="es-ES_tradnl" w:eastAsia="es-ES" w:bidi="es-ES"/>
        </w:rPr>
        <w:t xml:space="preserve">la propuesta ganadora. </w:t>
      </w:r>
    </w:p>
    <w:p w14:paraId="6319CDA7" w14:textId="77777777" w:rsidR="00722A6C" w:rsidRPr="000D0F09" w:rsidRDefault="00722A6C" w:rsidP="00722A6C">
      <w:pPr>
        <w:spacing w:after="120" w:line="276" w:lineRule="auto"/>
        <w:ind w:firstLine="708"/>
        <w:jc w:val="both"/>
        <w:rPr>
          <w:rFonts w:ascii="Verdana" w:eastAsia="Calibri" w:hAnsi="Verdana" w:cs="Arial"/>
          <w:lang w:val="es-ES" w:eastAsia="es-MX"/>
        </w:rPr>
      </w:pPr>
      <w:bookmarkStart w:id="3" w:name="_Hlk191626670"/>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w:t>
      </w:r>
      <w:bookmarkEnd w:id="3"/>
      <w:r w:rsidRPr="001A4E79">
        <w:rPr>
          <w:rFonts w:ascii="Verdana" w:eastAsia="Calibri" w:hAnsi="Verdana" w:cs="Arial"/>
          <w:lang w:val="es-ES" w:eastAsia="es-MX"/>
        </w:rPr>
        <w:t>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w:t>
      </w:r>
      <w:bookmarkStart w:id="4" w:name="_Hlk191626971"/>
      <w:r w:rsidRPr="001A4E79">
        <w:rPr>
          <w:rFonts w:ascii="Verdana" w:eastAsia="Calibri" w:hAnsi="Verdana" w:cs="Arial"/>
          <w:lang w:val="es-ES" w:eastAsia="es-MX"/>
        </w:rPr>
        <w:t>artículo 5, parágrafos 1º al 4º, de la Ley 1150 de 2007</w:t>
      </w:r>
      <w:bookmarkEnd w:id="4"/>
      <w:r w:rsidRPr="001A4E79">
        <w:rPr>
          <w:rFonts w:ascii="Verdana" w:eastAsia="Calibri" w:hAnsi="Verdana" w:cs="Arial"/>
          <w:lang w:val="es-ES" w:eastAsia="es-MX"/>
        </w:rPr>
        <w:t>.</w:t>
      </w:r>
    </w:p>
    <w:p w14:paraId="6FF35A7A" w14:textId="77777777" w:rsidR="00722A6C" w:rsidRPr="00C94107" w:rsidRDefault="00722A6C" w:rsidP="00722A6C">
      <w:pPr>
        <w:spacing w:after="120" w:line="276" w:lineRule="auto"/>
        <w:ind w:firstLine="708"/>
        <w:jc w:val="both"/>
        <w:rPr>
          <w:rFonts w:ascii="Verdana" w:hAnsi="Verdana" w:cs="Arial"/>
          <w:color w:val="000000" w:themeColor="text1"/>
          <w:lang w:val="es-ES_tradnl"/>
        </w:rPr>
      </w:pPr>
      <w:r w:rsidRPr="00C94107">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C94107">
        <w:rPr>
          <w:rFonts w:ascii="Verdana" w:hAnsi="Verdana" w:cs="Arial"/>
          <w:i/>
          <w:iCs/>
          <w:color w:val="000000" w:themeColor="text1"/>
          <w:lang w:val="es-ES_tradnl"/>
        </w:rPr>
        <w:t>.</w:t>
      </w:r>
      <w:r w:rsidRPr="00C94107">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65E30037" w14:textId="77777777" w:rsidR="00722A6C" w:rsidRPr="0041694B" w:rsidRDefault="00722A6C" w:rsidP="00722A6C">
      <w:pPr>
        <w:spacing w:after="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Específicamente, el numeral 1º del artículo</w:t>
      </w:r>
      <w:r>
        <w:rPr>
          <w:rFonts w:ascii="Verdana" w:hAnsi="Verdana" w:cs="Arial"/>
          <w:bCs/>
          <w:lang w:val="es-ES" w:eastAsia="es-ES" w:bidi="es-ES"/>
        </w:rPr>
        <w:t xml:space="preserve"> 5 de la Ley 1150 de 2007 </w:t>
      </w:r>
      <w:r w:rsidRPr="0041694B">
        <w:rPr>
          <w:rFonts w:ascii="Verdana" w:hAnsi="Verdana" w:cs="Arial"/>
          <w:bCs/>
          <w:lang w:val="es-ES" w:eastAsia="es-ES" w:bidi="es-ES"/>
        </w:rPr>
        <w:t>establece que</w:t>
      </w:r>
      <w:r w:rsidRPr="00C94107">
        <w:rPr>
          <w:rFonts w:ascii="Verdana" w:hAnsi="Verdana" w:cs="Arial"/>
          <w:bCs/>
          <w:lang w:val="es-ES" w:eastAsia="es-ES" w:bidi="es-ES"/>
        </w:rPr>
        <w:t>,</w:t>
      </w:r>
      <w:r w:rsidRPr="0041694B">
        <w:rPr>
          <w:rFonts w:ascii="Verdana" w:hAnsi="Verdana" w:cs="Arial"/>
          <w:bCs/>
          <w:lang w:val="es-ES" w:eastAsia="es-ES" w:bidi="es-ES"/>
        </w:rPr>
        <w:t xml:space="preserve"> en los procesos de selección de contratistas</w:t>
      </w:r>
      <w:r w:rsidRPr="00C94107">
        <w:rPr>
          <w:rFonts w:ascii="Verdana" w:hAnsi="Verdana" w:cs="Arial"/>
          <w:bCs/>
          <w:lang w:val="es-ES" w:eastAsia="es-ES" w:bidi="es-ES"/>
        </w:rPr>
        <w:t>,</w:t>
      </w:r>
      <w:r w:rsidRPr="0041694B">
        <w:rPr>
          <w:rFonts w:ascii="Verdana" w:hAnsi="Verdana" w:cs="Arial"/>
          <w:bCs/>
          <w:lang w:val="es-ES" w:eastAsia="es-ES" w:bidi="es-ES"/>
        </w:rPr>
        <w:t xml:space="preserve">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xml:space="preserve">, los siguientes: </w:t>
      </w:r>
      <w:r>
        <w:rPr>
          <w:rFonts w:ascii="Verdana" w:hAnsi="Verdana" w:cs="Arial"/>
          <w:bCs/>
          <w:lang w:val="es-ES" w:eastAsia="es-ES" w:bidi="es-ES"/>
        </w:rPr>
        <w:t>(</w:t>
      </w:r>
      <w:r w:rsidRPr="0041694B">
        <w:rPr>
          <w:rFonts w:ascii="Verdana" w:hAnsi="Verdana" w:cs="Arial"/>
          <w:bCs/>
          <w:lang w:val="es-ES" w:eastAsia="es-ES" w:bidi="es-ES"/>
        </w:rPr>
        <w:t xml:space="preserve">i) la </w:t>
      </w:r>
      <w:r w:rsidRPr="0041694B">
        <w:rPr>
          <w:rFonts w:ascii="Verdana" w:hAnsi="Verdana" w:cs="Arial"/>
          <w:bCs/>
          <w:lang w:val="es-ES" w:eastAsia="es-ES" w:bidi="es-ES"/>
        </w:rPr>
        <w:lastRenderedPageBreak/>
        <w:t xml:space="preserve">capacidad jurídica; </w:t>
      </w:r>
      <w:r>
        <w:rPr>
          <w:rFonts w:ascii="Verdana" w:hAnsi="Verdana" w:cs="Arial"/>
          <w:bCs/>
          <w:lang w:val="es-ES" w:eastAsia="es-ES" w:bidi="es-ES"/>
        </w:rPr>
        <w:t>(</w:t>
      </w:r>
      <w:r w:rsidRPr="0041694B">
        <w:rPr>
          <w:rFonts w:ascii="Verdana" w:hAnsi="Verdana" w:cs="Arial"/>
          <w:bCs/>
          <w:lang w:val="es-ES" w:eastAsia="es-ES" w:bidi="es-ES"/>
        </w:rPr>
        <w:t xml:space="preserve">ii) la experiencia; </w:t>
      </w:r>
      <w:r>
        <w:rPr>
          <w:rFonts w:ascii="Verdana" w:hAnsi="Verdana" w:cs="Arial"/>
          <w:bCs/>
          <w:lang w:val="es-ES" w:eastAsia="es-ES" w:bidi="es-ES"/>
        </w:rPr>
        <w:t>(</w:t>
      </w:r>
      <w:r w:rsidRPr="0041694B">
        <w:rPr>
          <w:rFonts w:ascii="Verdana" w:hAnsi="Verdana" w:cs="Arial"/>
          <w:bCs/>
          <w:lang w:val="es-ES" w:eastAsia="es-ES" w:bidi="es-ES"/>
        </w:rPr>
        <w:t xml:space="preserve">iii) la capacidad financiera y </w:t>
      </w:r>
      <w:r>
        <w:rPr>
          <w:rFonts w:ascii="Verdana" w:hAnsi="Verdana" w:cs="Arial"/>
          <w:bCs/>
          <w:lang w:val="es-ES" w:eastAsia="es-ES" w:bidi="es-ES"/>
        </w:rPr>
        <w:t>(</w:t>
      </w:r>
      <w:r w:rsidRPr="0041694B">
        <w:rPr>
          <w:rFonts w:ascii="Verdana" w:hAnsi="Verdana" w:cs="Arial"/>
          <w:bCs/>
          <w:lang w:val="es-ES" w:eastAsia="es-ES" w:bidi="es-ES"/>
        </w:rPr>
        <w:t>iv)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508C2E99" w14:textId="77777777" w:rsidR="00722A6C" w:rsidRPr="00C94107" w:rsidRDefault="00722A6C" w:rsidP="00722A6C">
      <w:pPr>
        <w:spacing w:after="0" w:line="276" w:lineRule="auto"/>
        <w:ind w:firstLine="708"/>
        <w:jc w:val="both"/>
        <w:rPr>
          <w:rFonts w:ascii="Verdana" w:hAnsi="Verdana" w:cs="Arial"/>
          <w:bCs/>
          <w:lang w:val="es-ES" w:eastAsia="es-ES" w:bidi="es-ES"/>
        </w:rPr>
      </w:pPr>
    </w:p>
    <w:p w14:paraId="2CE47DA6" w14:textId="77777777" w:rsidR="00722A6C" w:rsidRPr="00810146" w:rsidRDefault="00722A6C" w:rsidP="00722A6C">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i/>
          <w:sz w:val="20"/>
          <w:szCs w:val="20"/>
          <w:lang w:val="es-ES_tradnl" w:eastAsia="es-ES" w:bidi="es-ES"/>
        </w:rPr>
        <w:t>“</w:t>
      </w:r>
      <w:r w:rsidRPr="00810146">
        <w:rPr>
          <w:rFonts w:ascii="Verdana" w:hAnsi="Verdana" w:cs="Arial"/>
          <w:sz w:val="20"/>
          <w:szCs w:val="20"/>
          <w:lang w:val="es-ES_tradnl" w:eastAsia="es-ES" w:bidi="es-ES"/>
        </w:rPr>
        <w:t xml:space="preserve">Artículo 5. De la Selección Objetiva. </w:t>
      </w:r>
    </w:p>
    <w:p w14:paraId="54B50984" w14:textId="77777777" w:rsidR="00722A6C" w:rsidRPr="00810146" w:rsidRDefault="00722A6C" w:rsidP="00722A6C">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w:t>
      </w:r>
    </w:p>
    <w:p w14:paraId="403B0058" w14:textId="77777777" w:rsidR="00722A6C" w:rsidRPr="00810146" w:rsidRDefault="00722A6C" w:rsidP="00722A6C">
      <w:pPr>
        <w:spacing w:after="0" w:line="240" w:lineRule="auto"/>
        <w:ind w:left="709" w:right="709"/>
        <w:jc w:val="both"/>
        <w:rPr>
          <w:rFonts w:ascii="Verdana" w:hAnsi="Verdana" w:cs="Arial"/>
          <w:sz w:val="20"/>
          <w:szCs w:val="20"/>
          <w:lang w:val="es-ES" w:eastAsia="es-ES" w:bidi="es-ES"/>
        </w:rPr>
      </w:pPr>
      <w:r w:rsidRPr="00810146">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288FF52" w14:textId="77777777" w:rsidR="00722A6C" w:rsidRPr="00810146" w:rsidRDefault="00722A6C" w:rsidP="00722A6C">
      <w:pPr>
        <w:spacing w:after="0" w:line="276" w:lineRule="auto"/>
        <w:ind w:right="709"/>
        <w:jc w:val="both"/>
        <w:rPr>
          <w:rFonts w:ascii="Verdana" w:hAnsi="Verdana" w:cs="Arial"/>
          <w:lang w:val="es-ES" w:eastAsia="es-ES" w:bidi="es-ES"/>
        </w:rPr>
      </w:pPr>
    </w:p>
    <w:p w14:paraId="4CB7ADFA" w14:textId="77777777" w:rsidR="00722A6C" w:rsidRPr="001A4E79" w:rsidRDefault="00722A6C" w:rsidP="00722A6C">
      <w:pPr>
        <w:spacing w:after="120" w:line="276" w:lineRule="auto"/>
        <w:ind w:firstLine="708"/>
        <w:jc w:val="both"/>
        <w:rPr>
          <w:rFonts w:ascii="Verdana" w:eastAsia="Times New Roman" w:hAnsi="Verdana" w:cs="Arial"/>
          <w:highlight w:val="cyan"/>
          <w:lang w:val="es-ES_tradnl" w:eastAsia="es-MX"/>
        </w:rPr>
      </w:pPr>
      <w:bookmarkStart w:id="5" w:name="_Hlk99547809"/>
      <w:bookmarkStart w:id="6" w:name="_Hlk99546625"/>
      <w:r w:rsidRPr="001A4E79">
        <w:rPr>
          <w:rFonts w:ascii="Verdana" w:eastAsia="Times New Roman" w:hAnsi="Verdana" w:cs="Arial"/>
          <w:lang w:val="es-ES_tradnl" w:eastAsia="es-MX"/>
        </w:rPr>
        <w:t>La Agencia Nacional de Contratación Pública</w:t>
      </w:r>
      <w:r>
        <w:rPr>
          <w:rFonts w:ascii="Verdana" w:eastAsia="Times New Roman" w:hAnsi="Verdana" w:cs="Arial"/>
          <w:lang w:val="es-ES_tradnl" w:eastAsia="es-MX"/>
        </w:rPr>
        <w:t xml:space="preserve"> – Colombia Compra Eficiente</w:t>
      </w:r>
      <w:r w:rsidRPr="001A4E79">
        <w:rPr>
          <w:rFonts w:ascii="Verdana" w:eastAsia="Times New Roman" w:hAnsi="Verdana" w:cs="Arial"/>
          <w:lang w:val="es-ES_tradnl" w:eastAsia="es-MX"/>
        </w:rPr>
        <w:t xml:space="preserve"> ha defendido el carácter </w:t>
      </w:r>
      <w:bookmarkStart w:id="7" w:name="_Hlk99547799"/>
      <w:r w:rsidRPr="001A4E79">
        <w:rPr>
          <w:rFonts w:ascii="Verdana" w:eastAsia="Times New Roman" w:hAnsi="Verdana" w:cs="Arial"/>
          <w:lang w:val="es-ES_tradnl" w:eastAsia="es-MX"/>
        </w:rPr>
        <w:t xml:space="preserve">enunciativo del listado de los requisitos habilitantes contenidos en el numeral 1 del artículo 5 de la Ley 1150 de 2007, en la medida en que </w:t>
      </w:r>
      <w:r>
        <w:rPr>
          <w:rFonts w:ascii="Verdana" w:eastAsia="Times New Roman" w:hAnsi="Verdana" w:cs="Arial"/>
          <w:lang w:val="es-ES_tradnl" w:eastAsia="es-MX"/>
        </w:rPr>
        <w:t xml:space="preserve">la mencionada </w:t>
      </w:r>
      <w:r w:rsidRPr="001A4E79">
        <w:rPr>
          <w:rFonts w:ascii="Verdana" w:eastAsia="Times New Roman" w:hAnsi="Verdana" w:cs="Arial"/>
          <w:lang w:val="es-ES_tradnl" w:eastAsia="es-MX"/>
        </w:rPr>
        <w:t xml:space="preserve">disposición, al referirse a los requisitos habilitantes, no contiene una expresión como </w:t>
      </w:r>
      <w:r>
        <w:rPr>
          <w:rFonts w:ascii="Verdana" w:eastAsia="Times New Roman" w:hAnsi="Verdana" w:cs="Arial"/>
          <w:lang w:val="es-ES_tradnl" w:eastAsia="es-MX"/>
        </w:rPr>
        <w:t>“</w:t>
      </w:r>
      <w:r w:rsidRPr="001A4E79">
        <w:rPr>
          <w:rFonts w:ascii="Verdana" w:eastAsia="Times New Roman" w:hAnsi="Verdana" w:cs="Arial"/>
          <w:lang w:val="es-ES_tradnl" w:eastAsia="es-MX"/>
        </w:rPr>
        <w:t>únicamente</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o </w:t>
      </w:r>
      <w:r>
        <w:rPr>
          <w:rFonts w:ascii="Verdana" w:eastAsia="Times New Roman" w:hAnsi="Verdana" w:cs="Arial"/>
          <w:lang w:val="es-ES_tradnl" w:eastAsia="es-MX"/>
        </w:rPr>
        <w:t>“</w:t>
      </w:r>
      <w:r w:rsidRPr="001A4E79">
        <w:rPr>
          <w:rFonts w:ascii="Verdana" w:eastAsia="Times New Roman" w:hAnsi="Verdana" w:cs="Arial"/>
          <w:lang w:val="es-ES_tradnl" w:eastAsia="es-MX"/>
        </w:rPr>
        <w:t>solo</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de la que pueda colegirse la taxatividad de los requisitos </w:t>
      </w:r>
      <w:r w:rsidRPr="00C94107">
        <w:rPr>
          <w:rFonts w:ascii="Verdana" w:eastAsia="Times New Roman" w:hAnsi="Verdana" w:cs="Arial"/>
          <w:lang w:val="es-ES_tradnl" w:eastAsia="es-MX"/>
        </w:rPr>
        <w:t>señalados.</w:t>
      </w:r>
      <w:r w:rsidRPr="001A4E79">
        <w:rPr>
          <w:rFonts w:ascii="Verdana" w:eastAsia="Times New Roman" w:hAnsi="Verdana" w:cs="Arial"/>
          <w:lang w:val="es-ES_tradnl" w:eastAsia="es-MX"/>
        </w:rPr>
        <w:t xml:space="preserve"> </w:t>
      </w:r>
      <w:bookmarkEnd w:id="5"/>
      <w:bookmarkEnd w:id="7"/>
      <w:r w:rsidRPr="001A4E79">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w:t>
      </w:r>
      <w:r>
        <w:rPr>
          <w:rFonts w:ascii="Verdana" w:eastAsia="Times New Roman" w:hAnsi="Verdana" w:cs="Arial"/>
          <w:lang w:val="es-ES_tradnl" w:eastAsia="es-MX"/>
        </w:rPr>
        <w:t>Estatales</w:t>
      </w:r>
      <w:r w:rsidRPr="001A4E79">
        <w:rPr>
          <w:rFonts w:ascii="Verdana" w:eastAsia="Times New Roman" w:hAnsi="Verdana" w:cs="Arial"/>
          <w:lang w:val="es-ES_tradnl" w:eastAsia="es-MX"/>
        </w:rPr>
        <w:t>, de las que derivan requisitos habilitantes, como sucede, por ejemplo, con la capacidad residual a la que se refiere el artículo 6º, parágrafo 1, de la Ley 1150 de 2007</w:t>
      </w:r>
      <w:bookmarkEnd w:id="6"/>
      <w:r w:rsidRPr="001A4E79">
        <w:rPr>
          <w:rFonts w:ascii="Verdana" w:eastAsia="Times New Roman" w:hAnsi="Verdana" w:cs="Arial"/>
          <w:vertAlign w:val="superscript"/>
          <w:lang w:val="es-ES_tradnl" w:eastAsia="es-MX"/>
        </w:rPr>
        <w:footnoteReference w:id="1"/>
      </w:r>
      <w:r w:rsidRPr="001A4E79">
        <w:rPr>
          <w:rFonts w:ascii="Verdana" w:eastAsia="Times New Roman" w:hAnsi="Verdana" w:cs="Arial"/>
          <w:lang w:val="es-ES_tradnl" w:eastAsia="es-MX"/>
        </w:rPr>
        <w:t xml:space="preserve">. </w:t>
      </w:r>
    </w:p>
    <w:p w14:paraId="3D9A2AB5" w14:textId="77777777" w:rsidR="00722A6C" w:rsidRPr="00C94107" w:rsidRDefault="00722A6C" w:rsidP="00722A6C">
      <w:pPr>
        <w:spacing w:after="120" w:line="276" w:lineRule="auto"/>
        <w:ind w:firstLine="708"/>
        <w:jc w:val="both"/>
        <w:rPr>
          <w:rFonts w:ascii="Verdana" w:hAnsi="Verdana" w:cs="Arial"/>
          <w:bCs/>
          <w:lang w:val="es-ES" w:eastAsia="es-ES" w:bidi="es-ES"/>
        </w:rPr>
      </w:pPr>
      <w:r w:rsidRPr="001A4E79">
        <w:rPr>
          <w:rFonts w:ascii="Verdana" w:eastAsia="Times New Roman" w:hAnsi="Verdana" w:cs="Arial"/>
          <w:lang w:val="es-ES" w:eastAsia="es-MX"/>
        </w:rPr>
        <w:t xml:space="preserve">Por otro lado, </w:t>
      </w:r>
      <w:r>
        <w:rPr>
          <w:rFonts w:ascii="Verdana" w:hAnsi="Verdana" w:cs="Arial"/>
          <w:bCs/>
          <w:lang w:val="es-ES" w:eastAsia="es-ES" w:bidi="es-ES"/>
        </w:rPr>
        <w:t>e</w:t>
      </w:r>
      <w:r w:rsidRPr="0041694B">
        <w:rPr>
          <w:rFonts w:ascii="Verdana" w:hAnsi="Verdana" w:cs="Arial"/>
          <w:bCs/>
          <w:lang w:val="es-ES" w:eastAsia="es-ES" w:bidi="es-ES"/>
        </w:rPr>
        <w:t>l artículo</w:t>
      </w:r>
      <w:r>
        <w:rPr>
          <w:rFonts w:ascii="Verdana" w:hAnsi="Verdana" w:cs="Arial"/>
          <w:bCs/>
          <w:lang w:val="es-ES" w:eastAsia="es-ES" w:bidi="es-ES"/>
        </w:rPr>
        <w:t xml:space="preserve"> 5 de la Ley 1150 de 2007</w:t>
      </w:r>
      <w:r w:rsidRPr="0041694B">
        <w:rPr>
          <w:rFonts w:ascii="Verdana" w:hAnsi="Verdana" w:cs="Arial"/>
          <w:bCs/>
          <w:lang w:val="es-ES" w:eastAsia="es-ES" w:bidi="es-ES"/>
        </w:rPr>
        <w:t xml:space="preserve">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w:t>
      </w:r>
      <w:r w:rsidRPr="0041694B">
        <w:rPr>
          <w:rFonts w:ascii="Verdana" w:hAnsi="Verdana" w:cs="Arial"/>
          <w:bCs/>
          <w:lang w:val="es-ES" w:eastAsia="es-ES" w:bidi="es-ES"/>
        </w:rPr>
        <w:lastRenderedPageBreak/>
        <w:t xml:space="preserve">equivalentes deberán tener en cuenta, entre otras cuestiones, </w:t>
      </w:r>
      <w:r>
        <w:rPr>
          <w:rFonts w:ascii="Verdana" w:hAnsi="Verdana" w:cs="Arial"/>
          <w:bCs/>
          <w:lang w:val="es-ES" w:eastAsia="es-ES" w:bidi="es-ES"/>
        </w:rPr>
        <w:t xml:space="preserve">el deber de selección objetiva, según </w:t>
      </w:r>
      <w:r w:rsidRPr="0041694B">
        <w:rPr>
          <w:rFonts w:ascii="Verdana" w:hAnsi="Verdana" w:cs="Arial"/>
          <w:bCs/>
          <w:lang w:val="es-ES" w:eastAsia="es-ES" w:bidi="es-ES"/>
        </w:rPr>
        <w:t xml:space="preserve">los criterios establecidos en dicha disposición. </w:t>
      </w:r>
    </w:p>
    <w:p w14:paraId="5E654841" w14:textId="77777777" w:rsidR="00722A6C" w:rsidRDefault="00722A6C" w:rsidP="00722A6C">
      <w:pPr>
        <w:spacing w:after="120" w:line="276" w:lineRule="auto"/>
        <w:ind w:firstLine="708"/>
        <w:jc w:val="both"/>
        <w:rPr>
          <w:rFonts w:ascii="Verdana" w:hAnsi="Verdana" w:cs="Arial"/>
          <w:bCs/>
          <w:lang w:val="es-ES" w:eastAsia="es-ES" w:bidi="es-ES"/>
        </w:rPr>
      </w:pP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266285">
        <w:rPr>
          <w:rFonts w:ascii="Verdana" w:hAnsi="Verdana" w:cs="Arial"/>
          <w:bCs/>
          <w:lang w:val="es-ES" w:eastAsia="es-ES" w:bidi="es-ES"/>
        </w:rPr>
        <w:t xml:space="preserve">deberán ser </w:t>
      </w:r>
      <w:r w:rsidRPr="00266285">
        <w:rPr>
          <w:rFonts w:ascii="Verdana" w:hAnsi="Verdana" w:cs="Arial"/>
          <w:bCs/>
          <w:i/>
          <w:iCs/>
          <w:lang w:val="es-ES" w:eastAsia="es-ES" w:bidi="es-ES"/>
        </w:rPr>
        <w:t>adecuados y proporcionales</w:t>
      </w:r>
      <w:r w:rsidRPr="00266285">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6E91D208" w14:textId="77777777" w:rsidR="00722A6C" w:rsidRPr="00577103" w:rsidRDefault="00722A6C" w:rsidP="00722A6C">
      <w:pPr>
        <w:spacing w:before="120" w:after="120" w:line="276" w:lineRule="auto"/>
        <w:ind w:firstLine="708"/>
        <w:jc w:val="both"/>
        <w:rPr>
          <w:rFonts w:ascii="Verdana" w:eastAsia="Times New Roman" w:hAnsi="Verdana" w:cs="Arial"/>
          <w:lang w:val="es-ES" w:eastAsia="es-MX"/>
        </w:rPr>
      </w:pPr>
      <w:r w:rsidRPr="00577103">
        <w:rPr>
          <w:rFonts w:ascii="Verdana" w:eastAsia="Times New Roman" w:hAnsi="Verdana" w:cs="Arial"/>
          <w:lang w:val="es-ES" w:eastAsia="es-MX"/>
        </w:rPr>
        <w:t xml:space="preserve">En línea con lo anterior, el </w:t>
      </w:r>
      <w:bookmarkStart w:id="8" w:name="_Hlk191627190"/>
      <w:r w:rsidRPr="00577103">
        <w:rPr>
          <w:rFonts w:ascii="Verdana" w:eastAsia="Times New Roman" w:hAnsi="Verdana" w:cs="Arial"/>
          <w:lang w:val="es-ES" w:eastAsia="es-MX"/>
        </w:rPr>
        <w:t>“Manual para determinar y verificar los requisitos habilitantes en los Procesos de Contratación</w:t>
      </w:r>
      <w:bookmarkEnd w:id="8"/>
      <w:r w:rsidRPr="00577103">
        <w:rPr>
          <w:rFonts w:ascii="Verdana" w:eastAsia="Times New Roman" w:hAnsi="Verdana" w:cs="Arial"/>
          <w:lang w:val="es-ES" w:eastAsia="es-MX"/>
        </w:rPr>
        <w:t>”</w:t>
      </w:r>
      <w:r w:rsidRPr="00577103">
        <w:rPr>
          <w:rStyle w:val="Refdenotaalpie"/>
          <w:rFonts w:ascii="Verdana" w:eastAsia="Times New Roman" w:hAnsi="Verdana" w:cs="Arial"/>
          <w:lang w:val="es-ES" w:eastAsia="es-MX"/>
        </w:rPr>
        <w:footnoteReference w:id="2"/>
      </w:r>
      <w:r w:rsidRPr="00577103">
        <w:rPr>
          <w:rFonts w:ascii="Verdana" w:eastAsia="Calibri" w:hAnsi="Verdana" w:cs="Arial"/>
          <w:lang w:val="es-ES" w:eastAsia="es-MX"/>
        </w:rPr>
        <w:t>,</w:t>
      </w:r>
      <w:r w:rsidRPr="00577103">
        <w:rPr>
          <w:rFonts w:ascii="Verdana" w:eastAsia="Times New Roman" w:hAnsi="Verdana" w:cs="Arial"/>
          <w:lang w:val="es-ES" w:eastAsia="es-MX"/>
        </w:rPr>
        <w:t xml:space="preserve"> expedido por la </w:t>
      </w:r>
      <w:r w:rsidRPr="00577103">
        <w:rPr>
          <w:rFonts w:ascii="Verdana" w:eastAsia="Calibri" w:hAnsi="Verdana" w:cs="Arial"/>
          <w:lang w:val="es-ES" w:eastAsia="es-MX"/>
        </w:rPr>
        <w:t>Agencia Nacional de Contratación Pública – Colombia Compra Eficiente,</w:t>
      </w:r>
      <w:r w:rsidRPr="00577103">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9" w:name="_Hlk191627260"/>
      <w:r w:rsidRPr="00577103">
        <w:rPr>
          <w:rFonts w:ascii="Verdana" w:eastAsia="Times New Roman" w:hAnsi="Verdana" w:cs="Arial"/>
          <w:lang w:val="es-ES" w:eastAsia="es-MX"/>
        </w:rPr>
        <w:t xml:space="preserve">la aptitud del proponente para participar en un Proceso de Contratación como oferente y están referidos a su capacidad jurídica, financiera, organizacional y su experiencia”. </w:t>
      </w:r>
      <w:bookmarkEnd w:id="9"/>
      <w:r w:rsidRPr="00577103">
        <w:rPr>
          <w:rFonts w:ascii="Verdana" w:eastAsia="Times New Roman" w:hAnsi="Verdana" w:cs="Arial"/>
          <w:lang w:val="es-ES" w:eastAsia="es-MX"/>
        </w:rPr>
        <w:t xml:space="preserve">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6B3376BD" w14:textId="77777777" w:rsidR="00722A6C" w:rsidRPr="001A4E79" w:rsidRDefault="00722A6C" w:rsidP="00722A6C">
      <w:pPr>
        <w:spacing w:before="120" w:after="120" w:line="276" w:lineRule="auto"/>
        <w:ind w:firstLine="708"/>
        <w:jc w:val="both"/>
        <w:rPr>
          <w:rFonts w:ascii="Verdana" w:eastAsia="Times New Roman" w:hAnsi="Verdana" w:cs="Arial"/>
          <w:lang w:val="es-ES" w:eastAsia="es-MX"/>
        </w:rPr>
      </w:pPr>
      <w:r w:rsidRPr="001A4E79">
        <w:rPr>
          <w:rFonts w:ascii="Verdana" w:eastAsia="Times New Roman" w:hAnsi="Verdana" w:cs="Arial"/>
          <w:lang w:val="es-ES" w:eastAsia="es-MX"/>
        </w:rPr>
        <w:t xml:space="preserve">Así las cosas, al tratarse de condiciones mínimas, significa que </w:t>
      </w:r>
      <w:bookmarkStart w:id="10" w:name="_Hlk191627287"/>
      <w:r w:rsidRPr="001A4E79">
        <w:rPr>
          <w:rFonts w:ascii="Verdana" w:eastAsia="Times New Roman" w:hAnsi="Verdana" w:cs="Arial"/>
          <w:lang w:val="es-ES" w:eastAsia="es-MX"/>
        </w:rPr>
        <w:t xml:space="preserve">las </w:t>
      </w:r>
      <w:r w:rsidRPr="00C94107">
        <w:rPr>
          <w:rFonts w:ascii="Verdana" w:eastAsia="Times New Roman" w:hAnsi="Verdana" w:cs="Arial"/>
          <w:lang w:val="es-ES" w:eastAsia="es-MX"/>
        </w:rPr>
        <w:t>Entidades</w:t>
      </w:r>
      <w:r w:rsidRPr="001A4E79">
        <w:rPr>
          <w:rFonts w:ascii="Verdana" w:eastAsia="Times New Roman" w:hAnsi="Verdana" w:cs="Arial"/>
          <w:lang w:val="es-ES" w:eastAsia="es-MX"/>
        </w:rPr>
        <w:t xml:space="preserve"> podrían establecer otras, según su autonomía de la voluntad, y teniendo en cuenta el objeto del contrato, los riesgos detectados en los estudios previos, el presupuesto oficial, entre otros factores.</w:t>
      </w:r>
      <w:r>
        <w:rPr>
          <w:rFonts w:ascii="Verdana" w:eastAsia="Times New Roman" w:hAnsi="Verdana" w:cs="Arial"/>
          <w:lang w:val="es-ES" w:eastAsia="es-MX"/>
        </w:rPr>
        <w:t xml:space="preserve"> Sin embargo, esto no implica que las Entidades puedan establecer cualquier tipo de requisitos, pues su exigencia debe en todo caso ser </w:t>
      </w:r>
      <w:r w:rsidRPr="00810146">
        <w:rPr>
          <w:rFonts w:ascii="Verdana" w:eastAsia="Times New Roman" w:hAnsi="Verdana" w:cs="Arial"/>
          <w:i/>
          <w:lang w:val="es-ES" w:eastAsia="es-MX"/>
        </w:rPr>
        <w:t>proporcional y adecuada</w:t>
      </w:r>
      <w:r>
        <w:rPr>
          <w:rFonts w:ascii="Verdana" w:eastAsia="Times New Roman" w:hAnsi="Verdana" w:cs="Arial"/>
          <w:lang w:val="es-ES" w:eastAsia="es-MX"/>
        </w:rPr>
        <w:t xml:space="preserve"> frente a la naturaleza y el valor del contrato.</w:t>
      </w:r>
    </w:p>
    <w:p w14:paraId="305F17FD" w14:textId="77777777" w:rsidR="00722A6C" w:rsidRDefault="00722A6C" w:rsidP="00722A6C">
      <w:pPr>
        <w:tabs>
          <w:tab w:val="left" w:pos="426"/>
        </w:tabs>
        <w:spacing w:before="120" w:after="0" w:line="276" w:lineRule="auto"/>
        <w:ind w:firstLine="709"/>
        <w:jc w:val="both"/>
        <w:rPr>
          <w:rFonts w:ascii="Verdana" w:eastAsia="Times New Roman" w:hAnsi="Verdana" w:cs="Arial"/>
          <w:lang w:val="es-ES_tradnl" w:eastAsia="es-MX"/>
        </w:rPr>
      </w:pPr>
      <w:bookmarkStart w:id="11" w:name="_Hlk99548027"/>
      <w:bookmarkEnd w:id="10"/>
      <w:r w:rsidRPr="008D1B9C">
        <w:rPr>
          <w:rFonts w:ascii="Verdana" w:eastAsia="Times New Roman" w:hAnsi="Verdana" w:cs="Arial"/>
          <w:lang w:val="es-ES_tradnl" w:eastAsia="es-MX"/>
        </w:rPr>
        <w:t xml:space="preserve">En ese sentido, </w:t>
      </w:r>
      <w:bookmarkStart w:id="12" w:name="_Hlk191627322"/>
      <w:r w:rsidRPr="008D1B9C">
        <w:rPr>
          <w:rFonts w:ascii="Verdana" w:eastAsia="Times New Roman" w:hAnsi="Verdana" w:cs="Arial"/>
          <w:lang w:val="es-ES_tradnl" w:eastAsia="es-MX"/>
        </w:rPr>
        <w:t xml:space="preserve">si bien </w:t>
      </w:r>
      <w:r w:rsidRPr="008D1B9C">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8D1B9C">
        <w:rPr>
          <w:rFonts w:ascii="Verdana" w:eastAsia="Times New Roman" w:hAnsi="Verdana" w:cs="Arial"/>
          <w:lang w:val="es-ES_tradnl" w:eastAsia="es-MX"/>
        </w:rPr>
        <w:t>En consecuencia, corresponde a las Entidades Estatales,</w:t>
      </w:r>
      <w:r w:rsidRPr="001A4E79">
        <w:rPr>
          <w:rFonts w:ascii="Verdana" w:eastAsia="Times New Roman" w:hAnsi="Verdana" w:cs="Arial"/>
          <w:lang w:val="es-ES_tradnl" w:eastAsia="es-MX"/>
        </w:rPr>
        <w:t xml:space="preserve"> durante la etapa de planeación del contrato estatal, estudiar y </w:t>
      </w:r>
      <w:r w:rsidRPr="001A4E79">
        <w:rPr>
          <w:rFonts w:ascii="Verdana" w:eastAsia="Times New Roman" w:hAnsi="Verdana" w:cs="Arial"/>
          <w:bCs/>
          <w:iCs/>
          <w:lang w:val="es-ES_tradnl" w:eastAsia="es-MX"/>
        </w:rPr>
        <w:t>determinar</w:t>
      </w:r>
      <w:r w:rsidRPr="001A4E79">
        <w:rPr>
          <w:rFonts w:ascii="Verdana" w:eastAsia="Times New Roman" w:hAnsi="Verdana" w:cs="Arial"/>
          <w:lang w:val="es-ES_tradnl" w:eastAsia="es-MX"/>
        </w:rPr>
        <w:t xml:space="preserve"> los requisitos </w:t>
      </w:r>
      <w:r w:rsidRPr="001A4E79">
        <w:rPr>
          <w:rFonts w:ascii="Verdana" w:eastAsia="Times New Roman" w:hAnsi="Verdana" w:cs="Arial"/>
          <w:lang w:val="es-ES_tradnl" w:eastAsia="es-MX"/>
        </w:rPr>
        <w:lastRenderedPageBreak/>
        <w:t>habilitantes que establecerán en los pliegos de condiciones</w:t>
      </w:r>
      <w:r w:rsidRPr="00C94107">
        <w:rPr>
          <w:rFonts w:ascii="Verdana" w:eastAsia="Times New Roman" w:hAnsi="Verdana" w:cs="Arial"/>
          <w:lang w:val="es-ES_tradnl" w:eastAsia="es-MX"/>
        </w:rPr>
        <w:t xml:space="preserve"> o documentos equivalentes</w:t>
      </w:r>
      <w:r w:rsidRPr="001A4E79">
        <w:rPr>
          <w:rFonts w:ascii="Verdana" w:eastAsia="Times New Roman" w:hAnsi="Verdana" w:cs="Arial"/>
          <w:lang w:val="es-ES_tradnl" w:eastAsia="es-MX"/>
        </w:rPr>
        <w:t xml:space="preserve">, </w:t>
      </w:r>
      <w:r w:rsidRPr="00987A26">
        <w:rPr>
          <w:rFonts w:ascii="Verdana" w:eastAsia="Times New Roman" w:hAnsi="Verdana" w:cs="Arial"/>
          <w:i/>
          <w:iCs/>
          <w:lang w:val="es-ES_tradnl" w:eastAsia="es-MX"/>
        </w:rPr>
        <w:t>los cuales deben fijarse de forma adecuada y proporcional</w:t>
      </w:r>
      <w:r w:rsidRPr="001A4E79">
        <w:rPr>
          <w:rFonts w:ascii="Verdana" w:eastAsia="Times New Roman" w:hAnsi="Verdana" w:cs="Arial"/>
          <w:lang w:val="es-ES_tradnl" w:eastAsia="es-MX"/>
        </w:rPr>
        <w:t xml:space="preserve">. </w:t>
      </w:r>
      <w:bookmarkEnd w:id="11"/>
      <w:bookmarkEnd w:id="12"/>
      <w:r w:rsidRPr="001A4E79">
        <w:rPr>
          <w:rFonts w:ascii="Verdana" w:eastAsia="Times New Roman" w:hAnsi="Verdana" w:cs="Arial"/>
          <w:lang w:val="es-ES_tradnl" w:eastAsia="es-MX"/>
        </w:rPr>
        <w:t>Al respecto, en la Sentencia C-004 de 2017, la Corte Constitucional señaló que</w:t>
      </w:r>
      <w:r>
        <w:rPr>
          <w:rFonts w:ascii="Verdana" w:eastAsia="Times New Roman" w:hAnsi="Verdana" w:cs="Arial"/>
          <w:lang w:val="es-ES_tradnl" w:eastAsia="es-MX"/>
        </w:rPr>
        <w:t>:</w:t>
      </w:r>
    </w:p>
    <w:p w14:paraId="4B280AF8" w14:textId="77777777" w:rsidR="00722A6C" w:rsidRPr="00C94107" w:rsidRDefault="00722A6C" w:rsidP="00722A6C">
      <w:pPr>
        <w:tabs>
          <w:tab w:val="left" w:pos="426"/>
        </w:tabs>
        <w:spacing w:after="0" w:line="276" w:lineRule="auto"/>
        <w:ind w:firstLine="709"/>
        <w:jc w:val="both"/>
        <w:rPr>
          <w:rFonts w:ascii="Verdana" w:eastAsia="Times New Roman" w:hAnsi="Verdana" w:cs="Arial"/>
          <w:lang w:val="es-ES_tradnl" w:eastAsia="es-MX"/>
        </w:rPr>
      </w:pPr>
    </w:p>
    <w:p w14:paraId="5A399F90" w14:textId="77777777" w:rsidR="00722A6C" w:rsidRDefault="00722A6C" w:rsidP="00722A6C">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6FAB3E7C" w14:textId="77777777" w:rsidR="00722A6C" w:rsidRPr="000C2E6B" w:rsidRDefault="00722A6C" w:rsidP="00722A6C">
      <w:pPr>
        <w:spacing w:after="0" w:line="240" w:lineRule="auto"/>
        <w:ind w:left="709" w:right="709"/>
        <w:jc w:val="both"/>
        <w:rPr>
          <w:rFonts w:ascii="Verdana" w:hAnsi="Verdana" w:cs="Arial"/>
          <w:sz w:val="20"/>
          <w:szCs w:val="20"/>
          <w:lang w:val="es-ES_tradnl" w:eastAsia="es-ES" w:bidi="es-ES"/>
        </w:rPr>
      </w:pPr>
    </w:p>
    <w:p w14:paraId="17891FD3" w14:textId="77777777" w:rsidR="00722A6C" w:rsidRPr="001A4E79" w:rsidRDefault="00722A6C" w:rsidP="00722A6C">
      <w:pPr>
        <w:tabs>
          <w:tab w:val="left" w:pos="426"/>
        </w:tabs>
        <w:spacing w:after="120" w:line="276" w:lineRule="auto"/>
        <w:ind w:firstLine="709"/>
        <w:jc w:val="both"/>
        <w:rPr>
          <w:rFonts w:ascii="Verdana" w:eastAsia="Times New Roman" w:hAnsi="Verdana" w:cs="Arial"/>
          <w:lang w:val="es-ES_tradnl" w:eastAsia="es-MX"/>
        </w:rPr>
      </w:pPr>
      <w:r w:rsidRPr="001A4E79">
        <w:rPr>
          <w:rFonts w:ascii="Verdana" w:eastAsia="Times New Roman" w:hAnsi="Verdana" w:cs="Arial"/>
          <w:lang w:val="es-ES_tradnl" w:eastAsia="es-MX"/>
        </w:rPr>
        <w:t xml:space="preserve">El </w:t>
      </w:r>
      <w:bookmarkStart w:id="13" w:name="_Hlk191627359"/>
      <w:r w:rsidRPr="001A4E79">
        <w:rPr>
          <w:rFonts w:ascii="Verdana" w:eastAsia="Times New Roman" w:hAnsi="Verdana" w:cs="Arial"/>
          <w:lang w:val="es-ES_tradnl" w:eastAsia="es-MX"/>
        </w:rPr>
        <w:t>Decreto 1082 de 2015 en su artículo 2.2.1.1.1.6.2</w:t>
      </w:r>
      <w:r w:rsidRPr="00C94107">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w:t>
      </w:r>
      <w:bookmarkEnd w:id="13"/>
      <w:r w:rsidRPr="001A4E79">
        <w:rPr>
          <w:rFonts w:ascii="Verdana" w:eastAsia="Times New Roman" w:hAnsi="Verdana" w:cs="Arial"/>
          <w:lang w:val="es-ES_tradnl" w:eastAsia="es-MX"/>
        </w:rPr>
        <w:t>reglamenta los requisitos habilitantes, estableciendo que estos deben ser señalados en los pliegos de condiciones o en la invitación</w:t>
      </w:r>
      <w:r w:rsidRPr="001A4E79">
        <w:rPr>
          <w:rStyle w:val="Refdenotaalpie"/>
          <w:rFonts w:ascii="Verdana" w:eastAsia="Times New Roman" w:hAnsi="Verdana" w:cs="Arial"/>
          <w:lang w:val="es-ES_tradnl" w:eastAsia="es-MX"/>
        </w:rPr>
        <w:footnoteReference w:id="3"/>
      </w:r>
      <w:r w:rsidRPr="001A4E79">
        <w:rPr>
          <w:rFonts w:ascii="Verdana" w:eastAsia="Times New Roman" w:hAnsi="Verdana" w:cs="Arial"/>
          <w:lang w:val="es-ES_tradnl" w:eastAsia="es-MX"/>
        </w:rPr>
        <w:t xml:space="preserve">, lo cual es concordante con el </w:t>
      </w:r>
      <w:bookmarkStart w:id="14" w:name="_Hlk191627380"/>
      <w:r w:rsidRPr="001A4E79">
        <w:rPr>
          <w:rFonts w:ascii="Verdana" w:eastAsia="Times New Roman" w:hAnsi="Verdana" w:cs="Arial"/>
          <w:lang w:val="es-ES_tradnl" w:eastAsia="es-MX"/>
        </w:rPr>
        <w:t>numeral 5 del artículo 2.2.1.1.2.1.3</w:t>
      </w:r>
      <w:bookmarkEnd w:id="14"/>
      <w:r w:rsidRPr="001A4E79">
        <w:rPr>
          <w:rFonts w:ascii="Verdana" w:eastAsia="Times New Roman" w:hAnsi="Verdana" w:cs="Arial"/>
          <w:lang w:val="es-ES_tradnl" w:eastAsia="es-MX"/>
        </w:rPr>
        <w:t>, en el que se establece como uno de los componentes mínimos de los pliegos de condiciones</w:t>
      </w:r>
      <w:r w:rsidRPr="001A4E79">
        <w:rPr>
          <w:rFonts w:ascii="Verdana" w:hAnsi="Verdana" w:cs="Arial"/>
          <w:color w:val="000000"/>
        </w:rPr>
        <w:t xml:space="preserve"> a las reglas aplicables a la presentación y evaluación de las ofertas, entre las que se inscriben las relativas a la acreditación de las condiciones habilitantes. </w:t>
      </w:r>
      <w:r>
        <w:rPr>
          <w:rFonts w:ascii="Verdana" w:eastAsia="Times New Roman" w:hAnsi="Verdana" w:cs="Arial"/>
          <w:lang w:val="es-ES_tradnl" w:eastAsia="es-MX"/>
        </w:rPr>
        <w:t>A</w:t>
      </w:r>
      <w:r w:rsidRPr="001A4E79">
        <w:rPr>
          <w:rFonts w:ascii="Verdana" w:eastAsia="Times New Roman" w:hAnsi="Verdana" w:cs="Arial"/>
          <w:lang w:val="es-ES_tradnl" w:eastAsia="es-MX"/>
        </w:rPr>
        <w:t>demás</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el artículo 2.2.1.1.1.6.2 </w:t>
      </w:r>
      <w:r>
        <w:rPr>
          <w:rFonts w:ascii="Verdana" w:eastAsia="Times New Roman" w:hAnsi="Verdana" w:cs="Arial"/>
          <w:lang w:val="es-ES_tradnl" w:eastAsia="es-MX"/>
        </w:rPr>
        <w:t xml:space="preserve">establece </w:t>
      </w:r>
      <w:r w:rsidRPr="001A4E79">
        <w:rPr>
          <w:rFonts w:ascii="Verdana" w:eastAsia="Times New Roman" w:hAnsi="Verdana" w:cs="Arial"/>
          <w:lang w:val="es-ES_tradnl" w:eastAsia="es-MX"/>
        </w:rPr>
        <w:t xml:space="preserve">que la determinación de los requisitos habilitantes debe ser realizada en función de criterios </w:t>
      </w:r>
      <w:r w:rsidRPr="00987A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1A4E79">
        <w:rPr>
          <w:rFonts w:ascii="Verdana" w:eastAsia="Times New Roman" w:hAnsi="Verdana" w:cs="Arial"/>
          <w:lang w:val="es-ES_tradnl" w:eastAsia="es-MX"/>
        </w:rPr>
        <w:t xml:space="preserve">. </w:t>
      </w:r>
    </w:p>
    <w:p w14:paraId="02969009" w14:textId="77777777" w:rsidR="00722A6C" w:rsidRDefault="00722A6C" w:rsidP="00722A6C">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w:t>
      </w:r>
      <w:r w:rsidRPr="00C94107">
        <w:rPr>
          <w:rFonts w:ascii="Verdana" w:eastAsia="Times New Roman" w:hAnsi="Verdana" w:cs="Arial"/>
          <w:lang w:val="es-ES" w:eastAsia="es-MX"/>
        </w:rPr>
        <w:lastRenderedPageBreak/>
        <w:t xml:space="preserve">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4"/>
      </w:r>
      <w:r w:rsidRPr="00C94107">
        <w:rPr>
          <w:rFonts w:ascii="Verdana" w:eastAsia="Times New Roman" w:hAnsi="Verdana" w:cs="Arial"/>
          <w:lang w:val="es-ES" w:eastAsia="es-MX"/>
        </w:rPr>
        <w:t xml:space="preserve">. </w:t>
      </w:r>
    </w:p>
    <w:p w14:paraId="65206D74" w14:textId="77777777" w:rsidR="00722A6C" w:rsidRPr="00C94107" w:rsidRDefault="00722A6C" w:rsidP="00722A6C">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 </w:t>
      </w:r>
      <w:r w:rsidRPr="00C94107">
        <w:rPr>
          <w:rFonts w:ascii="Verdana" w:eastAsia="Times New Roman" w:hAnsi="Verdana" w:cs="Arial"/>
          <w:i/>
          <w:iCs/>
          <w:lang w:val="es-ES" w:eastAsia="es-MX"/>
        </w:rPr>
        <w:t>pero tal facultad no puede ejercerse de forma arbitraria, caprichosa y, mucho menos, con el ánimo de direccionar el proceso de contratación</w:t>
      </w:r>
      <w:r w:rsidRPr="00C94107">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2813E039" w14:textId="77777777" w:rsidR="00722A6C" w:rsidRPr="003D0085" w:rsidRDefault="00722A6C" w:rsidP="00722A6C">
      <w:pPr>
        <w:spacing w:after="120" w:line="276" w:lineRule="auto"/>
        <w:ind w:firstLine="708"/>
        <w:jc w:val="both"/>
        <w:rPr>
          <w:rFonts w:ascii="Verdana" w:hAnsi="Verdana" w:cs="Arial"/>
        </w:rPr>
      </w:pPr>
      <w:bookmarkStart w:id="16" w:name="_Hlk99548176"/>
      <w:r>
        <w:rPr>
          <w:rFonts w:ascii="Verdana" w:hAnsi="Verdana" w:cs="Arial"/>
        </w:rPr>
        <w:t xml:space="preserve">Ahora bien, </w:t>
      </w:r>
      <w:r w:rsidRPr="00C94107">
        <w:rPr>
          <w:rFonts w:ascii="Verdana" w:hAnsi="Verdana" w:cs="Arial"/>
        </w:rPr>
        <w:t>una vez fijados los requisitos habilitantes por la Entidad Estatal, quienes presenten ofertas deben acreditar que cumplen con los mismos, pues, en el evento contrario, las propuestas deberán ser rechazadas.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5"/>
      </w:r>
      <w:r w:rsidRPr="003D0085">
        <w:rPr>
          <w:rFonts w:ascii="Verdana" w:hAnsi="Verdana" w:cs="Arial"/>
        </w:rPr>
        <w:t xml:space="preserve">, tal como lo establece el artículo 6.1 de la Ley 1150 de 2007. Por su </w:t>
      </w:r>
      <w:r w:rsidRPr="003D0085">
        <w:rPr>
          <w:rFonts w:ascii="Verdana" w:hAnsi="Verdana" w:cs="Arial"/>
        </w:rPr>
        <w:lastRenderedPageBreak/>
        <w:t xml:space="preserve">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6"/>
    <w:p w14:paraId="1D8DB676" w14:textId="77777777" w:rsidR="00722A6C" w:rsidRDefault="00722A6C" w:rsidP="00722A6C">
      <w:pPr>
        <w:spacing w:after="120" w:line="276" w:lineRule="auto"/>
        <w:ind w:firstLine="708"/>
        <w:jc w:val="both"/>
        <w:rPr>
          <w:rFonts w:ascii="Verdana" w:hAnsi="Verdana" w:cs="Arial"/>
        </w:rPr>
      </w:pPr>
      <w:r w:rsidRPr="003D0085">
        <w:rPr>
          <w:rFonts w:ascii="Verdana" w:hAnsi="Verdana" w:cs="Arial"/>
        </w:rPr>
        <w:t xml:space="preserve">Dicha información debe tenerse en cuenta por las </w:t>
      </w:r>
      <w:r w:rsidRPr="00C94107">
        <w:rPr>
          <w:rFonts w:ascii="Verdana" w:hAnsi="Verdana" w:cs="Arial"/>
        </w:rPr>
        <w:t>Entidades</w:t>
      </w:r>
      <w:r w:rsidRPr="003D0085">
        <w:rPr>
          <w:rFonts w:ascii="Verdana" w:hAnsi="Verdana" w:cs="Arial"/>
        </w:rPr>
        <w:t xml:space="preserve"> en los </w:t>
      </w:r>
      <w:r w:rsidRPr="00C94107">
        <w:rPr>
          <w:rFonts w:ascii="Verdana" w:hAnsi="Verdana" w:cs="Arial"/>
        </w:rPr>
        <w:t>procedimientos</w:t>
      </w:r>
      <w:r w:rsidRPr="003D0085">
        <w:rPr>
          <w:rFonts w:ascii="Verdana" w:hAnsi="Verdana" w:cs="Arial"/>
        </w:rPr>
        <w:t xml:space="preserve"> de </w:t>
      </w:r>
      <w:r w:rsidRPr="00C94107">
        <w:rPr>
          <w:rFonts w:ascii="Verdana" w:hAnsi="Verdana" w:cs="Arial"/>
        </w:rPr>
        <w:t>contratación</w:t>
      </w:r>
      <w:r w:rsidRPr="003D0085">
        <w:rPr>
          <w:rFonts w:ascii="Verdana" w:hAnsi="Verdana" w:cs="Arial"/>
        </w:rPr>
        <w:t xml:space="preserve"> en los que es exigible el RUP</w:t>
      </w:r>
      <w:r w:rsidRPr="003D0085">
        <w:rPr>
          <w:rFonts w:ascii="Verdana" w:hAnsi="Verdana" w:cs="Arial"/>
          <w:vertAlign w:val="superscript"/>
        </w:rPr>
        <w:footnoteReference w:id="6"/>
      </w:r>
      <w:r w:rsidRPr="003D0085">
        <w:rPr>
          <w:rFonts w:ascii="Verdana" w:hAnsi="Verdana" w:cs="Arial"/>
        </w:rPr>
        <w:t>. Así las cosas,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7"/>
      </w:r>
      <w:r w:rsidRPr="003D0085">
        <w:rPr>
          <w:rFonts w:ascii="Verdana" w:hAnsi="Verdana" w:cs="Arial"/>
        </w:rPr>
        <w:t xml:space="preserve">. </w:t>
      </w:r>
    </w:p>
    <w:p w14:paraId="609D98D8" w14:textId="77777777" w:rsidR="00722A6C" w:rsidRPr="00C94107" w:rsidRDefault="00722A6C" w:rsidP="00722A6C">
      <w:pPr>
        <w:spacing w:after="120" w:line="276" w:lineRule="auto"/>
        <w:ind w:firstLine="709"/>
        <w:jc w:val="both"/>
        <w:rPr>
          <w:rFonts w:ascii="Verdana" w:hAnsi="Verdana" w:cs="Arial"/>
        </w:rPr>
      </w:pPr>
      <w:bookmarkStart w:id="17" w:name="_Hlk99548308"/>
      <w:r w:rsidRPr="003D0085">
        <w:rPr>
          <w:rFonts w:ascii="Verdana" w:hAnsi="Verdana" w:cs="Aria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bookmarkEnd w:id="17"/>
      <w:r w:rsidRPr="003D0085">
        <w:rPr>
          <w:rFonts w:ascii="Verdana" w:hAnsi="Verdana" w:cs="Arial"/>
        </w:rPr>
        <w:t xml:space="preserve">. </w:t>
      </w:r>
    </w:p>
    <w:p w14:paraId="18FD775B" w14:textId="77777777" w:rsidR="00722A6C" w:rsidRDefault="00722A6C" w:rsidP="00722A6C">
      <w:pPr>
        <w:spacing w:after="120" w:line="276" w:lineRule="auto"/>
        <w:ind w:firstLine="709"/>
        <w:jc w:val="both"/>
        <w:rPr>
          <w:rFonts w:ascii="Verdana" w:hAnsi="Verdana" w:cs="Arial"/>
        </w:rPr>
      </w:pPr>
      <w:r w:rsidRPr="003D0085">
        <w:rPr>
          <w:rFonts w:ascii="Verdana" w:hAnsi="Verdana" w:cs="Arial"/>
          <w:lang w:val="es-ES_tradnl"/>
        </w:rPr>
        <w:t xml:space="preserve">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w:t>
      </w:r>
      <w:r w:rsidRPr="00C94107">
        <w:rPr>
          <w:rFonts w:ascii="Verdana" w:hAnsi="Verdana" w:cs="Arial"/>
          <w:lang w:val="es-ES_tradnl"/>
        </w:rPr>
        <w:t>Ley</w:t>
      </w:r>
      <w:r w:rsidRPr="003D0085">
        <w:rPr>
          <w:rFonts w:ascii="Verdana" w:hAnsi="Verdana" w:cs="Arial"/>
          <w:lang w:val="es-ES_tradnl"/>
        </w:rPr>
        <w:t xml:space="preserve">. </w:t>
      </w:r>
      <w:r w:rsidRPr="003D0085">
        <w:rPr>
          <w:rFonts w:ascii="Verdana" w:hAnsi="Verdana" w:cs="Arial"/>
        </w:rPr>
        <w:t xml:space="preserve">Adicionalmente, en el numeral 6.1. del artículo 6 de la Ley 1150 de 2007 establece que cuando sea necesario verificar requisitos o información que no reposa en RUP, la </w:t>
      </w:r>
      <w:r w:rsidRPr="00C94107">
        <w:rPr>
          <w:rFonts w:ascii="Verdana" w:hAnsi="Verdana" w:cs="Arial"/>
        </w:rPr>
        <w:t>Entidad</w:t>
      </w:r>
      <w:r w:rsidRPr="003D0085">
        <w:rPr>
          <w:rFonts w:ascii="Verdana" w:hAnsi="Verdana" w:cs="Arial"/>
        </w:rPr>
        <w:t xml:space="preserve"> </w:t>
      </w:r>
      <w:r w:rsidRPr="003D0085">
        <w:rPr>
          <w:rFonts w:ascii="Verdana" w:hAnsi="Verdana" w:cs="Arial"/>
        </w:rPr>
        <w:lastRenderedPageBreak/>
        <w:t>podrá solicitar información adicional solo para complementar la información contenida en el RUP</w:t>
      </w:r>
      <w:r w:rsidRPr="003D0085">
        <w:rPr>
          <w:rFonts w:ascii="Verdana" w:hAnsi="Verdana" w:cs="Arial"/>
          <w:vertAlign w:val="superscript"/>
        </w:rPr>
        <w:footnoteReference w:id="8"/>
      </w:r>
      <w:r w:rsidRPr="003D0085">
        <w:rPr>
          <w:rFonts w:ascii="Verdana" w:hAnsi="Verdana" w:cs="Arial"/>
        </w:rPr>
        <w:t>.</w:t>
      </w:r>
    </w:p>
    <w:p w14:paraId="4ED88C37" w14:textId="77777777" w:rsidR="00722A6C" w:rsidRDefault="00722A6C" w:rsidP="00722A6C">
      <w:pPr>
        <w:spacing w:after="120" w:line="276" w:lineRule="auto"/>
        <w:ind w:firstLine="709"/>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9"/>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6487EF9F" w14:textId="77777777" w:rsidR="00722A6C" w:rsidRPr="00BD4869" w:rsidRDefault="00722A6C" w:rsidP="00722A6C">
      <w:pPr>
        <w:spacing w:after="120" w:line="276" w:lineRule="auto"/>
        <w:ind w:right="51"/>
        <w:jc w:val="both"/>
        <w:rPr>
          <w:rFonts w:ascii="Verdana" w:eastAsia="Calibri" w:hAnsi="Verdana" w:cs="Arial"/>
          <w:bCs/>
          <w:lang w:val="es-MX"/>
        </w:rPr>
      </w:pPr>
      <w:r w:rsidRPr="00A51B1D">
        <w:rPr>
          <w:rFonts w:ascii="Verdana" w:hAnsi="Verdana" w:cs="Arial"/>
        </w:rPr>
        <w:t xml:space="preserve">ii) </w:t>
      </w:r>
      <w:r w:rsidRPr="00A51B1D">
        <w:rPr>
          <w:rFonts w:ascii="Verdana" w:eastAsia="Calibri" w:hAnsi="Verdana" w:cs="Arial"/>
          <w:bCs/>
          <w:lang w:val="es-MX"/>
        </w:rPr>
        <w:t>En con</w:t>
      </w:r>
      <w:r w:rsidRPr="00C77162">
        <w:rPr>
          <w:rFonts w:ascii="Verdana" w:eastAsia="Calibri" w:hAnsi="Verdana" w:cs="Arial"/>
          <w:bCs/>
          <w:lang w:val="es-MX"/>
        </w:rPr>
        <w:t>traposición a</w:t>
      </w:r>
      <w:r w:rsidRPr="00BD4869">
        <w:rPr>
          <w:rFonts w:ascii="Verdana" w:eastAsia="Calibri" w:hAnsi="Verdana" w:cs="Arial"/>
          <w:bCs/>
          <w:lang w:val="es-MX"/>
        </w:rPr>
        <w:t xml:space="preserve">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BD4869">
        <w:rPr>
          <w:rFonts w:ascii="Verdana" w:eastAsia="Calibri" w:hAnsi="Verdana" w:cs="Arial"/>
          <w:bCs/>
          <w:i/>
          <w:iCs/>
          <w:lang w:val="es-MX"/>
        </w:rPr>
        <w:t>puntajes o fórmulas</w:t>
      </w:r>
      <w:r w:rsidRPr="00BD4869">
        <w:rPr>
          <w:rFonts w:ascii="Verdana" w:eastAsia="Calibri" w:hAnsi="Verdana" w:cs="Arial"/>
          <w:bCs/>
          <w:lang w:val="es-MX"/>
        </w:rPr>
        <w:t xml:space="preserve">, </w:t>
      </w:r>
      <w:r w:rsidRPr="0058754A">
        <w:rPr>
          <w:rFonts w:ascii="Verdana" w:eastAsia="Calibri" w:hAnsi="Verdana" w:cs="Arial"/>
          <w:bCs/>
          <w:lang w:val="es-MX"/>
        </w:rPr>
        <w:t xml:space="preserve">mientras que el literal b) se refiere la elección de la oferta que represente la mejor relación </w:t>
      </w:r>
      <w:r w:rsidRPr="0058754A">
        <w:rPr>
          <w:rFonts w:ascii="Verdana" w:eastAsia="Calibri" w:hAnsi="Verdana" w:cs="Arial"/>
          <w:bCs/>
          <w:i/>
          <w:iCs/>
          <w:lang w:val="es-MX"/>
        </w:rPr>
        <w:t>costo-beneficio</w:t>
      </w:r>
      <w:r w:rsidRPr="0058754A">
        <w:rPr>
          <w:rFonts w:ascii="Verdana" w:eastAsia="Calibri" w:hAnsi="Verdana" w:cs="Arial"/>
          <w:bCs/>
          <w:lang w:val="es-MX"/>
        </w:rPr>
        <w:t xml:space="preserve"> para la entidad.</w:t>
      </w:r>
      <w:r w:rsidRPr="00BD4869">
        <w:rPr>
          <w:rFonts w:ascii="Verdana" w:eastAsia="Calibri" w:hAnsi="Verdana" w:cs="Arial"/>
          <w:bCs/>
          <w:lang w:val="es-MX"/>
        </w:rPr>
        <w:t xml:space="preserve"> </w:t>
      </w:r>
    </w:p>
    <w:p w14:paraId="4E009834" w14:textId="77777777" w:rsidR="00722A6C" w:rsidRPr="00BD4869" w:rsidRDefault="00722A6C" w:rsidP="00722A6C">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lastRenderedPageBreak/>
        <w:t>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07DBDCE2" w14:textId="77777777" w:rsidR="00722A6C" w:rsidRPr="00BD4869" w:rsidRDefault="00722A6C" w:rsidP="00722A6C">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BD4869">
        <w:rPr>
          <w:rFonts w:ascii="Verdana" w:eastAsia="Calibri" w:hAnsi="Verdana" w:cs="Arial"/>
          <w:bCs/>
          <w:vertAlign w:val="superscript"/>
          <w:lang w:val="es-MX"/>
        </w:rPr>
        <w:footnoteReference w:id="10"/>
      </w:r>
      <w:r w:rsidRPr="00BD4869">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BD4869">
        <w:rPr>
          <w:rFonts w:ascii="Verdana" w:eastAsia="Calibri" w:hAnsi="Verdana" w:cs="Arial"/>
          <w:bCs/>
          <w:vertAlign w:val="superscript"/>
          <w:lang w:val="es-MX"/>
        </w:rPr>
        <w:footnoteReference w:id="11"/>
      </w:r>
      <w:r w:rsidRPr="00BD4869">
        <w:rPr>
          <w:rFonts w:ascii="Verdana" w:eastAsia="Calibri" w:hAnsi="Verdana" w:cs="Arial"/>
          <w:bCs/>
          <w:lang w:val="es-MX"/>
        </w:rPr>
        <w:t xml:space="preserve">. </w:t>
      </w:r>
    </w:p>
    <w:p w14:paraId="18B58359" w14:textId="77777777" w:rsidR="002F1DC2" w:rsidRPr="00A96D39" w:rsidRDefault="00722A6C" w:rsidP="002F1DC2">
      <w:pPr>
        <w:spacing w:after="120" w:line="276" w:lineRule="auto"/>
        <w:jc w:val="both"/>
        <w:rPr>
          <w:rFonts w:ascii="Verdana" w:hAnsi="Verdana" w:cs="Arial"/>
          <w:lang w:val="es-MX"/>
        </w:rPr>
      </w:pPr>
      <w:r w:rsidRPr="00A96D39">
        <w:rPr>
          <w:rFonts w:ascii="Verdana" w:hAnsi="Verdana" w:cs="Arial"/>
          <w:lang w:val="es-MX"/>
        </w:rPr>
        <w:t xml:space="preserve">iii) </w:t>
      </w:r>
      <w:r w:rsidR="002F1DC2" w:rsidRPr="00A96D39">
        <w:rPr>
          <w:rFonts w:ascii="Verdana" w:hAnsi="Verdana" w:cs="Arial"/>
          <w:lang w:val="es-MX"/>
        </w:rPr>
        <w:t xml:space="preserve">Con la expedición de la Ley 2166 de 2021 se deroga la Ley 743 de 2002, y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 </w:t>
      </w:r>
    </w:p>
    <w:p w14:paraId="067CBE7C" w14:textId="77777777" w:rsidR="002F1DC2" w:rsidRPr="00A96D39" w:rsidRDefault="002F1DC2" w:rsidP="002F1DC2">
      <w:pPr>
        <w:spacing w:after="0" w:line="276" w:lineRule="auto"/>
        <w:ind w:firstLine="708"/>
        <w:jc w:val="both"/>
        <w:rPr>
          <w:rFonts w:ascii="Verdana" w:hAnsi="Verdana" w:cs="Arial"/>
          <w:lang w:val="es-MX"/>
        </w:rPr>
      </w:pPr>
      <w:r w:rsidRPr="00A96D39">
        <w:rPr>
          <w:rFonts w:ascii="Verdana" w:hAnsi="Verdana" w:cs="Arial"/>
          <w:lang w:val="es-MX"/>
        </w:rPr>
        <w:t xml:space="preserve">En desarrollo de lo anterior, el artículo 95 de dicha ley contempla la celebración directa de convenios solidarios entre organismos de acción comunal </w:t>
      </w:r>
      <w:r w:rsidRPr="00A96D39">
        <w:rPr>
          <w:rFonts w:ascii="Verdana" w:hAnsi="Verdana" w:cs="Arial"/>
          <w:lang w:val="es-MX"/>
        </w:rPr>
        <w:lastRenderedPageBreak/>
        <w:t xml:space="preserve">y “los entes del orden Nacional, Departamental, Distrital y municipal”, prescribiendo lo siguiente: </w:t>
      </w:r>
    </w:p>
    <w:p w14:paraId="7AA443A8" w14:textId="77777777" w:rsidR="002F1DC2" w:rsidRPr="00D500C0" w:rsidRDefault="002F1DC2" w:rsidP="002F1DC2">
      <w:pPr>
        <w:spacing w:after="0" w:line="276" w:lineRule="auto"/>
        <w:ind w:firstLine="708"/>
        <w:jc w:val="both"/>
        <w:rPr>
          <w:rFonts w:ascii="Verdana" w:hAnsi="Verdana" w:cs="Arial"/>
          <w:color w:val="4472C4" w:themeColor="accent1"/>
          <w:lang w:val="es-MX"/>
        </w:rPr>
      </w:pPr>
    </w:p>
    <w:p w14:paraId="0AC46F1B" w14:textId="77777777" w:rsidR="002F1DC2" w:rsidRPr="006F5491" w:rsidRDefault="002F1DC2" w:rsidP="002F1DC2">
      <w:pPr>
        <w:spacing w:after="0" w:line="240" w:lineRule="auto"/>
        <w:ind w:left="709" w:right="709"/>
        <w:jc w:val="both"/>
        <w:rPr>
          <w:rFonts w:ascii="Verdana" w:eastAsia="Calibri" w:hAnsi="Verdana" w:cs="Arial"/>
          <w:sz w:val="20"/>
          <w:szCs w:val="20"/>
        </w:rPr>
      </w:pPr>
      <w:r w:rsidRPr="006F5491">
        <w:rPr>
          <w:rFonts w:ascii="Verdana" w:eastAsia="Verdana" w:hAnsi="Verdana" w:cs="Verdana"/>
          <w:sz w:val="20"/>
          <w:szCs w:val="20"/>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2CE72804" w14:textId="77777777" w:rsidR="002F1DC2" w:rsidRPr="006F5491" w:rsidRDefault="002F1DC2" w:rsidP="002F1DC2">
      <w:pPr>
        <w:spacing w:after="0" w:line="240" w:lineRule="auto"/>
        <w:ind w:left="709" w:right="709"/>
        <w:jc w:val="both"/>
        <w:rPr>
          <w:rFonts w:ascii="Verdana" w:eastAsia="Calibri" w:hAnsi="Verdana" w:cs="Arial"/>
          <w:sz w:val="20"/>
          <w:szCs w:val="20"/>
        </w:rPr>
      </w:pPr>
    </w:p>
    <w:p w14:paraId="3AF6E6B0" w14:textId="77777777" w:rsidR="002F1DC2" w:rsidRPr="006F5491" w:rsidRDefault="002F1DC2" w:rsidP="002F1DC2">
      <w:pPr>
        <w:spacing w:after="0" w:line="240" w:lineRule="auto"/>
        <w:ind w:left="709" w:right="709"/>
        <w:jc w:val="both"/>
        <w:rPr>
          <w:rFonts w:ascii="Verdana" w:eastAsia="Calibri" w:hAnsi="Verdana" w:cs="Arial"/>
          <w:sz w:val="20"/>
          <w:szCs w:val="20"/>
        </w:rPr>
      </w:pPr>
      <w:r w:rsidRPr="006F5491">
        <w:rPr>
          <w:rFonts w:ascii="Verdana" w:eastAsia="Verdana" w:hAnsi="Verdana" w:cs="Verdana"/>
          <w:sz w:val="20"/>
          <w:szCs w:val="20"/>
        </w:rPr>
        <w:t xml:space="preserve">Parágrafo 1. Los entes territoriales podrán incluir en el monto total de los Convenios Solidarios los costos directos, los costos administrativos y el Subsidio al dignatario representante legal para transportes de que trata la (SIC) el literal c) del artículo 38 de la presente ley. </w:t>
      </w:r>
    </w:p>
    <w:p w14:paraId="2CFCC17C" w14:textId="77777777" w:rsidR="002F1DC2" w:rsidRPr="006F5491" w:rsidRDefault="002F1DC2" w:rsidP="002F1DC2">
      <w:pPr>
        <w:spacing w:after="0" w:line="240" w:lineRule="auto"/>
        <w:ind w:left="709" w:right="709"/>
        <w:jc w:val="both"/>
        <w:rPr>
          <w:rFonts w:ascii="Verdana" w:eastAsia="Calibri" w:hAnsi="Verdana" w:cs="Arial"/>
          <w:sz w:val="20"/>
          <w:szCs w:val="20"/>
        </w:rPr>
      </w:pPr>
    </w:p>
    <w:p w14:paraId="779779D3" w14:textId="77777777" w:rsidR="002F1DC2" w:rsidRPr="006F5491" w:rsidRDefault="002F1DC2" w:rsidP="002F1DC2">
      <w:pPr>
        <w:spacing w:after="0" w:line="240" w:lineRule="auto"/>
        <w:ind w:left="709" w:right="709"/>
        <w:jc w:val="both"/>
        <w:rPr>
          <w:rFonts w:ascii="Verdana" w:eastAsia="Calibri" w:hAnsi="Verdana" w:cs="Arial"/>
          <w:sz w:val="20"/>
          <w:szCs w:val="20"/>
        </w:rPr>
      </w:pPr>
      <w:r w:rsidRPr="006F5491">
        <w:rPr>
          <w:rFonts w:ascii="Verdana" w:eastAsia="Calibri" w:hAnsi="Verdana" w:cs="Arial"/>
          <w:sz w:val="20"/>
          <w:szCs w:val="20"/>
        </w:rPr>
        <w:t>Parágrafo 2. Adicional del monto del Convenio Solidario, los entes territoriales deberán contar o disponer de personal técnico y administrativo-contable, para supervisar y apoyar a los Organismos de Acción Comunal en la ejecución de las obras”</w:t>
      </w:r>
      <w:r w:rsidRPr="006F5491">
        <w:rPr>
          <w:rFonts w:ascii="Verdana" w:eastAsia="Calibri" w:hAnsi="Verdana" w:cs="Arial"/>
          <w:sz w:val="20"/>
          <w:szCs w:val="20"/>
          <w:vertAlign w:val="superscript"/>
        </w:rPr>
        <w:footnoteReference w:id="12"/>
      </w:r>
      <w:r w:rsidRPr="006F5491">
        <w:rPr>
          <w:rFonts w:ascii="Verdana" w:eastAsia="Calibri" w:hAnsi="Verdana" w:cs="Arial"/>
          <w:sz w:val="20"/>
          <w:szCs w:val="20"/>
        </w:rPr>
        <w:t>.</w:t>
      </w:r>
    </w:p>
    <w:p w14:paraId="0929944F" w14:textId="77777777" w:rsidR="002F1DC2" w:rsidRPr="002B5B87" w:rsidRDefault="002F1DC2" w:rsidP="00722A6C">
      <w:pPr>
        <w:spacing w:after="0" w:line="240" w:lineRule="auto"/>
        <w:ind w:left="709" w:right="709"/>
        <w:jc w:val="both"/>
        <w:rPr>
          <w:rFonts w:ascii="Verdana" w:eastAsia="Calibri" w:hAnsi="Verdana" w:cs="Arial"/>
          <w:color w:val="4472C4" w:themeColor="accent1"/>
          <w:sz w:val="20"/>
          <w:szCs w:val="20"/>
        </w:rPr>
      </w:pPr>
    </w:p>
    <w:p w14:paraId="1B2B4988" w14:textId="77777777" w:rsidR="00722A6C" w:rsidRPr="0000280E" w:rsidRDefault="00722A6C" w:rsidP="00722A6C">
      <w:pPr>
        <w:spacing w:after="120" w:line="276" w:lineRule="auto"/>
        <w:ind w:firstLine="708"/>
        <w:jc w:val="both"/>
        <w:rPr>
          <w:rFonts w:ascii="Verdana" w:hAnsi="Verdana" w:cs="Arial"/>
        </w:rPr>
      </w:pPr>
      <w:r w:rsidRPr="0000280E">
        <w:rPr>
          <w:rFonts w:ascii="Verdana" w:hAnsi="Verdana" w:cs="Arial"/>
        </w:rPr>
        <w:t>En ese sentido, los Organismos de Acción Comunal, de conformidad con lo dispuesto en el artículo 7 de la Ley 2166 de 2021, los cuales se encuentran integrados por: i) las juntas de acción comunal y las juntas de vivienda comunal; ii) las asociaciones de juntas de acción comunal; iii) las federaciones de acción comunal; y iv) la Confederación Nacional de Acción Comunal, están habilitados para suscribir convenios con entidades públicas, siempre que cumplan con las condiciones legales y reglamentarias que regulan su existencia y funcionamiento.</w:t>
      </w:r>
    </w:p>
    <w:p w14:paraId="66B0AE09" w14:textId="77777777" w:rsidR="00722A6C" w:rsidRPr="0000280E" w:rsidRDefault="00722A6C" w:rsidP="00211525">
      <w:pPr>
        <w:spacing w:after="120" w:line="276" w:lineRule="auto"/>
        <w:ind w:firstLine="708"/>
        <w:jc w:val="both"/>
        <w:rPr>
          <w:rFonts w:ascii="Verdana" w:hAnsi="Verdana" w:cs="Arial"/>
        </w:rPr>
      </w:pPr>
      <w:r w:rsidRPr="0000280E">
        <w:rPr>
          <w:rFonts w:ascii="Verdana" w:hAnsi="Verdana" w:cs="Arial"/>
        </w:rPr>
        <w:t>Para tal efecto, dichos organismos deben acreditar el cumplimiento de los requisitos relativos a su organización, constitución, reconocimiento y funcionamiento, conforme a lo previsto en la Ley 2166 de 2021 y en las normas que la desarrollen, incluyendo la vigencia de su personería jurídica, la legitimidad de su representación legal y el cumplimiento de sus deberes estatutarios. Adicionalmente, en el marco de cada proceso de contratación, deberán satisfacer los requisitos habilitantes y demás condiciones que establezca la entidad pública contratante en los pliegos de condiciones o en los documentos equivalentes, los cuales deben ajustarse a los principios y reglas que rigen la contratación estatal.</w:t>
      </w:r>
    </w:p>
    <w:p w14:paraId="231181FD" w14:textId="77777777" w:rsidR="00722A6C" w:rsidRDefault="00722A6C" w:rsidP="00211525">
      <w:pPr>
        <w:spacing w:after="0" w:line="276" w:lineRule="auto"/>
        <w:ind w:firstLine="708"/>
        <w:contextualSpacing/>
        <w:jc w:val="both"/>
        <w:rPr>
          <w:rStyle w:val="s15"/>
          <w:rFonts w:ascii="Verdana" w:hAnsi="Verdana"/>
          <w:color w:val="000000" w:themeColor="text1"/>
        </w:rPr>
      </w:pPr>
      <w:r w:rsidRPr="002B5B87">
        <w:rPr>
          <w:rFonts w:ascii="Verdana" w:eastAsia="Calibri" w:hAnsi="Verdana" w:cs="Arial"/>
          <w:bCs/>
          <w:color w:val="000000" w:themeColor="text1"/>
        </w:rPr>
        <w:lastRenderedPageBreak/>
        <w:t xml:space="preserve">Finalmente, al margen de la explicación precedente debe advertirse que </w:t>
      </w:r>
      <w:r w:rsidRPr="002B5B87">
        <w:rPr>
          <w:rStyle w:val="s15"/>
          <w:rFonts w:ascii="Verdana" w:hAnsi="Verdana"/>
          <w:color w:val="000000" w:themeColor="text1"/>
        </w:rPr>
        <w:t>el análisis requerido para resolver problemas específicos en torno a la gestión contractual debe ser realizado por quienes tengan interés en ello, de acuerdo</w:t>
      </w:r>
      <w:r w:rsidRPr="00CA001D">
        <w:rPr>
          <w:rStyle w:val="s15"/>
          <w:rFonts w:ascii="Verdana" w:hAnsi="Verdana"/>
          <w:color w:val="000000" w:themeColor="text1"/>
        </w:rPr>
        <w:t xml:space="preserve"> con lo explicado la aclaración preliminar del presente oficio.</w:t>
      </w:r>
      <w:r w:rsidRPr="00CA001D">
        <w:rPr>
          <w:rStyle w:val="apple-converted-space"/>
          <w:rFonts w:ascii="Verdana" w:hAnsi="Verdana"/>
          <w:color w:val="000000" w:themeColor="text1"/>
        </w:rPr>
        <w:t> </w:t>
      </w:r>
      <w:r w:rsidRPr="00CA001D">
        <w:rPr>
          <w:rStyle w:val="s15"/>
          <w:rFonts w:ascii="Verdana" w:hAnsi="Verdana"/>
          <w:color w:val="000000" w:themeColor="text1"/>
        </w:rPr>
        <w:t>Por lo anterior, previo</w:t>
      </w:r>
      <w:r w:rsidRPr="00CA001D">
        <w:rPr>
          <w:rStyle w:val="apple-converted-space"/>
          <w:rFonts w:ascii="Verdana" w:hAnsi="Verdana"/>
          <w:color w:val="000000" w:themeColor="text1"/>
        </w:rPr>
        <w:t> </w:t>
      </w:r>
      <w:r w:rsidRPr="00CA001D">
        <w:rPr>
          <w:rStyle w:val="s15"/>
          <w:rFonts w:ascii="Verdana" w:hAnsi="Verdana"/>
          <w:color w:val="000000" w:themeColor="text1"/>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71B47DE8" w14:textId="77777777" w:rsidR="002F1DC2" w:rsidRPr="009A0C08" w:rsidRDefault="002F1DC2" w:rsidP="00722A6C">
      <w:pPr>
        <w:spacing w:after="0" w:line="276" w:lineRule="auto"/>
        <w:contextualSpacing/>
        <w:jc w:val="both"/>
        <w:rPr>
          <w:rFonts w:ascii="Verdana" w:eastAsia="Calibri" w:hAnsi="Verdana" w:cs="Arial"/>
          <w:color w:val="EE0000"/>
        </w:rPr>
      </w:pPr>
    </w:p>
    <w:p w14:paraId="344F138F" w14:textId="77777777" w:rsidR="002F1DC2" w:rsidRPr="009A0C08" w:rsidRDefault="002F1DC2" w:rsidP="002F1DC2">
      <w:pPr>
        <w:widowControl w:val="0"/>
        <w:autoSpaceDE w:val="0"/>
        <w:autoSpaceDN w:val="0"/>
        <w:spacing w:before="1" w:after="0" w:line="240" w:lineRule="auto"/>
        <w:outlineLvl w:val="0"/>
        <w:rPr>
          <w:rFonts w:ascii="Verdana" w:eastAsia="Arial" w:hAnsi="Verdana" w:cs="Arial"/>
          <w:b/>
          <w:bCs/>
          <w:color w:val="EE0000"/>
          <w:lang w:val="es-ES"/>
        </w:rPr>
      </w:pPr>
      <w:r w:rsidRPr="00CD6237">
        <w:rPr>
          <w:rFonts w:ascii="Verdana" w:eastAsia="Arial" w:hAnsi="Verdana" w:cs="Arial"/>
          <w:b/>
          <w:lang w:val="es-ES"/>
        </w:rPr>
        <w:t>4.Referencias normativas, jurisprudenciales y otras fuentes:</w:t>
      </w:r>
    </w:p>
    <w:p w14:paraId="58AE2C8A" w14:textId="77777777" w:rsidR="002F1DC2" w:rsidRPr="009A0C08" w:rsidRDefault="002F1DC2" w:rsidP="002F1DC2">
      <w:pPr>
        <w:widowControl w:val="0"/>
        <w:autoSpaceDE w:val="0"/>
        <w:autoSpaceDN w:val="0"/>
        <w:spacing w:after="0" w:line="276" w:lineRule="auto"/>
        <w:jc w:val="both"/>
        <w:rPr>
          <w:rFonts w:ascii="Verdana" w:eastAsia="Aptos" w:hAnsi="Verdana" w:cs="Arial"/>
          <w:color w:val="EE000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2A6C" w:rsidRPr="009A0C08" w14:paraId="5A6CCDB1" w14:textId="77777777" w:rsidTr="00956BB9">
        <w:trPr>
          <w:trHeight w:val="870"/>
        </w:trPr>
        <w:tc>
          <w:tcPr>
            <w:tcW w:w="8647" w:type="dxa"/>
          </w:tcPr>
          <w:p w14:paraId="2CEF90F0" w14:textId="77777777" w:rsidR="00722A6C" w:rsidRPr="007708BF" w:rsidRDefault="00722A6C" w:rsidP="00956BB9">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Ley 1150 de 2007. Artículos 5 y 6.</w:t>
            </w:r>
          </w:p>
          <w:p w14:paraId="7D9802C1" w14:textId="77777777" w:rsidR="00722A6C" w:rsidRPr="007708BF" w:rsidRDefault="00722A6C" w:rsidP="00956BB9">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Ley 1437 de 2011. Artículo 44</w:t>
            </w:r>
            <w:r>
              <w:rPr>
                <w:rFonts w:ascii="Verdana" w:eastAsia="Calibri" w:hAnsi="Verdana" w:cs="Arial"/>
                <w:lang w:val="es-ES"/>
              </w:rPr>
              <w:t>.</w:t>
            </w:r>
          </w:p>
          <w:p w14:paraId="4BAE8F76" w14:textId="77777777" w:rsidR="00722A6C" w:rsidRPr="007708BF" w:rsidRDefault="00722A6C" w:rsidP="00956BB9">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 xml:space="preserve">Ley 2166 de 2021. Artículo </w:t>
            </w:r>
            <w:r>
              <w:rPr>
                <w:rFonts w:ascii="Verdana" w:eastAsia="Calibri" w:hAnsi="Verdana" w:cs="Arial"/>
                <w:lang w:val="es-ES"/>
              </w:rPr>
              <w:t xml:space="preserve">7 y </w:t>
            </w:r>
            <w:r w:rsidRPr="007708BF">
              <w:rPr>
                <w:rFonts w:ascii="Verdana" w:eastAsia="Calibri" w:hAnsi="Verdana" w:cs="Arial"/>
                <w:lang w:val="es-ES"/>
              </w:rPr>
              <w:t>95</w:t>
            </w:r>
            <w:r>
              <w:rPr>
                <w:rFonts w:ascii="Verdana" w:eastAsia="Calibri" w:hAnsi="Verdana" w:cs="Arial"/>
                <w:lang w:val="es-ES"/>
              </w:rPr>
              <w:t>.</w:t>
            </w:r>
          </w:p>
          <w:p w14:paraId="02C28AB2" w14:textId="77777777" w:rsidR="00722A6C" w:rsidRPr="00C34836" w:rsidRDefault="00722A6C" w:rsidP="00956BB9">
            <w:pPr>
              <w:widowControl w:val="0"/>
              <w:numPr>
                <w:ilvl w:val="0"/>
                <w:numId w:val="16"/>
              </w:numPr>
              <w:autoSpaceDE w:val="0"/>
              <w:autoSpaceDN w:val="0"/>
              <w:spacing w:line="276" w:lineRule="auto"/>
              <w:contextualSpacing/>
              <w:jc w:val="both"/>
              <w:rPr>
                <w:rFonts w:ascii="Verdana" w:eastAsia="Aptos" w:hAnsi="Verdana" w:cs="Arial"/>
                <w:color w:val="EE0000"/>
              </w:rPr>
            </w:pPr>
            <w:r w:rsidRPr="007708BF">
              <w:rPr>
                <w:rFonts w:ascii="Verdana" w:eastAsia="Calibri" w:hAnsi="Verdana" w:cs="Arial"/>
                <w:lang w:val="es-ES"/>
              </w:rPr>
              <w:t xml:space="preserve">Decreto 1082 de 2015. Artículo </w:t>
            </w:r>
            <w:r w:rsidRPr="007708BF">
              <w:rPr>
                <w:rFonts w:ascii="Verdana" w:eastAsia="Times New Roman" w:hAnsi="Verdana" w:cs="Arial"/>
                <w:lang w:val="es-ES_tradnl" w:eastAsia="es-MX"/>
              </w:rPr>
              <w:t xml:space="preserve">2.2.1.1.1.6.2. </w:t>
            </w:r>
          </w:p>
          <w:p w14:paraId="4A77F3A1" w14:textId="68EA3F54" w:rsidR="00C34836" w:rsidRPr="00D90EDB" w:rsidRDefault="00C34836" w:rsidP="00956BB9">
            <w:pPr>
              <w:widowControl w:val="0"/>
              <w:numPr>
                <w:ilvl w:val="0"/>
                <w:numId w:val="16"/>
              </w:numPr>
              <w:autoSpaceDE w:val="0"/>
              <w:autoSpaceDN w:val="0"/>
              <w:spacing w:line="276" w:lineRule="auto"/>
              <w:contextualSpacing/>
              <w:jc w:val="both"/>
              <w:rPr>
                <w:rFonts w:ascii="Verdana" w:eastAsia="Aptos" w:hAnsi="Verdana" w:cs="Arial"/>
                <w:color w:val="EE0000"/>
                <w:sz w:val="32"/>
                <w:szCs w:val="32"/>
              </w:rPr>
            </w:pPr>
            <w:r w:rsidRPr="00D90EDB">
              <w:rPr>
                <w:rFonts w:ascii="Verdana" w:hAnsi="Verdana" w:cs="Arial"/>
                <w:lang w:eastAsia="es-CO"/>
              </w:rPr>
              <w:t>Consejo de Estado. Sección Tercera. Subsección A. Sentencia del 12 de febrero de 2014. Exp. 31.753. C.P. Mauricio Fajardo Gómez</w:t>
            </w:r>
            <w:r w:rsidR="00D90EDB">
              <w:rPr>
                <w:rFonts w:ascii="Verdana" w:hAnsi="Verdana" w:cs="Arial"/>
                <w:lang w:eastAsia="es-CO"/>
              </w:rPr>
              <w:t>.</w:t>
            </w:r>
          </w:p>
          <w:p w14:paraId="7C4F868F" w14:textId="77777777" w:rsidR="00722A6C" w:rsidRPr="00ED10EC" w:rsidRDefault="00722A6C" w:rsidP="00956BB9">
            <w:pPr>
              <w:widowControl w:val="0"/>
              <w:numPr>
                <w:ilvl w:val="0"/>
                <w:numId w:val="16"/>
              </w:numPr>
              <w:autoSpaceDE w:val="0"/>
              <w:autoSpaceDN w:val="0"/>
              <w:spacing w:line="276" w:lineRule="auto"/>
              <w:contextualSpacing/>
              <w:jc w:val="both"/>
              <w:rPr>
                <w:rFonts w:ascii="Verdana" w:eastAsia="Aptos" w:hAnsi="Verdana" w:cs="Arial"/>
                <w:color w:val="EE0000"/>
              </w:rPr>
            </w:pPr>
            <w:r>
              <w:rPr>
                <w:rFonts w:ascii="Verdana" w:eastAsia="Times New Roman" w:hAnsi="Verdana" w:cs="Arial"/>
                <w:lang w:val="es-ES_tradnl" w:eastAsia="es-MX"/>
              </w:rPr>
              <w:t xml:space="preserve">Agencia Nacional de Contratación Pública – Colombia Compra Eficiente. </w:t>
            </w:r>
            <w:r w:rsidRPr="006402E7">
              <w:rPr>
                <w:rFonts w:ascii="Verdana" w:hAnsi="Verdana" w:cs="Arial"/>
              </w:rPr>
              <w:t xml:space="preserve">Manual para determinar los requisitos habilitantes en los procesos de contratación, 2023. Disponible: </w:t>
            </w:r>
            <w:hyperlink r:id="rId13" w:history="1">
              <w:r>
                <w:rPr>
                  <w:rStyle w:val="Hipervnculo"/>
                  <w:rFonts w:ascii="Verdana" w:hAnsi="Verdana" w:cs="Arial"/>
                </w:rPr>
                <w:t>Aquí</w:t>
              </w:r>
            </w:hyperlink>
          </w:p>
          <w:p w14:paraId="11EA0920" w14:textId="77777777" w:rsidR="00722A6C" w:rsidRPr="009A0C08" w:rsidRDefault="00722A6C" w:rsidP="00956BB9">
            <w:pPr>
              <w:widowControl w:val="0"/>
              <w:autoSpaceDE w:val="0"/>
              <w:autoSpaceDN w:val="0"/>
              <w:spacing w:line="276" w:lineRule="auto"/>
              <w:ind w:left="360"/>
              <w:contextualSpacing/>
              <w:jc w:val="both"/>
              <w:rPr>
                <w:rFonts w:ascii="Verdana" w:eastAsia="Aptos" w:hAnsi="Verdana" w:cs="Arial"/>
                <w:color w:val="EE0000"/>
              </w:rPr>
            </w:pPr>
          </w:p>
        </w:tc>
      </w:tr>
    </w:tbl>
    <w:p w14:paraId="1B1BDA91" w14:textId="77777777" w:rsidR="002F1DC2" w:rsidRPr="009A0C08" w:rsidRDefault="002F1DC2" w:rsidP="002F1DC2">
      <w:pPr>
        <w:widowControl w:val="0"/>
        <w:autoSpaceDE w:val="0"/>
        <w:autoSpaceDN w:val="0"/>
        <w:spacing w:after="0" w:line="276" w:lineRule="auto"/>
        <w:jc w:val="both"/>
        <w:rPr>
          <w:rFonts w:ascii="Verdana" w:eastAsia="Aptos" w:hAnsi="Verdana" w:cs="Arial"/>
          <w:color w:val="EE0000"/>
        </w:rPr>
      </w:pPr>
    </w:p>
    <w:p w14:paraId="169CA94C" w14:textId="77777777" w:rsidR="002F1DC2" w:rsidRPr="00CD6237" w:rsidRDefault="002F1DC2" w:rsidP="002F1DC2">
      <w:pPr>
        <w:widowControl w:val="0"/>
        <w:autoSpaceDE w:val="0"/>
        <w:autoSpaceDN w:val="0"/>
        <w:spacing w:before="1" w:after="0" w:line="240" w:lineRule="auto"/>
        <w:outlineLvl w:val="0"/>
        <w:rPr>
          <w:rFonts w:ascii="Verdana" w:eastAsia="Arial" w:hAnsi="Verdana" w:cs="Arial"/>
          <w:b/>
          <w:lang w:val="es-ES"/>
        </w:rPr>
      </w:pPr>
      <w:r w:rsidRPr="00CD6237">
        <w:rPr>
          <w:rFonts w:ascii="Verdana" w:eastAsia="Arial" w:hAnsi="Verdana" w:cs="Arial"/>
          <w:b/>
          <w:lang w:val="es-ES"/>
        </w:rPr>
        <w:t>5. Doctrina de la Agencia Nacional de Contratación Pública:</w:t>
      </w:r>
    </w:p>
    <w:p w14:paraId="13177A11" w14:textId="77777777" w:rsidR="002F1DC2" w:rsidRPr="009A0C08" w:rsidRDefault="002F1DC2" w:rsidP="002F1DC2">
      <w:pPr>
        <w:widowControl w:val="0"/>
        <w:autoSpaceDE w:val="0"/>
        <w:autoSpaceDN w:val="0"/>
        <w:spacing w:after="0" w:line="276" w:lineRule="auto"/>
        <w:jc w:val="both"/>
        <w:rPr>
          <w:rFonts w:ascii="Verdana" w:eastAsia="Aptos" w:hAnsi="Verdana" w:cs="Arial"/>
          <w:color w:val="EE0000"/>
        </w:rPr>
      </w:pPr>
    </w:p>
    <w:p w14:paraId="06B28D29" w14:textId="77777777" w:rsidR="00722A6C" w:rsidRDefault="00722A6C" w:rsidP="00722A6C">
      <w:pPr>
        <w:widowControl w:val="0"/>
        <w:autoSpaceDE w:val="0"/>
        <w:autoSpaceDN w:val="0"/>
        <w:spacing w:after="0" w:line="276" w:lineRule="auto"/>
        <w:jc w:val="both"/>
        <w:rPr>
          <w:rStyle w:val="normaltextrun"/>
          <w:rFonts w:ascii="Verdana" w:hAnsi="Verdana" w:cs="Arial"/>
          <w:shd w:val="clear" w:color="auto" w:fill="FFFFFF"/>
          <w:lang w:val="es-ES"/>
        </w:rPr>
      </w:pPr>
      <w:r w:rsidRPr="003F4BAF">
        <w:rPr>
          <w:rFonts w:ascii="Verdana" w:hAnsi="Verdana" w:cs="Arial"/>
          <w:bCs/>
          <w:shd w:val="clear" w:color="auto" w:fill="FFFFFF"/>
        </w:rPr>
        <w:t>La Agencia Nacional de Contratación Pública – Colombia Compra Eficient</w:t>
      </w:r>
      <w:r>
        <w:rPr>
          <w:rFonts w:ascii="Verdana" w:hAnsi="Verdana" w:cs="Arial"/>
          <w:bCs/>
          <w:shd w:val="clear" w:color="auto" w:fill="FFFFFF"/>
        </w:rPr>
        <w:t xml:space="preserve">e ha expedido </w:t>
      </w:r>
      <w:r>
        <w:rPr>
          <w:rFonts w:ascii="Verdana" w:eastAsia="Calibri" w:hAnsi="Verdana" w:cs="Arial"/>
          <w:lang w:val="es-ES_tradnl"/>
        </w:rPr>
        <w:t>conceptos sobre los requisitos habilitantes</w:t>
      </w:r>
      <w:r w:rsidRPr="009A0C08">
        <w:rPr>
          <w:rFonts w:ascii="Verdana" w:eastAsia="Aptos" w:hAnsi="Verdana" w:cs="Arial"/>
          <w:color w:val="EE0000"/>
          <w:shd w:val="clear" w:color="auto" w:fill="FFFFFF"/>
          <w:lang w:val="es-ES"/>
        </w:rPr>
        <w:t xml:space="preserve"> </w:t>
      </w:r>
      <w:r w:rsidRPr="00B106E4">
        <w:rPr>
          <w:rStyle w:val="normaltextrun"/>
          <w:rFonts w:ascii="Verdana" w:hAnsi="Verdana" w:cs="Arial"/>
          <w:shd w:val="clear" w:color="auto" w:fill="FFFFFF"/>
          <w:lang w:val="es-ES"/>
        </w:rPr>
        <w:t xml:space="preserve">C-120 del 3 de marzo de 2020, C-204 del 31 de marzo de 2020, C-099 del 6 de abril  de 2020, C-195 del 13 de abril de 2020, C-013 del 17 de abril de 2020, C-330 del 27 de mayo de 2020 y C-396 de 16 de julio de 2020, C-142 del 30 de marzo de 2022,  C-337 de 18de agosto de 2023,Concepto C-483 del 26 de septiembre de 2024, Concepto C- 662 de 2024 del 29 de enero de 2025, C –043 del 28 de febrero de 2025, Concepto C- 116 del 1 de marzo de 2025, </w:t>
      </w:r>
      <w:r>
        <w:rPr>
          <w:rStyle w:val="normaltextrun"/>
          <w:rFonts w:ascii="Verdana" w:hAnsi="Verdana" w:cs="Arial"/>
          <w:shd w:val="clear" w:color="auto" w:fill="FFFFFF"/>
          <w:lang w:val="es-ES"/>
        </w:rPr>
        <w:t>C-442 del 21 de mayo de 2025</w:t>
      </w:r>
    </w:p>
    <w:p w14:paraId="0ADE0D1A" w14:textId="77777777" w:rsidR="00722A6C" w:rsidRDefault="00722A6C" w:rsidP="00722A6C">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 xml:space="preserve">y c-1790 del 30 de diciembre de 2025, </w:t>
      </w:r>
      <w:r w:rsidRPr="00B106E4">
        <w:rPr>
          <w:rStyle w:val="normaltextrun"/>
          <w:rFonts w:ascii="Verdana" w:hAnsi="Verdana" w:cs="Arial"/>
          <w:shd w:val="clear" w:color="auto" w:fill="FFFFFF"/>
          <w:lang w:val="es-ES"/>
        </w:rPr>
        <w:t>entre otros</w:t>
      </w:r>
      <w:r>
        <w:rPr>
          <w:rStyle w:val="normaltextrun"/>
          <w:rFonts w:ascii="Verdana" w:hAnsi="Verdana" w:cs="Arial"/>
          <w:shd w:val="clear" w:color="auto" w:fill="FFFFFF"/>
          <w:lang w:val="es-ES"/>
        </w:rPr>
        <w:t>.</w:t>
      </w:r>
    </w:p>
    <w:p w14:paraId="03A9628F" w14:textId="77777777" w:rsidR="002F1DC2" w:rsidRPr="009A0C08" w:rsidRDefault="002F1DC2" w:rsidP="002F1DC2">
      <w:pPr>
        <w:widowControl w:val="0"/>
        <w:autoSpaceDE w:val="0"/>
        <w:autoSpaceDN w:val="0"/>
        <w:spacing w:after="0" w:line="276" w:lineRule="auto"/>
        <w:jc w:val="both"/>
        <w:rPr>
          <w:rFonts w:ascii="Verdana" w:eastAsia="Aptos" w:hAnsi="Verdana" w:cs="Arial"/>
          <w:color w:val="EE0000"/>
          <w:shd w:val="clear" w:color="auto" w:fill="FFFFFF"/>
          <w:lang w:val="es-ES"/>
        </w:rPr>
      </w:pPr>
    </w:p>
    <w:p w14:paraId="1436BFB3" w14:textId="77777777" w:rsidR="002F1DC2" w:rsidRPr="00835586" w:rsidRDefault="002F1DC2" w:rsidP="002F1DC2">
      <w:pPr>
        <w:spacing w:after="0" w:line="276" w:lineRule="auto"/>
        <w:jc w:val="both"/>
        <w:rPr>
          <w:rFonts w:ascii="Verdana" w:hAnsi="Verdana"/>
          <w:color w:val="806000" w:themeColor="accent4" w:themeShade="80"/>
          <w:lang w:val="es-ES"/>
        </w:rPr>
      </w:pPr>
      <w:r w:rsidRPr="00B70560">
        <w:rPr>
          <w:rFonts w:ascii="Verdana" w:hAnsi="Verdana" w:cs="Arial"/>
          <w:shd w:val="clear" w:color="auto" w:fill="FFFFFF"/>
          <w:lang w:val="es-ES"/>
        </w:rPr>
        <w:lastRenderedPageBreak/>
        <w:t>Estos</w:t>
      </w:r>
      <w:r w:rsidRPr="00B70560">
        <w:rPr>
          <w:rFonts w:ascii="Verdana" w:hAnsi="Verdana"/>
          <w:lang w:val="es-ES"/>
        </w:rPr>
        <w:t xml:space="preserve"> y otros se encuentran disponibles para consulta en el Sistema de relatoría de la Agencia, al cual se puede acceder a través del siguiente enlace:</w:t>
      </w:r>
      <w:r w:rsidRPr="00B70560">
        <w:rPr>
          <w:rFonts w:ascii="Verdana" w:hAnsi="Verdana" w:cs="Arial"/>
          <w:shd w:val="clear" w:color="auto" w:fill="FFFFFF"/>
          <w:lang w:val="es-ES"/>
        </w:rPr>
        <w:t xml:space="preserve"> </w:t>
      </w:r>
      <w:hyperlink r:id="rId14" w:history="1">
        <w:r w:rsidRPr="00B70560">
          <w:rPr>
            <w:rStyle w:val="Hipervnculo"/>
            <w:rFonts w:ascii="Verdana" w:hAnsi="Verdana" w:cs="Arial"/>
            <w:shd w:val="clear" w:color="auto" w:fill="FFFFFF"/>
            <w:lang w:val="es-ES"/>
          </w:rPr>
          <w:t>https://relatoria.colombiacompra.gov.co/busqueda/conceptos</w:t>
        </w:r>
      </w:hyperlink>
    </w:p>
    <w:p w14:paraId="1364EEE7" w14:textId="77777777" w:rsidR="002F1DC2" w:rsidRPr="00835586" w:rsidRDefault="002F1DC2" w:rsidP="002F1DC2">
      <w:pPr>
        <w:spacing w:after="0"/>
        <w:jc w:val="both"/>
        <w:rPr>
          <w:rFonts w:ascii="Verdana" w:hAnsi="Verdana" w:cs="Arial"/>
          <w:color w:val="806000" w:themeColor="accent4" w:themeShade="80"/>
          <w:shd w:val="clear" w:color="auto" w:fill="FFFFFF"/>
          <w:lang w:val="es-ES"/>
        </w:rPr>
      </w:pPr>
    </w:p>
    <w:p w14:paraId="222DC23A" w14:textId="77777777" w:rsidR="002F1DC2" w:rsidRPr="00B70560" w:rsidRDefault="002F1DC2" w:rsidP="002F1DC2">
      <w:pPr>
        <w:spacing w:after="0"/>
        <w:jc w:val="both"/>
        <w:rPr>
          <w:rFonts w:ascii="Verdana" w:hAnsi="Verdana" w:cs="Arial"/>
          <w:shd w:val="clear" w:color="auto" w:fill="FFFFFF"/>
        </w:rPr>
      </w:pPr>
      <w:r w:rsidRPr="00B70560">
        <w:rPr>
          <w:rFonts w:ascii="Verdana" w:hAnsi="Verdana" w:cs="Arial"/>
          <w:shd w:val="clear" w:color="auto" w:fill="FFFFFF"/>
        </w:rPr>
        <w:t>También le contamos que ya se encuentra disponible la </w:t>
      </w:r>
      <w:r w:rsidRPr="00B70560">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70560">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B70560">
          <w:rPr>
            <w:rStyle w:val="Hipervnculo"/>
            <w:rFonts w:ascii="Verdana" w:hAnsi="Verdana"/>
          </w:rPr>
          <w:t>Guía de lineamientos de transparencia y selección objetiva para el departamento de La Guajira – Objetivo sexto constitucional de la Sentencia T-302 del 2017</w:t>
        </w:r>
      </w:hyperlink>
    </w:p>
    <w:p w14:paraId="5080E849" w14:textId="77777777" w:rsidR="002F1DC2" w:rsidRPr="00835586" w:rsidRDefault="002F1DC2" w:rsidP="002F1DC2">
      <w:pPr>
        <w:spacing w:after="0"/>
        <w:jc w:val="both"/>
        <w:rPr>
          <w:rFonts w:ascii="Verdana" w:hAnsi="Verdana" w:cs="Arial"/>
          <w:color w:val="806000" w:themeColor="accent4" w:themeShade="80"/>
          <w:shd w:val="clear" w:color="auto" w:fill="FFFFFF"/>
        </w:rPr>
      </w:pPr>
    </w:p>
    <w:p w14:paraId="7C5C21B7" w14:textId="77777777" w:rsidR="002F1DC2" w:rsidRPr="00B70560" w:rsidRDefault="002F1DC2" w:rsidP="002F1DC2">
      <w:pPr>
        <w:spacing w:after="0"/>
        <w:jc w:val="both"/>
        <w:rPr>
          <w:rFonts w:ascii="Verdana" w:hAnsi="Verdana" w:cs="Arial"/>
          <w:shd w:val="clear" w:color="auto" w:fill="FFFFFF"/>
        </w:rPr>
      </w:pPr>
      <w:r w:rsidRPr="00B70560">
        <w:rPr>
          <w:rFonts w:ascii="Verdana" w:hAnsi="Verdana" w:cs="Arial"/>
          <w:shd w:val="clear" w:color="auto" w:fill="FFFFFF"/>
        </w:rPr>
        <w:t xml:space="preserve">Por último, lo invitamos a seguirnos en las redes sociales en las cuales se difunde información institucional: </w:t>
      </w:r>
    </w:p>
    <w:p w14:paraId="75866A94" w14:textId="77777777" w:rsidR="002F1DC2" w:rsidRPr="00835586" w:rsidRDefault="002F1DC2" w:rsidP="002F1DC2">
      <w:pPr>
        <w:spacing w:after="0"/>
        <w:jc w:val="both"/>
        <w:rPr>
          <w:rFonts w:ascii="Verdana" w:hAnsi="Verdana" w:cs="Arial"/>
          <w:color w:val="806000" w:themeColor="accent4" w:themeShade="80"/>
          <w:shd w:val="clear" w:color="auto" w:fill="FFFFFF"/>
        </w:rPr>
      </w:pPr>
    </w:p>
    <w:p w14:paraId="40B3AEC5" w14:textId="77777777" w:rsidR="002F1DC2" w:rsidRPr="00B70560" w:rsidRDefault="002F1DC2" w:rsidP="002F1DC2">
      <w:pPr>
        <w:spacing w:after="0"/>
        <w:jc w:val="both"/>
        <w:rPr>
          <w:rFonts w:ascii="Verdana" w:hAnsi="Verdana" w:cs="Arial"/>
          <w:shd w:val="clear" w:color="auto" w:fill="FFFFFF"/>
        </w:rPr>
      </w:pPr>
      <w:r w:rsidRPr="00B70560">
        <w:rPr>
          <w:rFonts w:ascii="Verdana" w:hAnsi="Verdana" w:cs="Arial"/>
          <w:shd w:val="clear" w:color="auto" w:fill="FFFFFF"/>
        </w:rPr>
        <w:t xml:space="preserve">Twitter: </w:t>
      </w:r>
      <w:r w:rsidRPr="00B70560">
        <w:rPr>
          <w:rStyle w:val="Hipervnculo"/>
          <w:rFonts w:ascii="Verdana" w:hAnsi="Verdana"/>
          <w:lang w:val="es-ES"/>
        </w:rPr>
        <w:t xml:space="preserve">@colombiacompra </w:t>
      </w:r>
    </w:p>
    <w:p w14:paraId="484490E9" w14:textId="77777777" w:rsidR="002F1DC2" w:rsidRPr="00B70560" w:rsidRDefault="002F1DC2" w:rsidP="002F1DC2">
      <w:pPr>
        <w:spacing w:after="0"/>
        <w:jc w:val="both"/>
        <w:rPr>
          <w:rFonts w:ascii="Verdana" w:hAnsi="Verdana" w:cs="Arial"/>
          <w:shd w:val="clear" w:color="auto" w:fill="FFFFFF"/>
        </w:rPr>
      </w:pPr>
      <w:r w:rsidRPr="00B70560">
        <w:rPr>
          <w:rFonts w:ascii="Verdana" w:hAnsi="Verdana" w:cs="Arial"/>
          <w:shd w:val="clear" w:color="auto" w:fill="FFFFFF"/>
        </w:rPr>
        <w:t>Facebook:</w:t>
      </w:r>
      <w:r w:rsidRPr="00B70560">
        <w:rPr>
          <w:rStyle w:val="Hipervnculo"/>
          <w:rFonts w:ascii="Verdana" w:hAnsi="Verdana"/>
          <w:color w:val="auto"/>
          <w:lang w:val="es-ES"/>
        </w:rPr>
        <w:t xml:space="preserve"> </w:t>
      </w:r>
      <w:r w:rsidRPr="00B70560">
        <w:rPr>
          <w:rStyle w:val="Hipervnculo"/>
          <w:rFonts w:ascii="Verdana" w:hAnsi="Verdana"/>
          <w:lang w:val="es-ES"/>
        </w:rPr>
        <w:t>ColombiaCompraEficiente</w:t>
      </w:r>
    </w:p>
    <w:p w14:paraId="09781037" w14:textId="77777777" w:rsidR="002F1DC2" w:rsidRPr="00B70560" w:rsidRDefault="002F1DC2" w:rsidP="002F1DC2">
      <w:pPr>
        <w:spacing w:after="0"/>
        <w:jc w:val="both"/>
        <w:rPr>
          <w:rFonts w:ascii="Verdana" w:hAnsi="Verdana" w:cs="Arial"/>
          <w:shd w:val="clear" w:color="auto" w:fill="FFFFFF"/>
        </w:rPr>
      </w:pPr>
      <w:r w:rsidRPr="00B70560">
        <w:rPr>
          <w:rFonts w:ascii="Verdana" w:hAnsi="Verdana" w:cs="Arial"/>
          <w:shd w:val="clear" w:color="auto" w:fill="FFFFFF"/>
        </w:rPr>
        <w:t xml:space="preserve">LinkedIn: </w:t>
      </w:r>
      <w:r w:rsidRPr="00B70560">
        <w:rPr>
          <w:rStyle w:val="Hipervnculo"/>
          <w:rFonts w:ascii="Verdana" w:hAnsi="Verdana"/>
          <w:lang w:val="es-ES"/>
        </w:rPr>
        <w:t>Agencia Nacional de Contratación Pública - Colombia Compra Eficiente</w:t>
      </w:r>
      <w:r w:rsidRPr="00B70560">
        <w:rPr>
          <w:rFonts w:ascii="Verdana" w:hAnsi="Verdana" w:cs="Arial"/>
          <w:color w:val="0000FF"/>
          <w:shd w:val="clear" w:color="auto" w:fill="FFFFFF"/>
        </w:rPr>
        <w:t xml:space="preserve"> </w:t>
      </w:r>
    </w:p>
    <w:p w14:paraId="5E12D217" w14:textId="77777777" w:rsidR="002F1DC2" w:rsidRPr="00B70560" w:rsidRDefault="002F1DC2" w:rsidP="002F1DC2">
      <w:pPr>
        <w:spacing w:after="0"/>
        <w:jc w:val="both"/>
        <w:rPr>
          <w:rFonts w:ascii="Verdana" w:hAnsi="Verdana" w:cs="Arial"/>
          <w:color w:val="0000FF"/>
          <w:shd w:val="clear" w:color="auto" w:fill="FFFFFF"/>
        </w:rPr>
      </w:pPr>
      <w:r w:rsidRPr="00B70560">
        <w:rPr>
          <w:rFonts w:ascii="Verdana" w:hAnsi="Verdana" w:cs="Arial"/>
          <w:shd w:val="clear" w:color="auto" w:fill="FFFFFF"/>
        </w:rPr>
        <w:t xml:space="preserve">Instagram: </w:t>
      </w:r>
      <w:r w:rsidRPr="00B70560">
        <w:rPr>
          <w:rStyle w:val="Hipervnculo"/>
          <w:rFonts w:ascii="Verdana" w:hAnsi="Verdana"/>
          <w:lang w:val="es-ES"/>
        </w:rPr>
        <w:t>@colombiacompraeficiente_cce</w:t>
      </w:r>
    </w:p>
    <w:p w14:paraId="13129A78" w14:textId="77777777" w:rsidR="002F1DC2" w:rsidRPr="00835586" w:rsidRDefault="002F1DC2" w:rsidP="002F1DC2">
      <w:pPr>
        <w:widowControl w:val="0"/>
        <w:autoSpaceDE w:val="0"/>
        <w:autoSpaceDN w:val="0"/>
        <w:spacing w:after="0" w:line="276" w:lineRule="auto"/>
        <w:jc w:val="both"/>
        <w:rPr>
          <w:rFonts w:ascii="Verdana" w:hAnsi="Verdana" w:cs="Arial"/>
          <w:color w:val="806000" w:themeColor="accent4" w:themeShade="80"/>
          <w:lang w:val="es-ES"/>
        </w:rPr>
      </w:pPr>
    </w:p>
    <w:p w14:paraId="4BBCA677" w14:textId="77777777" w:rsidR="002F1DC2" w:rsidRPr="00B70560" w:rsidRDefault="002F1DC2" w:rsidP="002F1DC2">
      <w:pPr>
        <w:widowControl w:val="0"/>
        <w:autoSpaceDE w:val="0"/>
        <w:autoSpaceDN w:val="0"/>
        <w:spacing w:after="0" w:line="276" w:lineRule="auto"/>
        <w:jc w:val="both"/>
        <w:rPr>
          <w:rFonts w:ascii="Verdana" w:hAnsi="Verdana" w:cs="Arial"/>
          <w:lang w:val="es-ES"/>
        </w:rPr>
      </w:pPr>
      <w:r w:rsidRPr="00B70560">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F4AF7E7" w14:textId="77777777" w:rsidR="002F1DC2" w:rsidRPr="00835586" w:rsidRDefault="002F1DC2" w:rsidP="002F1DC2">
      <w:pPr>
        <w:widowControl w:val="0"/>
        <w:autoSpaceDE w:val="0"/>
        <w:autoSpaceDN w:val="0"/>
        <w:spacing w:after="0" w:line="276" w:lineRule="auto"/>
        <w:jc w:val="both"/>
        <w:rPr>
          <w:rFonts w:ascii="Verdana" w:hAnsi="Verdana" w:cs="Arial"/>
          <w:color w:val="806000" w:themeColor="accent4" w:themeShade="80"/>
          <w:lang w:val="es-ES"/>
        </w:rPr>
      </w:pPr>
    </w:p>
    <w:p w14:paraId="1A151623" w14:textId="77777777" w:rsidR="002F1DC2" w:rsidRDefault="002F1DC2" w:rsidP="002F1DC2">
      <w:pPr>
        <w:spacing w:after="0" w:line="276" w:lineRule="auto"/>
        <w:rPr>
          <w:rFonts w:ascii="Verdana" w:hAnsi="Verdana" w:cs="Arial"/>
          <w:lang w:val="es-ES" w:eastAsia="es-CO"/>
        </w:rPr>
      </w:pPr>
      <w:r w:rsidRPr="00B70560">
        <w:rPr>
          <w:rFonts w:ascii="Verdana" w:eastAsia="Times New Roman" w:hAnsi="Verdana" w:cs="Arial"/>
          <w:lang w:val="es-ES" w:eastAsia="es-CO"/>
        </w:rPr>
        <w:t>Atentamente,</w:t>
      </w:r>
      <w:r w:rsidRPr="00B70560">
        <w:rPr>
          <w:rFonts w:ascii="Verdana" w:hAnsi="Verdana" w:cs="Arial"/>
          <w:lang w:val="es-ES" w:eastAsia="es-CO"/>
        </w:rPr>
        <w:t xml:space="preserve"> </w:t>
      </w:r>
    </w:p>
    <w:p w14:paraId="35FEFF8D" w14:textId="77777777" w:rsidR="002F1DC2" w:rsidRPr="00B70560" w:rsidRDefault="002F1DC2" w:rsidP="002F1DC2">
      <w:pPr>
        <w:spacing w:after="0" w:line="276" w:lineRule="auto"/>
        <w:rPr>
          <w:rFonts w:ascii="Verdana" w:hAnsi="Verdana" w:cs="Arial"/>
          <w:lang w:val="es-ES" w:eastAsia="es-CO"/>
        </w:rPr>
      </w:pPr>
    </w:p>
    <w:p w14:paraId="010679AA" w14:textId="4E7090B2" w:rsidR="002F1DC2" w:rsidRPr="00C10538" w:rsidRDefault="00C10538" w:rsidP="00C10538">
      <w:pPr>
        <w:spacing w:after="0" w:line="276" w:lineRule="auto"/>
        <w:jc w:val="center"/>
        <w:rPr>
          <w:rFonts w:ascii="Verdana" w:hAnsi="Verdana"/>
          <w:noProof/>
        </w:rPr>
      </w:pPr>
      <w:r w:rsidRPr="00C10538">
        <w:rPr>
          <w:rFonts w:ascii="Verdana" w:hAnsi="Verdana"/>
          <w:noProof/>
        </w:rPr>
        <w:drawing>
          <wp:inline distT="0" distB="0" distL="0" distR="0" wp14:anchorId="7B6D580A" wp14:editId="2CD766AE">
            <wp:extent cx="2829320" cy="1276528"/>
            <wp:effectExtent l="0" t="0" r="9525" b="0"/>
            <wp:docPr id="14714773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477355" name=""/>
                    <pic:cNvPicPr/>
                  </pic:nvPicPr>
                  <pic:blipFill>
                    <a:blip r:embed="rId16"/>
                    <a:stretch>
                      <a:fillRect/>
                    </a:stretch>
                  </pic:blipFill>
                  <pic:spPr>
                    <a:xfrm>
                      <a:off x="0" y="0"/>
                      <a:ext cx="2829320" cy="127652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1DC2" w:rsidRPr="00B70560" w14:paraId="34AA77C3" w14:textId="77777777">
        <w:trPr>
          <w:trHeight w:val="315"/>
        </w:trPr>
        <w:tc>
          <w:tcPr>
            <w:tcW w:w="893" w:type="dxa"/>
            <w:vAlign w:val="center"/>
            <w:hideMark/>
          </w:tcPr>
          <w:p w14:paraId="70762FDE" w14:textId="77777777" w:rsidR="002F1DC2" w:rsidRPr="00B70560" w:rsidRDefault="002F1DC2">
            <w:pPr>
              <w:contextualSpacing/>
              <w:rPr>
                <w:rFonts w:ascii="Verdana" w:hAnsi="Verdana" w:cs="Arial"/>
                <w:sz w:val="16"/>
                <w:szCs w:val="16"/>
                <w:lang w:val="es-ES" w:eastAsia="es-ES"/>
              </w:rPr>
            </w:pPr>
            <w:r w:rsidRPr="00B70560">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11751F0" w14:textId="77777777" w:rsidR="002F1DC2" w:rsidRPr="00B70560" w:rsidRDefault="002F1DC2">
            <w:pPr>
              <w:rPr>
                <w:rFonts w:ascii="Verdana" w:eastAsia="Times New Roman" w:hAnsi="Verdana" w:cs="Arial"/>
                <w:sz w:val="16"/>
                <w:szCs w:val="16"/>
                <w:lang w:eastAsia="es-ES"/>
              </w:rPr>
            </w:pPr>
            <w:r w:rsidRPr="00B70560">
              <w:rPr>
                <w:rFonts w:ascii="Verdana" w:eastAsia="Times New Roman" w:hAnsi="Verdana" w:cs="Arial"/>
                <w:sz w:val="16"/>
                <w:szCs w:val="16"/>
                <w:lang w:eastAsia="es-ES"/>
              </w:rPr>
              <w:t>Camila Alejandra Naranjo Gómez</w:t>
            </w:r>
          </w:p>
          <w:p w14:paraId="76AF0D9F" w14:textId="53E4D0F5" w:rsidR="002F1DC2" w:rsidRPr="00B70560" w:rsidRDefault="002F1DC2">
            <w:pPr>
              <w:contextualSpacing/>
              <w:rPr>
                <w:rFonts w:ascii="Verdana" w:eastAsia="Arial" w:hAnsi="Verdana" w:cs="Arial"/>
                <w:sz w:val="16"/>
                <w:szCs w:val="16"/>
                <w:lang w:val="es-ES"/>
              </w:rPr>
            </w:pPr>
            <w:r w:rsidRPr="00B70560">
              <w:rPr>
                <w:rFonts w:ascii="Verdana" w:eastAsia="Times New Roman" w:hAnsi="Verdana" w:cs="Arial"/>
                <w:sz w:val="16"/>
                <w:szCs w:val="16"/>
                <w:lang w:eastAsia="es-ES"/>
              </w:rPr>
              <w:t>Analista T2-</w:t>
            </w:r>
            <w:r w:rsidR="008E37CD">
              <w:rPr>
                <w:rFonts w:ascii="Verdana" w:eastAsia="Times New Roman" w:hAnsi="Verdana" w:cs="Arial"/>
                <w:sz w:val="16"/>
                <w:szCs w:val="16"/>
                <w:lang w:eastAsia="es-ES"/>
              </w:rPr>
              <w:t>0</w:t>
            </w:r>
            <w:r>
              <w:rPr>
                <w:rFonts w:ascii="Verdana" w:eastAsia="Times New Roman" w:hAnsi="Verdana" w:cs="Arial"/>
                <w:sz w:val="16"/>
                <w:szCs w:val="16"/>
                <w:lang w:eastAsia="es-ES"/>
              </w:rPr>
              <w:t>2</w:t>
            </w:r>
            <w:r w:rsidRPr="00B70560">
              <w:rPr>
                <w:rFonts w:ascii="Verdana" w:eastAsia="Times New Roman" w:hAnsi="Verdana" w:cs="Arial"/>
                <w:sz w:val="16"/>
                <w:szCs w:val="16"/>
                <w:lang w:eastAsia="es-ES"/>
              </w:rPr>
              <w:t xml:space="preserve"> de la Subdirección de Gestión Contractual</w:t>
            </w:r>
          </w:p>
        </w:tc>
      </w:tr>
      <w:tr w:rsidR="002F1DC2" w:rsidRPr="00B70560" w14:paraId="28C2EF27" w14:textId="77777777">
        <w:trPr>
          <w:trHeight w:val="330"/>
        </w:trPr>
        <w:tc>
          <w:tcPr>
            <w:tcW w:w="893" w:type="dxa"/>
            <w:vAlign w:val="center"/>
            <w:hideMark/>
          </w:tcPr>
          <w:p w14:paraId="0AC1418B" w14:textId="77777777" w:rsidR="002F1DC2" w:rsidRPr="00B70560" w:rsidRDefault="002F1DC2">
            <w:pPr>
              <w:contextualSpacing/>
              <w:rPr>
                <w:rFonts w:ascii="Verdana" w:hAnsi="Verdana" w:cs="Arial"/>
                <w:sz w:val="16"/>
                <w:szCs w:val="16"/>
                <w:lang w:val="es-ES" w:eastAsia="es-ES"/>
              </w:rPr>
            </w:pPr>
            <w:r w:rsidRPr="00B7056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FC32D6" w14:textId="77777777" w:rsidR="002F1DC2" w:rsidRPr="00B70560" w:rsidRDefault="002F1DC2">
            <w:pPr>
              <w:rPr>
                <w:rFonts w:ascii="Verdana" w:eastAsia="Times New Roman" w:hAnsi="Verdana" w:cs="Arial"/>
                <w:sz w:val="16"/>
                <w:szCs w:val="16"/>
                <w:lang w:eastAsia="es-ES"/>
              </w:rPr>
            </w:pPr>
            <w:r w:rsidRPr="00B70560">
              <w:rPr>
                <w:rFonts w:ascii="Verdana" w:eastAsia="Times New Roman" w:hAnsi="Verdana" w:cs="Arial"/>
                <w:sz w:val="16"/>
                <w:szCs w:val="16"/>
                <w:lang w:eastAsia="es-ES"/>
              </w:rPr>
              <w:t>Alejandro Sarmiento Cantillo</w:t>
            </w:r>
          </w:p>
          <w:p w14:paraId="1036FE35" w14:textId="77777777" w:rsidR="002F1DC2" w:rsidRPr="00B70560" w:rsidRDefault="002F1DC2">
            <w:pPr>
              <w:pStyle w:val="paragraph"/>
              <w:spacing w:before="0" w:beforeAutospacing="0" w:after="0" w:afterAutospacing="0"/>
              <w:contextualSpacing/>
              <w:textAlignment w:val="baseline"/>
              <w:rPr>
                <w:rFonts w:ascii="Verdana" w:hAnsi="Verdana" w:cs="Segoe UI"/>
                <w:sz w:val="16"/>
                <w:szCs w:val="16"/>
                <w:lang w:val="es-ES"/>
              </w:rPr>
            </w:pPr>
            <w:r w:rsidRPr="00B70560">
              <w:rPr>
                <w:rFonts w:ascii="Verdana" w:hAnsi="Verdana" w:cs="Arial"/>
                <w:sz w:val="16"/>
                <w:szCs w:val="16"/>
                <w:lang w:eastAsia="es-ES"/>
              </w:rPr>
              <w:t>Gestor T1 ‒ 15 de la Subdirección de Gestión Contractual</w:t>
            </w:r>
          </w:p>
        </w:tc>
      </w:tr>
      <w:tr w:rsidR="002F1DC2" w:rsidRPr="00B70560" w14:paraId="17D8D137" w14:textId="77777777">
        <w:trPr>
          <w:trHeight w:val="300"/>
        </w:trPr>
        <w:tc>
          <w:tcPr>
            <w:tcW w:w="893" w:type="dxa"/>
            <w:vAlign w:val="center"/>
          </w:tcPr>
          <w:p w14:paraId="595D71F9" w14:textId="77777777" w:rsidR="002F1DC2" w:rsidRPr="00B70560" w:rsidRDefault="002F1DC2">
            <w:pPr>
              <w:contextualSpacing/>
              <w:rPr>
                <w:rFonts w:ascii="Verdana" w:hAnsi="Verdana" w:cs="Arial"/>
                <w:sz w:val="16"/>
                <w:szCs w:val="16"/>
                <w:lang w:val="es-ES" w:eastAsia="es-ES"/>
              </w:rPr>
            </w:pPr>
            <w:r w:rsidRPr="00B7056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EA503F" w14:textId="77777777" w:rsidR="002F1DC2" w:rsidRPr="00B70560" w:rsidRDefault="002F1DC2">
            <w:pPr>
              <w:contextualSpacing/>
              <w:rPr>
                <w:rFonts w:ascii="Verdana" w:eastAsia="Calibri" w:hAnsi="Verdana" w:cs="Arial"/>
                <w:sz w:val="16"/>
                <w:szCs w:val="16"/>
                <w:lang w:val="es-ES" w:eastAsia="es-ES"/>
              </w:rPr>
            </w:pPr>
            <w:r w:rsidRPr="00B70560">
              <w:rPr>
                <w:rFonts w:ascii="Verdana" w:eastAsia="Calibri" w:hAnsi="Verdana" w:cs="Arial"/>
                <w:sz w:val="16"/>
                <w:szCs w:val="16"/>
                <w:lang w:val="es-ES" w:eastAsia="es-ES"/>
              </w:rPr>
              <w:t>Carolina Quintero Gacharná</w:t>
            </w:r>
          </w:p>
          <w:p w14:paraId="68156537" w14:textId="77777777" w:rsidR="002F1DC2" w:rsidRPr="00B70560" w:rsidRDefault="002F1DC2">
            <w:pPr>
              <w:contextualSpacing/>
              <w:rPr>
                <w:rFonts w:ascii="Verdana" w:eastAsia="Calibri" w:hAnsi="Verdana" w:cs="Arial"/>
                <w:sz w:val="16"/>
                <w:szCs w:val="16"/>
                <w:lang w:val="es-ES" w:eastAsia="es-ES"/>
              </w:rPr>
            </w:pPr>
            <w:r w:rsidRPr="00B70560">
              <w:rPr>
                <w:rFonts w:ascii="Verdana" w:eastAsia="Calibri" w:hAnsi="Verdana" w:cs="Arial"/>
                <w:sz w:val="16"/>
                <w:szCs w:val="16"/>
                <w:lang w:val="es-ES" w:eastAsia="es-ES"/>
              </w:rPr>
              <w:t>Subdirectora de Gestión Contractual ANCP – CCE</w:t>
            </w:r>
          </w:p>
        </w:tc>
      </w:tr>
    </w:tbl>
    <w:p w14:paraId="73DEE379" w14:textId="77777777" w:rsidR="002F1DC2" w:rsidRPr="002F1DC2" w:rsidRDefault="002F1DC2" w:rsidP="00722A6C">
      <w:pPr>
        <w:rPr>
          <w:lang w:val="es-ES"/>
        </w:rPr>
      </w:pPr>
    </w:p>
    <w:p w14:paraId="0F293BF4" w14:textId="4EA066A2" w:rsidR="00127233" w:rsidRPr="002F1DC2" w:rsidRDefault="00127233" w:rsidP="002F1DC2">
      <w:pPr>
        <w:rPr>
          <w:lang w:val="es-ES"/>
        </w:rPr>
      </w:pPr>
    </w:p>
    <w:sectPr w:rsidR="00127233" w:rsidRPr="002F1DC2"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8F272" w14:textId="77777777" w:rsidR="00002825" w:rsidRDefault="00002825" w:rsidP="004A1847">
      <w:pPr>
        <w:spacing w:after="0" w:line="240" w:lineRule="auto"/>
      </w:pPr>
      <w:r>
        <w:separator/>
      </w:r>
    </w:p>
  </w:endnote>
  <w:endnote w:type="continuationSeparator" w:id="0">
    <w:p w14:paraId="5CA71EAF" w14:textId="77777777" w:rsidR="00002825" w:rsidRDefault="0000282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B720C" w14:textId="77777777" w:rsidR="00002825" w:rsidRDefault="00002825" w:rsidP="004A1847">
      <w:pPr>
        <w:spacing w:after="0" w:line="240" w:lineRule="auto"/>
      </w:pPr>
      <w:r>
        <w:separator/>
      </w:r>
    </w:p>
  </w:footnote>
  <w:footnote w:type="continuationSeparator" w:id="0">
    <w:p w14:paraId="1C0DFEC2" w14:textId="77777777" w:rsidR="00002825" w:rsidRDefault="00002825" w:rsidP="004A1847">
      <w:pPr>
        <w:spacing w:after="0" w:line="240" w:lineRule="auto"/>
      </w:pPr>
      <w:r>
        <w:continuationSeparator/>
      </w:r>
    </w:p>
  </w:footnote>
  <w:footnote w:id="1">
    <w:p w14:paraId="1047C6D5" w14:textId="77777777" w:rsidR="00722A6C" w:rsidRPr="00810146" w:rsidRDefault="00722A6C" w:rsidP="00722A6C">
      <w:pPr>
        <w:pStyle w:val="NormalWeb"/>
        <w:snapToGrid w:val="0"/>
        <w:spacing w:before="0" w:beforeAutospacing="0" w:after="0" w:afterAutospacing="0"/>
        <w:ind w:firstLine="709"/>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val="es-ES"/>
        </w:rPr>
        <w:t>“</w:t>
      </w:r>
      <w:r w:rsidRPr="00810146">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2CA3A642" w14:textId="77777777" w:rsidR="00722A6C" w:rsidRPr="00810146" w:rsidRDefault="00722A6C" w:rsidP="00722A6C">
      <w:pPr>
        <w:snapToGrid w:val="0"/>
        <w:spacing w:after="0" w:line="240" w:lineRule="auto"/>
        <w:ind w:firstLine="708"/>
        <w:contextualSpacing/>
        <w:jc w:val="both"/>
        <w:rPr>
          <w:rFonts w:ascii="Verdana" w:hAnsi="Verdana" w:cs="Arial"/>
          <w:sz w:val="16"/>
          <w:szCs w:val="16"/>
        </w:rPr>
      </w:pPr>
      <w:r w:rsidRPr="00810146">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1D2DF364" w14:textId="77777777" w:rsidR="00722A6C" w:rsidRPr="00810146" w:rsidRDefault="00722A6C" w:rsidP="00722A6C">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El </w:t>
      </w:r>
      <w:r w:rsidRPr="00810146">
        <w:rPr>
          <w:rFonts w:ascii="Verdana" w:eastAsia="Times New Roman" w:hAnsi="Verdana" w:cs="Arial"/>
          <w:sz w:val="16"/>
          <w:szCs w:val="16"/>
          <w:lang w:val="es-ES" w:eastAsia="es-MX"/>
        </w:rPr>
        <w:t>“Manual para determinar y verificar los requisitos habilitantes en los Procesos de Contratación”</w:t>
      </w:r>
      <w:r w:rsidRPr="00810146">
        <w:rPr>
          <w:rFonts w:ascii="Verdana" w:eastAsia="Calibri" w:hAnsi="Verdana" w:cs="Arial"/>
          <w:sz w:val="16"/>
          <w:szCs w:val="16"/>
          <w:lang w:val="es-ES" w:eastAsia="es-MX"/>
        </w:rPr>
        <w:t>,</w:t>
      </w:r>
      <w:r w:rsidRPr="00810146">
        <w:rPr>
          <w:rFonts w:ascii="Verdana" w:eastAsia="Times New Roman" w:hAnsi="Verdana" w:cs="Arial"/>
          <w:sz w:val="16"/>
          <w:szCs w:val="16"/>
          <w:lang w:val="es-ES" w:eastAsia="es-MX"/>
        </w:rPr>
        <w:t xml:space="preserve"> expedido por la </w:t>
      </w:r>
      <w:r w:rsidRPr="00810146">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810146">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810146">
        <w:rPr>
          <w:rFonts w:ascii="Verdana" w:eastAsia="Calibri" w:hAnsi="Verdana" w:cs="Arial"/>
          <w:sz w:val="16"/>
          <w:szCs w:val="16"/>
          <w:lang w:val="es-ES" w:eastAsia="es-MX"/>
        </w:rPr>
        <w:t xml:space="preserve">  </w:t>
      </w:r>
    </w:p>
  </w:footnote>
  <w:footnote w:id="3">
    <w:p w14:paraId="06DF0CC3" w14:textId="77777777" w:rsidR="00722A6C" w:rsidRPr="00810146" w:rsidRDefault="00722A6C" w:rsidP="00722A6C">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Style w:val="Refdenotaalpie"/>
          <w:rFonts w:ascii="Verdana" w:hAnsi="Verdana" w:cs="Arial"/>
          <w:sz w:val="16"/>
          <w:szCs w:val="16"/>
        </w:rPr>
        <w:footnoteRef/>
      </w:r>
      <w:r w:rsidRPr="00810146">
        <w:rPr>
          <w:rStyle w:val="Refdenotaalpie"/>
          <w:rFonts w:ascii="Verdana" w:hAnsi="Verdana" w:cs="Arial"/>
          <w:sz w:val="16"/>
          <w:szCs w:val="16"/>
        </w:rPr>
        <w:t xml:space="preserve"> </w:t>
      </w:r>
      <w:r>
        <w:rPr>
          <w:rFonts w:ascii="Verdana" w:hAnsi="Verdana" w:cs="Arial"/>
          <w:sz w:val="16"/>
          <w:szCs w:val="16"/>
        </w:rPr>
        <w:t>“</w:t>
      </w:r>
      <w:r w:rsidRPr="00810146">
        <w:rPr>
          <w:rFonts w:ascii="Verdana" w:hAnsi="Verdana" w:cs="Arial"/>
          <w:sz w:val="16"/>
          <w:szCs w:val="16"/>
          <w:lang w:val="es-ES"/>
        </w:rPr>
        <w:t>Artículo 2.2.1.1.1.6.2.</w:t>
      </w:r>
      <w:r>
        <w:rPr>
          <w:rFonts w:ascii="Verdana" w:hAnsi="Verdana" w:cs="Arial"/>
          <w:sz w:val="16"/>
          <w:szCs w:val="16"/>
          <w:lang w:val="es-ES"/>
        </w:rPr>
        <w:t xml:space="preserve"> </w:t>
      </w:r>
      <w:r w:rsidRPr="00810146">
        <w:rPr>
          <w:rFonts w:ascii="Verdana" w:hAnsi="Verdana" w:cs="Arial"/>
          <w:sz w:val="16"/>
          <w:szCs w:val="16"/>
          <w:lang w:val="es-ES"/>
        </w:rPr>
        <w:t>Determinación de los Requisitos Habilitantes.</w:t>
      </w:r>
      <w:r>
        <w:rPr>
          <w:rFonts w:ascii="Verdana" w:hAnsi="Verdana" w:cs="Arial"/>
          <w:sz w:val="16"/>
          <w:szCs w:val="16"/>
          <w:lang w:val="es-ES"/>
        </w:rPr>
        <w:t xml:space="preserve"> </w:t>
      </w:r>
      <w:r w:rsidRPr="00810146">
        <w:rPr>
          <w:rFonts w:ascii="Verdana" w:hAnsi="Verdana" w:cs="Arial"/>
          <w:sz w:val="16"/>
          <w:szCs w:val="16"/>
          <w:lang w:val="es-ES"/>
        </w:rPr>
        <w:t>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35F9489E" w14:textId="77777777" w:rsidR="00722A6C" w:rsidRPr="00810146" w:rsidRDefault="00722A6C" w:rsidP="00722A6C">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Fonts w:ascii="Verdana" w:hAnsi="Verdana" w:cs="Arial"/>
          <w:sz w:val="16"/>
          <w:szCs w:val="16"/>
          <w:lang w:val="es-ES"/>
        </w:rPr>
        <w:t>Parágrafo Transitorio.</w:t>
      </w:r>
      <w:r>
        <w:rPr>
          <w:rFonts w:ascii="Verdana" w:hAnsi="Verdana" w:cs="Arial"/>
          <w:sz w:val="16"/>
          <w:szCs w:val="16"/>
          <w:lang w:val="es-ES"/>
        </w:rPr>
        <w:t xml:space="preserve"> </w:t>
      </w:r>
      <w:r w:rsidRPr="00810146">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37639C95" w14:textId="77777777" w:rsidR="00722A6C" w:rsidRPr="00C77162" w:rsidRDefault="00722A6C" w:rsidP="00722A6C">
      <w:pPr>
        <w:pStyle w:val="NormalWeb"/>
        <w:snapToGrid w:val="0"/>
        <w:spacing w:before="0" w:beforeAutospacing="0" w:after="0" w:afterAutospacing="0"/>
        <w:ind w:firstLine="708"/>
        <w:contextualSpacing/>
        <w:jc w:val="both"/>
        <w:rPr>
          <w:rStyle w:val="Refdenotaalpie"/>
          <w:rFonts w:ascii="Verdana" w:hAnsi="Verdana" w:cs="Arial"/>
          <w:sz w:val="16"/>
          <w:szCs w:val="16"/>
          <w:vertAlign w:val="baseline"/>
          <w:lang w:val="es-ES"/>
        </w:rPr>
      </w:pPr>
      <w:r w:rsidRPr="00810146">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w:t>
      </w:r>
      <w:r>
        <w:rPr>
          <w:rFonts w:ascii="Verdana" w:hAnsi="Verdana" w:cs="Arial"/>
          <w:sz w:val="16"/>
          <w:szCs w:val="16"/>
          <w:lang w:val="es-ES"/>
        </w:rPr>
        <w:t xml:space="preserve"> </w:t>
      </w:r>
      <w:r w:rsidRPr="00810146">
        <w:rPr>
          <w:rFonts w:ascii="Verdana" w:hAnsi="Verdana" w:cs="Arial"/>
          <w:sz w:val="16"/>
          <w:szCs w:val="16"/>
          <w:lang w:val="es-ES"/>
        </w:rPr>
        <w:t>indicadores, teniendo en cuenta el mejor año fiscal que se refleje en el registro de cada proponente</w:t>
      </w:r>
      <w:r w:rsidRPr="00810146">
        <w:rPr>
          <w:rFonts w:ascii="Verdana" w:hAnsi="Verdana" w:cs="Verdana"/>
          <w:sz w:val="16"/>
          <w:szCs w:val="16"/>
          <w:lang w:val="es-ES"/>
        </w:rPr>
        <w:t>”</w:t>
      </w:r>
      <w:r w:rsidRPr="00810146">
        <w:rPr>
          <w:rFonts w:ascii="Verdana" w:hAnsi="Verdana" w:cs="Arial"/>
          <w:sz w:val="16"/>
          <w:szCs w:val="16"/>
          <w:lang w:val="es-ES"/>
        </w:rPr>
        <w:t>.</w:t>
      </w:r>
    </w:p>
  </w:footnote>
  <w:footnote w:id="4">
    <w:p w14:paraId="037AC90A" w14:textId="77777777" w:rsidR="00722A6C" w:rsidRPr="00810146" w:rsidRDefault="00722A6C" w:rsidP="00722A6C">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w:t>
      </w:r>
      <w:bookmarkStart w:id="15" w:name="44"/>
      <w:r w:rsidRPr="00810146">
        <w:rPr>
          <w:rFonts w:ascii="Verdana" w:hAnsi="Verdana"/>
          <w:sz w:val="16"/>
          <w:szCs w:val="16"/>
        </w:rPr>
        <w:t xml:space="preserve">Sobre el particular el </w:t>
      </w:r>
      <w:r w:rsidRPr="00810146">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810146">
        <w:rPr>
          <w:rFonts w:ascii="Verdana" w:hAnsi="Verdana"/>
          <w:sz w:val="16"/>
          <w:szCs w:val="16"/>
          <w:lang w:val="es-CO"/>
        </w:rPr>
        <w:t>.</w:t>
      </w:r>
      <w:bookmarkEnd w:id="15"/>
      <w:r w:rsidRPr="00B076AE">
        <w:rPr>
          <w:rFonts w:ascii="Verdana" w:hAnsi="Verdana"/>
          <w:sz w:val="16"/>
          <w:szCs w:val="16"/>
          <w:lang w:val="es-CO"/>
        </w:rPr>
        <w:t xml:space="preserve"> </w:t>
      </w:r>
      <w:r w:rsidRPr="00810146">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 w:id="5">
    <w:p w14:paraId="187F2DFF" w14:textId="77777777" w:rsidR="00722A6C" w:rsidRPr="00810146" w:rsidRDefault="00722A6C" w:rsidP="00722A6C">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6. De la verificación de las condiciones de los proponentes.</w:t>
      </w:r>
      <w:r w:rsidRPr="00810146">
        <w:rPr>
          <w:rFonts w:ascii="Verdana" w:hAnsi="Verdana" w:cs="Arial"/>
          <w:sz w:val="16"/>
          <w:szCs w:val="16"/>
          <w:lang w:eastAsia="es-CO"/>
        </w:rPr>
        <w:t xml:space="preserve"> […]</w:t>
      </w:r>
      <w:r w:rsidRPr="00810146">
        <w:rPr>
          <w:rFonts w:ascii="Verdana" w:hAnsi="Verdana" w:cs="Arial"/>
          <w:sz w:val="16"/>
          <w:szCs w:val="16"/>
        </w:rPr>
        <w:t xml:space="preserve"> </w:t>
      </w:r>
      <w:r w:rsidRPr="00810146">
        <w:rPr>
          <w:rFonts w:ascii="Verdana" w:hAnsi="Verdana" w:cs="Arial"/>
          <w:sz w:val="16"/>
          <w:szCs w:val="16"/>
          <w:lang w:eastAsia="es-CO"/>
        </w:rPr>
        <w:t>“6.1.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2144D4D" w14:textId="77777777" w:rsidR="00722A6C" w:rsidRPr="00810146" w:rsidRDefault="00722A6C" w:rsidP="00722A6C">
      <w:pPr>
        <w:pStyle w:val="Textonotapie"/>
        <w:snapToGrid w:val="0"/>
        <w:contextualSpacing/>
        <w:jc w:val="both"/>
        <w:rPr>
          <w:rFonts w:ascii="Verdana" w:hAnsi="Verdana" w:cs="Arial"/>
          <w:sz w:val="16"/>
          <w:szCs w:val="16"/>
          <w:lang w:eastAsia="es-CO"/>
        </w:rPr>
      </w:pPr>
      <w:r w:rsidRPr="00810146">
        <w:rPr>
          <w:rFonts w:ascii="Verdana" w:hAnsi="Verdana" w:cs="Arial"/>
          <w:sz w:val="16"/>
          <w:szCs w:val="16"/>
          <w:lang w:eastAsia="es-CO"/>
        </w:rPr>
        <w:t xml:space="preserve">No </w:t>
      </w:r>
      <w:proofErr w:type="gramStart"/>
      <w:r w:rsidRPr="00810146">
        <w:rPr>
          <w:rFonts w:ascii="Verdana" w:hAnsi="Verdana" w:cs="Arial"/>
          <w:sz w:val="16"/>
          <w:szCs w:val="16"/>
          <w:lang w:eastAsia="es-CO"/>
        </w:rPr>
        <w:t>obstante</w:t>
      </w:r>
      <w:proofErr w:type="gramEnd"/>
      <w:r w:rsidRPr="00810146">
        <w:rPr>
          <w:rFonts w:ascii="Verdana" w:hAnsi="Verdana" w:cs="Arial"/>
          <w:sz w:val="16"/>
          <w:szCs w:val="16"/>
          <w:lang w:eastAsia="es-CO"/>
        </w:rPr>
        <w:t xml:space="preserv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6">
    <w:p w14:paraId="3FE66F9E" w14:textId="77777777" w:rsidR="00722A6C" w:rsidRPr="00810146" w:rsidRDefault="00722A6C" w:rsidP="00722A6C">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5. De la selección objetiva.</w:t>
      </w:r>
      <w:r w:rsidRPr="00810146">
        <w:rPr>
          <w:rFonts w:ascii="Verdana" w:hAnsi="Verdana" w:cs="Arial"/>
          <w:sz w:val="16"/>
          <w:szCs w:val="16"/>
          <w:lang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7">
    <w:p w14:paraId="0654E8C7" w14:textId="77777777" w:rsidR="00722A6C" w:rsidRPr="00810146" w:rsidRDefault="00722A6C" w:rsidP="00722A6C">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8">
    <w:p w14:paraId="0272CEBF" w14:textId="77777777" w:rsidR="00722A6C" w:rsidRPr="00810146" w:rsidRDefault="00722A6C" w:rsidP="00722A6C">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9">
    <w:p w14:paraId="09722E90" w14:textId="77777777" w:rsidR="00722A6C" w:rsidRPr="00810146" w:rsidRDefault="00722A6C" w:rsidP="00722A6C">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0">
    <w:p w14:paraId="7C70EE21" w14:textId="77777777" w:rsidR="00722A6C" w:rsidRPr="006A19A1" w:rsidRDefault="00722A6C" w:rsidP="00722A6C">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6A19A1">
        <w:rPr>
          <w:rFonts w:ascii="Verdana" w:hAnsi="Verdana" w:cs="Arial"/>
          <w:sz w:val="16"/>
          <w:szCs w:val="16"/>
          <w:vertAlign w:val="superscript"/>
        </w:rPr>
        <w:footnoteRef/>
      </w:r>
      <w:r w:rsidRPr="006A19A1">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11">
    <w:p w14:paraId="136C5215" w14:textId="77777777" w:rsidR="00722A6C" w:rsidRPr="006A19A1" w:rsidRDefault="00722A6C" w:rsidP="00722A6C">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6A19A1">
        <w:rPr>
          <w:rFonts w:ascii="Verdana" w:hAnsi="Verdana" w:cs="Arial"/>
          <w:sz w:val="16"/>
          <w:szCs w:val="16"/>
          <w:vertAlign w:val="superscript"/>
        </w:rPr>
        <w:footnoteRef/>
      </w:r>
      <w:r w:rsidRPr="006A19A1">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12">
    <w:p w14:paraId="3D959BC3" w14:textId="77777777" w:rsidR="002F1DC2" w:rsidRPr="00E66ADF" w:rsidRDefault="002F1DC2" w:rsidP="002F1DC2">
      <w:pPr>
        <w:pStyle w:val="Textonotapie"/>
        <w:ind w:firstLine="709"/>
        <w:jc w:val="both"/>
        <w:rPr>
          <w:rFonts w:ascii="Verdana" w:hAnsi="Verdana" w:cs="Arial"/>
          <w:color w:val="000000"/>
          <w:sz w:val="16"/>
          <w:szCs w:val="16"/>
        </w:rPr>
      </w:pPr>
      <w:r w:rsidRPr="00E66ADF">
        <w:rPr>
          <w:rStyle w:val="Refdenotaalpie"/>
          <w:rFonts w:ascii="Verdana" w:hAnsi="Verdana" w:cs="Arial"/>
          <w:sz w:val="16"/>
          <w:szCs w:val="16"/>
        </w:rPr>
        <w:footnoteRef/>
      </w:r>
      <w:r w:rsidRPr="00E66ADF">
        <w:rPr>
          <w:rFonts w:ascii="Verdana" w:hAnsi="Verdana" w:cs="Arial"/>
          <w:sz w:val="16"/>
          <w:szCs w:val="16"/>
        </w:rPr>
        <w:t xml:space="preserve"> Texto tomado de la ley sancionada y publicada en la página web de la Presidencia de la República, disponible en el siguiente enlace</w:t>
      </w:r>
      <w:r w:rsidRPr="00E66ADF">
        <w:rPr>
          <w:rFonts w:ascii="Verdana" w:hAnsi="Verdana" w:cs="Arial"/>
          <w:color w:val="000000"/>
          <w:sz w:val="16"/>
          <w:szCs w:val="16"/>
        </w:rPr>
        <w:t xml:space="preserve">: </w:t>
      </w:r>
      <w:hyperlink r:id="rId2" w:history="1">
        <w:r w:rsidRPr="00E66ADF">
          <w:rPr>
            <w:rStyle w:val="Hipervnculo"/>
            <w:rFonts w:ascii="Verdana" w:hAnsi="Verdana" w:cs="Arial"/>
            <w:sz w:val="16"/>
            <w:szCs w:val="16"/>
          </w:rPr>
          <w:t>https://dapre.presidencia.gov.co/normativa/leyes</w:t>
        </w:r>
      </w:hyperlink>
      <w:r w:rsidRPr="00E66ADF">
        <w:rPr>
          <w:rStyle w:val="Hipervnculo"/>
          <w:rFonts w:ascii="Verdana" w:hAnsi="Verdana" w:cs="Arial"/>
          <w:color w:val="000000"/>
          <w:sz w:val="16"/>
          <w:szCs w:val="16"/>
        </w:rPr>
        <w:t xml:space="preserve"> </w:t>
      </w:r>
      <w:r w:rsidRPr="00E66ADF">
        <w:rPr>
          <w:rFonts w:ascii="Verdana" w:hAnsi="Verdana" w:cs="Arial"/>
          <w:color w:val="000000"/>
          <w:sz w:val="16"/>
          <w:szCs w:val="16"/>
        </w:rPr>
        <w:t xml:space="preserve">  </w:t>
      </w:r>
    </w:p>
    <w:p w14:paraId="2F856128" w14:textId="77777777" w:rsidR="002F1DC2" w:rsidRPr="00547405" w:rsidRDefault="002F1DC2" w:rsidP="002F1DC2">
      <w:pPr>
        <w:pStyle w:val="Textonotapie"/>
        <w:ind w:firstLine="709"/>
        <w:jc w:val="both"/>
        <w:rPr>
          <w:rFonts w:ascii="Verdana" w:hAnsi="Verdana" w:cs="Arial"/>
          <w:color w:val="000000"/>
          <w:sz w:val="12"/>
          <w:szCs w:val="12"/>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0DA4875E"/>
    <w:lvl w:ilvl="0" w:tplc="A1F23718">
      <w:start w:val="1"/>
      <w:numFmt w:val="bullet"/>
      <w:lvlText w:val=""/>
      <w:lvlJc w:val="left"/>
      <w:pPr>
        <w:ind w:left="720" w:hanging="360"/>
      </w:pPr>
      <w:rPr>
        <w:rFonts w:ascii="Symbol" w:hAnsi="Symbol" w:hint="default"/>
        <w:color w:val="auto"/>
        <w:sz w:val="22"/>
        <w:szCs w:val="2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825"/>
    <w:rsid w:val="000078CC"/>
    <w:rsid w:val="0001486E"/>
    <w:rsid w:val="00016822"/>
    <w:rsid w:val="00016F78"/>
    <w:rsid w:val="000233F2"/>
    <w:rsid w:val="00046945"/>
    <w:rsid w:val="00061B2A"/>
    <w:rsid w:val="000774BD"/>
    <w:rsid w:val="00082362"/>
    <w:rsid w:val="000A683E"/>
    <w:rsid w:val="000B19B9"/>
    <w:rsid w:val="000C6BE4"/>
    <w:rsid w:val="000D0334"/>
    <w:rsid w:val="000D4BAC"/>
    <w:rsid w:val="000D5DA7"/>
    <w:rsid w:val="000F6486"/>
    <w:rsid w:val="00101332"/>
    <w:rsid w:val="00116940"/>
    <w:rsid w:val="00125105"/>
    <w:rsid w:val="00127233"/>
    <w:rsid w:val="001327D3"/>
    <w:rsid w:val="00136126"/>
    <w:rsid w:val="00140C60"/>
    <w:rsid w:val="0015699B"/>
    <w:rsid w:val="00163556"/>
    <w:rsid w:val="001761EB"/>
    <w:rsid w:val="001761F4"/>
    <w:rsid w:val="001974F6"/>
    <w:rsid w:val="001A33BF"/>
    <w:rsid w:val="001A5FBA"/>
    <w:rsid w:val="001B14C8"/>
    <w:rsid w:val="001E4177"/>
    <w:rsid w:val="001F0B24"/>
    <w:rsid w:val="001F7DC6"/>
    <w:rsid w:val="00200E45"/>
    <w:rsid w:val="00200FDA"/>
    <w:rsid w:val="00202259"/>
    <w:rsid w:val="00211525"/>
    <w:rsid w:val="002169C4"/>
    <w:rsid w:val="00222234"/>
    <w:rsid w:val="0022400B"/>
    <w:rsid w:val="002357C8"/>
    <w:rsid w:val="002421BB"/>
    <w:rsid w:val="0025796E"/>
    <w:rsid w:val="002707A2"/>
    <w:rsid w:val="002713E7"/>
    <w:rsid w:val="002951A0"/>
    <w:rsid w:val="002962BC"/>
    <w:rsid w:val="002A093D"/>
    <w:rsid w:val="002A0DD0"/>
    <w:rsid w:val="002A49AC"/>
    <w:rsid w:val="002A64FD"/>
    <w:rsid w:val="002A69AB"/>
    <w:rsid w:val="002B287F"/>
    <w:rsid w:val="002C1C83"/>
    <w:rsid w:val="002C3911"/>
    <w:rsid w:val="002C54D8"/>
    <w:rsid w:val="002C7A84"/>
    <w:rsid w:val="002E2BF8"/>
    <w:rsid w:val="002E4FD9"/>
    <w:rsid w:val="002F1DC2"/>
    <w:rsid w:val="003026FA"/>
    <w:rsid w:val="0030657A"/>
    <w:rsid w:val="00322A85"/>
    <w:rsid w:val="00324168"/>
    <w:rsid w:val="00330834"/>
    <w:rsid w:val="003448F4"/>
    <w:rsid w:val="00357617"/>
    <w:rsid w:val="003674FA"/>
    <w:rsid w:val="00374F5E"/>
    <w:rsid w:val="00377E3E"/>
    <w:rsid w:val="003A42ED"/>
    <w:rsid w:val="003A50B0"/>
    <w:rsid w:val="003A779E"/>
    <w:rsid w:val="003B6A1A"/>
    <w:rsid w:val="003C2FA3"/>
    <w:rsid w:val="003D0F4D"/>
    <w:rsid w:val="003D5B0D"/>
    <w:rsid w:val="003E0499"/>
    <w:rsid w:val="003E0EED"/>
    <w:rsid w:val="003E4F80"/>
    <w:rsid w:val="003E6439"/>
    <w:rsid w:val="003F0B4B"/>
    <w:rsid w:val="003F3941"/>
    <w:rsid w:val="0040199F"/>
    <w:rsid w:val="00406575"/>
    <w:rsid w:val="004070FF"/>
    <w:rsid w:val="004112CB"/>
    <w:rsid w:val="00414C74"/>
    <w:rsid w:val="004154A0"/>
    <w:rsid w:val="00424F03"/>
    <w:rsid w:val="0042722E"/>
    <w:rsid w:val="00432196"/>
    <w:rsid w:val="0044528D"/>
    <w:rsid w:val="004625A1"/>
    <w:rsid w:val="00466E39"/>
    <w:rsid w:val="004679E5"/>
    <w:rsid w:val="0047290C"/>
    <w:rsid w:val="00473959"/>
    <w:rsid w:val="004747DC"/>
    <w:rsid w:val="00474FA4"/>
    <w:rsid w:val="004A1847"/>
    <w:rsid w:val="004A305D"/>
    <w:rsid w:val="004B21FD"/>
    <w:rsid w:val="004C5415"/>
    <w:rsid w:val="004E0776"/>
    <w:rsid w:val="004F21C4"/>
    <w:rsid w:val="004F685F"/>
    <w:rsid w:val="00512C5C"/>
    <w:rsid w:val="005302CC"/>
    <w:rsid w:val="005566E8"/>
    <w:rsid w:val="00574867"/>
    <w:rsid w:val="00575AAF"/>
    <w:rsid w:val="0058229B"/>
    <w:rsid w:val="00591460"/>
    <w:rsid w:val="005979A0"/>
    <w:rsid w:val="005A65E0"/>
    <w:rsid w:val="005C3777"/>
    <w:rsid w:val="005C5CDC"/>
    <w:rsid w:val="005D3CAC"/>
    <w:rsid w:val="005D476C"/>
    <w:rsid w:val="005F38C5"/>
    <w:rsid w:val="00613A3B"/>
    <w:rsid w:val="006200BF"/>
    <w:rsid w:val="006219F8"/>
    <w:rsid w:val="00626BD6"/>
    <w:rsid w:val="006302F7"/>
    <w:rsid w:val="00646B9F"/>
    <w:rsid w:val="00654CD4"/>
    <w:rsid w:val="00663A99"/>
    <w:rsid w:val="00665D70"/>
    <w:rsid w:val="00683D07"/>
    <w:rsid w:val="006900D9"/>
    <w:rsid w:val="00691A7E"/>
    <w:rsid w:val="00694004"/>
    <w:rsid w:val="006B0B33"/>
    <w:rsid w:val="006B260D"/>
    <w:rsid w:val="006D1337"/>
    <w:rsid w:val="006E42EC"/>
    <w:rsid w:val="006E4D3F"/>
    <w:rsid w:val="00704B4F"/>
    <w:rsid w:val="00706C16"/>
    <w:rsid w:val="0071174F"/>
    <w:rsid w:val="00722A6C"/>
    <w:rsid w:val="00722F0F"/>
    <w:rsid w:val="007340C3"/>
    <w:rsid w:val="00734E1A"/>
    <w:rsid w:val="0075235A"/>
    <w:rsid w:val="00756841"/>
    <w:rsid w:val="007649AB"/>
    <w:rsid w:val="00771D0C"/>
    <w:rsid w:val="007833AC"/>
    <w:rsid w:val="007858E8"/>
    <w:rsid w:val="007A0B05"/>
    <w:rsid w:val="007B268C"/>
    <w:rsid w:val="007B7171"/>
    <w:rsid w:val="007C0C0F"/>
    <w:rsid w:val="007C3DC2"/>
    <w:rsid w:val="007C69EE"/>
    <w:rsid w:val="007D76A4"/>
    <w:rsid w:val="007E0E97"/>
    <w:rsid w:val="007E5497"/>
    <w:rsid w:val="00804628"/>
    <w:rsid w:val="00806F5F"/>
    <w:rsid w:val="00820278"/>
    <w:rsid w:val="008258C9"/>
    <w:rsid w:val="008415D3"/>
    <w:rsid w:val="00843F06"/>
    <w:rsid w:val="00844AE9"/>
    <w:rsid w:val="00867F95"/>
    <w:rsid w:val="00883A30"/>
    <w:rsid w:val="008843B6"/>
    <w:rsid w:val="00891928"/>
    <w:rsid w:val="008A446D"/>
    <w:rsid w:val="008B10C1"/>
    <w:rsid w:val="008B25F1"/>
    <w:rsid w:val="008B7DB7"/>
    <w:rsid w:val="008D180B"/>
    <w:rsid w:val="008D74AB"/>
    <w:rsid w:val="008E37CD"/>
    <w:rsid w:val="008F0120"/>
    <w:rsid w:val="008F0EA7"/>
    <w:rsid w:val="008F4C97"/>
    <w:rsid w:val="00923EEF"/>
    <w:rsid w:val="00926B6B"/>
    <w:rsid w:val="00930182"/>
    <w:rsid w:val="00936880"/>
    <w:rsid w:val="009419F9"/>
    <w:rsid w:val="0095685E"/>
    <w:rsid w:val="00961B09"/>
    <w:rsid w:val="00965334"/>
    <w:rsid w:val="0097093E"/>
    <w:rsid w:val="009A0C08"/>
    <w:rsid w:val="009A0DFA"/>
    <w:rsid w:val="009A1C6F"/>
    <w:rsid w:val="009B2D26"/>
    <w:rsid w:val="009C71FA"/>
    <w:rsid w:val="009C72E7"/>
    <w:rsid w:val="009C7F7E"/>
    <w:rsid w:val="009D3058"/>
    <w:rsid w:val="009D520C"/>
    <w:rsid w:val="009F3A13"/>
    <w:rsid w:val="00A00A75"/>
    <w:rsid w:val="00A122D3"/>
    <w:rsid w:val="00A14468"/>
    <w:rsid w:val="00A17F13"/>
    <w:rsid w:val="00A20739"/>
    <w:rsid w:val="00A23AF9"/>
    <w:rsid w:val="00A24912"/>
    <w:rsid w:val="00A263E3"/>
    <w:rsid w:val="00A33C78"/>
    <w:rsid w:val="00A5072D"/>
    <w:rsid w:val="00A63C9C"/>
    <w:rsid w:val="00A73974"/>
    <w:rsid w:val="00A73E64"/>
    <w:rsid w:val="00AB0ADB"/>
    <w:rsid w:val="00AE7593"/>
    <w:rsid w:val="00B00C0E"/>
    <w:rsid w:val="00B01B1A"/>
    <w:rsid w:val="00B0381D"/>
    <w:rsid w:val="00B053D3"/>
    <w:rsid w:val="00B1653E"/>
    <w:rsid w:val="00B22E7C"/>
    <w:rsid w:val="00B25B50"/>
    <w:rsid w:val="00B374EB"/>
    <w:rsid w:val="00B44A47"/>
    <w:rsid w:val="00B51E8D"/>
    <w:rsid w:val="00B56C46"/>
    <w:rsid w:val="00B63C4E"/>
    <w:rsid w:val="00B72CD3"/>
    <w:rsid w:val="00B72FFF"/>
    <w:rsid w:val="00B7608B"/>
    <w:rsid w:val="00B9427E"/>
    <w:rsid w:val="00BA4B32"/>
    <w:rsid w:val="00BC3D36"/>
    <w:rsid w:val="00BD54A6"/>
    <w:rsid w:val="00BD7F72"/>
    <w:rsid w:val="00BF7425"/>
    <w:rsid w:val="00C04FB3"/>
    <w:rsid w:val="00C05AA5"/>
    <w:rsid w:val="00C0600C"/>
    <w:rsid w:val="00C10538"/>
    <w:rsid w:val="00C10D64"/>
    <w:rsid w:val="00C11D8B"/>
    <w:rsid w:val="00C15139"/>
    <w:rsid w:val="00C330EB"/>
    <w:rsid w:val="00C33DD1"/>
    <w:rsid w:val="00C34836"/>
    <w:rsid w:val="00C50D69"/>
    <w:rsid w:val="00C5365C"/>
    <w:rsid w:val="00C623BF"/>
    <w:rsid w:val="00C63CCE"/>
    <w:rsid w:val="00C7518B"/>
    <w:rsid w:val="00C754BE"/>
    <w:rsid w:val="00C76B1C"/>
    <w:rsid w:val="00C862C8"/>
    <w:rsid w:val="00C925AC"/>
    <w:rsid w:val="00CA63A6"/>
    <w:rsid w:val="00CA7B80"/>
    <w:rsid w:val="00CB03C5"/>
    <w:rsid w:val="00CB5E7E"/>
    <w:rsid w:val="00CB6357"/>
    <w:rsid w:val="00CC1B26"/>
    <w:rsid w:val="00CE2380"/>
    <w:rsid w:val="00CE6218"/>
    <w:rsid w:val="00CF44E1"/>
    <w:rsid w:val="00D3465E"/>
    <w:rsid w:val="00D361FD"/>
    <w:rsid w:val="00D423A2"/>
    <w:rsid w:val="00D44E26"/>
    <w:rsid w:val="00D520D8"/>
    <w:rsid w:val="00D5520F"/>
    <w:rsid w:val="00D63AC2"/>
    <w:rsid w:val="00D659DB"/>
    <w:rsid w:val="00D7383B"/>
    <w:rsid w:val="00D75EE0"/>
    <w:rsid w:val="00D766D0"/>
    <w:rsid w:val="00D7788A"/>
    <w:rsid w:val="00D90EDB"/>
    <w:rsid w:val="00DA231B"/>
    <w:rsid w:val="00DB35D1"/>
    <w:rsid w:val="00DB6129"/>
    <w:rsid w:val="00DC39FC"/>
    <w:rsid w:val="00DC44C1"/>
    <w:rsid w:val="00DC701F"/>
    <w:rsid w:val="00DC7D89"/>
    <w:rsid w:val="00DD079E"/>
    <w:rsid w:val="00DD6E85"/>
    <w:rsid w:val="00DE20D0"/>
    <w:rsid w:val="00DF5254"/>
    <w:rsid w:val="00DF7619"/>
    <w:rsid w:val="00E02524"/>
    <w:rsid w:val="00E16408"/>
    <w:rsid w:val="00E20894"/>
    <w:rsid w:val="00E20F5C"/>
    <w:rsid w:val="00E245AB"/>
    <w:rsid w:val="00E2764C"/>
    <w:rsid w:val="00E27F2E"/>
    <w:rsid w:val="00E42F6F"/>
    <w:rsid w:val="00E50AFE"/>
    <w:rsid w:val="00E610AB"/>
    <w:rsid w:val="00E71A66"/>
    <w:rsid w:val="00E75C92"/>
    <w:rsid w:val="00E771DC"/>
    <w:rsid w:val="00E8772A"/>
    <w:rsid w:val="00E90F6B"/>
    <w:rsid w:val="00E92C27"/>
    <w:rsid w:val="00EA0094"/>
    <w:rsid w:val="00EA0E3D"/>
    <w:rsid w:val="00EC1B90"/>
    <w:rsid w:val="00EC38A7"/>
    <w:rsid w:val="00EE1AA8"/>
    <w:rsid w:val="00EE28A2"/>
    <w:rsid w:val="00F032F4"/>
    <w:rsid w:val="00F05584"/>
    <w:rsid w:val="00F05CAC"/>
    <w:rsid w:val="00F23FEA"/>
    <w:rsid w:val="00F31EDC"/>
    <w:rsid w:val="00F462B3"/>
    <w:rsid w:val="00F472FA"/>
    <w:rsid w:val="00F5664F"/>
    <w:rsid w:val="00F65D39"/>
    <w:rsid w:val="00F666C4"/>
    <w:rsid w:val="00F76AFC"/>
    <w:rsid w:val="00FA47C0"/>
    <w:rsid w:val="00FB255D"/>
    <w:rsid w:val="00FB448A"/>
    <w:rsid w:val="00FB5DD1"/>
    <w:rsid w:val="00FC2B5D"/>
    <w:rsid w:val="00FC78E5"/>
    <w:rsid w:val="00FE7104"/>
    <w:rsid w:val="00FF0EC2"/>
    <w:rsid w:val="00FF1449"/>
    <w:rsid w:val="00FF6B6D"/>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FB9BA6A-233E-4366-8ACE-454FEBC3D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1DC2"/>
    <w:pPr>
      <w:spacing w:line="240" w:lineRule="exact"/>
    </w:pPr>
    <w:rPr>
      <w:vertAlign w:val="superscript"/>
    </w:rPr>
  </w:style>
  <w:style w:type="paragraph" w:styleId="Textoindependiente">
    <w:name w:val="Body Text"/>
    <w:basedOn w:val="Normal"/>
    <w:link w:val="TextoindependienteCar"/>
    <w:uiPriority w:val="99"/>
    <w:unhideWhenUsed/>
    <w:rsid w:val="002F1DC2"/>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F1DC2"/>
    <w:rPr>
      <w:rFonts w:eastAsiaTheme="minorEastAsia"/>
      <w:lang w:eastAsia="es-CO"/>
    </w:rPr>
  </w:style>
  <w:style w:type="character" w:styleId="Refdecomentario">
    <w:name w:val="annotation reference"/>
    <w:basedOn w:val="Fuentedeprrafopredeter"/>
    <w:uiPriority w:val="99"/>
    <w:semiHidden/>
    <w:unhideWhenUsed/>
    <w:rsid w:val="00926B6B"/>
    <w:rPr>
      <w:sz w:val="16"/>
      <w:szCs w:val="16"/>
    </w:rPr>
  </w:style>
  <w:style w:type="paragraph" w:styleId="Textocomentario">
    <w:name w:val="annotation text"/>
    <w:basedOn w:val="Normal"/>
    <w:link w:val="TextocomentarioCar"/>
    <w:uiPriority w:val="99"/>
    <w:unhideWhenUsed/>
    <w:rsid w:val="00926B6B"/>
    <w:pPr>
      <w:spacing w:line="240" w:lineRule="auto"/>
    </w:pPr>
    <w:rPr>
      <w:sz w:val="20"/>
      <w:szCs w:val="20"/>
    </w:rPr>
  </w:style>
  <w:style w:type="character" w:customStyle="1" w:styleId="TextocomentarioCar">
    <w:name w:val="Texto comentario Car"/>
    <w:basedOn w:val="Fuentedeprrafopredeter"/>
    <w:link w:val="Textocomentario"/>
    <w:uiPriority w:val="99"/>
    <w:rsid w:val="00926B6B"/>
    <w:rPr>
      <w:sz w:val="20"/>
      <w:szCs w:val="20"/>
    </w:rPr>
  </w:style>
  <w:style w:type="paragraph" w:styleId="Asuntodelcomentario">
    <w:name w:val="annotation subject"/>
    <w:basedOn w:val="Textocomentario"/>
    <w:next w:val="Textocomentario"/>
    <w:link w:val="AsuntodelcomentarioCar"/>
    <w:uiPriority w:val="99"/>
    <w:semiHidden/>
    <w:unhideWhenUsed/>
    <w:rsid w:val="00926B6B"/>
    <w:rPr>
      <w:b/>
      <w:bCs/>
    </w:rPr>
  </w:style>
  <w:style w:type="character" w:customStyle="1" w:styleId="AsuntodelcomentarioCar">
    <w:name w:val="Asunto del comentario Car"/>
    <w:basedOn w:val="TextocomentarioCar"/>
    <w:link w:val="Asuntodelcomentario"/>
    <w:uiPriority w:val="99"/>
    <w:semiHidden/>
    <w:rsid w:val="00926B6B"/>
    <w:rPr>
      <w:b/>
      <w:bCs/>
      <w:sz w:val="20"/>
      <w:szCs w:val="20"/>
    </w:rPr>
  </w:style>
  <w:style w:type="character" w:customStyle="1" w:styleId="NormalWebCar">
    <w:name w:val="Normal (Web) Car"/>
    <w:link w:val="NormalWeb"/>
    <w:uiPriority w:val="99"/>
    <w:locked/>
    <w:rsid w:val="0040199F"/>
    <w:rPr>
      <w:rFonts w:ascii="Times New Roman" w:eastAsia="Times New Roman" w:hAnsi="Times New Roman" w:cs="Times New Roman"/>
      <w:sz w:val="24"/>
      <w:szCs w:val="24"/>
      <w:lang w:eastAsia="es-CO"/>
    </w:rPr>
  </w:style>
  <w:style w:type="character" w:customStyle="1" w:styleId="s15">
    <w:name w:val="s15"/>
    <w:basedOn w:val="Fuentedeprrafopredeter"/>
    <w:rsid w:val="0040199F"/>
  </w:style>
  <w:style w:type="character" w:customStyle="1" w:styleId="apple-converted-space">
    <w:name w:val="apple-converted-space"/>
    <w:basedOn w:val="Fuentedeprrafopredeter"/>
    <w:rsid w:val="00401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acprimaveravillarica@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apre.presidencia.gov.co/normativa/leyes" TargetMode="External"/><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E97312E-48F2-4444-9E6A-0221DEF29CB2}">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4.xml><?xml version="1.0" encoding="utf-8"?>
<ds:datastoreItem xmlns:ds="http://schemas.openxmlformats.org/officeDocument/2006/customXml" ds:itemID="{327438DE-450B-4956-B748-C2D585D863B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124</TotalTime>
  <Pages>16</Pages>
  <Words>5024</Words>
  <Characters>27638</Characters>
  <Application>Microsoft Office Word</Application>
  <DocSecurity>0</DocSecurity>
  <Lines>230</Lines>
  <Paragraphs>65</Paragraphs>
  <ScaleCrop>false</ScaleCrop>
  <Company/>
  <LinksUpToDate>false</LinksUpToDate>
  <CharactersWithSpaces>32597</CharactersWithSpaces>
  <SharedDoc>false</SharedDoc>
  <HLinks>
    <vt:vector size="36"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6750278</vt:i4>
      </vt:variant>
      <vt:variant>
        <vt:i4>0</vt:i4>
      </vt:variant>
      <vt:variant>
        <vt:i4>0</vt:i4>
      </vt:variant>
      <vt:variant>
        <vt:i4>5</vt:i4>
      </vt:variant>
      <vt:variant>
        <vt:lpwstr>mailto:jacprimaveravillarica@gmail.com</vt:lpwstr>
      </vt:variant>
      <vt:variant>
        <vt:lpwstr/>
      </vt:variant>
      <vt:variant>
        <vt:i4>6094936</vt:i4>
      </vt:variant>
      <vt:variant>
        <vt:i4>3</vt:i4>
      </vt:variant>
      <vt:variant>
        <vt:i4>0</vt:i4>
      </vt:variant>
      <vt:variant>
        <vt:i4>5</vt:i4>
      </vt:variant>
      <vt:variant>
        <vt:lpwstr>https://dapre.presidencia.gov.co/normativa/leyes</vt:lpwstr>
      </vt:variant>
      <vt:variant>
        <vt:lpwstr/>
      </vt:variant>
      <vt:variant>
        <vt:i4>5111908</vt:i4>
      </vt:variant>
      <vt:variant>
        <vt:i4>0</vt:i4>
      </vt:variant>
      <vt:variant>
        <vt:i4>0</vt:i4>
      </vt:variant>
      <vt:variant>
        <vt:i4>5</vt:i4>
      </vt:variant>
      <vt:variant>
        <vt:lpwstr>https://colombiacompra.gov.co/sites/cce_public/files/cce_documents/cce-eicp-ma-04._manual_requisitos_habilitantes_v3_29-09-2023.pdf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2023-01-11T00:18:00Z</cp:lastPrinted>
  <dcterms:created xsi:type="dcterms:W3CDTF">2026-01-20T20:34:00Z</dcterms:created>
  <dcterms:modified xsi:type="dcterms:W3CDTF">2026-01-21T02:57:00Z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