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4DA2A" w14:textId="77777777" w:rsidR="00911C6D" w:rsidRPr="000A3547" w:rsidRDefault="00911C6D" w:rsidP="00911C6D">
      <w:pPr>
        <w:spacing w:before="120" w:after="120" w:line="276" w:lineRule="auto"/>
        <w:jc w:val="both"/>
        <w:rPr>
          <w:rFonts w:ascii="Verdana" w:hAnsi="Verdana" w:cs="Arial"/>
          <w:b/>
          <w:bCs/>
          <w:color w:val="000000" w:themeColor="text1"/>
        </w:rPr>
      </w:pPr>
      <w:r w:rsidRPr="001119CA">
        <w:rPr>
          <w:rFonts w:ascii="Verdana" w:hAnsi="Verdana" w:cs="Arial"/>
          <w:b/>
          <w:bCs/>
          <w:color w:val="000000" w:themeColor="text1"/>
        </w:rPr>
        <w:t xml:space="preserve">TIPOS DE LIQUIDACIÓN – Liquidación unilateral </w:t>
      </w:r>
    </w:p>
    <w:p w14:paraId="0CF24F3C" w14:textId="77777777" w:rsidR="00911C6D" w:rsidRPr="0040011F" w:rsidRDefault="00911C6D" w:rsidP="00911C6D">
      <w:pPr>
        <w:spacing w:after="0" w:line="240" w:lineRule="auto"/>
        <w:jc w:val="both"/>
        <w:rPr>
          <w:rFonts w:ascii="Verdana" w:eastAsia="Arial" w:hAnsi="Verdana" w:cs="Arial"/>
          <w:sz w:val="20"/>
          <w:szCs w:val="20"/>
          <w:lang w:val="es-ES" w:eastAsia="es-ES" w:bidi="es-ES"/>
        </w:rPr>
      </w:pPr>
      <w:r w:rsidRPr="0040011F">
        <w:rPr>
          <w:rFonts w:ascii="Verdana" w:eastAsia="Arial" w:hAnsi="Verdana" w:cs="Arial"/>
          <w:sz w:val="20"/>
          <w:szCs w:val="20"/>
          <w:lang w:val="es-ES" w:eastAsia="es-ES" w:bidi="es-ES"/>
        </w:rPr>
        <w:t>La Entidad Estatal tiene la facultad de liquidar unilateralmente dentro del término de 2 meses contados a partir del vencimiento del plazo que acuerden las partes para liquidar bilateralmente o, ante el silencio de estas, del vencimiento de los 4 meses supletivo establecido por la ley. 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w:t>
      </w:r>
    </w:p>
    <w:p w14:paraId="46D65955" w14:textId="77777777" w:rsidR="00911C6D" w:rsidRPr="0040011F" w:rsidRDefault="00911C6D" w:rsidP="00911C6D">
      <w:pPr>
        <w:spacing w:line="240" w:lineRule="auto"/>
        <w:contextualSpacing/>
        <w:jc w:val="both"/>
        <w:rPr>
          <w:rFonts w:ascii="Verdana" w:eastAsia="Times New Roman" w:hAnsi="Verdana" w:cs="Arial"/>
          <w:color w:val="806000" w:themeColor="accent4" w:themeShade="80"/>
          <w:sz w:val="20"/>
          <w:szCs w:val="20"/>
          <w:lang w:val="es-ES" w:eastAsia="es-CO"/>
        </w:rPr>
      </w:pPr>
    </w:p>
    <w:p w14:paraId="282DF5FC" w14:textId="77777777" w:rsidR="00911C6D" w:rsidRPr="000A79D0" w:rsidRDefault="00911C6D" w:rsidP="00911C6D">
      <w:pPr>
        <w:spacing w:line="276" w:lineRule="auto"/>
        <w:jc w:val="both"/>
        <w:rPr>
          <w:rFonts w:ascii="Verdana" w:eastAsia="Calibri" w:hAnsi="Verdana" w:cs="Arial"/>
          <w:b/>
          <w:bCs/>
          <w:lang w:val="es-ES" w:eastAsia="es-ES"/>
        </w:rPr>
      </w:pPr>
      <w:r w:rsidRPr="009E743B">
        <w:rPr>
          <w:rFonts w:ascii="Verdana" w:hAnsi="Verdana" w:cs="Arial"/>
          <w:b/>
          <w:bCs/>
          <w:color w:val="000000" w:themeColor="text1"/>
          <w:lang w:val="es-MX"/>
        </w:rPr>
        <w:t>TERMINACIÓN UNILATERAL</w:t>
      </w:r>
      <w:r>
        <w:rPr>
          <w:rFonts w:ascii="Verdana" w:hAnsi="Verdana" w:cs="Arial"/>
          <w:b/>
          <w:bCs/>
          <w:color w:val="000000" w:themeColor="text1"/>
          <w:lang w:val="es-MX"/>
        </w:rPr>
        <w:t xml:space="preserve"> </w:t>
      </w:r>
      <w:r w:rsidRPr="00801BCF">
        <w:rPr>
          <w:rFonts w:ascii="Verdana" w:hAnsi="Verdana" w:cs="Arial"/>
          <w:b/>
          <w:bCs/>
          <w:color w:val="000000" w:themeColor="text1"/>
          <w:lang w:val="es-ES"/>
        </w:rPr>
        <w:t>–</w:t>
      </w:r>
      <w:r w:rsidRPr="009E743B">
        <w:rPr>
          <w:rFonts w:ascii="Verdana" w:hAnsi="Verdana" w:cs="Arial"/>
          <w:b/>
          <w:bCs/>
          <w:color w:val="000000" w:themeColor="text1"/>
          <w:lang w:val="es-MX"/>
        </w:rPr>
        <w:t xml:space="preserve"> </w:t>
      </w:r>
      <w:r>
        <w:rPr>
          <w:rFonts w:ascii="Verdana" w:hAnsi="Verdana" w:cs="Arial"/>
          <w:b/>
          <w:bCs/>
          <w:color w:val="000000" w:themeColor="text1"/>
          <w:lang w:val="es-MX"/>
        </w:rPr>
        <w:t>Causales</w:t>
      </w:r>
    </w:p>
    <w:p w14:paraId="064291CD" w14:textId="77777777" w:rsidR="00911C6D" w:rsidRPr="00A85634" w:rsidRDefault="00911C6D" w:rsidP="003010FC">
      <w:pPr>
        <w:spacing w:before="120" w:after="120" w:line="240" w:lineRule="auto"/>
        <w:jc w:val="both"/>
        <w:rPr>
          <w:rFonts w:ascii="Verdana" w:eastAsia="Arial" w:hAnsi="Verdana" w:cs="Arial"/>
          <w:sz w:val="20"/>
          <w:szCs w:val="20"/>
          <w:lang w:val="es-ES" w:eastAsia="es-ES" w:bidi="es-ES"/>
        </w:rPr>
      </w:pPr>
      <w:r w:rsidRPr="00A85634">
        <w:rPr>
          <w:rFonts w:ascii="Verdana" w:eastAsia="Arial" w:hAnsi="Verdana" w:cs="Arial"/>
          <w:sz w:val="20"/>
          <w:szCs w:val="20"/>
          <w:lang w:val="es-ES" w:eastAsia="es-ES" w:bidi="es-ES"/>
        </w:rPr>
        <w:t>La terminación unilateral del contrato, si bien la ley otorga a las entidades públicas la potestad de actuar en ejercicio de una faculta exorbitante, les impone el cumplimiento de presupuestos de forzosa aplicación y a la vez restringe la medida a los eventos previstos en la misma. Efectivamente, para declarar la terminación unilateral se requiere i) que la manifestación de la voluntad de la administración se materialice en un acto administrativo, ii) que dicho acto debe ser el resultado de un análisis soportado en la realidad del contrato, es decir, debe estar debidamente motivado y iii) que la causal que se alegue en la decisión se encuentre enmarcada en los eventos que la ley ha dispuesto.</w:t>
      </w:r>
    </w:p>
    <w:p w14:paraId="230C1542" w14:textId="77777777" w:rsidR="00A85634" w:rsidRPr="00A85634" w:rsidRDefault="00911C6D" w:rsidP="003010FC">
      <w:pPr>
        <w:spacing w:before="120" w:after="200" w:line="240" w:lineRule="auto"/>
        <w:jc w:val="both"/>
        <w:rPr>
          <w:rFonts w:ascii="Verdana" w:eastAsia="Arial" w:hAnsi="Verdana" w:cs="Arial"/>
          <w:sz w:val="20"/>
          <w:szCs w:val="20"/>
          <w:lang w:val="es-ES" w:eastAsia="es-ES" w:bidi="es-ES"/>
        </w:rPr>
      </w:pPr>
      <w:r w:rsidRPr="00A85634">
        <w:rPr>
          <w:rFonts w:ascii="Verdana" w:eastAsia="Arial" w:hAnsi="Verdana" w:cs="Arial"/>
          <w:sz w:val="20"/>
          <w:szCs w:val="20"/>
          <w:lang w:val="es-ES" w:eastAsia="es-ES" w:bidi="es-ES"/>
        </w:rPr>
        <w:t>El artículo 17 de la Ley 80 de 1993 establece expresamente en que eventos procede la terminación unilateral del contrato.</w:t>
      </w:r>
      <w:r w:rsidR="00213022" w:rsidRPr="00A85634">
        <w:rPr>
          <w:rFonts w:ascii="Verdana" w:eastAsia="Arial" w:hAnsi="Verdana" w:cs="Arial"/>
          <w:sz w:val="20"/>
          <w:szCs w:val="20"/>
          <w:lang w:val="es-ES" w:eastAsia="es-ES" w:bidi="es-ES"/>
        </w:rPr>
        <w:t xml:space="preserve"> </w:t>
      </w:r>
      <w:r w:rsidRPr="00A85634">
        <w:rPr>
          <w:rFonts w:ascii="Verdana" w:eastAsia="Arial" w:hAnsi="Verdana" w:cs="Arial"/>
          <w:sz w:val="20"/>
          <w:szCs w:val="20"/>
          <w:lang w:val="es-ES" w:eastAsia="es-ES" w:bidi="es-ES"/>
        </w:rPr>
        <w:t>Sin embargo, en los casos a que se refieren los numerales 2o. y 3o. de este artículo podrá continuarse la ejecución con el garante de la obligación.</w:t>
      </w:r>
      <w:r w:rsidR="00213022" w:rsidRPr="00A85634">
        <w:rPr>
          <w:rFonts w:ascii="Verdana" w:eastAsia="Arial" w:hAnsi="Verdana" w:cs="Arial"/>
          <w:sz w:val="20"/>
          <w:szCs w:val="20"/>
          <w:lang w:val="es-ES" w:eastAsia="es-ES" w:bidi="es-ES"/>
        </w:rPr>
        <w:t xml:space="preserve"> </w:t>
      </w:r>
      <w:r w:rsidRPr="00A85634">
        <w:rPr>
          <w:rFonts w:ascii="Verdana" w:eastAsia="Arial" w:hAnsi="Verdana" w:cs="Arial"/>
          <w:sz w:val="20"/>
          <w:szCs w:val="20"/>
          <w:lang w:val="es-ES" w:eastAsia="es-ES" w:bidi="es-ES"/>
        </w:rPr>
        <w:t xml:space="preserve">La iniciación de trámite concordatario no dará lugar a la declaratoria de terminación unilateral. En tal evento la ejecución se hará con sujeción a las normas sobre administración de negocios del deudor en concordato. </w:t>
      </w:r>
    </w:p>
    <w:p w14:paraId="0094EE70" w14:textId="5853D480" w:rsidR="00911C6D" w:rsidRPr="00213022" w:rsidRDefault="00911C6D" w:rsidP="003010FC">
      <w:pPr>
        <w:spacing w:before="120" w:after="200" w:line="240" w:lineRule="auto"/>
        <w:jc w:val="both"/>
        <w:rPr>
          <w:rFonts w:ascii="Verdana" w:hAnsi="Verdana" w:cs="Arial"/>
          <w:color w:val="000000"/>
          <w:sz w:val="20"/>
          <w:szCs w:val="20"/>
          <w:lang w:val="es-MX" w:eastAsia="es-CO"/>
        </w:rPr>
      </w:pPr>
      <w:r w:rsidRPr="000A3547">
        <w:rPr>
          <w:rFonts w:ascii="Verdana" w:hAnsi="Verdana" w:cs="Arial"/>
          <w:color w:val="000000"/>
          <w:sz w:val="20"/>
          <w:szCs w:val="20"/>
          <w:lang w:val="es-MX" w:eastAsia="es-CO"/>
        </w:rPr>
        <w:t>La entidad dispondrá las medidas de inspección, control y vigilancia necesarias para asegurar el cumplimiento del objeto contractual e impedir la paralización del servicio. </w:t>
      </w:r>
    </w:p>
    <w:p w14:paraId="6C8BE38D" w14:textId="77777777" w:rsidR="00911C6D" w:rsidRPr="000A73B9" w:rsidRDefault="00911C6D" w:rsidP="00911C6D">
      <w:pPr>
        <w:spacing w:line="276" w:lineRule="auto"/>
        <w:jc w:val="both"/>
        <w:rPr>
          <w:rFonts w:ascii="Verdana" w:eastAsia="Calibri" w:hAnsi="Verdana" w:cs="Arial"/>
          <w:b/>
          <w:bCs/>
          <w:lang w:val="es-ES" w:eastAsia="es-ES"/>
        </w:rPr>
      </w:pPr>
      <w:r w:rsidRPr="009E743B">
        <w:rPr>
          <w:rFonts w:ascii="Verdana" w:hAnsi="Verdana" w:cs="Arial"/>
          <w:b/>
          <w:bCs/>
          <w:color w:val="000000" w:themeColor="text1"/>
          <w:lang w:val="es-MX"/>
        </w:rPr>
        <w:t>TERMINACIÓN UNILATERAL</w:t>
      </w:r>
      <w:r>
        <w:rPr>
          <w:rFonts w:ascii="Verdana" w:hAnsi="Verdana" w:cs="Arial"/>
          <w:b/>
          <w:bCs/>
          <w:color w:val="000000" w:themeColor="text1"/>
          <w:lang w:val="es-MX"/>
        </w:rPr>
        <w:t xml:space="preserve"> </w:t>
      </w:r>
      <w:r w:rsidRPr="00801BCF">
        <w:rPr>
          <w:rFonts w:ascii="Verdana" w:hAnsi="Verdana" w:cs="Arial"/>
          <w:b/>
          <w:bCs/>
          <w:color w:val="000000" w:themeColor="text1"/>
          <w:lang w:val="es-ES"/>
        </w:rPr>
        <w:t>–</w:t>
      </w:r>
      <w:r w:rsidRPr="009E743B">
        <w:rPr>
          <w:rFonts w:ascii="Verdana" w:hAnsi="Verdana" w:cs="Arial"/>
          <w:b/>
          <w:bCs/>
          <w:color w:val="000000" w:themeColor="text1"/>
          <w:lang w:val="es-MX"/>
        </w:rPr>
        <w:t xml:space="preserve"> </w:t>
      </w:r>
      <w:r w:rsidRPr="009E743B">
        <w:rPr>
          <w:rFonts w:ascii="Verdana" w:eastAsia="Calibri" w:hAnsi="Verdana" w:cs="Arial"/>
          <w:b/>
          <w:bCs/>
          <w:lang w:val="es-ES" w:eastAsia="es-ES"/>
        </w:rPr>
        <w:t>Muerte o incapacidad física permanente del contratista – Persona natural – Persona jurídica</w:t>
      </w:r>
    </w:p>
    <w:p w14:paraId="4DA58026" w14:textId="77777777" w:rsidR="00911C6D" w:rsidRPr="001F3AB6" w:rsidRDefault="00911C6D" w:rsidP="00911C6D">
      <w:pPr>
        <w:spacing w:after="0" w:line="240" w:lineRule="auto"/>
        <w:contextualSpacing/>
        <w:jc w:val="both"/>
        <w:rPr>
          <w:rFonts w:ascii="Verdana" w:eastAsia="Arial" w:hAnsi="Verdana" w:cs="Arial"/>
          <w:sz w:val="20"/>
          <w:szCs w:val="20"/>
          <w:lang w:val="es-ES" w:eastAsia="es-ES" w:bidi="es-ES"/>
        </w:rPr>
      </w:pPr>
      <w:r w:rsidRPr="001F3AB6">
        <w:rPr>
          <w:rFonts w:ascii="Verdana" w:eastAsia="Arial" w:hAnsi="Verdana" w:cs="Arial"/>
          <w:sz w:val="20"/>
          <w:szCs w:val="20"/>
          <w:lang w:val="es-ES" w:eastAsia="es-ES" w:bidi="es-ES"/>
        </w:rPr>
        <w:t xml:space="preserve">La causal de terminación unilateral consagrada en el numeral 2 del artículo 17 de la Ley 80 de 1993, prevé “[…] muerte o incapacidad física permanente del contratista, si es persona natural, o por disolución de la persona jurídica del contratista”. Esta causal se explica, tanto para la persona natural como para la persona jurídica, por la naturaleza </w:t>
      </w:r>
      <w:r w:rsidRPr="000A73B9">
        <w:rPr>
          <w:rFonts w:ascii="Verdana" w:eastAsia="Arial" w:hAnsi="Verdana" w:cs="Arial"/>
          <w:i/>
          <w:iCs/>
          <w:sz w:val="20"/>
          <w:szCs w:val="20"/>
          <w:lang w:val="es-ES" w:eastAsia="es-ES" w:bidi="es-ES"/>
        </w:rPr>
        <w:t>intuito personae</w:t>
      </w:r>
      <w:r w:rsidRPr="001F3AB6">
        <w:rPr>
          <w:rFonts w:ascii="Verdana" w:eastAsia="Arial" w:hAnsi="Verdana" w:cs="Arial"/>
          <w:sz w:val="20"/>
          <w:szCs w:val="20"/>
          <w:lang w:val="es-ES" w:eastAsia="es-ES" w:bidi="es-ES"/>
        </w:rPr>
        <w:t xml:space="preserve"> del contrato estatal, según lo previsto en el inciso tercero del artículo 41 de la Ley 80 de 1993. Por ello, la muerte o discapacidad permanente de la persona natural, así como la disolución de la persona jurídica, constituyen hechos que impiden que los sujetos que en virtud de sus calidades fueron escogidos para desarrollar el contrato puedan seguirlo haciendo, por lo que justifican la terminación del contrato, </w:t>
      </w:r>
      <w:r w:rsidRPr="001F3AB6">
        <w:rPr>
          <w:rFonts w:ascii="Verdana" w:eastAsia="Arial" w:hAnsi="Verdana" w:cs="Arial"/>
          <w:sz w:val="20"/>
          <w:szCs w:val="20"/>
          <w:lang w:val="es-ES" w:eastAsia="es-ES" w:bidi="es-ES"/>
        </w:rPr>
        <w:lastRenderedPageBreak/>
        <w:t>máxime aun considerado que tales calidades no se trasmiten a sus herederos o causahabientes</w:t>
      </w:r>
      <w:r>
        <w:rPr>
          <w:rFonts w:ascii="Verdana" w:eastAsia="Arial" w:hAnsi="Verdana" w:cs="Arial"/>
          <w:sz w:val="20"/>
          <w:szCs w:val="20"/>
          <w:lang w:val="es-ES" w:eastAsia="es-ES" w:bidi="es-ES"/>
        </w:rPr>
        <w:t>.</w:t>
      </w:r>
    </w:p>
    <w:p w14:paraId="613214C9" w14:textId="77777777" w:rsidR="00911C6D" w:rsidRPr="00835586"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59543AD6"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0F61F917"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3C9D9690"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04A5D66D"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691FCB58"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03C8CE35"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499B758F"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6BF9D287"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6A0E6E3D"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46A81B43"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3A2AB1E8"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12F7DF96"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4A4929D9"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73D7580C"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2759CBFB"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3AF32D55"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1E1EE4DB"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223E6A45"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4F7FA232"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6E7E3CCA"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7BEF0F69"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1D2F1D11"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1B3C5873"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7E92B13B"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69CA7623"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35957D86"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09D754BA"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5FCC80D8"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6813A4C0"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3D0AFA9E"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73641602"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4E5D1296"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62034632"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101FC1C5"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59D3384F"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5FE09FD7"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6D6804F3"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7B37F6D9" w14:textId="77777777" w:rsidR="00213022" w:rsidRDefault="00213022"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337ADAA3"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0B22614E"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602A801C" w14:textId="77777777" w:rsidR="00C37036" w:rsidRDefault="00C37036"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40FBA8C1" w14:textId="77777777" w:rsidR="00911C6D" w:rsidRDefault="00911C6D" w:rsidP="00911C6D">
      <w:pPr>
        <w:spacing w:after="0" w:line="240" w:lineRule="auto"/>
        <w:contextualSpacing/>
        <w:jc w:val="both"/>
        <w:rPr>
          <w:rFonts w:ascii="Verdana" w:eastAsia="Calibri" w:hAnsi="Verdana" w:cs="Arial"/>
          <w:b/>
          <w:bCs/>
          <w:color w:val="806000" w:themeColor="accent4" w:themeShade="80"/>
          <w:sz w:val="20"/>
          <w:szCs w:val="20"/>
          <w:lang w:val="es-ES" w:eastAsia="es-ES"/>
        </w:rPr>
      </w:pPr>
    </w:p>
    <w:p w14:paraId="534AA2F5" w14:textId="77777777" w:rsidR="00911C6D" w:rsidRPr="00835586" w:rsidRDefault="00911C6D" w:rsidP="00911C6D">
      <w:pPr>
        <w:spacing w:after="0" w:line="240" w:lineRule="auto"/>
        <w:jc w:val="both"/>
        <w:rPr>
          <w:rFonts w:ascii="Verdana" w:hAnsi="Verdana"/>
          <w:color w:val="806000" w:themeColor="accent4" w:themeShade="80"/>
          <w:sz w:val="20"/>
          <w:szCs w:val="20"/>
          <w:lang w:val="es-ES"/>
        </w:rPr>
      </w:pPr>
    </w:p>
    <w:p w14:paraId="39B64CEE" w14:textId="040F60F0" w:rsidR="00911C6D" w:rsidRDefault="00911C6D" w:rsidP="00911C6D">
      <w:pPr>
        <w:spacing w:after="0"/>
        <w:rPr>
          <w:rFonts w:ascii="Verdana" w:hAnsi="Verdana"/>
        </w:rPr>
      </w:pPr>
      <w:r w:rsidRPr="009E6095">
        <w:rPr>
          <w:rFonts w:ascii="Verdana" w:hAnsi="Verdana"/>
        </w:rPr>
        <w:lastRenderedPageBreak/>
        <w:t xml:space="preserve">Bogotá D.C., </w:t>
      </w:r>
      <w:r w:rsidR="00540D1F">
        <w:rPr>
          <w:rFonts w:ascii="Verdana" w:hAnsi="Verdana"/>
        </w:rPr>
        <w:t>13 enero 2026</w:t>
      </w:r>
    </w:p>
    <w:p w14:paraId="3C2E8EDB" w14:textId="582BF3AD" w:rsidR="00C37036" w:rsidRPr="00C37036" w:rsidRDefault="00C37036" w:rsidP="00911C6D">
      <w:pPr>
        <w:spacing w:after="0"/>
        <w:rPr>
          <w:rFonts w:ascii="Verdana" w:hAnsi="Verdana"/>
        </w:rPr>
      </w:pPr>
      <w:r w:rsidRPr="00C37036">
        <w:rPr>
          <w:rFonts w:ascii="Verdana" w:eastAsia="Calibri" w:hAnsi="Verdana" w:cs="Arial"/>
          <w:b/>
          <w:bCs/>
          <w:lang w:val="es-ES" w:eastAsia="es-ES"/>
        </w:rPr>
        <w:drawing>
          <wp:anchor distT="0" distB="0" distL="114300" distR="114300" simplePos="0" relativeHeight="251658240" behindDoc="1" locked="0" layoutInCell="1" allowOverlap="1" wp14:anchorId="2A3F1D49" wp14:editId="72A0D756">
            <wp:simplePos x="0" y="0"/>
            <wp:positionH relativeFrom="margin">
              <wp:posOffset>3263265</wp:posOffset>
            </wp:positionH>
            <wp:positionV relativeFrom="paragraph">
              <wp:posOffset>12700</wp:posOffset>
            </wp:positionV>
            <wp:extent cx="2609850" cy="743585"/>
            <wp:effectExtent l="0" t="0" r="0" b="0"/>
            <wp:wrapTight wrapText="bothSides">
              <wp:wrapPolygon edited="0">
                <wp:start x="0" y="0"/>
                <wp:lineTo x="0" y="21028"/>
                <wp:lineTo x="21442" y="21028"/>
                <wp:lineTo x="21442" y="0"/>
                <wp:lineTo x="0" y="0"/>
              </wp:wrapPolygon>
            </wp:wrapTight>
            <wp:docPr id="137230850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308506"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09850" cy="743585"/>
                    </a:xfrm>
                    <a:prstGeom prst="rect">
                      <a:avLst/>
                    </a:prstGeom>
                  </pic:spPr>
                </pic:pic>
              </a:graphicData>
            </a:graphic>
            <wp14:sizeRelH relativeFrom="margin">
              <wp14:pctWidth>0</wp14:pctWidth>
            </wp14:sizeRelH>
            <wp14:sizeRelV relativeFrom="margin">
              <wp14:pctHeight>0</wp14:pctHeight>
            </wp14:sizeRelV>
          </wp:anchor>
        </w:drawing>
      </w:r>
    </w:p>
    <w:p w14:paraId="21B22852" w14:textId="22F2D040" w:rsidR="00911C6D" w:rsidRPr="009E6095" w:rsidRDefault="00911C6D" w:rsidP="00911C6D">
      <w:pPr>
        <w:spacing w:after="0" w:line="240" w:lineRule="auto"/>
        <w:rPr>
          <w:rFonts w:ascii="Verdana" w:hAnsi="Verdana"/>
          <w:lang w:val="es-ES"/>
        </w:rPr>
      </w:pPr>
      <w:bookmarkStart w:id="0" w:name="_Hlk143780582"/>
      <w:r w:rsidRPr="009E6095">
        <w:rPr>
          <w:rFonts w:ascii="Verdana" w:eastAsia="Calibri" w:hAnsi="Verdana" w:cs="Arial"/>
          <w:lang w:val="es-ES" w:eastAsia="es-ES"/>
        </w:rPr>
        <w:t>Señora</w:t>
      </w:r>
    </w:p>
    <w:p w14:paraId="4AC18DCE" w14:textId="458CC7C8" w:rsidR="00911C6D" w:rsidRPr="009E6095" w:rsidRDefault="00911C6D" w:rsidP="00911C6D">
      <w:pPr>
        <w:spacing w:after="0"/>
        <w:rPr>
          <w:rFonts w:ascii="Verdana" w:eastAsia="Calibri" w:hAnsi="Verdana" w:cs="Arial"/>
          <w:b/>
          <w:bCs/>
          <w:lang w:val="es-ES" w:eastAsia="es-ES"/>
        </w:rPr>
      </w:pPr>
      <w:r w:rsidRPr="009E6095">
        <w:rPr>
          <w:rFonts w:ascii="Verdana" w:eastAsia="Calibri" w:hAnsi="Verdana" w:cs="Arial"/>
          <w:b/>
          <w:bCs/>
          <w:lang w:val="es-ES" w:eastAsia="es-ES"/>
        </w:rPr>
        <w:t>Diana Marcela Serrano Espinosa</w:t>
      </w:r>
    </w:p>
    <w:p w14:paraId="7E6A04A1" w14:textId="77777777" w:rsidR="00911C6D" w:rsidRPr="00533A17" w:rsidRDefault="00911C6D" w:rsidP="00911C6D">
      <w:pPr>
        <w:spacing w:after="0"/>
        <w:rPr>
          <w:rFonts w:ascii="Verdana" w:eastAsia="Calibri" w:hAnsi="Verdana" w:cs="Arial"/>
          <w:lang w:val="es-ES" w:eastAsia="es-ES"/>
        </w:rPr>
      </w:pPr>
      <w:r w:rsidRPr="00533A17">
        <w:rPr>
          <w:rFonts w:ascii="Verdana" w:eastAsia="Calibri" w:hAnsi="Verdana" w:cs="Arial"/>
          <w:lang w:val="es-ES" w:eastAsia="es-ES"/>
        </w:rPr>
        <w:t>Oficina de Control Interno Disciplinario</w:t>
      </w:r>
    </w:p>
    <w:p w14:paraId="44408ACD" w14:textId="77777777" w:rsidR="00911C6D" w:rsidRPr="00533A17" w:rsidRDefault="00911C6D" w:rsidP="00911C6D">
      <w:pPr>
        <w:spacing w:after="0"/>
        <w:rPr>
          <w:rFonts w:ascii="Verdana" w:eastAsia="Calibri" w:hAnsi="Verdana" w:cs="Arial"/>
          <w:lang w:val="es-ES" w:eastAsia="es-ES"/>
        </w:rPr>
      </w:pPr>
      <w:r w:rsidRPr="00533A17">
        <w:rPr>
          <w:rFonts w:ascii="Verdana" w:eastAsia="Calibri" w:hAnsi="Verdana" w:cs="Arial"/>
          <w:lang w:val="es-ES" w:eastAsia="es-ES"/>
        </w:rPr>
        <w:t>Agencia Logística De Las Fuerzas Militares</w:t>
      </w:r>
    </w:p>
    <w:p w14:paraId="7B19AD1E" w14:textId="77777777" w:rsidR="00911C6D" w:rsidRPr="00FE45F6" w:rsidRDefault="00911C6D" w:rsidP="00911C6D">
      <w:pPr>
        <w:spacing w:after="0"/>
        <w:rPr>
          <w:rStyle w:val="Hipervnculo"/>
          <w:rFonts w:ascii="Verdana" w:hAnsi="Verdana"/>
        </w:rPr>
      </w:pPr>
      <w:hyperlink r:id="rId11" w:history="1">
        <w:r w:rsidRPr="00FE45F6">
          <w:rPr>
            <w:rStyle w:val="Hipervnculo"/>
            <w:rFonts w:ascii="Verdana" w:hAnsi="Verdana"/>
          </w:rPr>
          <w:t>instrucciondisciplinaria@agencialogistica.gov.co</w:t>
        </w:r>
      </w:hyperlink>
      <w:r w:rsidRPr="00FE45F6">
        <w:rPr>
          <w:rStyle w:val="Hipervnculo"/>
          <w:rFonts w:ascii="Verdana" w:hAnsi="Verdana"/>
          <w14:textFill>
            <w14:solidFill>
              <w14:srgbClr w14:val="0000FF">
                <w14:lumMod w14:val="50000"/>
              </w14:srgbClr>
            </w14:solidFill>
          </w14:textFill>
        </w:rPr>
        <w:t xml:space="preserve"> </w:t>
      </w:r>
    </w:p>
    <w:p w14:paraId="23133F27" w14:textId="77777777" w:rsidR="00911C6D" w:rsidRPr="00533A17" w:rsidRDefault="00911C6D" w:rsidP="00911C6D">
      <w:pPr>
        <w:spacing w:after="0"/>
        <w:rPr>
          <w:rFonts w:ascii="Verdana" w:eastAsia="Calibri" w:hAnsi="Verdana" w:cs="Arial"/>
          <w:lang w:val="es-ES" w:eastAsia="es-ES"/>
        </w:rPr>
      </w:pPr>
      <w:r w:rsidRPr="00533A17">
        <w:rPr>
          <w:rFonts w:ascii="Verdana" w:eastAsia="Calibri" w:hAnsi="Verdana" w:cs="Arial"/>
          <w:lang w:val="es-ES" w:eastAsia="es-ES"/>
        </w:rPr>
        <w:t>Bogotá D.C</w:t>
      </w:r>
    </w:p>
    <w:p w14:paraId="346A7A55" w14:textId="77777777" w:rsidR="00911C6D" w:rsidRPr="00835586" w:rsidRDefault="00911C6D" w:rsidP="00911C6D">
      <w:pPr>
        <w:spacing w:after="0"/>
        <w:rPr>
          <w:rFonts w:ascii="Verdana" w:eastAsia="Calibri" w:hAnsi="Verdana" w:cs="Arial"/>
          <w:color w:val="806000" w:themeColor="accent4" w:themeShade="80"/>
          <w:lang w:val="es-ES" w:eastAsia="es-ES"/>
        </w:rPr>
      </w:pPr>
    </w:p>
    <w:p w14:paraId="73E3ED70" w14:textId="77777777" w:rsidR="00911C6D" w:rsidRPr="00835586" w:rsidRDefault="00911C6D" w:rsidP="00911C6D">
      <w:pPr>
        <w:spacing w:after="0" w:line="240" w:lineRule="auto"/>
        <w:rPr>
          <w:rFonts w:ascii="Verdana" w:eastAsia="Calibri" w:hAnsi="Verdana" w:cs="Arial"/>
          <w:b/>
          <w:bCs/>
          <w:color w:val="806000" w:themeColor="accent4" w:themeShade="8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911C6D" w:rsidRPr="00835586" w14:paraId="32E2BF0E" w14:textId="77777777" w:rsidTr="007E51D4">
        <w:trPr>
          <w:trHeight w:val="300"/>
        </w:trPr>
        <w:tc>
          <w:tcPr>
            <w:tcW w:w="2410" w:type="dxa"/>
          </w:tcPr>
          <w:p w14:paraId="0A18C45F" w14:textId="77777777" w:rsidR="00911C6D" w:rsidRPr="00835586" w:rsidRDefault="00911C6D" w:rsidP="007E51D4">
            <w:pPr>
              <w:ind w:left="-142"/>
              <w:jc w:val="both"/>
              <w:rPr>
                <w:rFonts w:ascii="Verdana" w:eastAsia="Calibri" w:hAnsi="Verdana" w:cs="Arial"/>
                <w:b/>
                <w:bCs/>
                <w:color w:val="806000" w:themeColor="accent4" w:themeShade="80"/>
                <w:lang w:val="es-ES" w:eastAsia="es-ES_tradnl"/>
              </w:rPr>
            </w:pPr>
          </w:p>
        </w:tc>
        <w:tc>
          <w:tcPr>
            <w:tcW w:w="6100" w:type="dxa"/>
          </w:tcPr>
          <w:p w14:paraId="73322C87" w14:textId="77777777" w:rsidR="00911C6D" w:rsidRPr="00FE45F6" w:rsidRDefault="00911C6D" w:rsidP="007E51D4">
            <w:pPr>
              <w:ind w:left="3"/>
              <w:jc w:val="both"/>
              <w:rPr>
                <w:rFonts w:ascii="Verdana" w:eastAsia="Calibri" w:hAnsi="Verdana" w:cs="Arial"/>
                <w:b/>
                <w:bCs/>
                <w:lang w:val="es-ES" w:eastAsia="es-ES"/>
              </w:rPr>
            </w:pPr>
            <w:r w:rsidRPr="00FE45F6">
              <w:rPr>
                <w:rFonts w:ascii="Verdana" w:eastAsia="Calibri" w:hAnsi="Verdana" w:cs="Arial"/>
                <w:b/>
                <w:bCs/>
                <w:lang w:val="es-ES" w:eastAsia="es-ES"/>
              </w:rPr>
              <w:t>Concepto C-1818 de 2025</w:t>
            </w:r>
          </w:p>
          <w:p w14:paraId="66E323D6" w14:textId="77777777" w:rsidR="00911C6D" w:rsidRPr="00835586" w:rsidRDefault="00911C6D" w:rsidP="007E51D4">
            <w:pPr>
              <w:ind w:left="3"/>
              <w:jc w:val="both"/>
              <w:rPr>
                <w:rFonts w:ascii="Verdana" w:eastAsia="Calibri" w:hAnsi="Verdana" w:cs="Arial"/>
                <w:b/>
                <w:bCs/>
                <w:color w:val="806000" w:themeColor="accent4" w:themeShade="80"/>
                <w:lang w:val="es-ES" w:eastAsia="es-ES"/>
              </w:rPr>
            </w:pPr>
          </w:p>
        </w:tc>
      </w:tr>
      <w:tr w:rsidR="00911C6D" w:rsidRPr="00835586" w14:paraId="46A4AD90" w14:textId="77777777" w:rsidTr="007E51D4">
        <w:trPr>
          <w:trHeight w:val="300"/>
        </w:trPr>
        <w:tc>
          <w:tcPr>
            <w:tcW w:w="2410" w:type="dxa"/>
          </w:tcPr>
          <w:p w14:paraId="3FC84EA8" w14:textId="77777777" w:rsidR="00911C6D" w:rsidRPr="00835586" w:rsidRDefault="00911C6D" w:rsidP="007E51D4">
            <w:pPr>
              <w:ind w:left="424" w:firstLine="142"/>
              <w:jc w:val="both"/>
              <w:rPr>
                <w:rFonts w:ascii="Verdana" w:eastAsia="Calibri" w:hAnsi="Verdana" w:cs="Arial"/>
                <w:color w:val="806000" w:themeColor="accent4" w:themeShade="80"/>
                <w:lang w:val="es-ES" w:eastAsia="es-ES_tradnl"/>
              </w:rPr>
            </w:pPr>
            <w:r w:rsidRPr="009D4EB8">
              <w:rPr>
                <w:rFonts w:ascii="Verdana" w:eastAsia="Calibri" w:hAnsi="Verdana" w:cs="Arial"/>
                <w:b/>
                <w:lang w:val="es-ES" w:eastAsia="es-ES_tradnl"/>
              </w:rPr>
              <w:t>Temas:</w:t>
            </w:r>
            <w:r w:rsidRPr="009D4EB8">
              <w:rPr>
                <w:rFonts w:ascii="Verdana" w:eastAsia="Calibri" w:hAnsi="Verdana" w:cs="Arial"/>
                <w:lang w:val="es-ES" w:eastAsia="es-ES_tradnl"/>
              </w:rPr>
              <w:t xml:space="preserve">                  </w:t>
            </w:r>
          </w:p>
        </w:tc>
        <w:tc>
          <w:tcPr>
            <w:tcW w:w="6100" w:type="dxa"/>
          </w:tcPr>
          <w:p w14:paraId="027E6351" w14:textId="77777777" w:rsidR="00911C6D" w:rsidRPr="00C169BD" w:rsidRDefault="00911C6D" w:rsidP="007E51D4">
            <w:pPr>
              <w:spacing w:after="160"/>
              <w:contextualSpacing/>
              <w:jc w:val="both"/>
              <w:rPr>
                <w:rFonts w:ascii="Verdana" w:hAnsi="Verdana" w:cs="Arial"/>
              </w:rPr>
            </w:pPr>
            <w:r w:rsidRPr="00CB21F5">
              <w:rPr>
                <w:rFonts w:ascii="Verdana" w:hAnsi="Verdana" w:cs="Arial"/>
              </w:rPr>
              <w:t xml:space="preserve">TIPOS DE LIQUIDACIÓN – Liquidación unilateral </w:t>
            </w:r>
            <w:r w:rsidRPr="00C169BD">
              <w:rPr>
                <w:rFonts w:ascii="Verdana" w:hAnsi="Verdana" w:cs="Arial"/>
              </w:rPr>
              <w:t>/ TERMINACIÓN UNILATERAL – Causales</w:t>
            </w:r>
            <w:r>
              <w:rPr>
                <w:rFonts w:ascii="Verdana" w:hAnsi="Verdana" w:cs="Arial"/>
              </w:rPr>
              <w:t xml:space="preserve"> / </w:t>
            </w:r>
            <w:r w:rsidRPr="00C169BD">
              <w:rPr>
                <w:rFonts w:ascii="Verdana" w:hAnsi="Verdana" w:cs="Arial"/>
              </w:rPr>
              <w:t>TERMINACIÓN UNILATERAL – Muerte o incapacidad física permanente del contratista – Persona natural – Persona jurídica</w:t>
            </w:r>
          </w:p>
          <w:p w14:paraId="45B4DD90" w14:textId="77777777" w:rsidR="00911C6D" w:rsidRPr="00835586" w:rsidRDefault="00911C6D" w:rsidP="007E51D4">
            <w:pPr>
              <w:jc w:val="both"/>
              <w:rPr>
                <w:rFonts w:ascii="Verdana" w:hAnsi="Verdana"/>
                <w:color w:val="806000" w:themeColor="accent4" w:themeShade="80"/>
              </w:rPr>
            </w:pPr>
          </w:p>
        </w:tc>
      </w:tr>
      <w:tr w:rsidR="00911C6D" w:rsidRPr="00C17426" w14:paraId="47E929D7" w14:textId="77777777" w:rsidTr="007E51D4">
        <w:tc>
          <w:tcPr>
            <w:tcW w:w="2410" w:type="dxa"/>
          </w:tcPr>
          <w:p w14:paraId="36A34C66" w14:textId="77777777" w:rsidR="00911C6D" w:rsidRPr="00C17426" w:rsidRDefault="00911C6D" w:rsidP="007E51D4">
            <w:pPr>
              <w:ind w:left="561"/>
              <w:jc w:val="both"/>
              <w:rPr>
                <w:rFonts w:ascii="Verdana" w:eastAsia="Calibri" w:hAnsi="Verdana" w:cs="Arial"/>
                <w:b/>
                <w:lang w:val="es-ES" w:eastAsia="es-ES_tradnl"/>
              </w:rPr>
            </w:pPr>
            <w:r w:rsidRPr="00C17426">
              <w:rPr>
                <w:rFonts w:ascii="Verdana" w:eastAsia="Calibri" w:hAnsi="Verdana" w:cs="Arial"/>
                <w:b/>
                <w:lang w:val="es-ES" w:eastAsia="es-ES_tradnl"/>
              </w:rPr>
              <w:t>Radicación:</w:t>
            </w:r>
            <w:r w:rsidRPr="00C17426">
              <w:rPr>
                <w:rFonts w:ascii="Verdana" w:eastAsia="Calibri" w:hAnsi="Verdana" w:cs="Arial"/>
                <w:lang w:val="es-ES" w:eastAsia="es-ES_tradnl"/>
              </w:rPr>
              <w:t xml:space="preserve">              </w:t>
            </w:r>
          </w:p>
        </w:tc>
        <w:tc>
          <w:tcPr>
            <w:tcW w:w="6100" w:type="dxa"/>
          </w:tcPr>
          <w:p w14:paraId="31B6ABCA" w14:textId="77777777" w:rsidR="00911C6D" w:rsidRPr="00C17426" w:rsidRDefault="00911C6D" w:rsidP="007E51D4">
            <w:pPr>
              <w:ind w:left="3"/>
              <w:jc w:val="both"/>
              <w:rPr>
                <w:rFonts w:ascii="Verdana" w:hAnsi="Verdana"/>
                <w:lang w:val="es-ES"/>
              </w:rPr>
            </w:pPr>
            <w:r w:rsidRPr="00C17426">
              <w:rPr>
                <w:rFonts w:ascii="Verdana" w:eastAsia="Calibri" w:hAnsi="Verdana" w:cs="Arial"/>
                <w:lang w:val="es-ES" w:eastAsia="es-ES"/>
              </w:rPr>
              <w:t>Respuesta a consulta con radicado No. 1_2025_12_15_013935</w:t>
            </w:r>
          </w:p>
        </w:tc>
      </w:tr>
    </w:tbl>
    <w:p w14:paraId="56F7058E" w14:textId="77777777" w:rsidR="00911C6D" w:rsidRPr="00835586" w:rsidRDefault="00911C6D" w:rsidP="00911C6D">
      <w:pPr>
        <w:spacing w:after="0" w:line="276" w:lineRule="auto"/>
        <w:jc w:val="both"/>
        <w:rPr>
          <w:rFonts w:ascii="Verdana" w:eastAsia="Calibri" w:hAnsi="Verdana" w:cs="Arial"/>
          <w:color w:val="806000" w:themeColor="accent4" w:themeShade="80"/>
          <w:lang w:val="es-ES" w:eastAsia="es-ES"/>
        </w:rPr>
      </w:pPr>
    </w:p>
    <w:p w14:paraId="5D9CFA5E" w14:textId="77777777" w:rsidR="00911C6D" w:rsidRPr="00835586" w:rsidRDefault="00911C6D" w:rsidP="00911C6D">
      <w:pPr>
        <w:spacing w:after="0" w:line="276" w:lineRule="auto"/>
        <w:jc w:val="both"/>
        <w:rPr>
          <w:rFonts w:ascii="Verdana" w:eastAsia="Calibri" w:hAnsi="Verdana" w:cs="Arial"/>
          <w:color w:val="806000" w:themeColor="accent4" w:themeShade="80"/>
          <w:lang w:val="es-ES" w:eastAsia="es-ES"/>
        </w:rPr>
      </w:pPr>
    </w:p>
    <w:p w14:paraId="6A3DC38F" w14:textId="77777777" w:rsidR="00911C6D" w:rsidRPr="00C17426" w:rsidRDefault="00911C6D" w:rsidP="00911C6D">
      <w:pPr>
        <w:spacing w:after="0" w:line="276" w:lineRule="auto"/>
        <w:jc w:val="both"/>
        <w:rPr>
          <w:rFonts w:ascii="Verdana" w:eastAsia="Calibri" w:hAnsi="Verdana" w:cs="Arial"/>
          <w:lang w:val="es-ES" w:eastAsia="es-ES"/>
        </w:rPr>
      </w:pPr>
      <w:r w:rsidRPr="00C17426">
        <w:rPr>
          <w:rFonts w:ascii="Verdana" w:eastAsia="Calibri" w:hAnsi="Verdana" w:cs="Arial"/>
          <w:lang w:val="es-ES" w:eastAsia="es-ES"/>
        </w:rPr>
        <w:t>Estimada Señora Serrano,</w:t>
      </w:r>
    </w:p>
    <w:p w14:paraId="5E8435DD" w14:textId="77777777" w:rsidR="00911C6D" w:rsidRPr="00835586" w:rsidRDefault="00911C6D" w:rsidP="00911C6D">
      <w:pPr>
        <w:tabs>
          <w:tab w:val="left" w:pos="3768"/>
        </w:tabs>
        <w:spacing w:after="0" w:line="276" w:lineRule="auto"/>
        <w:jc w:val="both"/>
        <w:rPr>
          <w:rFonts w:ascii="Verdana" w:eastAsia="Calibri" w:hAnsi="Verdana" w:cs="Arial"/>
          <w:color w:val="806000" w:themeColor="accent4" w:themeShade="80"/>
          <w:lang w:val="es-ES" w:eastAsia="es-ES"/>
        </w:rPr>
      </w:pPr>
      <w:r w:rsidRPr="00835586">
        <w:rPr>
          <w:rFonts w:ascii="Verdana" w:eastAsia="Calibri" w:hAnsi="Verdana" w:cs="Arial"/>
          <w:color w:val="806000" w:themeColor="accent4" w:themeShade="80"/>
          <w:lang w:val="es-ES" w:eastAsia="es-ES"/>
        </w:rPr>
        <w:tab/>
      </w:r>
    </w:p>
    <w:p w14:paraId="1113553A" w14:textId="77777777" w:rsidR="00911C6D" w:rsidRPr="00C17426" w:rsidRDefault="00911C6D" w:rsidP="00911C6D">
      <w:pPr>
        <w:spacing w:after="0" w:line="276" w:lineRule="auto"/>
        <w:jc w:val="both"/>
        <w:rPr>
          <w:rFonts w:ascii="Verdana" w:eastAsia="Calibri" w:hAnsi="Verdana" w:cs="Arial"/>
          <w:lang w:val="es-ES" w:eastAsia="es-ES"/>
        </w:rPr>
      </w:pPr>
      <w:r w:rsidRPr="00C17426">
        <w:rPr>
          <w:rFonts w:ascii="Verdana" w:eastAsia="Calibri" w:hAnsi="Verdana" w:cs="Arial"/>
          <w:lang w:val="es-ES" w:eastAsia="es-ES"/>
        </w:rPr>
        <w:t>En ejercicio de la competencia otorgada por los artículos 3, numeral 5º, y 11, numeral 8º, del Decreto Ley 4170 de 2011,</w:t>
      </w:r>
      <w:r w:rsidRPr="00C17426">
        <w:rPr>
          <w:rFonts w:ascii="Verdana" w:eastAsia="Arial MT" w:hAnsi="Verdana" w:cs="Arial MT"/>
          <w:lang w:val="es-ES" w:eastAsia="es-ES"/>
        </w:rPr>
        <w:t xml:space="preserve"> </w:t>
      </w:r>
      <w:r w:rsidRPr="00C17426">
        <w:rPr>
          <w:rFonts w:ascii="Verdana" w:hAnsi="Verdana" w:cs="Arial"/>
          <w:lang w:val="es-ES"/>
        </w:rPr>
        <w:t xml:space="preserve">así como lo establecido en el artículo 4 de la Resolución 1707 de 2018 expedida por esta Entidad, </w:t>
      </w:r>
      <w:r w:rsidRPr="00C17426">
        <w:rPr>
          <w:rFonts w:ascii="Verdana" w:eastAsia="Calibri" w:hAnsi="Verdana" w:cs="Arial"/>
          <w:lang w:val="es-ES" w:eastAsia="es-ES"/>
        </w:rPr>
        <w:t xml:space="preserve">la Agencia Nacional de Contratación Pública – Colombia Compra Eficiente– responde su solicitud de consulta de fecha 10 de diciembre de 2025, en la cual manifiesta lo siguiente: </w:t>
      </w:r>
    </w:p>
    <w:p w14:paraId="2DB941CD" w14:textId="77777777" w:rsidR="00911C6D" w:rsidRPr="00835586" w:rsidRDefault="00911C6D" w:rsidP="00911C6D">
      <w:pPr>
        <w:tabs>
          <w:tab w:val="left" w:pos="142"/>
          <w:tab w:val="left" w:pos="284"/>
        </w:tabs>
        <w:spacing w:after="0" w:line="276" w:lineRule="auto"/>
        <w:contextualSpacing/>
        <w:jc w:val="both"/>
        <w:rPr>
          <w:rFonts w:ascii="Verdana" w:eastAsia="Century Gothic" w:hAnsi="Verdana" w:cs="Century Gothic"/>
          <w:b/>
          <w:bCs/>
          <w:color w:val="806000" w:themeColor="accent4" w:themeShade="80"/>
          <w:lang w:val="es-ES"/>
        </w:rPr>
      </w:pPr>
    </w:p>
    <w:p w14:paraId="371E2400" w14:textId="77777777" w:rsidR="00911C6D" w:rsidRPr="00CC3BDF" w:rsidRDefault="00911C6D" w:rsidP="00911C6D">
      <w:pPr>
        <w:spacing w:before="120" w:after="0"/>
        <w:ind w:left="709" w:right="709"/>
        <w:contextualSpacing/>
        <w:jc w:val="both"/>
        <w:rPr>
          <w:rFonts w:ascii="Verdana" w:eastAsia="Century Gothic" w:hAnsi="Verdana" w:cs="Century Gothic"/>
          <w:i/>
          <w:iCs/>
          <w:sz w:val="20"/>
          <w:szCs w:val="20"/>
          <w:lang w:val="es-ES"/>
        </w:rPr>
      </w:pPr>
      <w:r w:rsidRPr="00CC3BDF">
        <w:rPr>
          <w:rFonts w:ascii="Verdana" w:eastAsia="Century Gothic" w:hAnsi="Verdana" w:cs="Century Gothic"/>
          <w:i/>
          <w:iCs/>
          <w:sz w:val="20"/>
          <w:szCs w:val="20"/>
          <w:lang w:val="es-ES"/>
        </w:rPr>
        <w:t>“Cordial Saludo,</w:t>
      </w:r>
    </w:p>
    <w:p w14:paraId="1A57D544" w14:textId="77777777" w:rsidR="00911C6D" w:rsidRPr="00CC3BDF" w:rsidRDefault="00911C6D" w:rsidP="00911C6D">
      <w:pPr>
        <w:spacing w:before="120" w:after="0"/>
        <w:ind w:left="709" w:right="709"/>
        <w:contextualSpacing/>
        <w:jc w:val="both"/>
        <w:rPr>
          <w:rFonts w:ascii="Verdana" w:eastAsia="Century Gothic" w:hAnsi="Verdana" w:cs="Century Gothic"/>
          <w:i/>
          <w:iCs/>
          <w:sz w:val="20"/>
          <w:szCs w:val="20"/>
          <w:lang w:val="es-ES"/>
        </w:rPr>
      </w:pPr>
    </w:p>
    <w:p w14:paraId="369D4D32" w14:textId="77777777" w:rsidR="00911C6D" w:rsidRPr="00CC3BDF" w:rsidRDefault="00911C6D" w:rsidP="00911C6D">
      <w:pPr>
        <w:spacing w:before="120" w:after="0"/>
        <w:ind w:left="709" w:right="709"/>
        <w:contextualSpacing/>
        <w:jc w:val="both"/>
        <w:rPr>
          <w:rFonts w:ascii="Verdana" w:eastAsia="Century Gothic" w:hAnsi="Verdana" w:cs="Century Gothic"/>
          <w:i/>
          <w:iCs/>
          <w:sz w:val="20"/>
          <w:szCs w:val="20"/>
          <w:lang w:val="es-ES"/>
        </w:rPr>
      </w:pPr>
      <w:r w:rsidRPr="00CC3BDF">
        <w:rPr>
          <w:rFonts w:ascii="Verdana" w:eastAsia="Century Gothic" w:hAnsi="Verdana" w:cs="Century Gothic"/>
          <w:i/>
          <w:iCs/>
          <w:sz w:val="20"/>
          <w:szCs w:val="20"/>
          <w:lang w:val="es-ES"/>
        </w:rPr>
        <w:t>-Se solicita emitir concepto sobre cómo se debe proceder legalmente en caso de que una entidad pública, firme contrato con una persona natural con establecimiento de comercio y que, durante la ejecución del contrato, el contratista fallece.</w:t>
      </w:r>
    </w:p>
    <w:p w14:paraId="4BA7598B" w14:textId="77777777" w:rsidR="00911C6D" w:rsidRPr="00CC3BDF" w:rsidRDefault="00911C6D" w:rsidP="00911C6D">
      <w:pPr>
        <w:spacing w:before="120" w:after="0"/>
        <w:ind w:left="709" w:right="709"/>
        <w:contextualSpacing/>
        <w:jc w:val="both"/>
        <w:rPr>
          <w:rFonts w:ascii="Verdana" w:eastAsia="Century Gothic" w:hAnsi="Verdana" w:cs="Century Gothic"/>
          <w:i/>
          <w:iCs/>
          <w:sz w:val="20"/>
          <w:szCs w:val="20"/>
          <w:lang w:val="es-ES"/>
        </w:rPr>
      </w:pPr>
    </w:p>
    <w:p w14:paraId="6E23164A" w14:textId="77777777" w:rsidR="00911C6D" w:rsidRPr="00CC3BDF" w:rsidRDefault="00911C6D" w:rsidP="00911C6D">
      <w:pPr>
        <w:spacing w:before="120" w:after="0"/>
        <w:ind w:left="709" w:right="709"/>
        <w:contextualSpacing/>
        <w:jc w:val="both"/>
        <w:rPr>
          <w:rFonts w:ascii="Verdana" w:eastAsia="Century Gothic" w:hAnsi="Verdana" w:cs="Century Gothic"/>
          <w:i/>
          <w:iCs/>
          <w:sz w:val="20"/>
          <w:szCs w:val="20"/>
          <w:lang w:val="es-ES"/>
        </w:rPr>
      </w:pPr>
      <w:r w:rsidRPr="00CC3BDF">
        <w:rPr>
          <w:rFonts w:ascii="Verdana" w:eastAsia="Century Gothic" w:hAnsi="Verdana" w:cs="Century Gothic"/>
          <w:i/>
          <w:iCs/>
          <w:sz w:val="20"/>
          <w:szCs w:val="20"/>
          <w:lang w:val="es-ES"/>
        </w:rPr>
        <w:t>-Se informe qué procede con el usuario del contratista fallecido, en la plataforma SECOP.”</w:t>
      </w:r>
    </w:p>
    <w:p w14:paraId="531B0B32" w14:textId="77777777" w:rsidR="00911C6D" w:rsidRPr="00CC3BDF" w:rsidRDefault="00911C6D" w:rsidP="00911C6D">
      <w:pPr>
        <w:spacing w:after="120" w:line="276" w:lineRule="auto"/>
        <w:ind w:firstLine="708"/>
        <w:jc w:val="both"/>
        <w:rPr>
          <w:rFonts w:ascii="Verdana" w:eastAsia="Calibri" w:hAnsi="Verdana" w:cs="Arial"/>
          <w:lang w:val="es-ES" w:eastAsia="es-ES"/>
        </w:rPr>
      </w:pPr>
      <w:r w:rsidRPr="00CC3BDF">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3BDF">
        <w:rPr>
          <w:rFonts w:ascii="Verdana" w:hAnsi="Verdana"/>
          <w:lang w:val="es-ES"/>
        </w:rPr>
        <w:tab/>
      </w:r>
    </w:p>
    <w:p w14:paraId="4F894FCF" w14:textId="77777777" w:rsidR="00911C6D" w:rsidRPr="00CC3BDF" w:rsidRDefault="00911C6D" w:rsidP="00911C6D">
      <w:pPr>
        <w:spacing w:after="0" w:line="276" w:lineRule="auto"/>
        <w:ind w:firstLine="709"/>
        <w:jc w:val="both"/>
        <w:rPr>
          <w:rFonts w:ascii="Verdana" w:eastAsia="Calibri" w:hAnsi="Verdana" w:cs="Arial"/>
          <w:lang w:val="es-ES" w:eastAsia="es-ES"/>
        </w:rPr>
      </w:pPr>
      <w:r w:rsidRPr="00CC3BD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1C79F73" w14:textId="77777777" w:rsidR="00911C6D" w:rsidRPr="00B70560" w:rsidRDefault="00911C6D" w:rsidP="00911C6D">
      <w:pPr>
        <w:spacing w:after="0" w:line="276" w:lineRule="auto"/>
        <w:ind w:firstLine="709"/>
        <w:jc w:val="both"/>
        <w:rPr>
          <w:rFonts w:ascii="Verdana" w:eastAsia="Calibri" w:hAnsi="Verdana" w:cs="Arial"/>
          <w:lang w:val="es-ES" w:eastAsia="es-ES"/>
        </w:rPr>
      </w:pPr>
    </w:p>
    <w:p w14:paraId="423CE428" w14:textId="77777777" w:rsidR="00911C6D" w:rsidRPr="00B70560" w:rsidRDefault="00911C6D" w:rsidP="00911C6D">
      <w:pPr>
        <w:tabs>
          <w:tab w:val="left" w:pos="142"/>
          <w:tab w:val="left" w:pos="284"/>
        </w:tabs>
        <w:spacing w:after="0" w:line="276" w:lineRule="auto"/>
        <w:contextualSpacing/>
        <w:jc w:val="both"/>
        <w:rPr>
          <w:rFonts w:ascii="Verdana" w:eastAsia="Century Gothic" w:hAnsi="Verdana" w:cs="Century Gothic"/>
          <w:b/>
          <w:lang w:val="es-ES"/>
        </w:rPr>
      </w:pPr>
      <w:r w:rsidRPr="00B70560">
        <w:rPr>
          <w:rFonts w:ascii="Verdana" w:eastAsia="Century Gothic" w:hAnsi="Verdana" w:cs="Century Gothic"/>
          <w:b/>
          <w:lang w:val="es-ES"/>
        </w:rPr>
        <w:t>1. Problema planteado:</w:t>
      </w:r>
    </w:p>
    <w:p w14:paraId="3509A328" w14:textId="77777777" w:rsidR="00911C6D" w:rsidRPr="00835586" w:rsidRDefault="00911C6D" w:rsidP="00911C6D">
      <w:pPr>
        <w:tabs>
          <w:tab w:val="left" w:pos="426"/>
        </w:tabs>
        <w:spacing w:after="0" w:line="276" w:lineRule="auto"/>
        <w:jc w:val="both"/>
        <w:rPr>
          <w:rFonts w:ascii="Verdana" w:eastAsia="Century Gothic" w:hAnsi="Verdana" w:cs="Century Gothic"/>
          <w:color w:val="806000" w:themeColor="accent4" w:themeShade="80"/>
          <w:lang w:val="es-ES"/>
        </w:rPr>
      </w:pPr>
    </w:p>
    <w:p w14:paraId="4DC4FA17" w14:textId="7640B1D6" w:rsidR="00911C6D" w:rsidRDefault="00911C6D" w:rsidP="00911C6D">
      <w:pPr>
        <w:spacing w:after="0" w:line="276" w:lineRule="auto"/>
        <w:jc w:val="both"/>
        <w:rPr>
          <w:rFonts w:ascii="Verdana" w:eastAsia="Century Gothic" w:hAnsi="Verdana" w:cs="Century Gothic"/>
        </w:rPr>
      </w:pPr>
      <w:r w:rsidRPr="00B70560">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los</w:t>
      </w:r>
      <w:r w:rsidRPr="00B70560">
        <w:rPr>
          <w:rFonts w:ascii="Verdana" w:eastAsia="Century Gothic" w:hAnsi="Verdana" w:cs="Century Gothic"/>
          <w:lang w:val="es-ES"/>
        </w:rPr>
        <w:t xml:space="preserve"> siguiente</w:t>
      </w:r>
      <w:r>
        <w:rPr>
          <w:rFonts w:ascii="Verdana" w:eastAsia="Century Gothic" w:hAnsi="Verdana" w:cs="Century Gothic"/>
          <w:lang w:val="es-ES"/>
        </w:rPr>
        <w:t>s</w:t>
      </w:r>
      <w:r w:rsidRPr="00B70560">
        <w:rPr>
          <w:rFonts w:ascii="Verdana" w:eastAsia="Century Gothic" w:hAnsi="Verdana" w:cs="Century Gothic"/>
          <w:lang w:val="es-ES"/>
        </w:rPr>
        <w:t xml:space="preserve"> problema</w:t>
      </w:r>
      <w:r>
        <w:rPr>
          <w:rFonts w:ascii="Verdana" w:eastAsia="Century Gothic" w:hAnsi="Verdana" w:cs="Century Gothic"/>
          <w:lang w:val="es-ES"/>
        </w:rPr>
        <w:t>s</w:t>
      </w:r>
      <w:r w:rsidRPr="00B70560">
        <w:rPr>
          <w:rFonts w:ascii="Verdana" w:eastAsia="Century Gothic" w:hAnsi="Verdana" w:cs="Century Gothic"/>
          <w:lang w:val="es-ES"/>
        </w:rPr>
        <w:t xml:space="preserve"> jurídico</w:t>
      </w:r>
      <w:r>
        <w:rPr>
          <w:rFonts w:ascii="Verdana" w:eastAsia="Century Gothic" w:hAnsi="Verdana" w:cs="Century Gothic"/>
          <w:lang w:val="es-ES"/>
        </w:rPr>
        <w:t>s</w:t>
      </w:r>
      <w:r w:rsidRPr="00B70560">
        <w:rPr>
          <w:rFonts w:ascii="Verdana" w:eastAsia="Century Gothic" w:hAnsi="Verdana" w:cs="Century Gothic"/>
          <w:lang w:val="es-ES"/>
        </w:rPr>
        <w:t>:</w:t>
      </w:r>
      <w:r>
        <w:rPr>
          <w:rFonts w:ascii="Verdana" w:eastAsia="Century Gothic" w:hAnsi="Verdana" w:cs="Century Gothic"/>
          <w:lang w:val="es-ES"/>
        </w:rPr>
        <w:t xml:space="preserve"> i)</w:t>
      </w:r>
      <w:r w:rsidRPr="00D407CD">
        <w:t xml:space="preserve"> </w:t>
      </w:r>
      <w:r w:rsidRPr="00D407CD">
        <w:rPr>
          <w:rFonts w:ascii="Verdana" w:eastAsia="Century Gothic" w:hAnsi="Verdana" w:cs="Century Gothic"/>
        </w:rPr>
        <w:t>¿Qué consecuencias jurídicas se derivan del fallecimiento de</w:t>
      </w:r>
      <w:r>
        <w:rPr>
          <w:rFonts w:ascii="Verdana" w:eastAsia="Century Gothic" w:hAnsi="Verdana" w:cs="Century Gothic"/>
        </w:rPr>
        <w:t xml:space="preserve"> </w:t>
      </w:r>
      <w:r w:rsidRPr="00D407CD">
        <w:rPr>
          <w:rFonts w:ascii="Verdana" w:eastAsia="Century Gothic" w:hAnsi="Verdana" w:cs="Century Gothic"/>
        </w:rPr>
        <w:t>contratista</w:t>
      </w:r>
      <w:r>
        <w:rPr>
          <w:rFonts w:ascii="Verdana" w:eastAsia="Century Gothic" w:hAnsi="Verdana" w:cs="Century Gothic"/>
        </w:rPr>
        <w:t xml:space="preserve"> </w:t>
      </w:r>
      <w:r w:rsidRPr="00D407CD">
        <w:rPr>
          <w:rFonts w:ascii="Verdana" w:eastAsia="Century Gothic" w:hAnsi="Verdana" w:cs="Century Gothic"/>
        </w:rPr>
        <w:t>durante la ejecución d</w:t>
      </w:r>
      <w:r>
        <w:rPr>
          <w:rFonts w:ascii="Verdana" w:eastAsia="Century Gothic" w:hAnsi="Verdana" w:cs="Century Gothic"/>
        </w:rPr>
        <w:t>e un contrato</w:t>
      </w:r>
      <w:r w:rsidRPr="00D407CD">
        <w:rPr>
          <w:rFonts w:ascii="Verdana" w:eastAsia="Century Gothic" w:hAnsi="Verdana" w:cs="Century Gothic"/>
        </w:rPr>
        <w:t>?</w:t>
      </w:r>
      <w:r>
        <w:rPr>
          <w:rFonts w:ascii="Verdana" w:eastAsia="Century Gothic" w:hAnsi="Verdana" w:cs="Century Gothic"/>
          <w:lang w:val="es-ES"/>
        </w:rPr>
        <w:t xml:space="preserve"> ii) </w:t>
      </w:r>
      <w:r w:rsidRPr="00D13DEE">
        <w:rPr>
          <w:rFonts w:ascii="Verdana" w:eastAsia="Century Gothic" w:hAnsi="Verdana" w:cs="Century Gothic"/>
        </w:rPr>
        <w:t>¿Cuál es el procedimiento que debe adelantarse respecto del usuario del contratista fallecido en la plataforma SECOP?</w:t>
      </w:r>
    </w:p>
    <w:p w14:paraId="18BB25EA" w14:textId="77777777" w:rsidR="00911C6D" w:rsidRPr="00835586" w:rsidRDefault="00911C6D" w:rsidP="00911C6D">
      <w:pPr>
        <w:spacing w:after="0" w:line="276" w:lineRule="auto"/>
        <w:jc w:val="both"/>
        <w:rPr>
          <w:rFonts w:ascii="Verdana" w:eastAsia="Century Gothic" w:hAnsi="Verdana" w:cs="Century Gothic"/>
          <w:color w:val="806000" w:themeColor="accent4" w:themeShade="80"/>
        </w:rPr>
      </w:pPr>
    </w:p>
    <w:p w14:paraId="5EAA4884" w14:textId="77777777" w:rsidR="00911C6D" w:rsidRPr="00B70560" w:rsidRDefault="00911C6D" w:rsidP="00911C6D">
      <w:pPr>
        <w:tabs>
          <w:tab w:val="left" w:pos="142"/>
          <w:tab w:val="left" w:pos="284"/>
        </w:tabs>
        <w:spacing w:after="0" w:line="276" w:lineRule="auto"/>
        <w:jc w:val="both"/>
        <w:rPr>
          <w:rFonts w:ascii="Verdana" w:eastAsia="Century Gothic" w:hAnsi="Verdana" w:cs="Century Gothic"/>
          <w:b/>
          <w:lang w:val="es-ES"/>
        </w:rPr>
      </w:pPr>
      <w:r w:rsidRPr="00B70560">
        <w:rPr>
          <w:rFonts w:ascii="Verdana" w:eastAsia="Century Gothic" w:hAnsi="Verdana" w:cs="Century Gothic"/>
          <w:b/>
          <w:lang w:val="es-ES"/>
        </w:rPr>
        <w:t>2. Respuesta:</w:t>
      </w:r>
    </w:p>
    <w:p w14:paraId="45ACC6DF" w14:textId="77777777" w:rsidR="00911C6D" w:rsidRPr="00835586" w:rsidRDefault="00911C6D" w:rsidP="00911C6D">
      <w:pPr>
        <w:tabs>
          <w:tab w:val="left" w:pos="142"/>
          <w:tab w:val="left" w:pos="284"/>
        </w:tabs>
        <w:spacing w:after="0" w:line="276" w:lineRule="auto"/>
        <w:jc w:val="both"/>
        <w:rPr>
          <w:rFonts w:ascii="Verdana" w:eastAsia="Century Gothic" w:hAnsi="Verdana" w:cs="Century Gothic"/>
          <w:b/>
          <w:bCs/>
          <w:color w:val="806000" w:themeColor="accent4" w:themeShade="8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11C6D" w:rsidRPr="00835586" w14:paraId="306BE29E" w14:textId="77777777" w:rsidTr="007E51D4">
        <w:tc>
          <w:tcPr>
            <w:tcW w:w="8828" w:type="dxa"/>
          </w:tcPr>
          <w:p w14:paraId="10562777" w14:textId="175DC113" w:rsidR="00911C6D" w:rsidRDefault="00911C6D" w:rsidP="007E51D4">
            <w:pPr>
              <w:spacing w:before="120" w:after="120" w:line="276" w:lineRule="auto"/>
              <w:jc w:val="both"/>
              <w:rPr>
                <w:rFonts w:ascii="Verdana" w:hAnsi="Verdana"/>
              </w:rPr>
            </w:pPr>
            <w:r w:rsidRPr="00D23560">
              <w:rPr>
                <w:rFonts w:ascii="Verdana" w:eastAsia="Calibri" w:hAnsi="Verdana" w:cs="Arial"/>
                <w:lang w:val="es-ES"/>
              </w:rPr>
              <w:t xml:space="preserve">i) </w:t>
            </w:r>
            <w:r w:rsidR="00426ECB">
              <w:rPr>
                <w:rFonts w:ascii="Verdana" w:eastAsia="Calibri" w:hAnsi="Verdana" w:cs="Arial"/>
                <w:lang w:val="es-ES"/>
              </w:rPr>
              <w:t>A</w:t>
            </w:r>
            <w:r w:rsidRPr="00D23560">
              <w:rPr>
                <w:rFonts w:ascii="Verdana" w:eastAsia="Calibri" w:hAnsi="Verdana" w:cs="Arial"/>
                <w:lang w:val="es-ES"/>
              </w:rPr>
              <w:t xml:space="preserve">nte el fallecimiento de un contratista, la entidad </w:t>
            </w:r>
            <w:r w:rsidR="00426ECB">
              <w:rPr>
                <w:rFonts w:ascii="Verdana" w:eastAsia="Calibri" w:hAnsi="Verdana" w:cs="Arial"/>
                <w:lang w:val="es-ES"/>
              </w:rPr>
              <w:t xml:space="preserve">estatal </w:t>
            </w:r>
            <w:r w:rsidRPr="00D10B1F">
              <w:rPr>
                <w:rFonts w:ascii="Verdana" w:eastAsia="Arial" w:hAnsi="Verdana" w:cs="Arial"/>
                <w:lang w:eastAsia="es-ES" w:bidi="es-ES"/>
              </w:rPr>
              <w:t>podrá ejercer la facultad excepcional de terminación unilateral, siempre que dicha potestad haya sido expresamente pactada conforme a lo dispuesto en el artículo 14 de la Ley 80 de 1993</w:t>
            </w:r>
            <w:r w:rsidR="00B01B33">
              <w:rPr>
                <w:rFonts w:ascii="Verdana" w:eastAsia="Arial" w:hAnsi="Verdana" w:cs="Arial"/>
                <w:lang w:eastAsia="es-ES" w:bidi="es-ES"/>
              </w:rPr>
              <w:t>,</w:t>
            </w:r>
            <w:r w:rsidR="00700158">
              <w:rPr>
                <w:rFonts w:ascii="Verdana" w:eastAsia="Arial" w:hAnsi="Verdana" w:cs="Arial"/>
                <w:lang w:eastAsia="es-ES" w:bidi="es-ES"/>
              </w:rPr>
              <w:t xml:space="preserve"> así como</w:t>
            </w:r>
            <w:r w:rsidR="00F643BD">
              <w:rPr>
                <w:rFonts w:ascii="Verdana" w:eastAsia="Arial" w:hAnsi="Verdana" w:cs="Arial"/>
                <w:lang w:eastAsia="es-ES" w:bidi="es-ES"/>
              </w:rPr>
              <w:t xml:space="preserve"> en</w:t>
            </w:r>
            <w:r w:rsidR="00700158">
              <w:rPr>
                <w:rFonts w:ascii="Verdana" w:eastAsia="Arial" w:hAnsi="Verdana" w:cs="Arial"/>
                <w:lang w:eastAsia="es-ES" w:bidi="es-ES"/>
              </w:rPr>
              <w:t xml:space="preserve"> aquellos en los </w:t>
            </w:r>
            <w:r w:rsidR="00FB1F51">
              <w:rPr>
                <w:rFonts w:ascii="Verdana" w:eastAsia="Arial" w:hAnsi="Verdana" w:cs="Arial"/>
                <w:lang w:eastAsia="es-ES" w:bidi="es-ES"/>
              </w:rPr>
              <w:t xml:space="preserve">que </w:t>
            </w:r>
            <w:r w:rsidR="00700158">
              <w:rPr>
                <w:rFonts w:ascii="Verdana" w:eastAsia="Arial" w:hAnsi="Verdana" w:cs="Arial"/>
                <w:lang w:eastAsia="es-ES" w:bidi="es-ES"/>
              </w:rPr>
              <w:t xml:space="preserve">se entienden pactadas estas </w:t>
            </w:r>
            <w:r w:rsidR="00B83770">
              <w:rPr>
                <w:rFonts w:ascii="Verdana" w:eastAsia="Arial" w:hAnsi="Verdana" w:cs="Arial"/>
                <w:lang w:eastAsia="es-ES" w:bidi="es-ES"/>
              </w:rPr>
              <w:t>cláusulas.</w:t>
            </w:r>
            <w:r w:rsidRPr="00D10B1F">
              <w:rPr>
                <w:rFonts w:ascii="Verdana" w:eastAsia="Arial" w:hAnsi="Verdana" w:cs="Arial"/>
                <w:lang w:eastAsia="es-ES" w:bidi="es-ES"/>
              </w:rPr>
              <w:t xml:space="preserve"> En tal</w:t>
            </w:r>
            <w:r w:rsidR="00B83770">
              <w:rPr>
                <w:rFonts w:ascii="Verdana" w:eastAsia="Arial" w:hAnsi="Verdana" w:cs="Arial"/>
                <w:lang w:eastAsia="es-ES" w:bidi="es-ES"/>
              </w:rPr>
              <w:t xml:space="preserve">es </w:t>
            </w:r>
            <w:r w:rsidRPr="00D10B1F">
              <w:rPr>
                <w:rFonts w:ascii="Verdana" w:eastAsia="Arial" w:hAnsi="Verdana" w:cs="Arial"/>
                <w:lang w:eastAsia="es-ES" w:bidi="es-ES"/>
              </w:rPr>
              <w:t>evento</w:t>
            </w:r>
            <w:r w:rsidR="00B83770">
              <w:rPr>
                <w:rFonts w:ascii="Verdana" w:eastAsia="Arial" w:hAnsi="Verdana" w:cs="Arial"/>
                <w:lang w:eastAsia="es-ES" w:bidi="es-ES"/>
              </w:rPr>
              <w:t>s</w:t>
            </w:r>
            <w:r w:rsidRPr="00D10B1F">
              <w:rPr>
                <w:rFonts w:ascii="Verdana" w:eastAsia="Arial" w:hAnsi="Verdana" w:cs="Arial"/>
                <w:lang w:eastAsia="es-ES" w:bidi="es-ES"/>
              </w:rPr>
              <w:t>, resulta procedente la terminación unilateral del contrato, en atención a que el numeral 2 del artículo 17 del mismo estatuto</w:t>
            </w:r>
            <w:r>
              <w:rPr>
                <w:rFonts w:ascii="Verdana" w:eastAsia="Arial" w:hAnsi="Verdana" w:cs="Arial"/>
                <w:lang w:eastAsia="es-ES" w:bidi="es-ES"/>
              </w:rPr>
              <w:t xml:space="preserve"> que</w:t>
            </w:r>
            <w:r w:rsidRPr="00D10B1F">
              <w:rPr>
                <w:rFonts w:ascii="Verdana" w:eastAsia="Arial" w:hAnsi="Verdana" w:cs="Arial"/>
                <w:lang w:eastAsia="es-ES" w:bidi="es-ES"/>
              </w:rPr>
              <w:t xml:space="preserve"> prevé </w:t>
            </w:r>
            <w:r>
              <w:rPr>
                <w:rFonts w:ascii="Verdana" w:eastAsia="Arial" w:hAnsi="Verdana" w:cs="Arial"/>
                <w:lang w:eastAsia="es-ES" w:bidi="es-ES"/>
              </w:rPr>
              <w:t xml:space="preserve">como causal </w:t>
            </w:r>
            <w:r w:rsidRPr="00F530F3">
              <w:rPr>
                <w:rFonts w:ascii="Verdana" w:hAnsi="Verdana"/>
              </w:rPr>
              <w:t>"</w:t>
            </w:r>
            <w:r>
              <w:rPr>
                <w:rFonts w:ascii="Verdana" w:hAnsi="Verdana"/>
              </w:rPr>
              <w:t xml:space="preserve">la </w:t>
            </w:r>
            <w:r w:rsidRPr="00F530F3">
              <w:rPr>
                <w:rFonts w:ascii="Verdana" w:hAnsi="Verdana"/>
              </w:rPr>
              <w:t xml:space="preserve">muerte o incapacidad física permanente del </w:t>
            </w:r>
            <w:r w:rsidRPr="00F530F3">
              <w:rPr>
                <w:rFonts w:ascii="Verdana" w:hAnsi="Verdana"/>
              </w:rPr>
              <w:lastRenderedPageBreak/>
              <w:t>contratista, si es persona natural, o por disolución de la persona jurídica del contratista</w:t>
            </w:r>
            <w:r>
              <w:rPr>
                <w:rFonts w:ascii="Verdana" w:hAnsi="Verdana"/>
              </w:rPr>
              <w:t>”.</w:t>
            </w:r>
          </w:p>
          <w:p w14:paraId="5434BA86" w14:textId="77777777" w:rsidR="00911C6D" w:rsidRPr="00676E20" w:rsidRDefault="00911C6D" w:rsidP="007E51D4">
            <w:pPr>
              <w:spacing w:before="120" w:after="120" w:line="276" w:lineRule="auto"/>
              <w:ind w:firstLine="709"/>
              <w:jc w:val="both"/>
              <w:rPr>
                <w:rFonts w:ascii="Verdana" w:hAnsi="Verdana"/>
              </w:rPr>
            </w:pPr>
            <w:r>
              <w:rPr>
                <w:rFonts w:ascii="Verdana" w:eastAsia="Calibri" w:hAnsi="Verdana" w:cs="Arial"/>
              </w:rPr>
              <w:t>Ahora bien, e</w:t>
            </w:r>
            <w:r w:rsidRPr="00676E20">
              <w:rPr>
                <w:rFonts w:ascii="Verdana" w:eastAsia="Calibri" w:hAnsi="Verdana" w:cs="Arial"/>
              </w:rPr>
              <w:t xml:space="preserve">n el evento en que el contrato no contemple cláusulas exorbitantes, resultará aplicable lo dispuesto en el artículo 13 de la Ley 80 de 1993, conforme al cual los contratos celebrados por las </w:t>
            </w:r>
            <w:r>
              <w:rPr>
                <w:rFonts w:ascii="Verdana" w:eastAsia="Calibri" w:hAnsi="Verdana" w:cs="Arial"/>
              </w:rPr>
              <w:t>E</w:t>
            </w:r>
            <w:r w:rsidRPr="00676E20">
              <w:rPr>
                <w:rFonts w:ascii="Verdana" w:eastAsia="Calibri" w:hAnsi="Verdana" w:cs="Arial"/>
              </w:rPr>
              <w:t xml:space="preserve">ntidades </w:t>
            </w:r>
            <w:r>
              <w:rPr>
                <w:rFonts w:ascii="Verdana" w:eastAsia="Calibri" w:hAnsi="Verdana" w:cs="Arial"/>
              </w:rPr>
              <w:t>E</w:t>
            </w:r>
            <w:r w:rsidRPr="00676E20">
              <w:rPr>
                <w:rFonts w:ascii="Verdana" w:eastAsia="Calibri" w:hAnsi="Verdana" w:cs="Arial"/>
              </w:rPr>
              <w:t xml:space="preserve">statales se rigen por las disposiciones civiles y comerciales pertinentes, en todo aquello que no se encuentre expresamente regulado por </w:t>
            </w:r>
            <w:r>
              <w:rPr>
                <w:rFonts w:ascii="Verdana" w:eastAsia="Calibri" w:hAnsi="Verdana" w:cs="Arial"/>
              </w:rPr>
              <w:t>la Ley 80 de 1993</w:t>
            </w:r>
            <w:r w:rsidRPr="00676E20">
              <w:rPr>
                <w:rFonts w:ascii="Verdana" w:eastAsia="Calibri" w:hAnsi="Verdana" w:cs="Arial"/>
              </w:rPr>
              <w:t xml:space="preserve">. En </w:t>
            </w:r>
            <w:r>
              <w:rPr>
                <w:rFonts w:ascii="Verdana" w:eastAsia="Calibri" w:hAnsi="Verdana" w:cs="Arial"/>
              </w:rPr>
              <w:t>esta situación</w:t>
            </w:r>
            <w:r w:rsidRPr="00676E20">
              <w:rPr>
                <w:rFonts w:ascii="Verdana" w:eastAsia="Calibri" w:hAnsi="Verdana" w:cs="Arial"/>
              </w:rPr>
              <w:t>, serán aplicables las normas del derecho civil, de acuerdo con las cuales los herederos suceden al causante en la totalidad de sus bienes, derechos y obligaciones transmisibles. En consecuencia, la entidad estatal podrá optar por la terminación del contrato conforme al régimen civil y adelantar su liquidación en los términos previstos en la Ley 1150 de 2007.</w:t>
            </w:r>
          </w:p>
          <w:p w14:paraId="083F4169" w14:textId="77777777" w:rsidR="000E1617" w:rsidRDefault="00911C6D" w:rsidP="005D6D89">
            <w:pPr>
              <w:spacing w:before="120" w:after="120" w:line="276" w:lineRule="auto"/>
              <w:ind w:firstLine="709"/>
              <w:jc w:val="both"/>
              <w:rPr>
                <w:rFonts w:ascii="Verdana" w:eastAsia="Calibri" w:hAnsi="Verdana" w:cs="Arial"/>
                <w:szCs w:val="24"/>
                <w:lang w:eastAsia="es-ES_tradnl"/>
              </w:rPr>
            </w:pPr>
            <w:r w:rsidRPr="00676E20">
              <w:rPr>
                <w:rFonts w:ascii="Verdana" w:eastAsia="Arial" w:hAnsi="Verdana" w:cs="Arial"/>
                <w:lang w:eastAsia="es-ES" w:bidi="es-ES"/>
              </w:rPr>
              <w:t xml:space="preserve">ii) </w:t>
            </w:r>
            <w:r w:rsidRPr="006072B9">
              <w:rPr>
                <w:rFonts w:ascii="Verdana" w:eastAsia="Calibri" w:hAnsi="Verdana" w:cs="Arial"/>
                <w:szCs w:val="24"/>
                <w:lang w:eastAsia="es-ES_tradnl"/>
              </w:rPr>
              <w:t>Finalmente,</w:t>
            </w:r>
            <w:r>
              <w:rPr>
                <w:rFonts w:ascii="Verdana" w:eastAsia="Calibri" w:hAnsi="Verdana" w:cs="Arial"/>
                <w:szCs w:val="24"/>
                <w:lang w:eastAsia="es-ES_tradnl"/>
              </w:rPr>
              <w:t xml:space="preserve"> para responder la segunda pregunta</w:t>
            </w:r>
            <w:r w:rsidRPr="006072B9">
              <w:rPr>
                <w:rFonts w:ascii="Verdana" w:eastAsia="Calibri" w:hAnsi="Verdana" w:cs="Arial"/>
                <w:szCs w:val="24"/>
                <w:lang w:eastAsia="es-ES_tradnl"/>
              </w:rPr>
              <w:t xml:space="preserve"> en relación con la situación del usuario del contratista fallecido en la plataforma SECOP, la Subdirección de Información y Desarrollo Tecnológico de esta Agencia, </w:t>
            </w:r>
            <w:r>
              <w:rPr>
                <w:rFonts w:ascii="Verdana" w:eastAsia="Calibri" w:hAnsi="Verdana" w:cs="Arial"/>
                <w:szCs w:val="24"/>
                <w:lang w:eastAsia="es-ES_tradnl"/>
              </w:rPr>
              <w:t xml:space="preserve">indica lo siguiente: </w:t>
            </w:r>
          </w:p>
          <w:p w14:paraId="6DE9A896" w14:textId="6D6A8DAB" w:rsidR="00911C6D" w:rsidRPr="00DC2EFC" w:rsidRDefault="000E1617" w:rsidP="002966F9">
            <w:pPr>
              <w:spacing w:before="120" w:after="120" w:line="276" w:lineRule="auto"/>
              <w:ind w:firstLine="709"/>
              <w:jc w:val="both"/>
              <w:rPr>
                <w:rFonts w:ascii="Verdana" w:eastAsia="Calibri" w:hAnsi="Verdana" w:cs="Arial"/>
                <w:szCs w:val="24"/>
                <w:lang w:eastAsia="es-ES_tradnl"/>
              </w:rPr>
            </w:pPr>
            <w:r>
              <w:rPr>
                <w:rFonts w:ascii="Verdana" w:eastAsia="Calibri" w:hAnsi="Verdana" w:cs="Arial"/>
                <w:szCs w:val="24"/>
                <w:lang w:eastAsia="es-ES_tradnl"/>
              </w:rPr>
              <w:t>“</w:t>
            </w:r>
            <w:r w:rsidR="00911C6D">
              <w:rPr>
                <w:rFonts w:ascii="Verdana" w:eastAsia="Calibri" w:hAnsi="Verdana" w:cs="Arial"/>
                <w:szCs w:val="24"/>
                <w:lang w:eastAsia="es-ES_tradnl"/>
              </w:rPr>
              <w:t>S</w:t>
            </w:r>
            <w:r w:rsidR="00911C6D" w:rsidRPr="00DC2EFC">
              <w:rPr>
                <w:rFonts w:ascii="Verdana" w:eastAsia="Calibri" w:hAnsi="Verdana" w:cs="Arial"/>
                <w:szCs w:val="24"/>
                <w:lang w:eastAsia="es-ES_tradnl"/>
              </w:rPr>
              <w:t>i no se recibe ninguna solicitud de desactivación o de acceso a la cuenta de la persona fallecida, el usuario queda en la plataforma sin ningún cambio.</w:t>
            </w:r>
            <w:r>
              <w:rPr>
                <w:rFonts w:ascii="Verdana" w:eastAsia="Calibri" w:hAnsi="Verdana" w:cs="Arial"/>
                <w:szCs w:val="24"/>
                <w:lang w:eastAsia="es-ES_tradnl"/>
              </w:rPr>
              <w:t xml:space="preserve"> </w:t>
            </w:r>
            <w:r w:rsidR="00911C6D" w:rsidRPr="00DC2EFC">
              <w:rPr>
                <w:rFonts w:ascii="Verdana" w:eastAsia="Calibri" w:hAnsi="Verdana" w:cs="Arial"/>
                <w:szCs w:val="24"/>
                <w:lang w:eastAsia="es-ES_tradnl"/>
              </w:rPr>
              <w:t>El proceso lo debe de realizar un familiar directo, representante legal, o apoderado de los herederos y/o del propietario de la cuenta (Sus causahabientes o sus representantes legales; las entidades públicas o administrativas en ejercicio de sus funciones legales o por orden judicial; terceros autorizados por la ley).</w:t>
            </w:r>
            <w:r w:rsidR="005D6D89">
              <w:rPr>
                <w:rFonts w:ascii="Verdana" w:eastAsia="Calibri" w:hAnsi="Verdana" w:cs="Arial"/>
                <w:szCs w:val="24"/>
                <w:lang w:eastAsia="es-ES_tradnl"/>
              </w:rPr>
              <w:t xml:space="preserve"> </w:t>
            </w:r>
            <w:r w:rsidR="00911C6D" w:rsidRPr="00DC2EFC">
              <w:rPr>
                <w:rFonts w:ascii="Verdana" w:eastAsia="Calibri" w:hAnsi="Verdana" w:cs="Arial"/>
                <w:szCs w:val="24"/>
                <w:lang w:eastAsia="es-ES_tradnl"/>
              </w:rPr>
              <w:t>Enviar una carta firmada a través del </w:t>
            </w:r>
            <w:r w:rsidR="00911C6D" w:rsidRPr="00CB21F5">
              <w:rPr>
                <w:rFonts w:ascii="Verdana" w:eastAsia="Calibri" w:hAnsi="Verdana" w:cs="Arial"/>
                <w:szCs w:val="24"/>
                <w:lang w:eastAsia="es-ES_tradnl"/>
              </w:rPr>
              <w:t>canal de PQRSD</w:t>
            </w:r>
            <w:r w:rsidR="00911C6D" w:rsidRPr="00DC2EFC">
              <w:rPr>
                <w:rFonts w:ascii="Verdana" w:eastAsia="Calibri" w:hAnsi="Verdana" w:cs="Arial"/>
                <w:szCs w:val="24"/>
                <w:lang w:eastAsia="es-ES_tradnl"/>
              </w:rPr>
              <w:t>, con la siguiente información y documentos soporte:</w:t>
            </w:r>
          </w:p>
          <w:p w14:paraId="37F5670C" w14:textId="77777777" w:rsidR="00911C6D" w:rsidRPr="00DC2EFC" w:rsidRDefault="00911C6D" w:rsidP="002966F9">
            <w:pPr>
              <w:numPr>
                <w:ilvl w:val="0"/>
                <w:numId w:val="18"/>
              </w:numPr>
              <w:spacing w:before="120" w:after="120" w:line="276" w:lineRule="auto"/>
              <w:ind w:firstLine="709"/>
              <w:jc w:val="both"/>
              <w:rPr>
                <w:rFonts w:ascii="Verdana" w:eastAsia="Calibri" w:hAnsi="Verdana" w:cs="Arial"/>
                <w:szCs w:val="24"/>
                <w:lang w:eastAsia="es-ES_tradnl"/>
              </w:rPr>
            </w:pPr>
            <w:r w:rsidRPr="00DC2EFC">
              <w:rPr>
                <w:rFonts w:ascii="Verdana" w:eastAsia="Calibri" w:hAnsi="Verdana" w:cs="Arial"/>
                <w:szCs w:val="24"/>
                <w:lang w:eastAsia="es-ES_tradnl"/>
              </w:rPr>
              <w:t>Nombre de la persona fallecida.</w:t>
            </w:r>
          </w:p>
          <w:p w14:paraId="5C7F0835" w14:textId="77777777" w:rsidR="00911C6D" w:rsidRPr="00DC2EFC" w:rsidRDefault="00911C6D" w:rsidP="002966F9">
            <w:pPr>
              <w:numPr>
                <w:ilvl w:val="0"/>
                <w:numId w:val="18"/>
              </w:numPr>
              <w:spacing w:before="120" w:after="120" w:line="276" w:lineRule="auto"/>
              <w:ind w:firstLine="709"/>
              <w:jc w:val="both"/>
              <w:rPr>
                <w:rFonts w:ascii="Verdana" w:eastAsia="Calibri" w:hAnsi="Verdana" w:cs="Arial"/>
                <w:szCs w:val="24"/>
                <w:lang w:eastAsia="es-ES_tradnl"/>
              </w:rPr>
            </w:pPr>
            <w:r w:rsidRPr="00DC2EFC">
              <w:rPr>
                <w:rFonts w:ascii="Verdana" w:eastAsia="Calibri" w:hAnsi="Verdana" w:cs="Arial"/>
                <w:szCs w:val="24"/>
                <w:lang w:eastAsia="es-ES_tradnl"/>
              </w:rPr>
              <w:t>Usuario en plataforma (si lo tiene, no es obligatorio)</w:t>
            </w:r>
          </w:p>
          <w:p w14:paraId="106AB2B9" w14:textId="77777777" w:rsidR="00911C6D" w:rsidRPr="00DC2EFC" w:rsidRDefault="00911C6D" w:rsidP="002966F9">
            <w:pPr>
              <w:numPr>
                <w:ilvl w:val="0"/>
                <w:numId w:val="18"/>
              </w:numPr>
              <w:spacing w:before="120" w:after="120" w:line="276" w:lineRule="auto"/>
              <w:ind w:firstLine="709"/>
              <w:jc w:val="both"/>
              <w:rPr>
                <w:rFonts w:ascii="Verdana" w:eastAsia="Calibri" w:hAnsi="Verdana" w:cs="Arial"/>
                <w:szCs w:val="24"/>
                <w:lang w:eastAsia="es-ES_tradnl"/>
              </w:rPr>
            </w:pPr>
            <w:r w:rsidRPr="00DC2EFC">
              <w:rPr>
                <w:rFonts w:ascii="Verdana" w:eastAsia="Calibri" w:hAnsi="Verdana" w:cs="Arial"/>
                <w:szCs w:val="24"/>
                <w:lang w:eastAsia="es-ES_tradnl"/>
              </w:rPr>
              <w:t>Número de cedula de ciudadanía del usuario fallecido.</w:t>
            </w:r>
          </w:p>
          <w:p w14:paraId="68571209" w14:textId="77777777" w:rsidR="00911C6D" w:rsidRPr="00DC2EFC" w:rsidRDefault="00911C6D" w:rsidP="002966F9">
            <w:pPr>
              <w:numPr>
                <w:ilvl w:val="0"/>
                <w:numId w:val="18"/>
              </w:numPr>
              <w:spacing w:before="120" w:after="120" w:line="276" w:lineRule="auto"/>
              <w:ind w:firstLine="709"/>
              <w:jc w:val="both"/>
              <w:rPr>
                <w:rFonts w:ascii="Verdana" w:eastAsia="Calibri" w:hAnsi="Verdana" w:cs="Arial"/>
                <w:szCs w:val="24"/>
                <w:lang w:eastAsia="es-ES_tradnl"/>
              </w:rPr>
            </w:pPr>
            <w:r w:rsidRPr="00DC2EFC">
              <w:rPr>
                <w:rFonts w:ascii="Verdana" w:eastAsia="Calibri" w:hAnsi="Verdana" w:cs="Arial"/>
                <w:szCs w:val="24"/>
                <w:lang w:eastAsia="es-ES_tradnl"/>
              </w:rPr>
              <w:t>Fotocopia del documento de identidad de la persona fallecida. </w:t>
            </w:r>
          </w:p>
          <w:p w14:paraId="6F5BD143" w14:textId="77777777" w:rsidR="00911C6D" w:rsidRPr="00DC2EFC" w:rsidRDefault="00911C6D" w:rsidP="002966F9">
            <w:pPr>
              <w:numPr>
                <w:ilvl w:val="0"/>
                <w:numId w:val="19"/>
              </w:numPr>
              <w:spacing w:before="120" w:after="120" w:line="276" w:lineRule="auto"/>
              <w:ind w:firstLine="709"/>
              <w:jc w:val="both"/>
              <w:rPr>
                <w:rFonts w:ascii="Verdana" w:eastAsia="Calibri" w:hAnsi="Verdana" w:cs="Arial"/>
                <w:szCs w:val="24"/>
                <w:lang w:eastAsia="es-ES_tradnl"/>
              </w:rPr>
            </w:pPr>
            <w:r w:rsidRPr="00DC2EFC">
              <w:rPr>
                <w:rFonts w:ascii="Verdana" w:eastAsia="Calibri" w:hAnsi="Verdana" w:cs="Arial"/>
                <w:szCs w:val="24"/>
                <w:lang w:eastAsia="es-ES_tradnl"/>
              </w:rPr>
              <w:t>Así mismo, es importante que la persona que solicite la acción de deshabilitar/solicitar acceso a la cuenta, adjunte los siguientes documentos (según sea el caso, no todos los documentos aplican):</w:t>
            </w:r>
          </w:p>
          <w:p w14:paraId="3077EA0E" w14:textId="77777777" w:rsidR="00911C6D" w:rsidRPr="00DC2EFC" w:rsidRDefault="00911C6D" w:rsidP="002966F9">
            <w:pPr>
              <w:numPr>
                <w:ilvl w:val="0"/>
                <w:numId w:val="20"/>
              </w:numPr>
              <w:spacing w:before="120" w:after="120" w:line="276" w:lineRule="auto"/>
              <w:ind w:firstLine="709"/>
              <w:jc w:val="both"/>
              <w:rPr>
                <w:rFonts w:ascii="Verdana" w:eastAsia="Calibri" w:hAnsi="Verdana" w:cs="Arial"/>
                <w:szCs w:val="24"/>
                <w:lang w:eastAsia="es-ES_tradnl"/>
              </w:rPr>
            </w:pPr>
            <w:r w:rsidRPr="00DC2EFC">
              <w:rPr>
                <w:rFonts w:ascii="Verdana" w:eastAsia="Calibri" w:hAnsi="Verdana" w:cs="Arial"/>
                <w:szCs w:val="24"/>
                <w:lang w:eastAsia="es-ES_tradnl"/>
              </w:rPr>
              <w:lastRenderedPageBreak/>
              <w:t>Fotocopia de la cedula de ciudadanía y de registro o certificado de nacimiento que demuestre que se es familiar directo.</w:t>
            </w:r>
          </w:p>
          <w:p w14:paraId="035AF887" w14:textId="77777777" w:rsidR="00911C6D" w:rsidRPr="00DC2EFC" w:rsidRDefault="00911C6D" w:rsidP="002966F9">
            <w:pPr>
              <w:numPr>
                <w:ilvl w:val="0"/>
                <w:numId w:val="20"/>
              </w:numPr>
              <w:spacing w:before="120" w:after="120" w:line="276" w:lineRule="auto"/>
              <w:ind w:firstLine="709"/>
              <w:jc w:val="both"/>
              <w:rPr>
                <w:rFonts w:ascii="Verdana" w:eastAsia="Calibri" w:hAnsi="Verdana" w:cs="Arial"/>
                <w:szCs w:val="24"/>
                <w:lang w:eastAsia="es-ES_tradnl"/>
              </w:rPr>
            </w:pPr>
            <w:r w:rsidRPr="00DC2EFC">
              <w:rPr>
                <w:rFonts w:ascii="Verdana" w:eastAsia="Calibri" w:hAnsi="Verdana" w:cs="Arial"/>
                <w:szCs w:val="24"/>
                <w:lang w:eastAsia="es-ES_tradnl"/>
              </w:rPr>
              <w:t>Poder notarial y/o declaración de herederos.</w:t>
            </w:r>
          </w:p>
          <w:p w14:paraId="53FCF390" w14:textId="4A3A410E" w:rsidR="00911C6D" w:rsidRPr="00DC2EFC" w:rsidRDefault="000A0F44" w:rsidP="002966F9">
            <w:pPr>
              <w:numPr>
                <w:ilvl w:val="0"/>
                <w:numId w:val="20"/>
              </w:numPr>
              <w:spacing w:before="120" w:after="120" w:line="276" w:lineRule="auto"/>
              <w:ind w:firstLine="709"/>
              <w:jc w:val="both"/>
              <w:rPr>
                <w:rFonts w:ascii="Verdana" w:eastAsia="Calibri" w:hAnsi="Verdana" w:cs="Arial"/>
                <w:szCs w:val="24"/>
                <w:lang w:eastAsia="es-ES_tradnl"/>
              </w:rPr>
            </w:pPr>
            <w:r>
              <w:rPr>
                <w:rFonts w:ascii="Verdana" w:eastAsia="Calibri" w:hAnsi="Verdana" w:cs="Arial"/>
                <w:szCs w:val="24"/>
                <w:lang w:eastAsia="es-ES_tradnl"/>
              </w:rPr>
              <w:t xml:space="preserve">Registro Civil de Defunción </w:t>
            </w:r>
            <w:r w:rsidR="00911C6D" w:rsidRPr="00DC2EFC">
              <w:rPr>
                <w:rFonts w:ascii="Verdana" w:eastAsia="Calibri" w:hAnsi="Verdana" w:cs="Arial"/>
                <w:szCs w:val="24"/>
                <w:lang w:eastAsia="es-ES_tradnl"/>
              </w:rPr>
              <w:t xml:space="preserve">del </w:t>
            </w:r>
            <w:r>
              <w:rPr>
                <w:rFonts w:ascii="Verdana" w:eastAsia="Calibri" w:hAnsi="Verdana" w:cs="Arial"/>
                <w:szCs w:val="24"/>
                <w:lang w:eastAsia="es-ES_tradnl"/>
              </w:rPr>
              <w:t>contrati</w:t>
            </w:r>
            <w:r w:rsidR="005D6D89">
              <w:rPr>
                <w:rFonts w:ascii="Verdana" w:eastAsia="Calibri" w:hAnsi="Verdana" w:cs="Arial"/>
                <w:szCs w:val="24"/>
                <w:lang w:eastAsia="es-ES_tradnl"/>
              </w:rPr>
              <w:t>sta;</w:t>
            </w:r>
            <w:r w:rsidR="00911C6D" w:rsidRPr="00DC2EFC">
              <w:rPr>
                <w:rFonts w:ascii="Verdana" w:eastAsia="Calibri" w:hAnsi="Verdana" w:cs="Arial"/>
                <w:szCs w:val="24"/>
                <w:lang w:eastAsia="es-ES_tradnl"/>
              </w:rPr>
              <w:t xml:space="preserve"> </w:t>
            </w:r>
          </w:p>
          <w:p w14:paraId="2A18AEB6" w14:textId="77777777" w:rsidR="00911C6D" w:rsidRPr="00DC2EFC" w:rsidRDefault="00911C6D" w:rsidP="002966F9">
            <w:pPr>
              <w:numPr>
                <w:ilvl w:val="0"/>
                <w:numId w:val="20"/>
              </w:numPr>
              <w:spacing w:before="120" w:after="120" w:line="276" w:lineRule="auto"/>
              <w:ind w:firstLine="709"/>
              <w:jc w:val="both"/>
              <w:rPr>
                <w:rFonts w:ascii="Verdana" w:eastAsia="Calibri" w:hAnsi="Verdana" w:cs="Arial"/>
                <w:szCs w:val="24"/>
                <w:lang w:eastAsia="es-ES_tradnl"/>
              </w:rPr>
            </w:pPr>
            <w:r w:rsidRPr="00DC2EFC">
              <w:rPr>
                <w:rFonts w:ascii="Verdana" w:eastAsia="Calibri" w:hAnsi="Verdana" w:cs="Arial"/>
                <w:szCs w:val="24"/>
                <w:lang w:eastAsia="es-ES_tradnl"/>
              </w:rPr>
              <w:t>Dirección de correo electrónico de notificación. </w:t>
            </w:r>
          </w:p>
          <w:p w14:paraId="7DB14BEC" w14:textId="09A234D1" w:rsidR="00911C6D" w:rsidRPr="00DC2EFC" w:rsidRDefault="00911C6D" w:rsidP="002966F9">
            <w:pPr>
              <w:spacing w:before="120" w:after="120" w:line="276" w:lineRule="auto"/>
              <w:ind w:firstLine="709"/>
              <w:jc w:val="both"/>
              <w:rPr>
                <w:rFonts w:ascii="Verdana" w:eastAsia="Calibri" w:hAnsi="Verdana" w:cs="Arial"/>
                <w:szCs w:val="24"/>
                <w:lang w:eastAsia="es-ES_tradnl"/>
              </w:rPr>
            </w:pPr>
            <w:r w:rsidRPr="00CB21F5">
              <w:rPr>
                <w:rFonts w:ascii="Verdana" w:eastAsia="Calibri" w:hAnsi="Verdana" w:cs="Arial"/>
                <w:szCs w:val="24"/>
                <w:lang w:eastAsia="es-ES_tradnl"/>
              </w:rPr>
              <w:t>Nota:</w:t>
            </w:r>
            <w:r w:rsidR="005D6D89">
              <w:rPr>
                <w:rFonts w:ascii="Verdana" w:eastAsia="Calibri" w:hAnsi="Verdana" w:cs="Arial"/>
                <w:szCs w:val="24"/>
                <w:lang w:eastAsia="es-ES_tradnl"/>
              </w:rPr>
              <w:t xml:space="preserve"> </w:t>
            </w:r>
            <w:r w:rsidRPr="00DC2EFC">
              <w:rPr>
                <w:rFonts w:ascii="Verdana" w:eastAsia="Calibri" w:hAnsi="Verdana" w:cs="Arial"/>
                <w:szCs w:val="24"/>
                <w:lang w:eastAsia="es-ES_tradnl"/>
              </w:rPr>
              <w:t>La información de la documentación que se nos proporcione debe coincidir con la información en la cuenta del ser querido.</w:t>
            </w:r>
            <w:r w:rsidR="005D6D89">
              <w:rPr>
                <w:rFonts w:ascii="Verdana" w:eastAsia="Calibri" w:hAnsi="Verdana" w:cs="Arial"/>
                <w:szCs w:val="24"/>
                <w:lang w:eastAsia="es-ES_tradnl"/>
              </w:rPr>
              <w:t xml:space="preserve"> </w:t>
            </w:r>
            <w:r w:rsidRPr="00DC2EFC">
              <w:rPr>
                <w:rFonts w:ascii="Verdana" w:eastAsia="Calibri" w:hAnsi="Verdana" w:cs="Arial"/>
                <w:szCs w:val="24"/>
                <w:lang w:eastAsia="es-ES_tradnl"/>
              </w:rPr>
              <w:t>Cuando se envíe la documentación, las personas puedes ocultar o cubrir toda la información que no sea necesaria para cumplir con tu solicitud (por ejemplo, el número de la seguridad social u otros datos).”</w:t>
            </w:r>
          </w:p>
          <w:p w14:paraId="15BA8ACF" w14:textId="77777777" w:rsidR="00911C6D" w:rsidRPr="00FB2629" w:rsidRDefault="00911C6D" w:rsidP="007E51D4">
            <w:pPr>
              <w:spacing w:line="276" w:lineRule="auto"/>
              <w:ind w:firstLine="709"/>
              <w:jc w:val="both"/>
              <w:rPr>
                <w:rFonts w:ascii="Verdana" w:eastAsia="Times New Roman" w:hAnsi="Verdana" w:cs="Times New Roman"/>
                <w:lang w:eastAsia="es-ES"/>
              </w:rPr>
            </w:pPr>
            <w:r w:rsidRPr="00F46E3D">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F46E3D">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35E1A2D0" w14:textId="77777777" w:rsidR="00911C6D" w:rsidRPr="00835586" w:rsidRDefault="00911C6D" w:rsidP="00911C6D">
      <w:pPr>
        <w:tabs>
          <w:tab w:val="left" w:pos="142"/>
          <w:tab w:val="left" w:pos="284"/>
        </w:tabs>
        <w:spacing w:after="0" w:line="276" w:lineRule="auto"/>
        <w:jc w:val="both"/>
        <w:rPr>
          <w:rFonts w:ascii="Verdana" w:eastAsia="Century Gothic" w:hAnsi="Verdana" w:cs="Century Gothic"/>
          <w:b/>
          <w:bCs/>
          <w:color w:val="806000" w:themeColor="accent4" w:themeShade="80"/>
          <w:lang w:val="es-ES"/>
        </w:rPr>
      </w:pPr>
    </w:p>
    <w:p w14:paraId="2C2FD01E" w14:textId="77777777" w:rsidR="00911C6D" w:rsidRPr="00B70560" w:rsidRDefault="00911C6D" w:rsidP="00911C6D">
      <w:pPr>
        <w:tabs>
          <w:tab w:val="left" w:pos="142"/>
          <w:tab w:val="left" w:pos="284"/>
        </w:tabs>
        <w:spacing w:after="0" w:line="276" w:lineRule="auto"/>
        <w:jc w:val="both"/>
        <w:rPr>
          <w:rFonts w:ascii="Verdana" w:eastAsia="Century Gothic" w:hAnsi="Verdana" w:cs="Century Gothic"/>
          <w:b/>
          <w:lang w:val="es-ES"/>
        </w:rPr>
      </w:pPr>
      <w:r w:rsidRPr="00B70560">
        <w:rPr>
          <w:rFonts w:ascii="Verdana" w:eastAsia="Century Gothic" w:hAnsi="Verdana" w:cs="Century Gothic"/>
          <w:b/>
          <w:lang w:val="es-ES"/>
        </w:rPr>
        <w:t>3. Razones de la respuesta:</w:t>
      </w:r>
    </w:p>
    <w:p w14:paraId="414FDE79" w14:textId="77777777" w:rsidR="00911C6D" w:rsidRPr="00835586" w:rsidRDefault="00911C6D" w:rsidP="00911C6D">
      <w:pPr>
        <w:tabs>
          <w:tab w:val="left" w:pos="142"/>
          <w:tab w:val="left" w:pos="284"/>
        </w:tabs>
        <w:spacing w:after="0" w:line="276" w:lineRule="auto"/>
        <w:jc w:val="both"/>
        <w:rPr>
          <w:rFonts w:ascii="Verdana" w:eastAsia="Century Gothic" w:hAnsi="Verdana" w:cs="Century Gothic"/>
          <w:b/>
          <w:color w:val="806000" w:themeColor="accent4" w:themeShade="80"/>
          <w:lang w:val="es-ES"/>
        </w:rPr>
      </w:pPr>
    </w:p>
    <w:p w14:paraId="30169E0D" w14:textId="77777777" w:rsidR="00911C6D" w:rsidRPr="00CB21F5" w:rsidRDefault="00911C6D" w:rsidP="00911C6D">
      <w:pPr>
        <w:spacing w:after="0" w:line="276" w:lineRule="auto"/>
        <w:jc w:val="both"/>
        <w:rPr>
          <w:rFonts w:ascii="Verdana" w:eastAsia="Calibri" w:hAnsi="Verdana" w:cs="Arial"/>
          <w:lang w:val="es-ES"/>
        </w:rPr>
      </w:pPr>
      <w:r w:rsidRPr="00CB21F5">
        <w:rPr>
          <w:rFonts w:ascii="Verdana" w:eastAsia="Calibri" w:hAnsi="Verdana" w:cs="Arial"/>
          <w:lang w:val="es-ES"/>
        </w:rPr>
        <w:t>Lo anterior se sustenta en las siguientes consideraciones:</w:t>
      </w:r>
    </w:p>
    <w:p w14:paraId="6EBA273F" w14:textId="77777777" w:rsidR="00911C6D" w:rsidRPr="00835586" w:rsidRDefault="00911C6D" w:rsidP="00911C6D">
      <w:pPr>
        <w:spacing w:after="0" w:line="276" w:lineRule="auto"/>
        <w:jc w:val="both"/>
        <w:rPr>
          <w:rFonts w:ascii="Verdana" w:eastAsia="Calibri" w:hAnsi="Verdana" w:cs="Arial"/>
          <w:color w:val="806000" w:themeColor="accent4" w:themeShade="80"/>
          <w:lang w:val="es-ES"/>
        </w:rPr>
      </w:pPr>
    </w:p>
    <w:p w14:paraId="76808382" w14:textId="77777777" w:rsidR="00911C6D" w:rsidRPr="00E27DD2" w:rsidRDefault="00911C6D" w:rsidP="00911C6D">
      <w:pPr>
        <w:tabs>
          <w:tab w:val="left" w:pos="426"/>
        </w:tabs>
        <w:spacing w:after="120" w:line="276" w:lineRule="auto"/>
        <w:jc w:val="both"/>
        <w:rPr>
          <w:rFonts w:ascii="Verdana" w:eastAsia="Calibri" w:hAnsi="Verdana" w:cs="Arial"/>
          <w:lang w:val="es-ES"/>
        </w:rPr>
      </w:pPr>
      <w:bookmarkStart w:id="1" w:name="_Hlk102983874"/>
      <w:bookmarkStart w:id="2" w:name="_Hlk102388095"/>
      <w:r w:rsidRPr="00E27DD2">
        <w:rPr>
          <w:rFonts w:ascii="Verdana" w:eastAsia="Calibri" w:hAnsi="Verdana" w:cs="Arial"/>
          <w:lang w:val="es-ES"/>
        </w:rPr>
        <w:t>i)</w:t>
      </w:r>
      <w:r w:rsidRPr="00E27DD2">
        <w:rPr>
          <w:rFonts w:ascii="Verdana" w:eastAsia="Verdana" w:hAnsi="Verdana" w:cs="Verdana"/>
          <w:lang w:val="es-ES"/>
        </w:rPr>
        <w:t xml:space="preserve"> </w:t>
      </w:r>
      <w:r w:rsidRPr="00E27DD2">
        <w:rPr>
          <w:rFonts w:ascii="Verdana" w:eastAsia="Calibri" w:hAnsi="Verdana" w:cs="Arial"/>
          <w:lang w:val="es-ES"/>
        </w:rPr>
        <w:t xml:space="preserve">El artículo 3 de la Ley 80 de 1993 dispone que en la celebración de los contratos y en la ejecución de estos, las entidades y los servidores públicos deben tener en cuenta el cumplimiento de los fines estatales, la continua y eficiente prestación de los servicios públicos y la efectividad de los derechos e intereses de los administrados que colaboran con ellas en la consecución de dichos fines. Los particulares, por su parte, también deben contribuir al logro y </w:t>
      </w:r>
      <w:r w:rsidRPr="00E27DD2">
        <w:rPr>
          <w:rFonts w:ascii="Verdana" w:eastAsia="Calibri" w:hAnsi="Verdana" w:cs="Arial"/>
          <w:lang w:val="es-ES"/>
        </w:rPr>
        <w:lastRenderedPageBreak/>
        <w:t>satisfacción del interés general, cumpliendo de esta forma una función social en desarrollo de sus obligaciones contractuales como colaboradores del Estado.</w:t>
      </w:r>
    </w:p>
    <w:p w14:paraId="3B421A86" w14:textId="77777777" w:rsidR="00911C6D" w:rsidRDefault="00911C6D" w:rsidP="00911C6D">
      <w:pPr>
        <w:spacing w:before="120" w:after="120" w:line="276" w:lineRule="auto"/>
        <w:ind w:firstLine="709"/>
        <w:jc w:val="both"/>
        <w:rPr>
          <w:rFonts w:ascii="Verdana" w:hAnsi="Verdana" w:cs="Arial"/>
          <w:color w:val="000000" w:themeColor="text1"/>
          <w:lang w:val="es-MX"/>
        </w:rPr>
      </w:pPr>
      <w:r w:rsidRPr="001119CA">
        <w:rPr>
          <w:rFonts w:ascii="Verdana" w:hAnsi="Verdana" w:cs="Arial"/>
          <w:color w:val="000000" w:themeColor="text1"/>
          <w:lang w:val="es-MX"/>
        </w:rPr>
        <w:t>Para el cumplimiento de los fines de la contratación, las entidades estatales tendrán la dirección general y la responsabilidad de ejercer el control y vigilancia de la ejecución del contrato. En consecuencia, en el marco de lo señalado en el artículo 14 de la Ley 80 de 1993 y con el único objeto de evitar la paralización o la afectación grave de los servicios públicos y asegurar la inmediata, continua y adecuada prestación de los mismos, dichas entidades podrán interpretar los documentos contractuales y las estipulaciones en ellos contenidas, introducir modificaciones a lo pactado y, cuando las condiciones particulares de la prestación así lo exijan, terminar unilateralmente el contrato celebrado.</w:t>
      </w:r>
    </w:p>
    <w:p w14:paraId="720049BD" w14:textId="77777777" w:rsidR="00911C6D" w:rsidRPr="001119CA" w:rsidRDefault="00911C6D" w:rsidP="00911C6D">
      <w:pPr>
        <w:spacing w:before="120" w:after="120" w:line="276" w:lineRule="auto"/>
        <w:ind w:firstLine="709"/>
        <w:jc w:val="both"/>
        <w:rPr>
          <w:rFonts w:ascii="Verdana" w:hAnsi="Verdana" w:cs="Arial"/>
          <w:color w:val="000000" w:themeColor="text1"/>
          <w:lang w:val="es-MX"/>
        </w:rPr>
      </w:pPr>
      <w:r w:rsidRPr="001119CA">
        <w:rPr>
          <w:rFonts w:ascii="Verdana" w:hAnsi="Verdana" w:cs="Arial"/>
          <w:color w:val="000000" w:themeColor="text1"/>
          <w:lang w:val="es-MX"/>
        </w:rPr>
        <w:t xml:space="preserve">Es decir, las entidades estatales pueden usar estas potestades “[…] como manifestación de su </w:t>
      </w:r>
      <w:r w:rsidRPr="001119CA">
        <w:rPr>
          <w:rFonts w:ascii="Verdana" w:hAnsi="Verdana" w:cs="Arial"/>
          <w:i/>
          <w:iCs/>
          <w:color w:val="000000" w:themeColor="text1"/>
          <w:lang w:val="es-MX"/>
        </w:rPr>
        <w:t xml:space="preserve">imperium </w:t>
      </w:r>
      <w:r w:rsidRPr="001119CA">
        <w:rPr>
          <w:rFonts w:ascii="Verdana" w:hAnsi="Verdana" w:cs="Arial"/>
          <w:color w:val="000000" w:themeColor="text1"/>
          <w:lang w:val="es-MX"/>
        </w:rPr>
        <w:t>o poder de Estado, que se concreta en el poder jurídico para imponer coactivamente su voluntad, lo cual debe matizarse, dado que estás prerrogativas solo podrán ser ejercidas en las situaciones en las situaciones de hecho previamente establecidas por la ley y dentro de los limites señalados por la misma”</w:t>
      </w:r>
      <w:r w:rsidRPr="0071334E">
        <w:rPr>
          <w:vertAlign w:val="superscript"/>
          <w:lang w:val="es-MX"/>
        </w:rPr>
        <w:footnoteReference w:id="1"/>
      </w:r>
      <w:r w:rsidRPr="001119CA">
        <w:rPr>
          <w:rFonts w:ascii="Verdana" w:hAnsi="Verdana" w:cs="Arial"/>
          <w:color w:val="000000" w:themeColor="text1"/>
          <w:lang w:val="es-MX"/>
        </w:rPr>
        <w:t xml:space="preserve">.  </w:t>
      </w:r>
    </w:p>
    <w:p w14:paraId="1019C74E" w14:textId="77777777" w:rsidR="00911C6D" w:rsidRPr="001119CA" w:rsidRDefault="00911C6D" w:rsidP="00911C6D">
      <w:pPr>
        <w:spacing w:before="120" w:after="120" w:line="276" w:lineRule="auto"/>
        <w:ind w:firstLine="709"/>
        <w:jc w:val="both"/>
        <w:rPr>
          <w:rFonts w:ascii="Verdana" w:hAnsi="Verdana" w:cs="Arial"/>
          <w:color w:val="000000" w:themeColor="text1"/>
          <w:lang w:val="es-MX"/>
        </w:rPr>
      </w:pPr>
      <w:r w:rsidRPr="001119CA">
        <w:rPr>
          <w:rFonts w:ascii="Verdana" w:hAnsi="Verdana" w:cs="Arial"/>
          <w:color w:val="000000" w:themeColor="text1"/>
          <w:lang w:val="es-MX"/>
        </w:rPr>
        <w:t>En lo relacionado con las cláusulas excepcionales al derecho común de terminación, interpretación y modificación unilaterales, el numeral 2 del mencionado artículo 14 regula su ejercicio en atención al tipo de contrato de que se trate. En la exposición de motivos de la Ley 80 de 1993</w:t>
      </w:r>
      <w:r w:rsidRPr="0071334E">
        <w:rPr>
          <w:vertAlign w:val="superscript"/>
          <w:lang w:val="es-MX"/>
        </w:rPr>
        <w:footnoteReference w:id="2"/>
      </w:r>
      <w:r w:rsidRPr="001119CA">
        <w:rPr>
          <w:rFonts w:ascii="Verdana" w:hAnsi="Verdana" w:cs="Arial"/>
          <w:color w:val="000000" w:themeColor="text1"/>
          <w:lang w:val="es-MX"/>
        </w:rPr>
        <w:t xml:space="preserve"> se establece que la administración debe estar dotada de mecanismos eficaces, así fueren excepcionales, que contribuyan a la adecuada realización de la finalidad contractual y de los fines estatales. Es por eso por lo que, cuando se presenten circunstancias que amenacen la paralización de los servicios, las entidades públicas pueden tomar medidas que conduzcan a garantizar la continua y adecuada prestación del servicio, con fundamento en la prevalencia del interés público sobre el particular.</w:t>
      </w:r>
    </w:p>
    <w:p w14:paraId="47FFC7B0" w14:textId="77777777" w:rsidR="00911C6D" w:rsidRDefault="00911C6D" w:rsidP="00911C6D">
      <w:pPr>
        <w:spacing w:before="120" w:after="120" w:line="276" w:lineRule="auto"/>
        <w:ind w:firstLine="709"/>
        <w:jc w:val="both"/>
        <w:rPr>
          <w:rFonts w:ascii="Verdana" w:hAnsi="Verdana" w:cs="Arial"/>
          <w:color w:val="000000" w:themeColor="text1"/>
          <w:lang w:val="es-MX"/>
        </w:rPr>
      </w:pPr>
      <w:r w:rsidRPr="001119CA">
        <w:rPr>
          <w:rFonts w:ascii="Verdana" w:hAnsi="Verdana" w:cs="Arial"/>
          <w:color w:val="000000" w:themeColor="text1"/>
          <w:lang w:val="es-MX"/>
        </w:rPr>
        <w:t xml:space="preserve">En este sentido, los motivos aducidos por la entidad estatal para ejercer las cláusulas excepcionales deben ser graves, ya que no cualquier hecho puede provocarla pues son inescindibles al interés general, sin que se pueda </w:t>
      </w:r>
      <w:r w:rsidRPr="001119CA">
        <w:rPr>
          <w:rFonts w:ascii="Verdana" w:hAnsi="Verdana" w:cs="Arial"/>
          <w:color w:val="000000" w:themeColor="text1"/>
          <w:lang w:val="es-MX"/>
        </w:rPr>
        <w:lastRenderedPageBreak/>
        <w:t>desconocer las compensaciones e indemnizaciones a que tendrán derecho las personas objeto de tales medidas, traducida en la contraprestación necesaria para mantener la igualdad contractual.</w:t>
      </w:r>
    </w:p>
    <w:p w14:paraId="3A9C884C" w14:textId="77777777" w:rsidR="00911C6D" w:rsidRPr="001119CA" w:rsidRDefault="00911C6D" w:rsidP="00911C6D">
      <w:pPr>
        <w:spacing w:before="120" w:after="120" w:line="276" w:lineRule="auto"/>
        <w:jc w:val="both"/>
        <w:rPr>
          <w:rFonts w:ascii="Verdana" w:hAnsi="Verdana" w:cs="Arial"/>
          <w:color w:val="000000" w:themeColor="text1"/>
          <w:lang w:val="es-MX"/>
        </w:rPr>
      </w:pPr>
      <w:r>
        <w:rPr>
          <w:rFonts w:ascii="Verdana" w:hAnsi="Verdana" w:cs="Arial"/>
          <w:color w:val="000000" w:themeColor="text1"/>
          <w:lang w:val="es-MX"/>
        </w:rPr>
        <w:t>ii) Con respecto</w:t>
      </w:r>
      <w:r w:rsidRPr="001119CA">
        <w:rPr>
          <w:rFonts w:ascii="Verdana" w:hAnsi="Verdana" w:cs="Arial"/>
          <w:color w:val="000000" w:themeColor="text1"/>
          <w:lang w:val="es-MX"/>
        </w:rPr>
        <w:t xml:space="preserve"> a la terminación unilateral del contrato, si bien la ley otorga a las entidades públicas la potestad de actuar en ejercicio de una facultad exorbitante, les impone el cumplimiento de presupuestos de forzosa aplicación y a la vez restringe la medida a los eventos previstos en la misma. Efectivamente, para declarar la terminación unilateral se requiere i) que la manifestación de la voluntad de la administración se materialice en un acto administrativo, ii) que dicho acto debe ser el resultado de un análisis soportado en la realidad del contrato, es decir, debe estar debidamente motivado y iii) que la causal que se alegue en la decisión se encuentre enmarcada en los eventos que la ley ha dispuesto.</w:t>
      </w:r>
    </w:p>
    <w:p w14:paraId="2225B1E3" w14:textId="77777777" w:rsidR="00911C6D" w:rsidRDefault="00911C6D" w:rsidP="00911C6D">
      <w:pPr>
        <w:tabs>
          <w:tab w:val="left" w:pos="709"/>
        </w:tabs>
        <w:spacing w:before="120" w:after="0" w:line="276" w:lineRule="auto"/>
        <w:ind w:right="51" w:firstLine="709"/>
        <w:jc w:val="both"/>
        <w:rPr>
          <w:rFonts w:ascii="Verdana" w:hAnsi="Verdana" w:cs="Arial"/>
          <w:color w:val="000000" w:themeColor="text1"/>
          <w:lang w:val="es-MX"/>
        </w:rPr>
      </w:pPr>
      <w:r>
        <w:rPr>
          <w:rFonts w:ascii="Verdana" w:hAnsi="Verdana" w:cs="Arial"/>
          <w:color w:val="000000" w:themeColor="text1"/>
          <w:lang w:val="es-MX"/>
        </w:rPr>
        <w:t>Ahora bien, teniendo en cuenta el contenido de su consulta, e</w:t>
      </w:r>
      <w:r w:rsidRPr="001119CA">
        <w:rPr>
          <w:rFonts w:ascii="Verdana" w:hAnsi="Verdana" w:cs="Arial"/>
          <w:color w:val="000000" w:themeColor="text1"/>
          <w:lang w:val="es-MX"/>
        </w:rPr>
        <w:t>l artículo 17 de la Ley 80 de 1993 establece expresamente en que eventos procede la terminación unilateral del contrato. Al efecto, la norma establece las siguientes causales:</w:t>
      </w:r>
    </w:p>
    <w:p w14:paraId="1B2628FC" w14:textId="77777777" w:rsidR="00911C6D" w:rsidRPr="001119CA" w:rsidRDefault="00911C6D" w:rsidP="00911C6D">
      <w:pPr>
        <w:tabs>
          <w:tab w:val="left" w:pos="709"/>
        </w:tabs>
        <w:spacing w:before="120" w:after="0" w:line="276" w:lineRule="auto"/>
        <w:ind w:right="51" w:firstLine="709"/>
        <w:jc w:val="both"/>
        <w:rPr>
          <w:rFonts w:ascii="Verdana" w:hAnsi="Verdana" w:cs="Arial"/>
          <w:color w:val="000000" w:themeColor="text1"/>
          <w:lang w:val="es-MX"/>
        </w:rPr>
      </w:pPr>
    </w:p>
    <w:p w14:paraId="21FF0505" w14:textId="77777777" w:rsidR="00911C6D"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r>
        <w:rPr>
          <w:rFonts w:ascii="Verdana" w:hAnsi="Verdana" w:cs="Arial"/>
          <w:color w:val="000000"/>
          <w:sz w:val="20"/>
          <w:szCs w:val="20"/>
          <w:lang w:val="es-MX" w:eastAsia="es-CO"/>
        </w:rPr>
        <w:t>“</w:t>
      </w:r>
      <w:r w:rsidRPr="0071334E">
        <w:rPr>
          <w:rFonts w:ascii="Verdana" w:hAnsi="Verdana" w:cs="Arial"/>
          <w:color w:val="000000"/>
          <w:sz w:val="20"/>
          <w:szCs w:val="20"/>
          <w:lang w:val="es-MX" w:eastAsia="es-CO"/>
        </w:rPr>
        <w:t>Artículo 17. De la terminación unilateral</w:t>
      </w:r>
      <w:r w:rsidRPr="0071334E">
        <w:rPr>
          <w:rFonts w:ascii="Verdana" w:hAnsi="Verdana" w:cs="Arial"/>
          <w:b/>
          <w:bCs/>
          <w:color w:val="000000"/>
          <w:sz w:val="20"/>
          <w:szCs w:val="20"/>
          <w:lang w:val="es-MX" w:eastAsia="es-CO"/>
        </w:rPr>
        <w:t>.</w:t>
      </w:r>
      <w:r w:rsidRPr="0071334E">
        <w:rPr>
          <w:rFonts w:ascii="Verdana" w:hAnsi="Verdana" w:cs="Arial"/>
          <w:color w:val="000000"/>
          <w:sz w:val="20"/>
          <w:szCs w:val="20"/>
          <w:lang w:val="es-MX" w:eastAsia="es-CO"/>
        </w:rPr>
        <w:t> La entidad en acto administrativo debidamente motivado dispondrá la terminación anticipada del contrato en los siguientes eventos: </w:t>
      </w:r>
    </w:p>
    <w:p w14:paraId="4F705081" w14:textId="77777777" w:rsidR="00911C6D" w:rsidRPr="0071334E"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p>
    <w:p w14:paraId="22CD4DD7" w14:textId="77777777" w:rsidR="00911C6D"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1o. Cuando las exigencias del servicio público lo requieran o la situación de orden público lo imponga. </w:t>
      </w:r>
    </w:p>
    <w:p w14:paraId="392FF6F0" w14:textId="77777777" w:rsidR="00911C6D" w:rsidRPr="00DA2C89"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p>
    <w:p w14:paraId="00213A1F" w14:textId="77777777" w:rsidR="00911C6D" w:rsidRPr="0071334E" w:rsidRDefault="00911C6D" w:rsidP="00911C6D">
      <w:pPr>
        <w:pStyle w:val="Prrafodelista"/>
        <w:tabs>
          <w:tab w:val="left" w:pos="709"/>
        </w:tabs>
        <w:spacing w:after="0" w:line="240" w:lineRule="auto"/>
        <w:ind w:left="709" w:right="709"/>
        <w:jc w:val="both"/>
        <w:rPr>
          <w:rFonts w:ascii="Verdana" w:hAnsi="Verdana" w:cs="Arial"/>
          <w:i/>
          <w:iCs/>
          <w:color w:val="000000"/>
          <w:sz w:val="20"/>
          <w:szCs w:val="20"/>
          <w:u w:val="single"/>
          <w:lang w:val="es-MX" w:eastAsia="es-CO"/>
        </w:rPr>
      </w:pPr>
      <w:r w:rsidRPr="0071334E">
        <w:rPr>
          <w:rFonts w:ascii="Verdana" w:hAnsi="Verdana" w:cs="Arial"/>
          <w:i/>
          <w:iCs/>
          <w:color w:val="000000"/>
          <w:sz w:val="20"/>
          <w:szCs w:val="20"/>
          <w:u w:val="single"/>
          <w:lang w:val="es-MX" w:eastAsia="es-CO"/>
        </w:rPr>
        <w:t>2o. Por muerte o incapacidad física permanente del contratista, si es persona natural, o por disolución de la persona jurídica del contratista. </w:t>
      </w:r>
    </w:p>
    <w:p w14:paraId="15BF5E14" w14:textId="77777777" w:rsidR="00911C6D"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p>
    <w:p w14:paraId="6988DC30" w14:textId="77777777" w:rsidR="00911C6D" w:rsidRPr="0071334E"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3o. Por interdicción judicial o declaración de quiebra del contratista. </w:t>
      </w:r>
    </w:p>
    <w:p w14:paraId="42740B1D" w14:textId="77777777" w:rsidR="00911C6D"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p>
    <w:p w14:paraId="78DB363E" w14:textId="77777777" w:rsidR="00911C6D" w:rsidRPr="0071334E"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4o. Por cesación de pagos, concurso de acreedores o embargos judiciales del contratista que afecten de manera grave el cumplimiento del contrato. </w:t>
      </w:r>
    </w:p>
    <w:p w14:paraId="0CBCD925" w14:textId="77777777" w:rsidR="00911C6D"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p>
    <w:p w14:paraId="43E31438" w14:textId="77777777" w:rsidR="00911C6D"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Sin embargo, en los casos a que se refieren los numerales 2o. y 3o. de este artículo podrá continuarse la ejecución con el garante de la obligación. </w:t>
      </w:r>
    </w:p>
    <w:p w14:paraId="798B6F86" w14:textId="77777777" w:rsidR="00911C6D" w:rsidRPr="0071334E"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p>
    <w:p w14:paraId="754256F2" w14:textId="77777777" w:rsidR="00911C6D"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 xml:space="preserve">La iniciación de trámite concordatario no dará lugar a la declaratoria de terminación unilateral. En tal evento la ejecución se hará con sujeción a las normas sobre administración de negocios del deudor en concordato. </w:t>
      </w:r>
    </w:p>
    <w:p w14:paraId="0D0E7814" w14:textId="77777777" w:rsidR="00911C6D"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p>
    <w:p w14:paraId="7F215BF9" w14:textId="77777777" w:rsidR="00911C6D" w:rsidRDefault="00911C6D" w:rsidP="00911C6D">
      <w:pPr>
        <w:pStyle w:val="Prrafodelista"/>
        <w:tabs>
          <w:tab w:val="left" w:pos="709"/>
        </w:tabs>
        <w:spacing w:after="0" w:line="240" w:lineRule="auto"/>
        <w:ind w:left="709" w:right="709"/>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La entidad dispondrá las medidas de inspección, control y vigilancia necesarias para asegurar el cumplimiento del objeto contractual e impedir la paralización del servicio.</w:t>
      </w:r>
      <w:r>
        <w:rPr>
          <w:rFonts w:ascii="Verdana" w:hAnsi="Verdana" w:cs="Arial"/>
          <w:color w:val="000000"/>
          <w:sz w:val="20"/>
          <w:szCs w:val="20"/>
          <w:lang w:val="es-MX" w:eastAsia="es-CO"/>
        </w:rPr>
        <w:t>”</w:t>
      </w:r>
    </w:p>
    <w:p w14:paraId="3DD24EF3" w14:textId="77777777" w:rsidR="00911C6D" w:rsidRDefault="00911C6D" w:rsidP="00911C6D">
      <w:pPr>
        <w:pStyle w:val="Prrafodelista"/>
        <w:tabs>
          <w:tab w:val="left" w:pos="709"/>
        </w:tabs>
        <w:spacing w:after="0"/>
        <w:ind w:left="709" w:right="709"/>
        <w:jc w:val="both"/>
        <w:rPr>
          <w:rFonts w:ascii="Verdana" w:hAnsi="Verdana" w:cs="Arial"/>
          <w:color w:val="000000"/>
          <w:sz w:val="20"/>
          <w:szCs w:val="20"/>
          <w:lang w:val="es-MX" w:eastAsia="es-CO"/>
        </w:rPr>
      </w:pPr>
    </w:p>
    <w:p w14:paraId="482BA4E8" w14:textId="77777777" w:rsidR="00911C6D" w:rsidRDefault="00911C6D" w:rsidP="00911C6D">
      <w:pPr>
        <w:spacing w:after="0" w:line="276" w:lineRule="auto"/>
        <w:ind w:firstLine="709"/>
        <w:jc w:val="both"/>
        <w:rPr>
          <w:rFonts w:ascii="Verdana" w:hAnsi="Verdana" w:cs="Arial"/>
          <w:color w:val="000000" w:themeColor="text1"/>
          <w:lang w:val="es-MX"/>
        </w:rPr>
      </w:pPr>
      <w:r w:rsidRPr="000A7286">
        <w:rPr>
          <w:rFonts w:ascii="Verdana" w:hAnsi="Verdana" w:cs="Arial"/>
          <w:color w:val="000000" w:themeColor="text1"/>
          <w:lang w:val="es-MX"/>
        </w:rPr>
        <w:t>Esta figura no tiene como finalidad sancionar al contratista, sino que se encuentra dirigida a evitar la paralización del contrato estatal y garantizar su correcta ejecución. La doctrina ha considerado que “[…] el artículo 17 de la Ley 80 de 1993 consagra, en virtud del principio de legalidad regente para toda la actividad administrativa, la potestad de las entidades estatales de finiquitar la relación contractual con su contratista a partir de la configuración de cualquiera de las causales expresadas en dicha norma […]”</w:t>
      </w:r>
      <w:r w:rsidRPr="003407E1">
        <w:rPr>
          <w:rFonts w:ascii="Verdana" w:hAnsi="Verdana"/>
          <w:vertAlign w:val="superscript"/>
          <w:lang w:val="es-MX"/>
        </w:rPr>
        <w:footnoteReference w:id="3"/>
      </w:r>
      <w:r w:rsidRPr="000A7286">
        <w:rPr>
          <w:rFonts w:ascii="Verdana" w:hAnsi="Verdana" w:cs="Arial"/>
          <w:color w:val="000000" w:themeColor="text1"/>
          <w:lang w:val="es-MX"/>
        </w:rPr>
        <w:t>. En igual sentido</w:t>
      </w:r>
      <w:r w:rsidRPr="001119CA">
        <w:rPr>
          <w:rFonts w:ascii="Verdana" w:hAnsi="Verdana" w:cs="Arial"/>
          <w:color w:val="000000" w:themeColor="text1"/>
          <w:lang w:val="es-MX"/>
        </w:rPr>
        <w:t xml:space="preserve"> lo ha reconocido el Consejo de Estado al poner de presente que: </w:t>
      </w:r>
    </w:p>
    <w:p w14:paraId="4D622FF2" w14:textId="77777777" w:rsidR="00911C6D" w:rsidRPr="001119CA" w:rsidRDefault="00911C6D" w:rsidP="00911C6D">
      <w:pPr>
        <w:spacing w:after="0" w:line="276" w:lineRule="auto"/>
        <w:ind w:firstLine="709"/>
        <w:jc w:val="both"/>
        <w:rPr>
          <w:rFonts w:ascii="Verdana" w:hAnsi="Verdana" w:cs="Arial"/>
          <w:color w:val="000000" w:themeColor="text1"/>
          <w:lang w:val="es-MX"/>
        </w:rPr>
      </w:pPr>
    </w:p>
    <w:p w14:paraId="4AD644AF" w14:textId="77777777" w:rsidR="00911C6D" w:rsidRDefault="00911C6D" w:rsidP="00911C6D">
      <w:pPr>
        <w:pStyle w:val="Prrafodelista"/>
        <w:spacing w:after="0" w:line="240" w:lineRule="auto"/>
        <w:ind w:left="709" w:right="709"/>
        <w:contextualSpacing w:val="0"/>
        <w:jc w:val="both"/>
        <w:rPr>
          <w:rFonts w:ascii="Verdana" w:eastAsia="Times New Roman" w:hAnsi="Verdana" w:cs="Arial"/>
          <w:sz w:val="20"/>
          <w:szCs w:val="20"/>
          <w:lang w:eastAsia="es-CO"/>
        </w:rPr>
      </w:pPr>
      <w:r>
        <w:rPr>
          <w:rFonts w:ascii="Verdana" w:eastAsia="Times New Roman" w:hAnsi="Verdana" w:cs="Arial"/>
          <w:sz w:val="20"/>
          <w:szCs w:val="20"/>
          <w:lang w:eastAsia="es-CO"/>
        </w:rPr>
        <w:t>“</w:t>
      </w:r>
      <w:r w:rsidRPr="005141DF">
        <w:rPr>
          <w:rFonts w:ascii="Verdana" w:eastAsia="Times New Roman" w:hAnsi="Verdana" w:cs="Arial"/>
          <w:sz w:val="20"/>
          <w:szCs w:val="20"/>
          <w:lang w:eastAsia="es-CO"/>
        </w:rPr>
        <w:t xml:space="preserve">Según los explícitos dictados de la referida Ley 80, es claro que dicha forma de terminación unilateral tiene </w:t>
      </w:r>
      <w:r w:rsidRPr="005141DF">
        <w:rPr>
          <w:rFonts w:ascii="Verdana" w:eastAsia="Times New Roman" w:hAnsi="Verdana" w:cs="Arial"/>
          <w:i/>
          <w:iCs/>
          <w:sz w:val="20"/>
          <w:szCs w:val="20"/>
          <w:lang w:eastAsia="es-CO"/>
        </w:rPr>
        <w:t>“</w:t>
      </w:r>
      <w:r w:rsidRPr="000A7286">
        <w:rPr>
          <w:rFonts w:ascii="Verdana" w:hAnsi="Verdana" w:cs="Arial"/>
          <w:color w:val="000000" w:themeColor="text1"/>
          <w:lang w:val="es-MX"/>
        </w:rPr>
        <w:t>[…]</w:t>
      </w:r>
      <w:r w:rsidRPr="005141DF">
        <w:rPr>
          <w:rFonts w:ascii="Verdana" w:eastAsia="Times New Roman" w:hAnsi="Verdana" w:cs="Arial"/>
          <w:i/>
          <w:iCs/>
          <w:sz w:val="20"/>
          <w:szCs w:val="20"/>
          <w:lang w:eastAsia="es-CO"/>
        </w:rPr>
        <w:t xml:space="preserve"> el exclusivo objeto de evitar la paralización o la afectación grave de los servicios públicos a su cargo </w:t>
      </w:r>
      <w:r w:rsidRPr="005141DF">
        <w:rPr>
          <w:rFonts w:ascii="Verdana" w:eastAsia="Times New Roman" w:hAnsi="Verdana" w:cs="Arial"/>
          <w:sz w:val="20"/>
          <w:szCs w:val="20"/>
          <w:lang w:eastAsia="es-CO"/>
        </w:rPr>
        <w:t xml:space="preserve">[se refiere a la entidad estatal contratante] </w:t>
      </w:r>
      <w:r w:rsidRPr="005141DF">
        <w:rPr>
          <w:rFonts w:ascii="Verdana" w:eastAsia="Times New Roman" w:hAnsi="Verdana" w:cs="Arial"/>
          <w:i/>
          <w:iCs/>
          <w:sz w:val="20"/>
          <w:szCs w:val="20"/>
          <w:lang w:eastAsia="es-CO"/>
        </w:rPr>
        <w:t xml:space="preserve">y asegurar la inmediata, continua y adecuada prestación </w:t>
      </w:r>
      <w:r w:rsidRPr="000A7286">
        <w:rPr>
          <w:rFonts w:ascii="Verdana" w:hAnsi="Verdana" w:cs="Arial"/>
          <w:color w:val="000000" w:themeColor="text1"/>
          <w:lang w:val="es-MX"/>
        </w:rPr>
        <w:t>[…]</w:t>
      </w:r>
      <w:r w:rsidRPr="005141DF">
        <w:rPr>
          <w:rFonts w:ascii="Verdana" w:eastAsia="Times New Roman" w:hAnsi="Verdana" w:cs="Arial"/>
          <w:i/>
          <w:iCs/>
          <w:sz w:val="20"/>
          <w:szCs w:val="20"/>
          <w:lang w:eastAsia="es-CO"/>
        </w:rPr>
        <w:t xml:space="preserve">” </w:t>
      </w:r>
      <w:r w:rsidRPr="005141DF">
        <w:rPr>
          <w:rFonts w:ascii="Verdana" w:eastAsia="Times New Roman" w:hAnsi="Verdana" w:cs="Arial"/>
          <w:sz w:val="20"/>
          <w:szCs w:val="20"/>
          <w:lang w:eastAsia="es-CO"/>
        </w:rPr>
        <w:t xml:space="preserve">de los mismos. </w:t>
      </w:r>
    </w:p>
    <w:p w14:paraId="1915CB63" w14:textId="77777777" w:rsidR="00911C6D" w:rsidRPr="005141DF" w:rsidRDefault="00911C6D" w:rsidP="00911C6D">
      <w:pPr>
        <w:pStyle w:val="Prrafodelista"/>
        <w:spacing w:after="0" w:line="240" w:lineRule="auto"/>
        <w:ind w:left="709" w:right="709"/>
        <w:contextualSpacing w:val="0"/>
        <w:jc w:val="both"/>
        <w:rPr>
          <w:rFonts w:ascii="Verdana" w:eastAsia="Times New Roman" w:hAnsi="Verdana" w:cs="Arial"/>
          <w:sz w:val="20"/>
          <w:szCs w:val="20"/>
          <w:lang w:eastAsia="es-CO"/>
        </w:rPr>
      </w:pPr>
    </w:p>
    <w:p w14:paraId="74285853" w14:textId="77777777" w:rsidR="00911C6D" w:rsidRPr="005141DF" w:rsidRDefault="00911C6D" w:rsidP="00911C6D">
      <w:pPr>
        <w:pStyle w:val="Prrafodelista"/>
        <w:spacing w:after="0" w:line="240" w:lineRule="auto"/>
        <w:ind w:left="709" w:right="709"/>
        <w:contextualSpacing w:val="0"/>
        <w:jc w:val="both"/>
        <w:rPr>
          <w:rFonts w:ascii="Verdana" w:eastAsia="Times New Roman" w:hAnsi="Verdana" w:cs="Arial"/>
          <w:sz w:val="20"/>
          <w:szCs w:val="20"/>
          <w:lang w:eastAsia="es-CO"/>
        </w:rPr>
      </w:pPr>
      <w:r w:rsidRPr="005141DF">
        <w:rPr>
          <w:rFonts w:ascii="Verdana" w:eastAsia="Times New Roman" w:hAnsi="Verdana" w:cs="Arial"/>
          <w:sz w:val="20"/>
          <w:szCs w:val="20"/>
          <w:lang w:eastAsia="es-CO"/>
        </w:rPr>
        <w:t xml:space="preserve">Esta modalidad de terminación unilateral únicamente puede tener aplicación respecto de aquellos específicos contratos estatales señalados en el numeral 2o del artículo 14 de la Ley 80, esto es: </w:t>
      </w:r>
      <w:r w:rsidRPr="005141DF">
        <w:rPr>
          <w:rFonts w:ascii="Verdana" w:eastAsia="Times New Roman" w:hAnsi="Verdana" w:cs="Arial"/>
          <w:i/>
          <w:iCs/>
          <w:sz w:val="20"/>
          <w:szCs w:val="20"/>
          <w:lang w:eastAsia="es-CO"/>
        </w:rPr>
        <w:t xml:space="preserve">a) “en los contratos que tengan por objeto el ejercicio de una actividad que constituya monopolio estatal”; b) </w:t>
      </w:r>
      <w:r w:rsidRPr="005141DF">
        <w:rPr>
          <w:rFonts w:ascii="Verdana" w:eastAsia="Times New Roman" w:hAnsi="Verdana" w:cs="Arial"/>
          <w:sz w:val="20"/>
          <w:szCs w:val="20"/>
          <w:lang w:eastAsia="es-CO"/>
        </w:rPr>
        <w:t xml:space="preserve">en los contratos que tengan por objeto </w:t>
      </w:r>
      <w:r w:rsidRPr="005141DF">
        <w:rPr>
          <w:rFonts w:ascii="Verdana" w:eastAsia="Times New Roman" w:hAnsi="Verdana" w:cs="Arial"/>
          <w:i/>
          <w:iCs/>
          <w:sz w:val="20"/>
          <w:szCs w:val="20"/>
          <w:lang w:eastAsia="es-CO"/>
        </w:rPr>
        <w:t xml:space="preserve">“la prestación de servicios públicos”; c) </w:t>
      </w:r>
      <w:r w:rsidRPr="005141DF">
        <w:rPr>
          <w:rFonts w:ascii="Verdana" w:eastAsia="Times New Roman" w:hAnsi="Verdana" w:cs="Arial"/>
          <w:sz w:val="20"/>
          <w:szCs w:val="20"/>
          <w:lang w:eastAsia="es-CO"/>
        </w:rPr>
        <w:t xml:space="preserve">en los contratos que tengan por objeto </w:t>
      </w:r>
      <w:r w:rsidRPr="005141DF">
        <w:rPr>
          <w:rFonts w:ascii="Verdana" w:eastAsia="Times New Roman" w:hAnsi="Verdana" w:cs="Arial"/>
          <w:i/>
          <w:iCs/>
          <w:sz w:val="20"/>
          <w:szCs w:val="20"/>
          <w:lang w:eastAsia="es-CO"/>
        </w:rPr>
        <w:t xml:space="preserve">“la explotación y concesión de bienes del Estado” </w:t>
      </w:r>
      <w:r w:rsidRPr="005141DF">
        <w:rPr>
          <w:rFonts w:ascii="Verdana" w:eastAsia="Times New Roman" w:hAnsi="Verdana" w:cs="Arial"/>
          <w:sz w:val="20"/>
          <w:szCs w:val="20"/>
          <w:lang w:eastAsia="es-CO"/>
        </w:rPr>
        <w:t xml:space="preserve">y </w:t>
      </w:r>
      <w:r w:rsidRPr="005141DF">
        <w:rPr>
          <w:rFonts w:ascii="Verdana" w:eastAsia="Times New Roman" w:hAnsi="Verdana" w:cs="Arial"/>
          <w:i/>
          <w:iCs/>
          <w:sz w:val="20"/>
          <w:szCs w:val="20"/>
          <w:lang w:eastAsia="es-CO"/>
        </w:rPr>
        <w:t>d) “en los contratos de obra”</w:t>
      </w:r>
      <w:r w:rsidRPr="005141DF">
        <w:rPr>
          <w:rFonts w:ascii="Verdana" w:eastAsia="Times New Roman" w:hAnsi="Verdana" w:cs="Arial"/>
          <w:sz w:val="20"/>
          <w:szCs w:val="20"/>
          <w:lang w:eastAsia="es-CO"/>
        </w:rPr>
        <w:t xml:space="preserve">, en cuanto en todos ellos resulta imperativa la inclusión de la cláusula excepcional de terminación unilateral; así́ mismo podría aplicarse en aquellos </w:t>
      </w:r>
      <w:r w:rsidRPr="005141DF">
        <w:rPr>
          <w:rFonts w:ascii="Verdana" w:eastAsia="Times New Roman" w:hAnsi="Verdana" w:cs="Arial"/>
          <w:i/>
          <w:iCs/>
          <w:sz w:val="20"/>
          <w:szCs w:val="20"/>
          <w:lang w:eastAsia="es-CO"/>
        </w:rPr>
        <w:t xml:space="preserve">f) “contratos de suministro” </w:t>
      </w:r>
      <w:r w:rsidRPr="005141DF">
        <w:rPr>
          <w:rFonts w:ascii="Verdana" w:eastAsia="Times New Roman" w:hAnsi="Verdana" w:cs="Arial"/>
          <w:sz w:val="20"/>
          <w:szCs w:val="20"/>
          <w:lang w:eastAsia="es-CO"/>
        </w:rPr>
        <w:t xml:space="preserve">y </w:t>
      </w:r>
      <w:r w:rsidRPr="005141DF">
        <w:rPr>
          <w:rFonts w:ascii="Verdana" w:eastAsia="Times New Roman" w:hAnsi="Verdana" w:cs="Arial"/>
          <w:i/>
          <w:iCs/>
          <w:sz w:val="20"/>
          <w:szCs w:val="20"/>
          <w:lang w:eastAsia="es-CO"/>
        </w:rPr>
        <w:t xml:space="preserve">g) </w:t>
      </w:r>
      <w:r w:rsidRPr="005141DF">
        <w:rPr>
          <w:rFonts w:ascii="Verdana" w:eastAsia="Times New Roman" w:hAnsi="Verdana" w:cs="Arial"/>
          <w:sz w:val="20"/>
          <w:szCs w:val="20"/>
          <w:lang w:eastAsia="es-CO"/>
        </w:rPr>
        <w:t xml:space="preserve">contratos </w:t>
      </w:r>
      <w:r w:rsidRPr="005141DF">
        <w:rPr>
          <w:rFonts w:ascii="Verdana" w:eastAsia="Times New Roman" w:hAnsi="Verdana" w:cs="Arial"/>
          <w:i/>
          <w:iCs/>
          <w:sz w:val="20"/>
          <w:szCs w:val="20"/>
          <w:lang w:eastAsia="es-CO"/>
        </w:rPr>
        <w:t xml:space="preserve">“de prestación de servicios”, </w:t>
      </w:r>
      <w:r w:rsidRPr="005141DF">
        <w:rPr>
          <w:rFonts w:ascii="Verdana" w:eastAsia="Times New Roman" w:hAnsi="Verdana" w:cs="Arial"/>
          <w:sz w:val="20"/>
          <w:szCs w:val="20"/>
          <w:lang w:eastAsia="es-CO"/>
        </w:rPr>
        <w:t xml:space="preserve">en los cuales se hubiere incluido expresamente esa cláusula excepcional, comoquiera que en estos dos (2) últimos dicha estipulación resulta facultativa y, por tanto, se encuentra expresamente autorizada por la ley su inclusión. </w:t>
      </w:r>
    </w:p>
    <w:p w14:paraId="4AD14D4E" w14:textId="77777777" w:rsidR="00911C6D" w:rsidRPr="005141DF" w:rsidRDefault="00911C6D" w:rsidP="00911C6D">
      <w:pPr>
        <w:pStyle w:val="Prrafodelista"/>
        <w:spacing w:after="0" w:line="240" w:lineRule="auto"/>
        <w:ind w:left="709" w:right="709"/>
        <w:contextualSpacing w:val="0"/>
        <w:jc w:val="both"/>
        <w:rPr>
          <w:rFonts w:ascii="Verdana" w:eastAsia="Times New Roman" w:hAnsi="Verdana" w:cs="Arial"/>
          <w:sz w:val="20"/>
          <w:szCs w:val="20"/>
          <w:lang w:eastAsia="es-CO"/>
        </w:rPr>
      </w:pPr>
    </w:p>
    <w:p w14:paraId="5A8F8B91" w14:textId="77777777" w:rsidR="00911C6D" w:rsidRDefault="00911C6D" w:rsidP="00911C6D">
      <w:pPr>
        <w:pStyle w:val="Prrafodelista"/>
        <w:spacing w:after="0" w:line="240" w:lineRule="auto"/>
        <w:ind w:left="709" w:right="709"/>
        <w:contextualSpacing w:val="0"/>
        <w:jc w:val="both"/>
        <w:rPr>
          <w:rFonts w:ascii="Verdana" w:eastAsia="Times New Roman" w:hAnsi="Verdana" w:cs="Arial"/>
          <w:i/>
          <w:iCs/>
          <w:sz w:val="20"/>
          <w:szCs w:val="20"/>
          <w:lang w:eastAsia="es-CO"/>
        </w:rPr>
      </w:pPr>
      <w:r w:rsidRPr="005141DF">
        <w:rPr>
          <w:rFonts w:ascii="Verdana" w:eastAsia="Times New Roman" w:hAnsi="Verdana" w:cs="Arial"/>
          <w:sz w:val="20"/>
          <w:szCs w:val="20"/>
          <w:lang w:eastAsia="es-CO"/>
        </w:rPr>
        <w:t xml:space="preserve">Tal como lo ordena el inciso 2o del numeral 1o del citado artículo 14 de la Ley 80, cada vez que una entidad estatal ejerza esta potestad excepcional de terminación unilateral </w:t>
      </w:r>
      <w:r w:rsidRPr="005141DF">
        <w:rPr>
          <w:rFonts w:ascii="Verdana" w:eastAsia="Times New Roman" w:hAnsi="Verdana" w:cs="Arial"/>
          <w:i/>
          <w:iCs/>
          <w:sz w:val="20"/>
          <w:szCs w:val="20"/>
          <w:lang w:eastAsia="es-CO"/>
        </w:rPr>
        <w:t>“</w:t>
      </w:r>
      <w:r w:rsidRPr="000A7286">
        <w:rPr>
          <w:rFonts w:ascii="Verdana" w:hAnsi="Verdana" w:cs="Arial"/>
          <w:color w:val="000000" w:themeColor="text1"/>
          <w:lang w:val="es-MX"/>
        </w:rPr>
        <w:t>[…]</w:t>
      </w:r>
      <w:r w:rsidRPr="005141DF">
        <w:rPr>
          <w:rFonts w:ascii="Verdana" w:eastAsia="Times New Roman" w:hAnsi="Verdana" w:cs="Arial"/>
          <w:i/>
          <w:iCs/>
          <w:sz w:val="20"/>
          <w:szCs w:val="20"/>
          <w:lang w:eastAsia="es-CO"/>
        </w:rPr>
        <w:t xml:space="preserve"> deberá́ procederse al reconocimiento y orden de pago de las compensación e indemnizaciones a que tengan derecho las personas objeto de tales medidas y se aplicarán los </w:t>
      </w:r>
      <w:r w:rsidRPr="005141DF">
        <w:rPr>
          <w:rFonts w:ascii="Verdana" w:eastAsia="Times New Roman" w:hAnsi="Verdana" w:cs="Arial"/>
          <w:i/>
          <w:iCs/>
          <w:sz w:val="20"/>
          <w:szCs w:val="20"/>
          <w:lang w:eastAsia="es-CO"/>
        </w:rPr>
        <w:lastRenderedPageBreak/>
        <w:t xml:space="preserve">mecanismos de ajuste de las condiciones y términos contractuales a que </w:t>
      </w:r>
      <w:r w:rsidRPr="00223DF1">
        <w:rPr>
          <w:rFonts w:ascii="Verdana" w:eastAsia="Times New Roman" w:hAnsi="Verdana" w:cs="Arial"/>
          <w:i/>
          <w:iCs/>
          <w:sz w:val="20"/>
          <w:szCs w:val="20"/>
          <w:lang w:eastAsia="es-CO"/>
        </w:rPr>
        <w:t xml:space="preserve">haya lugar, todo ello con el fin de mantener la ecuación o equilibrio inicial”. </w:t>
      </w:r>
    </w:p>
    <w:p w14:paraId="4FEA1889" w14:textId="77777777" w:rsidR="00911C6D" w:rsidRDefault="00911C6D" w:rsidP="00911C6D">
      <w:pPr>
        <w:pStyle w:val="Prrafodelista"/>
        <w:spacing w:after="0" w:line="240" w:lineRule="auto"/>
        <w:ind w:left="709" w:right="709"/>
        <w:contextualSpacing w:val="0"/>
        <w:jc w:val="both"/>
        <w:rPr>
          <w:rFonts w:ascii="Verdana" w:eastAsia="Times New Roman" w:hAnsi="Verdana" w:cs="Arial"/>
          <w:i/>
          <w:iCs/>
          <w:sz w:val="20"/>
          <w:szCs w:val="20"/>
          <w:lang w:eastAsia="es-CO"/>
        </w:rPr>
      </w:pPr>
    </w:p>
    <w:p w14:paraId="62BC17F5" w14:textId="77777777" w:rsidR="00911C6D" w:rsidRPr="007629E9" w:rsidRDefault="00911C6D" w:rsidP="00911C6D">
      <w:pPr>
        <w:pStyle w:val="Prrafodelista"/>
        <w:spacing w:after="0" w:line="240" w:lineRule="auto"/>
        <w:ind w:left="709" w:right="709"/>
        <w:contextualSpacing w:val="0"/>
        <w:jc w:val="both"/>
        <w:rPr>
          <w:rFonts w:ascii="Verdana" w:eastAsia="Times New Roman" w:hAnsi="Verdana" w:cs="Arial"/>
          <w:i/>
          <w:iCs/>
          <w:sz w:val="20"/>
          <w:szCs w:val="20"/>
          <w:lang w:eastAsia="es-CO"/>
        </w:rPr>
      </w:pPr>
      <w:r w:rsidRPr="00223DF1">
        <w:rPr>
          <w:rFonts w:ascii="Verdana" w:eastAsia="Times New Roman" w:hAnsi="Verdana" w:cs="Arial"/>
          <w:sz w:val="20"/>
          <w:szCs w:val="20"/>
          <w:lang w:eastAsia="es-CO"/>
        </w:rPr>
        <w:t>El aspecto que se acaba de destacar pone de manifiesto que esta especie o modalidad de terminación unilateral de los contratos estatales no comporta la imposición de sanción alguna y, por tanto, a partir de su ejecutoria no se genera inhabilidad alguna en relación con el contratista afectado, lo cual, además, encuentra explicación suficiente en las causales, expresamente consagradas en la ley, que dan lugar a su aplicación”.</w:t>
      </w:r>
      <w:r w:rsidRPr="005141DF">
        <w:rPr>
          <w:vertAlign w:val="superscript"/>
          <w:lang w:eastAsia="es-CO"/>
        </w:rPr>
        <w:footnoteReference w:id="4"/>
      </w:r>
    </w:p>
    <w:p w14:paraId="64F00A30" w14:textId="77777777" w:rsidR="00911C6D" w:rsidRPr="0071334E" w:rsidRDefault="00911C6D" w:rsidP="00911C6D">
      <w:pPr>
        <w:pStyle w:val="Prrafodelista"/>
        <w:tabs>
          <w:tab w:val="left" w:pos="709"/>
        </w:tabs>
        <w:spacing w:after="0"/>
        <w:ind w:left="709" w:right="709"/>
        <w:jc w:val="both"/>
        <w:rPr>
          <w:rFonts w:ascii="Verdana" w:hAnsi="Verdana" w:cs="Arial"/>
          <w:color w:val="000000"/>
          <w:sz w:val="20"/>
          <w:szCs w:val="20"/>
          <w:lang w:val="es-MX" w:eastAsia="es-CO"/>
        </w:rPr>
      </w:pPr>
    </w:p>
    <w:p w14:paraId="67C3BAC3" w14:textId="77777777" w:rsidR="00911C6D" w:rsidRDefault="00911C6D" w:rsidP="00911C6D">
      <w:pPr>
        <w:spacing w:after="120" w:line="276" w:lineRule="auto"/>
        <w:ind w:firstLine="709"/>
        <w:jc w:val="both"/>
        <w:rPr>
          <w:rFonts w:ascii="Verdana" w:hAnsi="Verdana" w:cs="Arial"/>
          <w:color w:val="000000"/>
          <w:shd w:val="clear" w:color="auto" w:fill="FFFFFF"/>
          <w:lang w:val="es-MX" w:eastAsia="es-CO"/>
        </w:rPr>
      </w:pPr>
      <w:r w:rsidRPr="001119CA">
        <w:rPr>
          <w:rFonts w:ascii="Verdana" w:hAnsi="Verdana" w:cs="Arial"/>
          <w:lang w:val="es-MX"/>
        </w:rPr>
        <w:t xml:space="preserve">Conforme a lo anterior, la terminación unilateral del contrato </w:t>
      </w:r>
      <w:r w:rsidRPr="001119CA">
        <w:rPr>
          <w:rFonts w:ascii="Verdana" w:hAnsi="Verdana" w:cs="Arial"/>
          <w:color w:val="000000"/>
          <w:shd w:val="clear" w:color="auto" w:fill="FFFFFF"/>
          <w:lang w:val="es-MX"/>
        </w:rPr>
        <w:t xml:space="preserve">es una prerrogativa excepcional que, lejos de fungir como un acto represivo contra el contratista o en contra de la ejecución del contrato mismo, constituye una herramienta cuyo fin exclusivo es el de lograr el cabal cumplimiento de los cometidos estatales. En todo caso, el ejercicio de esta potestad supone el reconocimiento y pago de las compensaciones e indemnizaciones a las que haya lugar, así como la aplicación de los mecanismos de reajuste. </w:t>
      </w:r>
      <w:r w:rsidRPr="001119CA">
        <w:rPr>
          <w:rFonts w:ascii="Verdana" w:hAnsi="Verdana" w:cs="Arial"/>
          <w:color w:val="000000"/>
          <w:shd w:val="clear" w:color="auto" w:fill="FFFFFF"/>
          <w:lang w:val="es-MX" w:eastAsia="es-CO"/>
        </w:rPr>
        <w:t xml:space="preserve">Lo anterior indica que la terminación unilateral del contrato estatal no entraña una sanción, por lo que, a partir de su ejecutoria no se genera inhabilidad para el contratista por este solo hecho. </w:t>
      </w:r>
    </w:p>
    <w:p w14:paraId="5AE0B72F" w14:textId="77777777" w:rsidR="00911C6D" w:rsidRPr="009D551C" w:rsidRDefault="00911C6D" w:rsidP="00911C6D">
      <w:pPr>
        <w:spacing w:after="120" w:line="276" w:lineRule="auto"/>
        <w:ind w:firstLine="709"/>
        <w:jc w:val="both"/>
        <w:rPr>
          <w:rFonts w:ascii="Verdana" w:eastAsia="Times New Roman" w:hAnsi="Verdana" w:cs="Arial"/>
          <w:lang w:eastAsia="es-CO"/>
        </w:rPr>
      </w:pPr>
      <w:r w:rsidRPr="001119CA">
        <w:rPr>
          <w:rFonts w:ascii="Verdana" w:eastAsia="Times New Roman" w:hAnsi="Verdana" w:cs="Arial"/>
          <w:lang w:eastAsia="es-CO"/>
        </w:rPr>
        <w:t xml:space="preserve">Ahora bien, la causal de terminación unilateral consagrada en el numeral 2 del artículo 17 de la Ley 80 de 1993, prevé “[…] muerte o incapacidad física permanente del contratista, si es persona natural, o por disolución de la persona jurídica del contratista”. Esta causal se explica, tanto para la persona natural como para la persona jurídica, por la naturaleza </w:t>
      </w:r>
      <w:r w:rsidRPr="001119CA">
        <w:rPr>
          <w:rFonts w:ascii="Verdana" w:eastAsia="Times New Roman" w:hAnsi="Verdana" w:cs="Arial"/>
          <w:i/>
          <w:iCs/>
          <w:lang w:eastAsia="es-CO"/>
        </w:rPr>
        <w:t>intuito personae</w:t>
      </w:r>
      <w:r w:rsidRPr="001119CA">
        <w:rPr>
          <w:rFonts w:ascii="Verdana" w:eastAsia="Times New Roman" w:hAnsi="Verdana" w:cs="Arial"/>
          <w:lang w:eastAsia="es-CO"/>
        </w:rPr>
        <w:t xml:space="preserve"> del contrato estatal, según lo previsto en el inciso tercero del artículo 41 de la Ley 80 de 1993</w:t>
      </w:r>
      <w:r w:rsidRPr="0071334E">
        <w:rPr>
          <w:vertAlign w:val="superscript"/>
          <w:lang w:eastAsia="es-CO"/>
        </w:rPr>
        <w:footnoteReference w:id="5"/>
      </w:r>
      <w:r w:rsidRPr="001119CA">
        <w:rPr>
          <w:rFonts w:ascii="Verdana" w:eastAsia="Times New Roman" w:hAnsi="Verdana" w:cs="Arial"/>
          <w:lang w:eastAsia="es-CO"/>
        </w:rPr>
        <w:t xml:space="preserve">. Por ello, la muerte o discapacidad permanente de la persona natural, así como la disolución de la persona jurídica, constituyen hechos que impiden que los sujetos que en virtud de sus calidades fueron escogidos para desarrollar el contrato puedan seguirlo haciendo, por lo que justifican la terminación del </w:t>
      </w:r>
      <w:r w:rsidRPr="001119CA">
        <w:rPr>
          <w:rFonts w:ascii="Verdana" w:eastAsia="Times New Roman" w:hAnsi="Verdana" w:cs="Arial"/>
          <w:lang w:eastAsia="es-CO"/>
        </w:rPr>
        <w:lastRenderedPageBreak/>
        <w:t>contrato, máxime aun considerado que tales calidades no se trasmiten a sus herederos o causahabientes</w:t>
      </w:r>
      <w:r w:rsidRPr="0071334E">
        <w:rPr>
          <w:vertAlign w:val="superscript"/>
          <w:lang w:eastAsia="es-CO"/>
        </w:rPr>
        <w:footnoteReference w:id="6"/>
      </w:r>
      <w:r w:rsidRPr="001119CA">
        <w:rPr>
          <w:rFonts w:ascii="Verdana" w:eastAsia="Times New Roman" w:hAnsi="Verdana" w:cs="Arial"/>
          <w:lang w:eastAsia="es-CO"/>
        </w:rPr>
        <w:t>.El artículo 13 de la Ley 80 de 1993, cita que:</w:t>
      </w:r>
    </w:p>
    <w:p w14:paraId="79E078F0" w14:textId="77777777" w:rsidR="00911C6D" w:rsidRPr="007F6730" w:rsidRDefault="00911C6D" w:rsidP="00911C6D">
      <w:pPr>
        <w:spacing w:after="0" w:line="240" w:lineRule="auto"/>
        <w:ind w:left="709" w:right="709"/>
        <w:jc w:val="both"/>
        <w:rPr>
          <w:rFonts w:ascii="Verdana" w:hAnsi="Verdana" w:cs="Arial"/>
          <w:iCs/>
          <w:sz w:val="20"/>
          <w:szCs w:val="20"/>
          <w:lang w:val="es-MX"/>
        </w:rPr>
      </w:pPr>
      <w:r w:rsidRPr="007F6730">
        <w:rPr>
          <w:rFonts w:ascii="Verdana" w:eastAsia="Times New Roman" w:hAnsi="Verdana" w:cs="Arial"/>
          <w:iCs/>
          <w:sz w:val="20"/>
          <w:szCs w:val="20"/>
          <w:lang w:eastAsia="es-CO"/>
        </w:rPr>
        <w:t>“</w:t>
      </w:r>
      <w:r w:rsidRPr="007F6730">
        <w:rPr>
          <w:rFonts w:ascii="Verdana" w:hAnsi="Verdana" w:cs="Arial"/>
          <w:iCs/>
          <w:sz w:val="20"/>
          <w:szCs w:val="20"/>
          <w:lang w:val="es-MX"/>
        </w:rPr>
        <w:t>Los contratos que celebren las entidades a que se refiere el artículo 2 del presente estatuto se regirán por las disposiciones comerciales y civiles pertinentes, salvo en las materias particularmente reguladas en esta Ley.</w:t>
      </w:r>
    </w:p>
    <w:p w14:paraId="338C7A7C" w14:textId="77777777" w:rsidR="00911C6D" w:rsidRDefault="00911C6D" w:rsidP="00911C6D">
      <w:pPr>
        <w:spacing w:after="0" w:line="240" w:lineRule="auto"/>
        <w:ind w:left="709" w:right="709"/>
        <w:jc w:val="both"/>
        <w:rPr>
          <w:rFonts w:ascii="Verdana" w:eastAsia="Times New Roman" w:hAnsi="Verdana" w:cs="Arial"/>
          <w:iCs/>
          <w:sz w:val="20"/>
          <w:szCs w:val="20"/>
          <w:lang w:val="es-MX" w:eastAsia="es-CO"/>
        </w:rPr>
      </w:pPr>
      <w:r w:rsidRPr="007F6730">
        <w:rPr>
          <w:rFonts w:ascii="Verdana" w:eastAsia="Times New Roman" w:hAnsi="Verdana" w:cs="Arial"/>
          <w:iCs/>
          <w:sz w:val="20"/>
          <w:szCs w:val="20"/>
          <w:lang w:val="es-MX" w:eastAsia="es-CO"/>
        </w:rPr>
        <w:t>Los contratos celebrados en el exterior se podrán regir en su ejecución por las reglas del país en donde se hayan suscrito, a menos que deban cumplirse en Colombia”</w:t>
      </w:r>
    </w:p>
    <w:p w14:paraId="2F43C515" w14:textId="77777777" w:rsidR="00911C6D" w:rsidRDefault="00911C6D" w:rsidP="00911C6D">
      <w:pPr>
        <w:spacing w:after="0" w:line="240" w:lineRule="auto"/>
        <w:ind w:left="709" w:right="709"/>
        <w:jc w:val="both"/>
        <w:rPr>
          <w:rFonts w:ascii="Verdana" w:eastAsia="Times New Roman" w:hAnsi="Verdana" w:cs="Arial"/>
          <w:iCs/>
          <w:sz w:val="20"/>
          <w:szCs w:val="20"/>
          <w:lang w:val="es-MX" w:eastAsia="es-CO"/>
        </w:rPr>
      </w:pPr>
    </w:p>
    <w:p w14:paraId="55EC8EE5" w14:textId="77777777" w:rsidR="00911C6D" w:rsidRPr="00E9188C" w:rsidRDefault="00911C6D" w:rsidP="00911C6D">
      <w:pPr>
        <w:spacing w:after="120" w:line="276" w:lineRule="auto"/>
        <w:ind w:firstLine="709"/>
        <w:jc w:val="both"/>
        <w:rPr>
          <w:rFonts w:ascii="Verdana" w:hAnsi="Verdana" w:cs="Arial"/>
          <w:color w:val="000000" w:themeColor="text1"/>
          <w:lang w:val="es-MX"/>
        </w:rPr>
      </w:pPr>
      <w:r w:rsidRPr="00E9188C">
        <w:rPr>
          <w:rFonts w:ascii="Verdana" w:hAnsi="Verdana" w:cs="Arial"/>
          <w:lang w:val="es-MX"/>
        </w:rPr>
        <w:t>Con todo, en aplicación del derecho civil, la muerte de una persona natural puede implicar la apertura de un proceso de sucesión, mediante el cual se transmiten todos los derechos y obligaciones que estaban a nombre del causante</w:t>
      </w:r>
      <w:r w:rsidRPr="00E9188C">
        <w:rPr>
          <w:vertAlign w:val="superscript"/>
          <w:lang w:val="es-MX"/>
        </w:rPr>
        <w:footnoteReference w:id="7"/>
      </w:r>
      <w:r w:rsidRPr="00E9188C">
        <w:rPr>
          <w:rFonts w:ascii="Verdana" w:hAnsi="Verdana" w:cs="Arial"/>
          <w:lang w:val="es-MX"/>
        </w:rPr>
        <w:t>, es decir, si el causante tenía un contrato vigente al momento de fallecer, esta posición podría llegar a ser ocupada por sus herederos, si cumplen con las condiciones necesarias para ejecutar el contrato.</w:t>
      </w:r>
      <w:r w:rsidRPr="00E9188C">
        <w:rPr>
          <w:rFonts w:ascii="Verdana" w:hAnsi="Verdana" w:cs="Arial"/>
          <w:color w:val="000000" w:themeColor="text1"/>
          <w:lang w:val="es-MX"/>
        </w:rPr>
        <w:t xml:space="preserve"> Lo anterior ha sido reconocido por parte del Consejo de Estado, donde ha puesto de presente: “[…] </w:t>
      </w:r>
      <w:r w:rsidRPr="00E9188C">
        <w:rPr>
          <w:rFonts w:ascii="Verdana" w:hAnsi="Verdana" w:cs="Arial"/>
          <w:lang w:val="es-MX"/>
        </w:rPr>
        <w:t>en la sucesión por causa de muerte a título universal, “se sucede al difunto en todos sus bienes, derechos y obligaciones transmisibles” con lo cual los herederos pueden ocupar la posición contractual del causante en el contrato y convertirse en los titulares de los derechos y las obligaciones pactadas en el mismo […]</w:t>
      </w:r>
      <w:r w:rsidRPr="00E9188C">
        <w:rPr>
          <w:rFonts w:ascii="Verdana" w:hAnsi="Verdana" w:cs="Arial"/>
          <w:noProof/>
          <w:lang w:val="es-ES_tradnl"/>
        </w:rPr>
        <w:t>”.</w:t>
      </w:r>
      <w:r w:rsidRPr="00E9188C">
        <w:rPr>
          <w:vertAlign w:val="superscript"/>
          <w:lang w:val="es-MX"/>
        </w:rPr>
        <w:footnoteReference w:id="8"/>
      </w:r>
    </w:p>
    <w:p w14:paraId="6F32BFFB" w14:textId="77777777" w:rsidR="00911C6D" w:rsidRPr="00E9188C" w:rsidRDefault="00911C6D" w:rsidP="00911C6D">
      <w:pPr>
        <w:spacing w:after="120" w:line="276" w:lineRule="auto"/>
        <w:ind w:firstLine="709"/>
        <w:jc w:val="both"/>
        <w:rPr>
          <w:rFonts w:ascii="Verdana" w:hAnsi="Verdana" w:cs="Arial"/>
          <w:noProof/>
          <w:lang w:val="es-ES_tradnl"/>
        </w:rPr>
      </w:pPr>
      <w:r w:rsidRPr="00E9188C">
        <w:rPr>
          <w:rFonts w:ascii="Verdana" w:hAnsi="Verdana" w:cs="Arial"/>
          <w:lang w:val="es-MX"/>
        </w:rPr>
        <w:t xml:space="preserve">Además, sea para contratistas persona natural o persona jurídica, el inciso final del artículo 17 de la Ley 80 de 1993 dispone que “[…] </w:t>
      </w:r>
      <w:r w:rsidRPr="00E9188C">
        <w:rPr>
          <w:rFonts w:ascii="Verdana" w:hAnsi="Verdana" w:cs="Arial"/>
          <w:color w:val="000000" w:themeColor="text1"/>
          <w:lang w:val="es-MX"/>
        </w:rPr>
        <w:t>en los casos a que se refieren los numerales 2o. y 3o. de este artículo podrá continuarse la ejecución con el garante de la obligación</w:t>
      </w:r>
      <w:r w:rsidRPr="00E9188C">
        <w:rPr>
          <w:rFonts w:ascii="Verdana" w:hAnsi="Verdana" w:cs="Arial"/>
          <w:noProof/>
          <w:lang w:val="es-ES_tradnl"/>
        </w:rPr>
        <w:t xml:space="preserve">”. Es decir, si la persona natural muere </w:t>
      </w:r>
      <w:r w:rsidRPr="00E9188C">
        <w:rPr>
          <w:rFonts w:ascii="Verdana" w:hAnsi="Verdana" w:cs="Arial"/>
          <w:noProof/>
          <w:lang w:val="es-ES_tradnl"/>
        </w:rPr>
        <w:lastRenderedPageBreak/>
        <w:t xml:space="preserve">o es declarada con incapacidad fisica permanente o si la persona jurídica se disuelve, la ejecución contractual puede continuar con el garante de la obligación. </w:t>
      </w:r>
    </w:p>
    <w:p w14:paraId="08FBE364" w14:textId="77777777" w:rsidR="00911C6D" w:rsidRPr="00E9188C" w:rsidRDefault="00911C6D" w:rsidP="00911C6D">
      <w:pPr>
        <w:spacing w:after="0" w:line="276" w:lineRule="auto"/>
        <w:ind w:firstLine="709"/>
        <w:jc w:val="both"/>
        <w:rPr>
          <w:rFonts w:ascii="Verdana" w:hAnsi="Verdana" w:cs="Arial"/>
          <w:noProof/>
          <w:lang w:val="es-ES_tradnl"/>
        </w:rPr>
      </w:pPr>
      <w:r w:rsidRPr="00E9188C">
        <w:rPr>
          <w:rFonts w:ascii="Verdana" w:hAnsi="Verdana" w:cs="Arial"/>
          <w:lang w:val="es-MX"/>
        </w:rPr>
        <w:t>Sobre la muerte del contratista persona natural</w:t>
      </w:r>
      <w:r w:rsidRPr="00E9188C">
        <w:rPr>
          <w:rFonts w:ascii="Verdana" w:hAnsi="Verdana" w:cs="Arial"/>
          <w:noProof/>
          <w:lang w:val="es-ES_tradnl"/>
        </w:rPr>
        <w:t>, la doctrina se ha pronunciado en el sentido de avalar la procedencia de la aplicación de esta causal en los casos en los que se presenta la muerte del contratista. En este sentido el autor Pino Ricci ha manifestado:</w:t>
      </w:r>
    </w:p>
    <w:p w14:paraId="424F39B0" w14:textId="77777777" w:rsidR="00911C6D" w:rsidRPr="00E9188C" w:rsidRDefault="00911C6D" w:rsidP="00911C6D">
      <w:pPr>
        <w:spacing w:after="0" w:line="276" w:lineRule="auto"/>
        <w:ind w:firstLine="709"/>
        <w:jc w:val="both"/>
        <w:rPr>
          <w:rFonts w:ascii="Verdana" w:hAnsi="Verdana" w:cs="Arial"/>
          <w:noProof/>
          <w:lang w:val="es-ES_tradnl"/>
        </w:rPr>
      </w:pPr>
    </w:p>
    <w:p w14:paraId="7464DDEA" w14:textId="77777777" w:rsidR="00911C6D" w:rsidRPr="00E9188C" w:rsidRDefault="00911C6D" w:rsidP="00911C6D">
      <w:pPr>
        <w:pStyle w:val="Prrafodelista"/>
        <w:spacing w:after="0" w:line="240" w:lineRule="auto"/>
        <w:ind w:left="709" w:right="709"/>
        <w:jc w:val="both"/>
        <w:rPr>
          <w:rFonts w:ascii="Verdana" w:hAnsi="Verdana" w:cs="Arial"/>
          <w:sz w:val="20"/>
          <w:szCs w:val="20"/>
          <w:lang w:val="es-MX"/>
        </w:rPr>
      </w:pPr>
      <w:r w:rsidRPr="00E9188C">
        <w:rPr>
          <w:rFonts w:ascii="Verdana" w:hAnsi="Verdana" w:cs="Arial"/>
          <w:sz w:val="20"/>
          <w:szCs w:val="20"/>
          <w:lang w:val="es-MX"/>
        </w:rPr>
        <w:t>“</w:t>
      </w:r>
      <w:r w:rsidRPr="00E9188C">
        <w:rPr>
          <w:rFonts w:ascii="Verdana" w:hAnsi="Verdana" w:cs="Arial"/>
          <w:noProof/>
          <w:sz w:val="20"/>
          <w:szCs w:val="20"/>
          <w:lang w:val="es-ES_tradnl"/>
        </w:rPr>
        <w:t>La muerte del contratista genera la terminación unilateral del contrato. Las entidades estatales no pueden asumir las consecuencias de la muerte del contratista frente a sus derechos y obligaciones, particularmente lo relacionado con el juicio o trámite de la sucesión. En el caso de los consorcios y uniones temporales, la muerte de uno de sus integrantes también genera la terminación unilateral del contrato.</w:t>
      </w:r>
      <w:r w:rsidRPr="00E9188C">
        <w:rPr>
          <w:rFonts w:ascii="Verdana" w:hAnsi="Verdana" w:cs="Arial"/>
          <w:sz w:val="20"/>
          <w:szCs w:val="20"/>
          <w:lang w:val="es-MX"/>
        </w:rPr>
        <w:t>”</w:t>
      </w:r>
      <w:r w:rsidRPr="00E9188C">
        <w:rPr>
          <w:rFonts w:ascii="Verdana" w:hAnsi="Verdana"/>
          <w:noProof/>
          <w:sz w:val="20"/>
          <w:szCs w:val="20"/>
          <w:vertAlign w:val="superscript"/>
          <w:lang w:val="es-ES_tradnl"/>
        </w:rPr>
        <w:footnoteReference w:id="9"/>
      </w:r>
    </w:p>
    <w:p w14:paraId="5CA25710" w14:textId="77777777" w:rsidR="00911C6D" w:rsidRPr="00E9188C" w:rsidRDefault="00911C6D" w:rsidP="00911C6D">
      <w:pPr>
        <w:pStyle w:val="Prrafodelista"/>
        <w:spacing w:after="0"/>
        <w:ind w:right="709" w:firstLine="709"/>
        <w:jc w:val="both"/>
        <w:rPr>
          <w:rFonts w:ascii="Verdana" w:hAnsi="Verdana" w:cs="Arial"/>
          <w:noProof/>
          <w:sz w:val="21"/>
          <w:szCs w:val="21"/>
          <w:lang w:val="es-ES_tradnl"/>
        </w:rPr>
      </w:pPr>
    </w:p>
    <w:p w14:paraId="5AF2E0CB" w14:textId="77777777" w:rsidR="00911C6D" w:rsidRPr="00E9188C" w:rsidRDefault="00911C6D" w:rsidP="00911C6D">
      <w:pPr>
        <w:spacing w:after="0" w:line="276" w:lineRule="auto"/>
        <w:ind w:firstLine="709"/>
        <w:jc w:val="both"/>
        <w:rPr>
          <w:rFonts w:ascii="Verdana" w:hAnsi="Verdana" w:cs="Arial"/>
          <w:noProof/>
          <w:lang w:val="es-ES_tradnl"/>
        </w:rPr>
      </w:pPr>
      <w:r w:rsidRPr="00E9188C">
        <w:rPr>
          <w:rFonts w:ascii="Verdana" w:hAnsi="Verdana" w:cs="Arial"/>
          <w:noProof/>
          <w:lang w:val="es-ES_tradnl"/>
        </w:rPr>
        <w:t>En el mismo sentido, Palacio Hincapié sostiene que la muerte justifica la terminación del contrato, así:</w:t>
      </w:r>
    </w:p>
    <w:p w14:paraId="32A6BFBC" w14:textId="77777777" w:rsidR="00911C6D" w:rsidRPr="00E9188C" w:rsidRDefault="00911C6D" w:rsidP="00911C6D">
      <w:pPr>
        <w:spacing w:after="0" w:line="276" w:lineRule="auto"/>
        <w:ind w:firstLine="709"/>
        <w:jc w:val="both"/>
        <w:rPr>
          <w:rFonts w:ascii="Verdana" w:hAnsi="Verdana" w:cs="Arial"/>
          <w:noProof/>
          <w:lang w:val="es-ES_tradnl"/>
        </w:rPr>
      </w:pPr>
    </w:p>
    <w:p w14:paraId="42167008" w14:textId="77777777" w:rsidR="00911C6D" w:rsidRPr="00E9188C" w:rsidRDefault="00911C6D" w:rsidP="00911C6D">
      <w:pPr>
        <w:pStyle w:val="Prrafodelista"/>
        <w:ind w:right="758"/>
        <w:jc w:val="both"/>
        <w:rPr>
          <w:rFonts w:ascii="Verdana" w:hAnsi="Verdana" w:cs="Arial"/>
          <w:sz w:val="20"/>
          <w:szCs w:val="20"/>
          <w:lang w:val="es-MX"/>
        </w:rPr>
      </w:pPr>
      <w:r w:rsidRPr="00E9188C">
        <w:rPr>
          <w:rFonts w:ascii="Verdana" w:hAnsi="Verdana" w:cs="Arial"/>
          <w:sz w:val="20"/>
          <w:szCs w:val="20"/>
          <w:lang w:val="es-MX"/>
        </w:rPr>
        <w:t>“</w:t>
      </w:r>
      <w:r w:rsidRPr="00E9188C">
        <w:rPr>
          <w:rFonts w:ascii="Verdana" w:hAnsi="Verdana" w:cs="Arial"/>
          <w:noProof/>
          <w:sz w:val="20"/>
          <w:szCs w:val="20"/>
          <w:lang w:val="es-ES_tradnl"/>
        </w:rPr>
        <w:t>La terminación unilateral en este evento no es una sanción al contratista, sino la simple reafirmación de que un contrato es intuito personae y no, como lo sostienen algunos, que es por la reducción a una sola parte, dando lugar a la terminación del vínculo; y no lo es porque las partes continúan para los efectos de la liquidación del contrato y para la responsabilidad a que haya lugar, ya que la Administración tendrá derechos y deberes en relación con los causahabientes del contratista</w:t>
      </w:r>
      <w:r w:rsidRPr="00E9188C">
        <w:rPr>
          <w:rFonts w:ascii="Verdana" w:hAnsi="Verdana" w:cs="Arial"/>
          <w:sz w:val="20"/>
          <w:szCs w:val="20"/>
          <w:lang w:val="es-MX"/>
        </w:rPr>
        <w:t>”.</w:t>
      </w:r>
      <w:r w:rsidRPr="00E9188C">
        <w:rPr>
          <w:rFonts w:ascii="Verdana" w:hAnsi="Verdana"/>
          <w:noProof/>
          <w:sz w:val="20"/>
          <w:szCs w:val="20"/>
          <w:vertAlign w:val="superscript"/>
          <w:lang w:val="es-ES_tradnl"/>
        </w:rPr>
        <w:footnoteReference w:id="10"/>
      </w:r>
    </w:p>
    <w:p w14:paraId="71D4A97C" w14:textId="77777777" w:rsidR="00911C6D" w:rsidRPr="00E9188C" w:rsidRDefault="00911C6D" w:rsidP="00911C6D">
      <w:pPr>
        <w:pStyle w:val="Prrafodelista"/>
        <w:spacing w:after="0" w:line="240" w:lineRule="auto"/>
        <w:ind w:right="709"/>
        <w:jc w:val="both"/>
        <w:rPr>
          <w:rFonts w:ascii="Verdana" w:hAnsi="Verdana" w:cs="Arial"/>
          <w:noProof/>
          <w:sz w:val="21"/>
          <w:szCs w:val="21"/>
          <w:lang w:val="es-ES_tradnl"/>
        </w:rPr>
      </w:pPr>
    </w:p>
    <w:p w14:paraId="1E067404" w14:textId="70A999AD" w:rsidR="00911C6D" w:rsidRPr="003454BD" w:rsidRDefault="00911C6D" w:rsidP="00911C6D">
      <w:pPr>
        <w:spacing w:after="120" w:line="276" w:lineRule="auto"/>
        <w:ind w:firstLine="709"/>
        <w:jc w:val="both"/>
        <w:rPr>
          <w:rFonts w:ascii="Verdana" w:hAnsi="Verdana" w:cs="Arial"/>
          <w:noProof/>
          <w:lang w:val="es-ES_tradnl"/>
        </w:rPr>
      </w:pPr>
      <w:r w:rsidRPr="00E9188C">
        <w:rPr>
          <w:rFonts w:ascii="Verdana" w:hAnsi="Verdana" w:cs="Arial"/>
          <w:noProof/>
          <w:lang w:val="es-ES_tradnl"/>
        </w:rPr>
        <w:t xml:space="preserve">Según estas consideraciones, la causal del numeral 2 del artículo 17 de la Ley 80 de 1993 resulta aplicable en aquellos eventos de deceso del contratista en virtud del carácter </w:t>
      </w:r>
      <w:r w:rsidRPr="00E9188C">
        <w:rPr>
          <w:rFonts w:ascii="Verdana" w:hAnsi="Verdana" w:cs="Arial"/>
          <w:i/>
          <w:iCs/>
          <w:lang w:val="es-MX"/>
        </w:rPr>
        <w:t xml:space="preserve">intuito personae </w:t>
      </w:r>
      <w:r w:rsidRPr="00E9188C">
        <w:rPr>
          <w:rFonts w:ascii="Verdana" w:hAnsi="Verdana" w:cs="Arial"/>
          <w:lang w:val="es-MX"/>
        </w:rPr>
        <w:t>del</w:t>
      </w:r>
      <w:r w:rsidRPr="00E9188C">
        <w:rPr>
          <w:rFonts w:ascii="Verdana" w:hAnsi="Verdana" w:cs="Arial"/>
          <w:i/>
          <w:iCs/>
          <w:lang w:val="es-MX"/>
        </w:rPr>
        <w:t xml:space="preserve"> </w:t>
      </w:r>
      <w:r w:rsidRPr="00E9188C">
        <w:rPr>
          <w:rFonts w:ascii="Verdana" w:hAnsi="Verdana" w:cs="Arial"/>
          <w:lang w:val="es-MX"/>
        </w:rPr>
        <w:t xml:space="preserve">contrato, que se vería afectado por la falta de una de las personas cuyas calidades, determinaron la escogencia como contratista. </w:t>
      </w:r>
      <w:r w:rsidR="00A57E47">
        <w:rPr>
          <w:rFonts w:ascii="Verdana" w:hAnsi="Verdana" w:cs="Arial"/>
          <w:lang w:val="es-MX"/>
        </w:rPr>
        <w:t xml:space="preserve"> </w:t>
      </w:r>
      <w:r w:rsidRPr="00E9188C">
        <w:rPr>
          <w:rFonts w:ascii="Verdana" w:hAnsi="Verdana" w:cs="Arial"/>
          <w:lang w:val="es-MX"/>
        </w:rPr>
        <w:t xml:space="preserve">Lo anterior permite concluir, con apoyo en la doctrina, que, ante el deceso del contratista resultaría procedente el ejercicio de la potestad de terminación unilateral, considerando </w:t>
      </w:r>
      <w:r w:rsidRPr="00E9188C">
        <w:rPr>
          <w:rFonts w:ascii="Verdana" w:hAnsi="Verdana" w:cs="Arial"/>
          <w:noProof/>
          <w:lang w:val="es-ES_tradnl"/>
        </w:rPr>
        <w:t xml:space="preserve">que la prestación de un servicio y el desarrollo de un </w:t>
      </w:r>
      <w:r w:rsidRPr="003454BD">
        <w:rPr>
          <w:rFonts w:ascii="Verdana" w:hAnsi="Verdana" w:cs="Arial"/>
          <w:noProof/>
          <w:lang w:val="es-ES_tradnl"/>
        </w:rPr>
        <w:t xml:space="preserve">contrato podrían afectarse gravemente por este hecho, el cual supone la ausencia de la persona encargada de ejecutar el contrato. En ese </w:t>
      </w:r>
      <w:r w:rsidRPr="003454BD">
        <w:rPr>
          <w:rFonts w:ascii="Verdana" w:hAnsi="Verdana" w:cs="Arial"/>
          <w:noProof/>
          <w:lang w:val="es-ES_tradnl"/>
        </w:rPr>
        <w:lastRenderedPageBreak/>
        <w:t>sentido, la facultad de dar por terminado de manera unilateral y anticipada el contrato se ofrece como una herramienta para que las entidades estatales puedan garantizar la continua prestación de servicios a su cargo y el cumplimiento de los fines del contrato.</w:t>
      </w:r>
    </w:p>
    <w:p w14:paraId="789D7F16" w14:textId="77777777" w:rsidR="00911C6D" w:rsidRPr="003454BD" w:rsidRDefault="00911C6D" w:rsidP="00911C6D">
      <w:pPr>
        <w:spacing w:after="0" w:line="276" w:lineRule="auto"/>
        <w:ind w:firstLine="709"/>
        <w:jc w:val="both"/>
        <w:rPr>
          <w:rFonts w:ascii="Verdana" w:eastAsia="Times New Roman" w:hAnsi="Verdana" w:cs="Times New Roman"/>
          <w:lang w:eastAsia="es-ES"/>
        </w:rPr>
      </w:pPr>
      <w:r w:rsidRPr="003454BD">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3454BD">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4D2173B1" w14:textId="77777777" w:rsidR="00911C6D" w:rsidRPr="00B70560" w:rsidRDefault="00911C6D" w:rsidP="00911C6D">
      <w:pPr>
        <w:spacing w:after="0" w:line="276" w:lineRule="auto"/>
        <w:ind w:firstLine="709"/>
        <w:jc w:val="both"/>
        <w:rPr>
          <w:rFonts w:ascii="Verdana" w:eastAsia="Times New Roman" w:hAnsi="Verdana" w:cs="Times New Roman"/>
          <w:lang w:eastAsia="es-ES"/>
        </w:rPr>
      </w:pPr>
    </w:p>
    <w:p w14:paraId="17601B27" w14:textId="77777777" w:rsidR="00911C6D" w:rsidRPr="00B70560" w:rsidRDefault="00911C6D" w:rsidP="00911C6D">
      <w:pPr>
        <w:spacing w:after="120" w:line="276" w:lineRule="auto"/>
        <w:jc w:val="both"/>
        <w:rPr>
          <w:rFonts w:ascii="Verdana" w:eastAsia="Century Gothic" w:hAnsi="Verdana" w:cs="Century Gothic"/>
          <w:b/>
          <w:lang w:val="es-ES"/>
        </w:rPr>
      </w:pPr>
      <w:r w:rsidRPr="00B70560">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11C6D" w:rsidRPr="00835586" w14:paraId="2CC0020D" w14:textId="77777777" w:rsidTr="007E51D4">
        <w:trPr>
          <w:trHeight w:val="870"/>
        </w:trPr>
        <w:tc>
          <w:tcPr>
            <w:tcW w:w="8647" w:type="dxa"/>
          </w:tcPr>
          <w:p w14:paraId="5CFE7671" w14:textId="77777777" w:rsidR="00911C6D" w:rsidRPr="00272E0E" w:rsidRDefault="00911C6D" w:rsidP="007E51D4">
            <w:pPr>
              <w:pStyle w:val="Prrafodelista"/>
              <w:widowControl w:val="0"/>
              <w:numPr>
                <w:ilvl w:val="0"/>
                <w:numId w:val="16"/>
              </w:numPr>
              <w:autoSpaceDE w:val="0"/>
              <w:autoSpaceDN w:val="0"/>
              <w:spacing w:before="120" w:after="120" w:line="276" w:lineRule="auto"/>
              <w:jc w:val="both"/>
              <w:rPr>
                <w:rFonts w:ascii="Verdana" w:hAnsi="Verdana" w:cs="Arial"/>
              </w:rPr>
            </w:pPr>
            <w:r w:rsidRPr="00272E0E">
              <w:rPr>
                <w:rFonts w:ascii="Verdana" w:hAnsi="Verdana" w:cs="Arial"/>
              </w:rPr>
              <w:t xml:space="preserve">Ley </w:t>
            </w:r>
            <w:r w:rsidRPr="00272E0E">
              <w:rPr>
                <w:rFonts w:ascii="Verdana" w:hAnsi="Verdana" w:cs="Arial"/>
                <w:lang w:val="es-MX"/>
              </w:rPr>
              <w:t>80 de 1993</w:t>
            </w:r>
            <w:r>
              <w:rPr>
                <w:rFonts w:ascii="Verdana" w:hAnsi="Verdana" w:cs="Arial"/>
                <w:lang w:val="es-MX"/>
              </w:rPr>
              <w:t xml:space="preserve">. Artículos </w:t>
            </w:r>
            <w:r w:rsidRPr="00272E0E">
              <w:rPr>
                <w:rFonts w:ascii="Verdana" w:hAnsi="Verdana" w:cs="Arial"/>
                <w:lang w:val="es-MX"/>
              </w:rPr>
              <w:t xml:space="preserve">3, </w:t>
            </w:r>
            <w:r>
              <w:rPr>
                <w:rFonts w:ascii="Verdana" w:hAnsi="Verdana" w:cs="Arial"/>
                <w:lang w:val="es-MX"/>
              </w:rPr>
              <w:t xml:space="preserve">13, </w:t>
            </w:r>
            <w:r w:rsidRPr="00272E0E">
              <w:rPr>
                <w:rFonts w:ascii="Verdana" w:hAnsi="Verdana" w:cs="Arial"/>
                <w:lang w:val="es-MX"/>
              </w:rPr>
              <w:t xml:space="preserve">14 numeral 2, 17, y </w:t>
            </w:r>
            <w:r w:rsidRPr="00272E0E">
              <w:rPr>
                <w:rFonts w:ascii="Verdana" w:hAnsi="Verdana" w:cs="Arial"/>
              </w:rPr>
              <w:t>41</w:t>
            </w:r>
            <w:r w:rsidRPr="00272E0E">
              <w:rPr>
                <w:rFonts w:ascii="Verdana" w:hAnsi="Verdana" w:cs="Arial"/>
                <w:lang w:val="es-MX"/>
              </w:rPr>
              <w:t xml:space="preserve"> </w:t>
            </w:r>
            <w:r w:rsidRPr="00272E0E">
              <w:rPr>
                <w:rFonts w:ascii="Verdana" w:hAnsi="Verdana" w:cs="Arial"/>
              </w:rPr>
              <w:t>inciso 3º.</w:t>
            </w:r>
          </w:p>
          <w:p w14:paraId="2912ADA3" w14:textId="77777777" w:rsidR="00911C6D" w:rsidRPr="00272E0E" w:rsidRDefault="00911C6D" w:rsidP="007E51D4">
            <w:pPr>
              <w:pStyle w:val="Prrafodelista"/>
              <w:widowControl w:val="0"/>
              <w:numPr>
                <w:ilvl w:val="0"/>
                <w:numId w:val="16"/>
              </w:numPr>
              <w:autoSpaceDE w:val="0"/>
              <w:autoSpaceDN w:val="0"/>
              <w:spacing w:before="120" w:after="120" w:line="276" w:lineRule="auto"/>
              <w:jc w:val="both"/>
              <w:rPr>
                <w:rFonts w:ascii="Verdana" w:hAnsi="Verdana" w:cs="Arial"/>
              </w:rPr>
            </w:pPr>
            <w:r w:rsidRPr="00272E0E">
              <w:rPr>
                <w:rFonts w:ascii="Verdana" w:hAnsi="Verdana" w:cs="Arial"/>
              </w:rPr>
              <w:t>Consejo De Estado. Sección Tercera. Subsección B. Sentencia de 8 de mayo de 2019. Exp: 56343. MP: Martin Bermúdez Muñoz.</w:t>
            </w:r>
          </w:p>
          <w:p w14:paraId="4C9BFEDC" w14:textId="77777777" w:rsidR="00911C6D" w:rsidRPr="00272E0E" w:rsidRDefault="00911C6D" w:rsidP="007E51D4">
            <w:pPr>
              <w:pStyle w:val="Prrafodelista"/>
              <w:widowControl w:val="0"/>
              <w:numPr>
                <w:ilvl w:val="0"/>
                <w:numId w:val="16"/>
              </w:numPr>
              <w:autoSpaceDE w:val="0"/>
              <w:autoSpaceDN w:val="0"/>
              <w:spacing w:before="120" w:after="120" w:line="276" w:lineRule="auto"/>
              <w:jc w:val="both"/>
              <w:rPr>
                <w:rFonts w:ascii="Verdana" w:hAnsi="Verdana" w:cs="Arial"/>
              </w:rPr>
            </w:pPr>
            <w:r w:rsidRPr="00272E0E">
              <w:rPr>
                <w:rFonts w:ascii="Verdana" w:hAnsi="Verdana" w:cs="Arial"/>
              </w:rPr>
              <w:t>PINO RICCI, Jorge. El régimen jurídico de los contratos estatales. Primera edición, 2005, Universidad Externado de Colombia. pp. 354.</w:t>
            </w:r>
          </w:p>
          <w:p w14:paraId="178D240D" w14:textId="77777777" w:rsidR="00911C6D" w:rsidRPr="00272E0E" w:rsidRDefault="00911C6D" w:rsidP="007E51D4">
            <w:pPr>
              <w:pStyle w:val="Prrafodelista"/>
              <w:widowControl w:val="0"/>
              <w:numPr>
                <w:ilvl w:val="0"/>
                <w:numId w:val="16"/>
              </w:numPr>
              <w:autoSpaceDE w:val="0"/>
              <w:autoSpaceDN w:val="0"/>
              <w:spacing w:before="120" w:after="120" w:line="276" w:lineRule="auto"/>
              <w:jc w:val="both"/>
              <w:rPr>
                <w:rFonts w:ascii="Verdana" w:hAnsi="Verdana" w:cs="Arial"/>
              </w:rPr>
            </w:pPr>
            <w:r w:rsidRPr="00272E0E">
              <w:rPr>
                <w:rFonts w:ascii="Verdana" w:hAnsi="Verdana" w:cs="Arial"/>
              </w:rPr>
              <w:t>EXPÓSITO VÉLEZ, Juan Carlos. Forma y contenido del contrato estatal, Bogotá: Universidad Externado de Colombia, 2013, p. 190, 202, 203, y 207 a 210.</w:t>
            </w:r>
          </w:p>
          <w:p w14:paraId="1CACD04E" w14:textId="77777777" w:rsidR="00911C6D" w:rsidRPr="00270F47" w:rsidRDefault="00911C6D" w:rsidP="007E51D4">
            <w:pPr>
              <w:pStyle w:val="Prrafodelista"/>
              <w:widowControl w:val="0"/>
              <w:numPr>
                <w:ilvl w:val="0"/>
                <w:numId w:val="16"/>
              </w:numPr>
              <w:autoSpaceDE w:val="0"/>
              <w:autoSpaceDN w:val="0"/>
              <w:spacing w:before="120" w:after="120" w:line="276" w:lineRule="auto"/>
              <w:jc w:val="both"/>
              <w:rPr>
                <w:rFonts w:ascii="Verdana" w:hAnsi="Verdana" w:cs="Arial"/>
              </w:rPr>
            </w:pPr>
            <w:r w:rsidRPr="00272E0E">
              <w:rPr>
                <w:rFonts w:ascii="Verdana" w:hAnsi="Verdana" w:cs="Arial"/>
              </w:rPr>
              <w:t xml:space="preserve">PALACIO HINCAPIÉ, Juan A. La contratación de entidades estatales. Octava edición. 2020. Librería Jurídica Sánchez. p 565-566.  </w:t>
            </w:r>
          </w:p>
        </w:tc>
      </w:tr>
    </w:tbl>
    <w:p w14:paraId="5D1B6BA9" w14:textId="77777777" w:rsidR="00911C6D" w:rsidRPr="00B70560" w:rsidRDefault="00911C6D" w:rsidP="00911C6D">
      <w:pPr>
        <w:widowControl w:val="0"/>
        <w:autoSpaceDE w:val="0"/>
        <w:autoSpaceDN w:val="0"/>
        <w:spacing w:after="0" w:line="276" w:lineRule="auto"/>
        <w:jc w:val="both"/>
        <w:rPr>
          <w:rFonts w:ascii="Verdana" w:hAnsi="Verdana" w:cs="Arial"/>
          <w:lang w:val="es-ES"/>
        </w:rPr>
      </w:pPr>
    </w:p>
    <w:p w14:paraId="7FFE2269" w14:textId="77777777" w:rsidR="00911C6D" w:rsidRPr="00B70560" w:rsidRDefault="00911C6D" w:rsidP="00911C6D">
      <w:pPr>
        <w:tabs>
          <w:tab w:val="left" w:pos="142"/>
          <w:tab w:val="left" w:pos="284"/>
        </w:tabs>
        <w:spacing w:after="0" w:line="276" w:lineRule="auto"/>
        <w:jc w:val="both"/>
        <w:rPr>
          <w:rFonts w:ascii="Verdana" w:eastAsia="Century Gothic" w:hAnsi="Verdana" w:cs="Century Gothic"/>
          <w:b/>
          <w:lang w:val="es-ES"/>
        </w:rPr>
      </w:pPr>
      <w:r w:rsidRPr="00B70560">
        <w:rPr>
          <w:rFonts w:ascii="Verdana" w:eastAsia="Century Gothic" w:hAnsi="Verdana" w:cs="Century Gothic"/>
          <w:b/>
          <w:lang w:val="es-ES"/>
        </w:rPr>
        <w:t>5. Doctrina de la Agencia Nacional de Contratación Pública:</w:t>
      </w:r>
    </w:p>
    <w:p w14:paraId="537B0530" w14:textId="77777777" w:rsidR="00911C6D" w:rsidRPr="00D32EE3" w:rsidRDefault="00911C6D" w:rsidP="00911C6D">
      <w:pPr>
        <w:widowControl w:val="0"/>
        <w:autoSpaceDE w:val="0"/>
        <w:autoSpaceDN w:val="0"/>
        <w:spacing w:after="0" w:line="276" w:lineRule="auto"/>
        <w:jc w:val="both"/>
        <w:rPr>
          <w:rFonts w:ascii="Verdana" w:hAnsi="Verdana" w:cs="Arial"/>
          <w:lang w:val="es-ES"/>
        </w:rPr>
      </w:pPr>
    </w:p>
    <w:p w14:paraId="3182E3C5" w14:textId="77777777" w:rsidR="00911C6D" w:rsidRPr="000E19A9" w:rsidRDefault="00911C6D" w:rsidP="00911C6D">
      <w:pPr>
        <w:spacing w:after="0" w:line="276" w:lineRule="auto"/>
        <w:jc w:val="both"/>
        <w:rPr>
          <w:rStyle w:val="normaltextrun"/>
          <w:rFonts w:ascii="Verdana" w:hAnsi="Verdana" w:cs="Arial"/>
          <w:shd w:val="clear" w:color="auto" w:fill="FFFFFF"/>
          <w:lang w:val="es-ES"/>
        </w:rPr>
      </w:pPr>
      <w:r w:rsidRPr="000E19A9">
        <w:rPr>
          <w:rFonts w:ascii="Verdana" w:eastAsia="Calibri" w:hAnsi="Verdana" w:cs="Arial"/>
          <w:lang w:val="es-ES"/>
        </w:rPr>
        <w:t xml:space="preserve">La Agencia Nacional de Contratación Pública – Colombia Compra Eficiente se ha referido </w:t>
      </w:r>
      <w:r w:rsidRPr="000E19A9">
        <w:rPr>
          <w:rFonts w:ascii="Verdana" w:hAnsi="Verdana" w:cs="Arial"/>
          <w:shd w:val="clear" w:color="auto" w:fill="FFFFFF"/>
          <w:lang w:val="es-ES"/>
        </w:rPr>
        <w:t xml:space="preserve">sobre la liquidación unilateral de los contratos en los conceptos con radicado </w:t>
      </w:r>
      <w:r w:rsidRPr="000E19A9">
        <w:rPr>
          <w:rFonts w:ascii="Verdana" w:eastAsia="Calibri" w:hAnsi="Verdana" w:cs="Arial"/>
          <w:lang w:val="es-ES_tradnl" w:eastAsia="es-ES_tradnl"/>
        </w:rPr>
        <w:t>C-220 del 18 de mayo de 2021,</w:t>
      </w:r>
      <w:r w:rsidRPr="000E19A9">
        <w:rPr>
          <w:rFonts w:ascii="Verdana" w:hAnsi="Verdana" w:cs="Arial"/>
          <w:shd w:val="clear" w:color="auto" w:fill="FFFFFF"/>
          <w:lang w:val="es-ES"/>
        </w:rPr>
        <w:t xml:space="preserve"> </w:t>
      </w:r>
      <w:r w:rsidRPr="000E19A9">
        <w:rPr>
          <w:rFonts w:ascii="Verdana" w:eastAsia="Calibri" w:hAnsi="Verdana" w:cs="Arial"/>
          <w:lang w:val="es-ES_tradnl" w:eastAsia="es-ES_tradnl"/>
        </w:rPr>
        <w:t>C-286 del 12 de mayo de 2022</w:t>
      </w:r>
      <w:r w:rsidRPr="000E19A9">
        <w:rPr>
          <w:rFonts w:ascii="Verdana" w:hAnsi="Verdana" w:cs="Arial"/>
          <w:shd w:val="clear" w:color="auto" w:fill="FFFFFF"/>
          <w:lang w:val="es-ES"/>
        </w:rPr>
        <w:t xml:space="preserve">, </w:t>
      </w:r>
      <w:r w:rsidRPr="000E19A9">
        <w:rPr>
          <w:rFonts w:ascii="Verdana" w:eastAsia="Calibri" w:hAnsi="Verdana" w:cs="Arial"/>
          <w:lang w:val="es-ES_tradnl" w:eastAsia="es-ES_tradnl"/>
        </w:rPr>
        <w:t xml:space="preserve">C-805 </w:t>
      </w:r>
      <w:r w:rsidRPr="000E19A9">
        <w:rPr>
          <w:rFonts w:ascii="Verdana" w:eastAsia="Calibri" w:hAnsi="Verdana" w:cs="Arial"/>
          <w:lang w:val="es-ES_tradnl" w:eastAsia="es-ES_tradnl"/>
        </w:rPr>
        <w:lastRenderedPageBreak/>
        <w:t>del 23 de noviembre de 2022</w:t>
      </w:r>
      <w:r w:rsidRPr="000E19A9">
        <w:rPr>
          <w:rFonts w:ascii="Verdana" w:hAnsi="Verdana" w:cs="Arial"/>
          <w:shd w:val="clear" w:color="auto" w:fill="FFFFFF"/>
          <w:lang w:val="es-ES"/>
        </w:rPr>
        <w:t xml:space="preserve">, </w:t>
      </w:r>
      <w:r w:rsidRPr="000E19A9">
        <w:rPr>
          <w:rFonts w:ascii="Verdana" w:eastAsia="Calibri" w:hAnsi="Verdana" w:cs="Arial"/>
          <w:lang w:val="es-ES_tradnl" w:eastAsia="es-ES_tradnl"/>
        </w:rPr>
        <w:t>C-739 del 29 de noviembre de 2022, C-015 del 24 de febrero del 2023,</w:t>
      </w:r>
      <w:r w:rsidRPr="000E19A9">
        <w:rPr>
          <w:rFonts w:ascii="Verdana" w:hAnsi="Verdana" w:cs="Arial"/>
          <w:shd w:val="clear" w:color="auto" w:fill="FFFFFF"/>
          <w:lang w:val="es-ES"/>
        </w:rPr>
        <w:t xml:space="preserve"> </w:t>
      </w:r>
      <w:r w:rsidRPr="000E19A9">
        <w:rPr>
          <w:rFonts w:ascii="Verdana" w:eastAsia="Calibri" w:hAnsi="Verdana" w:cs="Arial"/>
          <w:lang w:val="es-ES_tradnl" w:eastAsia="es-ES_tradnl"/>
        </w:rPr>
        <w:t>C-158 del 06 de junio del 2023,</w:t>
      </w:r>
      <w:r w:rsidRPr="000E19A9">
        <w:rPr>
          <w:rFonts w:ascii="Verdana" w:hAnsi="Verdana" w:cs="Arial"/>
          <w:shd w:val="clear" w:color="auto" w:fill="FFFFFF"/>
          <w:lang w:val="es-ES"/>
        </w:rPr>
        <w:t xml:space="preserve"> </w:t>
      </w:r>
      <w:r w:rsidRPr="000E19A9">
        <w:rPr>
          <w:rFonts w:ascii="Verdana" w:eastAsia="Calibri" w:hAnsi="Verdana" w:cs="Arial"/>
          <w:lang w:val="es-ES_tradnl" w:eastAsia="es-ES_tradnl"/>
        </w:rPr>
        <w:t>C-176 del 03 de mayo del 2023,</w:t>
      </w:r>
      <w:r w:rsidRPr="000E19A9">
        <w:rPr>
          <w:rFonts w:ascii="Verdana" w:hAnsi="Verdana" w:cs="Arial"/>
          <w:shd w:val="clear" w:color="auto" w:fill="FFFFFF"/>
          <w:lang w:val="es-ES"/>
        </w:rPr>
        <w:t xml:space="preserve"> </w:t>
      </w:r>
      <w:r w:rsidRPr="000E19A9">
        <w:rPr>
          <w:rFonts w:ascii="Verdana" w:eastAsia="Calibri" w:hAnsi="Verdana" w:cs="Arial"/>
          <w:lang w:val="es-ES_tradnl" w:eastAsia="es-ES_tradnl"/>
        </w:rPr>
        <w:t>C-427 del 27 de noviembre del 2023, C-346 del 29 de agosto de 2024</w:t>
      </w:r>
      <w:r w:rsidRPr="000E19A9">
        <w:rPr>
          <w:rFonts w:ascii="Verdana" w:hAnsi="Verdana" w:cs="Arial"/>
          <w:shd w:val="clear" w:color="auto" w:fill="FFFFFF"/>
          <w:lang w:val="es-ES"/>
        </w:rPr>
        <w:t xml:space="preserve">, </w:t>
      </w:r>
      <w:r w:rsidRPr="000E19A9">
        <w:rPr>
          <w:rFonts w:ascii="Verdana" w:eastAsia="Calibri" w:hAnsi="Verdana" w:cs="Arial"/>
          <w:lang w:val="es-ES_tradnl" w:eastAsia="es-ES_tradnl"/>
        </w:rPr>
        <w:t>C-608 del 28 de octubre de 2024</w:t>
      </w:r>
      <w:r w:rsidRPr="000E19A9">
        <w:rPr>
          <w:rFonts w:ascii="Verdana" w:hAnsi="Verdana" w:cs="Arial"/>
          <w:shd w:val="clear" w:color="auto" w:fill="FFFFFF"/>
          <w:lang w:val="es-ES"/>
        </w:rPr>
        <w:t xml:space="preserve"> y </w:t>
      </w:r>
      <w:r w:rsidRPr="000E19A9">
        <w:rPr>
          <w:rFonts w:ascii="Verdana" w:eastAsia="Calibri" w:hAnsi="Verdana" w:cs="Arial"/>
          <w:lang w:val="es-ES_tradnl" w:eastAsia="es-ES_tradnl"/>
        </w:rPr>
        <w:t>C-1730 del 29 de diciembre de 2025</w:t>
      </w:r>
      <w:r w:rsidRPr="000E19A9">
        <w:rPr>
          <w:rFonts w:ascii="Verdana" w:eastAsia="Calibri" w:hAnsi="Verdana" w:cs="Arial"/>
          <w:lang w:val="es-ES_tradnl" w:eastAsia="es-ES"/>
        </w:rPr>
        <w:t>, entre otros.</w:t>
      </w:r>
    </w:p>
    <w:p w14:paraId="0568D489" w14:textId="77777777" w:rsidR="00911C6D" w:rsidRPr="00835586" w:rsidRDefault="00911C6D" w:rsidP="00911C6D">
      <w:pPr>
        <w:spacing w:after="0" w:line="276" w:lineRule="auto"/>
        <w:jc w:val="both"/>
        <w:rPr>
          <w:rStyle w:val="normaltextrun"/>
          <w:rFonts w:ascii="Verdana" w:hAnsi="Verdana" w:cs="Arial"/>
          <w:color w:val="806000" w:themeColor="accent4" w:themeShade="80"/>
          <w:shd w:val="clear" w:color="auto" w:fill="FFFFFF"/>
          <w:lang w:val="es-ES"/>
        </w:rPr>
      </w:pPr>
    </w:p>
    <w:p w14:paraId="21AE48B0" w14:textId="77777777" w:rsidR="00911C6D" w:rsidRPr="00835586" w:rsidRDefault="00911C6D" w:rsidP="00911C6D">
      <w:pPr>
        <w:spacing w:after="0" w:line="276" w:lineRule="auto"/>
        <w:jc w:val="both"/>
        <w:rPr>
          <w:rFonts w:ascii="Verdana" w:hAnsi="Verdana"/>
          <w:color w:val="806000" w:themeColor="accent4" w:themeShade="80"/>
          <w:lang w:val="es-ES"/>
        </w:rPr>
      </w:pPr>
      <w:r w:rsidRPr="00B70560">
        <w:rPr>
          <w:rFonts w:ascii="Verdana" w:hAnsi="Verdana" w:cs="Arial"/>
          <w:shd w:val="clear" w:color="auto" w:fill="FFFFFF"/>
          <w:lang w:val="es-ES"/>
        </w:rPr>
        <w:t>Estos</w:t>
      </w:r>
      <w:r w:rsidRPr="00B70560">
        <w:rPr>
          <w:rFonts w:ascii="Verdana" w:hAnsi="Verdana"/>
          <w:lang w:val="es-ES"/>
        </w:rPr>
        <w:t xml:space="preserve"> y otros se encuentran disponibles para consulta en el Sistema de relatoría de la Agencia, al cual se puede acceder a través del siguiente enlace:</w:t>
      </w:r>
      <w:r w:rsidRPr="00B70560">
        <w:rPr>
          <w:rFonts w:ascii="Verdana" w:hAnsi="Verdana" w:cs="Arial"/>
          <w:shd w:val="clear" w:color="auto" w:fill="FFFFFF"/>
          <w:lang w:val="es-ES"/>
        </w:rPr>
        <w:t xml:space="preserve"> </w:t>
      </w:r>
      <w:hyperlink r:id="rId12" w:history="1">
        <w:r w:rsidRPr="00B70560">
          <w:rPr>
            <w:rStyle w:val="Hipervnculo"/>
            <w:rFonts w:ascii="Verdana" w:hAnsi="Verdana" w:cs="Arial"/>
            <w:shd w:val="clear" w:color="auto" w:fill="FFFFFF"/>
            <w:lang w:val="es-ES"/>
          </w:rPr>
          <w:t>https://relatoria.colombiacompra.gov.co/busqueda/conceptos</w:t>
        </w:r>
      </w:hyperlink>
    </w:p>
    <w:p w14:paraId="36275544" w14:textId="77777777" w:rsidR="00911C6D" w:rsidRPr="00835586" w:rsidRDefault="00911C6D" w:rsidP="00911C6D">
      <w:pPr>
        <w:spacing w:after="0"/>
        <w:jc w:val="both"/>
        <w:rPr>
          <w:rFonts w:ascii="Verdana" w:hAnsi="Verdana" w:cs="Arial"/>
          <w:color w:val="806000" w:themeColor="accent4" w:themeShade="80"/>
          <w:shd w:val="clear" w:color="auto" w:fill="FFFFFF"/>
          <w:lang w:val="es-ES"/>
        </w:rPr>
      </w:pPr>
    </w:p>
    <w:p w14:paraId="1DFED691" w14:textId="77777777" w:rsidR="00911C6D" w:rsidRPr="00B70560" w:rsidRDefault="00911C6D" w:rsidP="00911C6D">
      <w:pPr>
        <w:spacing w:after="0"/>
        <w:jc w:val="both"/>
        <w:rPr>
          <w:rFonts w:ascii="Verdana" w:hAnsi="Verdana" w:cs="Arial"/>
          <w:shd w:val="clear" w:color="auto" w:fill="FFFFFF"/>
        </w:rPr>
      </w:pPr>
      <w:r w:rsidRPr="00B70560">
        <w:rPr>
          <w:rFonts w:ascii="Verdana" w:hAnsi="Verdana" w:cs="Arial"/>
          <w:shd w:val="clear" w:color="auto" w:fill="FFFFFF"/>
        </w:rPr>
        <w:t>También le contamos que ya se encuentra disponible la </w:t>
      </w:r>
      <w:r w:rsidRPr="00B70560">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B70560">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B70560">
          <w:rPr>
            <w:rStyle w:val="Hipervnculo"/>
            <w:rFonts w:ascii="Verdana" w:hAnsi="Verdana"/>
          </w:rPr>
          <w:t>Guía de lineamientos de transparencia y selección objetiva para el departamento de La Guajira – Objetivo sexto constitucional de la Sentencia T-302 del 2017</w:t>
        </w:r>
      </w:hyperlink>
    </w:p>
    <w:p w14:paraId="547A2961" w14:textId="77777777" w:rsidR="00911C6D" w:rsidRPr="00835586" w:rsidRDefault="00911C6D" w:rsidP="00911C6D">
      <w:pPr>
        <w:spacing w:after="0"/>
        <w:jc w:val="both"/>
        <w:rPr>
          <w:rFonts w:ascii="Verdana" w:hAnsi="Verdana" w:cs="Arial"/>
          <w:color w:val="806000" w:themeColor="accent4" w:themeShade="80"/>
          <w:shd w:val="clear" w:color="auto" w:fill="FFFFFF"/>
        </w:rPr>
      </w:pPr>
    </w:p>
    <w:p w14:paraId="6D924A9F" w14:textId="77777777" w:rsidR="00911C6D" w:rsidRPr="00B70560" w:rsidRDefault="00911C6D" w:rsidP="00911C6D">
      <w:pPr>
        <w:spacing w:after="0"/>
        <w:jc w:val="both"/>
        <w:rPr>
          <w:rFonts w:ascii="Verdana" w:hAnsi="Verdana" w:cs="Arial"/>
          <w:shd w:val="clear" w:color="auto" w:fill="FFFFFF"/>
        </w:rPr>
      </w:pPr>
      <w:r w:rsidRPr="00B70560">
        <w:rPr>
          <w:rFonts w:ascii="Verdana" w:hAnsi="Verdana" w:cs="Arial"/>
          <w:shd w:val="clear" w:color="auto" w:fill="FFFFFF"/>
        </w:rPr>
        <w:t xml:space="preserve">Por último, lo invitamos a seguirnos en las redes sociales en las cuales se difunde información institucional: </w:t>
      </w:r>
    </w:p>
    <w:p w14:paraId="2045B48B" w14:textId="77777777" w:rsidR="00911C6D" w:rsidRPr="00835586" w:rsidRDefault="00911C6D" w:rsidP="00911C6D">
      <w:pPr>
        <w:spacing w:after="0"/>
        <w:jc w:val="both"/>
        <w:rPr>
          <w:rFonts w:ascii="Verdana" w:hAnsi="Verdana" w:cs="Arial"/>
          <w:color w:val="806000" w:themeColor="accent4" w:themeShade="80"/>
          <w:shd w:val="clear" w:color="auto" w:fill="FFFFFF"/>
        </w:rPr>
      </w:pPr>
    </w:p>
    <w:p w14:paraId="2D2BF8DC" w14:textId="77777777" w:rsidR="00911C6D" w:rsidRPr="00B70560" w:rsidRDefault="00911C6D" w:rsidP="00911C6D">
      <w:pPr>
        <w:spacing w:after="0"/>
        <w:jc w:val="both"/>
        <w:rPr>
          <w:rFonts w:ascii="Verdana" w:hAnsi="Verdana" w:cs="Arial"/>
          <w:shd w:val="clear" w:color="auto" w:fill="FFFFFF"/>
        </w:rPr>
      </w:pPr>
      <w:r w:rsidRPr="00B70560">
        <w:rPr>
          <w:rFonts w:ascii="Verdana" w:hAnsi="Verdana" w:cs="Arial"/>
          <w:shd w:val="clear" w:color="auto" w:fill="FFFFFF"/>
        </w:rPr>
        <w:t xml:space="preserve">Twitter: </w:t>
      </w:r>
      <w:r w:rsidRPr="00B70560">
        <w:rPr>
          <w:rStyle w:val="Hipervnculo"/>
          <w:rFonts w:ascii="Verdana" w:hAnsi="Verdana"/>
          <w:lang w:val="es-ES"/>
        </w:rPr>
        <w:t xml:space="preserve">@colombiacompra </w:t>
      </w:r>
    </w:p>
    <w:p w14:paraId="0AF6EAE3" w14:textId="77777777" w:rsidR="00911C6D" w:rsidRPr="00B70560" w:rsidRDefault="00911C6D" w:rsidP="00911C6D">
      <w:pPr>
        <w:spacing w:after="0"/>
        <w:jc w:val="both"/>
        <w:rPr>
          <w:rFonts w:ascii="Verdana" w:hAnsi="Verdana" w:cs="Arial"/>
          <w:shd w:val="clear" w:color="auto" w:fill="FFFFFF"/>
        </w:rPr>
      </w:pPr>
      <w:r w:rsidRPr="00B70560">
        <w:rPr>
          <w:rFonts w:ascii="Verdana" w:hAnsi="Verdana" w:cs="Arial"/>
          <w:shd w:val="clear" w:color="auto" w:fill="FFFFFF"/>
        </w:rPr>
        <w:t>Facebook:</w:t>
      </w:r>
      <w:r w:rsidRPr="00B70560">
        <w:rPr>
          <w:rStyle w:val="Hipervnculo"/>
          <w:rFonts w:ascii="Verdana" w:hAnsi="Verdana"/>
          <w:color w:val="auto"/>
          <w:lang w:val="es-ES"/>
        </w:rPr>
        <w:t xml:space="preserve"> </w:t>
      </w:r>
      <w:r w:rsidRPr="00B70560">
        <w:rPr>
          <w:rStyle w:val="Hipervnculo"/>
          <w:rFonts w:ascii="Verdana" w:hAnsi="Verdana"/>
          <w:lang w:val="es-ES"/>
        </w:rPr>
        <w:t>ColombiaCompraEficiente</w:t>
      </w:r>
    </w:p>
    <w:p w14:paraId="3D9DCD93" w14:textId="77777777" w:rsidR="00911C6D" w:rsidRPr="00B70560" w:rsidRDefault="00911C6D" w:rsidP="00911C6D">
      <w:pPr>
        <w:spacing w:after="0"/>
        <w:jc w:val="both"/>
        <w:rPr>
          <w:rFonts w:ascii="Verdana" w:hAnsi="Verdana" w:cs="Arial"/>
          <w:shd w:val="clear" w:color="auto" w:fill="FFFFFF"/>
        </w:rPr>
      </w:pPr>
      <w:r w:rsidRPr="00B70560">
        <w:rPr>
          <w:rFonts w:ascii="Verdana" w:hAnsi="Verdana" w:cs="Arial"/>
          <w:shd w:val="clear" w:color="auto" w:fill="FFFFFF"/>
        </w:rPr>
        <w:t xml:space="preserve">LinkedIn: </w:t>
      </w:r>
      <w:r w:rsidRPr="00B70560">
        <w:rPr>
          <w:rStyle w:val="Hipervnculo"/>
          <w:rFonts w:ascii="Verdana" w:hAnsi="Verdana"/>
          <w:lang w:val="es-ES"/>
        </w:rPr>
        <w:t>Agencia Nacional de Contratación Pública - Colombia Compra Eficiente</w:t>
      </w:r>
      <w:r w:rsidRPr="00B70560">
        <w:rPr>
          <w:rFonts w:ascii="Verdana" w:hAnsi="Verdana" w:cs="Arial"/>
          <w:color w:val="0000FF"/>
          <w:shd w:val="clear" w:color="auto" w:fill="FFFFFF"/>
        </w:rPr>
        <w:t xml:space="preserve"> </w:t>
      </w:r>
    </w:p>
    <w:p w14:paraId="69E44256" w14:textId="77777777" w:rsidR="00911C6D" w:rsidRPr="00B70560" w:rsidRDefault="00911C6D" w:rsidP="00911C6D">
      <w:pPr>
        <w:spacing w:after="0"/>
        <w:jc w:val="both"/>
        <w:rPr>
          <w:rFonts w:ascii="Verdana" w:hAnsi="Verdana" w:cs="Arial"/>
          <w:color w:val="0000FF"/>
          <w:shd w:val="clear" w:color="auto" w:fill="FFFFFF"/>
        </w:rPr>
      </w:pPr>
      <w:r w:rsidRPr="00B70560">
        <w:rPr>
          <w:rFonts w:ascii="Verdana" w:hAnsi="Verdana" w:cs="Arial"/>
          <w:shd w:val="clear" w:color="auto" w:fill="FFFFFF"/>
        </w:rPr>
        <w:t xml:space="preserve">Instagram: </w:t>
      </w:r>
      <w:r w:rsidRPr="00B70560">
        <w:rPr>
          <w:rStyle w:val="Hipervnculo"/>
          <w:rFonts w:ascii="Verdana" w:hAnsi="Verdana"/>
          <w:lang w:val="es-ES"/>
        </w:rPr>
        <w:t>@colombiacompraeficiente_cce</w:t>
      </w:r>
    </w:p>
    <w:p w14:paraId="74D1D773" w14:textId="77777777" w:rsidR="00911C6D" w:rsidRPr="00835586" w:rsidRDefault="00911C6D" w:rsidP="00911C6D">
      <w:pPr>
        <w:widowControl w:val="0"/>
        <w:autoSpaceDE w:val="0"/>
        <w:autoSpaceDN w:val="0"/>
        <w:spacing w:after="0" w:line="276" w:lineRule="auto"/>
        <w:jc w:val="both"/>
        <w:rPr>
          <w:rFonts w:ascii="Verdana" w:hAnsi="Verdana" w:cs="Arial"/>
          <w:color w:val="806000" w:themeColor="accent4" w:themeShade="80"/>
          <w:lang w:val="es-ES"/>
        </w:rPr>
      </w:pPr>
    </w:p>
    <w:p w14:paraId="31433A6F" w14:textId="77777777" w:rsidR="00911C6D" w:rsidRPr="00B70560" w:rsidRDefault="00911C6D" w:rsidP="00911C6D">
      <w:pPr>
        <w:widowControl w:val="0"/>
        <w:autoSpaceDE w:val="0"/>
        <w:autoSpaceDN w:val="0"/>
        <w:spacing w:after="0" w:line="276" w:lineRule="auto"/>
        <w:jc w:val="both"/>
        <w:rPr>
          <w:rFonts w:ascii="Verdana" w:hAnsi="Verdana" w:cs="Arial"/>
          <w:lang w:val="es-ES"/>
        </w:rPr>
      </w:pPr>
      <w:r w:rsidRPr="00B70560">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B257E46" w14:textId="77777777" w:rsidR="00911C6D" w:rsidRPr="00835586" w:rsidRDefault="00911C6D" w:rsidP="00911C6D">
      <w:pPr>
        <w:widowControl w:val="0"/>
        <w:autoSpaceDE w:val="0"/>
        <w:autoSpaceDN w:val="0"/>
        <w:spacing w:after="0" w:line="276" w:lineRule="auto"/>
        <w:jc w:val="both"/>
        <w:rPr>
          <w:rFonts w:ascii="Verdana" w:hAnsi="Verdana" w:cs="Arial"/>
          <w:color w:val="806000" w:themeColor="accent4" w:themeShade="80"/>
          <w:lang w:val="es-ES"/>
        </w:rPr>
      </w:pPr>
    </w:p>
    <w:p w14:paraId="686A4E58" w14:textId="77777777" w:rsidR="00911C6D" w:rsidRPr="00B70560" w:rsidRDefault="00911C6D" w:rsidP="00911C6D">
      <w:pPr>
        <w:spacing w:after="0" w:line="276" w:lineRule="auto"/>
        <w:rPr>
          <w:rFonts w:ascii="Verdana" w:hAnsi="Verdana" w:cs="Arial"/>
          <w:lang w:val="es-ES" w:eastAsia="es-CO"/>
        </w:rPr>
      </w:pPr>
      <w:r w:rsidRPr="00B70560">
        <w:rPr>
          <w:rFonts w:ascii="Verdana" w:eastAsia="Times New Roman" w:hAnsi="Verdana" w:cs="Arial"/>
          <w:lang w:val="es-ES" w:eastAsia="es-CO"/>
        </w:rPr>
        <w:t>Atentamente,</w:t>
      </w:r>
      <w:r w:rsidRPr="00B70560">
        <w:rPr>
          <w:rFonts w:ascii="Verdana" w:hAnsi="Verdana" w:cs="Arial"/>
          <w:lang w:val="es-ES" w:eastAsia="es-CO"/>
        </w:rPr>
        <w:t xml:space="preserve"> </w:t>
      </w:r>
    </w:p>
    <w:p w14:paraId="514C7D2E" w14:textId="55A7FB16" w:rsidR="00911C6D" w:rsidRPr="00B70560" w:rsidRDefault="00911C6D" w:rsidP="00911C6D">
      <w:pPr>
        <w:spacing w:after="0" w:line="276" w:lineRule="auto"/>
        <w:jc w:val="center"/>
        <w:rPr>
          <w:rFonts w:ascii="Verdana" w:hAnsi="Verdana"/>
          <w:noProof/>
        </w:rPr>
      </w:pPr>
    </w:p>
    <w:p w14:paraId="7E6B272C" w14:textId="77777777" w:rsidR="00911C6D" w:rsidRPr="00B70560" w:rsidRDefault="00911C6D" w:rsidP="00911C6D">
      <w:pPr>
        <w:spacing w:after="0" w:line="276" w:lineRule="auto"/>
        <w:jc w:val="center"/>
        <w:rPr>
          <w:rFonts w:ascii="Verdana" w:hAnsi="Verdana"/>
          <w:noProof/>
        </w:rPr>
      </w:pPr>
    </w:p>
    <w:p w14:paraId="6FCABE8A" w14:textId="77777777" w:rsidR="00911C6D" w:rsidRPr="00B70560" w:rsidRDefault="00911C6D" w:rsidP="00911C6D">
      <w:pPr>
        <w:spacing w:after="0" w:line="276" w:lineRule="auto"/>
        <w:jc w:val="center"/>
        <w:rPr>
          <w:rFonts w:ascii="Verdana" w:hAnsi="Verdana"/>
          <w:noProof/>
        </w:rPr>
      </w:pPr>
    </w:p>
    <w:p w14:paraId="4E048A1A" w14:textId="326BDA1F" w:rsidR="00911C6D" w:rsidRPr="00F50B13" w:rsidRDefault="00845CF8" w:rsidP="00F50B13">
      <w:pPr>
        <w:spacing w:after="0" w:line="276" w:lineRule="auto"/>
        <w:jc w:val="center"/>
        <w:rPr>
          <w:rFonts w:ascii="Verdana" w:hAnsi="Verdana"/>
          <w:noProof/>
        </w:rPr>
      </w:pPr>
      <w:r w:rsidRPr="00845CF8">
        <w:rPr>
          <w:rFonts w:ascii="Verdana" w:hAnsi="Verdana"/>
          <w:noProof/>
        </w:rPr>
        <w:drawing>
          <wp:inline distT="0" distB="0" distL="0" distR="0" wp14:anchorId="72D51BDD" wp14:editId="0B55B817">
            <wp:extent cx="3086100" cy="1213866"/>
            <wp:effectExtent l="0" t="0" r="0" b="5715"/>
            <wp:docPr id="27998152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981521" name="Imagen 1" descr="Texto&#10;&#10;El contenido generado por IA puede ser incorrecto."/>
                    <pic:cNvPicPr/>
                  </pic:nvPicPr>
                  <pic:blipFill rotWithShape="1">
                    <a:blip r:embed="rId14"/>
                    <a:srcRect t="23871"/>
                    <a:stretch>
                      <a:fillRect/>
                    </a:stretch>
                  </pic:blipFill>
                  <pic:spPr bwMode="auto">
                    <a:xfrm>
                      <a:off x="0" y="0"/>
                      <a:ext cx="3087501" cy="1214417"/>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11C6D" w:rsidRPr="00B70560" w14:paraId="5C94CB39" w14:textId="77777777" w:rsidTr="007E51D4">
        <w:trPr>
          <w:trHeight w:val="315"/>
        </w:trPr>
        <w:tc>
          <w:tcPr>
            <w:tcW w:w="893" w:type="dxa"/>
            <w:vAlign w:val="center"/>
            <w:hideMark/>
          </w:tcPr>
          <w:p w14:paraId="1F32DBD1" w14:textId="77777777" w:rsidR="00911C6D" w:rsidRPr="00B70560" w:rsidRDefault="00911C6D" w:rsidP="007E51D4">
            <w:pPr>
              <w:contextualSpacing/>
              <w:rPr>
                <w:rFonts w:ascii="Verdana" w:hAnsi="Verdana" w:cs="Arial"/>
                <w:sz w:val="16"/>
                <w:szCs w:val="16"/>
                <w:lang w:val="es-ES" w:eastAsia="es-ES"/>
              </w:rPr>
            </w:pPr>
            <w:r w:rsidRPr="00B7056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27A8A1" w14:textId="77777777" w:rsidR="00911C6D" w:rsidRPr="00B70560" w:rsidRDefault="00911C6D" w:rsidP="007E51D4">
            <w:pPr>
              <w:rPr>
                <w:rFonts w:ascii="Verdana" w:eastAsia="Times New Roman" w:hAnsi="Verdana" w:cs="Arial"/>
                <w:sz w:val="16"/>
                <w:szCs w:val="16"/>
                <w:lang w:eastAsia="es-ES"/>
              </w:rPr>
            </w:pPr>
            <w:r w:rsidRPr="00B70560">
              <w:rPr>
                <w:rFonts w:ascii="Verdana" w:eastAsia="Times New Roman" w:hAnsi="Verdana" w:cs="Arial"/>
                <w:sz w:val="16"/>
                <w:szCs w:val="16"/>
                <w:lang w:eastAsia="es-ES"/>
              </w:rPr>
              <w:t>Camila Alejandra Naranjo Gómez</w:t>
            </w:r>
          </w:p>
          <w:p w14:paraId="757D222B" w14:textId="77777777" w:rsidR="00911C6D" w:rsidRPr="00B70560" w:rsidRDefault="00911C6D" w:rsidP="007E51D4">
            <w:pPr>
              <w:contextualSpacing/>
              <w:rPr>
                <w:rFonts w:ascii="Verdana" w:eastAsia="Arial" w:hAnsi="Verdana" w:cs="Arial"/>
                <w:sz w:val="16"/>
                <w:szCs w:val="16"/>
                <w:lang w:val="es-ES"/>
              </w:rPr>
            </w:pPr>
            <w:r w:rsidRPr="00B70560">
              <w:rPr>
                <w:rFonts w:ascii="Verdana" w:eastAsia="Times New Roman" w:hAnsi="Verdana" w:cs="Arial"/>
                <w:sz w:val="16"/>
                <w:szCs w:val="16"/>
                <w:lang w:eastAsia="es-ES"/>
              </w:rPr>
              <w:t>Analista T2-1 de la Subdirección de Gestión Contractual</w:t>
            </w:r>
          </w:p>
        </w:tc>
      </w:tr>
      <w:tr w:rsidR="00911C6D" w:rsidRPr="00B70560" w14:paraId="0DF63037" w14:textId="77777777" w:rsidTr="007E51D4">
        <w:trPr>
          <w:trHeight w:val="330"/>
        </w:trPr>
        <w:tc>
          <w:tcPr>
            <w:tcW w:w="893" w:type="dxa"/>
            <w:vAlign w:val="center"/>
            <w:hideMark/>
          </w:tcPr>
          <w:p w14:paraId="5345306F" w14:textId="77777777" w:rsidR="00911C6D" w:rsidRPr="00B70560" w:rsidRDefault="00911C6D" w:rsidP="007E51D4">
            <w:pPr>
              <w:contextualSpacing/>
              <w:rPr>
                <w:rFonts w:ascii="Verdana" w:hAnsi="Verdana" w:cs="Arial"/>
                <w:sz w:val="16"/>
                <w:szCs w:val="16"/>
                <w:lang w:val="es-ES" w:eastAsia="es-ES"/>
              </w:rPr>
            </w:pPr>
            <w:r w:rsidRPr="00B7056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05FED4A" w14:textId="77777777" w:rsidR="00911C6D" w:rsidRPr="00B70560" w:rsidRDefault="00911C6D" w:rsidP="007E51D4">
            <w:pPr>
              <w:rPr>
                <w:rFonts w:ascii="Verdana" w:eastAsia="Times New Roman" w:hAnsi="Verdana" w:cs="Arial"/>
                <w:sz w:val="16"/>
                <w:szCs w:val="16"/>
                <w:lang w:eastAsia="es-ES"/>
              </w:rPr>
            </w:pPr>
            <w:r w:rsidRPr="00B70560">
              <w:rPr>
                <w:rFonts w:ascii="Verdana" w:eastAsia="Times New Roman" w:hAnsi="Verdana" w:cs="Arial"/>
                <w:sz w:val="16"/>
                <w:szCs w:val="16"/>
                <w:lang w:eastAsia="es-ES"/>
              </w:rPr>
              <w:t>Alejandro Sarmiento Cantillo</w:t>
            </w:r>
          </w:p>
          <w:p w14:paraId="1B1EF6FE" w14:textId="77777777" w:rsidR="00911C6D" w:rsidRPr="00B70560" w:rsidRDefault="00911C6D" w:rsidP="007E51D4">
            <w:pPr>
              <w:pStyle w:val="paragraph"/>
              <w:spacing w:before="0" w:beforeAutospacing="0" w:after="0" w:afterAutospacing="0"/>
              <w:contextualSpacing/>
              <w:textAlignment w:val="baseline"/>
              <w:rPr>
                <w:rFonts w:ascii="Verdana" w:hAnsi="Verdana" w:cs="Segoe UI"/>
                <w:sz w:val="16"/>
                <w:szCs w:val="16"/>
                <w:lang w:val="es-ES"/>
              </w:rPr>
            </w:pPr>
            <w:r w:rsidRPr="00B70560">
              <w:rPr>
                <w:rFonts w:ascii="Verdana" w:hAnsi="Verdana" w:cs="Arial"/>
                <w:sz w:val="16"/>
                <w:szCs w:val="16"/>
                <w:lang w:eastAsia="es-ES"/>
              </w:rPr>
              <w:t>Gestor T1 ‒ 15 de la Subdirección de Gestión Contractual</w:t>
            </w:r>
          </w:p>
        </w:tc>
      </w:tr>
      <w:tr w:rsidR="00911C6D" w:rsidRPr="00B70560" w14:paraId="251C7AAA" w14:textId="77777777" w:rsidTr="007E51D4">
        <w:trPr>
          <w:trHeight w:val="300"/>
        </w:trPr>
        <w:tc>
          <w:tcPr>
            <w:tcW w:w="893" w:type="dxa"/>
            <w:vAlign w:val="center"/>
          </w:tcPr>
          <w:p w14:paraId="38A45B76" w14:textId="77777777" w:rsidR="00911C6D" w:rsidRPr="00B70560" w:rsidRDefault="00911C6D" w:rsidP="007E51D4">
            <w:pPr>
              <w:contextualSpacing/>
              <w:rPr>
                <w:rFonts w:ascii="Verdana" w:hAnsi="Verdana" w:cs="Arial"/>
                <w:sz w:val="16"/>
                <w:szCs w:val="16"/>
                <w:lang w:val="es-ES" w:eastAsia="es-ES"/>
              </w:rPr>
            </w:pPr>
            <w:r w:rsidRPr="00B7056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455A186" w14:textId="77777777" w:rsidR="00911C6D" w:rsidRPr="00B70560" w:rsidRDefault="00911C6D" w:rsidP="007E51D4">
            <w:pPr>
              <w:contextualSpacing/>
              <w:rPr>
                <w:rFonts w:ascii="Verdana" w:eastAsia="Calibri" w:hAnsi="Verdana" w:cs="Arial"/>
                <w:sz w:val="16"/>
                <w:szCs w:val="16"/>
                <w:lang w:val="es-ES" w:eastAsia="es-ES"/>
              </w:rPr>
            </w:pPr>
            <w:r w:rsidRPr="00B70560">
              <w:rPr>
                <w:rFonts w:ascii="Verdana" w:eastAsia="Calibri" w:hAnsi="Verdana" w:cs="Arial"/>
                <w:sz w:val="16"/>
                <w:szCs w:val="16"/>
                <w:lang w:val="es-ES" w:eastAsia="es-ES"/>
              </w:rPr>
              <w:t>Carolina Quintero Gacharná</w:t>
            </w:r>
          </w:p>
          <w:p w14:paraId="34225B7C" w14:textId="77777777" w:rsidR="00911C6D" w:rsidRPr="00B70560" w:rsidRDefault="00911C6D" w:rsidP="007E51D4">
            <w:pPr>
              <w:contextualSpacing/>
              <w:rPr>
                <w:rFonts w:ascii="Verdana" w:eastAsia="Calibri" w:hAnsi="Verdana" w:cs="Arial"/>
                <w:sz w:val="16"/>
                <w:szCs w:val="16"/>
                <w:lang w:val="es-ES" w:eastAsia="es-ES"/>
              </w:rPr>
            </w:pPr>
            <w:r w:rsidRPr="00B70560">
              <w:rPr>
                <w:rFonts w:ascii="Verdana" w:eastAsia="Calibri" w:hAnsi="Verdana" w:cs="Arial"/>
                <w:sz w:val="16"/>
                <w:szCs w:val="16"/>
                <w:lang w:val="es-ES" w:eastAsia="es-ES"/>
              </w:rPr>
              <w:t>Subdirectora de Gestión Contractual ANCP – CCE</w:t>
            </w:r>
          </w:p>
        </w:tc>
      </w:tr>
      <w:bookmarkEnd w:id="0"/>
    </w:tbl>
    <w:p w14:paraId="509AA4B2" w14:textId="77777777" w:rsidR="00911C6D" w:rsidRPr="00835586" w:rsidRDefault="00911C6D" w:rsidP="00911C6D">
      <w:pPr>
        <w:spacing w:after="120" w:line="276" w:lineRule="auto"/>
        <w:jc w:val="both"/>
        <w:rPr>
          <w:rFonts w:ascii="Verdana" w:eastAsia="Century Gothic" w:hAnsi="Verdana" w:cs="Century Gothic"/>
          <w:b/>
          <w:color w:val="806000" w:themeColor="accent4" w:themeShade="80"/>
          <w:lang w:val="es-ES"/>
        </w:rPr>
      </w:pPr>
    </w:p>
    <w:p w14:paraId="0F293BF4" w14:textId="79767F33" w:rsidR="00127233" w:rsidRPr="00911C6D" w:rsidRDefault="00127233" w:rsidP="00911C6D">
      <w:pPr>
        <w:rPr>
          <w:lang w:val="es-ES"/>
        </w:rPr>
      </w:pPr>
    </w:p>
    <w:sectPr w:rsidR="00127233" w:rsidRPr="00911C6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CDB24" w14:textId="77777777" w:rsidR="001701D5" w:rsidRDefault="001701D5" w:rsidP="004A1847">
      <w:pPr>
        <w:spacing w:after="0" w:line="240" w:lineRule="auto"/>
      </w:pPr>
      <w:r>
        <w:separator/>
      </w:r>
    </w:p>
  </w:endnote>
  <w:endnote w:type="continuationSeparator" w:id="0">
    <w:p w14:paraId="384C1F88" w14:textId="77777777" w:rsidR="001701D5" w:rsidRDefault="001701D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8661A6" w14:textId="77777777" w:rsidR="001701D5" w:rsidRDefault="001701D5" w:rsidP="004A1847">
      <w:pPr>
        <w:spacing w:after="0" w:line="240" w:lineRule="auto"/>
      </w:pPr>
      <w:r>
        <w:separator/>
      </w:r>
    </w:p>
  </w:footnote>
  <w:footnote w:type="continuationSeparator" w:id="0">
    <w:p w14:paraId="41913C80" w14:textId="77777777" w:rsidR="001701D5" w:rsidRDefault="001701D5" w:rsidP="004A1847">
      <w:pPr>
        <w:spacing w:after="0" w:line="240" w:lineRule="auto"/>
      </w:pPr>
      <w:r>
        <w:continuationSeparator/>
      </w:r>
    </w:p>
  </w:footnote>
  <w:footnote w:id="1">
    <w:p w14:paraId="3C193D28" w14:textId="77777777" w:rsidR="00911C6D" w:rsidRPr="004140ED" w:rsidRDefault="00911C6D" w:rsidP="00911C6D">
      <w:pPr>
        <w:pStyle w:val="Textonotapie"/>
        <w:ind w:firstLine="708"/>
        <w:jc w:val="both"/>
        <w:rPr>
          <w:rFonts w:ascii="Verdana" w:hAnsi="Verdana" w:cs="Arial"/>
          <w:sz w:val="16"/>
          <w:szCs w:val="16"/>
        </w:rPr>
      </w:pPr>
      <w:r w:rsidRPr="004140ED">
        <w:rPr>
          <w:rStyle w:val="Refdenotaalpie"/>
          <w:rFonts w:ascii="Verdana" w:hAnsi="Verdana" w:cs="Arial"/>
          <w:sz w:val="16"/>
          <w:szCs w:val="16"/>
        </w:rPr>
        <w:footnoteRef/>
      </w:r>
      <w:r w:rsidRPr="004140ED">
        <w:rPr>
          <w:rFonts w:ascii="Verdana" w:hAnsi="Verdana" w:cs="Arial"/>
          <w:sz w:val="16"/>
          <w:szCs w:val="16"/>
        </w:rPr>
        <w:t xml:space="preserve"> EXPÓSITO VÉLEZ, Juan Carlos. Forma y contenido del contrato estatal, Bogotá: Universidad Externado de Colombia, 2013, p. 190. </w:t>
      </w:r>
    </w:p>
  </w:footnote>
  <w:footnote w:id="2">
    <w:p w14:paraId="2F4BF72E" w14:textId="77777777" w:rsidR="00911C6D" w:rsidRPr="004852BD" w:rsidRDefault="00911C6D" w:rsidP="00911C6D">
      <w:pPr>
        <w:spacing w:after="0"/>
        <w:ind w:firstLine="708"/>
        <w:jc w:val="both"/>
        <w:rPr>
          <w:rFonts w:ascii="Verdana" w:hAnsi="Verdana" w:cs="Arial"/>
          <w:color w:val="000000" w:themeColor="text1"/>
          <w:sz w:val="12"/>
          <w:szCs w:val="12"/>
        </w:rPr>
      </w:pPr>
      <w:r w:rsidRPr="004140ED">
        <w:rPr>
          <w:rStyle w:val="Refdenotaalpie"/>
          <w:rFonts w:ascii="Verdana" w:hAnsi="Verdana" w:cs="Arial"/>
          <w:color w:val="000000" w:themeColor="text1"/>
          <w:sz w:val="16"/>
          <w:szCs w:val="16"/>
        </w:rPr>
        <w:footnoteRef/>
      </w:r>
      <w:r w:rsidRPr="004140ED">
        <w:rPr>
          <w:rFonts w:ascii="Verdana" w:hAnsi="Verdana" w:cs="Arial"/>
          <w:color w:val="000000" w:themeColor="text1"/>
          <w:sz w:val="16"/>
          <w:szCs w:val="16"/>
        </w:rPr>
        <w:t xml:space="preserve"> Diario Oficial No. 41.094 de 28 de octubre de 1993</w:t>
      </w:r>
    </w:p>
  </w:footnote>
  <w:footnote w:id="3">
    <w:p w14:paraId="10567CC6" w14:textId="77777777" w:rsidR="00911C6D" w:rsidRPr="00886869" w:rsidRDefault="00911C6D" w:rsidP="00911C6D">
      <w:pPr>
        <w:pStyle w:val="Textonotapie"/>
        <w:ind w:firstLine="708"/>
        <w:jc w:val="both"/>
        <w:rPr>
          <w:rFonts w:ascii="Verdana" w:hAnsi="Verdana" w:cs="Arial"/>
          <w:sz w:val="16"/>
          <w:szCs w:val="16"/>
        </w:rPr>
      </w:pPr>
      <w:r w:rsidRPr="00886869">
        <w:rPr>
          <w:rStyle w:val="Refdenotaalpie"/>
          <w:rFonts w:ascii="Verdana" w:hAnsi="Verdana" w:cs="Arial"/>
          <w:sz w:val="16"/>
          <w:szCs w:val="16"/>
        </w:rPr>
        <w:footnoteRef/>
      </w:r>
      <w:r w:rsidRPr="00886869">
        <w:rPr>
          <w:rFonts w:ascii="Verdana" w:hAnsi="Verdana" w:cs="Arial"/>
          <w:sz w:val="16"/>
          <w:szCs w:val="16"/>
        </w:rPr>
        <w:t xml:space="preserve"> EXPÓSITO VÉLEZ, Juan Carlos. Forma y contenido del contrato estatal, Bogotá: Universidad Externado de Colombia, 2013, p. 202 y 203. </w:t>
      </w:r>
    </w:p>
  </w:footnote>
  <w:footnote w:id="4">
    <w:p w14:paraId="60FD8255" w14:textId="77777777" w:rsidR="00911C6D" w:rsidRPr="009D551C" w:rsidRDefault="00911C6D" w:rsidP="00911C6D">
      <w:pPr>
        <w:pStyle w:val="Textonotapie"/>
        <w:ind w:firstLine="708"/>
        <w:jc w:val="both"/>
        <w:rPr>
          <w:rFonts w:ascii="Verdana" w:hAnsi="Verdana" w:cs="Arial"/>
          <w:sz w:val="16"/>
          <w:szCs w:val="16"/>
          <w:lang w:val="es-ES"/>
        </w:rPr>
      </w:pPr>
      <w:r w:rsidRPr="009D551C">
        <w:rPr>
          <w:rStyle w:val="Refdenotaalpie"/>
          <w:rFonts w:ascii="Verdana" w:hAnsi="Verdana" w:cs="Arial"/>
          <w:sz w:val="16"/>
          <w:szCs w:val="16"/>
        </w:rPr>
        <w:footnoteRef/>
      </w:r>
      <w:r w:rsidRPr="009D551C">
        <w:rPr>
          <w:rFonts w:ascii="Verdana" w:hAnsi="Verdana" w:cs="Arial"/>
          <w:sz w:val="16"/>
          <w:szCs w:val="16"/>
        </w:rPr>
        <w:t xml:space="preserve"> </w:t>
      </w:r>
      <w:r w:rsidRPr="009D551C">
        <w:rPr>
          <w:rFonts w:ascii="Verdana" w:hAnsi="Verdana" w:cs="Arial"/>
          <w:sz w:val="16"/>
          <w:szCs w:val="16"/>
          <w:lang w:val="es-ES"/>
        </w:rPr>
        <w:t>Consejo De Estado. Sección Tercera. Subsección A. Sentencia de 9 de mayo de 2012. Exp. 20.968. C.P. Mauricio Fajardo Gómez.</w:t>
      </w:r>
    </w:p>
  </w:footnote>
  <w:footnote w:id="5">
    <w:p w14:paraId="787DDEE0" w14:textId="77777777" w:rsidR="00911C6D" w:rsidRPr="009D551C" w:rsidRDefault="00911C6D" w:rsidP="00911C6D">
      <w:pPr>
        <w:pStyle w:val="Textonotapie"/>
        <w:ind w:firstLine="708"/>
        <w:jc w:val="both"/>
        <w:rPr>
          <w:rFonts w:ascii="Verdana" w:hAnsi="Verdana" w:cs="Arial"/>
          <w:sz w:val="16"/>
          <w:szCs w:val="16"/>
        </w:rPr>
      </w:pPr>
      <w:r w:rsidRPr="009D551C">
        <w:rPr>
          <w:rStyle w:val="Refdenotaalpie"/>
          <w:rFonts w:ascii="Verdana" w:hAnsi="Verdana" w:cs="Arial"/>
          <w:sz w:val="16"/>
          <w:szCs w:val="16"/>
        </w:rPr>
        <w:footnoteRef/>
      </w:r>
      <w:r w:rsidRPr="009D551C">
        <w:rPr>
          <w:rFonts w:ascii="Verdana" w:hAnsi="Verdana" w:cs="Arial"/>
          <w:sz w:val="16"/>
          <w:szCs w:val="16"/>
        </w:rPr>
        <w:t xml:space="preserve"> Artículo 41 de la Ley 80 de 1993. Del perfeccionamiento del contrato estatal: “[…]</w:t>
      </w:r>
    </w:p>
    <w:p w14:paraId="0FDC3C14" w14:textId="77777777" w:rsidR="00911C6D" w:rsidRPr="004852BD" w:rsidRDefault="00911C6D" w:rsidP="00911C6D">
      <w:pPr>
        <w:pStyle w:val="Textonotapie"/>
        <w:ind w:firstLine="708"/>
        <w:jc w:val="both"/>
        <w:rPr>
          <w:rFonts w:ascii="Verdana" w:hAnsi="Verdana" w:cs="Arial"/>
          <w:sz w:val="12"/>
          <w:szCs w:val="12"/>
        </w:rPr>
      </w:pPr>
      <w:r w:rsidRPr="009D551C">
        <w:rPr>
          <w:rFonts w:ascii="Verdana" w:hAnsi="Verdana" w:cs="Arial"/>
          <w:sz w:val="16"/>
          <w:szCs w:val="16"/>
        </w:rPr>
        <w:t>Los contratos estatales son intuito personae y, en consecuencia, una vez celebrados no podrán cederse sin previa autorización escrita de la entidad contratante. […]”.</w:t>
      </w:r>
    </w:p>
  </w:footnote>
  <w:footnote w:id="6">
    <w:p w14:paraId="0EF972C2" w14:textId="77777777" w:rsidR="00911C6D" w:rsidRPr="00E9188C" w:rsidRDefault="00911C6D" w:rsidP="00911C6D">
      <w:pPr>
        <w:pStyle w:val="Textonotapie"/>
        <w:ind w:firstLine="708"/>
        <w:jc w:val="both"/>
        <w:rPr>
          <w:rFonts w:ascii="Verdana" w:hAnsi="Verdana" w:cs="Arial"/>
          <w:sz w:val="16"/>
          <w:szCs w:val="16"/>
        </w:rPr>
      </w:pPr>
      <w:r w:rsidRPr="00E9188C">
        <w:rPr>
          <w:rStyle w:val="Refdenotaalpie"/>
          <w:rFonts w:ascii="Verdana" w:hAnsi="Verdana" w:cs="Arial"/>
          <w:sz w:val="16"/>
          <w:szCs w:val="16"/>
        </w:rPr>
        <w:footnoteRef/>
      </w:r>
      <w:r w:rsidRPr="00E9188C">
        <w:rPr>
          <w:rFonts w:ascii="Verdana" w:hAnsi="Verdana" w:cs="Arial"/>
          <w:sz w:val="16"/>
          <w:szCs w:val="16"/>
        </w:rPr>
        <w:t xml:space="preserve"> “[…] Se parte del hecho de que la escogencia del contratista comprende sus cualidades físicas y aptitudes para ejecutar aquello a lo que se ha comprometido, lo que hace lógica su inaplicación a las personas jurídicas, o al personal dispuesto por el contratista persona natural para la realización de las actividades propias del contrato. Entonces, ante la configuración de un caso de muerte del contratista, el contrato debe terminarse de forma unilateral, en vista de la evidente imposibilidad de hacerlo de mutuo acuerdo. </w:t>
      </w:r>
    </w:p>
    <w:p w14:paraId="12B42564" w14:textId="77777777" w:rsidR="00911C6D" w:rsidRPr="00E9188C" w:rsidRDefault="00911C6D" w:rsidP="00911C6D">
      <w:pPr>
        <w:pStyle w:val="Textonotapie"/>
        <w:ind w:firstLine="708"/>
        <w:jc w:val="both"/>
        <w:rPr>
          <w:rFonts w:ascii="Verdana" w:hAnsi="Verdana" w:cs="Arial"/>
          <w:sz w:val="16"/>
          <w:szCs w:val="16"/>
        </w:rPr>
      </w:pPr>
      <w:r w:rsidRPr="00E9188C">
        <w:rPr>
          <w:rFonts w:ascii="Verdana" w:hAnsi="Verdana" w:cs="Arial"/>
          <w:sz w:val="16"/>
          <w:szCs w:val="16"/>
        </w:rPr>
        <w:t xml:space="preserve">“Respecto de la incapacidad física permanente del contratista, la misma se constituye en una causal de terminación unilateral del contrato por las mismas razones determinadas para la muerte del colaborador de la administración. </w:t>
      </w:r>
    </w:p>
    <w:p w14:paraId="240B278D" w14:textId="77777777" w:rsidR="00911C6D" w:rsidRPr="00E9188C" w:rsidRDefault="00911C6D" w:rsidP="00911C6D">
      <w:pPr>
        <w:pStyle w:val="Textonotapie"/>
        <w:ind w:firstLine="708"/>
        <w:jc w:val="both"/>
        <w:rPr>
          <w:rFonts w:ascii="Verdana" w:hAnsi="Verdana" w:cs="Arial"/>
          <w:sz w:val="16"/>
          <w:szCs w:val="16"/>
        </w:rPr>
      </w:pPr>
      <w:r w:rsidRPr="00E9188C">
        <w:rPr>
          <w:rFonts w:ascii="Verdana" w:hAnsi="Verdana" w:cs="Arial"/>
          <w:sz w:val="16"/>
          <w:szCs w:val="16"/>
        </w:rPr>
        <w:t>“[E]n relación con la disolución de la persona jurídica contratista, su justificación como causal de terminación unilateral del contrato se hace evidente, toda vez que la misma, al comprender su desaparecimiento del mundo jurídico, equivale a la muerte de una persona natural […]”. EXPÓSITO VÉLEZ, Juan Carlos. Forma y contenido del contrato estatal, Bogotá: Universidad Externado de Colombia, 2013, p. 207 a 210.</w:t>
      </w:r>
    </w:p>
  </w:footnote>
  <w:footnote w:id="7">
    <w:p w14:paraId="5AF904DE" w14:textId="77777777" w:rsidR="00911C6D" w:rsidRPr="00E9188C" w:rsidRDefault="00911C6D" w:rsidP="00911C6D">
      <w:pPr>
        <w:pStyle w:val="Textonotapie"/>
        <w:ind w:firstLine="708"/>
        <w:jc w:val="both"/>
        <w:rPr>
          <w:rFonts w:ascii="Verdana" w:hAnsi="Verdana" w:cs="Arial"/>
          <w:sz w:val="16"/>
          <w:szCs w:val="16"/>
          <w:lang w:val="es-ES"/>
        </w:rPr>
      </w:pPr>
      <w:r w:rsidRPr="00E9188C">
        <w:rPr>
          <w:rStyle w:val="Refdenotaalpie"/>
          <w:rFonts w:ascii="Verdana" w:hAnsi="Verdana" w:cs="Arial"/>
          <w:sz w:val="16"/>
          <w:szCs w:val="16"/>
        </w:rPr>
        <w:footnoteRef/>
      </w:r>
      <w:r w:rsidRPr="00E9188C">
        <w:rPr>
          <w:rFonts w:ascii="Verdana" w:hAnsi="Verdana" w:cs="Arial"/>
          <w:sz w:val="16"/>
          <w:szCs w:val="16"/>
        </w:rPr>
        <w:t xml:space="preserve"> </w:t>
      </w:r>
      <w:r w:rsidRPr="00E9188C">
        <w:rPr>
          <w:rFonts w:ascii="Verdana" w:hAnsi="Verdana" w:cs="Arial"/>
          <w:sz w:val="16"/>
          <w:szCs w:val="16"/>
          <w:lang w:val="es-ES"/>
        </w:rPr>
        <w:t xml:space="preserve">Artículo 1008 del Código Civil. </w:t>
      </w:r>
    </w:p>
  </w:footnote>
  <w:footnote w:id="8">
    <w:p w14:paraId="1E3C9EC7" w14:textId="77777777" w:rsidR="00911C6D" w:rsidRPr="00E9188C" w:rsidRDefault="00911C6D" w:rsidP="00911C6D">
      <w:pPr>
        <w:pStyle w:val="Textonotapie"/>
        <w:ind w:firstLine="708"/>
        <w:jc w:val="both"/>
        <w:rPr>
          <w:rFonts w:ascii="Verdana" w:hAnsi="Verdana" w:cs="Arial"/>
          <w:sz w:val="16"/>
          <w:szCs w:val="16"/>
          <w:lang w:val="es-ES"/>
        </w:rPr>
      </w:pPr>
      <w:r w:rsidRPr="00E9188C">
        <w:rPr>
          <w:rStyle w:val="Refdenotaalpie"/>
          <w:rFonts w:ascii="Verdana" w:hAnsi="Verdana" w:cs="Arial"/>
          <w:sz w:val="16"/>
          <w:szCs w:val="16"/>
        </w:rPr>
        <w:footnoteRef/>
      </w:r>
      <w:r w:rsidRPr="00E9188C">
        <w:rPr>
          <w:rFonts w:ascii="Verdana" w:hAnsi="Verdana" w:cs="Arial"/>
          <w:sz w:val="16"/>
          <w:szCs w:val="16"/>
        </w:rPr>
        <w:t xml:space="preserve"> </w:t>
      </w:r>
      <w:r w:rsidRPr="00E9188C">
        <w:rPr>
          <w:rFonts w:ascii="Verdana" w:hAnsi="Verdana" w:cs="Arial"/>
          <w:sz w:val="16"/>
          <w:szCs w:val="16"/>
          <w:lang w:val="es-ES"/>
        </w:rPr>
        <w:t xml:space="preserve">CONSEJO DE ESTADO. Sección Tercera. Subsección B. Sentencia de 8 de mayo de 2019. Exp: 56343. MP: Martin Bermúdez Muñoz. </w:t>
      </w:r>
    </w:p>
    <w:p w14:paraId="16A401E0" w14:textId="77777777" w:rsidR="00911C6D" w:rsidRPr="004852BD" w:rsidRDefault="00911C6D" w:rsidP="00911C6D">
      <w:pPr>
        <w:pStyle w:val="Textonotapie"/>
        <w:ind w:firstLine="708"/>
        <w:jc w:val="both"/>
        <w:rPr>
          <w:rFonts w:ascii="Verdana" w:hAnsi="Verdana" w:cs="Arial"/>
          <w:sz w:val="12"/>
          <w:szCs w:val="12"/>
          <w:lang w:val="es-ES"/>
        </w:rPr>
      </w:pPr>
    </w:p>
  </w:footnote>
  <w:footnote w:id="9">
    <w:p w14:paraId="2CE8B017" w14:textId="77777777" w:rsidR="00911C6D" w:rsidRPr="006664AC" w:rsidRDefault="00911C6D" w:rsidP="00911C6D">
      <w:pPr>
        <w:pStyle w:val="Textonotapie"/>
        <w:ind w:firstLine="708"/>
        <w:jc w:val="both"/>
        <w:rPr>
          <w:rFonts w:ascii="Verdana" w:hAnsi="Verdana" w:cs="Arial"/>
          <w:sz w:val="16"/>
          <w:szCs w:val="16"/>
        </w:rPr>
      </w:pPr>
      <w:r w:rsidRPr="006664AC">
        <w:rPr>
          <w:rStyle w:val="Refdenotaalpie"/>
          <w:rFonts w:ascii="Verdana" w:hAnsi="Verdana" w:cs="Arial"/>
          <w:sz w:val="16"/>
          <w:szCs w:val="16"/>
        </w:rPr>
        <w:footnoteRef/>
      </w:r>
      <w:r w:rsidRPr="006664AC">
        <w:rPr>
          <w:rFonts w:ascii="Verdana" w:hAnsi="Verdana" w:cs="Arial"/>
          <w:sz w:val="16"/>
          <w:szCs w:val="16"/>
        </w:rPr>
        <w:t xml:space="preserve"> PINO RICCI, Jorge. El régimen jurídico de los contratos estatales. Primera edición, 2005, Universidad Externado de Colombia. pp. 354.  </w:t>
      </w:r>
    </w:p>
  </w:footnote>
  <w:footnote w:id="10">
    <w:p w14:paraId="75B8214B" w14:textId="77777777" w:rsidR="00911C6D" w:rsidRPr="004852BD" w:rsidRDefault="00911C6D" w:rsidP="00911C6D">
      <w:pPr>
        <w:pStyle w:val="Textonotapie"/>
        <w:ind w:firstLine="708"/>
        <w:jc w:val="both"/>
        <w:rPr>
          <w:rFonts w:ascii="Verdana" w:hAnsi="Verdana" w:cs="Arial"/>
          <w:sz w:val="12"/>
          <w:szCs w:val="12"/>
        </w:rPr>
      </w:pPr>
      <w:r w:rsidRPr="006664AC">
        <w:rPr>
          <w:rStyle w:val="Refdenotaalpie"/>
          <w:rFonts w:ascii="Verdana" w:hAnsi="Verdana" w:cs="Arial"/>
          <w:sz w:val="16"/>
          <w:szCs w:val="16"/>
        </w:rPr>
        <w:footnoteRef/>
      </w:r>
      <w:r w:rsidRPr="006664AC">
        <w:rPr>
          <w:rFonts w:ascii="Verdana" w:hAnsi="Verdana" w:cs="Arial"/>
          <w:sz w:val="16"/>
          <w:szCs w:val="16"/>
        </w:rPr>
        <w:t xml:space="preserve"> PALACIO HINCAPIÉ, Juan A. La contratación de entidades estatales. Octava edición. 2020. Librería Jurídica Sánchez. p 565-566</w:t>
      </w:r>
      <w:r w:rsidRPr="004852BD">
        <w:rPr>
          <w:rFonts w:ascii="Verdana" w:hAnsi="Verdana" w:cs="Arial"/>
          <w:sz w:val="12"/>
          <w:szCs w:val="12"/>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7E45706"/>
    <w:multiLevelType w:val="multilevel"/>
    <w:tmpl w:val="A7F01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ED93949"/>
    <w:multiLevelType w:val="multilevel"/>
    <w:tmpl w:val="D11242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2A73206"/>
    <w:multiLevelType w:val="multilevel"/>
    <w:tmpl w:val="89A62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15A410D"/>
    <w:multiLevelType w:val="multilevel"/>
    <w:tmpl w:val="9AECC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D653706"/>
    <w:multiLevelType w:val="multilevel"/>
    <w:tmpl w:val="620E3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7"/>
  </w:num>
  <w:num w:numId="7" w16cid:durableId="1946422806">
    <w:abstractNumId w:val="5"/>
  </w:num>
  <w:num w:numId="8" w16cid:durableId="152644682">
    <w:abstractNumId w:val="16"/>
  </w:num>
  <w:num w:numId="9" w16cid:durableId="1317221377">
    <w:abstractNumId w:val="7"/>
  </w:num>
  <w:num w:numId="10" w16cid:durableId="1471245386">
    <w:abstractNumId w:val="15"/>
  </w:num>
  <w:num w:numId="11" w16cid:durableId="289172385">
    <w:abstractNumId w:val="8"/>
  </w:num>
  <w:num w:numId="12" w16cid:durableId="1470781324">
    <w:abstractNumId w:val="0"/>
  </w:num>
  <w:num w:numId="13" w16cid:durableId="1512908409">
    <w:abstractNumId w:val="3"/>
  </w:num>
  <w:num w:numId="14" w16cid:durableId="895897244">
    <w:abstractNumId w:val="18"/>
  </w:num>
  <w:num w:numId="15" w16cid:durableId="390349800">
    <w:abstractNumId w:val="14"/>
  </w:num>
  <w:num w:numId="16" w16cid:durableId="153255849">
    <w:abstractNumId w:val="10"/>
  </w:num>
  <w:num w:numId="17" w16cid:durableId="246577048">
    <w:abstractNumId w:val="2"/>
  </w:num>
  <w:num w:numId="18" w16cid:durableId="2008701686">
    <w:abstractNumId w:val="13"/>
  </w:num>
  <w:num w:numId="19" w16cid:durableId="1964579262">
    <w:abstractNumId w:val="12"/>
  </w:num>
  <w:num w:numId="20" w16cid:durableId="943655634">
    <w:abstractNumId w:val="9"/>
  </w:num>
  <w:num w:numId="21" w16cid:durableId="6676332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521"/>
    <w:rsid w:val="00016F78"/>
    <w:rsid w:val="00032F5A"/>
    <w:rsid w:val="00046945"/>
    <w:rsid w:val="00061B2A"/>
    <w:rsid w:val="00082362"/>
    <w:rsid w:val="000A0F44"/>
    <w:rsid w:val="000A683E"/>
    <w:rsid w:val="000B19B9"/>
    <w:rsid w:val="000D0334"/>
    <w:rsid w:val="000D5DA7"/>
    <w:rsid w:val="000E1617"/>
    <w:rsid w:val="000F6486"/>
    <w:rsid w:val="00116940"/>
    <w:rsid w:val="00125105"/>
    <w:rsid w:val="00127233"/>
    <w:rsid w:val="0015699B"/>
    <w:rsid w:val="001701D5"/>
    <w:rsid w:val="001A33BF"/>
    <w:rsid w:val="001E4177"/>
    <w:rsid w:val="001F0B24"/>
    <w:rsid w:val="001F7DC6"/>
    <w:rsid w:val="00213022"/>
    <w:rsid w:val="0022400B"/>
    <w:rsid w:val="002421BB"/>
    <w:rsid w:val="0025796E"/>
    <w:rsid w:val="002707A2"/>
    <w:rsid w:val="002951A0"/>
    <w:rsid w:val="002962BC"/>
    <w:rsid w:val="002966F9"/>
    <w:rsid w:val="002A093D"/>
    <w:rsid w:val="002A0DD0"/>
    <w:rsid w:val="002A49AC"/>
    <w:rsid w:val="002A64FD"/>
    <w:rsid w:val="002C7A84"/>
    <w:rsid w:val="002D32D2"/>
    <w:rsid w:val="002E2BF8"/>
    <w:rsid w:val="002E4477"/>
    <w:rsid w:val="002E4FD9"/>
    <w:rsid w:val="003010FC"/>
    <w:rsid w:val="0030657A"/>
    <w:rsid w:val="0032216B"/>
    <w:rsid w:val="00322A85"/>
    <w:rsid w:val="00324168"/>
    <w:rsid w:val="00330834"/>
    <w:rsid w:val="003448F4"/>
    <w:rsid w:val="00374F5E"/>
    <w:rsid w:val="00377E3E"/>
    <w:rsid w:val="003A779E"/>
    <w:rsid w:val="003C0E80"/>
    <w:rsid w:val="003D0F4D"/>
    <w:rsid w:val="003D5B0D"/>
    <w:rsid w:val="003E0499"/>
    <w:rsid w:val="003E4F80"/>
    <w:rsid w:val="003E6439"/>
    <w:rsid w:val="003F3941"/>
    <w:rsid w:val="00406575"/>
    <w:rsid w:val="00414C74"/>
    <w:rsid w:val="00426ECB"/>
    <w:rsid w:val="0042722E"/>
    <w:rsid w:val="0044528D"/>
    <w:rsid w:val="00466E39"/>
    <w:rsid w:val="004A1847"/>
    <w:rsid w:val="004A305D"/>
    <w:rsid w:val="004F21C4"/>
    <w:rsid w:val="004F685F"/>
    <w:rsid w:val="00540D1F"/>
    <w:rsid w:val="00553447"/>
    <w:rsid w:val="005566E8"/>
    <w:rsid w:val="00574867"/>
    <w:rsid w:val="005814E9"/>
    <w:rsid w:val="00591460"/>
    <w:rsid w:val="005A65E0"/>
    <w:rsid w:val="005C3777"/>
    <w:rsid w:val="005C5CDC"/>
    <w:rsid w:val="005D476C"/>
    <w:rsid w:val="005D6D89"/>
    <w:rsid w:val="006200BF"/>
    <w:rsid w:val="00621428"/>
    <w:rsid w:val="006219F8"/>
    <w:rsid w:val="006302F7"/>
    <w:rsid w:val="00646B9F"/>
    <w:rsid w:val="00665D70"/>
    <w:rsid w:val="006900D9"/>
    <w:rsid w:val="00700158"/>
    <w:rsid w:val="00706C16"/>
    <w:rsid w:val="007340C3"/>
    <w:rsid w:val="0075235A"/>
    <w:rsid w:val="0075256E"/>
    <w:rsid w:val="00756841"/>
    <w:rsid w:val="007649AB"/>
    <w:rsid w:val="00771D0C"/>
    <w:rsid w:val="007833AC"/>
    <w:rsid w:val="007B268C"/>
    <w:rsid w:val="007B7171"/>
    <w:rsid w:val="007C0C0F"/>
    <w:rsid w:val="007C3DC2"/>
    <w:rsid w:val="007E5497"/>
    <w:rsid w:val="00806F5F"/>
    <w:rsid w:val="00820278"/>
    <w:rsid w:val="008258C9"/>
    <w:rsid w:val="00844AE9"/>
    <w:rsid w:val="00845CF8"/>
    <w:rsid w:val="00867F95"/>
    <w:rsid w:val="008843B6"/>
    <w:rsid w:val="00891928"/>
    <w:rsid w:val="008A446D"/>
    <w:rsid w:val="008A73F3"/>
    <w:rsid w:val="008B25F1"/>
    <w:rsid w:val="008D180B"/>
    <w:rsid w:val="008F0EA7"/>
    <w:rsid w:val="00911C6D"/>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7E47"/>
    <w:rsid w:val="00A85634"/>
    <w:rsid w:val="00AB0ADB"/>
    <w:rsid w:val="00AF2E1C"/>
    <w:rsid w:val="00B00C0E"/>
    <w:rsid w:val="00B01B1A"/>
    <w:rsid w:val="00B01B33"/>
    <w:rsid w:val="00B0381D"/>
    <w:rsid w:val="00B44A47"/>
    <w:rsid w:val="00B51B92"/>
    <w:rsid w:val="00B72CD3"/>
    <w:rsid w:val="00B72FFF"/>
    <w:rsid w:val="00B83770"/>
    <w:rsid w:val="00B84329"/>
    <w:rsid w:val="00BC3D36"/>
    <w:rsid w:val="00BD54A6"/>
    <w:rsid w:val="00BD7F72"/>
    <w:rsid w:val="00BF7425"/>
    <w:rsid w:val="00C00A88"/>
    <w:rsid w:val="00C04FB3"/>
    <w:rsid w:val="00C11D8B"/>
    <w:rsid w:val="00C15139"/>
    <w:rsid w:val="00C330EB"/>
    <w:rsid w:val="00C37036"/>
    <w:rsid w:val="00C50D69"/>
    <w:rsid w:val="00C5365C"/>
    <w:rsid w:val="00C754BE"/>
    <w:rsid w:val="00C76B1C"/>
    <w:rsid w:val="00C925AC"/>
    <w:rsid w:val="00CB6357"/>
    <w:rsid w:val="00CC1B26"/>
    <w:rsid w:val="00D361FD"/>
    <w:rsid w:val="00D370E1"/>
    <w:rsid w:val="00D423A2"/>
    <w:rsid w:val="00D44E26"/>
    <w:rsid w:val="00D520D8"/>
    <w:rsid w:val="00D63AC2"/>
    <w:rsid w:val="00D7383B"/>
    <w:rsid w:val="00D7788A"/>
    <w:rsid w:val="00DA231B"/>
    <w:rsid w:val="00DC39FC"/>
    <w:rsid w:val="00DF5254"/>
    <w:rsid w:val="00E02524"/>
    <w:rsid w:val="00E11327"/>
    <w:rsid w:val="00E16408"/>
    <w:rsid w:val="00E20894"/>
    <w:rsid w:val="00E245AB"/>
    <w:rsid w:val="00E2764C"/>
    <w:rsid w:val="00E27F2E"/>
    <w:rsid w:val="00E32C16"/>
    <w:rsid w:val="00E50AFE"/>
    <w:rsid w:val="00E75C92"/>
    <w:rsid w:val="00E771DC"/>
    <w:rsid w:val="00E8772A"/>
    <w:rsid w:val="00E90F6B"/>
    <w:rsid w:val="00E92C27"/>
    <w:rsid w:val="00EA0E3D"/>
    <w:rsid w:val="00EC38A7"/>
    <w:rsid w:val="00EE1AA8"/>
    <w:rsid w:val="00F23FEA"/>
    <w:rsid w:val="00F31EDC"/>
    <w:rsid w:val="00F462B3"/>
    <w:rsid w:val="00F50B13"/>
    <w:rsid w:val="00F5664F"/>
    <w:rsid w:val="00F643BD"/>
    <w:rsid w:val="00F666C4"/>
    <w:rsid w:val="00F76AFC"/>
    <w:rsid w:val="00F800F7"/>
    <w:rsid w:val="00FA47C0"/>
    <w:rsid w:val="00FB1F51"/>
    <w:rsid w:val="00FB5DD1"/>
    <w:rsid w:val="00FC2B5D"/>
    <w:rsid w:val="00FC7883"/>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11C6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11C6D"/>
    <w:rPr>
      <w:rFonts w:ascii="Geomanist Light" w:hAnsi="Geomanist Light"/>
      <w:lang w:val="es-ES"/>
    </w:rPr>
  </w:style>
  <w:style w:type="character" w:styleId="Refdecomentario">
    <w:name w:val="annotation reference"/>
    <w:basedOn w:val="Fuentedeprrafopredeter"/>
    <w:uiPriority w:val="99"/>
    <w:semiHidden/>
    <w:unhideWhenUsed/>
    <w:rsid w:val="00E11327"/>
    <w:rPr>
      <w:sz w:val="16"/>
      <w:szCs w:val="16"/>
    </w:rPr>
  </w:style>
  <w:style w:type="paragraph" w:styleId="Textocomentario">
    <w:name w:val="annotation text"/>
    <w:basedOn w:val="Normal"/>
    <w:link w:val="TextocomentarioCar"/>
    <w:uiPriority w:val="99"/>
    <w:unhideWhenUsed/>
    <w:rsid w:val="00E11327"/>
    <w:pPr>
      <w:spacing w:line="240" w:lineRule="auto"/>
    </w:pPr>
    <w:rPr>
      <w:sz w:val="20"/>
      <w:szCs w:val="20"/>
    </w:rPr>
  </w:style>
  <w:style w:type="character" w:customStyle="1" w:styleId="TextocomentarioCar">
    <w:name w:val="Texto comentario Car"/>
    <w:basedOn w:val="Fuentedeprrafopredeter"/>
    <w:link w:val="Textocomentario"/>
    <w:uiPriority w:val="99"/>
    <w:rsid w:val="00E11327"/>
    <w:rPr>
      <w:sz w:val="20"/>
      <w:szCs w:val="20"/>
    </w:rPr>
  </w:style>
  <w:style w:type="paragraph" w:styleId="Asuntodelcomentario">
    <w:name w:val="annotation subject"/>
    <w:basedOn w:val="Textocomentario"/>
    <w:next w:val="Textocomentario"/>
    <w:link w:val="AsuntodelcomentarioCar"/>
    <w:uiPriority w:val="99"/>
    <w:semiHidden/>
    <w:unhideWhenUsed/>
    <w:rsid w:val="00E11327"/>
    <w:rPr>
      <w:b/>
      <w:bCs/>
    </w:rPr>
  </w:style>
  <w:style w:type="character" w:customStyle="1" w:styleId="AsuntodelcomentarioCar">
    <w:name w:val="Asunto del comentario Car"/>
    <w:basedOn w:val="TextocomentarioCar"/>
    <w:link w:val="Asuntodelcomentario"/>
    <w:uiPriority w:val="99"/>
    <w:semiHidden/>
    <w:rsid w:val="00E1132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strucciondisciplinaria@agencialogistic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9FA8A10-05B8-4D13-AC7E-515E3B08B99D}"/>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15</Pages>
  <Words>4567</Words>
  <Characters>24575</Characters>
  <Application>Microsoft Office Word</Application>
  <DocSecurity>0</DocSecurity>
  <Lines>546</Lines>
  <Paragraphs>128</Paragraphs>
  <ScaleCrop>false</ScaleCrop>
  <Company/>
  <LinksUpToDate>false</LinksUpToDate>
  <CharactersWithSpaces>29014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9</cp:revision>
  <cp:lastPrinted>2023-01-10T21:18:00Z</cp:lastPrinted>
  <dcterms:created xsi:type="dcterms:W3CDTF">2026-01-13T20:14:00Z</dcterms:created>
  <dcterms:modified xsi:type="dcterms:W3CDTF">2026-01-13T21:08:00Z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