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6CF0E1" w14:textId="77777777" w:rsidR="00112B86" w:rsidRPr="00112B86" w:rsidRDefault="00112B86" w:rsidP="00112B86">
      <w:pPr>
        <w:spacing w:after="0"/>
        <w:jc w:val="both"/>
        <w:rPr>
          <w:rFonts w:ascii="Verdana" w:eastAsia="Geomanist Light" w:hAnsi="Verdana" w:cs="Arial"/>
        </w:rPr>
      </w:pPr>
      <w:r w:rsidRPr="00112B86">
        <w:rPr>
          <w:rFonts w:ascii="Verdana" w:eastAsia="Geomanist Light" w:hAnsi="Verdana" w:cs="Arial"/>
          <w:b/>
          <w:bCs/>
        </w:rPr>
        <w:t>PROFESIONAL EN INGENIERÍA – Ejercicio de la ingeniería – Aval – Procesos de contratación – Personas naturales – Personas jurídicas</w:t>
      </w:r>
    </w:p>
    <w:p w14:paraId="4AF1CAA8" w14:textId="77777777" w:rsidR="00112B86" w:rsidRDefault="00112B86" w:rsidP="00112B86">
      <w:pPr>
        <w:spacing w:after="0"/>
        <w:rPr>
          <w:rFonts w:ascii="Verdana" w:eastAsia="Geomanist Light" w:hAnsi="Verdana" w:cs="Arial"/>
        </w:rPr>
      </w:pPr>
    </w:p>
    <w:p w14:paraId="5B61CA45" w14:textId="716F03CD" w:rsidR="00112B86" w:rsidRPr="00112B86" w:rsidRDefault="00112B86" w:rsidP="00112B86">
      <w:pPr>
        <w:spacing w:after="0"/>
        <w:jc w:val="both"/>
        <w:rPr>
          <w:rFonts w:ascii="Verdana" w:eastAsia="Geomanist Light" w:hAnsi="Verdana" w:cs="Arial"/>
          <w:sz w:val="20"/>
          <w:szCs w:val="20"/>
        </w:rPr>
      </w:pPr>
      <w:r w:rsidRPr="00112B86">
        <w:rPr>
          <w:rFonts w:ascii="Verdana" w:eastAsia="Geomanist Light" w:hAnsi="Verdana" w:cs="Arial"/>
          <w:sz w:val="20"/>
          <w:szCs w:val="20"/>
        </w:rPr>
        <w:t>[…] en concordancia con el Consejo Profesional Nacional de Ingeniería –COPNIA–, la persona natural que presente propuesta en un proceso de contratación desarrollado en virtud de los documentos tipo de obra de infraestructura de transporte deberá acreditar título profesional en ingeniería de la rama correspondiente a la ejecución del objeto a contratar, sin que sea posible que ante la ausencia de dicho título participe con el aval de un ingeniero. En efecto, de acuerdo con los apartes citados, dicho aval por parte de un ingeniero solo es posible realizarlo en favor de una persona jurídica, por lo que, tratándose de personas naturales, ellas directamente deberán ser ingenieros.</w:t>
      </w:r>
    </w:p>
    <w:p w14:paraId="03CB16E4" w14:textId="77777777" w:rsidR="00112B86" w:rsidRDefault="00112B86" w:rsidP="005369FE">
      <w:pPr>
        <w:spacing w:after="0"/>
        <w:rPr>
          <w:rFonts w:ascii="Verdana" w:eastAsia="Geomanist Light" w:hAnsi="Verdana" w:cs="Arial"/>
        </w:rPr>
      </w:pPr>
    </w:p>
    <w:p w14:paraId="458E7972" w14:textId="77777777" w:rsidR="00112B86" w:rsidRDefault="00112B86" w:rsidP="005369FE">
      <w:pPr>
        <w:spacing w:after="0"/>
        <w:rPr>
          <w:rFonts w:ascii="Verdana" w:eastAsia="Geomanist Light" w:hAnsi="Verdana" w:cs="Arial"/>
        </w:rPr>
      </w:pPr>
    </w:p>
    <w:p w14:paraId="791B495C" w14:textId="77777777" w:rsidR="00112B86" w:rsidRDefault="00112B86" w:rsidP="005369FE">
      <w:pPr>
        <w:spacing w:after="0"/>
        <w:rPr>
          <w:rFonts w:ascii="Verdana" w:eastAsia="Geomanist Light" w:hAnsi="Verdana" w:cs="Arial"/>
        </w:rPr>
      </w:pPr>
    </w:p>
    <w:p w14:paraId="203DBF7E" w14:textId="77777777" w:rsidR="00112B86" w:rsidRDefault="00112B86" w:rsidP="005369FE">
      <w:pPr>
        <w:spacing w:after="0"/>
        <w:rPr>
          <w:rFonts w:ascii="Verdana" w:eastAsia="Geomanist Light" w:hAnsi="Verdana" w:cs="Arial"/>
        </w:rPr>
      </w:pPr>
    </w:p>
    <w:p w14:paraId="0EF48C5D" w14:textId="77777777" w:rsidR="00112B86" w:rsidRDefault="00112B86" w:rsidP="005369FE">
      <w:pPr>
        <w:spacing w:after="0"/>
        <w:rPr>
          <w:rFonts w:ascii="Verdana" w:eastAsia="Geomanist Light" w:hAnsi="Verdana" w:cs="Arial"/>
        </w:rPr>
      </w:pPr>
    </w:p>
    <w:p w14:paraId="24CFC4F6" w14:textId="77777777" w:rsidR="00112B86" w:rsidRDefault="00112B86" w:rsidP="005369FE">
      <w:pPr>
        <w:spacing w:after="0"/>
        <w:rPr>
          <w:rFonts w:ascii="Verdana" w:eastAsia="Geomanist Light" w:hAnsi="Verdana" w:cs="Arial"/>
        </w:rPr>
      </w:pPr>
    </w:p>
    <w:p w14:paraId="63BBA694" w14:textId="77777777" w:rsidR="00112B86" w:rsidRDefault="00112B86" w:rsidP="005369FE">
      <w:pPr>
        <w:spacing w:after="0"/>
        <w:rPr>
          <w:rFonts w:ascii="Verdana" w:eastAsia="Geomanist Light" w:hAnsi="Verdana" w:cs="Arial"/>
        </w:rPr>
      </w:pPr>
    </w:p>
    <w:p w14:paraId="60B5F456" w14:textId="77777777" w:rsidR="00112B86" w:rsidRDefault="00112B86" w:rsidP="005369FE">
      <w:pPr>
        <w:spacing w:after="0"/>
        <w:rPr>
          <w:rFonts w:ascii="Verdana" w:eastAsia="Geomanist Light" w:hAnsi="Verdana" w:cs="Arial"/>
        </w:rPr>
      </w:pPr>
    </w:p>
    <w:p w14:paraId="151C3871" w14:textId="77777777" w:rsidR="00112B86" w:rsidRDefault="00112B86" w:rsidP="005369FE">
      <w:pPr>
        <w:spacing w:after="0"/>
        <w:rPr>
          <w:rFonts w:ascii="Verdana" w:eastAsia="Geomanist Light" w:hAnsi="Verdana" w:cs="Arial"/>
        </w:rPr>
      </w:pPr>
    </w:p>
    <w:p w14:paraId="0DE38286" w14:textId="77777777" w:rsidR="00112B86" w:rsidRDefault="00112B86" w:rsidP="005369FE">
      <w:pPr>
        <w:spacing w:after="0"/>
        <w:rPr>
          <w:rFonts w:ascii="Verdana" w:eastAsia="Geomanist Light" w:hAnsi="Verdana" w:cs="Arial"/>
        </w:rPr>
      </w:pPr>
    </w:p>
    <w:p w14:paraId="338DE471" w14:textId="77777777" w:rsidR="00112B86" w:rsidRDefault="00112B86" w:rsidP="005369FE">
      <w:pPr>
        <w:spacing w:after="0"/>
        <w:rPr>
          <w:rFonts w:ascii="Verdana" w:eastAsia="Geomanist Light" w:hAnsi="Verdana" w:cs="Arial"/>
        </w:rPr>
      </w:pPr>
    </w:p>
    <w:p w14:paraId="3644C155" w14:textId="77777777" w:rsidR="00112B86" w:rsidRDefault="00112B86" w:rsidP="005369FE">
      <w:pPr>
        <w:spacing w:after="0"/>
        <w:rPr>
          <w:rFonts w:ascii="Verdana" w:eastAsia="Geomanist Light" w:hAnsi="Verdana" w:cs="Arial"/>
        </w:rPr>
      </w:pPr>
    </w:p>
    <w:p w14:paraId="1AF74520" w14:textId="77777777" w:rsidR="00112B86" w:rsidRDefault="00112B86" w:rsidP="005369FE">
      <w:pPr>
        <w:spacing w:after="0"/>
        <w:rPr>
          <w:rFonts w:ascii="Verdana" w:eastAsia="Geomanist Light" w:hAnsi="Verdana" w:cs="Arial"/>
        </w:rPr>
      </w:pPr>
    </w:p>
    <w:p w14:paraId="3FD7760C" w14:textId="77777777" w:rsidR="00112B86" w:rsidRDefault="00112B86" w:rsidP="005369FE">
      <w:pPr>
        <w:spacing w:after="0"/>
        <w:rPr>
          <w:rFonts w:ascii="Verdana" w:eastAsia="Geomanist Light" w:hAnsi="Verdana" w:cs="Arial"/>
        </w:rPr>
      </w:pPr>
    </w:p>
    <w:p w14:paraId="573AB6DF" w14:textId="77777777" w:rsidR="00112B86" w:rsidRDefault="00112B86" w:rsidP="005369FE">
      <w:pPr>
        <w:spacing w:after="0"/>
        <w:rPr>
          <w:rFonts w:ascii="Verdana" w:eastAsia="Geomanist Light" w:hAnsi="Verdana" w:cs="Arial"/>
        </w:rPr>
      </w:pPr>
    </w:p>
    <w:p w14:paraId="7B81F4B9" w14:textId="77777777" w:rsidR="00112B86" w:rsidRDefault="00112B86" w:rsidP="005369FE">
      <w:pPr>
        <w:spacing w:after="0"/>
        <w:rPr>
          <w:rFonts w:ascii="Verdana" w:eastAsia="Geomanist Light" w:hAnsi="Verdana" w:cs="Arial"/>
        </w:rPr>
      </w:pPr>
    </w:p>
    <w:p w14:paraId="78684663" w14:textId="77777777" w:rsidR="00112B86" w:rsidRDefault="00112B86" w:rsidP="005369FE">
      <w:pPr>
        <w:spacing w:after="0"/>
        <w:rPr>
          <w:rFonts w:ascii="Verdana" w:eastAsia="Geomanist Light" w:hAnsi="Verdana" w:cs="Arial"/>
        </w:rPr>
      </w:pPr>
    </w:p>
    <w:p w14:paraId="566F8CB5" w14:textId="77777777" w:rsidR="00112B86" w:rsidRDefault="00112B86" w:rsidP="005369FE">
      <w:pPr>
        <w:spacing w:after="0"/>
        <w:rPr>
          <w:rFonts w:ascii="Verdana" w:eastAsia="Geomanist Light" w:hAnsi="Verdana" w:cs="Arial"/>
        </w:rPr>
      </w:pPr>
    </w:p>
    <w:p w14:paraId="1610FD0E" w14:textId="77777777" w:rsidR="00112B86" w:rsidRDefault="00112B86" w:rsidP="005369FE">
      <w:pPr>
        <w:spacing w:after="0"/>
        <w:rPr>
          <w:rFonts w:ascii="Verdana" w:eastAsia="Geomanist Light" w:hAnsi="Verdana" w:cs="Arial"/>
        </w:rPr>
      </w:pPr>
    </w:p>
    <w:p w14:paraId="431B04C9" w14:textId="77777777" w:rsidR="00112B86" w:rsidRDefault="00112B86" w:rsidP="005369FE">
      <w:pPr>
        <w:spacing w:after="0"/>
        <w:rPr>
          <w:rFonts w:ascii="Verdana" w:eastAsia="Geomanist Light" w:hAnsi="Verdana" w:cs="Arial"/>
        </w:rPr>
      </w:pPr>
    </w:p>
    <w:p w14:paraId="79B29ADB" w14:textId="77777777" w:rsidR="00112B86" w:rsidRDefault="00112B86" w:rsidP="005369FE">
      <w:pPr>
        <w:spacing w:after="0"/>
        <w:rPr>
          <w:rFonts w:ascii="Verdana" w:eastAsia="Geomanist Light" w:hAnsi="Verdana" w:cs="Arial"/>
        </w:rPr>
      </w:pPr>
    </w:p>
    <w:p w14:paraId="172F1CAD" w14:textId="77777777" w:rsidR="00112B86" w:rsidRDefault="00112B86" w:rsidP="005369FE">
      <w:pPr>
        <w:spacing w:after="0"/>
        <w:rPr>
          <w:rFonts w:ascii="Verdana" w:eastAsia="Geomanist Light" w:hAnsi="Verdana" w:cs="Arial"/>
        </w:rPr>
      </w:pPr>
    </w:p>
    <w:p w14:paraId="140BB802" w14:textId="77777777" w:rsidR="00112B86" w:rsidRDefault="00112B86" w:rsidP="005369FE">
      <w:pPr>
        <w:spacing w:after="0"/>
        <w:rPr>
          <w:rFonts w:ascii="Verdana" w:eastAsia="Geomanist Light" w:hAnsi="Verdana" w:cs="Arial"/>
        </w:rPr>
      </w:pPr>
    </w:p>
    <w:p w14:paraId="09BC2A59" w14:textId="77777777" w:rsidR="00112B86" w:rsidRDefault="00112B86" w:rsidP="005369FE">
      <w:pPr>
        <w:spacing w:after="0"/>
        <w:rPr>
          <w:rFonts w:ascii="Verdana" w:eastAsia="Geomanist Light" w:hAnsi="Verdana" w:cs="Arial"/>
        </w:rPr>
      </w:pPr>
    </w:p>
    <w:p w14:paraId="3998D4A3" w14:textId="77777777" w:rsidR="00112B86" w:rsidRDefault="00112B86" w:rsidP="005369FE">
      <w:pPr>
        <w:spacing w:after="0"/>
        <w:rPr>
          <w:rFonts w:ascii="Verdana" w:eastAsia="Geomanist Light" w:hAnsi="Verdana" w:cs="Arial"/>
        </w:rPr>
      </w:pPr>
    </w:p>
    <w:p w14:paraId="3616F2C1" w14:textId="77777777" w:rsidR="00112B86" w:rsidRDefault="00112B86" w:rsidP="005369FE">
      <w:pPr>
        <w:spacing w:after="0"/>
        <w:rPr>
          <w:rFonts w:ascii="Verdana" w:eastAsia="Geomanist Light" w:hAnsi="Verdana" w:cs="Arial"/>
        </w:rPr>
      </w:pPr>
    </w:p>
    <w:p w14:paraId="23865299" w14:textId="77777777" w:rsidR="00112B86" w:rsidRDefault="00112B86" w:rsidP="005369FE">
      <w:pPr>
        <w:spacing w:after="0"/>
        <w:rPr>
          <w:rFonts w:ascii="Verdana" w:eastAsia="Geomanist Light" w:hAnsi="Verdana" w:cs="Arial"/>
        </w:rPr>
      </w:pPr>
    </w:p>
    <w:p w14:paraId="262B74AE" w14:textId="77777777" w:rsidR="00112B86" w:rsidRDefault="00112B86" w:rsidP="005369FE">
      <w:pPr>
        <w:spacing w:after="0"/>
        <w:rPr>
          <w:rFonts w:ascii="Verdana" w:eastAsia="Geomanist Light" w:hAnsi="Verdana" w:cs="Arial"/>
        </w:rPr>
      </w:pPr>
    </w:p>
    <w:p w14:paraId="717F9E2E" w14:textId="2554180D" w:rsidR="005369FE" w:rsidRPr="00661BE5" w:rsidRDefault="00642A91" w:rsidP="005369FE">
      <w:pPr>
        <w:spacing w:after="0"/>
        <w:rPr>
          <w:rFonts w:ascii="Verdana" w:eastAsia="Geomanist Light" w:hAnsi="Verdana" w:cs="Arial"/>
        </w:rPr>
      </w:pPr>
      <w:r w:rsidRPr="00642A91">
        <w:rPr>
          <w:rFonts w:ascii="Verdana" w:eastAsia="Geomanist Light" w:hAnsi="Verdana" w:cs="Arial"/>
        </w:rPr>
        <w:lastRenderedPageBreak/>
        <w:t>Bogotá D.C., 21 de</w:t>
      </w:r>
      <w:r w:rsidR="000A4AEB">
        <w:rPr>
          <w:rFonts w:ascii="Verdana" w:eastAsia="Geomanist Light" w:hAnsi="Verdana" w:cs="Arial"/>
        </w:rPr>
        <w:t xml:space="preserve"> e</w:t>
      </w:r>
      <w:r w:rsidRPr="00642A91">
        <w:rPr>
          <w:rFonts w:ascii="Verdana" w:eastAsia="Geomanist Light" w:hAnsi="Verdana" w:cs="Arial"/>
        </w:rPr>
        <w:t>nero de 2026</w:t>
      </w:r>
      <w:r w:rsidR="0043112B">
        <w:rPr>
          <w:rFonts w:ascii="Verdana" w:eastAsia="Geomanist Light" w:hAnsi="Verdana" w:cs="Arial"/>
        </w:rPr>
        <w:t xml:space="preserve"> </w:t>
      </w:r>
    </w:p>
    <w:p w14:paraId="47E436D5" w14:textId="38516572" w:rsidR="005369FE" w:rsidRDefault="00F879C9" w:rsidP="005369FE">
      <w:pPr>
        <w:spacing w:after="0" w:line="240" w:lineRule="auto"/>
        <w:jc w:val="both"/>
        <w:rPr>
          <w:rFonts w:ascii="Verdana" w:eastAsia="Calibri" w:hAnsi="Verdana" w:cs="Arial"/>
          <w:lang w:eastAsia="es-ES"/>
        </w:rPr>
      </w:pPr>
      <w:r w:rsidRPr="00F879C9">
        <w:rPr>
          <w:rFonts w:ascii="Verdana" w:eastAsia="Calibri" w:hAnsi="Verdana" w:cs="Arial"/>
          <w:lang w:eastAsia="es-ES"/>
        </w:rPr>
        <w:drawing>
          <wp:anchor distT="0" distB="0" distL="114300" distR="114300" simplePos="0" relativeHeight="251660288" behindDoc="1" locked="0" layoutInCell="1" allowOverlap="1" wp14:anchorId="2B96B85D" wp14:editId="776F4D06">
            <wp:simplePos x="0" y="0"/>
            <wp:positionH relativeFrom="column">
              <wp:posOffset>2839720</wp:posOffset>
            </wp:positionH>
            <wp:positionV relativeFrom="paragraph">
              <wp:posOffset>67310</wp:posOffset>
            </wp:positionV>
            <wp:extent cx="3295650" cy="1038225"/>
            <wp:effectExtent l="0" t="0" r="0" b="9525"/>
            <wp:wrapTight wrapText="bothSides">
              <wp:wrapPolygon edited="0">
                <wp:start x="0" y="0"/>
                <wp:lineTo x="0" y="21402"/>
                <wp:lineTo x="21475" y="21402"/>
                <wp:lineTo x="21475" y="0"/>
                <wp:lineTo x="0" y="0"/>
              </wp:wrapPolygon>
            </wp:wrapTight>
            <wp:docPr id="33836442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364427" name="Imagen 1" descr="Texto&#10;&#10;El contenido generado por IA puede ser incorrecto."/>
                    <pic:cNvPicPr/>
                  </pic:nvPicPr>
                  <pic:blipFill>
                    <a:blip r:embed="rId7">
                      <a:extLst>
                        <a:ext uri="{28A0092B-C50C-407E-A947-70E740481C1C}">
                          <a14:useLocalDpi xmlns:a14="http://schemas.microsoft.com/office/drawing/2010/main" val="0"/>
                        </a:ext>
                      </a:extLst>
                    </a:blip>
                    <a:stretch>
                      <a:fillRect/>
                    </a:stretch>
                  </pic:blipFill>
                  <pic:spPr>
                    <a:xfrm>
                      <a:off x="0" y="0"/>
                      <a:ext cx="3295650" cy="1038225"/>
                    </a:xfrm>
                    <a:prstGeom prst="rect">
                      <a:avLst/>
                    </a:prstGeom>
                  </pic:spPr>
                </pic:pic>
              </a:graphicData>
            </a:graphic>
          </wp:anchor>
        </w:drawing>
      </w:r>
    </w:p>
    <w:p w14:paraId="114A6EB2" w14:textId="5FBB87B0" w:rsidR="00F879C9" w:rsidRDefault="00F879C9" w:rsidP="005369FE">
      <w:pPr>
        <w:spacing w:after="0" w:line="240" w:lineRule="auto"/>
        <w:jc w:val="both"/>
        <w:rPr>
          <w:rFonts w:ascii="Verdana" w:eastAsia="Calibri" w:hAnsi="Verdana" w:cs="Arial"/>
          <w:lang w:eastAsia="es-ES"/>
        </w:rPr>
      </w:pPr>
    </w:p>
    <w:p w14:paraId="1918676B" w14:textId="5F3F0FB5" w:rsidR="005369FE" w:rsidRDefault="005369FE" w:rsidP="005369FE">
      <w:pPr>
        <w:spacing w:after="0" w:line="240" w:lineRule="auto"/>
        <w:jc w:val="both"/>
        <w:rPr>
          <w:rFonts w:ascii="Verdana" w:eastAsia="Calibri" w:hAnsi="Verdana" w:cs="Arial"/>
          <w:lang w:eastAsia="es-ES"/>
        </w:rPr>
      </w:pPr>
      <w:r w:rsidRPr="00960F72">
        <w:rPr>
          <w:rFonts w:ascii="Verdana" w:eastAsia="Calibri" w:hAnsi="Verdana" w:cs="Arial"/>
          <w:lang w:eastAsia="es-ES"/>
        </w:rPr>
        <w:t>Señor</w:t>
      </w:r>
    </w:p>
    <w:p w14:paraId="584425C6" w14:textId="77777777" w:rsidR="005369FE" w:rsidRPr="00661BE5" w:rsidRDefault="005369FE" w:rsidP="005369FE">
      <w:pPr>
        <w:spacing w:after="0" w:line="240" w:lineRule="auto"/>
        <w:jc w:val="both"/>
        <w:rPr>
          <w:rFonts w:ascii="Verdana" w:eastAsia="Calibri" w:hAnsi="Verdana" w:cs="Arial"/>
          <w:b/>
          <w:bCs/>
          <w:lang w:eastAsia="es-ES"/>
        </w:rPr>
      </w:pPr>
      <w:r>
        <w:rPr>
          <w:rFonts w:ascii="Verdana" w:eastAsia="Calibri" w:hAnsi="Verdana" w:cs="Arial"/>
          <w:b/>
          <w:bCs/>
          <w:lang w:eastAsia="es-ES"/>
        </w:rPr>
        <w:t xml:space="preserve">Ciudadano Anónimo </w:t>
      </w:r>
    </w:p>
    <w:p w14:paraId="4969F5B8" w14:textId="77777777" w:rsidR="005369FE" w:rsidRPr="00960F72" w:rsidRDefault="005369FE" w:rsidP="005369FE">
      <w:pPr>
        <w:spacing w:after="0" w:line="240" w:lineRule="auto"/>
        <w:rPr>
          <w:rFonts w:ascii="Verdana" w:eastAsia="Calibri" w:hAnsi="Verdana" w:cs="Arial"/>
          <w:b/>
          <w:bCs/>
          <w:lang w:eastAsia="es-ES"/>
        </w:rPr>
      </w:pPr>
      <w:r>
        <w:rPr>
          <w:rFonts w:ascii="Verdana" w:eastAsia="Calibri" w:hAnsi="Verdana" w:cs="Arial"/>
          <w:lang w:eastAsia="es-ES"/>
        </w:rPr>
        <w:t>Pitalito, Huila</w:t>
      </w:r>
    </w:p>
    <w:p w14:paraId="0104770E" w14:textId="77777777" w:rsidR="005369FE" w:rsidRPr="00960F72" w:rsidRDefault="005369FE" w:rsidP="005369FE">
      <w:pPr>
        <w:spacing w:after="0" w:line="240" w:lineRule="auto"/>
        <w:rPr>
          <w:rFonts w:ascii="Verdana" w:eastAsia="Calibri" w:hAnsi="Verdana" w:cs="Arial"/>
          <w:b/>
          <w:bCs/>
          <w:lang w:eastAsia="es-ES_tradnl"/>
        </w:rPr>
      </w:pPr>
    </w:p>
    <w:p w14:paraId="2357F415" w14:textId="77777777" w:rsidR="005369FE" w:rsidRPr="00960F72" w:rsidRDefault="005369FE" w:rsidP="005369FE">
      <w:pPr>
        <w:spacing w:after="0" w:line="240" w:lineRule="auto"/>
        <w:rPr>
          <w:rFonts w:ascii="Verdana" w:eastAsia="Calibri" w:hAnsi="Verdana" w:cs="Arial"/>
          <w:b/>
          <w:bCs/>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5369FE" w:rsidRPr="00960F72" w14:paraId="041B3BEB" w14:textId="77777777" w:rsidTr="003C36DC">
        <w:trPr>
          <w:trHeight w:val="190"/>
        </w:trPr>
        <w:tc>
          <w:tcPr>
            <w:tcW w:w="2689" w:type="dxa"/>
          </w:tcPr>
          <w:p w14:paraId="003B929D" w14:textId="77777777" w:rsidR="005369FE" w:rsidRPr="00960F72" w:rsidRDefault="005369FE" w:rsidP="003C36DC">
            <w:pPr>
              <w:jc w:val="both"/>
              <w:rPr>
                <w:rFonts w:ascii="Verdana" w:eastAsia="Calibri" w:hAnsi="Verdana" w:cs="Arial"/>
                <w:b/>
                <w:bCs/>
                <w:lang w:eastAsia="es-ES_tradnl"/>
              </w:rPr>
            </w:pPr>
          </w:p>
        </w:tc>
        <w:tc>
          <w:tcPr>
            <w:tcW w:w="6100" w:type="dxa"/>
          </w:tcPr>
          <w:p w14:paraId="08744CDE" w14:textId="77777777" w:rsidR="005369FE" w:rsidRPr="00960F72" w:rsidRDefault="005369FE" w:rsidP="003C36DC">
            <w:pPr>
              <w:jc w:val="both"/>
              <w:rPr>
                <w:rFonts w:ascii="Verdana" w:eastAsia="Calibri" w:hAnsi="Verdana" w:cs="Arial"/>
                <w:b/>
                <w:bCs/>
                <w:lang w:eastAsia="es-ES"/>
              </w:rPr>
            </w:pPr>
            <w:r w:rsidRPr="00960F72">
              <w:rPr>
                <w:rFonts w:ascii="Verdana" w:eastAsia="Calibri" w:hAnsi="Verdana" w:cs="Arial"/>
                <w:b/>
                <w:bCs/>
                <w:lang w:eastAsia="es-ES"/>
              </w:rPr>
              <w:t>Concepto C- 1</w:t>
            </w:r>
            <w:r>
              <w:rPr>
                <w:rFonts w:ascii="Verdana" w:eastAsia="Calibri" w:hAnsi="Verdana" w:cs="Arial"/>
                <w:b/>
                <w:bCs/>
                <w:lang w:eastAsia="es-ES"/>
              </w:rPr>
              <w:t>819</w:t>
            </w:r>
            <w:r w:rsidRPr="00960F72">
              <w:rPr>
                <w:rFonts w:ascii="Verdana" w:eastAsia="Calibri" w:hAnsi="Verdana" w:cs="Arial"/>
                <w:b/>
                <w:bCs/>
                <w:lang w:eastAsia="es-ES"/>
              </w:rPr>
              <w:t xml:space="preserve"> de 2025</w:t>
            </w:r>
          </w:p>
          <w:p w14:paraId="70B5A8D7" w14:textId="77777777" w:rsidR="005369FE" w:rsidRPr="00960F72" w:rsidRDefault="005369FE" w:rsidP="003C36DC">
            <w:pPr>
              <w:jc w:val="both"/>
              <w:rPr>
                <w:rFonts w:ascii="Verdana" w:eastAsia="Calibri" w:hAnsi="Verdana" w:cs="Arial"/>
                <w:b/>
                <w:bCs/>
                <w:lang w:eastAsia="es-ES"/>
              </w:rPr>
            </w:pPr>
          </w:p>
        </w:tc>
      </w:tr>
      <w:tr w:rsidR="005369FE" w:rsidRPr="00960F72" w14:paraId="79F4207D" w14:textId="77777777" w:rsidTr="003C36DC">
        <w:trPr>
          <w:trHeight w:val="884"/>
        </w:trPr>
        <w:tc>
          <w:tcPr>
            <w:tcW w:w="2689" w:type="dxa"/>
          </w:tcPr>
          <w:p w14:paraId="23D6640A" w14:textId="77777777" w:rsidR="005369FE" w:rsidRPr="00960F72" w:rsidRDefault="005369FE" w:rsidP="003C36DC">
            <w:pPr>
              <w:jc w:val="both"/>
              <w:rPr>
                <w:rFonts w:ascii="Verdana" w:eastAsia="Calibri" w:hAnsi="Verdana" w:cs="Arial"/>
                <w:lang w:eastAsia="es-ES_tradnl"/>
              </w:rPr>
            </w:pPr>
            <w:r w:rsidRPr="00960F72">
              <w:rPr>
                <w:rFonts w:ascii="Verdana" w:eastAsia="Calibri" w:hAnsi="Verdana" w:cs="Arial"/>
                <w:b/>
                <w:lang w:eastAsia="es-ES_tradnl"/>
              </w:rPr>
              <w:t>Temas:</w:t>
            </w:r>
            <w:r w:rsidRPr="00960F72">
              <w:rPr>
                <w:rFonts w:ascii="Verdana" w:eastAsia="Calibri" w:hAnsi="Verdana" w:cs="Arial"/>
                <w:lang w:eastAsia="es-ES_tradnl"/>
              </w:rPr>
              <w:t xml:space="preserve">                   </w:t>
            </w:r>
          </w:p>
        </w:tc>
        <w:tc>
          <w:tcPr>
            <w:tcW w:w="6100" w:type="dxa"/>
          </w:tcPr>
          <w:p w14:paraId="59B85F43" w14:textId="77777777" w:rsidR="005369FE" w:rsidRDefault="00D85D63" w:rsidP="00D85D63">
            <w:pPr>
              <w:jc w:val="both"/>
              <w:rPr>
                <w:rFonts w:ascii="Verdana" w:eastAsia="Calibri" w:hAnsi="Verdana" w:cs="Arial"/>
                <w:lang w:eastAsia="es-ES"/>
              </w:rPr>
            </w:pPr>
            <w:r w:rsidRPr="00D85D63">
              <w:rPr>
                <w:rFonts w:ascii="Verdana" w:eastAsia="Calibri" w:hAnsi="Verdana" w:cs="Arial"/>
                <w:lang w:eastAsia="es-ES"/>
              </w:rPr>
              <w:t>PROFESIONAL EN INGENIERÍA – Ejercicio de la ingeniería – Aval – Procesos de contratación - Personas jurídica</w:t>
            </w:r>
          </w:p>
          <w:p w14:paraId="14C58E63" w14:textId="2DAB34C9" w:rsidR="00D85D63" w:rsidRPr="00960F72" w:rsidRDefault="00D85D63" w:rsidP="00D85D63">
            <w:pPr>
              <w:jc w:val="both"/>
              <w:rPr>
                <w:rFonts w:ascii="Verdana" w:eastAsia="Calibri" w:hAnsi="Verdana" w:cs="Arial"/>
                <w:lang w:eastAsia="es-ES"/>
              </w:rPr>
            </w:pPr>
          </w:p>
        </w:tc>
      </w:tr>
      <w:tr w:rsidR="005369FE" w:rsidRPr="00960F72" w14:paraId="54D183A5" w14:textId="77777777" w:rsidTr="003C36DC">
        <w:tc>
          <w:tcPr>
            <w:tcW w:w="2689" w:type="dxa"/>
          </w:tcPr>
          <w:p w14:paraId="258F41EA" w14:textId="77777777" w:rsidR="005369FE" w:rsidRPr="00960F72" w:rsidRDefault="005369FE" w:rsidP="003C36DC">
            <w:pPr>
              <w:jc w:val="both"/>
              <w:rPr>
                <w:rFonts w:ascii="Verdana" w:eastAsia="Calibri" w:hAnsi="Verdana" w:cs="Arial"/>
                <w:b/>
                <w:lang w:eastAsia="es-ES_tradnl"/>
              </w:rPr>
            </w:pPr>
            <w:r w:rsidRPr="00960F72">
              <w:rPr>
                <w:rFonts w:ascii="Verdana" w:eastAsia="Calibri" w:hAnsi="Verdana" w:cs="Arial"/>
                <w:b/>
                <w:lang w:eastAsia="es-ES_tradnl"/>
              </w:rPr>
              <w:t>Radicación:</w:t>
            </w:r>
            <w:r w:rsidRPr="00960F72">
              <w:rPr>
                <w:rFonts w:ascii="Verdana" w:eastAsia="Calibri" w:hAnsi="Verdana" w:cs="Arial"/>
                <w:lang w:eastAsia="es-ES_tradnl"/>
              </w:rPr>
              <w:t xml:space="preserve">               </w:t>
            </w:r>
          </w:p>
        </w:tc>
        <w:tc>
          <w:tcPr>
            <w:tcW w:w="6100" w:type="dxa"/>
          </w:tcPr>
          <w:p w14:paraId="03E07412" w14:textId="77777777" w:rsidR="005369FE" w:rsidRPr="00960F72" w:rsidRDefault="005369FE" w:rsidP="003C36DC">
            <w:pPr>
              <w:jc w:val="both"/>
              <w:rPr>
                <w:rFonts w:ascii="Verdana" w:eastAsia="Calibri" w:hAnsi="Verdana" w:cs="Arial"/>
                <w:lang w:eastAsia="es-ES_tradnl"/>
              </w:rPr>
            </w:pPr>
            <w:r w:rsidRPr="00661BE5">
              <w:rPr>
                <w:rFonts w:ascii="Verdana" w:eastAsia="Calibri" w:hAnsi="Verdana" w:cs="Arial"/>
                <w:lang w:eastAsia="es-ES_tradnl"/>
              </w:rPr>
              <w:t xml:space="preserve">Respuesta a consulta con radicado No. </w:t>
            </w:r>
            <w:r w:rsidRPr="00661BE5">
              <w:rPr>
                <w:rFonts w:ascii="Verdana" w:hAnsi="Verdana" w:cs="Arial"/>
                <w:color w:val="000000"/>
              </w:rPr>
              <w:t>1_2025_12_12_013934</w:t>
            </w:r>
          </w:p>
        </w:tc>
      </w:tr>
    </w:tbl>
    <w:p w14:paraId="04B4381F" w14:textId="77777777" w:rsidR="005369FE" w:rsidRPr="00960F72" w:rsidRDefault="005369FE" w:rsidP="005369FE">
      <w:pPr>
        <w:spacing w:after="0" w:line="240" w:lineRule="auto"/>
        <w:jc w:val="both"/>
        <w:rPr>
          <w:rFonts w:ascii="Verdana" w:eastAsia="Calibri" w:hAnsi="Verdana" w:cs="Arial"/>
          <w:lang w:eastAsia="es-ES_tradnl"/>
        </w:rPr>
      </w:pPr>
    </w:p>
    <w:p w14:paraId="10D9B550" w14:textId="77777777" w:rsidR="005369FE" w:rsidRPr="00960F72" w:rsidRDefault="005369FE" w:rsidP="005369FE">
      <w:pPr>
        <w:spacing w:after="0" w:line="240" w:lineRule="auto"/>
        <w:jc w:val="both"/>
        <w:rPr>
          <w:rFonts w:ascii="Verdana" w:eastAsia="Calibri" w:hAnsi="Verdana" w:cs="Arial"/>
          <w:lang w:eastAsia="es-ES_tradnl"/>
        </w:rPr>
      </w:pPr>
    </w:p>
    <w:p w14:paraId="0B0D6C72" w14:textId="77777777" w:rsidR="005369FE" w:rsidRPr="00960F72" w:rsidRDefault="005369FE" w:rsidP="005369FE">
      <w:pPr>
        <w:spacing w:after="0" w:line="276" w:lineRule="auto"/>
        <w:jc w:val="both"/>
        <w:rPr>
          <w:rFonts w:ascii="Verdana" w:eastAsia="Calibri" w:hAnsi="Verdana" w:cs="Arial"/>
          <w:lang w:eastAsia="es-ES"/>
        </w:rPr>
      </w:pPr>
      <w:r w:rsidRPr="00960F72">
        <w:rPr>
          <w:rFonts w:ascii="Verdana" w:eastAsia="Calibri" w:hAnsi="Verdana" w:cs="Arial"/>
          <w:lang w:eastAsia="es-ES"/>
        </w:rPr>
        <w:t>Estimad</w:t>
      </w:r>
      <w:r>
        <w:rPr>
          <w:rFonts w:ascii="Verdana" w:eastAsia="Calibri" w:hAnsi="Verdana" w:cs="Arial"/>
          <w:lang w:eastAsia="es-ES"/>
        </w:rPr>
        <w:t>o</w:t>
      </w:r>
      <w:r w:rsidRPr="00960F72">
        <w:rPr>
          <w:rFonts w:ascii="Verdana" w:eastAsia="Calibri" w:hAnsi="Verdana" w:cs="Arial"/>
          <w:lang w:eastAsia="es-ES"/>
        </w:rPr>
        <w:t xml:space="preserve"> señor</w:t>
      </w:r>
      <w:r>
        <w:rPr>
          <w:rFonts w:ascii="Verdana" w:eastAsia="Calibri" w:hAnsi="Verdana" w:cs="Arial"/>
          <w:lang w:eastAsia="es-ES"/>
        </w:rPr>
        <w:t xml:space="preserve"> Anónimo</w:t>
      </w:r>
      <w:r w:rsidRPr="00960F72">
        <w:rPr>
          <w:rFonts w:ascii="Verdana" w:eastAsia="Calibri" w:hAnsi="Verdana" w:cs="Arial"/>
          <w:lang w:eastAsia="es-ES"/>
        </w:rPr>
        <w:t xml:space="preserve">: </w:t>
      </w:r>
    </w:p>
    <w:p w14:paraId="1D06159A" w14:textId="77777777" w:rsidR="005369FE" w:rsidRPr="00960F72" w:rsidRDefault="005369FE" w:rsidP="005369FE">
      <w:pPr>
        <w:tabs>
          <w:tab w:val="left" w:pos="3768"/>
        </w:tabs>
        <w:spacing w:after="0" w:line="276" w:lineRule="auto"/>
        <w:jc w:val="both"/>
        <w:rPr>
          <w:rFonts w:ascii="Verdana" w:eastAsia="Calibri" w:hAnsi="Verdana" w:cs="Arial"/>
          <w:lang w:eastAsia="es-ES"/>
        </w:rPr>
      </w:pPr>
    </w:p>
    <w:p w14:paraId="0D7773AA" w14:textId="77777777" w:rsidR="005369FE" w:rsidRPr="00960F72" w:rsidRDefault="005369FE" w:rsidP="005369FE">
      <w:pPr>
        <w:spacing w:after="0" w:line="276" w:lineRule="auto"/>
        <w:jc w:val="both"/>
        <w:rPr>
          <w:rFonts w:ascii="Verdana" w:eastAsia="Calibri" w:hAnsi="Verdana" w:cs="Arial"/>
          <w:lang w:eastAsia="es-ES"/>
        </w:rPr>
      </w:pPr>
      <w:r w:rsidRPr="00960F72">
        <w:rPr>
          <w:rFonts w:ascii="Verdana" w:eastAsia="Calibri" w:hAnsi="Verdana" w:cs="Arial"/>
          <w:lang w:eastAsia="es-ES"/>
        </w:rPr>
        <w:t>En ejercicio de la competencia otorgada por los artículos 3, numeral 5º, y 11, numeral 8º, del Decreto Ley 4170 de 2011,</w:t>
      </w:r>
      <w:r w:rsidRPr="00960F72">
        <w:rPr>
          <w:rFonts w:ascii="Verdana" w:eastAsia="Arial MT" w:hAnsi="Verdana" w:cs="Arial MT"/>
          <w:lang w:eastAsia="es-ES"/>
        </w:rPr>
        <w:t xml:space="preserve"> </w:t>
      </w:r>
      <w:r w:rsidRPr="00960F72">
        <w:rPr>
          <w:rFonts w:ascii="Verdana" w:hAnsi="Verdana" w:cs="Arial"/>
        </w:rPr>
        <w:t xml:space="preserve">así como lo establecido en el artículo 4 de la Resolución 1707 de 2018 expedida por esta Entidad, </w:t>
      </w:r>
      <w:r w:rsidRPr="00960F72">
        <w:rPr>
          <w:rFonts w:ascii="Verdana" w:eastAsia="Calibri" w:hAnsi="Verdana" w:cs="Arial"/>
          <w:lang w:eastAsia="es-ES"/>
        </w:rPr>
        <w:t xml:space="preserve">la Agencia Nacional de Contratación Pública – Colombia Compra Eficiente– responde su solicitud de consulta de fecha del </w:t>
      </w:r>
      <w:r>
        <w:rPr>
          <w:rFonts w:ascii="Verdana" w:eastAsia="Calibri" w:hAnsi="Verdana" w:cs="Arial"/>
          <w:lang w:eastAsia="es-ES"/>
        </w:rPr>
        <w:t xml:space="preserve">12 </w:t>
      </w:r>
      <w:r w:rsidRPr="00960F72">
        <w:rPr>
          <w:rFonts w:ascii="Verdana" w:eastAsia="Calibri" w:hAnsi="Verdana" w:cs="Arial"/>
          <w:lang w:eastAsia="es-ES"/>
        </w:rPr>
        <w:t xml:space="preserve">de </w:t>
      </w:r>
      <w:r>
        <w:rPr>
          <w:rFonts w:ascii="Verdana" w:eastAsia="Calibri" w:hAnsi="Verdana" w:cs="Arial"/>
          <w:lang w:eastAsia="es-ES"/>
        </w:rPr>
        <w:t>diciembre</w:t>
      </w:r>
      <w:r w:rsidRPr="00960F72">
        <w:rPr>
          <w:rFonts w:ascii="Verdana" w:eastAsia="Calibri" w:hAnsi="Verdana" w:cs="Arial"/>
          <w:lang w:eastAsia="es-ES"/>
        </w:rPr>
        <w:t xml:space="preserve"> de 2025, en la cual manifiesta lo siguiente: </w:t>
      </w:r>
    </w:p>
    <w:p w14:paraId="3A9CF582" w14:textId="77777777" w:rsidR="005369FE" w:rsidRPr="00960F72" w:rsidRDefault="005369FE" w:rsidP="005369FE">
      <w:pPr>
        <w:spacing w:after="0" w:line="276" w:lineRule="auto"/>
        <w:jc w:val="both"/>
        <w:rPr>
          <w:rFonts w:ascii="Verdana" w:eastAsia="Calibri" w:hAnsi="Verdana" w:cs="Arial"/>
          <w:lang w:eastAsia="es-ES"/>
        </w:rPr>
      </w:pPr>
    </w:p>
    <w:p w14:paraId="32835145" w14:textId="77777777" w:rsidR="005369FE" w:rsidRPr="00446DF7" w:rsidRDefault="005369FE" w:rsidP="005369FE">
      <w:pPr>
        <w:spacing w:after="0" w:line="240" w:lineRule="auto"/>
        <w:ind w:left="709" w:right="709"/>
        <w:jc w:val="both"/>
        <w:rPr>
          <w:rFonts w:ascii="Verdana" w:eastAsia="Calibri" w:hAnsi="Verdana" w:cs="Arial"/>
          <w:sz w:val="20"/>
          <w:szCs w:val="20"/>
          <w:lang w:eastAsia="es-ES"/>
        </w:rPr>
      </w:pPr>
      <w:r w:rsidRPr="00446DF7">
        <w:rPr>
          <w:rFonts w:ascii="Verdana" w:eastAsia="Calibri" w:hAnsi="Verdana" w:cs="Arial"/>
          <w:sz w:val="20"/>
          <w:szCs w:val="20"/>
          <w:lang w:eastAsia="es-ES"/>
        </w:rPr>
        <w:t>“</w:t>
      </w:r>
      <w:r w:rsidRPr="00446DF7">
        <w:rPr>
          <w:rFonts w:ascii="Verdana" w:hAnsi="Verdana"/>
          <w:sz w:val="20"/>
          <w:szCs w:val="20"/>
        </w:rPr>
        <w:t>Solicito respetuosamente un concepto acerca de la posibilidad de que una obra pública sea ejecutada por una persona natural con establecimiento de comercio, sin contar con la condición de ingeniero ni tarjeta profesional vinculada a profesiones afines a la ingeniería. Dicha situación se presenta en el municipio de El Pital, Huila, donde actualmente se desarrollan obras públicas a cargo de personas naturales que cumplen estas características.</w:t>
      </w:r>
      <w:r w:rsidRPr="00446DF7">
        <w:rPr>
          <w:rFonts w:ascii="Verdana" w:eastAsia="Calibri" w:hAnsi="Verdana" w:cs="Arial"/>
          <w:sz w:val="20"/>
          <w:szCs w:val="20"/>
          <w:lang w:eastAsia="es-ES"/>
        </w:rPr>
        <w:t>”</w:t>
      </w:r>
    </w:p>
    <w:p w14:paraId="72D1A41F" w14:textId="77777777" w:rsidR="005369FE" w:rsidRPr="00AF14A8" w:rsidRDefault="005369FE" w:rsidP="005369FE">
      <w:pPr>
        <w:spacing w:after="0" w:line="276" w:lineRule="auto"/>
        <w:ind w:left="709" w:right="709"/>
        <w:jc w:val="both"/>
        <w:rPr>
          <w:rFonts w:ascii="Verdana" w:eastAsia="Calibri" w:hAnsi="Verdana" w:cs="Arial"/>
          <w:lang w:eastAsia="es-ES"/>
        </w:rPr>
      </w:pPr>
    </w:p>
    <w:p w14:paraId="6F923437" w14:textId="77777777" w:rsidR="005369FE" w:rsidRPr="00960F72" w:rsidRDefault="005369FE" w:rsidP="005369FE">
      <w:pPr>
        <w:spacing w:after="120" w:line="276" w:lineRule="auto"/>
        <w:ind w:firstLine="709"/>
        <w:jc w:val="both"/>
        <w:rPr>
          <w:rFonts w:ascii="Verdana" w:eastAsia="Calibri" w:hAnsi="Verdana" w:cs="Arial"/>
          <w:szCs w:val="24"/>
          <w:lang w:eastAsia="es-ES_tradnl"/>
        </w:rPr>
      </w:pPr>
      <w:r w:rsidRPr="00960F72">
        <w:rPr>
          <w:rFonts w:ascii="Verdana" w:eastAsia="Calibri" w:hAnsi="Verdana" w:cs="Arial"/>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la Agencia Nacional de Contratación Pública – Colombia Compra Eficiente como una autoridad para solucionar problemas jurídicos particulares de todos los partícipes del sistema de compra pública. La </w:t>
      </w:r>
      <w:r w:rsidRPr="00960F72">
        <w:rPr>
          <w:rFonts w:ascii="Verdana" w:eastAsia="Calibri" w:hAnsi="Verdana" w:cs="Arial"/>
          <w:lang w:eastAsia="es-ES"/>
        </w:rPr>
        <w:lastRenderedPageBreak/>
        <w:t xml:space="preserve">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60F72">
        <w:rPr>
          <w:rFonts w:ascii="Verdana" w:eastAsia="Calibri" w:hAnsi="Verdana" w:cs="Arial"/>
          <w:szCs w:val="24"/>
          <w:lang w:eastAsia="es-ES_tradnl"/>
        </w:rPr>
        <w:tab/>
      </w:r>
    </w:p>
    <w:p w14:paraId="56EA2507" w14:textId="77777777" w:rsidR="005369FE" w:rsidRPr="00960F72" w:rsidRDefault="005369FE" w:rsidP="005369FE">
      <w:pPr>
        <w:spacing w:after="0" w:line="276" w:lineRule="auto"/>
        <w:ind w:firstLine="709"/>
        <w:jc w:val="both"/>
        <w:rPr>
          <w:rFonts w:ascii="Verdana" w:eastAsia="Calibri" w:hAnsi="Verdana" w:cs="Arial"/>
          <w:lang w:eastAsia="es-ES"/>
        </w:rPr>
      </w:pPr>
      <w:r w:rsidRPr="00960F72">
        <w:rPr>
          <w:rFonts w:ascii="Verdana" w:eastAsia="Calibri" w:hAnsi="Verdana"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6F9B71E7" w14:textId="77777777" w:rsidR="005369FE" w:rsidRPr="00960F72" w:rsidRDefault="005369FE" w:rsidP="005369FE">
      <w:pPr>
        <w:spacing w:after="0" w:line="276" w:lineRule="auto"/>
        <w:ind w:firstLine="709"/>
        <w:jc w:val="both"/>
        <w:rPr>
          <w:rFonts w:ascii="Verdana" w:eastAsia="Calibri" w:hAnsi="Verdana" w:cs="Arial"/>
          <w:lang w:eastAsia="es-ES"/>
        </w:rPr>
      </w:pPr>
    </w:p>
    <w:p w14:paraId="396DAE7E" w14:textId="77777777" w:rsidR="005369FE" w:rsidRPr="00960F72" w:rsidRDefault="005369FE" w:rsidP="005369FE">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60F72">
        <w:rPr>
          <w:rFonts w:ascii="Verdana" w:eastAsia="Century Gothic" w:hAnsi="Verdana" w:cs="Century Gothic"/>
          <w:b/>
          <w:bCs/>
        </w:rPr>
        <w:t>Problema planteado:</w:t>
      </w:r>
    </w:p>
    <w:p w14:paraId="3FCBF01D" w14:textId="77777777" w:rsidR="005369FE" w:rsidRPr="00960F72" w:rsidRDefault="005369FE" w:rsidP="005369FE">
      <w:pPr>
        <w:tabs>
          <w:tab w:val="left" w:pos="426"/>
        </w:tabs>
        <w:spacing w:after="0" w:line="276" w:lineRule="auto"/>
        <w:jc w:val="both"/>
        <w:rPr>
          <w:rFonts w:ascii="Verdana" w:eastAsia="Century Gothic" w:hAnsi="Verdana" w:cs="Century Gothic"/>
        </w:rPr>
      </w:pPr>
    </w:p>
    <w:p w14:paraId="0DC7684C" w14:textId="77777777" w:rsidR="005369FE" w:rsidRDefault="005369FE" w:rsidP="005369FE">
      <w:pPr>
        <w:spacing w:after="0" w:line="276" w:lineRule="auto"/>
        <w:jc w:val="both"/>
        <w:rPr>
          <w:rFonts w:ascii="Verdana" w:eastAsia="Century Gothic" w:hAnsi="Verdana" w:cs="Century Gothic"/>
        </w:rPr>
      </w:pPr>
      <w:r w:rsidRPr="00960F72">
        <w:rPr>
          <w:rFonts w:ascii="Verdana" w:eastAsia="Century Gothic" w:hAnsi="Verdana" w:cs="Century Gothic"/>
        </w:rPr>
        <w:t xml:space="preserve">De acuerdo con el contenido de su solicitud, esta Agencia resolverá el siguiente problema jurídico: </w:t>
      </w:r>
      <w:r w:rsidRPr="00976D09">
        <w:rPr>
          <w:rFonts w:ascii="Verdana" w:eastAsia="Century Gothic" w:hAnsi="Verdana" w:cs="Century Gothic"/>
        </w:rPr>
        <w:t>¿Puede una entidad estatal contratar y permitir la ejecución de una obra pública a una persona que no cuenta con la tarjeta profesional de ingeniero?</w:t>
      </w:r>
      <w:r>
        <w:rPr>
          <w:rFonts w:ascii="Verdana" w:eastAsia="Century Gothic" w:hAnsi="Verdana" w:cs="Century Gothic"/>
        </w:rPr>
        <w:t xml:space="preserve"> </w:t>
      </w:r>
    </w:p>
    <w:p w14:paraId="35F8E455" w14:textId="77777777" w:rsidR="005369FE" w:rsidRPr="00960F72" w:rsidRDefault="005369FE" w:rsidP="005369FE">
      <w:pPr>
        <w:spacing w:after="0" w:line="276" w:lineRule="auto"/>
        <w:jc w:val="both"/>
        <w:rPr>
          <w:rFonts w:ascii="Verdana" w:eastAsia="Century Gothic" w:hAnsi="Verdana" w:cs="Century Gothic"/>
        </w:rPr>
      </w:pPr>
    </w:p>
    <w:p w14:paraId="285C579D" w14:textId="77777777" w:rsidR="005369FE" w:rsidRPr="00960F72" w:rsidRDefault="005369FE" w:rsidP="005369FE">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60F72">
        <w:rPr>
          <w:rFonts w:ascii="Verdana" w:eastAsia="Century Gothic" w:hAnsi="Verdana" w:cs="Century Gothic"/>
          <w:b/>
          <w:bCs/>
        </w:rPr>
        <w:t>Respuesta:</w:t>
      </w:r>
    </w:p>
    <w:p w14:paraId="7999E77E" w14:textId="77777777" w:rsidR="005369FE" w:rsidRPr="00960F72" w:rsidRDefault="005369FE" w:rsidP="005369FE">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5369FE" w:rsidRPr="00960F72" w14:paraId="7870C182" w14:textId="77777777" w:rsidTr="003C36DC">
        <w:tc>
          <w:tcPr>
            <w:tcW w:w="8828" w:type="dxa"/>
          </w:tcPr>
          <w:p w14:paraId="2052B53A" w14:textId="77777777" w:rsidR="005369FE" w:rsidRPr="00A40713" w:rsidRDefault="005369FE" w:rsidP="003C36DC">
            <w:pPr>
              <w:spacing w:after="120" w:line="276" w:lineRule="auto"/>
              <w:ind w:right="51"/>
              <w:jc w:val="both"/>
              <w:rPr>
                <w:rFonts w:ascii="Verdana" w:eastAsia="Times New Roman" w:hAnsi="Verdana" w:cs="Times New Roman"/>
                <w:lang w:eastAsia="es-CO"/>
              </w:rPr>
            </w:pPr>
            <w:r w:rsidRPr="00A40713">
              <w:rPr>
                <w:rFonts w:ascii="Verdana" w:eastAsia="Times New Roman" w:hAnsi="Verdana" w:cs="Times New Roman"/>
                <w:lang w:eastAsia="es-CO"/>
              </w:rPr>
              <w:t>Para el caso particular de la profesión de ingeniería, esta se encuentra regulada por la Ley 842 de 2003, norma de carácter especial que establece los requisitos y condiciones para el ejercicio legal de la ingeniería, así como de sus profesiones afines y auxiliares. Dicha regulación introduce reglas específicas que prevalecen sobre las disposiciones generales, en atención a la naturaleza técnica, la alta responsabilidad y el riesgo social que implica el ejercicio de estas actividades.</w:t>
            </w:r>
          </w:p>
          <w:p w14:paraId="1FFF2DA4" w14:textId="77777777" w:rsidR="005369FE" w:rsidRPr="00A40713" w:rsidRDefault="005369FE" w:rsidP="003C36DC">
            <w:pPr>
              <w:spacing w:before="120" w:after="120" w:line="276" w:lineRule="auto"/>
              <w:ind w:right="51" w:firstLine="708"/>
              <w:jc w:val="both"/>
              <w:rPr>
                <w:rFonts w:ascii="Verdana" w:eastAsia="Times New Roman" w:hAnsi="Verdana" w:cs="Times New Roman"/>
                <w:lang w:eastAsia="es-CO"/>
              </w:rPr>
            </w:pPr>
            <w:r w:rsidRPr="00A40713">
              <w:rPr>
                <w:rFonts w:ascii="Verdana" w:eastAsia="Times New Roman" w:hAnsi="Verdana" w:cs="Times New Roman"/>
                <w:lang w:eastAsia="es-CO"/>
              </w:rPr>
              <w:t xml:space="preserve">En efecto, el artículo 12 de la Ley 842 de 2003 dispone que solo pueden ejercer la ingeniería y sus profesiones afines o auxiliares quienes cuenten con la respectiva matrícula o inscripción profesional, exigencia que se constituye en un presupuesto habilitante para el ejercicio mismo de la profesión. De manera concordante, el artículo 6 de la misma ley establece que, para ejercer la ingeniería en el territorio nacional, es obligatorio estar matriculado o inscrito en el registro profesional administrado por el Consejo Profesional Nacional de </w:t>
            </w:r>
            <w:r w:rsidRPr="00A40713">
              <w:rPr>
                <w:rFonts w:ascii="Verdana" w:eastAsia="Times New Roman" w:hAnsi="Verdana" w:cs="Times New Roman"/>
                <w:lang w:eastAsia="es-CO"/>
              </w:rPr>
              <w:lastRenderedPageBreak/>
              <w:t>Ingeniería (COPNIA), lo cual se acredita mediante la tarjeta profesional correspondiente.</w:t>
            </w:r>
          </w:p>
          <w:p w14:paraId="1B86AF91" w14:textId="77777777" w:rsidR="005369FE" w:rsidRPr="00A40713" w:rsidRDefault="005369FE" w:rsidP="003C36DC">
            <w:pPr>
              <w:spacing w:before="120" w:after="120" w:line="276" w:lineRule="auto"/>
              <w:ind w:right="51" w:firstLine="708"/>
              <w:jc w:val="both"/>
              <w:rPr>
                <w:rFonts w:ascii="Verdana" w:eastAsia="Times New Roman" w:hAnsi="Verdana" w:cs="Times New Roman"/>
                <w:lang w:eastAsia="es-CO"/>
              </w:rPr>
            </w:pPr>
            <w:r w:rsidRPr="00A40713">
              <w:rPr>
                <w:rFonts w:ascii="Verdana" w:eastAsia="Times New Roman" w:hAnsi="Verdana" w:cs="Times New Roman"/>
                <w:lang w:eastAsia="es-CO"/>
              </w:rPr>
              <w:t>Desde esta perspectiva, la regulación especial no solo delimita el ejercicio profesional, sino que también define quiénes se encuentran jurídicamente habilitados para asumir, de manera directa, las responsabilidades derivadas de actividades propias de la ingeniería, como lo es la ejecución de obras públicas. En consecuencia, no resulta jurídicamente viable que una persona natural o jurídica que no cuente con un ingeniero legalmente habilitado como responsable directo del objeto contractual pueda presentar oferta en procesos de contratación de obra, bajo el entendido de que el simple aval o respaldo de un ingeniero no sustituye la exigencia legal de que quien ejerce la actividad profesional esté debidamente matriculado e inscrito.</w:t>
            </w:r>
          </w:p>
          <w:p w14:paraId="190A0FFD" w14:textId="77777777" w:rsidR="005369FE" w:rsidRPr="00A40713" w:rsidRDefault="005369FE" w:rsidP="003C36DC">
            <w:pPr>
              <w:spacing w:before="120" w:after="120" w:line="276" w:lineRule="auto"/>
              <w:ind w:right="51" w:firstLine="708"/>
              <w:jc w:val="both"/>
              <w:rPr>
                <w:rFonts w:ascii="Verdana" w:eastAsia="Times New Roman" w:hAnsi="Verdana" w:cs="Times New Roman"/>
                <w:lang w:eastAsia="es-CO"/>
              </w:rPr>
            </w:pPr>
            <w:r w:rsidRPr="00A40713">
              <w:rPr>
                <w:rFonts w:ascii="Verdana" w:eastAsia="Times New Roman" w:hAnsi="Verdana" w:cs="Times New Roman"/>
                <w:lang w:eastAsia="es-CO"/>
              </w:rPr>
              <w:t xml:space="preserve">En este sentido, la Subdirección, a partir de un análisis sistemático de la normativa vigente y de los pronunciamientos jurisprudenciales y doctrinales aplicables, considera que, en los procesos de contratación cuyo objeto implique el ejercicio de actividades propias de la ingeniería o sus profesiones afines o auxiliares, las entidades estatales deben sujetarse estrictamente a la regulación especial prevista en la Ley 842 de 2003. </w:t>
            </w:r>
          </w:p>
          <w:p w14:paraId="32142D3C" w14:textId="77777777" w:rsidR="005369FE" w:rsidRPr="00A40713" w:rsidRDefault="005369FE" w:rsidP="003C36DC">
            <w:pPr>
              <w:spacing w:before="120" w:after="120" w:line="276" w:lineRule="auto"/>
              <w:ind w:right="51" w:firstLine="708"/>
              <w:jc w:val="both"/>
              <w:rPr>
                <w:rFonts w:ascii="Verdana" w:eastAsia="Times New Roman" w:hAnsi="Verdana" w:cs="Times New Roman"/>
                <w:lang w:eastAsia="es-CO"/>
              </w:rPr>
            </w:pPr>
            <w:r w:rsidRPr="00A40713">
              <w:rPr>
                <w:rFonts w:ascii="Verdana" w:eastAsia="Times New Roman" w:hAnsi="Verdana" w:cs="Times New Roman"/>
                <w:lang w:eastAsia="es-CO"/>
              </w:rPr>
              <w:t>Esta interpretación se ve reforzada por lo señalado por la Corte Constitucional en la Sentencia C-296 del 18 de abril de 2012, con ponencia del Magistrado Juan Carlos Henao Pérez, al destacar que la exigencia de matrícula profesional responde a la necesidad de proteger el interés general frente a los riesgos inherentes al ejercicio de profesiones que comprometen la seguridad, la vida y el patrimonio de las personas.</w:t>
            </w:r>
          </w:p>
          <w:p w14:paraId="4B1825D9" w14:textId="77777777" w:rsidR="005369FE" w:rsidRPr="00AF14A8" w:rsidRDefault="005369FE" w:rsidP="003C36DC">
            <w:pPr>
              <w:spacing w:before="120" w:line="276" w:lineRule="auto"/>
              <w:ind w:right="51" w:firstLine="708"/>
              <w:jc w:val="both"/>
              <w:rPr>
                <w:rFonts w:ascii="Verdana" w:eastAsia="Times New Roman" w:hAnsi="Verdana" w:cs="Times New Roman"/>
                <w:sz w:val="24"/>
                <w:szCs w:val="24"/>
                <w:lang w:eastAsia="es-CO"/>
              </w:rPr>
            </w:pPr>
            <w:r w:rsidRPr="00A40713">
              <w:rPr>
                <w:rFonts w:ascii="Verdana" w:eastAsia="Times New Roman" w:hAnsi="Verdana" w:cs="Times New Roman"/>
                <w:lang w:eastAsia="es-CO"/>
              </w:rPr>
              <w:t>Finalmente, dado que este análisis debe realizarse en el marco de cada procedimiento contractual concreto, la Agencia no puede fijar un criterio universal o absoluto a través de una consulta. En su lugar, se formulan consideraciones de carácter general para orientar a los partícipes del sistema de contratación pública, correspondiendo a cada entidad estatal, en aplicación del principio de juridicidad, definir la forma de estructurar y adelantar su gestión contractual. En todo caso, no es competencia de Colombia Compra Eficiente validar o convalidar las decisiones adoptadas por las entidades en desarrollo de sus procesos contractuales.</w:t>
            </w:r>
          </w:p>
        </w:tc>
      </w:tr>
    </w:tbl>
    <w:p w14:paraId="18BC839A" w14:textId="77777777" w:rsidR="005369FE" w:rsidRPr="00960F72" w:rsidRDefault="005369FE" w:rsidP="005369FE">
      <w:pPr>
        <w:tabs>
          <w:tab w:val="left" w:pos="142"/>
          <w:tab w:val="left" w:pos="284"/>
        </w:tabs>
        <w:spacing w:after="0" w:line="276" w:lineRule="auto"/>
        <w:jc w:val="both"/>
        <w:rPr>
          <w:rFonts w:ascii="Verdana" w:eastAsia="Century Gothic" w:hAnsi="Verdana" w:cs="Century Gothic"/>
          <w:b/>
          <w:bCs/>
        </w:rPr>
      </w:pPr>
    </w:p>
    <w:p w14:paraId="131169AA" w14:textId="77777777" w:rsidR="005369FE" w:rsidRPr="00960F72" w:rsidRDefault="005369FE" w:rsidP="005369FE">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60F72">
        <w:rPr>
          <w:rFonts w:ascii="Verdana" w:eastAsia="Century Gothic" w:hAnsi="Verdana" w:cs="Century Gothic"/>
          <w:b/>
          <w:bCs/>
        </w:rPr>
        <w:lastRenderedPageBreak/>
        <w:t>Razones de la respuesta:</w:t>
      </w:r>
    </w:p>
    <w:p w14:paraId="1E0F5382" w14:textId="77777777" w:rsidR="005369FE" w:rsidRPr="00960F72" w:rsidRDefault="005369FE" w:rsidP="005369FE">
      <w:pPr>
        <w:spacing w:after="0" w:line="276" w:lineRule="auto"/>
        <w:jc w:val="both"/>
        <w:rPr>
          <w:rFonts w:ascii="Verdana" w:eastAsia="Calibri" w:hAnsi="Verdana" w:cs="Arial"/>
        </w:rPr>
      </w:pPr>
    </w:p>
    <w:p w14:paraId="4D037745" w14:textId="77777777" w:rsidR="005369FE" w:rsidRPr="00960F72" w:rsidRDefault="005369FE" w:rsidP="005369FE">
      <w:pPr>
        <w:spacing w:after="0" w:line="276" w:lineRule="auto"/>
        <w:jc w:val="both"/>
        <w:rPr>
          <w:rFonts w:ascii="Verdana" w:eastAsia="Calibri" w:hAnsi="Verdana" w:cs="Arial"/>
        </w:rPr>
      </w:pPr>
      <w:r w:rsidRPr="00960F72">
        <w:rPr>
          <w:rFonts w:ascii="Verdana" w:eastAsia="Calibri" w:hAnsi="Verdana" w:cs="Arial"/>
        </w:rPr>
        <w:t xml:space="preserve">Lo anterior se sustenta en las siguientes consideraciones: </w:t>
      </w:r>
    </w:p>
    <w:p w14:paraId="19037221" w14:textId="77777777" w:rsidR="005369FE" w:rsidRPr="00960F72" w:rsidRDefault="005369FE" w:rsidP="005369FE">
      <w:pPr>
        <w:spacing w:after="0" w:line="276" w:lineRule="auto"/>
        <w:jc w:val="both"/>
        <w:rPr>
          <w:rFonts w:ascii="Verdana" w:eastAsia="Calibri" w:hAnsi="Verdana" w:cs="Arial"/>
        </w:rPr>
      </w:pPr>
    </w:p>
    <w:p w14:paraId="343E0A38" w14:textId="77777777" w:rsidR="005369FE" w:rsidRPr="00AF14A8" w:rsidRDefault="005369FE" w:rsidP="005369FE">
      <w:pPr>
        <w:widowControl w:val="0"/>
        <w:autoSpaceDE w:val="0"/>
        <w:autoSpaceDN w:val="0"/>
        <w:spacing w:after="0" w:line="276" w:lineRule="auto"/>
        <w:jc w:val="both"/>
        <w:rPr>
          <w:rFonts w:ascii="Verdana" w:eastAsia="Arial" w:hAnsi="Verdana" w:cs="Arial"/>
          <w:lang w:val="es-ES" w:eastAsia="es-ES" w:bidi="es-ES"/>
        </w:rPr>
      </w:pPr>
      <w:r w:rsidRPr="00AF14A8">
        <w:rPr>
          <w:rFonts w:ascii="Verdana" w:eastAsia="Arial" w:hAnsi="Verdana" w:cs="Arial"/>
          <w:lang w:val="es-ES" w:eastAsia="es-ES" w:bidi="es-ES"/>
        </w:rPr>
        <w:t>La Corte Constitucional, en la sentencia C-697 de 2000, explicó que el artículo 26 de la Constitución Política autorizó al legislador para exigir determinados títulos de idoneidad a quienes desempeñen actividades que impliquen riesgo social, con el objetivo de demostrar la adecuada aptitud del aspirante y que esta exigencia constituye una excepción legítima al principio de libertad e igualdad en materia laboral:</w:t>
      </w:r>
    </w:p>
    <w:p w14:paraId="4B1AE2F4" w14:textId="77777777" w:rsidR="005369FE" w:rsidRPr="00AF14A8" w:rsidRDefault="005369FE" w:rsidP="005369FE">
      <w:pPr>
        <w:widowControl w:val="0"/>
        <w:autoSpaceDE w:val="0"/>
        <w:autoSpaceDN w:val="0"/>
        <w:spacing w:after="0" w:line="240" w:lineRule="auto"/>
        <w:rPr>
          <w:rFonts w:ascii="Verdana" w:eastAsia="Arial" w:hAnsi="Verdana" w:cs="Arial"/>
          <w:lang w:val="es-ES" w:eastAsia="es-ES" w:bidi="es-ES"/>
        </w:rPr>
      </w:pPr>
    </w:p>
    <w:p w14:paraId="618197F6" w14:textId="77777777" w:rsidR="005369FE" w:rsidRPr="00AF14A8" w:rsidRDefault="005369FE" w:rsidP="005369FE">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Pr>
          <w:rFonts w:ascii="Verdana" w:eastAsia="Arial" w:hAnsi="Verdana" w:cs="Arial"/>
          <w:sz w:val="20"/>
          <w:szCs w:val="20"/>
          <w:lang w:val="es-ES" w:eastAsia="es-ES" w:bidi="es-ES"/>
        </w:rPr>
        <w:t>“</w:t>
      </w:r>
      <w:r w:rsidRPr="00AF14A8">
        <w:rPr>
          <w:rFonts w:ascii="Verdana" w:eastAsia="Arial" w:hAnsi="Verdana" w:cs="Arial"/>
          <w:sz w:val="20"/>
          <w:szCs w:val="20"/>
          <w:lang w:val="es-ES" w:eastAsia="es-ES" w:bidi="es-ES"/>
        </w:rPr>
        <w:t>El artículo 26 de la Carta autoriza al legislador para exigir determinados títulos de idoneidad a quienes quieran desempeñar actividades que impliquen riesgo social y también, para establecer mecanismos de inspección y vigilancia con el fin de evitar que resulten lesionados derechos de terceras personas. Impone al legislador la tarea de garantizarle a todas las personas la libertad plena de escoger, en condiciones de igualdad, la profesión u oficio que pueda servir para realizar su modelo de vida o para garantizarles un ingreso que les permita satisfacer sus necesidades.</w:t>
      </w:r>
    </w:p>
    <w:p w14:paraId="43AF92BB" w14:textId="77777777" w:rsidR="005369FE" w:rsidRDefault="005369FE" w:rsidP="005369FE">
      <w:pPr>
        <w:widowControl w:val="0"/>
        <w:autoSpaceDE w:val="0"/>
        <w:autoSpaceDN w:val="0"/>
        <w:spacing w:after="0" w:line="240" w:lineRule="auto"/>
        <w:ind w:left="709" w:right="709"/>
        <w:rPr>
          <w:rFonts w:ascii="Verdana" w:eastAsia="Arial" w:hAnsi="Verdana" w:cs="Arial"/>
          <w:sz w:val="20"/>
          <w:szCs w:val="20"/>
          <w:lang w:val="es-ES" w:eastAsia="es-ES" w:bidi="es-ES"/>
        </w:rPr>
      </w:pPr>
    </w:p>
    <w:p w14:paraId="419CEC05" w14:textId="77777777" w:rsidR="005369FE" w:rsidRPr="00AF14A8" w:rsidRDefault="005369FE" w:rsidP="005369FE">
      <w:pPr>
        <w:widowControl w:val="0"/>
        <w:autoSpaceDE w:val="0"/>
        <w:autoSpaceDN w:val="0"/>
        <w:spacing w:after="0" w:line="240" w:lineRule="auto"/>
        <w:ind w:left="709" w:right="709"/>
        <w:rPr>
          <w:rFonts w:ascii="Verdana" w:eastAsia="Arial" w:hAnsi="Verdana" w:cs="Arial"/>
          <w:sz w:val="20"/>
          <w:szCs w:val="20"/>
          <w:lang w:val="es-ES" w:eastAsia="es-ES" w:bidi="es-ES"/>
        </w:rPr>
      </w:pPr>
      <w:r w:rsidRPr="00AF14A8">
        <w:rPr>
          <w:rFonts w:ascii="Verdana" w:eastAsia="Arial" w:hAnsi="Verdana" w:cs="Arial"/>
          <w:sz w:val="20"/>
          <w:szCs w:val="20"/>
          <w:lang w:val="es-ES" w:eastAsia="es-ES" w:bidi="es-ES"/>
        </w:rPr>
        <w:t>[…]</w:t>
      </w:r>
    </w:p>
    <w:p w14:paraId="3C175EB9" w14:textId="77777777" w:rsidR="005369FE" w:rsidRDefault="005369FE" w:rsidP="005369FE">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p>
    <w:p w14:paraId="6799B00D" w14:textId="77777777" w:rsidR="005369FE" w:rsidRPr="00AF14A8" w:rsidRDefault="005369FE" w:rsidP="005369FE">
      <w:pPr>
        <w:widowControl w:val="0"/>
        <w:autoSpaceDE w:val="0"/>
        <w:autoSpaceDN w:val="0"/>
        <w:spacing w:after="0" w:line="240" w:lineRule="auto"/>
        <w:ind w:left="709" w:right="709"/>
        <w:jc w:val="both"/>
        <w:rPr>
          <w:rFonts w:ascii="Verdana" w:eastAsia="Arial" w:hAnsi="Verdana" w:cs="Arial"/>
          <w:sz w:val="20"/>
          <w:szCs w:val="20"/>
          <w:lang w:val="es-ES" w:eastAsia="es-ES" w:bidi="es-ES"/>
        </w:rPr>
      </w:pPr>
      <w:r w:rsidRPr="00AF14A8">
        <w:rPr>
          <w:rFonts w:ascii="Verdana" w:eastAsia="Arial" w:hAnsi="Verdana" w:cs="Arial"/>
          <w:sz w:val="20"/>
          <w:szCs w:val="20"/>
          <w:lang w:val="es-ES" w:eastAsia="es-ES" w:bidi="es-ES"/>
        </w:rPr>
        <w:t xml:space="preserve">La exigencia de títulos de idoneidad y tarjetas </w:t>
      </w:r>
      <w:proofErr w:type="gramStart"/>
      <w:r w:rsidRPr="00AF14A8">
        <w:rPr>
          <w:rFonts w:ascii="Verdana" w:eastAsia="Arial" w:hAnsi="Verdana" w:cs="Arial"/>
          <w:sz w:val="20"/>
          <w:szCs w:val="20"/>
          <w:lang w:val="es-ES" w:eastAsia="es-ES" w:bidi="es-ES"/>
        </w:rPr>
        <w:t>profesionales,</w:t>
      </w:r>
      <w:proofErr w:type="gramEnd"/>
      <w:r w:rsidRPr="00AF14A8">
        <w:rPr>
          <w:rFonts w:ascii="Verdana" w:eastAsia="Arial" w:hAnsi="Verdana" w:cs="Arial"/>
          <w:sz w:val="20"/>
          <w:szCs w:val="20"/>
          <w:lang w:val="es-ES" w:eastAsia="es-ES" w:bidi="es-ES"/>
        </w:rPr>
        <w:t xml:space="preserve"> constituye una excepción al principio de libertad e igualdad en materia laboral y, por lo tanto, es necesario demostrar que la formación intelectual y técnica requerida es un medio idóneo y proporción</w:t>
      </w:r>
      <w:r>
        <w:rPr>
          <w:rFonts w:ascii="Verdana" w:eastAsia="Arial" w:hAnsi="Verdana" w:cs="Arial"/>
          <w:sz w:val="20"/>
          <w:szCs w:val="20"/>
          <w:lang w:val="es-ES" w:eastAsia="es-ES" w:bidi="es-ES"/>
        </w:rPr>
        <w:t>”</w:t>
      </w:r>
      <w:r w:rsidRPr="00AF14A8">
        <w:rPr>
          <w:rFonts w:ascii="Verdana" w:eastAsia="Arial" w:hAnsi="Verdana" w:cs="Arial"/>
          <w:sz w:val="20"/>
          <w:szCs w:val="20"/>
          <w:vertAlign w:val="superscript"/>
          <w:lang w:val="es-ES" w:eastAsia="es-ES" w:bidi="es-ES"/>
        </w:rPr>
        <w:footnoteReference w:id="1"/>
      </w:r>
      <w:r w:rsidRPr="00AF14A8">
        <w:rPr>
          <w:rFonts w:ascii="Verdana" w:eastAsia="Arial" w:hAnsi="Verdana" w:cs="Arial"/>
          <w:sz w:val="20"/>
          <w:szCs w:val="20"/>
          <w:lang w:val="es-ES" w:eastAsia="es-ES" w:bidi="es-ES"/>
        </w:rPr>
        <w:t>.</w:t>
      </w:r>
    </w:p>
    <w:p w14:paraId="0E03E28E" w14:textId="77777777" w:rsidR="005369FE" w:rsidRPr="00AF14A8" w:rsidRDefault="005369FE" w:rsidP="005369FE">
      <w:pPr>
        <w:widowControl w:val="0"/>
        <w:autoSpaceDE w:val="0"/>
        <w:autoSpaceDN w:val="0"/>
        <w:spacing w:after="0" w:line="240" w:lineRule="auto"/>
        <w:ind w:right="304"/>
        <w:jc w:val="both"/>
        <w:rPr>
          <w:rFonts w:ascii="Verdana" w:eastAsia="Calibri" w:hAnsi="Verdana" w:cs="Arial"/>
          <w:b/>
          <w:bCs/>
          <w:lang w:val="es-MX"/>
        </w:rPr>
      </w:pPr>
    </w:p>
    <w:p w14:paraId="4617106B" w14:textId="77777777" w:rsidR="005369FE" w:rsidRPr="00502A80" w:rsidRDefault="005369FE" w:rsidP="005369FE">
      <w:pPr>
        <w:widowControl w:val="0"/>
        <w:autoSpaceDE w:val="0"/>
        <w:autoSpaceDN w:val="0"/>
        <w:spacing w:after="0" w:line="276" w:lineRule="auto"/>
        <w:ind w:firstLine="709"/>
        <w:jc w:val="both"/>
        <w:rPr>
          <w:rFonts w:ascii="Verdana" w:eastAsia="Aptos" w:hAnsi="Verdana" w:cs="Arial"/>
          <w:kern w:val="2"/>
          <w:lang w:val="es-MX"/>
          <w14:ligatures w14:val="standardContextual"/>
        </w:rPr>
      </w:pPr>
      <w:r w:rsidRPr="00AF14A8">
        <w:rPr>
          <w:rFonts w:ascii="Verdana" w:eastAsia="Arial" w:hAnsi="Verdana" w:cs="Arial"/>
          <w:lang w:val="es-MX"/>
        </w:rPr>
        <w:t xml:space="preserve">Haciendo uso de la mencionada prerrogativa, el legislador reguló el </w:t>
      </w:r>
      <w:r w:rsidRPr="00AF14A8">
        <w:rPr>
          <w:rFonts w:ascii="Verdana" w:eastAsia="Arial" w:hAnsi="Verdana" w:cs="Arial"/>
          <w:lang w:val="es-ES"/>
        </w:rPr>
        <w:t>ejercicio de la ingeniería y de sus profesiones afines y auxiliares en la Ley 842 de 2003, estableciendo en el artículo 2 las actividades que se entienden como ejercicio de la ingeniería y en el artículo 6 la exigencia de efectuar la matrícula o inscripción en el Registro Profesional</w:t>
      </w:r>
      <w:r w:rsidRPr="00AF14A8">
        <w:rPr>
          <w:rFonts w:ascii="Verdana" w:eastAsia="Arial" w:hAnsi="Verdana" w:cs="Arial"/>
          <w:spacing w:val="8"/>
          <w:lang w:val="es-ES"/>
        </w:rPr>
        <w:t xml:space="preserve"> </w:t>
      </w:r>
      <w:r w:rsidRPr="00AF14A8">
        <w:rPr>
          <w:rFonts w:ascii="Verdana" w:eastAsia="Arial" w:hAnsi="Verdana" w:cs="Arial"/>
          <w:lang w:val="es-ES"/>
        </w:rPr>
        <w:t>respectivo,</w:t>
      </w:r>
      <w:r w:rsidRPr="00AF14A8">
        <w:rPr>
          <w:rFonts w:ascii="Verdana" w:eastAsia="Arial" w:hAnsi="Verdana" w:cs="Arial"/>
          <w:spacing w:val="8"/>
          <w:lang w:val="es-ES"/>
        </w:rPr>
        <w:t xml:space="preserve"> </w:t>
      </w:r>
      <w:r w:rsidRPr="00AF14A8">
        <w:rPr>
          <w:rFonts w:ascii="Verdana" w:eastAsia="Arial" w:hAnsi="Verdana" w:cs="Arial"/>
          <w:lang w:val="es-ES"/>
        </w:rPr>
        <w:t>lo</w:t>
      </w:r>
      <w:r w:rsidRPr="00AF14A8">
        <w:rPr>
          <w:rFonts w:ascii="Verdana" w:eastAsia="Arial" w:hAnsi="Verdana" w:cs="Arial"/>
          <w:spacing w:val="9"/>
          <w:lang w:val="es-ES"/>
        </w:rPr>
        <w:t xml:space="preserve"> </w:t>
      </w:r>
      <w:r w:rsidRPr="00AF14A8">
        <w:rPr>
          <w:rFonts w:ascii="Verdana" w:eastAsia="Arial" w:hAnsi="Verdana" w:cs="Arial"/>
          <w:lang w:val="es-ES"/>
        </w:rPr>
        <w:t>cual</w:t>
      </w:r>
      <w:r w:rsidRPr="00AF14A8">
        <w:rPr>
          <w:rFonts w:ascii="Verdana" w:eastAsia="Arial" w:hAnsi="Verdana" w:cs="Arial"/>
          <w:spacing w:val="8"/>
          <w:lang w:val="es-ES"/>
        </w:rPr>
        <w:t xml:space="preserve"> </w:t>
      </w:r>
      <w:r w:rsidRPr="00AF14A8">
        <w:rPr>
          <w:rFonts w:ascii="Verdana" w:eastAsia="Arial" w:hAnsi="Verdana" w:cs="Arial"/>
          <w:lang w:val="es-ES"/>
        </w:rPr>
        <w:t>se</w:t>
      </w:r>
      <w:r w:rsidRPr="00AF14A8">
        <w:rPr>
          <w:rFonts w:ascii="Verdana" w:eastAsia="Arial" w:hAnsi="Verdana" w:cs="Arial"/>
          <w:spacing w:val="8"/>
          <w:lang w:val="es-ES"/>
        </w:rPr>
        <w:t xml:space="preserve"> </w:t>
      </w:r>
      <w:r w:rsidRPr="00AF14A8">
        <w:rPr>
          <w:rFonts w:ascii="Verdana" w:eastAsia="Arial" w:hAnsi="Verdana" w:cs="Arial"/>
          <w:lang w:val="es-ES"/>
        </w:rPr>
        <w:t>acredita</w:t>
      </w:r>
      <w:r w:rsidRPr="00AF14A8">
        <w:rPr>
          <w:rFonts w:ascii="Verdana" w:eastAsia="Arial" w:hAnsi="Verdana" w:cs="Arial"/>
          <w:spacing w:val="6"/>
          <w:lang w:val="es-ES"/>
        </w:rPr>
        <w:t xml:space="preserve"> </w:t>
      </w:r>
      <w:r w:rsidRPr="00AF14A8">
        <w:rPr>
          <w:rFonts w:ascii="Verdana" w:eastAsia="Arial" w:hAnsi="Verdana" w:cs="Arial"/>
          <w:lang w:val="es-ES"/>
        </w:rPr>
        <w:t>con</w:t>
      </w:r>
      <w:r w:rsidRPr="00AF14A8">
        <w:rPr>
          <w:rFonts w:ascii="Verdana" w:eastAsia="Arial" w:hAnsi="Verdana" w:cs="Arial"/>
          <w:spacing w:val="7"/>
          <w:lang w:val="es-ES"/>
        </w:rPr>
        <w:t xml:space="preserve"> </w:t>
      </w:r>
      <w:r w:rsidRPr="00AF14A8">
        <w:rPr>
          <w:rFonts w:ascii="Verdana" w:eastAsia="Arial" w:hAnsi="Verdana" w:cs="Arial"/>
          <w:lang w:val="es-ES"/>
        </w:rPr>
        <w:t>la</w:t>
      </w:r>
      <w:r w:rsidRPr="00AF14A8">
        <w:rPr>
          <w:rFonts w:ascii="Verdana" w:eastAsia="Arial" w:hAnsi="Verdana" w:cs="Arial"/>
          <w:spacing w:val="8"/>
          <w:lang w:val="es-ES"/>
        </w:rPr>
        <w:t xml:space="preserve"> </w:t>
      </w:r>
      <w:r w:rsidRPr="00AF14A8">
        <w:rPr>
          <w:rFonts w:ascii="Verdana" w:eastAsia="Arial" w:hAnsi="Verdana" w:cs="Arial"/>
          <w:lang w:val="es-ES"/>
        </w:rPr>
        <w:t>tarjeta</w:t>
      </w:r>
      <w:r w:rsidRPr="00AF14A8">
        <w:rPr>
          <w:rFonts w:ascii="Verdana" w:eastAsia="Arial" w:hAnsi="Verdana" w:cs="Arial"/>
          <w:spacing w:val="9"/>
          <w:lang w:val="es-ES"/>
        </w:rPr>
        <w:t xml:space="preserve"> </w:t>
      </w:r>
      <w:r w:rsidRPr="00AF14A8">
        <w:rPr>
          <w:rFonts w:ascii="Verdana" w:eastAsia="Arial" w:hAnsi="Verdana" w:cs="Arial"/>
          <w:lang w:val="es-ES"/>
        </w:rPr>
        <w:t>o</w:t>
      </w:r>
      <w:r w:rsidRPr="00AF14A8">
        <w:rPr>
          <w:rFonts w:ascii="Verdana" w:eastAsia="Arial" w:hAnsi="Verdana" w:cs="Arial"/>
          <w:spacing w:val="7"/>
          <w:lang w:val="es-ES"/>
        </w:rPr>
        <w:t xml:space="preserve"> </w:t>
      </w:r>
      <w:r w:rsidRPr="00AF14A8">
        <w:rPr>
          <w:rFonts w:ascii="Verdana" w:eastAsia="Arial" w:hAnsi="Verdana" w:cs="Arial"/>
          <w:lang w:val="es-ES"/>
        </w:rPr>
        <w:t xml:space="preserve">documento adoptado por este para tal fin. </w:t>
      </w:r>
      <w:r w:rsidRPr="00502A80">
        <w:rPr>
          <w:rFonts w:ascii="Verdana" w:eastAsia="Aptos" w:hAnsi="Verdana" w:cs="Arial"/>
          <w:kern w:val="2"/>
          <w:lang w:val="es-MX"/>
          <w14:ligatures w14:val="standardContextual"/>
        </w:rPr>
        <w:t>Conforme a esto, el artículo 2 de la Ley 842 de 2003 enlista una serie de actividades que constituyen ejercicio de la ingeniería:</w:t>
      </w:r>
    </w:p>
    <w:p w14:paraId="7DDDA080" w14:textId="77777777" w:rsidR="005369FE" w:rsidRPr="00AF14A8" w:rsidRDefault="005369FE" w:rsidP="005369FE">
      <w:pPr>
        <w:widowControl w:val="0"/>
        <w:autoSpaceDE w:val="0"/>
        <w:autoSpaceDN w:val="0"/>
        <w:spacing w:after="0" w:line="276" w:lineRule="auto"/>
        <w:ind w:firstLine="708"/>
        <w:jc w:val="both"/>
        <w:rPr>
          <w:rFonts w:ascii="Verdana" w:eastAsia="Aptos" w:hAnsi="Verdana" w:cs="Arial"/>
          <w:kern w:val="2"/>
          <w:lang w:val="es-MX"/>
          <w14:ligatures w14:val="standardContextual"/>
        </w:rPr>
      </w:pPr>
    </w:p>
    <w:p w14:paraId="3A634137" w14:textId="77777777" w:rsidR="005369FE" w:rsidRPr="00AF14A8" w:rsidRDefault="005369FE" w:rsidP="005369FE">
      <w:pPr>
        <w:widowControl w:val="0"/>
        <w:autoSpaceDE w:val="0"/>
        <w:autoSpaceDN w:val="0"/>
        <w:spacing w:after="0" w:line="240" w:lineRule="auto"/>
        <w:ind w:left="709" w:right="709"/>
        <w:jc w:val="both"/>
        <w:rPr>
          <w:rFonts w:ascii="Verdana" w:eastAsia="Aptos" w:hAnsi="Verdana" w:cs="Arial"/>
          <w:kern w:val="2"/>
          <w:sz w:val="20"/>
          <w:szCs w:val="20"/>
          <w:lang w:val="es-MX"/>
          <w14:ligatures w14:val="standardContextual"/>
        </w:rPr>
      </w:pPr>
      <w:r w:rsidRPr="00AF14A8">
        <w:rPr>
          <w:rFonts w:ascii="Verdana" w:eastAsia="Aptos" w:hAnsi="Verdana" w:cs="Arial"/>
          <w:kern w:val="2"/>
          <w:sz w:val="20"/>
          <w:szCs w:val="20"/>
          <w:lang w:val="es-MX"/>
          <w14:ligatures w14:val="standardContextual"/>
        </w:rPr>
        <w:t xml:space="preserve">“Artículo 2o. </w:t>
      </w:r>
      <w:r w:rsidRPr="00AF14A8">
        <w:rPr>
          <w:rFonts w:ascii="Verdana" w:eastAsia="Aptos" w:hAnsi="Verdana" w:cs="Arial"/>
          <w:i/>
          <w:iCs/>
          <w:kern w:val="2"/>
          <w:sz w:val="20"/>
          <w:szCs w:val="20"/>
          <w:lang w:val="es-MX"/>
          <w14:ligatures w14:val="standardContextual"/>
        </w:rPr>
        <w:t>Ejercicio de la ingeniería</w:t>
      </w:r>
      <w:r w:rsidRPr="00AF14A8">
        <w:rPr>
          <w:rFonts w:ascii="Verdana" w:eastAsia="Aptos" w:hAnsi="Verdana" w:cs="Arial"/>
          <w:kern w:val="2"/>
          <w:sz w:val="20"/>
          <w:szCs w:val="20"/>
          <w:lang w:val="es-MX"/>
          <w14:ligatures w14:val="standardContextual"/>
        </w:rPr>
        <w:t xml:space="preserve">. Para los efectos de la presente ley, se entiende como ejercicio de la ingeniería, el desempeño de actividades </w:t>
      </w:r>
      <w:r w:rsidRPr="00AF14A8">
        <w:rPr>
          <w:rFonts w:ascii="Verdana" w:eastAsia="Aptos" w:hAnsi="Verdana" w:cs="Arial"/>
          <w:kern w:val="2"/>
          <w:sz w:val="20"/>
          <w:szCs w:val="20"/>
          <w:lang w:val="es-MX"/>
          <w14:ligatures w14:val="standardContextual"/>
        </w:rPr>
        <w:lastRenderedPageBreak/>
        <w:t>tales como:</w:t>
      </w:r>
    </w:p>
    <w:p w14:paraId="0CC9B86B" w14:textId="77777777" w:rsidR="005369FE" w:rsidRDefault="005369FE" w:rsidP="005369FE">
      <w:pPr>
        <w:widowControl w:val="0"/>
        <w:autoSpaceDE w:val="0"/>
        <w:autoSpaceDN w:val="0"/>
        <w:spacing w:after="0" w:line="240" w:lineRule="auto"/>
        <w:ind w:left="709" w:right="709"/>
        <w:jc w:val="both"/>
        <w:rPr>
          <w:rFonts w:ascii="Verdana" w:eastAsia="Aptos" w:hAnsi="Verdana" w:cs="Arial"/>
          <w:kern w:val="2"/>
          <w:sz w:val="20"/>
          <w:szCs w:val="20"/>
          <w:lang w:val="es-MX"/>
          <w14:ligatures w14:val="standardContextual"/>
        </w:rPr>
      </w:pPr>
    </w:p>
    <w:p w14:paraId="31B4A7C1" w14:textId="77777777" w:rsidR="005369FE" w:rsidRPr="00AF14A8" w:rsidRDefault="005369FE" w:rsidP="005369FE">
      <w:pPr>
        <w:widowControl w:val="0"/>
        <w:autoSpaceDE w:val="0"/>
        <w:autoSpaceDN w:val="0"/>
        <w:spacing w:after="0" w:line="240" w:lineRule="auto"/>
        <w:ind w:left="709" w:right="709"/>
        <w:jc w:val="both"/>
        <w:rPr>
          <w:rFonts w:ascii="Verdana" w:eastAsia="Aptos" w:hAnsi="Verdana" w:cs="Arial"/>
          <w:kern w:val="2"/>
          <w:sz w:val="20"/>
          <w:szCs w:val="20"/>
          <w:lang w:val="es-MX"/>
          <w14:ligatures w14:val="standardContextual"/>
        </w:rPr>
      </w:pPr>
      <w:r w:rsidRPr="00AF14A8">
        <w:rPr>
          <w:rFonts w:ascii="Verdana" w:eastAsia="Aptos" w:hAnsi="Verdana" w:cs="Arial"/>
          <w:kern w:val="2"/>
          <w:sz w:val="20"/>
          <w:szCs w:val="20"/>
          <w:lang w:val="es-MX"/>
          <w14:ligatures w14:val="standardContextual"/>
        </w:rPr>
        <w:t xml:space="preserve">a) Los estudios, la planeación, el diseño, el cálculo, la programación, la asesoría, la consultoría, la interventoría, la construcción, el mantenimiento y la administración de construcciones de edificios y viviendas de toda índole, de puentes, presas, muelles, canales, puertos, carreteras, vías urbanas y rurales, aeropuertos, ferrocarriles, teleféricos, acueductos, alcantarillados, riesgos (sic), drenajes y pavimentos; oleoductos, gasoductos, poliductos y en general líneas de conducción y transporte de hidrocarburos; líneas de transmisión eléctrica y en general todas aquellas obras de infraestructura para el servicio de la comunidad; </w:t>
      </w:r>
    </w:p>
    <w:p w14:paraId="7A946A81" w14:textId="77777777" w:rsidR="005369FE" w:rsidRDefault="005369FE" w:rsidP="005369FE">
      <w:pPr>
        <w:widowControl w:val="0"/>
        <w:autoSpaceDE w:val="0"/>
        <w:autoSpaceDN w:val="0"/>
        <w:spacing w:after="0" w:line="240" w:lineRule="auto"/>
        <w:ind w:left="709" w:right="709"/>
        <w:jc w:val="both"/>
        <w:rPr>
          <w:rFonts w:ascii="Verdana" w:eastAsia="Aptos" w:hAnsi="Verdana" w:cs="Arial"/>
          <w:kern w:val="2"/>
          <w:sz w:val="20"/>
          <w:szCs w:val="20"/>
          <w:lang w:val="es-MX"/>
          <w14:ligatures w14:val="standardContextual"/>
        </w:rPr>
      </w:pPr>
    </w:p>
    <w:p w14:paraId="2AC6DD70" w14:textId="77777777" w:rsidR="005369FE" w:rsidRPr="00AF14A8" w:rsidRDefault="005369FE" w:rsidP="005369FE">
      <w:pPr>
        <w:widowControl w:val="0"/>
        <w:autoSpaceDE w:val="0"/>
        <w:autoSpaceDN w:val="0"/>
        <w:spacing w:after="0" w:line="240" w:lineRule="auto"/>
        <w:ind w:left="709" w:right="709"/>
        <w:jc w:val="both"/>
        <w:rPr>
          <w:rFonts w:ascii="Verdana" w:eastAsia="Aptos" w:hAnsi="Verdana" w:cs="Arial"/>
          <w:kern w:val="2"/>
          <w:sz w:val="20"/>
          <w:szCs w:val="20"/>
          <w:lang w:val="es-MX"/>
          <w14:ligatures w14:val="standardContextual"/>
        </w:rPr>
      </w:pPr>
      <w:r w:rsidRPr="00AF14A8">
        <w:rPr>
          <w:rFonts w:ascii="Verdana" w:eastAsia="Aptos" w:hAnsi="Verdana" w:cs="Arial"/>
          <w:kern w:val="2"/>
          <w:sz w:val="20"/>
          <w:szCs w:val="20"/>
          <w:lang w:val="es-MX"/>
          <w14:ligatures w14:val="standardContextual"/>
        </w:rPr>
        <w:t xml:space="preserve">b) Los estudios, proyectos, diseños y procesos industriales, textiles, electromecánicos, termoeléctricos, energéticos, mecánicos, eléctricos, electrónicos, de computación, de sistemas, </w:t>
      </w:r>
      <w:proofErr w:type="spellStart"/>
      <w:r w:rsidRPr="00AF14A8">
        <w:rPr>
          <w:rFonts w:ascii="Verdana" w:eastAsia="Aptos" w:hAnsi="Verdana" w:cs="Arial"/>
          <w:kern w:val="2"/>
          <w:sz w:val="20"/>
          <w:szCs w:val="20"/>
          <w:lang w:val="es-MX"/>
          <w14:ligatures w14:val="standardContextual"/>
        </w:rPr>
        <w:t>teleinformáticos</w:t>
      </w:r>
      <w:proofErr w:type="spellEnd"/>
      <w:r w:rsidRPr="00AF14A8">
        <w:rPr>
          <w:rFonts w:ascii="Verdana" w:eastAsia="Aptos" w:hAnsi="Verdana" w:cs="Arial"/>
          <w:kern w:val="2"/>
          <w:sz w:val="20"/>
          <w:szCs w:val="20"/>
          <w:lang w:val="es-MX"/>
          <w14:ligatures w14:val="standardContextual"/>
        </w:rPr>
        <w:t xml:space="preserve">, agroindustriales, agronómicos, agrícolas, agrológicos, de alimentos, agrometeorológicos, ambientales, geofísicos, forestales, químicos, metalúrgicos, mineros, de petróleos, geológicos, geodésicos, geográficos, topográficos e hidrológicos; </w:t>
      </w:r>
    </w:p>
    <w:p w14:paraId="2A29CDDB" w14:textId="77777777" w:rsidR="005369FE" w:rsidRDefault="005369FE" w:rsidP="005369FE">
      <w:pPr>
        <w:widowControl w:val="0"/>
        <w:autoSpaceDE w:val="0"/>
        <w:autoSpaceDN w:val="0"/>
        <w:spacing w:after="0" w:line="240" w:lineRule="auto"/>
        <w:ind w:left="709" w:right="709"/>
        <w:jc w:val="both"/>
        <w:rPr>
          <w:rFonts w:ascii="Verdana" w:eastAsia="Aptos" w:hAnsi="Verdana" w:cs="Arial"/>
          <w:kern w:val="2"/>
          <w:sz w:val="20"/>
          <w:szCs w:val="20"/>
          <w:lang w:val="es-MX"/>
          <w14:ligatures w14:val="standardContextual"/>
        </w:rPr>
      </w:pPr>
    </w:p>
    <w:p w14:paraId="20CB1EEE" w14:textId="77777777" w:rsidR="005369FE" w:rsidRDefault="005369FE" w:rsidP="005369FE">
      <w:pPr>
        <w:widowControl w:val="0"/>
        <w:autoSpaceDE w:val="0"/>
        <w:autoSpaceDN w:val="0"/>
        <w:spacing w:after="0" w:line="240" w:lineRule="auto"/>
        <w:ind w:left="709" w:right="709"/>
        <w:jc w:val="both"/>
        <w:rPr>
          <w:rFonts w:ascii="Verdana" w:eastAsia="Aptos" w:hAnsi="Verdana" w:cs="Arial"/>
          <w:kern w:val="2"/>
          <w:sz w:val="20"/>
          <w:szCs w:val="20"/>
          <w:lang w:val="es-MX"/>
          <w14:ligatures w14:val="standardContextual"/>
        </w:rPr>
      </w:pPr>
      <w:r w:rsidRPr="00AF14A8">
        <w:rPr>
          <w:rFonts w:ascii="Verdana" w:eastAsia="Aptos" w:hAnsi="Verdana" w:cs="Arial"/>
          <w:kern w:val="2"/>
          <w:sz w:val="20"/>
          <w:szCs w:val="20"/>
          <w:lang w:val="es-MX"/>
          <w14:ligatures w14:val="standardContextual"/>
        </w:rPr>
        <w:t>c) La planeación del transporte aéreo, terrestre y náutico y en general, todo asunto relacionado con la ejecución o desarrollo de las tareas o actividades de las profesiones especificadas en los subgrupos 02 y 03 de la Clasificación Nacional de Ocupaciones o normas que la sustituyan o complementen, en cuanto a la ingeniería, sus profesiones afines y auxiliares se refiere. También se entiende por ejercicio de la profesión para los efectos de esta ley, el presentarse o anunciarse como ingeniero o acceder a un cargo de nivel profesional utilizando dicho título.</w:t>
      </w:r>
    </w:p>
    <w:p w14:paraId="2B6E582B" w14:textId="77777777" w:rsidR="005369FE" w:rsidRPr="00AF14A8" w:rsidRDefault="005369FE" w:rsidP="005369FE">
      <w:pPr>
        <w:widowControl w:val="0"/>
        <w:autoSpaceDE w:val="0"/>
        <w:autoSpaceDN w:val="0"/>
        <w:spacing w:after="0" w:line="240" w:lineRule="auto"/>
        <w:ind w:left="709" w:right="709"/>
        <w:jc w:val="both"/>
        <w:rPr>
          <w:rFonts w:ascii="Verdana" w:eastAsia="Aptos" w:hAnsi="Verdana" w:cs="Arial"/>
          <w:kern w:val="2"/>
          <w:sz w:val="20"/>
          <w:szCs w:val="20"/>
          <w:lang w:val="es-MX"/>
          <w14:ligatures w14:val="standardContextual"/>
        </w:rPr>
      </w:pPr>
      <w:r w:rsidRPr="00AF14A8">
        <w:rPr>
          <w:rFonts w:ascii="Verdana" w:eastAsia="Aptos" w:hAnsi="Verdana" w:cs="Arial"/>
          <w:kern w:val="2"/>
          <w:sz w:val="20"/>
          <w:szCs w:val="20"/>
          <w:lang w:val="es-MX"/>
          <w14:ligatures w14:val="standardContextual"/>
        </w:rPr>
        <w:t xml:space="preserve"> </w:t>
      </w:r>
    </w:p>
    <w:p w14:paraId="43393CF1" w14:textId="77777777" w:rsidR="005369FE" w:rsidRPr="00AF14A8" w:rsidRDefault="005369FE" w:rsidP="005369FE">
      <w:pPr>
        <w:widowControl w:val="0"/>
        <w:autoSpaceDE w:val="0"/>
        <w:autoSpaceDN w:val="0"/>
        <w:spacing w:after="0" w:line="240" w:lineRule="auto"/>
        <w:ind w:left="709" w:right="709"/>
        <w:jc w:val="both"/>
        <w:rPr>
          <w:rFonts w:ascii="Verdana" w:eastAsia="Aptos" w:hAnsi="Verdana" w:cs="Arial"/>
          <w:kern w:val="2"/>
          <w:sz w:val="20"/>
          <w:szCs w:val="20"/>
          <w:lang w:val="es-MX"/>
          <w14:ligatures w14:val="standardContextual"/>
        </w:rPr>
      </w:pPr>
      <w:r w:rsidRPr="00AF14A8">
        <w:rPr>
          <w:rFonts w:ascii="Verdana" w:eastAsia="Aptos" w:hAnsi="Verdana" w:cs="Arial"/>
          <w:kern w:val="2"/>
          <w:sz w:val="20"/>
          <w:szCs w:val="20"/>
          <w:lang w:val="es-MX"/>
          <w14:ligatures w14:val="standardContextual"/>
        </w:rPr>
        <w:t>Parágrafo. La instrucción, formación, enseñanza, docencia o cátedra dirigida a los estudiantes que aspiren a uno de los títulos profesionales, afines o auxiliares de la Ingeniería, en las materias o asignaturas que impliquen el conocimiento de la profesión, como máxima actividad del ejercicio profesional, solo podrá ser impartida por profesionales de la ingeniería, sus profesiones afines o sus profesiones auxiliares, según el caso, debidamente matriculados. […]”.</w:t>
      </w:r>
    </w:p>
    <w:p w14:paraId="05E3C2CB" w14:textId="77777777" w:rsidR="005369FE" w:rsidRPr="00502A80" w:rsidRDefault="005369FE" w:rsidP="005369FE">
      <w:pPr>
        <w:widowControl w:val="0"/>
        <w:autoSpaceDE w:val="0"/>
        <w:autoSpaceDN w:val="0"/>
        <w:spacing w:after="0" w:line="276" w:lineRule="auto"/>
        <w:ind w:left="709" w:right="709"/>
        <w:jc w:val="both"/>
        <w:rPr>
          <w:rFonts w:ascii="Verdana" w:eastAsia="Aptos" w:hAnsi="Verdana" w:cs="Arial"/>
          <w:kern w:val="2"/>
          <w:lang w:val="es-MX"/>
          <w14:ligatures w14:val="standardContextual"/>
        </w:rPr>
      </w:pPr>
    </w:p>
    <w:p w14:paraId="0DB4A60A" w14:textId="77777777" w:rsidR="005369FE" w:rsidRPr="00502A80" w:rsidRDefault="005369FE" w:rsidP="005369FE">
      <w:pPr>
        <w:widowControl w:val="0"/>
        <w:autoSpaceDE w:val="0"/>
        <w:autoSpaceDN w:val="0"/>
        <w:spacing w:after="120" w:line="276" w:lineRule="auto"/>
        <w:ind w:right="51" w:firstLine="709"/>
        <w:jc w:val="both"/>
        <w:rPr>
          <w:rFonts w:ascii="Verdana" w:eastAsia="Calibri" w:hAnsi="Verdana" w:cs="Arial"/>
          <w:lang w:val="es-ES" w:eastAsia="es-CO"/>
        </w:rPr>
      </w:pPr>
      <w:r w:rsidRPr="00502A80">
        <w:rPr>
          <w:rFonts w:ascii="Verdana" w:eastAsia="Calibri" w:hAnsi="Verdana" w:cs="Arial"/>
          <w:lang w:val="es-ES" w:eastAsia="es-CO"/>
        </w:rPr>
        <w:t xml:space="preserve">Como se evidencia, la norma transcrita refiere varias actividades relacionadas con diferentes tipos de proyectos e infraestructuras. Se destaca como en el literal a) se hace referencia a </w:t>
      </w:r>
      <w:r>
        <w:rPr>
          <w:rFonts w:ascii="Verdana" w:eastAsia="Calibri" w:hAnsi="Verdana" w:cs="Arial"/>
          <w:lang w:val="es-ES" w:eastAsia="es-CO"/>
        </w:rPr>
        <w:t>la construcción</w:t>
      </w:r>
      <w:r w:rsidRPr="00502A80">
        <w:rPr>
          <w:rFonts w:ascii="Verdana" w:eastAsia="Calibri" w:hAnsi="Verdana" w:cs="Arial"/>
          <w:lang w:val="es-ES" w:eastAsia="es-CO"/>
        </w:rPr>
        <w:t xml:space="preserve">, de lo que se colige que la ejecución de estos, según lo establecido en la ley, constituye ejercicio de la ingeniería. </w:t>
      </w:r>
    </w:p>
    <w:p w14:paraId="66527B43" w14:textId="77777777" w:rsidR="005369FE" w:rsidRPr="00AF14A8" w:rsidRDefault="005369FE" w:rsidP="005369FE">
      <w:pPr>
        <w:widowControl w:val="0"/>
        <w:autoSpaceDE w:val="0"/>
        <w:autoSpaceDN w:val="0"/>
        <w:spacing w:after="0" w:line="276" w:lineRule="auto"/>
        <w:ind w:firstLine="709"/>
        <w:jc w:val="both"/>
        <w:rPr>
          <w:rFonts w:ascii="Verdana" w:eastAsia="Arial" w:hAnsi="Verdana" w:cs="Arial"/>
          <w:lang w:val="es-ES"/>
        </w:rPr>
      </w:pPr>
      <w:r w:rsidRPr="00502A80">
        <w:rPr>
          <w:rFonts w:ascii="Verdana" w:eastAsia="Calibri" w:hAnsi="Verdana" w:cs="Arial"/>
          <w:lang w:val="es-ES" w:eastAsia="es-CO"/>
        </w:rPr>
        <w:t xml:space="preserve">En atención a lo anterior, cobra importancia el estudio de lo contemplado </w:t>
      </w:r>
      <w:r w:rsidRPr="00502A80">
        <w:rPr>
          <w:rFonts w:ascii="Verdana" w:eastAsia="Calibri" w:hAnsi="Verdana" w:cs="Arial"/>
          <w:lang w:val="es-ES" w:eastAsia="es-CO"/>
        </w:rPr>
        <w:lastRenderedPageBreak/>
        <w:t xml:space="preserve">por la referida ley en el capítulo relativo al ejercicio ilegal de la ingeniera, sus profesiones afines y auxiliares.  </w:t>
      </w:r>
      <w:r w:rsidRPr="00AF14A8">
        <w:rPr>
          <w:rFonts w:ascii="Verdana" w:eastAsia="Arial" w:hAnsi="Verdana" w:cs="Arial"/>
          <w:lang w:val="es-ES"/>
        </w:rPr>
        <w:t>El artículo 20 de la Ley 842 de 2023 dispone que las propuestas en las licitaciones y concursos abiertos cuyo objeto implique el desarrollo de las actividades catalogadas como ejercicio de la ingeniería, deberán estar avalados por un ingeniero inscrito y con tarjeta de matrícula profesional en la respectiva rama de la</w:t>
      </w:r>
      <w:r w:rsidRPr="00AF14A8">
        <w:rPr>
          <w:rFonts w:ascii="Verdana" w:eastAsia="Arial" w:hAnsi="Verdana" w:cs="Arial"/>
          <w:spacing w:val="-16"/>
          <w:lang w:val="es-ES"/>
        </w:rPr>
        <w:t xml:space="preserve"> </w:t>
      </w:r>
      <w:r w:rsidRPr="00AF14A8">
        <w:rPr>
          <w:rFonts w:ascii="Verdana" w:eastAsia="Arial" w:hAnsi="Verdana" w:cs="Arial"/>
          <w:lang w:val="es-ES"/>
        </w:rPr>
        <w:t xml:space="preserve">ingeniería. El artículo citado, a tenor reza: </w:t>
      </w:r>
    </w:p>
    <w:p w14:paraId="054FAAEF" w14:textId="77777777" w:rsidR="005369FE" w:rsidRPr="00AF14A8" w:rsidRDefault="005369FE" w:rsidP="005369FE">
      <w:pPr>
        <w:widowControl w:val="0"/>
        <w:autoSpaceDE w:val="0"/>
        <w:autoSpaceDN w:val="0"/>
        <w:spacing w:after="0" w:line="276" w:lineRule="auto"/>
        <w:ind w:firstLine="709"/>
        <w:jc w:val="both"/>
        <w:rPr>
          <w:rFonts w:ascii="Verdana" w:eastAsia="Arial" w:hAnsi="Verdana" w:cs="Arial"/>
          <w:lang w:val="es-ES"/>
        </w:rPr>
      </w:pPr>
    </w:p>
    <w:p w14:paraId="5C5D5463" w14:textId="77777777" w:rsidR="005369FE" w:rsidRPr="00AF14A8" w:rsidRDefault="005369FE" w:rsidP="005369FE">
      <w:pPr>
        <w:spacing w:after="0" w:line="240" w:lineRule="auto"/>
        <w:ind w:left="709" w:right="709"/>
        <w:jc w:val="both"/>
        <w:rPr>
          <w:rFonts w:ascii="Verdana" w:hAnsi="Verdana" w:cs="Arial"/>
          <w:i/>
          <w:iCs/>
          <w:sz w:val="20"/>
          <w:szCs w:val="20"/>
          <w:lang w:val="es-MX"/>
        </w:rPr>
      </w:pPr>
      <w:r w:rsidRPr="00AF14A8">
        <w:rPr>
          <w:rFonts w:ascii="Verdana" w:hAnsi="Verdana" w:cs="Arial"/>
          <w:sz w:val="20"/>
          <w:szCs w:val="20"/>
          <w:lang w:val="es-MX"/>
        </w:rPr>
        <w:t xml:space="preserve">Artículo 20. Propuestas y contratos. </w:t>
      </w:r>
      <w:r w:rsidRPr="00AF14A8">
        <w:rPr>
          <w:rFonts w:ascii="Verdana" w:hAnsi="Verdana" w:cs="Arial"/>
          <w:i/>
          <w:iCs/>
          <w:sz w:val="20"/>
          <w:szCs w:val="20"/>
          <w:lang w:val="es-MX"/>
        </w:rPr>
        <w:t>Las propuestas que se formulen en las licitaciones y concursos abiertos por entidades públicas del orden nacional, seccional o local, para la adjudicación de contratos cuyo objeto implique el desarrollo de las actividades catalogadas como ejercicio de la ingeniería, deberán estar avalados, en todo caso, cuando menos, por un ingeniero inscrito y con tarjeta de matrícula profesional en la respectiva rama de la ingeniería.</w:t>
      </w:r>
    </w:p>
    <w:p w14:paraId="037B3156" w14:textId="77777777" w:rsidR="005369FE" w:rsidRPr="00AF14A8" w:rsidRDefault="005369FE" w:rsidP="005369FE">
      <w:pPr>
        <w:spacing w:after="0" w:line="240" w:lineRule="auto"/>
        <w:ind w:left="709" w:right="709"/>
        <w:jc w:val="both"/>
        <w:rPr>
          <w:rFonts w:ascii="Verdana" w:hAnsi="Verdana" w:cs="Arial"/>
          <w:sz w:val="20"/>
          <w:szCs w:val="20"/>
          <w:lang w:val="es-MX"/>
        </w:rPr>
      </w:pPr>
    </w:p>
    <w:p w14:paraId="28205BC7" w14:textId="77777777" w:rsidR="005369FE" w:rsidRPr="00AF14A8" w:rsidRDefault="005369FE" w:rsidP="005369FE">
      <w:pPr>
        <w:spacing w:after="0" w:line="240" w:lineRule="auto"/>
        <w:ind w:left="709" w:right="709"/>
        <w:jc w:val="both"/>
        <w:rPr>
          <w:rFonts w:ascii="Verdana" w:hAnsi="Verdana" w:cs="Arial"/>
          <w:sz w:val="20"/>
          <w:szCs w:val="20"/>
          <w:lang w:val="es-MX"/>
        </w:rPr>
      </w:pPr>
      <w:r w:rsidRPr="00AF14A8">
        <w:rPr>
          <w:rFonts w:ascii="Verdana" w:hAnsi="Verdana" w:cs="Arial"/>
          <w:sz w:val="20"/>
          <w:szCs w:val="20"/>
          <w:lang w:val="es-MX"/>
        </w:rPr>
        <w:t>En los contratos que se celebren como resultado de la licitación o del concurso, los contratistas tendrán la obligación de encomendar los estudios, la dirección técnica, la ejecución de los trabajos o la interventoría, a profesionales inscritos en el registro profesional de ingeniería, acreditados con la tarjeta de matrícula profesional o, excepcionalmente, con la constancia o certificado de su</w:t>
      </w:r>
      <w:r w:rsidRPr="00AF14A8">
        <w:rPr>
          <w:rFonts w:ascii="Verdana" w:hAnsi="Verdana" w:cs="Arial"/>
          <w:spacing w:val="-26"/>
          <w:sz w:val="20"/>
          <w:szCs w:val="20"/>
          <w:lang w:val="es-MX"/>
        </w:rPr>
        <w:t xml:space="preserve"> </w:t>
      </w:r>
      <w:r w:rsidRPr="00AF14A8">
        <w:rPr>
          <w:rFonts w:ascii="Verdana" w:hAnsi="Verdana" w:cs="Arial"/>
          <w:sz w:val="20"/>
          <w:szCs w:val="20"/>
          <w:lang w:val="es-MX"/>
        </w:rPr>
        <w:t>vigencia.</w:t>
      </w:r>
    </w:p>
    <w:p w14:paraId="7C6DA939" w14:textId="77777777" w:rsidR="005369FE" w:rsidRPr="00AF14A8" w:rsidRDefault="005369FE" w:rsidP="005369FE">
      <w:pPr>
        <w:widowControl w:val="0"/>
        <w:autoSpaceDE w:val="0"/>
        <w:autoSpaceDN w:val="0"/>
        <w:spacing w:after="0" w:line="240" w:lineRule="auto"/>
        <w:ind w:left="709" w:right="709"/>
        <w:rPr>
          <w:rFonts w:ascii="Verdana" w:eastAsia="Arial" w:hAnsi="Verdana" w:cs="Arial"/>
          <w:sz w:val="20"/>
          <w:szCs w:val="20"/>
          <w:lang w:val="es-ES"/>
        </w:rPr>
      </w:pPr>
    </w:p>
    <w:p w14:paraId="1601D7EF" w14:textId="77777777" w:rsidR="005369FE" w:rsidRDefault="005369FE" w:rsidP="005369FE">
      <w:pPr>
        <w:spacing w:after="0" w:line="240" w:lineRule="auto"/>
        <w:ind w:left="709" w:right="709"/>
        <w:jc w:val="both"/>
        <w:rPr>
          <w:rFonts w:ascii="Verdana" w:hAnsi="Verdana" w:cs="Arial"/>
          <w:sz w:val="20"/>
          <w:szCs w:val="20"/>
          <w:lang w:val="es-MX"/>
        </w:rPr>
      </w:pPr>
      <w:r w:rsidRPr="00AF14A8">
        <w:rPr>
          <w:rFonts w:ascii="Verdana" w:hAnsi="Verdana" w:cs="Arial"/>
          <w:sz w:val="20"/>
          <w:szCs w:val="20"/>
          <w:lang w:val="es-MX"/>
        </w:rPr>
        <w:t>Parágrafo. Lo dispuesto en este artículo se aplicará en todas sus partes, tanto a las propuestas que se presenten, como a los contratos de igual naturaleza y que, con el mismo objetivo, se celebren con las sociedades de economía mixta y con los establecimientos públicos y empresas industriales o comerciales del orden nacional, departamental, distrital o municipal y aquellas descentralizadas por servicios.</w:t>
      </w:r>
    </w:p>
    <w:p w14:paraId="5FC5B8C6" w14:textId="77777777" w:rsidR="005369FE" w:rsidRPr="00AF14A8" w:rsidRDefault="005369FE" w:rsidP="005369FE">
      <w:pPr>
        <w:spacing w:after="0" w:line="240" w:lineRule="auto"/>
        <w:ind w:left="709" w:right="709"/>
        <w:jc w:val="both"/>
        <w:rPr>
          <w:rFonts w:ascii="Verdana" w:hAnsi="Verdana" w:cs="Arial"/>
          <w:sz w:val="20"/>
          <w:szCs w:val="20"/>
          <w:lang w:val="es-MX"/>
        </w:rPr>
      </w:pPr>
    </w:p>
    <w:p w14:paraId="3F4E72AD" w14:textId="77777777" w:rsidR="005369FE" w:rsidRPr="00502A80" w:rsidRDefault="005369FE" w:rsidP="005369FE">
      <w:pPr>
        <w:widowControl w:val="0"/>
        <w:autoSpaceDE w:val="0"/>
        <w:autoSpaceDN w:val="0"/>
        <w:spacing w:after="120" w:line="276" w:lineRule="auto"/>
        <w:ind w:right="51" w:firstLine="709"/>
        <w:jc w:val="both"/>
        <w:rPr>
          <w:rFonts w:ascii="Verdana" w:eastAsia="Calibri" w:hAnsi="Verdana" w:cs="Arial"/>
          <w:lang w:val="es-ES" w:eastAsia="es-CO"/>
        </w:rPr>
      </w:pPr>
      <w:r w:rsidRPr="00502A80">
        <w:rPr>
          <w:rFonts w:ascii="Verdana" w:eastAsia="Calibri" w:hAnsi="Verdana" w:cs="Arial"/>
          <w:lang w:val="es-ES" w:eastAsia="es-CO"/>
        </w:rPr>
        <w:t>De igual forma, el Consejo Profesional Nacional de Ingeniería –COPNIA–, de acuerdo con la competencia consagrada en el artículo 26 de la Ley 842 de 2003</w:t>
      </w:r>
      <w:r w:rsidRPr="00502A80">
        <w:rPr>
          <w:rFonts w:ascii="Verdana" w:eastAsia="Calibri" w:hAnsi="Verdana" w:cs="Arial"/>
          <w:vertAlign w:val="superscript"/>
          <w:lang w:val="es-ES" w:eastAsia="es-CO"/>
        </w:rPr>
        <w:footnoteReference w:id="2"/>
      </w:r>
      <w:r w:rsidRPr="00502A80">
        <w:rPr>
          <w:rFonts w:ascii="Verdana" w:eastAsia="Calibri" w:hAnsi="Verdana" w:cs="Arial"/>
          <w:lang w:val="es-ES" w:eastAsia="es-CO"/>
        </w:rPr>
        <w:t>, ha conceptuado sobre la participación en procesos de selección relacionados con el ejercicio de actividades de la ingeniería, destacando el riesgo social que podría representar el uso inadecuado de la profesión por personas que no cuenten con la idoneidad para su ejercicio.</w:t>
      </w:r>
    </w:p>
    <w:p w14:paraId="3F921C28" w14:textId="77777777" w:rsidR="005369FE" w:rsidRPr="00AF14A8" w:rsidRDefault="005369FE" w:rsidP="005369FE">
      <w:pPr>
        <w:widowControl w:val="0"/>
        <w:autoSpaceDE w:val="0"/>
        <w:autoSpaceDN w:val="0"/>
        <w:spacing w:after="120" w:line="276" w:lineRule="auto"/>
        <w:ind w:firstLine="709"/>
        <w:jc w:val="both"/>
        <w:rPr>
          <w:rFonts w:ascii="Verdana" w:eastAsia="Arial" w:hAnsi="Verdana" w:cs="Arial"/>
          <w:lang w:val="es-ES"/>
        </w:rPr>
      </w:pPr>
      <w:r w:rsidRPr="00AF14A8">
        <w:rPr>
          <w:rFonts w:ascii="Verdana" w:eastAsia="Arial" w:hAnsi="Verdana" w:cs="Arial"/>
          <w:lang w:val="es-ES"/>
        </w:rPr>
        <w:t xml:space="preserve">La disposición transcrita fue objeto de estudio por parte de la Corte </w:t>
      </w:r>
      <w:r w:rsidRPr="00AF14A8">
        <w:rPr>
          <w:rFonts w:ascii="Verdana" w:eastAsia="Arial" w:hAnsi="Verdana" w:cs="Arial"/>
          <w:lang w:val="es-ES"/>
        </w:rPr>
        <w:lastRenderedPageBreak/>
        <w:t>Constitucional en la sentencia C-191 de 2005. El demandante consideró que dicha norma desconocía la libertad de escoger y ejercer profesión u oficio al reservar a los ingenieros, en los términos de la disposición demandada, las labores de estudios, planeación, programación, asesoría, consultoría, interventoría, construcción, mantenimiento y administración de construcciones de edificios y viviendas de toda índole, y de obras de infraestructura para el servicio de la comunidad, separando a los arquitectos de la ejecución de tales labores.</w:t>
      </w:r>
    </w:p>
    <w:p w14:paraId="634F050B" w14:textId="77777777" w:rsidR="005369FE" w:rsidRPr="00AF14A8" w:rsidRDefault="005369FE" w:rsidP="005369FE">
      <w:pPr>
        <w:widowControl w:val="0"/>
        <w:autoSpaceDE w:val="0"/>
        <w:autoSpaceDN w:val="0"/>
        <w:spacing w:after="120" w:line="276" w:lineRule="auto"/>
        <w:ind w:firstLine="709"/>
        <w:jc w:val="both"/>
        <w:rPr>
          <w:rFonts w:ascii="Verdana" w:eastAsia="Arial" w:hAnsi="Verdana" w:cs="Arial"/>
          <w:lang w:val="es-ES"/>
        </w:rPr>
      </w:pPr>
      <w:r w:rsidRPr="00AF14A8">
        <w:rPr>
          <w:rFonts w:ascii="Verdana" w:eastAsia="Arial" w:hAnsi="Verdana" w:cs="Arial"/>
          <w:lang w:val="es-ES"/>
        </w:rPr>
        <w:t>La Corte Constitucional en su análisis consideró que las actividades propias de los arquitectos son diferentes a las de los ingenieros y sus profesiones auxiliares y afines. En ese sentido, la obligatoriedad de presentar las propuestas con aval de un ingeniero en licitaciones y concursos abiertos en los contratos que impliquen el desarrollo de actividades catalogadas como ejercicio de la ingeniera es objetiva y proporcional, en la medida que el aval de un ingeniero únicamente se debe realizar tratándose de procesos de contratación que involucren actividades catalogadas como ejercicio de la ingeniería</w:t>
      </w:r>
      <w:r w:rsidRPr="00AF14A8">
        <w:rPr>
          <w:rFonts w:ascii="Verdana" w:eastAsia="Arial" w:hAnsi="Verdana" w:cs="Arial"/>
          <w:vertAlign w:val="superscript"/>
          <w:lang w:val="es-ES"/>
        </w:rPr>
        <w:footnoteReference w:id="3"/>
      </w:r>
      <w:r w:rsidRPr="00AF14A8">
        <w:rPr>
          <w:rFonts w:ascii="Verdana" w:eastAsia="Arial" w:hAnsi="Verdana" w:cs="Arial"/>
          <w:lang w:val="es-ES"/>
        </w:rPr>
        <w:t>.</w:t>
      </w:r>
    </w:p>
    <w:p w14:paraId="69816104" w14:textId="77777777" w:rsidR="005369FE" w:rsidRPr="00AF14A8" w:rsidRDefault="005369FE" w:rsidP="005369FE">
      <w:pPr>
        <w:widowControl w:val="0"/>
        <w:autoSpaceDE w:val="0"/>
        <w:autoSpaceDN w:val="0"/>
        <w:spacing w:after="120" w:line="276" w:lineRule="auto"/>
        <w:ind w:firstLine="709"/>
        <w:jc w:val="both"/>
        <w:rPr>
          <w:rFonts w:ascii="Verdana" w:eastAsia="Arial" w:hAnsi="Verdana" w:cs="Arial"/>
          <w:sz w:val="21"/>
          <w:lang w:val="es-ES"/>
        </w:rPr>
      </w:pPr>
      <w:r w:rsidRPr="00AF14A8">
        <w:rPr>
          <w:rFonts w:ascii="Verdana" w:eastAsia="Arial" w:hAnsi="Verdana" w:cs="Arial"/>
          <w:lang w:val="es-ES"/>
        </w:rPr>
        <w:t>Aunado a lo anterior, el Tribunal Constitucional también señaló que la persona idónea y habilitada legalmente para ejercer la ingeniería, en actividades catalogadas como     ejercicio de dicha profesión, es la matriculada o inscrita en el Registro Profesional de Ingenieros y que por ende cuenta con un título</w:t>
      </w:r>
      <w:r w:rsidRPr="00AF14A8">
        <w:rPr>
          <w:rFonts w:ascii="Verdana" w:eastAsia="Arial" w:hAnsi="Verdana" w:cs="Arial"/>
          <w:spacing w:val="-3"/>
          <w:lang w:val="es-ES"/>
        </w:rPr>
        <w:t xml:space="preserve"> </w:t>
      </w:r>
      <w:r w:rsidRPr="00AF14A8">
        <w:rPr>
          <w:rFonts w:ascii="Verdana" w:eastAsia="Arial" w:hAnsi="Verdana" w:cs="Arial"/>
          <w:lang w:val="es-ES"/>
        </w:rPr>
        <w:t>profesional</w:t>
      </w:r>
      <w:r w:rsidRPr="00AF14A8">
        <w:rPr>
          <w:rFonts w:ascii="Verdana" w:eastAsia="Arial" w:hAnsi="Verdana" w:cs="Arial"/>
          <w:vertAlign w:val="superscript"/>
          <w:lang w:val="es-ES"/>
        </w:rPr>
        <w:footnoteReference w:id="4"/>
      </w:r>
      <w:r w:rsidRPr="00AF14A8">
        <w:rPr>
          <w:rFonts w:ascii="Verdana" w:eastAsia="Arial" w:hAnsi="Verdana" w:cs="Arial"/>
          <w:lang w:val="es-ES"/>
        </w:rPr>
        <w:t xml:space="preserve"> y con la idoneidad que no se predica de otras profesiones –como es el caso de la arquitectura–. Esta idoneidad se requiere para la ejecución de ciertas actividades relacionadas particularmente con el ejercicio de la ingeniería, como son los proyectos de obra de infraestructura de transporte, pues su formación es distinta y no existe habilitación legal para el ejercicio de actividades de ingeniería ostentando una profesión</w:t>
      </w:r>
      <w:r w:rsidRPr="00AF14A8">
        <w:rPr>
          <w:rFonts w:ascii="Verdana" w:eastAsia="Arial" w:hAnsi="Verdana" w:cs="Arial"/>
          <w:spacing w:val="-2"/>
          <w:lang w:val="es-ES"/>
        </w:rPr>
        <w:t xml:space="preserve"> </w:t>
      </w:r>
      <w:r w:rsidRPr="00AF14A8">
        <w:rPr>
          <w:rFonts w:ascii="Verdana" w:eastAsia="Arial" w:hAnsi="Verdana" w:cs="Arial"/>
          <w:lang w:val="es-ES"/>
        </w:rPr>
        <w:t>diferente.</w:t>
      </w:r>
    </w:p>
    <w:p w14:paraId="2373D77B" w14:textId="77777777" w:rsidR="005369FE" w:rsidRPr="00AF14A8" w:rsidRDefault="005369FE" w:rsidP="005369FE">
      <w:pPr>
        <w:widowControl w:val="0"/>
        <w:autoSpaceDE w:val="0"/>
        <w:autoSpaceDN w:val="0"/>
        <w:spacing w:after="120" w:line="276" w:lineRule="auto"/>
        <w:ind w:firstLine="709"/>
        <w:jc w:val="both"/>
        <w:rPr>
          <w:rFonts w:ascii="Verdana" w:eastAsia="Arial" w:hAnsi="Verdana" w:cs="Arial"/>
          <w:lang w:val="es-ES"/>
        </w:rPr>
      </w:pPr>
      <w:r w:rsidRPr="00AF14A8">
        <w:rPr>
          <w:rFonts w:ascii="Verdana" w:eastAsia="Arial" w:hAnsi="Verdana" w:cs="Arial"/>
          <w:lang w:val="es-ES"/>
        </w:rPr>
        <w:t xml:space="preserve">Así, no todas las actividades relacionadas con construcción pueden ser desarrolladas por profesionales diferentes a ingenieros, pues el ejercicio de </w:t>
      </w:r>
      <w:r w:rsidRPr="00AF14A8">
        <w:rPr>
          <w:rFonts w:ascii="Verdana" w:eastAsia="Arial" w:hAnsi="Verdana" w:cs="Arial"/>
          <w:lang w:val="es-ES"/>
        </w:rPr>
        <w:lastRenderedPageBreak/>
        <w:t>actividades de dicha categoría supone la existencia de idoneidad y conocimientos adquiridos por los profesionales de ingeniería en el estudio de su profesión.</w:t>
      </w:r>
    </w:p>
    <w:p w14:paraId="2E1E5B48" w14:textId="77777777" w:rsidR="005369FE" w:rsidRPr="00AF14A8" w:rsidRDefault="005369FE" w:rsidP="005369FE">
      <w:pPr>
        <w:spacing w:after="0" w:line="276" w:lineRule="auto"/>
        <w:ind w:firstLine="709"/>
        <w:jc w:val="both"/>
        <w:rPr>
          <w:rFonts w:ascii="Verdana" w:hAnsi="Verdana" w:cs="Arial"/>
          <w:lang w:val="es-ES"/>
        </w:rPr>
      </w:pPr>
      <w:r w:rsidRPr="00AF14A8">
        <w:rPr>
          <w:rFonts w:ascii="Verdana" w:hAnsi="Verdana" w:cs="Arial"/>
          <w:lang w:val="es-ES"/>
        </w:rPr>
        <w:t>De igual forma, el Consejo Profesional Nacional de Ingeniería –COPNIA–, de acuerdo con la competencia consagrada en el artículo 26 de la Ley 842 de 2003</w:t>
      </w:r>
      <w:r w:rsidRPr="00AF14A8">
        <w:rPr>
          <w:rStyle w:val="Refdenotaalpie"/>
          <w:rFonts w:ascii="Verdana" w:hAnsi="Verdana" w:cs="Arial"/>
          <w:lang w:val="es-ES"/>
        </w:rPr>
        <w:footnoteReference w:id="5"/>
      </w:r>
      <w:r w:rsidRPr="00AF14A8">
        <w:rPr>
          <w:rFonts w:ascii="Verdana" w:hAnsi="Verdana" w:cs="Arial"/>
          <w:lang w:val="es-ES"/>
        </w:rPr>
        <w:t>, ha conceptuado sobre la participación en procesos de selección relacionados con el ejercicio de actividades de la ingeniería, destacando el riesgo social que podría representar el uso inadecuado de la profesión por personas que no cuenten con la idoneidad para su ejercicio:</w:t>
      </w:r>
    </w:p>
    <w:p w14:paraId="5DA0AB93" w14:textId="77777777" w:rsidR="005369FE" w:rsidRPr="00AF14A8" w:rsidRDefault="005369FE" w:rsidP="005369FE">
      <w:pPr>
        <w:spacing w:after="0" w:line="276" w:lineRule="auto"/>
        <w:jc w:val="both"/>
        <w:rPr>
          <w:rFonts w:ascii="Verdana" w:hAnsi="Verdana" w:cs="Arial"/>
          <w:lang w:val="es-MX"/>
        </w:rPr>
      </w:pPr>
    </w:p>
    <w:p w14:paraId="77E31F1C" w14:textId="77777777" w:rsidR="005369FE" w:rsidRPr="00AF14A8" w:rsidRDefault="005369FE" w:rsidP="005369FE">
      <w:pPr>
        <w:spacing w:after="0" w:line="240" w:lineRule="auto"/>
        <w:ind w:left="709" w:right="709"/>
        <w:jc w:val="both"/>
        <w:rPr>
          <w:rFonts w:ascii="Verdana" w:hAnsi="Verdana" w:cs="Arial"/>
          <w:sz w:val="20"/>
          <w:szCs w:val="20"/>
          <w:lang w:val="es-MX"/>
        </w:rPr>
      </w:pPr>
      <w:r>
        <w:rPr>
          <w:rFonts w:ascii="Verdana" w:hAnsi="Verdana" w:cs="Arial"/>
          <w:sz w:val="20"/>
          <w:szCs w:val="20"/>
          <w:lang w:val="es-MX"/>
        </w:rPr>
        <w:t>“</w:t>
      </w:r>
      <w:r w:rsidRPr="00AF14A8">
        <w:rPr>
          <w:rFonts w:ascii="Verdana" w:hAnsi="Verdana" w:cs="Arial"/>
          <w:sz w:val="20"/>
          <w:szCs w:val="20"/>
          <w:lang w:val="es-MX"/>
        </w:rPr>
        <w:t>Así, las personas jurídicas, los consorcios y las uniones temporales que presenten una propuesta para participar en un procedimiento administrativo de contratación estatal, cuyo objeto desarrolle actividades de la ingeniería, requieren que un profesional debidamente matriculado avale la oferta, debido a que por su naturaleza jurídica dichos entes no son idóneos académicamente, no pueden obtener la Matrícula Profesional y no pueden ejercer directamente la ingeniería, por lo que es necesario que, por el riesgo social que implica dicho ejercicio, sea el ingeniero debidamente matriculado la persona respecto de la cual se pueda establecer la responsabilidad, en caso de configurarse un indebido ejercicio de la profesión.</w:t>
      </w:r>
    </w:p>
    <w:p w14:paraId="5F2D66E9" w14:textId="77777777" w:rsidR="005369FE" w:rsidRPr="00AF14A8" w:rsidRDefault="005369FE" w:rsidP="005369FE">
      <w:pPr>
        <w:spacing w:after="0" w:line="240" w:lineRule="auto"/>
        <w:ind w:left="709" w:right="709"/>
        <w:jc w:val="both"/>
        <w:rPr>
          <w:rFonts w:ascii="Verdana" w:hAnsi="Verdana" w:cs="Arial"/>
          <w:sz w:val="20"/>
          <w:szCs w:val="20"/>
          <w:lang w:val="es-MX"/>
        </w:rPr>
      </w:pPr>
    </w:p>
    <w:p w14:paraId="6BD1EEA7" w14:textId="77777777" w:rsidR="005369FE" w:rsidRPr="00AF14A8" w:rsidRDefault="005369FE" w:rsidP="005369FE">
      <w:pPr>
        <w:spacing w:after="0" w:line="240" w:lineRule="auto"/>
        <w:ind w:left="709" w:right="709"/>
        <w:jc w:val="both"/>
        <w:rPr>
          <w:rFonts w:ascii="Verdana" w:hAnsi="Verdana" w:cs="Arial"/>
          <w:sz w:val="20"/>
          <w:szCs w:val="20"/>
          <w:lang w:val="es-MX"/>
        </w:rPr>
      </w:pPr>
      <w:r w:rsidRPr="00AF14A8">
        <w:rPr>
          <w:rFonts w:ascii="Verdana" w:hAnsi="Verdana" w:cs="Arial"/>
          <w:sz w:val="20"/>
          <w:szCs w:val="20"/>
          <w:lang w:val="es-MX"/>
        </w:rPr>
        <w:t xml:space="preserve">Permitir que una persona natural no idónea, es decir, sin título profesional y sin Matrícula Profesional ejerza actividades de la ingeniería cuando la Constitución y la ley exigen que sólo personas idóneas y con la respectiva autorización la ejerzan, es vaciar de contenido el sentido y la finalidad de la reglamentación de las profesiones y constituye vulneración a las prohibiciones de i) ejercer profesión reglamentada sin autorización […] o </w:t>
      </w:r>
      <w:proofErr w:type="spellStart"/>
      <w:r w:rsidRPr="00AF14A8">
        <w:rPr>
          <w:rFonts w:ascii="Verdana" w:hAnsi="Verdana" w:cs="Arial"/>
          <w:sz w:val="20"/>
          <w:szCs w:val="20"/>
          <w:lang w:val="es-MX"/>
        </w:rPr>
        <w:t>ii</w:t>
      </w:r>
      <w:proofErr w:type="spellEnd"/>
      <w:r w:rsidRPr="00AF14A8">
        <w:rPr>
          <w:rFonts w:ascii="Verdana" w:hAnsi="Verdana" w:cs="Arial"/>
          <w:sz w:val="20"/>
          <w:szCs w:val="20"/>
          <w:lang w:val="es-MX"/>
        </w:rPr>
        <w:t xml:space="preserve">) permitir, tolerar o facilitar el ejercicio ilegal de profesión reglamentada […] e incluso podría constituir violación a los principios de la contratación estatal que entre otros implican que la adjudicación y celebración de tales contrato es intuito </w:t>
      </w:r>
      <w:proofErr w:type="spellStart"/>
      <w:r w:rsidRPr="00AF14A8">
        <w:rPr>
          <w:rFonts w:ascii="Verdana" w:hAnsi="Verdana" w:cs="Arial"/>
          <w:sz w:val="20"/>
          <w:szCs w:val="20"/>
          <w:lang w:val="es-MX"/>
        </w:rPr>
        <w:t>personae</w:t>
      </w:r>
      <w:proofErr w:type="spellEnd"/>
      <w:r w:rsidRPr="00AF14A8">
        <w:rPr>
          <w:rFonts w:ascii="Verdana" w:hAnsi="Verdana" w:cs="Arial"/>
          <w:sz w:val="20"/>
          <w:szCs w:val="20"/>
          <w:vertAlign w:val="superscript"/>
          <w:lang w:val="es-ES"/>
        </w:rPr>
        <w:footnoteReference w:id="6"/>
      </w:r>
      <w:r w:rsidRPr="00AF14A8">
        <w:rPr>
          <w:rFonts w:ascii="Verdana" w:hAnsi="Verdana" w:cs="Arial"/>
          <w:sz w:val="20"/>
          <w:szCs w:val="20"/>
          <w:lang w:val="es-MX"/>
        </w:rPr>
        <w:t>.</w:t>
      </w:r>
    </w:p>
    <w:p w14:paraId="6FBD8017" w14:textId="77777777" w:rsidR="005369FE" w:rsidRPr="00AF14A8" w:rsidRDefault="005369FE" w:rsidP="005369FE">
      <w:pPr>
        <w:spacing w:after="0" w:line="276" w:lineRule="auto"/>
        <w:ind w:left="720"/>
        <w:contextualSpacing/>
        <w:jc w:val="both"/>
        <w:rPr>
          <w:rFonts w:ascii="Verdana" w:hAnsi="Verdana" w:cs="Arial"/>
          <w:lang w:val="es-MX"/>
        </w:rPr>
      </w:pPr>
    </w:p>
    <w:p w14:paraId="53E7E346" w14:textId="77777777" w:rsidR="005369FE" w:rsidRPr="00AF14A8" w:rsidRDefault="005369FE" w:rsidP="005369FE">
      <w:pPr>
        <w:spacing w:after="120" w:line="276" w:lineRule="auto"/>
        <w:ind w:firstLine="709"/>
        <w:jc w:val="both"/>
        <w:rPr>
          <w:rFonts w:ascii="Verdana" w:hAnsi="Verdana" w:cs="Arial"/>
          <w:lang w:val="es-MX"/>
        </w:rPr>
      </w:pPr>
      <w:r w:rsidRPr="00AF14A8">
        <w:rPr>
          <w:rFonts w:ascii="Verdana" w:hAnsi="Verdana" w:cs="Arial"/>
          <w:lang w:val="es-MX"/>
        </w:rPr>
        <w:t xml:space="preserve">En efecto,  dado que las personas jurídicas no pueden y, por tanto, no les es exigible contar con una profesión, la ley previó dicha situación y las habilitó </w:t>
      </w:r>
      <w:r w:rsidRPr="00AF14A8">
        <w:rPr>
          <w:rFonts w:ascii="Verdana" w:hAnsi="Verdana" w:cs="Arial"/>
          <w:lang w:val="es-MX"/>
        </w:rPr>
        <w:lastRenderedPageBreak/>
        <w:t>para contar con el apoyo de un profesional que avalara la</w:t>
      </w:r>
      <w:r>
        <w:rPr>
          <w:rFonts w:ascii="Verdana" w:hAnsi="Verdana" w:cs="Arial"/>
          <w:lang w:val="es-MX"/>
        </w:rPr>
        <w:t>s</w:t>
      </w:r>
      <w:r w:rsidRPr="00AF14A8">
        <w:rPr>
          <w:rFonts w:ascii="Verdana" w:hAnsi="Verdana" w:cs="Arial"/>
          <w:lang w:val="es-MX"/>
        </w:rPr>
        <w:t xml:space="preserve"> propuestas relacionadas con ingeniería, pues si ello no hubiese ocurrido, a pesar que pueden desarrollar y desempeñar actividades catalogadas como el ejercicio de la ingeniería por encontrarse en el marco de su objeto social, ante la ausencia de una matrícula o tarjeta profesional no lo podrían hacer. También es importante agregar que el aval implica que el profesional que firma, independientemente de si se trata de un miembro, empleado o contratista de la respectiva persona jurídica, se hace responsable, en virtud de su idoneidad, por el adecuado ejercicio de la profesión por parte de la persona jurídica que desarrolla funciones profesionales relacionadas directamente con la ingeniería. </w:t>
      </w:r>
    </w:p>
    <w:p w14:paraId="0206C415" w14:textId="77777777" w:rsidR="005369FE" w:rsidRPr="00AF14A8" w:rsidRDefault="005369FE" w:rsidP="005369FE">
      <w:pPr>
        <w:spacing w:after="0" w:line="276" w:lineRule="auto"/>
        <w:ind w:firstLine="709"/>
        <w:jc w:val="both"/>
        <w:rPr>
          <w:rFonts w:ascii="Verdana" w:hAnsi="Verdana" w:cs="Arial"/>
          <w:lang w:val="es-MX"/>
        </w:rPr>
      </w:pPr>
      <w:r w:rsidRPr="00AF14A8">
        <w:rPr>
          <w:rFonts w:ascii="Verdana" w:hAnsi="Verdana" w:cs="Arial"/>
          <w:lang w:val="es-MX"/>
        </w:rPr>
        <w:t>En el mismo sentido, al analizar lo ordenado en el artículo 20 de la Ley 842 de 2003, haciendo énfasis en la responsabilidad de los profesionales de la ingeniería en los procesos adelantados por las entidades estatales, mediante concepto No 64 de 2020, el – COPNIA – señaló:</w:t>
      </w:r>
    </w:p>
    <w:p w14:paraId="589D1053" w14:textId="77777777" w:rsidR="005369FE" w:rsidRPr="00AF14A8" w:rsidRDefault="005369FE" w:rsidP="005369FE">
      <w:pPr>
        <w:spacing w:after="0" w:line="276" w:lineRule="auto"/>
        <w:ind w:firstLine="709"/>
        <w:jc w:val="both"/>
        <w:rPr>
          <w:rFonts w:ascii="Verdana" w:hAnsi="Verdana" w:cs="Arial"/>
          <w:lang w:val="es-MX"/>
        </w:rPr>
      </w:pPr>
    </w:p>
    <w:p w14:paraId="1C8830ED" w14:textId="77777777" w:rsidR="005369FE" w:rsidRPr="00AF14A8" w:rsidRDefault="005369FE" w:rsidP="005369FE">
      <w:pPr>
        <w:spacing w:after="0" w:line="240" w:lineRule="auto"/>
        <w:ind w:left="709" w:right="709"/>
        <w:jc w:val="both"/>
        <w:rPr>
          <w:rFonts w:ascii="Verdana" w:hAnsi="Verdana" w:cs="Arial"/>
          <w:sz w:val="20"/>
          <w:szCs w:val="20"/>
          <w:lang w:val="es-MX"/>
        </w:rPr>
      </w:pPr>
      <w:r w:rsidRPr="00AF14A8">
        <w:rPr>
          <w:rFonts w:ascii="Verdana" w:hAnsi="Verdana" w:cs="Arial"/>
          <w:sz w:val="20"/>
          <w:szCs w:val="20"/>
          <w:lang w:val="es-MX"/>
        </w:rPr>
        <w:t xml:space="preserve">Del tenor de la disposición trascrita, se desprende que todas las personas jurídicas cuyo objeto comprenda el desempeño de actividades catalogadas como ejercicio de la ingeniería, si presentan propuestas en procesos de licitación o concursos ante el Estado para desarrollar dichas tareas, como es el caso de las obras públicas, debe entonces contar con el aval de un ingeniero civil debidamente matriculado ante el </w:t>
      </w:r>
      <w:proofErr w:type="spellStart"/>
      <w:r w:rsidRPr="00AF14A8">
        <w:rPr>
          <w:rFonts w:ascii="Verdana" w:hAnsi="Verdana" w:cs="Arial"/>
          <w:sz w:val="20"/>
          <w:szCs w:val="20"/>
          <w:lang w:val="es-MX"/>
        </w:rPr>
        <w:t>Copnia</w:t>
      </w:r>
      <w:proofErr w:type="spellEnd"/>
      <w:r w:rsidRPr="00AF14A8">
        <w:rPr>
          <w:rFonts w:ascii="Verdana" w:hAnsi="Verdana" w:cs="Arial"/>
          <w:sz w:val="20"/>
          <w:szCs w:val="20"/>
          <w:lang w:val="es-MX"/>
        </w:rPr>
        <w:t>, independientemente de la cuantía o modalidad de contratación, dado que la norma no hace distinción alguna en ese aspecto, esto en aras de que dicho profesional asuma la responsabilidad deontológica por el adecuado ejercicio de la ingeniería, sobre la propuesta que refrenda con su firma, y verifique, controle y direccione las actividades ingenieriles que refrenda en caso de ser adjudicado, y asuma como consecuencia la responsabilidad ético profesional por el inadecuado ejercicio de la profesión, deber que no puede ser soslayado, so pena de exponerse de igual modo a la sociedad al riesgo que implica la ejecución de estas actividades.</w:t>
      </w:r>
    </w:p>
    <w:p w14:paraId="2FC9A660" w14:textId="77777777" w:rsidR="005369FE" w:rsidRPr="00AF14A8" w:rsidRDefault="005369FE" w:rsidP="005369FE">
      <w:pPr>
        <w:widowControl w:val="0"/>
        <w:autoSpaceDE w:val="0"/>
        <w:autoSpaceDN w:val="0"/>
        <w:spacing w:after="0" w:line="276" w:lineRule="auto"/>
        <w:ind w:right="448"/>
        <w:jc w:val="both"/>
        <w:rPr>
          <w:rFonts w:ascii="Verdana" w:eastAsia="Arial" w:hAnsi="Verdana" w:cs="Arial"/>
          <w:color w:val="000000" w:themeColor="text1"/>
          <w:lang w:val="es-MX"/>
        </w:rPr>
      </w:pPr>
    </w:p>
    <w:p w14:paraId="66008624" w14:textId="77777777" w:rsidR="005369FE" w:rsidRPr="00AF14A8" w:rsidRDefault="005369FE" w:rsidP="005369FE">
      <w:pPr>
        <w:widowControl w:val="0"/>
        <w:autoSpaceDE w:val="0"/>
        <w:autoSpaceDN w:val="0"/>
        <w:spacing w:after="0" w:line="276" w:lineRule="auto"/>
        <w:ind w:firstLine="709"/>
        <w:jc w:val="both"/>
        <w:rPr>
          <w:rFonts w:ascii="Verdana" w:eastAsia="Arial" w:hAnsi="Verdana" w:cs="Arial"/>
          <w:color w:val="000000" w:themeColor="text1"/>
          <w:lang w:val="es-ES"/>
        </w:rPr>
      </w:pPr>
      <w:r w:rsidRPr="00AF14A8">
        <w:rPr>
          <w:rFonts w:ascii="Verdana" w:eastAsia="Arial" w:hAnsi="Verdana" w:cs="Arial"/>
          <w:color w:val="000000" w:themeColor="text1"/>
          <w:lang w:val="es-ES"/>
        </w:rPr>
        <w:t xml:space="preserve">Sin perjuicio de lo anterior, de acuerdo con la sentencia C-191 de 2005 de la Corte Constitucional, dependerá de la actividad a desarrollar en el proceso de contratación la exigencia de que sea únicamente un ingeniero quien la pueda realizar, pues si la actividad, a pesar de estar relacionada con ingeniería, puede ser ejecutada por un profesional diferente a un ingeniero, como es el caso de los arquitectos, la entidad estatal deberá permitir que dicha persona natural se presente como proponente, toda vez que restringir actividades que pueden ser realizadas por diferentes profesionales a uno específico atentaría contra la </w:t>
      </w:r>
      <w:r w:rsidRPr="00AF14A8">
        <w:rPr>
          <w:rFonts w:ascii="Verdana" w:eastAsia="Arial" w:hAnsi="Verdana" w:cs="Arial"/>
          <w:color w:val="000000" w:themeColor="text1"/>
          <w:lang w:val="es-ES"/>
        </w:rPr>
        <w:lastRenderedPageBreak/>
        <w:t>libertad de escoger y ejercer profesión u oficio</w:t>
      </w:r>
      <w:r w:rsidRPr="00AF14A8">
        <w:rPr>
          <w:rFonts w:ascii="Verdana" w:eastAsia="Arial" w:hAnsi="Verdana" w:cs="Arial"/>
          <w:color w:val="000000" w:themeColor="text1"/>
          <w:vertAlign w:val="superscript"/>
          <w:lang w:val="es-ES"/>
        </w:rPr>
        <w:footnoteReference w:id="7"/>
      </w:r>
      <w:r w:rsidRPr="00AF14A8">
        <w:rPr>
          <w:rFonts w:ascii="Verdana" w:eastAsia="Arial" w:hAnsi="Verdana" w:cs="Arial"/>
          <w:color w:val="000000" w:themeColor="text1"/>
          <w:lang w:val="es-ES"/>
        </w:rPr>
        <w:t>.</w:t>
      </w:r>
    </w:p>
    <w:p w14:paraId="3D27080B" w14:textId="77777777" w:rsidR="005369FE" w:rsidRPr="00F52295" w:rsidRDefault="005369FE" w:rsidP="005369FE">
      <w:pPr>
        <w:spacing w:before="120" w:after="120" w:line="276" w:lineRule="auto"/>
        <w:ind w:right="51" w:firstLine="708"/>
        <w:jc w:val="both"/>
        <w:rPr>
          <w:rFonts w:ascii="Verdana" w:eastAsia="Calibri" w:hAnsi="Verdana" w:cs="Arial"/>
        </w:rPr>
      </w:pPr>
      <w:bookmarkStart w:id="0" w:name="_Hlk190871650"/>
      <w:r w:rsidRPr="00F52295">
        <w:rPr>
          <w:rFonts w:ascii="Verdana" w:eastAsia="Calibri" w:hAnsi="Verdana" w:cs="Arial"/>
        </w:rPr>
        <w:t>En este marco, la norma no impide que personas naturales o jurídicas que no ostenten la calidad de ingenieros participen en procesos de selección cuyo objeto implique actividades propias de la ingeniería, siempre que dichas actividades cuenten con el aval y la responsabilidad profesional de un ingeniero legalmente matriculado, quien responde técnica, ética y disciplinariamente por los trabajos ejecutados. En consecuencia, el elemento determinante no es la condición profesional del oferente, sino la garantía de que las actividades técnicas estarán respaldadas por un profesional habilitado conforme al régimen especial de la ingeniería.</w:t>
      </w:r>
    </w:p>
    <w:p w14:paraId="1D6C563B" w14:textId="77777777" w:rsidR="005369FE" w:rsidRPr="00F52295" w:rsidRDefault="005369FE" w:rsidP="005369FE">
      <w:pPr>
        <w:spacing w:before="120" w:after="120" w:line="276" w:lineRule="auto"/>
        <w:ind w:right="51" w:firstLine="708"/>
        <w:jc w:val="both"/>
        <w:rPr>
          <w:rFonts w:ascii="Verdana" w:eastAsia="Calibri" w:hAnsi="Verdana" w:cs="Arial"/>
        </w:rPr>
      </w:pPr>
      <w:r w:rsidRPr="00F52295">
        <w:rPr>
          <w:rFonts w:ascii="Verdana" w:eastAsia="Calibri" w:hAnsi="Verdana" w:cs="Arial"/>
        </w:rPr>
        <w:t>Así, la exigencia del aval profesional opera como un criterio de habilitación técnica que permite conciliar los principios de libre concurrencia y pluralidad de oferentes con la necesidad de asegurar que las obras y actividades de ingeniería sean ejecutadas bajo parámetros de idoneidad, seguridad y responsabilidad profesional. En este sentido, resulta jurídicamente viable que un proponente que no sea ingeniero presente oferta en un proceso de obra pública, siempre que acredite el respaldo efectivo de un ingeniero matriculado ante el Consejo Profesional Nacional de Ingeniería – COPNIA, en los términos previstos por la Ley 842 de 2003.</w:t>
      </w:r>
    </w:p>
    <w:p w14:paraId="6034CCCE" w14:textId="77777777" w:rsidR="005369FE" w:rsidRDefault="005369FE" w:rsidP="005369FE">
      <w:pPr>
        <w:spacing w:before="120" w:after="0" w:line="276" w:lineRule="auto"/>
        <w:ind w:right="51" w:firstLine="708"/>
        <w:jc w:val="both"/>
        <w:rPr>
          <w:rFonts w:ascii="Verdana" w:eastAsia="Calibri" w:hAnsi="Verdana" w:cs="Arial"/>
        </w:rPr>
      </w:pPr>
      <w:r w:rsidRPr="00F52295">
        <w:rPr>
          <w:rFonts w:ascii="Verdana" w:eastAsia="Calibri" w:hAnsi="Verdana" w:cs="Arial"/>
        </w:rPr>
        <w:t>Finalmente, corresponde a la entidad estatal, en ejercicio de su autonomía y de los principios de planeación, selección objetiva y responsabilidad, verificar que el aval no sea meramente formal, sino que implique una vinculación real y efectiva del ingeniero responsable, garantizando que este asuma plenamente las obligaciones técnicas y legales derivadas de la ejecución del contrato.</w:t>
      </w:r>
    </w:p>
    <w:bookmarkEnd w:id="0"/>
    <w:p w14:paraId="64A1DD97" w14:textId="77777777" w:rsidR="005369FE" w:rsidRPr="00502A80" w:rsidRDefault="005369FE" w:rsidP="005369FE">
      <w:pPr>
        <w:spacing w:after="0" w:line="276" w:lineRule="auto"/>
        <w:ind w:right="51" w:firstLine="708"/>
        <w:jc w:val="both"/>
        <w:rPr>
          <w:rFonts w:ascii="Verdana" w:eastAsia="Calibri" w:hAnsi="Verdana" w:cs="Arial"/>
        </w:rPr>
      </w:pPr>
    </w:p>
    <w:p w14:paraId="30BED322" w14:textId="77777777" w:rsidR="005369FE" w:rsidRPr="00A30046" w:rsidRDefault="005369FE" w:rsidP="005369FE">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30046">
        <w:rPr>
          <w:rFonts w:ascii="Verdana" w:eastAsia="Century Gothic" w:hAnsi="Verdana" w:cs="Century Gothic"/>
          <w:b/>
          <w:bCs/>
        </w:rPr>
        <w:t>Referencias normativas, jurisprudenciales y otras fuentes:</w:t>
      </w:r>
    </w:p>
    <w:p w14:paraId="23B67AB2" w14:textId="77777777" w:rsidR="005369FE" w:rsidRPr="00A30046" w:rsidRDefault="005369FE" w:rsidP="005369FE">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5369FE" w:rsidRPr="00A30046" w14:paraId="28C4D692" w14:textId="77777777" w:rsidTr="003C36DC">
        <w:trPr>
          <w:trHeight w:val="870"/>
        </w:trPr>
        <w:tc>
          <w:tcPr>
            <w:tcW w:w="8647" w:type="dxa"/>
          </w:tcPr>
          <w:p w14:paraId="2A8DD31C" w14:textId="77777777" w:rsidR="005369FE" w:rsidRPr="00502A80" w:rsidRDefault="005369FE" w:rsidP="003C36DC">
            <w:pPr>
              <w:pStyle w:val="Prrafodelista"/>
              <w:widowControl w:val="0"/>
              <w:numPr>
                <w:ilvl w:val="0"/>
                <w:numId w:val="2"/>
              </w:numPr>
              <w:autoSpaceDE w:val="0"/>
              <w:autoSpaceDN w:val="0"/>
              <w:spacing w:line="276" w:lineRule="auto"/>
              <w:contextualSpacing w:val="0"/>
              <w:jc w:val="both"/>
              <w:rPr>
                <w:rFonts w:ascii="Verdana" w:hAnsi="Verdana" w:cs="Arial"/>
                <w:color w:val="000000" w:themeColor="text1"/>
              </w:rPr>
            </w:pPr>
            <w:r w:rsidRPr="00502A80">
              <w:rPr>
                <w:rFonts w:ascii="Verdana" w:hAnsi="Verdana" w:cs="Arial"/>
                <w:iCs/>
                <w:color w:val="000000" w:themeColor="text1"/>
              </w:rPr>
              <w:lastRenderedPageBreak/>
              <w:t>Código Civil Colombiano, artículo 11.</w:t>
            </w:r>
          </w:p>
          <w:p w14:paraId="1DE8A7D9" w14:textId="77777777" w:rsidR="005369FE" w:rsidRPr="00934499" w:rsidRDefault="005369FE" w:rsidP="003C36DC">
            <w:pPr>
              <w:pStyle w:val="Prrafodelista"/>
              <w:widowControl w:val="0"/>
              <w:numPr>
                <w:ilvl w:val="0"/>
                <w:numId w:val="2"/>
              </w:numPr>
              <w:autoSpaceDE w:val="0"/>
              <w:autoSpaceDN w:val="0"/>
              <w:spacing w:line="276" w:lineRule="auto"/>
              <w:contextualSpacing w:val="0"/>
              <w:jc w:val="both"/>
              <w:rPr>
                <w:rFonts w:ascii="Verdana" w:hAnsi="Verdana" w:cs="Arial"/>
                <w:color w:val="000000" w:themeColor="text1"/>
              </w:rPr>
            </w:pPr>
            <w:r w:rsidRPr="00934499">
              <w:rPr>
                <w:rFonts w:ascii="Verdana" w:hAnsi="Verdana"/>
              </w:rPr>
              <w:t>Ley</w:t>
            </w:r>
            <w:r w:rsidRPr="00934499">
              <w:rPr>
                <w:rFonts w:ascii="Verdana" w:hAnsi="Verdana"/>
                <w:spacing w:val="-9"/>
              </w:rPr>
              <w:t xml:space="preserve"> </w:t>
            </w:r>
            <w:r w:rsidRPr="00934499">
              <w:rPr>
                <w:rFonts w:ascii="Verdana" w:hAnsi="Verdana"/>
              </w:rPr>
              <w:t>57</w:t>
            </w:r>
            <w:r w:rsidRPr="00934499">
              <w:rPr>
                <w:rFonts w:ascii="Verdana" w:hAnsi="Verdana"/>
                <w:spacing w:val="-9"/>
              </w:rPr>
              <w:t xml:space="preserve"> </w:t>
            </w:r>
            <w:r w:rsidRPr="00934499">
              <w:rPr>
                <w:rFonts w:ascii="Verdana" w:hAnsi="Verdana"/>
              </w:rPr>
              <w:t>de</w:t>
            </w:r>
            <w:r w:rsidRPr="00934499">
              <w:rPr>
                <w:rFonts w:ascii="Verdana" w:hAnsi="Verdana"/>
                <w:spacing w:val="-9"/>
              </w:rPr>
              <w:t xml:space="preserve"> </w:t>
            </w:r>
            <w:r w:rsidRPr="00934499">
              <w:rPr>
                <w:rFonts w:ascii="Verdana" w:hAnsi="Verdana"/>
              </w:rPr>
              <w:t>1887,</w:t>
            </w:r>
            <w:r w:rsidRPr="00934499">
              <w:rPr>
                <w:rFonts w:ascii="Verdana" w:hAnsi="Verdana"/>
                <w:spacing w:val="-9"/>
              </w:rPr>
              <w:t xml:space="preserve"> </w:t>
            </w:r>
            <w:r w:rsidRPr="00934499">
              <w:rPr>
                <w:rFonts w:ascii="Verdana" w:hAnsi="Verdana"/>
              </w:rPr>
              <w:t>artículo</w:t>
            </w:r>
            <w:r w:rsidRPr="00934499">
              <w:rPr>
                <w:rFonts w:ascii="Verdana" w:hAnsi="Verdana"/>
                <w:spacing w:val="-8"/>
              </w:rPr>
              <w:t xml:space="preserve"> </w:t>
            </w:r>
            <w:r w:rsidRPr="00934499">
              <w:rPr>
                <w:rFonts w:ascii="Verdana" w:hAnsi="Verdana"/>
                <w:spacing w:val="-4"/>
              </w:rPr>
              <w:t>5.1</w:t>
            </w:r>
            <w:r>
              <w:rPr>
                <w:rFonts w:ascii="Verdana" w:hAnsi="Verdana"/>
                <w:spacing w:val="-4"/>
              </w:rPr>
              <w:t>.</w:t>
            </w:r>
            <w:r w:rsidRPr="00934499">
              <w:rPr>
                <w:rFonts w:ascii="Verdana" w:eastAsia="Calibri" w:hAnsi="Verdana" w:cs="Arial"/>
                <w:lang w:val="es-MX"/>
              </w:rPr>
              <w:t xml:space="preserve"> </w:t>
            </w:r>
          </w:p>
          <w:p w14:paraId="017BFF09" w14:textId="77777777" w:rsidR="005369FE" w:rsidRPr="00502A80" w:rsidRDefault="005369FE" w:rsidP="003C36DC">
            <w:pPr>
              <w:pStyle w:val="Prrafodelista"/>
              <w:widowControl w:val="0"/>
              <w:numPr>
                <w:ilvl w:val="0"/>
                <w:numId w:val="2"/>
              </w:numPr>
              <w:autoSpaceDE w:val="0"/>
              <w:autoSpaceDN w:val="0"/>
              <w:spacing w:line="276" w:lineRule="auto"/>
              <w:contextualSpacing w:val="0"/>
              <w:jc w:val="both"/>
              <w:rPr>
                <w:rFonts w:ascii="Verdana" w:hAnsi="Verdana" w:cs="Arial"/>
                <w:color w:val="000000" w:themeColor="text1"/>
              </w:rPr>
            </w:pPr>
            <w:r w:rsidRPr="00502A80">
              <w:rPr>
                <w:rFonts w:ascii="Verdana" w:hAnsi="Verdana" w:cs="Arial"/>
                <w:color w:val="000000" w:themeColor="text1"/>
              </w:rPr>
              <w:t>Ley 842 de 2003, articulo 12.</w:t>
            </w:r>
          </w:p>
          <w:p w14:paraId="0CF3AF86" w14:textId="77777777" w:rsidR="005369FE" w:rsidRPr="00502A80" w:rsidRDefault="005369FE" w:rsidP="003C36DC">
            <w:pPr>
              <w:pStyle w:val="Prrafodelista"/>
              <w:widowControl w:val="0"/>
              <w:numPr>
                <w:ilvl w:val="0"/>
                <w:numId w:val="2"/>
              </w:numPr>
              <w:autoSpaceDE w:val="0"/>
              <w:autoSpaceDN w:val="0"/>
              <w:spacing w:line="276" w:lineRule="auto"/>
              <w:contextualSpacing w:val="0"/>
              <w:jc w:val="both"/>
              <w:rPr>
                <w:rFonts w:ascii="Verdana" w:hAnsi="Verdana" w:cs="Arial"/>
                <w:color w:val="000000" w:themeColor="text1"/>
              </w:rPr>
            </w:pPr>
            <w:r w:rsidRPr="00502A80">
              <w:rPr>
                <w:rFonts w:ascii="Verdana" w:eastAsia="Calibri" w:hAnsi="Verdana" w:cs="Arial"/>
                <w:lang w:val="es-MX"/>
              </w:rPr>
              <w:t xml:space="preserve">Ley 1780 de 2016, artículo 15 </w:t>
            </w:r>
          </w:p>
          <w:p w14:paraId="7BA16472" w14:textId="77777777" w:rsidR="005369FE" w:rsidRPr="007F6431" w:rsidRDefault="005369FE" w:rsidP="003C36DC">
            <w:pPr>
              <w:pStyle w:val="Prrafodelista"/>
              <w:widowControl w:val="0"/>
              <w:numPr>
                <w:ilvl w:val="0"/>
                <w:numId w:val="2"/>
              </w:numPr>
              <w:autoSpaceDE w:val="0"/>
              <w:autoSpaceDN w:val="0"/>
              <w:spacing w:line="276" w:lineRule="auto"/>
              <w:contextualSpacing w:val="0"/>
              <w:jc w:val="both"/>
              <w:rPr>
                <w:rFonts w:ascii="Verdana" w:hAnsi="Verdana" w:cs="Arial"/>
                <w:color w:val="000000" w:themeColor="text1"/>
              </w:rPr>
            </w:pPr>
            <w:r w:rsidRPr="003C068C">
              <w:rPr>
                <w:rFonts w:ascii="Verdana" w:eastAsia="Calibri" w:hAnsi="Verdana" w:cs="Arial"/>
                <w:lang w:val="es-MX"/>
              </w:rPr>
              <w:t>Ley 1955 de 2019</w:t>
            </w:r>
            <w:r>
              <w:rPr>
                <w:rFonts w:ascii="Verdana" w:eastAsia="Calibri" w:hAnsi="Verdana" w:cs="Arial"/>
                <w:lang w:val="es-MX"/>
              </w:rPr>
              <w:t xml:space="preserve">, </w:t>
            </w:r>
            <w:r w:rsidRPr="003C068C">
              <w:rPr>
                <w:rFonts w:ascii="Verdana" w:eastAsia="Calibri" w:hAnsi="Verdana" w:cs="Arial"/>
                <w:lang w:val="es-MX"/>
              </w:rPr>
              <w:t>artículo 192</w:t>
            </w:r>
            <w:r>
              <w:rPr>
                <w:rFonts w:ascii="Verdana" w:eastAsia="Calibri" w:hAnsi="Verdana" w:cs="Arial"/>
                <w:lang w:val="es-MX"/>
              </w:rPr>
              <w:t>.</w:t>
            </w:r>
          </w:p>
          <w:p w14:paraId="79975AAA" w14:textId="77777777" w:rsidR="005369FE" w:rsidRPr="00502A80" w:rsidRDefault="005369FE" w:rsidP="003C36DC">
            <w:pPr>
              <w:pStyle w:val="Prrafodelista"/>
              <w:widowControl w:val="0"/>
              <w:numPr>
                <w:ilvl w:val="0"/>
                <w:numId w:val="2"/>
              </w:numPr>
              <w:autoSpaceDE w:val="0"/>
              <w:autoSpaceDN w:val="0"/>
              <w:spacing w:line="276" w:lineRule="auto"/>
              <w:contextualSpacing w:val="0"/>
              <w:jc w:val="both"/>
              <w:rPr>
                <w:rFonts w:ascii="Verdana" w:hAnsi="Verdana" w:cs="Arial"/>
                <w:color w:val="000000" w:themeColor="text1"/>
              </w:rPr>
            </w:pPr>
            <w:r w:rsidRPr="00502A80">
              <w:rPr>
                <w:rFonts w:ascii="Verdana" w:eastAsia="Calibri" w:hAnsi="Verdana" w:cs="Arial"/>
                <w:lang w:val="es-MX"/>
              </w:rPr>
              <w:t>Decreto 019 de 2012, artículo 229.</w:t>
            </w:r>
          </w:p>
          <w:p w14:paraId="3E7E2DE9" w14:textId="77777777" w:rsidR="005369FE" w:rsidRPr="00A14884" w:rsidRDefault="005369FE" w:rsidP="003C36DC">
            <w:pPr>
              <w:pStyle w:val="Prrafodelista"/>
              <w:widowControl w:val="0"/>
              <w:numPr>
                <w:ilvl w:val="0"/>
                <w:numId w:val="2"/>
              </w:numPr>
              <w:autoSpaceDE w:val="0"/>
              <w:autoSpaceDN w:val="0"/>
              <w:spacing w:line="276" w:lineRule="auto"/>
              <w:contextualSpacing w:val="0"/>
              <w:jc w:val="both"/>
              <w:rPr>
                <w:rFonts w:ascii="Verdana" w:hAnsi="Verdana" w:cs="Arial"/>
                <w:color w:val="000000" w:themeColor="text1"/>
              </w:rPr>
            </w:pPr>
            <w:r w:rsidRPr="003C068C">
              <w:rPr>
                <w:rFonts w:ascii="Verdana" w:eastAsia="Calibri" w:hAnsi="Verdana" w:cs="Arial"/>
                <w:lang w:val="es-MX"/>
              </w:rPr>
              <w:t>Decreto 2106 de 2019</w:t>
            </w:r>
            <w:r>
              <w:rPr>
                <w:rFonts w:ascii="Verdana" w:eastAsia="Calibri" w:hAnsi="Verdana" w:cs="Arial"/>
                <w:lang w:val="es-MX"/>
              </w:rPr>
              <w:t xml:space="preserve">, </w:t>
            </w:r>
            <w:r w:rsidRPr="003C068C">
              <w:rPr>
                <w:rFonts w:ascii="Verdana" w:eastAsia="Calibri" w:hAnsi="Verdana" w:cs="Arial"/>
                <w:lang w:val="es-MX"/>
              </w:rPr>
              <w:t>artículo 18</w:t>
            </w:r>
            <w:r>
              <w:rPr>
                <w:rFonts w:ascii="Verdana" w:eastAsia="Calibri" w:hAnsi="Verdana" w:cs="Arial"/>
                <w:lang w:val="es-MX"/>
              </w:rPr>
              <w:t xml:space="preserve">.  </w:t>
            </w:r>
          </w:p>
          <w:p w14:paraId="09B40AC1" w14:textId="77777777" w:rsidR="005369FE" w:rsidRPr="00E70F33" w:rsidRDefault="005369FE" w:rsidP="003C36DC">
            <w:pPr>
              <w:pStyle w:val="Prrafodelista"/>
              <w:widowControl w:val="0"/>
              <w:numPr>
                <w:ilvl w:val="0"/>
                <w:numId w:val="2"/>
              </w:numPr>
              <w:autoSpaceDE w:val="0"/>
              <w:autoSpaceDN w:val="0"/>
              <w:spacing w:line="276" w:lineRule="auto"/>
              <w:contextualSpacing w:val="0"/>
              <w:jc w:val="both"/>
              <w:rPr>
                <w:rFonts w:ascii="Verdana" w:hAnsi="Verdana" w:cs="Arial"/>
                <w:color w:val="000000" w:themeColor="text1"/>
              </w:rPr>
            </w:pPr>
            <w:r w:rsidRPr="001B205B">
              <w:rPr>
                <w:rFonts w:ascii="Verdana" w:eastAsia="Calibri" w:hAnsi="Verdana" w:cs="Arial"/>
              </w:rPr>
              <w:t>Sentencia C-296 del 18 de abril de 2012, Magistrado Ponente: Juan Carlos Henao Pérez</w:t>
            </w:r>
            <w:r w:rsidRPr="00AA3D4A">
              <w:rPr>
                <w:rFonts w:ascii="Verdana" w:hAnsi="Verdana"/>
              </w:rPr>
              <w:t xml:space="preserve"> </w:t>
            </w:r>
          </w:p>
          <w:p w14:paraId="5B0D500D" w14:textId="77777777" w:rsidR="005369FE" w:rsidRPr="004C29A1" w:rsidRDefault="005369FE" w:rsidP="003C36DC">
            <w:pPr>
              <w:pStyle w:val="Prrafodelista"/>
              <w:widowControl w:val="0"/>
              <w:numPr>
                <w:ilvl w:val="0"/>
                <w:numId w:val="2"/>
              </w:numPr>
              <w:autoSpaceDE w:val="0"/>
              <w:autoSpaceDN w:val="0"/>
              <w:spacing w:line="276" w:lineRule="auto"/>
              <w:contextualSpacing w:val="0"/>
              <w:jc w:val="both"/>
              <w:rPr>
                <w:rFonts w:ascii="Verdana" w:hAnsi="Verdana" w:cs="Arial"/>
                <w:color w:val="000000" w:themeColor="text1"/>
              </w:rPr>
            </w:pPr>
            <w:r w:rsidRPr="00AA3D4A">
              <w:rPr>
                <w:rFonts w:ascii="Verdana" w:hAnsi="Verdana"/>
              </w:rPr>
              <w:t>Corte</w:t>
            </w:r>
            <w:r w:rsidRPr="00AA3D4A">
              <w:rPr>
                <w:rFonts w:ascii="Verdana" w:hAnsi="Verdana"/>
                <w:spacing w:val="-11"/>
              </w:rPr>
              <w:t xml:space="preserve"> </w:t>
            </w:r>
            <w:r w:rsidRPr="00AA3D4A">
              <w:rPr>
                <w:rFonts w:ascii="Verdana" w:hAnsi="Verdana"/>
              </w:rPr>
              <w:t>Constitucional.</w:t>
            </w:r>
            <w:r w:rsidRPr="00AA3D4A">
              <w:rPr>
                <w:rFonts w:ascii="Verdana" w:hAnsi="Verdana"/>
                <w:spacing w:val="-8"/>
              </w:rPr>
              <w:t xml:space="preserve"> </w:t>
            </w:r>
            <w:r w:rsidRPr="00AA3D4A">
              <w:rPr>
                <w:rFonts w:ascii="Verdana" w:hAnsi="Verdana"/>
              </w:rPr>
              <w:t>Sentencia</w:t>
            </w:r>
            <w:r w:rsidRPr="00AA3D4A">
              <w:rPr>
                <w:rFonts w:ascii="Verdana" w:hAnsi="Verdana"/>
                <w:spacing w:val="-9"/>
              </w:rPr>
              <w:t xml:space="preserve"> </w:t>
            </w:r>
            <w:r w:rsidRPr="00AA3D4A">
              <w:rPr>
                <w:rFonts w:ascii="Verdana" w:hAnsi="Verdana"/>
              </w:rPr>
              <w:t>C-688</w:t>
            </w:r>
            <w:r w:rsidRPr="00AA3D4A">
              <w:rPr>
                <w:rFonts w:ascii="Verdana" w:hAnsi="Verdana"/>
                <w:spacing w:val="-11"/>
              </w:rPr>
              <w:t xml:space="preserve"> </w:t>
            </w:r>
            <w:r w:rsidRPr="00AA3D4A">
              <w:rPr>
                <w:rFonts w:ascii="Verdana" w:hAnsi="Verdana"/>
              </w:rPr>
              <w:t>del</w:t>
            </w:r>
            <w:r w:rsidRPr="00AA3D4A">
              <w:rPr>
                <w:rFonts w:ascii="Verdana" w:hAnsi="Verdana"/>
                <w:spacing w:val="-11"/>
              </w:rPr>
              <w:t xml:space="preserve"> </w:t>
            </w:r>
            <w:r w:rsidRPr="00AA3D4A">
              <w:rPr>
                <w:rFonts w:ascii="Verdana" w:hAnsi="Verdana"/>
              </w:rPr>
              <w:t>10</w:t>
            </w:r>
            <w:r w:rsidRPr="00AA3D4A">
              <w:rPr>
                <w:rFonts w:ascii="Verdana" w:hAnsi="Verdana"/>
                <w:spacing w:val="-12"/>
              </w:rPr>
              <w:t xml:space="preserve"> </w:t>
            </w:r>
            <w:r w:rsidRPr="00AA3D4A">
              <w:rPr>
                <w:rFonts w:ascii="Verdana" w:hAnsi="Verdana"/>
              </w:rPr>
              <w:t>de</w:t>
            </w:r>
            <w:r w:rsidRPr="00AA3D4A">
              <w:rPr>
                <w:rFonts w:ascii="Verdana" w:hAnsi="Verdana"/>
                <w:spacing w:val="-11"/>
              </w:rPr>
              <w:t xml:space="preserve"> </w:t>
            </w:r>
            <w:r w:rsidRPr="00AA3D4A">
              <w:rPr>
                <w:rFonts w:ascii="Verdana" w:hAnsi="Verdana"/>
              </w:rPr>
              <w:t>septiembre</w:t>
            </w:r>
            <w:r w:rsidRPr="00AA3D4A">
              <w:rPr>
                <w:rFonts w:ascii="Verdana" w:hAnsi="Verdana"/>
                <w:spacing w:val="-9"/>
              </w:rPr>
              <w:t xml:space="preserve"> </w:t>
            </w:r>
            <w:r w:rsidRPr="00AA3D4A">
              <w:rPr>
                <w:rFonts w:ascii="Verdana" w:hAnsi="Verdana"/>
              </w:rPr>
              <w:t>de</w:t>
            </w:r>
            <w:r w:rsidRPr="00AA3D4A">
              <w:rPr>
                <w:rFonts w:ascii="Verdana" w:hAnsi="Verdana"/>
                <w:spacing w:val="-12"/>
              </w:rPr>
              <w:t xml:space="preserve"> </w:t>
            </w:r>
            <w:r w:rsidRPr="00AA3D4A">
              <w:rPr>
                <w:rFonts w:ascii="Verdana" w:hAnsi="Verdana"/>
                <w:spacing w:val="-2"/>
              </w:rPr>
              <w:t xml:space="preserve">2014. </w:t>
            </w:r>
            <w:r w:rsidRPr="00AA3D4A">
              <w:rPr>
                <w:rFonts w:ascii="Verdana" w:hAnsi="Verdana"/>
              </w:rPr>
              <w:t>M.P.</w:t>
            </w:r>
            <w:r w:rsidRPr="00AA3D4A">
              <w:rPr>
                <w:rFonts w:ascii="Verdana" w:hAnsi="Verdana"/>
                <w:spacing w:val="-14"/>
              </w:rPr>
              <w:t xml:space="preserve"> </w:t>
            </w:r>
            <w:r w:rsidRPr="00AA3D4A">
              <w:rPr>
                <w:rFonts w:ascii="Verdana" w:hAnsi="Verdana"/>
              </w:rPr>
              <w:t>Luis</w:t>
            </w:r>
            <w:r w:rsidRPr="00AA3D4A">
              <w:rPr>
                <w:rFonts w:ascii="Verdana" w:hAnsi="Verdana"/>
                <w:spacing w:val="-14"/>
              </w:rPr>
              <w:t xml:space="preserve"> </w:t>
            </w:r>
            <w:r w:rsidRPr="00AA3D4A">
              <w:rPr>
                <w:rFonts w:ascii="Verdana" w:hAnsi="Verdana"/>
              </w:rPr>
              <w:t>Guillermo</w:t>
            </w:r>
            <w:r w:rsidRPr="00AA3D4A">
              <w:rPr>
                <w:rFonts w:ascii="Verdana" w:hAnsi="Verdana"/>
                <w:spacing w:val="-13"/>
              </w:rPr>
              <w:t xml:space="preserve"> </w:t>
            </w:r>
            <w:r w:rsidRPr="00AA3D4A">
              <w:rPr>
                <w:rFonts w:ascii="Verdana" w:hAnsi="Verdana"/>
              </w:rPr>
              <w:t>Guerrero</w:t>
            </w:r>
            <w:r w:rsidRPr="00AA3D4A">
              <w:rPr>
                <w:rFonts w:ascii="Verdana" w:hAnsi="Verdana"/>
                <w:spacing w:val="-14"/>
              </w:rPr>
              <w:t xml:space="preserve"> </w:t>
            </w:r>
            <w:r w:rsidRPr="00AA3D4A">
              <w:rPr>
                <w:rFonts w:ascii="Verdana" w:hAnsi="Verdana"/>
                <w:spacing w:val="-2"/>
              </w:rPr>
              <w:t>Pérez.</w:t>
            </w:r>
            <w:r w:rsidRPr="004C29A1">
              <w:rPr>
                <w:rFonts w:ascii="Verdana" w:eastAsia="Arial" w:hAnsi="Verdana" w:cs="Arial"/>
              </w:rPr>
              <w:t xml:space="preserve"> </w:t>
            </w:r>
          </w:p>
        </w:tc>
      </w:tr>
    </w:tbl>
    <w:p w14:paraId="22685C55" w14:textId="77777777" w:rsidR="005369FE" w:rsidRPr="00A30046" w:rsidRDefault="005369FE" w:rsidP="005369FE">
      <w:pPr>
        <w:widowControl w:val="0"/>
        <w:autoSpaceDE w:val="0"/>
        <w:autoSpaceDN w:val="0"/>
        <w:spacing w:after="0" w:line="276" w:lineRule="auto"/>
        <w:jc w:val="both"/>
        <w:rPr>
          <w:rFonts w:ascii="Verdana" w:hAnsi="Verdana" w:cs="Arial"/>
        </w:rPr>
      </w:pPr>
    </w:p>
    <w:p w14:paraId="18AAF2B0" w14:textId="77777777" w:rsidR="005369FE" w:rsidRPr="00A30046" w:rsidRDefault="005369FE" w:rsidP="005369FE">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A30046">
        <w:rPr>
          <w:rFonts w:ascii="Verdana" w:eastAsia="Century Gothic" w:hAnsi="Verdana" w:cs="Century Gothic"/>
          <w:b/>
          <w:bCs/>
        </w:rPr>
        <w:t>Doctrina de la Agencia Nacional de Contratación Pública:</w:t>
      </w:r>
    </w:p>
    <w:p w14:paraId="712CFA30" w14:textId="77777777" w:rsidR="005369FE" w:rsidRPr="00A30046" w:rsidRDefault="005369FE" w:rsidP="005369FE">
      <w:pPr>
        <w:widowControl w:val="0"/>
        <w:autoSpaceDE w:val="0"/>
        <w:autoSpaceDN w:val="0"/>
        <w:spacing w:after="0" w:line="276" w:lineRule="auto"/>
        <w:jc w:val="both"/>
        <w:rPr>
          <w:rFonts w:ascii="Verdana" w:hAnsi="Verdana" w:cs="Arial"/>
        </w:rPr>
      </w:pPr>
    </w:p>
    <w:p w14:paraId="658702BD" w14:textId="77777777" w:rsidR="005369FE" w:rsidRPr="001C465C" w:rsidRDefault="005369FE" w:rsidP="005369FE">
      <w:pPr>
        <w:widowControl w:val="0"/>
        <w:autoSpaceDE w:val="0"/>
        <w:autoSpaceDN w:val="0"/>
        <w:spacing w:after="0" w:line="276" w:lineRule="auto"/>
        <w:jc w:val="both"/>
        <w:rPr>
          <w:rStyle w:val="normaltextrun"/>
          <w:rFonts w:ascii="Verdana" w:hAnsi="Verdana"/>
        </w:rPr>
      </w:pPr>
      <w:r w:rsidRPr="001C465C">
        <w:rPr>
          <w:rFonts w:ascii="Verdana" w:eastAsia="Calibri" w:hAnsi="Verdana" w:cs="Arial"/>
          <w:lang w:val="es-ES" w:eastAsia="es-ES"/>
        </w:rPr>
        <w:t xml:space="preserve">La Subdirección de Gestión Contractual se ha pronunciado </w:t>
      </w:r>
      <w:r w:rsidRPr="001C465C">
        <w:rPr>
          <w:rFonts w:ascii="Verdana" w:hAnsi="Verdana" w:cs="Arial"/>
        </w:rPr>
        <w:t>frente a la experiencia profesional y la forma de verificarse, en los conceptos C-231 del 13 de abril de 2020, C-212 del 14 de abril de 2020, C-317 de 10 de junio de 2020, C-337 del 26 de junio de 2020, C-355 del 4 de junio de 2020, C-353 del 30 de junio de 2020, C-457 del 7 de julio de 2020, C- 357 de agosto de 2024, C-279 de agosto 09 de 2024, C-409 del 6 de septiembre de 2024, C-510 del 03 de octubre de 2024 y C-938 de 27 de diciembre de 2024.</w:t>
      </w:r>
      <w:r w:rsidRPr="001C465C">
        <w:rPr>
          <w:rFonts w:ascii="Verdana" w:hAnsi="Verdana" w:cs="Arial"/>
          <w:shd w:val="clear" w:color="auto" w:fill="FFFFFF"/>
        </w:rPr>
        <w:t xml:space="preserve"> 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w:t>
      </w:r>
      <w:r w:rsidRPr="001C465C">
        <w:rPr>
          <w:rFonts w:ascii="Verdana" w:hAnsi="Verdana"/>
        </w:rPr>
        <w:t xml:space="preserve">, accede a través del siguiente enlace: </w:t>
      </w:r>
      <w:hyperlink r:id="rId8" w:history="1">
        <w:r w:rsidRPr="001C465C">
          <w:rPr>
            <w:rStyle w:val="Hipervnculo"/>
            <w:rFonts w:ascii="Verdana" w:hAnsi="Verdana" w:cs="Arial"/>
            <w:shd w:val="clear" w:color="auto" w:fill="FFFFFF"/>
          </w:rPr>
          <w:t>https://relatoria.colombiacompra.gov.co/busqueda/conceptos</w:t>
        </w:r>
      </w:hyperlink>
      <w:r w:rsidRPr="001C465C">
        <w:rPr>
          <w:rStyle w:val="normaltextrun"/>
          <w:rFonts w:ascii="Verdana" w:hAnsi="Verdana" w:cs="Arial"/>
          <w:shd w:val="clear" w:color="auto" w:fill="FFFFFF"/>
        </w:rPr>
        <w:t xml:space="preserve"> </w:t>
      </w:r>
    </w:p>
    <w:p w14:paraId="0780FDE1" w14:textId="77777777" w:rsidR="005369FE" w:rsidRPr="001C465C" w:rsidRDefault="005369FE" w:rsidP="005369FE">
      <w:pPr>
        <w:widowControl w:val="0"/>
        <w:autoSpaceDE w:val="0"/>
        <w:autoSpaceDN w:val="0"/>
        <w:spacing w:after="0" w:line="276" w:lineRule="auto"/>
        <w:jc w:val="both"/>
        <w:rPr>
          <w:rFonts w:ascii="Verdana" w:hAnsi="Verdana" w:cs="Arial"/>
          <w:shd w:val="clear" w:color="auto" w:fill="FFFFFF"/>
        </w:rPr>
      </w:pPr>
      <w:r w:rsidRPr="001C465C">
        <w:rPr>
          <w:rFonts w:ascii="Verdana" w:hAnsi="Verdana" w:cs="Arial"/>
        </w:rPr>
        <w:t xml:space="preserve"> </w:t>
      </w:r>
    </w:p>
    <w:p w14:paraId="7A9865D2" w14:textId="77777777" w:rsidR="005369FE" w:rsidRPr="001C465C" w:rsidRDefault="005369FE" w:rsidP="005369FE">
      <w:pPr>
        <w:spacing w:after="0" w:line="276" w:lineRule="auto"/>
        <w:jc w:val="both"/>
        <w:rPr>
          <w:rFonts w:ascii="Verdana" w:eastAsia="Calibri" w:hAnsi="Verdana" w:cs="Times New Roman"/>
        </w:rPr>
      </w:pPr>
      <w:r w:rsidRPr="001C465C">
        <w:rPr>
          <w:rFonts w:ascii="Verdana" w:eastAsia="Calibri" w:hAnsi="Verdana" w:cs="Times New Roman"/>
        </w:rPr>
        <w:t xml:space="preserve">Por último, lo invitamos a seguirnos en las redes sociales en las cuales se difunde información institucional: </w:t>
      </w:r>
    </w:p>
    <w:p w14:paraId="43871543" w14:textId="77777777" w:rsidR="005369FE" w:rsidRPr="001C465C" w:rsidRDefault="005369FE" w:rsidP="005369FE">
      <w:pPr>
        <w:spacing w:after="0" w:line="276" w:lineRule="auto"/>
        <w:jc w:val="both"/>
        <w:rPr>
          <w:rFonts w:ascii="Verdana" w:eastAsia="Calibri" w:hAnsi="Verdana" w:cs="Times New Roman"/>
        </w:rPr>
      </w:pPr>
    </w:p>
    <w:p w14:paraId="30477B71" w14:textId="77777777" w:rsidR="005369FE" w:rsidRPr="001C465C" w:rsidRDefault="005369FE" w:rsidP="005369FE">
      <w:pPr>
        <w:spacing w:after="0" w:line="276" w:lineRule="auto"/>
        <w:jc w:val="both"/>
        <w:rPr>
          <w:rFonts w:ascii="Verdana" w:eastAsia="Calibri" w:hAnsi="Verdana" w:cs="Times New Roman"/>
        </w:rPr>
      </w:pPr>
      <w:r w:rsidRPr="001C465C">
        <w:rPr>
          <w:rFonts w:ascii="Verdana" w:eastAsia="Calibri" w:hAnsi="Verdana" w:cs="Times New Roman"/>
        </w:rPr>
        <w:t xml:space="preserve">Twitter: </w:t>
      </w:r>
      <w:r w:rsidRPr="001C465C">
        <w:rPr>
          <w:rFonts w:ascii="Verdana" w:eastAsia="Calibri" w:hAnsi="Verdana" w:cs="Times New Roman"/>
          <w:u w:val="single"/>
        </w:rPr>
        <w:t>@colombiacompra</w:t>
      </w:r>
      <w:r w:rsidRPr="001C465C">
        <w:rPr>
          <w:rFonts w:ascii="Verdana" w:eastAsia="Calibri" w:hAnsi="Verdana" w:cs="Times New Roman"/>
        </w:rPr>
        <w:t xml:space="preserve"> </w:t>
      </w:r>
    </w:p>
    <w:p w14:paraId="41575832" w14:textId="77777777" w:rsidR="005369FE" w:rsidRPr="001C465C" w:rsidRDefault="005369FE" w:rsidP="005369FE">
      <w:pPr>
        <w:spacing w:after="0" w:line="276" w:lineRule="auto"/>
        <w:jc w:val="both"/>
        <w:rPr>
          <w:rFonts w:ascii="Verdana" w:eastAsia="Calibri" w:hAnsi="Verdana" w:cs="Times New Roman"/>
        </w:rPr>
      </w:pPr>
      <w:r w:rsidRPr="001C465C">
        <w:rPr>
          <w:rFonts w:ascii="Verdana" w:eastAsia="Calibri" w:hAnsi="Verdana" w:cs="Times New Roman"/>
        </w:rPr>
        <w:t xml:space="preserve">Facebook: </w:t>
      </w:r>
      <w:proofErr w:type="spellStart"/>
      <w:r w:rsidRPr="001C465C">
        <w:rPr>
          <w:rFonts w:ascii="Verdana" w:eastAsia="Calibri" w:hAnsi="Verdana" w:cs="Times New Roman"/>
          <w:u w:val="single"/>
        </w:rPr>
        <w:t>ColombiaCompraEficiente</w:t>
      </w:r>
      <w:proofErr w:type="spellEnd"/>
    </w:p>
    <w:p w14:paraId="4EDF4E34" w14:textId="77777777" w:rsidR="005369FE" w:rsidRPr="001C465C" w:rsidRDefault="005369FE" w:rsidP="005369FE">
      <w:pPr>
        <w:spacing w:after="0" w:line="276" w:lineRule="auto"/>
        <w:jc w:val="both"/>
        <w:rPr>
          <w:rFonts w:ascii="Verdana" w:eastAsia="Calibri" w:hAnsi="Verdana" w:cs="Times New Roman"/>
          <w:u w:val="single"/>
        </w:rPr>
      </w:pPr>
      <w:r w:rsidRPr="001C465C">
        <w:rPr>
          <w:rFonts w:ascii="Verdana" w:eastAsia="Calibri" w:hAnsi="Verdana" w:cs="Times New Roman"/>
        </w:rPr>
        <w:t xml:space="preserve">LinkedIn: </w:t>
      </w:r>
      <w:r w:rsidRPr="001C465C">
        <w:rPr>
          <w:rFonts w:ascii="Verdana" w:eastAsia="Calibri" w:hAnsi="Verdana" w:cs="Times New Roman"/>
          <w:u w:val="single"/>
        </w:rPr>
        <w:t>Agencia Nacional de Contratación Pública - Colombia Compra Eficiente</w:t>
      </w:r>
      <w:r w:rsidRPr="001C465C">
        <w:rPr>
          <w:rFonts w:ascii="Verdana" w:eastAsia="Calibri" w:hAnsi="Verdana" w:cs="Times New Roman"/>
        </w:rPr>
        <w:t xml:space="preserve"> Instagram: </w:t>
      </w:r>
      <w:r w:rsidRPr="001C465C">
        <w:rPr>
          <w:rFonts w:ascii="Verdana" w:eastAsia="Calibri" w:hAnsi="Verdana" w:cs="Times New Roman"/>
          <w:u w:val="single"/>
        </w:rPr>
        <w:t>@colombiacompraeficiente_cce</w:t>
      </w:r>
    </w:p>
    <w:p w14:paraId="67C80B23" w14:textId="77777777" w:rsidR="005369FE" w:rsidRPr="00363352" w:rsidRDefault="005369FE" w:rsidP="005369FE">
      <w:pPr>
        <w:widowControl w:val="0"/>
        <w:autoSpaceDE w:val="0"/>
        <w:autoSpaceDN w:val="0"/>
        <w:spacing w:after="0" w:line="276" w:lineRule="auto"/>
        <w:jc w:val="both"/>
        <w:rPr>
          <w:rFonts w:ascii="Verdana" w:hAnsi="Verdana"/>
        </w:rPr>
      </w:pPr>
    </w:p>
    <w:p w14:paraId="00602D4A" w14:textId="77777777" w:rsidR="005369FE" w:rsidRPr="00505CD6" w:rsidRDefault="005369FE" w:rsidP="005369FE">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w:t>
      </w:r>
      <w:r w:rsidRPr="00505CD6">
        <w:rPr>
          <w:rFonts w:ascii="Verdana" w:hAnsi="Verdana" w:cs="Arial"/>
        </w:rPr>
        <w:lastRenderedPageBreak/>
        <w:t xml:space="preserve">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04B60EC2" w14:textId="77777777" w:rsidR="005369FE" w:rsidRDefault="005369FE" w:rsidP="005369FE">
      <w:pPr>
        <w:spacing w:after="0" w:line="276" w:lineRule="auto"/>
        <w:jc w:val="both"/>
        <w:rPr>
          <w:rFonts w:ascii="Verdana" w:eastAsia="Times New Roman" w:hAnsi="Verdana" w:cs="Arial"/>
          <w:lang w:eastAsia="es-CO"/>
        </w:rPr>
      </w:pPr>
    </w:p>
    <w:p w14:paraId="3B81874F" w14:textId="35635207" w:rsidR="00C04DBF" w:rsidRDefault="005369FE" w:rsidP="00C04DBF">
      <w:pPr>
        <w:spacing w:after="0" w:line="276" w:lineRule="auto"/>
        <w:jc w:val="both"/>
        <w:rPr>
          <w:rFonts w:ascii="Verdana" w:hAnsi="Verdana"/>
          <w:noProof/>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38F18A8C" w14:textId="31A5AA43" w:rsidR="005369FE" w:rsidRPr="00960F72" w:rsidRDefault="00C04DBF" w:rsidP="005369FE">
      <w:pPr>
        <w:spacing w:after="0" w:line="276" w:lineRule="auto"/>
        <w:rPr>
          <w:rFonts w:ascii="Verdana" w:hAnsi="Verdana"/>
        </w:rPr>
      </w:pPr>
      <w:r w:rsidRPr="002C3AD6">
        <w:rPr>
          <w:rFonts w:ascii="Century Gothic" w:hAnsi="Century Gothic"/>
          <w:noProof/>
        </w:rPr>
        <w:drawing>
          <wp:anchor distT="0" distB="0" distL="114300" distR="114300" simplePos="0" relativeHeight="251661312" behindDoc="1" locked="0" layoutInCell="1" allowOverlap="1" wp14:anchorId="645B387D" wp14:editId="758C4A4B">
            <wp:simplePos x="0" y="0"/>
            <wp:positionH relativeFrom="column">
              <wp:posOffset>1206230</wp:posOffset>
            </wp:positionH>
            <wp:positionV relativeFrom="paragraph">
              <wp:posOffset>170653</wp:posOffset>
            </wp:positionV>
            <wp:extent cx="3772426" cy="1400370"/>
            <wp:effectExtent l="0" t="0" r="0" b="9525"/>
            <wp:wrapTight wrapText="bothSides">
              <wp:wrapPolygon edited="0">
                <wp:start x="0" y="0"/>
                <wp:lineTo x="0" y="21453"/>
                <wp:lineTo x="21491" y="21453"/>
                <wp:lineTo x="21491" y="0"/>
                <wp:lineTo x="0" y="0"/>
              </wp:wrapPolygon>
            </wp:wrapTight>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9">
                      <a:extLst>
                        <a:ext uri="{28A0092B-C50C-407E-A947-70E740481C1C}">
                          <a14:useLocalDpi xmlns:a14="http://schemas.microsoft.com/office/drawing/2010/main" val="0"/>
                        </a:ext>
                      </a:extLst>
                    </a:blip>
                    <a:stretch>
                      <a:fillRect/>
                    </a:stretch>
                  </pic:blipFill>
                  <pic:spPr>
                    <a:xfrm>
                      <a:off x="0" y="0"/>
                      <a:ext cx="3772426" cy="1400370"/>
                    </a:xfrm>
                    <a:prstGeom prst="rect">
                      <a:avLst/>
                    </a:prstGeom>
                  </pic:spPr>
                </pic:pic>
              </a:graphicData>
            </a:graphic>
          </wp:anchor>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5369FE" w:rsidRPr="00960F72" w14:paraId="56AD9375" w14:textId="77777777" w:rsidTr="003C36DC">
        <w:trPr>
          <w:trHeight w:val="315"/>
        </w:trPr>
        <w:tc>
          <w:tcPr>
            <w:tcW w:w="893" w:type="dxa"/>
            <w:vAlign w:val="center"/>
            <w:hideMark/>
          </w:tcPr>
          <w:p w14:paraId="255D01DD" w14:textId="77777777" w:rsidR="005369FE" w:rsidRPr="00960F72" w:rsidRDefault="005369FE" w:rsidP="003C36DC">
            <w:pPr>
              <w:contextualSpacing/>
              <w:rPr>
                <w:rFonts w:ascii="Verdana" w:hAnsi="Verdana" w:cs="Arial"/>
                <w:sz w:val="16"/>
                <w:szCs w:val="16"/>
                <w:lang w:eastAsia="es-ES"/>
              </w:rPr>
            </w:pPr>
            <w:bookmarkStart w:id="1" w:name="_Hlk210670112"/>
            <w:r w:rsidRPr="00960F72">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7C1D4F6D" w14:textId="77777777" w:rsidR="005369FE" w:rsidRPr="00960F72" w:rsidRDefault="005369FE" w:rsidP="003C36DC">
            <w:pPr>
              <w:contextualSpacing/>
              <w:rPr>
                <w:rFonts w:ascii="Verdana" w:hAnsi="Verdana"/>
                <w:sz w:val="16"/>
                <w:szCs w:val="16"/>
              </w:rPr>
            </w:pPr>
            <w:r>
              <w:rPr>
                <w:rFonts w:ascii="Verdana" w:hAnsi="Verdana"/>
                <w:sz w:val="16"/>
                <w:szCs w:val="16"/>
              </w:rPr>
              <w:t>Andreina Cerpa Muñoz</w:t>
            </w:r>
          </w:p>
          <w:p w14:paraId="0B7D0821" w14:textId="77777777" w:rsidR="005369FE" w:rsidRPr="00960F72" w:rsidRDefault="005369FE" w:rsidP="003C36DC">
            <w:pPr>
              <w:contextualSpacing/>
              <w:rPr>
                <w:rFonts w:ascii="Verdana" w:eastAsia="Arial" w:hAnsi="Verdana" w:cs="Arial"/>
                <w:sz w:val="16"/>
                <w:szCs w:val="16"/>
              </w:rPr>
            </w:pPr>
            <w:r>
              <w:rPr>
                <w:rFonts w:ascii="Verdana" w:hAnsi="Verdana"/>
                <w:sz w:val="16"/>
                <w:szCs w:val="16"/>
              </w:rPr>
              <w:t>Analista T2-02</w:t>
            </w:r>
            <w:r w:rsidRPr="00960F72">
              <w:rPr>
                <w:rFonts w:ascii="Verdana" w:hAnsi="Verdana"/>
                <w:sz w:val="16"/>
                <w:szCs w:val="16"/>
              </w:rPr>
              <w:t xml:space="preserve"> de la Subdirección de Gestión Contractual</w:t>
            </w:r>
          </w:p>
        </w:tc>
      </w:tr>
      <w:tr w:rsidR="005369FE" w:rsidRPr="00960F72" w14:paraId="5C92FB5E" w14:textId="77777777" w:rsidTr="003C36DC">
        <w:trPr>
          <w:trHeight w:val="330"/>
        </w:trPr>
        <w:tc>
          <w:tcPr>
            <w:tcW w:w="893" w:type="dxa"/>
            <w:vAlign w:val="center"/>
            <w:hideMark/>
          </w:tcPr>
          <w:p w14:paraId="5BFED58E" w14:textId="77777777" w:rsidR="005369FE" w:rsidRPr="00960F72" w:rsidRDefault="005369FE" w:rsidP="003C36DC">
            <w:pPr>
              <w:contextualSpacing/>
              <w:rPr>
                <w:rFonts w:ascii="Verdana" w:hAnsi="Verdana" w:cs="Arial"/>
                <w:sz w:val="16"/>
                <w:szCs w:val="16"/>
                <w:lang w:eastAsia="es-ES"/>
              </w:rPr>
            </w:pPr>
            <w:r w:rsidRPr="00960F72">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A53918F" w14:textId="77777777" w:rsidR="005369FE" w:rsidRPr="00960F72" w:rsidRDefault="005369FE" w:rsidP="003C36DC">
            <w:pPr>
              <w:spacing w:line="276" w:lineRule="auto"/>
              <w:contextualSpacing/>
              <w:jc w:val="both"/>
              <w:rPr>
                <w:rFonts w:ascii="Verdana" w:hAnsi="Verdana"/>
                <w:sz w:val="16"/>
                <w:szCs w:val="16"/>
              </w:rPr>
            </w:pPr>
            <w:r w:rsidRPr="00960F72">
              <w:rPr>
                <w:rFonts w:ascii="Verdana" w:hAnsi="Verdana"/>
                <w:sz w:val="16"/>
                <w:szCs w:val="16"/>
              </w:rPr>
              <w:t>Diana Lucía Saavedra Castañeda</w:t>
            </w:r>
          </w:p>
          <w:p w14:paraId="53040725" w14:textId="77777777" w:rsidR="005369FE" w:rsidRPr="00960F72" w:rsidRDefault="005369FE" w:rsidP="003C36DC">
            <w:pPr>
              <w:spacing w:line="276" w:lineRule="auto"/>
              <w:contextualSpacing/>
              <w:jc w:val="both"/>
              <w:rPr>
                <w:rFonts w:ascii="Verdana" w:hAnsi="Verdana" w:cstheme="minorHAnsi"/>
                <w:sz w:val="16"/>
                <w:szCs w:val="16"/>
              </w:rPr>
            </w:pPr>
            <w:r w:rsidRPr="00960F72">
              <w:rPr>
                <w:rStyle w:val="normaltextrun"/>
                <w:rFonts w:ascii="Verdana" w:eastAsia="Arial" w:hAnsi="Verdana"/>
                <w:sz w:val="16"/>
                <w:szCs w:val="16"/>
              </w:rPr>
              <w:t>Contratita de la</w:t>
            </w:r>
            <w:r w:rsidRPr="00960F72">
              <w:rPr>
                <w:rStyle w:val="normaltextrun"/>
                <w:rFonts w:ascii="Verdana" w:eastAsia="Arial" w:hAnsi="Verdana" w:cs="Arial"/>
                <w:sz w:val="16"/>
                <w:szCs w:val="16"/>
              </w:rPr>
              <w:t xml:space="preserve"> Subdirección de Gestión Contractual</w:t>
            </w:r>
          </w:p>
        </w:tc>
      </w:tr>
      <w:tr w:rsidR="005369FE" w:rsidRPr="00960F72" w14:paraId="14F3F418" w14:textId="77777777" w:rsidTr="003C36DC">
        <w:trPr>
          <w:trHeight w:val="330"/>
        </w:trPr>
        <w:tc>
          <w:tcPr>
            <w:tcW w:w="893" w:type="dxa"/>
            <w:vAlign w:val="center"/>
          </w:tcPr>
          <w:p w14:paraId="0DC238B1" w14:textId="77777777" w:rsidR="005369FE" w:rsidRPr="00960F72" w:rsidRDefault="005369FE" w:rsidP="003C36DC">
            <w:pPr>
              <w:contextualSpacing/>
              <w:rPr>
                <w:rFonts w:ascii="Verdana" w:hAnsi="Verdana" w:cs="Arial"/>
                <w:sz w:val="16"/>
                <w:szCs w:val="16"/>
                <w:lang w:eastAsia="es-ES"/>
              </w:rPr>
            </w:pPr>
            <w:r w:rsidRPr="00960F72">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6F059538" w14:textId="77777777" w:rsidR="005369FE" w:rsidRPr="00960F72" w:rsidRDefault="005369FE" w:rsidP="003C36DC">
            <w:pPr>
              <w:contextualSpacing/>
              <w:rPr>
                <w:rFonts w:ascii="Verdana" w:eastAsia="Calibri" w:hAnsi="Verdana" w:cs="Arial"/>
                <w:sz w:val="16"/>
                <w:szCs w:val="16"/>
                <w:lang w:eastAsia="es-ES"/>
              </w:rPr>
            </w:pPr>
            <w:r w:rsidRPr="00960F72">
              <w:rPr>
                <w:rFonts w:ascii="Verdana" w:eastAsia="Calibri" w:hAnsi="Verdana" w:cs="Arial"/>
                <w:sz w:val="16"/>
                <w:szCs w:val="16"/>
                <w:lang w:eastAsia="es-ES"/>
              </w:rPr>
              <w:t>Carolina Quintero Gacharná</w:t>
            </w:r>
          </w:p>
          <w:p w14:paraId="443A8B04" w14:textId="77777777" w:rsidR="005369FE" w:rsidRPr="00960F72" w:rsidRDefault="005369FE" w:rsidP="003C36DC">
            <w:pPr>
              <w:spacing w:line="276" w:lineRule="auto"/>
              <w:contextualSpacing/>
              <w:jc w:val="both"/>
              <w:rPr>
                <w:rFonts w:ascii="Verdana" w:hAnsi="Verdana"/>
                <w:sz w:val="16"/>
                <w:szCs w:val="16"/>
              </w:rPr>
            </w:pPr>
            <w:r w:rsidRPr="00960F72">
              <w:rPr>
                <w:rFonts w:ascii="Verdana" w:eastAsia="Calibri" w:hAnsi="Verdana" w:cs="Arial"/>
                <w:sz w:val="16"/>
                <w:szCs w:val="16"/>
                <w:lang w:eastAsia="es-ES"/>
              </w:rPr>
              <w:t>Subdirectora de Gestión Contra</w:t>
            </w:r>
            <w:r>
              <w:rPr>
                <w:rFonts w:ascii="Verdana" w:eastAsia="Calibri" w:hAnsi="Verdana" w:cs="Arial"/>
                <w:sz w:val="16"/>
                <w:szCs w:val="16"/>
                <w:lang w:eastAsia="es-ES"/>
              </w:rPr>
              <w:t>c</w:t>
            </w:r>
            <w:r w:rsidRPr="00960F72">
              <w:rPr>
                <w:rFonts w:ascii="Verdana" w:eastAsia="Calibri" w:hAnsi="Verdana" w:cs="Arial"/>
                <w:sz w:val="16"/>
                <w:szCs w:val="16"/>
                <w:lang w:eastAsia="es-ES"/>
              </w:rPr>
              <w:t>tual - ANCP – CCE</w:t>
            </w:r>
          </w:p>
        </w:tc>
      </w:tr>
      <w:bookmarkEnd w:id="1"/>
    </w:tbl>
    <w:p w14:paraId="6DE7F5D0" w14:textId="77777777" w:rsidR="005369FE" w:rsidRPr="00AF14A8" w:rsidRDefault="005369FE" w:rsidP="005369FE">
      <w:pPr>
        <w:rPr>
          <w:rFonts w:ascii="Verdana" w:hAnsi="Verdana"/>
        </w:rPr>
      </w:pPr>
    </w:p>
    <w:p w14:paraId="76CE1622" w14:textId="77777777" w:rsidR="005369FE" w:rsidRPr="00AF14A8" w:rsidRDefault="005369FE" w:rsidP="005369FE">
      <w:pPr>
        <w:rPr>
          <w:rFonts w:ascii="Verdana" w:hAnsi="Verdana"/>
        </w:rPr>
      </w:pPr>
    </w:p>
    <w:p w14:paraId="5B341401" w14:textId="77777777" w:rsidR="005369FE" w:rsidRPr="00AF14A8" w:rsidRDefault="005369FE" w:rsidP="005369FE">
      <w:pPr>
        <w:rPr>
          <w:rFonts w:ascii="Verdana" w:hAnsi="Verdana"/>
        </w:rPr>
      </w:pPr>
    </w:p>
    <w:p w14:paraId="6C7AB8D5" w14:textId="77777777" w:rsidR="000F5A42" w:rsidRDefault="000F5A42"/>
    <w:sectPr w:rsidR="000F5A42" w:rsidSect="005369FE">
      <w:headerReference w:type="default" r:id="rId10"/>
      <w:footerReference w:type="default" r:id="rId11"/>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1E1776" w14:textId="77777777" w:rsidR="00C92C21" w:rsidRDefault="00C92C21" w:rsidP="005369FE">
      <w:pPr>
        <w:spacing w:after="0" w:line="240" w:lineRule="auto"/>
      </w:pPr>
      <w:r>
        <w:separator/>
      </w:r>
    </w:p>
  </w:endnote>
  <w:endnote w:type="continuationSeparator" w:id="0">
    <w:p w14:paraId="21080B16" w14:textId="77777777" w:rsidR="00C92C21" w:rsidRDefault="00C92C21" w:rsidP="005369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Verdana">
    <w:panose1 w:val="020B0604030504040204"/>
    <w:charset w:val="00"/>
    <w:family w:val="swiss"/>
    <w:pitch w:val="variable"/>
    <w:sig w:usb0="A00006FF" w:usb1="4000205B" w:usb2="00000010"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E8CD08" w14:textId="77777777" w:rsidR="005369FE" w:rsidRDefault="005369FE">
    <w:pPr>
      <w:pStyle w:val="Piedepgina"/>
    </w:pPr>
  </w:p>
  <w:p w14:paraId="580E78B5" w14:textId="77777777" w:rsidR="005369FE" w:rsidRPr="00174B77" w:rsidRDefault="005369FE"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3E399890" w14:textId="77777777" w:rsidR="005369FE" w:rsidRDefault="005369FE"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429E99DD" w14:textId="77777777" w:rsidR="005369FE" w:rsidRPr="00E41027" w:rsidRDefault="005369FE" w:rsidP="00D520D8">
    <w:pPr>
      <w:spacing w:after="0"/>
      <w:jc w:val="both"/>
      <w:rPr>
        <w:rFonts w:ascii="Verdana" w:hAnsi="Verdana"/>
        <w:sz w:val="18"/>
        <w:szCs w:val="18"/>
      </w:rPr>
    </w:pPr>
    <w:r w:rsidRPr="00E41027">
      <w:rPr>
        <w:rFonts w:ascii="Verdana" w:hAnsi="Verdana"/>
        <w:sz w:val="18"/>
        <w:szCs w:val="18"/>
      </w:rPr>
      <w:t>Mesa de servicio: (+57) 601 7456788</w:t>
    </w:r>
  </w:p>
  <w:p w14:paraId="59818D0C" w14:textId="77777777" w:rsidR="005369FE" w:rsidRDefault="005369FE"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C416AA" w14:textId="77777777" w:rsidR="00C92C21" w:rsidRDefault="00C92C21" w:rsidP="005369FE">
      <w:pPr>
        <w:spacing w:after="0" w:line="240" w:lineRule="auto"/>
      </w:pPr>
      <w:r>
        <w:separator/>
      </w:r>
    </w:p>
  </w:footnote>
  <w:footnote w:type="continuationSeparator" w:id="0">
    <w:p w14:paraId="30CF57B5" w14:textId="77777777" w:rsidR="00C92C21" w:rsidRDefault="00C92C21" w:rsidP="005369FE">
      <w:pPr>
        <w:spacing w:after="0" w:line="240" w:lineRule="auto"/>
      </w:pPr>
      <w:r>
        <w:continuationSeparator/>
      </w:r>
    </w:p>
  </w:footnote>
  <w:footnote w:id="1">
    <w:p w14:paraId="0CFE5F60" w14:textId="77777777" w:rsidR="005369FE" w:rsidRPr="00AF14A8" w:rsidRDefault="005369FE" w:rsidP="005369FE">
      <w:pPr>
        <w:spacing w:after="0" w:line="240" w:lineRule="auto"/>
        <w:ind w:firstLine="709"/>
        <w:jc w:val="both"/>
        <w:rPr>
          <w:rFonts w:ascii="Verdana" w:hAnsi="Verdana" w:cs="Arial"/>
          <w:sz w:val="16"/>
          <w:szCs w:val="16"/>
        </w:rPr>
      </w:pPr>
      <w:r w:rsidRPr="00AF14A8">
        <w:rPr>
          <w:rStyle w:val="Refdenotaalpie"/>
          <w:rFonts w:ascii="Verdana" w:hAnsi="Verdana" w:cs="Arial"/>
          <w:sz w:val="16"/>
          <w:szCs w:val="16"/>
        </w:rPr>
        <w:footnoteRef/>
      </w:r>
      <w:r w:rsidRPr="00AF14A8">
        <w:rPr>
          <w:rFonts w:ascii="Verdana" w:hAnsi="Verdana" w:cs="Arial"/>
          <w:sz w:val="16"/>
          <w:szCs w:val="16"/>
        </w:rPr>
        <w:t xml:space="preserve"> Corte Constitucional. Sentencia C-697 del 14 de junio de 2000. M.P: Eduardo Cifuentes Muñoz.</w:t>
      </w:r>
    </w:p>
    <w:p w14:paraId="159D904A" w14:textId="77777777" w:rsidR="005369FE" w:rsidRPr="00AF14A8" w:rsidRDefault="005369FE" w:rsidP="005369FE">
      <w:pPr>
        <w:pStyle w:val="Textonotapie"/>
        <w:jc w:val="both"/>
        <w:rPr>
          <w:rFonts w:ascii="Verdana" w:hAnsi="Verdana" w:cs="Arial"/>
          <w:sz w:val="16"/>
          <w:szCs w:val="16"/>
          <w:lang w:val="es-CO"/>
        </w:rPr>
      </w:pPr>
    </w:p>
  </w:footnote>
  <w:footnote w:id="2">
    <w:p w14:paraId="58B51304" w14:textId="77777777" w:rsidR="005369FE" w:rsidRPr="00AF14A8" w:rsidRDefault="005369FE" w:rsidP="005369FE">
      <w:pPr>
        <w:pStyle w:val="Textonotapie"/>
        <w:ind w:right="49" w:firstLine="708"/>
        <w:jc w:val="both"/>
        <w:rPr>
          <w:rFonts w:ascii="Verdana" w:hAnsi="Verdana" w:cs="Arial"/>
          <w:sz w:val="16"/>
          <w:szCs w:val="16"/>
          <w:lang w:val="es-CO"/>
        </w:rPr>
      </w:pPr>
      <w:r w:rsidRPr="00AF14A8">
        <w:rPr>
          <w:rStyle w:val="Refdenotaalpie"/>
          <w:rFonts w:ascii="Verdana" w:hAnsi="Verdana"/>
          <w:sz w:val="16"/>
          <w:szCs w:val="16"/>
        </w:rPr>
        <w:footnoteRef/>
      </w:r>
      <w:r w:rsidRPr="00AF14A8">
        <w:rPr>
          <w:rFonts w:ascii="Verdana" w:hAnsi="Verdana"/>
          <w:sz w:val="16"/>
          <w:szCs w:val="16"/>
        </w:rPr>
        <w:t xml:space="preserve"> </w:t>
      </w:r>
      <w:r w:rsidRPr="00AF14A8">
        <w:rPr>
          <w:rFonts w:ascii="Verdana" w:hAnsi="Verdana" w:cs="Arial"/>
          <w:sz w:val="16"/>
          <w:szCs w:val="16"/>
          <w:lang w:val="es-CO"/>
        </w:rPr>
        <w:t>El Consejo Profesional Nacional de Ingeniería -COPNIA-, como entidad encargada de controlar, inspeccionar y vigilar el ejercicio de la ingeniería, de sus profesiones afines y de sus profesiones auxiliares, de acuerdo con lo dispuesto por el artículo 26 de la Ley 842 de 2003, tiene como función emitir conceptos y responder consultas sobre aspectos relacionados con el ejercicio de la ingeniería, sus profesiones afines y sus profesiones auxiliares, cuando así se le solicite para cualquier efecto legal o profesional.</w:t>
      </w:r>
    </w:p>
    <w:p w14:paraId="35A759C5" w14:textId="77777777" w:rsidR="005369FE" w:rsidRPr="00AF14A8" w:rsidRDefault="005369FE" w:rsidP="005369FE">
      <w:pPr>
        <w:pStyle w:val="Textonotapie"/>
        <w:ind w:right="49" w:firstLine="708"/>
        <w:jc w:val="both"/>
        <w:rPr>
          <w:rFonts w:ascii="Verdana" w:hAnsi="Verdana"/>
          <w:sz w:val="16"/>
          <w:szCs w:val="16"/>
          <w:lang w:val="es-CO"/>
        </w:rPr>
      </w:pPr>
    </w:p>
  </w:footnote>
  <w:footnote w:id="3">
    <w:p w14:paraId="702BA1D2" w14:textId="77777777" w:rsidR="005369FE" w:rsidRPr="00AF14A8" w:rsidRDefault="005369FE" w:rsidP="005369FE">
      <w:pPr>
        <w:pStyle w:val="Textonotapie"/>
        <w:ind w:firstLine="720"/>
        <w:jc w:val="both"/>
        <w:rPr>
          <w:rFonts w:ascii="Verdana" w:hAnsi="Verdana" w:cs="Arial"/>
          <w:color w:val="000000" w:themeColor="text1"/>
          <w:sz w:val="16"/>
          <w:szCs w:val="16"/>
          <w:lang w:val="es-CO"/>
        </w:rPr>
      </w:pPr>
      <w:r w:rsidRPr="00AF14A8">
        <w:rPr>
          <w:rStyle w:val="Refdenotaalpie"/>
          <w:rFonts w:ascii="Verdana" w:hAnsi="Verdana" w:cs="Arial"/>
          <w:color w:val="000000" w:themeColor="text1"/>
          <w:sz w:val="16"/>
          <w:szCs w:val="16"/>
        </w:rPr>
        <w:footnoteRef/>
      </w:r>
      <w:r w:rsidRPr="00AF14A8">
        <w:rPr>
          <w:rFonts w:ascii="Verdana" w:hAnsi="Verdana" w:cs="Arial"/>
          <w:color w:val="000000" w:themeColor="text1"/>
          <w:sz w:val="16"/>
          <w:szCs w:val="16"/>
        </w:rPr>
        <w:t xml:space="preserve"> Corte Constitucional. Sentencia C-191 de 2005: «Además, el parámetro empleado por el legislador en el inciso primero del artículo es objetivo, claro e inteligible, puesto que se refiere precisamente a ‘actividades catalogadas como ejercicio de la ingeniería’, actividades que como se mostró, se encuentran definidas por la ley [ver apartados 4.1.2.1. y siguientes]. El artículo tiene por objeto únicamente el ejercicio de la ingeniería; en tal sentido no comprende todo lo eventualmente relacionado con la</w:t>
      </w:r>
      <w:r w:rsidRPr="00AF14A8">
        <w:rPr>
          <w:rFonts w:ascii="Verdana" w:hAnsi="Verdana" w:cs="Arial"/>
          <w:color w:val="000000" w:themeColor="text1"/>
          <w:spacing w:val="-13"/>
          <w:sz w:val="16"/>
          <w:szCs w:val="16"/>
        </w:rPr>
        <w:t xml:space="preserve"> </w:t>
      </w:r>
      <w:r w:rsidRPr="00AF14A8">
        <w:rPr>
          <w:rFonts w:ascii="Verdana" w:hAnsi="Verdana" w:cs="Arial"/>
          <w:color w:val="000000" w:themeColor="text1"/>
          <w:sz w:val="16"/>
          <w:szCs w:val="16"/>
        </w:rPr>
        <w:t xml:space="preserve">ingeniería». </w:t>
      </w:r>
    </w:p>
  </w:footnote>
  <w:footnote w:id="4">
    <w:p w14:paraId="54EBEB86" w14:textId="77777777" w:rsidR="005369FE" w:rsidRPr="00AF14A8" w:rsidRDefault="005369FE" w:rsidP="005369FE">
      <w:pPr>
        <w:spacing w:after="0" w:line="240" w:lineRule="auto"/>
        <w:ind w:right="308" w:firstLine="720"/>
        <w:jc w:val="both"/>
        <w:rPr>
          <w:rFonts w:ascii="Verdana" w:hAnsi="Verdana" w:cs="Arial"/>
          <w:color w:val="000000" w:themeColor="text1"/>
          <w:sz w:val="16"/>
          <w:szCs w:val="16"/>
        </w:rPr>
      </w:pPr>
      <w:r w:rsidRPr="00AF14A8">
        <w:rPr>
          <w:rStyle w:val="Refdenotaalpie"/>
          <w:rFonts w:ascii="Verdana" w:hAnsi="Verdana" w:cs="Arial"/>
          <w:color w:val="000000" w:themeColor="text1"/>
          <w:sz w:val="16"/>
          <w:szCs w:val="16"/>
        </w:rPr>
        <w:footnoteRef/>
      </w:r>
      <w:r w:rsidRPr="00AF14A8">
        <w:rPr>
          <w:rFonts w:ascii="Verdana" w:hAnsi="Verdana" w:cs="Arial"/>
          <w:color w:val="000000" w:themeColor="text1"/>
          <w:sz w:val="16"/>
          <w:szCs w:val="16"/>
        </w:rPr>
        <w:t xml:space="preserve"> Ley 842 de 2003, artículo 6: «Para poder ejercer legalmente la Ingeniería, sus profesiones afines o sus profesiones auxiliares en el territorio nacional, en las ramas o especialidades regidas por la presente ley, se requiere estar matriculado o inscrito en el Registro Profesional respectivo, que seguirá llevando el Copnia, lo cual se acreditará con la presentación de la tarjeta o documento adoptado por este para tal fin».</w:t>
      </w:r>
    </w:p>
    <w:p w14:paraId="79B765CB" w14:textId="77777777" w:rsidR="005369FE" w:rsidRPr="00AF14A8" w:rsidRDefault="005369FE" w:rsidP="005369FE">
      <w:pPr>
        <w:spacing w:after="0" w:line="240" w:lineRule="auto"/>
        <w:ind w:right="308" w:firstLine="720"/>
        <w:jc w:val="both"/>
        <w:rPr>
          <w:rFonts w:ascii="Verdana" w:hAnsi="Verdana" w:cs="Arial"/>
          <w:color w:val="000000" w:themeColor="text1"/>
          <w:sz w:val="16"/>
          <w:szCs w:val="16"/>
        </w:rPr>
      </w:pPr>
    </w:p>
  </w:footnote>
  <w:footnote w:id="5">
    <w:p w14:paraId="0BC90F17" w14:textId="77777777" w:rsidR="005369FE" w:rsidRPr="00AF14A8" w:rsidRDefault="005369FE" w:rsidP="005369FE">
      <w:pPr>
        <w:pStyle w:val="Textonotapie"/>
        <w:ind w:firstLine="708"/>
        <w:jc w:val="both"/>
        <w:rPr>
          <w:rFonts w:ascii="Verdana" w:hAnsi="Verdana"/>
          <w:sz w:val="16"/>
          <w:szCs w:val="16"/>
          <w:lang w:val="es-CO"/>
        </w:rPr>
      </w:pPr>
      <w:r w:rsidRPr="00AF14A8">
        <w:rPr>
          <w:rStyle w:val="Refdenotaalpie"/>
          <w:rFonts w:ascii="Verdana" w:hAnsi="Verdana"/>
          <w:sz w:val="16"/>
          <w:szCs w:val="16"/>
        </w:rPr>
        <w:footnoteRef/>
      </w:r>
      <w:r w:rsidRPr="00AF14A8">
        <w:rPr>
          <w:rFonts w:ascii="Verdana" w:hAnsi="Verdana"/>
          <w:sz w:val="16"/>
          <w:szCs w:val="16"/>
        </w:rPr>
        <w:t xml:space="preserve"> </w:t>
      </w:r>
      <w:r w:rsidRPr="00AF14A8">
        <w:rPr>
          <w:rFonts w:ascii="Verdana" w:hAnsi="Verdana" w:cs="Arial"/>
          <w:sz w:val="16"/>
          <w:szCs w:val="16"/>
          <w:lang w:val="es-CO"/>
        </w:rPr>
        <w:t>El Consejo Profesional Nacional de Ingeniería -COPNIA-, como entidad encargada de controlar, inspeccionar y vigilar el ejercicio de la ingeniería, de sus profesiones afines y de sus profesiones auxiliares, de acuerdo con lo dispuesto por el artículo 26 de la Ley 842 de 2003, tiene como función emitir conceptos y responder consultas sobre aspectos relacionados con el ejercicio de la ingeniería, sus profesiones afines y sus profesiones auxiliares, cuando así se le solicite para cualquier efecto legal o profesional.</w:t>
      </w:r>
    </w:p>
  </w:footnote>
  <w:footnote w:id="6">
    <w:p w14:paraId="3B54A006" w14:textId="77777777" w:rsidR="005369FE" w:rsidRPr="00AF14A8" w:rsidRDefault="005369FE" w:rsidP="005369FE">
      <w:pPr>
        <w:pStyle w:val="Textonotapie"/>
        <w:ind w:firstLine="709"/>
        <w:jc w:val="both"/>
        <w:rPr>
          <w:rFonts w:ascii="Verdana" w:hAnsi="Verdana" w:cs="Arial"/>
          <w:sz w:val="16"/>
          <w:szCs w:val="16"/>
        </w:rPr>
      </w:pPr>
      <w:r w:rsidRPr="00AF14A8">
        <w:rPr>
          <w:rStyle w:val="Refdenotaalpie"/>
          <w:rFonts w:ascii="Verdana" w:hAnsi="Verdana" w:cs="Arial"/>
          <w:sz w:val="16"/>
          <w:szCs w:val="16"/>
        </w:rPr>
        <w:footnoteRef/>
      </w:r>
      <w:r w:rsidRPr="00AF14A8">
        <w:rPr>
          <w:rFonts w:ascii="Verdana" w:hAnsi="Verdana" w:cs="Arial"/>
          <w:sz w:val="16"/>
          <w:szCs w:val="16"/>
        </w:rPr>
        <w:t xml:space="preserve"> El Consejo Profesional Nacional de Ingeniería ha reiterado esta tesis en los conceptos </w:t>
      </w:r>
      <w:r w:rsidRPr="00AF14A8">
        <w:rPr>
          <w:rFonts w:ascii="Verdana" w:hAnsi="Verdana" w:cs="Arial"/>
          <w:sz w:val="16"/>
          <w:szCs w:val="16"/>
          <w:lang w:val="es-ES"/>
        </w:rPr>
        <w:t>14, 15, y 68 de 2005; 18 de 2010, 39 de 2011; 78, 109 de 2012; 103 de 2013; 9 y 210 de 2015; 115 de 2016; 20 y 98 de 2018,</w:t>
      </w:r>
      <w:r w:rsidRPr="00AF14A8">
        <w:rPr>
          <w:rFonts w:ascii="Verdana" w:hAnsi="Verdana" w:cs="Arial"/>
          <w:sz w:val="16"/>
          <w:szCs w:val="16"/>
        </w:rPr>
        <w:t xml:space="preserve"> 34 de 2015, 39 de 2019.</w:t>
      </w:r>
    </w:p>
    <w:p w14:paraId="388BE8A3" w14:textId="77777777" w:rsidR="005369FE" w:rsidRPr="00AF14A8" w:rsidRDefault="005369FE" w:rsidP="005369FE">
      <w:pPr>
        <w:pStyle w:val="Textonotapie"/>
        <w:ind w:firstLine="709"/>
        <w:jc w:val="both"/>
        <w:rPr>
          <w:rFonts w:ascii="Verdana" w:hAnsi="Verdana" w:cs="Arial"/>
          <w:sz w:val="16"/>
          <w:szCs w:val="16"/>
          <w:lang w:val="es-CO"/>
        </w:rPr>
      </w:pPr>
    </w:p>
  </w:footnote>
  <w:footnote w:id="7">
    <w:p w14:paraId="6A68829D" w14:textId="77777777" w:rsidR="005369FE" w:rsidRPr="00AF14A8" w:rsidRDefault="005369FE" w:rsidP="005369FE">
      <w:pPr>
        <w:pStyle w:val="Textonotapie"/>
        <w:ind w:firstLine="720"/>
        <w:jc w:val="both"/>
        <w:rPr>
          <w:rFonts w:ascii="Verdana" w:hAnsi="Verdana" w:cs="Arial"/>
          <w:color w:val="000000" w:themeColor="text1"/>
          <w:sz w:val="16"/>
          <w:szCs w:val="16"/>
        </w:rPr>
      </w:pPr>
      <w:r w:rsidRPr="00AF14A8">
        <w:rPr>
          <w:rStyle w:val="Refdenotaalpie"/>
          <w:rFonts w:ascii="Verdana" w:hAnsi="Verdana" w:cs="Arial"/>
          <w:color w:val="000000" w:themeColor="text1"/>
          <w:sz w:val="16"/>
          <w:szCs w:val="16"/>
        </w:rPr>
        <w:footnoteRef/>
      </w:r>
      <w:r w:rsidRPr="00AF14A8">
        <w:rPr>
          <w:rFonts w:ascii="Verdana" w:hAnsi="Verdana" w:cs="Arial"/>
          <w:color w:val="000000" w:themeColor="text1"/>
          <w:sz w:val="16"/>
          <w:szCs w:val="16"/>
        </w:rPr>
        <w:t xml:space="preserve"> Corte Constitucional. Sentencia C-191 de 2005: «Para la jurisprudencia, por ejemplo, no es razonable que si existen varios profesionales que pueden ejercer idóneamente una labor (por ejemplo, la vigilancia concreta de una construcción), se obligue a que sea contratado exclusivamente uno de ellos (por ejemplo, que en toda obra se contrate a un técnico constructor); ello resulta discriminatorio, pues establece un privilegio en favor de los profesionales elegidos, dentro de un universo en el cual existen otros profesionales con el mismo o mayor nivel de idoneidad, según las normas vigentes».</w:t>
      </w:r>
    </w:p>
    <w:p w14:paraId="4667B33A" w14:textId="77777777" w:rsidR="005369FE" w:rsidRPr="00AF14A8" w:rsidRDefault="005369FE" w:rsidP="005369FE">
      <w:pPr>
        <w:pStyle w:val="Textonotapie"/>
        <w:ind w:firstLine="720"/>
        <w:jc w:val="both"/>
        <w:rPr>
          <w:rFonts w:ascii="Verdana" w:hAnsi="Verdana" w:cs="Arial"/>
          <w:color w:val="000000" w:themeColor="text1"/>
          <w:sz w:val="16"/>
          <w:szCs w:val="16"/>
          <w:lang w:val="es-CO"/>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538B05" w14:textId="77777777" w:rsidR="005369FE" w:rsidRDefault="005369FE"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0288" behindDoc="1" locked="0" layoutInCell="1" allowOverlap="1" wp14:anchorId="076923DC" wp14:editId="67915894">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9264" behindDoc="0" locked="0" layoutInCell="1" allowOverlap="1" wp14:anchorId="4E0025AB" wp14:editId="76B1ED48">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0708F538" w14:textId="77777777" w:rsidR="005369FE" w:rsidRDefault="005369FE">
    <w:pPr>
      <w:pStyle w:val="Encabezado"/>
    </w:pPr>
  </w:p>
  <w:p w14:paraId="7DB413DF" w14:textId="77777777" w:rsidR="005369FE" w:rsidRPr="004A305D" w:rsidRDefault="005369FE" w:rsidP="00B01B1A">
    <w:pPr>
      <w:spacing w:after="0" w:line="120" w:lineRule="auto"/>
      <w:rPr>
        <w:rFonts w:ascii="Century Gothic" w:eastAsia="Geo" w:hAnsi="Century Gothic" w:cs="Geo"/>
        <w:sz w:val="16"/>
        <w:szCs w:val="16"/>
        <w:lang w:eastAsia="es-CO"/>
      </w:rPr>
    </w:pPr>
  </w:p>
  <w:p w14:paraId="006B4A80" w14:textId="77777777" w:rsidR="005369FE" w:rsidRDefault="005369FE" w:rsidP="00844AE9">
    <w:pPr>
      <w:spacing w:after="0" w:line="240" w:lineRule="auto"/>
      <w:rPr>
        <w:rFonts w:ascii="Verdana" w:hAnsi="Verdana"/>
        <w:sz w:val="24"/>
        <w:szCs w:val="24"/>
      </w:rPr>
    </w:pPr>
  </w:p>
  <w:p w14:paraId="2F15C6F9" w14:textId="77777777" w:rsidR="005369FE" w:rsidRPr="00C925AC" w:rsidRDefault="005369FE" w:rsidP="00844AE9">
    <w:pPr>
      <w:spacing w:after="0" w:line="240" w:lineRule="auto"/>
      <w:rPr>
        <w:rFonts w:ascii="Verdana" w:hAnsi="Verdana"/>
        <w:sz w:val="24"/>
        <w:szCs w:val="24"/>
      </w:rPr>
    </w:pPr>
  </w:p>
  <w:p w14:paraId="717F1A51" w14:textId="77777777" w:rsidR="005369FE" w:rsidRPr="00C925AC" w:rsidRDefault="005369FE"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39D726F5"/>
    <w:multiLevelType w:val="hybridMultilevel"/>
    <w:tmpl w:val="7BDC1A10"/>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num w:numId="1" w16cid:durableId="211894468">
    <w:abstractNumId w:val="0"/>
  </w:num>
  <w:num w:numId="2" w16cid:durableId="14354008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69FE"/>
    <w:rsid w:val="000A4AEB"/>
    <w:rsid w:val="000F5A42"/>
    <w:rsid w:val="00112B86"/>
    <w:rsid w:val="0043112B"/>
    <w:rsid w:val="004440CE"/>
    <w:rsid w:val="005369FE"/>
    <w:rsid w:val="00642A91"/>
    <w:rsid w:val="006C6C3E"/>
    <w:rsid w:val="007346B5"/>
    <w:rsid w:val="00A12218"/>
    <w:rsid w:val="00A90678"/>
    <w:rsid w:val="00C04DBF"/>
    <w:rsid w:val="00C92C21"/>
    <w:rsid w:val="00D85D63"/>
    <w:rsid w:val="00DA211D"/>
    <w:rsid w:val="00DC4D1D"/>
    <w:rsid w:val="00F879C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356F123"/>
  <w15:chartTrackingRefBased/>
  <w15:docId w15:val="{3B8CF882-7CAE-4991-8ECF-8C8ACF6B7C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69FE"/>
    <w:rPr>
      <w:kern w:val="0"/>
      <w14:ligatures w14:val="none"/>
    </w:rPr>
  </w:style>
  <w:style w:type="paragraph" w:styleId="Ttulo1">
    <w:name w:val="heading 1"/>
    <w:basedOn w:val="Normal"/>
    <w:next w:val="Normal"/>
    <w:link w:val="Ttulo1Car"/>
    <w:uiPriority w:val="9"/>
    <w:qFormat/>
    <w:rsid w:val="005369F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5369F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5369FE"/>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5369FE"/>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5369FE"/>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5369F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5369F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5369F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5369FE"/>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5369FE"/>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5369FE"/>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5369FE"/>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5369FE"/>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5369FE"/>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5369FE"/>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5369FE"/>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5369FE"/>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5369FE"/>
    <w:rPr>
      <w:rFonts w:eastAsiaTheme="majorEastAsia" w:cstheme="majorBidi"/>
      <w:color w:val="272727" w:themeColor="text1" w:themeTint="D8"/>
    </w:rPr>
  </w:style>
  <w:style w:type="paragraph" w:styleId="Ttulo">
    <w:name w:val="Title"/>
    <w:basedOn w:val="Normal"/>
    <w:next w:val="Normal"/>
    <w:link w:val="TtuloCar"/>
    <w:uiPriority w:val="10"/>
    <w:qFormat/>
    <w:rsid w:val="005369F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5369FE"/>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5369FE"/>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5369FE"/>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5369FE"/>
    <w:pPr>
      <w:spacing w:before="160"/>
      <w:jc w:val="center"/>
    </w:pPr>
    <w:rPr>
      <w:i/>
      <w:iCs/>
      <w:color w:val="404040" w:themeColor="text1" w:themeTint="BF"/>
    </w:rPr>
  </w:style>
  <w:style w:type="character" w:customStyle="1" w:styleId="CitaCar">
    <w:name w:val="Cita Car"/>
    <w:basedOn w:val="Fuentedeprrafopredeter"/>
    <w:link w:val="Cita"/>
    <w:uiPriority w:val="29"/>
    <w:rsid w:val="005369FE"/>
    <w:rPr>
      <w:i/>
      <w:iCs/>
      <w:color w:val="404040" w:themeColor="text1" w:themeTint="BF"/>
    </w:r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1"/>
    <w:qFormat/>
    <w:rsid w:val="005369FE"/>
    <w:pPr>
      <w:ind w:left="720"/>
      <w:contextualSpacing/>
    </w:pPr>
  </w:style>
  <w:style w:type="character" w:styleId="nfasisintenso">
    <w:name w:val="Intense Emphasis"/>
    <w:basedOn w:val="Fuentedeprrafopredeter"/>
    <w:uiPriority w:val="21"/>
    <w:qFormat/>
    <w:rsid w:val="005369FE"/>
    <w:rPr>
      <w:i/>
      <w:iCs/>
      <w:color w:val="0F4761" w:themeColor="accent1" w:themeShade="BF"/>
    </w:rPr>
  </w:style>
  <w:style w:type="paragraph" w:styleId="Citadestacada">
    <w:name w:val="Intense Quote"/>
    <w:basedOn w:val="Normal"/>
    <w:next w:val="Normal"/>
    <w:link w:val="CitadestacadaCar"/>
    <w:uiPriority w:val="30"/>
    <w:qFormat/>
    <w:rsid w:val="005369F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5369FE"/>
    <w:rPr>
      <w:i/>
      <w:iCs/>
      <w:color w:val="0F4761" w:themeColor="accent1" w:themeShade="BF"/>
    </w:rPr>
  </w:style>
  <w:style w:type="character" w:styleId="Referenciaintensa">
    <w:name w:val="Intense Reference"/>
    <w:basedOn w:val="Fuentedeprrafopredeter"/>
    <w:uiPriority w:val="32"/>
    <w:qFormat/>
    <w:rsid w:val="005369FE"/>
    <w:rPr>
      <w:b/>
      <w:bCs/>
      <w:smallCaps/>
      <w:color w:val="0F4761" w:themeColor="accent1" w:themeShade="BF"/>
      <w:spacing w:val="5"/>
    </w:rPr>
  </w:style>
  <w:style w:type="paragraph" w:styleId="Encabezado">
    <w:name w:val="header"/>
    <w:basedOn w:val="Normal"/>
    <w:link w:val="EncabezadoCar"/>
    <w:uiPriority w:val="99"/>
    <w:unhideWhenUsed/>
    <w:rsid w:val="005369F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5369FE"/>
    <w:rPr>
      <w:kern w:val="0"/>
      <w14:ligatures w14:val="none"/>
    </w:rPr>
  </w:style>
  <w:style w:type="paragraph" w:styleId="Piedepgina">
    <w:name w:val="footer"/>
    <w:basedOn w:val="Normal"/>
    <w:link w:val="PiedepginaCar"/>
    <w:uiPriority w:val="99"/>
    <w:unhideWhenUsed/>
    <w:rsid w:val="005369F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5369FE"/>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5369FE"/>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5369FE"/>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5369FE"/>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5369FE"/>
    <w:rPr>
      <w:vertAlign w:val="superscript"/>
    </w:rPr>
  </w:style>
  <w:style w:type="character" w:customStyle="1" w:styleId="normaltextrun">
    <w:name w:val="normaltextrun"/>
    <w:basedOn w:val="Fuentedeprrafopredeter"/>
    <w:rsid w:val="005369FE"/>
  </w:style>
  <w:style w:type="table" w:styleId="Tablaconcuadrcula">
    <w:name w:val="Table Grid"/>
    <w:basedOn w:val="Tablanormal"/>
    <w:uiPriority w:val="39"/>
    <w:qFormat/>
    <w:rsid w:val="005369FE"/>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5369FE"/>
    <w:rPr>
      <w:color w:val="0000FF"/>
      <w:u w:val="single"/>
    </w:rPr>
  </w:style>
  <w:style w:type="paragraph" w:customStyle="1" w:styleId="Appelnotedebasde">
    <w:name w:val="Appel note de bas de..."/>
    <w:basedOn w:val="Normal"/>
    <w:link w:val="Refdenotaalpie"/>
    <w:uiPriority w:val="99"/>
    <w:rsid w:val="005369FE"/>
    <w:pPr>
      <w:spacing w:line="240" w:lineRule="exact"/>
    </w:pPr>
    <w:rPr>
      <w:kern w:val="2"/>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5369F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latoria.colombiacompra.gov.co/busqueda/conceptos"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customXml" Target="../customXml/item2.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customXml" Target="../customXml/item1.xm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FC1C9D3-C54C-4250-A518-D8296DDD830C}"/>
</file>

<file path=customXml/itemProps2.xml><?xml version="1.0" encoding="utf-8"?>
<ds:datastoreItem xmlns:ds="http://schemas.openxmlformats.org/officeDocument/2006/customXml" ds:itemID="{92397D18-2259-4666-8854-36B9A9F5A646}"/>
</file>

<file path=customXml/itemProps3.xml><?xml version="1.0" encoding="utf-8"?>
<ds:datastoreItem xmlns:ds="http://schemas.openxmlformats.org/officeDocument/2006/customXml" ds:itemID="{C7EAC60F-E09F-4BCE-8FAC-DB3BE573E475}"/>
</file>

<file path=docProps/app.xml><?xml version="1.0" encoding="utf-8"?>
<Properties xmlns="http://schemas.openxmlformats.org/officeDocument/2006/extended-properties" xmlns:vt="http://schemas.openxmlformats.org/officeDocument/2006/docPropsVTypes">
  <Template>Normal</Template>
  <TotalTime>10</TotalTime>
  <Pages>13</Pages>
  <Words>3927</Words>
  <Characters>21128</Characters>
  <Application>Microsoft Office Word</Application>
  <DocSecurity>0</DocSecurity>
  <Lines>449</Lines>
  <Paragraphs>106</Paragraphs>
  <ScaleCrop>false</ScaleCrop>
  <Company/>
  <LinksUpToDate>false</LinksUpToDate>
  <CharactersWithSpaces>24949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10</cp:revision>
  <dcterms:created xsi:type="dcterms:W3CDTF">2026-01-21T21:05:00Z</dcterms:created>
  <dcterms:modified xsi:type="dcterms:W3CDTF">2026-01-26T14:24:00Z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