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67FDB" w14:textId="77777777" w:rsidR="00A7781B" w:rsidRPr="00A7781B" w:rsidRDefault="00A7781B" w:rsidP="00A7781B">
      <w:pPr>
        <w:spacing w:after="0"/>
        <w:jc w:val="both"/>
        <w:rPr>
          <w:rFonts w:ascii="Verdana" w:eastAsia="Calibri" w:hAnsi="Verdana" w:cs="Arial"/>
          <w:b/>
          <w:bCs/>
          <w:lang w:val="es-ES" w:eastAsia="es-ES"/>
        </w:rPr>
      </w:pPr>
      <w:bookmarkStart w:id="0" w:name="_Hlk143780582"/>
      <w:r w:rsidRPr="00A7781B">
        <w:rPr>
          <w:rFonts w:ascii="Verdana" w:eastAsia="Calibri" w:hAnsi="Verdana" w:cs="Arial"/>
          <w:b/>
          <w:bCs/>
          <w:lang w:val="es-ES" w:eastAsia="es-ES"/>
        </w:rPr>
        <w:t>LIMITACIÓN A MIPYMES – Fundamento normativo</w:t>
      </w:r>
    </w:p>
    <w:p w14:paraId="14B39787" w14:textId="77777777" w:rsidR="00A7781B" w:rsidRPr="005B1584" w:rsidRDefault="00A7781B" w:rsidP="00A7781B">
      <w:pPr>
        <w:spacing w:after="0"/>
        <w:jc w:val="both"/>
        <w:rPr>
          <w:rFonts w:ascii="Verdana" w:eastAsia="Arial" w:hAnsi="Verdana" w:cs="Arial"/>
          <w:color w:val="000000"/>
          <w:sz w:val="20"/>
          <w:szCs w:val="20"/>
        </w:rPr>
      </w:pPr>
    </w:p>
    <w:p w14:paraId="5EF28980" w14:textId="79CE1FC5" w:rsidR="00A7781B" w:rsidRPr="005B1584" w:rsidRDefault="005B1584" w:rsidP="005B1584">
      <w:pPr>
        <w:spacing w:after="0" w:line="276" w:lineRule="auto"/>
        <w:jc w:val="both"/>
        <w:rPr>
          <w:rFonts w:ascii="Verdana" w:eastAsia="Arial" w:hAnsi="Verdana" w:cs="Arial"/>
          <w:color w:val="000000"/>
          <w:sz w:val="20"/>
          <w:szCs w:val="20"/>
        </w:rPr>
      </w:pPr>
      <w:r w:rsidRPr="005B1584">
        <w:rPr>
          <w:rFonts w:ascii="Verdana" w:eastAsia="Arial" w:hAnsi="Verdana" w:cs="Arial"/>
          <w:color w:val="000000"/>
          <w:sz w:val="20"/>
          <w:szCs w:val="20"/>
        </w:rPr>
        <w:t xml:space="preserve">En desarrollo del artículo 34 de la Ley de Emprendimiento, el artículo 2.2.1.2.4.2.2 del Decreto 1082 de 2015 –modificado por el Decreto 1860 de 2021– establece los requisitos que se deben acreditar en las “convocatorias limitadas a </w:t>
      </w:r>
      <w:proofErr w:type="spellStart"/>
      <w:r w:rsidRPr="005B1584">
        <w:rPr>
          <w:rFonts w:ascii="Verdana" w:eastAsia="Arial" w:hAnsi="Verdana" w:cs="Arial"/>
          <w:color w:val="000000"/>
          <w:sz w:val="20"/>
          <w:szCs w:val="20"/>
        </w:rPr>
        <w:t>Mipymes</w:t>
      </w:r>
      <w:proofErr w:type="spellEnd"/>
      <w:r w:rsidRPr="005B1584">
        <w:rPr>
          <w:rFonts w:ascii="Verdana" w:eastAsia="Arial" w:hAnsi="Verdana" w:cs="Arial"/>
          <w:color w:val="000000"/>
          <w:sz w:val="20"/>
          <w:szCs w:val="2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5B1584">
        <w:rPr>
          <w:rFonts w:ascii="Verdana" w:eastAsia="Arial" w:hAnsi="Verdana" w:cs="Arial"/>
          <w:color w:val="000000"/>
          <w:sz w:val="20"/>
          <w:szCs w:val="20"/>
        </w:rPr>
        <w:t>Mipyme</w:t>
      </w:r>
      <w:proofErr w:type="spellEnd"/>
      <w:r w:rsidRPr="005B1584">
        <w:rPr>
          <w:rFonts w:ascii="Verdana" w:eastAsia="Arial" w:hAnsi="Verdana" w:cs="Arial"/>
          <w:color w:val="000000"/>
          <w:sz w:val="20"/>
          <w:szCs w:val="20"/>
        </w:rPr>
        <w:t xml:space="preserve"> colombianas con mínimo un (1) año de existencia, siempre que se cumplan los requisitos señalados allí. Al respecto indica lo siguiente: </w:t>
      </w:r>
      <w:r>
        <w:rPr>
          <w:rFonts w:ascii="Verdana" w:eastAsia="Arial" w:hAnsi="Verdana" w:cs="Arial"/>
          <w:color w:val="000000"/>
          <w:sz w:val="20"/>
          <w:szCs w:val="20"/>
        </w:rPr>
        <w:t xml:space="preserve"> […]</w:t>
      </w:r>
    </w:p>
    <w:p w14:paraId="0C92F0D8" w14:textId="77777777" w:rsidR="00A7781B" w:rsidRPr="00A7781B" w:rsidRDefault="00A7781B" w:rsidP="00A7781B">
      <w:pPr>
        <w:spacing w:after="0"/>
        <w:jc w:val="both"/>
        <w:rPr>
          <w:rFonts w:ascii="Verdana" w:eastAsia="Calibri" w:hAnsi="Verdana" w:cs="Arial"/>
          <w:b/>
          <w:bCs/>
          <w:lang w:val="es-ES" w:eastAsia="es-ES"/>
        </w:rPr>
      </w:pPr>
    </w:p>
    <w:p w14:paraId="3CDC43D8" w14:textId="66BA8DBF" w:rsidR="00A7781B" w:rsidRDefault="00A7781B" w:rsidP="00A7781B">
      <w:pPr>
        <w:spacing w:after="0"/>
        <w:jc w:val="both"/>
        <w:rPr>
          <w:rFonts w:ascii="Verdana" w:eastAsia="Calibri" w:hAnsi="Verdana" w:cs="Arial"/>
          <w:b/>
          <w:bCs/>
          <w:lang w:val="es-ES" w:eastAsia="es-ES"/>
        </w:rPr>
      </w:pPr>
      <w:r w:rsidRPr="00A7781B">
        <w:rPr>
          <w:rFonts w:ascii="Verdana" w:eastAsia="Calibri" w:hAnsi="Verdana" w:cs="Arial"/>
          <w:b/>
          <w:bCs/>
          <w:lang w:val="es-ES" w:eastAsia="es-ES"/>
        </w:rPr>
        <w:t>LIMITACIÓN A MIPYMES – Requisitos – Decreto 1082 de 2015 – Art. 2.2.1.2.4.2.2</w:t>
      </w:r>
    </w:p>
    <w:p w14:paraId="3B571713" w14:textId="77777777" w:rsidR="006E7E03" w:rsidRPr="00A7781B" w:rsidRDefault="006E7E03" w:rsidP="006E7E03">
      <w:pPr>
        <w:spacing w:after="0" w:line="240" w:lineRule="auto"/>
        <w:jc w:val="both"/>
        <w:rPr>
          <w:rFonts w:ascii="Verdana" w:eastAsia="Calibri" w:hAnsi="Verdana" w:cs="Arial"/>
          <w:b/>
          <w:bCs/>
          <w:lang w:val="es-ES" w:eastAsia="es-ES"/>
        </w:rPr>
      </w:pPr>
    </w:p>
    <w:p w14:paraId="3F22D28B" w14:textId="3B5B90E8" w:rsidR="006E7E03" w:rsidRDefault="006E7E03" w:rsidP="006E7E03">
      <w:pPr>
        <w:spacing w:after="120" w:line="240" w:lineRule="auto"/>
        <w:jc w:val="both"/>
        <w:rPr>
          <w:rFonts w:ascii="Verdana" w:eastAsia="Arial" w:hAnsi="Verdana" w:cs="Arial"/>
          <w:color w:val="000000"/>
          <w:sz w:val="20"/>
          <w:szCs w:val="20"/>
          <w:lang w:val="es-ES_tradnl"/>
        </w:rPr>
      </w:pPr>
      <w:r w:rsidRPr="006E7E03">
        <w:rPr>
          <w:rFonts w:ascii="Verdana" w:eastAsia="Arial" w:hAnsi="Verdana" w:cs="Arial"/>
          <w:color w:val="000000"/>
          <w:sz w:val="20"/>
          <w:szCs w:val="20"/>
        </w:rPr>
        <w:t xml:space="preserve">Según se evidencia, el numeral primero limita cuantitativamente los procesos contractuales para las convocatorias limitadas a </w:t>
      </w:r>
      <w:proofErr w:type="spellStart"/>
      <w:r w:rsidRPr="006E7E03">
        <w:rPr>
          <w:rFonts w:ascii="Verdana" w:eastAsia="Arial" w:hAnsi="Verdana" w:cs="Arial"/>
          <w:color w:val="000000"/>
          <w:sz w:val="20"/>
          <w:szCs w:val="20"/>
        </w:rPr>
        <w:t>Mipyme</w:t>
      </w:r>
      <w:proofErr w:type="spellEnd"/>
      <w:r w:rsidRPr="006E7E03">
        <w:rPr>
          <w:rFonts w:ascii="Verdana" w:eastAsia="Arial" w:hAnsi="Verdana" w:cs="Arial"/>
          <w:color w:val="000000"/>
          <w:sz w:val="20"/>
          <w:szCs w:val="20"/>
        </w:rPr>
        <w:t xml:space="preserve">, puesto que el valor del proceso de contratación debe ser “menor a ciento veinticinco mil dólares de los Estados Unidos de América”. Esto acuerdo con la tasa que determine cada dos años el Ministerio de Comercio, Industria y Turismo. Por su parte, el numeral segundo establece que al menos dos (2) </w:t>
      </w:r>
      <w:proofErr w:type="spellStart"/>
      <w:r w:rsidRPr="006E7E03">
        <w:rPr>
          <w:rFonts w:ascii="Verdana" w:eastAsia="Arial" w:hAnsi="Verdana" w:cs="Arial"/>
          <w:color w:val="000000"/>
          <w:sz w:val="20"/>
          <w:szCs w:val="20"/>
        </w:rPr>
        <w:t>Mipymes</w:t>
      </w:r>
      <w:proofErr w:type="spellEnd"/>
      <w:r w:rsidRPr="006E7E03">
        <w:rPr>
          <w:rFonts w:ascii="Verdana" w:eastAsia="Arial" w:hAnsi="Verdana" w:cs="Arial"/>
          <w:color w:val="000000"/>
          <w:sz w:val="20"/>
          <w:szCs w:val="20"/>
        </w:rPr>
        <w:t xml:space="preserve"> colombianas presenten a la entidad la solicitud de limitar el proceso contractual y, por el otro, que hagan la solicitud por lo menos un día (1) hábil antes de la expedición del acto administrativo de apertura </w:t>
      </w:r>
      <w:r w:rsidRPr="006E7E03">
        <w:rPr>
          <w:rFonts w:ascii="Verdana" w:eastAsia="Arial" w:hAnsi="Verdana" w:cs="Arial"/>
          <w:color w:val="000000"/>
          <w:sz w:val="20"/>
          <w:szCs w:val="20"/>
          <w:lang w:val="es-ES_tradnl"/>
        </w:rPr>
        <w:t>o el que haga sus veces de acuerdo con la normativa aplicable a cada Proceso de Contratación</w:t>
      </w:r>
      <w:r w:rsidRPr="006E7E03">
        <w:rPr>
          <w:rFonts w:ascii="Verdana" w:eastAsia="Arial" w:hAnsi="Verdana" w:cs="Arial"/>
          <w:color w:val="000000"/>
          <w:sz w:val="20"/>
          <w:szCs w:val="20"/>
        </w:rPr>
        <w:t xml:space="preserve">. Asimismo, la norma señala que, </w:t>
      </w:r>
      <w:r w:rsidRPr="006E7E03">
        <w:rPr>
          <w:rFonts w:ascii="Verdana" w:eastAsia="Arial" w:hAnsi="Verdana" w:cs="Arial"/>
          <w:color w:val="000000"/>
          <w:sz w:val="20"/>
          <w:szCs w:val="20"/>
          <w:lang w:val="es-ES_tradnl"/>
        </w:rPr>
        <w:t xml:space="preserve">tratándose de personas jurídicas, las solicitudes solo las podrán realizar </w:t>
      </w:r>
      <w:proofErr w:type="spellStart"/>
      <w:r w:rsidRPr="006E7E03">
        <w:rPr>
          <w:rFonts w:ascii="Verdana" w:eastAsia="Arial" w:hAnsi="Verdana" w:cs="Arial"/>
          <w:color w:val="000000"/>
          <w:sz w:val="20"/>
          <w:szCs w:val="20"/>
          <w:lang w:val="es-ES_tradnl"/>
        </w:rPr>
        <w:t>Mipyme</w:t>
      </w:r>
      <w:proofErr w:type="spellEnd"/>
      <w:r w:rsidRPr="006E7E03">
        <w:rPr>
          <w:rFonts w:ascii="Verdana" w:eastAsia="Arial" w:hAnsi="Verdana" w:cs="Arial"/>
          <w:color w:val="000000"/>
          <w:sz w:val="20"/>
          <w:szCs w:val="20"/>
          <w:lang w:val="es-ES_tradnl"/>
        </w:rPr>
        <w:t xml:space="preserv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w:t>
      </w:r>
      <w:proofErr w:type="spellStart"/>
      <w:r w:rsidRPr="006E7E03">
        <w:rPr>
          <w:rFonts w:ascii="Verdana" w:eastAsia="Arial" w:hAnsi="Verdana" w:cs="Arial"/>
          <w:color w:val="000000"/>
          <w:sz w:val="20"/>
          <w:szCs w:val="20"/>
          <w:lang w:val="es-ES_tradnl"/>
        </w:rPr>
        <w:t>Mipyme</w:t>
      </w:r>
      <w:proofErr w:type="spellEnd"/>
      <w:r w:rsidRPr="006E7E03">
        <w:rPr>
          <w:rFonts w:ascii="Verdana" w:eastAsia="Arial" w:hAnsi="Verdana" w:cs="Arial"/>
          <w:color w:val="000000"/>
          <w:sz w:val="20"/>
          <w:szCs w:val="20"/>
          <w:lang w:val="es-ES_tradnl"/>
        </w:rPr>
        <w:t xml:space="preserve">, siempre que estas cumplan con las condiciones señaladas en el artículo. </w:t>
      </w:r>
    </w:p>
    <w:p w14:paraId="4D3E0AE1" w14:textId="77777777" w:rsidR="006E7E03" w:rsidRPr="006E7E03" w:rsidRDefault="006E7E03" w:rsidP="006E7E03">
      <w:pPr>
        <w:spacing w:after="120" w:line="276" w:lineRule="auto"/>
        <w:jc w:val="both"/>
        <w:rPr>
          <w:rFonts w:ascii="Verdana" w:eastAsia="Arial" w:hAnsi="Verdana" w:cs="Arial"/>
          <w:color w:val="000000"/>
          <w:sz w:val="20"/>
          <w:szCs w:val="20"/>
          <w:lang w:val="es-ES_tradnl"/>
        </w:rPr>
      </w:pPr>
    </w:p>
    <w:p w14:paraId="3FEC4EC7" w14:textId="0D058D3A" w:rsidR="00A7781B" w:rsidRDefault="00A7781B" w:rsidP="00A7781B">
      <w:pPr>
        <w:spacing w:after="0"/>
        <w:jc w:val="both"/>
        <w:rPr>
          <w:rFonts w:ascii="Verdana" w:eastAsia="Calibri" w:hAnsi="Verdana" w:cs="Arial"/>
          <w:b/>
          <w:bCs/>
          <w:lang w:val="es-ES" w:eastAsia="es-ES"/>
        </w:rPr>
      </w:pPr>
      <w:r w:rsidRPr="00A7781B">
        <w:rPr>
          <w:rFonts w:ascii="Verdana" w:eastAsia="Calibri" w:hAnsi="Verdana" w:cs="Arial"/>
          <w:b/>
          <w:bCs/>
          <w:lang w:val="es-ES" w:eastAsia="es-ES"/>
        </w:rPr>
        <w:t>LIMITACIÓN A MIPYMES – Aplicabilidad – Contratos sin erogación de recursos – Corretaje de seguros</w:t>
      </w:r>
    </w:p>
    <w:p w14:paraId="2250EB43" w14:textId="77777777" w:rsidR="00E30659" w:rsidRPr="00A7781B" w:rsidRDefault="00E30659" w:rsidP="00A7781B">
      <w:pPr>
        <w:spacing w:after="0"/>
        <w:jc w:val="both"/>
        <w:rPr>
          <w:rFonts w:ascii="Verdana" w:eastAsia="Calibri" w:hAnsi="Verdana" w:cs="Arial"/>
          <w:b/>
          <w:bCs/>
          <w:lang w:val="es-ES" w:eastAsia="es-ES"/>
        </w:rPr>
      </w:pPr>
    </w:p>
    <w:p w14:paraId="2465449E" w14:textId="02B8EC9F" w:rsidR="00A7781B" w:rsidRPr="00E30659" w:rsidRDefault="00E30659" w:rsidP="00A7781B">
      <w:pPr>
        <w:spacing w:after="0"/>
        <w:jc w:val="both"/>
        <w:rPr>
          <w:rFonts w:ascii="Verdana" w:eastAsia="Arial" w:hAnsi="Verdana" w:cs="Arial"/>
          <w:color w:val="000000"/>
          <w:sz w:val="20"/>
          <w:szCs w:val="20"/>
        </w:rPr>
      </w:pPr>
      <w:r w:rsidRPr="00E30659">
        <w:rPr>
          <w:rFonts w:ascii="Verdana" w:eastAsia="Arial" w:hAnsi="Verdana" w:cs="Arial"/>
          <w:color w:val="000000"/>
          <w:sz w:val="20"/>
          <w:szCs w:val="20"/>
        </w:rPr>
        <w:t xml:space="preserve">No obstante, sobre el particular ya se había pronunciado esta Agencia en concepto C-551 de 18 de junio de 2025, reiterando la postura del concepto 2201813000007858 del 29 de agosto de 2018, según la cual, incluso en los procesos de selección con valor cero (0), resulta aplicable la referida prerrogativa establecida en favor de las </w:t>
      </w:r>
      <w:proofErr w:type="spellStart"/>
      <w:r w:rsidRPr="00E30659">
        <w:rPr>
          <w:rFonts w:ascii="Verdana" w:eastAsia="Arial" w:hAnsi="Verdana" w:cs="Arial"/>
          <w:color w:val="000000"/>
          <w:sz w:val="20"/>
          <w:szCs w:val="20"/>
        </w:rPr>
        <w:t>mipymes</w:t>
      </w:r>
      <w:proofErr w:type="spellEnd"/>
      <w:r w:rsidRPr="00E30659">
        <w:rPr>
          <w:rFonts w:ascii="Verdana" w:eastAsia="Arial" w:hAnsi="Verdana" w:cs="Arial"/>
          <w:color w:val="000000"/>
          <w:sz w:val="20"/>
          <w:szCs w:val="20"/>
        </w:rPr>
        <w:t xml:space="preserve">, en el entendido de que dicho número es inferior al umbral de USD S125.000. En ese orden, siendo esta la postura actual de la Subdirección de Gestión Contractual respecto del alcance del artículo 2.2.1.2.4.2.2 del Decreto 1082 de 2015, es pertinente aclarar que, sin perjuicio de lo sostenido en concepto el C-837 de 28 de julio de 2025, las entidades </w:t>
      </w:r>
      <w:r w:rsidRPr="00E30659">
        <w:rPr>
          <w:rFonts w:ascii="Verdana" w:eastAsia="Arial" w:hAnsi="Verdana" w:cs="Arial"/>
          <w:color w:val="000000"/>
          <w:sz w:val="20"/>
          <w:szCs w:val="20"/>
        </w:rPr>
        <w:lastRenderedPageBreak/>
        <w:t xml:space="preserve">estatales están obligadas a aplicar el incentivo de convocatorias limitadas a </w:t>
      </w:r>
      <w:proofErr w:type="spellStart"/>
      <w:r w:rsidRPr="00E30659">
        <w:rPr>
          <w:rFonts w:ascii="Verdana" w:eastAsia="Arial" w:hAnsi="Verdana" w:cs="Arial"/>
          <w:color w:val="000000"/>
          <w:sz w:val="20"/>
          <w:szCs w:val="20"/>
        </w:rPr>
        <w:t>Mipyme</w:t>
      </w:r>
      <w:proofErr w:type="spellEnd"/>
      <w:r w:rsidRPr="00E30659">
        <w:rPr>
          <w:rFonts w:ascii="Verdana" w:eastAsia="Arial" w:hAnsi="Verdana" w:cs="Arial"/>
          <w:color w:val="000000"/>
          <w:sz w:val="20"/>
          <w:szCs w:val="20"/>
        </w:rPr>
        <w:t xml:space="preserve"> cuando se reúnan los requisitos establecidos en el artículo 2.2.1.2.4.2.2 del Decreto 1082 de 2015, sin importar el objeto del contrato, lo cual incluye  que el valor del proceso de contratación sea menor a US$125.000, lo que se cumple cuando no se generen erogaciones presupuestales o cuando la cuantía del Proceso de Contratación sea cero (0). 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 .</w:t>
      </w:r>
    </w:p>
    <w:p w14:paraId="70B1E32A" w14:textId="77777777" w:rsidR="00A7781B" w:rsidRPr="00E30659" w:rsidRDefault="00A7781B" w:rsidP="00A7781B">
      <w:pPr>
        <w:spacing w:after="0"/>
        <w:jc w:val="both"/>
        <w:rPr>
          <w:rFonts w:ascii="Verdana" w:eastAsia="Arial" w:hAnsi="Verdana" w:cs="Arial"/>
          <w:color w:val="000000"/>
          <w:sz w:val="20"/>
          <w:szCs w:val="20"/>
        </w:rPr>
      </w:pPr>
    </w:p>
    <w:p w14:paraId="797857FE" w14:textId="5C06171F" w:rsidR="00A7781B" w:rsidRPr="00A7781B" w:rsidRDefault="00A7781B" w:rsidP="00A7781B">
      <w:pPr>
        <w:spacing w:after="0"/>
        <w:jc w:val="both"/>
        <w:rPr>
          <w:rFonts w:ascii="Verdana" w:eastAsia="Calibri" w:hAnsi="Verdana" w:cs="Arial"/>
          <w:b/>
          <w:bCs/>
          <w:lang w:val="es-ES" w:eastAsia="es-ES"/>
        </w:rPr>
      </w:pPr>
      <w:r w:rsidRPr="00A7781B">
        <w:rPr>
          <w:rFonts w:ascii="Verdana" w:eastAsia="Calibri" w:hAnsi="Verdana" w:cs="Arial"/>
          <w:b/>
          <w:bCs/>
          <w:lang w:val="es-ES" w:eastAsia="es-ES"/>
        </w:rPr>
        <w:t xml:space="preserve">LIMITACIONES TERRITORIALES – Carácter facultativo     </w:t>
      </w:r>
    </w:p>
    <w:p w14:paraId="2A0B6E17" w14:textId="77777777" w:rsidR="00734603" w:rsidRDefault="00734603" w:rsidP="00734603">
      <w:pPr>
        <w:spacing w:after="120" w:line="276" w:lineRule="auto"/>
        <w:jc w:val="both"/>
        <w:rPr>
          <w:rFonts w:ascii="Verdana" w:eastAsia="Calibri" w:hAnsi="Verdana" w:cs="Arial"/>
          <w:lang w:val="es-ES" w:eastAsia="es-ES"/>
        </w:rPr>
      </w:pPr>
    </w:p>
    <w:p w14:paraId="34ACCEBB" w14:textId="5D7A03A9" w:rsidR="00734603" w:rsidRPr="00734603" w:rsidRDefault="00734603" w:rsidP="00734603">
      <w:pPr>
        <w:spacing w:after="120" w:line="276" w:lineRule="auto"/>
        <w:jc w:val="both"/>
        <w:rPr>
          <w:rFonts w:ascii="Verdana" w:eastAsia="Arial" w:hAnsi="Verdana" w:cs="Arial"/>
          <w:color w:val="000000"/>
          <w:sz w:val="20"/>
          <w:szCs w:val="20"/>
        </w:rPr>
      </w:pPr>
      <w:r w:rsidRPr="00734603">
        <w:rPr>
          <w:rFonts w:ascii="Verdana" w:eastAsia="Arial" w:hAnsi="Verdana" w:cs="Arial"/>
          <w:color w:val="000000"/>
          <w:sz w:val="20"/>
          <w:szCs w:val="20"/>
        </w:rPr>
        <w:t xml:space="preserve">En resumen, la decisión de limitar o no territorialmente una convocatoria limitada a </w:t>
      </w:r>
      <w:proofErr w:type="spellStart"/>
      <w:r w:rsidRPr="00734603">
        <w:rPr>
          <w:rFonts w:ascii="Verdana" w:eastAsia="Arial" w:hAnsi="Verdana" w:cs="Arial"/>
          <w:color w:val="000000"/>
          <w:sz w:val="20"/>
          <w:szCs w:val="20"/>
        </w:rPr>
        <w:t>Mipymes</w:t>
      </w:r>
      <w:proofErr w:type="spellEnd"/>
      <w:r w:rsidRPr="00734603">
        <w:rPr>
          <w:rFonts w:ascii="Verdana" w:eastAsia="Arial" w:hAnsi="Verdana" w:cs="Arial"/>
          <w:color w:val="000000"/>
          <w:sz w:val="20"/>
          <w:szCs w:val="20"/>
        </w:rPr>
        <w:t xml:space="preserve"> nacionales es una facultad discrecional, de manera que la entidad contratante valorará si es oportuno y conveniente adoptarla.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3DEDD5D8" w14:textId="77777777" w:rsidR="00A7781B" w:rsidRPr="00734603" w:rsidRDefault="00A7781B" w:rsidP="00324CB9">
      <w:pPr>
        <w:spacing w:after="0"/>
        <w:rPr>
          <w:rFonts w:ascii="Verdana" w:eastAsia="Calibri" w:hAnsi="Verdana" w:cs="Arial"/>
          <w:lang w:eastAsia="es-ES"/>
        </w:rPr>
      </w:pPr>
    </w:p>
    <w:p w14:paraId="52743621" w14:textId="77777777" w:rsidR="00A7781B" w:rsidRDefault="00A7781B" w:rsidP="00324CB9">
      <w:pPr>
        <w:spacing w:after="0"/>
        <w:rPr>
          <w:rFonts w:ascii="Verdana" w:eastAsia="Calibri" w:hAnsi="Verdana" w:cs="Arial"/>
          <w:lang w:val="es-ES" w:eastAsia="es-ES"/>
        </w:rPr>
      </w:pPr>
    </w:p>
    <w:p w14:paraId="67B97D7F" w14:textId="77777777" w:rsidR="00A7781B" w:rsidRDefault="00A7781B" w:rsidP="00324CB9">
      <w:pPr>
        <w:spacing w:after="0"/>
        <w:rPr>
          <w:rFonts w:ascii="Verdana" w:eastAsia="Calibri" w:hAnsi="Verdana" w:cs="Arial"/>
          <w:lang w:val="es-ES" w:eastAsia="es-ES"/>
        </w:rPr>
      </w:pPr>
    </w:p>
    <w:p w14:paraId="58ED89E7" w14:textId="77777777" w:rsidR="00A7781B" w:rsidRDefault="00A7781B" w:rsidP="00324CB9">
      <w:pPr>
        <w:spacing w:after="0"/>
        <w:rPr>
          <w:rFonts w:ascii="Verdana" w:eastAsia="Calibri" w:hAnsi="Verdana" w:cs="Arial"/>
          <w:lang w:val="es-ES" w:eastAsia="es-ES"/>
        </w:rPr>
      </w:pPr>
    </w:p>
    <w:p w14:paraId="6E3EF594" w14:textId="77777777" w:rsidR="00A7781B" w:rsidRDefault="00A7781B" w:rsidP="00324CB9">
      <w:pPr>
        <w:spacing w:after="0"/>
        <w:rPr>
          <w:rFonts w:ascii="Verdana" w:eastAsia="Calibri" w:hAnsi="Verdana" w:cs="Arial"/>
          <w:lang w:val="es-ES" w:eastAsia="es-ES"/>
        </w:rPr>
      </w:pPr>
    </w:p>
    <w:p w14:paraId="0216D2F4" w14:textId="77777777" w:rsidR="00A7781B" w:rsidRDefault="00A7781B" w:rsidP="00324CB9">
      <w:pPr>
        <w:spacing w:after="0"/>
        <w:rPr>
          <w:rFonts w:ascii="Verdana" w:eastAsia="Calibri" w:hAnsi="Verdana" w:cs="Arial"/>
          <w:lang w:val="es-ES" w:eastAsia="es-ES"/>
        </w:rPr>
      </w:pPr>
    </w:p>
    <w:p w14:paraId="751E2ACC" w14:textId="77777777" w:rsidR="00A7781B" w:rsidRDefault="00A7781B" w:rsidP="00324CB9">
      <w:pPr>
        <w:spacing w:after="0"/>
        <w:rPr>
          <w:rFonts w:ascii="Verdana" w:eastAsia="Calibri" w:hAnsi="Verdana" w:cs="Arial"/>
          <w:lang w:val="es-ES" w:eastAsia="es-ES"/>
        </w:rPr>
      </w:pPr>
    </w:p>
    <w:p w14:paraId="01669185" w14:textId="77777777" w:rsidR="00A7781B" w:rsidRDefault="00A7781B" w:rsidP="00324CB9">
      <w:pPr>
        <w:spacing w:after="0"/>
        <w:rPr>
          <w:rFonts w:ascii="Verdana" w:eastAsia="Calibri" w:hAnsi="Verdana" w:cs="Arial"/>
          <w:lang w:val="es-ES" w:eastAsia="es-ES"/>
        </w:rPr>
      </w:pPr>
    </w:p>
    <w:p w14:paraId="500D6D15" w14:textId="77777777" w:rsidR="00A7781B" w:rsidRDefault="00A7781B" w:rsidP="00324CB9">
      <w:pPr>
        <w:spacing w:after="0"/>
        <w:rPr>
          <w:rFonts w:ascii="Verdana" w:eastAsia="Calibri" w:hAnsi="Verdana" w:cs="Arial"/>
          <w:lang w:val="es-ES" w:eastAsia="es-ES"/>
        </w:rPr>
      </w:pPr>
    </w:p>
    <w:p w14:paraId="66EE83B6" w14:textId="77777777" w:rsidR="00A7781B" w:rsidRDefault="00A7781B" w:rsidP="00324CB9">
      <w:pPr>
        <w:spacing w:after="0"/>
        <w:rPr>
          <w:rFonts w:ascii="Verdana" w:eastAsia="Calibri" w:hAnsi="Verdana" w:cs="Arial"/>
          <w:lang w:val="es-ES" w:eastAsia="es-ES"/>
        </w:rPr>
      </w:pPr>
    </w:p>
    <w:p w14:paraId="165FB861" w14:textId="77777777" w:rsidR="00A7781B" w:rsidRDefault="00A7781B" w:rsidP="00324CB9">
      <w:pPr>
        <w:spacing w:after="0"/>
        <w:rPr>
          <w:rFonts w:ascii="Verdana" w:eastAsia="Calibri" w:hAnsi="Verdana" w:cs="Arial"/>
          <w:lang w:val="es-ES" w:eastAsia="es-ES"/>
        </w:rPr>
      </w:pPr>
    </w:p>
    <w:p w14:paraId="06025EFB" w14:textId="77777777" w:rsidR="00A7781B" w:rsidRDefault="00A7781B" w:rsidP="00324CB9">
      <w:pPr>
        <w:spacing w:after="0"/>
        <w:rPr>
          <w:rFonts w:ascii="Verdana" w:eastAsia="Calibri" w:hAnsi="Verdana" w:cs="Arial"/>
          <w:lang w:val="es-ES" w:eastAsia="es-ES"/>
        </w:rPr>
      </w:pPr>
    </w:p>
    <w:p w14:paraId="0C419212" w14:textId="77777777" w:rsidR="00A7781B" w:rsidRDefault="00A7781B" w:rsidP="00324CB9">
      <w:pPr>
        <w:spacing w:after="0"/>
        <w:rPr>
          <w:rFonts w:ascii="Verdana" w:eastAsia="Calibri" w:hAnsi="Verdana" w:cs="Arial"/>
          <w:lang w:val="es-ES" w:eastAsia="es-ES"/>
        </w:rPr>
      </w:pPr>
    </w:p>
    <w:p w14:paraId="31A43D62" w14:textId="77777777" w:rsidR="00A7781B" w:rsidRDefault="00A7781B" w:rsidP="00324CB9">
      <w:pPr>
        <w:spacing w:after="0"/>
        <w:rPr>
          <w:rFonts w:ascii="Verdana" w:eastAsia="Calibri" w:hAnsi="Verdana" w:cs="Arial"/>
          <w:lang w:val="es-ES" w:eastAsia="es-ES"/>
        </w:rPr>
      </w:pPr>
    </w:p>
    <w:p w14:paraId="444F9A51" w14:textId="77777777" w:rsidR="00A7781B" w:rsidRDefault="00A7781B" w:rsidP="00324CB9">
      <w:pPr>
        <w:spacing w:after="0"/>
        <w:rPr>
          <w:rFonts w:ascii="Verdana" w:eastAsia="Calibri" w:hAnsi="Verdana" w:cs="Arial"/>
          <w:lang w:val="es-ES" w:eastAsia="es-ES"/>
        </w:rPr>
      </w:pPr>
    </w:p>
    <w:p w14:paraId="7AE84D58" w14:textId="77777777" w:rsidR="00906854" w:rsidRDefault="00906854" w:rsidP="00324CB9">
      <w:pPr>
        <w:spacing w:after="0"/>
        <w:rPr>
          <w:rFonts w:ascii="Verdana" w:eastAsia="Calibri" w:hAnsi="Verdana" w:cs="Arial"/>
          <w:lang w:val="es-ES" w:eastAsia="es-ES"/>
        </w:rPr>
      </w:pPr>
    </w:p>
    <w:p w14:paraId="635A597B" w14:textId="0A5EB2CA" w:rsidR="00220BF5" w:rsidRDefault="00762681" w:rsidP="00324CB9">
      <w:pPr>
        <w:spacing w:after="0"/>
        <w:rPr>
          <w:rFonts w:ascii="Verdana" w:hAnsi="Verdana"/>
        </w:rPr>
      </w:pPr>
      <w:r w:rsidRPr="00762681">
        <w:rPr>
          <w:rFonts w:ascii="Verdana" w:eastAsia="Calibri" w:hAnsi="Verdana" w:cs="Arial"/>
          <w:lang w:eastAsia="es-ES"/>
        </w:rPr>
        <w:lastRenderedPageBreak/>
        <w:t>Bogotá D.C., 06 de enero de 2026</w:t>
      </w:r>
      <w:bookmarkEnd w:id="0"/>
    </w:p>
    <w:p w14:paraId="1C27A4DE" w14:textId="6DFD9D50" w:rsidR="00220BF5" w:rsidRDefault="00BF3AC2" w:rsidP="00220BF5">
      <w:pPr>
        <w:spacing w:after="0" w:line="240" w:lineRule="auto"/>
        <w:jc w:val="both"/>
        <w:rPr>
          <w:rFonts w:ascii="Verdana" w:hAnsi="Verdana"/>
        </w:rPr>
      </w:pPr>
      <w:r w:rsidRPr="005D0919">
        <w:rPr>
          <w:rFonts w:ascii="Verdana" w:eastAsia="Calibri" w:hAnsi="Verdana" w:cs="Arial"/>
          <w:noProof/>
          <w:lang w:eastAsia="es-ES"/>
        </w:rPr>
        <w:drawing>
          <wp:anchor distT="0" distB="0" distL="114300" distR="114300" simplePos="0" relativeHeight="251658240" behindDoc="0" locked="0" layoutInCell="1" allowOverlap="1" wp14:anchorId="7C791E9F" wp14:editId="07880EF5">
            <wp:simplePos x="0" y="0"/>
            <wp:positionH relativeFrom="page">
              <wp:posOffset>4016980</wp:posOffset>
            </wp:positionH>
            <wp:positionV relativeFrom="margin">
              <wp:posOffset>190913</wp:posOffset>
            </wp:positionV>
            <wp:extent cx="3244215" cy="989330"/>
            <wp:effectExtent l="0" t="0" r="0" b="1270"/>
            <wp:wrapThrough wrapText="bothSides">
              <wp:wrapPolygon edited="0">
                <wp:start x="0" y="0"/>
                <wp:lineTo x="0" y="21212"/>
                <wp:lineTo x="21435" y="21212"/>
                <wp:lineTo x="21435" y="0"/>
                <wp:lineTo x="0" y="0"/>
              </wp:wrapPolygon>
            </wp:wrapThrough>
            <wp:docPr id="176546749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46749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244215" cy="989330"/>
                    </a:xfrm>
                    <a:prstGeom prst="rect">
                      <a:avLst/>
                    </a:prstGeom>
                  </pic:spPr>
                </pic:pic>
              </a:graphicData>
            </a:graphic>
            <wp14:sizeRelH relativeFrom="page">
              <wp14:pctWidth>0</wp14:pctWidth>
            </wp14:sizeRelH>
            <wp14:sizeRelV relativeFrom="page">
              <wp14:pctHeight>0</wp14:pctHeight>
            </wp14:sizeRelV>
          </wp:anchor>
        </w:drawing>
      </w:r>
    </w:p>
    <w:p w14:paraId="37ECA2AE" w14:textId="04EF9DC0" w:rsidR="00220BF5" w:rsidRPr="00056CA2" w:rsidRDefault="00220BF5" w:rsidP="005D0919">
      <w:pPr>
        <w:tabs>
          <w:tab w:val="left" w:pos="6279"/>
        </w:tabs>
        <w:spacing w:after="0" w:line="240" w:lineRule="auto"/>
        <w:jc w:val="both"/>
        <w:rPr>
          <w:rFonts w:ascii="Verdana" w:eastAsia="Calibri" w:hAnsi="Verdana" w:cs="Arial"/>
          <w:lang w:eastAsia="es-ES"/>
        </w:rPr>
      </w:pPr>
      <w:r w:rsidRPr="00056CA2">
        <w:rPr>
          <w:rFonts w:ascii="Verdana" w:eastAsia="Calibri" w:hAnsi="Verdana" w:cs="Arial"/>
          <w:lang w:eastAsia="es-ES"/>
        </w:rPr>
        <w:t>Señor</w:t>
      </w:r>
    </w:p>
    <w:p w14:paraId="0C29B260" w14:textId="36DDCED9" w:rsidR="00220BF5" w:rsidRDefault="00220BF5" w:rsidP="00220BF5">
      <w:pPr>
        <w:spacing w:after="0" w:line="240" w:lineRule="auto"/>
        <w:jc w:val="both"/>
        <w:rPr>
          <w:rFonts w:ascii="Verdana" w:eastAsia="Calibri" w:hAnsi="Verdana" w:cs="Arial"/>
          <w:b/>
          <w:lang w:eastAsia="es-ES_tradnl"/>
        </w:rPr>
      </w:pPr>
      <w:r w:rsidRPr="00AB2DA0">
        <w:rPr>
          <w:rFonts w:ascii="Verdana" w:eastAsia="Calibri" w:hAnsi="Verdana" w:cs="Arial"/>
          <w:b/>
          <w:lang w:eastAsia="es-ES_tradnl"/>
        </w:rPr>
        <w:t>Juan Pablo Stiefken Arboleda</w:t>
      </w:r>
    </w:p>
    <w:p w14:paraId="36ACB317" w14:textId="77777777" w:rsidR="00220BF5" w:rsidRDefault="00220BF5" w:rsidP="00220BF5">
      <w:pPr>
        <w:spacing w:after="0" w:line="240" w:lineRule="auto"/>
        <w:jc w:val="both"/>
        <w:rPr>
          <w:rFonts w:ascii="Verdana" w:hAnsi="Verdana"/>
        </w:rPr>
      </w:pPr>
      <w:hyperlink r:id="rId11" w:history="1">
        <w:r w:rsidRPr="003437F0">
          <w:rPr>
            <w:rStyle w:val="Hipervnculo"/>
            <w:rFonts w:ascii="Verdana" w:hAnsi="Verdana"/>
          </w:rPr>
          <w:t>johana.medina@lockton.com</w:t>
        </w:r>
      </w:hyperlink>
    </w:p>
    <w:p w14:paraId="1A5F4543" w14:textId="3ABA61F3" w:rsidR="00220BF5" w:rsidRDefault="00220BF5" w:rsidP="00220BF5">
      <w:pPr>
        <w:spacing w:after="0" w:line="240" w:lineRule="auto"/>
        <w:jc w:val="both"/>
        <w:rPr>
          <w:rFonts w:ascii="Verdana" w:hAnsi="Verdana"/>
        </w:rPr>
      </w:pPr>
      <w:r>
        <w:rPr>
          <w:rFonts w:ascii="Verdana" w:hAnsi="Verdana"/>
        </w:rPr>
        <w:t>Bogotá D.C.</w:t>
      </w:r>
    </w:p>
    <w:p w14:paraId="60FF3BB3" w14:textId="77777777" w:rsidR="00BF3AC2" w:rsidRDefault="00BF3AC2" w:rsidP="00220BF5">
      <w:pPr>
        <w:spacing w:after="0" w:line="240" w:lineRule="auto"/>
        <w:jc w:val="both"/>
        <w:rPr>
          <w:rFonts w:ascii="Verdana" w:hAnsi="Verdana"/>
        </w:rPr>
      </w:pPr>
    </w:p>
    <w:p w14:paraId="583DD978" w14:textId="77777777" w:rsidR="00220BF5" w:rsidRPr="005B4C57" w:rsidRDefault="00220BF5" w:rsidP="00220BF5">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20BF5" w:rsidRPr="002842E0" w14:paraId="56A12B66" w14:textId="77777777">
        <w:trPr>
          <w:trHeight w:val="162"/>
        </w:trPr>
        <w:tc>
          <w:tcPr>
            <w:tcW w:w="3119" w:type="dxa"/>
          </w:tcPr>
          <w:p w14:paraId="57CCA5DC" w14:textId="77777777" w:rsidR="00220BF5" w:rsidRPr="00146A73" w:rsidRDefault="00220BF5">
            <w:pPr>
              <w:jc w:val="both"/>
              <w:rPr>
                <w:rFonts w:ascii="Verdana" w:eastAsia="Calibri" w:hAnsi="Verdana" w:cs="Arial"/>
                <w:b/>
                <w:bCs/>
                <w:color w:val="7030A0"/>
                <w:lang w:val="it-CH" w:eastAsia="es-ES_tradnl"/>
              </w:rPr>
            </w:pPr>
          </w:p>
        </w:tc>
        <w:tc>
          <w:tcPr>
            <w:tcW w:w="5670" w:type="dxa"/>
          </w:tcPr>
          <w:p w14:paraId="6103DDE2" w14:textId="302F4911" w:rsidR="00220BF5" w:rsidRPr="00146A73" w:rsidRDefault="00220BF5">
            <w:pPr>
              <w:jc w:val="both"/>
              <w:rPr>
                <w:rFonts w:ascii="Verdana" w:eastAsia="Calibri" w:hAnsi="Verdana" w:cs="Arial"/>
                <w:b/>
                <w:bCs/>
                <w:lang w:eastAsia="es-ES"/>
              </w:rPr>
            </w:pPr>
            <w:r w:rsidRPr="00146A73">
              <w:rPr>
                <w:rFonts w:ascii="Verdana" w:eastAsia="Calibri" w:hAnsi="Verdana" w:cs="Arial"/>
                <w:b/>
                <w:bCs/>
                <w:lang w:eastAsia="es-ES"/>
              </w:rPr>
              <w:t>Concepto C- 18</w:t>
            </w:r>
            <w:r>
              <w:rPr>
                <w:rFonts w:ascii="Verdana" w:eastAsia="Calibri" w:hAnsi="Verdana" w:cs="Arial"/>
                <w:b/>
                <w:bCs/>
                <w:lang w:eastAsia="es-ES"/>
              </w:rPr>
              <w:t>24</w:t>
            </w:r>
            <w:r w:rsidRPr="00146A73">
              <w:rPr>
                <w:rFonts w:ascii="Verdana" w:eastAsia="Calibri" w:hAnsi="Verdana" w:cs="Arial"/>
                <w:b/>
                <w:bCs/>
                <w:lang w:eastAsia="es-ES"/>
              </w:rPr>
              <w:t xml:space="preserve"> de 2025</w:t>
            </w:r>
          </w:p>
          <w:p w14:paraId="6C6415B1" w14:textId="77777777" w:rsidR="00220BF5" w:rsidRPr="00146A73" w:rsidRDefault="00220BF5">
            <w:pPr>
              <w:jc w:val="both"/>
              <w:rPr>
                <w:rFonts w:ascii="Verdana" w:eastAsia="Calibri" w:hAnsi="Verdana" w:cs="Arial"/>
                <w:b/>
                <w:bCs/>
                <w:color w:val="7030A0"/>
                <w:lang w:eastAsia="es-ES"/>
              </w:rPr>
            </w:pPr>
          </w:p>
        </w:tc>
      </w:tr>
      <w:tr w:rsidR="00220BF5" w:rsidRPr="002842E0" w14:paraId="5562930A" w14:textId="77777777">
        <w:trPr>
          <w:trHeight w:val="884"/>
        </w:trPr>
        <w:tc>
          <w:tcPr>
            <w:tcW w:w="3119" w:type="dxa"/>
          </w:tcPr>
          <w:p w14:paraId="000ACAE4" w14:textId="77777777" w:rsidR="00220BF5" w:rsidRPr="00637E7B" w:rsidRDefault="00220BF5">
            <w:pPr>
              <w:jc w:val="both"/>
              <w:rPr>
                <w:rFonts w:ascii="Verdana" w:eastAsia="Calibri" w:hAnsi="Verdana" w:cs="Arial"/>
                <w:color w:val="000000"/>
                <w:lang w:eastAsia="es-ES_tradnl"/>
              </w:rPr>
            </w:pPr>
            <w:r w:rsidRPr="00637E7B">
              <w:rPr>
                <w:rFonts w:ascii="Verdana" w:eastAsia="Calibri" w:hAnsi="Verdana" w:cs="Arial"/>
                <w:b/>
                <w:color w:val="000000"/>
                <w:lang w:eastAsia="es-ES_tradnl"/>
              </w:rPr>
              <w:t>Temas:</w:t>
            </w:r>
            <w:r w:rsidRPr="00637E7B">
              <w:rPr>
                <w:rFonts w:ascii="Verdana" w:eastAsia="Calibri" w:hAnsi="Verdana" w:cs="Arial"/>
                <w:color w:val="000000"/>
                <w:lang w:eastAsia="es-ES_tradnl"/>
              </w:rPr>
              <w:t xml:space="preserve">                   </w:t>
            </w:r>
          </w:p>
        </w:tc>
        <w:tc>
          <w:tcPr>
            <w:tcW w:w="5670" w:type="dxa"/>
          </w:tcPr>
          <w:p w14:paraId="23497D8F" w14:textId="2023BEEF" w:rsidR="00220BF5" w:rsidRPr="0052785A" w:rsidRDefault="009311F6" w:rsidP="0052785A">
            <w:pPr>
              <w:spacing w:line="276" w:lineRule="auto"/>
              <w:jc w:val="both"/>
              <w:rPr>
                <w:rFonts w:ascii="Verdana" w:eastAsia="Calibri" w:hAnsi="Verdana" w:cs="Arial"/>
                <w:lang w:val="es-ES" w:eastAsia="es-ES"/>
              </w:rPr>
            </w:pPr>
            <w:r w:rsidRPr="00F35776">
              <w:rPr>
                <w:rFonts w:ascii="Verdana" w:eastAsia="Calibri" w:hAnsi="Verdana" w:cs="Arial"/>
                <w:lang w:val="es-ES" w:eastAsia="es-ES"/>
              </w:rPr>
              <w:t>LIMITACIÓN A MIPYMES – Fundamento normativo</w:t>
            </w:r>
            <w:r>
              <w:rPr>
                <w:rFonts w:ascii="Verdana" w:eastAsia="Calibri" w:hAnsi="Verdana" w:cs="Arial"/>
                <w:lang w:val="es-ES" w:eastAsia="es-ES"/>
              </w:rPr>
              <w:t xml:space="preserve"> / </w:t>
            </w:r>
            <w:r w:rsidRPr="00F35776">
              <w:rPr>
                <w:rFonts w:ascii="Verdana" w:eastAsia="Calibri" w:hAnsi="Verdana" w:cs="Arial"/>
                <w:lang w:val="es-ES" w:eastAsia="es-ES"/>
              </w:rPr>
              <w:t>LIMITACIÓN A MIPYMES – Requisitos – Decreto 1082 de 2015 – Art. 2.2.1.2.4.2.2</w:t>
            </w:r>
            <w:r>
              <w:rPr>
                <w:rFonts w:ascii="Verdana" w:eastAsia="Calibri" w:hAnsi="Verdana" w:cs="Arial"/>
                <w:lang w:val="es-ES" w:eastAsia="es-ES"/>
              </w:rPr>
              <w:t xml:space="preserve"> / </w:t>
            </w:r>
            <w:r w:rsidR="00DD1792" w:rsidRPr="00F35776">
              <w:rPr>
                <w:rFonts w:ascii="Verdana" w:eastAsia="Calibri" w:hAnsi="Verdana" w:cs="Arial"/>
                <w:lang w:val="es-ES" w:eastAsia="es-ES"/>
              </w:rPr>
              <w:t xml:space="preserve">LIMITACIÓN A MIPYMES – </w:t>
            </w:r>
            <w:r w:rsidR="00DD1792">
              <w:rPr>
                <w:rFonts w:ascii="Verdana" w:eastAsia="Calibri" w:hAnsi="Verdana" w:cs="Arial"/>
                <w:lang w:val="es-ES" w:eastAsia="es-ES"/>
              </w:rPr>
              <w:t xml:space="preserve">Aplicabilidad – Contratos sin erogación de recursos </w:t>
            </w:r>
            <w:r w:rsidR="00DD1792" w:rsidRPr="00F35776">
              <w:rPr>
                <w:rFonts w:ascii="Verdana" w:eastAsia="Calibri" w:hAnsi="Verdana" w:cs="Arial"/>
                <w:lang w:val="es-ES" w:eastAsia="es-ES"/>
              </w:rPr>
              <w:t>–</w:t>
            </w:r>
            <w:r w:rsidR="00DD1792">
              <w:rPr>
                <w:rFonts w:ascii="Verdana" w:eastAsia="Calibri" w:hAnsi="Verdana" w:cs="Arial"/>
                <w:lang w:val="es-ES" w:eastAsia="es-ES"/>
              </w:rPr>
              <w:t xml:space="preserve"> </w:t>
            </w:r>
            <w:r w:rsidR="00157EB8">
              <w:rPr>
                <w:rFonts w:ascii="Verdana" w:eastAsia="Calibri" w:hAnsi="Verdana" w:cs="Arial"/>
                <w:lang w:val="es-ES" w:eastAsia="es-ES"/>
              </w:rPr>
              <w:t>Corretaje de seguros</w:t>
            </w:r>
            <w:r w:rsidR="00DD1792">
              <w:rPr>
                <w:rFonts w:ascii="Verdana" w:eastAsia="Calibri" w:hAnsi="Verdana" w:cs="Arial"/>
                <w:lang w:val="es-ES" w:eastAsia="es-ES"/>
              </w:rPr>
              <w:t xml:space="preserve"> / </w:t>
            </w:r>
            <w:r w:rsidRPr="00F35776">
              <w:rPr>
                <w:rFonts w:ascii="Verdana" w:eastAsia="Calibri" w:hAnsi="Verdana" w:cs="Arial"/>
                <w:lang w:val="es-ES" w:eastAsia="es-ES"/>
              </w:rPr>
              <w:t>LIMITACIONES TERRITORIALES – Carácter facultativo</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tc>
      </w:tr>
      <w:tr w:rsidR="00220BF5" w:rsidRPr="002842E0" w14:paraId="2C5E1F0C" w14:textId="77777777">
        <w:tc>
          <w:tcPr>
            <w:tcW w:w="3119" w:type="dxa"/>
          </w:tcPr>
          <w:p w14:paraId="41AFDA66" w14:textId="77777777" w:rsidR="00220BF5" w:rsidRPr="00146A73" w:rsidRDefault="00220BF5">
            <w:pPr>
              <w:jc w:val="both"/>
              <w:rPr>
                <w:rFonts w:ascii="Verdana" w:eastAsia="Calibri" w:hAnsi="Verdana" w:cs="Arial"/>
                <w:b/>
                <w:lang w:eastAsia="es-ES_tradnl"/>
              </w:rPr>
            </w:pPr>
            <w:r w:rsidRPr="00146A73">
              <w:rPr>
                <w:rFonts w:ascii="Verdana" w:eastAsia="Calibri" w:hAnsi="Verdana" w:cs="Arial"/>
                <w:b/>
                <w:lang w:eastAsia="es-ES_tradnl"/>
              </w:rPr>
              <w:t>Radicación:</w:t>
            </w:r>
            <w:r w:rsidRPr="00146A73">
              <w:rPr>
                <w:rFonts w:ascii="Verdana" w:eastAsia="Calibri" w:hAnsi="Verdana" w:cs="Arial"/>
                <w:lang w:eastAsia="es-ES_tradnl"/>
              </w:rPr>
              <w:t xml:space="preserve">               </w:t>
            </w:r>
          </w:p>
        </w:tc>
        <w:tc>
          <w:tcPr>
            <w:tcW w:w="5670" w:type="dxa"/>
          </w:tcPr>
          <w:p w14:paraId="125A46E3" w14:textId="2B062B47" w:rsidR="00220BF5" w:rsidRPr="00656D96" w:rsidRDefault="00220BF5">
            <w:pPr>
              <w:jc w:val="both"/>
              <w:rPr>
                <w:rFonts w:ascii="Verdana" w:eastAsia="Calibri" w:hAnsi="Verdana" w:cs="Arial"/>
                <w:lang w:eastAsia="es-ES_tradnl"/>
              </w:rPr>
            </w:pPr>
            <w:r w:rsidRPr="00656D96">
              <w:rPr>
                <w:rFonts w:ascii="Verdana" w:eastAsia="Calibri" w:hAnsi="Verdana" w:cs="Arial"/>
                <w:color w:val="000000" w:themeColor="text1"/>
                <w:lang w:eastAsia="es-ES_tradnl"/>
              </w:rPr>
              <w:t xml:space="preserve">Respuesta a consultas con radicado No. </w:t>
            </w:r>
            <w:r w:rsidRPr="00AB2DA0">
              <w:rPr>
                <w:rFonts w:ascii="Verdana" w:eastAsia="Calibri" w:hAnsi="Verdana" w:cs="Arial"/>
                <w:color w:val="000000" w:themeColor="text1"/>
                <w:lang w:eastAsia="es-ES_tradnl"/>
              </w:rPr>
              <w:t>1_2025_12_12_013927</w:t>
            </w:r>
          </w:p>
        </w:tc>
      </w:tr>
    </w:tbl>
    <w:p w14:paraId="31D9EC1F" w14:textId="77777777" w:rsidR="00220BF5" w:rsidRDefault="00220BF5" w:rsidP="00220BF5">
      <w:pPr>
        <w:spacing w:after="0" w:line="276" w:lineRule="auto"/>
        <w:jc w:val="both"/>
        <w:rPr>
          <w:rFonts w:ascii="Verdana" w:eastAsia="Calibri" w:hAnsi="Verdana" w:cs="Arial"/>
          <w:lang w:eastAsia="es-ES_tradnl"/>
        </w:rPr>
      </w:pPr>
    </w:p>
    <w:p w14:paraId="2790AFF6" w14:textId="77777777" w:rsidR="00BF1F9D" w:rsidRDefault="00BF1F9D" w:rsidP="00220BF5">
      <w:pPr>
        <w:spacing w:after="0" w:line="276" w:lineRule="auto"/>
        <w:jc w:val="both"/>
        <w:rPr>
          <w:rFonts w:ascii="Verdana" w:eastAsia="Calibri" w:hAnsi="Verdana" w:cs="Arial"/>
          <w:lang w:eastAsia="es-ES"/>
        </w:rPr>
      </w:pPr>
    </w:p>
    <w:p w14:paraId="10443629" w14:textId="4E34DAC8" w:rsidR="00220BF5" w:rsidRPr="00AB2DA0" w:rsidRDefault="00220BF5" w:rsidP="00220BF5">
      <w:pPr>
        <w:spacing w:after="0" w:line="276" w:lineRule="auto"/>
        <w:jc w:val="both"/>
        <w:rPr>
          <w:rFonts w:ascii="Verdana" w:eastAsia="Calibri" w:hAnsi="Verdana" w:cs="Arial"/>
          <w:lang w:eastAsia="es-ES"/>
        </w:rPr>
      </w:pPr>
      <w:r w:rsidRPr="00AB2DA0">
        <w:rPr>
          <w:rFonts w:ascii="Verdana" w:eastAsia="Calibri" w:hAnsi="Verdana" w:cs="Arial"/>
          <w:lang w:eastAsia="es-ES"/>
        </w:rPr>
        <w:t>Estimad</w:t>
      </w:r>
      <w:r w:rsidR="00BF1F9D">
        <w:rPr>
          <w:rFonts w:ascii="Verdana" w:eastAsia="Calibri" w:hAnsi="Verdana" w:cs="Arial"/>
          <w:lang w:eastAsia="es-ES"/>
        </w:rPr>
        <w:t>o</w:t>
      </w:r>
      <w:r w:rsidRPr="00AB2DA0">
        <w:rPr>
          <w:rFonts w:ascii="Verdana" w:eastAsia="Calibri" w:hAnsi="Verdana" w:cs="Arial"/>
          <w:lang w:eastAsia="es-ES"/>
        </w:rPr>
        <w:t xml:space="preserve"> señor </w:t>
      </w:r>
      <w:r w:rsidRPr="00AB2DA0">
        <w:rPr>
          <w:rFonts w:ascii="Verdana" w:eastAsia="Calibri" w:hAnsi="Verdana" w:cs="Arial"/>
          <w:lang w:eastAsia="es-ES_tradnl"/>
        </w:rPr>
        <w:t>Juan Pablo, cordial Saludo</w:t>
      </w:r>
      <w:r w:rsidRPr="00AB2DA0">
        <w:rPr>
          <w:rFonts w:ascii="Verdana" w:eastAsia="Calibri" w:hAnsi="Verdana" w:cs="Arial"/>
          <w:lang w:eastAsia="es-ES"/>
        </w:rPr>
        <w:t xml:space="preserve">: </w:t>
      </w:r>
    </w:p>
    <w:p w14:paraId="13119A0C" w14:textId="77777777" w:rsidR="00BF1F9D" w:rsidRPr="0028175F" w:rsidRDefault="00BF1F9D" w:rsidP="00220BF5">
      <w:pPr>
        <w:tabs>
          <w:tab w:val="left" w:pos="3768"/>
        </w:tabs>
        <w:spacing w:after="0" w:line="240" w:lineRule="auto"/>
        <w:jc w:val="both"/>
        <w:rPr>
          <w:rFonts w:ascii="Verdana" w:eastAsia="Calibri" w:hAnsi="Verdana" w:cs="Arial"/>
          <w:lang w:eastAsia="es-ES"/>
        </w:rPr>
      </w:pPr>
    </w:p>
    <w:p w14:paraId="2747D982" w14:textId="77777777" w:rsidR="00220BF5" w:rsidRPr="008E4F36" w:rsidRDefault="00220BF5" w:rsidP="00220BF5">
      <w:pPr>
        <w:tabs>
          <w:tab w:val="left" w:pos="3768"/>
        </w:tabs>
        <w:spacing w:after="0" w:line="276" w:lineRule="auto"/>
        <w:jc w:val="both"/>
        <w:rPr>
          <w:rFonts w:ascii="Verdana" w:eastAsia="Calibri" w:hAnsi="Verdana" w:cs="Arial"/>
          <w:lang w:eastAsia="es-ES"/>
        </w:rPr>
      </w:pPr>
      <w:r w:rsidRPr="0028175F">
        <w:rPr>
          <w:rFonts w:ascii="Verdana" w:eastAsia="Calibri" w:hAnsi="Verdana" w:cs="Arial"/>
          <w:color w:val="000000" w:themeColor="text1"/>
          <w:lang w:eastAsia="es-ES"/>
        </w:rPr>
        <w:t>En ejercicio de la competencia otorgada por los artículos 3, numeral 5º, y 11, numeral 8º, del Decreto Ley 4170 de 2011,</w:t>
      </w:r>
      <w:r w:rsidRPr="0028175F">
        <w:rPr>
          <w:rFonts w:ascii="Verdana" w:eastAsia="Arial MT" w:hAnsi="Verdana" w:cs="Arial MT"/>
          <w:lang w:eastAsia="es-ES"/>
        </w:rPr>
        <w:t xml:space="preserve"> </w:t>
      </w:r>
      <w:r w:rsidRPr="0028175F">
        <w:rPr>
          <w:rFonts w:ascii="Verdana" w:hAnsi="Verdana" w:cs="Arial"/>
        </w:rPr>
        <w:t xml:space="preserve">así como lo establecido en la Resolución 469 de 2025 expedida por esta Entidad, </w:t>
      </w:r>
      <w:r w:rsidRPr="0028175F">
        <w:rPr>
          <w:rFonts w:ascii="Verdana" w:eastAsia="Calibri" w:hAnsi="Verdana" w:cs="Arial"/>
          <w:color w:val="000000" w:themeColor="text1"/>
          <w:lang w:eastAsia="es-ES"/>
        </w:rPr>
        <w:t xml:space="preserve">la Agencia Nacional de Contratación </w:t>
      </w:r>
      <w:r w:rsidRPr="0028175F">
        <w:rPr>
          <w:rFonts w:ascii="Verdana" w:eastAsia="Calibri" w:hAnsi="Verdana" w:cs="Arial"/>
          <w:lang w:eastAsia="es-ES"/>
        </w:rPr>
        <w:t>Pública – Colombia Compra Eficiente– responde su solicitud de consulta de fecha 1</w:t>
      </w:r>
      <w:r>
        <w:rPr>
          <w:rFonts w:ascii="Verdana" w:eastAsia="Calibri" w:hAnsi="Verdana" w:cs="Arial"/>
          <w:lang w:eastAsia="es-ES"/>
        </w:rPr>
        <w:t>1</w:t>
      </w:r>
      <w:r w:rsidRPr="0028175F">
        <w:rPr>
          <w:rFonts w:ascii="Verdana" w:eastAsia="Calibri" w:hAnsi="Verdana" w:cs="Arial"/>
          <w:lang w:eastAsia="es-ES"/>
        </w:rPr>
        <w:t xml:space="preserve"> de diciembre de 2025, en la cual manifiesta lo siguiente:</w:t>
      </w:r>
      <w:r w:rsidRPr="008E4F36">
        <w:rPr>
          <w:rFonts w:ascii="Verdana" w:eastAsia="Calibri" w:hAnsi="Verdana" w:cs="Arial"/>
          <w:lang w:eastAsia="es-ES"/>
        </w:rPr>
        <w:t xml:space="preserve"> </w:t>
      </w:r>
    </w:p>
    <w:p w14:paraId="0A7005BB" w14:textId="77777777" w:rsidR="00220BF5" w:rsidRPr="008E4F36" w:rsidRDefault="00220BF5" w:rsidP="00220BF5">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12EF7A6" w14:textId="5F933E4D" w:rsidR="00BF3AC2" w:rsidRDefault="00220BF5" w:rsidP="00BF3AC2">
      <w:pPr>
        <w:spacing w:after="0" w:line="240" w:lineRule="auto"/>
        <w:ind w:left="709" w:right="709"/>
        <w:jc w:val="both"/>
        <w:rPr>
          <w:rFonts w:ascii="Verdana" w:eastAsia="Century Gothic" w:hAnsi="Verdana" w:cs="Century Gothic"/>
          <w:sz w:val="20"/>
          <w:szCs w:val="20"/>
        </w:rPr>
      </w:pPr>
      <w:bookmarkStart w:id="1" w:name="_Hlk192699624"/>
      <w:bookmarkStart w:id="2" w:name="_Hlk199394899"/>
      <w:r w:rsidRPr="003B78AE">
        <w:rPr>
          <w:rFonts w:ascii="Verdana" w:eastAsia="Century Gothic" w:hAnsi="Verdana" w:cs="Century Gothic"/>
          <w:sz w:val="20"/>
          <w:szCs w:val="20"/>
        </w:rPr>
        <w:t>“</w:t>
      </w:r>
      <w:bookmarkEnd w:id="1"/>
      <w:bookmarkEnd w:id="2"/>
      <w:r w:rsidRPr="00890849">
        <w:rPr>
          <w:rFonts w:ascii="Verdana" w:eastAsia="Century Gothic" w:hAnsi="Verdana" w:cs="Century Gothic"/>
          <w:sz w:val="20"/>
          <w:szCs w:val="20"/>
        </w:rPr>
        <w:t>TRATÁNDOSE DE PROCESOS DE CONTRATACIÓN CUYO OBJETO ES SELECCIONAR INTERMEDIARIO DE SEGUROS Y CUANDO LA EROGACIÓN ES CERO (O) ¿SE PUEDEN LIMITAR DICHA CONVOCATORIA A MIPYME CONFORME A LO ESTABLECIDO EN EL ARTICULO 2.2.1.2.4.2.2. DEL DECRETO 1082 DE 2015? ¿EL SUPUESTO DE HECHO CONTEMPLADO EN EL NUMERAL 1 DEL MISMO ARTICULO COMPRENDE AQUELLOS CASOS EN LOS QUE NO SE GENERA EROGACIÓN ALGUNA A CARGO DE LA ENTIDAD ESTATAL CONTRATANTE, SEA CUAL SEA EL OBJETO DEL CONTRATO?</w:t>
      </w:r>
      <w:r>
        <w:rPr>
          <w:rFonts w:ascii="Verdana" w:eastAsia="Century Gothic" w:hAnsi="Verdana" w:cs="Century Gothic"/>
          <w:sz w:val="20"/>
          <w:szCs w:val="20"/>
        </w:rPr>
        <w:t>”</w:t>
      </w:r>
      <w:r w:rsidRPr="00890849">
        <w:rPr>
          <w:rFonts w:ascii="Verdana" w:eastAsia="Century Gothic" w:hAnsi="Verdana" w:cs="Century Gothic"/>
          <w:sz w:val="20"/>
          <w:szCs w:val="20"/>
        </w:rPr>
        <w:t xml:space="preserve"> </w:t>
      </w:r>
    </w:p>
    <w:p w14:paraId="233C8440" w14:textId="77777777" w:rsidR="00220BF5" w:rsidRPr="008E4F36" w:rsidRDefault="00220BF5" w:rsidP="00220BF5">
      <w:pPr>
        <w:spacing w:after="0" w:line="240" w:lineRule="auto"/>
        <w:ind w:right="709"/>
        <w:jc w:val="both"/>
        <w:rPr>
          <w:rFonts w:ascii="Verdana" w:hAnsi="Verdana"/>
          <w:sz w:val="20"/>
          <w:szCs w:val="20"/>
        </w:rPr>
      </w:pPr>
    </w:p>
    <w:p w14:paraId="63AA6397" w14:textId="77777777" w:rsidR="00220BF5" w:rsidRDefault="00220BF5" w:rsidP="00220BF5">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8E4F36">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ABB779E" w14:textId="77777777" w:rsidR="00220BF5" w:rsidRPr="00054383" w:rsidRDefault="00220BF5" w:rsidP="00220BF5">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4E8A11F" w14:textId="77777777" w:rsidR="00220BF5" w:rsidRDefault="00220BF5" w:rsidP="00220BF5">
      <w:pPr>
        <w:spacing w:after="0"/>
        <w:ind w:firstLine="709"/>
        <w:jc w:val="both"/>
        <w:rPr>
          <w:rFonts w:ascii="Verdana" w:eastAsia="Calibri" w:hAnsi="Verdana" w:cs="Arial"/>
          <w:color w:val="000000"/>
          <w:lang w:eastAsia="es-ES"/>
        </w:rPr>
      </w:pPr>
    </w:p>
    <w:p w14:paraId="212E9674" w14:textId="77777777" w:rsidR="00BF3AC2" w:rsidRPr="008E4F36" w:rsidRDefault="00BF3AC2" w:rsidP="00220BF5">
      <w:pPr>
        <w:spacing w:after="0"/>
        <w:ind w:firstLine="709"/>
        <w:jc w:val="both"/>
        <w:rPr>
          <w:rFonts w:ascii="Verdana" w:eastAsia="Calibri" w:hAnsi="Verdana" w:cs="Arial"/>
          <w:color w:val="000000"/>
          <w:lang w:eastAsia="es-ES"/>
        </w:rPr>
      </w:pPr>
    </w:p>
    <w:p w14:paraId="0B79E8FF" w14:textId="77777777" w:rsidR="00220BF5" w:rsidRDefault="00220BF5" w:rsidP="00220B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5EEC4418" w14:textId="77777777" w:rsidR="00220BF5" w:rsidRDefault="00220BF5" w:rsidP="00220BF5">
      <w:pPr>
        <w:spacing w:after="0" w:line="276" w:lineRule="auto"/>
        <w:jc w:val="both"/>
        <w:rPr>
          <w:rFonts w:ascii="Verdana" w:eastAsia="Calibri" w:hAnsi="Verdana" w:cs="Arial"/>
          <w:color w:val="000000"/>
          <w:highlight w:val="yellow"/>
          <w:lang w:eastAsia="es-ES"/>
        </w:rPr>
      </w:pPr>
    </w:p>
    <w:p w14:paraId="28FD352C" w14:textId="717012ED" w:rsidR="00220BF5" w:rsidRDefault="00220BF5" w:rsidP="00220BF5">
      <w:pPr>
        <w:spacing w:after="0" w:line="276" w:lineRule="auto"/>
        <w:jc w:val="both"/>
        <w:rPr>
          <w:rFonts w:ascii="Verdana" w:eastAsia="Century Gothic" w:hAnsi="Verdana" w:cs="Century Gothic"/>
        </w:rPr>
      </w:pPr>
      <w:r w:rsidRPr="00EA5150">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 problema jurídico</w:t>
      </w:r>
      <w:r w:rsidRPr="00E61997">
        <w:rPr>
          <w:rFonts w:ascii="Verdana" w:eastAsia="Calibri" w:hAnsi="Verdana" w:cs="Arial"/>
          <w:color w:val="000000"/>
          <w:lang w:eastAsia="es-ES"/>
        </w:rPr>
        <w:t xml:space="preserve">: </w:t>
      </w:r>
      <w:r w:rsidR="00D84EAE">
        <w:rPr>
          <w:rFonts w:ascii="Verdana" w:eastAsia="Calibri" w:hAnsi="Verdana" w:cs="Arial"/>
          <w:color w:val="000000"/>
          <w:lang w:eastAsia="es-ES"/>
        </w:rPr>
        <w:t>De acuerdo con</w:t>
      </w:r>
      <w:r w:rsidR="0081271F">
        <w:rPr>
          <w:rFonts w:ascii="Verdana" w:eastAsia="Calibri" w:hAnsi="Verdana" w:cs="Arial"/>
          <w:color w:val="000000"/>
          <w:lang w:eastAsia="es-ES"/>
        </w:rPr>
        <w:t xml:space="preserve"> lo establecido en el </w:t>
      </w:r>
      <w:r w:rsidR="0081271F" w:rsidRPr="00890849">
        <w:rPr>
          <w:rFonts w:ascii="Verdana" w:eastAsia="Century Gothic" w:hAnsi="Verdana" w:cs="Century Gothic"/>
        </w:rPr>
        <w:t>artículo 2.2.1.2.4.2.2 del Decreto 1082 de 2015</w:t>
      </w:r>
      <w:r w:rsidR="00F53E74">
        <w:rPr>
          <w:rFonts w:ascii="Verdana" w:eastAsia="Century Gothic" w:hAnsi="Verdana" w:cs="Century Gothic"/>
        </w:rPr>
        <w:t>:</w:t>
      </w:r>
      <w:r w:rsidR="00D84EAE">
        <w:rPr>
          <w:rFonts w:ascii="Verdana" w:eastAsia="Century Gothic" w:hAnsi="Verdana" w:cs="Century Gothic"/>
        </w:rPr>
        <w:t xml:space="preserve"> </w:t>
      </w:r>
      <w:r w:rsidR="00E50D5C">
        <w:rPr>
          <w:rFonts w:ascii="Verdana" w:eastAsia="Century Gothic" w:hAnsi="Verdana" w:cs="Century Gothic"/>
        </w:rPr>
        <w:t>¿</w:t>
      </w:r>
      <w:r w:rsidR="00D84EAE">
        <w:rPr>
          <w:rFonts w:ascii="Verdana" w:eastAsia="Century Gothic" w:hAnsi="Verdana" w:cs="Century Gothic"/>
        </w:rPr>
        <w:t>es</w:t>
      </w:r>
      <w:r w:rsidR="00E50D5C">
        <w:rPr>
          <w:rFonts w:ascii="Verdana" w:eastAsia="Century Gothic" w:hAnsi="Verdana" w:cs="Century Gothic"/>
        </w:rPr>
        <w:t xml:space="preserve"> </w:t>
      </w:r>
      <w:r w:rsidR="00D84EAE">
        <w:rPr>
          <w:rFonts w:ascii="Verdana" w:eastAsia="Century Gothic" w:hAnsi="Verdana" w:cs="Century Gothic"/>
        </w:rPr>
        <w:t>jurídicamente</w:t>
      </w:r>
      <w:r w:rsidR="00E50D5C">
        <w:rPr>
          <w:rFonts w:ascii="Verdana" w:eastAsia="Century Gothic" w:hAnsi="Verdana" w:cs="Century Gothic"/>
        </w:rPr>
        <w:t xml:space="preserve"> viable limitar</w:t>
      </w:r>
      <w:r w:rsidR="00D84EAE">
        <w:rPr>
          <w:rFonts w:ascii="Verdana" w:eastAsia="Century Gothic" w:hAnsi="Verdana" w:cs="Century Gothic"/>
        </w:rPr>
        <w:t xml:space="preserve"> a la participación exclusiva de </w:t>
      </w:r>
      <w:proofErr w:type="spellStart"/>
      <w:r w:rsidR="002C381A">
        <w:rPr>
          <w:rFonts w:ascii="Verdana" w:eastAsia="Century Gothic" w:hAnsi="Verdana" w:cs="Century Gothic"/>
        </w:rPr>
        <w:t>Mipymes</w:t>
      </w:r>
      <w:proofErr w:type="spellEnd"/>
      <w:r w:rsidR="002C381A">
        <w:rPr>
          <w:rFonts w:ascii="Verdana" w:eastAsia="Century Gothic" w:hAnsi="Verdana" w:cs="Century Gothic"/>
        </w:rPr>
        <w:t>, los</w:t>
      </w:r>
      <w:r w:rsidR="00716494">
        <w:rPr>
          <w:rFonts w:ascii="Verdana" w:eastAsia="Century Gothic" w:hAnsi="Verdana" w:cs="Century Gothic"/>
        </w:rPr>
        <w:t xml:space="preserve"> </w:t>
      </w:r>
      <w:r w:rsidRPr="00890849">
        <w:rPr>
          <w:rFonts w:ascii="Verdana" w:eastAsia="Century Gothic" w:hAnsi="Verdana" w:cs="Century Gothic"/>
        </w:rPr>
        <w:t xml:space="preserve">procesos de </w:t>
      </w:r>
      <w:r w:rsidR="003B66B3">
        <w:rPr>
          <w:rFonts w:ascii="Verdana" w:eastAsia="Century Gothic" w:hAnsi="Verdana" w:cs="Century Gothic"/>
        </w:rPr>
        <w:t>selección</w:t>
      </w:r>
      <w:r w:rsidR="00C35EAA">
        <w:rPr>
          <w:rFonts w:ascii="Verdana" w:eastAsia="Century Gothic" w:hAnsi="Verdana" w:cs="Century Gothic"/>
        </w:rPr>
        <w:t xml:space="preserve"> que se adelantan</w:t>
      </w:r>
      <w:r w:rsidRPr="00890849">
        <w:rPr>
          <w:rFonts w:ascii="Verdana" w:eastAsia="Century Gothic" w:hAnsi="Verdana" w:cs="Century Gothic"/>
        </w:rPr>
        <w:t xml:space="preserve"> </w:t>
      </w:r>
      <w:r w:rsidR="00C35EAA" w:rsidRPr="004A09CE">
        <w:rPr>
          <w:rFonts w:ascii="Verdana" w:eastAsia="Century Gothic" w:hAnsi="Verdana" w:cs="Century Gothic"/>
        </w:rPr>
        <w:t>para la suscripción de contratos de corretaje</w:t>
      </w:r>
      <w:r w:rsidR="00C35EAA" w:rsidRPr="00890849" w:rsidDel="00C35EAA">
        <w:rPr>
          <w:rFonts w:ascii="Verdana" w:eastAsia="Century Gothic" w:hAnsi="Verdana" w:cs="Century Gothic"/>
        </w:rPr>
        <w:t xml:space="preserve"> </w:t>
      </w:r>
      <w:r w:rsidRPr="00890849">
        <w:rPr>
          <w:rFonts w:ascii="Verdana" w:eastAsia="Century Gothic" w:hAnsi="Verdana" w:cs="Century Gothic"/>
        </w:rPr>
        <w:t xml:space="preserve">de seguros, </w:t>
      </w:r>
      <w:r w:rsidR="00716494">
        <w:rPr>
          <w:rFonts w:ascii="Verdana" w:eastAsia="Century Gothic" w:hAnsi="Verdana" w:cs="Century Gothic"/>
        </w:rPr>
        <w:t>a pesar de</w:t>
      </w:r>
      <w:r w:rsidR="00607212">
        <w:rPr>
          <w:rFonts w:ascii="Verdana" w:eastAsia="Century Gothic" w:hAnsi="Verdana" w:cs="Century Gothic"/>
        </w:rPr>
        <w:t xml:space="preserve"> tener presupuesto </w:t>
      </w:r>
      <w:r w:rsidR="00F53E74">
        <w:rPr>
          <w:rFonts w:ascii="Verdana" w:eastAsia="Century Gothic" w:hAnsi="Verdana" w:cs="Century Gothic"/>
        </w:rPr>
        <w:t>igual a cero (0)?</w:t>
      </w:r>
      <w:r w:rsidR="00716494">
        <w:rPr>
          <w:rFonts w:ascii="Verdana" w:eastAsia="Century Gothic" w:hAnsi="Verdana" w:cs="Century Gothic"/>
        </w:rPr>
        <w:t xml:space="preserve"> </w:t>
      </w:r>
      <w:r w:rsidRPr="00890849">
        <w:rPr>
          <w:rFonts w:ascii="Verdana" w:eastAsia="Century Gothic" w:hAnsi="Verdana" w:cs="Century Gothic"/>
        </w:rPr>
        <w:t xml:space="preserve"> </w:t>
      </w:r>
    </w:p>
    <w:p w14:paraId="14ED9468" w14:textId="77777777" w:rsidR="00220BF5" w:rsidRPr="00EA5150" w:rsidRDefault="00220BF5" w:rsidP="00220BF5">
      <w:pPr>
        <w:spacing w:after="0" w:line="276" w:lineRule="auto"/>
        <w:jc w:val="both"/>
        <w:rPr>
          <w:rFonts w:ascii="Verdana" w:eastAsia="Calibri" w:hAnsi="Verdana" w:cs="Times New Roman"/>
          <w:i/>
          <w:iCs/>
        </w:rPr>
      </w:pPr>
    </w:p>
    <w:p w14:paraId="79630ED4" w14:textId="77777777" w:rsidR="00220BF5" w:rsidRPr="008E4F36" w:rsidRDefault="00220BF5" w:rsidP="00220BF5">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683CCBEE" w14:textId="77777777" w:rsidR="00220BF5" w:rsidRPr="008E4F36" w:rsidRDefault="00220BF5" w:rsidP="00220BF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20BF5" w:rsidRPr="008E4F36" w14:paraId="4594F69F" w14:textId="77777777">
        <w:tc>
          <w:tcPr>
            <w:tcW w:w="8828" w:type="dxa"/>
          </w:tcPr>
          <w:p w14:paraId="6E925DA4" w14:textId="6739AA87" w:rsidR="00B43CED" w:rsidRPr="00812DD1" w:rsidRDefault="00B43CED" w:rsidP="00B43CED">
            <w:pPr>
              <w:spacing w:after="120" w:line="276" w:lineRule="auto"/>
              <w:jc w:val="both"/>
              <w:rPr>
                <w:rFonts w:ascii="Verdana" w:eastAsia="Arial" w:hAnsi="Verdana" w:cs="Arial"/>
                <w:color w:val="000000"/>
                <w:lang w:val="es-ES_tradnl"/>
              </w:rPr>
            </w:pPr>
            <w:r>
              <w:rPr>
                <w:rFonts w:ascii="Verdana" w:eastAsia="Times New Roman" w:hAnsi="Verdana" w:cs="Arial"/>
                <w:color w:val="000000"/>
                <w:lang w:val="es-ES_tradnl" w:eastAsia="es-ES_tradnl"/>
              </w:rPr>
              <w:t xml:space="preserve">De acuerdo con el artículo 34 de la Ley de Emprendimiento, </w:t>
            </w:r>
            <w:r>
              <w:rPr>
                <w:rFonts w:ascii="Verdana" w:eastAsia="Arial" w:hAnsi="Verdana" w:cs="Arial"/>
                <w:color w:val="000000"/>
                <w:lang w:val="es-ES_tradnl"/>
              </w:rPr>
              <w:t>l</w:t>
            </w:r>
            <w:r w:rsidRPr="00FC5438">
              <w:rPr>
                <w:rFonts w:ascii="Verdana" w:eastAsia="Arial" w:hAnsi="Verdana" w:cs="Arial"/>
                <w:color w:val="000000"/>
                <w:lang w:val="es-ES_tradnl"/>
              </w:rPr>
              <w:t>a</w:t>
            </w:r>
            <w:r>
              <w:rPr>
                <w:rFonts w:ascii="Verdana" w:eastAsia="Arial" w:hAnsi="Verdana" w:cs="Arial"/>
                <w:color w:val="000000"/>
                <w:lang w:val="es-ES_tradnl"/>
              </w:rPr>
              <w:t>s</w:t>
            </w:r>
            <w:r w:rsidRPr="00FC5438">
              <w:rPr>
                <w:rFonts w:ascii="Verdana" w:eastAsia="Arial" w:hAnsi="Verdana" w:cs="Arial"/>
                <w:color w:val="000000"/>
                <w:lang w:val="es-ES_tradnl"/>
              </w:rPr>
              <w:t xml:space="preserve"> </w:t>
            </w:r>
            <w:r>
              <w:rPr>
                <w:rFonts w:ascii="Verdana" w:eastAsia="Arial" w:hAnsi="Verdana" w:cs="Arial"/>
                <w:color w:val="000000"/>
                <w:lang w:val="es-ES_tradnl"/>
              </w:rPr>
              <w:t>e</w:t>
            </w:r>
            <w:r w:rsidRPr="00FC5438">
              <w:rPr>
                <w:rFonts w:ascii="Verdana" w:eastAsia="Arial" w:hAnsi="Verdana" w:cs="Arial"/>
                <w:color w:val="000000"/>
                <w:lang w:val="es-ES_tradnl"/>
              </w:rPr>
              <w:t xml:space="preserve">ntidades </w:t>
            </w:r>
            <w:r>
              <w:rPr>
                <w:rFonts w:ascii="Verdana" w:eastAsia="Arial" w:hAnsi="Verdana" w:cs="Arial"/>
                <w:color w:val="000000"/>
                <w:lang w:val="es-ES_tradnl"/>
              </w:rPr>
              <w:t>e</w:t>
            </w:r>
            <w:r w:rsidRPr="00FC5438">
              <w:rPr>
                <w:rFonts w:ascii="Verdana" w:eastAsia="Arial" w:hAnsi="Verdana" w:cs="Arial"/>
                <w:color w:val="000000"/>
                <w:lang w:val="es-ES_tradnl"/>
              </w:rPr>
              <w:t>statales están obligadas a aplicar el incentivo de convocatorias limitadas a MiPymes cuando se reúnan los requisitos establecidos en el artículo 2.2.1.2.4.2.2</w:t>
            </w:r>
            <w:r>
              <w:rPr>
                <w:rFonts w:ascii="Verdana" w:eastAsia="Arial" w:hAnsi="Verdana" w:cs="Arial"/>
                <w:color w:val="000000"/>
                <w:lang w:val="es-ES_tradnl"/>
              </w:rPr>
              <w:t xml:space="preserve"> del Decreto 1082 de 2015</w:t>
            </w:r>
            <w:r w:rsidRPr="00FC5438">
              <w:rPr>
                <w:rFonts w:ascii="Verdana" w:eastAsia="Arial" w:hAnsi="Verdana" w:cs="Arial"/>
                <w:color w:val="000000"/>
                <w:lang w:val="es-ES_tradnl"/>
              </w:rPr>
              <w:t>, sin importar el objeto del contrato.</w:t>
            </w:r>
            <w:r>
              <w:rPr>
                <w:rFonts w:ascii="Verdana" w:eastAsia="Arial" w:hAnsi="Verdana" w:cs="Arial"/>
                <w:color w:val="000000"/>
                <w:lang w:val="es-ES_tradnl"/>
              </w:rPr>
              <w:t xml:space="preserve"> </w:t>
            </w:r>
            <w:r w:rsidRPr="00FC5438">
              <w:rPr>
                <w:rFonts w:ascii="Verdana" w:eastAsia="Arial" w:hAnsi="Verdana" w:cs="Arial"/>
                <w:color w:val="000000"/>
                <w:lang w:val="es-ES_tradnl"/>
              </w:rPr>
              <w:t xml:space="preserve">Para que proceda la convocatoria limitada a MiPymes es necesario que el valor del </w:t>
            </w:r>
            <w:r>
              <w:rPr>
                <w:rFonts w:ascii="Verdana" w:eastAsia="Arial" w:hAnsi="Verdana" w:cs="Arial"/>
                <w:color w:val="000000"/>
                <w:lang w:val="es-ES_tradnl"/>
              </w:rPr>
              <w:t>p</w:t>
            </w:r>
            <w:r w:rsidRPr="00FC5438">
              <w:rPr>
                <w:rFonts w:ascii="Verdana" w:eastAsia="Arial" w:hAnsi="Verdana" w:cs="Arial"/>
                <w:color w:val="000000"/>
                <w:lang w:val="es-ES_tradnl"/>
              </w:rPr>
              <w:t xml:space="preserve">roceso de </w:t>
            </w:r>
            <w:r>
              <w:rPr>
                <w:rFonts w:ascii="Verdana" w:eastAsia="Arial" w:hAnsi="Verdana" w:cs="Arial"/>
                <w:color w:val="000000"/>
                <w:lang w:val="es-ES_tradnl"/>
              </w:rPr>
              <w:t>c</w:t>
            </w:r>
            <w:r w:rsidRPr="00FC5438">
              <w:rPr>
                <w:rFonts w:ascii="Verdana" w:eastAsia="Arial" w:hAnsi="Verdana" w:cs="Arial"/>
                <w:color w:val="000000"/>
                <w:lang w:val="es-ES_tradnl"/>
              </w:rPr>
              <w:t>ontratación sea menor a US$125.000, esto se cumple cuando no se generen erogaciones presupuestales o cuando la cuantía del Proceso de Contratación sea cero (0)</w:t>
            </w:r>
            <w:r>
              <w:rPr>
                <w:rFonts w:ascii="Verdana" w:eastAsia="Arial" w:hAnsi="Verdana" w:cs="Arial"/>
                <w:color w:val="000000"/>
                <w:lang w:val="es-ES_tradnl"/>
              </w:rPr>
              <w:t xml:space="preserve">. </w:t>
            </w:r>
            <w:r>
              <w:rPr>
                <w:rFonts w:ascii="Verdana" w:hAnsi="Verdana" w:cs="Arial"/>
                <w:lang w:val="es-ES"/>
              </w:rPr>
              <w:t xml:space="preserve">Lo anterior conforme a la directriz interpretativa del </w:t>
            </w:r>
            <w:r>
              <w:rPr>
                <w:rFonts w:ascii="Verdana" w:hAnsi="Verdana" w:cs="Arial"/>
                <w:lang w:val="es-ES"/>
              </w:rPr>
              <w:lastRenderedPageBreak/>
              <w:t xml:space="preserve">artículo 31 del Código Civil, según la cual </w:t>
            </w:r>
            <w:r w:rsidRPr="005D7CD5">
              <w:rPr>
                <w:rFonts w:ascii="Verdana" w:hAnsi="Verdana" w:cs="Arial"/>
                <w:lang w:val="es-ES"/>
              </w:rPr>
              <w:t>“Lo favorable u odioso de una disposición no se tomará en cuenta para ampliar o restringir su interpretació</w:t>
            </w:r>
            <w:r>
              <w:rPr>
                <w:rFonts w:ascii="Verdana" w:hAnsi="Verdana" w:cs="Arial"/>
                <w:lang w:val="es-ES"/>
              </w:rPr>
              <w:t xml:space="preserve">n. </w:t>
            </w:r>
            <w:r w:rsidRPr="00E51648">
              <w:rPr>
                <w:rFonts w:ascii="Verdana" w:hAnsi="Verdana" w:cs="Arial"/>
                <w:lang w:val="es-ES"/>
              </w:rPr>
              <w:t>La extensión que deba darse a toda ley se determinará por su genuino sentido</w:t>
            </w:r>
            <w:r>
              <w:rPr>
                <w:rFonts w:ascii="Verdana" w:hAnsi="Verdana" w:cs="Arial"/>
                <w:lang w:val="es-ES"/>
              </w:rPr>
              <w:t xml:space="preserve"> […]”.</w:t>
            </w:r>
            <w:r>
              <w:rPr>
                <w:rFonts w:ascii="Verdana" w:eastAsia="Times New Roman" w:hAnsi="Verdana" w:cs="Arial"/>
                <w:color w:val="000000"/>
                <w:lang w:val="es-ES_tradnl" w:eastAsia="es-ES_tradnl"/>
              </w:rPr>
              <w:t xml:space="preserve"> </w:t>
            </w:r>
            <w:r w:rsidRPr="007D48B0">
              <w:rPr>
                <w:rFonts w:ascii="Verdana" w:eastAsia="Calibri" w:hAnsi="Verdana" w:cs="Arial"/>
                <w:lang w:val="es-MX"/>
              </w:rPr>
              <w:t xml:space="preserve"> </w:t>
            </w:r>
          </w:p>
          <w:p w14:paraId="2CA0AB24" w14:textId="77777777" w:rsidR="001B169E" w:rsidRDefault="00B43CED" w:rsidP="001B169E">
            <w:pPr>
              <w:spacing w:after="120" w:line="276" w:lineRule="auto"/>
              <w:ind w:firstLine="731"/>
              <w:jc w:val="both"/>
              <w:rPr>
                <w:rFonts w:ascii="Verdana" w:eastAsia="Calibri" w:hAnsi="Verdana" w:cs="Arial"/>
                <w:color w:val="000000" w:themeColor="text1"/>
              </w:rPr>
            </w:pPr>
            <w:r>
              <w:rPr>
                <w:rFonts w:ascii="Verdana" w:eastAsia="Calibri" w:hAnsi="Verdana" w:cs="Arial"/>
                <w:lang w:val="es-MX"/>
              </w:rPr>
              <w:t xml:space="preserve">Por lo demás, </w:t>
            </w:r>
            <w:r w:rsidRPr="00FC5438">
              <w:rPr>
                <w:rFonts w:ascii="Verdana" w:eastAsia="Calibri" w:hAnsi="Verdana" w:cs="Arial"/>
                <w:color w:val="000000" w:themeColor="text1"/>
              </w:rPr>
              <w:t>lo que debe adoptarse obligatoriamente es la</w:t>
            </w:r>
            <w:r w:rsidRPr="00FC5438">
              <w:rPr>
                <w:rFonts w:ascii="Verdana" w:hAnsi="Verdana" w:cs="Arial"/>
                <w:color w:val="000000" w:themeColor="text1"/>
              </w:rPr>
              <w:t xml:space="preserve"> limitación a MiPymes colombianas</w:t>
            </w:r>
            <w:r w:rsidRPr="00FC5438">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r w:rsidRPr="00FC5438">
              <w:rPr>
                <w:rFonts w:ascii="Verdana" w:eastAsia="Calibri" w:hAnsi="Verdana" w:cs="Arial"/>
                <w:i/>
                <w:iCs/>
                <w:color w:val="000000" w:themeColor="text1"/>
              </w:rPr>
              <w:t>Ibidem</w:t>
            </w:r>
            <w:r w:rsidRPr="00FC5438">
              <w:rPr>
                <w:rFonts w:ascii="Verdana" w:eastAsia="Calibri" w:hAnsi="Verdana" w:cs="Arial"/>
                <w:color w:val="000000" w:themeColor="text1"/>
              </w:rPr>
              <w:t>, pues esta es facultativa para la entidad. Las únicas exigencias son que la convocatoria esté l</w:t>
            </w:r>
            <w:r w:rsidRPr="00FC5438">
              <w:rPr>
                <w:rFonts w:ascii="Verdana" w:hAnsi="Verdana" w:cs="Arial"/>
                <w:color w:val="000000" w:themeColor="text1"/>
              </w:rPr>
              <w:t>imitada a las MiPymes colombianas</w:t>
            </w:r>
            <w:r w:rsidRPr="00FC5438">
              <w:rPr>
                <w:rFonts w:ascii="Verdana" w:eastAsia="Calibri" w:hAnsi="Verdana" w:cs="Arial"/>
                <w:color w:val="000000" w:themeColor="text1"/>
              </w:rPr>
              <w:t xml:space="preserve"> “domiciliadas en los departamentos o municipios en donde se va a ejecutar el contrato” y que la entidad justifique su decisión con base en los “estudios del sector”</w:t>
            </w:r>
            <w:r>
              <w:rPr>
                <w:rFonts w:ascii="Verdana" w:eastAsia="Calibri" w:hAnsi="Verdana" w:cs="Arial"/>
                <w:color w:val="000000" w:themeColor="text1"/>
              </w:rPr>
              <w:t>.</w:t>
            </w:r>
          </w:p>
          <w:p w14:paraId="7A6D1393" w14:textId="3015AD06" w:rsidR="00BF1F9D" w:rsidRPr="00920780" w:rsidRDefault="00B43CED" w:rsidP="005F2962">
            <w:pPr>
              <w:spacing w:after="120" w:line="276" w:lineRule="auto"/>
              <w:ind w:firstLine="709"/>
              <w:jc w:val="both"/>
              <w:rPr>
                <w:rFonts w:ascii="Verdana" w:hAnsi="Verdana" w:cs="Arial"/>
                <w:lang w:val="es-ES"/>
              </w:rPr>
            </w:pPr>
            <w:r w:rsidRPr="00C81543">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EC6144A" w14:textId="77777777" w:rsidR="00220BF5" w:rsidRDefault="00220BF5" w:rsidP="00220BF5">
      <w:pPr>
        <w:tabs>
          <w:tab w:val="left" w:pos="142"/>
          <w:tab w:val="left" w:pos="284"/>
        </w:tabs>
        <w:spacing w:after="0" w:line="276" w:lineRule="auto"/>
        <w:jc w:val="both"/>
        <w:rPr>
          <w:rFonts w:ascii="Verdana" w:eastAsia="Century Gothic" w:hAnsi="Verdana" w:cs="Century Gothic"/>
          <w:b/>
          <w:bCs/>
        </w:rPr>
      </w:pPr>
    </w:p>
    <w:p w14:paraId="72AE6904" w14:textId="3600E13A" w:rsidR="00BF1F9D" w:rsidRPr="008E4F36" w:rsidRDefault="00220BF5" w:rsidP="00220BF5">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7B25641" w14:textId="77777777" w:rsidR="00220BF5" w:rsidRDefault="00220BF5" w:rsidP="00220BF5">
      <w:pPr>
        <w:spacing w:after="0" w:line="276" w:lineRule="auto"/>
        <w:jc w:val="both"/>
        <w:rPr>
          <w:rFonts w:ascii="Verdana" w:eastAsia="Calibri" w:hAnsi="Verdana" w:cs="Arial"/>
          <w:lang w:val="es-ES"/>
        </w:rPr>
      </w:pPr>
      <w:bookmarkStart w:id="3" w:name="_Hlk204854194"/>
    </w:p>
    <w:p w14:paraId="51E29F2F" w14:textId="77777777" w:rsidR="005A0517" w:rsidRPr="00FC5438" w:rsidRDefault="005A0517" w:rsidP="005A0517">
      <w:pPr>
        <w:spacing w:after="0" w:line="276" w:lineRule="auto"/>
        <w:jc w:val="both"/>
        <w:rPr>
          <w:rFonts w:ascii="Verdana" w:eastAsia="Arial" w:hAnsi="Verdana" w:cs="Arial"/>
          <w:color w:val="000000"/>
        </w:rPr>
      </w:pPr>
      <w:r w:rsidRPr="00FC5438">
        <w:rPr>
          <w:rFonts w:ascii="Verdana" w:eastAsia="Arial" w:hAnsi="Verdana" w:cs="Arial"/>
          <w:color w:val="000000"/>
        </w:rPr>
        <w:t xml:space="preserve">En desarrollo del artículo 34 de la Ley de Emprendimiento, el artículo 2.2.1.2.4.2.2 del Decreto 1082 de 2015 –modificado por el Decreto 1860 de 2021– establece los requisitos que se deben acreditar en las “convocatorias limitadas a </w:t>
      </w:r>
      <w:proofErr w:type="spellStart"/>
      <w:r w:rsidRPr="00FC5438">
        <w:rPr>
          <w:rFonts w:ascii="Verdana" w:eastAsia="Arial" w:hAnsi="Verdana" w:cs="Arial"/>
          <w:color w:val="000000"/>
        </w:rPr>
        <w:t>Mipymes</w:t>
      </w:r>
      <w:proofErr w:type="spellEnd"/>
      <w:r w:rsidRPr="00FC5438">
        <w:rPr>
          <w:rFonts w:ascii="Verdana" w:eastAsia="Arial" w:hAnsi="Verdana" w:cs="Arial"/>
          <w:color w:val="00000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FC5438">
        <w:rPr>
          <w:rFonts w:ascii="Verdana" w:eastAsia="Arial" w:hAnsi="Verdana" w:cs="Arial"/>
          <w:color w:val="000000"/>
        </w:rPr>
        <w:t>Mipyme</w:t>
      </w:r>
      <w:proofErr w:type="spellEnd"/>
      <w:r w:rsidRPr="00FC5438">
        <w:rPr>
          <w:rFonts w:ascii="Verdana" w:eastAsia="Arial" w:hAnsi="Verdana" w:cs="Arial"/>
          <w:color w:val="000000"/>
        </w:rPr>
        <w:t xml:space="preserve"> colombianas con mínimo un (1) año de existencia, siempre que se cumplan los requisitos señalados allí. Al respecto indica lo siguiente: </w:t>
      </w:r>
    </w:p>
    <w:p w14:paraId="7E01B8EB" w14:textId="77777777" w:rsidR="005A0517" w:rsidRPr="00FC5438" w:rsidRDefault="005A0517" w:rsidP="005A0517">
      <w:pPr>
        <w:spacing w:after="0" w:line="276" w:lineRule="auto"/>
        <w:ind w:firstLine="709"/>
        <w:jc w:val="both"/>
        <w:rPr>
          <w:rFonts w:ascii="Verdana" w:eastAsia="Arial" w:hAnsi="Verdana" w:cs="Arial"/>
          <w:color w:val="000000"/>
        </w:rPr>
      </w:pPr>
    </w:p>
    <w:p w14:paraId="23201053" w14:textId="77777777" w:rsidR="005A0517" w:rsidRPr="00FC5438" w:rsidRDefault="005A0517" w:rsidP="005A0517">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lastRenderedPageBreak/>
        <w:t xml:space="preserve">“Artículo 2.2.1.2.4.2.2. Convocatorias Imitadas a </w:t>
      </w:r>
      <w:proofErr w:type="spellStart"/>
      <w:r w:rsidRPr="4B3F5FD1">
        <w:rPr>
          <w:rFonts w:ascii="Verdana" w:eastAsia="Calibri" w:hAnsi="Verdana" w:cs="Arial"/>
          <w:sz w:val="21"/>
          <w:szCs w:val="21"/>
          <w:lang w:val="es-ES"/>
        </w:rPr>
        <w:t>Mipyme</w:t>
      </w:r>
      <w:proofErr w:type="spellEnd"/>
      <w:r w:rsidRPr="4B3F5FD1">
        <w:rPr>
          <w:rFonts w:ascii="Verdana" w:eastAsia="Calibri" w:hAnsi="Verdana" w:cs="Arial"/>
          <w:sz w:val="21"/>
          <w:szCs w:val="21"/>
          <w:lang w:val="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4B3F5FD1">
        <w:rPr>
          <w:rFonts w:ascii="Verdana" w:eastAsia="Calibri" w:hAnsi="Verdana" w:cs="Arial"/>
          <w:sz w:val="21"/>
          <w:szCs w:val="21"/>
          <w:lang w:val="es-ES"/>
        </w:rPr>
        <w:t>Mipyme</w:t>
      </w:r>
      <w:proofErr w:type="spellEnd"/>
      <w:r w:rsidRPr="4B3F5FD1">
        <w:rPr>
          <w:rFonts w:ascii="Verdana" w:eastAsia="Calibri" w:hAnsi="Verdana" w:cs="Arial"/>
          <w:sz w:val="21"/>
          <w:szCs w:val="21"/>
          <w:lang w:val="es-ES"/>
        </w:rPr>
        <w:t xml:space="preserve"> colombianas con mínimo un (1) año de existencia, cuando concurran los siguientes requisitos: </w:t>
      </w:r>
    </w:p>
    <w:p w14:paraId="201F0ADC" w14:textId="77777777" w:rsidR="005A0517" w:rsidRPr="00FC5438" w:rsidRDefault="005A0517" w:rsidP="005A0517">
      <w:pPr>
        <w:spacing w:after="0" w:line="240" w:lineRule="auto"/>
        <w:ind w:left="709" w:right="709"/>
        <w:jc w:val="both"/>
        <w:rPr>
          <w:rFonts w:ascii="Verdana" w:eastAsia="Calibri" w:hAnsi="Verdana" w:cs="Arial"/>
          <w:sz w:val="21"/>
          <w:szCs w:val="21"/>
          <w:lang w:val="es-ES_tradnl"/>
        </w:rPr>
      </w:pPr>
    </w:p>
    <w:p w14:paraId="61F05111" w14:textId="77777777" w:rsidR="005A0517" w:rsidRPr="00FC5438" w:rsidRDefault="005A0517" w:rsidP="005A0517">
      <w:pPr>
        <w:spacing w:after="120" w:line="240" w:lineRule="auto"/>
        <w:ind w:left="709" w:right="709"/>
        <w:jc w:val="both"/>
        <w:rPr>
          <w:rFonts w:ascii="Verdana" w:eastAsia="Calibri" w:hAnsi="Verdana" w:cs="Arial"/>
          <w:sz w:val="21"/>
          <w:szCs w:val="21"/>
          <w:lang w:val="es-ES_tradnl"/>
        </w:rPr>
      </w:pPr>
      <w:r w:rsidRPr="00FC5438">
        <w:rPr>
          <w:rFonts w:ascii="Verdana" w:eastAsia="Calibri" w:hAnsi="Verdana" w:cs="Arial"/>
          <w:sz w:val="21"/>
          <w:szCs w:val="21"/>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5B62ED63" w14:textId="77777777" w:rsidR="005A0517" w:rsidRPr="00FC5438" w:rsidRDefault="005A0517" w:rsidP="005A0517">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t xml:space="preserve">2. Se hayan recibido solicitudes de por lo menos dos (2) </w:t>
      </w:r>
      <w:proofErr w:type="spellStart"/>
      <w:r w:rsidRPr="4B3F5FD1">
        <w:rPr>
          <w:rFonts w:ascii="Verdana" w:eastAsia="Calibri" w:hAnsi="Verdana" w:cs="Arial"/>
          <w:sz w:val="21"/>
          <w:szCs w:val="21"/>
          <w:lang w:val="es-ES"/>
        </w:rPr>
        <w:t>Mipyme</w:t>
      </w:r>
      <w:proofErr w:type="spellEnd"/>
      <w:r w:rsidRPr="4B3F5FD1">
        <w:rPr>
          <w:rFonts w:ascii="Verdana" w:eastAsia="Calibri" w:hAnsi="Verdana" w:cs="Arial"/>
          <w:sz w:val="21"/>
          <w:szCs w:val="21"/>
          <w:lang w:val="es-ES"/>
        </w:rPr>
        <w:t xml:space="preserve"> colombianas para limitar la convocatoria a </w:t>
      </w:r>
      <w:proofErr w:type="spellStart"/>
      <w:r w:rsidRPr="4B3F5FD1">
        <w:rPr>
          <w:rFonts w:ascii="Verdana" w:eastAsia="Calibri" w:hAnsi="Verdana" w:cs="Arial"/>
          <w:sz w:val="21"/>
          <w:szCs w:val="21"/>
          <w:lang w:val="es-ES"/>
        </w:rPr>
        <w:t>Mipyme</w:t>
      </w:r>
      <w:proofErr w:type="spellEnd"/>
      <w:r w:rsidRPr="4B3F5FD1">
        <w:rPr>
          <w:rFonts w:ascii="Verdana" w:eastAsia="Calibri" w:hAnsi="Verdana" w:cs="Arial"/>
          <w:sz w:val="21"/>
          <w:szCs w:val="21"/>
          <w:lang w:val="es-ES"/>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4B3F5FD1">
        <w:rPr>
          <w:rFonts w:ascii="Verdana" w:eastAsia="Calibri" w:hAnsi="Verdana" w:cs="Arial"/>
          <w:sz w:val="21"/>
          <w:szCs w:val="21"/>
          <w:lang w:val="es-ES"/>
        </w:rPr>
        <w:t>Mipyme</w:t>
      </w:r>
      <w:proofErr w:type="spellEnd"/>
      <w:r w:rsidRPr="4B3F5FD1">
        <w:rPr>
          <w:rFonts w:ascii="Verdana" w:eastAsia="Calibri" w:hAnsi="Verdana" w:cs="Arial"/>
          <w:sz w:val="21"/>
          <w:szCs w:val="21"/>
          <w:lang w:val="es-ES"/>
        </w:rPr>
        <w:t>, cuyo objeto social les permita ejecutar el contrato relacionado con el proceso contractual.</w:t>
      </w:r>
    </w:p>
    <w:p w14:paraId="7D39E499" w14:textId="77777777" w:rsidR="005A0517" w:rsidRPr="00FC5438" w:rsidRDefault="005A0517" w:rsidP="005A0517">
      <w:pPr>
        <w:spacing w:after="0" w:line="240" w:lineRule="auto"/>
        <w:ind w:left="709" w:right="709"/>
        <w:jc w:val="both"/>
        <w:rPr>
          <w:rFonts w:ascii="Verdana" w:eastAsia="Calibri" w:hAnsi="Verdana" w:cs="Arial"/>
          <w:sz w:val="21"/>
          <w:szCs w:val="21"/>
          <w:lang w:val="es-ES_tradnl"/>
        </w:rPr>
      </w:pPr>
    </w:p>
    <w:p w14:paraId="3103C887" w14:textId="77777777" w:rsidR="005A0517" w:rsidRPr="00FC5438" w:rsidRDefault="005A0517" w:rsidP="005A0517">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t xml:space="preserve">Parágrafo. Las cooperativas y demás entidades de economía solidaria, siempre que tengan la calidad de </w:t>
      </w:r>
      <w:proofErr w:type="spellStart"/>
      <w:r w:rsidRPr="4B3F5FD1">
        <w:rPr>
          <w:rFonts w:ascii="Verdana" w:eastAsia="Calibri" w:hAnsi="Verdana" w:cs="Arial"/>
          <w:sz w:val="21"/>
          <w:szCs w:val="21"/>
          <w:lang w:val="es-ES"/>
        </w:rPr>
        <w:t>Mipyme</w:t>
      </w:r>
      <w:proofErr w:type="spellEnd"/>
      <w:r w:rsidRPr="4B3F5FD1">
        <w:rPr>
          <w:rFonts w:ascii="Verdana" w:eastAsia="Calibri" w:hAnsi="Verdana" w:cs="Arial"/>
          <w:sz w:val="21"/>
          <w:szCs w:val="21"/>
          <w:lang w:val="es-ES"/>
        </w:rPr>
        <w:t>, podrán solicitar y participar en las convocatorias limitadas en las mismas condiciones dispuestas en el presente artículo”.</w:t>
      </w:r>
    </w:p>
    <w:p w14:paraId="7930C220" w14:textId="77777777" w:rsidR="005A0517" w:rsidRDefault="005A0517" w:rsidP="005A0517">
      <w:pPr>
        <w:spacing w:after="0" w:line="276" w:lineRule="auto"/>
        <w:ind w:firstLine="709"/>
        <w:jc w:val="both"/>
        <w:rPr>
          <w:rFonts w:ascii="Verdana" w:eastAsia="Arial" w:hAnsi="Verdana" w:cs="Arial"/>
          <w:color w:val="000000"/>
        </w:rPr>
      </w:pPr>
    </w:p>
    <w:p w14:paraId="4B36A6E7" w14:textId="77777777" w:rsidR="00BF3AC2" w:rsidRPr="00FC5438" w:rsidRDefault="00BF3AC2" w:rsidP="005A0517">
      <w:pPr>
        <w:spacing w:after="0" w:line="276" w:lineRule="auto"/>
        <w:ind w:firstLine="709"/>
        <w:jc w:val="both"/>
        <w:rPr>
          <w:rFonts w:ascii="Verdana" w:eastAsia="Arial" w:hAnsi="Verdana" w:cs="Arial"/>
          <w:color w:val="000000"/>
        </w:rPr>
      </w:pPr>
    </w:p>
    <w:p w14:paraId="5E9432B8" w14:textId="77777777" w:rsidR="0016750A" w:rsidRDefault="005A0517" w:rsidP="0016750A">
      <w:pPr>
        <w:spacing w:after="120" w:line="276" w:lineRule="auto"/>
        <w:ind w:firstLine="709"/>
        <w:jc w:val="both"/>
        <w:rPr>
          <w:rFonts w:ascii="Verdana" w:eastAsia="Arial" w:hAnsi="Verdana" w:cs="Arial"/>
          <w:color w:val="000000"/>
          <w:lang w:val="es-ES_tradnl"/>
        </w:rPr>
      </w:pPr>
      <w:r w:rsidRPr="00FC5438">
        <w:rPr>
          <w:rFonts w:ascii="Verdana" w:eastAsia="Arial" w:hAnsi="Verdana" w:cs="Arial"/>
          <w:color w:val="000000"/>
        </w:rPr>
        <w:t xml:space="preserve">Según se evidencia, el numeral primero limita cuantitativamente los procesos contractuales para las convocatorias limitadas a </w:t>
      </w:r>
      <w:proofErr w:type="spellStart"/>
      <w:r w:rsidRPr="00FC5438">
        <w:rPr>
          <w:rFonts w:ascii="Verdana" w:eastAsia="Arial" w:hAnsi="Verdana" w:cs="Arial"/>
          <w:color w:val="000000"/>
        </w:rPr>
        <w:t>Mipyme</w:t>
      </w:r>
      <w:proofErr w:type="spellEnd"/>
      <w:r w:rsidRPr="00FC5438">
        <w:rPr>
          <w:rFonts w:ascii="Verdana" w:eastAsia="Arial" w:hAnsi="Verdana" w:cs="Arial"/>
          <w:color w:val="000000"/>
        </w:rPr>
        <w:t xml:space="preserve">, puesto que el valor del proceso de contratación debe ser “menor a ciento veinticinco mil dólares de los Estados Unidos de América”. Esto acuerdo con la tasa que determine cada dos años el Ministerio de Comercio, Industria y Turismo. Por su parte, el numeral segundo establece que al menos dos (2) </w:t>
      </w:r>
      <w:proofErr w:type="spellStart"/>
      <w:r w:rsidRPr="00FC5438">
        <w:rPr>
          <w:rFonts w:ascii="Verdana" w:eastAsia="Arial" w:hAnsi="Verdana" w:cs="Arial"/>
          <w:color w:val="000000"/>
        </w:rPr>
        <w:t>Mipymes</w:t>
      </w:r>
      <w:proofErr w:type="spellEnd"/>
      <w:r w:rsidRPr="00FC5438">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FC5438">
        <w:rPr>
          <w:rFonts w:ascii="Verdana" w:eastAsia="Arial" w:hAnsi="Verdana" w:cs="Arial"/>
          <w:color w:val="000000"/>
          <w:lang w:val="es-ES_tradnl"/>
        </w:rPr>
        <w:t>o el que haga sus veces de acuerdo con la normativa aplicable a cada Proceso de Contratación</w:t>
      </w:r>
      <w:r w:rsidRPr="00FC5438">
        <w:rPr>
          <w:rFonts w:ascii="Verdana" w:eastAsia="Arial" w:hAnsi="Verdana" w:cs="Arial"/>
          <w:color w:val="000000"/>
        </w:rPr>
        <w:t xml:space="preserve">. Asimismo, la norma señala que, </w:t>
      </w:r>
      <w:r w:rsidRPr="00FC5438">
        <w:rPr>
          <w:rFonts w:ascii="Verdana" w:eastAsia="Arial" w:hAnsi="Verdana" w:cs="Arial"/>
          <w:color w:val="000000"/>
          <w:lang w:val="es-ES_tradnl"/>
        </w:rPr>
        <w:t xml:space="preserve">tratándose de personas jurídicas, las solicitudes solo las podrán realizar </w:t>
      </w:r>
      <w:proofErr w:type="spellStart"/>
      <w:r w:rsidRPr="00FC5438">
        <w:rPr>
          <w:rFonts w:ascii="Verdana" w:eastAsia="Arial" w:hAnsi="Verdana" w:cs="Arial"/>
          <w:color w:val="000000"/>
          <w:lang w:val="es-ES_tradnl"/>
        </w:rPr>
        <w:lastRenderedPageBreak/>
        <w:t>Mipyme</w:t>
      </w:r>
      <w:proofErr w:type="spellEnd"/>
      <w:r w:rsidRPr="00FC5438">
        <w:rPr>
          <w:rFonts w:ascii="Verdana" w:eastAsia="Arial" w:hAnsi="Verdana" w:cs="Arial"/>
          <w:color w:val="000000"/>
          <w:lang w:val="es-ES_tradnl"/>
        </w:rPr>
        <w:t xml:space="preserv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w:t>
      </w:r>
      <w:proofErr w:type="spellStart"/>
      <w:r w:rsidRPr="00FC5438">
        <w:rPr>
          <w:rFonts w:ascii="Verdana" w:eastAsia="Arial" w:hAnsi="Verdana" w:cs="Arial"/>
          <w:color w:val="000000"/>
          <w:lang w:val="es-ES_tradnl"/>
        </w:rPr>
        <w:t>Mipyme</w:t>
      </w:r>
      <w:proofErr w:type="spellEnd"/>
      <w:r w:rsidRPr="00FC5438">
        <w:rPr>
          <w:rFonts w:ascii="Verdana" w:eastAsia="Arial" w:hAnsi="Verdana" w:cs="Arial"/>
          <w:color w:val="000000"/>
          <w:lang w:val="es-ES_tradnl"/>
        </w:rPr>
        <w:t xml:space="preserve">, siempre que estas cumplan con las condiciones señaladas en el artículo. </w:t>
      </w:r>
    </w:p>
    <w:p w14:paraId="2E8751EE" w14:textId="063E7251" w:rsidR="00F51CA9" w:rsidRPr="0016750A" w:rsidRDefault="00B23FEC" w:rsidP="0016750A">
      <w:pPr>
        <w:spacing w:after="120" w:line="276" w:lineRule="auto"/>
        <w:ind w:firstLine="709"/>
        <w:jc w:val="both"/>
        <w:rPr>
          <w:rFonts w:ascii="Verdana" w:eastAsia="Arial" w:hAnsi="Verdana" w:cs="Arial"/>
          <w:color w:val="000000"/>
          <w:lang w:val="es-ES_tradnl"/>
        </w:rPr>
      </w:pPr>
      <w:r w:rsidRPr="407BA206">
        <w:rPr>
          <w:rFonts w:ascii="Verdana" w:eastAsia="Arial" w:hAnsi="Verdana" w:cs="Arial"/>
          <w:color w:val="000000" w:themeColor="text1"/>
          <w:lang w:val="es-ES"/>
        </w:rPr>
        <w:t>En relación con la aplicabilidad de</w:t>
      </w:r>
      <w:r w:rsidR="00570E01" w:rsidRPr="407BA206">
        <w:rPr>
          <w:rFonts w:ascii="Verdana" w:eastAsia="Arial" w:hAnsi="Verdana" w:cs="Arial"/>
          <w:color w:val="000000" w:themeColor="text1"/>
          <w:lang w:val="es-ES"/>
        </w:rPr>
        <w:t xml:space="preserve"> la limitación a </w:t>
      </w:r>
      <w:proofErr w:type="spellStart"/>
      <w:r w:rsidR="00570E01" w:rsidRPr="407BA206">
        <w:rPr>
          <w:rFonts w:ascii="Verdana" w:eastAsia="Arial" w:hAnsi="Verdana" w:cs="Arial"/>
          <w:color w:val="000000" w:themeColor="text1"/>
          <w:lang w:val="es-ES"/>
        </w:rPr>
        <w:t>mipymes</w:t>
      </w:r>
      <w:proofErr w:type="spellEnd"/>
      <w:r w:rsidR="00570E01" w:rsidRPr="407BA206">
        <w:rPr>
          <w:rFonts w:ascii="Verdana" w:eastAsia="Arial" w:hAnsi="Verdana" w:cs="Arial"/>
          <w:color w:val="000000" w:themeColor="text1"/>
          <w:lang w:val="es-ES"/>
        </w:rPr>
        <w:t xml:space="preserve"> contemplada en el artículo 2.2.1.2.4.2.2 del Decreto 1082 de 2015</w:t>
      </w:r>
      <w:r w:rsidR="00FA6EA6" w:rsidRPr="407BA206">
        <w:rPr>
          <w:rFonts w:ascii="Verdana" w:eastAsia="Arial" w:hAnsi="Verdana" w:cs="Arial"/>
          <w:color w:val="000000" w:themeColor="text1"/>
          <w:lang w:val="es-ES"/>
        </w:rPr>
        <w:t xml:space="preserve"> a los procesos </w:t>
      </w:r>
      <w:r w:rsidR="00CB7C81" w:rsidRPr="407BA206">
        <w:rPr>
          <w:rFonts w:ascii="Verdana" w:eastAsia="Arial" w:hAnsi="Verdana" w:cs="Arial"/>
          <w:color w:val="000000" w:themeColor="text1"/>
          <w:lang w:val="es-ES"/>
        </w:rPr>
        <w:t xml:space="preserve">que se adelantan para la selección de intermediarios de seguros </w:t>
      </w:r>
      <w:r w:rsidR="00FA6EA6" w:rsidRPr="407BA206">
        <w:rPr>
          <w:rFonts w:ascii="Verdana" w:eastAsia="Arial" w:hAnsi="Verdana" w:cs="Arial"/>
          <w:color w:val="000000" w:themeColor="text1"/>
          <w:lang w:val="es-ES"/>
        </w:rPr>
        <w:t>se</w:t>
      </w:r>
      <w:r w:rsidR="00CB7C81" w:rsidRPr="407BA206">
        <w:rPr>
          <w:rFonts w:ascii="Verdana" w:eastAsia="Arial" w:hAnsi="Verdana" w:cs="Arial"/>
          <w:color w:val="000000" w:themeColor="text1"/>
          <w:lang w:val="es-ES"/>
        </w:rPr>
        <w:t xml:space="preserve"> ha pronunciado </w:t>
      </w:r>
      <w:r w:rsidR="00CD7001" w:rsidRPr="407BA206">
        <w:rPr>
          <w:rFonts w:ascii="Verdana" w:eastAsia="Arial" w:hAnsi="Verdana" w:cs="Arial"/>
          <w:color w:val="000000" w:themeColor="text1"/>
          <w:lang w:val="es-ES"/>
        </w:rPr>
        <w:t xml:space="preserve">esta Subdirección </w:t>
      </w:r>
      <w:r w:rsidR="00CB7C81" w:rsidRPr="407BA206">
        <w:rPr>
          <w:rFonts w:ascii="Verdana" w:eastAsia="Arial" w:hAnsi="Verdana" w:cs="Arial"/>
          <w:color w:val="000000" w:themeColor="text1"/>
          <w:lang w:val="es-ES"/>
        </w:rPr>
        <w:t>en múltiples ocasiones</w:t>
      </w:r>
      <w:r w:rsidR="00CD7001" w:rsidRPr="407BA206">
        <w:rPr>
          <w:rFonts w:ascii="Verdana" w:eastAsia="Arial" w:hAnsi="Verdana" w:cs="Arial"/>
          <w:color w:val="000000" w:themeColor="text1"/>
          <w:lang w:val="es-ES"/>
        </w:rPr>
        <w:t xml:space="preserve"> en múltiples ocasiones</w:t>
      </w:r>
      <w:r w:rsidR="00D015D6" w:rsidRPr="407BA206">
        <w:rPr>
          <w:rFonts w:ascii="Verdana" w:eastAsia="Arial" w:hAnsi="Verdana" w:cs="Arial"/>
          <w:color w:val="000000" w:themeColor="text1"/>
          <w:lang w:val="es-ES"/>
        </w:rPr>
        <w:t>. Recientemente, en el concepto C-837 de</w:t>
      </w:r>
      <w:r w:rsidR="00F51CA9" w:rsidRPr="407BA206">
        <w:rPr>
          <w:rFonts w:ascii="Verdana" w:eastAsia="Arial" w:hAnsi="Verdana" w:cs="Arial"/>
          <w:color w:val="000000" w:themeColor="text1"/>
          <w:lang w:val="es-ES"/>
        </w:rPr>
        <w:t xml:space="preserve"> 28 de julio de 2025 se indicó</w:t>
      </w:r>
      <w:r w:rsidR="00054CB3" w:rsidRPr="407BA206">
        <w:rPr>
          <w:rFonts w:ascii="Verdana" w:eastAsia="Arial" w:hAnsi="Verdana" w:cs="Arial"/>
          <w:color w:val="000000" w:themeColor="text1"/>
          <w:lang w:val="es-ES"/>
        </w:rPr>
        <w:t>:</w:t>
      </w:r>
      <w:r w:rsidR="00F51CA9" w:rsidRPr="407BA206">
        <w:rPr>
          <w:rFonts w:ascii="Verdana" w:eastAsia="Arial" w:hAnsi="Verdana" w:cs="Arial"/>
          <w:color w:val="000000" w:themeColor="text1"/>
          <w:lang w:val="es-ES"/>
        </w:rPr>
        <w:t xml:space="preserve"> </w:t>
      </w:r>
    </w:p>
    <w:p w14:paraId="2A4BD8BC" w14:textId="77777777" w:rsidR="00252091" w:rsidRDefault="00054CB3" w:rsidP="0016750A">
      <w:pPr>
        <w:spacing w:after="0" w:line="240" w:lineRule="auto"/>
        <w:ind w:left="709" w:right="709"/>
        <w:jc w:val="both"/>
        <w:rPr>
          <w:rFonts w:ascii="Verdana" w:eastAsia="Calibri" w:hAnsi="Verdana" w:cs="Arial"/>
          <w:sz w:val="20"/>
          <w:szCs w:val="20"/>
        </w:rPr>
      </w:pPr>
      <w:r w:rsidRPr="00252091">
        <w:rPr>
          <w:rFonts w:ascii="Verdana" w:eastAsia="Arial" w:hAnsi="Verdana" w:cs="Arial"/>
          <w:color w:val="000000"/>
          <w:sz w:val="20"/>
          <w:szCs w:val="20"/>
          <w:lang w:val="es-ES_tradnl"/>
        </w:rPr>
        <w:t>“</w:t>
      </w:r>
      <w:r w:rsidR="00DB6EBC" w:rsidRPr="00252091">
        <w:rPr>
          <w:rFonts w:ascii="Verdana" w:eastAsia="Calibri" w:hAnsi="Verdana" w:cs="Arial"/>
          <w:sz w:val="20"/>
          <w:szCs w:val="20"/>
        </w:rPr>
        <w:t xml:space="preserve">De esta forma, para que una Entidad Estatal pueda limitar un proceso de selección a </w:t>
      </w:r>
      <w:proofErr w:type="spellStart"/>
      <w:r w:rsidR="00DB6EBC" w:rsidRPr="00252091">
        <w:rPr>
          <w:rFonts w:ascii="Verdana" w:eastAsia="Calibri" w:hAnsi="Verdana" w:cs="Arial"/>
          <w:sz w:val="20"/>
          <w:szCs w:val="20"/>
        </w:rPr>
        <w:t>Mipymes</w:t>
      </w:r>
      <w:proofErr w:type="spellEnd"/>
      <w:r w:rsidR="00DB6EBC" w:rsidRPr="00252091">
        <w:rPr>
          <w:rFonts w:ascii="Verdana" w:eastAsia="Calibri" w:hAnsi="Verdana" w:cs="Arial"/>
          <w:sz w:val="20"/>
          <w:szCs w:val="20"/>
        </w:rPr>
        <w:t xml:space="preserve">, deberán cumplirse de manera integral cada uno de los supuestos establecidos en el articulo </w:t>
      </w:r>
      <w:r w:rsidR="00DB6EBC" w:rsidRPr="00252091">
        <w:rPr>
          <w:rFonts w:ascii="Verdana" w:eastAsia="Calibri" w:hAnsi="Verdana" w:cs="Arial"/>
          <w:sz w:val="20"/>
          <w:szCs w:val="20"/>
          <w:lang w:val="es-ES"/>
        </w:rPr>
        <w:t>2.2.1.2.4.2.2 del Decreto 1082 de 2015</w:t>
      </w:r>
      <w:r w:rsidR="00DB6EBC" w:rsidRPr="00252091">
        <w:rPr>
          <w:rFonts w:ascii="Verdana" w:eastAsia="Calibri" w:hAnsi="Verdana" w:cs="Arial"/>
          <w:sz w:val="20"/>
          <w:szCs w:val="20"/>
        </w:rPr>
        <w:t xml:space="preserve">, pues en caso contrario, no será factible que se realice tal limitación. Sin embargo, en lo que respecta a los procesos de selección donde se pretenda la suscripción de contratos de corretaje de seguros, debe precisarse que la total observancia de los referidos requisitos, dependerá de si este genera o no erogación económica a la Entidad Estatal que lo suscribe, pues en el marco de la autonomía que le asiste, puede determinar en su pliego de condiciones o documento equivalente, la destinación o no de recursos económicos para la celebración de este tipo de contratos. </w:t>
      </w:r>
      <w:r w:rsidR="00DB6EBC" w:rsidRPr="00252091">
        <w:rPr>
          <w:rFonts w:ascii="Verdana" w:eastAsia="Calibri" w:hAnsi="Verdana" w:cs="Arial"/>
          <w:i/>
          <w:iCs/>
          <w:sz w:val="20"/>
          <w:szCs w:val="20"/>
        </w:rPr>
        <w:t xml:space="preserve">Imposibilitando la última opción –esto es, la decisión de no asignar recursos económicos y celebrarlo a título gratuito–, el cumplimiento del requisito correspondiente al valor del contrato para que proceda la limitación de la convocatoria a </w:t>
      </w:r>
      <w:proofErr w:type="spellStart"/>
      <w:r w:rsidR="00DB6EBC" w:rsidRPr="00252091">
        <w:rPr>
          <w:rFonts w:ascii="Verdana" w:eastAsia="Calibri" w:hAnsi="Verdana" w:cs="Arial"/>
          <w:i/>
          <w:iCs/>
          <w:sz w:val="20"/>
          <w:szCs w:val="20"/>
        </w:rPr>
        <w:t>Mipymes</w:t>
      </w:r>
      <w:proofErr w:type="spellEnd"/>
      <w:r w:rsidR="00DB6EBC" w:rsidRPr="00252091">
        <w:rPr>
          <w:rFonts w:ascii="Verdana" w:eastAsia="Calibri" w:hAnsi="Verdana" w:cs="Arial"/>
          <w:sz w:val="20"/>
          <w:szCs w:val="20"/>
        </w:rPr>
        <w:t>”.</w:t>
      </w:r>
      <w:r w:rsidR="007E2E01">
        <w:rPr>
          <w:rFonts w:ascii="Verdana" w:eastAsia="Calibri" w:hAnsi="Verdana" w:cs="Arial"/>
          <w:sz w:val="20"/>
          <w:szCs w:val="20"/>
        </w:rPr>
        <w:t xml:space="preserve"> (Énfasis fuera de texto)</w:t>
      </w:r>
      <w:r w:rsidR="00252091">
        <w:rPr>
          <w:rFonts w:ascii="Verdana" w:eastAsia="Calibri" w:hAnsi="Verdana" w:cs="Arial"/>
          <w:sz w:val="20"/>
          <w:szCs w:val="20"/>
        </w:rPr>
        <w:t>.</w:t>
      </w:r>
    </w:p>
    <w:p w14:paraId="0A387605" w14:textId="1C880C48" w:rsidR="00B23FEC" w:rsidRPr="0016750A" w:rsidRDefault="00570E01" w:rsidP="00252091">
      <w:pPr>
        <w:spacing w:after="0" w:line="240" w:lineRule="auto"/>
        <w:ind w:left="709" w:right="709"/>
        <w:jc w:val="both"/>
        <w:rPr>
          <w:rFonts w:ascii="Verdana" w:eastAsia="Calibri" w:hAnsi="Verdana" w:cs="Arial"/>
          <w:sz w:val="20"/>
          <w:szCs w:val="20"/>
        </w:rPr>
      </w:pPr>
      <w:r>
        <w:rPr>
          <w:rFonts w:ascii="Verdana" w:eastAsia="Arial" w:hAnsi="Verdana" w:cs="Arial"/>
          <w:color w:val="000000"/>
          <w:lang w:val="es-ES_tradnl"/>
        </w:rPr>
        <w:t xml:space="preserve"> </w:t>
      </w:r>
    </w:p>
    <w:p w14:paraId="766AA8AA" w14:textId="70E8BCB5" w:rsidR="005A0517" w:rsidRDefault="00557B06" w:rsidP="00E72491">
      <w:pPr>
        <w:spacing w:after="120" w:line="276" w:lineRule="auto"/>
        <w:ind w:firstLine="709"/>
        <w:jc w:val="both"/>
        <w:rPr>
          <w:rFonts w:ascii="Verdana" w:hAnsi="Verdana" w:cs="Arial"/>
          <w:lang w:val="es-ES"/>
        </w:rPr>
      </w:pPr>
      <w:r>
        <w:rPr>
          <w:rFonts w:ascii="Verdana" w:eastAsia="Arial" w:hAnsi="Verdana" w:cs="Arial"/>
          <w:color w:val="000000"/>
          <w:lang w:val="es-ES_tradnl"/>
        </w:rPr>
        <w:t>No obstante</w:t>
      </w:r>
      <w:r w:rsidR="00A8179B">
        <w:rPr>
          <w:rFonts w:ascii="Verdana" w:eastAsia="Arial" w:hAnsi="Verdana" w:cs="Arial"/>
          <w:color w:val="000000"/>
          <w:lang w:val="es-ES_tradnl"/>
        </w:rPr>
        <w:t xml:space="preserve">, sobre el particular </w:t>
      </w:r>
      <w:r w:rsidR="005A6799">
        <w:rPr>
          <w:rFonts w:ascii="Verdana" w:eastAsia="Arial" w:hAnsi="Verdana" w:cs="Arial"/>
          <w:color w:val="000000"/>
          <w:lang w:val="es-ES_tradnl"/>
        </w:rPr>
        <w:t>ya se había pronunciado esta Agencia en concepto C-551</w:t>
      </w:r>
      <w:r w:rsidR="00B66DB6">
        <w:rPr>
          <w:rFonts w:ascii="Verdana" w:eastAsia="Arial" w:hAnsi="Verdana" w:cs="Arial"/>
          <w:color w:val="000000"/>
          <w:lang w:val="es-ES_tradnl"/>
        </w:rPr>
        <w:t xml:space="preserve"> de 18 de junio de 2025</w:t>
      </w:r>
      <w:r w:rsidR="002F645A">
        <w:rPr>
          <w:rFonts w:ascii="Verdana" w:eastAsia="Arial" w:hAnsi="Verdana" w:cs="Arial"/>
          <w:color w:val="000000"/>
          <w:lang w:val="es-ES_tradnl"/>
        </w:rPr>
        <w:t xml:space="preserve">, reiterando la postura del </w:t>
      </w:r>
      <w:r w:rsidR="00ED6C57">
        <w:rPr>
          <w:rFonts w:ascii="Verdana" w:eastAsia="Arial" w:hAnsi="Verdana" w:cs="Arial"/>
          <w:color w:val="000000"/>
          <w:lang w:val="es-ES_tradnl"/>
        </w:rPr>
        <w:t xml:space="preserve">concepto </w:t>
      </w:r>
      <w:r w:rsidR="00ED6C57" w:rsidRPr="00ED6C57">
        <w:rPr>
          <w:rFonts w:ascii="Verdana" w:eastAsia="Arial" w:hAnsi="Verdana" w:cs="Arial"/>
          <w:color w:val="000000"/>
        </w:rPr>
        <w:t>2201813000007858 del 29 de agosto de 2018</w:t>
      </w:r>
      <w:r w:rsidR="00ED6C57">
        <w:rPr>
          <w:rFonts w:ascii="Verdana" w:eastAsia="Arial" w:hAnsi="Verdana" w:cs="Arial"/>
          <w:color w:val="000000"/>
        </w:rPr>
        <w:t xml:space="preserve">, </w:t>
      </w:r>
      <w:r w:rsidR="00E21D3D">
        <w:rPr>
          <w:rFonts w:ascii="Verdana" w:eastAsia="Arial" w:hAnsi="Verdana" w:cs="Arial"/>
          <w:color w:val="000000"/>
        </w:rPr>
        <w:t xml:space="preserve">según </w:t>
      </w:r>
      <w:r w:rsidR="00576DC4">
        <w:rPr>
          <w:rFonts w:ascii="Verdana" w:eastAsia="Arial" w:hAnsi="Verdana" w:cs="Arial"/>
          <w:color w:val="000000"/>
        </w:rPr>
        <w:t>la cual, incluso en los procesos de selección</w:t>
      </w:r>
      <w:r w:rsidR="00007691">
        <w:rPr>
          <w:rFonts w:ascii="Verdana" w:eastAsia="Arial" w:hAnsi="Verdana" w:cs="Arial"/>
          <w:color w:val="000000"/>
        </w:rPr>
        <w:t xml:space="preserve"> con valor cero (0), resulta aplicable la </w:t>
      </w:r>
      <w:r w:rsidR="0058141F">
        <w:rPr>
          <w:rFonts w:ascii="Verdana" w:eastAsia="Arial" w:hAnsi="Verdana" w:cs="Arial"/>
          <w:color w:val="000000"/>
        </w:rPr>
        <w:t>referida</w:t>
      </w:r>
      <w:r w:rsidR="00007691">
        <w:rPr>
          <w:rFonts w:ascii="Verdana" w:eastAsia="Arial" w:hAnsi="Verdana" w:cs="Arial"/>
          <w:color w:val="000000"/>
        </w:rPr>
        <w:t xml:space="preserve"> prerrogativa establecida en favo</w:t>
      </w:r>
      <w:r w:rsidR="0058141F">
        <w:rPr>
          <w:rFonts w:ascii="Verdana" w:eastAsia="Arial" w:hAnsi="Verdana" w:cs="Arial"/>
          <w:color w:val="000000"/>
        </w:rPr>
        <w:t xml:space="preserve">r de las </w:t>
      </w:r>
      <w:proofErr w:type="spellStart"/>
      <w:r w:rsidR="0058141F">
        <w:rPr>
          <w:rFonts w:ascii="Verdana" w:eastAsia="Arial" w:hAnsi="Verdana" w:cs="Arial"/>
          <w:color w:val="000000"/>
        </w:rPr>
        <w:t>mipymes</w:t>
      </w:r>
      <w:proofErr w:type="spellEnd"/>
      <w:r w:rsidR="0058141F">
        <w:rPr>
          <w:rFonts w:ascii="Verdana" w:eastAsia="Arial" w:hAnsi="Verdana" w:cs="Arial"/>
          <w:color w:val="000000"/>
        </w:rPr>
        <w:t xml:space="preserve">, en el entendido de </w:t>
      </w:r>
      <w:r w:rsidR="005430CD">
        <w:rPr>
          <w:rFonts w:ascii="Verdana" w:eastAsia="Arial" w:hAnsi="Verdana" w:cs="Arial"/>
          <w:color w:val="000000"/>
        </w:rPr>
        <w:t xml:space="preserve">que dicho </w:t>
      </w:r>
      <w:r w:rsidR="005B5C2C">
        <w:rPr>
          <w:rFonts w:ascii="Verdana" w:eastAsia="Arial" w:hAnsi="Verdana" w:cs="Arial"/>
          <w:color w:val="000000"/>
        </w:rPr>
        <w:t>número es inferior al umbral de USD S125.000</w:t>
      </w:r>
      <w:r w:rsidR="00AB6503">
        <w:rPr>
          <w:rFonts w:ascii="Verdana" w:eastAsia="Arial" w:hAnsi="Verdana" w:cs="Arial"/>
          <w:color w:val="000000"/>
        </w:rPr>
        <w:t xml:space="preserve">. </w:t>
      </w:r>
      <w:r w:rsidR="00975ADE">
        <w:rPr>
          <w:rFonts w:ascii="Verdana" w:eastAsia="Arial" w:hAnsi="Verdana" w:cs="Arial"/>
          <w:color w:val="000000"/>
        </w:rPr>
        <w:t xml:space="preserve">En ese orden, siendo esta la postura actual de la </w:t>
      </w:r>
      <w:r>
        <w:rPr>
          <w:rFonts w:ascii="Verdana" w:eastAsia="Arial" w:hAnsi="Verdana" w:cs="Arial"/>
          <w:color w:val="000000"/>
        </w:rPr>
        <w:t xml:space="preserve">Subdirección de Gestión Contractual </w:t>
      </w:r>
      <w:r w:rsidR="00E72491">
        <w:rPr>
          <w:rFonts w:ascii="Verdana" w:eastAsia="Arial" w:hAnsi="Verdana" w:cs="Arial"/>
          <w:color w:val="000000"/>
        </w:rPr>
        <w:t xml:space="preserve">respecto del </w:t>
      </w:r>
      <w:r w:rsidR="00D066B7">
        <w:rPr>
          <w:rFonts w:ascii="Verdana" w:eastAsia="Arial" w:hAnsi="Verdana" w:cs="Arial"/>
          <w:color w:val="000000"/>
        </w:rPr>
        <w:t xml:space="preserve">alcance del </w:t>
      </w:r>
      <w:r w:rsidR="00E72491">
        <w:rPr>
          <w:rFonts w:ascii="Verdana" w:eastAsia="Arial" w:hAnsi="Verdana" w:cs="Arial"/>
          <w:color w:val="000000"/>
          <w:lang w:val="es-ES_tradnl"/>
        </w:rPr>
        <w:t xml:space="preserve">artículo </w:t>
      </w:r>
      <w:r w:rsidR="00E72491" w:rsidRPr="00FC5438">
        <w:rPr>
          <w:rFonts w:ascii="Verdana" w:eastAsia="Arial" w:hAnsi="Verdana" w:cs="Arial"/>
          <w:color w:val="000000"/>
          <w:lang w:val="es-ES_tradnl"/>
        </w:rPr>
        <w:t>2.2.1.2.4.2.2</w:t>
      </w:r>
      <w:r w:rsidR="00E72491">
        <w:rPr>
          <w:rFonts w:ascii="Verdana" w:eastAsia="Arial" w:hAnsi="Verdana" w:cs="Arial"/>
          <w:color w:val="000000"/>
          <w:lang w:val="es-ES_tradnl"/>
        </w:rPr>
        <w:t xml:space="preserve"> del Decreto 1082 de 2015</w:t>
      </w:r>
      <w:r w:rsidR="00975ADE">
        <w:rPr>
          <w:rFonts w:ascii="Verdana" w:eastAsia="Arial" w:hAnsi="Verdana" w:cs="Arial"/>
          <w:color w:val="000000"/>
        </w:rPr>
        <w:t xml:space="preserve">, </w:t>
      </w:r>
      <w:r>
        <w:rPr>
          <w:rFonts w:ascii="Verdana" w:eastAsia="Arial" w:hAnsi="Verdana" w:cs="Arial"/>
          <w:color w:val="000000"/>
        </w:rPr>
        <w:t xml:space="preserve">es pertinente aclarar que, sin </w:t>
      </w:r>
      <w:r w:rsidR="00D618F4">
        <w:rPr>
          <w:rFonts w:ascii="Verdana" w:eastAsia="Arial" w:hAnsi="Verdana" w:cs="Arial"/>
          <w:color w:val="000000"/>
        </w:rPr>
        <w:t xml:space="preserve">perjuicio </w:t>
      </w:r>
      <w:r w:rsidR="00D618F4">
        <w:rPr>
          <w:rFonts w:ascii="Verdana" w:eastAsia="Arial" w:hAnsi="Verdana" w:cs="Arial"/>
          <w:color w:val="000000"/>
          <w:lang w:val="es-ES_tradnl"/>
        </w:rPr>
        <w:t>de</w:t>
      </w:r>
      <w:r>
        <w:rPr>
          <w:rFonts w:ascii="Verdana" w:eastAsia="Arial" w:hAnsi="Verdana" w:cs="Arial"/>
          <w:color w:val="000000"/>
          <w:lang w:val="es-ES_tradnl"/>
        </w:rPr>
        <w:t xml:space="preserve"> lo sostenido en concepto el C-837 de 28 de julio de 2025</w:t>
      </w:r>
      <w:r w:rsidR="00E72491">
        <w:rPr>
          <w:rFonts w:ascii="Verdana" w:eastAsia="Arial" w:hAnsi="Verdana" w:cs="Arial"/>
          <w:color w:val="000000"/>
          <w:lang w:val="es-ES_tradnl"/>
        </w:rPr>
        <w:t xml:space="preserve">, </w:t>
      </w:r>
      <w:r w:rsidR="005A0517">
        <w:rPr>
          <w:rFonts w:ascii="Verdana" w:eastAsia="Arial" w:hAnsi="Verdana" w:cs="Arial"/>
          <w:color w:val="000000"/>
          <w:lang w:val="es-ES_tradnl"/>
        </w:rPr>
        <w:t>l</w:t>
      </w:r>
      <w:r w:rsidR="005A0517" w:rsidRPr="00FC5438">
        <w:rPr>
          <w:rFonts w:ascii="Verdana" w:eastAsia="Arial" w:hAnsi="Verdana" w:cs="Arial"/>
          <w:color w:val="000000"/>
          <w:lang w:val="es-ES_tradnl"/>
        </w:rPr>
        <w:t>a</w:t>
      </w:r>
      <w:r w:rsidR="005A0517">
        <w:rPr>
          <w:rFonts w:ascii="Verdana" w:eastAsia="Arial" w:hAnsi="Verdana" w:cs="Arial"/>
          <w:color w:val="000000"/>
          <w:lang w:val="es-ES_tradnl"/>
        </w:rPr>
        <w:t>s</w:t>
      </w:r>
      <w:r w:rsidR="005A0517" w:rsidRPr="00FC5438">
        <w:rPr>
          <w:rFonts w:ascii="Verdana" w:eastAsia="Arial" w:hAnsi="Verdana" w:cs="Arial"/>
          <w:color w:val="000000"/>
          <w:lang w:val="es-ES_tradnl"/>
        </w:rPr>
        <w:t xml:space="preserve"> </w:t>
      </w:r>
      <w:r w:rsidR="005A0517">
        <w:rPr>
          <w:rFonts w:ascii="Verdana" w:eastAsia="Arial" w:hAnsi="Verdana" w:cs="Arial"/>
          <w:color w:val="000000"/>
          <w:lang w:val="es-ES_tradnl"/>
        </w:rPr>
        <w:t>e</w:t>
      </w:r>
      <w:r w:rsidR="005A0517" w:rsidRPr="00FC5438">
        <w:rPr>
          <w:rFonts w:ascii="Verdana" w:eastAsia="Arial" w:hAnsi="Verdana" w:cs="Arial"/>
          <w:color w:val="000000"/>
          <w:lang w:val="es-ES_tradnl"/>
        </w:rPr>
        <w:t xml:space="preserve">ntidades </w:t>
      </w:r>
      <w:r w:rsidR="005A0517">
        <w:rPr>
          <w:rFonts w:ascii="Verdana" w:eastAsia="Arial" w:hAnsi="Verdana" w:cs="Arial"/>
          <w:color w:val="000000"/>
          <w:lang w:val="es-ES_tradnl"/>
        </w:rPr>
        <w:t>e</w:t>
      </w:r>
      <w:r w:rsidR="005A0517" w:rsidRPr="00FC5438">
        <w:rPr>
          <w:rFonts w:ascii="Verdana" w:eastAsia="Arial" w:hAnsi="Verdana" w:cs="Arial"/>
          <w:color w:val="000000"/>
          <w:lang w:val="es-ES_tradnl"/>
        </w:rPr>
        <w:t xml:space="preserve">statales están obligadas a aplicar el incentivo de convocatorias limitadas a </w:t>
      </w:r>
      <w:proofErr w:type="spellStart"/>
      <w:r w:rsidR="005A0517" w:rsidRPr="00FC5438">
        <w:rPr>
          <w:rFonts w:ascii="Verdana" w:eastAsia="Arial" w:hAnsi="Verdana" w:cs="Arial"/>
          <w:color w:val="000000"/>
          <w:lang w:val="es-ES_tradnl"/>
        </w:rPr>
        <w:t>Mipyme</w:t>
      </w:r>
      <w:proofErr w:type="spellEnd"/>
      <w:r w:rsidR="005A0517" w:rsidRPr="00FC5438">
        <w:rPr>
          <w:rFonts w:ascii="Verdana" w:eastAsia="Arial" w:hAnsi="Verdana" w:cs="Arial"/>
          <w:color w:val="000000"/>
          <w:lang w:val="es-ES_tradnl"/>
        </w:rPr>
        <w:t xml:space="preserve"> cuando se reúnan los requisitos establecidos en el artículo 2.2.1.2.4.2.2</w:t>
      </w:r>
      <w:r w:rsidR="005A0517">
        <w:rPr>
          <w:rFonts w:ascii="Verdana" w:eastAsia="Arial" w:hAnsi="Verdana" w:cs="Arial"/>
          <w:color w:val="000000"/>
          <w:lang w:val="es-ES_tradnl"/>
        </w:rPr>
        <w:t xml:space="preserve"> del Decreto 1082 de 2015</w:t>
      </w:r>
      <w:r w:rsidR="005A0517" w:rsidRPr="00FC5438">
        <w:rPr>
          <w:rFonts w:ascii="Verdana" w:eastAsia="Arial" w:hAnsi="Verdana" w:cs="Arial"/>
          <w:color w:val="000000"/>
          <w:lang w:val="es-ES_tradnl"/>
        </w:rPr>
        <w:t>, sin importar el objeto del contrato</w:t>
      </w:r>
      <w:r w:rsidR="0044295D">
        <w:rPr>
          <w:rFonts w:ascii="Verdana" w:eastAsia="Arial" w:hAnsi="Verdana" w:cs="Arial"/>
          <w:color w:val="000000"/>
          <w:lang w:val="es-ES_tradnl"/>
        </w:rPr>
        <w:t xml:space="preserve">, </w:t>
      </w:r>
      <w:r w:rsidR="00C05475">
        <w:rPr>
          <w:rFonts w:ascii="Verdana" w:eastAsia="Arial" w:hAnsi="Verdana" w:cs="Arial"/>
          <w:color w:val="000000"/>
          <w:lang w:val="es-ES_tradnl"/>
        </w:rPr>
        <w:t xml:space="preserve">lo </w:t>
      </w:r>
      <w:r w:rsidR="00C05475">
        <w:rPr>
          <w:rFonts w:ascii="Verdana" w:eastAsia="Arial" w:hAnsi="Verdana" w:cs="Arial"/>
          <w:color w:val="000000"/>
          <w:lang w:val="es-ES_tradnl"/>
        </w:rPr>
        <w:lastRenderedPageBreak/>
        <w:t xml:space="preserve">cual incluye </w:t>
      </w:r>
      <w:r w:rsidR="005A0517">
        <w:rPr>
          <w:rFonts w:ascii="Verdana" w:eastAsia="Arial" w:hAnsi="Verdana" w:cs="Arial"/>
          <w:color w:val="000000"/>
          <w:lang w:val="es-ES_tradnl"/>
        </w:rPr>
        <w:t xml:space="preserve"> </w:t>
      </w:r>
      <w:r w:rsidR="005A0517" w:rsidRPr="00FC5438">
        <w:rPr>
          <w:rFonts w:ascii="Verdana" w:eastAsia="Arial" w:hAnsi="Verdana" w:cs="Arial"/>
          <w:color w:val="000000"/>
          <w:lang w:val="es-ES_tradnl"/>
        </w:rPr>
        <w:t xml:space="preserve">que el valor del </w:t>
      </w:r>
      <w:r w:rsidR="005A0517">
        <w:rPr>
          <w:rFonts w:ascii="Verdana" w:eastAsia="Arial" w:hAnsi="Verdana" w:cs="Arial"/>
          <w:color w:val="000000"/>
          <w:lang w:val="es-ES_tradnl"/>
        </w:rPr>
        <w:t>p</w:t>
      </w:r>
      <w:r w:rsidR="005A0517" w:rsidRPr="00FC5438">
        <w:rPr>
          <w:rFonts w:ascii="Verdana" w:eastAsia="Arial" w:hAnsi="Verdana" w:cs="Arial"/>
          <w:color w:val="000000"/>
          <w:lang w:val="es-ES_tradnl"/>
        </w:rPr>
        <w:t xml:space="preserve">roceso de </w:t>
      </w:r>
      <w:r w:rsidR="005A0517">
        <w:rPr>
          <w:rFonts w:ascii="Verdana" w:eastAsia="Arial" w:hAnsi="Verdana" w:cs="Arial"/>
          <w:color w:val="000000"/>
          <w:lang w:val="es-ES_tradnl"/>
        </w:rPr>
        <w:t>c</w:t>
      </w:r>
      <w:r w:rsidR="005A0517" w:rsidRPr="00FC5438">
        <w:rPr>
          <w:rFonts w:ascii="Verdana" w:eastAsia="Arial" w:hAnsi="Verdana" w:cs="Arial"/>
          <w:color w:val="000000"/>
          <w:lang w:val="es-ES_tradnl"/>
        </w:rPr>
        <w:t xml:space="preserve">ontratación sea menor a US$125.000, </w:t>
      </w:r>
      <w:r w:rsidR="00E92FC9">
        <w:rPr>
          <w:rFonts w:ascii="Verdana" w:eastAsia="Arial" w:hAnsi="Verdana" w:cs="Arial"/>
          <w:color w:val="000000"/>
          <w:lang w:val="es-ES_tradnl"/>
        </w:rPr>
        <w:t>lo que se cumple</w:t>
      </w:r>
      <w:r w:rsidR="005A0517" w:rsidRPr="00FC5438">
        <w:rPr>
          <w:rFonts w:ascii="Verdana" w:eastAsia="Arial" w:hAnsi="Verdana" w:cs="Arial"/>
          <w:color w:val="000000"/>
          <w:lang w:val="es-ES_tradnl"/>
        </w:rPr>
        <w:t xml:space="preserve"> cuando no se generen erogaciones presupuestales o cuando la cuantía del Proceso de Contratación sea cero (0)</w:t>
      </w:r>
      <w:r w:rsidR="005A0517">
        <w:rPr>
          <w:rFonts w:ascii="Verdana" w:eastAsia="Arial" w:hAnsi="Verdana" w:cs="Arial"/>
          <w:color w:val="000000"/>
          <w:lang w:val="es-ES_tradnl"/>
        </w:rPr>
        <w:t xml:space="preserve">. </w:t>
      </w:r>
      <w:r w:rsidR="005A0517">
        <w:rPr>
          <w:rFonts w:ascii="Verdana" w:hAnsi="Verdana" w:cs="Arial"/>
          <w:lang w:val="es-ES"/>
        </w:rPr>
        <w:t xml:space="preserve">Lo anterior conforme a la directriz interpretativa del artículo 31 del Código Civil, según la cual </w:t>
      </w:r>
      <w:r w:rsidR="005A0517" w:rsidRPr="005D7CD5">
        <w:rPr>
          <w:rFonts w:ascii="Verdana" w:hAnsi="Verdana" w:cs="Arial"/>
          <w:lang w:val="es-ES"/>
        </w:rPr>
        <w:t>“Lo favorable u odioso de una disposición no se tomará en cuenta para ampliar o restringir su interpretació</w:t>
      </w:r>
      <w:r w:rsidR="005A0517">
        <w:rPr>
          <w:rFonts w:ascii="Verdana" w:hAnsi="Verdana" w:cs="Arial"/>
          <w:lang w:val="es-ES"/>
        </w:rPr>
        <w:t xml:space="preserve">n. </w:t>
      </w:r>
      <w:r w:rsidR="005A0517" w:rsidRPr="00E51648">
        <w:rPr>
          <w:rFonts w:ascii="Verdana" w:hAnsi="Verdana" w:cs="Arial"/>
          <w:lang w:val="es-ES"/>
        </w:rPr>
        <w:t>La extensión que deba darse a toda ley se determinará por su genuino sentido</w:t>
      </w:r>
      <w:r w:rsidR="005A0517">
        <w:rPr>
          <w:rFonts w:ascii="Verdana" w:hAnsi="Verdana" w:cs="Arial"/>
          <w:lang w:val="es-ES"/>
        </w:rPr>
        <w:t xml:space="preserve"> […]”</w:t>
      </w:r>
      <w:r w:rsidR="005A0517">
        <w:rPr>
          <w:rStyle w:val="Refdenotaalpie"/>
          <w:rFonts w:ascii="Verdana" w:hAnsi="Verdana" w:cs="Arial"/>
          <w:lang w:val="es-ES"/>
        </w:rPr>
        <w:footnoteReference w:id="1"/>
      </w:r>
      <w:r w:rsidR="005A0517">
        <w:rPr>
          <w:rFonts w:ascii="Verdana" w:hAnsi="Verdana" w:cs="Arial"/>
          <w:lang w:val="es-ES"/>
        </w:rPr>
        <w:t>.</w:t>
      </w:r>
    </w:p>
    <w:p w14:paraId="74D56A34" w14:textId="77777777" w:rsidR="005A0517" w:rsidRPr="00FC5438" w:rsidRDefault="005A0517" w:rsidP="005A0517">
      <w:pPr>
        <w:spacing w:after="0" w:line="276" w:lineRule="auto"/>
        <w:ind w:firstLine="709"/>
        <w:jc w:val="both"/>
        <w:rPr>
          <w:rFonts w:ascii="Verdana" w:eastAsia="Calibri" w:hAnsi="Verdana" w:cs="Arial"/>
          <w:lang w:val="es-ES"/>
        </w:rPr>
      </w:pPr>
      <w:r w:rsidRPr="4B3F5FD1">
        <w:rPr>
          <w:rFonts w:ascii="Verdana" w:eastAsia="Calibri" w:hAnsi="Verdana" w:cs="Arial"/>
          <w:lang w:val="es-ES"/>
        </w:rPr>
        <w:t>En relación con las limitaciones territorial</w:t>
      </w:r>
      <w:r w:rsidRPr="4B3F5FD1">
        <w:rPr>
          <w:rFonts w:ascii="Verdana" w:hAnsi="Verdana" w:cs="Arial"/>
          <w:lang w:val="es-ES"/>
        </w:rPr>
        <w:t xml:space="preserve">es de las convocatorias a </w:t>
      </w:r>
      <w:proofErr w:type="spellStart"/>
      <w:r w:rsidRPr="4B3F5FD1">
        <w:rPr>
          <w:rFonts w:ascii="Verdana" w:hAnsi="Verdana" w:cs="Arial"/>
          <w:lang w:val="es-ES"/>
        </w:rPr>
        <w:t>Mipyme</w:t>
      </w:r>
      <w:proofErr w:type="spellEnd"/>
      <w:r w:rsidRPr="4B3F5FD1">
        <w:rPr>
          <w:rFonts w:ascii="Verdana" w:hAnsi="Verdana" w:cs="Arial"/>
          <w:lang w:val="es-ES"/>
        </w:rPr>
        <w:t xml:space="preserve">, </w:t>
      </w:r>
      <w:r w:rsidRPr="4B3F5FD1">
        <w:rPr>
          <w:rFonts w:ascii="Verdana" w:eastAsia="Calibri" w:hAnsi="Verdana" w:cs="Arial"/>
          <w:lang w:val="es-ES"/>
        </w:rPr>
        <w:t xml:space="preserve"> a la luz del antiguo artículo 2.2.1.2.4.2.3 del Decreto 1082 de 2015, esta Agencia –</w:t>
      </w:r>
      <w:r w:rsidRPr="4B3F5FD1">
        <w:rPr>
          <w:rFonts w:ascii="Verdana" w:hAnsi="Verdana" w:cs="Arial"/>
          <w:lang w:val="es-ES"/>
        </w:rPr>
        <w:t>en los Conceptos 4201714000006924 del 29 de enero de 2018,</w:t>
      </w:r>
      <w:r w:rsidRPr="4B3F5FD1">
        <w:rPr>
          <w:rFonts w:ascii="Verdana" w:eastAsia="Calibri" w:hAnsi="Verdana" w:cs="Arial"/>
          <w:lang w:val="es-ES"/>
        </w:rPr>
        <w:t xml:space="preserve"> C-045 del 17 de marzo de 2020, C-162 del 16 de abril de 2020, C-214 del 21 de abril de 2020, C-258 del 17 de abril de 2020, C-364 del 4 de junio de 2020, C-413 del 30 de junio de 2020</w:t>
      </w:r>
      <w:r w:rsidRPr="4B3F5FD1">
        <w:rPr>
          <w:rFonts w:ascii="Verdana" w:hAnsi="Verdana" w:cs="Arial"/>
          <w:lang w:val="es-ES"/>
        </w:rPr>
        <w:t xml:space="preserve">, </w:t>
      </w:r>
      <w:r w:rsidRPr="4B3F5FD1">
        <w:rPr>
          <w:rFonts w:ascii="Verdana" w:eastAsia="Calibri" w:hAnsi="Verdana" w:cs="Arial"/>
          <w:lang w:val="es-ES"/>
        </w:rPr>
        <w:t xml:space="preserve">C-492 del 24 de julio de 2020, C-523 del 11 de agosto de 2020, C-610 del 14 de septiembre de 2020 y C-700 de 1 de diciembre de 2020– había sostenido que, para que se permitiera la participación de una </w:t>
      </w:r>
      <w:proofErr w:type="spellStart"/>
      <w:r w:rsidRPr="4B3F5FD1">
        <w:rPr>
          <w:rFonts w:ascii="Verdana" w:eastAsia="Calibri" w:hAnsi="Verdana" w:cs="Arial"/>
          <w:lang w:val="es-ES"/>
        </w:rPr>
        <w:t>Mipyme</w:t>
      </w:r>
      <w:proofErr w:type="spellEnd"/>
      <w:r w:rsidRPr="4B3F5FD1">
        <w:rPr>
          <w:rFonts w:ascii="Verdana" w:eastAsia="Calibri" w:hAnsi="Verdana" w:cs="Arial"/>
          <w:lang w:val="es-ES"/>
        </w:rPr>
        <w:t xml:space="preserve"> en uno de estos procesos, era necesario que esta demostrara estar domiciliada en el municipio o departamento en el que se ejecutaría el contrato. La tesis se expuso en los siguientes términos: </w:t>
      </w:r>
    </w:p>
    <w:p w14:paraId="3A585530" w14:textId="77777777" w:rsidR="005A0517" w:rsidRPr="00FC5438" w:rsidRDefault="005A0517" w:rsidP="005A0517">
      <w:pPr>
        <w:spacing w:after="0" w:line="276" w:lineRule="auto"/>
        <w:ind w:firstLine="709"/>
        <w:jc w:val="both"/>
        <w:rPr>
          <w:rFonts w:ascii="Verdana" w:eastAsia="Calibri" w:hAnsi="Verdana" w:cs="Arial"/>
          <w:lang w:val="es-ES_tradnl"/>
        </w:rPr>
      </w:pPr>
    </w:p>
    <w:p w14:paraId="69C8D57F" w14:textId="77777777" w:rsidR="005A0517" w:rsidRPr="00FC5438" w:rsidRDefault="005A0517" w:rsidP="005A0517">
      <w:pPr>
        <w:spacing w:after="120" w:line="240" w:lineRule="auto"/>
        <w:ind w:left="709" w:right="709"/>
        <w:jc w:val="both"/>
        <w:rPr>
          <w:rFonts w:ascii="Verdana" w:hAnsi="Verdana" w:cs="Arial"/>
          <w:sz w:val="21"/>
          <w:szCs w:val="21"/>
          <w:lang w:val="es-ES"/>
        </w:rPr>
      </w:pPr>
      <w:r w:rsidRPr="4B3F5FD1">
        <w:rPr>
          <w:rFonts w:ascii="Verdana" w:hAnsi="Verdana" w:cs="Arial"/>
          <w:sz w:val="21"/>
          <w:szCs w:val="21"/>
          <w:lang w:val="es-ES"/>
        </w:rPr>
        <w:t xml:space="preserve">“Es de resaltar que </w:t>
      </w:r>
      <w:r w:rsidRPr="4B3F5FD1">
        <w:rPr>
          <w:rFonts w:ascii="Verdana" w:hAnsi="Verdana" w:cs="Arial"/>
          <w:i/>
          <w:sz w:val="21"/>
          <w:szCs w:val="21"/>
          <w:lang w:val="es-ES"/>
        </w:rPr>
        <w:t xml:space="preserve">estas normas se refieren a las </w:t>
      </w:r>
      <w:proofErr w:type="spellStart"/>
      <w:r w:rsidRPr="4B3F5FD1">
        <w:rPr>
          <w:rFonts w:ascii="Verdana" w:hAnsi="Verdana" w:cs="Arial"/>
          <w:i/>
          <w:sz w:val="21"/>
          <w:szCs w:val="21"/>
          <w:lang w:val="es-ES"/>
        </w:rPr>
        <w:t>Mipymes</w:t>
      </w:r>
      <w:proofErr w:type="spellEnd"/>
      <w:r w:rsidRPr="4B3F5FD1">
        <w:rPr>
          <w:rFonts w:ascii="Verdana" w:hAnsi="Verdana" w:cs="Arial"/>
          <w:i/>
          <w:sz w:val="21"/>
          <w:szCs w:val="21"/>
          <w:lang w:val="es-ES"/>
        </w:rPr>
        <w:t xml:space="preserve"> nacionales genéricamente y, particularmente, a las </w:t>
      </w:r>
      <w:proofErr w:type="spellStart"/>
      <w:r w:rsidRPr="4B3F5FD1">
        <w:rPr>
          <w:rFonts w:ascii="Verdana" w:hAnsi="Verdana" w:cs="Arial"/>
          <w:i/>
          <w:sz w:val="21"/>
          <w:szCs w:val="21"/>
          <w:lang w:val="es-ES"/>
        </w:rPr>
        <w:t>Mipymes</w:t>
      </w:r>
      <w:proofErr w:type="spellEnd"/>
      <w:r w:rsidRPr="4B3F5FD1">
        <w:rPr>
          <w:rFonts w:ascii="Verdana" w:hAnsi="Verdana" w:cs="Arial"/>
          <w:i/>
          <w:sz w:val="21"/>
          <w:szCs w:val="21"/>
          <w:lang w:val="es-ES"/>
        </w:rPr>
        <w:t xml:space="preserve"> nacionales ‘domiciliadas en los departamentos o municipios en donde se va a ejecutar el contrato’.</w:t>
      </w:r>
      <w:r w:rsidRPr="4B3F5FD1">
        <w:rPr>
          <w:rFonts w:ascii="Verdana" w:hAnsi="Verdana" w:cs="Arial"/>
          <w:sz w:val="21"/>
          <w:szCs w:val="21"/>
          <w:lang w:val="es-ES"/>
        </w:rPr>
        <w:t xml:space="preserve"> En ambos casos se refiere a </w:t>
      </w:r>
      <w:proofErr w:type="spellStart"/>
      <w:r w:rsidRPr="4B3F5FD1">
        <w:rPr>
          <w:rFonts w:ascii="Verdana" w:hAnsi="Verdana" w:cs="Arial"/>
          <w:sz w:val="21"/>
          <w:szCs w:val="21"/>
          <w:lang w:val="es-ES"/>
        </w:rPr>
        <w:t>Mipymes</w:t>
      </w:r>
      <w:proofErr w:type="spellEnd"/>
      <w:r w:rsidRPr="4B3F5FD1">
        <w:rPr>
          <w:rFonts w:ascii="Verdana" w:hAnsi="Verdana" w:cs="Arial"/>
          <w:sz w:val="21"/>
          <w:szCs w:val="21"/>
          <w:lang w:val="es-ES"/>
        </w:rPr>
        <w:t xml:space="preserve"> nacionales, distinguiéndolas de las empresas extranjeras. Del artículo 2.2.1.2.4.2.3 del Decreto 1082 de 2015 no se deriva que existan </w:t>
      </w:r>
      <w:proofErr w:type="spellStart"/>
      <w:r w:rsidRPr="4B3F5FD1">
        <w:rPr>
          <w:rFonts w:ascii="Verdana" w:hAnsi="Verdana" w:cs="Arial"/>
          <w:sz w:val="21"/>
          <w:szCs w:val="21"/>
          <w:lang w:val="es-ES"/>
        </w:rPr>
        <w:t>Mipymes</w:t>
      </w:r>
      <w:proofErr w:type="spellEnd"/>
      <w:r w:rsidRPr="4B3F5FD1">
        <w:rPr>
          <w:rFonts w:ascii="Verdana" w:hAnsi="Verdana" w:cs="Arial"/>
          <w:sz w:val="21"/>
          <w:szCs w:val="21"/>
          <w:lang w:val="es-ES"/>
        </w:rPr>
        <w:t xml:space="preserve"> del orden territorial. Esta categoría no existe en el ordenamiento jurídico. En ese sentido, toda empresa constituida bajo </w:t>
      </w:r>
      <w:r w:rsidRPr="4B3F5FD1">
        <w:rPr>
          <w:rFonts w:ascii="Verdana" w:hAnsi="Verdana" w:cs="Arial"/>
          <w:sz w:val="21"/>
          <w:szCs w:val="21"/>
          <w:lang w:val="es-ES"/>
        </w:rPr>
        <w:lastRenderedPageBreak/>
        <w:t xml:space="preserve">las leyes colombianas o que tenga su domicilio principal en el territorio colombiano y, además, cumpla los criterios previstos por la Ley 590 de 2000 y el Decreto 957 de 2019, será considerada </w:t>
      </w:r>
      <w:proofErr w:type="spellStart"/>
      <w:r w:rsidRPr="4B3F5FD1">
        <w:rPr>
          <w:rFonts w:ascii="Verdana" w:hAnsi="Verdana" w:cs="Arial"/>
          <w:sz w:val="21"/>
          <w:szCs w:val="21"/>
          <w:lang w:val="es-ES"/>
        </w:rPr>
        <w:t>Mipymes</w:t>
      </w:r>
      <w:proofErr w:type="spellEnd"/>
      <w:r w:rsidRPr="4B3F5FD1">
        <w:rPr>
          <w:rFonts w:ascii="Verdana" w:hAnsi="Verdana" w:cs="Arial"/>
          <w:sz w:val="21"/>
          <w:szCs w:val="21"/>
          <w:lang w:val="es-ES"/>
        </w:rPr>
        <w:t xml:space="preserve"> del orden nacional. Otra cosa es que las normas de contratación permitan que las </w:t>
      </w:r>
      <w:proofErr w:type="spellStart"/>
      <w:r w:rsidRPr="4B3F5FD1">
        <w:rPr>
          <w:rFonts w:ascii="Verdana" w:hAnsi="Verdana" w:cs="Arial"/>
          <w:sz w:val="21"/>
          <w:szCs w:val="21"/>
          <w:lang w:val="es-ES"/>
        </w:rPr>
        <w:t>Mipymes</w:t>
      </w:r>
      <w:proofErr w:type="spellEnd"/>
      <w:r w:rsidRPr="4B3F5FD1">
        <w:rPr>
          <w:rFonts w:ascii="Verdana" w:hAnsi="Verdana" w:cs="Arial"/>
          <w:sz w:val="21"/>
          <w:szCs w:val="21"/>
          <w:lang w:val="es-ES"/>
        </w:rPr>
        <w:t xml:space="preserve"> nacionales con ‘domicilio’ en un municipio o departamento puedan beneficiarse en la ejecución de un contrato dentro de la entidad territorial en la que tienen su ‘domicilio’. De todos modos, las </w:t>
      </w:r>
      <w:proofErr w:type="spellStart"/>
      <w:r w:rsidRPr="4B3F5FD1">
        <w:rPr>
          <w:rFonts w:ascii="Verdana" w:hAnsi="Verdana" w:cs="Arial"/>
          <w:sz w:val="21"/>
          <w:szCs w:val="21"/>
          <w:lang w:val="es-ES"/>
        </w:rPr>
        <w:t>Mipymes</w:t>
      </w:r>
      <w:proofErr w:type="spellEnd"/>
      <w:r w:rsidRPr="4B3F5FD1">
        <w:rPr>
          <w:rFonts w:ascii="Verdana" w:hAnsi="Verdana" w:cs="Arial"/>
          <w:sz w:val="21"/>
          <w:szCs w:val="21"/>
          <w:lang w:val="es-ES"/>
        </w:rPr>
        <w:t xml:space="preserve"> domiciliadas en un municipio o departamento son </w:t>
      </w:r>
      <w:proofErr w:type="spellStart"/>
      <w:r w:rsidRPr="4B3F5FD1">
        <w:rPr>
          <w:rFonts w:ascii="Verdana" w:hAnsi="Verdana" w:cs="Arial"/>
          <w:sz w:val="21"/>
          <w:szCs w:val="21"/>
          <w:lang w:val="es-ES"/>
        </w:rPr>
        <w:t>Mipymes</w:t>
      </w:r>
      <w:proofErr w:type="spellEnd"/>
      <w:r w:rsidRPr="4B3F5FD1">
        <w:rPr>
          <w:rFonts w:ascii="Verdana" w:hAnsi="Verdana" w:cs="Arial"/>
          <w:sz w:val="21"/>
          <w:szCs w:val="21"/>
          <w:lang w:val="es-ES"/>
        </w:rPr>
        <w:t xml:space="preserve"> nacionales. En consecuencia, no es procedente distinguir entre </w:t>
      </w:r>
      <w:proofErr w:type="spellStart"/>
      <w:r w:rsidRPr="4B3F5FD1">
        <w:rPr>
          <w:rFonts w:ascii="Verdana" w:hAnsi="Verdana" w:cs="Arial"/>
          <w:sz w:val="21"/>
          <w:szCs w:val="21"/>
          <w:lang w:val="es-ES"/>
        </w:rPr>
        <w:t>Mipymes</w:t>
      </w:r>
      <w:proofErr w:type="spellEnd"/>
      <w:r w:rsidRPr="4B3F5FD1">
        <w:rPr>
          <w:rFonts w:ascii="Verdana" w:hAnsi="Verdana" w:cs="Arial"/>
          <w:sz w:val="21"/>
          <w:szCs w:val="21"/>
          <w:lang w:val="es-ES"/>
        </w:rPr>
        <w:t xml:space="preserve"> nacionales y </w:t>
      </w:r>
      <w:proofErr w:type="spellStart"/>
      <w:r w:rsidRPr="4B3F5FD1">
        <w:rPr>
          <w:rFonts w:ascii="Verdana" w:hAnsi="Verdana" w:cs="Arial"/>
          <w:sz w:val="21"/>
          <w:szCs w:val="21"/>
          <w:lang w:val="es-ES"/>
        </w:rPr>
        <w:t>Mipymes</w:t>
      </w:r>
      <w:proofErr w:type="spellEnd"/>
      <w:r w:rsidRPr="4B3F5FD1">
        <w:rPr>
          <w:rFonts w:ascii="Verdana" w:hAnsi="Verdana" w:cs="Arial"/>
          <w:sz w:val="21"/>
          <w:szCs w:val="21"/>
          <w:lang w:val="es-ES"/>
        </w:rPr>
        <w:t xml:space="preserve"> municipales o departamentales, habida cuenta que estas últimas no existen como categoría dentro del ordenamiento normativo.</w:t>
      </w:r>
    </w:p>
    <w:p w14:paraId="58B358C7" w14:textId="77777777" w:rsidR="005A0517" w:rsidRPr="00FC5438" w:rsidRDefault="005A0517" w:rsidP="005A0517">
      <w:pPr>
        <w:spacing w:after="0" w:line="240" w:lineRule="auto"/>
        <w:ind w:left="709" w:right="709"/>
        <w:jc w:val="both"/>
        <w:rPr>
          <w:rFonts w:ascii="Verdana" w:hAnsi="Verdana" w:cs="Arial"/>
          <w:sz w:val="21"/>
          <w:szCs w:val="21"/>
          <w:lang w:val="es-ES"/>
        </w:rPr>
      </w:pPr>
      <w:r w:rsidRPr="4B3F5FD1">
        <w:rPr>
          <w:rFonts w:ascii="Verdana" w:hAnsi="Verdana" w:cs="Arial"/>
          <w:sz w:val="21"/>
          <w:szCs w:val="21"/>
          <w:lang w:val="es-ES"/>
        </w:rPr>
        <w:t xml:space="preserve">Igualmente, se debe precisar que </w:t>
      </w:r>
      <w:r w:rsidRPr="4B3F5FD1">
        <w:rPr>
          <w:rFonts w:ascii="Verdana" w:hAnsi="Verdana" w:cs="Arial"/>
          <w:i/>
          <w:sz w:val="21"/>
          <w:szCs w:val="21"/>
          <w:lang w:val="es-ES"/>
        </w:rPr>
        <w:t>el artículo 2.2.1.2.4.2.3 del Decreto 1082 de 2015 se refiere a las ‘</w:t>
      </w:r>
      <w:proofErr w:type="spellStart"/>
      <w:r w:rsidRPr="4B3F5FD1">
        <w:rPr>
          <w:rFonts w:ascii="Verdana" w:hAnsi="Verdana" w:cs="Arial"/>
          <w:i/>
          <w:sz w:val="21"/>
          <w:szCs w:val="21"/>
          <w:lang w:val="es-ES"/>
        </w:rPr>
        <w:t>Mipyme</w:t>
      </w:r>
      <w:proofErr w:type="spellEnd"/>
      <w:r w:rsidRPr="4B3F5FD1">
        <w:rPr>
          <w:rFonts w:ascii="Verdana" w:hAnsi="Verdana" w:cs="Arial"/>
          <w:i/>
          <w:sz w:val="21"/>
          <w:szCs w:val="21"/>
          <w:lang w:val="es-ES"/>
        </w:rPr>
        <w:t xml:space="preserve"> nacionales domiciliadas en los departamentos o municipios en donde se va a ejecutar el contrato’ ‘cursivas propias’, esto es, al ‘domicilio’ y no a las ‘sucursales’. Esta distinción es importante porque el beneficio normativo únicamente aplica en el lugar en el que la </w:t>
      </w:r>
      <w:proofErr w:type="spellStart"/>
      <w:r w:rsidRPr="4B3F5FD1">
        <w:rPr>
          <w:rFonts w:ascii="Verdana" w:hAnsi="Verdana" w:cs="Arial"/>
          <w:i/>
          <w:sz w:val="21"/>
          <w:szCs w:val="21"/>
          <w:lang w:val="es-ES"/>
        </w:rPr>
        <w:t>Mipyme</w:t>
      </w:r>
      <w:proofErr w:type="spellEnd"/>
      <w:r w:rsidRPr="4B3F5FD1">
        <w:rPr>
          <w:rFonts w:ascii="Verdana" w:hAnsi="Verdana" w:cs="Arial"/>
          <w:i/>
          <w:sz w:val="21"/>
          <w:szCs w:val="21"/>
          <w:lang w:val="es-ES"/>
        </w:rPr>
        <w:t xml:space="preserve"> tiene su ‘domicilio’, y no en donde tiene sucursales</w:t>
      </w:r>
      <w:r w:rsidRPr="4B3F5FD1">
        <w:rPr>
          <w:rFonts w:ascii="Verdana" w:hAnsi="Verdana" w:cs="Arial"/>
          <w:sz w:val="21"/>
          <w:szCs w:val="21"/>
          <w:lang w:val="es-ES"/>
        </w:rPr>
        <w:t>”</w:t>
      </w:r>
      <w:r w:rsidRPr="4B3F5FD1">
        <w:rPr>
          <w:rStyle w:val="Refdenotaalpie"/>
          <w:rFonts w:ascii="Verdana" w:hAnsi="Verdana" w:cs="Arial"/>
          <w:sz w:val="21"/>
          <w:szCs w:val="21"/>
          <w:lang w:val="es-ES"/>
        </w:rPr>
        <w:footnoteReference w:id="2"/>
      </w:r>
      <w:r w:rsidRPr="4B3F5FD1">
        <w:rPr>
          <w:rFonts w:ascii="Verdana" w:hAnsi="Verdana" w:cs="Arial"/>
          <w:sz w:val="21"/>
          <w:szCs w:val="21"/>
          <w:lang w:val="es-ES"/>
        </w:rPr>
        <w:t>. (Énfasis fuera de texto)</w:t>
      </w:r>
    </w:p>
    <w:p w14:paraId="7361BCDB" w14:textId="77777777" w:rsidR="005A0517" w:rsidRPr="00FC5438" w:rsidRDefault="005A0517" w:rsidP="005A0517">
      <w:pPr>
        <w:spacing w:after="0" w:line="276" w:lineRule="auto"/>
        <w:ind w:left="709" w:right="709"/>
        <w:jc w:val="both"/>
        <w:rPr>
          <w:rFonts w:ascii="Verdana" w:hAnsi="Verdana" w:cs="Arial"/>
          <w:lang w:val="es-ES_tradnl"/>
        </w:rPr>
      </w:pPr>
    </w:p>
    <w:p w14:paraId="0797135A" w14:textId="77777777" w:rsidR="005A0517" w:rsidRPr="00FC5438" w:rsidRDefault="005A0517" w:rsidP="005A0517">
      <w:pPr>
        <w:spacing w:after="120" w:line="276" w:lineRule="auto"/>
        <w:ind w:firstLine="709"/>
        <w:jc w:val="both"/>
        <w:rPr>
          <w:rFonts w:ascii="Verdana" w:eastAsia="Calibri" w:hAnsi="Verdana" w:cs="Arial"/>
          <w:lang w:val="es-ES"/>
        </w:rPr>
      </w:pPr>
      <w:r w:rsidRPr="4B3F5FD1">
        <w:rPr>
          <w:rFonts w:ascii="Verdana" w:hAnsi="Verdana" w:cs="Arial"/>
          <w:lang w:val="es-ES"/>
        </w:rPr>
        <w:t xml:space="preserve">Como se aprecia, la postura sostenida por esta Agencia en vigencia del artículo </w:t>
      </w:r>
      <w:r w:rsidRPr="4B3F5FD1">
        <w:rPr>
          <w:rFonts w:ascii="Verdana" w:eastAsia="Calibri" w:hAnsi="Verdana" w:cs="Arial"/>
          <w:lang w:val="es-ES"/>
        </w:rPr>
        <w:t xml:space="preserve">2.2.1.2.4.2.3 del Decreto 1082 de 2015 no contemplaba la posibilidad de que una </w:t>
      </w:r>
      <w:proofErr w:type="spellStart"/>
      <w:r w:rsidRPr="4B3F5FD1">
        <w:rPr>
          <w:rFonts w:ascii="Verdana" w:eastAsia="Calibri" w:hAnsi="Verdana" w:cs="Arial"/>
          <w:lang w:val="es-ES"/>
        </w:rPr>
        <w:t>Mipyme</w:t>
      </w:r>
      <w:proofErr w:type="spellEnd"/>
      <w:r w:rsidRPr="4B3F5FD1">
        <w:rPr>
          <w:rFonts w:ascii="Verdana" w:eastAsia="Calibri" w:hAnsi="Verdana" w:cs="Arial"/>
          <w:lang w:val="es-ES"/>
        </w:rPr>
        <w:t xml:space="preserve"> domiciliada en un departamento o municipio diferentes al lugar de ejecución del contrato, en atención al cual se realiza la limitación territorial, participara en un proceso de selección por el hecho de tener una sucursal en este, puesto que lo relevante es el domicilio de la </w:t>
      </w:r>
      <w:proofErr w:type="spellStart"/>
      <w:r w:rsidRPr="4B3F5FD1">
        <w:rPr>
          <w:rFonts w:ascii="Verdana" w:eastAsia="Calibri" w:hAnsi="Verdana" w:cs="Arial"/>
          <w:lang w:val="es-ES"/>
        </w:rPr>
        <w:t>Mipyme</w:t>
      </w:r>
      <w:proofErr w:type="spellEnd"/>
      <w:r w:rsidRPr="4B3F5FD1">
        <w:rPr>
          <w:rFonts w:ascii="Verdana" w:eastAsia="Calibri" w:hAnsi="Verdana" w:cs="Arial"/>
          <w:lang w:val="es-ES"/>
        </w:rPr>
        <w:t xml:space="preserve">. </w:t>
      </w:r>
    </w:p>
    <w:p w14:paraId="49CE057D" w14:textId="77777777" w:rsidR="005A0517" w:rsidRPr="00FC5438" w:rsidRDefault="005A0517" w:rsidP="005A0517">
      <w:pPr>
        <w:spacing w:after="0" w:line="276" w:lineRule="auto"/>
        <w:ind w:firstLine="709"/>
        <w:jc w:val="both"/>
        <w:rPr>
          <w:rFonts w:ascii="Verdana" w:eastAsia="Calibri" w:hAnsi="Verdana" w:cs="Arial"/>
          <w:lang w:val="es-ES"/>
        </w:rPr>
      </w:pPr>
      <w:r w:rsidRPr="4B3F5FD1">
        <w:rPr>
          <w:rFonts w:ascii="Verdana" w:eastAsia="Calibri" w:hAnsi="Verdana" w:cs="Arial"/>
          <w:lang w:val="es-ES"/>
        </w:rPr>
        <w:t xml:space="preserve">Ahora bien, el texto del actual artículo 2.2.1.2.4.2.3, modificado por el artículo 5 del Decreto 1860 de 2021, no cambia la tesis adoptada en conceptos anteriores de Colombia Compra Eficiente. Lo anterior en la medida en que, respecto al domicilio de las </w:t>
      </w:r>
      <w:proofErr w:type="spellStart"/>
      <w:r w:rsidRPr="4B3F5FD1">
        <w:rPr>
          <w:rFonts w:ascii="Verdana" w:eastAsia="Calibri" w:hAnsi="Verdana" w:cs="Arial"/>
          <w:lang w:val="es-ES"/>
        </w:rPr>
        <w:t>Mipyme</w:t>
      </w:r>
      <w:proofErr w:type="spellEnd"/>
      <w:r w:rsidRPr="4B3F5FD1">
        <w:rPr>
          <w:rFonts w:ascii="Verdana" w:eastAsia="Calibri" w:hAnsi="Verdana" w:cs="Arial"/>
          <w:lang w:val="es-ES"/>
        </w:rPr>
        <w:t xml:space="preserve"> en el departamento o municipio donde se ejecuta el contrato, la reglamentación no tuvo cambios; razón por la cual, las sucursales –como establecimientos de comercio en los términos del artículo 263 del Código de Comercio, independientemente de que pertenezcan a sociedad nacional o extranjera– no tienen la naturaleza de </w:t>
      </w:r>
      <w:proofErr w:type="spellStart"/>
      <w:r w:rsidRPr="4B3F5FD1">
        <w:rPr>
          <w:rFonts w:ascii="Verdana" w:eastAsia="Calibri" w:hAnsi="Verdana" w:cs="Arial"/>
          <w:lang w:val="es-ES"/>
        </w:rPr>
        <w:t>Mipymes</w:t>
      </w:r>
      <w:proofErr w:type="spellEnd"/>
      <w:r w:rsidRPr="4B3F5FD1">
        <w:rPr>
          <w:rFonts w:ascii="Verdana" w:eastAsia="Calibri" w:hAnsi="Verdana" w:cs="Arial"/>
          <w:lang w:val="es-ES"/>
        </w:rPr>
        <w:t xml:space="preserve"> ni son beneficiarias de las convocatorias limitadas. Así se desprende del texto de la norma que es del siguiente tenor: </w:t>
      </w:r>
    </w:p>
    <w:p w14:paraId="7FB5632C" w14:textId="77777777" w:rsidR="005A0517" w:rsidRPr="00FC5438" w:rsidRDefault="005A0517" w:rsidP="005A0517">
      <w:pPr>
        <w:spacing w:after="0"/>
        <w:ind w:right="709"/>
        <w:jc w:val="both"/>
        <w:rPr>
          <w:rFonts w:ascii="Verdana" w:hAnsi="Verdana" w:cs="Arial"/>
          <w:sz w:val="21"/>
          <w:szCs w:val="21"/>
          <w:lang w:val="es-ES_tradnl"/>
        </w:rPr>
      </w:pPr>
    </w:p>
    <w:p w14:paraId="6CAA9C39" w14:textId="77777777" w:rsidR="005A0517" w:rsidRPr="00FC5438" w:rsidRDefault="005A0517" w:rsidP="005A0517">
      <w:pPr>
        <w:spacing w:after="0" w:line="240" w:lineRule="auto"/>
        <w:ind w:left="709" w:right="709"/>
        <w:jc w:val="both"/>
        <w:rPr>
          <w:rFonts w:ascii="Verdana" w:hAnsi="Verdana" w:cs="Arial"/>
          <w:sz w:val="21"/>
          <w:szCs w:val="21"/>
          <w:lang w:val="es-ES_tradnl"/>
        </w:rPr>
      </w:pPr>
      <w:r w:rsidRPr="00FC5438">
        <w:rPr>
          <w:rFonts w:ascii="Verdana" w:hAnsi="Verdana" w:cs="Arial"/>
          <w:sz w:val="21"/>
          <w:szCs w:val="21"/>
          <w:lang w:val="es-ES_tradnl"/>
        </w:rPr>
        <w:t>ARTÍCULO  5. Modificaci</w:t>
      </w:r>
      <w:r w:rsidRPr="00FC5438">
        <w:rPr>
          <w:rFonts w:ascii="Verdana" w:hAnsi="Verdana" w:cs="Century Gothic"/>
          <w:sz w:val="21"/>
          <w:szCs w:val="21"/>
          <w:lang w:val="es-ES_tradnl"/>
        </w:rPr>
        <w:t>ó</w:t>
      </w:r>
      <w:r w:rsidRPr="00FC5438">
        <w:rPr>
          <w:rFonts w:ascii="Verdana" w:hAnsi="Verdana" w:cs="Arial"/>
          <w:sz w:val="21"/>
          <w:szCs w:val="21"/>
          <w:lang w:val="es-ES_tradnl"/>
        </w:rPr>
        <w:t>n de la Subsecci</w:t>
      </w:r>
      <w:r w:rsidRPr="00FC5438">
        <w:rPr>
          <w:rFonts w:ascii="Verdana" w:hAnsi="Verdana" w:cs="Century Gothic"/>
          <w:sz w:val="21"/>
          <w:szCs w:val="21"/>
          <w:lang w:val="es-ES_tradnl"/>
        </w:rPr>
        <w:t>ó</w:t>
      </w:r>
      <w:r w:rsidRPr="00FC5438">
        <w:rPr>
          <w:rFonts w:ascii="Verdana" w:hAnsi="Verdana" w:cs="Arial"/>
          <w:sz w:val="21"/>
          <w:szCs w:val="21"/>
          <w:lang w:val="es-ES_tradnl"/>
        </w:rPr>
        <w:t>n 2 de la Secci</w:t>
      </w:r>
      <w:r w:rsidRPr="00FC5438">
        <w:rPr>
          <w:rFonts w:ascii="Verdana" w:hAnsi="Verdana" w:cs="Century Gothic"/>
          <w:sz w:val="21"/>
          <w:szCs w:val="21"/>
          <w:lang w:val="es-ES_tradnl"/>
        </w:rPr>
        <w:t>ó</w:t>
      </w:r>
      <w:r w:rsidRPr="00FC5438">
        <w:rPr>
          <w:rFonts w:ascii="Verdana" w:hAnsi="Verdana" w:cs="Arial"/>
          <w:sz w:val="21"/>
          <w:szCs w:val="21"/>
          <w:lang w:val="es-ES_tradnl"/>
        </w:rPr>
        <w:t>n 4 del Cap</w:t>
      </w:r>
      <w:r w:rsidRPr="00FC5438">
        <w:rPr>
          <w:rFonts w:ascii="Verdana" w:hAnsi="Verdana" w:cs="Century Gothic"/>
          <w:sz w:val="21"/>
          <w:szCs w:val="21"/>
          <w:lang w:val="es-ES_tradnl"/>
        </w:rPr>
        <w:t>í</w:t>
      </w:r>
      <w:r w:rsidRPr="00FC5438">
        <w:rPr>
          <w:rFonts w:ascii="Verdana" w:hAnsi="Verdana" w:cs="Arial"/>
          <w:sz w:val="21"/>
          <w:szCs w:val="21"/>
          <w:lang w:val="es-ES_tradnl"/>
        </w:rPr>
        <w:t>tulo 2 del T</w:t>
      </w:r>
      <w:r w:rsidRPr="00FC5438">
        <w:rPr>
          <w:rFonts w:ascii="Verdana" w:hAnsi="Verdana" w:cs="Century Gothic"/>
          <w:sz w:val="21"/>
          <w:szCs w:val="21"/>
          <w:lang w:val="es-ES_tradnl"/>
        </w:rPr>
        <w:t>í</w:t>
      </w:r>
      <w:r w:rsidRPr="00FC5438">
        <w:rPr>
          <w:rFonts w:ascii="Verdana" w:hAnsi="Verdana" w:cs="Arial"/>
          <w:sz w:val="21"/>
          <w:szCs w:val="21"/>
          <w:lang w:val="es-ES_tradnl"/>
        </w:rPr>
        <w:t>tulo 1 de la Parte 2 del Libro 2 del Decreto 1082 de 2015. Modif</w:t>
      </w:r>
      <w:r w:rsidRPr="00FC5438">
        <w:rPr>
          <w:rFonts w:ascii="Verdana" w:hAnsi="Verdana" w:cs="Century Gothic"/>
          <w:sz w:val="21"/>
          <w:szCs w:val="21"/>
          <w:lang w:val="es-ES_tradnl"/>
        </w:rPr>
        <w:t>í</w:t>
      </w:r>
      <w:r w:rsidRPr="00FC5438">
        <w:rPr>
          <w:rFonts w:ascii="Verdana" w:hAnsi="Verdana" w:cs="Arial"/>
          <w:sz w:val="21"/>
          <w:szCs w:val="21"/>
          <w:lang w:val="es-ES_tradnl"/>
        </w:rPr>
        <w:t>quense los art</w:t>
      </w:r>
      <w:r w:rsidRPr="00FC5438">
        <w:rPr>
          <w:rFonts w:ascii="Verdana" w:hAnsi="Verdana" w:cs="Century Gothic"/>
          <w:sz w:val="21"/>
          <w:szCs w:val="21"/>
          <w:lang w:val="es-ES_tradnl"/>
        </w:rPr>
        <w:t>í</w:t>
      </w:r>
      <w:r w:rsidRPr="00FC5438">
        <w:rPr>
          <w:rFonts w:ascii="Verdana" w:hAnsi="Verdana" w:cs="Arial"/>
          <w:sz w:val="21"/>
          <w:szCs w:val="21"/>
          <w:lang w:val="es-ES_tradnl"/>
        </w:rPr>
        <w:t>culos 2.2.1.2.4.2.2., 2.2.1.2.4.2.3. y 2.2.1.2.4.2.4. de la Subsecci</w:t>
      </w:r>
      <w:r w:rsidRPr="00FC5438">
        <w:rPr>
          <w:rFonts w:ascii="Verdana" w:hAnsi="Verdana" w:cs="Century Gothic"/>
          <w:sz w:val="21"/>
          <w:szCs w:val="21"/>
          <w:lang w:val="es-ES_tradnl"/>
        </w:rPr>
        <w:t>ó</w:t>
      </w:r>
      <w:r w:rsidRPr="00FC5438">
        <w:rPr>
          <w:rFonts w:ascii="Verdana" w:hAnsi="Verdana" w:cs="Arial"/>
          <w:sz w:val="21"/>
          <w:szCs w:val="21"/>
          <w:lang w:val="es-ES_tradnl"/>
        </w:rPr>
        <w:t>n 2 de la Secci</w:t>
      </w:r>
      <w:r w:rsidRPr="00FC5438">
        <w:rPr>
          <w:rFonts w:ascii="Verdana" w:hAnsi="Verdana" w:cs="Century Gothic"/>
          <w:sz w:val="21"/>
          <w:szCs w:val="21"/>
          <w:lang w:val="es-ES_tradnl"/>
        </w:rPr>
        <w:t>ó</w:t>
      </w:r>
      <w:r w:rsidRPr="00FC5438">
        <w:rPr>
          <w:rFonts w:ascii="Verdana" w:hAnsi="Verdana" w:cs="Arial"/>
          <w:sz w:val="21"/>
          <w:szCs w:val="21"/>
          <w:lang w:val="es-ES_tradnl"/>
        </w:rPr>
        <w:t>n 4 del Cap</w:t>
      </w:r>
      <w:r w:rsidRPr="00FC5438">
        <w:rPr>
          <w:rFonts w:ascii="Verdana" w:hAnsi="Verdana" w:cs="Century Gothic"/>
          <w:sz w:val="21"/>
          <w:szCs w:val="21"/>
          <w:lang w:val="es-ES_tradnl"/>
        </w:rPr>
        <w:t>í</w:t>
      </w:r>
      <w:r w:rsidRPr="00FC5438">
        <w:rPr>
          <w:rFonts w:ascii="Verdana" w:hAnsi="Verdana" w:cs="Arial"/>
          <w:sz w:val="21"/>
          <w:szCs w:val="21"/>
          <w:lang w:val="es-ES_tradnl"/>
        </w:rPr>
        <w:t>tulo 2 del T</w:t>
      </w:r>
      <w:r w:rsidRPr="00FC5438">
        <w:rPr>
          <w:rFonts w:ascii="Verdana" w:hAnsi="Verdana" w:cs="Century Gothic"/>
          <w:sz w:val="21"/>
          <w:szCs w:val="21"/>
          <w:lang w:val="es-ES_tradnl"/>
        </w:rPr>
        <w:t>í</w:t>
      </w:r>
      <w:r w:rsidRPr="00FC5438">
        <w:rPr>
          <w:rFonts w:ascii="Verdana" w:hAnsi="Verdana" w:cs="Arial"/>
          <w:sz w:val="21"/>
          <w:szCs w:val="21"/>
          <w:lang w:val="es-ES_tradnl"/>
        </w:rPr>
        <w:t>tulo 1 de la Parte 2 del Libro 2 del Decreto 1082 de 2015, los cuales quedar</w:t>
      </w:r>
      <w:r w:rsidRPr="00FC5438">
        <w:rPr>
          <w:rFonts w:ascii="Verdana" w:hAnsi="Verdana" w:cs="Century Gothic"/>
          <w:sz w:val="21"/>
          <w:szCs w:val="21"/>
          <w:lang w:val="es-ES_tradnl"/>
        </w:rPr>
        <w:t>á</w:t>
      </w:r>
      <w:r w:rsidRPr="00FC5438">
        <w:rPr>
          <w:rFonts w:ascii="Verdana" w:hAnsi="Verdana" w:cs="Arial"/>
          <w:sz w:val="21"/>
          <w:szCs w:val="21"/>
          <w:lang w:val="es-ES_tradnl"/>
        </w:rPr>
        <w:t>n as</w:t>
      </w:r>
      <w:r w:rsidRPr="00FC5438">
        <w:rPr>
          <w:rFonts w:ascii="Verdana" w:hAnsi="Verdana" w:cs="Century Gothic"/>
          <w:sz w:val="21"/>
          <w:szCs w:val="21"/>
          <w:lang w:val="es-ES_tradnl"/>
        </w:rPr>
        <w:t>í</w:t>
      </w:r>
      <w:r w:rsidRPr="00FC5438">
        <w:rPr>
          <w:rFonts w:ascii="Verdana" w:hAnsi="Verdana" w:cs="Arial"/>
          <w:sz w:val="21"/>
          <w:szCs w:val="21"/>
          <w:lang w:val="es-ES_tradnl"/>
        </w:rPr>
        <w:t>:</w:t>
      </w:r>
    </w:p>
    <w:p w14:paraId="68381FAE" w14:textId="77777777" w:rsidR="005A0517" w:rsidRPr="00FC5438" w:rsidRDefault="005A0517" w:rsidP="005A0517">
      <w:pPr>
        <w:spacing w:after="120" w:line="240" w:lineRule="auto"/>
        <w:ind w:left="709" w:right="709"/>
        <w:jc w:val="both"/>
        <w:rPr>
          <w:rFonts w:ascii="Verdana" w:hAnsi="Verdana" w:cs="Arial"/>
          <w:sz w:val="21"/>
          <w:szCs w:val="21"/>
          <w:lang w:val="es-ES_tradnl"/>
        </w:rPr>
      </w:pPr>
      <w:r w:rsidRPr="00FC5438">
        <w:rPr>
          <w:rFonts w:ascii="Verdana" w:hAnsi="Verdana" w:cs="Arial"/>
          <w:sz w:val="21"/>
          <w:szCs w:val="21"/>
          <w:lang w:val="es-ES_tradnl"/>
        </w:rPr>
        <w:t>[…]</w:t>
      </w:r>
    </w:p>
    <w:p w14:paraId="4C24427B" w14:textId="77777777" w:rsidR="005A0517" w:rsidRPr="00FC5438" w:rsidRDefault="005A0517" w:rsidP="005A0517">
      <w:pPr>
        <w:spacing w:after="0" w:line="240" w:lineRule="auto"/>
        <w:ind w:left="709" w:right="709"/>
        <w:jc w:val="both"/>
        <w:rPr>
          <w:rFonts w:ascii="Verdana" w:eastAsia="Calibri" w:hAnsi="Verdana" w:cs="Arial"/>
          <w:lang w:val="es-ES"/>
        </w:rPr>
      </w:pPr>
      <w:r w:rsidRPr="4B3F5FD1">
        <w:rPr>
          <w:rFonts w:ascii="Verdana" w:hAnsi="Verdana" w:cs="Arial"/>
          <w:sz w:val="21"/>
          <w:szCs w:val="21"/>
          <w:lang w:val="es-ES"/>
        </w:rPr>
        <w:t>ARTÍCULO 2.2.1.2.4.2.3. Limitaciones territoriales. De conformidad con el par</w:t>
      </w:r>
      <w:r w:rsidRPr="4B3F5FD1">
        <w:rPr>
          <w:rFonts w:ascii="Verdana" w:hAnsi="Verdana" w:cs="Century Gothic"/>
          <w:sz w:val="21"/>
          <w:szCs w:val="21"/>
          <w:lang w:val="es-ES"/>
        </w:rPr>
        <w:t>á</w:t>
      </w:r>
      <w:r w:rsidRPr="4B3F5FD1">
        <w:rPr>
          <w:rFonts w:ascii="Verdana" w:hAnsi="Verdana" w:cs="Arial"/>
          <w:sz w:val="21"/>
          <w:szCs w:val="21"/>
          <w:lang w:val="es-ES"/>
        </w:rPr>
        <w:t>grafo 1 del art</w:t>
      </w:r>
      <w:r w:rsidRPr="4B3F5FD1">
        <w:rPr>
          <w:rFonts w:ascii="Verdana" w:hAnsi="Verdana" w:cs="Century Gothic"/>
          <w:sz w:val="21"/>
          <w:szCs w:val="21"/>
          <w:lang w:val="es-ES"/>
        </w:rPr>
        <w:t>í</w:t>
      </w:r>
      <w:r w:rsidRPr="4B3F5FD1">
        <w:rPr>
          <w:rFonts w:ascii="Verdana" w:hAnsi="Verdana" w:cs="Arial"/>
          <w:sz w:val="21"/>
          <w:szCs w:val="21"/>
          <w:lang w:val="es-ES"/>
        </w:rPr>
        <w:t>culo 12 de la Ley 1150 de 2007, las Entidades Estatales, independientemente de su r</w:t>
      </w:r>
      <w:r w:rsidRPr="4B3F5FD1">
        <w:rPr>
          <w:rFonts w:ascii="Verdana" w:hAnsi="Verdana" w:cs="Century Gothic"/>
          <w:sz w:val="21"/>
          <w:szCs w:val="21"/>
          <w:lang w:val="es-ES"/>
        </w:rPr>
        <w:t>é</w:t>
      </w:r>
      <w:r w:rsidRPr="4B3F5FD1">
        <w:rPr>
          <w:rFonts w:ascii="Verdana" w:hAnsi="Verdana" w:cs="Arial"/>
          <w:sz w:val="21"/>
          <w:szCs w:val="21"/>
          <w:lang w:val="es-ES"/>
        </w:rPr>
        <w:t>gimen de contrataci</w:t>
      </w:r>
      <w:r w:rsidRPr="4B3F5FD1">
        <w:rPr>
          <w:rFonts w:ascii="Verdana" w:hAnsi="Verdana" w:cs="Century Gothic"/>
          <w:sz w:val="21"/>
          <w:szCs w:val="21"/>
          <w:lang w:val="es-ES"/>
        </w:rPr>
        <w:t>ó</w:t>
      </w:r>
      <w:r w:rsidRPr="4B3F5FD1">
        <w:rPr>
          <w:rFonts w:ascii="Verdana" w:hAnsi="Verdana" w:cs="Arial"/>
          <w:sz w:val="21"/>
          <w:szCs w:val="21"/>
          <w:lang w:val="es-ES"/>
        </w:rPr>
        <w:t>n, los patrimonios aut</w:t>
      </w:r>
      <w:r w:rsidRPr="4B3F5FD1">
        <w:rPr>
          <w:rFonts w:ascii="Verdana" w:hAnsi="Verdana" w:cs="Century Gothic"/>
          <w:sz w:val="21"/>
          <w:szCs w:val="21"/>
          <w:lang w:val="es-ES"/>
        </w:rPr>
        <w:t>ó</w:t>
      </w:r>
      <w:r w:rsidRPr="4B3F5FD1">
        <w:rPr>
          <w:rFonts w:ascii="Verdana" w:hAnsi="Verdana" w:cs="Arial"/>
          <w:sz w:val="21"/>
          <w:szCs w:val="21"/>
          <w:lang w:val="es-ES"/>
        </w:rPr>
        <w:t xml:space="preserve">nomos constituidos por Entidades Estatales y los particulares que ejecuten recursos públicos, pueden realizar convocatorias limitadas a </w:t>
      </w:r>
      <w:proofErr w:type="spellStart"/>
      <w:r w:rsidRPr="4B3F5FD1">
        <w:rPr>
          <w:rFonts w:ascii="Verdana" w:hAnsi="Verdana" w:cs="Arial"/>
          <w:sz w:val="21"/>
          <w:szCs w:val="21"/>
          <w:lang w:val="es-ES"/>
        </w:rPr>
        <w:t>Mipyme</w:t>
      </w:r>
      <w:proofErr w:type="spellEnd"/>
      <w:r w:rsidRPr="4B3F5FD1">
        <w:rPr>
          <w:rFonts w:ascii="Verdana" w:hAnsi="Verdana" w:cs="Arial"/>
          <w:sz w:val="21"/>
          <w:szCs w:val="21"/>
          <w:lang w:val="es-ES"/>
        </w:rPr>
        <w:t xml:space="preserve"> colombianas que tengan domicilio en los departamentos o municipios en donde se va a ejecutar el contrato. Cada </w:t>
      </w:r>
      <w:proofErr w:type="spellStart"/>
      <w:r w:rsidRPr="4B3F5FD1">
        <w:rPr>
          <w:rFonts w:ascii="Verdana" w:hAnsi="Verdana" w:cs="Arial"/>
          <w:sz w:val="21"/>
          <w:szCs w:val="21"/>
          <w:lang w:val="es-ES"/>
        </w:rPr>
        <w:t>Mipyme</w:t>
      </w:r>
      <w:proofErr w:type="spellEnd"/>
      <w:r w:rsidRPr="4B3F5FD1">
        <w:rPr>
          <w:rFonts w:ascii="Verdana" w:hAnsi="Verdana" w:cs="Arial"/>
          <w:sz w:val="21"/>
          <w:szCs w:val="21"/>
          <w:lang w:val="es-ES"/>
        </w:rPr>
        <w:t xml:space="preserve"> deberá acreditar su domicilio con los documentos a los que se refiere el siguiente artículo. </w:t>
      </w:r>
    </w:p>
    <w:p w14:paraId="26175495" w14:textId="77777777" w:rsidR="005A0517" w:rsidRPr="00FC5438" w:rsidRDefault="005A0517" w:rsidP="005A0517">
      <w:pPr>
        <w:spacing w:after="0" w:line="276" w:lineRule="auto"/>
        <w:ind w:left="709" w:right="709"/>
        <w:jc w:val="both"/>
        <w:rPr>
          <w:rFonts w:ascii="Verdana" w:eastAsia="Calibri" w:hAnsi="Verdana" w:cs="Arial"/>
          <w:lang w:val="es-ES_tradnl"/>
        </w:rPr>
      </w:pPr>
    </w:p>
    <w:p w14:paraId="6814A12F" w14:textId="77777777" w:rsidR="005A0517" w:rsidRPr="00FC5438" w:rsidRDefault="005A0517" w:rsidP="005A0517">
      <w:pPr>
        <w:spacing w:after="120" w:line="276" w:lineRule="auto"/>
        <w:ind w:firstLine="709"/>
        <w:jc w:val="both"/>
        <w:rPr>
          <w:rFonts w:ascii="Verdana" w:eastAsia="Calibri" w:hAnsi="Verdana" w:cs="Arial"/>
          <w:lang w:val="es-ES"/>
        </w:rPr>
      </w:pPr>
      <w:r w:rsidRPr="4B3F5FD1">
        <w:rPr>
          <w:rFonts w:ascii="Verdana" w:eastAsia="Calibri" w:hAnsi="Verdana" w:cs="Arial"/>
          <w:lang w:val="es-ES"/>
        </w:rPr>
        <w:t xml:space="preserve">La norma reglamentaria coincide con la redacción del parágrafo 1 del artículo 34 de la Ley 2069 de 2020, según el cual, “En los procesos de selección que se desarrollen con base en el primer inciso, las entidades podrán realizar las convocatorias limitadas que beneficien a las </w:t>
      </w:r>
      <w:proofErr w:type="spellStart"/>
      <w:r w:rsidRPr="4B3F5FD1">
        <w:rPr>
          <w:rFonts w:ascii="Verdana" w:eastAsia="Calibri" w:hAnsi="Verdana" w:cs="Arial"/>
          <w:lang w:val="es-ES"/>
        </w:rPr>
        <w:t>Mipymes</w:t>
      </w:r>
      <w:proofErr w:type="spellEnd"/>
      <w:r w:rsidRPr="4B3F5FD1">
        <w:rPr>
          <w:rFonts w:ascii="Verdana" w:eastAsia="Calibri" w:hAnsi="Verdana" w:cs="Arial"/>
          <w:lang w:val="es-ES"/>
        </w:rPr>
        <w:t xml:space="preserve"> del ámbito municipal o departamental correspondiente al de la ejecución del contrato”. En tales términos, la norma citada solo contempla la posibilidad de limitar convocatorias a </w:t>
      </w:r>
      <w:proofErr w:type="spellStart"/>
      <w:r w:rsidRPr="4B3F5FD1">
        <w:rPr>
          <w:rFonts w:ascii="Verdana" w:eastAsia="Calibri" w:hAnsi="Verdana" w:cs="Arial"/>
          <w:lang w:val="es-ES"/>
        </w:rPr>
        <w:t>Mipymes</w:t>
      </w:r>
      <w:proofErr w:type="spellEnd"/>
      <w:r w:rsidRPr="4B3F5FD1">
        <w:rPr>
          <w:rFonts w:ascii="Verdana" w:eastAsia="Calibri" w:hAnsi="Verdana" w:cs="Arial"/>
          <w:lang w:val="es-ES"/>
        </w:rPr>
        <w:t xml:space="preserve"> con domicilio en esos dos tipos de entidades territoriales. </w:t>
      </w:r>
    </w:p>
    <w:p w14:paraId="7A7865BB" w14:textId="77777777" w:rsidR="005A0517" w:rsidRPr="00FC5438" w:rsidRDefault="005A0517" w:rsidP="005A0517">
      <w:pPr>
        <w:spacing w:after="120" w:line="276" w:lineRule="auto"/>
        <w:ind w:firstLine="709"/>
        <w:jc w:val="both"/>
        <w:rPr>
          <w:rFonts w:ascii="Verdana" w:eastAsia="Arial" w:hAnsi="Verdana" w:cs="Arial"/>
          <w:color w:val="000000"/>
          <w:lang w:val="es-ES"/>
        </w:rPr>
      </w:pPr>
      <w:r w:rsidRPr="4B3F5FD1">
        <w:rPr>
          <w:rFonts w:ascii="Verdana" w:eastAsia="Arial" w:hAnsi="Verdana"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4B3F5FD1">
        <w:rPr>
          <w:rFonts w:ascii="Verdana" w:eastAsia="Arial" w:hAnsi="Verdana" w:cs="Arial"/>
          <w:color w:val="000000" w:themeColor="text1"/>
          <w:lang w:val="es-ES"/>
        </w:rPr>
        <w:t>Mipyme</w:t>
      </w:r>
      <w:proofErr w:type="spellEnd"/>
      <w:r w:rsidRPr="4B3F5FD1">
        <w:rPr>
          <w:rFonts w:ascii="Verdana" w:eastAsia="Arial" w:hAnsi="Verdana" w:cs="Arial"/>
          <w:color w:val="000000" w:themeColor="text1"/>
          <w:lang w:val="es-ES"/>
        </w:rPr>
        <w:t xml:space="preserve"> nacional. Además, las normas de contratación permiten que las </w:t>
      </w:r>
      <w:proofErr w:type="spellStart"/>
      <w:r w:rsidRPr="4B3F5FD1">
        <w:rPr>
          <w:rFonts w:ascii="Verdana" w:eastAsia="Arial" w:hAnsi="Verdana" w:cs="Arial"/>
          <w:color w:val="000000" w:themeColor="text1"/>
          <w:lang w:val="es-ES"/>
        </w:rPr>
        <w:t>Mipyme</w:t>
      </w:r>
      <w:proofErr w:type="spellEnd"/>
      <w:r w:rsidRPr="4B3F5FD1">
        <w:rPr>
          <w:rFonts w:ascii="Verdana" w:eastAsia="Arial" w:hAnsi="Verdana" w:cs="Arial"/>
          <w:color w:val="000000" w:themeColor="text1"/>
          <w:lang w:val="es-ES"/>
        </w:rPr>
        <w:t xml:space="preserve"> nacionales puedan beneficiarse de la ejecución de un contrato dentro de la entidad territorial en la que tienen su “domicilio”. </w:t>
      </w:r>
    </w:p>
    <w:p w14:paraId="77E3B915" w14:textId="77777777" w:rsidR="005A0517" w:rsidRPr="00FC5438" w:rsidRDefault="005A0517" w:rsidP="005A0517">
      <w:pPr>
        <w:spacing w:after="120" w:line="276" w:lineRule="auto"/>
        <w:ind w:firstLine="709"/>
        <w:jc w:val="both"/>
        <w:rPr>
          <w:rFonts w:ascii="Verdana" w:eastAsia="Arial" w:hAnsi="Verdana" w:cs="Arial"/>
          <w:color w:val="000000"/>
          <w:lang w:val="es-ES"/>
        </w:rPr>
      </w:pPr>
      <w:r w:rsidRPr="4B3F5FD1">
        <w:rPr>
          <w:rFonts w:ascii="Verdana" w:eastAsia="Arial" w:hAnsi="Verdana" w:cs="Arial"/>
          <w:color w:val="000000" w:themeColor="text1"/>
          <w:lang w:val="es-ES"/>
        </w:rPr>
        <w:t xml:space="preserve">No puede perderse de vista que la decisión de limitar “a </w:t>
      </w:r>
      <w:proofErr w:type="spellStart"/>
      <w:r w:rsidRPr="4B3F5FD1">
        <w:rPr>
          <w:rFonts w:ascii="Verdana" w:eastAsia="Arial" w:hAnsi="Verdana" w:cs="Arial"/>
          <w:color w:val="000000" w:themeColor="text1"/>
          <w:lang w:val="es-ES"/>
        </w:rPr>
        <w:t>Mipyme</w:t>
      </w:r>
      <w:proofErr w:type="spellEnd"/>
      <w:r w:rsidRPr="4B3F5FD1">
        <w:rPr>
          <w:rFonts w:ascii="Verdana" w:eastAsia="Arial" w:hAnsi="Verdana" w:cs="Arial"/>
          <w:color w:val="000000" w:themeColor="text1"/>
          <w:lang w:val="es-ES"/>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w:t>
      </w:r>
      <w:proofErr w:type="spellStart"/>
      <w:r w:rsidRPr="4B3F5FD1">
        <w:rPr>
          <w:rFonts w:ascii="Verdana" w:eastAsia="Arial" w:hAnsi="Verdana" w:cs="Arial"/>
          <w:color w:val="000000" w:themeColor="text1"/>
          <w:lang w:val="es-ES"/>
        </w:rPr>
        <w:t>Mipyme</w:t>
      </w:r>
      <w:proofErr w:type="spellEnd"/>
      <w:r w:rsidRPr="4B3F5FD1">
        <w:rPr>
          <w:rFonts w:ascii="Verdana" w:eastAsia="Arial" w:hAnsi="Verdana" w:cs="Arial"/>
          <w:color w:val="000000" w:themeColor="text1"/>
          <w:lang w:val="es-ES"/>
        </w:rPr>
        <w:t xml:space="preserve">, no puede </w:t>
      </w:r>
      <w:r w:rsidRPr="4B3F5FD1">
        <w:rPr>
          <w:rFonts w:ascii="Verdana" w:eastAsia="Arial" w:hAnsi="Verdana" w:cs="Arial"/>
          <w:i/>
          <w:color w:val="000000" w:themeColor="text1"/>
          <w:lang w:val="es-ES"/>
        </w:rPr>
        <w:t xml:space="preserve">motu proprio </w:t>
      </w:r>
      <w:r w:rsidRPr="4B3F5FD1">
        <w:rPr>
          <w:rFonts w:ascii="Verdana" w:eastAsia="Arial" w:hAnsi="Verdana" w:cs="Arial"/>
          <w:color w:val="000000" w:themeColor="text1"/>
          <w:lang w:val="es-ES"/>
        </w:rPr>
        <w:t xml:space="preserve">proceder con la </w:t>
      </w:r>
      <w:r w:rsidRPr="4B3F5FD1">
        <w:rPr>
          <w:rFonts w:ascii="Verdana" w:eastAsia="Arial" w:hAnsi="Verdana" w:cs="Arial"/>
          <w:color w:val="000000" w:themeColor="text1"/>
          <w:lang w:val="es-ES"/>
        </w:rPr>
        <w:lastRenderedPageBreak/>
        <w:t xml:space="preserve">“limitación territorial” de que trata el artículo 2.2.1.2.4.2.3 del Decreto 1082 de 2015. Esto debido a que el ejercicio de esta facultad solo puede darse ante la “limitación a </w:t>
      </w:r>
      <w:proofErr w:type="spellStart"/>
      <w:r w:rsidRPr="4B3F5FD1">
        <w:rPr>
          <w:rFonts w:ascii="Verdana" w:eastAsia="Arial" w:hAnsi="Verdana" w:cs="Arial"/>
          <w:color w:val="000000" w:themeColor="text1"/>
          <w:lang w:val="es-ES"/>
        </w:rPr>
        <w:t>Mipymes</w:t>
      </w:r>
      <w:proofErr w:type="spellEnd"/>
      <w:r w:rsidRPr="4B3F5FD1">
        <w:rPr>
          <w:rFonts w:ascii="Verdana" w:eastAsia="Arial" w:hAnsi="Verdana" w:cs="Arial"/>
          <w:color w:val="000000" w:themeColor="text1"/>
          <w:lang w:val="es-ES"/>
        </w:rPr>
        <w:t xml:space="preserve"> colombianas”, lo cual supone verificar los supuestos legales establecidos en los mencionados numerales.</w:t>
      </w:r>
    </w:p>
    <w:p w14:paraId="76404819" w14:textId="77777777" w:rsidR="005A0517" w:rsidRPr="00FC5438" w:rsidRDefault="005A0517" w:rsidP="005A0517">
      <w:pPr>
        <w:spacing w:after="120" w:line="276" w:lineRule="auto"/>
        <w:ind w:firstLine="708"/>
        <w:jc w:val="both"/>
        <w:rPr>
          <w:rFonts w:ascii="Verdana" w:hAnsi="Verdana" w:cs="Arial"/>
          <w:color w:val="000000" w:themeColor="text1"/>
        </w:rPr>
      </w:pPr>
      <w:r w:rsidRPr="00FC5438">
        <w:rPr>
          <w:rFonts w:ascii="Verdana" w:hAnsi="Verdana" w:cs="Arial"/>
          <w:color w:val="000000" w:themeColor="text1"/>
        </w:rPr>
        <w:t xml:space="preserve">Cumplidos los dos requisitos del artículo 2.2.1.2.4.2.2 </w:t>
      </w:r>
      <w:proofErr w:type="spellStart"/>
      <w:r w:rsidRPr="00FC5438">
        <w:rPr>
          <w:rFonts w:ascii="Verdana" w:hAnsi="Verdana" w:cs="Arial"/>
          <w:i/>
          <w:iCs/>
          <w:color w:val="000000" w:themeColor="text1"/>
        </w:rPr>
        <w:t>ibídem</w:t>
      </w:r>
      <w:proofErr w:type="spellEnd"/>
      <w:r w:rsidRPr="00FC5438">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a las </w:t>
      </w:r>
      <w:proofErr w:type="spellStart"/>
      <w:r w:rsidRPr="00FC5438">
        <w:rPr>
          <w:rFonts w:ascii="Verdana" w:hAnsi="Verdana" w:cs="Arial"/>
          <w:color w:val="000000" w:themeColor="text1"/>
        </w:rPr>
        <w:t>Mipyme</w:t>
      </w:r>
      <w:proofErr w:type="spellEnd"/>
      <w:r w:rsidRPr="00FC5438">
        <w:rPr>
          <w:rFonts w:ascii="Verdana" w:hAnsi="Verdana" w:cs="Arial"/>
          <w:color w:val="000000" w:themeColor="text1"/>
        </w:rPr>
        <w:t xml:space="preserve"> colombianas domiciliadas en el municipio o departamento en el que se ejecutará el contrato. Esto de acuerdo con el artículo 2.2.1.2.4.2.3 del Decreto 1082 de 2015 </w:t>
      </w:r>
      <w:r w:rsidRPr="00FC5438">
        <w:rPr>
          <w:rFonts w:ascii="Verdana" w:eastAsia="Arial" w:hAnsi="Verdana" w:cs="Arial"/>
          <w:color w:val="000000"/>
          <w:lang w:val="es-ES_tradnl"/>
        </w:rPr>
        <w:t>modificado por el Decreto 1860 de 2021</w:t>
      </w:r>
      <w:r w:rsidRPr="00FC5438">
        <w:rPr>
          <w:rFonts w:ascii="Verdana" w:hAnsi="Verdana" w:cs="Arial"/>
          <w:color w:val="000000" w:themeColor="text1"/>
        </w:rPr>
        <w:t xml:space="preserve">, norma que se refiere a la facultad de la administración con el verbo infinitivo “poder”, no “deber”. </w:t>
      </w:r>
    </w:p>
    <w:p w14:paraId="1B1ACF76" w14:textId="77777777" w:rsidR="005A0517" w:rsidRPr="00FC5438" w:rsidRDefault="005A0517" w:rsidP="005A0517">
      <w:pPr>
        <w:spacing w:after="120" w:line="276" w:lineRule="auto"/>
        <w:ind w:firstLine="709"/>
        <w:jc w:val="both"/>
        <w:rPr>
          <w:rFonts w:ascii="Verdana" w:eastAsia="Calibri" w:hAnsi="Verdana" w:cs="Arial"/>
          <w:color w:val="000000" w:themeColor="text1"/>
        </w:rPr>
      </w:pPr>
      <w:r w:rsidRPr="00FC5438">
        <w:rPr>
          <w:rFonts w:ascii="Verdana" w:eastAsia="Calibri" w:hAnsi="Verdana" w:cs="Arial"/>
          <w:color w:val="000000" w:themeColor="text1"/>
        </w:rPr>
        <w:t>Colombia Compra Eficiente ha sostenido que la decisión de limitar territorialmente un</w:t>
      </w:r>
      <w:r w:rsidRPr="00FC5438">
        <w:rPr>
          <w:rFonts w:ascii="Verdana" w:hAnsi="Verdana" w:cs="Arial"/>
          <w:color w:val="000000" w:themeColor="text1"/>
        </w:rPr>
        <w:t xml:space="preserve">a convocatoria a </w:t>
      </w:r>
      <w:proofErr w:type="spellStart"/>
      <w:r w:rsidRPr="00FC5438">
        <w:rPr>
          <w:rFonts w:ascii="Verdana" w:hAnsi="Verdana" w:cs="Arial"/>
          <w:color w:val="000000" w:themeColor="text1"/>
        </w:rPr>
        <w:t>Mipyme</w:t>
      </w:r>
      <w:proofErr w:type="spellEnd"/>
      <w:r w:rsidRPr="00FC5438">
        <w:rPr>
          <w:rFonts w:ascii="Verdana" w:hAnsi="Verdana" w:cs="Arial"/>
          <w:color w:val="000000" w:themeColor="text1"/>
        </w:rPr>
        <w:t xml:space="preserve"> </w:t>
      </w:r>
      <w:r w:rsidRPr="00FC5438">
        <w:rPr>
          <w:rFonts w:ascii="Verdana" w:eastAsia="Calibri" w:hAnsi="Verdana" w:cs="Arial"/>
          <w:color w:val="000000" w:themeColor="text1"/>
        </w:rPr>
        <w:t xml:space="preserve">es discrecional, y ha precisado que, de todos modos, esta debe justificarse con fundamento en los correspondientes “estudios del sector”. Así lo consideró en la consulta No. 216130003241, resuelta el 30 de junio de 2016. Igualmente, en la consulta resuelta en el radicado No. 2201813000008184 del 7 de septiembre de 2019, se explicó que, de acuerdo con el </w:t>
      </w:r>
      <w:r w:rsidRPr="00FC5438">
        <w:rPr>
          <w:rFonts w:ascii="Verdana" w:hAnsi="Verdana" w:cs="Arial"/>
          <w:color w:val="000000" w:themeColor="text1"/>
        </w:rPr>
        <w:t xml:space="preserve">artículo 2.2.1.2.4.2.3 del Decreto 1082 de 2015, las </w:t>
      </w:r>
      <w:proofErr w:type="spellStart"/>
      <w:r w:rsidRPr="00FC5438">
        <w:rPr>
          <w:rFonts w:ascii="Verdana" w:hAnsi="Verdana" w:cs="Arial"/>
          <w:color w:val="000000" w:themeColor="text1"/>
        </w:rPr>
        <w:t>Mipyme</w:t>
      </w:r>
      <w:proofErr w:type="spellEnd"/>
      <w:r w:rsidRPr="00FC5438">
        <w:rPr>
          <w:rFonts w:ascii="Verdana" w:eastAsia="Calibri" w:hAnsi="Verdana" w:cs="Arial"/>
          <w:color w:val="000000" w:themeColor="text1"/>
        </w:rPr>
        <w:t xml:space="preserve"> beneficiadas deben tener su domicilio principal en el municipio o departamento donde se ejecutará el contrato para participar en una convocatoria limitada territorialmente.</w:t>
      </w:r>
      <w:r w:rsidRPr="00FC5438">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 lo cual es congruente como el verbo “podrán” del parágrafo primero del artículo 34 de la Ley de Emprendimiento.</w:t>
      </w:r>
    </w:p>
    <w:p w14:paraId="6E959664" w14:textId="77777777" w:rsidR="005A0517" w:rsidRPr="00FC5438" w:rsidRDefault="005A0517" w:rsidP="005A0517">
      <w:pPr>
        <w:spacing w:after="120" w:line="276" w:lineRule="auto"/>
        <w:ind w:firstLine="709"/>
        <w:jc w:val="both"/>
        <w:rPr>
          <w:rFonts w:ascii="Verdana" w:eastAsia="Calibri" w:hAnsi="Verdana" w:cs="Arial"/>
          <w:color w:val="000000" w:themeColor="text1"/>
        </w:rPr>
      </w:pPr>
      <w:r w:rsidRPr="00FC5438">
        <w:rPr>
          <w:rFonts w:ascii="Verdana" w:hAnsi="Verdana" w:cs="Arial"/>
          <w:color w:val="000000" w:themeColor="text1"/>
        </w:rPr>
        <w:t xml:space="preserve">En tal sentido, </w:t>
      </w:r>
      <w:r w:rsidRPr="00FC5438">
        <w:rPr>
          <w:rFonts w:ascii="Verdana" w:eastAsia="Calibri" w:hAnsi="Verdana" w:cs="Arial"/>
          <w:color w:val="000000" w:themeColor="text1"/>
        </w:rPr>
        <w:t>lo que debe adoptarse obligatoriamente es la</w:t>
      </w:r>
      <w:r w:rsidRPr="00FC5438">
        <w:rPr>
          <w:rFonts w:ascii="Verdana" w:hAnsi="Verdana" w:cs="Arial"/>
          <w:color w:val="000000" w:themeColor="text1"/>
        </w:rPr>
        <w:t xml:space="preserve"> limitación a </w:t>
      </w:r>
      <w:proofErr w:type="spellStart"/>
      <w:r w:rsidRPr="00FC5438">
        <w:rPr>
          <w:rFonts w:ascii="Verdana" w:hAnsi="Verdana" w:cs="Arial"/>
          <w:color w:val="000000" w:themeColor="text1"/>
        </w:rPr>
        <w:t>Mipymes</w:t>
      </w:r>
      <w:proofErr w:type="spellEnd"/>
      <w:r w:rsidRPr="00FC5438">
        <w:rPr>
          <w:rFonts w:ascii="Verdana" w:hAnsi="Verdana" w:cs="Arial"/>
          <w:color w:val="000000" w:themeColor="text1"/>
        </w:rPr>
        <w:t xml:space="preserve"> colombianas</w:t>
      </w:r>
      <w:r w:rsidRPr="00FC5438">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proofErr w:type="spellStart"/>
      <w:r w:rsidRPr="00FC5438">
        <w:rPr>
          <w:rFonts w:ascii="Verdana" w:eastAsia="Calibri" w:hAnsi="Verdana" w:cs="Arial"/>
          <w:i/>
          <w:iCs/>
          <w:color w:val="000000" w:themeColor="text1"/>
        </w:rPr>
        <w:t>ibídem</w:t>
      </w:r>
      <w:proofErr w:type="spellEnd"/>
      <w:r w:rsidRPr="00FC5438">
        <w:rPr>
          <w:rFonts w:ascii="Verdana" w:eastAsia="Calibri" w:hAnsi="Verdana" w:cs="Arial"/>
          <w:color w:val="000000" w:themeColor="text1"/>
        </w:rPr>
        <w:t>, pues esta es facultativa para la entidad. Las únicas exigencias son que la convocatoria esté l</w:t>
      </w:r>
      <w:r w:rsidRPr="00FC5438">
        <w:rPr>
          <w:rFonts w:ascii="Verdana" w:hAnsi="Verdana" w:cs="Arial"/>
          <w:color w:val="000000" w:themeColor="text1"/>
        </w:rPr>
        <w:t xml:space="preserve">imitada a las </w:t>
      </w:r>
      <w:proofErr w:type="spellStart"/>
      <w:r w:rsidRPr="00FC5438">
        <w:rPr>
          <w:rFonts w:ascii="Verdana" w:hAnsi="Verdana" w:cs="Arial"/>
          <w:color w:val="000000" w:themeColor="text1"/>
        </w:rPr>
        <w:t>Mipyme</w:t>
      </w:r>
      <w:proofErr w:type="spellEnd"/>
      <w:r w:rsidRPr="00FC5438">
        <w:rPr>
          <w:rFonts w:ascii="Verdana" w:hAnsi="Verdana" w:cs="Arial"/>
          <w:color w:val="000000" w:themeColor="text1"/>
        </w:rPr>
        <w:t xml:space="preserve"> colombianas</w:t>
      </w:r>
      <w:r w:rsidRPr="00FC5438">
        <w:rPr>
          <w:rFonts w:ascii="Verdana" w:eastAsia="Calibri" w:hAnsi="Verdana" w:cs="Arial"/>
          <w:color w:val="000000" w:themeColor="text1"/>
        </w:rPr>
        <w:t xml:space="preserve"> “domiciliadas en los departamentos o municipios en donde se va a ejecutar el contrato” y que la entidad justifique su decisión con base en </w:t>
      </w:r>
      <w:r w:rsidRPr="00FC5438">
        <w:rPr>
          <w:rFonts w:ascii="Verdana" w:eastAsia="Calibri" w:hAnsi="Verdana" w:cs="Arial"/>
          <w:color w:val="000000" w:themeColor="text1"/>
        </w:rPr>
        <w:lastRenderedPageBreak/>
        <w:t>los “estudios del sector”</w:t>
      </w:r>
      <w:r w:rsidRPr="00FC5438">
        <w:rPr>
          <w:rStyle w:val="Refdenotaalpie"/>
          <w:rFonts w:ascii="Verdana" w:eastAsia="Calibri" w:hAnsi="Verdana" w:cs="Arial"/>
          <w:color w:val="000000" w:themeColor="text1"/>
        </w:rPr>
        <w:footnoteReference w:id="3"/>
      </w:r>
      <w:r w:rsidRPr="00FC5438">
        <w:rPr>
          <w:rFonts w:ascii="Verdana" w:eastAsia="Calibri" w:hAnsi="Verdana" w:cs="Arial"/>
          <w:color w:val="000000" w:themeColor="text1"/>
        </w:rPr>
        <w:t xml:space="preserve">. No es procedente, entonces, que sean las </w:t>
      </w:r>
      <w:proofErr w:type="spellStart"/>
      <w:r w:rsidRPr="00FC5438">
        <w:rPr>
          <w:rFonts w:ascii="Verdana" w:eastAsia="Calibri" w:hAnsi="Verdana" w:cs="Arial"/>
          <w:color w:val="000000" w:themeColor="text1"/>
        </w:rPr>
        <w:t>Mipymes</w:t>
      </w:r>
      <w:proofErr w:type="spellEnd"/>
      <w:r w:rsidRPr="00FC5438">
        <w:rPr>
          <w:rFonts w:ascii="Verdana" w:eastAsia="Calibri" w:hAnsi="Verdana" w:cs="Arial"/>
          <w:color w:val="000000" w:themeColor="text1"/>
        </w:rPr>
        <w:t xml:space="preserve"> las que soliciten la “limitación territorial” a la que se refiere el artículo 2.2.1.2.4.2.3 del Decreto 1082 de 2015. </w:t>
      </w:r>
    </w:p>
    <w:p w14:paraId="7BB760D4" w14:textId="77777777" w:rsidR="005A0517" w:rsidRPr="00FC5438" w:rsidRDefault="005A0517" w:rsidP="005A0517">
      <w:pPr>
        <w:spacing w:after="120" w:line="276" w:lineRule="auto"/>
        <w:ind w:firstLine="709"/>
        <w:jc w:val="both"/>
        <w:rPr>
          <w:rFonts w:ascii="Verdana" w:eastAsia="Calibri" w:hAnsi="Verdana" w:cs="Arial"/>
          <w:color w:val="000000" w:themeColor="text1"/>
        </w:rPr>
      </w:pPr>
      <w:r w:rsidRPr="00FC5438">
        <w:rPr>
          <w:rFonts w:ascii="Verdana" w:eastAsia="Calibri" w:hAnsi="Verdana" w:cs="Arial"/>
          <w:color w:val="000000" w:themeColor="text1"/>
        </w:rPr>
        <w:t>E</w:t>
      </w:r>
      <w:r w:rsidRPr="00FC5438">
        <w:rPr>
          <w:rFonts w:ascii="Verdana" w:hAnsi="Verdana" w:cs="Arial"/>
          <w:color w:val="000000" w:themeColor="text1"/>
        </w:rPr>
        <w:t xml:space="preserve">l origen de las </w:t>
      </w:r>
      <w:proofErr w:type="spellStart"/>
      <w:r w:rsidRPr="00FC5438">
        <w:rPr>
          <w:rFonts w:ascii="Verdana" w:hAnsi="Verdana" w:cs="Arial"/>
          <w:color w:val="000000" w:themeColor="text1"/>
        </w:rPr>
        <w:t>Mipyme</w:t>
      </w:r>
      <w:proofErr w:type="spellEnd"/>
      <w:r w:rsidRPr="00FC5438">
        <w:rPr>
          <w:rFonts w:ascii="Verdana" w:eastAsia="Calibri" w:hAnsi="Verdana" w:cs="Arial"/>
          <w:color w:val="000000" w:themeColor="text1"/>
        </w:rPr>
        <w:t xml:space="preserve"> que solicitan la “limitación territorial” no es relevante frente a dicha decisión por dos razo</w:t>
      </w:r>
      <w:r w:rsidRPr="00FC5438">
        <w:rPr>
          <w:rFonts w:ascii="Verdana" w:hAnsi="Verdana" w:cs="Arial"/>
          <w:color w:val="000000" w:themeColor="text1"/>
        </w:rPr>
        <w:t xml:space="preserve">nes: primero, porque las </w:t>
      </w:r>
      <w:proofErr w:type="spellStart"/>
      <w:r w:rsidRPr="00FC5438">
        <w:rPr>
          <w:rFonts w:ascii="Verdana" w:hAnsi="Verdana" w:cs="Arial"/>
          <w:color w:val="000000" w:themeColor="text1"/>
        </w:rPr>
        <w:t>Mipyme</w:t>
      </w:r>
      <w:proofErr w:type="spellEnd"/>
      <w:r w:rsidRPr="00FC5438">
        <w:rPr>
          <w:rFonts w:ascii="Verdana" w:eastAsia="Calibri" w:hAnsi="Verdana" w:cs="Arial"/>
          <w:color w:val="000000" w:themeColor="text1"/>
        </w:rPr>
        <w:t xml:space="preserve"> no están habilitadas para pedir la “limitación territorial”, lo están para pedir la “convocatoria limitada a </w:t>
      </w:r>
      <w:proofErr w:type="spellStart"/>
      <w:r w:rsidRPr="00FC5438">
        <w:rPr>
          <w:rFonts w:ascii="Verdana" w:eastAsia="Calibri" w:hAnsi="Verdana" w:cs="Arial"/>
          <w:color w:val="000000" w:themeColor="text1"/>
        </w:rPr>
        <w:t>Mipymes</w:t>
      </w:r>
      <w:proofErr w:type="spellEnd"/>
      <w:r w:rsidRPr="00FC5438">
        <w:rPr>
          <w:rFonts w:ascii="Verdana" w:eastAsia="Calibri" w:hAnsi="Verdana" w:cs="Arial"/>
          <w:color w:val="000000" w:themeColor="text1"/>
        </w:rPr>
        <w:t>”, y, segundo, porque el único criterio para tener en cuenta, una vez se ha decidido justificadamente limitar territorialmente la convocatori</w:t>
      </w:r>
      <w:r w:rsidRPr="00FC5438">
        <w:rPr>
          <w:rFonts w:ascii="Verdana" w:hAnsi="Verdana" w:cs="Arial"/>
          <w:color w:val="000000" w:themeColor="text1"/>
        </w:rPr>
        <w:t xml:space="preserve">a previamente limitada a </w:t>
      </w:r>
      <w:proofErr w:type="spellStart"/>
      <w:r w:rsidRPr="00FC5438">
        <w:rPr>
          <w:rFonts w:ascii="Verdana" w:hAnsi="Verdana" w:cs="Arial"/>
          <w:color w:val="000000" w:themeColor="text1"/>
        </w:rPr>
        <w:t>Mipyme</w:t>
      </w:r>
      <w:proofErr w:type="spellEnd"/>
      <w:r w:rsidRPr="00FC5438">
        <w:rPr>
          <w:rFonts w:ascii="Verdana" w:eastAsia="Calibri" w:hAnsi="Verdana" w:cs="Arial"/>
          <w:color w:val="000000" w:themeColor="text1"/>
        </w:rPr>
        <w:t>, es el lugar donde se va a ejecutar el contrato.</w:t>
      </w:r>
    </w:p>
    <w:p w14:paraId="450A9170" w14:textId="77777777" w:rsidR="005A0517" w:rsidRPr="00FC5438" w:rsidRDefault="005A0517" w:rsidP="005A0517">
      <w:pPr>
        <w:spacing w:after="120" w:line="276" w:lineRule="auto"/>
        <w:ind w:firstLine="709"/>
        <w:jc w:val="both"/>
        <w:rPr>
          <w:rFonts w:ascii="Verdana" w:eastAsia="Arial" w:hAnsi="Verdana" w:cs="Arial"/>
          <w:color w:val="000000"/>
        </w:rPr>
      </w:pPr>
      <w:r w:rsidRPr="00FC5438">
        <w:rPr>
          <w:rFonts w:ascii="Verdana" w:eastAsia="Calibri" w:hAnsi="Verdana" w:cs="Arial"/>
          <w:color w:val="000000" w:themeColor="text1"/>
        </w:rPr>
        <w:t xml:space="preserve">En resumen, la decisión de limitar o no territorialmente una convocatoria limitada a </w:t>
      </w:r>
      <w:proofErr w:type="spellStart"/>
      <w:r w:rsidRPr="00FC5438">
        <w:rPr>
          <w:rFonts w:ascii="Verdana" w:eastAsia="Calibri" w:hAnsi="Verdana" w:cs="Arial"/>
          <w:color w:val="000000" w:themeColor="text1"/>
        </w:rPr>
        <w:t>Mipymes</w:t>
      </w:r>
      <w:proofErr w:type="spellEnd"/>
      <w:r w:rsidRPr="00FC5438">
        <w:rPr>
          <w:rFonts w:ascii="Verdana" w:eastAsia="Calibri" w:hAnsi="Verdana" w:cs="Arial"/>
          <w:color w:val="000000" w:themeColor="text1"/>
        </w:rPr>
        <w:t xml:space="preserve"> nacionales es una facultad discrecional, de manera que</w:t>
      </w:r>
      <w:r w:rsidRPr="00FC5438">
        <w:rPr>
          <w:rFonts w:ascii="Verdana" w:eastAsia="Arial" w:hAnsi="Verdana" w:cs="Arial"/>
          <w:color w:val="000000"/>
        </w:rPr>
        <w:t xml:space="preserve"> la entidad contratante valorará si es oportuno y conveniente adoptarla</w:t>
      </w:r>
      <w:r w:rsidRPr="00FC5438">
        <w:rPr>
          <w:rStyle w:val="Refdenotaalpie"/>
          <w:rFonts w:ascii="Verdana" w:eastAsia="Arial" w:hAnsi="Verdana" w:cs="Arial"/>
          <w:color w:val="000000"/>
        </w:rPr>
        <w:footnoteReference w:id="4"/>
      </w:r>
      <w:r w:rsidRPr="00FC5438">
        <w:rPr>
          <w:rFonts w:ascii="Verdana" w:eastAsia="Arial" w:hAnsi="Verdana" w:cs="Arial"/>
          <w:color w:val="000000"/>
        </w:rPr>
        <w:t>. Sin embargo, aunque la discrecionalidad implica una elección administrativa, no puede ser una decisión irracional o arbitraria. Por ello, el ordenamiento impone una carga de motivación en el ejercicio de este tipo de facultades, pues –</w:t>
      </w:r>
      <w:r w:rsidRPr="00FC5438">
        <w:rPr>
          <w:rFonts w:ascii="Verdana" w:eastAsia="Arial" w:hAnsi="Verdana" w:cs="Arial"/>
          <w:color w:val="000000"/>
        </w:rPr>
        <w:lastRenderedPageBreak/>
        <w:t>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417A493C" w14:textId="77777777" w:rsidR="005A0517" w:rsidRPr="00301910" w:rsidRDefault="005A0517" w:rsidP="005A0517">
      <w:pPr>
        <w:spacing w:after="0" w:line="276" w:lineRule="auto"/>
        <w:ind w:firstLine="708"/>
        <w:jc w:val="both"/>
        <w:rPr>
          <w:rFonts w:ascii="Verdana" w:hAnsi="Verdana" w:cs="Arial"/>
          <w:lang w:eastAsia="es-ES"/>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gestión contractual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0B584A95" w14:textId="77777777" w:rsidR="005A0517" w:rsidRDefault="005A0517" w:rsidP="005A0517">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51F5023F" w14:textId="77777777" w:rsidR="005A0517" w:rsidRPr="00301910" w:rsidRDefault="005A0517" w:rsidP="005A0517">
      <w:pPr>
        <w:spacing w:before="120" w:after="0" w:line="276" w:lineRule="auto"/>
        <w:ind w:firstLine="709"/>
        <w:jc w:val="both"/>
        <w:rPr>
          <w:rFonts w:ascii="Verdana" w:hAnsi="Verdana" w:cs="Arial"/>
          <w:lang w:eastAsia="es-ES"/>
        </w:rPr>
      </w:pPr>
    </w:p>
    <w:p w14:paraId="39098120" w14:textId="77777777" w:rsidR="00220BF5" w:rsidRPr="001F283D" w:rsidRDefault="00220BF5" w:rsidP="00220BF5">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3"/>
    <w:p w14:paraId="3CAB899E" w14:textId="77777777" w:rsidR="00220BF5" w:rsidRDefault="00220BF5" w:rsidP="00220BF5">
      <w:pPr>
        <w:widowControl w:val="0"/>
        <w:autoSpaceDE w:val="0"/>
        <w:autoSpaceDN w:val="0"/>
        <w:spacing w:after="0" w:line="276" w:lineRule="auto"/>
        <w:jc w:val="both"/>
        <w:rPr>
          <w:rFonts w:ascii="Verdana" w:hAnsi="Verdana" w:cs="Arial"/>
        </w:rPr>
      </w:pPr>
    </w:p>
    <w:p w14:paraId="481B0E8D" w14:textId="77777777" w:rsidR="00BF3AC2" w:rsidRDefault="00BF3AC2" w:rsidP="00220BF5">
      <w:pPr>
        <w:widowControl w:val="0"/>
        <w:autoSpaceDE w:val="0"/>
        <w:autoSpaceDN w:val="0"/>
        <w:spacing w:after="0" w:line="276" w:lineRule="auto"/>
        <w:jc w:val="both"/>
        <w:rPr>
          <w:rFonts w:ascii="Verdana" w:hAnsi="Verdana" w:cs="Arial"/>
        </w:rPr>
      </w:pPr>
    </w:p>
    <w:p w14:paraId="0D2BA2BC" w14:textId="77777777" w:rsidR="00BF3AC2" w:rsidRDefault="00BF3AC2" w:rsidP="00220BF5">
      <w:pPr>
        <w:widowControl w:val="0"/>
        <w:autoSpaceDE w:val="0"/>
        <w:autoSpaceDN w:val="0"/>
        <w:spacing w:after="0" w:line="276" w:lineRule="auto"/>
        <w:jc w:val="both"/>
        <w:rPr>
          <w:rFonts w:ascii="Verdana" w:hAnsi="Verdana" w:cs="Arial"/>
        </w:rPr>
      </w:pPr>
    </w:p>
    <w:p w14:paraId="75B1D5D5" w14:textId="77777777" w:rsidR="00BF3AC2" w:rsidRDefault="00BF3AC2" w:rsidP="00220BF5">
      <w:pPr>
        <w:widowControl w:val="0"/>
        <w:autoSpaceDE w:val="0"/>
        <w:autoSpaceDN w:val="0"/>
        <w:spacing w:after="0" w:line="276" w:lineRule="auto"/>
        <w:jc w:val="both"/>
        <w:rPr>
          <w:rFonts w:ascii="Verdana" w:hAnsi="Verdana" w:cs="Arial"/>
        </w:rPr>
      </w:pPr>
    </w:p>
    <w:p w14:paraId="4157B766" w14:textId="77777777" w:rsidR="00BF3AC2" w:rsidRDefault="00BF3AC2" w:rsidP="00220BF5">
      <w:pPr>
        <w:widowControl w:val="0"/>
        <w:autoSpaceDE w:val="0"/>
        <w:autoSpaceDN w:val="0"/>
        <w:spacing w:after="0" w:line="276" w:lineRule="auto"/>
        <w:jc w:val="both"/>
        <w:rPr>
          <w:rFonts w:ascii="Verdana" w:hAnsi="Verdana" w:cs="Arial"/>
        </w:rPr>
      </w:pPr>
    </w:p>
    <w:p w14:paraId="3A02D0A6" w14:textId="77777777" w:rsidR="00BF3AC2" w:rsidRDefault="00BF3AC2" w:rsidP="00220BF5">
      <w:pPr>
        <w:widowControl w:val="0"/>
        <w:autoSpaceDE w:val="0"/>
        <w:autoSpaceDN w:val="0"/>
        <w:spacing w:after="0" w:line="276" w:lineRule="auto"/>
        <w:jc w:val="both"/>
        <w:rPr>
          <w:rFonts w:ascii="Verdana" w:hAnsi="Verdana" w:cs="Arial"/>
        </w:rPr>
      </w:pPr>
    </w:p>
    <w:p w14:paraId="60F1A192" w14:textId="77777777" w:rsidR="00BF3AC2" w:rsidRPr="00593A5F" w:rsidRDefault="00BF3AC2" w:rsidP="00220BF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20BF5" w:rsidRPr="002407CE" w14:paraId="72693C23" w14:textId="77777777">
        <w:trPr>
          <w:trHeight w:val="870"/>
          <w:jc w:val="center"/>
        </w:trPr>
        <w:tc>
          <w:tcPr>
            <w:tcW w:w="8647" w:type="dxa"/>
          </w:tcPr>
          <w:p w14:paraId="1BCB4D97" w14:textId="77777777" w:rsidR="00220BF5" w:rsidRPr="004A09CE" w:rsidRDefault="00220BF5" w:rsidP="00220BF5">
            <w:pPr>
              <w:widowControl w:val="0"/>
              <w:numPr>
                <w:ilvl w:val="0"/>
                <w:numId w:val="17"/>
              </w:numPr>
              <w:autoSpaceDE w:val="0"/>
              <w:autoSpaceDN w:val="0"/>
              <w:spacing w:after="120" w:line="276" w:lineRule="auto"/>
              <w:contextualSpacing/>
              <w:jc w:val="both"/>
              <w:rPr>
                <w:rFonts w:ascii="Verdana" w:eastAsia="Aptos" w:hAnsi="Verdana" w:cs="Arial"/>
              </w:rPr>
            </w:pPr>
            <w:r w:rsidRPr="004A09CE">
              <w:rPr>
                <w:rFonts w:ascii="Verdana" w:eastAsia="Aptos" w:hAnsi="Verdana" w:cs="Arial"/>
                <w:color w:val="000000"/>
                <w:lang w:val="es-ES_tradnl"/>
              </w:rPr>
              <w:lastRenderedPageBreak/>
              <w:t>Código de Comercio: Artículo 1347</w:t>
            </w:r>
          </w:p>
          <w:p w14:paraId="616C4F81" w14:textId="77777777" w:rsidR="00220BF5" w:rsidRPr="004A09CE" w:rsidRDefault="00220BF5" w:rsidP="00220BF5">
            <w:pPr>
              <w:widowControl w:val="0"/>
              <w:numPr>
                <w:ilvl w:val="0"/>
                <w:numId w:val="17"/>
              </w:numPr>
              <w:autoSpaceDE w:val="0"/>
              <w:autoSpaceDN w:val="0"/>
              <w:spacing w:after="120" w:line="276" w:lineRule="auto"/>
              <w:contextualSpacing/>
              <w:jc w:val="both"/>
              <w:rPr>
                <w:rFonts w:ascii="Verdana" w:eastAsia="Aptos" w:hAnsi="Verdana" w:cs="Arial"/>
              </w:rPr>
            </w:pPr>
            <w:r w:rsidRPr="004A09CE">
              <w:rPr>
                <w:rFonts w:ascii="Verdana" w:eastAsia="Calibri" w:hAnsi="Verdana" w:cs="Arial"/>
                <w:lang w:val="es-ES"/>
              </w:rPr>
              <w:t>Decreto 1082. Artículo 2.2.1.2.4.2.2</w:t>
            </w:r>
            <w:r w:rsidRPr="004A09CE">
              <w:rPr>
                <w:rFonts w:ascii="Verdana" w:eastAsia="Calibri" w:hAnsi="Verdana" w:cs="Times New Roman"/>
                <w:lang w:val="es-ES"/>
              </w:rPr>
              <w:t xml:space="preserve"> </w:t>
            </w:r>
          </w:p>
          <w:p w14:paraId="1332E3CE" w14:textId="77777777" w:rsidR="00220BF5" w:rsidRPr="004A09CE" w:rsidRDefault="00220BF5" w:rsidP="00220BF5">
            <w:pPr>
              <w:widowControl w:val="0"/>
              <w:numPr>
                <w:ilvl w:val="0"/>
                <w:numId w:val="17"/>
              </w:numPr>
              <w:autoSpaceDE w:val="0"/>
              <w:autoSpaceDN w:val="0"/>
              <w:spacing w:line="276" w:lineRule="auto"/>
              <w:contextualSpacing/>
              <w:jc w:val="both"/>
              <w:rPr>
                <w:rFonts w:ascii="Verdana" w:eastAsia="Aptos" w:hAnsi="Verdana" w:cs="Arial"/>
              </w:rPr>
            </w:pPr>
            <w:r w:rsidRPr="004A09CE">
              <w:rPr>
                <w:rFonts w:ascii="Verdana" w:eastAsia="Aptos" w:hAnsi="Verdana" w:cs="Arial"/>
              </w:rPr>
              <w:t>Consejo de Estado. Sección Tercera. Subsección A. Sentencia del 30 de abril de 2014. M.P. Hernán Andrade Rincón. Rad. 25000-23-26-000-1996-13326-01(26967).</w:t>
            </w:r>
          </w:p>
          <w:p w14:paraId="1088E49B" w14:textId="77777777" w:rsidR="00220BF5" w:rsidRPr="00BF1F9D" w:rsidRDefault="00220BF5" w:rsidP="00220BF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4A09CE">
              <w:rPr>
                <w:rFonts w:ascii="Verdana" w:eastAsia="Aptos" w:hAnsi="Verdana" w:cs="Arial"/>
              </w:rPr>
              <w:t>Consejo de Estado. Sección Tercera. Sentencia del 22 de marzo de 2001. M.P. Alier Eduardo Hernández Enríquez. Rad. 11001-03-26-000-1994-9840-01(9840).</w:t>
            </w:r>
          </w:p>
          <w:p w14:paraId="225A0472" w14:textId="77777777" w:rsidR="00BF1F9D" w:rsidRPr="00A57FA0" w:rsidRDefault="00BF1F9D" w:rsidP="00BF1F9D">
            <w:pPr>
              <w:pStyle w:val="NormalWeb"/>
              <w:spacing w:before="0" w:beforeAutospacing="0" w:after="0" w:afterAutospacing="0" w:line="276" w:lineRule="auto"/>
              <w:ind w:left="459"/>
              <w:jc w:val="both"/>
              <w:rPr>
                <w:rFonts w:ascii="Verdana" w:hAnsi="Verdana" w:cs="Arial"/>
                <w:color w:val="000000" w:themeColor="text1"/>
                <w:sz w:val="22"/>
                <w:szCs w:val="22"/>
              </w:rPr>
            </w:pPr>
          </w:p>
        </w:tc>
      </w:tr>
    </w:tbl>
    <w:p w14:paraId="4A3509CB" w14:textId="77777777" w:rsidR="00220BF5" w:rsidRPr="007F13BA" w:rsidRDefault="00220BF5" w:rsidP="00220BF5">
      <w:pPr>
        <w:widowControl w:val="0"/>
        <w:autoSpaceDE w:val="0"/>
        <w:autoSpaceDN w:val="0"/>
        <w:spacing w:after="0" w:line="276" w:lineRule="auto"/>
        <w:jc w:val="both"/>
        <w:rPr>
          <w:rFonts w:ascii="Verdana" w:hAnsi="Verdana" w:cs="Arial"/>
        </w:rPr>
      </w:pPr>
    </w:p>
    <w:p w14:paraId="6FC58CFB" w14:textId="77777777" w:rsidR="00220BF5" w:rsidRPr="00911583" w:rsidRDefault="00220BF5" w:rsidP="00220BF5">
      <w:pPr>
        <w:tabs>
          <w:tab w:val="left" w:pos="142"/>
          <w:tab w:val="left" w:pos="284"/>
        </w:tabs>
        <w:spacing w:after="0" w:line="276" w:lineRule="auto"/>
        <w:jc w:val="both"/>
        <w:rPr>
          <w:rFonts w:ascii="Verdana" w:eastAsia="Century Gothic" w:hAnsi="Verdana" w:cs="Century Gothic"/>
          <w:b/>
          <w:bCs/>
        </w:rPr>
      </w:pPr>
      <w:r w:rsidRPr="007F13BA">
        <w:rPr>
          <w:rFonts w:ascii="Verdana" w:eastAsia="Century Gothic" w:hAnsi="Verdana" w:cs="Century Gothic"/>
          <w:b/>
          <w:bCs/>
        </w:rPr>
        <w:t xml:space="preserve">5. </w:t>
      </w:r>
      <w:r w:rsidRPr="00911583">
        <w:rPr>
          <w:rFonts w:ascii="Verdana" w:eastAsia="Century Gothic" w:hAnsi="Verdana" w:cs="Century Gothic"/>
          <w:b/>
          <w:bCs/>
        </w:rPr>
        <w:t>Doctrina de la Agencia Nacional de Contratación Pública:</w:t>
      </w:r>
    </w:p>
    <w:p w14:paraId="08BE6A08" w14:textId="77777777" w:rsidR="00220BF5" w:rsidRPr="00911583" w:rsidRDefault="00220BF5" w:rsidP="00220BF5">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0BF6574D" w14:textId="132A4A7A" w:rsidR="00252091" w:rsidRPr="004A09CE" w:rsidRDefault="00252091" w:rsidP="00252091">
      <w:pPr>
        <w:widowControl w:val="0"/>
        <w:autoSpaceDE w:val="0"/>
        <w:autoSpaceDN w:val="0"/>
        <w:spacing w:after="0" w:line="276" w:lineRule="auto"/>
        <w:jc w:val="both"/>
        <w:rPr>
          <w:rFonts w:ascii="Verdana" w:eastAsia="Aptos" w:hAnsi="Verdana" w:cs="Arial"/>
          <w:shd w:val="clear" w:color="auto" w:fill="FFFFFF"/>
          <w:lang w:val="es-ES"/>
        </w:rPr>
      </w:pPr>
      <w:r w:rsidRPr="004A09CE">
        <w:rPr>
          <w:rFonts w:ascii="Verdana" w:eastAsia="Aptos" w:hAnsi="Verdana" w:cs="Arial"/>
          <w:shd w:val="clear" w:color="auto" w:fill="FFFFFF"/>
          <w:lang w:val="es-ES"/>
        </w:rPr>
        <w:t xml:space="preserve">Sobre el contrato de corretaje esta Subdirección se ha pronunciado en el Concepto C-199 del 16 de agosto de 2024, igualmente respecto de las limitaciones de convocatorias a </w:t>
      </w:r>
      <w:proofErr w:type="spellStart"/>
      <w:r w:rsidRPr="004A09CE">
        <w:rPr>
          <w:rFonts w:ascii="Verdana" w:eastAsia="Aptos" w:hAnsi="Verdana" w:cs="Arial"/>
          <w:shd w:val="clear" w:color="auto" w:fill="FFFFFF"/>
          <w:lang w:val="es-ES"/>
        </w:rPr>
        <w:t>Mipymes</w:t>
      </w:r>
      <w:proofErr w:type="spellEnd"/>
      <w:r w:rsidRPr="004A09CE">
        <w:rPr>
          <w:rFonts w:ascii="Verdana" w:eastAsia="Aptos" w:hAnsi="Verdana" w:cs="Arial"/>
          <w:shd w:val="clear" w:color="auto" w:fill="FFFFFF"/>
          <w:lang w:val="es-ES"/>
        </w:rPr>
        <w:t>, se ha manifestado en los conceptos concepto C-705 del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C-758 del 10 de noviembre de 2022, C-089 del 28 de abril de 2023, C-251 del 9 de agosto de 2024, C-417 del 15 de mayo de 2025, C-483 del 20 de mayo de 2025,</w:t>
      </w:r>
      <w:r>
        <w:rPr>
          <w:rFonts w:ascii="Verdana" w:eastAsia="Aptos" w:hAnsi="Verdana" w:cs="Arial"/>
          <w:shd w:val="clear" w:color="auto" w:fill="FFFFFF"/>
          <w:lang w:val="es-ES"/>
        </w:rPr>
        <w:t xml:space="preserve"> C-551 de 18 de junio de 2025, </w:t>
      </w:r>
      <w:r w:rsidRPr="0067177D">
        <w:rPr>
          <w:rFonts w:ascii="Verdana" w:eastAsia="Calibri" w:hAnsi="Verdana" w:cs="Arial"/>
          <w:lang w:val="es-ES" w:eastAsia="es-ES"/>
        </w:rPr>
        <w:t xml:space="preserve">C-837 de </w:t>
      </w:r>
      <w:r>
        <w:rPr>
          <w:rFonts w:ascii="Verdana" w:eastAsia="Calibri" w:hAnsi="Verdana" w:cs="Arial"/>
          <w:lang w:val="es-ES" w:eastAsia="es-ES"/>
        </w:rPr>
        <w:t>28 de julio de</w:t>
      </w:r>
      <w:r w:rsidRPr="0067177D">
        <w:rPr>
          <w:rFonts w:ascii="Verdana" w:eastAsia="Calibri" w:hAnsi="Verdana" w:cs="Arial"/>
          <w:lang w:val="es-ES" w:eastAsia="es-ES"/>
        </w:rPr>
        <w:t xml:space="preserve"> 2025</w:t>
      </w:r>
      <w:r w:rsidRPr="0067177D">
        <w:rPr>
          <w:rFonts w:ascii="Verdana" w:eastAsia="Aptos" w:hAnsi="Verdana" w:cs="Arial"/>
          <w:shd w:val="clear" w:color="auto" w:fill="FFFFFF"/>
          <w:lang w:val="es-ES"/>
        </w:rPr>
        <w:t xml:space="preserve"> </w:t>
      </w:r>
      <w:r w:rsidRPr="004A09CE">
        <w:rPr>
          <w:rFonts w:ascii="Verdana" w:eastAsia="Aptos" w:hAnsi="Verdana" w:cs="Arial"/>
          <w:shd w:val="clear" w:color="auto" w:fill="FFFFFF"/>
          <w:lang w:val="es-ES"/>
        </w:rPr>
        <w:t>entre otros. Es</w:t>
      </w:r>
      <w:r w:rsidRPr="004A09CE">
        <w:rPr>
          <w:rFonts w:ascii="Verdana" w:eastAsia="Aptos" w:hAnsi="Verdana" w:cs="Times New Roman"/>
        </w:rPr>
        <w:t>tos y otros conceptos se encuentran disponibles para consulta en el Sistema de relatoría de la Agencia, al cual se puede acceder a través del siguiente enlace:</w:t>
      </w:r>
      <w:r w:rsidRPr="004A09CE">
        <w:rPr>
          <w:rFonts w:ascii="Verdana" w:eastAsia="Aptos" w:hAnsi="Verdana" w:cs="Arial"/>
          <w:shd w:val="clear" w:color="auto" w:fill="FFFFFF"/>
          <w:lang w:val="es-ES"/>
        </w:rPr>
        <w:t xml:space="preserve"> </w:t>
      </w:r>
      <w:hyperlink r:id="rId12" w:history="1">
        <w:r w:rsidRPr="004A09CE">
          <w:rPr>
            <w:rFonts w:ascii="Verdana" w:eastAsia="Aptos" w:hAnsi="Verdana" w:cs="Arial"/>
            <w:color w:val="467886"/>
            <w:u w:val="single"/>
            <w:shd w:val="clear" w:color="auto" w:fill="FFFFFF"/>
            <w:lang w:val="es-ES"/>
          </w:rPr>
          <w:t>https://relatoria.colombiacompra.gov.co/busqueda/conceptos</w:t>
        </w:r>
      </w:hyperlink>
      <w:r w:rsidRPr="004A09CE">
        <w:rPr>
          <w:rFonts w:ascii="Verdana" w:eastAsia="Aptos" w:hAnsi="Verdana" w:cs="Arial"/>
          <w:color w:val="FF0000"/>
          <w:shd w:val="clear" w:color="auto" w:fill="FFFFFF"/>
          <w:lang w:val="es-ES"/>
        </w:rPr>
        <w:t>.</w:t>
      </w:r>
    </w:p>
    <w:p w14:paraId="047FE6C3" w14:textId="77777777" w:rsidR="00220BF5" w:rsidRDefault="00220BF5" w:rsidP="00220BF5">
      <w:pPr>
        <w:widowControl w:val="0"/>
        <w:autoSpaceDE w:val="0"/>
        <w:autoSpaceDN w:val="0"/>
        <w:spacing w:after="0" w:line="276" w:lineRule="auto"/>
        <w:jc w:val="both"/>
        <w:rPr>
          <w:rFonts w:ascii="Verdana" w:eastAsia="Aptos" w:hAnsi="Verdana" w:cs="Arial"/>
          <w:shd w:val="clear" w:color="auto" w:fill="FFFFFF"/>
          <w:lang w:val="es-ES"/>
        </w:rPr>
      </w:pPr>
    </w:p>
    <w:p w14:paraId="39C48CC0" w14:textId="77777777" w:rsidR="00220BF5" w:rsidRPr="007F13BA" w:rsidRDefault="00220BF5" w:rsidP="00220BF5">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Por último, lo invitamos a seguirnos en las redes sociales en las cuales se difunde información institucional:  </w:t>
      </w:r>
    </w:p>
    <w:p w14:paraId="44586749" w14:textId="77777777" w:rsidR="00220BF5" w:rsidRPr="007F13BA" w:rsidRDefault="00220BF5" w:rsidP="00220BF5">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0E7F2494" w14:textId="77777777" w:rsidR="00220BF5" w:rsidRDefault="00220BF5" w:rsidP="00220BF5">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r w:rsidRPr="00911583">
        <w:rPr>
          <w:rFonts w:ascii="Verdana" w:hAnsi="Verdana" w:cs="Arial"/>
          <w:u w:val="single"/>
          <w:shd w:val="clear" w:color="auto" w:fill="FFFFFF"/>
        </w:rPr>
        <w:t>ColombiaCompraEficiente</w:t>
      </w:r>
      <w:r w:rsidRPr="00146A73">
        <w:rPr>
          <w:rFonts w:ascii="Verdana" w:hAnsi="Verdana" w:cs="Arial"/>
          <w:shd w:val="clear" w:color="auto" w:fill="FFFFFF"/>
        </w:rPr>
        <w:t> </w:t>
      </w:r>
    </w:p>
    <w:p w14:paraId="32D10E7B" w14:textId="659DD1D8" w:rsidR="00833F05" w:rsidRPr="00146A73" w:rsidRDefault="00833F05" w:rsidP="00220BF5">
      <w:pPr>
        <w:widowControl w:val="0"/>
        <w:autoSpaceDE w:val="0"/>
        <w:autoSpaceDN w:val="0"/>
        <w:spacing w:after="0" w:line="276" w:lineRule="auto"/>
        <w:jc w:val="both"/>
        <w:rPr>
          <w:rFonts w:ascii="Verdana" w:hAnsi="Verdana" w:cs="Arial"/>
          <w:shd w:val="clear" w:color="auto" w:fill="FFFFFF"/>
        </w:rPr>
      </w:pPr>
      <w:r w:rsidRPr="00833F05">
        <w:rPr>
          <w:rFonts w:ascii="Verdana" w:hAnsi="Verdana" w:cs="Arial"/>
          <w:shd w:val="clear" w:color="auto" w:fill="FFFFFF"/>
        </w:rPr>
        <w:t>LinkedIn: Agencia Nacional de Contratación Pública - Colombia Compra Eficiente</w:t>
      </w:r>
    </w:p>
    <w:p w14:paraId="4021B69A" w14:textId="77777777" w:rsidR="00220BF5" w:rsidRDefault="00220BF5" w:rsidP="00220BF5">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p>
    <w:p w14:paraId="6866F8FA" w14:textId="77777777" w:rsidR="00220BF5" w:rsidRPr="0067177D" w:rsidRDefault="00220BF5" w:rsidP="00220BF5">
      <w:pPr>
        <w:widowControl w:val="0"/>
        <w:autoSpaceDE w:val="0"/>
        <w:autoSpaceDN w:val="0"/>
        <w:spacing w:after="0" w:line="276" w:lineRule="auto"/>
        <w:jc w:val="both"/>
        <w:rPr>
          <w:rFonts w:ascii="Verdana" w:hAnsi="Verdana" w:cs="Arial"/>
          <w:shd w:val="clear" w:color="auto" w:fill="FFFFFF"/>
        </w:rPr>
      </w:pPr>
    </w:p>
    <w:p w14:paraId="516A7027" w14:textId="77777777" w:rsidR="00220BF5" w:rsidRPr="00146A73" w:rsidRDefault="00220BF5" w:rsidP="00220BF5">
      <w:pPr>
        <w:spacing w:after="0" w:line="276" w:lineRule="auto"/>
        <w:jc w:val="both"/>
        <w:rPr>
          <w:rFonts w:ascii="Verdana" w:hAnsi="Verdana"/>
        </w:rPr>
      </w:pPr>
      <w:r w:rsidRPr="007F13BA">
        <w:rPr>
          <w:rFonts w:ascii="Verdana" w:hAnsi="Verdana"/>
        </w:rPr>
        <w:lastRenderedPageBreak/>
        <w:t>Este concepto tiene el alcance previsto en el artículo 28 del Código de Procedimiento Administrativo y de lo Contencioso Administrativo y las expresiones utilizadas con mayúscula inicial de</w:t>
      </w:r>
      <w:r w:rsidRPr="00911583">
        <w:rPr>
          <w:rFonts w:ascii="Verdana" w:hAnsi="Verdana"/>
        </w:rPr>
        <w:t>ben ser entendidas con el significado que les otorga el artículo 2.2.1.1.1.3.1 del Decreto 1082 de 2015.</w:t>
      </w:r>
    </w:p>
    <w:p w14:paraId="7B5D6021" w14:textId="77777777" w:rsidR="00220BF5" w:rsidRPr="007F13BA" w:rsidRDefault="00220BF5" w:rsidP="00220BF5">
      <w:pPr>
        <w:spacing w:after="0" w:line="276" w:lineRule="auto"/>
        <w:jc w:val="both"/>
        <w:rPr>
          <w:rFonts w:ascii="Verdana" w:eastAsia="Calibri" w:hAnsi="Verdana" w:cs="Times New Roman"/>
        </w:rPr>
      </w:pPr>
    </w:p>
    <w:p w14:paraId="483DDBA2" w14:textId="77777777" w:rsidR="00220BF5" w:rsidRPr="007F13BA" w:rsidRDefault="00220BF5" w:rsidP="00220BF5">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081FA342" w14:textId="77777777" w:rsidR="00220BF5" w:rsidRDefault="00220BF5" w:rsidP="00220BF5">
      <w:pPr>
        <w:spacing w:after="0" w:line="276" w:lineRule="auto"/>
        <w:jc w:val="both"/>
        <w:rPr>
          <w:rFonts w:ascii="Verdana" w:eastAsia="Calibri" w:hAnsi="Verdana" w:cs="Times New Roman"/>
        </w:rPr>
      </w:pPr>
    </w:p>
    <w:p w14:paraId="40C6C071" w14:textId="41E2D8C0" w:rsidR="00220BF5" w:rsidRDefault="00220BF5" w:rsidP="00220BF5">
      <w:pPr>
        <w:spacing w:after="0" w:line="276" w:lineRule="auto"/>
        <w:jc w:val="center"/>
        <w:rPr>
          <w:rFonts w:ascii="Verdana" w:eastAsia="Calibri" w:hAnsi="Verdana" w:cs="Times New Roman"/>
        </w:rPr>
      </w:pPr>
    </w:p>
    <w:p w14:paraId="61F735C0" w14:textId="5505D96C" w:rsidR="00094FEC" w:rsidRDefault="00DE6213" w:rsidP="00DE6213">
      <w:pPr>
        <w:spacing w:after="0" w:line="276" w:lineRule="auto"/>
        <w:jc w:val="center"/>
        <w:rPr>
          <w:rFonts w:ascii="Verdana" w:eastAsia="Calibri" w:hAnsi="Verdana" w:cs="Times New Roman"/>
        </w:rPr>
      </w:pPr>
      <w:r>
        <w:rPr>
          <w:noProof/>
        </w:rPr>
        <w:drawing>
          <wp:inline distT="0" distB="0" distL="0" distR="0" wp14:anchorId="7857326D" wp14:editId="1743F155">
            <wp:extent cx="3442722" cy="1285438"/>
            <wp:effectExtent l="0" t="0" r="0" b="0"/>
            <wp:docPr id="75056486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8751" cy="1291423"/>
                    </a:xfrm>
                    <a:prstGeom prst="rect">
                      <a:avLst/>
                    </a:prstGeom>
                    <a:noFill/>
                    <a:ln>
                      <a:noFill/>
                    </a:ln>
                  </pic:spPr>
                </pic:pic>
              </a:graphicData>
            </a:graphic>
          </wp:inline>
        </w:drawing>
      </w:r>
    </w:p>
    <w:p w14:paraId="23D18200" w14:textId="77777777" w:rsidR="00220BF5" w:rsidRPr="00902D8C" w:rsidRDefault="00220BF5" w:rsidP="00DE6213">
      <w:pPr>
        <w:spacing w:after="0" w:line="276" w:lineRule="auto"/>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20BF5" w:rsidRPr="00FA01CB" w14:paraId="392B66E4" w14:textId="77777777">
        <w:trPr>
          <w:trHeight w:val="315"/>
        </w:trPr>
        <w:tc>
          <w:tcPr>
            <w:tcW w:w="893" w:type="dxa"/>
            <w:vAlign w:val="center"/>
            <w:hideMark/>
          </w:tcPr>
          <w:p w14:paraId="3774F066" w14:textId="77777777" w:rsidR="00220BF5" w:rsidRPr="00FA01CB" w:rsidRDefault="00220BF5">
            <w:pPr>
              <w:contextualSpacing/>
              <w:rPr>
                <w:rFonts w:ascii="Verdana" w:hAnsi="Verdana" w:cs="Arial"/>
                <w:sz w:val="16"/>
                <w:szCs w:val="16"/>
                <w:lang w:eastAsia="es-ES"/>
              </w:rPr>
            </w:pPr>
            <w:r w:rsidRPr="00FA01C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C374DF3" w14:textId="77777777" w:rsidR="00220BF5" w:rsidRPr="00FA01CB" w:rsidRDefault="00220BF5">
            <w:pPr>
              <w:contextualSpacing/>
              <w:rPr>
                <w:rFonts w:ascii="Verdana" w:hAnsi="Verdana"/>
                <w:sz w:val="16"/>
                <w:szCs w:val="16"/>
              </w:rPr>
            </w:pPr>
            <w:r w:rsidRPr="00FA01CB">
              <w:rPr>
                <w:rFonts w:ascii="Verdana" w:hAnsi="Verdana"/>
                <w:sz w:val="16"/>
                <w:szCs w:val="16"/>
              </w:rPr>
              <w:t>Denis Andrea Cárdenas Hernández</w:t>
            </w:r>
          </w:p>
          <w:p w14:paraId="10B63567" w14:textId="77777777" w:rsidR="00220BF5" w:rsidRPr="00FA01CB" w:rsidRDefault="00220BF5">
            <w:pPr>
              <w:contextualSpacing/>
              <w:rPr>
                <w:rFonts w:ascii="Verdana" w:eastAsia="Arial" w:hAnsi="Verdana" w:cs="Arial"/>
                <w:sz w:val="16"/>
                <w:szCs w:val="16"/>
              </w:rPr>
            </w:pPr>
            <w:r w:rsidRPr="00FA01CB">
              <w:rPr>
                <w:rFonts w:ascii="Verdana" w:hAnsi="Verdana"/>
                <w:sz w:val="16"/>
                <w:szCs w:val="16"/>
              </w:rPr>
              <w:t xml:space="preserve">Analista </w:t>
            </w:r>
            <w:r w:rsidRPr="00FA01CB">
              <w:rPr>
                <w:rFonts w:ascii="Verdana" w:hAnsi="Verdana" w:cs="Arial"/>
                <w:sz w:val="16"/>
                <w:szCs w:val="16"/>
                <w:lang w:val="es-ES_tradnl"/>
              </w:rPr>
              <w:t>T2 ‒ 1 de la Subdirección de Gestión Contractual</w:t>
            </w:r>
          </w:p>
        </w:tc>
      </w:tr>
      <w:tr w:rsidR="00220BF5" w:rsidRPr="00FA01CB" w14:paraId="3233A66A" w14:textId="77777777">
        <w:trPr>
          <w:trHeight w:val="330"/>
        </w:trPr>
        <w:tc>
          <w:tcPr>
            <w:tcW w:w="893" w:type="dxa"/>
            <w:vAlign w:val="center"/>
            <w:hideMark/>
          </w:tcPr>
          <w:p w14:paraId="511714B1" w14:textId="77777777" w:rsidR="00220BF5" w:rsidRPr="00FA01CB" w:rsidRDefault="00220BF5">
            <w:pPr>
              <w:contextualSpacing/>
              <w:rPr>
                <w:rFonts w:ascii="Verdana" w:hAnsi="Verdana" w:cs="Arial"/>
                <w:sz w:val="16"/>
                <w:szCs w:val="16"/>
                <w:lang w:eastAsia="es-ES"/>
              </w:rPr>
            </w:pPr>
            <w:r w:rsidRPr="00FA01C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81984C" w14:textId="77777777" w:rsidR="00220BF5" w:rsidRPr="00FA01CB" w:rsidRDefault="00220BF5">
            <w:pPr>
              <w:rPr>
                <w:rFonts w:ascii="Verdana" w:eastAsia="Aptos" w:hAnsi="Verdana" w:cs="Arial"/>
                <w:sz w:val="16"/>
                <w:szCs w:val="16"/>
                <w:lang w:eastAsia="es-ES"/>
              </w:rPr>
            </w:pPr>
            <w:r w:rsidRPr="00FA01CB">
              <w:rPr>
                <w:rFonts w:ascii="Verdana" w:eastAsia="Aptos" w:hAnsi="Verdana" w:cs="Arial"/>
                <w:sz w:val="16"/>
                <w:szCs w:val="16"/>
                <w:lang w:eastAsia="es-ES"/>
              </w:rPr>
              <w:t>Alejandro Sarmiento Cantillo</w:t>
            </w:r>
          </w:p>
          <w:p w14:paraId="6FBC9F2E" w14:textId="77777777" w:rsidR="00220BF5" w:rsidRPr="00FA01CB" w:rsidRDefault="00220BF5">
            <w:pPr>
              <w:contextualSpacing/>
              <w:textAlignment w:val="baseline"/>
              <w:rPr>
                <w:rFonts w:ascii="Verdana" w:eastAsia="Times New Roman" w:hAnsi="Verdana" w:cs="Segoe UI"/>
                <w:sz w:val="16"/>
                <w:szCs w:val="16"/>
                <w:lang w:eastAsia="es-ES_tradnl"/>
              </w:rPr>
            </w:pPr>
            <w:r w:rsidRPr="00FA01CB">
              <w:rPr>
                <w:rFonts w:ascii="Verdana" w:eastAsia="Aptos" w:hAnsi="Verdana" w:cs="Arial"/>
                <w:sz w:val="16"/>
                <w:szCs w:val="16"/>
                <w:lang w:eastAsia="es-ES"/>
              </w:rPr>
              <w:t>Gestor T1 – 15 de la Subdirección de Gestión Contractual</w:t>
            </w:r>
          </w:p>
        </w:tc>
      </w:tr>
      <w:tr w:rsidR="00220BF5" w:rsidRPr="00FA01CB" w14:paraId="460B1E90" w14:textId="77777777">
        <w:trPr>
          <w:trHeight w:val="300"/>
        </w:trPr>
        <w:tc>
          <w:tcPr>
            <w:tcW w:w="893" w:type="dxa"/>
            <w:vAlign w:val="center"/>
          </w:tcPr>
          <w:p w14:paraId="02841058" w14:textId="77777777" w:rsidR="00220BF5" w:rsidRPr="00FA01CB" w:rsidRDefault="00220BF5">
            <w:pPr>
              <w:contextualSpacing/>
              <w:rPr>
                <w:rFonts w:ascii="Verdana" w:hAnsi="Verdana" w:cs="Arial"/>
                <w:sz w:val="16"/>
                <w:szCs w:val="16"/>
                <w:lang w:eastAsia="es-ES"/>
              </w:rPr>
            </w:pPr>
            <w:r w:rsidRPr="00FA01C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73BFA9" w14:textId="77777777" w:rsidR="00220BF5" w:rsidRPr="00FA01CB" w:rsidRDefault="00220BF5">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Carolina Quintero Gacharná</w:t>
            </w:r>
          </w:p>
          <w:p w14:paraId="368C7902" w14:textId="77777777" w:rsidR="00220BF5" w:rsidRPr="00FA01CB" w:rsidRDefault="00220BF5">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Subdirectora de Gestión Contractual ANCP – CCE</w:t>
            </w:r>
          </w:p>
        </w:tc>
      </w:tr>
    </w:tbl>
    <w:p w14:paraId="33A0562D" w14:textId="77777777" w:rsidR="00220BF5" w:rsidRPr="00013097" w:rsidRDefault="00220BF5" w:rsidP="00220BF5"/>
    <w:p w14:paraId="0F293BF4" w14:textId="3A2AEE1B" w:rsidR="00127233" w:rsidRPr="0015699B" w:rsidRDefault="00127233" w:rsidP="00220BF5">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0998B" w14:textId="77777777" w:rsidR="003A0E23" w:rsidRDefault="003A0E23" w:rsidP="004A1847">
      <w:pPr>
        <w:spacing w:after="0" w:line="240" w:lineRule="auto"/>
      </w:pPr>
      <w:r>
        <w:separator/>
      </w:r>
    </w:p>
  </w:endnote>
  <w:endnote w:type="continuationSeparator" w:id="0">
    <w:p w14:paraId="45758013" w14:textId="77777777" w:rsidR="003A0E23" w:rsidRDefault="003A0E2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CA1071" w14:textId="77777777" w:rsidR="003A0E23" w:rsidRDefault="003A0E23" w:rsidP="004A1847">
      <w:pPr>
        <w:spacing w:after="0" w:line="240" w:lineRule="auto"/>
      </w:pPr>
      <w:r>
        <w:separator/>
      </w:r>
    </w:p>
  </w:footnote>
  <w:footnote w:type="continuationSeparator" w:id="0">
    <w:p w14:paraId="27089AFC" w14:textId="77777777" w:rsidR="003A0E23" w:rsidRDefault="003A0E23" w:rsidP="004A1847">
      <w:pPr>
        <w:spacing w:after="0" w:line="240" w:lineRule="auto"/>
      </w:pPr>
      <w:r>
        <w:continuationSeparator/>
      </w:r>
    </w:p>
  </w:footnote>
  <w:footnote w:id="1">
    <w:p w14:paraId="5531EA0E" w14:textId="77777777" w:rsidR="005A0517" w:rsidRPr="00803525" w:rsidRDefault="005A0517" w:rsidP="005A0517">
      <w:pPr>
        <w:pStyle w:val="Textonotapie"/>
        <w:ind w:firstLine="708"/>
        <w:jc w:val="both"/>
        <w:rPr>
          <w:rFonts w:ascii="Verdana" w:hAnsi="Verdana"/>
          <w:sz w:val="16"/>
          <w:szCs w:val="16"/>
          <w:lang w:val="es-ES"/>
        </w:rPr>
      </w:pPr>
      <w:r w:rsidRPr="00803525">
        <w:rPr>
          <w:rStyle w:val="Refdenotaalpie"/>
          <w:rFonts w:ascii="Verdana" w:hAnsi="Verdana"/>
          <w:sz w:val="16"/>
          <w:szCs w:val="16"/>
        </w:rPr>
        <w:footnoteRef/>
      </w:r>
      <w:r w:rsidRPr="00803525">
        <w:rPr>
          <w:rFonts w:ascii="Verdana" w:hAnsi="Verdana"/>
          <w:sz w:val="16"/>
          <w:szCs w:val="16"/>
        </w:rPr>
        <w:t xml:space="preserve"> </w:t>
      </w:r>
      <w:r w:rsidRPr="00803525">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803525">
        <w:rPr>
          <w:rFonts w:ascii="Verdana" w:hAnsi="Verdana"/>
          <w:i/>
          <w:iCs/>
          <w:sz w:val="16"/>
          <w:szCs w:val="16"/>
          <w:lang w:val="es-ES"/>
        </w:rPr>
        <w:t>Ubi lex non distinguit nec nos distinguere debemus</w:t>
      </w:r>
      <w:r w:rsidRPr="00803525">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76ECF034" w14:textId="77777777" w:rsidR="005A0517" w:rsidRPr="00803525" w:rsidRDefault="005A0517" w:rsidP="005A0517">
      <w:pPr>
        <w:pStyle w:val="Textonotapie"/>
        <w:ind w:firstLine="708"/>
        <w:jc w:val="both"/>
        <w:rPr>
          <w:rFonts w:ascii="Verdana" w:hAnsi="Verdana"/>
          <w:sz w:val="16"/>
          <w:szCs w:val="16"/>
          <w:lang w:val="es-CO"/>
        </w:rPr>
      </w:pPr>
      <w:r w:rsidRPr="00803525">
        <w:rPr>
          <w:rFonts w:ascii="Verdana" w:hAnsi="Verdana"/>
          <w:sz w:val="16"/>
          <w:szCs w:val="16"/>
          <w:lang w:val="es-ES"/>
        </w:rPr>
        <w:t xml:space="preserve">En el derecho antiguo y en el derecho canónico se distinguían las leyes en favorables y odiosas, para ampliar o restringir su interpretación. </w:t>
      </w:r>
      <w:r w:rsidRPr="00803525">
        <w:rPr>
          <w:rFonts w:ascii="Verdana" w:hAnsi="Verdana"/>
          <w:i/>
          <w:iCs/>
          <w:sz w:val="16"/>
          <w:szCs w:val="16"/>
          <w:lang w:val="es-ES"/>
        </w:rPr>
        <w:t>Odia restringí et favores convenit ampliari</w:t>
      </w:r>
      <w:r w:rsidRPr="00803525">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803525">
        <w:rPr>
          <w:rFonts w:ascii="Verdana" w:hAnsi="Verdana"/>
          <w:sz w:val="16"/>
          <w:szCs w:val="16"/>
        </w:rPr>
        <w:t>CLARO SOLAR, Luis. Explicaciones de derecho civil chileno y comparado. Volumen I. Tomo I. Santiago: Editorial Jurídica de Chile, 2013. p. 119. Énfasis dentro del texto).</w:t>
      </w:r>
    </w:p>
  </w:footnote>
  <w:footnote w:id="2">
    <w:p w14:paraId="7AC7E1EA" w14:textId="77777777" w:rsidR="005A0517" w:rsidRPr="00803525" w:rsidRDefault="005A0517" w:rsidP="005A0517">
      <w:pPr>
        <w:pStyle w:val="Textonotapie"/>
        <w:ind w:firstLine="709"/>
        <w:jc w:val="both"/>
        <w:rPr>
          <w:rFonts w:ascii="Verdana" w:hAnsi="Verdana" w:cs="Arial"/>
          <w:sz w:val="16"/>
          <w:szCs w:val="16"/>
        </w:rPr>
      </w:pPr>
      <w:r w:rsidRPr="00803525">
        <w:rPr>
          <w:rStyle w:val="Refdenotaalpie"/>
          <w:rFonts w:ascii="Verdana" w:hAnsi="Verdana" w:cs="Arial"/>
          <w:sz w:val="16"/>
          <w:szCs w:val="16"/>
        </w:rPr>
        <w:footnoteRef/>
      </w:r>
      <w:r w:rsidRPr="00803525">
        <w:rPr>
          <w:rFonts w:ascii="Verdana" w:hAnsi="Verdana" w:cs="Arial"/>
          <w:sz w:val="16"/>
          <w:szCs w:val="16"/>
        </w:rPr>
        <w:t xml:space="preserve">  Agencia Nacional de Contratación Pública – Colombia Compra Eficiente. Concepto C-045 del 17 de marzo de 2020. Radicado de salida No. 2202013000001974.</w:t>
      </w:r>
    </w:p>
  </w:footnote>
  <w:footnote w:id="3">
    <w:p w14:paraId="6132C4EB" w14:textId="77777777" w:rsidR="005A0517" w:rsidRPr="00803525" w:rsidRDefault="005A0517" w:rsidP="005A0517">
      <w:pPr>
        <w:pStyle w:val="Textonotapie"/>
        <w:ind w:firstLine="708"/>
        <w:jc w:val="both"/>
        <w:rPr>
          <w:rFonts w:ascii="Verdana" w:hAnsi="Verdana"/>
          <w:sz w:val="16"/>
          <w:szCs w:val="16"/>
        </w:rPr>
      </w:pPr>
      <w:r w:rsidRPr="00803525">
        <w:rPr>
          <w:rStyle w:val="Refdenotaalpie"/>
          <w:rFonts w:ascii="Verdana" w:hAnsi="Verdana"/>
          <w:sz w:val="16"/>
          <w:szCs w:val="16"/>
        </w:rPr>
        <w:footnoteRef/>
      </w:r>
      <w:r w:rsidRPr="00803525">
        <w:rPr>
          <w:rFonts w:ascii="Verdana" w:hAnsi="Verdana"/>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73B94F66" w14:textId="77777777" w:rsidR="005A0517" w:rsidRPr="00803525" w:rsidRDefault="005A0517" w:rsidP="005A0517">
      <w:pPr>
        <w:pStyle w:val="Textonotapie"/>
        <w:ind w:firstLine="708"/>
        <w:jc w:val="both"/>
        <w:rPr>
          <w:rFonts w:ascii="Verdana" w:hAnsi="Verdana"/>
          <w:sz w:val="16"/>
          <w:szCs w:val="16"/>
        </w:rPr>
      </w:pPr>
      <w:r w:rsidRPr="00803525">
        <w:rPr>
          <w:rFonts w:ascii="Verdana" w:hAnsi="Verdana"/>
          <w:sz w:val="16"/>
          <w:szCs w:val="16"/>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footnote>
  <w:footnote w:id="4">
    <w:p w14:paraId="2727E8B4" w14:textId="77777777" w:rsidR="005A0517" w:rsidRPr="00803525" w:rsidRDefault="005A0517" w:rsidP="005A0517">
      <w:pPr>
        <w:pStyle w:val="Textonotapie"/>
        <w:ind w:firstLine="708"/>
        <w:jc w:val="both"/>
        <w:rPr>
          <w:rFonts w:ascii="Verdana" w:hAnsi="Verdana" w:cs="Arial"/>
          <w:sz w:val="16"/>
          <w:szCs w:val="16"/>
        </w:rPr>
      </w:pPr>
      <w:r w:rsidRPr="00803525">
        <w:rPr>
          <w:rStyle w:val="Refdenotaalpie"/>
          <w:rFonts w:ascii="Verdana" w:hAnsi="Verdana" w:cs="Arial"/>
          <w:sz w:val="16"/>
          <w:szCs w:val="16"/>
        </w:rPr>
        <w:footnoteRef/>
      </w:r>
      <w:r w:rsidRPr="00803525">
        <w:rPr>
          <w:rFonts w:ascii="Verdana" w:hAnsi="Verdana" w:cs="Arial"/>
          <w:sz w:val="16"/>
          <w:szCs w:val="16"/>
        </w:rPr>
        <w:t xml:space="preserve"> Para estos efectos,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 (por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691"/>
    <w:rsid w:val="00016F78"/>
    <w:rsid w:val="00046945"/>
    <w:rsid w:val="000515E5"/>
    <w:rsid w:val="00054CB3"/>
    <w:rsid w:val="000553C7"/>
    <w:rsid w:val="00061B2A"/>
    <w:rsid w:val="00082362"/>
    <w:rsid w:val="00083C2A"/>
    <w:rsid w:val="00094FD8"/>
    <w:rsid w:val="00094FEC"/>
    <w:rsid w:val="000A385F"/>
    <w:rsid w:val="000A683E"/>
    <w:rsid w:val="000B19B9"/>
    <w:rsid w:val="000D0334"/>
    <w:rsid w:val="000D5DA7"/>
    <w:rsid w:val="000F4EFE"/>
    <w:rsid w:val="000F6486"/>
    <w:rsid w:val="00116940"/>
    <w:rsid w:val="00125105"/>
    <w:rsid w:val="00127233"/>
    <w:rsid w:val="0015699B"/>
    <w:rsid w:val="00157EB8"/>
    <w:rsid w:val="0016750A"/>
    <w:rsid w:val="00185B21"/>
    <w:rsid w:val="0018705D"/>
    <w:rsid w:val="00192EBB"/>
    <w:rsid w:val="001A33BF"/>
    <w:rsid w:val="001B169E"/>
    <w:rsid w:val="001C3727"/>
    <w:rsid w:val="001E4177"/>
    <w:rsid w:val="001E7765"/>
    <w:rsid w:val="001F0B24"/>
    <w:rsid w:val="001F7DC6"/>
    <w:rsid w:val="00220BF5"/>
    <w:rsid w:val="0022400B"/>
    <w:rsid w:val="002421BB"/>
    <w:rsid w:val="00244782"/>
    <w:rsid w:val="00250CDC"/>
    <w:rsid w:val="00252091"/>
    <w:rsid w:val="002557EE"/>
    <w:rsid w:val="0025796E"/>
    <w:rsid w:val="00257C87"/>
    <w:rsid w:val="002707A2"/>
    <w:rsid w:val="00282EE8"/>
    <w:rsid w:val="002951A0"/>
    <w:rsid w:val="002962BC"/>
    <w:rsid w:val="002A093D"/>
    <w:rsid w:val="002A0DD0"/>
    <w:rsid w:val="002A49AC"/>
    <w:rsid w:val="002A4B80"/>
    <w:rsid w:val="002A64FD"/>
    <w:rsid w:val="002C381A"/>
    <w:rsid w:val="002C7A84"/>
    <w:rsid w:val="002D6EBE"/>
    <w:rsid w:val="002E2BF8"/>
    <w:rsid w:val="002E4FD9"/>
    <w:rsid w:val="002F645A"/>
    <w:rsid w:val="0030657A"/>
    <w:rsid w:val="00313193"/>
    <w:rsid w:val="00322A85"/>
    <w:rsid w:val="00324168"/>
    <w:rsid w:val="00324CB9"/>
    <w:rsid w:val="00330834"/>
    <w:rsid w:val="00331A0F"/>
    <w:rsid w:val="00331EA6"/>
    <w:rsid w:val="003448F4"/>
    <w:rsid w:val="00374F5E"/>
    <w:rsid w:val="00377E3E"/>
    <w:rsid w:val="003A0E23"/>
    <w:rsid w:val="003A779E"/>
    <w:rsid w:val="003B66B3"/>
    <w:rsid w:val="003D0F4D"/>
    <w:rsid w:val="003D5B0D"/>
    <w:rsid w:val="003E0499"/>
    <w:rsid w:val="003E3B1F"/>
    <w:rsid w:val="003E4F80"/>
    <w:rsid w:val="003E6439"/>
    <w:rsid w:val="003F3941"/>
    <w:rsid w:val="00405FB1"/>
    <w:rsid w:val="00406575"/>
    <w:rsid w:val="00414C74"/>
    <w:rsid w:val="0042722E"/>
    <w:rsid w:val="0044295D"/>
    <w:rsid w:val="0044528D"/>
    <w:rsid w:val="00466E39"/>
    <w:rsid w:val="0048553B"/>
    <w:rsid w:val="0049470F"/>
    <w:rsid w:val="004A1847"/>
    <w:rsid w:val="004A305D"/>
    <w:rsid w:val="004B5B5A"/>
    <w:rsid w:val="004F13C9"/>
    <w:rsid w:val="004F21C4"/>
    <w:rsid w:val="004F685F"/>
    <w:rsid w:val="0052785A"/>
    <w:rsid w:val="005430CD"/>
    <w:rsid w:val="005561A2"/>
    <w:rsid w:val="005566E8"/>
    <w:rsid w:val="00557B06"/>
    <w:rsid w:val="00562FD2"/>
    <w:rsid w:val="00570E01"/>
    <w:rsid w:val="00574867"/>
    <w:rsid w:val="00576DC4"/>
    <w:rsid w:val="0058141F"/>
    <w:rsid w:val="00591460"/>
    <w:rsid w:val="005A0517"/>
    <w:rsid w:val="005A65E0"/>
    <w:rsid w:val="005A6799"/>
    <w:rsid w:val="005B1584"/>
    <w:rsid w:val="005B5C2C"/>
    <w:rsid w:val="005C3777"/>
    <w:rsid w:val="005C5CDC"/>
    <w:rsid w:val="005D0919"/>
    <w:rsid w:val="005D476C"/>
    <w:rsid w:val="005F2962"/>
    <w:rsid w:val="0060718D"/>
    <w:rsid w:val="00607212"/>
    <w:rsid w:val="006200BF"/>
    <w:rsid w:val="006219F8"/>
    <w:rsid w:val="006230DF"/>
    <w:rsid w:val="006302F7"/>
    <w:rsid w:val="00646B9F"/>
    <w:rsid w:val="00656987"/>
    <w:rsid w:val="00665D70"/>
    <w:rsid w:val="006900D9"/>
    <w:rsid w:val="006B7286"/>
    <w:rsid w:val="006E7E03"/>
    <w:rsid w:val="00706C16"/>
    <w:rsid w:val="00706EFA"/>
    <w:rsid w:val="00716494"/>
    <w:rsid w:val="00731231"/>
    <w:rsid w:val="007340C3"/>
    <w:rsid w:val="00734603"/>
    <w:rsid w:val="0075235A"/>
    <w:rsid w:val="00756841"/>
    <w:rsid w:val="00762681"/>
    <w:rsid w:val="007649AB"/>
    <w:rsid w:val="00771D0C"/>
    <w:rsid w:val="007833AC"/>
    <w:rsid w:val="007B268C"/>
    <w:rsid w:val="007B7171"/>
    <w:rsid w:val="007C0C0F"/>
    <w:rsid w:val="007C3DC2"/>
    <w:rsid w:val="007E2E01"/>
    <w:rsid w:val="007E5497"/>
    <w:rsid w:val="00803525"/>
    <w:rsid w:val="00806F5F"/>
    <w:rsid w:val="0081271F"/>
    <w:rsid w:val="00820278"/>
    <w:rsid w:val="008258C9"/>
    <w:rsid w:val="00833F05"/>
    <w:rsid w:val="00840EB3"/>
    <w:rsid w:val="00844AE9"/>
    <w:rsid w:val="00867F95"/>
    <w:rsid w:val="0087524D"/>
    <w:rsid w:val="008843B6"/>
    <w:rsid w:val="00891928"/>
    <w:rsid w:val="008A446D"/>
    <w:rsid w:val="008B25F1"/>
    <w:rsid w:val="008D180B"/>
    <w:rsid w:val="008F0EA7"/>
    <w:rsid w:val="00906854"/>
    <w:rsid w:val="009151F3"/>
    <w:rsid w:val="00917597"/>
    <w:rsid w:val="00923EEF"/>
    <w:rsid w:val="009311F6"/>
    <w:rsid w:val="009419F9"/>
    <w:rsid w:val="0095685E"/>
    <w:rsid w:val="00961B09"/>
    <w:rsid w:val="00965334"/>
    <w:rsid w:val="00967242"/>
    <w:rsid w:val="0097093E"/>
    <w:rsid w:val="00975ADE"/>
    <w:rsid w:val="009A0DFA"/>
    <w:rsid w:val="009A1C6F"/>
    <w:rsid w:val="009A6976"/>
    <w:rsid w:val="009B2D26"/>
    <w:rsid w:val="009C71FA"/>
    <w:rsid w:val="009C72E7"/>
    <w:rsid w:val="009C7F7E"/>
    <w:rsid w:val="009D3058"/>
    <w:rsid w:val="009E1BB7"/>
    <w:rsid w:val="009E6F38"/>
    <w:rsid w:val="009F3A13"/>
    <w:rsid w:val="00A01840"/>
    <w:rsid w:val="00A122D3"/>
    <w:rsid w:val="00A14468"/>
    <w:rsid w:val="00A17F13"/>
    <w:rsid w:val="00A20739"/>
    <w:rsid w:val="00A23AF9"/>
    <w:rsid w:val="00A33C78"/>
    <w:rsid w:val="00A731D1"/>
    <w:rsid w:val="00A7781B"/>
    <w:rsid w:val="00A8179B"/>
    <w:rsid w:val="00AA0507"/>
    <w:rsid w:val="00AB0ADB"/>
    <w:rsid w:val="00AB6503"/>
    <w:rsid w:val="00AE4798"/>
    <w:rsid w:val="00B00C0E"/>
    <w:rsid w:val="00B01B1A"/>
    <w:rsid w:val="00B0381D"/>
    <w:rsid w:val="00B0450B"/>
    <w:rsid w:val="00B146C9"/>
    <w:rsid w:val="00B23FEC"/>
    <w:rsid w:val="00B43CED"/>
    <w:rsid w:val="00B44A47"/>
    <w:rsid w:val="00B66DB6"/>
    <w:rsid w:val="00B72CD3"/>
    <w:rsid w:val="00B72FFF"/>
    <w:rsid w:val="00B83CA3"/>
    <w:rsid w:val="00BA74B5"/>
    <w:rsid w:val="00BC3D36"/>
    <w:rsid w:val="00BD54A6"/>
    <w:rsid w:val="00BD7F72"/>
    <w:rsid w:val="00BF1F9D"/>
    <w:rsid w:val="00BF3AC2"/>
    <w:rsid w:val="00BF7425"/>
    <w:rsid w:val="00BF78F7"/>
    <w:rsid w:val="00C04FB3"/>
    <w:rsid w:val="00C05475"/>
    <w:rsid w:val="00C11D8B"/>
    <w:rsid w:val="00C15139"/>
    <w:rsid w:val="00C26E69"/>
    <w:rsid w:val="00C330EB"/>
    <w:rsid w:val="00C35EAA"/>
    <w:rsid w:val="00C50D69"/>
    <w:rsid w:val="00C51099"/>
    <w:rsid w:val="00C5365C"/>
    <w:rsid w:val="00C60ED1"/>
    <w:rsid w:val="00C63507"/>
    <w:rsid w:val="00C678E5"/>
    <w:rsid w:val="00C74721"/>
    <w:rsid w:val="00C754BE"/>
    <w:rsid w:val="00C76B1C"/>
    <w:rsid w:val="00C905A2"/>
    <w:rsid w:val="00C925AC"/>
    <w:rsid w:val="00CB6357"/>
    <w:rsid w:val="00CB7C81"/>
    <w:rsid w:val="00CC1B26"/>
    <w:rsid w:val="00CC743E"/>
    <w:rsid w:val="00CD14B4"/>
    <w:rsid w:val="00CD7001"/>
    <w:rsid w:val="00CE44A8"/>
    <w:rsid w:val="00D015D6"/>
    <w:rsid w:val="00D066B7"/>
    <w:rsid w:val="00D3101E"/>
    <w:rsid w:val="00D361FD"/>
    <w:rsid w:val="00D423A2"/>
    <w:rsid w:val="00D44E26"/>
    <w:rsid w:val="00D520D8"/>
    <w:rsid w:val="00D618F4"/>
    <w:rsid w:val="00D6270D"/>
    <w:rsid w:val="00D63AC2"/>
    <w:rsid w:val="00D7383B"/>
    <w:rsid w:val="00D7788A"/>
    <w:rsid w:val="00D84EAE"/>
    <w:rsid w:val="00DA231B"/>
    <w:rsid w:val="00DB6EBC"/>
    <w:rsid w:val="00DC39FC"/>
    <w:rsid w:val="00DD1792"/>
    <w:rsid w:val="00DE6213"/>
    <w:rsid w:val="00DF5254"/>
    <w:rsid w:val="00E02524"/>
    <w:rsid w:val="00E16408"/>
    <w:rsid w:val="00E20894"/>
    <w:rsid w:val="00E21D3D"/>
    <w:rsid w:val="00E245AB"/>
    <w:rsid w:val="00E2764C"/>
    <w:rsid w:val="00E27F2E"/>
    <w:rsid w:val="00E30659"/>
    <w:rsid w:val="00E50AFE"/>
    <w:rsid w:val="00E50D5C"/>
    <w:rsid w:val="00E72491"/>
    <w:rsid w:val="00E75C92"/>
    <w:rsid w:val="00E771DC"/>
    <w:rsid w:val="00E826E9"/>
    <w:rsid w:val="00E8772A"/>
    <w:rsid w:val="00E90F6B"/>
    <w:rsid w:val="00E92C27"/>
    <w:rsid w:val="00E92FC9"/>
    <w:rsid w:val="00EA0E3D"/>
    <w:rsid w:val="00EC38A7"/>
    <w:rsid w:val="00ED4F84"/>
    <w:rsid w:val="00ED6C57"/>
    <w:rsid w:val="00EE1AA8"/>
    <w:rsid w:val="00F23FEA"/>
    <w:rsid w:val="00F27731"/>
    <w:rsid w:val="00F31EDC"/>
    <w:rsid w:val="00F462B3"/>
    <w:rsid w:val="00F51CA9"/>
    <w:rsid w:val="00F53E74"/>
    <w:rsid w:val="00F5664F"/>
    <w:rsid w:val="00F666C4"/>
    <w:rsid w:val="00F76AFC"/>
    <w:rsid w:val="00F94D74"/>
    <w:rsid w:val="00FA47C0"/>
    <w:rsid w:val="00FA6EA6"/>
    <w:rsid w:val="00FB5DD1"/>
    <w:rsid w:val="00FC2B5D"/>
    <w:rsid w:val="00FF1449"/>
    <w:rsid w:val="00FF3FF4"/>
    <w:rsid w:val="00FF7963"/>
    <w:rsid w:val="071B8F93"/>
    <w:rsid w:val="09908A09"/>
    <w:rsid w:val="0FF4CCA8"/>
    <w:rsid w:val="13CFC91B"/>
    <w:rsid w:val="19A2EC2C"/>
    <w:rsid w:val="2859CA1B"/>
    <w:rsid w:val="32A4F9CF"/>
    <w:rsid w:val="356CEDFD"/>
    <w:rsid w:val="407BA206"/>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86312205-5B8C-4B20-9DEC-A22DD98BF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20BF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20BF5"/>
    <w:rPr>
      <w:rFonts w:ascii="Geomanist Light" w:hAnsi="Geomanist Light"/>
      <w:lang w:val="es-ES"/>
    </w:rPr>
  </w:style>
  <w:style w:type="character" w:customStyle="1" w:styleId="NormalWebCar">
    <w:name w:val="Normal (Web) Car"/>
    <w:link w:val="NormalWeb"/>
    <w:uiPriority w:val="99"/>
    <w:locked/>
    <w:rsid w:val="00220BF5"/>
    <w:rPr>
      <w:rFonts w:ascii="Times New Roman" w:eastAsia="Times New Roman" w:hAnsi="Times New Roman" w:cs="Times New Roman"/>
      <w:sz w:val="24"/>
      <w:szCs w:val="24"/>
      <w:lang w:eastAsia="es-CO"/>
    </w:rPr>
  </w:style>
  <w:style w:type="paragraph" w:customStyle="1" w:styleId="Sinespaciado1">
    <w:name w:val="Sin espaciado1"/>
    <w:next w:val="Sinespaciado"/>
    <w:uiPriority w:val="1"/>
    <w:qFormat/>
    <w:rsid w:val="00220BF5"/>
    <w:pPr>
      <w:spacing w:after="0" w:line="240" w:lineRule="auto"/>
    </w:pPr>
  </w:style>
  <w:style w:type="paragraph" w:styleId="Sinespaciado">
    <w:name w:val="No Spacing"/>
    <w:uiPriority w:val="1"/>
    <w:qFormat/>
    <w:rsid w:val="00220B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hana.medina@lockton.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1BB3D4F-E578-4088-ADF6-6A6594E505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11</TotalTime>
  <Pages>15</Pages>
  <Words>4697</Words>
  <Characters>25835</Characters>
  <Application>Microsoft Office Word</Application>
  <DocSecurity>0</DocSecurity>
  <Lines>215</Lines>
  <Paragraphs>60</Paragraphs>
  <ScaleCrop>false</ScaleCrop>
  <Company/>
  <LinksUpToDate>false</LinksUpToDate>
  <CharactersWithSpaces>30472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14</cp:revision>
  <cp:lastPrinted>2023-01-10T21:18:00Z</cp:lastPrinted>
  <dcterms:created xsi:type="dcterms:W3CDTF">2026-01-06T14:59:00Z</dcterms:created>
  <dcterms:modified xsi:type="dcterms:W3CDTF">2026-01-07T05:12:00Z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