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188A5B" w14:textId="77777777" w:rsidR="00552CD8" w:rsidRDefault="00552CD8" w:rsidP="00C63205">
      <w:pPr>
        <w:spacing w:after="0"/>
        <w:rPr>
          <w:rFonts w:ascii="Verdana" w:hAnsi="Verdana"/>
        </w:rPr>
      </w:pPr>
      <w:bookmarkStart w:id="0" w:name="_Hlk143780582"/>
    </w:p>
    <w:p w14:paraId="002BA5EB" w14:textId="77777777" w:rsidR="00552CD8" w:rsidRDefault="00552CD8" w:rsidP="00C63205">
      <w:pPr>
        <w:spacing w:after="0"/>
        <w:rPr>
          <w:rFonts w:ascii="Verdana" w:hAnsi="Verdana"/>
        </w:rPr>
      </w:pPr>
    </w:p>
    <w:p w14:paraId="3497B77D" w14:textId="5A9D5EB9" w:rsidR="00552CD8" w:rsidRPr="000C493E" w:rsidRDefault="00552CD8" w:rsidP="00F81063">
      <w:pPr>
        <w:spacing w:after="0"/>
        <w:jc w:val="both"/>
        <w:rPr>
          <w:rFonts w:ascii="Verdana" w:eastAsia="Calibri" w:hAnsi="Verdana" w:cs="Arial"/>
          <w:b/>
          <w:bCs/>
          <w:lang w:val="es-ES_tradnl"/>
        </w:rPr>
      </w:pPr>
      <w:r w:rsidRPr="000C493E">
        <w:rPr>
          <w:rFonts w:ascii="Verdana" w:eastAsia="Calibri" w:hAnsi="Verdana" w:cs="Arial"/>
          <w:b/>
          <w:bCs/>
          <w:lang w:val="es-ES_tradnl"/>
        </w:rPr>
        <w:t xml:space="preserve">DOCUMENTOS TIPO – Obligatoriedad </w:t>
      </w:r>
    </w:p>
    <w:p w14:paraId="3B671006" w14:textId="77777777" w:rsidR="00552CD8" w:rsidRPr="000C493E" w:rsidRDefault="00552CD8" w:rsidP="00552CD8">
      <w:pPr>
        <w:spacing w:after="0" w:line="276" w:lineRule="auto"/>
        <w:jc w:val="both"/>
        <w:rPr>
          <w:rFonts w:ascii="Verdana" w:eastAsia="Calibri" w:hAnsi="Verdana" w:cs="Arial"/>
          <w:b/>
          <w:bCs/>
          <w:sz w:val="20"/>
          <w:szCs w:val="20"/>
          <w:lang w:val="es-ES_tradnl"/>
        </w:rPr>
      </w:pPr>
    </w:p>
    <w:p w14:paraId="7BDE994E" w14:textId="77777777" w:rsidR="00552CD8" w:rsidRPr="004E3E13" w:rsidRDefault="00552CD8" w:rsidP="00552CD8">
      <w:pPr>
        <w:tabs>
          <w:tab w:val="left" w:pos="709"/>
        </w:tabs>
        <w:spacing w:after="0" w:line="240" w:lineRule="auto"/>
        <w:jc w:val="both"/>
        <w:rPr>
          <w:rFonts w:ascii="Verdana" w:eastAsia="Times New Roman" w:hAnsi="Verdana" w:cs="Times New Roman"/>
          <w:color w:val="000000"/>
          <w:lang w:eastAsia="es-CO"/>
        </w:rPr>
      </w:pPr>
      <w:r w:rsidRPr="004E3E13">
        <w:rPr>
          <w:rFonts w:ascii="Verdana" w:eastAsia="Times New Roman" w:hAnsi="Verdana" w:cs="Times New Roman"/>
          <w:color w:val="000000"/>
          <w:lang w:eastAsia="es-CO"/>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11F9512A" w14:textId="77777777" w:rsidR="00863111" w:rsidRDefault="00863111" w:rsidP="00552CD8">
      <w:pPr>
        <w:tabs>
          <w:tab w:val="left" w:pos="709"/>
        </w:tabs>
        <w:spacing w:after="0" w:line="240" w:lineRule="auto"/>
        <w:jc w:val="both"/>
        <w:rPr>
          <w:rFonts w:ascii="Verdana" w:eastAsia="Calibri" w:hAnsi="Verdana" w:cs="Arial"/>
        </w:rPr>
      </w:pPr>
    </w:p>
    <w:p w14:paraId="6BED0CAB" w14:textId="7F02779C" w:rsidR="00552CD8" w:rsidRDefault="00F81063" w:rsidP="00F81063">
      <w:pPr>
        <w:spacing w:after="0"/>
        <w:jc w:val="both"/>
        <w:rPr>
          <w:rFonts w:ascii="Verdana" w:eastAsia="Calibri" w:hAnsi="Verdana" w:cs="Arial"/>
          <w:b/>
          <w:bCs/>
          <w:lang w:val="es-ES_tradnl"/>
        </w:rPr>
      </w:pPr>
      <w:r w:rsidRPr="00F81063">
        <w:rPr>
          <w:rFonts w:ascii="Verdana" w:eastAsia="Calibri" w:hAnsi="Verdana" w:cs="Arial"/>
          <w:b/>
          <w:bCs/>
          <w:lang w:val="es-ES_tradnl"/>
        </w:rPr>
        <w:t>DOCUMENTOS TIPO – Infraestructura social – Cultura, recreación y deporte</w:t>
      </w:r>
    </w:p>
    <w:p w14:paraId="2CDD9B3E" w14:textId="77777777" w:rsidR="00F81063" w:rsidRDefault="00F81063" w:rsidP="00F81063">
      <w:pPr>
        <w:spacing w:after="0"/>
        <w:jc w:val="both"/>
        <w:rPr>
          <w:rFonts w:ascii="Verdana" w:eastAsia="Calibri" w:hAnsi="Verdana" w:cs="Arial"/>
          <w:b/>
          <w:bCs/>
          <w:lang w:val="es-ES_tradnl"/>
        </w:rPr>
      </w:pPr>
    </w:p>
    <w:p w14:paraId="7DDEB3A3" w14:textId="75E7351D" w:rsidR="00863111" w:rsidRDefault="004E3E13" w:rsidP="004E3E13">
      <w:pPr>
        <w:spacing w:after="0"/>
        <w:jc w:val="both"/>
        <w:rPr>
          <w:rFonts w:ascii="Verdana" w:eastAsia="Times New Roman" w:hAnsi="Verdana" w:cs="Times New Roman"/>
          <w:color w:val="000000"/>
          <w:lang w:eastAsia="es-CO"/>
        </w:rPr>
      </w:pPr>
      <w:r w:rsidRPr="00F81063">
        <w:rPr>
          <w:rFonts w:ascii="Verdana" w:eastAsia="Calibri" w:hAnsi="Verdana" w:cs="Arial"/>
        </w:rPr>
        <w:t>[…]</w:t>
      </w:r>
      <w:r w:rsidR="00F81063" w:rsidRPr="00F81063">
        <w:rPr>
          <w:rFonts w:ascii="Verdana" w:eastAsia="Calibri" w:hAnsi="Verdana" w:cs="Arial"/>
        </w:rPr>
        <w:t xml:space="preserve"> </w:t>
      </w:r>
      <w:r w:rsidR="00863111" w:rsidRPr="007F092D">
        <w:rPr>
          <w:rFonts w:ascii="Verdana" w:eastAsia="Times New Roman" w:hAnsi="Verdana" w:cs="Times New Roman"/>
          <w:color w:val="000000"/>
          <w:lang w:eastAsia="es-CO"/>
        </w:rPr>
        <w:t xml:space="preserve">la Agencia Nacional de Contratación Pública – Colombia Compra Eficiente el pasado 21 de agosto de 2025 adoptó las siguientes Resoluciones: i) Resolución 539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 </w:t>
      </w:r>
      <w:proofErr w:type="spellStart"/>
      <w:r w:rsidR="00863111" w:rsidRPr="007F092D">
        <w:rPr>
          <w:rFonts w:ascii="Verdana" w:eastAsia="Times New Roman" w:hAnsi="Verdana" w:cs="Times New Roman"/>
          <w:color w:val="000000"/>
          <w:lang w:eastAsia="es-CO"/>
        </w:rPr>
        <w:t>ii</w:t>
      </w:r>
      <w:proofErr w:type="spellEnd"/>
      <w:r w:rsidR="00863111" w:rsidRPr="007F092D">
        <w:rPr>
          <w:rFonts w:ascii="Verdana" w:eastAsia="Times New Roman" w:hAnsi="Verdana" w:cs="Times New Roman"/>
          <w:color w:val="000000"/>
          <w:lang w:eastAsia="es-CO"/>
        </w:rPr>
        <w:t xml:space="preserve">) Resolución 540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 y </w:t>
      </w:r>
      <w:proofErr w:type="spellStart"/>
      <w:r w:rsidR="00863111" w:rsidRPr="007F092D">
        <w:rPr>
          <w:rFonts w:ascii="Verdana" w:eastAsia="Times New Roman" w:hAnsi="Verdana" w:cs="Times New Roman"/>
          <w:color w:val="000000"/>
          <w:lang w:eastAsia="es-CO"/>
        </w:rPr>
        <w:t>iii</w:t>
      </w:r>
      <w:proofErr w:type="spellEnd"/>
      <w:r w:rsidR="00863111" w:rsidRPr="007F092D">
        <w:rPr>
          <w:rFonts w:ascii="Verdana" w:eastAsia="Times New Roman" w:hAnsi="Verdana" w:cs="Times New Roman"/>
          <w:color w:val="000000"/>
          <w:lang w:eastAsia="es-CO"/>
        </w:rPr>
        <w:t xml:space="preserve">) Resolución 541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6F51E9AF" w14:textId="77777777" w:rsidR="004E3E13" w:rsidRDefault="004E3E13" w:rsidP="004E3E13">
      <w:pPr>
        <w:spacing w:after="120" w:line="276" w:lineRule="auto"/>
        <w:jc w:val="both"/>
        <w:textAlignment w:val="baseline"/>
        <w:rPr>
          <w:rFonts w:ascii="Verdana" w:eastAsia="Times New Roman" w:hAnsi="Verdana" w:cs="Times New Roman"/>
          <w:color w:val="000000"/>
          <w:lang w:eastAsia="es-CO"/>
        </w:rPr>
      </w:pPr>
    </w:p>
    <w:p w14:paraId="639E70E5" w14:textId="5F6636D1" w:rsidR="00863111" w:rsidRPr="007F092D" w:rsidRDefault="00863111" w:rsidP="004E3E13">
      <w:pPr>
        <w:spacing w:after="120" w:line="276" w:lineRule="auto"/>
        <w:jc w:val="both"/>
        <w:textAlignment w:val="baseline"/>
        <w:rPr>
          <w:rFonts w:ascii="Verdana" w:eastAsia="Calibri" w:hAnsi="Verdana" w:cs="Arial"/>
          <w:kern w:val="2"/>
          <w14:ligatures w14:val="standardContextual"/>
        </w:rPr>
      </w:pPr>
      <w:r w:rsidRPr="007F092D">
        <w:rPr>
          <w:rFonts w:ascii="Verdana" w:eastAsia="Times New Roman" w:hAnsi="Verdana" w:cs="Times New Roman"/>
          <w:color w:val="000000"/>
          <w:lang w:eastAsia="es-CO"/>
        </w:rPr>
        <w:t xml:space="preserve">Las </w:t>
      </w:r>
      <w:r w:rsidRPr="007F092D">
        <w:rPr>
          <w:rFonts w:ascii="Verdana" w:eastAsia="Calibri" w:hAnsi="Verdana" w:cs="Arial"/>
          <w:kern w:val="2"/>
          <w14:ligatures w14:val="standardContextual"/>
        </w:rPr>
        <w:t xml:space="preserve">Resoluciones 539, 540 y 541 del 21 de agosto de 2025, acogidas en el sector de obra pública de infraestructura social, aplican de forma transversal en las modalidades de selección indicadas y a los proyectos de infraestructura social </w:t>
      </w:r>
      <w:r w:rsidRPr="007F092D">
        <w:rPr>
          <w:rFonts w:ascii="Verdana" w:eastAsia="Calibri" w:hAnsi="Verdana" w:cs="Arial"/>
          <w:kern w:val="2"/>
          <w14:ligatures w14:val="standardContextual"/>
        </w:rPr>
        <w:lastRenderedPageBreak/>
        <w:t>enmarcados dentro del sector educativo, salud, cultura, recreación y deporte, institucional y vivienda, en los procesos de selección cuyo aviso de convocatoria se publique a partir del 16 de febrero de 2026.</w:t>
      </w:r>
    </w:p>
    <w:p w14:paraId="5564F22D" w14:textId="505DE49F" w:rsidR="00F81063" w:rsidRDefault="00F81063" w:rsidP="00F81063">
      <w:pPr>
        <w:spacing w:after="0"/>
        <w:jc w:val="both"/>
        <w:rPr>
          <w:rFonts w:ascii="Verdana" w:eastAsia="Calibri" w:hAnsi="Verdana" w:cs="Arial"/>
        </w:rPr>
      </w:pPr>
    </w:p>
    <w:p w14:paraId="7D8B3C21" w14:textId="01F16EFC" w:rsidR="00F81063" w:rsidRDefault="00F81063" w:rsidP="00F81063">
      <w:pPr>
        <w:spacing w:after="0"/>
        <w:jc w:val="both"/>
        <w:rPr>
          <w:rFonts w:ascii="Verdana" w:eastAsia="Calibri" w:hAnsi="Verdana" w:cs="Arial"/>
          <w:b/>
          <w:bCs/>
          <w:lang w:val="es-ES_tradnl"/>
        </w:rPr>
      </w:pPr>
      <w:r w:rsidRPr="00F81063">
        <w:rPr>
          <w:rFonts w:ascii="Verdana" w:eastAsia="Calibri" w:hAnsi="Verdana" w:cs="Arial"/>
          <w:b/>
          <w:bCs/>
          <w:lang w:val="es-ES_tradnl"/>
        </w:rPr>
        <w:t>DOCUMENTOS TIPO - Ejercicio de la ingeniería – Aval – Procesos de contratación - Personas naturales – personas jurídicas</w:t>
      </w:r>
    </w:p>
    <w:p w14:paraId="6452E2CC" w14:textId="77777777" w:rsidR="00F81063" w:rsidRDefault="00F81063" w:rsidP="00F81063">
      <w:pPr>
        <w:spacing w:after="0"/>
        <w:jc w:val="both"/>
        <w:rPr>
          <w:rFonts w:ascii="Verdana" w:eastAsia="Calibri" w:hAnsi="Verdana" w:cs="Arial"/>
          <w:b/>
          <w:bCs/>
          <w:lang w:val="es-ES_tradnl"/>
        </w:rPr>
      </w:pPr>
    </w:p>
    <w:p w14:paraId="1EF1A48E" w14:textId="77777777" w:rsidR="00F81063" w:rsidRPr="00F81063" w:rsidRDefault="00F81063" w:rsidP="00F81063">
      <w:pPr>
        <w:spacing w:after="0"/>
        <w:jc w:val="both"/>
        <w:rPr>
          <w:rFonts w:ascii="Verdana" w:eastAsia="Calibri" w:hAnsi="Verdana" w:cs="Arial"/>
        </w:rPr>
      </w:pPr>
      <w:r w:rsidRPr="00F81063">
        <w:rPr>
          <w:rFonts w:ascii="Verdana" w:eastAsia="Calibri" w:hAnsi="Verdana" w:cs="Arial"/>
        </w:rPr>
        <w:t>[…] el Tribunal Constitucional también señaló que la persona idónea y habilitada legalmente para ejercer la ingeniería, en actividades catalogadas como ejercicio de dicha profesión, es la matriculada o inscrita en el Registro Profesional de Ingenieros y que por ende cuenta con un título profesional y con la idoneidad que no se predica de otras profesiones –como es el caso de la arquitectura–. Esta idoneidad se requiere para la ejecución de ciertas actividades relacionadas particularmente con el ejercicio de la ingeniería, como son los proyectos de obra de infraestructura de transporte, pues su formación es distinta y no existe habilitación legal para el ejercicio de actividades de ingeniería ostentando una profesión diferente.</w:t>
      </w:r>
    </w:p>
    <w:p w14:paraId="37428FA9" w14:textId="77777777" w:rsidR="00F81063" w:rsidRPr="00F81063" w:rsidRDefault="00F81063" w:rsidP="00F81063">
      <w:pPr>
        <w:spacing w:after="0"/>
        <w:jc w:val="both"/>
        <w:rPr>
          <w:rFonts w:ascii="Verdana" w:eastAsia="Calibri" w:hAnsi="Verdana" w:cs="Arial"/>
        </w:rPr>
      </w:pPr>
      <w:r w:rsidRPr="00F81063">
        <w:rPr>
          <w:rFonts w:ascii="Verdana" w:eastAsia="Calibri" w:hAnsi="Verdana" w:cs="Arial"/>
        </w:rPr>
        <w:t>[…]</w:t>
      </w:r>
    </w:p>
    <w:p w14:paraId="0F8E2974" w14:textId="77777777" w:rsidR="00F81063" w:rsidRPr="00F81063" w:rsidRDefault="00F81063" w:rsidP="00F81063">
      <w:pPr>
        <w:spacing w:after="0"/>
        <w:jc w:val="both"/>
        <w:rPr>
          <w:rFonts w:ascii="Verdana" w:eastAsia="Calibri" w:hAnsi="Verdana" w:cs="Arial"/>
        </w:rPr>
      </w:pPr>
      <w:r w:rsidRPr="00F81063">
        <w:rPr>
          <w:rFonts w:ascii="Verdana" w:eastAsia="Calibri" w:hAnsi="Verdana" w:cs="Arial"/>
        </w:rPr>
        <w:t>En efecto,  dado que las personas jurídicas no pueden y, por tanto, no les es exigible contar con una profesión, la ley previó dicha situación y las habilitó para contar con el apoyo de un profesional que avalara la propuestas relacionadas con ingeniería, pues si ello no hubiese ocurrido, a pesar que pueden desarrollar y desempeñar actividades catalogadas como el ejercicio de la ingeniería por encontrarse en el marco de su objeto social, ante la ausencia de una matrícula o tarjeta profesional no lo podrían hacer. También es importante agregar que el aval implica que el profesional que firma, independientemente de si se trata de un miembro, empleado o contratista de la respectiva persona jurídica, se hace responsable, en virtud de su idoneidad, por el adecuado ejercicio de la profesión por parte de la persona jurídica que desarrolla funciones profesionales relacionadas directamente con la ingeniería.</w:t>
      </w:r>
    </w:p>
    <w:p w14:paraId="002B286D" w14:textId="77777777" w:rsidR="00F81063" w:rsidRPr="00F81063" w:rsidRDefault="00F81063" w:rsidP="00F81063">
      <w:pPr>
        <w:spacing w:after="0"/>
        <w:jc w:val="both"/>
        <w:rPr>
          <w:rFonts w:ascii="Verdana" w:eastAsia="Calibri" w:hAnsi="Verdana" w:cs="Arial"/>
        </w:rPr>
      </w:pPr>
    </w:p>
    <w:p w14:paraId="67154B4F" w14:textId="77777777" w:rsidR="00552CD8" w:rsidRDefault="00552CD8" w:rsidP="00C63205">
      <w:pPr>
        <w:spacing w:after="0"/>
        <w:rPr>
          <w:rFonts w:ascii="Verdana" w:hAnsi="Verdana"/>
        </w:rPr>
      </w:pPr>
    </w:p>
    <w:p w14:paraId="402FBCCE" w14:textId="77777777" w:rsidR="00552CD8" w:rsidRDefault="00552CD8" w:rsidP="00C63205">
      <w:pPr>
        <w:spacing w:after="0"/>
        <w:rPr>
          <w:rFonts w:ascii="Verdana" w:hAnsi="Verdana"/>
        </w:rPr>
      </w:pPr>
    </w:p>
    <w:p w14:paraId="5DD8DB71" w14:textId="77777777" w:rsidR="00552CD8" w:rsidRDefault="00552CD8" w:rsidP="00C63205">
      <w:pPr>
        <w:spacing w:after="0"/>
        <w:rPr>
          <w:rFonts w:ascii="Verdana" w:hAnsi="Verdana"/>
        </w:rPr>
      </w:pPr>
    </w:p>
    <w:p w14:paraId="78F13BB9" w14:textId="77777777" w:rsidR="00F81063" w:rsidRDefault="00F81063" w:rsidP="00C63205">
      <w:pPr>
        <w:spacing w:after="0"/>
        <w:rPr>
          <w:rFonts w:ascii="Verdana" w:hAnsi="Verdana"/>
        </w:rPr>
      </w:pPr>
    </w:p>
    <w:p w14:paraId="15BEC834" w14:textId="77777777" w:rsidR="00F81063" w:rsidRDefault="00F81063" w:rsidP="00C63205">
      <w:pPr>
        <w:spacing w:after="0"/>
        <w:rPr>
          <w:rFonts w:ascii="Verdana" w:hAnsi="Verdana"/>
        </w:rPr>
      </w:pPr>
    </w:p>
    <w:p w14:paraId="2390B4D8" w14:textId="77777777" w:rsidR="00F81063" w:rsidRDefault="00F81063" w:rsidP="00C63205">
      <w:pPr>
        <w:spacing w:after="0"/>
        <w:rPr>
          <w:rFonts w:ascii="Verdana" w:hAnsi="Verdana"/>
        </w:rPr>
      </w:pPr>
    </w:p>
    <w:p w14:paraId="3C044F24" w14:textId="77777777" w:rsidR="00F81063" w:rsidRDefault="00F81063" w:rsidP="00C63205">
      <w:pPr>
        <w:spacing w:after="0"/>
        <w:rPr>
          <w:rFonts w:ascii="Verdana" w:hAnsi="Verdana"/>
        </w:rPr>
      </w:pPr>
    </w:p>
    <w:p w14:paraId="7992675F" w14:textId="77777777" w:rsidR="00552CD8" w:rsidRDefault="00552CD8" w:rsidP="00C63205">
      <w:pPr>
        <w:spacing w:after="0"/>
        <w:rPr>
          <w:rFonts w:ascii="Verdana" w:hAnsi="Verdana"/>
        </w:rPr>
      </w:pPr>
    </w:p>
    <w:p w14:paraId="57687606" w14:textId="0A5BA9EC" w:rsidR="00C63205" w:rsidRPr="007F092D" w:rsidRDefault="00C15139" w:rsidP="00C63205">
      <w:pPr>
        <w:spacing w:after="0"/>
        <w:rPr>
          <w:rFonts w:ascii="Verdana" w:hAnsi="Verdana"/>
        </w:rPr>
      </w:pPr>
      <w:r w:rsidRPr="007F092D">
        <w:rPr>
          <w:rFonts w:ascii="Verdana" w:hAnsi="Verdana"/>
        </w:rPr>
        <w:lastRenderedPageBreak/>
        <w:t xml:space="preserve">Bogotá D.C., </w:t>
      </w:r>
      <w:r w:rsidR="00A44AA3" w:rsidRPr="00A44AA3">
        <w:rPr>
          <w:rFonts w:ascii="Verdana" w:hAnsi="Verdana"/>
        </w:rPr>
        <w:t xml:space="preserve">30 </w:t>
      </w:r>
      <w:proofErr w:type="gramStart"/>
      <w:r w:rsidR="00A44AA3" w:rsidRPr="00A44AA3">
        <w:rPr>
          <w:rFonts w:ascii="Verdana" w:hAnsi="Verdana"/>
        </w:rPr>
        <w:t>Diciembre</w:t>
      </w:r>
      <w:proofErr w:type="gramEnd"/>
      <w:r w:rsidR="00A44AA3" w:rsidRPr="00A44AA3">
        <w:rPr>
          <w:rFonts w:ascii="Verdana" w:hAnsi="Verdana"/>
        </w:rPr>
        <w:t xml:space="preserve"> 2025</w:t>
      </w:r>
      <w:r w:rsidRPr="007F092D">
        <w:rPr>
          <w:rFonts w:ascii="Verdana" w:hAnsi="Verdana"/>
        </w:rPr>
        <w:br/>
      </w:r>
      <w:r w:rsidRPr="007F092D">
        <w:rPr>
          <w:rFonts w:ascii="Verdana" w:hAnsi="Verdana"/>
        </w:rPr>
        <w:tab/>
      </w:r>
      <w:bookmarkStart w:id="1" w:name="_Hlk186494164"/>
      <w:bookmarkEnd w:id="0"/>
    </w:p>
    <w:p w14:paraId="5D84ACC7" w14:textId="77777777" w:rsidR="00C63205" w:rsidRPr="007F092D" w:rsidRDefault="00C63205" w:rsidP="00C63205">
      <w:pPr>
        <w:widowControl w:val="0"/>
        <w:autoSpaceDE w:val="0"/>
        <w:autoSpaceDN w:val="0"/>
        <w:spacing w:after="0" w:line="240" w:lineRule="auto"/>
        <w:ind w:right="51"/>
        <w:jc w:val="both"/>
        <w:rPr>
          <w:rFonts w:ascii="Verdana" w:eastAsia="Times New Roman" w:hAnsi="Verdana" w:cs="Arial"/>
          <w:color w:val="000000"/>
          <w:lang w:val="es-ES" w:eastAsia="es-ES_tradnl"/>
        </w:rPr>
      </w:pPr>
    </w:p>
    <w:p w14:paraId="45E53E03" w14:textId="77777777" w:rsidR="00C63205" w:rsidRPr="007F092D" w:rsidRDefault="00C63205" w:rsidP="00C63205">
      <w:pPr>
        <w:spacing w:after="0" w:line="240" w:lineRule="auto"/>
        <w:ind w:left="4248"/>
        <w:jc w:val="both"/>
        <w:rPr>
          <w:rFonts w:ascii="Verdana" w:eastAsia="Calibri" w:hAnsi="Verdana" w:cs="Arial"/>
          <w:color w:val="000000"/>
        </w:rPr>
      </w:pPr>
    </w:p>
    <w:p w14:paraId="0688CC44" w14:textId="30C930AD" w:rsidR="00C63205" w:rsidRPr="007F092D" w:rsidRDefault="00A44AA3" w:rsidP="00C63205">
      <w:pPr>
        <w:spacing w:after="0" w:line="240" w:lineRule="auto"/>
        <w:jc w:val="both"/>
        <w:rPr>
          <w:rFonts w:ascii="Verdana" w:eastAsia="Calibri" w:hAnsi="Verdana" w:cs="Arial"/>
          <w:lang w:eastAsia="es-ES"/>
        </w:rPr>
      </w:pPr>
      <w:r w:rsidRPr="00A44AA3">
        <w:rPr>
          <w:rFonts w:ascii="Verdana" w:eastAsia="Calibri" w:hAnsi="Verdana" w:cs="Times New Roman"/>
          <w:b/>
          <w:bCs/>
          <w:noProof/>
        </w:rPr>
        <w:drawing>
          <wp:anchor distT="0" distB="0" distL="114300" distR="114300" simplePos="0" relativeHeight="251658240" behindDoc="0" locked="0" layoutInCell="1" allowOverlap="1" wp14:anchorId="0CDE6FF8" wp14:editId="6DB7E838">
            <wp:simplePos x="0" y="0"/>
            <wp:positionH relativeFrom="column">
              <wp:posOffset>2831907</wp:posOffset>
            </wp:positionH>
            <wp:positionV relativeFrom="paragraph">
              <wp:posOffset>5439</wp:posOffset>
            </wp:positionV>
            <wp:extent cx="2641285" cy="771276"/>
            <wp:effectExtent l="0" t="0" r="6985" b="0"/>
            <wp:wrapNone/>
            <wp:docPr id="98883087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830879"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50200" cy="773879"/>
                    </a:xfrm>
                    <a:prstGeom prst="rect">
                      <a:avLst/>
                    </a:prstGeom>
                  </pic:spPr>
                </pic:pic>
              </a:graphicData>
            </a:graphic>
            <wp14:sizeRelH relativeFrom="margin">
              <wp14:pctWidth>0</wp14:pctWidth>
            </wp14:sizeRelH>
            <wp14:sizeRelV relativeFrom="margin">
              <wp14:pctHeight>0</wp14:pctHeight>
            </wp14:sizeRelV>
          </wp:anchor>
        </w:drawing>
      </w:r>
      <w:r w:rsidR="00C63205" w:rsidRPr="007F092D">
        <w:rPr>
          <w:rFonts w:ascii="Verdana" w:eastAsia="Calibri" w:hAnsi="Verdana" w:cs="Arial"/>
          <w:lang w:eastAsia="es-ES"/>
        </w:rPr>
        <w:t>Señor</w:t>
      </w:r>
    </w:p>
    <w:p w14:paraId="4910F1A4" w14:textId="74F331C4" w:rsidR="00C63205" w:rsidRPr="007F092D" w:rsidRDefault="00C63205" w:rsidP="00C63205">
      <w:pPr>
        <w:spacing w:after="0" w:line="240" w:lineRule="auto"/>
        <w:rPr>
          <w:rFonts w:ascii="Verdana" w:eastAsia="Calibri" w:hAnsi="Verdana" w:cs="Arial"/>
          <w:b/>
          <w:bCs/>
          <w:lang w:eastAsia="es-ES"/>
        </w:rPr>
      </w:pPr>
      <w:r w:rsidRPr="007F092D">
        <w:rPr>
          <w:rFonts w:ascii="Verdana" w:eastAsia="Calibri" w:hAnsi="Verdana" w:cs="Times New Roman"/>
          <w:b/>
          <w:bCs/>
        </w:rPr>
        <w:t xml:space="preserve">Lenin Bohórquez </w:t>
      </w:r>
      <w:r w:rsidR="00A44AA3">
        <w:rPr>
          <w:rFonts w:ascii="Verdana" w:eastAsia="Calibri" w:hAnsi="Verdana" w:cs="Times New Roman"/>
          <w:b/>
          <w:bCs/>
        </w:rPr>
        <w:tab/>
      </w:r>
      <w:r w:rsidR="00A44AA3">
        <w:rPr>
          <w:rFonts w:ascii="Verdana" w:eastAsia="Calibri" w:hAnsi="Verdana" w:cs="Times New Roman"/>
          <w:b/>
          <w:bCs/>
        </w:rPr>
        <w:tab/>
      </w:r>
      <w:r w:rsidR="00A44AA3">
        <w:rPr>
          <w:rFonts w:ascii="Verdana" w:eastAsia="Calibri" w:hAnsi="Verdana" w:cs="Times New Roman"/>
          <w:b/>
          <w:bCs/>
        </w:rPr>
        <w:tab/>
      </w:r>
    </w:p>
    <w:p w14:paraId="2A130F79" w14:textId="77777777" w:rsidR="00C63205" w:rsidRPr="007F092D" w:rsidRDefault="00C63205" w:rsidP="00C63205">
      <w:pPr>
        <w:spacing w:after="0" w:line="240" w:lineRule="auto"/>
        <w:rPr>
          <w:rFonts w:ascii="Verdana" w:hAnsi="Verdana"/>
        </w:rPr>
      </w:pPr>
      <w:hyperlink r:id="rId11" w:history="1">
        <w:r w:rsidRPr="007F092D">
          <w:rPr>
            <w:rStyle w:val="Hipervnculo"/>
            <w:rFonts w:ascii="Verdana" w:hAnsi="Verdana"/>
          </w:rPr>
          <w:t>leninlupercio@hotmail.com</w:t>
        </w:r>
      </w:hyperlink>
    </w:p>
    <w:p w14:paraId="38456834" w14:textId="77777777" w:rsidR="00C63205" w:rsidRPr="007F092D" w:rsidRDefault="00C63205" w:rsidP="00C63205">
      <w:pPr>
        <w:spacing w:after="0" w:line="240" w:lineRule="auto"/>
        <w:rPr>
          <w:rFonts w:ascii="Verdana" w:eastAsia="Calibri" w:hAnsi="Verdana" w:cs="Times New Roman"/>
        </w:rPr>
      </w:pPr>
      <w:r w:rsidRPr="007F092D">
        <w:rPr>
          <w:rFonts w:ascii="Verdana" w:eastAsia="Calibri" w:hAnsi="Verdana" w:cs="Times New Roman"/>
        </w:rPr>
        <w:t>Ciudad</w:t>
      </w:r>
    </w:p>
    <w:p w14:paraId="59BB6529" w14:textId="77777777" w:rsidR="00C63205" w:rsidRPr="007F092D" w:rsidRDefault="00C63205" w:rsidP="00C63205">
      <w:pPr>
        <w:spacing w:after="0" w:line="240" w:lineRule="auto"/>
        <w:rPr>
          <w:rFonts w:ascii="Verdana" w:eastAsia="Calibri" w:hAnsi="Verdana" w:cs="Arial"/>
          <w:lang w:eastAsia="es-ES"/>
        </w:rPr>
      </w:pPr>
    </w:p>
    <w:p w14:paraId="0524C0AC" w14:textId="77777777" w:rsidR="00C63205" w:rsidRPr="007F092D" w:rsidRDefault="00C63205" w:rsidP="00C63205">
      <w:pPr>
        <w:spacing w:after="0" w:line="240" w:lineRule="auto"/>
        <w:rPr>
          <w:rFonts w:ascii="Verdana" w:eastAsia="Calibri" w:hAnsi="Verdana" w:cs="Arial"/>
          <w:b/>
          <w:bCs/>
          <w:color w:val="000000"/>
          <w:lang w:eastAsia="es-ES_tradnl"/>
        </w:rPr>
      </w:pPr>
    </w:p>
    <w:p w14:paraId="6E0033BD" w14:textId="77777777" w:rsidR="00C63205" w:rsidRPr="007F092D" w:rsidRDefault="00C63205" w:rsidP="00C63205">
      <w:pPr>
        <w:spacing w:after="0" w:line="240" w:lineRule="auto"/>
        <w:jc w:val="center"/>
        <w:rPr>
          <w:rFonts w:ascii="Verdana" w:eastAsia="Calibri" w:hAnsi="Verdana" w:cs="Arial"/>
          <w:b/>
          <w:bCs/>
          <w:lang w:eastAsia="es-ES"/>
        </w:rPr>
      </w:pPr>
      <w:r w:rsidRPr="007F092D">
        <w:rPr>
          <w:rFonts w:ascii="Verdana" w:eastAsia="Calibri" w:hAnsi="Verdana" w:cs="Arial"/>
          <w:b/>
          <w:bCs/>
          <w:lang w:eastAsia="es-ES"/>
        </w:rPr>
        <w:t>Concepto C – 1826 de 2025</w:t>
      </w:r>
    </w:p>
    <w:p w14:paraId="18CDCEC7" w14:textId="77777777" w:rsidR="00C63205" w:rsidRPr="007F092D" w:rsidRDefault="00C63205" w:rsidP="00C63205">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63205" w:rsidRPr="007F092D" w14:paraId="437AE4B7" w14:textId="77777777" w:rsidTr="00A6272A">
        <w:trPr>
          <w:trHeight w:val="884"/>
        </w:trPr>
        <w:tc>
          <w:tcPr>
            <w:tcW w:w="2689" w:type="dxa"/>
          </w:tcPr>
          <w:p w14:paraId="2A82582C" w14:textId="77777777" w:rsidR="00C63205" w:rsidRPr="007F092D" w:rsidRDefault="00C63205" w:rsidP="00A6272A">
            <w:pPr>
              <w:jc w:val="both"/>
              <w:rPr>
                <w:rFonts w:ascii="Verdana" w:eastAsia="Calibri" w:hAnsi="Verdana" w:cs="Arial"/>
                <w:color w:val="000000"/>
                <w:lang w:eastAsia="es-ES_tradnl"/>
              </w:rPr>
            </w:pPr>
            <w:r w:rsidRPr="007F092D">
              <w:rPr>
                <w:rFonts w:ascii="Verdana" w:eastAsia="Calibri" w:hAnsi="Verdana" w:cs="Arial"/>
                <w:b/>
                <w:color w:val="000000"/>
                <w:lang w:eastAsia="es-ES_tradnl"/>
              </w:rPr>
              <w:t>Temas:</w:t>
            </w:r>
            <w:r w:rsidRPr="007F092D">
              <w:rPr>
                <w:rFonts w:ascii="Verdana" w:eastAsia="Calibri" w:hAnsi="Verdana" w:cs="Arial"/>
                <w:color w:val="000000"/>
                <w:lang w:eastAsia="es-ES_tradnl"/>
              </w:rPr>
              <w:t xml:space="preserve">                   </w:t>
            </w:r>
          </w:p>
        </w:tc>
        <w:tc>
          <w:tcPr>
            <w:tcW w:w="6100" w:type="dxa"/>
          </w:tcPr>
          <w:p w14:paraId="657D6C72" w14:textId="27B7A924" w:rsidR="00C63205" w:rsidRPr="007F092D" w:rsidRDefault="00C63205" w:rsidP="00A6272A">
            <w:pPr>
              <w:shd w:val="clear" w:color="auto" w:fill="FFFFFF"/>
              <w:spacing w:line="276" w:lineRule="auto"/>
              <w:jc w:val="both"/>
              <w:rPr>
                <w:rFonts w:ascii="Verdana" w:eastAsia="Calibri" w:hAnsi="Verdana" w:cs="Arial"/>
                <w:lang w:val="es-MX" w:eastAsia="es-ES_tradnl"/>
              </w:rPr>
            </w:pPr>
            <w:r w:rsidRPr="007F092D">
              <w:rPr>
                <w:rFonts w:ascii="Verdana" w:eastAsia="Calibri" w:hAnsi="Verdana" w:cs="Arial"/>
                <w:lang w:val="es-ES" w:eastAsia="es-ES"/>
              </w:rPr>
              <w:t xml:space="preserve">DOCUMENTOS TIPO – Obligatoriedad / </w:t>
            </w:r>
            <w:r w:rsidRPr="007F092D">
              <w:rPr>
                <w:rFonts w:ascii="Verdana" w:eastAsia="Calibri" w:hAnsi="Verdana" w:cs="Arial"/>
                <w:lang w:val="es-ES_tradnl"/>
              </w:rPr>
              <w:t xml:space="preserve">DOCUMENTOS TIPO – Infraestructura social – Cultura, recreación y deporte </w:t>
            </w:r>
            <w:r w:rsidRPr="007F092D">
              <w:rPr>
                <w:rFonts w:ascii="Verdana" w:eastAsia="Calibri" w:hAnsi="Verdana" w:cs="Arial"/>
                <w:lang w:val="es-ES" w:eastAsia="es-ES"/>
              </w:rPr>
              <w:t xml:space="preserve">/ </w:t>
            </w:r>
            <w:r w:rsidRPr="007F092D">
              <w:rPr>
                <w:rFonts w:ascii="Verdana" w:eastAsia="Arial" w:hAnsi="Verdana" w:cs="Arial"/>
                <w:lang w:val="es-ES"/>
              </w:rPr>
              <w:t xml:space="preserve">DOCUMENTOS TIPO - Ejercicio de la ingeniería – Aval – Procesos de contratación - </w:t>
            </w:r>
            <w:r w:rsidRPr="007F092D">
              <w:rPr>
                <w:rFonts w:ascii="Verdana" w:eastAsia="Arial" w:hAnsi="Verdana" w:cs="Arial"/>
                <w:kern w:val="2"/>
                <w:lang w:val="es-ES"/>
              </w:rPr>
              <w:t xml:space="preserve">Personas naturales – personas jurídicas </w:t>
            </w:r>
          </w:p>
          <w:p w14:paraId="17B630CD" w14:textId="77777777" w:rsidR="00C63205" w:rsidRPr="007F092D" w:rsidRDefault="00C63205" w:rsidP="00A6272A">
            <w:pPr>
              <w:spacing w:line="276" w:lineRule="auto"/>
              <w:jc w:val="both"/>
              <w:rPr>
                <w:rFonts w:ascii="Verdana" w:eastAsia="Calibri" w:hAnsi="Verdana" w:cs="Arial"/>
                <w:lang w:val="es-MX" w:eastAsia="es-ES"/>
              </w:rPr>
            </w:pPr>
          </w:p>
        </w:tc>
      </w:tr>
      <w:tr w:rsidR="00C63205" w:rsidRPr="007F092D" w14:paraId="52930712" w14:textId="77777777" w:rsidTr="00A6272A">
        <w:tc>
          <w:tcPr>
            <w:tcW w:w="2689" w:type="dxa"/>
          </w:tcPr>
          <w:p w14:paraId="5CA51BD1" w14:textId="77777777" w:rsidR="00C63205" w:rsidRPr="007F092D" w:rsidRDefault="00C63205" w:rsidP="00A6272A">
            <w:pPr>
              <w:jc w:val="both"/>
              <w:rPr>
                <w:rFonts w:ascii="Verdana" w:eastAsia="Calibri" w:hAnsi="Verdana" w:cs="Arial"/>
                <w:b/>
                <w:lang w:eastAsia="es-ES_tradnl"/>
              </w:rPr>
            </w:pPr>
            <w:r w:rsidRPr="007F092D">
              <w:rPr>
                <w:rFonts w:ascii="Verdana" w:eastAsia="Calibri" w:hAnsi="Verdana" w:cs="Arial"/>
                <w:b/>
                <w:lang w:eastAsia="es-ES_tradnl"/>
              </w:rPr>
              <w:t>Radicación:</w:t>
            </w:r>
            <w:r w:rsidRPr="007F092D">
              <w:rPr>
                <w:rFonts w:ascii="Verdana" w:eastAsia="Calibri" w:hAnsi="Verdana" w:cs="Arial"/>
                <w:lang w:eastAsia="es-ES_tradnl"/>
              </w:rPr>
              <w:t xml:space="preserve">               </w:t>
            </w:r>
          </w:p>
        </w:tc>
        <w:tc>
          <w:tcPr>
            <w:tcW w:w="6100" w:type="dxa"/>
          </w:tcPr>
          <w:p w14:paraId="45290AE0" w14:textId="77777777" w:rsidR="00C63205" w:rsidRPr="007F092D" w:rsidRDefault="00C63205" w:rsidP="00A6272A">
            <w:pPr>
              <w:jc w:val="both"/>
              <w:rPr>
                <w:rFonts w:ascii="Verdana" w:eastAsia="Calibri" w:hAnsi="Verdana" w:cs="Arial"/>
                <w:lang w:eastAsia="es-ES_tradnl"/>
              </w:rPr>
            </w:pPr>
            <w:r w:rsidRPr="007F092D">
              <w:rPr>
                <w:rFonts w:ascii="Verdana" w:eastAsia="Calibri" w:hAnsi="Verdana" w:cs="Arial"/>
                <w:lang w:eastAsia="es-ES_tradnl"/>
              </w:rPr>
              <w:t>Respuesta a consultas con radicado No. 1_2025_12_15_013969</w:t>
            </w:r>
          </w:p>
        </w:tc>
      </w:tr>
    </w:tbl>
    <w:p w14:paraId="6D831341" w14:textId="77777777" w:rsidR="00C63205" w:rsidRPr="007F092D" w:rsidRDefault="00C63205" w:rsidP="00C63205">
      <w:pPr>
        <w:spacing w:after="0" w:line="240" w:lineRule="auto"/>
        <w:jc w:val="both"/>
        <w:rPr>
          <w:rFonts w:ascii="Verdana" w:eastAsia="Calibri" w:hAnsi="Verdana" w:cs="Arial"/>
          <w:color w:val="000000"/>
          <w:lang w:eastAsia="es-ES_tradnl"/>
        </w:rPr>
      </w:pPr>
    </w:p>
    <w:p w14:paraId="58869D06" w14:textId="77777777" w:rsidR="00C63205" w:rsidRPr="007F092D" w:rsidRDefault="00C63205" w:rsidP="00C63205">
      <w:pPr>
        <w:spacing w:after="0" w:line="240" w:lineRule="auto"/>
        <w:jc w:val="both"/>
        <w:rPr>
          <w:rFonts w:ascii="Verdana" w:eastAsia="Calibri" w:hAnsi="Verdana" w:cs="Arial"/>
          <w:color w:val="000000"/>
          <w:lang w:eastAsia="es-ES_tradnl"/>
        </w:rPr>
      </w:pPr>
    </w:p>
    <w:p w14:paraId="3F42C51F" w14:textId="77777777" w:rsidR="00C63205" w:rsidRPr="007F092D" w:rsidRDefault="00C63205" w:rsidP="00C63205">
      <w:pPr>
        <w:spacing w:after="0" w:line="276" w:lineRule="auto"/>
        <w:jc w:val="both"/>
        <w:rPr>
          <w:rFonts w:ascii="Verdana" w:eastAsia="Calibri" w:hAnsi="Verdana" w:cs="Arial"/>
          <w:lang w:eastAsia="es-ES"/>
        </w:rPr>
      </w:pPr>
      <w:r w:rsidRPr="007F092D">
        <w:rPr>
          <w:rFonts w:ascii="Verdana" w:eastAsia="Calibri" w:hAnsi="Verdana" w:cs="Arial"/>
          <w:lang w:eastAsia="es-ES"/>
        </w:rPr>
        <w:t xml:space="preserve">Estimado señor Bohórquez: </w:t>
      </w:r>
    </w:p>
    <w:p w14:paraId="7F911D36" w14:textId="77777777" w:rsidR="00C63205" w:rsidRPr="007F092D" w:rsidRDefault="00C63205" w:rsidP="00C63205">
      <w:pPr>
        <w:tabs>
          <w:tab w:val="left" w:pos="3768"/>
        </w:tabs>
        <w:spacing w:after="0" w:line="276" w:lineRule="auto"/>
        <w:jc w:val="both"/>
        <w:rPr>
          <w:rFonts w:ascii="Verdana" w:eastAsia="Calibri" w:hAnsi="Verdana" w:cs="Arial"/>
          <w:color w:val="000000"/>
          <w:lang w:eastAsia="es-ES"/>
        </w:rPr>
      </w:pPr>
      <w:r w:rsidRPr="007F092D">
        <w:rPr>
          <w:rFonts w:ascii="Verdana" w:eastAsia="Calibri" w:hAnsi="Verdana" w:cs="Arial"/>
          <w:color w:val="000000"/>
          <w:lang w:eastAsia="es-ES"/>
        </w:rPr>
        <w:tab/>
      </w:r>
    </w:p>
    <w:p w14:paraId="7D1A907B" w14:textId="77777777" w:rsidR="00C63205" w:rsidRPr="007F092D" w:rsidRDefault="00C63205" w:rsidP="00C63205">
      <w:pPr>
        <w:spacing w:after="0" w:line="276" w:lineRule="auto"/>
        <w:ind w:firstLine="708"/>
        <w:jc w:val="both"/>
        <w:rPr>
          <w:rFonts w:ascii="Verdana" w:eastAsia="Calibri" w:hAnsi="Verdana" w:cs="Arial"/>
          <w:i/>
          <w:iCs/>
          <w:lang w:eastAsia="es-ES"/>
        </w:rPr>
      </w:pPr>
      <w:r w:rsidRPr="007F092D">
        <w:rPr>
          <w:rFonts w:ascii="Verdana" w:eastAsia="Calibri" w:hAnsi="Verdana" w:cs="Arial"/>
          <w:color w:val="000000"/>
          <w:lang w:eastAsia="es-ES"/>
        </w:rPr>
        <w:t>En ejercicio de la competencia otorgada por los artículos 3, numeral 5º, y 11, numeral 8º, del Decreto Ley 4170 de 2011,</w:t>
      </w:r>
      <w:r w:rsidRPr="007F092D">
        <w:rPr>
          <w:rFonts w:ascii="Verdana" w:eastAsia="Arial MT" w:hAnsi="Verdana" w:cs="Arial MT"/>
          <w:lang w:eastAsia="es-ES"/>
        </w:rPr>
        <w:t xml:space="preserve"> </w:t>
      </w:r>
      <w:r w:rsidRPr="007F092D">
        <w:rPr>
          <w:rFonts w:ascii="Verdana" w:eastAsia="Calibri" w:hAnsi="Verdana" w:cs="Arial"/>
        </w:rPr>
        <w:t xml:space="preserve">así como lo establecido en el artículo 4 de la Resolución 1707 de 2018 expedida por esta Entidad, </w:t>
      </w:r>
      <w:r w:rsidRPr="007F092D">
        <w:rPr>
          <w:rFonts w:ascii="Verdana" w:eastAsia="Calibri" w:hAnsi="Verdana" w:cs="Arial"/>
          <w:color w:val="000000"/>
          <w:lang w:eastAsia="es-ES"/>
        </w:rPr>
        <w:t>la Agencia Nacional de Contratación Pública – Colombia Compra Eficiente responde su solicitud de concepto del 15 de diciembre,</w:t>
      </w:r>
      <w:r w:rsidRPr="007F092D">
        <w:rPr>
          <w:rFonts w:ascii="Verdana" w:eastAsia="Calibri" w:hAnsi="Verdana" w:cs="Arial"/>
          <w:lang w:eastAsia="es-ES"/>
        </w:rPr>
        <w:t xml:space="preserve"> en las que manifiesta lo siguiente:</w:t>
      </w:r>
      <w:r w:rsidRPr="007F092D">
        <w:rPr>
          <w:rFonts w:ascii="Verdana" w:eastAsia="Calibri" w:hAnsi="Verdana" w:cs="Arial"/>
          <w:i/>
          <w:iCs/>
          <w:lang w:eastAsia="es-ES"/>
        </w:rPr>
        <w:t xml:space="preserve"> </w:t>
      </w:r>
      <w:bookmarkStart w:id="2" w:name="_Hlk95313578"/>
    </w:p>
    <w:p w14:paraId="7F25C63A" w14:textId="77777777" w:rsidR="00C63205" w:rsidRPr="007F092D" w:rsidRDefault="00C63205" w:rsidP="00C63205">
      <w:pPr>
        <w:spacing w:after="0" w:line="276" w:lineRule="auto"/>
        <w:jc w:val="both"/>
        <w:rPr>
          <w:rFonts w:ascii="Verdana" w:eastAsia="Calibri" w:hAnsi="Verdana" w:cs="Arial"/>
          <w:i/>
          <w:iCs/>
          <w:lang w:eastAsia="es-ES"/>
        </w:rPr>
      </w:pPr>
    </w:p>
    <w:p w14:paraId="67328F89" w14:textId="77777777" w:rsidR="00C63205" w:rsidRPr="00D95DE7" w:rsidRDefault="00C63205" w:rsidP="00C63205">
      <w:pPr>
        <w:spacing w:after="0" w:line="240" w:lineRule="auto"/>
        <w:ind w:left="709" w:right="709"/>
        <w:jc w:val="both"/>
        <w:rPr>
          <w:rFonts w:ascii="Verdana" w:eastAsia="Aptos" w:hAnsi="Verdana" w:cs="Times New Roman"/>
          <w:kern w:val="2"/>
          <w:sz w:val="21"/>
          <w:szCs w:val="21"/>
          <w14:ligatures w14:val="standardContextual"/>
        </w:rPr>
      </w:pPr>
      <w:r w:rsidRPr="00D95DE7">
        <w:rPr>
          <w:rFonts w:ascii="Verdana" w:eastAsia="Arial" w:hAnsi="Verdana" w:cs="Arial"/>
          <w:i/>
          <w:color w:val="000000"/>
          <w:sz w:val="21"/>
          <w:szCs w:val="21"/>
        </w:rPr>
        <w:t>“</w:t>
      </w:r>
      <w:bookmarkEnd w:id="2"/>
      <w:r w:rsidRPr="00D95DE7">
        <w:rPr>
          <w:rFonts w:ascii="Verdana" w:eastAsia="Aptos" w:hAnsi="Verdana" w:cs="Times New Roman"/>
          <w:kern w:val="2"/>
          <w:sz w:val="21"/>
          <w:szCs w:val="21"/>
          <w14:ligatures w14:val="standardContextual"/>
        </w:rPr>
        <w:t xml:space="preserve">quisiera por favor me aclaren si los pliegos de condiciones tipo publicado por esta plataforma pueden modificarse para que en obras relacionadas con arquitectura, parques y/o espacios recreativos puedan participar como oferentes personas naturales cuya profesión sea arquitectura, ya que una vez revisado los procesos publicados en esta plataforma y relacionados con este tipo de obras, (arquitectura, parques y/o espacios recreativos) se evidencia que únicamente pueden participar persona naturales cuya profesión es ingeniería civil, situación que es a todas luces discriminatoria, pues los arquitectos o profesionales con este </w:t>
      </w:r>
      <w:proofErr w:type="spellStart"/>
      <w:r w:rsidRPr="00D95DE7">
        <w:rPr>
          <w:rFonts w:ascii="Verdana" w:eastAsia="Aptos" w:hAnsi="Verdana" w:cs="Times New Roman"/>
          <w:kern w:val="2"/>
          <w:sz w:val="21"/>
          <w:szCs w:val="21"/>
          <w14:ligatures w14:val="standardContextual"/>
        </w:rPr>
        <w:t>titulo</w:t>
      </w:r>
      <w:proofErr w:type="spellEnd"/>
      <w:r w:rsidRPr="00D95DE7">
        <w:rPr>
          <w:rFonts w:ascii="Verdana" w:eastAsia="Aptos" w:hAnsi="Verdana" w:cs="Times New Roman"/>
          <w:kern w:val="2"/>
          <w:sz w:val="21"/>
          <w:szCs w:val="21"/>
          <w14:ligatures w14:val="standardContextual"/>
        </w:rPr>
        <w:t xml:space="preserve"> no puede participar en este tipo de procesos licitatorios públicos, sobre todo en INTERVENTORIA, ESTE </w:t>
      </w:r>
      <w:r w:rsidRPr="00D95DE7">
        <w:rPr>
          <w:rFonts w:ascii="Verdana" w:eastAsia="Aptos" w:hAnsi="Verdana" w:cs="Times New Roman"/>
          <w:kern w:val="2"/>
          <w:sz w:val="21"/>
          <w:szCs w:val="21"/>
          <w14:ligatures w14:val="standardContextual"/>
        </w:rPr>
        <w:lastRenderedPageBreak/>
        <w:t xml:space="preserve">TIPO DE PROFESIONALES  BAJO ESTA NUEVA DIRECTRIZ NO PODEMOS OFERTAR NI PARTICIPAR, LO QUE EN POCAS PALABRAS NOS LIMITA LA POSIBILIDAD DE LABORAR AUN CUANDO TENGAMOS O SE TENGA LA EXPERIENCIA, ante esta situación les solicito se emita un documento en el que se indique si es posible modificar el requerimiento de este tipo de pliegos, para que los profesionales en arquitectura puedan ofertar con esta entidad estatal. pues cuando se realiza una observación a las entidades </w:t>
      </w:r>
      <w:proofErr w:type="spellStart"/>
      <w:r w:rsidRPr="00D95DE7">
        <w:rPr>
          <w:rFonts w:ascii="Verdana" w:eastAsia="Aptos" w:hAnsi="Verdana" w:cs="Times New Roman"/>
          <w:kern w:val="2"/>
          <w:sz w:val="21"/>
          <w:szCs w:val="21"/>
          <w14:ligatures w14:val="standardContextual"/>
        </w:rPr>
        <w:t>publicas</w:t>
      </w:r>
      <w:proofErr w:type="spellEnd"/>
      <w:r w:rsidRPr="00D95DE7">
        <w:rPr>
          <w:rFonts w:ascii="Verdana" w:eastAsia="Aptos" w:hAnsi="Verdana" w:cs="Times New Roman"/>
          <w:kern w:val="2"/>
          <w:sz w:val="21"/>
          <w:szCs w:val="21"/>
          <w14:ligatures w14:val="standardContextual"/>
        </w:rPr>
        <w:t xml:space="preserve"> para que permitan que los profesionales en arquitectura puedan presentar oferta, esta se escuda argumentando que los pliegos no se pueden modificar.</w:t>
      </w:r>
    </w:p>
    <w:p w14:paraId="19B96D56" w14:textId="77777777" w:rsidR="00C63205" w:rsidRPr="00D95DE7" w:rsidRDefault="00C63205" w:rsidP="00C63205">
      <w:pPr>
        <w:spacing w:after="0" w:line="240" w:lineRule="auto"/>
        <w:ind w:left="709" w:right="709"/>
        <w:jc w:val="both"/>
        <w:rPr>
          <w:rFonts w:ascii="Verdana" w:eastAsia="Aptos" w:hAnsi="Verdana" w:cs="Times New Roman"/>
          <w:kern w:val="2"/>
          <w:sz w:val="21"/>
          <w:szCs w:val="21"/>
          <w14:ligatures w14:val="standardContextual"/>
        </w:rPr>
      </w:pPr>
    </w:p>
    <w:p w14:paraId="79A44BAA" w14:textId="77777777" w:rsidR="00C63205" w:rsidRPr="00D95DE7" w:rsidRDefault="00C63205" w:rsidP="00C63205">
      <w:pPr>
        <w:spacing w:after="0" w:line="240" w:lineRule="auto"/>
        <w:ind w:left="709" w:right="709"/>
        <w:jc w:val="both"/>
        <w:rPr>
          <w:rFonts w:ascii="Verdana" w:eastAsia="Aptos" w:hAnsi="Verdana" w:cs="Times New Roman"/>
          <w:kern w:val="2"/>
          <w:sz w:val="21"/>
          <w:szCs w:val="21"/>
          <w14:ligatures w14:val="standardContextual"/>
        </w:rPr>
      </w:pPr>
      <w:r w:rsidRPr="00D95DE7">
        <w:rPr>
          <w:rFonts w:ascii="Verdana" w:eastAsia="Aptos" w:hAnsi="Verdana" w:cs="Times New Roman"/>
          <w:kern w:val="2"/>
          <w:sz w:val="21"/>
          <w:szCs w:val="21"/>
          <w14:ligatures w14:val="standardContextual"/>
        </w:rPr>
        <w:t xml:space="preserve">POR </w:t>
      </w:r>
      <w:proofErr w:type="gramStart"/>
      <w:r w:rsidRPr="00D95DE7">
        <w:rPr>
          <w:rFonts w:ascii="Verdana" w:eastAsia="Aptos" w:hAnsi="Verdana" w:cs="Times New Roman"/>
          <w:kern w:val="2"/>
          <w:sz w:val="21"/>
          <w:szCs w:val="21"/>
          <w14:ligatures w14:val="standardContextual"/>
        </w:rPr>
        <w:t>CONSIGUIENTE</w:t>
      </w:r>
      <w:proofErr w:type="gramEnd"/>
      <w:r w:rsidRPr="00D95DE7">
        <w:rPr>
          <w:rFonts w:ascii="Verdana" w:eastAsia="Aptos" w:hAnsi="Verdana" w:cs="Times New Roman"/>
          <w:kern w:val="2"/>
          <w:sz w:val="21"/>
          <w:szCs w:val="21"/>
          <w14:ligatures w14:val="standardContextual"/>
        </w:rPr>
        <w:t xml:space="preserve"> SOLICITO SE INDIQUE DICHOS PLIEGOS TIPO SON SUSCEPTIBLES DE PERMITIR A PERSONAS DE PROFESION ARQUITECRURA PARTICIPAR EN PROCESOS PUBLICOS BIEN SEA DE OBRA CIVIL O INTERVENTORIA.</w:t>
      </w:r>
    </w:p>
    <w:p w14:paraId="2EF7A747" w14:textId="77777777" w:rsidR="00C63205" w:rsidRPr="00D95DE7" w:rsidRDefault="00C63205" w:rsidP="00C63205">
      <w:pPr>
        <w:spacing w:after="0" w:line="240" w:lineRule="auto"/>
        <w:ind w:left="709" w:right="709"/>
        <w:jc w:val="both"/>
        <w:rPr>
          <w:rFonts w:ascii="Verdana" w:eastAsia="Calibri" w:hAnsi="Verdana" w:cs="Times New Roman"/>
          <w:sz w:val="21"/>
          <w:szCs w:val="21"/>
        </w:rPr>
      </w:pPr>
      <w:r w:rsidRPr="00D95DE7">
        <w:rPr>
          <w:rFonts w:ascii="Verdana" w:eastAsia="Aptos" w:hAnsi="Verdana" w:cs="Times New Roman"/>
          <w:kern w:val="2"/>
          <w:sz w:val="21"/>
          <w:szCs w:val="21"/>
          <w14:ligatures w14:val="standardContextual"/>
        </w:rPr>
        <w:t>.</w:t>
      </w:r>
      <w:r w:rsidRPr="00D95DE7">
        <w:rPr>
          <w:rFonts w:ascii="Verdana" w:eastAsia="Calibri" w:hAnsi="Verdana" w:cs="Times New Roman"/>
          <w:sz w:val="21"/>
          <w:szCs w:val="21"/>
        </w:rPr>
        <w:t>”</w:t>
      </w:r>
      <w:r w:rsidRPr="00D95DE7">
        <w:rPr>
          <w:rFonts w:ascii="Verdana" w:eastAsia="Aptos" w:hAnsi="Verdana" w:cs="Times New Roman"/>
          <w:kern w:val="2"/>
          <w:sz w:val="21"/>
          <w:szCs w:val="21"/>
          <w14:ligatures w14:val="standardContextual"/>
        </w:rPr>
        <w:t xml:space="preserve"> </w:t>
      </w:r>
      <w:r w:rsidRPr="00D95DE7">
        <w:rPr>
          <w:rFonts w:ascii="Verdana" w:eastAsia="Arial" w:hAnsi="Verdana" w:cs="Arial"/>
          <w:i/>
          <w:color w:val="000000"/>
          <w:sz w:val="21"/>
          <w:szCs w:val="21"/>
        </w:rPr>
        <w:t>(…</w:t>
      </w:r>
      <w:r w:rsidRPr="00D95DE7">
        <w:rPr>
          <w:rFonts w:ascii="Verdana" w:eastAsia="Calibri" w:hAnsi="Verdana" w:cs="Times New Roman"/>
          <w:sz w:val="21"/>
          <w:szCs w:val="21"/>
        </w:rPr>
        <w:t>)</w:t>
      </w:r>
    </w:p>
    <w:p w14:paraId="6DD925A2" w14:textId="77777777" w:rsidR="00C63205" w:rsidRPr="007F092D" w:rsidRDefault="00C63205" w:rsidP="00C63205">
      <w:pPr>
        <w:spacing w:after="0" w:line="240" w:lineRule="auto"/>
        <w:ind w:left="709" w:right="709"/>
        <w:jc w:val="both"/>
        <w:rPr>
          <w:rFonts w:ascii="Verdana" w:eastAsia="Aptos" w:hAnsi="Verdana" w:cs="Times New Roman"/>
          <w:kern w:val="2"/>
          <w14:ligatures w14:val="standardContextual"/>
        </w:rPr>
      </w:pPr>
    </w:p>
    <w:p w14:paraId="3E85A5B2" w14:textId="77777777" w:rsidR="00C63205" w:rsidRPr="007F092D" w:rsidRDefault="00C63205" w:rsidP="00C63205">
      <w:pPr>
        <w:spacing w:after="120" w:line="276" w:lineRule="auto"/>
        <w:ind w:firstLine="709"/>
        <w:jc w:val="both"/>
        <w:rPr>
          <w:rFonts w:ascii="Verdana" w:eastAsia="Calibri" w:hAnsi="Verdana" w:cs="Arial"/>
          <w:color w:val="000000"/>
          <w:lang w:eastAsia="es-ES"/>
        </w:rPr>
      </w:pPr>
      <w:r w:rsidRPr="007F092D">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F092D">
        <w:rPr>
          <w:rFonts w:ascii="Verdana" w:eastAsia="Calibri" w:hAnsi="Verdana" w:cs="Arial"/>
          <w:color w:val="000000"/>
          <w:lang w:eastAsia="es-ES_tradnl"/>
        </w:rPr>
        <w:tab/>
      </w:r>
    </w:p>
    <w:p w14:paraId="28328298" w14:textId="77777777" w:rsidR="00C63205" w:rsidRPr="007F092D" w:rsidRDefault="00C63205" w:rsidP="00C63205">
      <w:pPr>
        <w:spacing w:after="0" w:line="276" w:lineRule="auto"/>
        <w:ind w:firstLine="709"/>
        <w:jc w:val="both"/>
        <w:rPr>
          <w:rFonts w:ascii="Verdana" w:eastAsia="Calibri" w:hAnsi="Verdana" w:cs="Arial"/>
          <w:color w:val="000000"/>
          <w:lang w:eastAsia="es-ES"/>
        </w:rPr>
      </w:pPr>
      <w:r w:rsidRPr="007F092D">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7F092D">
        <w:rPr>
          <w:rFonts w:ascii="Verdana" w:eastAsia="Calibri" w:hAnsi="Verdana" w:cs="Arial"/>
          <w:color w:val="7030A0"/>
          <w:lang w:eastAsia="es-ES"/>
        </w:rPr>
        <w:t xml:space="preserve"> </w:t>
      </w:r>
      <w:r w:rsidRPr="007F092D">
        <w:rPr>
          <w:rFonts w:ascii="Verdana" w:eastAsia="Calibri" w:hAnsi="Verdana" w:cs="Arial"/>
          <w:color w:val="000000"/>
          <w:lang w:eastAsia="es-ES"/>
        </w:rPr>
        <w:t>problemas</w:t>
      </w:r>
      <w:r w:rsidRPr="007F092D">
        <w:rPr>
          <w:rFonts w:ascii="Verdana" w:eastAsia="Calibri" w:hAnsi="Verdana" w:cs="Arial"/>
          <w:color w:val="7030A0"/>
          <w:lang w:eastAsia="es-ES"/>
        </w:rPr>
        <w:t xml:space="preserve"> </w:t>
      </w:r>
      <w:r w:rsidRPr="007F092D">
        <w:rPr>
          <w:rFonts w:ascii="Verdana" w:eastAsia="Calibri" w:hAnsi="Verdana" w:cs="Arial"/>
          <w:color w:val="000000"/>
          <w:lang w:eastAsia="es-ES"/>
        </w:rPr>
        <w:t>jurídicos</w:t>
      </w:r>
      <w:r w:rsidRPr="007F092D">
        <w:rPr>
          <w:rFonts w:ascii="Verdana" w:eastAsia="Calibri" w:hAnsi="Verdana" w:cs="Arial"/>
          <w:color w:val="7030A0"/>
          <w:lang w:eastAsia="es-ES"/>
        </w:rPr>
        <w:t xml:space="preserve"> </w:t>
      </w:r>
      <w:r w:rsidRPr="007F092D">
        <w:rPr>
          <w:rFonts w:ascii="Verdana" w:eastAsia="Calibri" w:hAnsi="Verdana" w:cs="Arial"/>
          <w:color w:val="000000"/>
          <w:lang w:eastAsia="es-ES"/>
        </w:rPr>
        <w:t xml:space="preserve">de su consulta. </w:t>
      </w:r>
    </w:p>
    <w:p w14:paraId="34C8CE65" w14:textId="77777777" w:rsidR="00C63205" w:rsidRPr="007F092D" w:rsidRDefault="00C63205" w:rsidP="00C63205">
      <w:pPr>
        <w:spacing w:after="0" w:line="276" w:lineRule="auto"/>
        <w:ind w:firstLine="709"/>
        <w:jc w:val="both"/>
        <w:rPr>
          <w:rFonts w:ascii="Verdana" w:eastAsia="Calibri" w:hAnsi="Verdana" w:cs="Arial"/>
          <w:color w:val="000000"/>
          <w:lang w:eastAsia="es-ES"/>
        </w:rPr>
      </w:pPr>
    </w:p>
    <w:p w14:paraId="16A2D5FB" w14:textId="77777777" w:rsidR="00C63205" w:rsidRPr="007F092D" w:rsidRDefault="00C63205" w:rsidP="00C63205">
      <w:pPr>
        <w:numPr>
          <w:ilvl w:val="0"/>
          <w:numId w:val="17"/>
        </w:numPr>
        <w:tabs>
          <w:tab w:val="left" w:pos="142"/>
          <w:tab w:val="left" w:pos="284"/>
        </w:tabs>
        <w:spacing w:after="0" w:line="276" w:lineRule="auto"/>
        <w:contextualSpacing/>
        <w:jc w:val="both"/>
        <w:rPr>
          <w:rFonts w:ascii="Verdana" w:eastAsia="Century Gothic" w:hAnsi="Verdana" w:cs="Century Gothic"/>
          <w:b/>
          <w:bCs/>
        </w:rPr>
      </w:pPr>
      <w:r w:rsidRPr="007F092D">
        <w:rPr>
          <w:rFonts w:ascii="Verdana" w:eastAsia="Century Gothic" w:hAnsi="Verdana" w:cs="Century Gothic"/>
          <w:b/>
          <w:bCs/>
        </w:rPr>
        <w:t>Problemas planteados:</w:t>
      </w:r>
    </w:p>
    <w:p w14:paraId="7FF7B720" w14:textId="77777777" w:rsidR="00C63205" w:rsidRPr="007F092D" w:rsidRDefault="00C63205" w:rsidP="00C63205">
      <w:pPr>
        <w:tabs>
          <w:tab w:val="left" w:pos="426"/>
        </w:tabs>
        <w:spacing w:after="0" w:line="276" w:lineRule="auto"/>
        <w:jc w:val="both"/>
        <w:rPr>
          <w:rFonts w:ascii="Verdana" w:eastAsia="Century Gothic" w:hAnsi="Verdana" w:cs="Century Gothic"/>
        </w:rPr>
      </w:pPr>
    </w:p>
    <w:p w14:paraId="5D3948A0" w14:textId="77777777" w:rsidR="00C63205" w:rsidRPr="007F092D" w:rsidRDefault="00C63205" w:rsidP="00C63205">
      <w:pPr>
        <w:snapToGrid w:val="0"/>
        <w:spacing w:after="0" w:line="276" w:lineRule="auto"/>
        <w:jc w:val="both"/>
        <w:rPr>
          <w:rFonts w:ascii="Verdana" w:eastAsia="Century Gothic" w:hAnsi="Verdana" w:cs="Arial"/>
        </w:rPr>
      </w:pPr>
      <w:r w:rsidRPr="007F092D">
        <w:rPr>
          <w:rFonts w:ascii="Verdana" w:eastAsia="Century Gothic" w:hAnsi="Verdana" w:cs="Century Gothic"/>
        </w:rPr>
        <w:t xml:space="preserve">De acuerdo con el contenido de su solicitud, esta Agencia resolverá los siguientes problemas jurídicos: i) ¿Es posible modificar los documentos tipo de </w:t>
      </w:r>
      <w:r w:rsidRPr="007F092D">
        <w:rPr>
          <w:rFonts w:ascii="Verdana" w:eastAsia="Century Gothic" w:hAnsi="Verdana" w:cs="Century Gothic"/>
        </w:rPr>
        <w:lastRenderedPageBreak/>
        <w:t xml:space="preserve">infraestructura social en los procesos de selección adelantados por las entidades estatales, o estos deben aplicarse sin alteraciones en los términos en que fueron adoptados? </w:t>
      </w:r>
      <w:proofErr w:type="spellStart"/>
      <w:r w:rsidRPr="007F092D">
        <w:rPr>
          <w:rFonts w:ascii="Verdana" w:eastAsia="Century Gothic" w:hAnsi="Verdana" w:cs="Century Gothic"/>
        </w:rPr>
        <w:t>ii</w:t>
      </w:r>
      <w:proofErr w:type="spellEnd"/>
      <w:r w:rsidRPr="007F092D">
        <w:rPr>
          <w:rFonts w:ascii="Verdana" w:eastAsia="Century Gothic" w:hAnsi="Verdana" w:cs="Century Gothic"/>
        </w:rPr>
        <w:t xml:space="preserve">) </w:t>
      </w:r>
      <w:r w:rsidRPr="007F092D">
        <w:rPr>
          <w:rFonts w:ascii="Verdana" w:eastAsia="Calibri" w:hAnsi="Verdana" w:cs="Arial"/>
          <w:shd w:val="clear" w:color="auto" w:fill="FFFFFF"/>
          <w:lang w:val="es-ES"/>
        </w:rPr>
        <w:t xml:space="preserve">¿Es posible que cualquier profesional de ramas distintas a la ingeniería, pueda presentar propuestas en un Proceso de Contratación cuyo objeto sea la ejecución de una obra pública en el sector de infraestructura social? </w:t>
      </w:r>
    </w:p>
    <w:p w14:paraId="79A401A8" w14:textId="77777777" w:rsidR="00C63205" w:rsidRPr="007F092D" w:rsidRDefault="00C63205" w:rsidP="00C63205">
      <w:pPr>
        <w:snapToGrid w:val="0"/>
        <w:spacing w:after="0" w:line="276" w:lineRule="auto"/>
        <w:jc w:val="both"/>
        <w:rPr>
          <w:rFonts w:ascii="Verdana" w:eastAsia="Calibri" w:hAnsi="Verdana" w:cs="Arial"/>
          <w:color w:val="7030A0"/>
        </w:rPr>
      </w:pPr>
    </w:p>
    <w:p w14:paraId="23E07A93" w14:textId="77777777" w:rsidR="00C63205" w:rsidRPr="007F092D" w:rsidRDefault="00C63205" w:rsidP="00C63205">
      <w:pPr>
        <w:numPr>
          <w:ilvl w:val="0"/>
          <w:numId w:val="17"/>
        </w:numPr>
        <w:tabs>
          <w:tab w:val="left" w:pos="142"/>
          <w:tab w:val="left" w:pos="284"/>
        </w:tabs>
        <w:spacing w:after="0" w:line="276" w:lineRule="auto"/>
        <w:contextualSpacing/>
        <w:jc w:val="both"/>
        <w:rPr>
          <w:rFonts w:ascii="Verdana" w:eastAsia="Century Gothic" w:hAnsi="Verdana" w:cs="Century Gothic"/>
          <w:b/>
          <w:bCs/>
        </w:rPr>
      </w:pPr>
      <w:r w:rsidRPr="007F092D">
        <w:rPr>
          <w:rFonts w:ascii="Verdana" w:eastAsia="Century Gothic" w:hAnsi="Verdana" w:cs="Century Gothic"/>
          <w:b/>
          <w:bCs/>
        </w:rPr>
        <w:t>Respuestas:</w:t>
      </w:r>
    </w:p>
    <w:p w14:paraId="75CB2CA5" w14:textId="77777777" w:rsidR="00C63205" w:rsidRPr="007F092D" w:rsidRDefault="00C63205" w:rsidP="00C63205">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63205" w:rsidRPr="007F092D" w14:paraId="2ECA4646" w14:textId="77777777" w:rsidTr="00A6272A">
        <w:trPr>
          <w:jc w:val="center"/>
        </w:trPr>
        <w:tc>
          <w:tcPr>
            <w:tcW w:w="8828" w:type="dxa"/>
          </w:tcPr>
          <w:p w14:paraId="0E7CAE94" w14:textId="77777777" w:rsidR="00C63205" w:rsidRPr="007F092D" w:rsidRDefault="00C63205" w:rsidP="00A6272A">
            <w:pPr>
              <w:widowControl w:val="0"/>
              <w:autoSpaceDE w:val="0"/>
              <w:autoSpaceDN w:val="0"/>
              <w:spacing w:after="120" w:line="276" w:lineRule="auto"/>
              <w:ind w:right="51"/>
              <w:jc w:val="both"/>
              <w:rPr>
                <w:rFonts w:ascii="Verdana" w:eastAsia="Aptos" w:hAnsi="Verdana" w:cs="Times New Roman"/>
              </w:rPr>
            </w:pPr>
            <w:bookmarkStart w:id="3" w:name="_Hlk171694685"/>
            <w:r w:rsidRPr="007F092D">
              <w:rPr>
                <w:rFonts w:ascii="Verdana" w:eastAsia="Aptos" w:hAnsi="Verdana" w:cs="Times New Roman"/>
              </w:rPr>
              <w:t xml:space="preserve">Para dar respuesta a su consulta, debe indicarse que, los documentos tipo que aplicarían para el proceso señalado en su petición, serían los del sector social. Particularmente, los documentos tipo </w:t>
            </w:r>
            <w:r w:rsidRPr="007F092D">
              <w:rPr>
                <w:rFonts w:ascii="Verdana" w:eastAsia="Calibri" w:hAnsi="Verdana" w:cs="Arial"/>
              </w:rPr>
              <w:t xml:space="preserve">complementarios aplicables al sector cultura, recreación y deporte. </w:t>
            </w:r>
            <w:r w:rsidRPr="007F092D">
              <w:rPr>
                <w:rFonts w:ascii="Verdana" w:eastAsia="Aptos" w:hAnsi="Verdana" w:cs="Times New Roman"/>
              </w:rPr>
              <w:t xml:space="preserve"> </w:t>
            </w:r>
          </w:p>
          <w:p w14:paraId="6511D9B5" w14:textId="77777777" w:rsidR="00C63205" w:rsidRPr="007F092D" w:rsidRDefault="00C63205" w:rsidP="00A6272A">
            <w:pPr>
              <w:widowControl w:val="0"/>
              <w:autoSpaceDE w:val="0"/>
              <w:autoSpaceDN w:val="0"/>
              <w:spacing w:after="120" w:line="276" w:lineRule="auto"/>
              <w:ind w:right="51"/>
              <w:jc w:val="both"/>
              <w:rPr>
                <w:rFonts w:ascii="Verdana" w:eastAsia="Aptos" w:hAnsi="Verdana" w:cs="Times New Roman"/>
              </w:rPr>
            </w:pPr>
            <w:r w:rsidRPr="007F092D">
              <w:rPr>
                <w:rFonts w:ascii="Verdana" w:eastAsia="Aptos" w:hAnsi="Verdana" w:cs="Times New Roman"/>
              </w:rPr>
              <w:t>El artículo 1 de la Ley 2022 de 2020 “Por la cual modifica el artículo 4 de la Ley 1882 de 2018 y se dictan otras disposiciones” otorgó a la Agencia Nacional de Contratación Pública – Colombia Compra Eficiente la competencia para adoptar documentos tipo de obligatorio cumplimiento en la actividad contractual de todas las entidades sometidas al Estatuto General de Contratación de la Administración Pública. En ejercicio de esta facultad, la Agencia ha expedido documentos tipo aplicables a diversos sectores, entre ellos el de obra pública de infraestructura social. De conformidad con las modalidades de selección previstas en el artículo 2 de la Ley 1150 de 2007.</w:t>
            </w:r>
          </w:p>
          <w:p w14:paraId="59B18E0A" w14:textId="77777777" w:rsidR="00C63205" w:rsidRPr="007F092D" w:rsidRDefault="00C63205" w:rsidP="00A6272A">
            <w:pPr>
              <w:widowControl w:val="0"/>
              <w:autoSpaceDE w:val="0"/>
              <w:autoSpaceDN w:val="0"/>
              <w:spacing w:after="120" w:line="276" w:lineRule="auto"/>
              <w:ind w:right="51"/>
              <w:jc w:val="both"/>
              <w:rPr>
                <w:rFonts w:ascii="Verdana" w:eastAsia="Aptos" w:hAnsi="Verdana" w:cs="Times New Roman"/>
              </w:rPr>
            </w:pPr>
            <w:r w:rsidRPr="007F092D">
              <w:rPr>
                <w:rFonts w:ascii="Verdana" w:eastAsia="Aptos" w:hAnsi="Verdana" w:cs="Times New Roman"/>
              </w:rPr>
              <w:t>En relación con su solicitud, debe indicarse que, mediante la Resolución 219 del 6 de agosto de 2021 se adoptaron los documentos tipo transversales para los procesos de licitación de obra pública de infraestructura social, aplicables a los sectores educativo, salud, cultura, recreación y deporte. Estos documentos comprenden el documento base, anexos, formatos, formularios y matrices, los cuales se complementan con documentos específicos por sector, consistentes en las matrices de experiencia y los anexos de glosario para cada uno de los sectores, definiendo así su alcance y vigencia. En desarrollo de ello, la Agencia expidió las Resoluciones 220, 392 y 454 de 2021, mediante las cuales se adoptaron los documentos tipo complementarios para los sectores educativo, salud y cultura, recreación y deporte, respectivamente.</w:t>
            </w:r>
          </w:p>
          <w:p w14:paraId="08D49813" w14:textId="77777777" w:rsidR="00C63205" w:rsidRPr="007F092D" w:rsidRDefault="00C63205" w:rsidP="00A6272A">
            <w:pPr>
              <w:widowControl w:val="0"/>
              <w:autoSpaceDE w:val="0"/>
              <w:autoSpaceDN w:val="0"/>
              <w:spacing w:after="120" w:line="276" w:lineRule="auto"/>
              <w:ind w:right="51"/>
              <w:jc w:val="both"/>
              <w:rPr>
                <w:rFonts w:ascii="Verdana" w:eastAsia="Aptos" w:hAnsi="Verdana" w:cs="Times New Roman"/>
              </w:rPr>
            </w:pPr>
            <w:r w:rsidRPr="007F092D">
              <w:rPr>
                <w:rFonts w:ascii="Verdana" w:eastAsia="Aptos" w:hAnsi="Verdana" w:cs="Times New Roman"/>
              </w:rPr>
              <w:t xml:space="preserve">Posteriormente, la Agencia actualizó este marco normativo mediante las Resoluciones 539, 540 y 541 del 21 de agosto de 2025, a través de las cuales se adoptaron nuevas versiones de los documentos tipo para los procesos de </w:t>
            </w:r>
            <w:r w:rsidRPr="007F092D">
              <w:rPr>
                <w:rFonts w:ascii="Verdana" w:eastAsia="Aptos" w:hAnsi="Verdana" w:cs="Times New Roman"/>
              </w:rPr>
              <w:lastRenderedPageBreak/>
              <w:t>licitación pública, selección abreviada de menor cuantía y mínima cuantía de obra pública de infraestructura social, así como sus documentos complementarios para los sectores educación, salud, cultura, recreación y deporte, institucional y vivienda. Estas resoluciones aplican a los procesos cuyo aviso de convocatoria se publique a partir del 16 de febrero de 2026.</w:t>
            </w:r>
          </w:p>
          <w:p w14:paraId="69F5B8C4" w14:textId="77777777" w:rsidR="00C63205" w:rsidRPr="007F092D" w:rsidRDefault="00C63205" w:rsidP="00C63205">
            <w:pPr>
              <w:widowControl w:val="0"/>
              <w:autoSpaceDE w:val="0"/>
              <w:autoSpaceDN w:val="0"/>
              <w:spacing w:after="120" w:line="276" w:lineRule="auto"/>
              <w:ind w:right="51"/>
              <w:jc w:val="both"/>
              <w:rPr>
                <w:rFonts w:ascii="Verdana" w:eastAsia="Aptos" w:hAnsi="Verdana" w:cs="Times New Roman"/>
              </w:rPr>
            </w:pPr>
            <w:r w:rsidRPr="007F092D">
              <w:rPr>
                <w:rFonts w:ascii="Verdana" w:eastAsia="Aptos" w:hAnsi="Verdana" w:cs="Times New Roman"/>
              </w:rPr>
              <w:t>Ahora bien, frente al primer problema jurídico planteado, debe tenerse en cuenta la regla de la inalterabilidad de los documentos tipo, la cual encuentra sustento en los artículos 2 y 3 de la Resolución No. 219 de 2021. Dicha regla dispone que las entidades contratantes no pueden incluir, modificar o suprimir en los documentos del proceso las condiciones habilitantes, los factores técnicos y económicos de escogencia ni los sistemas de ponderación definidos en los documentos tipo, los cuales son de obligatoria observancia para todas las entidades sometidas al Estatuto General de Contratación de la Administración Pública.</w:t>
            </w:r>
          </w:p>
          <w:p w14:paraId="181C9A58" w14:textId="12BE208E" w:rsidR="00C63205" w:rsidRPr="007F092D" w:rsidRDefault="00C63205" w:rsidP="00C63205">
            <w:pPr>
              <w:widowControl w:val="0"/>
              <w:autoSpaceDE w:val="0"/>
              <w:autoSpaceDN w:val="0"/>
              <w:spacing w:after="120" w:line="276" w:lineRule="auto"/>
              <w:ind w:right="51"/>
              <w:jc w:val="both"/>
              <w:rPr>
                <w:rFonts w:ascii="Verdana" w:eastAsia="Aptos" w:hAnsi="Verdana" w:cs="Times New Roman"/>
              </w:rPr>
            </w:pPr>
            <w:r w:rsidRPr="007F092D">
              <w:rPr>
                <w:rFonts w:ascii="Verdana" w:eastAsia="Aptos" w:hAnsi="Verdana" w:cs="Times New Roman"/>
              </w:rPr>
              <w:t>No obstante, los propios documentos tipo prevén espacios de flexibilización. En particular, su parte introductoria establece que los contenidos dispuestos entre corchetes y resaltados en gris deben ser diligenciados por la entidad contratante, conforme a sus necesidades específicas y siguiendo las instrucciones previstas en cada acápite. En estos eventos, la entidad cuenta con un margen de configuración limitado, exclusivamente para completar la información requerida, sin que ello implique alterar la estructura, requisitos o criterios previamente estandarizados.</w:t>
            </w:r>
          </w:p>
          <w:p w14:paraId="41BF55A6" w14:textId="77777777" w:rsidR="00C63205" w:rsidRPr="007F092D" w:rsidRDefault="00C63205" w:rsidP="00C63205">
            <w:pPr>
              <w:widowControl w:val="0"/>
              <w:autoSpaceDE w:val="0"/>
              <w:autoSpaceDN w:val="0"/>
              <w:spacing w:after="120" w:line="276" w:lineRule="auto"/>
              <w:ind w:right="51"/>
              <w:jc w:val="both"/>
              <w:rPr>
                <w:rFonts w:ascii="Verdana" w:eastAsia="Aptos" w:hAnsi="Verdana" w:cs="Times New Roman"/>
              </w:rPr>
            </w:pPr>
            <w:r w:rsidRPr="007F092D">
              <w:rPr>
                <w:rFonts w:ascii="Verdana" w:eastAsia="Aptos" w:hAnsi="Verdana" w:cs="Times New Roman"/>
              </w:rPr>
              <w:t>En consecuencia, la regla general aplicable al documento base es su inalterabilidad, salvo en los aspectos expresamente habilitados para modificación. Este mandato encuentra respaldo adicional en el artículo 1 de la Ley 2022 de 2020, en el artículo 4 de la Ley 1882 de 2018 y en su desarrollo reglamentario contenido en el Decreto 1082 de 2015. Por tanto, cuando los documentos tipo no autoricen de manera expresa la modificación de un contenido específico, la entidad deberá incorporarlo al proceso de contratación sin alteración alguna, siendo de su exclusiva responsabilidad, en la etapa de planeación, verificar el ámbito de aplicación de dichos documentos y asegurar su correcta implementación en cada caso concreto.</w:t>
            </w:r>
          </w:p>
          <w:p w14:paraId="5DE7A5E7" w14:textId="77777777" w:rsidR="00C63205" w:rsidRPr="007F092D" w:rsidRDefault="00C63205" w:rsidP="00C63205">
            <w:pPr>
              <w:widowControl w:val="0"/>
              <w:autoSpaceDE w:val="0"/>
              <w:autoSpaceDN w:val="0"/>
              <w:spacing w:after="120" w:line="276" w:lineRule="auto"/>
              <w:ind w:right="51"/>
              <w:jc w:val="both"/>
              <w:rPr>
                <w:rFonts w:ascii="Verdana" w:eastAsia="Aptos" w:hAnsi="Verdana" w:cs="Times New Roman"/>
              </w:rPr>
            </w:pPr>
            <w:r w:rsidRPr="007F092D">
              <w:rPr>
                <w:rFonts w:ascii="Verdana" w:eastAsia="Aptos" w:hAnsi="Verdana" w:cs="Times New Roman"/>
              </w:rPr>
              <w:t xml:space="preserve">En relación con el segundo problema jurídico planteado, debe precisarse que no es posible que cualquier profesional de ramas distintas a la ingeniería presente propuestas en un proceso de contratación cuyo objeto sea la </w:t>
            </w:r>
            <w:r w:rsidRPr="007F092D">
              <w:rPr>
                <w:rFonts w:ascii="Verdana" w:eastAsia="Aptos" w:hAnsi="Verdana" w:cs="Times New Roman"/>
              </w:rPr>
              <w:lastRenderedPageBreak/>
              <w:t>ejecución de una obra pública de infraestructura social, cuando dicho objeto implique el ejercicio de actividades catalogadas legalmente como ejercicio de la ingeniería. De conformidad con la Ley 842 de 2003 y la jurisprudencia, la ingeniería es una profesión sometida a requisitos de idoneidad y matrícula profesional, en atención al riesgo social que supone su ejercicio, razón por la cual solo quienes se encuentren legalmente habilitados pueden desarrollar dichas actividades.</w:t>
            </w:r>
          </w:p>
          <w:p w14:paraId="668C350E" w14:textId="77777777" w:rsidR="00C63205" w:rsidRPr="007F092D" w:rsidRDefault="00C63205" w:rsidP="00C63205">
            <w:pPr>
              <w:widowControl w:val="0"/>
              <w:autoSpaceDE w:val="0"/>
              <w:autoSpaceDN w:val="0"/>
              <w:spacing w:after="120" w:line="276" w:lineRule="auto"/>
              <w:ind w:right="51"/>
              <w:jc w:val="both"/>
              <w:rPr>
                <w:rFonts w:ascii="Verdana" w:eastAsia="Aptos" w:hAnsi="Verdana" w:cs="Times New Roman"/>
              </w:rPr>
            </w:pPr>
            <w:r w:rsidRPr="007F092D">
              <w:rPr>
                <w:rFonts w:ascii="Verdana" w:eastAsia="Aptos" w:hAnsi="Verdana" w:cs="Times New Roman"/>
              </w:rPr>
              <w:t>En este contexto, el ordenamiento jurídico distingue entre personas naturales y personas jurídicas. Tratándose de personas naturales, la regla general es que quien presente la propuesta debe contar directamente con el título profesional en ingeniería y con la respectiva matrícula profesional vigente, sin que sea posible suplir esta exigencia mediante el aval de un ingeniero. El aval únicamente resulta procedente respecto de personas jurídicas, cuando su representante legal o apoderado no ostenta título de ingeniero, caso en el cual la oferta deberá estar avalada por un profesional de la ingeniería debidamente matriculado, quien asume la responsabilidad técnica y ética por las actividades propias de dicha profesión.</w:t>
            </w:r>
          </w:p>
          <w:p w14:paraId="3B0E4DC5" w14:textId="77777777" w:rsidR="00C63205" w:rsidRPr="007F092D" w:rsidRDefault="00C63205" w:rsidP="00A6272A">
            <w:pPr>
              <w:widowControl w:val="0"/>
              <w:autoSpaceDE w:val="0"/>
              <w:autoSpaceDN w:val="0"/>
              <w:spacing w:after="120" w:line="276" w:lineRule="auto"/>
              <w:ind w:right="51"/>
              <w:jc w:val="both"/>
              <w:rPr>
                <w:rFonts w:ascii="Verdana" w:eastAsia="Times New Roman" w:hAnsi="Verdana" w:cs="Arial"/>
                <w:i/>
                <w:iCs/>
                <w:color w:val="000000"/>
                <w:lang w:eastAsia="es-ES_tradnl"/>
              </w:rPr>
            </w:pPr>
            <w:r w:rsidRPr="007F092D">
              <w:rPr>
                <w:rFonts w:ascii="Verdana" w:eastAsia="Aptos" w:hAnsi="Verdana" w:cs="Times New Roman"/>
              </w:rPr>
              <w:t>Así, la posibilidad de participación de profesionales no ingenieros en procesos de contratación de obra pública de infraestructura social depende de que el objeto contractual no constituya ejercicio de la ingeniería, circunstancia que debe analizarse a partir de las actividades definidas en la Matriz – Experiencia de los documentos tipo aplicables. Cuando el objeto contractual sí implique dichas actividades, la presentación de la oferta y la eventual ejecución del contrato se encuentran condicionadas al cumplimiento de los requisitos de idoneidad profesional previstos en la Ley 842 de 2003, sin que resulte jurídicamente viable la participación de personas naturales de profesiones distintas a la ingeniería ni la sustitución de este requisito mediante un aval.</w:t>
            </w:r>
          </w:p>
        </w:tc>
      </w:tr>
    </w:tbl>
    <w:p w14:paraId="20F6BEC1" w14:textId="77777777" w:rsidR="00C63205" w:rsidRPr="007F092D" w:rsidRDefault="00C63205" w:rsidP="00C63205">
      <w:pPr>
        <w:tabs>
          <w:tab w:val="left" w:pos="142"/>
          <w:tab w:val="left" w:pos="284"/>
        </w:tabs>
        <w:spacing w:after="0" w:line="276" w:lineRule="auto"/>
        <w:jc w:val="both"/>
        <w:rPr>
          <w:rFonts w:ascii="Verdana" w:eastAsia="Century Gothic" w:hAnsi="Verdana" w:cs="Century Gothic"/>
          <w:b/>
          <w:bCs/>
        </w:rPr>
      </w:pPr>
    </w:p>
    <w:bookmarkEnd w:id="3"/>
    <w:p w14:paraId="3500A4FE" w14:textId="77777777" w:rsidR="00C63205" w:rsidRPr="007F092D" w:rsidRDefault="00C63205" w:rsidP="00C63205">
      <w:pPr>
        <w:numPr>
          <w:ilvl w:val="0"/>
          <w:numId w:val="17"/>
        </w:numPr>
        <w:tabs>
          <w:tab w:val="left" w:pos="142"/>
          <w:tab w:val="left" w:pos="284"/>
        </w:tabs>
        <w:spacing w:after="0" w:line="276" w:lineRule="auto"/>
        <w:jc w:val="both"/>
        <w:rPr>
          <w:rFonts w:ascii="Verdana" w:eastAsia="Century Gothic" w:hAnsi="Verdana" w:cs="Century Gothic"/>
          <w:b/>
          <w:bCs/>
        </w:rPr>
      </w:pPr>
      <w:r w:rsidRPr="007F092D">
        <w:rPr>
          <w:rFonts w:ascii="Verdana" w:eastAsia="Century Gothic" w:hAnsi="Verdana" w:cs="Century Gothic"/>
          <w:b/>
          <w:bCs/>
        </w:rPr>
        <w:t>Razones de las respuestas:</w:t>
      </w:r>
    </w:p>
    <w:p w14:paraId="74C6648F" w14:textId="77777777" w:rsidR="00C63205" w:rsidRPr="007F092D" w:rsidRDefault="00C63205" w:rsidP="00C63205">
      <w:pPr>
        <w:tabs>
          <w:tab w:val="left" w:pos="142"/>
          <w:tab w:val="left" w:pos="284"/>
        </w:tabs>
        <w:spacing w:after="0" w:line="276" w:lineRule="auto"/>
        <w:jc w:val="both"/>
        <w:rPr>
          <w:rFonts w:ascii="Verdana" w:eastAsia="Century Gothic" w:hAnsi="Verdana" w:cs="Century Gothic"/>
          <w:b/>
          <w:bCs/>
        </w:rPr>
      </w:pPr>
    </w:p>
    <w:p w14:paraId="7A0CBC4E" w14:textId="77777777" w:rsidR="00C63205" w:rsidRPr="007F092D" w:rsidRDefault="00C63205" w:rsidP="00C63205">
      <w:pPr>
        <w:spacing w:after="0" w:line="276" w:lineRule="auto"/>
        <w:jc w:val="both"/>
        <w:rPr>
          <w:rFonts w:ascii="Verdana" w:eastAsia="Calibri" w:hAnsi="Verdana" w:cs="Arial"/>
        </w:rPr>
      </w:pPr>
      <w:r w:rsidRPr="007F092D">
        <w:rPr>
          <w:rFonts w:ascii="Verdana" w:eastAsia="Calibri" w:hAnsi="Verdana" w:cs="Arial"/>
        </w:rPr>
        <w:t>Lo anterior se sustenta en las siguientes consideraciones:</w:t>
      </w:r>
    </w:p>
    <w:p w14:paraId="55A0EE00" w14:textId="77777777" w:rsidR="00C63205" w:rsidRPr="007F092D" w:rsidRDefault="00C63205" w:rsidP="00C63205">
      <w:pPr>
        <w:spacing w:after="0" w:line="276" w:lineRule="auto"/>
        <w:jc w:val="both"/>
        <w:rPr>
          <w:rFonts w:ascii="Verdana" w:eastAsia="Calibri" w:hAnsi="Verdana" w:cs="Arial"/>
        </w:rPr>
      </w:pPr>
    </w:p>
    <w:p w14:paraId="19D764F9" w14:textId="77777777" w:rsidR="00C63205" w:rsidRPr="007F092D" w:rsidRDefault="00C63205" w:rsidP="00C63205">
      <w:pPr>
        <w:spacing w:after="120" w:line="276" w:lineRule="auto"/>
        <w:ind w:firstLine="708"/>
        <w:jc w:val="both"/>
        <w:rPr>
          <w:rFonts w:ascii="Verdana" w:eastAsia="Aptos" w:hAnsi="Verdana" w:cs="Arial"/>
          <w:kern w:val="2"/>
          <w14:ligatures w14:val="standardContextual"/>
        </w:rPr>
      </w:pPr>
      <w:r w:rsidRPr="007F092D">
        <w:rPr>
          <w:rFonts w:ascii="Verdana" w:eastAsia="Aptos" w:hAnsi="Verdana" w:cs="Arial"/>
          <w:kern w:val="2"/>
          <w14:ligatures w14:val="standardContextual"/>
        </w:rPr>
        <w:t xml:space="preserve">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w:t>
      </w:r>
      <w:r w:rsidRPr="007F092D">
        <w:rPr>
          <w:rFonts w:ascii="Verdana" w:eastAsia="Aptos" w:hAnsi="Verdana" w:cs="Arial"/>
          <w:kern w:val="2"/>
          <w14:ligatures w14:val="standardContextual"/>
        </w:rPr>
        <w:lastRenderedPageBreak/>
        <w:t>actividad contractual de todas las entidades sometidas al Estatuto General de la Administración Pública.</w:t>
      </w:r>
    </w:p>
    <w:p w14:paraId="7749584E" w14:textId="77777777" w:rsidR="00C63205" w:rsidRPr="007F092D" w:rsidRDefault="00C63205" w:rsidP="00C63205">
      <w:pPr>
        <w:spacing w:after="120" w:line="276" w:lineRule="auto"/>
        <w:ind w:firstLine="708"/>
        <w:jc w:val="both"/>
        <w:rPr>
          <w:rFonts w:ascii="Verdana" w:eastAsia="Aptos" w:hAnsi="Verdana" w:cs="Arial"/>
          <w:kern w:val="2"/>
          <w14:ligatures w14:val="standardContextual"/>
        </w:rPr>
      </w:pPr>
      <w:r w:rsidRPr="007F092D">
        <w:rPr>
          <w:rFonts w:ascii="Verdana" w:eastAsia="Aptos" w:hAnsi="Verdana" w:cs="Arial"/>
          <w:kern w:val="2"/>
          <w:lang w:val="es-ES"/>
          <w14:ligatures w14:val="standardContextual"/>
        </w:rPr>
        <w:t>Con sustento en esta competencia, esta Agencia expidió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53CD9CD9" w14:textId="77777777" w:rsidR="00C63205" w:rsidRPr="007F092D" w:rsidRDefault="00C63205" w:rsidP="00C63205">
      <w:pPr>
        <w:spacing w:after="120" w:line="276" w:lineRule="auto"/>
        <w:ind w:firstLine="708"/>
        <w:jc w:val="both"/>
        <w:rPr>
          <w:rFonts w:ascii="Verdana" w:eastAsia="Times New Roman" w:hAnsi="Verdana" w:cs="Times New Roman"/>
          <w:color w:val="000000"/>
          <w:lang w:eastAsia="es-CO"/>
        </w:rPr>
      </w:pPr>
      <w:r w:rsidRPr="007F092D">
        <w:rPr>
          <w:rFonts w:ascii="Verdana" w:eastAsia="Aptos" w:hAnsi="Verdana" w:cs="Arial"/>
          <w:kern w:val="2"/>
          <w14:ligatures w14:val="standardContextual"/>
        </w:rPr>
        <w:t xml:space="preserve">En relación con su solicitud, </w:t>
      </w:r>
      <w:r w:rsidRPr="007F092D">
        <w:rPr>
          <w:rFonts w:ascii="Verdana" w:eastAsia="Times New Roman" w:hAnsi="Verdana" w:cs="Times New Roman"/>
          <w:color w:val="000000"/>
          <w:lang w:eastAsia="es-CO"/>
        </w:rPr>
        <w:t xml:space="preserve">debe indicarse que, la Agencia Nacional de Contratación Pública – Colombia Compra Eficiente el pasado 21 de agosto de 2025 adoptó las siguientes Resoluciones: i) Resolución 539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 </w:t>
      </w:r>
      <w:proofErr w:type="spellStart"/>
      <w:r w:rsidRPr="007F092D">
        <w:rPr>
          <w:rFonts w:ascii="Verdana" w:eastAsia="Times New Roman" w:hAnsi="Verdana" w:cs="Times New Roman"/>
          <w:color w:val="000000"/>
          <w:lang w:eastAsia="es-CO"/>
        </w:rPr>
        <w:t>ii</w:t>
      </w:r>
      <w:proofErr w:type="spellEnd"/>
      <w:r w:rsidRPr="007F092D">
        <w:rPr>
          <w:rFonts w:ascii="Verdana" w:eastAsia="Times New Roman" w:hAnsi="Verdana" w:cs="Times New Roman"/>
          <w:color w:val="000000"/>
          <w:lang w:eastAsia="es-CO"/>
        </w:rPr>
        <w:t xml:space="preserve">) Resolución 540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 y </w:t>
      </w:r>
      <w:proofErr w:type="spellStart"/>
      <w:r w:rsidRPr="007F092D">
        <w:rPr>
          <w:rFonts w:ascii="Verdana" w:eastAsia="Times New Roman" w:hAnsi="Verdana" w:cs="Times New Roman"/>
          <w:color w:val="000000"/>
          <w:lang w:eastAsia="es-CO"/>
        </w:rPr>
        <w:t>iii</w:t>
      </w:r>
      <w:proofErr w:type="spellEnd"/>
      <w:r w:rsidRPr="007F092D">
        <w:rPr>
          <w:rFonts w:ascii="Verdana" w:eastAsia="Times New Roman" w:hAnsi="Verdana" w:cs="Times New Roman"/>
          <w:color w:val="000000"/>
          <w:lang w:eastAsia="es-CO"/>
        </w:rPr>
        <w:t xml:space="preserve">) Resolución 541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12071C0F" w14:textId="77777777" w:rsidR="00C63205" w:rsidRPr="007F092D" w:rsidRDefault="00C63205" w:rsidP="00C63205">
      <w:pPr>
        <w:spacing w:after="120" w:line="276" w:lineRule="auto"/>
        <w:ind w:firstLine="708"/>
        <w:jc w:val="both"/>
        <w:textAlignment w:val="baseline"/>
        <w:rPr>
          <w:rFonts w:ascii="Verdana" w:eastAsia="Calibri" w:hAnsi="Verdana" w:cs="Arial"/>
          <w:kern w:val="2"/>
          <w14:ligatures w14:val="standardContextual"/>
        </w:rPr>
      </w:pPr>
      <w:r w:rsidRPr="007F092D">
        <w:rPr>
          <w:rFonts w:ascii="Verdana" w:eastAsia="Times New Roman" w:hAnsi="Verdana" w:cs="Times New Roman"/>
          <w:color w:val="000000"/>
          <w:lang w:eastAsia="es-CO"/>
        </w:rPr>
        <w:t xml:space="preserve">Las </w:t>
      </w:r>
      <w:r w:rsidRPr="007F092D">
        <w:rPr>
          <w:rFonts w:ascii="Verdana" w:eastAsia="Calibri" w:hAnsi="Verdana" w:cs="Arial"/>
          <w:kern w:val="2"/>
          <w14:ligatures w14:val="standardContextual"/>
        </w:rPr>
        <w:t xml:space="preserve">Resoluciones 539, 540 y 541 del 21 de agosto de 2025, acogidas en el sector de obra pública de infraestructura social, aplican de forma transversal </w:t>
      </w:r>
      <w:r w:rsidRPr="007F092D">
        <w:rPr>
          <w:rFonts w:ascii="Verdana" w:eastAsia="Calibri" w:hAnsi="Verdana" w:cs="Arial"/>
          <w:kern w:val="2"/>
          <w14:ligatures w14:val="standardContextual"/>
        </w:rPr>
        <w:lastRenderedPageBreak/>
        <w:t>en las modalidades de selección indicadas y a los proyectos de infraestructura social enmarcados dentro del sector educativo, salud, cultura, recreación y deporte, institucional y vivienda, en los procesos de selección cuyo aviso de convocatoria se publique a partir del 16 de febrero de 2026</w:t>
      </w:r>
      <w:r w:rsidRPr="007F092D">
        <w:rPr>
          <w:rStyle w:val="Refdenotaalpie"/>
          <w:rFonts w:ascii="Verdana" w:eastAsia="Calibri" w:hAnsi="Verdana" w:cs="Arial"/>
          <w:kern w:val="2"/>
          <w14:ligatures w14:val="standardContextual"/>
        </w:rPr>
        <w:footnoteReference w:id="1"/>
      </w:r>
      <w:r w:rsidRPr="007F092D">
        <w:rPr>
          <w:rFonts w:ascii="Verdana" w:eastAsia="Calibri" w:hAnsi="Verdana" w:cs="Arial"/>
          <w:kern w:val="2"/>
          <w14:ligatures w14:val="standardContextual"/>
        </w:rPr>
        <w:t>.</w:t>
      </w:r>
    </w:p>
    <w:p w14:paraId="35CC1C27" w14:textId="77777777" w:rsidR="00C63205" w:rsidRPr="007F092D" w:rsidRDefault="00C63205" w:rsidP="00C63205">
      <w:pPr>
        <w:widowControl w:val="0"/>
        <w:autoSpaceDE w:val="0"/>
        <w:autoSpaceDN w:val="0"/>
        <w:spacing w:after="120" w:line="276" w:lineRule="auto"/>
        <w:ind w:firstLine="708"/>
        <w:jc w:val="both"/>
        <w:rPr>
          <w:rFonts w:ascii="Verdana" w:eastAsia="Calibri" w:hAnsi="Verdana" w:cs="Times New Roman"/>
          <w:lang w:val="es-ES"/>
        </w:rPr>
      </w:pPr>
      <w:r w:rsidRPr="007F092D">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7260E08D" w14:textId="77777777" w:rsidR="00C63205" w:rsidRPr="007F092D" w:rsidRDefault="00C63205" w:rsidP="00C63205">
      <w:pPr>
        <w:widowControl w:val="0"/>
        <w:autoSpaceDE w:val="0"/>
        <w:autoSpaceDN w:val="0"/>
        <w:spacing w:after="120" w:line="276" w:lineRule="auto"/>
        <w:ind w:firstLine="708"/>
        <w:jc w:val="both"/>
        <w:rPr>
          <w:rFonts w:ascii="Verdana" w:eastAsia="Calibri" w:hAnsi="Verdana" w:cs="Times New Roman"/>
          <w:lang w:val="es-ES"/>
        </w:rPr>
      </w:pPr>
      <w:r w:rsidRPr="007F092D">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09938001" w14:textId="77777777" w:rsidR="00C63205" w:rsidRPr="007F092D" w:rsidRDefault="00C63205" w:rsidP="00C63205">
      <w:pPr>
        <w:spacing w:after="120"/>
        <w:ind w:firstLine="708"/>
        <w:jc w:val="both"/>
        <w:rPr>
          <w:rFonts w:ascii="Verdana" w:eastAsia="Aptos" w:hAnsi="Verdana" w:cs="ArialMT"/>
        </w:rPr>
      </w:pPr>
      <w:r w:rsidRPr="007F092D">
        <w:rPr>
          <w:rFonts w:ascii="Verdana" w:eastAsia="Aptos" w:hAnsi="Verdana" w:cs="Arial"/>
        </w:rPr>
        <w:t xml:space="preserve">Los documentos tipo expedidos por la Agencia Nacional de Contratación Pública </w:t>
      </w:r>
      <w:r w:rsidRPr="007F092D">
        <w:rPr>
          <w:rFonts w:ascii="Verdana" w:eastAsia="Aptos" w:hAnsi="Verdana" w:cs="ArialMT"/>
        </w:rPr>
        <w:t xml:space="preserve">– Colombia Compra Eficiente </w:t>
      </w:r>
      <w:r w:rsidRPr="007F092D">
        <w:rPr>
          <w:rFonts w:ascii="Verdana" w:eastAsia="Aptos" w:hAnsi="Verdana" w:cs="Arial"/>
        </w:rPr>
        <w:t>en ejercicio de la potestad otorgada</w:t>
      </w:r>
      <w:r w:rsidRPr="007F092D">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w:t>
      </w:r>
      <w:r w:rsidRPr="007F092D">
        <w:rPr>
          <w:rFonts w:ascii="Verdana" w:eastAsia="Aptos" w:hAnsi="Verdana" w:cs="ArialMT"/>
        </w:rPr>
        <w:lastRenderedPageBreak/>
        <w:t>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38AF0D1B" w14:textId="77777777" w:rsidR="00C63205" w:rsidRPr="007F092D" w:rsidRDefault="00C63205" w:rsidP="00C63205">
      <w:pPr>
        <w:spacing w:after="120"/>
        <w:ind w:firstLine="708"/>
        <w:jc w:val="both"/>
        <w:rPr>
          <w:rFonts w:ascii="Verdana" w:eastAsia="Aptos" w:hAnsi="Verdana" w:cs="ArialMT"/>
        </w:rPr>
      </w:pPr>
      <w:r w:rsidRPr="007F092D">
        <w:rPr>
          <w:rFonts w:ascii="Verdana" w:eastAsia="Times New Roman" w:hAnsi="Verdana" w:cs="Arial"/>
          <w:shd w:val="clear" w:color="auto" w:fill="FFFFFF"/>
          <w:lang w:val="es-ES_tradnl" w:eastAsia="es-ES_tradnl"/>
        </w:rPr>
        <w:t>Todas las resoluciones expedidas por la Agencia Nacional de Contratación Pública – Colombia Compra Eficiente, mediante las cuales se han adoptado los documentos tipo, consagran la regla de la inalterabilidad</w:t>
      </w:r>
      <w:r w:rsidRPr="007F092D">
        <w:rPr>
          <w:rFonts w:ascii="Verdana" w:eastAsia="Aptos" w:hAnsi="Verdana" w:cs="Times New Roman"/>
          <w:shd w:val="clear" w:color="auto" w:fill="FFFFFF"/>
          <w:vertAlign w:val="superscript"/>
          <w:lang w:val="es-ES_tradnl" w:eastAsia="es-ES_tradnl"/>
        </w:rPr>
        <w:footnoteReference w:id="2"/>
      </w:r>
      <w:r w:rsidRPr="007F092D">
        <w:rPr>
          <w:rFonts w:ascii="Verdana" w:eastAsia="Times New Roman" w:hAnsi="Verdana" w:cs="Arial"/>
          <w:shd w:val="clear" w:color="auto" w:fill="FFFFFF"/>
          <w:lang w:val="es-ES_tradnl" w:eastAsia="es-ES_tradnl"/>
        </w:rPr>
        <w:t xml:space="preserve">. Esta prohibición consiste en que las entidades estatales no pueden incluir o modificar en los </w:t>
      </w:r>
      <w:r w:rsidRPr="007F092D">
        <w:rPr>
          <w:rFonts w:ascii="Verdana" w:eastAsia="Times New Roman" w:hAnsi="Verdana" w:cs="Arial"/>
          <w:i/>
          <w:iCs/>
          <w:shd w:val="clear" w:color="auto" w:fill="FFFFFF"/>
          <w:lang w:val="es-ES_tradnl" w:eastAsia="es-ES_tradnl"/>
        </w:rPr>
        <w:t>Documentos del Proceso</w:t>
      </w:r>
      <w:r w:rsidRPr="007F092D">
        <w:rPr>
          <w:rFonts w:ascii="Verdana" w:eastAsia="Times New Roman" w:hAnsi="Verdana" w:cs="Arial"/>
          <w:shd w:val="clear" w:color="auto" w:fill="FFFFFF"/>
          <w:lang w:val="es-ES_tradnl" w:eastAsia="es-ES_tradn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w:t>
      </w:r>
      <w:r w:rsidRPr="007F092D">
        <w:rPr>
          <w:rFonts w:ascii="Verdana" w:eastAsia="Aptos" w:hAnsi="Verdana" w:cs="ArialMT"/>
        </w:rPr>
        <w:t>entidades estatales, al realizar sus procedimientos de selección, solo podrán modificarlos en los aspectos en que los documentos tipo lo permitan.</w:t>
      </w:r>
    </w:p>
    <w:p w14:paraId="4D58F707" w14:textId="2E969B47" w:rsidR="00C63205" w:rsidRPr="007F092D" w:rsidRDefault="00C63205" w:rsidP="00C63205">
      <w:pPr>
        <w:spacing w:after="120"/>
        <w:ind w:firstLine="708"/>
        <w:jc w:val="both"/>
        <w:rPr>
          <w:rFonts w:ascii="Verdana" w:eastAsia="Times New Roman" w:hAnsi="Verdana" w:cs="Arial"/>
          <w:shd w:val="clear" w:color="auto" w:fill="FFFFFF"/>
          <w:lang w:val="es-ES_tradnl" w:eastAsia="es-ES_tradnl"/>
        </w:rPr>
      </w:pPr>
      <w:r w:rsidRPr="007F092D">
        <w:rPr>
          <w:rFonts w:ascii="Verdana" w:eastAsia="Aptos" w:hAnsi="Verdana" w:cs="ArialMT"/>
        </w:rPr>
        <w:t>El fundamento legal vigente de la regla de inalterabilidad se encuentra en el artículo 1 de la Ley 2022 de 2020, según el cual</w:t>
      </w:r>
      <w:r w:rsidRPr="007F092D">
        <w:rPr>
          <w:rFonts w:ascii="Verdana" w:eastAsia="Times New Roman" w:hAnsi="Verdana" w:cs="Arial"/>
          <w:shd w:val="clear" w:color="auto" w:fill="FFFFFF"/>
          <w:lang w:val="es-ES_tradnl" w:eastAsia="es-ES_tradnl"/>
        </w:rPr>
        <w:t xml:space="preserve"> “</w:t>
      </w:r>
      <w:r w:rsidRPr="007F092D">
        <w:rPr>
          <w:rFonts w:ascii="Verdana" w:eastAsia="Times New Roman" w:hAnsi="Verdana" w:cs="Arial"/>
          <w:lang w:val="es-ES_tradnl" w:eastAsia="es-ES_tradnl"/>
        </w:rPr>
        <w:t xml:space="preserve">[…] </w:t>
      </w:r>
      <w:r w:rsidRPr="007F092D">
        <w:rPr>
          <w:rFonts w:ascii="Verdana" w:eastAsia="Times New Roman" w:hAnsi="Verdana" w:cs="Arial"/>
          <w:shd w:val="clear" w:color="auto" w:fill="FFFFFF"/>
          <w:lang w:val="es-ES_tradnl" w:eastAsia="es-ES_tradnl"/>
        </w:rPr>
        <w:t>serán de obligatorio cumplimiento en la actividad contractual de todas las entidades sometidas al Estatuto General de Contratación de la Administración Pública”. Pero eso no significa que antes no rigiera, pues así también lo disponía el artículo 4 de la Ley 1882 de 2018. Incluso por vía reglamentaria también se dispuso el carácter inmodificable de los pliegos tipo en el artículo 1 de los Decretos 342 de 2019 y 594 de 2020, que adicionaron, respectivamente, los artículos 2.2.1.2.6.1.4. y 2.2.1.2.6.3.4 al Decreto 1082 de 2015.</w:t>
      </w:r>
      <w:r w:rsidRPr="007F092D">
        <w:rPr>
          <w:rFonts w:ascii="Verdana" w:eastAsia="Times New Roman" w:hAnsi="Verdana" w:cs="Arial"/>
          <w:shd w:val="clear" w:color="auto" w:fill="FFFFFF"/>
          <w:lang w:val="es-ES" w:eastAsia="es-ES"/>
        </w:rPr>
        <w:tab/>
      </w:r>
    </w:p>
    <w:p w14:paraId="6909976A" w14:textId="77777777" w:rsidR="00C63205" w:rsidRPr="007F092D" w:rsidRDefault="00C63205" w:rsidP="00C63205">
      <w:pPr>
        <w:snapToGrid w:val="0"/>
        <w:spacing w:after="120" w:line="276" w:lineRule="auto"/>
        <w:jc w:val="both"/>
        <w:rPr>
          <w:rFonts w:ascii="Verdana" w:eastAsia="Times New Roman" w:hAnsi="Verdana" w:cs="Arial"/>
          <w:shd w:val="clear" w:color="auto" w:fill="FFFFFF"/>
          <w:lang w:val="es-ES" w:eastAsia="es-ES"/>
        </w:rPr>
      </w:pPr>
      <w:r w:rsidRPr="007F092D">
        <w:rPr>
          <w:rFonts w:ascii="Verdana" w:eastAsia="Times New Roman" w:hAnsi="Verdana" w:cs="Arial"/>
          <w:shd w:val="clear" w:color="auto" w:fill="FFFFFF"/>
          <w:lang w:val="es-ES_tradnl" w:eastAsia="es-ES_tradnl"/>
        </w:rPr>
        <w:tab/>
      </w:r>
      <w:r w:rsidRPr="007F092D">
        <w:rPr>
          <w:rFonts w:ascii="Verdana" w:eastAsia="Times New Roman" w:hAnsi="Verdana" w:cs="Arial"/>
          <w:shd w:val="clear" w:color="auto" w:fill="FFFFFF"/>
          <w:lang w:val="es-ES" w:eastAsia="es-ES"/>
        </w:rPr>
        <w:t xml:space="preserve">En consecuencia, en virtud de la regla de inalterabilidad aludida, los documentos tipo solo pueden ser modificados en los aspectos en que estos lo permitan. Esto corresponde a aquellos aspectos que se encuentran entre </w:t>
      </w:r>
      <w:r w:rsidRPr="007F092D">
        <w:rPr>
          <w:rFonts w:ascii="Verdana" w:eastAsia="Times New Roman" w:hAnsi="Verdana" w:cs="Arial"/>
          <w:shd w:val="clear" w:color="auto" w:fill="FFFFFF"/>
          <w:lang w:val="es-ES" w:eastAsia="es-ES"/>
        </w:rPr>
        <w:lastRenderedPageBreak/>
        <w:t xml:space="preserve">corchetes y resaltados en gris </w:t>
      </w:r>
      <w:r w:rsidRPr="007F092D">
        <w:rPr>
          <w:rFonts w:ascii="Verdana" w:eastAsia="Times New Roman" w:hAnsi="Verdana" w:cs="Arial"/>
          <w:highlight w:val="lightGray"/>
          <w:shd w:val="clear" w:color="auto" w:fill="FFFFFF"/>
          <w:lang w:val="es-ES" w:eastAsia="es-ES"/>
        </w:rPr>
        <w:t>–[texto]–</w:t>
      </w:r>
      <w:r w:rsidRPr="007F092D">
        <w:rPr>
          <w:rFonts w:ascii="Verdana" w:eastAsia="Times New Roman" w:hAnsi="Verdana" w:cs="Arial"/>
          <w:shd w:val="clear" w:color="auto" w:fill="FFFFFF"/>
          <w:lang w:val="es-ES" w:eastAsia="es-ES"/>
        </w:rPr>
        <w:t>, para lo cual deberán observarse las instrucciones contenidas en los mismos para su diligenciamiento.</w:t>
      </w:r>
      <w:r w:rsidRPr="007F092D">
        <w:rPr>
          <w:rFonts w:ascii="Verdana" w:eastAsia="Times New Roman" w:hAnsi="Verdana" w:cs="Arial"/>
          <w:shd w:val="clear" w:color="auto" w:fill="FFFFFF"/>
          <w:lang w:val="es-ES_tradnl" w:eastAsia="es-ES_tradnl"/>
        </w:rPr>
        <w:tab/>
      </w:r>
    </w:p>
    <w:p w14:paraId="4FA8B43C" w14:textId="77777777" w:rsidR="00C63205" w:rsidRPr="007F092D" w:rsidRDefault="00C63205" w:rsidP="00A035D3">
      <w:pPr>
        <w:snapToGrid w:val="0"/>
        <w:spacing w:after="120" w:line="276" w:lineRule="auto"/>
        <w:jc w:val="both"/>
        <w:rPr>
          <w:rFonts w:ascii="Verdana" w:eastAsia="Calibri" w:hAnsi="Verdana" w:cs="Arial"/>
        </w:rPr>
      </w:pPr>
      <w:r w:rsidRPr="007F092D">
        <w:rPr>
          <w:rFonts w:ascii="Verdana" w:eastAsia="Times New Roman" w:hAnsi="Verdana" w:cs="Arial"/>
          <w:shd w:val="clear" w:color="auto" w:fill="FFFFFF"/>
          <w:lang w:val="es-ES_tradnl" w:eastAsia="es-ES_tradnl"/>
        </w:rPr>
        <w:tab/>
        <w:t>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w:t>
      </w:r>
      <w:r w:rsidRPr="007F092D">
        <w:rPr>
          <w:rFonts w:ascii="Verdana" w:eastAsia="Calibri" w:hAnsi="Verdana" w:cs="Arial"/>
        </w:rPr>
        <w:t xml:space="preserve"> </w:t>
      </w:r>
    </w:p>
    <w:p w14:paraId="1D57213F" w14:textId="77777777" w:rsidR="00C63205" w:rsidRPr="007F092D" w:rsidRDefault="00C63205" w:rsidP="00A035D3">
      <w:pPr>
        <w:snapToGrid w:val="0"/>
        <w:spacing w:after="120" w:line="276" w:lineRule="auto"/>
        <w:ind w:firstLine="708"/>
        <w:jc w:val="both"/>
        <w:rPr>
          <w:rFonts w:ascii="Verdana" w:eastAsia="Calibri" w:hAnsi="Verdana" w:cs="Arial"/>
          <w:bCs/>
          <w:color w:val="000000"/>
        </w:rPr>
      </w:pPr>
      <w:r w:rsidRPr="007F092D">
        <w:rPr>
          <w:rFonts w:ascii="Verdana" w:eastAsia="Calibri" w:hAnsi="Verdana" w:cs="Arial"/>
          <w:bCs/>
          <w:color w:val="000000"/>
        </w:rPr>
        <w:t>Ahora bien, bajo el marco normativo establecido con anterioridad, para efectos del segundo problema jurídico planteado en este concepto, no resulta viable que una persona natural con título de arquitecto presente propuestas en procesos de selección en los que la ejecución del objeto contractual ofertado implique el ejercicio de la ingeniería. A juicio de la Corte Constitucional en la sentencia C-191 de 2005, la arquitectura constituye una disciplina distinta de la ingeniería. Esto sin perjuicio, de que se oferten objetos contractuales que puedan ser desarrollados por profesionales diferentes a un ingeniero o ingeniera, esto es, los que no supongan el ejercicio de la ingeniería, caso en el cual la posibilidad de participar de profesionales no ingenieros deberá ser analizada a luz de las normas que regulen la respectiva profesión.</w:t>
      </w:r>
    </w:p>
    <w:p w14:paraId="155521A1" w14:textId="535CBED5" w:rsidR="00A035D3" w:rsidRPr="007F092D" w:rsidRDefault="00C63205" w:rsidP="00A035D3">
      <w:pPr>
        <w:snapToGrid w:val="0"/>
        <w:spacing w:after="120" w:line="276" w:lineRule="auto"/>
        <w:ind w:firstLine="708"/>
        <w:jc w:val="both"/>
        <w:rPr>
          <w:rFonts w:ascii="Verdana" w:eastAsia="Arial" w:hAnsi="Verdana" w:cs="Arial"/>
          <w:kern w:val="2"/>
          <w:lang w:val="es-ES" w:eastAsia="es-ES" w:bidi="es-ES"/>
          <w14:ligatures w14:val="standardContextual"/>
        </w:rPr>
      </w:pPr>
      <w:r w:rsidRPr="007F092D">
        <w:rPr>
          <w:rFonts w:ascii="Verdana" w:eastAsia="Arial" w:hAnsi="Verdana" w:cs="Arial"/>
          <w:kern w:val="2"/>
          <w:lang w:val="es-ES" w:eastAsia="es-ES" w:bidi="es-ES"/>
          <w14:ligatures w14:val="standardContextual"/>
        </w:rPr>
        <w:t>Aunado a lo anterior, encontramos que la Corte Constitucional, en la sentencia C-697 de 2000, explicó que el artículo 26 de la Constitución Política autorizó al legislador para exigir determinados títulos de idoneidad a quienes desempeñen actividades que impliquen riesgo social, con el objetivo de demostrar la adecuada aptitud del aspirante y que esta exigencia constituye una excepción legítima al principio de libertad e igualdad en materia laboral:</w:t>
      </w:r>
    </w:p>
    <w:p w14:paraId="0CBB9E70" w14:textId="7E2CBCD5" w:rsidR="00C63205" w:rsidRPr="007F092D" w:rsidRDefault="00C63205" w:rsidP="00A035D3">
      <w:pPr>
        <w:widowControl w:val="0"/>
        <w:autoSpaceDE w:val="0"/>
        <w:autoSpaceDN w:val="0"/>
        <w:spacing w:after="0" w:line="240" w:lineRule="auto"/>
        <w:ind w:left="709" w:right="709"/>
        <w:jc w:val="both"/>
        <w:rPr>
          <w:rFonts w:ascii="Verdana" w:eastAsia="Arial" w:hAnsi="Verdana" w:cs="Arial"/>
          <w:kern w:val="2"/>
          <w:sz w:val="21"/>
          <w:szCs w:val="21"/>
          <w:lang w:val="es-ES" w:eastAsia="es-ES" w:bidi="es-ES"/>
          <w14:ligatures w14:val="standardContextual"/>
        </w:rPr>
      </w:pPr>
      <w:r w:rsidRPr="007F092D">
        <w:rPr>
          <w:rFonts w:ascii="Verdana" w:eastAsia="Arial" w:hAnsi="Verdana" w:cs="Arial"/>
          <w:kern w:val="2"/>
          <w:sz w:val="21"/>
          <w:szCs w:val="21"/>
          <w:lang w:val="es-ES" w:eastAsia="es-ES" w:bidi="es-ES"/>
          <w14:ligatures w14:val="standardContextual"/>
        </w:rPr>
        <w:t xml:space="preserve">“El artículo 26 de la Carta autoriza al legislador para exigir determinados títulos de idoneidad a quienes quieran desempeñar actividades que impliquen riesgo social y también, para establecer mecanismos de inspección y vigilancia con el fin de evitar que resulten lesionados derechos de terceras personas. Impone al legislador la tarea de garantizarle a todas las personas la libertad plena de escoger, en condiciones de igualdad, la profesión u oficio que pueda servir para realizar su modelo de vida o para garantizarles un ingreso que les permita satisfacer sus necesidades. </w:t>
      </w:r>
    </w:p>
    <w:p w14:paraId="3C50FDF8" w14:textId="77777777" w:rsidR="00C63205" w:rsidRPr="007F092D" w:rsidRDefault="00C63205" w:rsidP="00C63205">
      <w:pPr>
        <w:widowControl w:val="0"/>
        <w:autoSpaceDE w:val="0"/>
        <w:autoSpaceDN w:val="0"/>
        <w:spacing w:after="0" w:line="240" w:lineRule="auto"/>
        <w:ind w:left="709" w:right="709"/>
        <w:rPr>
          <w:rFonts w:ascii="Verdana" w:eastAsia="Arial" w:hAnsi="Verdana" w:cs="Arial"/>
          <w:kern w:val="2"/>
          <w:sz w:val="21"/>
          <w:szCs w:val="21"/>
          <w:lang w:val="es-ES" w:eastAsia="es-ES" w:bidi="es-ES"/>
          <w14:ligatures w14:val="standardContextual"/>
        </w:rPr>
      </w:pPr>
    </w:p>
    <w:p w14:paraId="6D177C61" w14:textId="14B9F0A1" w:rsidR="00C63205" w:rsidRPr="007F092D" w:rsidRDefault="00C63205" w:rsidP="00C63205">
      <w:pPr>
        <w:widowControl w:val="0"/>
        <w:autoSpaceDE w:val="0"/>
        <w:autoSpaceDN w:val="0"/>
        <w:spacing w:after="0" w:line="240" w:lineRule="auto"/>
        <w:ind w:left="709" w:right="709"/>
        <w:rPr>
          <w:rFonts w:ascii="Verdana" w:eastAsia="Arial" w:hAnsi="Verdana" w:cs="Arial"/>
          <w:kern w:val="2"/>
          <w:sz w:val="21"/>
          <w:szCs w:val="21"/>
          <w:lang w:val="es-ES" w:eastAsia="es-ES" w:bidi="es-ES"/>
          <w14:ligatures w14:val="standardContextual"/>
        </w:rPr>
      </w:pPr>
      <w:r w:rsidRPr="007F092D">
        <w:rPr>
          <w:rFonts w:ascii="Verdana" w:eastAsia="Arial" w:hAnsi="Verdana" w:cs="Arial"/>
          <w:kern w:val="2"/>
          <w:sz w:val="21"/>
          <w:szCs w:val="21"/>
          <w:lang w:val="es-ES" w:eastAsia="es-ES" w:bidi="es-ES"/>
          <w14:ligatures w14:val="standardContextual"/>
        </w:rPr>
        <w:t>[…]</w:t>
      </w:r>
    </w:p>
    <w:p w14:paraId="297B758D" w14:textId="759348CA" w:rsidR="00C63205" w:rsidRPr="007F092D" w:rsidRDefault="00C63205" w:rsidP="00C63205">
      <w:pPr>
        <w:widowControl w:val="0"/>
        <w:autoSpaceDE w:val="0"/>
        <w:autoSpaceDN w:val="0"/>
        <w:spacing w:after="0" w:line="240" w:lineRule="auto"/>
        <w:ind w:left="709" w:right="709"/>
        <w:jc w:val="both"/>
        <w:rPr>
          <w:rFonts w:ascii="Verdana" w:eastAsia="Arial" w:hAnsi="Verdana" w:cs="Arial"/>
          <w:kern w:val="2"/>
          <w:sz w:val="21"/>
          <w:szCs w:val="21"/>
          <w:lang w:val="es-ES" w:eastAsia="es-ES" w:bidi="es-ES"/>
          <w14:ligatures w14:val="standardContextual"/>
        </w:rPr>
      </w:pPr>
      <w:r w:rsidRPr="007F092D">
        <w:rPr>
          <w:rFonts w:ascii="Verdana" w:eastAsia="Arial" w:hAnsi="Verdana" w:cs="Arial"/>
          <w:kern w:val="2"/>
          <w:sz w:val="21"/>
          <w:szCs w:val="21"/>
          <w:lang w:val="es-ES" w:eastAsia="es-ES" w:bidi="es-ES"/>
          <w14:ligatures w14:val="standardContextual"/>
        </w:rPr>
        <w:t xml:space="preserve">La exigencia de títulos de idoneidad y tarjetas profesionales constituye una excepción al principio de libertad e igualdad en materia laboral y, por lo tanto, es necesario demostrar que la formación intelectual y </w:t>
      </w:r>
      <w:r w:rsidRPr="007F092D">
        <w:rPr>
          <w:rFonts w:ascii="Verdana" w:eastAsia="Arial" w:hAnsi="Verdana" w:cs="Arial"/>
          <w:kern w:val="2"/>
          <w:sz w:val="21"/>
          <w:szCs w:val="21"/>
          <w:lang w:val="es-ES" w:eastAsia="es-ES" w:bidi="es-ES"/>
          <w14:ligatures w14:val="standardContextual"/>
        </w:rPr>
        <w:lastRenderedPageBreak/>
        <w:t>técnica requerida es un medio idóneo y proporción”</w:t>
      </w:r>
      <w:r w:rsidRPr="007F092D">
        <w:rPr>
          <w:rFonts w:ascii="Verdana" w:eastAsia="Arial" w:hAnsi="Verdana" w:cs="Arial"/>
          <w:kern w:val="2"/>
          <w:sz w:val="21"/>
          <w:szCs w:val="21"/>
          <w:vertAlign w:val="superscript"/>
          <w:lang w:val="es-ES" w:eastAsia="es-ES" w:bidi="es-ES"/>
          <w14:ligatures w14:val="standardContextual"/>
        </w:rPr>
        <w:footnoteReference w:id="3"/>
      </w:r>
      <w:r w:rsidRPr="007F092D">
        <w:rPr>
          <w:rFonts w:ascii="Verdana" w:eastAsia="Arial" w:hAnsi="Verdana" w:cs="Arial"/>
          <w:kern w:val="2"/>
          <w:sz w:val="21"/>
          <w:szCs w:val="21"/>
          <w:lang w:val="es-ES" w:eastAsia="es-ES" w:bidi="es-ES"/>
          <w14:ligatures w14:val="standardContextual"/>
        </w:rPr>
        <w:t>.</w:t>
      </w:r>
    </w:p>
    <w:p w14:paraId="2E5C52FD" w14:textId="26E87314" w:rsidR="00A035D3" w:rsidRPr="007F092D" w:rsidRDefault="00A035D3" w:rsidP="00C63205">
      <w:pPr>
        <w:widowControl w:val="0"/>
        <w:autoSpaceDE w:val="0"/>
        <w:autoSpaceDN w:val="0"/>
        <w:spacing w:after="0" w:line="240" w:lineRule="auto"/>
        <w:ind w:left="709" w:right="709"/>
        <w:jc w:val="both"/>
        <w:rPr>
          <w:rFonts w:ascii="Verdana" w:eastAsia="Arial" w:hAnsi="Verdana" w:cs="Arial"/>
          <w:kern w:val="2"/>
          <w:lang w:val="es-ES" w:eastAsia="es-ES" w:bidi="es-ES"/>
          <w14:ligatures w14:val="standardContextual"/>
        </w:rPr>
      </w:pPr>
    </w:p>
    <w:p w14:paraId="3B67578C" w14:textId="77777777" w:rsidR="00A035D3" w:rsidRPr="007F092D" w:rsidRDefault="00A035D3" w:rsidP="00A035D3">
      <w:pPr>
        <w:widowControl w:val="0"/>
        <w:autoSpaceDE w:val="0"/>
        <w:autoSpaceDN w:val="0"/>
        <w:spacing w:after="0" w:line="276" w:lineRule="auto"/>
        <w:ind w:firstLine="709"/>
        <w:jc w:val="both"/>
        <w:rPr>
          <w:rFonts w:ascii="Verdana" w:eastAsia="Aptos" w:hAnsi="Verdana" w:cs="Arial"/>
          <w:kern w:val="2"/>
          <w:lang w:val="es-MX"/>
          <w14:ligatures w14:val="standardContextual"/>
        </w:rPr>
      </w:pPr>
      <w:r w:rsidRPr="007F092D">
        <w:rPr>
          <w:rFonts w:ascii="Verdana" w:eastAsia="Arial" w:hAnsi="Verdana" w:cs="Arial"/>
          <w:kern w:val="2"/>
          <w:lang w:val="es-MX"/>
          <w14:ligatures w14:val="standardContextual"/>
        </w:rPr>
        <w:t xml:space="preserve">Haciendo uso de la mencionada prerrogativa, el legislador reguló el </w:t>
      </w:r>
      <w:r w:rsidRPr="007F092D">
        <w:rPr>
          <w:rFonts w:ascii="Verdana" w:eastAsia="Arial" w:hAnsi="Verdana" w:cs="Arial"/>
          <w:kern w:val="2"/>
          <w:lang w:val="es-ES"/>
          <w14:ligatures w14:val="standardContextual"/>
        </w:rPr>
        <w:t>ejercicio de la ingeniería y de sus profesiones afines y auxiliares en la Ley 842 de 2003, estableciendo en el artículo 2 las actividades que se entienden como ejercicio de la ingeniería y en el artículo 6 la exigencia de efectuar la matrícula o inscripción en el Registro Profesional</w:t>
      </w:r>
      <w:r w:rsidRPr="007F092D">
        <w:rPr>
          <w:rFonts w:ascii="Verdana" w:eastAsia="Arial" w:hAnsi="Verdana" w:cs="Arial"/>
          <w:spacing w:val="8"/>
          <w:kern w:val="2"/>
          <w:lang w:val="es-ES"/>
          <w14:ligatures w14:val="standardContextual"/>
        </w:rPr>
        <w:t xml:space="preserve"> </w:t>
      </w:r>
      <w:r w:rsidRPr="007F092D">
        <w:rPr>
          <w:rFonts w:ascii="Verdana" w:eastAsia="Arial" w:hAnsi="Verdana" w:cs="Arial"/>
          <w:kern w:val="2"/>
          <w:lang w:val="es-ES"/>
          <w14:ligatures w14:val="standardContextual"/>
        </w:rPr>
        <w:t>respectivo,</w:t>
      </w:r>
      <w:r w:rsidRPr="007F092D">
        <w:rPr>
          <w:rFonts w:ascii="Verdana" w:eastAsia="Arial" w:hAnsi="Verdana" w:cs="Arial"/>
          <w:spacing w:val="8"/>
          <w:kern w:val="2"/>
          <w:lang w:val="es-ES"/>
          <w14:ligatures w14:val="standardContextual"/>
        </w:rPr>
        <w:t xml:space="preserve"> </w:t>
      </w:r>
      <w:r w:rsidRPr="007F092D">
        <w:rPr>
          <w:rFonts w:ascii="Verdana" w:eastAsia="Arial" w:hAnsi="Verdana" w:cs="Arial"/>
          <w:kern w:val="2"/>
          <w:lang w:val="es-ES"/>
          <w14:ligatures w14:val="standardContextual"/>
        </w:rPr>
        <w:t>lo</w:t>
      </w:r>
      <w:r w:rsidRPr="007F092D">
        <w:rPr>
          <w:rFonts w:ascii="Verdana" w:eastAsia="Arial" w:hAnsi="Verdana" w:cs="Arial"/>
          <w:spacing w:val="9"/>
          <w:kern w:val="2"/>
          <w:lang w:val="es-ES"/>
          <w14:ligatures w14:val="standardContextual"/>
        </w:rPr>
        <w:t xml:space="preserve"> </w:t>
      </w:r>
      <w:r w:rsidRPr="007F092D">
        <w:rPr>
          <w:rFonts w:ascii="Verdana" w:eastAsia="Arial" w:hAnsi="Verdana" w:cs="Arial"/>
          <w:kern w:val="2"/>
          <w:lang w:val="es-ES"/>
          <w14:ligatures w14:val="standardContextual"/>
        </w:rPr>
        <w:t>cual</w:t>
      </w:r>
      <w:r w:rsidRPr="007F092D">
        <w:rPr>
          <w:rFonts w:ascii="Verdana" w:eastAsia="Arial" w:hAnsi="Verdana" w:cs="Arial"/>
          <w:spacing w:val="8"/>
          <w:kern w:val="2"/>
          <w:lang w:val="es-ES"/>
          <w14:ligatures w14:val="standardContextual"/>
        </w:rPr>
        <w:t xml:space="preserve"> </w:t>
      </w:r>
      <w:r w:rsidRPr="007F092D">
        <w:rPr>
          <w:rFonts w:ascii="Verdana" w:eastAsia="Arial" w:hAnsi="Verdana" w:cs="Arial"/>
          <w:kern w:val="2"/>
          <w:lang w:val="es-ES"/>
          <w14:ligatures w14:val="standardContextual"/>
        </w:rPr>
        <w:t>se</w:t>
      </w:r>
      <w:r w:rsidRPr="007F092D">
        <w:rPr>
          <w:rFonts w:ascii="Verdana" w:eastAsia="Arial" w:hAnsi="Verdana" w:cs="Arial"/>
          <w:spacing w:val="8"/>
          <w:kern w:val="2"/>
          <w:lang w:val="es-ES"/>
          <w14:ligatures w14:val="standardContextual"/>
        </w:rPr>
        <w:t xml:space="preserve"> </w:t>
      </w:r>
      <w:r w:rsidRPr="007F092D">
        <w:rPr>
          <w:rFonts w:ascii="Verdana" w:eastAsia="Arial" w:hAnsi="Verdana" w:cs="Arial"/>
          <w:kern w:val="2"/>
          <w:lang w:val="es-ES"/>
          <w14:ligatures w14:val="standardContextual"/>
        </w:rPr>
        <w:t>acredita</w:t>
      </w:r>
      <w:r w:rsidRPr="007F092D">
        <w:rPr>
          <w:rFonts w:ascii="Verdana" w:eastAsia="Arial" w:hAnsi="Verdana" w:cs="Arial"/>
          <w:spacing w:val="6"/>
          <w:kern w:val="2"/>
          <w:lang w:val="es-ES"/>
          <w14:ligatures w14:val="standardContextual"/>
        </w:rPr>
        <w:t xml:space="preserve"> </w:t>
      </w:r>
      <w:r w:rsidRPr="007F092D">
        <w:rPr>
          <w:rFonts w:ascii="Verdana" w:eastAsia="Arial" w:hAnsi="Verdana" w:cs="Arial"/>
          <w:kern w:val="2"/>
          <w:lang w:val="es-ES"/>
          <w14:ligatures w14:val="standardContextual"/>
        </w:rPr>
        <w:t>con</w:t>
      </w:r>
      <w:r w:rsidRPr="007F092D">
        <w:rPr>
          <w:rFonts w:ascii="Verdana" w:eastAsia="Arial" w:hAnsi="Verdana" w:cs="Arial"/>
          <w:spacing w:val="7"/>
          <w:kern w:val="2"/>
          <w:lang w:val="es-ES"/>
          <w14:ligatures w14:val="standardContextual"/>
        </w:rPr>
        <w:t xml:space="preserve"> </w:t>
      </w:r>
      <w:r w:rsidRPr="007F092D">
        <w:rPr>
          <w:rFonts w:ascii="Verdana" w:eastAsia="Arial" w:hAnsi="Verdana" w:cs="Arial"/>
          <w:kern w:val="2"/>
          <w:lang w:val="es-ES"/>
          <w14:ligatures w14:val="standardContextual"/>
        </w:rPr>
        <w:t>la</w:t>
      </w:r>
      <w:r w:rsidRPr="007F092D">
        <w:rPr>
          <w:rFonts w:ascii="Verdana" w:eastAsia="Arial" w:hAnsi="Verdana" w:cs="Arial"/>
          <w:spacing w:val="8"/>
          <w:kern w:val="2"/>
          <w:lang w:val="es-ES"/>
          <w14:ligatures w14:val="standardContextual"/>
        </w:rPr>
        <w:t xml:space="preserve"> </w:t>
      </w:r>
      <w:r w:rsidRPr="007F092D">
        <w:rPr>
          <w:rFonts w:ascii="Verdana" w:eastAsia="Arial" w:hAnsi="Verdana" w:cs="Arial"/>
          <w:kern w:val="2"/>
          <w:lang w:val="es-ES"/>
          <w14:ligatures w14:val="standardContextual"/>
        </w:rPr>
        <w:t>tarjeta</w:t>
      </w:r>
      <w:r w:rsidRPr="007F092D">
        <w:rPr>
          <w:rFonts w:ascii="Verdana" w:eastAsia="Arial" w:hAnsi="Verdana" w:cs="Arial"/>
          <w:spacing w:val="9"/>
          <w:kern w:val="2"/>
          <w:lang w:val="es-ES"/>
          <w14:ligatures w14:val="standardContextual"/>
        </w:rPr>
        <w:t xml:space="preserve"> </w:t>
      </w:r>
      <w:r w:rsidRPr="007F092D">
        <w:rPr>
          <w:rFonts w:ascii="Verdana" w:eastAsia="Arial" w:hAnsi="Verdana" w:cs="Arial"/>
          <w:kern w:val="2"/>
          <w:lang w:val="es-ES"/>
          <w14:ligatures w14:val="standardContextual"/>
        </w:rPr>
        <w:t>o</w:t>
      </w:r>
      <w:r w:rsidRPr="007F092D">
        <w:rPr>
          <w:rFonts w:ascii="Verdana" w:eastAsia="Arial" w:hAnsi="Verdana" w:cs="Arial"/>
          <w:spacing w:val="7"/>
          <w:kern w:val="2"/>
          <w:lang w:val="es-ES"/>
          <w14:ligatures w14:val="standardContextual"/>
        </w:rPr>
        <w:t xml:space="preserve"> </w:t>
      </w:r>
      <w:r w:rsidRPr="007F092D">
        <w:rPr>
          <w:rFonts w:ascii="Verdana" w:eastAsia="Arial" w:hAnsi="Verdana" w:cs="Arial"/>
          <w:kern w:val="2"/>
          <w:lang w:val="es-ES"/>
          <w14:ligatures w14:val="standardContextual"/>
        </w:rPr>
        <w:t>documento adoptado por este para tal fin.</w:t>
      </w:r>
      <w:r w:rsidRPr="007F092D">
        <w:rPr>
          <w:rFonts w:ascii="Verdana" w:eastAsia="Aptos" w:hAnsi="Verdana" w:cs="Arial"/>
          <w:kern w:val="2"/>
          <w:lang w:val="es-MX"/>
          <w14:ligatures w14:val="standardContextual"/>
        </w:rPr>
        <w:t xml:space="preserve">  Conforme a esto, el artículo 2 de la Ley 842 de 2003 enlista una serie de actividades que constituyen ejercicio de la ingeniería:</w:t>
      </w:r>
    </w:p>
    <w:p w14:paraId="4D743547" w14:textId="77777777" w:rsidR="00A035D3" w:rsidRPr="007F092D" w:rsidRDefault="00A035D3" w:rsidP="00C63205">
      <w:pPr>
        <w:widowControl w:val="0"/>
        <w:autoSpaceDE w:val="0"/>
        <w:autoSpaceDN w:val="0"/>
        <w:spacing w:after="0" w:line="240" w:lineRule="auto"/>
        <w:ind w:left="709" w:right="709"/>
        <w:jc w:val="both"/>
        <w:rPr>
          <w:rFonts w:ascii="Verdana" w:eastAsia="Aptos" w:hAnsi="Verdana" w:cs="Arial"/>
          <w:kern w:val="2"/>
          <w:lang w:val="es-MX"/>
          <w14:ligatures w14:val="standardContextual"/>
        </w:rPr>
      </w:pPr>
    </w:p>
    <w:p w14:paraId="393CCB0B" w14:textId="51373189" w:rsidR="00C63205" w:rsidRPr="007F092D" w:rsidRDefault="00A035D3" w:rsidP="00C63205">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r w:rsidRPr="007F092D">
        <w:rPr>
          <w:rFonts w:ascii="Verdana" w:eastAsia="Aptos" w:hAnsi="Verdana" w:cs="Arial"/>
          <w:kern w:val="2"/>
          <w:lang w:val="es-MX"/>
          <w14:ligatures w14:val="standardContextual"/>
        </w:rPr>
        <w:t xml:space="preserve"> </w:t>
      </w:r>
      <w:r w:rsidR="00C63205" w:rsidRPr="007F092D">
        <w:rPr>
          <w:rFonts w:ascii="Verdana" w:eastAsia="Aptos" w:hAnsi="Verdana" w:cs="Arial"/>
          <w:kern w:val="2"/>
          <w:sz w:val="21"/>
          <w:szCs w:val="21"/>
          <w:lang w:val="es-MX"/>
          <w14:ligatures w14:val="standardContextual"/>
        </w:rPr>
        <w:t xml:space="preserve">“Artículo 2o. </w:t>
      </w:r>
      <w:r w:rsidR="00C63205" w:rsidRPr="007F092D">
        <w:rPr>
          <w:rFonts w:ascii="Verdana" w:eastAsia="Aptos" w:hAnsi="Verdana" w:cs="Arial"/>
          <w:i/>
          <w:iCs/>
          <w:kern w:val="2"/>
          <w:sz w:val="21"/>
          <w:szCs w:val="21"/>
          <w:lang w:val="es-MX"/>
          <w14:ligatures w14:val="standardContextual"/>
        </w:rPr>
        <w:t>Ejercicio de la ingeniería</w:t>
      </w:r>
      <w:r w:rsidR="00C63205" w:rsidRPr="007F092D">
        <w:rPr>
          <w:rFonts w:ascii="Verdana" w:eastAsia="Aptos" w:hAnsi="Verdana" w:cs="Arial"/>
          <w:kern w:val="2"/>
          <w:sz w:val="21"/>
          <w:szCs w:val="21"/>
          <w:lang w:val="es-MX"/>
          <w14:ligatures w14:val="standardContextual"/>
        </w:rPr>
        <w:t>. Para los efectos de la presente ley, se entiende como ejercicio de la ingeniería, el desempeño de actividades tales como:</w:t>
      </w:r>
    </w:p>
    <w:p w14:paraId="6C463FCF" w14:textId="77777777" w:rsidR="00C63205" w:rsidRPr="007F092D" w:rsidRDefault="00C63205" w:rsidP="00C63205">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r w:rsidRPr="007F092D">
        <w:rPr>
          <w:rFonts w:ascii="Verdana" w:eastAsia="Aptos" w:hAnsi="Verdana" w:cs="Arial"/>
          <w:kern w:val="2"/>
          <w:sz w:val="21"/>
          <w:szCs w:val="21"/>
          <w:lang w:val="es-MX"/>
          <w14:ligatures w14:val="standardContextual"/>
        </w:rPr>
        <w:t xml:space="preserve">a) Los estudios, la planeación, el diseño, el cálculo, la programación, la asesoría, la consultoría, la interventoría, la construcción, el mantenimiento y la administración de construcciones de edificios y viviendas de toda índole, de puentes, presas, muelles, canales, puertos, carreteras, vías urbanas y rurales, aeropuertos, ferrocarriles, teleféricos, acueductos, alcantarillados, riesgos (sic), drenajes y pavimentos; oleoductos, gasoductos, poliductos y en general líneas de conducción y transporte de hidrocarburos; líneas de transmisión eléctrica y en general todas aquellas obras de infraestructura para el servicio de la comunidad; </w:t>
      </w:r>
    </w:p>
    <w:p w14:paraId="5E0AC7BB" w14:textId="77777777" w:rsidR="00C63205" w:rsidRPr="007F092D" w:rsidRDefault="00C63205" w:rsidP="00C63205">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r w:rsidRPr="007F092D">
        <w:rPr>
          <w:rFonts w:ascii="Verdana" w:eastAsia="Aptos" w:hAnsi="Verdana" w:cs="Arial"/>
          <w:kern w:val="2"/>
          <w:sz w:val="21"/>
          <w:szCs w:val="21"/>
          <w:lang w:val="es-MX"/>
          <w14:ligatures w14:val="standardContextual"/>
        </w:rPr>
        <w:t xml:space="preserve">b) Los estudios, proyectos, diseños y procesos industriales, textiles, electromecánicos, termoeléctricos, energéticos, mecánicos, eléctricos, electrónicos, de computación, de sistemas, </w:t>
      </w:r>
      <w:proofErr w:type="spellStart"/>
      <w:r w:rsidRPr="007F092D">
        <w:rPr>
          <w:rFonts w:ascii="Verdana" w:eastAsia="Aptos" w:hAnsi="Verdana" w:cs="Arial"/>
          <w:kern w:val="2"/>
          <w:sz w:val="21"/>
          <w:szCs w:val="21"/>
          <w:lang w:val="es-MX"/>
          <w14:ligatures w14:val="standardContextual"/>
        </w:rPr>
        <w:t>teleinformáticos</w:t>
      </w:r>
      <w:proofErr w:type="spellEnd"/>
      <w:r w:rsidRPr="007F092D">
        <w:rPr>
          <w:rFonts w:ascii="Verdana" w:eastAsia="Aptos" w:hAnsi="Verdana" w:cs="Arial"/>
          <w:kern w:val="2"/>
          <w:sz w:val="21"/>
          <w:szCs w:val="21"/>
          <w:lang w:val="es-MX"/>
          <w14:ligatures w14:val="standardContextual"/>
        </w:rPr>
        <w:t xml:space="preserve">, agroindustriales, agronómicos, agrícolas, agrológicos, de alimentos, agrometeorológicos, ambientales, geofísicos, forestales, químicos, metalúrgicos, mineros, de petróleos, geológicos, geodésicos, geográficos, topográficos e hidrológicos; </w:t>
      </w:r>
    </w:p>
    <w:p w14:paraId="5E9D418D" w14:textId="77777777" w:rsidR="00C63205" w:rsidRPr="007F092D" w:rsidRDefault="00C63205" w:rsidP="00C63205">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r w:rsidRPr="007F092D">
        <w:rPr>
          <w:rFonts w:ascii="Verdana" w:eastAsia="Aptos" w:hAnsi="Verdana" w:cs="Arial"/>
          <w:kern w:val="2"/>
          <w:sz w:val="21"/>
          <w:szCs w:val="21"/>
          <w:lang w:val="es-MX"/>
          <w14:ligatures w14:val="standardContextual"/>
        </w:rPr>
        <w:t xml:space="preserve">c) La planeación del transporte aéreo, terrestre y náutico y en general, todo asunto relacionado con la ejecución o desarrollo de las tareas o actividades de las profesiones especificadas en los subgrupos 02 y 03 de la Clasificación Nacional de Ocupaciones o normas que la sustituyan o complementen, en cuanto a la ingeniería, sus profesiones afines y auxiliares se refiere. También se entiende por ejercicio de la profesión para los efectos de esta ley, el presentarse o anunciarse como ingeniero o acceder a un cargo de nivel profesional utilizando dicho </w:t>
      </w:r>
      <w:r w:rsidRPr="007F092D">
        <w:rPr>
          <w:rFonts w:ascii="Verdana" w:eastAsia="Aptos" w:hAnsi="Verdana" w:cs="Arial"/>
          <w:kern w:val="2"/>
          <w:sz w:val="21"/>
          <w:szCs w:val="21"/>
          <w:lang w:val="es-MX"/>
          <w14:ligatures w14:val="standardContextual"/>
        </w:rPr>
        <w:lastRenderedPageBreak/>
        <w:t xml:space="preserve">título. </w:t>
      </w:r>
    </w:p>
    <w:p w14:paraId="51E89849" w14:textId="77777777" w:rsidR="00C63205" w:rsidRPr="007F092D" w:rsidRDefault="00C63205" w:rsidP="00C63205">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r w:rsidRPr="007F092D">
        <w:rPr>
          <w:rFonts w:ascii="Verdana" w:eastAsia="Aptos" w:hAnsi="Verdana" w:cs="Arial"/>
          <w:kern w:val="2"/>
          <w:sz w:val="21"/>
          <w:szCs w:val="21"/>
          <w:lang w:val="es-MX"/>
          <w14:ligatures w14:val="standardContextual"/>
        </w:rPr>
        <w:t>Parágrafo. La instrucción, formación, enseñanza, docencia o cátedra dirigida a los estudiantes que aspiren a uno de los títulos profesionales, afines o auxiliares de la Ingeniería, en las materias o asignaturas que impliquen el conocimiento de la profesión, como máxima actividad del ejercicio profesional, solo podrá ser impartida por profesionales de la ingeniería, sus profesiones afines o sus profesiones auxiliares, según el caso, debidamente matriculados. […]”.</w:t>
      </w:r>
    </w:p>
    <w:p w14:paraId="63270F18" w14:textId="77777777" w:rsidR="00C63205" w:rsidRPr="007F092D" w:rsidRDefault="00C63205" w:rsidP="00C63205">
      <w:pPr>
        <w:widowControl w:val="0"/>
        <w:autoSpaceDE w:val="0"/>
        <w:autoSpaceDN w:val="0"/>
        <w:spacing w:after="0" w:line="276" w:lineRule="auto"/>
        <w:ind w:left="709" w:right="709"/>
        <w:jc w:val="both"/>
        <w:rPr>
          <w:rFonts w:ascii="Verdana" w:eastAsia="Aptos" w:hAnsi="Verdana" w:cs="Arial"/>
          <w:kern w:val="2"/>
          <w:lang w:val="es-MX"/>
          <w14:ligatures w14:val="standardContextual"/>
        </w:rPr>
      </w:pPr>
    </w:p>
    <w:p w14:paraId="6C7AFF1B" w14:textId="77777777" w:rsidR="00C63205" w:rsidRPr="007F092D" w:rsidRDefault="00C63205" w:rsidP="00C63205">
      <w:pPr>
        <w:widowControl w:val="0"/>
        <w:autoSpaceDE w:val="0"/>
        <w:autoSpaceDN w:val="0"/>
        <w:spacing w:after="120" w:line="276" w:lineRule="auto"/>
        <w:ind w:right="51" w:firstLine="709"/>
        <w:jc w:val="both"/>
        <w:rPr>
          <w:rFonts w:ascii="Verdana" w:eastAsia="Calibri" w:hAnsi="Verdana" w:cs="Arial"/>
          <w:lang w:val="es-ES" w:eastAsia="es-CO"/>
        </w:rPr>
      </w:pPr>
      <w:r w:rsidRPr="007F092D">
        <w:rPr>
          <w:rFonts w:ascii="Verdana" w:eastAsia="Calibri" w:hAnsi="Verdana" w:cs="Arial"/>
          <w:lang w:val="es-ES" w:eastAsia="es-CO"/>
        </w:rPr>
        <w:t xml:space="preserve">Como se evidencia, la norma transcrita refiere varias actividades relacionadas con diferentes tipos de proyectos e infraestructuras. Se destaca como en el literal a) se hace referencia a objetos contractuales como la consultoría y la interventoría, asociados a diversos tipos de infraestructura para el servicio de la comunidad, de lo que se colige que la ejecución de estos, según lo establecido en la ley, constituye ejercicio de la ingeniería. </w:t>
      </w:r>
    </w:p>
    <w:p w14:paraId="4599A485" w14:textId="77777777" w:rsidR="00C63205" w:rsidRPr="007F092D" w:rsidRDefault="00C63205" w:rsidP="00C63205">
      <w:pPr>
        <w:widowControl w:val="0"/>
        <w:autoSpaceDE w:val="0"/>
        <w:autoSpaceDN w:val="0"/>
        <w:spacing w:after="0" w:line="276" w:lineRule="auto"/>
        <w:ind w:right="51" w:firstLine="709"/>
        <w:jc w:val="both"/>
        <w:rPr>
          <w:rFonts w:ascii="Verdana" w:eastAsia="Calibri" w:hAnsi="Verdana" w:cs="Arial"/>
          <w:lang w:val="es-ES" w:eastAsia="es-CO"/>
        </w:rPr>
      </w:pPr>
      <w:r w:rsidRPr="007F092D">
        <w:rPr>
          <w:rFonts w:ascii="Verdana" w:eastAsia="Calibri" w:hAnsi="Verdana" w:cs="Arial"/>
          <w:lang w:val="es-ES" w:eastAsia="es-CO"/>
        </w:rPr>
        <w:t>En atención a lo anterior, cobra importancia el estudio de lo contemplado por la referida ley en el capítulo relativo al ejercicio ilegal de la ingeniera, sus profesiones afines y auxiliares. El artículo 20 de la Ley 842 de 2003 dispone que las propuestas en las licitaciones y concursos abiertos cuyo objeto implique el desarrollo de las actividades catalogadas como ejercicio de la ingeniería, deberán estar avalados por un ingeniero inscrito y con tarjeta de matrícula profesional en la respectiva rama de la ingeniería. Al siguiente tenor reza:</w:t>
      </w:r>
    </w:p>
    <w:p w14:paraId="324969F2" w14:textId="77777777" w:rsidR="00C63205" w:rsidRPr="007F092D" w:rsidRDefault="00C63205" w:rsidP="00C63205">
      <w:pPr>
        <w:widowControl w:val="0"/>
        <w:autoSpaceDE w:val="0"/>
        <w:autoSpaceDN w:val="0"/>
        <w:spacing w:after="0" w:line="276" w:lineRule="auto"/>
        <w:ind w:firstLine="709"/>
        <w:jc w:val="both"/>
        <w:rPr>
          <w:rFonts w:ascii="Verdana" w:eastAsia="Arial" w:hAnsi="Verdana" w:cs="Arial"/>
          <w:kern w:val="2"/>
          <w:lang w:val="es-ES"/>
          <w14:ligatures w14:val="standardContextual"/>
        </w:rPr>
      </w:pPr>
    </w:p>
    <w:p w14:paraId="45722468" w14:textId="77777777" w:rsidR="00C63205" w:rsidRPr="007F092D" w:rsidRDefault="00C63205" w:rsidP="00C63205">
      <w:pPr>
        <w:spacing w:after="0" w:line="240" w:lineRule="auto"/>
        <w:ind w:left="709" w:right="709"/>
        <w:jc w:val="both"/>
        <w:rPr>
          <w:rFonts w:ascii="Verdana" w:eastAsia="Calibri" w:hAnsi="Verdana" w:cs="Arial"/>
          <w:sz w:val="21"/>
          <w:szCs w:val="21"/>
          <w:lang w:val="es-MX"/>
        </w:rPr>
      </w:pPr>
      <w:r w:rsidRPr="007F092D">
        <w:rPr>
          <w:rFonts w:ascii="Verdana" w:eastAsia="Calibri" w:hAnsi="Verdana" w:cs="Arial"/>
          <w:sz w:val="21"/>
          <w:szCs w:val="21"/>
          <w:lang w:val="es-MX"/>
        </w:rPr>
        <w:t>“Artículo 20. Propuestas y contratos. Las propuestas que se formulen en las licitaciones y concursos abiertos por entidades públicas del orden nacional, seccional o local, para la adjudicación de contratos cuyo objeto implique el desarrollo de las actividades catalogadas como ejercicio de la ingeniería, deberán estar avalados, en todo caso, cuando menos, por un ingeniero inscrito y con tarjeta de matrícula profesional en la respectiva rama de la ingeniería.</w:t>
      </w:r>
    </w:p>
    <w:p w14:paraId="46EB8C29" w14:textId="77777777" w:rsidR="00C63205" w:rsidRPr="007F092D" w:rsidRDefault="00C63205" w:rsidP="00C63205">
      <w:pPr>
        <w:spacing w:after="0" w:line="240" w:lineRule="auto"/>
        <w:ind w:left="709" w:right="709"/>
        <w:jc w:val="both"/>
        <w:rPr>
          <w:rFonts w:ascii="Verdana" w:eastAsia="Calibri" w:hAnsi="Verdana" w:cs="Arial"/>
          <w:sz w:val="21"/>
          <w:szCs w:val="21"/>
          <w:lang w:val="es-MX"/>
        </w:rPr>
      </w:pPr>
    </w:p>
    <w:p w14:paraId="556CEDB0" w14:textId="77777777" w:rsidR="00C63205" w:rsidRPr="007F092D" w:rsidRDefault="00C63205" w:rsidP="00C63205">
      <w:pPr>
        <w:spacing w:after="0" w:line="240" w:lineRule="auto"/>
        <w:ind w:left="709" w:right="709"/>
        <w:jc w:val="both"/>
        <w:rPr>
          <w:rFonts w:ascii="Verdana" w:eastAsia="Calibri" w:hAnsi="Verdana" w:cs="Arial"/>
          <w:sz w:val="21"/>
          <w:szCs w:val="21"/>
          <w:lang w:val="es-MX"/>
        </w:rPr>
      </w:pPr>
      <w:r w:rsidRPr="007F092D">
        <w:rPr>
          <w:rFonts w:ascii="Verdana" w:eastAsia="Calibri" w:hAnsi="Verdana" w:cs="Arial"/>
          <w:sz w:val="21"/>
          <w:szCs w:val="21"/>
          <w:lang w:val="es-MX"/>
        </w:rPr>
        <w:t>En los contratos que se celebren como resultado de la licitación o del concurso, los contratistas tendrán la obligación de encomendar los estudios, la dirección técnica, la ejecución de los trabajos o la interventoría, a profesionales inscritos en el registro profesional de ingeniería, acreditados con la tarjeta de matrícula profesional o, excepcionalmente, con la constancia o certificado de su vigencia.</w:t>
      </w:r>
    </w:p>
    <w:p w14:paraId="4EE76F40" w14:textId="77777777" w:rsidR="00C63205" w:rsidRPr="007F092D" w:rsidRDefault="00C63205" w:rsidP="00C63205">
      <w:pPr>
        <w:spacing w:after="0" w:line="240" w:lineRule="auto"/>
        <w:ind w:left="709" w:right="709"/>
        <w:jc w:val="both"/>
        <w:rPr>
          <w:rFonts w:ascii="Verdana" w:eastAsia="Calibri" w:hAnsi="Verdana" w:cs="Arial"/>
          <w:sz w:val="21"/>
          <w:szCs w:val="21"/>
          <w:lang w:val="es-MX"/>
        </w:rPr>
      </w:pPr>
    </w:p>
    <w:p w14:paraId="1FA3BCD3" w14:textId="77777777" w:rsidR="00C63205" w:rsidRPr="007F092D" w:rsidRDefault="00C63205" w:rsidP="00C63205">
      <w:pPr>
        <w:spacing w:after="0" w:line="240" w:lineRule="auto"/>
        <w:ind w:left="709" w:right="709"/>
        <w:jc w:val="both"/>
        <w:rPr>
          <w:rFonts w:ascii="Verdana" w:eastAsia="Calibri" w:hAnsi="Verdana" w:cs="Arial"/>
          <w:sz w:val="21"/>
          <w:szCs w:val="21"/>
          <w:lang w:val="es-MX"/>
        </w:rPr>
      </w:pPr>
      <w:r w:rsidRPr="007F092D">
        <w:rPr>
          <w:rFonts w:ascii="Verdana" w:eastAsia="Calibri" w:hAnsi="Verdana" w:cs="Arial"/>
          <w:sz w:val="21"/>
          <w:szCs w:val="21"/>
          <w:lang w:val="es-MX"/>
        </w:rPr>
        <w:t xml:space="preserve">Parágrafo. Lo dispuesto en este artículo se aplicará en todas sus partes, tanto a las propuestas que se presenten, como a los contratos de igual naturaleza y que, con el mismo objetivo, se celebren con las </w:t>
      </w:r>
      <w:r w:rsidRPr="007F092D">
        <w:rPr>
          <w:rFonts w:ascii="Verdana" w:eastAsia="Calibri" w:hAnsi="Verdana" w:cs="Arial"/>
          <w:sz w:val="21"/>
          <w:szCs w:val="21"/>
          <w:lang w:val="es-MX"/>
        </w:rPr>
        <w:lastRenderedPageBreak/>
        <w:t>sociedades de economía mixta y con los establecimientos públicos y empresas industriales o comerciales del orden nacional, departamental, distrital o municipal y aquellas descentralizadas por servicios.”</w:t>
      </w:r>
    </w:p>
    <w:p w14:paraId="678FA492" w14:textId="77777777" w:rsidR="00C63205" w:rsidRPr="007F092D" w:rsidRDefault="00C63205" w:rsidP="00C63205">
      <w:pPr>
        <w:spacing w:after="0" w:line="240" w:lineRule="auto"/>
        <w:ind w:left="709" w:right="709"/>
        <w:jc w:val="both"/>
        <w:rPr>
          <w:rFonts w:ascii="Verdana" w:eastAsia="Aptos" w:hAnsi="Verdana" w:cs="Arial"/>
          <w:kern w:val="2"/>
          <w:lang w:val="es-MX"/>
          <w14:ligatures w14:val="standardContextual"/>
        </w:rPr>
      </w:pPr>
    </w:p>
    <w:p w14:paraId="0CA95E8B" w14:textId="77777777" w:rsidR="00C63205" w:rsidRPr="007F092D" w:rsidRDefault="00C63205" w:rsidP="00C63205">
      <w:pPr>
        <w:widowControl w:val="0"/>
        <w:autoSpaceDE w:val="0"/>
        <w:autoSpaceDN w:val="0"/>
        <w:spacing w:after="120" w:line="276" w:lineRule="auto"/>
        <w:ind w:right="51" w:firstLine="709"/>
        <w:jc w:val="both"/>
        <w:rPr>
          <w:rFonts w:ascii="Verdana" w:eastAsia="Calibri" w:hAnsi="Verdana" w:cs="Arial"/>
          <w:lang w:val="es-ES" w:eastAsia="es-CO"/>
        </w:rPr>
      </w:pPr>
      <w:r w:rsidRPr="007F092D">
        <w:rPr>
          <w:rFonts w:ascii="Verdana" w:eastAsia="Calibri" w:hAnsi="Verdana" w:cs="Arial"/>
          <w:lang w:val="es-ES" w:eastAsia="es-CO"/>
        </w:rPr>
        <w:t>De igual forma, el Consejo Profesional Nacional de Ingeniería –COPNIA–, de acuerdo con la competencia consagrada en el artículo 26 de la Ley 842 de 2003</w:t>
      </w:r>
      <w:r w:rsidRPr="007F092D">
        <w:rPr>
          <w:rFonts w:ascii="Verdana" w:eastAsia="Calibri" w:hAnsi="Verdana" w:cs="Arial"/>
          <w:vertAlign w:val="superscript"/>
          <w:lang w:val="es-ES" w:eastAsia="es-CO"/>
        </w:rPr>
        <w:footnoteReference w:id="4"/>
      </w:r>
      <w:r w:rsidRPr="007F092D">
        <w:rPr>
          <w:rFonts w:ascii="Verdana" w:eastAsia="Calibri" w:hAnsi="Verdana" w:cs="Arial"/>
          <w:lang w:val="es-ES" w:eastAsia="es-CO"/>
        </w:rPr>
        <w:t>, ha conceptuado sobre la participación en procesos de selección relacionados con el ejercicio de actividades de la ingeniería, destacando el riesgo social que podría representar el uso inadecuado de la profesión por personas que no cuenten con la idoneidad para su ejercicio.</w:t>
      </w:r>
    </w:p>
    <w:p w14:paraId="750802CC" w14:textId="77777777" w:rsidR="00C63205" w:rsidRPr="007F092D" w:rsidRDefault="00C63205" w:rsidP="00C63205">
      <w:pPr>
        <w:widowControl w:val="0"/>
        <w:autoSpaceDE w:val="0"/>
        <w:autoSpaceDN w:val="0"/>
        <w:spacing w:after="120" w:line="276" w:lineRule="auto"/>
        <w:ind w:right="51" w:firstLine="709"/>
        <w:jc w:val="both"/>
        <w:rPr>
          <w:rFonts w:ascii="Verdana" w:eastAsia="Calibri" w:hAnsi="Verdana" w:cs="Arial"/>
          <w:lang w:val="es-ES" w:eastAsia="es-CO"/>
        </w:rPr>
      </w:pPr>
      <w:r w:rsidRPr="007F092D">
        <w:rPr>
          <w:rFonts w:ascii="Verdana" w:eastAsia="Calibri" w:hAnsi="Verdana" w:cs="Arial"/>
          <w:lang w:val="es-ES" w:eastAsia="es-CO"/>
        </w:rPr>
        <w:t>La disposición transcrita fue objeto de estudio por la Corte Constitucional en la sentencia C-191 de 2005. El demandante consideró que dicha norma desconocía la libertad de escoger y ejercer profesión u oficio al reservar a los ingenieros, en los términos de la disposición demandada, las labores de estudios, planeación, programación, asesoría, consultoría, interventoría, construcción, mantenimiento y administración de construcciones de edificios y viviendas de toda índole, y de obras de infraestructura para el servicio de la comunidad, separando a los arquitectos de la ejecución de tales labores.</w:t>
      </w:r>
    </w:p>
    <w:p w14:paraId="4F604AD0" w14:textId="77777777" w:rsidR="00C63205" w:rsidRPr="007F092D" w:rsidRDefault="00C63205" w:rsidP="00C63205">
      <w:pPr>
        <w:widowControl w:val="0"/>
        <w:autoSpaceDE w:val="0"/>
        <w:autoSpaceDN w:val="0"/>
        <w:spacing w:after="120" w:line="276" w:lineRule="auto"/>
        <w:ind w:right="51" w:firstLine="709"/>
        <w:jc w:val="both"/>
        <w:rPr>
          <w:rFonts w:ascii="Verdana" w:eastAsia="Calibri" w:hAnsi="Verdana" w:cs="Arial"/>
          <w:lang w:val="es-ES" w:eastAsia="es-CO"/>
        </w:rPr>
      </w:pPr>
      <w:r w:rsidRPr="007F092D">
        <w:rPr>
          <w:rFonts w:ascii="Verdana" w:eastAsia="Calibri" w:hAnsi="Verdana" w:cs="Arial"/>
          <w:lang w:val="es-ES" w:eastAsia="es-CO"/>
        </w:rPr>
        <w:t>La Corte Constitucional en su análisis consideró que las actividades propias de los arquitectos son diferentes a las de los ingenieros y sus profesiones auxiliares y afines. En ese sentido, la obligatoriedad de presentar las propuestas con aval de un ingeniero en licitaciones y concursos abiertos en los contratos que impliquen el desarrollo de actividades catalogadas como ejercicio de la ingeniería es objetiva y proporcional, en la medida que el aval de un ingeniero únicamente se debe realizar tratándose de procesos de contratación que involucren actividades catalogadas como ejercicio de la ingeniería</w:t>
      </w:r>
      <w:r w:rsidRPr="007F092D">
        <w:rPr>
          <w:rFonts w:ascii="Verdana" w:eastAsia="Calibri" w:hAnsi="Verdana" w:cs="Arial"/>
          <w:vertAlign w:val="superscript"/>
          <w:lang w:val="es-ES" w:eastAsia="es-CO"/>
        </w:rPr>
        <w:footnoteReference w:id="5"/>
      </w:r>
      <w:r w:rsidRPr="007F092D">
        <w:rPr>
          <w:rFonts w:ascii="Verdana" w:eastAsia="Calibri" w:hAnsi="Verdana" w:cs="Arial"/>
          <w:vertAlign w:val="superscript"/>
          <w:lang w:val="es-ES" w:eastAsia="es-CO"/>
        </w:rPr>
        <w:t>.</w:t>
      </w:r>
    </w:p>
    <w:p w14:paraId="3C22ED65" w14:textId="77777777" w:rsidR="00C63205" w:rsidRPr="007F092D" w:rsidRDefault="00C63205" w:rsidP="00C63205">
      <w:pPr>
        <w:widowControl w:val="0"/>
        <w:autoSpaceDE w:val="0"/>
        <w:autoSpaceDN w:val="0"/>
        <w:spacing w:after="120" w:line="276" w:lineRule="auto"/>
        <w:ind w:right="51" w:firstLine="709"/>
        <w:jc w:val="both"/>
        <w:rPr>
          <w:rFonts w:ascii="Verdana" w:eastAsia="Calibri" w:hAnsi="Verdana" w:cs="Arial"/>
          <w:lang w:val="es-ES" w:eastAsia="es-CO"/>
        </w:rPr>
      </w:pPr>
      <w:r w:rsidRPr="007F092D">
        <w:rPr>
          <w:rFonts w:ascii="Verdana" w:eastAsia="Calibri" w:hAnsi="Verdana" w:cs="Arial"/>
          <w:lang w:val="es-ES" w:eastAsia="es-CO"/>
        </w:rPr>
        <w:lastRenderedPageBreak/>
        <w:t>Así, el Tribunal Constitucional también señaló que la persona idónea y habilitada legalmente para ejercer la ingeniería, en actividades catalogadas como ejercicio de dicha profesión, es la matriculada o inscrita en el Registro Profesional de Ingenieros y que por ende cuenta con un título profesional</w:t>
      </w:r>
      <w:r w:rsidRPr="007F092D">
        <w:rPr>
          <w:rFonts w:ascii="Verdana" w:eastAsia="Calibri" w:hAnsi="Verdana" w:cs="Arial"/>
          <w:vertAlign w:val="superscript"/>
          <w:lang w:val="es-ES" w:eastAsia="es-CO"/>
        </w:rPr>
        <w:footnoteReference w:id="6"/>
      </w:r>
      <w:r w:rsidRPr="007F092D">
        <w:rPr>
          <w:rFonts w:ascii="Verdana" w:eastAsia="Calibri" w:hAnsi="Verdana" w:cs="Arial"/>
          <w:lang w:val="es-ES" w:eastAsia="es-CO"/>
        </w:rPr>
        <w:t xml:space="preserve"> y con la idoneidad que no se predica de otras profesiones –como es el caso de la arquitectura–. Esta idoneidad se requiere para la ejecución de ciertas actividades relacionadas particularmente con el ejercicio de la ingeniería, como son los proyectos de obra de infraestructura de transporte, pues su formación es distinta y no existe habilitación legal para el ejercicio de actividades de ingeniería ostentando una profesión diferente.</w:t>
      </w:r>
    </w:p>
    <w:p w14:paraId="22FA21BF" w14:textId="77777777" w:rsidR="00C63205" w:rsidRPr="007F092D" w:rsidRDefault="00C63205" w:rsidP="00C63205">
      <w:pPr>
        <w:widowControl w:val="0"/>
        <w:autoSpaceDE w:val="0"/>
        <w:autoSpaceDN w:val="0"/>
        <w:spacing w:after="120" w:line="276" w:lineRule="auto"/>
        <w:ind w:right="51" w:firstLine="709"/>
        <w:jc w:val="both"/>
        <w:rPr>
          <w:rFonts w:ascii="Verdana" w:eastAsia="Calibri" w:hAnsi="Verdana" w:cs="Arial"/>
          <w:lang w:val="es-ES" w:eastAsia="es-CO"/>
        </w:rPr>
      </w:pPr>
      <w:r w:rsidRPr="007F092D">
        <w:rPr>
          <w:rFonts w:ascii="Verdana" w:eastAsia="Calibri" w:hAnsi="Verdana" w:cs="Arial"/>
          <w:lang w:val="es-ES" w:eastAsia="es-CO"/>
        </w:rPr>
        <w:t>Por ende, no todas las actividades relacionadas con construcción pueden ser desarrolladas por profesionales diferentes a ingenieros, pues el ejercicio de actividades de dicha categoría supone la existencia de idoneidad y conocimientos adquiridos por los profesionales de ingeniería en el estudio de su profesión.</w:t>
      </w:r>
    </w:p>
    <w:p w14:paraId="70ED5EFF" w14:textId="77777777" w:rsidR="00C63205" w:rsidRPr="007F092D" w:rsidRDefault="00C63205" w:rsidP="00C63205">
      <w:pPr>
        <w:spacing w:after="0" w:line="276" w:lineRule="auto"/>
        <w:ind w:firstLine="709"/>
        <w:jc w:val="both"/>
        <w:rPr>
          <w:rFonts w:ascii="Verdana" w:eastAsia="Calibri" w:hAnsi="Verdana" w:cs="Arial"/>
          <w:lang w:val="es-MX"/>
        </w:rPr>
      </w:pPr>
      <w:r w:rsidRPr="007F092D">
        <w:rPr>
          <w:rFonts w:ascii="Verdana" w:eastAsia="Calibri" w:hAnsi="Verdana" w:cs="Arial"/>
          <w:lang w:val="es-ES"/>
        </w:rPr>
        <w:t>De igual forma, el Consejo Profesional Nacional de Ingeniería –COPNIA–, de acuerdo con la competencia consagrada en el artículo 26 de la Ley 842 de 2003</w:t>
      </w:r>
      <w:r w:rsidRPr="007F092D">
        <w:rPr>
          <w:rFonts w:ascii="Verdana" w:eastAsia="Calibri" w:hAnsi="Verdana" w:cs="Arial"/>
          <w:vertAlign w:val="superscript"/>
          <w:lang w:val="es-ES"/>
        </w:rPr>
        <w:footnoteReference w:id="7"/>
      </w:r>
      <w:r w:rsidRPr="007F092D">
        <w:rPr>
          <w:rFonts w:ascii="Verdana" w:eastAsia="Calibri" w:hAnsi="Verdana" w:cs="Arial"/>
          <w:lang w:val="es-ES"/>
        </w:rPr>
        <w:t xml:space="preserve">, </w:t>
      </w:r>
      <w:r w:rsidRPr="007F092D">
        <w:rPr>
          <w:rFonts w:ascii="Verdana" w:eastAsia="Calibri" w:hAnsi="Verdana" w:cs="Arial"/>
          <w:lang w:val="es-MX"/>
        </w:rPr>
        <w:t>al analizar lo ordenado en el artículo 20 de la Ley 842 de 2003, haciendo énfasis en la responsabilidad de los profesionales de la ingeniería en los procesos adelantados por las entidades estatales, mediante concepto No 64 de 2020, el – COPNIA – señaló:</w:t>
      </w:r>
    </w:p>
    <w:p w14:paraId="5D6248D5" w14:textId="77777777" w:rsidR="00C63205" w:rsidRPr="007F092D" w:rsidRDefault="00C63205" w:rsidP="00C63205">
      <w:pPr>
        <w:spacing w:after="0" w:line="276" w:lineRule="auto"/>
        <w:ind w:firstLine="709"/>
        <w:jc w:val="both"/>
        <w:rPr>
          <w:rFonts w:ascii="Verdana" w:eastAsia="Calibri" w:hAnsi="Verdana" w:cs="Arial"/>
          <w:lang w:val="es-MX"/>
        </w:rPr>
      </w:pPr>
    </w:p>
    <w:p w14:paraId="1E90F84F" w14:textId="77777777" w:rsidR="00C63205" w:rsidRPr="007F092D" w:rsidRDefault="00C63205" w:rsidP="00C63205">
      <w:pPr>
        <w:spacing w:after="0" w:line="240" w:lineRule="auto"/>
        <w:ind w:left="709" w:right="709"/>
        <w:jc w:val="both"/>
        <w:rPr>
          <w:rFonts w:ascii="Verdana" w:eastAsia="Calibri" w:hAnsi="Verdana" w:cs="Arial"/>
          <w:sz w:val="21"/>
          <w:szCs w:val="21"/>
          <w:lang w:val="es-MX"/>
        </w:rPr>
      </w:pPr>
      <w:r w:rsidRPr="007F092D">
        <w:rPr>
          <w:rFonts w:ascii="Verdana" w:eastAsia="Calibri" w:hAnsi="Verdana" w:cs="Arial"/>
          <w:sz w:val="21"/>
          <w:szCs w:val="21"/>
          <w:lang w:val="es-MX"/>
        </w:rPr>
        <w:t xml:space="preserve">“Del tenor de la disposición trascrita, se desprende que todas las personas jurídicas cuyo objeto comprenda el desempeño de actividades catalogadas como ejercicio de la ingeniería, si presentan propuestas en procesos de licitación o concursos ante el Estado para </w:t>
      </w:r>
      <w:r w:rsidRPr="007F092D">
        <w:rPr>
          <w:rFonts w:ascii="Verdana" w:eastAsia="Calibri" w:hAnsi="Verdana" w:cs="Arial"/>
          <w:sz w:val="21"/>
          <w:szCs w:val="21"/>
          <w:lang w:val="es-MX"/>
        </w:rPr>
        <w:lastRenderedPageBreak/>
        <w:t xml:space="preserve">desarrollar dichas tareas, como es el caso de las obras públicas, debe entonces contar con el aval de un ingeniero civil debidamente matriculado ante el </w:t>
      </w:r>
      <w:proofErr w:type="spellStart"/>
      <w:r w:rsidRPr="007F092D">
        <w:rPr>
          <w:rFonts w:ascii="Verdana" w:eastAsia="Calibri" w:hAnsi="Verdana" w:cs="Arial"/>
          <w:sz w:val="21"/>
          <w:szCs w:val="21"/>
          <w:lang w:val="es-MX"/>
        </w:rPr>
        <w:t>Copnia</w:t>
      </w:r>
      <w:proofErr w:type="spellEnd"/>
      <w:r w:rsidRPr="007F092D">
        <w:rPr>
          <w:rFonts w:ascii="Verdana" w:eastAsia="Calibri" w:hAnsi="Verdana" w:cs="Arial"/>
          <w:sz w:val="21"/>
          <w:szCs w:val="21"/>
          <w:lang w:val="es-MX"/>
        </w:rPr>
        <w:t>, independientemente de la cuantía o modalidad de contratación, dado que la norma no hace distinción alguna en ese aspecto, esto en aras de que dicho profesional asuma la responsabilidad deontológica por el adecuado ejercicio de la ingeniería, sobre la propuesta que refrenda con su firma, y verifique, controle y direccione las actividades ingenieriles que refrenda en caso de ser adjudicado, y asuma como consecuencia la responsabilidad ético profesional por el inadecuado ejercicio de la profesión, deber que no puede ser soslayado, so pena de exponerse de igual modo a la sociedad al riesgo que implica la ejecución de estas actividades”.</w:t>
      </w:r>
    </w:p>
    <w:p w14:paraId="3A92BBE0" w14:textId="77777777" w:rsidR="00C63205" w:rsidRPr="007F092D" w:rsidRDefault="00C63205" w:rsidP="00C63205">
      <w:pPr>
        <w:widowControl w:val="0"/>
        <w:autoSpaceDE w:val="0"/>
        <w:autoSpaceDN w:val="0"/>
        <w:spacing w:after="0" w:line="276" w:lineRule="auto"/>
        <w:ind w:right="448"/>
        <w:jc w:val="both"/>
        <w:rPr>
          <w:rFonts w:ascii="Verdana" w:eastAsia="Arial" w:hAnsi="Verdana" w:cs="Arial"/>
          <w:color w:val="000000"/>
          <w:lang w:val="es-MX"/>
        </w:rPr>
      </w:pPr>
    </w:p>
    <w:p w14:paraId="2A3E5DAA" w14:textId="77777777" w:rsidR="00C63205" w:rsidRPr="007F092D" w:rsidRDefault="00C63205" w:rsidP="00C63205">
      <w:pPr>
        <w:widowControl w:val="0"/>
        <w:autoSpaceDE w:val="0"/>
        <w:autoSpaceDN w:val="0"/>
        <w:spacing w:after="120" w:line="276" w:lineRule="auto"/>
        <w:ind w:firstLine="709"/>
        <w:jc w:val="both"/>
        <w:rPr>
          <w:rFonts w:ascii="Verdana" w:eastAsia="Arial" w:hAnsi="Verdana" w:cs="Arial"/>
          <w:color w:val="000000"/>
          <w:lang w:val="es-ES"/>
        </w:rPr>
      </w:pPr>
      <w:r w:rsidRPr="007F092D">
        <w:rPr>
          <w:rFonts w:ascii="Verdana" w:eastAsia="Arial" w:hAnsi="Verdana" w:cs="Arial"/>
          <w:color w:val="000000"/>
          <w:lang w:val="es-ES"/>
        </w:rPr>
        <w:t>En efecto, de acuerdo con los apartes citados, el aval por parte de un ingeniero solo es posible realizarlo en favor de una persona jurídica, por lo que, tratándose de personas naturales, ellas directamente deberán ser ingenieros.</w:t>
      </w:r>
    </w:p>
    <w:p w14:paraId="359BFBB4" w14:textId="77777777" w:rsidR="00C63205" w:rsidRPr="007F092D" w:rsidRDefault="00C63205" w:rsidP="00C63205">
      <w:pPr>
        <w:widowControl w:val="0"/>
        <w:autoSpaceDE w:val="0"/>
        <w:autoSpaceDN w:val="0"/>
        <w:spacing w:after="120" w:line="276" w:lineRule="auto"/>
        <w:ind w:firstLine="708"/>
        <w:jc w:val="both"/>
        <w:rPr>
          <w:rFonts w:ascii="Verdana" w:eastAsia="Arial" w:hAnsi="Verdana" w:cs="Arial"/>
          <w:color w:val="000000"/>
          <w:kern w:val="2"/>
          <w:lang w:val="es-MX"/>
          <w14:ligatures w14:val="standardContextual"/>
        </w:rPr>
      </w:pPr>
      <w:r w:rsidRPr="007F092D">
        <w:rPr>
          <w:rFonts w:ascii="Verdana" w:eastAsia="Arial" w:hAnsi="Verdana" w:cs="Arial"/>
          <w:color w:val="000000"/>
          <w:kern w:val="2"/>
          <w:lang w:val="es-MX"/>
          <w14:ligatures w14:val="standardContextual"/>
        </w:rPr>
        <w:t xml:space="preserve">Conforme se desprende de lo anteriormente mencionado, para que una persona natural pueda participar en un proceso de licitación, ya sea como proponente individual o como integrante de una estructura plural, el Documento Base o Pliego Tipo exige acreditar, no solo el título en la respectiva rama de la ingeniería, sino también la vigencia de la matricula profesional que habilita para ejercer dicha profesión. Esta regulación parte del presupuesto de que, la ejecución del objeto contractual general que se estandariza mediante los referidos documentos tipo, es una actividad que constituye ejercicio de la ingeniería de conformidad con el literal a) del artículo 2 de la Ley 842 de 2003, por lo que la presentación de la oferta en estos procesos de selección se encuentra regida por lo establecido en el artículo 20 de dicha ley.  </w:t>
      </w:r>
    </w:p>
    <w:p w14:paraId="3C140407" w14:textId="77777777" w:rsidR="00C63205" w:rsidRPr="007F092D" w:rsidRDefault="00C63205" w:rsidP="00C63205">
      <w:pPr>
        <w:widowControl w:val="0"/>
        <w:autoSpaceDE w:val="0"/>
        <w:autoSpaceDN w:val="0"/>
        <w:spacing w:after="120" w:line="276" w:lineRule="auto"/>
        <w:ind w:firstLine="709"/>
        <w:jc w:val="both"/>
        <w:rPr>
          <w:rFonts w:ascii="Verdana" w:eastAsia="Times New Roman" w:hAnsi="Verdana" w:cs="Arial"/>
          <w:color w:val="000000"/>
          <w:shd w:val="clear" w:color="auto" w:fill="FFFFFF"/>
          <w:lang w:eastAsia="es-CO"/>
        </w:rPr>
      </w:pPr>
      <w:r w:rsidRPr="007F092D">
        <w:rPr>
          <w:rFonts w:ascii="Verdana" w:eastAsia="Arial" w:hAnsi="Verdana" w:cs="Arial"/>
          <w:color w:val="000000"/>
          <w:lang w:val="es-MX"/>
        </w:rPr>
        <w:t>En el mismo sentido</w:t>
      </w:r>
      <w:r w:rsidRPr="007F092D">
        <w:rPr>
          <w:rFonts w:ascii="Verdana" w:eastAsia="Calibri" w:hAnsi="Verdana" w:cs="Arial"/>
          <w:lang w:val="es-MX"/>
        </w:rPr>
        <w:t xml:space="preserve">, respecto de las personas jurídicas que actúen como proponentes singulares o integrantes de proponentes plurales, también dirigida a garantizar el legal ejercicio de la ingeniería. Conforme a esta, cuando el representante legal o apoderado del proponente individual persona jurídica o el representante legal o apoderado de la estructura plural no posee título de una de las profesiones catalogadas como ejercicio de la ingeniería, se requiere que la oferta sea avalada por un ingeniero. </w:t>
      </w:r>
      <w:bookmarkStart w:id="4" w:name="_Hlk79389847"/>
      <w:r w:rsidRPr="007F092D">
        <w:rPr>
          <w:rFonts w:ascii="Verdana" w:eastAsia="Calibri" w:hAnsi="Verdana" w:cs="Arial"/>
          <w:lang w:val="es-MX"/>
        </w:rPr>
        <w:t xml:space="preserve"> </w:t>
      </w:r>
      <w:bookmarkEnd w:id="4"/>
    </w:p>
    <w:p w14:paraId="66EB6000" w14:textId="77777777" w:rsidR="00C63205" w:rsidRPr="007F092D" w:rsidRDefault="00C63205" w:rsidP="00C63205">
      <w:pPr>
        <w:numPr>
          <w:ilvl w:val="12"/>
          <w:numId w:val="0"/>
        </w:numPr>
        <w:spacing w:after="120" w:line="276" w:lineRule="auto"/>
        <w:ind w:firstLine="708"/>
        <w:jc w:val="both"/>
        <w:rPr>
          <w:rFonts w:ascii="Verdana" w:eastAsia="Arial" w:hAnsi="Verdana" w:cs="Arial"/>
          <w:color w:val="000000"/>
          <w:lang w:val="es-MX"/>
        </w:rPr>
      </w:pPr>
      <w:r w:rsidRPr="007F092D">
        <w:rPr>
          <w:rFonts w:ascii="Verdana" w:eastAsia="Arial" w:hAnsi="Verdana" w:cs="Arial"/>
          <w:color w:val="000000"/>
          <w:lang w:val="es-MX"/>
        </w:rPr>
        <w:t xml:space="preserve">De no cumplirse con lo anterior, la persona natural o jurídica no podrá participar en el respectivo proceso de contratación, comoquiera </w:t>
      </w:r>
      <w:proofErr w:type="gramStart"/>
      <w:r w:rsidRPr="007F092D">
        <w:rPr>
          <w:rFonts w:ascii="Verdana" w:eastAsia="Arial" w:hAnsi="Verdana" w:cs="Arial"/>
          <w:color w:val="000000"/>
          <w:lang w:val="es-MX"/>
        </w:rPr>
        <w:t>que</w:t>
      </w:r>
      <w:proofErr w:type="gramEnd"/>
      <w:r w:rsidRPr="007F092D">
        <w:rPr>
          <w:rFonts w:ascii="Verdana" w:eastAsia="Arial" w:hAnsi="Verdana" w:cs="Arial"/>
          <w:color w:val="000000"/>
          <w:lang w:val="es-MX"/>
        </w:rPr>
        <w:t xml:space="preserve"> de acuerdo con lo explicado, no estaría legalmente habilitada para desarrollar el objeto del contrato. Esta interpretación–respaldada por la Corte Constitucional y el </w:t>
      </w:r>
      <w:r w:rsidRPr="007F092D">
        <w:rPr>
          <w:rFonts w:ascii="Verdana" w:eastAsia="Arial" w:hAnsi="Verdana" w:cs="Arial"/>
          <w:color w:val="000000"/>
          <w:lang w:val="es-MX"/>
        </w:rPr>
        <w:lastRenderedPageBreak/>
        <w:t xml:space="preserve">COPNIA–, como se explicó -at supra- parte de la base de que quienes no cuentan con un título en ingeniería no son considerados idóneos o aptos para ejecutar actividades que constituyen ejercicio de la ingeniería, por lo que no están jurídicamente habilitados para ejercer dicha disciplina, que por el riesgo social que supone, se encuentra sometida a tales requerimientos. </w:t>
      </w:r>
    </w:p>
    <w:p w14:paraId="6ECEC992" w14:textId="77777777" w:rsidR="00C63205" w:rsidRPr="007F092D" w:rsidRDefault="00C63205" w:rsidP="00C63205">
      <w:pPr>
        <w:spacing w:after="120" w:line="276" w:lineRule="auto"/>
        <w:ind w:firstLine="708"/>
        <w:jc w:val="both"/>
        <w:rPr>
          <w:rFonts w:ascii="Verdana" w:eastAsia="Aptos" w:hAnsi="Verdana" w:cs="Arial"/>
          <w:color w:val="000000"/>
          <w:kern w:val="2"/>
          <w14:ligatures w14:val="standardContextual"/>
        </w:rPr>
      </w:pPr>
      <w:r w:rsidRPr="007F092D">
        <w:rPr>
          <w:rFonts w:ascii="Verdana" w:eastAsia="Calibri" w:hAnsi="Verdana" w:cs="Arial"/>
        </w:rPr>
        <w:t xml:space="preserve">Así, </w:t>
      </w:r>
      <w:r w:rsidRPr="007F092D">
        <w:rPr>
          <w:rFonts w:ascii="Verdana" w:eastAsia="Calibri" w:hAnsi="Verdana" w:cs="Times New Roman"/>
          <w:lang w:val="es-ES"/>
        </w:rPr>
        <w:t>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en adoptar la decisión correspondiente y, en caso de conflicto, a las autoridades judiciales, fiscales y disciplinarias</w:t>
      </w:r>
      <w:r w:rsidRPr="007F092D">
        <w:rPr>
          <w:rFonts w:ascii="Verdana" w:eastAsia="Aptos" w:hAnsi="Verdana" w:cs="Arial"/>
          <w:color w:val="000000"/>
          <w:kern w:val="2"/>
          <w14:ligatures w14:val="standardContextual"/>
        </w:rPr>
        <w:t>.</w:t>
      </w:r>
    </w:p>
    <w:p w14:paraId="0E17E39F" w14:textId="77777777" w:rsidR="00C63205" w:rsidRPr="007F092D" w:rsidRDefault="00C63205" w:rsidP="00C63205">
      <w:pPr>
        <w:spacing w:after="0" w:line="276" w:lineRule="auto"/>
        <w:ind w:firstLine="708"/>
        <w:jc w:val="both"/>
        <w:rPr>
          <w:rFonts w:ascii="Verdana" w:eastAsia="Times New Roman" w:hAnsi="Verdana" w:cs="Times New Roman"/>
          <w:color w:val="000000"/>
          <w:lang w:eastAsia="es-MX"/>
        </w:rPr>
      </w:pPr>
      <w:r w:rsidRPr="007F092D">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5840EB9" w14:textId="77777777" w:rsidR="00C63205" w:rsidRPr="007F092D" w:rsidRDefault="00C63205" w:rsidP="00C63205">
      <w:pPr>
        <w:spacing w:after="120" w:line="276" w:lineRule="auto"/>
        <w:ind w:firstLine="708"/>
        <w:jc w:val="both"/>
        <w:rPr>
          <w:rFonts w:ascii="Verdana" w:eastAsia="Calibri" w:hAnsi="Verdana" w:cs="Arial"/>
        </w:rPr>
      </w:pPr>
    </w:p>
    <w:p w14:paraId="023033B8" w14:textId="77777777" w:rsidR="00C63205" w:rsidRPr="007F092D" w:rsidRDefault="00C63205" w:rsidP="00C63205">
      <w:pPr>
        <w:numPr>
          <w:ilvl w:val="0"/>
          <w:numId w:val="17"/>
        </w:numPr>
        <w:tabs>
          <w:tab w:val="left" w:pos="142"/>
          <w:tab w:val="left" w:pos="284"/>
        </w:tabs>
        <w:spacing w:after="0" w:line="276" w:lineRule="auto"/>
        <w:jc w:val="both"/>
        <w:rPr>
          <w:rFonts w:ascii="Verdana" w:eastAsia="Century Gothic" w:hAnsi="Verdana" w:cs="Century Gothic"/>
          <w:b/>
          <w:bCs/>
        </w:rPr>
      </w:pPr>
      <w:r w:rsidRPr="007F092D">
        <w:rPr>
          <w:rFonts w:ascii="Verdana" w:eastAsia="Century Gothic" w:hAnsi="Verdana" w:cs="Century Gothic"/>
          <w:b/>
          <w:bCs/>
        </w:rPr>
        <w:t>Referencias normativas y jurisprudenciales:</w:t>
      </w:r>
    </w:p>
    <w:p w14:paraId="0E3CC77A" w14:textId="77777777" w:rsidR="00C63205" w:rsidRPr="007F092D" w:rsidRDefault="00C63205" w:rsidP="00C63205">
      <w:pPr>
        <w:widowControl w:val="0"/>
        <w:autoSpaceDE w:val="0"/>
        <w:autoSpaceDN w:val="0"/>
        <w:spacing w:after="0" w:line="276"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63205" w:rsidRPr="007F092D" w14:paraId="1AE4CA05" w14:textId="77777777" w:rsidTr="00A6272A">
        <w:trPr>
          <w:trHeight w:val="410"/>
          <w:jc w:val="center"/>
        </w:trPr>
        <w:tc>
          <w:tcPr>
            <w:tcW w:w="8647" w:type="dxa"/>
          </w:tcPr>
          <w:p w14:paraId="4CBD5E8D" w14:textId="77777777" w:rsidR="00C63205" w:rsidRPr="007F092D" w:rsidRDefault="00C63205" w:rsidP="00A6272A">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7F092D">
              <w:rPr>
                <w:rFonts w:ascii="Verdana" w:eastAsia="Calibri" w:hAnsi="Verdana" w:cs="Arial"/>
                <w:lang w:val="es-ES_tradnl"/>
              </w:rPr>
              <w:t>Constitución Política, artículo 26.</w:t>
            </w:r>
          </w:p>
          <w:p w14:paraId="17E11FCA" w14:textId="77777777" w:rsidR="00C63205" w:rsidRPr="007F092D" w:rsidRDefault="00C63205" w:rsidP="00A6272A">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7F092D">
              <w:rPr>
                <w:rFonts w:ascii="Verdana" w:eastAsia="Calibri" w:hAnsi="Verdana" w:cs="Arial"/>
                <w:lang w:val="es-ES_tradnl"/>
              </w:rPr>
              <w:t xml:space="preserve">Ley 2022 de 2020, artículo 1. </w:t>
            </w:r>
          </w:p>
          <w:p w14:paraId="328D56AF" w14:textId="77777777" w:rsidR="00C63205" w:rsidRPr="007F092D" w:rsidRDefault="00C63205" w:rsidP="00A6272A">
            <w:pPr>
              <w:widowControl w:val="0"/>
              <w:numPr>
                <w:ilvl w:val="0"/>
                <w:numId w:val="16"/>
              </w:numPr>
              <w:autoSpaceDE w:val="0"/>
              <w:autoSpaceDN w:val="0"/>
              <w:spacing w:line="276" w:lineRule="auto"/>
              <w:jc w:val="both"/>
              <w:rPr>
                <w:rFonts w:ascii="Verdana" w:eastAsia="Calibri" w:hAnsi="Verdana" w:cs="Arial"/>
              </w:rPr>
            </w:pPr>
            <w:r w:rsidRPr="007F092D">
              <w:rPr>
                <w:rFonts w:ascii="Verdana" w:eastAsia="Calibri" w:hAnsi="Verdana" w:cs="Arial"/>
              </w:rPr>
              <w:t>Ley 1150 de 2007, artículo 2.</w:t>
            </w:r>
          </w:p>
          <w:p w14:paraId="73434A4B" w14:textId="77777777" w:rsidR="00C63205" w:rsidRPr="007F092D" w:rsidRDefault="00C63205" w:rsidP="00A6272A">
            <w:pPr>
              <w:widowControl w:val="0"/>
              <w:numPr>
                <w:ilvl w:val="0"/>
                <w:numId w:val="16"/>
              </w:numPr>
              <w:autoSpaceDE w:val="0"/>
              <w:autoSpaceDN w:val="0"/>
              <w:spacing w:line="276" w:lineRule="auto"/>
              <w:jc w:val="both"/>
              <w:rPr>
                <w:rFonts w:ascii="Verdana" w:eastAsia="Calibri" w:hAnsi="Verdana" w:cs="Arial"/>
              </w:rPr>
            </w:pPr>
            <w:r w:rsidRPr="007F092D">
              <w:rPr>
                <w:rFonts w:ascii="Verdana" w:eastAsia="Calibri" w:hAnsi="Verdana" w:cs="Arial"/>
                <w:lang w:val="es-MX"/>
              </w:rPr>
              <w:t>Ley 842 de 2003, artículo 20, 26.</w:t>
            </w:r>
          </w:p>
          <w:p w14:paraId="77860D76" w14:textId="77777777" w:rsidR="00C63205" w:rsidRPr="007F092D" w:rsidRDefault="00C63205" w:rsidP="00A6272A">
            <w:pPr>
              <w:widowControl w:val="0"/>
              <w:numPr>
                <w:ilvl w:val="0"/>
                <w:numId w:val="16"/>
              </w:numPr>
              <w:autoSpaceDE w:val="0"/>
              <w:autoSpaceDN w:val="0"/>
              <w:spacing w:line="276" w:lineRule="auto"/>
              <w:jc w:val="both"/>
              <w:rPr>
                <w:rFonts w:ascii="Verdana" w:eastAsia="Calibri" w:hAnsi="Verdana" w:cs="Arial"/>
              </w:rPr>
            </w:pPr>
            <w:r w:rsidRPr="007F092D">
              <w:rPr>
                <w:rFonts w:ascii="Verdana" w:eastAsia="Calibri" w:hAnsi="Verdana" w:cs="Arial"/>
              </w:rPr>
              <w:t>Corte Constitucional, sentencia C-191 de 2005, M.P. Manuel José Cepeda Espinosa</w:t>
            </w:r>
          </w:p>
          <w:p w14:paraId="6CBF6F8F" w14:textId="77777777" w:rsidR="00C63205" w:rsidRPr="007F092D" w:rsidRDefault="00C63205" w:rsidP="00A6272A">
            <w:pPr>
              <w:widowControl w:val="0"/>
              <w:numPr>
                <w:ilvl w:val="0"/>
                <w:numId w:val="16"/>
              </w:numPr>
              <w:autoSpaceDE w:val="0"/>
              <w:autoSpaceDN w:val="0"/>
              <w:spacing w:line="276" w:lineRule="auto"/>
              <w:jc w:val="both"/>
              <w:rPr>
                <w:rFonts w:ascii="Verdana" w:eastAsia="Calibri" w:hAnsi="Verdana" w:cs="Arial"/>
              </w:rPr>
            </w:pPr>
            <w:r w:rsidRPr="007F092D">
              <w:rPr>
                <w:rFonts w:ascii="Verdana" w:eastAsia="Calibri" w:hAnsi="Verdana" w:cs="Arial"/>
              </w:rPr>
              <w:t>Corte Constitucional. Sentencia C-697 del 14 de junio de 2000. M.P. Eduardo Cifuentes Muñoz.</w:t>
            </w:r>
          </w:p>
          <w:p w14:paraId="0727BF5B" w14:textId="77777777" w:rsidR="00C63205" w:rsidRPr="007F092D" w:rsidRDefault="00C63205" w:rsidP="00A6272A">
            <w:pPr>
              <w:widowControl w:val="0"/>
              <w:numPr>
                <w:ilvl w:val="0"/>
                <w:numId w:val="16"/>
              </w:numPr>
              <w:autoSpaceDE w:val="0"/>
              <w:autoSpaceDN w:val="0"/>
              <w:spacing w:line="276" w:lineRule="auto"/>
              <w:jc w:val="both"/>
              <w:rPr>
                <w:rFonts w:ascii="Verdana" w:eastAsia="Calibri" w:hAnsi="Verdana" w:cs="Arial"/>
              </w:rPr>
            </w:pPr>
            <w:r w:rsidRPr="007F092D">
              <w:rPr>
                <w:rFonts w:ascii="Verdana" w:eastAsia="Calibri" w:hAnsi="Verdana" w:cs="Arial"/>
                <w:lang w:val="es-ES_tradnl"/>
              </w:rPr>
              <w:t xml:space="preserve">Documentos Tipo. Disponibles en: </w:t>
            </w:r>
            <w:hyperlink r:id="rId12" w:history="1">
              <w:r w:rsidRPr="007F092D">
                <w:rPr>
                  <w:rFonts w:ascii="Verdana" w:eastAsia="Calibri" w:hAnsi="Verdana" w:cs="Arial"/>
                  <w:color w:val="0000FF"/>
                  <w:u w:val="single"/>
                  <w:lang w:val="es-ES_tradnl"/>
                </w:rPr>
                <w:t>https://www.colombiacompra.gov.co/documentos-tipo/documentos-tipo</w:t>
              </w:r>
            </w:hyperlink>
            <w:r w:rsidRPr="007F092D">
              <w:rPr>
                <w:rFonts w:ascii="Verdana" w:eastAsia="Calibri" w:hAnsi="Verdana" w:cs="Arial"/>
                <w:lang w:val="es-ES_tradnl"/>
              </w:rPr>
              <w:t>.</w:t>
            </w:r>
          </w:p>
        </w:tc>
      </w:tr>
    </w:tbl>
    <w:p w14:paraId="5626F1FD" w14:textId="77777777" w:rsidR="00C63205" w:rsidRPr="007F092D" w:rsidRDefault="00C63205" w:rsidP="00C63205">
      <w:pPr>
        <w:widowControl w:val="0"/>
        <w:autoSpaceDE w:val="0"/>
        <w:autoSpaceDN w:val="0"/>
        <w:spacing w:after="0" w:line="276" w:lineRule="auto"/>
        <w:jc w:val="both"/>
        <w:rPr>
          <w:rFonts w:ascii="Verdana" w:eastAsia="Calibri" w:hAnsi="Verdana" w:cs="Arial"/>
        </w:rPr>
      </w:pPr>
    </w:p>
    <w:p w14:paraId="2F1E5E63" w14:textId="77777777" w:rsidR="00C63205" w:rsidRPr="007F092D" w:rsidRDefault="00C63205" w:rsidP="00C63205">
      <w:pPr>
        <w:numPr>
          <w:ilvl w:val="0"/>
          <w:numId w:val="17"/>
        </w:numPr>
        <w:tabs>
          <w:tab w:val="left" w:pos="142"/>
          <w:tab w:val="left" w:pos="284"/>
        </w:tabs>
        <w:spacing w:after="0" w:line="276" w:lineRule="auto"/>
        <w:jc w:val="both"/>
        <w:rPr>
          <w:rFonts w:ascii="Verdana" w:eastAsia="Century Gothic" w:hAnsi="Verdana" w:cs="Century Gothic"/>
          <w:b/>
          <w:bCs/>
        </w:rPr>
      </w:pPr>
      <w:r w:rsidRPr="007F092D">
        <w:rPr>
          <w:rFonts w:ascii="Verdana" w:eastAsia="Century Gothic" w:hAnsi="Verdana" w:cs="Century Gothic"/>
          <w:b/>
          <w:bCs/>
        </w:rPr>
        <w:t>Doctrina de la Agencia Nacional de Contratación Pública:</w:t>
      </w:r>
    </w:p>
    <w:p w14:paraId="3B17CFE3" w14:textId="77777777" w:rsidR="00C63205" w:rsidRPr="007F092D" w:rsidRDefault="00C63205" w:rsidP="00C63205">
      <w:pPr>
        <w:widowControl w:val="0"/>
        <w:autoSpaceDE w:val="0"/>
        <w:autoSpaceDN w:val="0"/>
        <w:spacing w:after="0" w:line="276" w:lineRule="auto"/>
        <w:jc w:val="both"/>
        <w:rPr>
          <w:rFonts w:ascii="Verdana" w:eastAsia="Calibri" w:hAnsi="Verdana" w:cs="Arial"/>
          <w:color w:val="000000"/>
          <w:kern w:val="2"/>
          <w:shd w:val="clear" w:color="auto" w:fill="FFFFFF"/>
          <w14:ligatures w14:val="standardContextual"/>
        </w:rPr>
      </w:pPr>
    </w:p>
    <w:p w14:paraId="1B8EFBBA" w14:textId="77777777" w:rsidR="00C63205" w:rsidRPr="007F092D" w:rsidRDefault="00C63205" w:rsidP="00C63205">
      <w:pPr>
        <w:spacing w:after="0" w:line="276" w:lineRule="auto"/>
        <w:jc w:val="both"/>
        <w:rPr>
          <w:rFonts w:ascii="Verdana" w:eastAsia="Calibri" w:hAnsi="Verdana" w:cs="Arial"/>
          <w:lang w:val="es-ES"/>
        </w:rPr>
      </w:pPr>
      <w:r w:rsidRPr="007F092D">
        <w:rPr>
          <w:rFonts w:ascii="Verdana" w:eastAsia="Calibri" w:hAnsi="Verdana" w:cs="Arial"/>
          <w:shd w:val="clear" w:color="auto" w:fill="FFFFFF"/>
          <w:lang w:val="es-ES"/>
        </w:rPr>
        <w:t>La Agencia Nacional de Contratación Pública – Colombia Compra Eficiente se pronunció</w:t>
      </w:r>
      <w:r w:rsidRPr="007F092D">
        <w:rPr>
          <w:rFonts w:ascii="Verdana" w:eastAsia="Aptos" w:hAnsi="Verdana" w:cs="Times New Roman"/>
          <w:lang w:val="es-ES"/>
        </w:rPr>
        <w:t xml:space="preserve"> </w:t>
      </w:r>
      <w:r w:rsidRPr="007F092D">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 C-231 del 30 de junio de 2023, C-</w:t>
      </w:r>
      <w:r w:rsidRPr="007F092D">
        <w:rPr>
          <w:rFonts w:ascii="Verdana" w:eastAsia="Calibri" w:hAnsi="Verdana" w:cs="Arial"/>
          <w:shd w:val="clear" w:color="auto" w:fill="FFFFFF"/>
          <w:lang w:val="es-ES" w:eastAsia="es-MX"/>
        </w:rPr>
        <w:t xml:space="preserve">472 del 24 de septiembre de 2024, </w:t>
      </w:r>
      <w:r w:rsidRPr="007F092D">
        <w:rPr>
          <w:rFonts w:ascii="Verdana" w:eastAsia="Calibri" w:hAnsi="Verdana" w:cs="Arial"/>
          <w:shd w:val="clear" w:color="auto" w:fill="FFFFFF"/>
          <w:lang w:val="es-ES"/>
        </w:rPr>
        <w:t xml:space="preserve">C-587 del 23 de octubre de 2024, C-636 del 1 de noviembre de 2024, </w:t>
      </w:r>
      <w:r w:rsidRPr="007F092D">
        <w:rPr>
          <w:rFonts w:ascii="Verdana" w:eastAsia="Calibri" w:hAnsi="Verdana" w:cs="Arial"/>
          <w:shd w:val="clear" w:color="auto" w:fill="FFFFFF"/>
          <w:lang w:val="es-ES" w:eastAsia="es-MX"/>
        </w:rPr>
        <w:t xml:space="preserve">C-469 del 23 de mayo de 2025, </w:t>
      </w:r>
      <w:r w:rsidRPr="007F092D">
        <w:rPr>
          <w:rFonts w:ascii="Verdana" w:eastAsia="Calibri" w:hAnsi="Verdana" w:cs="Arial"/>
          <w:shd w:val="clear" w:color="auto" w:fill="FFFFFF"/>
          <w:lang w:val="es-ES"/>
        </w:rPr>
        <w:t>C-1772 del 22 de diciembre de 2025, entre otros. Es</w:t>
      </w:r>
      <w:r w:rsidRPr="007F092D">
        <w:rPr>
          <w:rFonts w:ascii="Verdana" w:eastAsia="Calibri" w:hAnsi="Verdana" w:cs="Times New Roman"/>
        </w:rPr>
        <w:t>tos y otros conceptos se encuentran disponibles para consulta en el Sistema de relatoría de la Agencia, al cual se puede acceder a través del siguiente enlace:</w:t>
      </w:r>
      <w:r w:rsidRPr="007F092D">
        <w:rPr>
          <w:rFonts w:ascii="Verdana" w:eastAsia="Calibri" w:hAnsi="Verdana" w:cs="Arial"/>
          <w:shd w:val="clear" w:color="auto" w:fill="FFFFFF"/>
          <w:lang w:val="es-ES"/>
        </w:rPr>
        <w:t xml:space="preserve"> </w:t>
      </w:r>
      <w:hyperlink r:id="rId13" w:history="1">
        <w:r w:rsidRPr="007F092D">
          <w:rPr>
            <w:rStyle w:val="Hipervnculo"/>
            <w:rFonts w:ascii="Verdana" w:eastAsia="Calibri" w:hAnsi="Verdana" w:cs="Arial"/>
            <w:color w:val="0563C1"/>
            <w:shd w:val="clear" w:color="auto" w:fill="FFFFFF"/>
            <w:lang w:val="es-ES"/>
          </w:rPr>
          <w:t>https://relatoria.colombiacompra.gov.co/busqueda/conceptos</w:t>
        </w:r>
      </w:hyperlink>
      <w:r w:rsidRPr="007F092D">
        <w:rPr>
          <w:rFonts w:ascii="Verdana" w:eastAsia="Calibri" w:hAnsi="Verdana" w:cs="Arial"/>
          <w:color w:val="FF0000"/>
          <w:shd w:val="clear" w:color="auto" w:fill="FFFFFF"/>
          <w:lang w:val="es-ES"/>
        </w:rPr>
        <w:t xml:space="preserve">. </w:t>
      </w:r>
    </w:p>
    <w:p w14:paraId="575BD441" w14:textId="77777777" w:rsidR="00C63205" w:rsidRPr="007F092D" w:rsidRDefault="00C63205" w:rsidP="00C63205">
      <w:pPr>
        <w:widowControl w:val="0"/>
        <w:autoSpaceDE w:val="0"/>
        <w:autoSpaceDN w:val="0"/>
        <w:spacing w:after="0" w:line="276" w:lineRule="auto"/>
        <w:jc w:val="both"/>
        <w:rPr>
          <w:rFonts w:ascii="Verdana" w:eastAsia="Times New Roman" w:hAnsi="Verdana" w:cs="Arial"/>
          <w:shd w:val="clear" w:color="auto" w:fill="FFFFFF"/>
          <w:lang w:val="es-ES"/>
        </w:rPr>
      </w:pPr>
    </w:p>
    <w:p w14:paraId="78EA989A" w14:textId="212936DD" w:rsidR="00C63205" w:rsidRPr="007F092D" w:rsidRDefault="00A035D3" w:rsidP="00C63205">
      <w:pPr>
        <w:widowControl w:val="0"/>
        <w:autoSpaceDE w:val="0"/>
        <w:autoSpaceDN w:val="0"/>
        <w:spacing w:after="0" w:line="276" w:lineRule="auto"/>
        <w:jc w:val="both"/>
        <w:rPr>
          <w:rFonts w:ascii="Verdana" w:hAnsi="Verdana" w:cs="Arial"/>
          <w:color w:val="4472C4" w:themeColor="accent1"/>
          <w:shd w:val="clear" w:color="auto" w:fill="FFFFFF"/>
          <w:lang w:val="es-ES"/>
        </w:rPr>
      </w:pPr>
      <w:r w:rsidRPr="007F092D">
        <w:rPr>
          <w:rStyle w:val="normaltextrun"/>
          <w:rFonts w:ascii="Verdana" w:hAnsi="Verdana" w:cs="Arial"/>
          <w:color w:val="000000" w:themeColor="text1"/>
          <w:shd w:val="clear" w:color="auto" w:fill="FFFFFF"/>
          <w:lang w:val="es-ES"/>
        </w:rPr>
        <w:t>L</w:t>
      </w:r>
      <w:r w:rsidR="00C63205" w:rsidRPr="007F092D">
        <w:rPr>
          <w:rStyle w:val="normaltextrun"/>
          <w:rFonts w:ascii="Verdana" w:hAnsi="Verdana" w:cs="Arial"/>
          <w:color w:val="000000" w:themeColor="text1"/>
          <w:shd w:val="clear" w:color="auto" w:fill="FFFFFF"/>
          <w:lang w:val="es-ES"/>
        </w:rPr>
        <w:t>e informamos que ya se encuentra disponible la Cartilla para incentivar y fortalecer el acceso a las compras y contratación pública de los pueblos y comunidades étnicas en Colombia.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w:t>
      </w:r>
      <w:r w:rsidR="00C63205" w:rsidRPr="007F092D">
        <w:rPr>
          <w:rFonts w:ascii="Verdana" w:hAnsi="Verdana"/>
        </w:rPr>
        <w:t xml:space="preserve"> enlace: </w:t>
      </w:r>
      <w:hyperlink r:id="rId14" w:tgtFrame="_blank" w:tooltip="Dirección URL original: https://www.colombiacompra.gov.co/manuales-guias-y-pliegos-tipo/manuales-y-guias/cartilla-para-incentivar-y-fortalecer-el-acceso-las. Haga clic o pulse si confía en este vínculo." w:history="1">
        <w:r w:rsidR="00C63205" w:rsidRPr="007F092D">
          <w:rPr>
            <w:rStyle w:val="Hipervnculo"/>
            <w:rFonts w:ascii="Verdana" w:hAnsi="Verdana"/>
          </w:rPr>
          <w:t>Cartilla para incentivar y fortalecer el acceso a las compras y contratación pública de los pueblos y comunidades étnicas en Colombia | Colombia Compra Eficiente | Agencia Nacional de Contratación Pública</w:t>
        </w:r>
      </w:hyperlink>
    </w:p>
    <w:p w14:paraId="5AED47BA" w14:textId="77777777" w:rsidR="00C63205" w:rsidRPr="007F092D" w:rsidRDefault="00C63205" w:rsidP="00C63205">
      <w:pPr>
        <w:spacing w:after="0" w:line="276" w:lineRule="auto"/>
        <w:jc w:val="both"/>
        <w:rPr>
          <w:rFonts w:ascii="Verdana" w:hAnsi="Verdana"/>
        </w:rPr>
      </w:pPr>
    </w:p>
    <w:p w14:paraId="5BE5871B" w14:textId="77777777" w:rsidR="00C63205" w:rsidRPr="007F092D" w:rsidRDefault="00C63205" w:rsidP="00C63205">
      <w:pPr>
        <w:spacing w:after="0" w:line="276" w:lineRule="auto"/>
        <w:jc w:val="both"/>
        <w:rPr>
          <w:rFonts w:ascii="Verdana" w:hAnsi="Verdana"/>
        </w:rPr>
      </w:pPr>
      <w:r w:rsidRPr="007F092D">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F7CFD2A" w14:textId="77777777" w:rsidR="00C63205" w:rsidRPr="007F092D" w:rsidRDefault="00C63205" w:rsidP="00C63205">
      <w:pPr>
        <w:spacing w:after="0" w:line="276" w:lineRule="auto"/>
        <w:jc w:val="both"/>
        <w:rPr>
          <w:rFonts w:ascii="Verdana" w:hAnsi="Verdana"/>
        </w:rPr>
      </w:pPr>
    </w:p>
    <w:p w14:paraId="4908EC61" w14:textId="77777777" w:rsidR="00C63205" w:rsidRPr="007F092D" w:rsidRDefault="00C63205" w:rsidP="00C63205">
      <w:pPr>
        <w:pStyle w:val="Prrafodelista"/>
        <w:numPr>
          <w:ilvl w:val="0"/>
          <w:numId w:val="19"/>
        </w:numPr>
        <w:spacing w:after="0" w:line="276" w:lineRule="auto"/>
        <w:jc w:val="both"/>
        <w:rPr>
          <w:rFonts w:ascii="Verdana" w:eastAsia="Verdana" w:hAnsi="Verdana" w:cs="Verdana"/>
          <w:color w:val="4472C4" w:themeColor="accent1"/>
          <w:u w:val="single"/>
          <w:lang w:val="es-MX"/>
        </w:rPr>
      </w:pPr>
      <w:r w:rsidRPr="007F092D">
        <w:rPr>
          <w:rFonts w:ascii="Verdana" w:eastAsia="Verdana" w:hAnsi="Verdana" w:cs="Verdana"/>
          <w:lang w:val="es-MX"/>
        </w:rPr>
        <w:t xml:space="preserve">Línea nacional gratuita o servicio a la ciudadanía (Mesa de servicio): </w:t>
      </w:r>
      <w:r w:rsidRPr="007F092D">
        <w:rPr>
          <w:rStyle w:val="Hipervnculo"/>
          <w:rFonts w:ascii="Verdana" w:hAnsi="Verdana"/>
        </w:rPr>
        <w:t>01800 0520808</w:t>
      </w:r>
    </w:p>
    <w:p w14:paraId="766120F3" w14:textId="77777777" w:rsidR="00C63205" w:rsidRPr="007F092D" w:rsidRDefault="00C63205" w:rsidP="00C63205">
      <w:pPr>
        <w:pStyle w:val="Prrafodelista"/>
        <w:numPr>
          <w:ilvl w:val="0"/>
          <w:numId w:val="19"/>
        </w:numPr>
        <w:spacing w:after="0" w:line="276" w:lineRule="auto"/>
        <w:rPr>
          <w:rFonts w:ascii="Verdana" w:eastAsia="Verdana" w:hAnsi="Verdana" w:cs="Verdana"/>
          <w:color w:val="4472C4" w:themeColor="accent1"/>
          <w:u w:val="single"/>
          <w:lang w:val="es-MX"/>
        </w:rPr>
      </w:pPr>
      <w:r w:rsidRPr="007F092D">
        <w:rPr>
          <w:rFonts w:ascii="Verdana" w:eastAsia="Verdana" w:hAnsi="Verdana" w:cs="Verdana"/>
          <w:lang w:val="es-MX"/>
        </w:rPr>
        <w:t>Línea en Bogotá (Mesa de servicio</w:t>
      </w:r>
      <w:proofErr w:type="gramStart"/>
      <w:r w:rsidRPr="007F092D">
        <w:rPr>
          <w:rFonts w:ascii="Verdana" w:eastAsia="Verdana" w:hAnsi="Verdana" w:cs="Verdana"/>
          <w:lang w:val="es-MX"/>
        </w:rPr>
        <w:t>):</w:t>
      </w:r>
      <w:r w:rsidRPr="007F092D">
        <w:rPr>
          <w:rStyle w:val="Hipervnculo"/>
          <w:rFonts w:ascii="Verdana" w:hAnsi="Verdana"/>
        </w:rPr>
        <w:t>+</w:t>
      </w:r>
      <w:proofErr w:type="gramEnd"/>
      <w:r w:rsidRPr="007F092D">
        <w:rPr>
          <w:rStyle w:val="Hipervnculo"/>
          <w:rFonts w:ascii="Verdana" w:hAnsi="Verdana"/>
        </w:rPr>
        <w:t>57 601 7456788</w:t>
      </w:r>
    </w:p>
    <w:p w14:paraId="0739F0B5" w14:textId="77777777" w:rsidR="00C63205" w:rsidRPr="007F092D" w:rsidRDefault="00C63205" w:rsidP="00C63205">
      <w:pPr>
        <w:pStyle w:val="Prrafodelista"/>
        <w:numPr>
          <w:ilvl w:val="0"/>
          <w:numId w:val="19"/>
        </w:numPr>
        <w:spacing w:after="0" w:line="276" w:lineRule="auto"/>
        <w:rPr>
          <w:rFonts w:ascii="Verdana" w:eastAsia="Verdana" w:hAnsi="Verdana" w:cs="Verdana"/>
          <w:color w:val="0000FF"/>
          <w:u w:val="single"/>
          <w:lang w:val="es-MX"/>
        </w:rPr>
      </w:pPr>
      <w:r w:rsidRPr="007F092D">
        <w:rPr>
          <w:rFonts w:ascii="Verdana" w:eastAsia="Verdana" w:hAnsi="Verdana" w:cs="Verdana"/>
          <w:lang w:val="es-MX"/>
        </w:rPr>
        <w:lastRenderedPageBreak/>
        <w:t xml:space="preserve">Correo de radicación de correspondencia: </w:t>
      </w:r>
      <w:hyperlink r:id="rId15" w:history="1">
        <w:r w:rsidRPr="007F092D">
          <w:rPr>
            <w:rStyle w:val="Hipervnculo"/>
            <w:rFonts w:ascii="Verdana" w:eastAsia="Verdana" w:hAnsi="Verdana" w:cs="Verdana"/>
            <w:lang w:val="es-MX"/>
          </w:rPr>
          <w:t>ventanilladeradicacion@colombiacompra.gov.co</w:t>
        </w:r>
      </w:hyperlink>
    </w:p>
    <w:p w14:paraId="54D40EEB" w14:textId="77777777" w:rsidR="00C63205" w:rsidRPr="007F092D" w:rsidRDefault="00C63205" w:rsidP="00C63205">
      <w:pPr>
        <w:pStyle w:val="Prrafodelista"/>
        <w:numPr>
          <w:ilvl w:val="0"/>
          <w:numId w:val="19"/>
        </w:numPr>
        <w:spacing w:after="0" w:line="276" w:lineRule="auto"/>
        <w:rPr>
          <w:rFonts w:ascii="Verdana" w:eastAsia="Verdana" w:hAnsi="Verdana" w:cs="Verdana"/>
          <w:color w:val="0000FF"/>
          <w:u w:val="single"/>
          <w:lang w:val="es-MX"/>
        </w:rPr>
      </w:pPr>
      <w:r w:rsidRPr="007F092D">
        <w:rPr>
          <w:rFonts w:ascii="Verdana" w:eastAsia="Verdana" w:hAnsi="Verdana" w:cs="Verdana"/>
        </w:rPr>
        <w:t xml:space="preserve">Formulario web para PQRSD: </w:t>
      </w:r>
      <w:hyperlink r:id="rId16" w:history="1">
        <w:r w:rsidRPr="007F092D">
          <w:rPr>
            <w:rStyle w:val="Hipervnculo"/>
            <w:rFonts w:ascii="Verdana" w:eastAsia="Verdana" w:hAnsi="Verdana" w:cs="Verdana"/>
            <w:lang w:val="es-MX"/>
          </w:rPr>
          <w:t>https://www.colombiacompra.gov.co/pqrsd/informacion-importante-antes-de-formular-una-pqrsd</w:t>
        </w:r>
      </w:hyperlink>
    </w:p>
    <w:p w14:paraId="664D2BEE" w14:textId="77777777" w:rsidR="00C63205" w:rsidRPr="007F092D" w:rsidRDefault="00C63205" w:rsidP="00C63205">
      <w:pPr>
        <w:spacing w:after="0" w:line="276" w:lineRule="auto"/>
        <w:ind w:left="720"/>
        <w:jc w:val="both"/>
        <w:rPr>
          <w:rFonts w:ascii="Verdana" w:hAnsi="Verdana"/>
        </w:rPr>
      </w:pPr>
    </w:p>
    <w:p w14:paraId="399B2C24" w14:textId="77777777" w:rsidR="00C63205" w:rsidRPr="007F092D" w:rsidRDefault="00C63205" w:rsidP="00C63205">
      <w:pPr>
        <w:spacing w:after="0" w:line="276" w:lineRule="auto"/>
        <w:rPr>
          <w:rFonts w:ascii="Verdana" w:hAnsi="Verdana"/>
        </w:rPr>
      </w:pPr>
      <w:r w:rsidRPr="007F092D">
        <w:rPr>
          <w:rFonts w:ascii="Verdana" w:hAnsi="Verdana"/>
        </w:rPr>
        <w:t>Evalúa el servicio que ofrece la Agencia por el canal de atención de PQRSD en el siguiente enlace :</w:t>
      </w:r>
      <w:hyperlink r:id="rId17" w:tgtFrame="_blank" w:tooltip="https://forms.office.com/r/pphywvs2sz" w:history="1">
        <w:r w:rsidRPr="007F092D">
          <w:rPr>
            <w:rStyle w:val="Hipervnculo"/>
            <w:rFonts w:ascii="Verdana" w:hAnsi="Verdana"/>
          </w:rPr>
          <w:t>https://forms.office.com/r/pPHyWVs2SZ</w:t>
        </w:r>
      </w:hyperlink>
      <w:r w:rsidRPr="007F092D">
        <w:rPr>
          <w:rFonts w:ascii="Verdana" w:hAnsi="Verdana"/>
        </w:rPr>
        <w:t xml:space="preserve"> .¡Ayúdanos a mejorar porque el compromiso es de todos!</w:t>
      </w:r>
    </w:p>
    <w:p w14:paraId="10F94363" w14:textId="77777777" w:rsidR="00C63205" w:rsidRPr="007F092D" w:rsidRDefault="00C63205" w:rsidP="00C63205">
      <w:pPr>
        <w:spacing w:after="0" w:line="276" w:lineRule="auto"/>
        <w:rPr>
          <w:rFonts w:ascii="Verdana" w:hAnsi="Verdana"/>
        </w:rPr>
      </w:pPr>
    </w:p>
    <w:p w14:paraId="459AEC6E" w14:textId="77777777" w:rsidR="00C63205" w:rsidRPr="007F092D" w:rsidRDefault="00C63205" w:rsidP="00C63205">
      <w:pPr>
        <w:spacing w:after="0" w:line="276" w:lineRule="auto"/>
        <w:jc w:val="both"/>
        <w:rPr>
          <w:rFonts w:ascii="Verdana" w:hAnsi="Verdana"/>
        </w:rPr>
      </w:pPr>
      <w:r w:rsidRPr="007F092D">
        <w:rPr>
          <w:rFonts w:ascii="Verdana" w:hAnsi="Verdana"/>
        </w:rPr>
        <w:t xml:space="preserve">Por último, lo invitamos a seguirnos en las redes sociales en las cuales se difunde información institucional: </w:t>
      </w:r>
    </w:p>
    <w:p w14:paraId="636D0C07" w14:textId="77777777" w:rsidR="00C63205" w:rsidRPr="007F092D" w:rsidRDefault="00C63205" w:rsidP="00C63205">
      <w:pPr>
        <w:spacing w:after="0" w:line="276" w:lineRule="auto"/>
        <w:jc w:val="both"/>
        <w:rPr>
          <w:rFonts w:ascii="Verdana" w:hAnsi="Verdana"/>
        </w:rPr>
      </w:pPr>
    </w:p>
    <w:p w14:paraId="6973611A" w14:textId="77777777" w:rsidR="00C63205" w:rsidRPr="007F092D" w:rsidRDefault="00C63205" w:rsidP="00C63205">
      <w:pPr>
        <w:spacing w:after="0" w:line="276" w:lineRule="auto"/>
        <w:jc w:val="both"/>
        <w:rPr>
          <w:rFonts w:ascii="Verdana" w:hAnsi="Verdana"/>
        </w:rPr>
      </w:pPr>
      <w:r w:rsidRPr="007F092D">
        <w:rPr>
          <w:rFonts w:ascii="Verdana" w:hAnsi="Verdana"/>
        </w:rPr>
        <w:t xml:space="preserve">Twitter: </w:t>
      </w:r>
      <w:r w:rsidRPr="007F092D">
        <w:rPr>
          <w:rStyle w:val="Hipervnculo"/>
          <w:rFonts w:ascii="Verdana" w:hAnsi="Verdana"/>
        </w:rPr>
        <w:t>@colombiacompra</w:t>
      </w:r>
      <w:r w:rsidRPr="007F092D">
        <w:rPr>
          <w:rFonts w:ascii="Verdana" w:hAnsi="Verdana"/>
        </w:rPr>
        <w:t xml:space="preserve"> </w:t>
      </w:r>
    </w:p>
    <w:p w14:paraId="0A610641" w14:textId="77777777" w:rsidR="00C63205" w:rsidRPr="007F092D" w:rsidRDefault="00C63205" w:rsidP="00C63205">
      <w:pPr>
        <w:spacing w:after="0" w:line="276" w:lineRule="auto"/>
        <w:jc w:val="both"/>
        <w:rPr>
          <w:rFonts w:ascii="Verdana" w:hAnsi="Verdana"/>
        </w:rPr>
      </w:pPr>
      <w:r w:rsidRPr="007F092D">
        <w:rPr>
          <w:rFonts w:ascii="Verdana" w:hAnsi="Verdana"/>
        </w:rPr>
        <w:t xml:space="preserve">Facebook: </w:t>
      </w:r>
      <w:proofErr w:type="spellStart"/>
      <w:r w:rsidRPr="007F092D">
        <w:rPr>
          <w:rStyle w:val="Hipervnculo"/>
          <w:rFonts w:ascii="Verdana" w:hAnsi="Verdana"/>
        </w:rPr>
        <w:t>ColombiaCompraEficiente</w:t>
      </w:r>
      <w:proofErr w:type="spellEnd"/>
    </w:p>
    <w:p w14:paraId="47399CFE" w14:textId="77777777" w:rsidR="00C63205" w:rsidRPr="007F092D" w:rsidRDefault="00C63205" w:rsidP="00C63205">
      <w:pPr>
        <w:spacing w:after="0" w:line="276" w:lineRule="auto"/>
        <w:jc w:val="both"/>
        <w:rPr>
          <w:rFonts w:ascii="Verdana" w:hAnsi="Verdana"/>
        </w:rPr>
      </w:pPr>
      <w:r w:rsidRPr="007F092D">
        <w:rPr>
          <w:rFonts w:ascii="Verdana" w:hAnsi="Verdana"/>
        </w:rPr>
        <w:t xml:space="preserve">LinkedIn: </w:t>
      </w:r>
      <w:r w:rsidRPr="007F092D">
        <w:rPr>
          <w:rStyle w:val="Hipervnculo"/>
          <w:rFonts w:ascii="Verdana" w:hAnsi="Verdana"/>
        </w:rPr>
        <w:t>Agencia Nacional de Contratación Pública - Colombia Compra Eficiente</w:t>
      </w:r>
      <w:r w:rsidRPr="007F092D">
        <w:rPr>
          <w:rFonts w:ascii="Verdana" w:hAnsi="Verdana"/>
        </w:rPr>
        <w:t xml:space="preserve"> Instagram: </w:t>
      </w:r>
      <w:r w:rsidRPr="007F092D">
        <w:rPr>
          <w:rStyle w:val="Hipervnculo"/>
          <w:rFonts w:ascii="Verdana" w:hAnsi="Verdana"/>
        </w:rPr>
        <w:t>@colombiacompraeficiente_cce</w:t>
      </w:r>
    </w:p>
    <w:p w14:paraId="08488AA7" w14:textId="77777777" w:rsidR="00C63205" w:rsidRPr="007F092D" w:rsidRDefault="00C63205" w:rsidP="00C63205">
      <w:pPr>
        <w:spacing w:after="0" w:line="276" w:lineRule="auto"/>
        <w:jc w:val="both"/>
        <w:rPr>
          <w:rFonts w:ascii="Verdana" w:hAnsi="Verdana"/>
        </w:rPr>
      </w:pPr>
    </w:p>
    <w:p w14:paraId="61FBDBFE" w14:textId="77777777" w:rsidR="00C63205" w:rsidRPr="007F092D" w:rsidRDefault="00C63205" w:rsidP="00C63205">
      <w:pPr>
        <w:spacing w:after="0" w:line="276" w:lineRule="auto"/>
        <w:jc w:val="both"/>
        <w:rPr>
          <w:rFonts w:ascii="Verdana" w:eastAsia="Calibri" w:hAnsi="Verdana" w:cs="Times New Roman"/>
          <w:bCs/>
          <w:lang w:val="es-ES_tradnl"/>
        </w:rPr>
      </w:pPr>
      <w:r w:rsidRPr="007F092D">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6338960" w14:textId="77777777" w:rsidR="00C63205" w:rsidRPr="007F092D" w:rsidRDefault="00C63205" w:rsidP="00C63205">
      <w:pPr>
        <w:spacing w:after="0" w:line="276" w:lineRule="auto"/>
        <w:jc w:val="both"/>
        <w:rPr>
          <w:rFonts w:ascii="Verdana" w:hAnsi="Verdana"/>
        </w:rPr>
      </w:pPr>
    </w:p>
    <w:p w14:paraId="5229E324" w14:textId="77777777" w:rsidR="00C63205" w:rsidRPr="007F092D" w:rsidRDefault="00C63205" w:rsidP="00C63205">
      <w:pPr>
        <w:spacing w:after="0" w:line="276" w:lineRule="auto"/>
        <w:rPr>
          <w:rFonts w:ascii="Verdana" w:eastAsia="Times New Roman" w:hAnsi="Verdana" w:cs="Arial"/>
          <w:lang w:eastAsia="es-CO"/>
        </w:rPr>
      </w:pPr>
      <w:bookmarkStart w:id="5" w:name="_Hlk117695077"/>
    </w:p>
    <w:p w14:paraId="2BFBCFEB" w14:textId="77777777" w:rsidR="00C63205" w:rsidRPr="007F092D" w:rsidRDefault="00C63205" w:rsidP="00C63205">
      <w:pPr>
        <w:spacing w:after="0" w:line="276" w:lineRule="auto"/>
        <w:rPr>
          <w:rFonts w:ascii="Verdana" w:eastAsia="Times New Roman" w:hAnsi="Verdana" w:cs="Arial"/>
          <w:lang w:eastAsia="es-CO"/>
        </w:rPr>
      </w:pPr>
      <w:r w:rsidRPr="007F092D">
        <w:rPr>
          <w:rFonts w:ascii="Verdana" w:eastAsia="Times New Roman" w:hAnsi="Verdana" w:cs="Arial"/>
          <w:lang w:eastAsia="es-CO"/>
        </w:rPr>
        <w:t>Atentamente,</w:t>
      </w:r>
    </w:p>
    <w:p w14:paraId="052D8703" w14:textId="618D95A6" w:rsidR="00CA5E06" w:rsidRPr="00CA5E06" w:rsidRDefault="00C63205" w:rsidP="00CA5E06">
      <w:pPr>
        <w:spacing w:after="0" w:line="276" w:lineRule="auto"/>
        <w:jc w:val="center"/>
        <w:rPr>
          <w:rFonts w:ascii="Verdana" w:eastAsia="Times New Roman" w:hAnsi="Verdana" w:cs="Arial"/>
          <w:lang w:eastAsia="es-CO"/>
        </w:rPr>
      </w:pPr>
      <w:r w:rsidRPr="007F092D">
        <w:rPr>
          <w:rFonts w:ascii="Verdana" w:eastAsia="Times New Roman" w:hAnsi="Verdana" w:cs="Arial"/>
          <w:lang w:eastAsia="es-CO"/>
        </w:rPr>
        <w:t xml:space="preserve"> </w:t>
      </w:r>
      <w:r w:rsidR="00CA5E06" w:rsidRPr="00CA5E06">
        <w:rPr>
          <w:rFonts w:ascii="Verdana" w:eastAsia="Times New Roman" w:hAnsi="Verdana" w:cs="Arial"/>
          <w:noProof/>
          <w:lang w:eastAsia="es-CO"/>
        </w:rPr>
        <w:drawing>
          <wp:inline distT="0" distB="0" distL="0" distR="0" wp14:anchorId="4BBBF833" wp14:editId="7A7174F9">
            <wp:extent cx="2469736" cy="917698"/>
            <wp:effectExtent l="0" t="0" r="6985" b="0"/>
            <wp:docPr id="360122763"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122763" name="Imagen 2" descr="Texto&#10;&#10;El contenido generado por IA puede ser incorrecto."/>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94474" cy="926890"/>
                    </a:xfrm>
                    <a:prstGeom prst="rect">
                      <a:avLst/>
                    </a:prstGeom>
                    <a:noFill/>
                    <a:ln>
                      <a:noFill/>
                    </a:ln>
                  </pic:spPr>
                </pic:pic>
              </a:graphicData>
            </a:graphic>
          </wp:inline>
        </w:drawing>
      </w:r>
    </w:p>
    <w:p w14:paraId="76643D2A" w14:textId="3EA12055" w:rsidR="00C63205" w:rsidRPr="007F092D" w:rsidRDefault="00C63205" w:rsidP="00C63205">
      <w:pPr>
        <w:spacing w:after="0" w:line="276" w:lineRule="auto"/>
        <w:jc w:val="center"/>
        <w:rPr>
          <w:rFonts w:ascii="Verdana" w:eastAsia="Times New Roman" w:hAnsi="Verdana" w:cs="Arial"/>
          <w:lang w:eastAsia="es-CO"/>
        </w:rPr>
      </w:pPr>
    </w:p>
    <w:bookmarkEnd w:id="5"/>
    <w:p w14:paraId="7E8B6971" w14:textId="77777777" w:rsidR="00C63205" w:rsidRPr="007F092D" w:rsidRDefault="00C63205" w:rsidP="00C63205">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63205" w:rsidRPr="007F092D" w14:paraId="05B49BB0" w14:textId="77777777" w:rsidTr="00A6272A">
        <w:trPr>
          <w:trHeight w:val="315"/>
        </w:trPr>
        <w:tc>
          <w:tcPr>
            <w:tcW w:w="893" w:type="dxa"/>
            <w:vAlign w:val="center"/>
            <w:hideMark/>
          </w:tcPr>
          <w:p w14:paraId="4559178D" w14:textId="77777777" w:rsidR="00C63205" w:rsidRPr="007F092D" w:rsidRDefault="00C63205" w:rsidP="00A6272A">
            <w:pPr>
              <w:spacing w:line="276" w:lineRule="auto"/>
              <w:rPr>
                <w:rFonts w:ascii="Verdana" w:eastAsia="Times New Roman" w:hAnsi="Verdana" w:cs="Arial"/>
                <w:color w:val="000000"/>
                <w:sz w:val="16"/>
                <w:szCs w:val="16"/>
                <w:lang w:val="es-ES" w:eastAsia="es-ES"/>
              </w:rPr>
            </w:pPr>
            <w:r w:rsidRPr="007F092D">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05E94DAC" w14:textId="77777777" w:rsidR="00C63205" w:rsidRPr="007F092D" w:rsidRDefault="00C63205" w:rsidP="00A6272A">
            <w:pPr>
              <w:spacing w:line="276" w:lineRule="auto"/>
              <w:rPr>
                <w:rFonts w:ascii="Verdana" w:eastAsia="Arial" w:hAnsi="Verdana" w:cs="Arial"/>
                <w:color w:val="000000"/>
                <w:sz w:val="16"/>
                <w:szCs w:val="16"/>
              </w:rPr>
            </w:pPr>
            <w:r w:rsidRPr="007F092D">
              <w:rPr>
                <w:rFonts w:ascii="Verdana" w:eastAsia="Arial" w:hAnsi="Verdana" w:cs="Arial"/>
                <w:color w:val="000000"/>
                <w:sz w:val="16"/>
                <w:szCs w:val="16"/>
              </w:rPr>
              <w:t>Ángela María Olmos Andrade</w:t>
            </w:r>
          </w:p>
          <w:p w14:paraId="625583F8" w14:textId="77777777" w:rsidR="00C63205" w:rsidRPr="007F092D" w:rsidRDefault="00C63205" w:rsidP="00A6272A">
            <w:pPr>
              <w:spacing w:line="276" w:lineRule="auto"/>
              <w:rPr>
                <w:rFonts w:ascii="Verdana" w:eastAsia="Arial" w:hAnsi="Verdana" w:cs="Arial"/>
                <w:color w:val="000000"/>
                <w:sz w:val="16"/>
                <w:szCs w:val="16"/>
              </w:rPr>
            </w:pPr>
            <w:r w:rsidRPr="007F092D">
              <w:rPr>
                <w:rFonts w:ascii="Verdana" w:eastAsia="Arial" w:hAnsi="Verdana" w:cs="Arial"/>
                <w:color w:val="000000"/>
                <w:sz w:val="16"/>
                <w:szCs w:val="16"/>
              </w:rPr>
              <w:t>Analista T2 - 02 de la Subdirección de Gestión Contractual</w:t>
            </w:r>
          </w:p>
        </w:tc>
      </w:tr>
      <w:tr w:rsidR="00C63205" w:rsidRPr="007F092D" w14:paraId="72C83E60" w14:textId="77777777" w:rsidTr="00A6272A">
        <w:trPr>
          <w:trHeight w:val="330"/>
        </w:trPr>
        <w:tc>
          <w:tcPr>
            <w:tcW w:w="893" w:type="dxa"/>
            <w:vAlign w:val="center"/>
            <w:hideMark/>
          </w:tcPr>
          <w:p w14:paraId="7CC55333" w14:textId="77777777" w:rsidR="00C63205" w:rsidRPr="007F092D" w:rsidRDefault="00C63205" w:rsidP="00A6272A">
            <w:pPr>
              <w:spacing w:line="276" w:lineRule="auto"/>
              <w:rPr>
                <w:rFonts w:ascii="Verdana" w:eastAsia="Times New Roman" w:hAnsi="Verdana" w:cs="Arial"/>
                <w:color w:val="000000"/>
                <w:sz w:val="16"/>
                <w:szCs w:val="16"/>
                <w:lang w:val="es-ES" w:eastAsia="es-ES"/>
              </w:rPr>
            </w:pPr>
            <w:r w:rsidRPr="007F092D">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3915C86F" w14:textId="77777777" w:rsidR="00C63205" w:rsidRPr="007F092D" w:rsidRDefault="00C63205" w:rsidP="00A6272A">
            <w:pPr>
              <w:spacing w:line="276" w:lineRule="auto"/>
              <w:rPr>
                <w:rFonts w:ascii="Verdana" w:eastAsia="Times New Roman" w:hAnsi="Verdana" w:cs="Arial"/>
                <w:color w:val="000000"/>
                <w:sz w:val="16"/>
                <w:szCs w:val="16"/>
              </w:rPr>
            </w:pPr>
            <w:r w:rsidRPr="007F092D">
              <w:rPr>
                <w:rFonts w:ascii="Verdana" w:eastAsia="Times New Roman" w:hAnsi="Verdana" w:cs="Arial"/>
                <w:color w:val="000000"/>
                <w:sz w:val="16"/>
                <w:szCs w:val="16"/>
              </w:rPr>
              <w:t>Diana Lucia Saavedra</w:t>
            </w:r>
          </w:p>
          <w:p w14:paraId="13B71C60" w14:textId="77777777" w:rsidR="00C63205" w:rsidRPr="007F092D" w:rsidRDefault="00C63205" w:rsidP="00A6272A">
            <w:pPr>
              <w:spacing w:line="276" w:lineRule="auto"/>
              <w:textAlignment w:val="baseline"/>
              <w:rPr>
                <w:rFonts w:ascii="Verdana" w:eastAsia="Times New Roman" w:hAnsi="Verdana" w:cs="Arial"/>
                <w:color w:val="000000"/>
                <w:sz w:val="16"/>
                <w:szCs w:val="16"/>
              </w:rPr>
            </w:pPr>
            <w:r w:rsidRPr="007F092D">
              <w:rPr>
                <w:rFonts w:ascii="Verdana" w:eastAsia="Times New Roman" w:hAnsi="Verdana" w:cs="Arial"/>
                <w:color w:val="000000"/>
                <w:sz w:val="16"/>
                <w:szCs w:val="16"/>
              </w:rPr>
              <w:t>Contratista de la Subdirección de Gestión Contractual</w:t>
            </w:r>
          </w:p>
        </w:tc>
      </w:tr>
      <w:tr w:rsidR="00C63205" w:rsidRPr="007F092D" w14:paraId="5FBE8382" w14:textId="77777777" w:rsidTr="00A6272A">
        <w:trPr>
          <w:trHeight w:val="300"/>
        </w:trPr>
        <w:tc>
          <w:tcPr>
            <w:tcW w:w="893" w:type="dxa"/>
            <w:vAlign w:val="center"/>
            <w:hideMark/>
          </w:tcPr>
          <w:p w14:paraId="070DEF3A" w14:textId="77777777" w:rsidR="00C63205" w:rsidRPr="007F092D" w:rsidRDefault="00C63205" w:rsidP="00A6272A">
            <w:pPr>
              <w:spacing w:line="276" w:lineRule="auto"/>
              <w:rPr>
                <w:rFonts w:ascii="Verdana" w:eastAsia="Times New Roman" w:hAnsi="Verdana" w:cs="Arial"/>
                <w:color w:val="000000"/>
                <w:sz w:val="16"/>
                <w:szCs w:val="16"/>
                <w:lang w:val="es-ES" w:eastAsia="es-ES"/>
              </w:rPr>
            </w:pPr>
            <w:r w:rsidRPr="007F092D">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hideMark/>
          </w:tcPr>
          <w:p w14:paraId="3C9F2B69" w14:textId="77777777" w:rsidR="00C63205" w:rsidRPr="007F092D" w:rsidRDefault="00C63205" w:rsidP="00A6272A">
            <w:pPr>
              <w:spacing w:line="276" w:lineRule="auto"/>
              <w:rPr>
                <w:rFonts w:ascii="Verdana" w:eastAsia="Times New Roman" w:hAnsi="Verdana" w:cs="Arial"/>
                <w:color w:val="000000"/>
                <w:sz w:val="16"/>
                <w:szCs w:val="16"/>
              </w:rPr>
            </w:pPr>
            <w:r w:rsidRPr="007F092D">
              <w:rPr>
                <w:rFonts w:ascii="Verdana" w:eastAsia="Times New Roman" w:hAnsi="Verdana" w:cs="Arial"/>
                <w:color w:val="000000"/>
                <w:sz w:val="16"/>
                <w:szCs w:val="16"/>
              </w:rPr>
              <w:t>Carolina Quintero Gacharná</w:t>
            </w:r>
          </w:p>
          <w:p w14:paraId="41511C7B" w14:textId="77777777" w:rsidR="00C63205" w:rsidRPr="007F092D" w:rsidRDefault="00C63205" w:rsidP="00A6272A">
            <w:pPr>
              <w:spacing w:line="276" w:lineRule="auto"/>
              <w:rPr>
                <w:rFonts w:ascii="Verdana" w:eastAsia="Times New Roman" w:hAnsi="Verdana" w:cs="Arial"/>
                <w:color w:val="000000"/>
                <w:sz w:val="16"/>
                <w:szCs w:val="16"/>
              </w:rPr>
            </w:pPr>
            <w:r w:rsidRPr="007F092D">
              <w:rPr>
                <w:rFonts w:ascii="Verdana" w:eastAsia="Times New Roman" w:hAnsi="Verdana" w:cs="Arial"/>
                <w:color w:val="000000"/>
                <w:sz w:val="16"/>
                <w:szCs w:val="16"/>
              </w:rPr>
              <w:t>Subdirectora de Gestión Contractual ANCP – CCE</w:t>
            </w:r>
          </w:p>
        </w:tc>
      </w:tr>
      <w:bookmarkEnd w:id="1"/>
    </w:tbl>
    <w:p w14:paraId="0F293BF4" w14:textId="66F07E77" w:rsidR="00127233" w:rsidRPr="007F092D" w:rsidRDefault="00127233" w:rsidP="00CA5E06">
      <w:pPr>
        <w:spacing w:after="0" w:line="240" w:lineRule="auto"/>
        <w:jc w:val="both"/>
        <w:textAlignment w:val="baseline"/>
        <w:rPr>
          <w:rFonts w:ascii="Verdana" w:eastAsia="Times New Roman" w:hAnsi="Verdana" w:cs="Segoe UI"/>
          <w:lang w:eastAsia="es-CO"/>
        </w:rPr>
      </w:pPr>
    </w:p>
    <w:sectPr w:rsidR="00127233" w:rsidRPr="007F092D"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2ACE88" w14:textId="77777777" w:rsidR="002E4DBF" w:rsidRDefault="002E4DBF" w:rsidP="004A1847">
      <w:pPr>
        <w:spacing w:after="0" w:line="240" w:lineRule="auto"/>
      </w:pPr>
      <w:r>
        <w:separator/>
      </w:r>
    </w:p>
  </w:endnote>
  <w:endnote w:type="continuationSeparator" w:id="0">
    <w:p w14:paraId="34C224E6" w14:textId="77777777" w:rsidR="002E4DBF" w:rsidRDefault="002E4DB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81055C" w14:textId="77777777" w:rsidR="002E4DBF" w:rsidRDefault="002E4DBF" w:rsidP="004A1847">
      <w:pPr>
        <w:spacing w:after="0" w:line="240" w:lineRule="auto"/>
      </w:pPr>
      <w:r>
        <w:separator/>
      </w:r>
    </w:p>
  </w:footnote>
  <w:footnote w:type="continuationSeparator" w:id="0">
    <w:p w14:paraId="18A0A3C4" w14:textId="77777777" w:rsidR="002E4DBF" w:rsidRDefault="002E4DBF" w:rsidP="004A1847">
      <w:pPr>
        <w:spacing w:after="0" w:line="240" w:lineRule="auto"/>
      </w:pPr>
      <w:r>
        <w:continuationSeparator/>
      </w:r>
    </w:p>
  </w:footnote>
  <w:footnote w:id="1">
    <w:p w14:paraId="57C9EEC2" w14:textId="77777777" w:rsidR="00C63205" w:rsidRDefault="00C63205" w:rsidP="00C63205">
      <w:pPr>
        <w:pStyle w:val="Textonotapie"/>
        <w:ind w:firstLine="708"/>
        <w:jc w:val="both"/>
        <w:rPr>
          <w:rFonts w:ascii="Verdana" w:hAnsi="Verdana"/>
          <w:sz w:val="19"/>
          <w:szCs w:val="19"/>
        </w:rPr>
      </w:pPr>
      <w:r>
        <w:rPr>
          <w:rStyle w:val="Refdenotaalpie"/>
          <w:rFonts w:ascii="Verdana" w:hAnsi="Verdana"/>
          <w:sz w:val="19"/>
          <w:szCs w:val="19"/>
        </w:rPr>
        <w:footnoteRef/>
      </w:r>
      <w:r>
        <w:rPr>
          <w:rFonts w:ascii="Verdana" w:hAnsi="Verdana"/>
          <w:sz w:val="19"/>
          <w:szCs w:val="19"/>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78D9780B" w14:textId="77777777" w:rsidR="00C63205" w:rsidRDefault="00C63205" w:rsidP="00C63205">
      <w:pPr>
        <w:pStyle w:val="Textonotapie"/>
        <w:ind w:firstLine="708"/>
        <w:jc w:val="both"/>
        <w:rPr>
          <w:rFonts w:ascii="Verdana" w:hAnsi="Verdana"/>
          <w:sz w:val="19"/>
          <w:szCs w:val="19"/>
        </w:rPr>
      </w:pPr>
    </w:p>
    <w:p w14:paraId="49DF2998" w14:textId="77777777" w:rsidR="00C63205" w:rsidRDefault="00C63205" w:rsidP="00C63205">
      <w:pPr>
        <w:pStyle w:val="Textonotapie"/>
        <w:ind w:firstLine="708"/>
        <w:jc w:val="both"/>
        <w:rPr>
          <w:rFonts w:ascii="Verdana" w:hAnsi="Verdana"/>
          <w:sz w:val="19"/>
          <w:szCs w:val="19"/>
        </w:rPr>
      </w:pPr>
      <w:r>
        <w:rPr>
          <w:rFonts w:ascii="Verdana" w:hAnsi="Verdana"/>
          <w:sz w:val="19"/>
          <w:szCs w:val="19"/>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114B7FC4" w14:textId="77777777" w:rsidR="00C63205" w:rsidRDefault="00C63205" w:rsidP="00C63205">
      <w:pPr>
        <w:pStyle w:val="Textonotapie"/>
        <w:ind w:firstLine="708"/>
        <w:jc w:val="both"/>
        <w:rPr>
          <w:rFonts w:ascii="Verdana" w:hAnsi="Verdana"/>
          <w:sz w:val="19"/>
          <w:szCs w:val="19"/>
        </w:rPr>
      </w:pPr>
    </w:p>
    <w:p w14:paraId="187149FD" w14:textId="77777777" w:rsidR="00C63205" w:rsidRDefault="00C63205" w:rsidP="00C63205">
      <w:pPr>
        <w:pStyle w:val="Textonotapie"/>
        <w:ind w:firstLine="708"/>
        <w:jc w:val="both"/>
        <w:rPr>
          <w:rFonts w:ascii="Verdana" w:hAnsi="Verdana"/>
          <w:sz w:val="19"/>
          <w:szCs w:val="19"/>
        </w:rPr>
      </w:pPr>
      <w:r>
        <w:rPr>
          <w:rFonts w:ascii="Verdana" w:hAnsi="Verdana"/>
          <w:sz w:val="19"/>
          <w:szCs w:val="19"/>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footnote>
  <w:footnote w:id="2">
    <w:p w14:paraId="4D3022D6" w14:textId="77777777" w:rsidR="00C63205" w:rsidRPr="006628D9" w:rsidRDefault="00C63205" w:rsidP="00C63205">
      <w:pPr>
        <w:spacing w:after="0" w:line="240" w:lineRule="auto"/>
        <w:ind w:firstLine="708"/>
        <w:jc w:val="both"/>
        <w:rPr>
          <w:rFonts w:ascii="Verdana" w:eastAsia="Calibri" w:hAnsi="Verdana" w:cs="Arial"/>
          <w:bCs/>
          <w:color w:val="000000" w:themeColor="text1"/>
          <w:sz w:val="19"/>
          <w:szCs w:val="19"/>
        </w:rPr>
      </w:pPr>
      <w:r w:rsidRPr="006628D9">
        <w:rPr>
          <w:rStyle w:val="Refdenotaalpie"/>
          <w:rFonts w:ascii="Verdana" w:hAnsi="Verdana" w:cs="Arial"/>
          <w:color w:val="000000" w:themeColor="text1"/>
          <w:sz w:val="19"/>
          <w:szCs w:val="19"/>
        </w:rPr>
        <w:footnoteRef/>
      </w:r>
      <w:r w:rsidRPr="006628D9">
        <w:rPr>
          <w:rFonts w:ascii="Verdana" w:hAnsi="Verdana" w:cs="Arial"/>
          <w:color w:val="000000" w:themeColor="text1"/>
          <w:sz w:val="19"/>
          <w:szCs w:val="19"/>
        </w:rPr>
        <w:t xml:space="preserve"> </w:t>
      </w:r>
      <w:r w:rsidRPr="006628D9">
        <w:rPr>
          <w:rFonts w:ascii="Verdana" w:eastAsia="Calibri" w:hAnsi="Verdana" w:cs="Arial"/>
          <w:bCs/>
          <w:color w:val="000000" w:themeColor="text1"/>
          <w:sz w:val="19"/>
          <w:szCs w:val="19"/>
        </w:rPr>
        <w:t>Entre estas se encuentra el artículo 3 de la Resolución 725 del 19 de diciembre de 2024, que dispone: “</w:t>
      </w:r>
      <w:r w:rsidRPr="006628D9">
        <w:rPr>
          <w:rFonts w:ascii="Verdana" w:hAnsi="Verdana"/>
          <w:color w:val="000000" w:themeColor="text1"/>
          <w:sz w:val="19"/>
          <w:szCs w:val="19"/>
        </w:rPr>
        <w:t>Inalterabilidad de los documentos tipo. De conformidad con el artículo 1 de la Ley 2022 de 2020, los documentos tipo son obligatorios en la actividad contractual de las entidades estatales sometidas al Estatuto General de Contratación de la Administración Pública, patrimonios autónomos o personas naturales o jurídicas de derecho público o privado que por mandato legal estén obligadas a su aplicación. En consecuencia, los obligados a su aplicación, al adelantar sus procedimientos de selección, solo podrán modificarlos en los aspectos en que los documentos tipo lo permitan”.</w:t>
      </w:r>
    </w:p>
  </w:footnote>
  <w:footnote w:id="3">
    <w:p w14:paraId="0059795E" w14:textId="77777777" w:rsidR="00C63205" w:rsidRPr="001961FA" w:rsidRDefault="00C63205" w:rsidP="00C63205">
      <w:pPr>
        <w:spacing w:after="0" w:line="240" w:lineRule="auto"/>
        <w:ind w:right="49" w:firstLine="709"/>
        <w:jc w:val="both"/>
        <w:rPr>
          <w:rFonts w:ascii="Verdana" w:hAnsi="Verdana" w:cs="Arial"/>
          <w:sz w:val="18"/>
          <w:szCs w:val="18"/>
        </w:rPr>
      </w:pPr>
      <w:r w:rsidRPr="001961FA">
        <w:rPr>
          <w:rStyle w:val="Refdenotaalpie"/>
          <w:rFonts w:ascii="Verdana" w:hAnsi="Verdana" w:cs="Arial"/>
          <w:sz w:val="18"/>
          <w:szCs w:val="18"/>
        </w:rPr>
        <w:footnoteRef/>
      </w:r>
      <w:r w:rsidRPr="001961FA">
        <w:rPr>
          <w:rFonts w:ascii="Verdana" w:hAnsi="Verdana" w:cs="Arial"/>
          <w:sz w:val="18"/>
          <w:szCs w:val="18"/>
        </w:rPr>
        <w:t xml:space="preserve"> Corte Constitucional. Sentencia C-697 del 14 de junio de 2000. M.P: Eduardo Cifuentes Muñoz.</w:t>
      </w:r>
    </w:p>
    <w:p w14:paraId="0391C825" w14:textId="77777777" w:rsidR="00C63205" w:rsidRPr="001961FA" w:rsidRDefault="00C63205" w:rsidP="00C63205">
      <w:pPr>
        <w:pStyle w:val="Textonotapie"/>
        <w:ind w:right="49"/>
        <w:jc w:val="both"/>
        <w:rPr>
          <w:rFonts w:ascii="Verdana" w:hAnsi="Verdana" w:cs="Arial"/>
          <w:sz w:val="18"/>
          <w:szCs w:val="18"/>
          <w:lang w:val="es-CO"/>
        </w:rPr>
      </w:pPr>
    </w:p>
  </w:footnote>
  <w:footnote w:id="4">
    <w:p w14:paraId="1BDC0860" w14:textId="77777777" w:rsidR="00C63205" w:rsidRPr="001961FA" w:rsidRDefault="00C63205" w:rsidP="00C63205">
      <w:pPr>
        <w:pStyle w:val="Textonotapie"/>
        <w:ind w:right="49" w:firstLine="708"/>
        <w:jc w:val="both"/>
        <w:rPr>
          <w:rFonts w:ascii="Verdana" w:hAnsi="Verdana" w:cs="Arial"/>
          <w:sz w:val="18"/>
          <w:szCs w:val="18"/>
          <w:lang w:val="es-CO"/>
        </w:rPr>
      </w:pPr>
      <w:r w:rsidRPr="001961FA">
        <w:rPr>
          <w:rStyle w:val="Refdenotaalpie"/>
          <w:rFonts w:ascii="Verdana" w:hAnsi="Verdana"/>
          <w:sz w:val="18"/>
          <w:szCs w:val="18"/>
        </w:rPr>
        <w:footnoteRef/>
      </w:r>
      <w:r w:rsidRPr="001961FA">
        <w:rPr>
          <w:rFonts w:ascii="Verdana" w:hAnsi="Verdana"/>
          <w:sz w:val="18"/>
          <w:szCs w:val="18"/>
        </w:rPr>
        <w:t xml:space="preserve"> </w:t>
      </w:r>
      <w:r w:rsidRPr="001961FA">
        <w:rPr>
          <w:rFonts w:ascii="Verdana" w:hAnsi="Verdana" w:cs="Arial"/>
          <w:sz w:val="18"/>
          <w:szCs w:val="18"/>
          <w:lang w:val="es-CO"/>
        </w:rPr>
        <w:t>El Consejo Profesional Nacional de Ingeniería -COPNIA-, como entidad encargada de controlar, inspeccionar y vigilar el ejercicio de la ingeniería, de sus profesiones afines y de sus profesiones auxiliares, de acuerdo con lo dispuesto por el artículo 26 de la Ley 842 de 2003, tiene como función emitir conceptos y responder consultas sobre aspectos relacionados con el ejercicio de la ingeniería, sus profesiones afines y sus profesiones auxiliares, cuando así se le solicite para cualquier efecto legal o profesional.</w:t>
      </w:r>
    </w:p>
    <w:p w14:paraId="633A0F82" w14:textId="77777777" w:rsidR="00C63205" w:rsidRPr="001961FA" w:rsidRDefault="00C63205" w:rsidP="00C63205">
      <w:pPr>
        <w:pStyle w:val="Textonotapie"/>
        <w:ind w:right="49" w:firstLine="708"/>
        <w:jc w:val="both"/>
        <w:rPr>
          <w:rFonts w:ascii="Verdana" w:hAnsi="Verdana"/>
          <w:sz w:val="18"/>
          <w:szCs w:val="18"/>
          <w:lang w:val="es-CO"/>
        </w:rPr>
      </w:pPr>
    </w:p>
  </w:footnote>
  <w:footnote w:id="5">
    <w:p w14:paraId="60DC1019" w14:textId="77777777" w:rsidR="00C63205" w:rsidRPr="001961FA" w:rsidRDefault="00C63205" w:rsidP="00C63205">
      <w:pPr>
        <w:pStyle w:val="Textonotapie"/>
        <w:ind w:right="49" w:firstLine="720"/>
        <w:jc w:val="both"/>
        <w:rPr>
          <w:rFonts w:ascii="Verdana" w:hAnsi="Verdana" w:cs="Arial"/>
          <w:color w:val="000000"/>
          <w:sz w:val="18"/>
          <w:szCs w:val="18"/>
        </w:rPr>
      </w:pPr>
      <w:r w:rsidRPr="001961FA">
        <w:rPr>
          <w:rStyle w:val="Refdenotaalpie"/>
          <w:rFonts w:ascii="Verdana" w:hAnsi="Verdana" w:cs="Arial"/>
          <w:color w:val="000000"/>
          <w:sz w:val="18"/>
          <w:szCs w:val="18"/>
        </w:rPr>
        <w:footnoteRef/>
      </w:r>
      <w:r w:rsidRPr="001961FA">
        <w:rPr>
          <w:rFonts w:ascii="Verdana" w:hAnsi="Verdana" w:cs="Arial"/>
          <w:color w:val="000000"/>
          <w:sz w:val="18"/>
          <w:szCs w:val="18"/>
        </w:rPr>
        <w:t xml:space="preserve"> Corte Constitucional. Sentencia C-191 de 2005: “Además, el parámetro empleado por el legislador en el inciso primero del artículo es objetivo, claro e inteligible, puesto que se refiere precisamente a ‘actividades catalogadas como ejercicio de la ingeniería’, actividades que como se mostró, se encuentran definidas por la ley [ver apartados 4.1.2.1. y siguientes]. El artículo tiene por objeto únicamente el ejercicio de la ingeniería; en tal sentido no comprende todo lo eventualmente relacionado con la</w:t>
      </w:r>
      <w:r w:rsidRPr="001961FA">
        <w:rPr>
          <w:rFonts w:ascii="Verdana" w:hAnsi="Verdana" w:cs="Arial"/>
          <w:color w:val="000000"/>
          <w:spacing w:val="-13"/>
          <w:sz w:val="18"/>
          <w:szCs w:val="18"/>
        </w:rPr>
        <w:t xml:space="preserve"> </w:t>
      </w:r>
      <w:r w:rsidRPr="001961FA">
        <w:rPr>
          <w:rFonts w:ascii="Verdana" w:hAnsi="Verdana" w:cs="Arial"/>
          <w:color w:val="000000"/>
          <w:sz w:val="18"/>
          <w:szCs w:val="18"/>
        </w:rPr>
        <w:t xml:space="preserve">ingeniería”. </w:t>
      </w:r>
    </w:p>
    <w:p w14:paraId="75626BEA" w14:textId="77777777" w:rsidR="00C63205" w:rsidRPr="001961FA" w:rsidRDefault="00C63205" w:rsidP="00C63205">
      <w:pPr>
        <w:pStyle w:val="Textonotapie"/>
        <w:ind w:right="49" w:firstLine="720"/>
        <w:jc w:val="both"/>
        <w:rPr>
          <w:rFonts w:ascii="Verdana" w:hAnsi="Verdana" w:cs="Arial"/>
          <w:color w:val="000000"/>
          <w:sz w:val="18"/>
          <w:szCs w:val="18"/>
          <w:lang w:val="es-CO"/>
        </w:rPr>
      </w:pPr>
    </w:p>
  </w:footnote>
  <w:footnote w:id="6">
    <w:p w14:paraId="5BD2F23B" w14:textId="77777777" w:rsidR="00C63205" w:rsidRPr="001961FA" w:rsidRDefault="00C63205" w:rsidP="00C63205">
      <w:pPr>
        <w:spacing w:after="0" w:line="240" w:lineRule="auto"/>
        <w:ind w:right="49" w:firstLine="720"/>
        <w:jc w:val="both"/>
        <w:rPr>
          <w:rFonts w:ascii="Verdana" w:hAnsi="Verdana" w:cs="Arial"/>
          <w:color w:val="000000"/>
          <w:sz w:val="18"/>
          <w:szCs w:val="18"/>
        </w:rPr>
      </w:pPr>
      <w:r w:rsidRPr="001961FA">
        <w:rPr>
          <w:rStyle w:val="Refdenotaalpie"/>
          <w:rFonts w:ascii="Verdana" w:hAnsi="Verdana" w:cs="Arial"/>
          <w:color w:val="000000"/>
          <w:sz w:val="18"/>
          <w:szCs w:val="18"/>
        </w:rPr>
        <w:footnoteRef/>
      </w:r>
      <w:r w:rsidRPr="001961FA">
        <w:rPr>
          <w:rFonts w:ascii="Verdana" w:hAnsi="Verdana" w:cs="Arial"/>
          <w:color w:val="000000"/>
          <w:sz w:val="18"/>
          <w:szCs w:val="18"/>
        </w:rPr>
        <w:t xml:space="preserve"> Ley 842 de 2003. Artículo 6: “Para poder ejercer legalmente la Ingeniería, sus profesiones afines o sus profesiones auxiliares en el territorio nacional, en las ramas o especialidades regidas por la presente ley, se requiere estar matriculado o inscrito en el Registro Profesional respectivo, que seguirá llevando el </w:t>
      </w:r>
      <w:r w:rsidRPr="001961FA">
        <w:rPr>
          <w:rFonts w:ascii="Verdana" w:hAnsi="Verdana" w:cs="Arial"/>
          <w:color w:val="000000"/>
          <w:sz w:val="18"/>
          <w:szCs w:val="18"/>
        </w:rPr>
        <w:t>Copnia, lo cual se acreditará con la presentación de la tarjeta o documento adoptado por este para tal fin”.</w:t>
      </w:r>
    </w:p>
    <w:p w14:paraId="46A3B5F2" w14:textId="77777777" w:rsidR="00C63205" w:rsidRPr="001961FA" w:rsidRDefault="00C63205" w:rsidP="00C63205">
      <w:pPr>
        <w:spacing w:after="0" w:line="240" w:lineRule="auto"/>
        <w:ind w:right="49" w:firstLine="720"/>
        <w:jc w:val="both"/>
        <w:rPr>
          <w:rFonts w:ascii="Verdana" w:hAnsi="Verdana" w:cs="Arial"/>
          <w:color w:val="000000"/>
          <w:sz w:val="18"/>
          <w:szCs w:val="18"/>
        </w:rPr>
      </w:pPr>
    </w:p>
  </w:footnote>
  <w:footnote w:id="7">
    <w:p w14:paraId="1187F011" w14:textId="77777777" w:rsidR="00C63205" w:rsidRDefault="00C63205" w:rsidP="00C63205">
      <w:pPr>
        <w:pStyle w:val="Textonotapie"/>
        <w:ind w:firstLine="708"/>
        <w:jc w:val="both"/>
        <w:rPr>
          <w:rFonts w:ascii="Verdana" w:hAnsi="Verdana" w:cs="Arial"/>
          <w:sz w:val="18"/>
          <w:szCs w:val="18"/>
          <w:lang w:val="es-CO"/>
        </w:rPr>
      </w:pPr>
      <w:r w:rsidRPr="001961FA">
        <w:rPr>
          <w:rStyle w:val="Refdenotaalpie"/>
          <w:rFonts w:ascii="Verdana" w:hAnsi="Verdana"/>
          <w:sz w:val="18"/>
          <w:szCs w:val="18"/>
        </w:rPr>
        <w:footnoteRef/>
      </w:r>
      <w:r w:rsidRPr="001961FA">
        <w:rPr>
          <w:rFonts w:ascii="Verdana" w:hAnsi="Verdana"/>
          <w:sz w:val="18"/>
          <w:szCs w:val="18"/>
        </w:rPr>
        <w:t xml:space="preserve"> </w:t>
      </w:r>
      <w:r w:rsidRPr="001961FA">
        <w:rPr>
          <w:rFonts w:ascii="Verdana" w:hAnsi="Verdana" w:cs="Arial"/>
          <w:sz w:val="18"/>
          <w:szCs w:val="18"/>
          <w:lang w:val="es-CO"/>
        </w:rPr>
        <w:t>El Consejo Profesional Nacional de Ingeniería -COPNIA-, como entidad encargada de controlar, inspeccionar y vigilar el ejercicio de la ingeniería, de sus profesiones afines y de sus profesiones auxiliares, de acuerdo con lo dispuesto por el artículo 26 de la Ley 842 de 2003, tiene como función emitir conceptos y responder consultas sobre aspectos relacionados con el ejercicio de la ingeniería, sus profesiones afines y sus profesiones auxiliares, cuando así se le solicite para cualquier efecto legal o profesional.</w:t>
      </w:r>
    </w:p>
    <w:p w14:paraId="271165EA" w14:textId="77777777" w:rsidR="00C63205" w:rsidRPr="001961FA" w:rsidRDefault="00C63205" w:rsidP="00C63205">
      <w:pPr>
        <w:pStyle w:val="Textonotapie"/>
        <w:ind w:firstLine="708"/>
        <w:jc w:val="both"/>
        <w:rPr>
          <w:rFonts w:ascii="Verdana" w:hAnsi="Verdana"/>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1B909D19"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62902FB"/>
    <w:multiLevelType w:val="hybridMultilevel"/>
    <w:tmpl w:val="FFFFFFFF"/>
    <w:lvl w:ilvl="0" w:tplc="97A661EA">
      <w:start w:val="5"/>
      <w:numFmt w:val="bullet"/>
      <w:lvlText w:val=""/>
      <w:lvlJc w:val="left"/>
      <w:pPr>
        <w:ind w:left="720" w:hanging="360"/>
      </w:pPr>
      <w:rPr>
        <w:rFonts w:ascii="Symbol" w:eastAsia="Times New Roman" w:hAnsi="Symbol" w:hint="default"/>
      </w:rPr>
    </w:lvl>
    <w:lvl w:ilvl="1" w:tplc="240A0003">
      <w:start w:val="1"/>
      <w:numFmt w:val="bullet"/>
      <w:lvlText w:val="o"/>
      <w:lvlJc w:val="left"/>
      <w:pPr>
        <w:ind w:left="1440" w:hanging="360"/>
      </w:pPr>
      <w:rPr>
        <w:rFonts w:ascii="Courier New" w:hAnsi="Courier New" w:cs="Times New Roman"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Times New Roman"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Times New Roman" w:hint="default"/>
      </w:rPr>
    </w:lvl>
    <w:lvl w:ilvl="8" w:tplc="240A0005">
      <w:start w:val="1"/>
      <w:numFmt w:val="bullet"/>
      <w:lvlText w:val=""/>
      <w:lvlJc w:val="left"/>
      <w:pPr>
        <w:ind w:left="6480"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77136719">
    <w:abstractNumId w:val="5"/>
  </w:num>
  <w:num w:numId="2" w16cid:durableId="352074599">
    <w:abstractNumId w:val="1"/>
  </w:num>
  <w:num w:numId="3" w16cid:durableId="1200319080">
    <w:abstractNumId w:val="3"/>
  </w:num>
  <w:num w:numId="4" w16cid:durableId="29506788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85601302">
    <w:abstractNumId w:val="1"/>
  </w:num>
  <w:num w:numId="6" w16cid:durableId="1782532398">
    <w:abstractNumId w:val="14"/>
  </w:num>
  <w:num w:numId="7" w16cid:durableId="1015034137">
    <w:abstractNumId w:val="4"/>
  </w:num>
  <w:num w:numId="8" w16cid:durableId="1418596224">
    <w:abstractNumId w:val="13"/>
  </w:num>
  <w:num w:numId="9" w16cid:durableId="586965701">
    <w:abstractNumId w:val="6"/>
  </w:num>
  <w:num w:numId="10" w16cid:durableId="1086533638">
    <w:abstractNumId w:val="12"/>
  </w:num>
  <w:num w:numId="11" w16cid:durableId="828136663">
    <w:abstractNumId w:val="7"/>
  </w:num>
  <w:num w:numId="12" w16cid:durableId="9767247">
    <w:abstractNumId w:val="0"/>
  </w:num>
  <w:num w:numId="13" w16cid:durableId="1886793031">
    <w:abstractNumId w:val="2"/>
  </w:num>
  <w:num w:numId="14" w16cid:durableId="1223104276">
    <w:abstractNumId w:val="15"/>
  </w:num>
  <w:num w:numId="15" w16cid:durableId="55321148">
    <w:abstractNumId w:val="10"/>
  </w:num>
  <w:num w:numId="16" w16cid:durableId="1660696115">
    <w:abstractNumId w:val="8"/>
  </w:num>
  <w:num w:numId="17" w16cid:durableId="2038387874">
    <w:abstractNumId w:val="9"/>
  </w:num>
  <w:num w:numId="18" w16cid:durableId="588345812">
    <w:abstractNumId w:val="11"/>
  </w:num>
  <w:num w:numId="19" w16cid:durableId="6449718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0C5E"/>
    <w:rsid w:val="00046945"/>
    <w:rsid w:val="00061B2A"/>
    <w:rsid w:val="0007040D"/>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3B49"/>
    <w:rsid w:val="0025796E"/>
    <w:rsid w:val="002707A2"/>
    <w:rsid w:val="002951A0"/>
    <w:rsid w:val="002962BC"/>
    <w:rsid w:val="002A093D"/>
    <w:rsid w:val="002A0DD0"/>
    <w:rsid w:val="002A49AC"/>
    <w:rsid w:val="002A64FD"/>
    <w:rsid w:val="002C7A84"/>
    <w:rsid w:val="002E2BF8"/>
    <w:rsid w:val="002E4DBF"/>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C0FB8"/>
    <w:rsid w:val="004E3E13"/>
    <w:rsid w:val="004F21C4"/>
    <w:rsid w:val="004F685F"/>
    <w:rsid w:val="00552CD8"/>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7F092D"/>
    <w:rsid w:val="00806F5F"/>
    <w:rsid w:val="00820278"/>
    <w:rsid w:val="008258C9"/>
    <w:rsid w:val="00844AE9"/>
    <w:rsid w:val="00863111"/>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035D3"/>
    <w:rsid w:val="00A122D3"/>
    <w:rsid w:val="00A14468"/>
    <w:rsid w:val="00A17F13"/>
    <w:rsid w:val="00A20739"/>
    <w:rsid w:val="00A23AF9"/>
    <w:rsid w:val="00A33C78"/>
    <w:rsid w:val="00A44AA3"/>
    <w:rsid w:val="00AB0ADB"/>
    <w:rsid w:val="00B00C0E"/>
    <w:rsid w:val="00B01B1A"/>
    <w:rsid w:val="00B0381D"/>
    <w:rsid w:val="00B32CFF"/>
    <w:rsid w:val="00B44A47"/>
    <w:rsid w:val="00B72CD3"/>
    <w:rsid w:val="00B72FFF"/>
    <w:rsid w:val="00BC3D36"/>
    <w:rsid w:val="00BD54A6"/>
    <w:rsid w:val="00BD7F72"/>
    <w:rsid w:val="00BF7425"/>
    <w:rsid w:val="00C04FB3"/>
    <w:rsid w:val="00C11D8B"/>
    <w:rsid w:val="00C15139"/>
    <w:rsid w:val="00C330EB"/>
    <w:rsid w:val="00C50D69"/>
    <w:rsid w:val="00C5365C"/>
    <w:rsid w:val="00C63205"/>
    <w:rsid w:val="00C754BE"/>
    <w:rsid w:val="00C76B1C"/>
    <w:rsid w:val="00C925AC"/>
    <w:rsid w:val="00CA5E06"/>
    <w:rsid w:val="00CB6357"/>
    <w:rsid w:val="00CC1B26"/>
    <w:rsid w:val="00D361FD"/>
    <w:rsid w:val="00D423A2"/>
    <w:rsid w:val="00D44E26"/>
    <w:rsid w:val="00D520D8"/>
    <w:rsid w:val="00D63AC2"/>
    <w:rsid w:val="00D7383B"/>
    <w:rsid w:val="00D7788A"/>
    <w:rsid w:val="00D95DE7"/>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81063"/>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6320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6320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eninlupercio@hotmail.com"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cartilla-para-incentivar-y-fortalecer-el-acceso-las&amp;data=05%7C02%7Cesperanza.contreras%40colombiacompra.gov.co%7Ceb0fd05604104aa4d3bc08dd4c4ad35e%7C7b09041e245149d08cb179d5e3d8c1be%7C0%7C0%7C638750606446508016%7CUnknown%7CTWFpbGZsb3d8eyJFbXB0eU1hcGkiOnRydWUsIlYiOiIwLjAuMDAwMCIsIlAiOiJXaW4zMiIsIkFOIjoiTWFpbCIsIldUIjoyfQ%3D%3D%7C0%7C%7C%7C&amp;sdata=w5yEy%2F7g7%2F%2FIXj5TgaBe1Ucg3Eiuadk9fm7CybX%2F5Gw%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3.xml><?xml version="1.0" encoding="utf-8"?>
<ds:datastoreItem xmlns:ds="http://schemas.openxmlformats.org/officeDocument/2006/customXml" ds:itemID="{6210C79D-AD21-4507-9682-FC6BB144D643}"/>
</file>

<file path=docProps/app.xml><?xml version="1.0" encoding="utf-8"?>
<Properties xmlns="http://schemas.openxmlformats.org/officeDocument/2006/extended-properties" xmlns:vt="http://schemas.openxmlformats.org/officeDocument/2006/docPropsVTypes">
  <Template>Normal</Template>
  <TotalTime>2</TotalTime>
  <Pages>19</Pages>
  <Words>6469</Words>
  <Characters>36358</Characters>
  <Application>Microsoft Office Word</Application>
  <DocSecurity>0</DocSecurity>
  <Lines>699</Lines>
  <Paragraphs>137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3</cp:revision>
  <cp:lastPrinted>2023-01-10T21:18:00Z</cp:lastPrinted>
  <dcterms:created xsi:type="dcterms:W3CDTF">2026-01-05T20:22:00Z</dcterms:created>
  <dcterms:modified xsi:type="dcterms:W3CDTF">2026-01-05T20:35:00Z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