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4E29A6" w14:textId="77777777" w:rsidR="00EF750F" w:rsidRPr="001147E5" w:rsidRDefault="00EF750F" w:rsidP="00EF750F">
      <w:pPr>
        <w:jc w:val="both"/>
        <w:rPr>
          <w:rFonts w:ascii="Verdana" w:hAnsi="Verdana" w:cs="Arial"/>
          <w:b/>
          <w:lang w:val="es-ES_tradnl"/>
        </w:rPr>
      </w:pPr>
      <w:bookmarkStart w:id="0" w:name="_Hlk219711250"/>
      <w:r w:rsidRPr="001147E5">
        <w:rPr>
          <w:rFonts w:ascii="Verdana" w:hAnsi="Verdana" w:cs="Arial"/>
          <w:b/>
          <w:lang w:val="es-ES_tradnl"/>
        </w:rPr>
        <w:t xml:space="preserve">REQUISITOS HABILITANTES ‒ Concepto </w:t>
      </w:r>
    </w:p>
    <w:p w14:paraId="32A0AF1B" w14:textId="77777777" w:rsidR="00EF750F" w:rsidRPr="006B260D" w:rsidRDefault="00EF750F" w:rsidP="00EF750F">
      <w:pPr>
        <w:spacing w:after="120" w:line="240" w:lineRule="auto"/>
        <w:jc w:val="both"/>
        <w:rPr>
          <w:rFonts w:ascii="Verdana" w:eastAsia="Calibri" w:hAnsi="Verdana" w:cs="Arial"/>
          <w:sz w:val="20"/>
          <w:szCs w:val="20"/>
          <w:lang w:val="es-ES" w:eastAsia="es-MX"/>
        </w:rPr>
      </w:pPr>
      <w:r w:rsidRPr="006B260D">
        <w:rPr>
          <w:rFonts w:ascii="Verdana" w:eastAsia="Calibri" w:hAnsi="Verdana" w:cs="Arial"/>
          <w:sz w:val="20"/>
          <w:szCs w:val="20"/>
          <w:lang w:val="es-ES" w:eastAsia="es-MX"/>
        </w:rPr>
        <w:t>Los requisitos habilitantes constituyen los requisitos mínimos con los que deben cumplir los proponentes para poder participar en el procedimiento de selección, razón por la que los mismos no se valoran con un puntaje tendiente a determinar el orden de escogencia, sino que se analizan como criterios previos a la evaluación en sentido estricto. De esta manera, quienes no los reúnan no pueden continuar en el procedimiento de selección, es decir, incurren en causal de rechazo. Esto, sin perjuicio del derecho que tienen los oferentes de subsanar los defectos que se presenten en la prueba de tales requisitos, de conformidad con el artículo 5, parágrafos 1º al 4º, de la Ley 1150 de 2007.</w:t>
      </w:r>
    </w:p>
    <w:bookmarkEnd w:id="0"/>
    <w:p w14:paraId="596A6491" w14:textId="77777777" w:rsidR="00EF750F" w:rsidRPr="001147E5" w:rsidRDefault="00EF750F" w:rsidP="00EF750F">
      <w:pPr>
        <w:spacing w:after="0"/>
        <w:jc w:val="both"/>
        <w:rPr>
          <w:rFonts w:ascii="Verdana" w:eastAsia="Verdana" w:hAnsi="Verdana" w:cs="Verdana"/>
          <w:b/>
        </w:rPr>
      </w:pPr>
    </w:p>
    <w:p w14:paraId="61A0ECA2" w14:textId="77777777" w:rsidR="00EF750F" w:rsidRPr="001147E5" w:rsidRDefault="00EF750F" w:rsidP="00EF750F">
      <w:pPr>
        <w:spacing w:before="120" w:after="120" w:line="276" w:lineRule="auto"/>
        <w:contextualSpacing/>
        <w:jc w:val="both"/>
        <w:rPr>
          <w:rFonts w:ascii="Verdana" w:hAnsi="Verdana" w:cs="Arial"/>
          <w:b/>
          <w:lang w:val="es-ES_tradnl"/>
        </w:rPr>
      </w:pPr>
      <w:r w:rsidRPr="001147E5">
        <w:rPr>
          <w:rFonts w:ascii="Verdana" w:hAnsi="Verdana" w:cs="Arial"/>
          <w:b/>
          <w:lang w:val="es-ES_tradnl"/>
        </w:rPr>
        <w:t xml:space="preserve">REQUISITOS PONDERABLES – Asignación de puntaje </w:t>
      </w:r>
    </w:p>
    <w:p w14:paraId="75A2FA82" w14:textId="77777777" w:rsidR="00EF750F" w:rsidRPr="001147E5" w:rsidRDefault="00EF750F" w:rsidP="00EF750F">
      <w:pPr>
        <w:spacing w:before="120" w:after="120" w:line="276" w:lineRule="auto"/>
        <w:contextualSpacing/>
        <w:jc w:val="both"/>
        <w:rPr>
          <w:rFonts w:ascii="Verdana" w:hAnsi="Verdana" w:cs="Arial"/>
          <w:b/>
          <w:lang w:val="es-ES_tradnl"/>
        </w:rPr>
      </w:pPr>
    </w:p>
    <w:p w14:paraId="08715081" w14:textId="77777777" w:rsidR="00EF750F" w:rsidRPr="006B260D" w:rsidRDefault="00EF750F" w:rsidP="00EF750F">
      <w:pPr>
        <w:spacing w:after="120" w:line="240" w:lineRule="auto"/>
        <w:jc w:val="both"/>
        <w:rPr>
          <w:rFonts w:ascii="Verdana" w:hAnsi="Verdana" w:cs="Arial"/>
          <w:sz w:val="20"/>
          <w:szCs w:val="20"/>
        </w:rPr>
      </w:pPr>
      <w:r w:rsidRPr="006B260D">
        <w:rPr>
          <w:rFonts w:ascii="Verdana" w:hAnsi="Verdana" w:cs="Arial"/>
          <w:sz w:val="20"/>
          <w:szCs w:val="20"/>
        </w:rPr>
        <w:t xml:space="preserve">El artículo 5 de la Ley 1150 de 2007, cuando alude a los factores que, a diferencia de los requisitos habilitantes, determinan la oferta más favorable para la entidad, y que, por lo tanto, hacen que una oferta sea mejor que otra, pese a tener que cumplir todas ellas los requisitos habilitantes. Es frente a aquellos factores, que determinan comparativamente que una oferta sea mejor que otra, que la entidad concibe el otorgamiento de puntajes, como mecanismos para ponderar y comparar los ofrecimientos, con el fin de determinar objetivamente la oferta más favorable, aplicando para ello las reglas establecidas en el pliego o documento equivalente para la ponderación de las ofertas. </w:t>
      </w:r>
    </w:p>
    <w:p w14:paraId="7E2A2154" w14:textId="77777777" w:rsidR="00EF750F" w:rsidRDefault="00EF750F" w:rsidP="00EF750F">
      <w:pPr>
        <w:spacing w:after="0"/>
        <w:jc w:val="both"/>
        <w:rPr>
          <w:rFonts w:ascii="Verdana" w:eastAsia="Verdana" w:hAnsi="Verdana" w:cs="Verdana"/>
          <w:b/>
        </w:rPr>
      </w:pPr>
    </w:p>
    <w:p w14:paraId="314D83C2" w14:textId="77777777" w:rsidR="00EF750F" w:rsidRPr="00804628" w:rsidRDefault="00EF750F" w:rsidP="00EF750F">
      <w:pPr>
        <w:spacing w:after="0"/>
        <w:jc w:val="both"/>
        <w:rPr>
          <w:rFonts w:ascii="Verdana" w:eastAsia="Verdana" w:hAnsi="Verdana" w:cs="Verdana"/>
          <w:b/>
          <w:bCs/>
        </w:rPr>
      </w:pPr>
      <w:r w:rsidRPr="00804628">
        <w:rPr>
          <w:rFonts w:ascii="Verdana" w:eastAsia="Verdana" w:hAnsi="Verdana" w:cs="Verdana"/>
          <w:b/>
          <w:bCs/>
        </w:rPr>
        <w:t>ORGANISMOS DE ACCIÓN COMUNAL– Naturaleza jurídica– Capacidad para contratar</w:t>
      </w:r>
    </w:p>
    <w:p w14:paraId="05C48737" w14:textId="77777777" w:rsidR="00EF750F" w:rsidRPr="008471BC" w:rsidRDefault="00EF750F" w:rsidP="00EF750F">
      <w:pPr>
        <w:spacing w:after="0"/>
        <w:jc w:val="both"/>
        <w:rPr>
          <w:rFonts w:ascii="Verdana" w:eastAsia="Calibri" w:hAnsi="Verdana" w:cs="Arial"/>
          <w:b/>
        </w:rPr>
      </w:pPr>
    </w:p>
    <w:p w14:paraId="5F84055F" w14:textId="77777777" w:rsidR="00EF750F" w:rsidRPr="00804628" w:rsidRDefault="00EF750F" w:rsidP="00EF750F">
      <w:pPr>
        <w:spacing w:before="120" w:after="120" w:line="240" w:lineRule="auto"/>
        <w:contextualSpacing/>
        <w:jc w:val="both"/>
        <w:rPr>
          <w:rFonts w:ascii="Verdana" w:hAnsi="Verdana" w:cs="Arial"/>
          <w:bCs/>
          <w:sz w:val="20"/>
          <w:szCs w:val="20"/>
          <w:lang w:val="es-ES_tradnl"/>
        </w:rPr>
      </w:pPr>
      <w:r w:rsidRPr="00804628">
        <w:rPr>
          <w:rFonts w:ascii="Verdana" w:hAnsi="Verdana" w:cs="Arial"/>
          <w:bCs/>
          <w:sz w:val="20"/>
          <w:szCs w:val="20"/>
          <w:lang w:val="es-ES_tradnl"/>
        </w:rPr>
        <w:t xml:space="preserve">En atención a lo dispuesto en el artículo 7 de la Ley 2166 de 2021, los Organismos de Acción Comunal legalmente constituidos, en tanto personas jurídicas de naturaleza jurídica, son considerados sujetos con facultados para celebrar contratos con el Entidades Estatales. En el mismo sentido, estos organismos para suscribir convenios de asociación, de acuerdo con el artículo 96 de la Ley 489 de 1998, así como los convenios solidarios regulados por los artículos 63 y 95 de la Ley 2166 de 2021.  Los requisitos que deben cumplir los Organismos de Acción Comunal para celebrar este tipo de negocios jurídicos son aquellos que, de conformidad con la ley y los reglamentos, haya definido la Entidad Estatal para el respectivo proceso de contratación.  Dichos requisitos pueden ser habilitantes o ponderables y deben ser establecidos dentro del pliego de condiciones o documento equivalente, de acuerdo con lo determinado en el marco del análisis del sector económico y los estudios previos.  </w:t>
      </w:r>
    </w:p>
    <w:p w14:paraId="66CEF6C9" w14:textId="77777777" w:rsidR="00EF750F" w:rsidRPr="00804628" w:rsidRDefault="00EF750F" w:rsidP="00EF750F">
      <w:pPr>
        <w:spacing w:after="0" w:line="240" w:lineRule="auto"/>
        <w:contextualSpacing/>
        <w:jc w:val="both"/>
        <w:rPr>
          <w:rFonts w:ascii="Verdana" w:eastAsia="Calibri" w:hAnsi="Verdana" w:cs="Arial"/>
          <w:sz w:val="20"/>
          <w:szCs w:val="20"/>
          <w:lang w:val="es-ES"/>
        </w:rPr>
      </w:pPr>
    </w:p>
    <w:p w14:paraId="2CDE5EBA" w14:textId="77777777" w:rsidR="00EF750F" w:rsidRDefault="00EF750F" w:rsidP="00EF750F">
      <w:pPr>
        <w:spacing w:after="0" w:line="240" w:lineRule="auto"/>
        <w:jc w:val="both"/>
        <w:rPr>
          <w:rFonts w:ascii="Verdana" w:hAnsi="Verdana" w:cs="Arial"/>
          <w:b/>
          <w:bCs/>
          <w:color w:val="000000"/>
          <w:kern w:val="2"/>
          <w:lang w:val="es-MX"/>
          <w14:ligatures w14:val="standardContextual"/>
        </w:rPr>
      </w:pPr>
      <w:r w:rsidRPr="00E0164D">
        <w:rPr>
          <w:rFonts w:ascii="Verdana" w:hAnsi="Verdana" w:cs="Arial"/>
          <w:b/>
          <w:bCs/>
          <w:color w:val="000000"/>
          <w:kern w:val="2"/>
          <w:lang w:val="es-MX"/>
          <w14:ligatures w14:val="standardContextual"/>
        </w:rPr>
        <w:t xml:space="preserve">CONVENIOS SOLIDARIOS – Regímenes de contratación – Organismos </w:t>
      </w:r>
      <w:bookmarkStart w:id="1" w:name="_Hlk219884173"/>
      <w:r w:rsidRPr="00E0164D">
        <w:rPr>
          <w:rFonts w:ascii="Verdana" w:hAnsi="Verdana" w:cs="Arial"/>
          <w:b/>
          <w:bCs/>
          <w:color w:val="000000"/>
          <w:kern w:val="2"/>
          <w:lang w:val="es-MX"/>
          <w14:ligatures w14:val="standardContextual"/>
        </w:rPr>
        <w:t xml:space="preserve">de acción comunal </w:t>
      </w:r>
    </w:p>
    <w:p w14:paraId="69E4DA03" w14:textId="77777777" w:rsidR="00EF750F" w:rsidRDefault="00EF750F" w:rsidP="00EF750F">
      <w:pPr>
        <w:spacing w:after="0" w:line="240" w:lineRule="auto"/>
        <w:jc w:val="both"/>
        <w:rPr>
          <w:rFonts w:ascii="Verdana" w:hAnsi="Verdana" w:cs="Arial"/>
          <w:b/>
          <w:bCs/>
          <w:color w:val="000000"/>
          <w:kern w:val="2"/>
          <w:lang w:val="es-MX"/>
          <w14:ligatures w14:val="standardContextual"/>
        </w:rPr>
      </w:pPr>
    </w:p>
    <w:p w14:paraId="0B8C9A22" w14:textId="77777777" w:rsidR="00EF750F" w:rsidRPr="00D47296" w:rsidRDefault="00EF750F" w:rsidP="00EF750F">
      <w:pPr>
        <w:spacing w:after="0" w:line="240" w:lineRule="auto"/>
        <w:jc w:val="both"/>
        <w:rPr>
          <w:rFonts w:ascii="Verdana" w:eastAsia="Times New Roman" w:hAnsi="Verdana" w:cs="Arial"/>
          <w:sz w:val="20"/>
          <w:szCs w:val="24"/>
          <w:lang w:val="es-ES" w:eastAsia="es-ES_tradnl"/>
        </w:rPr>
      </w:pPr>
      <w:r w:rsidRPr="00D47296">
        <w:rPr>
          <w:rFonts w:ascii="Verdana" w:eastAsia="Times New Roman" w:hAnsi="Verdana" w:cs="Arial"/>
          <w:sz w:val="20"/>
          <w:szCs w:val="24"/>
          <w:lang w:val="es-ES" w:eastAsia="es-ES_tradnl"/>
        </w:rPr>
        <w:lastRenderedPageBreak/>
        <w:t xml:space="preserve">De esta manera, habiendo abordado las características generales aplicables a la celebración de cualquier convenio solidario, debe destacarse que en los diferentes conceptos expedidos por la Agencia, así como en la “Guía para la celebración de convenios solidarios” se hallan tres regímenes de contratación, teniendo en orden jurídico vigente: </w:t>
      </w:r>
    </w:p>
    <w:p w14:paraId="2C01B330" w14:textId="77777777" w:rsidR="00EF750F" w:rsidRDefault="00EF750F" w:rsidP="00EF750F">
      <w:pPr>
        <w:spacing w:after="0" w:line="240" w:lineRule="auto"/>
        <w:jc w:val="both"/>
        <w:rPr>
          <w:rFonts w:ascii="Verdana" w:eastAsia="Times New Roman" w:hAnsi="Verdana" w:cs="Arial"/>
          <w:sz w:val="20"/>
          <w:szCs w:val="24"/>
          <w:lang w:val="es-ES" w:eastAsia="es-ES_tradnl"/>
        </w:rPr>
      </w:pPr>
    </w:p>
    <w:p w14:paraId="5844120D" w14:textId="77777777" w:rsidR="00EF750F" w:rsidRPr="00D47296" w:rsidRDefault="00EF750F" w:rsidP="00EF750F">
      <w:pPr>
        <w:spacing w:after="0" w:line="240" w:lineRule="auto"/>
        <w:jc w:val="both"/>
        <w:rPr>
          <w:rFonts w:ascii="Verdana" w:eastAsia="Times New Roman" w:hAnsi="Verdana" w:cs="Arial"/>
          <w:sz w:val="20"/>
          <w:szCs w:val="24"/>
          <w:lang w:val="es-ES" w:eastAsia="es-ES_tradnl"/>
        </w:rPr>
      </w:pPr>
      <w:r w:rsidRPr="00D47296">
        <w:rPr>
          <w:rFonts w:ascii="Verdana" w:eastAsia="Times New Roman" w:hAnsi="Verdana" w:cs="Arial"/>
          <w:sz w:val="20"/>
          <w:szCs w:val="24"/>
          <w:lang w:val="es-ES" w:eastAsia="es-ES_tradnl"/>
        </w:rPr>
        <w:t xml:space="preserve">a. </w:t>
      </w:r>
      <w:r w:rsidRPr="00D47296">
        <w:rPr>
          <w:rFonts w:ascii="Verdana" w:eastAsia="Times New Roman" w:hAnsi="Verdana" w:cs="Arial"/>
          <w:i/>
          <w:sz w:val="20"/>
          <w:szCs w:val="24"/>
          <w:lang w:val="es-ES" w:eastAsia="es-ES_tradnl"/>
        </w:rPr>
        <w:t>P</w:t>
      </w:r>
      <w:r w:rsidRPr="00D47296">
        <w:rPr>
          <w:rFonts w:ascii="Verdana" w:eastAsia="Times New Roman" w:hAnsi="Verdana" w:cs="Arial"/>
          <w:i/>
          <w:iCs/>
          <w:sz w:val="20"/>
          <w:szCs w:val="24"/>
          <w:lang w:val="es-ES" w:eastAsia="es-ES_tradnl"/>
        </w:rPr>
        <w:t>rimer régimen.</w:t>
      </w:r>
      <w:r w:rsidRPr="00D47296">
        <w:rPr>
          <w:rFonts w:ascii="Verdana" w:eastAsia="Times New Roman" w:hAnsi="Verdana" w:cs="Arial"/>
          <w:sz w:val="20"/>
          <w:szCs w:val="24"/>
          <w:lang w:val="es-ES" w:eastAsia="es-ES_tradnl"/>
        </w:rPr>
        <w:t xml:space="preserve"> </w:t>
      </w:r>
      <w:r w:rsidRPr="00D47296">
        <w:rPr>
          <w:rFonts w:ascii="Verdana" w:eastAsia="Calibri" w:hAnsi="Verdana" w:cs="Arial"/>
          <w:bCs/>
          <w:sz w:val="20"/>
          <w:szCs w:val="24"/>
          <w:lang w:val="es-ES" w:eastAsia="es-ES_tradnl"/>
        </w:rPr>
        <w:t>Este régimen se fundamenta</w:t>
      </w:r>
      <w:r w:rsidRPr="00D47296">
        <w:rPr>
          <w:rFonts w:ascii="Verdana" w:eastAsia="Calibri" w:hAnsi="Verdana" w:cs="Arial"/>
          <w:sz w:val="20"/>
          <w:szCs w:val="24"/>
          <w:lang w:eastAsia="es-ES_tradnl"/>
        </w:rPr>
        <w:t xml:space="preserve"> en la Ley 2166 de 2021 “</w:t>
      </w:r>
      <w:r w:rsidRPr="00D47296">
        <w:rPr>
          <w:rFonts w:ascii="Verdana" w:eastAsia="Calibri" w:hAnsi="Verdana" w:cs="Arial"/>
          <w:i/>
          <w:iCs/>
          <w:sz w:val="20"/>
          <w:szCs w:val="24"/>
          <w:lang w:eastAsia="es-ES_tradnl"/>
        </w:rPr>
        <w:t>por la cual se desarrolla el artículo 38 de la Constitución Política de Colombia en lo referente a los Organismos de Acción Comunal”.</w:t>
      </w:r>
      <w:r w:rsidRPr="00D47296">
        <w:rPr>
          <w:rFonts w:ascii="Verdana" w:eastAsia="Calibri" w:hAnsi="Verdana" w:cs="Arial"/>
          <w:sz w:val="20"/>
          <w:szCs w:val="24"/>
          <w:lang w:eastAsia="es-ES_tradnl"/>
        </w:rPr>
        <w:t xml:space="preserve"> En su artículo 95 contempla la </w:t>
      </w:r>
      <w:r w:rsidRPr="00D47296">
        <w:rPr>
          <w:rFonts w:ascii="Verdana" w:eastAsia="Calibri" w:hAnsi="Verdana" w:cs="Arial"/>
          <w:bCs/>
          <w:iCs/>
          <w:sz w:val="20"/>
          <w:szCs w:val="24"/>
          <w:lang w:eastAsia="es-ES_tradnl"/>
        </w:rPr>
        <w:t>celebración directa de convenios solidarios para ejecutar obras hasta por la menor cuantía entre Organismos de Acción Comunal y los entes del orden Nacional, Departamental, Distrital y municipal</w:t>
      </w:r>
      <w:r w:rsidRPr="00D47296">
        <w:rPr>
          <w:rFonts w:ascii="Verdana" w:eastAsia="Calibri" w:hAnsi="Verdana" w:cs="Arial"/>
          <w:sz w:val="20"/>
          <w:szCs w:val="24"/>
          <w:lang w:eastAsia="es-ES_tradnl"/>
        </w:rPr>
        <w:t xml:space="preserve">. </w:t>
      </w:r>
      <w:r w:rsidRPr="00D47296">
        <w:rPr>
          <w:rFonts w:ascii="Verdana" w:eastAsia="Calibri" w:hAnsi="Verdana" w:cs="Arial"/>
          <w:bCs/>
          <w:sz w:val="20"/>
          <w:szCs w:val="24"/>
          <w:lang w:eastAsia="es-ES_tradnl"/>
        </w:rPr>
        <w:t>El artículo 95 de dicha ley –derogado parcialmente por el artículo 372 de la Ley 2294 de 2023 en lo que respecta a la expresión “territoriales”– dispone la celebración directa de convenios solidarios entre Organismos de Acción Comunal y “los entes territoriales del orden Nacional, Departamental, Distrital y municipal”.</w:t>
      </w:r>
      <w:r w:rsidRPr="00D47296">
        <w:rPr>
          <w:rFonts w:ascii="Verdana" w:eastAsia="Calibri" w:hAnsi="Verdana" w:cs="Arial"/>
          <w:sz w:val="20"/>
          <w:szCs w:val="24"/>
          <w:lang w:eastAsia="es-ES_tradnl"/>
        </w:rPr>
        <w:t xml:space="preserve"> </w:t>
      </w:r>
    </w:p>
    <w:p w14:paraId="46755FDA" w14:textId="77777777" w:rsidR="00EF750F" w:rsidRDefault="00EF750F" w:rsidP="00EF750F">
      <w:pPr>
        <w:spacing w:after="0" w:line="240" w:lineRule="auto"/>
        <w:jc w:val="both"/>
        <w:rPr>
          <w:rFonts w:ascii="Verdana" w:eastAsia="Calibri" w:hAnsi="Verdana" w:cs="Arial"/>
          <w:sz w:val="20"/>
          <w:szCs w:val="24"/>
          <w:lang w:eastAsia="es-ES_tradnl"/>
        </w:rPr>
      </w:pPr>
    </w:p>
    <w:p w14:paraId="1FEB13F3" w14:textId="77777777" w:rsidR="00EF750F" w:rsidRPr="00D47296" w:rsidRDefault="00EF750F" w:rsidP="00EF750F">
      <w:pPr>
        <w:spacing w:after="0" w:line="240" w:lineRule="auto"/>
        <w:jc w:val="both"/>
        <w:rPr>
          <w:rFonts w:ascii="Verdana" w:eastAsia="Calibri" w:hAnsi="Verdana" w:cs="Arial"/>
          <w:bCs/>
          <w:sz w:val="20"/>
          <w:szCs w:val="24"/>
          <w:lang w:val="es-ES" w:eastAsia="es-ES_tradnl"/>
        </w:rPr>
      </w:pPr>
      <w:r w:rsidRPr="00D47296">
        <w:rPr>
          <w:rFonts w:ascii="Verdana" w:eastAsia="Calibri" w:hAnsi="Verdana" w:cs="Arial"/>
          <w:sz w:val="20"/>
          <w:szCs w:val="24"/>
          <w:lang w:eastAsia="es-ES_tradnl"/>
        </w:rPr>
        <w:t xml:space="preserve">b. </w:t>
      </w:r>
      <w:r w:rsidRPr="00D47296">
        <w:rPr>
          <w:rFonts w:ascii="Verdana" w:eastAsia="Calibri" w:hAnsi="Verdana" w:cs="Arial"/>
          <w:i/>
          <w:sz w:val="20"/>
          <w:szCs w:val="24"/>
          <w:lang w:eastAsia="es-ES_tradnl"/>
        </w:rPr>
        <w:t>Segundo régimen</w:t>
      </w:r>
      <w:r w:rsidRPr="00D47296">
        <w:rPr>
          <w:rFonts w:ascii="Verdana" w:eastAsia="Calibri" w:hAnsi="Verdana" w:cs="Arial"/>
          <w:sz w:val="20"/>
          <w:szCs w:val="24"/>
          <w:lang w:eastAsia="es-ES_tradnl"/>
        </w:rPr>
        <w:t xml:space="preserve">. Dicho sistema normativo está previsto en el Decreto 092 de 2017, con excepción a lo prescrito </w:t>
      </w:r>
      <w:r w:rsidRPr="00D47296">
        <w:rPr>
          <w:rFonts w:ascii="Verdana" w:eastAsia="Calibri" w:hAnsi="Verdana" w:cs="Arial"/>
          <w:sz w:val="20"/>
          <w:szCs w:val="24"/>
          <w:lang w:val="es-ES" w:eastAsia="es-ES_tradnl"/>
        </w:rPr>
        <w:t>en su artículo 5</w:t>
      </w:r>
      <w:r w:rsidRPr="00D47296">
        <w:rPr>
          <w:rFonts w:ascii="Verdana" w:eastAsia="Calibri" w:hAnsi="Verdana" w:cs="Arial"/>
          <w:bCs/>
          <w:sz w:val="20"/>
          <w:szCs w:val="24"/>
          <w:lang w:val="es-ES" w:eastAsia="es-ES_tradnl"/>
        </w:rPr>
        <w:t xml:space="preserve">, que </w:t>
      </w:r>
      <w:r w:rsidRPr="00D47296">
        <w:rPr>
          <w:rFonts w:ascii="Verdana" w:eastAsia="Calibri" w:hAnsi="Verdana" w:cs="Arial"/>
          <w:sz w:val="20"/>
          <w:szCs w:val="24"/>
          <w:lang w:val="es-ES" w:eastAsia="es-ES_tradnl"/>
        </w:rPr>
        <w:t>reglamenta otro tipo contractual, como son los convenios de asociación. Este Decreto reguló, en términos generales, la contratación autorizada por el artículo 355 de la Constitución Política, la cual puede manifestarse mediante convenios solidarios, en atención a lo prescrito en el numeral 16 y el parágrafo tercero del artículo 3 de la Ley 136 de 1994.</w:t>
      </w:r>
      <w:r w:rsidRPr="00D47296">
        <w:rPr>
          <w:rFonts w:ascii="Verdana" w:eastAsia="Calibri" w:hAnsi="Verdana" w:cs="Arial"/>
          <w:bCs/>
          <w:sz w:val="20"/>
          <w:szCs w:val="24"/>
          <w:lang w:val="es-ES" w:eastAsia="es-ES_tradnl"/>
        </w:rPr>
        <w:t xml:space="preserve"> Ahora bien, para celebrar los convenios solidarios de este régimen se requiere: i) los sujetos deben ser, de un lado, municipios y distritos y, de otro, </w:t>
      </w:r>
      <w:r w:rsidRPr="00D47296">
        <w:rPr>
          <w:rFonts w:ascii="Verdana" w:eastAsia="Calibri" w:hAnsi="Verdana" w:cs="Arial"/>
          <w:bCs/>
          <w:sz w:val="20"/>
          <w:szCs w:val="24"/>
          <w:lang w:eastAsia="es-ES_tradnl"/>
        </w:rPr>
        <w:t>los cabildos, las autoridades y organizaciones indígenas, los organismos de acción comunal y demás organizaciones civiles y asociaciones residentes en el territorio; ii</w:t>
      </w:r>
      <w:r w:rsidRPr="00D47296">
        <w:rPr>
          <w:rFonts w:ascii="Verdana" w:eastAsia="Calibri" w:hAnsi="Verdana" w:cs="Arial"/>
          <w:bCs/>
          <w:sz w:val="20"/>
          <w:szCs w:val="24"/>
          <w:lang w:val="es-ES" w:eastAsia="es-ES_tradnl"/>
        </w:rPr>
        <w:t xml:space="preserve">) el </w:t>
      </w:r>
      <w:r w:rsidRPr="00D47296">
        <w:rPr>
          <w:rFonts w:ascii="Verdana" w:eastAsia="Calibri" w:hAnsi="Verdana" w:cs="Arial"/>
          <w:bCs/>
          <w:i/>
          <w:iCs/>
          <w:sz w:val="20"/>
          <w:szCs w:val="24"/>
          <w:lang w:val="es-ES" w:eastAsia="es-ES_tradnl"/>
        </w:rPr>
        <w:t>objeto</w:t>
      </w:r>
      <w:r w:rsidRPr="00D47296">
        <w:rPr>
          <w:rFonts w:ascii="Verdana" w:eastAsia="Calibri" w:hAnsi="Verdana" w:cs="Arial"/>
          <w:bCs/>
          <w:sz w:val="20"/>
          <w:szCs w:val="24"/>
          <w:lang w:val="es-ES" w:eastAsia="es-ES_tradnl"/>
        </w:rPr>
        <w:t xml:space="preserve"> debe centrarse programas y actividades de interés público acordes con el plan de desarrollo aplicable a la entidad municipio o distrito–; iii) el convenio, independiente de su cuantía, no puede implicar relaciones conmutativas, que impliquen contraprestaciones para la entidad del Estado, por tanto, por la naturaleza del convenio no es compatible que en dichos convenios emanen intereses onerosos; iv) la entidad no puede impartir instrucciones precisas para la ejecución del objeto convenido. </w:t>
      </w:r>
    </w:p>
    <w:p w14:paraId="18691E62" w14:textId="77777777" w:rsidR="00EF750F" w:rsidRDefault="00EF750F" w:rsidP="00EF750F">
      <w:pPr>
        <w:spacing w:after="0" w:line="240" w:lineRule="auto"/>
        <w:jc w:val="both"/>
        <w:rPr>
          <w:rFonts w:ascii="Verdana" w:eastAsia="Calibri" w:hAnsi="Verdana" w:cs="Arial"/>
          <w:bCs/>
          <w:sz w:val="20"/>
          <w:szCs w:val="24"/>
          <w:lang w:val="es-ES" w:eastAsia="es-ES_tradnl"/>
        </w:rPr>
      </w:pPr>
    </w:p>
    <w:p w14:paraId="3E711AA2" w14:textId="77777777" w:rsidR="00EF750F" w:rsidRDefault="00EF750F" w:rsidP="00EF750F">
      <w:pPr>
        <w:spacing w:after="0" w:line="240" w:lineRule="auto"/>
        <w:jc w:val="both"/>
        <w:rPr>
          <w:rFonts w:ascii="Verdana" w:eastAsia="Calibri" w:hAnsi="Verdana" w:cs="Arial"/>
          <w:bCs/>
          <w:sz w:val="20"/>
          <w:szCs w:val="24"/>
          <w:lang w:eastAsia="es-ES_tradnl"/>
        </w:rPr>
      </w:pPr>
      <w:r w:rsidRPr="00D47296">
        <w:rPr>
          <w:rFonts w:ascii="Verdana" w:eastAsia="Calibri" w:hAnsi="Verdana" w:cs="Arial"/>
          <w:bCs/>
          <w:sz w:val="20"/>
          <w:szCs w:val="24"/>
          <w:lang w:val="es-ES" w:eastAsia="es-ES_tradnl"/>
        </w:rPr>
        <w:t xml:space="preserve">c. </w:t>
      </w:r>
      <w:r w:rsidRPr="00D47296">
        <w:rPr>
          <w:rFonts w:ascii="Verdana" w:eastAsia="Calibri" w:hAnsi="Verdana" w:cs="Arial"/>
          <w:bCs/>
          <w:i/>
          <w:sz w:val="20"/>
          <w:szCs w:val="24"/>
          <w:lang w:val="es-ES" w:eastAsia="es-ES_tradnl"/>
        </w:rPr>
        <w:t>Tercer régimen</w:t>
      </w:r>
      <w:r w:rsidRPr="00D47296">
        <w:rPr>
          <w:rFonts w:ascii="Verdana" w:eastAsia="Calibri" w:hAnsi="Verdana" w:cs="Arial"/>
          <w:bCs/>
          <w:sz w:val="20"/>
          <w:szCs w:val="24"/>
          <w:lang w:val="es-ES" w:eastAsia="es-ES_tradnl"/>
        </w:rPr>
        <w:t xml:space="preserve">. Su régimen se fundamenta en el artículo 63 de la Ley 2166 de 2021 y el artículo 141 de la Ley 136 de 1994. En efecto, el parágrafo 2 del artículo 63 </w:t>
      </w:r>
      <w:r w:rsidRPr="00D47296">
        <w:rPr>
          <w:rFonts w:ascii="Verdana" w:eastAsia="Calibri" w:hAnsi="Verdana" w:cs="Arial"/>
          <w:bCs/>
          <w:i/>
          <w:iCs/>
          <w:sz w:val="20"/>
          <w:szCs w:val="24"/>
          <w:lang w:val="es-ES" w:eastAsia="es-ES_tradnl"/>
        </w:rPr>
        <w:t xml:space="preserve">ibidem </w:t>
      </w:r>
      <w:r w:rsidRPr="00D47296">
        <w:rPr>
          <w:rFonts w:ascii="Verdana" w:eastAsia="Calibri" w:hAnsi="Verdana" w:cs="Arial"/>
          <w:bCs/>
          <w:sz w:val="20"/>
          <w:szCs w:val="24"/>
          <w:lang w:val="es-ES" w:eastAsia="es-ES_tradnl"/>
        </w:rPr>
        <w:t xml:space="preserve">permite la celebración de convenios solidarios con </w:t>
      </w:r>
      <w:r w:rsidRPr="00D47296">
        <w:rPr>
          <w:rFonts w:ascii="Verdana" w:eastAsia="Calibri" w:hAnsi="Verdana" w:cs="Arial"/>
          <w:bCs/>
          <w:sz w:val="20"/>
          <w:szCs w:val="24"/>
          <w:lang w:eastAsia="es-ES_tradnl"/>
        </w:rPr>
        <w:t xml:space="preserve">organismos de acción comunal con el fin de que estos se vinculen al desarrollo y mejoramiento municipal mediante: i) su participación en el ejercicio de sus funciones, ii) la prestación de bienes y servicios o iii) la ejecución de obras públicas a cargo de la administración central o descentralizada. Así mismo, las entidades del orden nacional, departamental, distrital, local y municipal y los organismos de acción comunal podrán ejecutar los proyectos incluidos en el respectivo Plan Nacional de Desarrollo o para la ejecución de los proyectos derivados del Acuerdo Final de Paz, como lo son, los Programas de Desarrollo con Enfoque territorial o los Planes de Acción para la Transformación Regional (PATR) o la Hoja de Ruta Única de que trata el artículo 281 de la Ley 1955 de 2019. No obstante, este artículo fue derogado por el artículo 372 de la Ley 2294 de 2023. </w:t>
      </w:r>
      <w:bookmarkEnd w:id="1"/>
    </w:p>
    <w:p w14:paraId="0ADE79B0" w14:textId="25508894" w:rsidR="00EF750F" w:rsidRPr="00EF750F" w:rsidRDefault="00EF750F" w:rsidP="00EF750F">
      <w:pPr>
        <w:spacing w:after="0" w:line="240" w:lineRule="auto"/>
        <w:jc w:val="both"/>
        <w:rPr>
          <w:rFonts w:ascii="Verdana" w:eastAsia="Calibri" w:hAnsi="Verdana" w:cs="Arial"/>
          <w:bCs/>
          <w:sz w:val="20"/>
          <w:szCs w:val="24"/>
          <w:lang w:val="es-ES" w:eastAsia="es-ES_tradnl"/>
        </w:rPr>
      </w:pPr>
      <w:r w:rsidRPr="00FC0318">
        <w:rPr>
          <w:rFonts w:ascii="Verdana" w:hAnsi="Verdana"/>
        </w:rPr>
        <w:lastRenderedPageBreak/>
        <w:t xml:space="preserve">Bogotá D.C., </w:t>
      </w:r>
      <w:r w:rsidR="0085386D">
        <w:rPr>
          <w:rFonts w:ascii="Verdana" w:hAnsi="Verdana"/>
        </w:rPr>
        <w:t>22 Enero</w:t>
      </w:r>
      <w:r w:rsidRPr="00FC0318">
        <w:rPr>
          <w:rFonts w:ascii="Verdana" w:hAnsi="Verdana"/>
        </w:rPr>
        <w:t xml:space="preserve"> </w:t>
      </w:r>
      <w:r w:rsidR="0085386D">
        <w:rPr>
          <w:rFonts w:ascii="Verdana" w:hAnsi="Verdana"/>
        </w:rPr>
        <w:t>2026</w:t>
      </w:r>
    </w:p>
    <w:p w14:paraId="13EF03EC" w14:textId="77777777" w:rsidR="00EF750F" w:rsidRPr="006733BD" w:rsidRDefault="00EF750F" w:rsidP="00EF750F">
      <w:pPr>
        <w:spacing w:after="0"/>
        <w:rPr>
          <w:rFonts w:ascii="Verdana" w:hAnsi="Verdana"/>
          <w:color w:val="ED7D31" w:themeColor="accent2"/>
          <w:lang w:val="es-ES"/>
        </w:rPr>
      </w:pPr>
    </w:p>
    <w:p w14:paraId="537623F0" w14:textId="722A8B02" w:rsidR="00EF750F" w:rsidRPr="00801A0F" w:rsidRDefault="00E95DF0" w:rsidP="00EF750F">
      <w:pPr>
        <w:spacing w:after="0" w:line="240" w:lineRule="auto"/>
        <w:rPr>
          <w:rFonts w:ascii="Verdana" w:hAnsi="Verdana"/>
          <w:lang w:val="es-ES"/>
        </w:rPr>
      </w:pPr>
      <w:bookmarkStart w:id="2" w:name="_Hlk143780582"/>
      <w:r w:rsidRPr="00E95DF0">
        <w:rPr>
          <w:rFonts w:ascii="Verdana" w:eastAsia="Calibri" w:hAnsi="Verdana" w:cs="Arial"/>
          <w:b/>
          <w:bCs/>
          <w:noProof/>
          <w:lang w:val="es-ES" w:eastAsia="es-ES"/>
        </w:rPr>
        <w:drawing>
          <wp:anchor distT="0" distB="0" distL="114300" distR="114300" simplePos="0" relativeHeight="251659264" behindDoc="1" locked="0" layoutInCell="1" allowOverlap="1" wp14:anchorId="340B5E44" wp14:editId="083BF0BC">
            <wp:simplePos x="0" y="0"/>
            <wp:positionH relativeFrom="column">
              <wp:posOffset>2806065</wp:posOffset>
            </wp:positionH>
            <wp:positionV relativeFrom="paragraph">
              <wp:posOffset>13970</wp:posOffset>
            </wp:positionV>
            <wp:extent cx="2733675" cy="851050"/>
            <wp:effectExtent l="0" t="0" r="0" b="6350"/>
            <wp:wrapNone/>
            <wp:docPr id="1795006577"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5006577"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740001" cy="853019"/>
                    </a:xfrm>
                    <a:prstGeom prst="rect">
                      <a:avLst/>
                    </a:prstGeom>
                  </pic:spPr>
                </pic:pic>
              </a:graphicData>
            </a:graphic>
            <wp14:sizeRelH relativeFrom="margin">
              <wp14:pctWidth>0</wp14:pctWidth>
            </wp14:sizeRelH>
            <wp14:sizeRelV relativeFrom="margin">
              <wp14:pctHeight>0</wp14:pctHeight>
            </wp14:sizeRelV>
          </wp:anchor>
        </w:drawing>
      </w:r>
      <w:r w:rsidR="00EF750F" w:rsidRPr="00801A0F">
        <w:rPr>
          <w:rFonts w:ascii="Verdana" w:eastAsia="Calibri" w:hAnsi="Verdana" w:cs="Arial"/>
          <w:lang w:val="es-ES" w:eastAsia="es-ES"/>
        </w:rPr>
        <w:t>Señor</w:t>
      </w:r>
    </w:p>
    <w:p w14:paraId="764D98A8" w14:textId="7D384135" w:rsidR="00EF750F" w:rsidRPr="00801A0F" w:rsidRDefault="00EF750F" w:rsidP="00EF750F">
      <w:pPr>
        <w:spacing w:after="0"/>
        <w:rPr>
          <w:rFonts w:ascii="Verdana" w:eastAsia="Calibri" w:hAnsi="Verdana" w:cs="Arial"/>
          <w:b/>
          <w:bCs/>
          <w:lang w:val="es-ES" w:eastAsia="es-ES"/>
        </w:rPr>
      </w:pPr>
      <w:r w:rsidRPr="00801A0F">
        <w:rPr>
          <w:rFonts w:ascii="Verdana" w:eastAsia="Calibri" w:hAnsi="Verdana" w:cs="Arial"/>
          <w:b/>
          <w:bCs/>
          <w:lang w:val="es-ES" w:eastAsia="es-ES"/>
        </w:rPr>
        <w:t>José Humberto López Segura</w:t>
      </w:r>
    </w:p>
    <w:p w14:paraId="19E66982" w14:textId="77777777" w:rsidR="00EF750F" w:rsidRPr="00801A0F" w:rsidRDefault="00EF750F" w:rsidP="00EF750F">
      <w:pPr>
        <w:spacing w:after="0"/>
        <w:rPr>
          <w:rFonts w:ascii="Verdana" w:eastAsia="Calibri" w:hAnsi="Verdana" w:cs="Arial"/>
          <w:lang w:val="es-ES" w:eastAsia="es-ES"/>
        </w:rPr>
      </w:pPr>
      <w:r w:rsidRPr="00801A0F">
        <w:rPr>
          <w:rFonts w:ascii="Verdana" w:eastAsia="Calibri" w:hAnsi="Verdana" w:cs="Arial"/>
          <w:lang w:val="es-ES" w:eastAsia="es-ES"/>
        </w:rPr>
        <w:t>Asesor Jurídico</w:t>
      </w:r>
    </w:p>
    <w:p w14:paraId="376A5919" w14:textId="77777777" w:rsidR="00EF750F" w:rsidRPr="00801A0F" w:rsidRDefault="00EF750F" w:rsidP="00EF750F">
      <w:pPr>
        <w:spacing w:after="0"/>
        <w:rPr>
          <w:rFonts w:ascii="Verdana" w:eastAsia="Calibri" w:hAnsi="Verdana" w:cs="Arial"/>
          <w:lang w:val="es-ES" w:eastAsia="es-ES"/>
        </w:rPr>
      </w:pPr>
      <w:r w:rsidRPr="00801A0F">
        <w:rPr>
          <w:rFonts w:ascii="Verdana" w:eastAsia="Calibri" w:hAnsi="Verdana" w:cs="Arial"/>
          <w:lang w:val="es-ES" w:eastAsia="es-ES"/>
        </w:rPr>
        <w:t>JAC Barrio San Francisco II Sector</w:t>
      </w:r>
    </w:p>
    <w:p w14:paraId="05E8E8C1" w14:textId="77777777" w:rsidR="00EF750F" w:rsidRPr="006733BD" w:rsidRDefault="00EF750F" w:rsidP="00EF750F">
      <w:pPr>
        <w:spacing w:after="0"/>
        <w:rPr>
          <w:rStyle w:val="Hipervnculo"/>
          <w:rFonts w:ascii="Verdana" w:hAnsi="Verdana"/>
          <w:color w:val="ED7D31" w:themeColor="accent2"/>
        </w:rPr>
      </w:pPr>
      <w:hyperlink r:id="rId11" w:history="1">
        <w:r w:rsidRPr="0092137D">
          <w:rPr>
            <w:rStyle w:val="Hipervnculo"/>
            <w:rFonts w:ascii="Verdana" w:hAnsi="Verdana"/>
          </w:rPr>
          <w:t>junta.sanfrancisco2@gmail.com</w:t>
        </w:r>
      </w:hyperlink>
      <w:r>
        <w:rPr>
          <w:rStyle w:val="Hipervnculo"/>
          <w:rFonts w:ascii="Verdana" w:hAnsi="Verdana"/>
          <w:color w:val="ED7D31" w:themeColor="accent2"/>
        </w:rPr>
        <w:t xml:space="preserve"> </w:t>
      </w:r>
    </w:p>
    <w:p w14:paraId="5335F154" w14:textId="77777777" w:rsidR="00EF750F" w:rsidRPr="00A54BCB" w:rsidRDefault="00EF750F" w:rsidP="00EF750F">
      <w:pPr>
        <w:spacing w:after="0"/>
        <w:rPr>
          <w:rFonts w:ascii="Verdana" w:eastAsia="Calibri" w:hAnsi="Verdana" w:cs="Arial"/>
          <w:lang w:val="es-ES" w:eastAsia="es-ES"/>
        </w:rPr>
      </w:pPr>
      <w:r w:rsidRPr="00A54BCB">
        <w:rPr>
          <w:rFonts w:ascii="Verdana" w:eastAsia="Calibri" w:hAnsi="Verdana" w:cs="Arial"/>
          <w:lang w:val="es-ES" w:eastAsia="es-ES"/>
        </w:rPr>
        <w:t>Bogotá D.C</w:t>
      </w:r>
    </w:p>
    <w:p w14:paraId="57780CB7" w14:textId="77777777" w:rsidR="00EF750F" w:rsidRPr="006733BD" w:rsidRDefault="00EF750F" w:rsidP="00EF750F">
      <w:pPr>
        <w:spacing w:after="0"/>
        <w:rPr>
          <w:rFonts w:ascii="Verdana" w:eastAsia="Calibri" w:hAnsi="Verdana" w:cs="Arial"/>
          <w:color w:val="ED7D31" w:themeColor="accent2"/>
          <w:lang w:val="es-ES" w:eastAsia="es-ES"/>
        </w:rPr>
      </w:pPr>
    </w:p>
    <w:p w14:paraId="338CA338" w14:textId="77777777" w:rsidR="00EF750F" w:rsidRPr="006733BD" w:rsidRDefault="00EF750F" w:rsidP="00EF750F">
      <w:pPr>
        <w:spacing w:after="0" w:line="240" w:lineRule="auto"/>
        <w:rPr>
          <w:rFonts w:ascii="Verdana" w:eastAsia="Calibri" w:hAnsi="Verdana" w:cs="Arial"/>
          <w:b/>
          <w:bCs/>
          <w:color w:val="ED7D31" w:themeColor="accent2"/>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EF750F" w:rsidRPr="006733BD" w14:paraId="3E3DEA12" w14:textId="77777777" w:rsidTr="0068055E">
        <w:trPr>
          <w:trHeight w:val="300"/>
        </w:trPr>
        <w:tc>
          <w:tcPr>
            <w:tcW w:w="2410" w:type="dxa"/>
          </w:tcPr>
          <w:p w14:paraId="355E73E9" w14:textId="77777777" w:rsidR="00EF750F" w:rsidRPr="00A54BCB" w:rsidRDefault="00EF750F" w:rsidP="0068055E">
            <w:pPr>
              <w:ind w:left="-142"/>
              <w:jc w:val="both"/>
              <w:rPr>
                <w:rFonts w:ascii="Verdana" w:eastAsia="Calibri" w:hAnsi="Verdana" w:cs="Arial"/>
                <w:b/>
                <w:bCs/>
                <w:lang w:val="es-ES" w:eastAsia="es-ES_tradnl"/>
              </w:rPr>
            </w:pPr>
          </w:p>
        </w:tc>
        <w:tc>
          <w:tcPr>
            <w:tcW w:w="6100" w:type="dxa"/>
          </w:tcPr>
          <w:p w14:paraId="03917FF3" w14:textId="77777777" w:rsidR="00EF750F" w:rsidRPr="00A54BCB" w:rsidRDefault="00EF750F" w:rsidP="0068055E">
            <w:pPr>
              <w:ind w:left="3"/>
              <w:jc w:val="both"/>
              <w:rPr>
                <w:rFonts w:ascii="Verdana" w:eastAsia="Calibri" w:hAnsi="Verdana" w:cs="Arial"/>
                <w:b/>
                <w:bCs/>
                <w:lang w:val="es-ES" w:eastAsia="es-ES"/>
              </w:rPr>
            </w:pPr>
            <w:r w:rsidRPr="00A54BCB">
              <w:rPr>
                <w:rFonts w:ascii="Verdana" w:eastAsia="Calibri" w:hAnsi="Verdana" w:cs="Arial"/>
                <w:b/>
                <w:bCs/>
                <w:lang w:val="es-ES" w:eastAsia="es-ES"/>
              </w:rPr>
              <w:t>Concepto C-1829 de 2025</w:t>
            </w:r>
          </w:p>
          <w:p w14:paraId="7FE639A2" w14:textId="77777777" w:rsidR="00EF750F" w:rsidRPr="00A54BCB" w:rsidRDefault="00EF750F" w:rsidP="0068055E">
            <w:pPr>
              <w:ind w:left="3"/>
              <w:jc w:val="both"/>
              <w:rPr>
                <w:rFonts w:ascii="Verdana" w:eastAsia="Calibri" w:hAnsi="Verdana" w:cs="Arial"/>
                <w:b/>
                <w:bCs/>
                <w:lang w:val="es-ES" w:eastAsia="es-ES"/>
              </w:rPr>
            </w:pPr>
          </w:p>
        </w:tc>
      </w:tr>
      <w:tr w:rsidR="00EF750F" w:rsidRPr="006733BD" w14:paraId="081EB3CB" w14:textId="77777777" w:rsidTr="0068055E">
        <w:trPr>
          <w:trHeight w:val="300"/>
        </w:trPr>
        <w:tc>
          <w:tcPr>
            <w:tcW w:w="2410" w:type="dxa"/>
          </w:tcPr>
          <w:p w14:paraId="684995DE" w14:textId="77777777" w:rsidR="00EF750F" w:rsidRPr="006733BD" w:rsidRDefault="00EF750F" w:rsidP="0068055E">
            <w:pPr>
              <w:ind w:left="424" w:firstLine="142"/>
              <w:jc w:val="both"/>
              <w:rPr>
                <w:rFonts w:ascii="Verdana" w:eastAsia="Calibri" w:hAnsi="Verdana" w:cs="Arial"/>
                <w:color w:val="ED7D31" w:themeColor="accent2"/>
                <w:lang w:val="es-ES" w:eastAsia="es-ES_tradnl"/>
              </w:rPr>
            </w:pPr>
            <w:r w:rsidRPr="00A54BCB">
              <w:rPr>
                <w:rFonts w:ascii="Verdana" w:eastAsia="Calibri" w:hAnsi="Verdana" w:cs="Arial"/>
                <w:b/>
                <w:lang w:val="es-ES" w:eastAsia="es-ES_tradnl"/>
              </w:rPr>
              <w:t>Temas:</w:t>
            </w:r>
            <w:r w:rsidRPr="006733BD">
              <w:rPr>
                <w:rFonts w:ascii="Verdana" w:eastAsia="Calibri" w:hAnsi="Verdana" w:cs="Arial"/>
                <w:color w:val="ED7D31" w:themeColor="accent2"/>
                <w:lang w:val="es-ES" w:eastAsia="es-ES_tradnl"/>
              </w:rPr>
              <w:t xml:space="preserve">                  </w:t>
            </w:r>
          </w:p>
        </w:tc>
        <w:tc>
          <w:tcPr>
            <w:tcW w:w="6100" w:type="dxa"/>
          </w:tcPr>
          <w:p w14:paraId="6A0763FA" w14:textId="77777777" w:rsidR="00EF750F" w:rsidRDefault="00EF750F" w:rsidP="0068055E">
            <w:pPr>
              <w:jc w:val="both"/>
              <w:rPr>
                <w:rFonts w:ascii="Verdana" w:hAnsi="Verdana" w:cs="Arial"/>
                <w:b/>
                <w:bCs/>
                <w:color w:val="000000"/>
                <w:kern w:val="2"/>
                <w:lang w:val="es-MX"/>
                <w14:ligatures w14:val="standardContextual"/>
              </w:rPr>
            </w:pPr>
            <w:r w:rsidRPr="00612B80">
              <w:rPr>
                <w:rFonts w:ascii="Verdana" w:eastAsia="Calibri" w:hAnsi="Verdana" w:cs="Arial"/>
                <w:lang w:val="es-ES" w:eastAsia="es-ES"/>
              </w:rPr>
              <w:t>REQUISITOS HABILITANTES ‒ Concepto</w:t>
            </w:r>
            <w:r>
              <w:rPr>
                <w:rFonts w:ascii="Verdana" w:eastAsia="Calibri" w:hAnsi="Verdana" w:cs="Arial"/>
                <w:lang w:val="es-ES" w:eastAsia="es-ES"/>
              </w:rPr>
              <w:t xml:space="preserve"> – Finalidad</w:t>
            </w:r>
            <w:r w:rsidRPr="00612B80">
              <w:rPr>
                <w:rFonts w:ascii="Verdana" w:eastAsia="Calibri" w:hAnsi="Verdana" w:cs="Arial"/>
                <w:lang w:val="es-ES" w:eastAsia="es-ES"/>
              </w:rPr>
              <w:t xml:space="preserve"> / </w:t>
            </w:r>
            <w:r w:rsidRPr="00612B80">
              <w:rPr>
                <w:rFonts w:ascii="Verdana" w:hAnsi="Verdana" w:cs="Arial"/>
                <w:lang w:val="es-ES_tradnl"/>
              </w:rPr>
              <w:t xml:space="preserve">REQUISITOS </w:t>
            </w:r>
            <w:r w:rsidRPr="007E0E97">
              <w:rPr>
                <w:rFonts w:ascii="Verdana" w:hAnsi="Verdana" w:cs="Arial"/>
                <w:lang w:val="es-ES_tradnl"/>
              </w:rPr>
              <w:t xml:space="preserve">PONDERABLES – </w:t>
            </w:r>
            <w:r w:rsidRPr="00612B80">
              <w:rPr>
                <w:rFonts w:ascii="Verdana" w:eastAsia="Calibri" w:hAnsi="Verdana" w:cs="Arial"/>
                <w:lang w:val="es-ES" w:eastAsia="es-ES"/>
              </w:rPr>
              <w:t>Concepto</w:t>
            </w:r>
            <w:r>
              <w:rPr>
                <w:rFonts w:ascii="Verdana" w:eastAsia="Calibri" w:hAnsi="Verdana" w:cs="Arial"/>
                <w:lang w:val="es-ES" w:eastAsia="es-ES"/>
              </w:rPr>
              <w:t xml:space="preserve"> – Finalidad</w:t>
            </w:r>
            <w:r w:rsidRPr="00612B80">
              <w:rPr>
                <w:rFonts w:ascii="Verdana" w:eastAsia="Calibri" w:hAnsi="Verdana" w:cs="Arial"/>
                <w:lang w:val="es-ES" w:eastAsia="es-ES"/>
              </w:rPr>
              <w:t xml:space="preserve"> </w:t>
            </w:r>
            <w:r w:rsidRPr="007E0E97">
              <w:rPr>
                <w:rFonts w:ascii="Verdana" w:hAnsi="Verdana" w:cs="Arial"/>
                <w:lang w:val="es-ES_tradnl"/>
              </w:rPr>
              <w:t xml:space="preserve">/ </w:t>
            </w:r>
            <w:r w:rsidRPr="007E0E97">
              <w:rPr>
                <w:rFonts w:ascii="Verdana" w:eastAsia="Verdana" w:hAnsi="Verdana" w:cs="Verdana"/>
              </w:rPr>
              <w:t>ORGANISMOS DE ACCIÓN COMUNAL</w:t>
            </w:r>
            <w:r w:rsidRPr="000E0191">
              <w:rPr>
                <w:rFonts w:ascii="Verdana" w:eastAsia="Verdana" w:hAnsi="Verdana" w:cs="Verdana"/>
              </w:rPr>
              <w:t xml:space="preserve">– Naturaleza jurídica– Capacidad para contratar / </w:t>
            </w:r>
            <w:r w:rsidRPr="000E0191">
              <w:rPr>
                <w:rFonts w:ascii="Verdana" w:hAnsi="Verdana" w:cs="Arial"/>
                <w:color w:val="000000"/>
                <w:kern w:val="2"/>
                <w:lang w:val="es-MX"/>
                <w14:ligatures w14:val="standardContextual"/>
              </w:rPr>
              <w:t xml:space="preserve">CONVENIOS SOLIDARIOS – Regímenes de contratación – Organismos de acción comunal </w:t>
            </w:r>
          </w:p>
          <w:p w14:paraId="3893511A" w14:textId="77777777" w:rsidR="00EF750F" w:rsidRPr="000E0191" w:rsidRDefault="00EF750F" w:rsidP="0068055E">
            <w:pPr>
              <w:spacing w:line="276" w:lineRule="auto"/>
              <w:jc w:val="both"/>
              <w:rPr>
                <w:rFonts w:ascii="Verdana" w:eastAsia="Calibri" w:hAnsi="Verdana" w:cs="Arial"/>
                <w:lang w:val="es-MX" w:eastAsia="es-ES"/>
              </w:rPr>
            </w:pPr>
          </w:p>
          <w:p w14:paraId="069B1FC6" w14:textId="77777777" w:rsidR="00EF750F" w:rsidRPr="008F679F" w:rsidRDefault="00EF750F" w:rsidP="0068055E">
            <w:pPr>
              <w:tabs>
                <w:tab w:val="left" w:pos="3374"/>
              </w:tabs>
              <w:jc w:val="both"/>
              <w:rPr>
                <w:rFonts w:ascii="Verdana" w:eastAsia="Calibri" w:hAnsi="Verdana" w:cs="Arial"/>
                <w:color w:val="ED7D31" w:themeColor="accent2"/>
                <w:lang w:val="es-ES"/>
              </w:rPr>
            </w:pPr>
          </w:p>
        </w:tc>
      </w:tr>
      <w:tr w:rsidR="00EF750F" w:rsidRPr="00C5490E" w14:paraId="268856AD" w14:textId="77777777" w:rsidTr="0068055E">
        <w:tc>
          <w:tcPr>
            <w:tcW w:w="2410" w:type="dxa"/>
          </w:tcPr>
          <w:p w14:paraId="1CE42374" w14:textId="77777777" w:rsidR="00EF750F" w:rsidRPr="006733BD" w:rsidRDefault="00EF750F" w:rsidP="0068055E">
            <w:pPr>
              <w:ind w:left="561"/>
              <w:jc w:val="both"/>
              <w:rPr>
                <w:rFonts w:ascii="Verdana" w:eastAsia="Calibri" w:hAnsi="Verdana" w:cs="Arial"/>
                <w:b/>
                <w:color w:val="ED7D31" w:themeColor="accent2"/>
                <w:lang w:val="es-ES" w:eastAsia="es-ES_tradnl"/>
              </w:rPr>
            </w:pPr>
            <w:r w:rsidRPr="00A54BCB">
              <w:rPr>
                <w:rFonts w:ascii="Verdana" w:eastAsia="Calibri" w:hAnsi="Verdana" w:cs="Arial"/>
                <w:b/>
                <w:lang w:val="es-ES" w:eastAsia="es-ES_tradnl"/>
              </w:rPr>
              <w:t>Radicación:</w:t>
            </w:r>
            <w:r w:rsidRPr="00A54BCB">
              <w:rPr>
                <w:rFonts w:ascii="Verdana" w:eastAsia="Calibri" w:hAnsi="Verdana" w:cs="Arial"/>
                <w:lang w:val="es-ES" w:eastAsia="es-ES_tradnl"/>
              </w:rPr>
              <w:t xml:space="preserve">   </w:t>
            </w:r>
            <w:r w:rsidRPr="006733BD">
              <w:rPr>
                <w:rFonts w:ascii="Verdana" w:eastAsia="Calibri" w:hAnsi="Verdana" w:cs="Arial"/>
                <w:color w:val="ED7D31" w:themeColor="accent2"/>
                <w:lang w:val="es-ES" w:eastAsia="es-ES_tradnl"/>
              </w:rPr>
              <w:t xml:space="preserve">           </w:t>
            </w:r>
          </w:p>
        </w:tc>
        <w:tc>
          <w:tcPr>
            <w:tcW w:w="6100" w:type="dxa"/>
          </w:tcPr>
          <w:p w14:paraId="7730CF29" w14:textId="77777777" w:rsidR="00EF750F" w:rsidRPr="00C5490E" w:rsidRDefault="00EF750F" w:rsidP="0068055E">
            <w:pPr>
              <w:ind w:left="3"/>
              <w:jc w:val="both"/>
              <w:rPr>
                <w:rFonts w:ascii="Verdana" w:hAnsi="Verdana"/>
                <w:lang w:val="es-ES"/>
              </w:rPr>
            </w:pPr>
            <w:r w:rsidRPr="00C5490E">
              <w:rPr>
                <w:rFonts w:ascii="Verdana" w:eastAsia="Calibri" w:hAnsi="Verdana" w:cs="Arial"/>
                <w:lang w:val="es-ES" w:eastAsia="es-ES"/>
              </w:rPr>
              <w:t>Respuesta a consulta con radicado No. 1_2025_12_15_013973</w:t>
            </w:r>
          </w:p>
        </w:tc>
      </w:tr>
    </w:tbl>
    <w:p w14:paraId="5771EB36" w14:textId="77777777" w:rsidR="00EF750F" w:rsidRPr="006733BD" w:rsidRDefault="00EF750F" w:rsidP="00EF750F">
      <w:pPr>
        <w:spacing w:after="0" w:line="276" w:lineRule="auto"/>
        <w:jc w:val="both"/>
        <w:rPr>
          <w:rFonts w:ascii="Verdana" w:eastAsia="Calibri" w:hAnsi="Verdana" w:cs="Arial"/>
          <w:color w:val="ED7D31" w:themeColor="accent2"/>
          <w:lang w:val="es-ES" w:eastAsia="es-ES"/>
        </w:rPr>
      </w:pPr>
    </w:p>
    <w:p w14:paraId="48595194" w14:textId="77777777" w:rsidR="00EF750F" w:rsidRPr="006733BD" w:rsidRDefault="00EF750F" w:rsidP="00EF750F">
      <w:pPr>
        <w:spacing w:after="0" w:line="276" w:lineRule="auto"/>
        <w:jc w:val="both"/>
        <w:rPr>
          <w:rFonts w:ascii="Verdana" w:eastAsia="Calibri" w:hAnsi="Verdana" w:cs="Arial"/>
          <w:color w:val="ED7D31" w:themeColor="accent2"/>
          <w:lang w:val="es-ES" w:eastAsia="es-ES"/>
        </w:rPr>
      </w:pPr>
    </w:p>
    <w:p w14:paraId="259B883D" w14:textId="77777777" w:rsidR="00EF750F" w:rsidRPr="00C5490E" w:rsidRDefault="00EF750F" w:rsidP="00EF750F">
      <w:pPr>
        <w:spacing w:after="0" w:line="276" w:lineRule="auto"/>
        <w:jc w:val="both"/>
        <w:rPr>
          <w:rFonts w:ascii="Verdana" w:eastAsia="Calibri" w:hAnsi="Verdana" w:cs="Arial"/>
          <w:lang w:val="es-ES" w:eastAsia="es-ES"/>
        </w:rPr>
      </w:pPr>
      <w:r w:rsidRPr="00C5490E">
        <w:rPr>
          <w:rFonts w:ascii="Verdana" w:eastAsia="Calibri" w:hAnsi="Verdana" w:cs="Arial"/>
          <w:lang w:val="es-ES" w:eastAsia="es-ES"/>
        </w:rPr>
        <w:t>Estimado Señor López,</w:t>
      </w:r>
    </w:p>
    <w:p w14:paraId="5AC64E19" w14:textId="77777777" w:rsidR="00EF750F" w:rsidRPr="00C5490E" w:rsidRDefault="00EF750F" w:rsidP="00EF750F">
      <w:pPr>
        <w:tabs>
          <w:tab w:val="left" w:pos="3768"/>
        </w:tabs>
        <w:spacing w:after="0" w:line="276" w:lineRule="auto"/>
        <w:jc w:val="both"/>
        <w:rPr>
          <w:rFonts w:ascii="Verdana" w:eastAsia="Calibri" w:hAnsi="Verdana" w:cs="Arial"/>
          <w:lang w:val="es-ES" w:eastAsia="es-ES"/>
        </w:rPr>
      </w:pPr>
      <w:r w:rsidRPr="00C5490E">
        <w:rPr>
          <w:rFonts w:ascii="Verdana" w:eastAsia="Calibri" w:hAnsi="Verdana" w:cs="Arial"/>
          <w:lang w:val="es-ES" w:eastAsia="es-ES"/>
        </w:rPr>
        <w:tab/>
      </w:r>
    </w:p>
    <w:p w14:paraId="04AEE8EE" w14:textId="77777777" w:rsidR="00EF750F" w:rsidRPr="00C5490E" w:rsidRDefault="00EF750F" w:rsidP="00EF750F">
      <w:pPr>
        <w:spacing w:after="0" w:line="276" w:lineRule="auto"/>
        <w:jc w:val="both"/>
        <w:rPr>
          <w:rFonts w:ascii="Verdana" w:eastAsia="Calibri" w:hAnsi="Verdana" w:cs="Arial"/>
          <w:lang w:val="es-ES" w:eastAsia="es-ES"/>
        </w:rPr>
      </w:pPr>
      <w:r w:rsidRPr="00C5490E">
        <w:rPr>
          <w:rFonts w:ascii="Verdana" w:eastAsia="Calibri" w:hAnsi="Verdana" w:cs="Arial"/>
          <w:lang w:val="es-ES" w:eastAsia="es-ES"/>
        </w:rPr>
        <w:t>En ejercicio de la competencia otorgada por los artículos 3, numeral 5º, y 11, numeral 8º, del Decreto Ley 4170 de 2011,</w:t>
      </w:r>
      <w:r w:rsidRPr="00C5490E">
        <w:rPr>
          <w:rFonts w:ascii="Verdana" w:eastAsia="Arial MT" w:hAnsi="Verdana" w:cs="Arial MT"/>
          <w:lang w:val="es-ES" w:eastAsia="es-ES"/>
        </w:rPr>
        <w:t xml:space="preserve"> </w:t>
      </w:r>
      <w:r w:rsidRPr="00C5490E">
        <w:rPr>
          <w:rFonts w:ascii="Verdana" w:hAnsi="Verdana" w:cs="Arial"/>
          <w:lang w:val="es-ES"/>
        </w:rPr>
        <w:t xml:space="preserve">así como lo establecido en el artículo 4 de la Resolución 1707 de 2018 expedida por esta Entidad, </w:t>
      </w:r>
      <w:r w:rsidRPr="00C5490E">
        <w:rPr>
          <w:rFonts w:ascii="Verdana" w:eastAsia="Calibri" w:hAnsi="Verdana" w:cs="Arial"/>
          <w:lang w:val="es-ES" w:eastAsia="es-ES"/>
        </w:rPr>
        <w:t xml:space="preserve">la Agencia Nacional de Contratación Pública – Colombia Compra Eficiente– responde su solicitud de consulta de fecha </w:t>
      </w:r>
      <w:r>
        <w:rPr>
          <w:rFonts w:ascii="Verdana" w:eastAsia="Calibri" w:hAnsi="Verdana" w:cs="Arial"/>
          <w:lang w:val="es-ES" w:eastAsia="es-ES"/>
        </w:rPr>
        <w:t>15</w:t>
      </w:r>
      <w:r w:rsidRPr="00C5490E">
        <w:rPr>
          <w:rFonts w:ascii="Verdana" w:eastAsia="Calibri" w:hAnsi="Verdana" w:cs="Arial"/>
          <w:lang w:val="es-ES" w:eastAsia="es-ES"/>
        </w:rPr>
        <w:t xml:space="preserve"> de diciembre de 2025, en la cual manifiesta lo siguiente: </w:t>
      </w:r>
    </w:p>
    <w:p w14:paraId="452AAFC1" w14:textId="77777777" w:rsidR="00EF750F" w:rsidRPr="006733BD" w:rsidRDefault="00EF750F" w:rsidP="00EF750F">
      <w:pPr>
        <w:tabs>
          <w:tab w:val="left" w:pos="142"/>
          <w:tab w:val="left" w:pos="284"/>
        </w:tabs>
        <w:spacing w:after="0" w:line="276" w:lineRule="auto"/>
        <w:contextualSpacing/>
        <w:jc w:val="both"/>
        <w:rPr>
          <w:rFonts w:ascii="Verdana" w:eastAsia="Century Gothic" w:hAnsi="Verdana" w:cs="Century Gothic"/>
          <w:b/>
          <w:bCs/>
          <w:color w:val="ED7D31" w:themeColor="accent2"/>
          <w:lang w:val="es-ES"/>
        </w:rPr>
      </w:pPr>
    </w:p>
    <w:p w14:paraId="11A548EC" w14:textId="77777777" w:rsidR="00EF750F" w:rsidRDefault="00EF750F" w:rsidP="00EF750F">
      <w:pPr>
        <w:spacing w:before="120" w:after="120"/>
        <w:ind w:left="709" w:right="709"/>
        <w:contextualSpacing/>
        <w:jc w:val="both"/>
        <w:rPr>
          <w:rFonts w:ascii="Verdana" w:eastAsia="Century Gothic" w:hAnsi="Verdana" w:cs="Century Gothic"/>
          <w:i/>
          <w:iCs/>
          <w:sz w:val="20"/>
          <w:szCs w:val="20"/>
          <w:lang w:val="es-ES"/>
        </w:rPr>
      </w:pPr>
      <w:r w:rsidRPr="00D94DE0">
        <w:rPr>
          <w:rFonts w:ascii="Verdana" w:eastAsia="Century Gothic" w:hAnsi="Verdana" w:cs="Century Gothic"/>
          <w:i/>
          <w:iCs/>
          <w:sz w:val="20"/>
          <w:szCs w:val="20"/>
          <w:lang w:val="es-ES"/>
        </w:rPr>
        <w:t>“Con el objetivo de garantizar la seguridad jurídica en las actuaciones de mi rep</w:t>
      </w:r>
      <w:r w:rsidRPr="006B3280">
        <w:rPr>
          <w:rFonts w:ascii="Verdana" w:eastAsia="Century Gothic" w:hAnsi="Verdana" w:cs="Century Gothic"/>
          <w:i/>
          <w:iCs/>
          <w:sz w:val="20"/>
          <w:szCs w:val="20"/>
          <w:lang w:val="es-ES"/>
        </w:rPr>
        <w:t>resentada, solicito a la Agencia Nacional de Contratación Pública - Colombia Compra Eficiente, en su calidad de ente rector, sírvase informar, certificar y conceptuar sobre los siguientes puntos:</w:t>
      </w:r>
    </w:p>
    <w:p w14:paraId="0CEB35FE" w14:textId="77777777" w:rsidR="00EF750F" w:rsidRDefault="00EF750F" w:rsidP="00EF750F">
      <w:pPr>
        <w:spacing w:before="120" w:after="120"/>
        <w:ind w:left="709" w:right="709"/>
        <w:contextualSpacing/>
        <w:jc w:val="both"/>
        <w:rPr>
          <w:rFonts w:ascii="Verdana" w:eastAsia="Century Gothic" w:hAnsi="Verdana" w:cs="Century Gothic"/>
          <w:i/>
          <w:iCs/>
          <w:color w:val="ED7D31" w:themeColor="accent2"/>
          <w:sz w:val="20"/>
          <w:szCs w:val="20"/>
          <w:lang w:val="es-ES"/>
        </w:rPr>
      </w:pPr>
    </w:p>
    <w:p w14:paraId="368303DA" w14:textId="77777777" w:rsidR="00EF750F" w:rsidRPr="00D94DE0" w:rsidRDefault="00EF750F" w:rsidP="00EF750F">
      <w:pPr>
        <w:pStyle w:val="Prrafodelista"/>
        <w:numPr>
          <w:ilvl w:val="0"/>
          <w:numId w:val="17"/>
        </w:numPr>
        <w:spacing w:before="120" w:after="120"/>
        <w:ind w:right="709"/>
        <w:jc w:val="both"/>
        <w:rPr>
          <w:rFonts w:ascii="Verdana" w:eastAsia="Century Gothic" w:hAnsi="Verdana" w:cs="Century Gothic"/>
          <w:i/>
          <w:iCs/>
          <w:sz w:val="20"/>
          <w:szCs w:val="20"/>
        </w:rPr>
      </w:pPr>
      <w:r w:rsidRPr="00D94DE0">
        <w:rPr>
          <w:rFonts w:ascii="Verdana" w:eastAsia="Century Gothic" w:hAnsi="Verdana" w:cs="Century Gothic"/>
          <w:i/>
          <w:iCs/>
          <w:sz w:val="20"/>
          <w:szCs w:val="20"/>
        </w:rPr>
        <w:t>SOBRE LOS REQUISITOS HABILITANTES Y MODALIDADES:</w:t>
      </w:r>
    </w:p>
    <w:p w14:paraId="5B378CF9" w14:textId="77777777" w:rsidR="00EF750F" w:rsidRPr="00D94DE0" w:rsidRDefault="00EF750F" w:rsidP="00EF750F">
      <w:pPr>
        <w:spacing w:before="120" w:after="120"/>
        <w:ind w:left="709" w:right="709"/>
        <w:contextualSpacing/>
        <w:jc w:val="both"/>
        <w:rPr>
          <w:rFonts w:ascii="Verdana" w:eastAsia="Century Gothic" w:hAnsi="Verdana" w:cs="Century Gothic"/>
          <w:i/>
          <w:iCs/>
          <w:sz w:val="20"/>
          <w:szCs w:val="20"/>
          <w:lang w:val="es-ES"/>
        </w:rPr>
      </w:pPr>
      <w:r w:rsidRPr="00D94DE0">
        <w:rPr>
          <w:rFonts w:ascii="Verdana" w:eastAsia="Century Gothic" w:hAnsi="Verdana" w:cs="Century Gothic"/>
          <w:i/>
          <w:iCs/>
          <w:sz w:val="20"/>
          <w:szCs w:val="20"/>
          <w:lang w:val="es-ES"/>
        </w:rPr>
        <w:lastRenderedPageBreak/>
        <w:t>Sírvase indicar cuáles son los requisitos habilitantes (jurídicos, financieros y técnicos), procedimientos y criterios de evaluación específicos que debe acreditar una Junta de Acción Comunal para participar como proponente en las siguientes modalidades de selección:</w:t>
      </w:r>
    </w:p>
    <w:p w14:paraId="7D2810EF" w14:textId="77777777" w:rsidR="00EF750F" w:rsidRPr="00D94DE0" w:rsidRDefault="00EF750F" w:rsidP="00EF750F">
      <w:pPr>
        <w:spacing w:before="120" w:after="120"/>
        <w:ind w:left="709" w:right="709"/>
        <w:contextualSpacing/>
        <w:jc w:val="both"/>
        <w:rPr>
          <w:rFonts w:ascii="Verdana" w:eastAsia="Century Gothic" w:hAnsi="Verdana" w:cs="Century Gothic"/>
          <w:i/>
          <w:iCs/>
          <w:sz w:val="20"/>
          <w:szCs w:val="20"/>
          <w:lang w:val="es-ES"/>
        </w:rPr>
      </w:pPr>
      <w:r w:rsidRPr="00D94DE0">
        <w:rPr>
          <w:rFonts w:ascii="Verdana" w:eastAsia="Century Gothic" w:hAnsi="Verdana" w:cs="Century Gothic"/>
          <w:i/>
          <w:iCs/>
          <w:sz w:val="20"/>
          <w:szCs w:val="20"/>
          <w:lang w:val="es-ES"/>
        </w:rPr>
        <w:t>a) Licitación Pública.</w:t>
      </w:r>
    </w:p>
    <w:p w14:paraId="051E90EC" w14:textId="77777777" w:rsidR="00EF750F" w:rsidRPr="00D94DE0" w:rsidRDefault="00EF750F" w:rsidP="00EF750F">
      <w:pPr>
        <w:spacing w:before="120" w:after="120"/>
        <w:ind w:left="709" w:right="709"/>
        <w:contextualSpacing/>
        <w:jc w:val="both"/>
        <w:rPr>
          <w:rFonts w:ascii="Verdana" w:eastAsia="Century Gothic" w:hAnsi="Verdana" w:cs="Century Gothic"/>
          <w:i/>
          <w:iCs/>
          <w:sz w:val="20"/>
          <w:szCs w:val="20"/>
          <w:lang w:val="es-ES"/>
        </w:rPr>
      </w:pPr>
      <w:r w:rsidRPr="00D94DE0">
        <w:rPr>
          <w:rFonts w:ascii="Verdana" w:eastAsia="Century Gothic" w:hAnsi="Verdana" w:cs="Century Gothic"/>
          <w:i/>
          <w:iCs/>
          <w:sz w:val="20"/>
          <w:szCs w:val="20"/>
          <w:lang w:val="es-ES"/>
        </w:rPr>
        <w:t>b) Selección Abreviada (menor cuantía y subasta inversa).</w:t>
      </w:r>
    </w:p>
    <w:p w14:paraId="00AA5706" w14:textId="77777777" w:rsidR="00EF750F" w:rsidRPr="00D94DE0" w:rsidRDefault="00EF750F" w:rsidP="00EF750F">
      <w:pPr>
        <w:spacing w:before="120" w:after="120"/>
        <w:ind w:left="709" w:right="709"/>
        <w:contextualSpacing/>
        <w:jc w:val="both"/>
        <w:rPr>
          <w:rFonts w:ascii="Verdana" w:eastAsia="Century Gothic" w:hAnsi="Verdana" w:cs="Century Gothic"/>
          <w:i/>
          <w:iCs/>
          <w:sz w:val="20"/>
          <w:szCs w:val="20"/>
          <w:lang w:val="es-ES"/>
        </w:rPr>
      </w:pPr>
      <w:r w:rsidRPr="00D94DE0">
        <w:rPr>
          <w:rFonts w:ascii="Verdana" w:eastAsia="Century Gothic" w:hAnsi="Verdana" w:cs="Century Gothic"/>
          <w:i/>
          <w:iCs/>
          <w:sz w:val="20"/>
          <w:szCs w:val="20"/>
          <w:lang w:val="es-ES"/>
        </w:rPr>
        <w:t>c) Concurso de Méritos.</w:t>
      </w:r>
    </w:p>
    <w:p w14:paraId="21D937E1" w14:textId="77777777" w:rsidR="00EF750F" w:rsidRPr="00D94DE0" w:rsidRDefault="00EF750F" w:rsidP="00EF750F">
      <w:pPr>
        <w:spacing w:before="120" w:after="120"/>
        <w:ind w:left="709" w:right="709"/>
        <w:contextualSpacing/>
        <w:jc w:val="both"/>
        <w:rPr>
          <w:rFonts w:ascii="Verdana" w:eastAsia="Century Gothic" w:hAnsi="Verdana" w:cs="Century Gothic"/>
          <w:i/>
          <w:iCs/>
          <w:sz w:val="20"/>
          <w:szCs w:val="20"/>
          <w:lang w:val="es-ES"/>
        </w:rPr>
      </w:pPr>
      <w:r w:rsidRPr="00D94DE0">
        <w:rPr>
          <w:rFonts w:ascii="Verdana" w:eastAsia="Century Gothic" w:hAnsi="Verdana" w:cs="Century Gothic"/>
          <w:i/>
          <w:iCs/>
          <w:sz w:val="20"/>
          <w:szCs w:val="20"/>
          <w:lang w:val="es-ES"/>
        </w:rPr>
        <w:t>d) Contratación Directa.</w:t>
      </w:r>
    </w:p>
    <w:p w14:paraId="25417D25" w14:textId="77777777" w:rsidR="00EF750F" w:rsidRDefault="00EF750F" w:rsidP="00EF750F">
      <w:pPr>
        <w:spacing w:before="120" w:after="120"/>
        <w:ind w:left="709" w:right="709"/>
        <w:contextualSpacing/>
        <w:jc w:val="both"/>
        <w:rPr>
          <w:rFonts w:ascii="Verdana" w:eastAsia="Century Gothic" w:hAnsi="Verdana" w:cs="Century Gothic"/>
          <w:i/>
          <w:iCs/>
          <w:sz w:val="20"/>
          <w:szCs w:val="20"/>
          <w:lang w:val="es-ES"/>
        </w:rPr>
      </w:pPr>
      <w:r w:rsidRPr="00D94DE0">
        <w:rPr>
          <w:rFonts w:ascii="Verdana" w:eastAsia="Century Gothic" w:hAnsi="Verdana" w:cs="Century Gothic"/>
          <w:i/>
          <w:iCs/>
          <w:sz w:val="20"/>
          <w:szCs w:val="20"/>
          <w:lang w:val="es-ES"/>
        </w:rPr>
        <w:t>e) Mínima Cuantía.</w:t>
      </w:r>
    </w:p>
    <w:p w14:paraId="5C6AC194" w14:textId="77777777" w:rsidR="00EF750F" w:rsidRPr="006B21B6" w:rsidRDefault="00EF750F" w:rsidP="00EF750F">
      <w:pPr>
        <w:pStyle w:val="Prrafodelista"/>
        <w:numPr>
          <w:ilvl w:val="0"/>
          <w:numId w:val="17"/>
        </w:numPr>
        <w:spacing w:before="120" w:after="120"/>
        <w:ind w:right="709"/>
        <w:jc w:val="both"/>
        <w:rPr>
          <w:rFonts w:ascii="Verdana" w:eastAsia="Century Gothic" w:hAnsi="Verdana" w:cs="Century Gothic"/>
          <w:i/>
          <w:iCs/>
          <w:sz w:val="20"/>
          <w:szCs w:val="20"/>
        </w:rPr>
      </w:pPr>
      <w:r w:rsidRPr="006B21B6">
        <w:rPr>
          <w:rFonts w:ascii="Verdana" w:eastAsia="Century Gothic" w:hAnsi="Verdana" w:cs="Century Gothic"/>
          <w:i/>
          <w:iCs/>
          <w:sz w:val="20"/>
          <w:szCs w:val="20"/>
        </w:rPr>
        <w:t>SOBRE EL ROL DE LA COMISIÓN EMPRESARIAL VS. LA JAC:</w:t>
      </w:r>
    </w:p>
    <w:p w14:paraId="069137C1" w14:textId="77777777" w:rsidR="00EF750F" w:rsidRPr="00FD1A38" w:rsidRDefault="00EF750F" w:rsidP="00EF750F">
      <w:pPr>
        <w:spacing w:before="120" w:after="120"/>
        <w:ind w:left="709" w:right="709"/>
        <w:contextualSpacing/>
        <w:jc w:val="both"/>
        <w:rPr>
          <w:rFonts w:ascii="Verdana" w:eastAsia="Century Gothic" w:hAnsi="Verdana" w:cs="Century Gothic"/>
          <w:i/>
          <w:iCs/>
          <w:sz w:val="20"/>
          <w:szCs w:val="20"/>
          <w:lang w:val="es-ES"/>
        </w:rPr>
      </w:pPr>
      <w:r w:rsidRPr="006B21B6">
        <w:rPr>
          <w:rFonts w:ascii="Verdana" w:eastAsia="Century Gothic" w:hAnsi="Verdana" w:cs="Century Gothic"/>
          <w:i/>
          <w:iCs/>
          <w:sz w:val="20"/>
          <w:szCs w:val="20"/>
          <w:lang w:val="es-ES"/>
        </w:rPr>
        <w:t>Sírvase aclarar jurídicamente si, para participar en los procesos de selección mencionados anteriormente, la Junta de Acción Comunal debe hacerlo a través de su Comisión Empresarial o si puede adelantar el proceso, presentar la oferta y suscribir el contrato de manera directa a través de su Representante Legal (presidente, independientemente de si cuenta o no con una Comisión Empresarial activa.</w:t>
      </w:r>
      <w:r>
        <w:rPr>
          <w:rFonts w:ascii="Verdana" w:eastAsia="Century Gothic" w:hAnsi="Verdana" w:cs="Century Gothic"/>
          <w:i/>
          <w:iCs/>
          <w:sz w:val="20"/>
          <w:szCs w:val="20"/>
          <w:lang w:val="es-ES"/>
        </w:rPr>
        <w:t xml:space="preserve"> </w:t>
      </w:r>
      <w:r w:rsidRPr="006B21B6">
        <w:rPr>
          <w:rFonts w:ascii="Verdana" w:eastAsia="Century Gothic" w:hAnsi="Verdana" w:cs="Century Gothic"/>
          <w:i/>
          <w:iCs/>
          <w:sz w:val="20"/>
          <w:szCs w:val="20"/>
          <w:lang w:val="es-ES"/>
        </w:rPr>
        <w:t xml:space="preserve">¿Es la Comisión Empresarial un requisito sine qua non para que la JAC contrate obras o </w:t>
      </w:r>
      <w:r w:rsidRPr="00FD1A38">
        <w:rPr>
          <w:rFonts w:ascii="Verdana" w:eastAsia="Century Gothic" w:hAnsi="Verdana" w:cs="Century Gothic"/>
          <w:i/>
          <w:iCs/>
          <w:sz w:val="20"/>
          <w:szCs w:val="20"/>
          <w:lang w:val="es-ES"/>
        </w:rPr>
        <w:t>servicios que generen rendimientos, o es meramente un órgano interno de gestión sin capacidad para obligarse autónomamente frente al Estado?</w:t>
      </w:r>
    </w:p>
    <w:p w14:paraId="0C148EFB" w14:textId="77777777" w:rsidR="00EF750F" w:rsidRPr="00FD1A38" w:rsidRDefault="00EF750F" w:rsidP="00EF750F">
      <w:pPr>
        <w:pStyle w:val="Prrafodelista"/>
        <w:numPr>
          <w:ilvl w:val="0"/>
          <w:numId w:val="17"/>
        </w:numPr>
        <w:spacing w:before="120" w:after="120"/>
        <w:ind w:right="709"/>
        <w:jc w:val="both"/>
        <w:rPr>
          <w:rFonts w:ascii="Verdana" w:eastAsia="Century Gothic" w:hAnsi="Verdana" w:cs="Century Gothic"/>
          <w:i/>
          <w:iCs/>
          <w:sz w:val="20"/>
          <w:szCs w:val="20"/>
        </w:rPr>
      </w:pPr>
      <w:r w:rsidRPr="00FD1A38">
        <w:rPr>
          <w:rFonts w:ascii="Verdana" w:eastAsia="Century Gothic" w:hAnsi="Verdana" w:cs="Century Gothic"/>
          <w:i/>
          <w:iCs/>
          <w:sz w:val="20"/>
          <w:szCs w:val="20"/>
        </w:rPr>
        <w:t>SOBRE EL RUP Y LA EXPERIENCIA:</w:t>
      </w:r>
    </w:p>
    <w:p w14:paraId="0BBDD894" w14:textId="77777777" w:rsidR="00EF750F" w:rsidRPr="00CD496A" w:rsidRDefault="00EF750F" w:rsidP="00EF750F">
      <w:pPr>
        <w:spacing w:before="120" w:after="120"/>
        <w:ind w:left="709" w:right="709"/>
        <w:contextualSpacing/>
        <w:jc w:val="both"/>
        <w:rPr>
          <w:rFonts w:ascii="Verdana" w:eastAsia="Century Gothic" w:hAnsi="Verdana" w:cs="Century Gothic"/>
          <w:i/>
          <w:iCs/>
          <w:sz w:val="20"/>
          <w:szCs w:val="20"/>
          <w:lang w:val="es-ES"/>
        </w:rPr>
      </w:pPr>
      <w:r w:rsidRPr="00CD496A">
        <w:rPr>
          <w:rFonts w:ascii="Verdana" w:eastAsia="Century Gothic" w:hAnsi="Verdana" w:cs="Century Gothic"/>
          <w:i/>
          <w:iCs/>
          <w:sz w:val="20"/>
          <w:szCs w:val="20"/>
          <w:lang w:val="es-ES"/>
        </w:rPr>
        <w:t>Sírvase informar si las Juntas de Acción Comunal están obligadas a inscribirse en el Registro Único de Proponentes (RUP) para participar en procesos de Licitación Pública, Selección Abreviada o Concurso de Méritos, o si existen excepciones legales vigentes que las eximan de este requisito más allá de la Contratación Directa y la Mínima Cuantía.</w:t>
      </w:r>
    </w:p>
    <w:p w14:paraId="0D2A4B62" w14:textId="77777777" w:rsidR="00EF750F" w:rsidRPr="00CD496A" w:rsidRDefault="00EF750F" w:rsidP="00EF750F">
      <w:pPr>
        <w:pStyle w:val="Prrafodelista"/>
        <w:numPr>
          <w:ilvl w:val="0"/>
          <w:numId w:val="17"/>
        </w:numPr>
        <w:spacing w:before="120" w:after="120"/>
        <w:ind w:right="709"/>
        <w:jc w:val="both"/>
        <w:rPr>
          <w:rFonts w:ascii="Verdana" w:eastAsia="Century Gothic" w:hAnsi="Verdana" w:cs="Century Gothic"/>
          <w:i/>
          <w:iCs/>
          <w:sz w:val="20"/>
          <w:szCs w:val="20"/>
        </w:rPr>
      </w:pPr>
      <w:r w:rsidRPr="00CD496A">
        <w:rPr>
          <w:rFonts w:ascii="Verdana" w:eastAsia="Century Gothic" w:hAnsi="Verdana" w:cs="Century Gothic"/>
          <w:i/>
          <w:iCs/>
          <w:sz w:val="20"/>
          <w:szCs w:val="20"/>
        </w:rPr>
        <w:t>SOBRE LOS CONVENIOS SOLIDARIOS:</w:t>
      </w:r>
    </w:p>
    <w:p w14:paraId="2A9AA91F" w14:textId="77777777" w:rsidR="00EF750F" w:rsidRPr="00CD496A" w:rsidRDefault="00EF750F" w:rsidP="00EF750F">
      <w:pPr>
        <w:spacing w:before="120" w:after="120"/>
        <w:ind w:left="709" w:right="709"/>
        <w:contextualSpacing/>
        <w:jc w:val="both"/>
        <w:rPr>
          <w:rFonts w:ascii="Verdana" w:eastAsia="Century Gothic" w:hAnsi="Verdana" w:cs="Century Gothic"/>
          <w:i/>
          <w:iCs/>
          <w:sz w:val="20"/>
          <w:szCs w:val="20"/>
        </w:rPr>
      </w:pPr>
      <w:r w:rsidRPr="00CD496A">
        <w:rPr>
          <w:rFonts w:ascii="Verdana" w:eastAsia="Century Gothic" w:hAnsi="Verdana" w:cs="Century Gothic"/>
          <w:i/>
          <w:iCs/>
          <w:sz w:val="20"/>
          <w:szCs w:val="20"/>
          <w:lang w:val="es-ES"/>
        </w:rPr>
        <w:t>Sírvase indicar si la modalidad de "Convenios Solidarios" se circunscribe únicamente a la Contratación Directa o si existen mecanismos para aplicarla en procesos competitivos como la Mínima Cuantía.</w:t>
      </w:r>
      <w:r w:rsidRPr="00CD496A">
        <w:rPr>
          <w:rFonts w:ascii="Verdana" w:eastAsia="Century Gothic" w:hAnsi="Verdana" w:cs="Century Gothic"/>
          <w:i/>
          <w:iCs/>
          <w:sz w:val="20"/>
          <w:szCs w:val="20"/>
        </w:rPr>
        <w:t>”</w:t>
      </w:r>
    </w:p>
    <w:p w14:paraId="0A56DEC9" w14:textId="77777777" w:rsidR="00EF750F" w:rsidRPr="00CD496A" w:rsidRDefault="00EF750F" w:rsidP="00EF750F">
      <w:pPr>
        <w:spacing w:before="120" w:after="120"/>
        <w:ind w:left="709" w:right="709"/>
        <w:contextualSpacing/>
        <w:jc w:val="both"/>
        <w:rPr>
          <w:rFonts w:ascii="Verdana" w:eastAsia="Century Gothic" w:hAnsi="Verdana" w:cs="Century Gothic"/>
          <w:i/>
          <w:iCs/>
          <w:sz w:val="20"/>
          <w:szCs w:val="20"/>
        </w:rPr>
      </w:pPr>
    </w:p>
    <w:p w14:paraId="41AD744D" w14:textId="77777777" w:rsidR="00EF750F" w:rsidRPr="00CD496A" w:rsidRDefault="00EF750F" w:rsidP="00EF750F">
      <w:pPr>
        <w:spacing w:after="120" w:line="276" w:lineRule="auto"/>
        <w:ind w:firstLine="708"/>
        <w:jc w:val="both"/>
        <w:rPr>
          <w:rFonts w:ascii="Verdana" w:eastAsia="Calibri" w:hAnsi="Verdana" w:cs="Arial"/>
          <w:lang w:val="es-ES" w:eastAsia="es-ES"/>
        </w:rPr>
      </w:pPr>
      <w:r w:rsidRPr="00CD496A">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w:t>
      </w:r>
      <w:r w:rsidRPr="00CD496A">
        <w:rPr>
          <w:rFonts w:ascii="Verdana" w:eastAsia="Calibri" w:hAnsi="Verdana" w:cs="Arial"/>
          <w:lang w:val="es-ES" w:eastAsia="es-ES"/>
        </w:rPr>
        <w:lastRenderedPageBreak/>
        <w:t xml:space="preserve">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D496A">
        <w:rPr>
          <w:rFonts w:ascii="Verdana" w:hAnsi="Verdana"/>
          <w:lang w:val="es-ES"/>
        </w:rPr>
        <w:tab/>
      </w:r>
    </w:p>
    <w:p w14:paraId="3653790D" w14:textId="77777777" w:rsidR="00EF750F" w:rsidRPr="00CD496A" w:rsidRDefault="00EF750F" w:rsidP="00EF750F">
      <w:pPr>
        <w:spacing w:after="0" w:line="276" w:lineRule="auto"/>
        <w:ind w:firstLine="709"/>
        <w:jc w:val="both"/>
        <w:rPr>
          <w:rFonts w:ascii="Verdana" w:eastAsia="Calibri" w:hAnsi="Verdana" w:cs="Arial"/>
          <w:lang w:val="es-ES" w:eastAsia="es-ES"/>
        </w:rPr>
      </w:pPr>
      <w:r w:rsidRPr="00CD496A">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3B57C1B6" w14:textId="77777777" w:rsidR="00EF750F" w:rsidRPr="00CD496A" w:rsidRDefault="00EF750F" w:rsidP="00EF750F">
      <w:pPr>
        <w:spacing w:after="0" w:line="276" w:lineRule="auto"/>
        <w:ind w:firstLine="709"/>
        <w:jc w:val="both"/>
        <w:rPr>
          <w:rFonts w:ascii="Verdana" w:eastAsia="Calibri" w:hAnsi="Verdana" w:cs="Arial"/>
          <w:lang w:val="es-ES" w:eastAsia="es-ES"/>
        </w:rPr>
      </w:pPr>
    </w:p>
    <w:p w14:paraId="30AF42BA" w14:textId="77777777" w:rsidR="00EF750F" w:rsidRPr="00CD496A" w:rsidRDefault="00EF750F" w:rsidP="00EF750F">
      <w:pPr>
        <w:tabs>
          <w:tab w:val="left" w:pos="142"/>
          <w:tab w:val="left" w:pos="284"/>
        </w:tabs>
        <w:spacing w:after="0" w:line="276" w:lineRule="auto"/>
        <w:contextualSpacing/>
        <w:jc w:val="both"/>
        <w:rPr>
          <w:rFonts w:ascii="Verdana" w:eastAsia="Century Gothic" w:hAnsi="Verdana" w:cs="Century Gothic"/>
          <w:b/>
          <w:lang w:val="es-ES"/>
        </w:rPr>
      </w:pPr>
      <w:r w:rsidRPr="00CD496A">
        <w:rPr>
          <w:rFonts w:ascii="Verdana" w:eastAsia="Century Gothic" w:hAnsi="Verdana" w:cs="Century Gothic"/>
          <w:b/>
          <w:lang w:val="es-ES"/>
        </w:rPr>
        <w:t>1. Problema planteado:</w:t>
      </w:r>
    </w:p>
    <w:p w14:paraId="4E9FAAB8" w14:textId="77777777" w:rsidR="00EF750F" w:rsidRPr="006733BD" w:rsidRDefault="00EF750F" w:rsidP="00EF750F">
      <w:pPr>
        <w:tabs>
          <w:tab w:val="left" w:pos="426"/>
        </w:tabs>
        <w:spacing w:after="0" w:line="276" w:lineRule="auto"/>
        <w:jc w:val="both"/>
        <w:rPr>
          <w:rFonts w:ascii="Verdana" w:eastAsia="Century Gothic" w:hAnsi="Verdana" w:cs="Century Gothic"/>
          <w:color w:val="ED7D31" w:themeColor="accent2"/>
          <w:lang w:val="es-ES"/>
        </w:rPr>
      </w:pPr>
    </w:p>
    <w:p w14:paraId="5E6523D1" w14:textId="77777777" w:rsidR="00EF750F" w:rsidRPr="008A568A" w:rsidRDefault="00EF750F" w:rsidP="00EF750F">
      <w:pPr>
        <w:spacing w:after="0" w:line="276" w:lineRule="auto"/>
        <w:jc w:val="both"/>
        <w:rPr>
          <w:rFonts w:ascii="Verdana" w:eastAsia="Century Gothic" w:hAnsi="Verdana" w:cs="Century Gothic"/>
        </w:rPr>
      </w:pPr>
      <w:r w:rsidRPr="00CD496A">
        <w:rPr>
          <w:rFonts w:ascii="Verdana" w:eastAsia="Century Gothic" w:hAnsi="Verdana" w:cs="Century Gothic"/>
          <w:lang w:val="es-ES"/>
        </w:rPr>
        <w:t>De acuerdo con el contenido de su solicitud, esta Agencia resolverá los siguientes problemas jurídicos:</w:t>
      </w:r>
      <w:r w:rsidRPr="00CD496A">
        <w:rPr>
          <w:rFonts w:ascii="Verdana" w:eastAsia="Century Gothic" w:hAnsi="Verdana" w:cs="Century Gothic"/>
        </w:rPr>
        <w:t xml:space="preserve"> </w:t>
      </w:r>
      <w:r w:rsidRPr="00C20582">
        <w:rPr>
          <w:rFonts w:ascii="Verdana" w:eastAsia="Century Gothic" w:hAnsi="Verdana" w:cs="Century Gothic"/>
        </w:rPr>
        <w:t xml:space="preserve">i) </w:t>
      </w:r>
      <w:r>
        <w:rPr>
          <w:rFonts w:ascii="Verdana" w:eastAsia="Verdana" w:hAnsi="Verdana" w:cs="Verdana"/>
        </w:rPr>
        <w:t>Cuáles son los requisitos</w:t>
      </w:r>
      <w:r w:rsidRPr="66237D1D">
        <w:rPr>
          <w:rFonts w:ascii="Verdana" w:eastAsia="Verdana" w:hAnsi="Verdana" w:cs="Verdana"/>
        </w:rPr>
        <w:t xml:space="preserve"> </w:t>
      </w:r>
      <w:r>
        <w:rPr>
          <w:rFonts w:ascii="Verdana" w:eastAsia="Verdana" w:hAnsi="Verdana" w:cs="Verdana"/>
        </w:rPr>
        <w:t xml:space="preserve">que deben cumplir los </w:t>
      </w:r>
      <w:r w:rsidRPr="66237D1D">
        <w:rPr>
          <w:rFonts w:ascii="Verdana" w:eastAsia="Verdana" w:hAnsi="Verdana" w:cs="Verdana"/>
        </w:rPr>
        <w:t xml:space="preserve">Organismos de Acción Comunal </w:t>
      </w:r>
      <w:r>
        <w:rPr>
          <w:rFonts w:ascii="Verdana" w:eastAsia="Verdana" w:hAnsi="Verdana" w:cs="Verdana"/>
        </w:rPr>
        <w:t>para celebrar contratos y convenios con Entidades Estatales</w:t>
      </w:r>
      <w:r w:rsidRPr="66237D1D">
        <w:rPr>
          <w:rFonts w:ascii="Verdana" w:eastAsia="Verdana" w:hAnsi="Verdana" w:cs="Verdana"/>
        </w:rPr>
        <w:t>?</w:t>
      </w:r>
      <w:r>
        <w:rPr>
          <w:rFonts w:ascii="Verdana" w:eastAsia="Century Gothic" w:hAnsi="Verdana" w:cs="Century Gothic"/>
        </w:rPr>
        <w:t xml:space="preserve"> y ii)</w:t>
      </w:r>
      <w:r w:rsidRPr="00DC518B">
        <w:t xml:space="preserve"> </w:t>
      </w:r>
      <w:r w:rsidRPr="00DC518B">
        <w:rPr>
          <w:rFonts w:ascii="Verdana" w:eastAsia="Century Gothic" w:hAnsi="Verdana" w:cs="Century Gothic"/>
        </w:rPr>
        <w:t>¿Los convenios solidarios pueden celebrarse únicamente por contratación directa?</w:t>
      </w:r>
    </w:p>
    <w:p w14:paraId="691BF3FF" w14:textId="77777777" w:rsidR="00EF750F" w:rsidRPr="006733BD" w:rsidRDefault="00EF750F" w:rsidP="00EF750F">
      <w:pPr>
        <w:spacing w:after="0" w:line="276" w:lineRule="auto"/>
        <w:jc w:val="both"/>
        <w:rPr>
          <w:rFonts w:ascii="Verdana" w:eastAsia="Century Gothic" w:hAnsi="Verdana" w:cs="Century Gothic"/>
          <w:color w:val="ED7D31" w:themeColor="accent2"/>
        </w:rPr>
      </w:pPr>
    </w:p>
    <w:p w14:paraId="706C6D21" w14:textId="77777777" w:rsidR="00EF750F" w:rsidRPr="006733BD" w:rsidRDefault="00EF750F" w:rsidP="00EF750F">
      <w:pPr>
        <w:tabs>
          <w:tab w:val="left" w:pos="142"/>
          <w:tab w:val="left" w:pos="284"/>
        </w:tabs>
        <w:spacing w:after="0" w:line="276" w:lineRule="auto"/>
        <w:jc w:val="both"/>
        <w:rPr>
          <w:rFonts w:ascii="Verdana" w:eastAsia="Century Gothic" w:hAnsi="Verdana" w:cs="Century Gothic"/>
          <w:b/>
          <w:color w:val="ED7D31" w:themeColor="accent2"/>
          <w:lang w:val="es-ES"/>
        </w:rPr>
      </w:pPr>
      <w:r w:rsidRPr="00CD496A">
        <w:rPr>
          <w:rFonts w:ascii="Verdana" w:eastAsia="Century Gothic" w:hAnsi="Verdana" w:cs="Century Gothic"/>
          <w:b/>
          <w:lang w:val="es-ES"/>
        </w:rPr>
        <w:t>2. Respuesta:</w:t>
      </w:r>
    </w:p>
    <w:p w14:paraId="0AA36F9F" w14:textId="77777777" w:rsidR="00EF750F" w:rsidRPr="006733BD" w:rsidRDefault="00EF750F" w:rsidP="00EF750F">
      <w:pPr>
        <w:tabs>
          <w:tab w:val="left" w:pos="142"/>
          <w:tab w:val="left" w:pos="284"/>
        </w:tabs>
        <w:spacing w:after="0" w:line="276" w:lineRule="auto"/>
        <w:jc w:val="both"/>
        <w:rPr>
          <w:rFonts w:ascii="Verdana" w:eastAsia="Century Gothic" w:hAnsi="Verdana" w:cs="Century Gothic"/>
          <w:b/>
          <w:bCs/>
          <w:color w:val="ED7D31" w:themeColor="accent2"/>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F750F" w:rsidRPr="006733BD" w14:paraId="63E8305B" w14:textId="77777777" w:rsidTr="0068055E">
        <w:tc>
          <w:tcPr>
            <w:tcW w:w="8828" w:type="dxa"/>
          </w:tcPr>
          <w:p w14:paraId="3AFDD824" w14:textId="1594679A" w:rsidR="00EF750F" w:rsidRPr="00B17853" w:rsidRDefault="00EF750F" w:rsidP="0068055E">
            <w:pPr>
              <w:pStyle w:val="Textoindependiente"/>
              <w:spacing w:line="276" w:lineRule="auto"/>
              <w:jc w:val="both"/>
              <w:rPr>
                <w:rFonts w:ascii="Verdana" w:eastAsia="Times New Roman" w:hAnsi="Verdana" w:cs="Arial"/>
                <w:lang w:eastAsia="es-ES"/>
              </w:rPr>
            </w:pPr>
            <w:r w:rsidRPr="00B17853">
              <w:rPr>
                <w:rFonts w:ascii="Verdana" w:eastAsia="Calibri" w:hAnsi="Verdana" w:cs="Arial"/>
              </w:rPr>
              <w:t>i)</w:t>
            </w:r>
            <w:r w:rsidRPr="00B17853">
              <w:rPr>
                <w:rFonts w:ascii="Verdana" w:eastAsia="Times New Roman" w:hAnsi="Verdana" w:cs="Arial"/>
                <w:lang w:eastAsia="es-ES"/>
              </w:rPr>
              <w:t xml:space="preserve"> </w:t>
            </w:r>
            <w:r>
              <w:rPr>
                <w:rFonts w:ascii="Verdana" w:eastAsia="Times New Roman" w:hAnsi="Verdana" w:cs="Arial"/>
                <w:lang w:eastAsia="es-ES"/>
              </w:rPr>
              <w:t>Para</w:t>
            </w:r>
            <w:r>
              <w:rPr>
                <w:rFonts w:ascii="Verdana" w:eastAsia="Times New Roman" w:hAnsi="Verdana" w:cs="Arial"/>
                <w:bCs/>
                <w:lang w:eastAsia="es-ES"/>
              </w:rPr>
              <w:t xml:space="preserve"> contestar el primer interrogante, </w:t>
            </w:r>
            <w:r w:rsidRPr="00B17853">
              <w:rPr>
                <w:rFonts w:ascii="Verdana" w:eastAsia="Times New Roman" w:hAnsi="Verdana" w:cs="Arial"/>
                <w:bCs/>
                <w:lang w:eastAsia="es-ES"/>
              </w:rPr>
              <w:t xml:space="preserve">de conformidad con lo establecido en el artículo 7 de la Ley 2166 de 2021, los Organismos de Acción Comunal legalmente constituidos, en su calidad de personas jurídicas, se encuentran habilitados para celebrar contratos con las entidades estatales. </w:t>
            </w:r>
            <w:r w:rsidR="003D7C47">
              <w:rPr>
                <w:rFonts w:ascii="Verdana" w:eastAsia="Times New Roman" w:hAnsi="Verdana" w:cs="Arial"/>
                <w:bCs/>
                <w:lang w:eastAsia="es-ES"/>
              </w:rPr>
              <w:t>Así mismo</w:t>
            </w:r>
            <w:r w:rsidRPr="00B17853">
              <w:rPr>
                <w:rFonts w:ascii="Verdana" w:eastAsia="Times New Roman" w:hAnsi="Verdana" w:cs="Arial"/>
                <w:bCs/>
                <w:lang w:eastAsia="es-ES"/>
              </w:rPr>
              <w:t xml:space="preserve">, dichos organismos están facultados para suscribir convenios de asociación, conforme a lo dispuesto en el artículo 96 de la Ley 489 de 1998, así como convenios solidarios, en los términos previstos en los artículos 63 y </w:t>
            </w:r>
            <w:r w:rsidRPr="00A7786E">
              <w:rPr>
                <w:rFonts w:ascii="Verdana" w:eastAsia="Times New Roman" w:hAnsi="Verdana" w:cs="Arial"/>
                <w:lang w:eastAsia="es-ES"/>
              </w:rPr>
              <w:t>95 de la Ley 2166 de 2021.</w:t>
            </w:r>
            <w:r w:rsidR="003D7C47">
              <w:rPr>
                <w:rFonts w:ascii="Verdana" w:eastAsia="Times New Roman" w:hAnsi="Verdana" w:cs="Arial"/>
                <w:lang w:eastAsia="es-ES"/>
              </w:rPr>
              <w:t xml:space="preserve"> En ese sentido, se precisa que los Organismos de Acción Comunal pueden celebrar los negocios jurídicos regulados en el Estatuto General de Contratación de la Administración Pública en igualdad de condiciones que los demás proponentes y podrán suscribir Convenios Solidarios. </w:t>
            </w:r>
          </w:p>
          <w:p w14:paraId="3759AB74" w14:textId="7957369D" w:rsidR="00EF750F" w:rsidRDefault="003D7C47" w:rsidP="0068055E">
            <w:pPr>
              <w:pStyle w:val="Textoindependiente"/>
              <w:spacing w:line="276" w:lineRule="auto"/>
              <w:ind w:firstLine="709"/>
              <w:jc w:val="both"/>
              <w:rPr>
                <w:rFonts w:ascii="Verdana" w:eastAsia="Times New Roman" w:hAnsi="Verdana" w:cs="Arial"/>
                <w:lang w:eastAsia="es-ES"/>
              </w:rPr>
            </w:pPr>
            <w:r>
              <w:rPr>
                <w:rFonts w:ascii="Verdana" w:eastAsia="Times New Roman" w:hAnsi="Verdana" w:cs="Arial"/>
                <w:lang w:eastAsia="es-ES"/>
              </w:rPr>
              <w:t>Frente a los negocios jurídicos regulados en el Estatuto General de Contratación de la Administración Pública l</w:t>
            </w:r>
            <w:r w:rsidR="00EF750F" w:rsidRPr="00A7786E">
              <w:rPr>
                <w:rFonts w:ascii="Verdana" w:eastAsia="Times New Roman" w:hAnsi="Verdana" w:cs="Arial"/>
                <w:lang w:eastAsia="es-ES"/>
              </w:rPr>
              <w:t xml:space="preserve">os requisitos que deben cumplir los Organismos de Acción Comunal para celebrar este tipo de negocios jurídicos </w:t>
            </w:r>
            <w:r w:rsidR="00EF750F" w:rsidRPr="00A7786E">
              <w:rPr>
                <w:rFonts w:ascii="Verdana" w:eastAsia="Times New Roman" w:hAnsi="Verdana" w:cs="Arial"/>
                <w:lang w:eastAsia="es-ES"/>
              </w:rPr>
              <w:lastRenderedPageBreak/>
              <w:t>son aquellos que, de conformidad con la ley y los reglamentos, haya definido la Entidad Estatal para el respectivo proceso de contratación</w:t>
            </w:r>
            <w:r>
              <w:rPr>
                <w:rFonts w:ascii="Verdana" w:eastAsia="Times New Roman" w:hAnsi="Verdana" w:cs="Arial"/>
                <w:lang w:eastAsia="es-ES"/>
              </w:rPr>
              <w:t>, dependiendo la modalidad de selección aplicable</w:t>
            </w:r>
            <w:r w:rsidR="00EF750F" w:rsidRPr="00A7786E">
              <w:rPr>
                <w:rFonts w:ascii="Verdana" w:eastAsia="Times New Roman" w:hAnsi="Verdana" w:cs="Arial"/>
                <w:lang w:eastAsia="es-ES"/>
              </w:rPr>
              <w:t>.</w:t>
            </w:r>
            <w:r w:rsidR="00EF750F">
              <w:rPr>
                <w:rFonts w:ascii="Verdana" w:eastAsia="Times New Roman" w:hAnsi="Verdana" w:cs="Arial"/>
                <w:lang w:eastAsia="es-ES"/>
              </w:rPr>
              <w:t xml:space="preserve"> Ahora bien, d</w:t>
            </w:r>
            <w:r w:rsidR="00EF750F" w:rsidRPr="00A7786E">
              <w:rPr>
                <w:rFonts w:ascii="Verdana" w:eastAsia="Times New Roman" w:hAnsi="Verdana" w:cs="Arial"/>
                <w:lang w:eastAsia="es-ES"/>
              </w:rPr>
              <w:t xml:space="preserve">ichos requisitos pueden ser habilitantes o ponderables y deben ser establecidos dentro del pliego de condiciones o documento equivalente, de acuerdo con lo determinado en el marco del análisis del sector económico y los estudios previos.  </w:t>
            </w:r>
          </w:p>
          <w:p w14:paraId="06135AD5" w14:textId="77777777" w:rsidR="00EF750F" w:rsidRDefault="00EF750F" w:rsidP="0068055E">
            <w:pPr>
              <w:spacing w:before="120" w:after="120" w:line="276" w:lineRule="auto"/>
              <w:ind w:firstLine="741"/>
              <w:jc w:val="both"/>
              <w:rPr>
                <w:rFonts w:ascii="Verdana" w:hAnsi="Verdana" w:cs="Arial"/>
                <w:bCs/>
                <w:lang w:val="es-ES" w:eastAsia="es-ES" w:bidi="es-ES"/>
              </w:rPr>
            </w:pPr>
            <w:r>
              <w:rPr>
                <w:rFonts w:ascii="Verdana" w:hAnsi="Verdana" w:cs="Arial"/>
                <w:bCs/>
                <w:lang w:val="es-ES" w:eastAsia="es-ES" w:bidi="es-ES"/>
              </w:rPr>
              <w:t xml:space="preserve">Los </w:t>
            </w:r>
            <w:r w:rsidRPr="00211525">
              <w:rPr>
                <w:rFonts w:ascii="Verdana" w:hAnsi="Verdana" w:cs="Arial"/>
                <w:bCs/>
                <w:i/>
                <w:iCs/>
                <w:lang w:val="es-ES" w:eastAsia="es-ES" w:bidi="es-ES"/>
              </w:rPr>
              <w:t>requisitos habilitantes</w:t>
            </w:r>
            <w:r>
              <w:rPr>
                <w:rFonts w:ascii="Verdana" w:hAnsi="Verdana" w:cs="Arial"/>
                <w:bCs/>
                <w:lang w:val="es-ES" w:eastAsia="es-ES" w:bidi="es-ES"/>
              </w:rPr>
              <w:t xml:space="preserve"> se rigen por lo dispuesto en </w:t>
            </w:r>
            <w:r w:rsidRPr="008D5F06">
              <w:rPr>
                <w:rFonts w:ascii="Verdana" w:hAnsi="Verdana" w:cs="Arial"/>
                <w:bCs/>
                <w:lang w:val="es-ES" w:eastAsia="es-ES" w:bidi="es-ES"/>
              </w:rPr>
              <w:t>el numeral 1 del artículo 5 de la Ley 1150 de 2007</w:t>
            </w:r>
            <w:r>
              <w:rPr>
                <w:rFonts w:ascii="Verdana" w:hAnsi="Verdana" w:cs="Arial"/>
                <w:bCs/>
                <w:lang w:val="es-ES" w:eastAsia="es-ES" w:bidi="es-ES"/>
              </w:rPr>
              <w:t xml:space="preserve"> y son </w:t>
            </w:r>
            <w:r w:rsidRPr="008D5F06">
              <w:rPr>
                <w:rFonts w:ascii="Verdana" w:hAnsi="Verdana" w:cs="Arial"/>
                <w:bCs/>
                <w:lang w:val="es-ES" w:eastAsia="es-ES" w:bidi="es-ES"/>
              </w:rPr>
              <w:t xml:space="preserve">exigibles en la generalidad de los procesos de selección adelantados conforma al -EGCAP-, tales </w:t>
            </w:r>
            <w:r w:rsidRPr="008D5F06">
              <w:rPr>
                <w:rFonts w:ascii="Verdana" w:eastAsia="Calibri" w:hAnsi="Verdana" w:cs="Arial"/>
                <w:bCs/>
                <w:lang w:val="es-MX"/>
              </w:rPr>
              <w:t xml:space="preserve">como la capacidad jurídica, las condiciones de experiencia, la capacidad financiera y de organización, los cuales –en principio, salvo expresa disposición legal– no otorgan puntaje.  </w:t>
            </w:r>
            <w:r>
              <w:rPr>
                <w:rFonts w:ascii="Verdana" w:hAnsi="Verdana" w:cs="Arial"/>
                <w:bCs/>
                <w:lang w:val="es-ES" w:eastAsia="es-ES" w:bidi="es-ES"/>
              </w:rPr>
              <w:t>Estos requisitos están dirigidos a determinar la capacidad e idoneidad del eventual contratista para suscribir y ejecutar el contrato. Tales requisitos deben ser deben fijados durante la etapa de planeación</w:t>
            </w:r>
            <w:r w:rsidRPr="008D5F06">
              <w:rPr>
                <w:rFonts w:ascii="Verdana" w:hAnsi="Verdana" w:cs="Arial"/>
                <w:bCs/>
                <w:lang w:val="es-ES" w:eastAsia="es-ES" w:bidi="es-ES"/>
              </w:rPr>
              <w:t xml:space="preserve"> </w:t>
            </w:r>
            <w:r>
              <w:rPr>
                <w:rFonts w:ascii="Verdana" w:hAnsi="Verdana" w:cs="Arial"/>
                <w:bCs/>
                <w:lang w:val="es-ES" w:eastAsia="es-ES" w:bidi="es-ES"/>
              </w:rPr>
              <w:t xml:space="preserve">y deben ser </w:t>
            </w:r>
            <w:r w:rsidRPr="008D5F06">
              <w:rPr>
                <w:rFonts w:ascii="Verdana" w:hAnsi="Verdana" w:cs="Arial"/>
                <w:bCs/>
                <w:i/>
                <w:iCs/>
                <w:lang w:val="es-ES" w:eastAsia="es-ES" w:bidi="es-ES"/>
              </w:rPr>
              <w:t>adecuados y proporcionales</w:t>
            </w:r>
            <w:r w:rsidRPr="008D5F06">
              <w:rPr>
                <w:rFonts w:ascii="Verdana" w:hAnsi="Verdana" w:cs="Arial"/>
                <w:bCs/>
                <w:lang w:val="es-ES" w:eastAsia="es-ES" w:bidi="es-ES"/>
              </w:rPr>
              <w:t xml:space="preserve"> al</w:t>
            </w:r>
            <w:r>
              <w:rPr>
                <w:rFonts w:ascii="Verdana" w:hAnsi="Verdana" w:cs="Arial"/>
                <w:bCs/>
                <w:lang w:val="es-ES" w:eastAsia="es-ES" w:bidi="es-ES"/>
              </w:rPr>
              <w:t xml:space="preserve"> objeto y valor del contrato. </w:t>
            </w:r>
            <w:r w:rsidRPr="008D5F06">
              <w:rPr>
                <w:rFonts w:ascii="Verdana" w:hAnsi="Verdana" w:cs="Arial"/>
                <w:bCs/>
                <w:lang w:val="es-ES" w:eastAsia="es-ES" w:bidi="es-ES"/>
              </w:rPr>
              <w:t xml:space="preserve"> </w:t>
            </w:r>
          </w:p>
          <w:p w14:paraId="2F90611E" w14:textId="77777777" w:rsidR="00EF750F" w:rsidRDefault="00EF750F" w:rsidP="0068055E">
            <w:pPr>
              <w:spacing w:before="120" w:after="120" w:line="276" w:lineRule="auto"/>
              <w:ind w:firstLine="741"/>
              <w:jc w:val="both"/>
              <w:rPr>
                <w:rFonts w:ascii="Verdana" w:eastAsia="Calibri" w:hAnsi="Verdana" w:cs="Arial"/>
                <w:bCs/>
                <w:lang w:val="es-MX"/>
              </w:rPr>
            </w:pPr>
            <w:r>
              <w:rPr>
                <w:rFonts w:ascii="Verdana" w:hAnsi="Verdana" w:cs="Arial"/>
                <w:lang w:val="es-ES" w:eastAsia="es-ES" w:bidi="es-ES"/>
              </w:rPr>
              <w:t>De otra parte</w:t>
            </w:r>
            <w:r>
              <w:rPr>
                <w:rFonts w:ascii="Verdana" w:eastAsia="Calibri" w:hAnsi="Verdana" w:cs="Arial"/>
                <w:lang w:val="es-ES"/>
              </w:rPr>
              <w:t>,</w:t>
            </w:r>
            <w:r w:rsidRPr="00DF405B">
              <w:rPr>
                <w:rFonts w:ascii="Verdana" w:hAnsi="Verdana" w:cs="Arial"/>
                <w:lang w:val="es-ES" w:eastAsia="es-ES" w:bidi="es-ES"/>
              </w:rPr>
              <w:t xml:space="preserve"> los </w:t>
            </w:r>
            <w:r w:rsidRPr="00211525">
              <w:rPr>
                <w:rFonts w:ascii="Verdana" w:eastAsia="Calibri" w:hAnsi="Verdana" w:cs="Arial"/>
                <w:i/>
                <w:iCs/>
                <w:lang w:val="es-ES"/>
              </w:rPr>
              <w:t>requisitos ponderables</w:t>
            </w:r>
            <w:r w:rsidRPr="00DF405B">
              <w:rPr>
                <w:rFonts w:ascii="Verdana" w:eastAsia="Calibri" w:hAnsi="Verdana" w:cs="Arial"/>
                <w:lang w:val="es-ES"/>
              </w:rPr>
              <w:t xml:space="preserve"> </w:t>
            </w:r>
            <w:r>
              <w:rPr>
                <w:rFonts w:ascii="Verdana" w:eastAsia="Calibri" w:hAnsi="Verdana" w:cs="Arial"/>
                <w:lang w:val="es-ES"/>
              </w:rPr>
              <w:t xml:space="preserve">o </w:t>
            </w:r>
            <w:r w:rsidRPr="00211525">
              <w:rPr>
                <w:rFonts w:ascii="Verdana" w:eastAsia="Calibri" w:hAnsi="Verdana" w:cs="Arial"/>
                <w:i/>
                <w:iCs/>
                <w:lang w:val="es-ES"/>
              </w:rPr>
              <w:t xml:space="preserve">factores de escogencia </w:t>
            </w:r>
            <w:r>
              <w:rPr>
                <w:rFonts w:ascii="Verdana" w:eastAsia="Calibri" w:hAnsi="Verdana" w:cs="Arial"/>
                <w:i/>
                <w:iCs/>
                <w:lang w:val="es-ES"/>
              </w:rPr>
              <w:t>o</w:t>
            </w:r>
            <w:r w:rsidRPr="00211525">
              <w:rPr>
                <w:rFonts w:ascii="Verdana" w:eastAsia="Calibri" w:hAnsi="Verdana" w:cs="Arial"/>
                <w:i/>
                <w:iCs/>
                <w:lang w:val="es-ES"/>
              </w:rPr>
              <w:t xml:space="preserve"> calificación</w:t>
            </w:r>
            <w:r w:rsidRPr="00DF405B">
              <w:rPr>
                <w:rFonts w:ascii="Verdana" w:eastAsia="Calibri" w:hAnsi="Verdana" w:cs="Arial"/>
                <w:lang w:val="es-ES"/>
              </w:rPr>
              <w:t xml:space="preserve">, </w:t>
            </w:r>
            <w:r>
              <w:rPr>
                <w:rFonts w:ascii="Verdana" w:eastAsia="Calibri" w:hAnsi="Verdana" w:cs="Arial"/>
                <w:lang w:val="es-ES"/>
              </w:rPr>
              <w:t xml:space="preserve">a diferencia de las condiciones habilitantes, están </w:t>
            </w:r>
            <w:r w:rsidRPr="00DF405B">
              <w:rPr>
                <w:rFonts w:ascii="Verdana" w:eastAsia="Calibri" w:hAnsi="Verdana" w:cs="Arial"/>
                <w:lang w:val="es-ES"/>
              </w:rPr>
              <w:t>orientados a</w:t>
            </w:r>
            <w:r>
              <w:rPr>
                <w:rFonts w:ascii="Verdana" w:eastAsia="Calibri" w:hAnsi="Verdana" w:cs="Arial"/>
                <w:lang w:val="es-ES"/>
              </w:rPr>
              <w:t xml:space="preserve"> permitir la comparación de ofertas con el fin de determinar cuál es la </w:t>
            </w:r>
            <w:r w:rsidRPr="00DF405B">
              <w:rPr>
                <w:rFonts w:ascii="Verdana" w:eastAsia="Calibri" w:hAnsi="Verdana" w:cs="Arial"/>
                <w:lang w:val="es-ES"/>
              </w:rPr>
              <w:t xml:space="preserve">más favorable para la entidad. </w:t>
            </w:r>
            <w:r>
              <w:rPr>
                <w:rFonts w:ascii="Verdana" w:eastAsia="Calibri" w:hAnsi="Verdana" w:cs="Arial"/>
                <w:lang w:val="es-ES"/>
              </w:rPr>
              <w:t xml:space="preserve">Estos requisitos </w:t>
            </w:r>
            <w:r w:rsidRPr="00DF405B">
              <w:rPr>
                <w:rFonts w:ascii="Verdana" w:eastAsia="Calibri" w:hAnsi="Verdana" w:cs="Arial"/>
                <w:lang w:val="es-ES"/>
              </w:rPr>
              <w:t>permiten comparar la</w:t>
            </w:r>
            <w:r>
              <w:rPr>
                <w:rFonts w:ascii="Verdana" w:eastAsia="Calibri" w:hAnsi="Verdana" w:cs="Arial"/>
                <w:lang w:val="es-ES"/>
              </w:rPr>
              <w:t>s</w:t>
            </w:r>
            <w:r w:rsidRPr="00DF405B">
              <w:rPr>
                <w:rFonts w:ascii="Verdana" w:eastAsia="Calibri" w:hAnsi="Verdana" w:cs="Arial"/>
                <w:lang w:val="es-ES"/>
              </w:rPr>
              <w:t xml:space="preserve"> propuestas a partir de criterios técnicos y económicos</w:t>
            </w:r>
            <w:r>
              <w:rPr>
                <w:rFonts w:ascii="Verdana" w:eastAsia="Calibri" w:hAnsi="Verdana" w:cs="Arial"/>
                <w:lang w:val="es-ES"/>
              </w:rPr>
              <w:t xml:space="preserve"> previamente definidos por la entidad estatal, que se basan en sistemas de asignación de puntajes, formulas o menor valor ofertado.</w:t>
            </w:r>
            <w:r>
              <w:rPr>
                <w:rFonts w:ascii="Verdana" w:eastAsia="Calibri" w:hAnsi="Verdana" w:cs="Arial"/>
                <w:bCs/>
                <w:lang w:val="es-MX"/>
              </w:rPr>
              <w:t xml:space="preserve"> Tales factores además deben ser establecidos de acuerdo con la modalidad de selección, con sujeción con lo establecido en los numerales 2, 3 y 4 del artículo 5 de la Ley 1150 de 2007.  </w:t>
            </w:r>
          </w:p>
          <w:p w14:paraId="50EA772A" w14:textId="5C0456DF" w:rsidR="00EF750F" w:rsidRDefault="00EF750F" w:rsidP="0068055E">
            <w:pPr>
              <w:spacing w:before="120" w:after="120" w:line="276" w:lineRule="auto"/>
              <w:ind w:firstLine="741"/>
              <w:jc w:val="both"/>
              <w:rPr>
                <w:rFonts w:ascii="Verdana" w:eastAsia="Calibri" w:hAnsi="Verdana" w:cs="Arial"/>
                <w:bCs/>
              </w:rPr>
            </w:pPr>
            <w:r>
              <w:rPr>
                <w:rFonts w:ascii="Verdana" w:eastAsia="Calibri" w:hAnsi="Verdana" w:cs="Arial"/>
                <w:bCs/>
                <w:lang w:val="es-MX"/>
              </w:rPr>
              <w:t xml:space="preserve">Adicionalmente, para iniciar la ejecución del contrato o convenio, es necesario acreditar los requisitos de ejecución, que de acuerdo con la ley o la autonomía de la voluntad resulten exigibles. En ese sentido, de conformidad con lo establecido en el artículo 41 de la Ley 80 de 1993, además de la expedición de certificados de disponibilidad y registros presupuestales, para iniciar la ejecución del contrato es necesario que se hayan sido aprobadas constituidas en favor de la entidad estatal y  </w:t>
            </w:r>
            <w:r>
              <w:rPr>
                <w:rFonts w:ascii="Verdana" w:eastAsia="Calibri" w:hAnsi="Verdana" w:cs="Arial"/>
                <w:bCs/>
              </w:rPr>
              <w:t xml:space="preserve">que el contratista se </w:t>
            </w:r>
            <w:r w:rsidRPr="00C63CCE">
              <w:rPr>
                <w:rFonts w:ascii="Verdana" w:eastAsia="Calibri" w:hAnsi="Verdana" w:cs="Arial"/>
                <w:bCs/>
              </w:rPr>
              <w:t>encuentr</w:t>
            </w:r>
            <w:r>
              <w:rPr>
                <w:rFonts w:ascii="Verdana" w:eastAsia="Calibri" w:hAnsi="Verdana" w:cs="Arial"/>
                <w:bCs/>
              </w:rPr>
              <w:t>e</w:t>
            </w:r>
            <w:r w:rsidRPr="00C63CCE">
              <w:rPr>
                <w:rFonts w:ascii="Verdana" w:eastAsia="Calibri" w:hAnsi="Verdana" w:cs="Arial"/>
                <w:bCs/>
              </w:rPr>
              <w:t xml:space="preserve"> al día en el pago de aportes parafiscales relativos al Sistema de Seguridad Social Integral, así como los propios del Sena, ICBF y Cajas de Compensación Familiar, cuando corresponda.</w:t>
            </w:r>
          </w:p>
          <w:p w14:paraId="2D85A159" w14:textId="488366F8" w:rsidR="003D7C47" w:rsidRDefault="003D7C47" w:rsidP="0068055E">
            <w:pPr>
              <w:spacing w:before="120" w:after="120" w:line="276" w:lineRule="auto"/>
              <w:ind w:firstLine="741"/>
              <w:jc w:val="both"/>
              <w:rPr>
                <w:rFonts w:ascii="Verdana" w:eastAsia="Calibri" w:hAnsi="Verdana" w:cs="Arial"/>
                <w:bCs/>
              </w:rPr>
            </w:pPr>
            <w:r>
              <w:rPr>
                <w:rFonts w:ascii="Verdana" w:eastAsia="Calibri" w:hAnsi="Verdana" w:cs="Arial"/>
                <w:bCs/>
              </w:rPr>
              <w:lastRenderedPageBreak/>
              <w:t>Por otro lado, los requisitos propios de los Convenios Solidarios serán desarrollados en el num</w:t>
            </w:r>
            <w:r w:rsidR="00924E5A">
              <w:rPr>
                <w:rFonts w:ascii="Verdana" w:eastAsia="Calibri" w:hAnsi="Verdana" w:cs="Arial"/>
                <w:bCs/>
              </w:rPr>
              <w:t>e</w:t>
            </w:r>
            <w:r>
              <w:rPr>
                <w:rFonts w:ascii="Verdana" w:eastAsia="Calibri" w:hAnsi="Verdana" w:cs="Arial"/>
                <w:bCs/>
              </w:rPr>
              <w:t xml:space="preserve">ral siguiente. </w:t>
            </w:r>
          </w:p>
          <w:p w14:paraId="4DEA7A19" w14:textId="77777777" w:rsidR="00EF750F" w:rsidRDefault="00EF750F" w:rsidP="0068055E">
            <w:pPr>
              <w:spacing w:before="120" w:after="120" w:line="276" w:lineRule="auto"/>
              <w:jc w:val="both"/>
              <w:rPr>
                <w:rFonts w:ascii="Verdana" w:eastAsia="Times New Roman" w:hAnsi="Verdana" w:cs="Arial"/>
                <w:szCs w:val="24"/>
                <w:lang w:val="es-ES" w:eastAsia="es-ES_tradnl"/>
              </w:rPr>
            </w:pPr>
            <w:r w:rsidRPr="00DF621D">
              <w:rPr>
                <w:rFonts w:ascii="Verdana" w:eastAsia="Calibri" w:hAnsi="Verdana" w:cs="Arial"/>
                <w:bCs/>
                <w:lang w:val="es-MX"/>
              </w:rPr>
              <w:t>ii) Con respecto al segundo problema jurídico,</w:t>
            </w:r>
            <w:r w:rsidRPr="004B2B91">
              <w:rPr>
                <w:rFonts w:ascii="Verdana" w:eastAsia="Times New Roman" w:hAnsi="Verdana" w:cs="Arial"/>
                <w:bCs/>
                <w:lang w:eastAsia="es-ES"/>
              </w:rPr>
              <w:t xml:space="preserve"> la Ley 136 de 1994 introdujo una modalidad especial de contratación orientada a la celebración de convenios solidarios. En este contexto, </w:t>
            </w:r>
            <w:r w:rsidRPr="009563E7">
              <w:rPr>
                <w:rFonts w:ascii="Verdana" w:eastAsia="Times New Roman" w:hAnsi="Verdana" w:cs="Arial"/>
                <w:szCs w:val="24"/>
                <w:lang w:val="es-ES" w:eastAsia="es-ES_tradnl"/>
              </w:rPr>
              <w:t>se hallan tres regímenes de contratación</w:t>
            </w:r>
            <w:r>
              <w:rPr>
                <w:rFonts w:ascii="Verdana" w:eastAsia="Times New Roman" w:hAnsi="Verdana" w:cs="Arial"/>
                <w:szCs w:val="24"/>
                <w:lang w:val="es-ES" w:eastAsia="es-ES_tradnl"/>
              </w:rPr>
              <w:t>:</w:t>
            </w:r>
          </w:p>
          <w:p w14:paraId="375AE3E1" w14:textId="77777777" w:rsidR="00EF750F" w:rsidRPr="00E14BBC" w:rsidRDefault="00EF750F" w:rsidP="0068055E">
            <w:pPr>
              <w:spacing w:before="120" w:after="120" w:line="276" w:lineRule="auto"/>
              <w:ind w:firstLine="709"/>
              <w:jc w:val="both"/>
              <w:rPr>
                <w:rFonts w:ascii="Verdana" w:eastAsia="Times New Roman" w:hAnsi="Verdana" w:cs="Arial"/>
                <w:szCs w:val="24"/>
                <w:lang w:val="es-ES" w:eastAsia="es-ES_tradnl"/>
              </w:rPr>
            </w:pPr>
            <w:r w:rsidRPr="00E14BBC">
              <w:rPr>
                <w:rFonts w:ascii="Verdana" w:eastAsia="Times New Roman" w:hAnsi="Verdana" w:cs="Arial"/>
                <w:lang w:eastAsia="es-ES"/>
              </w:rPr>
              <w:t xml:space="preserve">a. </w:t>
            </w:r>
            <w:r w:rsidRPr="00E14BBC">
              <w:rPr>
                <w:rFonts w:ascii="Verdana" w:eastAsia="Times New Roman" w:hAnsi="Verdana" w:cs="Arial"/>
                <w:i/>
                <w:iCs/>
                <w:lang w:eastAsia="es-ES"/>
              </w:rPr>
              <w:t>Primer régimen</w:t>
            </w:r>
            <w:r w:rsidRPr="00E14BBC">
              <w:rPr>
                <w:rFonts w:ascii="Verdana" w:eastAsia="Times New Roman" w:hAnsi="Verdana" w:cs="Arial"/>
                <w:lang w:eastAsia="es-ES"/>
              </w:rPr>
              <w:t>. Este régimen se fundamenta en la Ley 2166 de 2021, la cual desarrolla el artículo 38 de la Constitución Política en relación con los Organismos de Acción Comunal. El artículo 95 autoriza la celebración directa de convenios solidarios para la ejecución de obras hasta por la menor cuantía entre los Organismos de Acción Comunal y las entidades del orden nacional, departamental, distrital y municipal.</w:t>
            </w:r>
          </w:p>
          <w:p w14:paraId="34E4FD90" w14:textId="77777777" w:rsidR="00EF750F" w:rsidRDefault="00EF750F" w:rsidP="0068055E">
            <w:pPr>
              <w:spacing w:after="120" w:line="276" w:lineRule="auto"/>
              <w:jc w:val="both"/>
              <w:rPr>
                <w:rFonts w:ascii="Verdana" w:eastAsia="Times New Roman" w:hAnsi="Verdana" w:cs="Arial"/>
                <w:lang w:eastAsia="es-ES"/>
              </w:rPr>
            </w:pPr>
            <w:r w:rsidRPr="00E14BBC">
              <w:rPr>
                <w:rFonts w:ascii="Verdana" w:eastAsia="Times New Roman" w:hAnsi="Verdana" w:cs="Arial"/>
                <w:lang w:eastAsia="es-ES"/>
              </w:rPr>
              <w:t>Bajo este régimen, los convenios solidarios: (i) deben celebrarse entre entidades territoriales o nacionales y los Organismos de Acción Comunal previstos en el artículo 7 de la Ley 2166 de 2021; (ii) tienen como objeto exclusivo la ejecución de obras; (iii) no pueden superar la menor cuantía de la entidad, conforme a la Ley 1150 de 2007; (iv) deben involucrar a los habitantes de la comunidad beneficiaria; (v) pueden incluir costos directos, administrativos y el subsidio al dignatario representante legal para transporte, según el artículo 39 de la Ley 2166 de 2022; y (vi) requieren que la entidad cuente con personal técnico y administrativo-contable para el acompañamiento y supervisión de la ejecución.</w:t>
            </w:r>
          </w:p>
          <w:p w14:paraId="4FE05A73" w14:textId="77777777" w:rsidR="00EF750F" w:rsidRPr="00CC4DBC" w:rsidRDefault="00EF750F" w:rsidP="0068055E">
            <w:pPr>
              <w:spacing w:after="120" w:line="276" w:lineRule="auto"/>
              <w:ind w:firstLine="709"/>
              <w:jc w:val="both"/>
              <w:rPr>
                <w:rFonts w:ascii="Verdana" w:eastAsia="Times New Roman" w:hAnsi="Verdana" w:cs="Arial"/>
                <w:bCs/>
                <w:color w:val="ED7D31" w:themeColor="accent2"/>
                <w:lang w:eastAsia="es-ES"/>
              </w:rPr>
            </w:pPr>
            <w:r w:rsidRPr="00CC4DBC">
              <w:rPr>
                <w:rFonts w:ascii="Verdana" w:eastAsia="Times New Roman" w:hAnsi="Verdana" w:cs="Arial"/>
                <w:lang w:eastAsia="es-ES"/>
              </w:rPr>
              <w:t xml:space="preserve">b. </w:t>
            </w:r>
            <w:r w:rsidRPr="00CC4DBC">
              <w:rPr>
                <w:rFonts w:ascii="Verdana" w:eastAsia="Times New Roman" w:hAnsi="Verdana" w:cs="Arial"/>
                <w:i/>
                <w:iCs/>
                <w:lang w:eastAsia="es-ES"/>
              </w:rPr>
              <w:t>Segundo régimen</w:t>
            </w:r>
            <w:r w:rsidRPr="00CC4DBC">
              <w:rPr>
                <w:rFonts w:ascii="Verdana" w:eastAsia="Times New Roman" w:hAnsi="Verdana" w:cs="Arial"/>
                <w:lang w:eastAsia="es-ES"/>
              </w:rPr>
              <w:t>.</w:t>
            </w:r>
            <w:r w:rsidRPr="00CC4DBC">
              <w:rPr>
                <w:rFonts w:ascii="Verdana" w:eastAsia="Times New Roman" w:hAnsi="Verdana" w:cs="Arial"/>
                <w:bCs/>
                <w:lang w:eastAsia="es-ES"/>
              </w:rPr>
              <w:t xml:space="preserve"> Este régimen se encuentra previsto en el Decreto 092 de 2017, el cual regula, de manera general, la contratación autorizada por el artículo 355 de la Constitución Política, aplicable a los convenios solidarios</w:t>
            </w:r>
            <w:r>
              <w:rPr>
                <w:rFonts w:ascii="Verdana" w:eastAsia="Times New Roman" w:hAnsi="Verdana" w:cs="Arial"/>
                <w:bCs/>
                <w:lang w:eastAsia="es-ES"/>
              </w:rPr>
              <w:t>. E</w:t>
            </w:r>
            <w:r w:rsidRPr="00CC4DBC">
              <w:rPr>
                <w:rFonts w:ascii="Verdana" w:eastAsia="Times New Roman" w:hAnsi="Verdana" w:cs="Arial"/>
                <w:bCs/>
                <w:lang w:eastAsia="es-ES"/>
              </w:rPr>
              <w:t>n este régimen, los convenios solidarios: (i) se celebran entre municipios o distritos y organizaciones sociales, entre ellas los organismos de acción comunal; (ii) tienen por objeto programas o actividades de interés público acordes con el respectivo plan de desarrollo; (iii) no pueden generar relaciones conmutativas ni contraprestaciones onerosas para la entidad estatal, cualquiera sea su cuantía; y (iv) no permiten que la entidad imparta instrucciones precisas sobre la ejecución del objeto convenido</w:t>
            </w:r>
            <w:r w:rsidRPr="00CC4DBC">
              <w:rPr>
                <w:rFonts w:ascii="Verdana" w:eastAsia="Times New Roman" w:hAnsi="Verdana" w:cs="Arial"/>
                <w:bCs/>
                <w:color w:val="ED7D31" w:themeColor="accent2"/>
                <w:lang w:eastAsia="es-ES"/>
              </w:rPr>
              <w:t>.</w:t>
            </w:r>
          </w:p>
          <w:p w14:paraId="6CFABF26" w14:textId="77777777" w:rsidR="00EF750F" w:rsidRPr="00A0233D" w:rsidRDefault="00EF750F" w:rsidP="0068055E">
            <w:pPr>
              <w:spacing w:after="120" w:line="276" w:lineRule="auto"/>
              <w:ind w:firstLine="709"/>
              <w:jc w:val="both"/>
              <w:rPr>
                <w:rFonts w:ascii="Verdana" w:eastAsia="Calibri" w:hAnsi="Verdana" w:cs="Arial"/>
                <w:bCs/>
                <w:szCs w:val="24"/>
                <w:lang w:eastAsia="es-ES_tradnl"/>
              </w:rPr>
            </w:pPr>
            <w:r w:rsidRPr="00A0233D">
              <w:rPr>
                <w:rFonts w:ascii="Verdana" w:eastAsia="Calibri" w:hAnsi="Verdana" w:cs="Arial"/>
                <w:szCs w:val="24"/>
                <w:lang w:eastAsia="es-ES_tradnl"/>
              </w:rPr>
              <w:t xml:space="preserve">c. </w:t>
            </w:r>
            <w:r w:rsidRPr="00A0233D">
              <w:rPr>
                <w:rFonts w:ascii="Verdana" w:eastAsia="Calibri" w:hAnsi="Verdana" w:cs="Arial"/>
                <w:i/>
                <w:iCs/>
                <w:szCs w:val="24"/>
                <w:lang w:eastAsia="es-ES_tradnl"/>
              </w:rPr>
              <w:t>Tercer régimen.</w:t>
            </w:r>
            <w:r w:rsidRPr="00A0233D">
              <w:rPr>
                <w:rFonts w:ascii="Verdana" w:eastAsia="Calibri" w:hAnsi="Verdana" w:cs="Arial"/>
                <w:szCs w:val="24"/>
                <w:lang w:eastAsia="es-ES_tradnl"/>
              </w:rPr>
              <w:t xml:space="preserve"> Este</w:t>
            </w:r>
            <w:r w:rsidRPr="00A0233D">
              <w:rPr>
                <w:rFonts w:ascii="Verdana" w:eastAsia="Calibri" w:hAnsi="Verdana" w:cs="Arial"/>
                <w:bCs/>
                <w:szCs w:val="24"/>
                <w:lang w:eastAsia="es-ES_tradnl"/>
              </w:rPr>
              <w:t xml:space="preserve"> régimen se fundamenta en el artículo 63 de la Ley 2166 de 2021 y el artículo 141 de la Ley 136 de 1994, los cuales autorizan </w:t>
            </w:r>
            <w:r w:rsidRPr="00A0233D">
              <w:rPr>
                <w:rFonts w:ascii="Verdana" w:eastAsia="Calibri" w:hAnsi="Verdana" w:cs="Arial"/>
                <w:bCs/>
                <w:szCs w:val="24"/>
                <w:lang w:eastAsia="es-ES_tradnl"/>
              </w:rPr>
              <w:lastRenderedPageBreak/>
              <w:t>la celebración de convenios solidarios con organismos de acción comunal para su vinculación al desarrollo y mejoramiento municipal.</w:t>
            </w:r>
            <w:r>
              <w:rPr>
                <w:rFonts w:ascii="Verdana" w:eastAsia="Calibri" w:hAnsi="Verdana" w:cs="Arial"/>
                <w:bCs/>
                <w:szCs w:val="24"/>
                <w:lang w:eastAsia="es-ES_tradnl"/>
              </w:rPr>
              <w:t xml:space="preserve"> </w:t>
            </w:r>
            <w:r w:rsidRPr="00A0233D">
              <w:rPr>
                <w:rFonts w:ascii="Verdana" w:eastAsia="Calibri" w:hAnsi="Verdana" w:cs="Arial"/>
                <w:bCs/>
                <w:szCs w:val="24"/>
                <w:lang w:eastAsia="es-ES_tradnl"/>
              </w:rPr>
              <w:t>En este marco, los convenios pueden celebrarse entre entidades del orden nacional, departamental, distrital o municipal y los organismos comunales, y tener por objeto la prestación de bienes y servicios o la ejecución de obras públicas a cargo de la administración central o descentralizada, en concordancia con los proyectos del respectivo plan de desarrollo. En cuanto a la cuantía, estos convenios no pueden superar la menor cuantía de la entidad territorial, conforme a la ley.</w:t>
            </w:r>
          </w:p>
          <w:p w14:paraId="6A83F8AF" w14:textId="77777777" w:rsidR="00EF750F" w:rsidRPr="006733BD" w:rsidRDefault="00EF750F" w:rsidP="006E698A">
            <w:pPr>
              <w:spacing w:line="276" w:lineRule="auto"/>
              <w:ind w:firstLine="709"/>
              <w:jc w:val="both"/>
              <w:rPr>
                <w:rFonts w:ascii="Verdana" w:eastAsia="Calibri" w:hAnsi="Verdana" w:cs="Arial"/>
                <w:color w:val="ED7D31" w:themeColor="accent2"/>
              </w:rPr>
            </w:pPr>
            <w:r w:rsidRPr="00CC4DBC">
              <w:rPr>
                <w:rFonts w:ascii="Verdana" w:eastAsia="Calibri" w:hAnsi="Verdana" w:cs="Arial"/>
                <w:bCs/>
              </w:rPr>
              <w:t xml:space="preserve">Al margen de la explicación precedente debe advertirse que </w:t>
            </w:r>
            <w:r w:rsidRPr="00CC4DBC">
              <w:rPr>
                <w:rStyle w:val="s15"/>
                <w:rFonts w:ascii="Verdana" w:hAnsi="Verdana"/>
              </w:rPr>
              <w:t>el análisis requerido para resolver problemas específicos en torno a la gestión contractual debe ser realizado por quienes tengan interés en ello, de acuerdo con lo explicado la aclaración preliminar del presente oficio.</w:t>
            </w:r>
            <w:r w:rsidRPr="00CC4DBC">
              <w:rPr>
                <w:rStyle w:val="apple-converted-space"/>
                <w:rFonts w:ascii="Verdana" w:hAnsi="Verdana"/>
              </w:rPr>
              <w:t> </w:t>
            </w:r>
            <w:r w:rsidRPr="00CC4DBC">
              <w:rPr>
                <w:rStyle w:val="s15"/>
                <w:rFonts w:ascii="Verdana" w:hAnsi="Verdana"/>
              </w:rPr>
              <w:t>Por lo anterior, previo</w:t>
            </w:r>
            <w:r w:rsidRPr="00CC4DBC">
              <w:rPr>
                <w:rStyle w:val="apple-converted-space"/>
                <w:rFonts w:ascii="Verdana" w:hAnsi="Verdana"/>
              </w:rPr>
              <w:t> </w:t>
            </w:r>
            <w:r w:rsidRPr="00CC4DBC">
              <w:rPr>
                <w:rStyle w:val="s15"/>
                <w:rFonts w:ascii="Verdana" w:hAnsi="Verdana"/>
              </w:rPr>
              <w:t>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5D940AA5" w14:textId="77777777" w:rsidR="00EF750F" w:rsidRPr="00CD496A" w:rsidRDefault="00EF750F" w:rsidP="00EF750F">
      <w:pPr>
        <w:tabs>
          <w:tab w:val="left" w:pos="142"/>
          <w:tab w:val="left" w:pos="284"/>
        </w:tabs>
        <w:spacing w:after="0" w:line="276" w:lineRule="auto"/>
        <w:jc w:val="both"/>
        <w:rPr>
          <w:rFonts w:ascii="Verdana" w:eastAsia="Century Gothic" w:hAnsi="Verdana" w:cs="Century Gothic"/>
          <w:b/>
          <w:bCs/>
          <w:lang w:val="es-ES"/>
        </w:rPr>
      </w:pPr>
    </w:p>
    <w:p w14:paraId="136931E3" w14:textId="77777777" w:rsidR="00EF750F" w:rsidRDefault="00EF750F" w:rsidP="00EF750F">
      <w:pPr>
        <w:tabs>
          <w:tab w:val="left" w:pos="142"/>
          <w:tab w:val="left" w:pos="284"/>
        </w:tabs>
        <w:spacing w:after="0" w:line="276" w:lineRule="auto"/>
        <w:jc w:val="both"/>
        <w:rPr>
          <w:rFonts w:ascii="Verdana" w:eastAsia="Century Gothic" w:hAnsi="Verdana" w:cs="Century Gothic"/>
          <w:b/>
          <w:lang w:val="es-ES"/>
        </w:rPr>
      </w:pPr>
      <w:r w:rsidRPr="00CD496A">
        <w:rPr>
          <w:rFonts w:ascii="Verdana" w:eastAsia="Century Gothic" w:hAnsi="Verdana" w:cs="Century Gothic"/>
          <w:b/>
          <w:lang w:val="es-ES"/>
        </w:rPr>
        <w:t>3. Razones de la respuesta:</w:t>
      </w:r>
    </w:p>
    <w:p w14:paraId="45AB920E" w14:textId="77777777" w:rsidR="00EF750F" w:rsidRDefault="00EF750F" w:rsidP="00EF750F">
      <w:pPr>
        <w:spacing w:after="0" w:line="276" w:lineRule="auto"/>
        <w:jc w:val="both"/>
        <w:rPr>
          <w:rFonts w:ascii="Verdana" w:eastAsia="Calibri" w:hAnsi="Verdana" w:cs="Arial"/>
          <w:lang w:val="es-ES"/>
        </w:rPr>
      </w:pPr>
    </w:p>
    <w:p w14:paraId="620EEC97" w14:textId="77777777" w:rsidR="00EF750F" w:rsidRPr="00B52642" w:rsidRDefault="00EF750F" w:rsidP="00EF750F">
      <w:pPr>
        <w:spacing w:after="0" w:line="276" w:lineRule="auto"/>
        <w:jc w:val="both"/>
        <w:rPr>
          <w:rFonts w:ascii="Verdana" w:eastAsia="Calibri" w:hAnsi="Verdana" w:cs="Arial"/>
          <w:lang w:val="es-ES"/>
        </w:rPr>
      </w:pPr>
      <w:r w:rsidRPr="00B52642">
        <w:rPr>
          <w:rFonts w:ascii="Verdana" w:eastAsia="Calibri" w:hAnsi="Verdana" w:cs="Arial"/>
          <w:lang w:val="es-ES"/>
        </w:rPr>
        <w:t xml:space="preserve">Las respuestas anteriores se sustentan en las siguientes consideraciones: </w:t>
      </w:r>
    </w:p>
    <w:p w14:paraId="71973DF6" w14:textId="77777777" w:rsidR="00EF750F" w:rsidRPr="00CD496A" w:rsidRDefault="00EF750F" w:rsidP="00EF750F">
      <w:pPr>
        <w:tabs>
          <w:tab w:val="left" w:pos="142"/>
          <w:tab w:val="left" w:pos="284"/>
        </w:tabs>
        <w:spacing w:after="0" w:line="276" w:lineRule="auto"/>
        <w:jc w:val="both"/>
        <w:rPr>
          <w:rFonts w:ascii="Verdana" w:eastAsia="Century Gothic" w:hAnsi="Verdana" w:cs="Century Gothic"/>
          <w:b/>
          <w:lang w:val="es-ES"/>
        </w:rPr>
      </w:pPr>
    </w:p>
    <w:p w14:paraId="5230EFCA" w14:textId="77777777" w:rsidR="00EF750F" w:rsidRDefault="00EF750F" w:rsidP="00EF750F">
      <w:pPr>
        <w:spacing w:after="120" w:line="276" w:lineRule="auto"/>
        <w:jc w:val="both"/>
        <w:rPr>
          <w:rFonts w:ascii="Verdana" w:hAnsi="Verdana" w:cs="Arial"/>
          <w:bCs/>
          <w:lang w:val="es-ES_tradnl" w:eastAsia="es-ES" w:bidi="es-ES"/>
        </w:rPr>
      </w:pPr>
      <w:bookmarkStart w:id="3" w:name="_Hlk102983874"/>
      <w:bookmarkStart w:id="4" w:name="_Hlk102388095"/>
      <w:r w:rsidRPr="00CC581A">
        <w:rPr>
          <w:rFonts w:ascii="Verdana" w:hAnsi="Verdana" w:cs="Arial"/>
          <w:bCs/>
          <w:lang w:val="es-ES_tradnl" w:eastAsia="es-ES" w:bidi="es-ES"/>
        </w:rPr>
        <w:t>i) Lo</w:t>
      </w:r>
      <w:r w:rsidRPr="0041694B">
        <w:rPr>
          <w:rFonts w:ascii="Verdana" w:hAnsi="Verdana" w:cs="Arial"/>
          <w:bCs/>
          <w:lang w:val="es-ES_tradnl" w:eastAsia="es-ES" w:bidi="es-ES"/>
        </w:rPr>
        <w:t xml:space="preserve">s </w:t>
      </w:r>
      <w:r w:rsidRPr="00540444">
        <w:rPr>
          <w:rFonts w:ascii="Verdana" w:hAnsi="Verdana" w:cs="Arial"/>
          <w:bCs/>
          <w:i/>
          <w:iCs/>
          <w:lang w:val="es-ES_tradnl" w:eastAsia="es-ES" w:bidi="es-ES"/>
        </w:rPr>
        <w:t>requisitos habilitantes</w:t>
      </w:r>
      <w:r w:rsidRPr="0041694B">
        <w:rPr>
          <w:rFonts w:ascii="Verdana" w:hAnsi="Verdana" w:cs="Arial"/>
          <w:bCs/>
          <w:lang w:val="es-ES_tradnl" w:eastAsia="es-ES" w:bidi="es-ES"/>
        </w:rPr>
        <w:t xml:space="preserve"> se definen como exigencias de participación en los procedimientos de selección, establecid</w:t>
      </w:r>
      <w:r>
        <w:rPr>
          <w:rFonts w:ascii="Verdana" w:hAnsi="Verdana" w:cs="Arial"/>
          <w:bCs/>
          <w:lang w:val="es-ES_tradnl" w:eastAsia="es-ES" w:bidi="es-ES"/>
        </w:rPr>
        <w:t>a</w:t>
      </w:r>
      <w:r w:rsidRPr="0041694B">
        <w:rPr>
          <w:rFonts w:ascii="Verdana" w:hAnsi="Verdana" w:cs="Arial"/>
          <w:bCs/>
          <w:lang w:val="es-ES_tradnl" w:eastAsia="es-ES" w:bidi="es-ES"/>
        </w:rPr>
        <w:t xml:space="preserve">s en disposiciones normativas de carácter legal o reglamentario, o contenidas en el acto administrativo que regula las reglas de la convocatoria, es decir, en el pliego de condiciones o el documento equivalente a este. Se diferencian de los </w:t>
      </w:r>
      <w:r w:rsidRPr="0041694B">
        <w:rPr>
          <w:rFonts w:ascii="Verdana" w:hAnsi="Verdana" w:cs="Arial"/>
          <w:bCs/>
          <w:i/>
          <w:iCs/>
          <w:lang w:val="es-ES_tradnl" w:eastAsia="es-ES" w:bidi="es-ES"/>
        </w:rPr>
        <w:t>criterios de evaluación</w:t>
      </w:r>
      <w:r w:rsidRPr="0041694B">
        <w:rPr>
          <w:rFonts w:ascii="Verdana" w:hAnsi="Verdana" w:cs="Arial"/>
          <w:bCs/>
          <w:lang w:val="es-ES_tradnl" w:eastAsia="es-ES" w:bidi="es-ES"/>
        </w:rPr>
        <w:t xml:space="preserve"> –también conocidos como </w:t>
      </w:r>
      <w:r w:rsidRPr="0041694B">
        <w:rPr>
          <w:rFonts w:ascii="Verdana" w:hAnsi="Verdana" w:cs="Arial"/>
          <w:bCs/>
          <w:i/>
          <w:iCs/>
          <w:lang w:val="es-ES_tradnl" w:eastAsia="es-ES" w:bidi="es-ES"/>
        </w:rPr>
        <w:t>criterios de calificación</w:t>
      </w:r>
      <w:r w:rsidRPr="0041694B">
        <w:rPr>
          <w:rFonts w:ascii="Verdana" w:hAnsi="Verdana" w:cs="Arial"/>
          <w:bCs/>
          <w:lang w:val="es-ES_tradnl" w:eastAsia="es-ES" w:bidi="es-ES"/>
        </w:rPr>
        <w:t>– en que estos son los factores definidos por la Entidad Estatal para la asignación de puntaje en el momento de la comparación de las ofertas, y que, a partir de su ponderación, permiten establecer el orden de elegibilidad y</w:t>
      </w:r>
      <w:r w:rsidRPr="00C94107">
        <w:rPr>
          <w:rFonts w:ascii="Verdana" w:hAnsi="Verdana" w:cs="Arial"/>
          <w:bCs/>
          <w:lang w:val="es-ES_tradnl" w:eastAsia="es-ES" w:bidi="es-ES"/>
        </w:rPr>
        <w:t>, por ende,</w:t>
      </w:r>
      <w:r>
        <w:rPr>
          <w:rFonts w:ascii="Verdana" w:hAnsi="Verdana" w:cs="Arial"/>
          <w:bCs/>
          <w:lang w:val="es-ES_tradnl" w:eastAsia="es-ES" w:bidi="es-ES"/>
        </w:rPr>
        <w:t xml:space="preserve"> </w:t>
      </w:r>
      <w:r w:rsidRPr="0041694B">
        <w:rPr>
          <w:rFonts w:ascii="Verdana" w:hAnsi="Verdana" w:cs="Arial"/>
          <w:bCs/>
          <w:lang w:val="es-ES_tradnl" w:eastAsia="es-ES" w:bidi="es-ES"/>
        </w:rPr>
        <w:t xml:space="preserve">la propuesta ganadora. </w:t>
      </w:r>
    </w:p>
    <w:p w14:paraId="3A6C081A" w14:textId="77777777" w:rsidR="00EF750F" w:rsidRPr="000D0F09" w:rsidRDefault="00EF750F" w:rsidP="00EF750F">
      <w:pPr>
        <w:spacing w:after="120" w:line="276" w:lineRule="auto"/>
        <w:ind w:firstLine="708"/>
        <w:jc w:val="both"/>
        <w:rPr>
          <w:rFonts w:ascii="Verdana" w:eastAsia="Calibri" w:hAnsi="Verdana" w:cs="Arial"/>
          <w:lang w:val="es-ES" w:eastAsia="es-MX"/>
        </w:rPr>
      </w:pPr>
      <w:bookmarkStart w:id="5" w:name="_Hlk191626670"/>
      <w:r w:rsidRPr="001A4E79">
        <w:rPr>
          <w:rFonts w:ascii="Verdana" w:eastAsia="Calibri" w:hAnsi="Verdana" w:cs="Arial"/>
          <w:lang w:val="es-ES" w:eastAsia="es-MX"/>
        </w:rPr>
        <w:t>Los requisitos habilitantes constituyen los requ</w:t>
      </w:r>
      <w:r>
        <w:rPr>
          <w:rFonts w:ascii="Verdana" w:eastAsia="Calibri" w:hAnsi="Verdana" w:cs="Arial"/>
          <w:lang w:val="es-ES" w:eastAsia="es-MX"/>
        </w:rPr>
        <w:t>isi</w:t>
      </w:r>
      <w:r w:rsidRPr="001A4E79">
        <w:rPr>
          <w:rFonts w:ascii="Verdana" w:eastAsia="Calibri" w:hAnsi="Verdana" w:cs="Arial"/>
          <w:lang w:val="es-ES" w:eastAsia="es-MX"/>
        </w:rPr>
        <w:t xml:space="preserve">tos mínimos con los que deben cumplir los proponentes para poder participar en el procedimiento de selección, razón por la que los mismos no se valoran con un puntaje tendiente </w:t>
      </w:r>
      <w:r w:rsidRPr="001A4E79">
        <w:rPr>
          <w:rFonts w:ascii="Verdana" w:eastAsia="Calibri" w:hAnsi="Verdana" w:cs="Arial"/>
          <w:lang w:val="es-ES" w:eastAsia="es-MX"/>
        </w:rPr>
        <w:lastRenderedPageBreak/>
        <w:t>a determinar el orden de escogencia, sino que se analizan como criterios previos a la evaluación en sentido estricto</w:t>
      </w:r>
      <w:r w:rsidRPr="00C94107">
        <w:rPr>
          <w:rFonts w:ascii="Verdana" w:eastAsia="Calibri" w:hAnsi="Verdana" w:cs="Arial"/>
          <w:lang w:val="es-ES" w:eastAsia="es-MX"/>
        </w:rPr>
        <w:t>. De esta</w:t>
      </w:r>
      <w:r w:rsidRPr="001A4E79">
        <w:rPr>
          <w:rFonts w:ascii="Verdana" w:eastAsia="Calibri" w:hAnsi="Verdana" w:cs="Arial"/>
          <w:lang w:val="es-ES" w:eastAsia="es-MX"/>
        </w:rPr>
        <w:t xml:space="preserve"> manera</w:t>
      </w:r>
      <w:r w:rsidRPr="00C94107">
        <w:rPr>
          <w:rFonts w:ascii="Verdana" w:eastAsia="Calibri" w:hAnsi="Verdana" w:cs="Arial"/>
          <w:lang w:val="es-ES" w:eastAsia="es-MX"/>
        </w:rPr>
        <w:t>,</w:t>
      </w:r>
      <w:r w:rsidRPr="001A4E79">
        <w:rPr>
          <w:rFonts w:ascii="Verdana" w:eastAsia="Calibri" w:hAnsi="Verdana" w:cs="Arial"/>
          <w:lang w:val="es-ES" w:eastAsia="es-MX"/>
        </w:rPr>
        <w:t xml:space="preserve"> quienes no los reúnan no pueden continuar en el procedimiento de selección, es decir, incurren en causal de rechazo. </w:t>
      </w:r>
      <w:bookmarkEnd w:id="5"/>
      <w:r w:rsidRPr="001A4E79">
        <w:rPr>
          <w:rFonts w:ascii="Verdana" w:eastAsia="Calibri" w:hAnsi="Verdana" w:cs="Arial"/>
          <w:lang w:val="es-ES" w:eastAsia="es-MX"/>
        </w:rPr>
        <w:t>Esto</w:t>
      </w:r>
      <w:r w:rsidRPr="00C94107">
        <w:rPr>
          <w:rFonts w:ascii="Verdana" w:eastAsia="Calibri" w:hAnsi="Verdana" w:cs="Arial"/>
          <w:lang w:val="es-ES" w:eastAsia="es-MX"/>
        </w:rPr>
        <w:t>,</w:t>
      </w:r>
      <w:r w:rsidRPr="001A4E79">
        <w:rPr>
          <w:rFonts w:ascii="Verdana" w:eastAsia="Calibri" w:hAnsi="Verdana" w:cs="Arial"/>
          <w:lang w:val="es-ES" w:eastAsia="es-MX"/>
        </w:rPr>
        <w:t xml:space="preserve"> sin perjuicio del derecho que tienen los oferentes de subsanar los defectos que se presenten en la prueba de tales requisitos, de conformidad con el </w:t>
      </w:r>
      <w:bookmarkStart w:id="6" w:name="_Hlk191626971"/>
      <w:r w:rsidRPr="001A4E79">
        <w:rPr>
          <w:rFonts w:ascii="Verdana" w:eastAsia="Calibri" w:hAnsi="Verdana" w:cs="Arial"/>
          <w:lang w:val="es-ES" w:eastAsia="es-MX"/>
        </w:rPr>
        <w:t>artículo 5, parágrafos 1º al 4º, de la Ley 1150 de 2007</w:t>
      </w:r>
      <w:bookmarkEnd w:id="6"/>
      <w:r w:rsidRPr="001A4E79">
        <w:rPr>
          <w:rFonts w:ascii="Verdana" w:eastAsia="Calibri" w:hAnsi="Verdana" w:cs="Arial"/>
          <w:lang w:val="es-ES" w:eastAsia="es-MX"/>
        </w:rPr>
        <w:t>.</w:t>
      </w:r>
    </w:p>
    <w:p w14:paraId="5D7FA09D" w14:textId="77777777" w:rsidR="00EF750F" w:rsidRPr="00C94107" w:rsidRDefault="00EF750F" w:rsidP="00EF750F">
      <w:pPr>
        <w:spacing w:after="120" w:line="276" w:lineRule="auto"/>
        <w:ind w:firstLine="708"/>
        <w:jc w:val="both"/>
        <w:rPr>
          <w:rFonts w:ascii="Verdana" w:hAnsi="Verdana" w:cs="Arial"/>
          <w:color w:val="000000" w:themeColor="text1"/>
          <w:lang w:val="es-ES_tradnl"/>
        </w:rPr>
      </w:pPr>
      <w:r w:rsidRPr="00C94107">
        <w:rPr>
          <w:rFonts w:ascii="Verdana" w:hAnsi="Verdana" w:cs="Arial"/>
          <w:color w:val="000000" w:themeColor="text1"/>
          <w:lang w:val="es-ES_tradnl"/>
        </w:rPr>
        <w:t>El mencionado artículo dispone que se considera objetiva la selección en la cual la escogencia se haga al ofrecimiento más favorable a la Entidad y a los fines que ella busca, sin tener en consideración factores de afecto o de interés y, en general, cualquier clase de motivación subjetiva</w:t>
      </w:r>
      <w:r w:rsidRPr="00C94107">
        <w:rPr>
          <w:rFonts w:ascii="Verdana" w:hAnsi="Verdana" w:cs="Arial"/>
          <w:i/>
          <w:iCs/>
          <w:color w:val="000000" w:themeColor="text1"/>
          <w:lang w:val="es-ES_tradnl"/>
        </w:rPr>
        <w:t>.</w:t>
      </w:r>
      <w:r w:rsidRPr="00C94107">
        <w:rPr>
          <w:rFonts w:ascii="Verdana" w:hAnsi="Verdana" w:cs="Arial"/>
          <w:color w:val="000000" w:themeColor="text1"/>
          <w:lang w:val="es-ES_tradnl"/>
        </w:rPr>
        <w:t xml:space="preserve"> En ese contexto, los factores de escogencia y calificación que establezcan las Entidades en los pliegos de condiciones o en sus documentos equivalentes deberán tener en cuenta, entre otras cuestiones, los criterios establecidos en dicha disposición. </w:t>
      </w:r>
    </w:p>
    <w:p w14:paraId="044198B5" w14:textId="77777777" w:rsidR="00EF750F" w:rsidRPr="0041694B" w:rsidRDefault="00EF750F" w:rsidP="00EF750F">
      <w:pPr>
        <w:spacing w:after="0" w:line="276" w:lineRule="auto"/>
        <w:ind w:firstLine="708"/>
        <w:jc w:val="both"/>
        <w:rPr>
          <w:rFonts w:ascii="Verdana" w:hAnsi="Verdana" w:cs="Arial"/>
          <w:bCs/>
          <w:lang w:val="es-ES" w:eastAsia="es-ES" w:bidi="es-ES"/>
        </w:rPr>
      </w:pPr>
      <w:r w:rsidRPr="0041694B">
        <w:rPr>
          <w:rFonts w:ascii="Verdana" w:hAnsi="Verdana" w:cs="Arial"/>
          <w:bCs/>
          <w:lang w:val="es-ES" w:eastAsia="es-ES" w:bidi="es-ES"/>
        </w:rPr>
        <w:t>Específicamente, el numeral 1º del artículo</w:t>
      </w:r>
      <w:r>
        <w:rPr>
          <w:rFonts w:ascii="Verdana" w:hAnsi="Verdana" w:cs="Arial"/>
          <w:bCs/>
          <w:lang w:val="es-ES" w:eastAsia="es-ES" w:bidi="es-ES"/>
        </w:rPr>
        <w:t xml:space="preserve"> 5 de la Ley 1150 de 2007 </w:t>
      </w:r>
      <w:r w:rsidRPr="0041694B">
        <w:rPr>
          <w:rFonts w:ascii="Verdana" w:hAnsi="Verdana" w:cs="Arial"/>
          <w:bCs/>
          <w:lang w:val="es-ES" w:eastAsia="es-ES" w:bidi="es-ES"/>
        </w:rPr>
        <w:t>establece que</w:t>
      </w:r>
      <w:r w:rsidRPr="00C94107">
        <w:rPr>
          <w:rFonts w:ascii="Verdana" w:hAnsi="Verdana" w:cs="Arial"/>
          <w:bCs/>
          <w:lang w:val="es-ES" w:eastAsia="es-ES" w:bidi="es-ES"/>
        </w:rPr>
        <w:t>,</w:t>
      </w:r>
      <w:r w:rsidRPr="0041694B">
        <w:rPr>
          <w:rFonts w:ascii="Verdana" w:hAnsi="Verdana" w:cs="Arial"/>
          <w:bCs/>
          <w:lang w:val="es-ES" w:eastAsia="es-ES" w:bidi="es-ES"/>
        </w:rPr>
        <w:t xml:space="preserve"> en los procesos de selección de contratistas</w:t>
      </w:r>
      <w:r w:rsidRPr="00C94107">
        <w:rPr>
          <w:rFonts w:ascii="Verdana" w:hAnsi="Verdana" w:cs="Arial"/>
          <w:bCs/>
          <w:lang w:val="es-ES" w:eastAsia="es-ES" w:bidi="es-ES"/>
        </w:rPr>
        <w:t>,</w:t>
      </w:r>
      <w:r w:rsidRPr="0041694B">
        <w:rPr>
          <w:rFonts w:ascii="Verdana" w:hAnsi="Verdana" w:cs="Arial"/>
          <w:bCs/>
          <w:lang w:val="es-ES" w:eastAsia="es-ES" w:bidi="es-ES"/>
        </w:rPr>
        <w:t xml:space="preserve"> serán objeto de verificación, como requisitos habilitantes, </w:t>
      </w:r>
      <w:r w:rsidRPr="0041694B">
        <w:rPr>
          <w:rFonts w:ascii="Verdana" w:hAnsi="Verdana" w:cs="Arial"/>
          <w:bCs/>
          <w:i/>
          <w:iCs/>
          <w:lang w:val="es-ES" w:eastAsia="es-ES" w:bidi="es-ES"/>
        </w:rPr>
        <w:t>entre otros</w:t>
      </w:r>
      <w:r w:rsidRPr="0041694B">
        <w:rPr>
          <w:rFonts w:ascii="Verdana" w:hAnsi="Verdana" w:cs="Arial"/>
          <w:bCs/>
          <w:lang w:val="es-ES" w:eastAsia="es-ES" w:bidi="es-ES"/>
        </w:rPr>
        <w:t xml:space="preserve">, los siguientes: </w:t>
      </w:r>
      <w:r>
        <w:rPr>
          <w:rFonts w:ascii="Verdana" w:hAnsi="Verdana" w:cs="Arial"/>
          <w:bCs/>
          <w:lang w:val="es-ES" w:eastAsia="es-ES" w:bidi="es-ES"/>
        </w:rPr>
        <w:t>(</w:t>
      </w:r>
      <w:r w:rsidRPr="0041694B">
        <w:rPr>
          <w:rFonts w:ascii="Verdana" w:hAnsi="Verdana" w:cs="Arial"/>
          <w:bCs/>
          <w:lang w:val="es-ES" w:eastAsia="es-ES" w:bidi="es-ES"/>
        </w:rPr>
        <w:t xml:space="preserve">i) la capacidad jurídica; </w:t>
      </w:r>
      <w:r>
        <w:rPr>
          <w:rFonts w:ascii="Verdana" w:hAnsi="Verdana" w:cs="Arial"/>
          <w:bCs/>
          <w:lang w:val="es-ES" w:eastAsia="es-ES" w:bidi="es-ES"/>
        </w:rPr>
        <w:t>(</w:t>
      </w:r>
      <w:r w:rsidRPr="0041694B">
        <w:rPr>
          <w:rFonts w:ascii="Verdana" w:hAnsi="Verdana" w:cs="Arial"/>
          <w:bCs/>
          <w:lang w:val="es-ES" w:eastAsia="es-ES" w:bidi="es-ES"/>
        </w:rPr>
        <w:t xml:space="preserve">ii) la experiencia; </w:t>
      </w:r>
      <w:r>
        <w:rPr>
          <w:rFonts w:ascii="Verdana" w:hAnsi="Verdana" w:cs="Arial"/>
          <w:bCs/>
          <w:lang w:val="es-ES" w:eastAsia="es-ES" w:bidi="es-ES"/>
        </w:rPr>
        <w:t>(</w:t>
      </w:r>
      <w:r w:rsidRPr="0041694B">
        <w:rPr>
          <w:rFonts w:ascii="Verdana" w:hAnsi="Verdana" w:cs="Arial"/>
          <w:bCs/>
          <w:lang w:val="es-ES" w:eastAsia="es-ES" w:bidi="es-ES"/>
        </w:rPr>
        <w:t xml:space="preserve">iii) la capacidad financiera y </w:t>
      </w:r>
      <w:r>
        <w:rPr>
          <w:rFonts w:ascii="Verdana" w:hAnsi="Verdana" w:cs="Arial"/>
          <w:bCs/>
          <w:lang w:val="es-ES" w:eastAsia="es-ES" w:bidi="es-ES"/>
        </w:rPr>
        <w:t>(</w:t>
      </w:r>
      <w:r w:rsidRPr="0041694B">
        <w:rPr>
          <w:rFonts w:ascii="Verdana" w:hAnsi="Verdana" w:cs="Arial"/>
          <w:bCs/>
          <w:lang w:val="es-ES" w:eastAsia="es-ES" w:bidi="es-ES"/>
        </w:rPr>
        <w:t>iv) la capacidad de organización. En efecto, la normati</w:t>
      </w:r>
      <w:r>
        <w:rPr>
          <w:rFonts w:ascii="Verdana" w:hAnsi="Verdana" w:cs="Arial"/>
          <w:bCs/>
          <w:lang w:val="es-ES" w:eastAsia="es-ES" w:bidi="es-ES"/>
        </w:rPr>
        <w:t>va citada prescribe</w:t>
      </w:r>
      <w:r w:rsidRPr="0041694B">
        <w:rPr>
          <w:rFonts w:ascii="Verdana" w:hAnsi="Verdana" w:cs="Arial"/>
          <w:bCs/>
          <w:lang w:val="es-ES" w:eastAsia="es-ES" w:bidi="es-ES"/>
        </w:rPr>
        <w:t>:</w:t>
      </w:r>
    </w:p>
    <w:p w14:paraId="638BF9EB" w14:textId="77777777" w:rsidR="00EF750F" w:rsidRPr="00C94107" w:rsidRDefault="00EF750F" w:rsidP="00EF750F">
      <w:pPr>
        <w:spacing w:after="0" w:line="276" w:lineRule="auto"/>
        <w:ind w:firstLine="708"/>
        <w:jc w:val="both"/>
        <w:rPr>
          <w:rFonts w:ascii="Verdana" w:hAnsi="Verdana" w:cs="Arial"/>
          <w:bCs/>
          <w:lang w:val="es-ES" w:eastAsia="es-ES" w:bidi="es-ES"/>
        </w:rPr>
      </w:pPr>
    </w:p>
    <w:p w14:paraId="0BFFA5FC" w14:textId="77777777" w:rsidR="00EF750F" w:rsidRPr="00810146" w:rsidRDefault="00EF750F" w:rsidP="00EF750F">
      <w:pPr>
        <w:spacing w:after="0" w:line="240" w:lineRule="auto"/>
        <w:ind w:left="709" w:right="709"/>
        <w:jc w:val="both"/>
        <w:rPr>
          <w:rFonts w:ascii="Verdana" w:hAnsi="Verdana" w:cs="Arial"/>
          <w:sz w:val="20"/>
          <w:szCs w:val="20"/>
          <w:lang w:val="es-ES_tradnl" w:eastAsia="es-ES" w:bidi="es-ES"/>
        </w:rPr>
      </w:pPr>
      <w:r w:rsidRPr="00810146">
        <w:rPr>
          <w:rFonts w:ascii="Verdana" w:hAnsi="Verdana" w:cs="Arial"/>
          <w:i/>
          <w:sz w:val="20"/>
          <w:szCs w:val="20"/>
          <w:lang w:val="es-ES_tradnl" w:eastAsia="es-ES" w:bidi="es-ES"/>
        </w:rPr>
        <w:t>“</w:t>
      </w:r>
      <w:r w:rsidRPr="00810146">
        <w:rPr>
          <w:rFonts w:ascii="Verdana" w:hAnsi="Verdana" w:cs="Arial"/>
          <w:sz w:val="20"/>
          <w:szCs w:val="20"/>
          <w:lang w:val="es-ES_tradnl" w:eastAsia="es-ES" w:bidi="es-ES"/>
        </w:rPr>
        <w:t xml:space="preserve">Artículo 5. De la Selección Objetiva. </w:t>
      </w:r>
    </w:p>
    <w:p w14:paraId="698F6074" w14:textId="77777777" w:rsidR="00EF750F" w:rsidRPr="00810146" w:rsidRDefault="00EF750F" w:rsidP="00EF750F">
      <w:pPr>
        <w:spacing w:after="0" w:line="240" w:lineRule="auto"/>
        <w:ind w:left="709" w:right="709"/>
        <w:jc w:val="both"/>
        <w:rPr>
          <w:rFonts w:ascii="Verdana" w:hAnsi="Verdana" w:cs="Arial"/>
          <w:sz w:val="20"/>
          <w:szCs w:val="20"/>
          <w:lang w:val="es-ES_tradnl" w:eastAsia="es-ES" w:bidi="es-ES"/>
        </w:rPr>
      </w:pPr>
      <w:r w:rsidRPr="00810146">
        <w:rPr>
          <w:rFonts w:ascii="Verdana" w:hAnsi="Verdana" w:cs="Arial"/>
          <w:sz w:val="20"/>
          <w:szCs w:val="20"/>
          <w:lang w:val="es-ES_tradnl" w:eastAsia="es-ES" w:bidi="es-ES"/>
        </w:rPr>
        <w:t>[…]</w:t>
      </w:r>
    </w:p>
    <w:p w14:paraId="3C742CEA" w14:textId="77777777" w:rsidR="00EF750F" w:rsidRPr="00810146" w:rsidRDefault="00EF750F" w:rsidP="00EF750F">
      <w:pPr>
        <w:spacing w:after="0" w:line="240" w:lineRule="auto"/>
        <w:ind w:left="709" w:right="709"/>
        <w:jc w:val="both"/>
        <w:rPr>
          <w:rFonts w:ascii="Verdana" w:hAnsi="Verdana" w:cs="Arial"/>
          <w:sz w:val="20"/>
          <w:szCs w:val="20"/>
          <w:lang w:val="es-ES" w:eastAsia="es-ES" w:bidi="es-ES"/>
        </w:rPr>
      </w:pPr>
      <w:r w:rsidRPr="00810146">
        <w:rPr>
          <w:rFonts w:ascii="Verdana" w:hAnsi="Verdana" w:cs="Arial"/>
          <w:sz w:val="20"/>
          <w:szCs w:val="20"/>
          <w:lang w:val="es-ES" w:eastAsia="es-ES" w:bidi="es-ES"/>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 de la presente ley, de acuerdo con lo cual se expedirá la respectiva certificación”.</w:t>
      </w:r>
    </w:p>
    <w:p w14:paraId="4FEBE0A1" w14:textId="77777777" w:rsidR="00EF750F" w:rsidRPr="00810146" w:rsidRDefault="00EF750F" w:rsidP="00EF750F">
      <w:pPr>
        <w:spacing w:after="0" w:line="276" w:lineRule="auto"/>
        <w:ind w:right="709"/>
        <w:jc w:val="both"/>
        <w:rPr>
          <w:rFonts w:ascii="Verdana" w:hAnsi="Verdana" w:cs="Arial"/>
          <w:lang w:val="es-ES" w:eastAsia="es-ES" w:bidi="es-ES"/>
        </w:rPr>
      </w:pPr>
    </w:p>
    <w:p w14:paraId="27154F3D" w14:textId="77777777" w:rsidR="00EF750F" w:rsidRPr="001A4E79" w:rsidRDefault="00EF750F" w:rsidP="00EF750F">
      <w:pPr>
        <w:spacing w:after="120" w:line="276" w:lineRule="auto"/>
        <w:ind w:firstLine="708"/>
        <w:jc w:val="both"/>
        <w:rPr>
          <w:rFonts w:ascii="Verdana" w:eastAsia="Times New Roman" w:hAnsi="Verdana" w:cs="Arial"/>
          <w:highlight w:val="cyan"/>
          <w:lang w:val="es-ES_tradnl" w:eastAsia="es-MX"/>
        </w:rPr>
      </w:pPr>
      <w:bookmarkStart w:id="7" w:name="_Hlk99547809"/>
      <w:bookmarkStart w:id="8" w:name="_Hlk99546625"/>
      <w:r w:rsidRPr="001A4E79">
        <w:rPr>
          <w:rFonts w:ascii="Verdana" w:eastAsia="Times New Roman" w:hAnsi="Verdana" w:cs="Arial"/>
          <w:lang w:val="es-ES_tradnl" w:eastAsia="es-MX"/>
        </w:rPr>
        <w:t>La Agencia Nacional de Contratación Pública</w:t>
      </w:r>
      <w:r>
        <w:rPr>
          <w:rFonts w:ascii="Verdana" w:eastAsia="Times New Roman" w:hAnsi="Verdana" w:cs="Arial"/>
          <w:lang w:val="es-ES_tradnl" w:eastAsia="es-MX"/>
        </w:rPr>
        <w:t xml:space="preserve"> – Colombia Compra Eficiente</w:t>
      </w:r>
      <w:r w:rsidRPr="001A4E79">
        <w:rPr>
          <w:rFonts w:ascii="Verdana" w:eastAsia="Times New Roman" w:hAnsi="Verdana" w:cs="Arial"/>
          <w:lang w:val="es-ES_tradnl" w:eastAsia="es-MX"/>
        </w:rPr>
        <w:t xml:space="preserve"> ha defendido el carácter </w:t>
      </w:r>
      <w:bookmarkStart w:id="9" w:name="_Hlk99547799"/>
      <w:r w:rsidRPr="001A4E79">
        <w:rPr>
          <w:rFonts w:ascii="Verdana" w:eastAsia="Times New Roman" w:hAnsi="Verdana" w:cs="Arial"/>
          <w:lang w:val="es-ES_tradnl" w:eastAsia="es-MX"/>
        </w:rPr>
        <w:t xml:space="preserve">enunciativo del listado de los requisitos habilitantes contenidos en el numeral 1 del artículo 5 de la Ley 1150 de 2007, en la medida en que </w:t>
      </w:r>
      <w:r>
        <w:rPr>
          <w:rFonts w:ascii="Verdana" w:eastAsia="Times New Roman" w:hAnsi="Verdana" w:cs="Arial"/>
          <w:lang w:val="es-ES_tradnl" w:eastAsia="es-MX"/>
        </w:rPr>
        <w:t xml:space="preserve">la mencionada </w:t>
      </w:r>
      <w:r w:rsidRPr="001A4E79">
        <w:rPr>
          <w:rFonts w:ascii="Verdana" w:eastAsia="Times New Roman" w:hAnsi="Verdana" w:cs="Arial"/>
          <w:lang w:val="es-ES_tradnl" w:eastAsia="es-MX"/>
        </w:rPr>
        <w:t xml:space="preserve">disposición, al referirse a los requisitos habilitantes, no contiene una expresión como </w:t>
      </w:r>
      <w:r>
        <w:rPr>
          <w:rFonts w:ascii="Verdana" w:eastAsia="Times New Roman" w:hAnsi="Verdana" w:cs="Arial"/>
          <w:lang w:val="es-ES_tradnl" w:eastAsia="es-MX"/>
        </w:rPr>
        <w:t>“</w:t>
      </w:r>
      <w:r w:rsidRPr="001A4E79">
        <w:rPr>
          <w:rFonts w:ascii="Verdana" w:eastAsia="Times New Roman" w:hAnsi="Verdana" w:cs="Arial"/>
          <w:lang w:val="es-ES_tradnl" w:eastAsia="es-MX"/>
        </w:rPr>
        <w:t>únicamente</w:t>
      </w:r>
      <w:r>
        <w:rPr>
          <w:rFonts w:ascii="Verdana" w:eastAsia="Times New Roman" w:hAnsi="Verdana" w:cs="Arial"/>
          <w:lang w:val="es-ES_tradnl" w:eastAsia="es-MX"/>
        </w:rPr>
        <w:t>”</w:t>
      </w:r>
      <w:r w:rsidRPr="001A4E79">
        <w:rPr>
          <w:rFonts w:ascii="Verdana" w:eastAsia="Times New Roman" w:hAnsi="Verdana" w:cs="Arial"/>
          <w:lang w:val="es-ES_tradnl" w:eastAsia="es-MX"/>
        </w:rPr>
        <w:t xml:space="preserve"> o </w:t>
      </w:r>
      <w:r>
        <w:rPr>
          <w:rFonts w:ascii="Verdana" w:eastAsia="Times New Roman" w:hAnsi="Verdana" w:cs="Arial"/>
          <w:lang w:val="es-ES_tradnl" w:eastAsia="es-MX"/>
        </w:rPr>
        <w:t>“</w:t>
      </w:r>
      <w:r w:rsidRPr="001A4E79">
        <w:rPr>
          <w:rFonts w:ascii="Verdana" w:eastAsia="Times New Roman" w:hAnsi="Verdana" w:cs="Arial"/>
          <w:lang w:val="es-ES_tradnl" w:eastAsia="es-MX"/>
        </w:rPr>
        <w:t>solo</w:t>
      </w:r>
      <w:r>
        <w:rPr>
          <w:rFonts w:ascii="Verdana" w:eastAsia="Times New Roman" w:hAnsi="Verdana" w:cs="Arial"/>
          <w:lang w:val="es-ES_tradnl" w:eastAsia="es-MX"/>
        </w:rPr>
        <w:t>”</w:t>
      </w:r>
      <w:r w:rsidRPr="001A4E79">
        <w:rPr>
          <w:rFonts w:ascii="Verdana" w:eastAsia="Times New Roman" w:hAnsi="Verdana" w:cs="Arial"/>
          <w:lang w:val="es-ES_tradnl" w:eastAsia="es-MX"/>
        </w:rPr>
        <w:t xml:space="preserve">, de la que pueda colegirse la taxatividad de los requisitos </w:t>
      </w:r>
      <w:r w:rsidRPr="00C94107">
        <w:rPr>
          <w:rFonts w:ascii="Verdana" w:eastAsia="Times New Roman" w:hAnsi="Verdana" w:cs="Arial"/>
          <w:lang w:val="es-ES_tradnl" w:eastAsia="es-MX"/>
        </w:rPr>
        <w:t>señalados.</w:t>
      </w:r>
      <w:r w:rsidRPr="001A4E79">
        <w:rPr>
          <w:rFonts w:ascii="Verdana" w:eastAsia="Times New Roman" w:hAnsi="Verdana" w:cs="Arial"/>
          <w:lang w:val="es-ES_tradnl" w:eastAsia="es-MX"/>
        </w:rPr>
        <w:t xml:space="preserve"> </w:t>
      </w:r>
      <w:bookmarkEnd w:id="7"/>
      <w:bookmarkEnd w:id="9"/>
      <w:r w:rsidRPr="001A4E79">
        <w:rPr>
          <w:rFonts w:ascii="Verdana" w:eastAsia="Times New Roman" w:hAnsi="Verdana" w:cs="Arial"/>
          <w:lang w:val="es-ES_tradnl" w:eastAsia="es-MX"/>
        </w:rPr>
        <w:t xml:space="preserve">Esta conclusión además se apoya en </w:t>
      </w:r>
      <w:r w:rsidRPr="001A4E79">
        <w:rPr>
          <w:rFonts w:ascii="Verdana" w:eastAsia="Times New Roman" w:hAnsi="Verdana" w:cs="Arial"/>
          <w:lang w:val="es-ES_tradnl" w:eastAsia="es-MX"/>
        </w:rPr>
        <w:lastRenderedPageBreak/>
        <w:t xml:space="preserve">una la lectura integral de las normas que regulan la contratación estatal, en virtud de la cual es posible evidenciar que existen otras condiciones que deben cumplirse para la contratación con Entidades </w:t>
      </w:r>
      <w:r>
        <w:rPr>
          <w:rFonts w:ascii="Verdana" w:eastAsia="Times New Roman" w:hAnsi="Verdana" w:cs="Arial"/>
          <w:lang w:val="es-ES_tradnl" w:eastAsia="es-MX"/>
        </w:rPr>
        <w:t>Estatales</w:t>
      </w:r>
      <w:r w:rsidRPr="001A4E79">
        <w:rPr>
          <w:rFonts w:ascii="Verdana" w:eastAsia="Times New Roman" w:hAnsi="Verdana" w:cs="Arial"/>
          <w:lang w:val="es-ES_tradnl" w:eastAsia="es-MX"/>
        </w:rPr>
        <w:t>, de las que derivan requisitos habilitantes, como sucede, por ejemplo, con la capacidad residual a la que se refiere el artículo 6º, parágrafo 1, de la Ley 1150 de 2007</w:t>
      </w:r>
      <w:bookmarkEnd w:id="8"/>
      <w:r w:rsidRPr="001A4E79">
        <w:rPr>
          <w:rFonts w:ascii="Verdana" w:eastAsia="Times New Roman" w:hAnsi="Verdana" w:cs="Arial"/>
          <w:vertAlign w:val="superscript"/>
          <w:lang w:val="es-ES_tradnl" w:eastAsia="es-MX"/>
        </w:rPr>
        <w:footnoteReference w:id="1"/>
      </w:r>
      <w:r w:rsidRPr="001A4E79">
        <w:rPr>
          <w:rFonts w:ascii="Verdana" w:eastAsia="Times New Roman" w:hAnsi="Verdana" w:cs="Arial"/>
          <w:lang w:val="es-ES_tradnl" w:eastAsia="es-MX"/>
        </w:rPr>
        <w:t xml:space="preserve">. </w:t>
      </w:r>
    </w:p>
    <w:p w14:paraId="778DAD53" w14:textId="77777777" w:rsidR="00EF750F" w:rsidRPr="00C94107" w:rsidRDefault="00EF750F" w:rsidP="00EF750F">
      <w:pPr>
        <w:spacing w:after="120" w:line="276" w:lineRule="auto"/>
        <w:ind w:firstLine="708"/>
        <w:jc w:val="both"/>
        <w:rPr>
          <w:rFonts w:ascii="Verdana" w:hAnsi="Verdana" w:cs="Arial"/>
          <w:bCs/>
          <w:lang w:val="es-ES" w:eastAsia="es-ES" w:bidi="es-ES"/>
        </w:rPr>
      </w:pPr>
      <w:r w:rsidRPr="001A4E79">
        <w:rPr>
          <w:rFonts w:ascii="Verdana" w:eastAsia="Times New Roman" w:hAnsi="Verdana" w:cs="Arial"/>
          <w:lang w:val="es-ES" w:eastAsia="es-MX"/>
        </w:rPr>
        <w:t xml:space="preserve">Por otro lado, </w:t>
      </w:r>
      <w:r>
        <w:rPr>
          <w:rFonts w:ascii="Verdana" w:hAnsi="Verdana" w:cs="Arial"/>
          <w:bCs/>
          <w:lang w:val="es-ES" w:eastAsia="es-ES" w:bidi="es-ES"/>
        </w:rPr>
        <w:t>e</w:t>
      </w:r>
      <w:r w:rsidRPr="0041694B">
        <w:rPr>
          <w:rFonts w:ascii="Verdana" w:hAnsi="Verdana" w:cs="Arial"/>
          <w:bCs/>
          <w:lang w:val="es-ES" w:eastAsia="es-ES" w:bidi="es-ES"/>
        </w:rPr>
        <w:t>l artículo</w:t>
      </w:r>
      <w:r>
        <w:rPr>
          <w:rFonts w:ascii="Verdana" w:hAnsi="Verdana" w:cs="Arial"/>
          <w:bCs/>
          <w:lang w:val="es-ES" w:eastAsia="es-ES" w:bidi="es-ES"/>
        </w:rPr>
        <w:t xml:space="preserve"> 5 de la Ley 1150 de 2007</w:t>
      </w:r>
      <w:r w:rsidRPr="0041694B">
        <w:rPr>
          <w:rFonts w:ascii="Verdana" w:hAnsi="Verdana" w:cs="Arial"/>
          <w:bCs/>
          <w:lang w:val="es-ES" w:eastAsia="es-ES" w:bidi="es-ES"/>
        </w:rPr>
        <w:t xml:space="preserve"> dispone que se considera </w:t>
      </w:r>
      <w:r w:rsidRPr="0041694B">
        <w:rPr>
          <w:rFonts w:ascii="Verdana" w:hAnsi="Verdana" w:cs="Arial"/>
          <w:bCs/>
          <w:i/>
          <w:iCs/>
          <w:lang w:val="es-ES" w:eastAsia="es-ES" w:bidi="es-ES"/>
        </w:rPr>
        <w:t>“objetiva la selección en la cual la escogencia se haga al ofrecimiento más favorable a la entidad y a los fines que ella busca, sin tener en consideración factores de afecto o de interés y, en general, cualquier clase de motivación subjetiva”.</w:t>
      </w:r>
      <w:r w:rsidRPr="0041694B">
        <w:rPr>
          <w:rFonts w:ascii="Verdana" w:hAnsi="Verdana" w:cs="Arial"/>
          <w:bCs/>
          <w:lang w:val="es-ES" w:eastAsia="es-ES" w:bidi="es-ES"/>
        </w:rPr>
        <w:t xml:space="preserve"> En ese contexto, los factores de escogencia y calificación que establezcan las </w:t>
      </w:r>
      <w:r w:rsidRPr="00C94107">
        <w:rPr>
          <w:rFonts w:ascii="Verdana" w:hAnsi="Verdana" w:cs="Arial"/>
          <w:bCs/>
          <w:lang w:val="es-ES" w:eastAsia="es-ES" w:bidi="es-ES"/>
        </w:rPr>
        <w:t>Entidades</w:t>
      </w:r>
      <w:r w:rsidRPr="0041694B">
        <w:rPr>
          <w:rFonts w:ascii="Verdana" w:hAnsi="Verdana" w:cs="Arial"/>
          <w:bCs/>
          <w:lang w:val="es-ES" w:eastAsia="es-ES" w:bidi="es-ES"/>
        </w:rPr>
        <w:t xml:space="preserve"> en los pliegos de condiciones o sus documentos equivalentes deberán tener en cuenta, entre otras cuestiones, </w:t>
      </w:r>
      <w:r>
        <w:rPr>
          <w:rFonts w:ascii="Verdana" w:hAnsi="Verdana" w:cs="Arial"/>
          <w:bCs/>
          <w:lang w:val="es-ES" w:eastAsia="es-ES" w:bidi="es-ES"/>
        </w:rPr>
        <w:t xml:space="preserve">el deber de selección objetiva, según </w:t>
      </w:r>
      <w:r w:rsidRPr="0041694B">
        <w:rPr>
          <w:rFonts w:ascii="Verdana" w:hAnsi="Verdana" w:cs="Arial"/>
          <w:bCs/>
          <w:lang w:val="es-ES" w:eastAsia="es-ES" w:bidi="es-ES"/>
        </w:rPr>
        <w:t xml:space="preserve">los criterios establecidos en dicha disposición. </w:t>
      </w:r>
    </w:p>
    <w:p w14:paraId="113F4503" w14:textId="77777777" w:rsidR="00EF750F" w:rsidRDefault="00EF750F" w:rsidP="00EF750F">
      <w:pPr>
        <w:spacing w:after="120" w:line="276" w:lineRule="auto"/>
        <w:ind w:firstLine="708"/>
        <w:jc w:val="both"/>
        <w:rPr>
          <w:rFonts w:ascii="Verdana" w:hAnsi="Verdana" w:cs="Arial"/>
          <w:bCs/>
          <w:lang w:val="es-ES" w:eastAsia="es-ES" w:bidi="es-ES"/>
        </w:rPr>
      </w:pPr>
      <w:r>
        <w:rPr>
          <w:rFonts w:ascii="Verdana" w:hAnsi="Verdana" w:cs="Arial"/>
          <w:bCs/>
          <w:lang w:val="es-ES" w:eastAsia="es-ES" w:bidi="es-ES"/>
        </w:rPr>
        <w:t xml:space="preserve">En especial, señala la Ley que los criterios habilitantes que determine la </w:t>
      </w:r>
      <w:r w:rsidRPr="00C94107">
        <w:rPr>
          <w:rFonts w:ascii="Verdana" w:hAnsi="Verdana" w:cs="Arial"/>
          <w:bCs/>
          <w:lang w:val="es-ES" w:eastAsia="es-ES" w:bidi="es-ES"/>
        </w:rPr>
        <w:t>Entidad</w:t>
      </w:r>
      <w:r>
        <w:rPr>
          <w:rFonts w:ascii="Verdana" w:hAnsi="Verdana" w:cs="Arial"/>
          <w:bCs/>
          <w:lang w:val="es-ES" w:eastAsia="es-ES" w:bidi="es-ES"/>
        </w:rPr>
        <w:t xml:space="preserve"> </w:t>
      </w:r>
      <w:r w:rsidRPr="00266285">
        <w:rPr>
          <w:rFonts w:ascii="Verdana" w:hAnsi="Verdana" w:cs="Arial"/>
          <w:bCs/>
          <w:lang w:val="es-ES" w:eastAsia="es-ES" w:bidi="es-ES"/>
        </w:rPr>
        <w:t xml:space="preserve">deberán ser </w:t>
      </w:r>
      <w:r w:rsidRPr="00266285">
        <w:rPr>
          <w:rFonts w:ascii="Verdana" w:hAnsi="Verdana" w:cs="Arial"/>
          <w:bCs/>
          <w:i/>
          <w:iCs/>
          <w:lang w:val="es-ES" w:eastAsia="es-ES" w:bidi="es-ES"/>
        </w:rPr>
        <w:t>adecuados y proporcionales</w:t>
      </w:r>
      <w:r w:rsidRPr="00266285">
        <w:rPr>
          <w:rFonts w:ascii="Verdana" w:hAnsi="Verdana" w:cs="Arial"/>
          <w:bCs/>
          <w:lang w:val="es-ES" w:eastAsia="es-ES" w:bidi="es-ES"/>
        </w:rPr>
        <w:t xml:space="preserve"> a la naturaleza del contrato a suscribir y a su valor. De esta manera, las condiciones habilitantes que no resulten adecuadas para determinar la idoneidad o capacidad del proponente para cumplir con el objeto del contrato, o que sean desproporcionados frente a este, serán contrarias al deber de selección objetiva.</w:t>
      </w:r>
    </w:p>
    <w:p w14:paraId="4347414E" w14:textId="77777777" w:rsidR="00EF750F" w:rsidRPr="00577103" w:rsidRDefault="00EF750F" w:rsidP="00EF750F">
      <w:pPr>
        <w:spacing w:before="120" w:after="120" w:line="276" w:lineRule="auto"/>
        <w:ind w:firstLine="708"/>
        <w:jc w:val="both"/>
        <w:rPr>
          <w:rFonts w:ascii="Verdana" w:eastAsia="Times New Roman" w:hAnsi="Verdana" w:cs="Arial"/>
          <w:lang w:val="es-ES" w:eastAsia="es-MX"/>
        </w:rPr>
      </w:pPr>
      <w:r w:rsidRPr="00577103">
        <w:rPr>
          <w:rFonts w:ascii="Verdana" w:eastAsia="Times New Roman" w:hAnsi="Verdana" w:cs="Arial"/>
          <w:lang w:val="es-ES" w:eastAsia="es-MX"/>
        </w:rPr>
        <w:t xml:space="preserve">En línea con lo anterior, el </w:t>
      </w:r>
      <w:bookmarkStart w:id="10" w:name="_Hlk191627190"/>
      <w:r w:rsidRPr="00577103">
        <w:rPr>
          <w:rFonts w:ascii="Verdana" w:eastAsia="Times New Roman" w:hAnsi="Verdana" w:cs="Arial"/>
          <w:lang w:val="es-ES" w:eastAsia="es-MX"/>
        </w:rPr>
        <w:t>“Manual para determinar y verificar los requisitos habilitantes en los Procesos de Contratación</w:t>
      </w:r>
      <w:bookmarkEnd w:id="10"/>
      <w:r w:rsidRPr="00577103">
        <w:rPr>
          <w:rFonts w:ascii="Verdana" w:eastAsia="Times New Roman" w:hAnsi="Verdana" w:cs="Arial"/>
          <w:lang w:val="es-ES" w:eastAsia="es-MX"/>
        </w:rPr>
        <w:t>”</w:t>
      </w:r>
      <w:r w:rsidRPr="00577103">
        <w:rPr>
          <w:rStyle w:val="Refdenotaalpie"/>
          <w:rFonts w:ascii="Verdana" w:eastAsia="Times New Roman" w:hAnsi="Verdana" w:cs="Arial"/>
          <w:lang w:val="es-ES" w:eastAsia="es-MX"/>
        </w:rPr>
        <w:footnoteReference w:id="2"/>
      </w:r>
      <w:r w:rsidRPr="00577103">
        <w:rPr>
          <w:rFonts w:ascii="Verdana" w:eastAsia="Calibri" w:hAnsi="Verdana" w:cs="Arial"/>
          <w:lang w:val="es-ES" w:eastAsia="es-MX"/>
        </w:rPr>
        <w:t>,</w:t>
      </w:r>
      <w:r w:rsidRPr="00577103">
        <w:rPr>
          <w:rFonts w:ascii="Verdana" w:eastAsia="Times New Roman" w:hAnsi="Verdana" w:cs="Arial"/>
          <w:lang w:val="es-ES" w:eastAsia="es-MX"/>
        </w:rPr>
        <w:t xml:space="preserve"> expedido por la </w:t>
      </w:r>
      <w:r w:rsidRPr="00577103">
        <w:rPr>
          <w:rFonts w:ascii="Verdana" w:eastAsia="Calibri" w:hAnsi="Verdana" w:cs="Arial"/>
          <w:lang w:val="es-ES" w:eastAsia="es-MX"/>
        </w:rPr>
        <w:t>Agencia Nacional de Contratación Pública – Colombia Compra Eficiente,</w:t>
      </w:r>
      <w:r w:rsidRPr="00577103">
        <w:rPr>
          <w:rFonts w:ascii="Verdana" w:eastAsia="Times New Roman" w:hAnsi="Verdana" w:cs="Arial"/>
          <w:lang w:val="es-ES" w:eastAsia="es-MX"/>
        </w:rPr>
        <w:t xml:space="preserve"> determinó los parámetros para establecer, acreditar y subsanar los requisitos habilitantes. Al respecto, precisa que estos tienen como fin primordial medir “</w:t>
      </w:r>
      <w:bookmarkStart w:id="11" w:name="_Hlk191627260"/>
      <w:r w:rsidRPr="00577103">
        <w:rPr>
          <w:rFonts w:ascii="Verdana" w:eastAsia="Times New Roman" w:hAnsi="Verdana" w:cs="Arial"/>
          <w:lang w:val="es-ES" w:eastAsia="es-MX"/>
        </w:rPr>
        <w:t xml:space="preserve">la aptitud del proponente para participar en un Proceso de Contratación como oferente y están referidos a su capacidad jurídica, financiera, organizacional y su experiencia”. </w:t>
      </w:r>
      <w:bookmarkEnd w:id="11"/>
      <w:r w:rsidRPr="00577103">
        <w:rPr>
          <w:rFonts w:ascii="Verdana" w:eastAsia="Times New Roman" w:hAnsi="Verdana" w:cs="Arial"/>
          <w:lang w:val="es-ES" w:eastAsia="es-MX"/>
        </w:rPr>
        <w:t xml:space="preserve">De acuerdo con el Manual, su propósito consiste en “establecer </w:t>
      </w:r>
      <w:r w:rsidRPr="00577103">
        <w:rPr>
          <w:rFonts w:ascii="Verdana" w:eastAsia="Times New Roman" w:hAnsi="Verdana" w:cs="Arial"/>
          <w:lang w:val="es-ES" w:eastAsia="es-MX"/>
        </w:rPr>
        <w:lastRenderedPageBreak/>
        <w:t xml:space="preserve">unas condiciones mínimas para los proponentes de tal manera que la Entidad Estatal sólo evalúe las ofertas de aquellos que están en condiciones de cumplir con el objeto del Proceso de Contratación”. </w:t>
      </w:r>
    </w:p>
    <w:p w14:paraId="1FA1368A" w14:textId="77777777" w:rsidR="00EF750F" w:rsidRPr="001A4E79" w:rsidRDefault="00EF750F" w:rsidP="00EF750F">
      <w:pPr>
        <w:spacing w:before="120" w:after="120" w:line="276" w:lineRule="auto"/>
        <w:ind w:firstLine="708"/>
        <w:jc w:val="both"/>
        <w:rPr>
          <w:rFonts w:ascii="Verdana" w:eastAsia="Times New Roman" w:hAnsi="Verdana" w:cs="Arial"/>
          <w:lang w:val="es-ES" w:eastAsia="es-MX"/>
        </w:rPr>
      </w:pPr>
      <w:r w:rsidRPr="001A4E79">
        <w:rPr>
          <w:rFonts w:ascii="Verdana" w:eastAsia="Times New Roman" w:hAnsi="Verdana" w:cs="Arial"/>
          <w:lang w:val="es-ES" w:eastAsia="es-MX"/>
        </w:rPr>
        <w:t xml:space="preserve">Así las cosas, al tratarse de condiciones mínimas, significa que </w:t>
      </w:r>
      <w:bookmarkStart w:id="12" w:name="_Hlk191627287"/>
      <w:r w:rsidRPr="001A4E79">
        <w:rPr>
          <w:rFonts w:ascii="Verdana" w:eastAsia="Times New Roman" w:hAnsi="Verdana" w:cs="Arial"/>
          <w:lang w:val="es-ES" w:eastAsia="es-MX"/>
        </w:rPr>
        <w:t xml:space="preserve">las </w:t>
      </w:r>
      <w:r w:rsidRPr="00C94107">
        <w:rPr>
          <w:rFonts w:ascii="Verdana" w:eastAsia="Times New Roman" w:hAnsi="Verdana" w:cs="Arial"/>
          <w:lang w:val="es-ES" w:eastAsia="es-MX"/>
        </w:rPr>
        <w:t>Entidades</w:t>
      </w:r>
      <w:r w:rsidRPr="001A4E79">
        <w:rPr>
          <w:rFonts w:ascii="Verdana" w:eastAsia="Times New Roman" w:hAnsi="Verdana" w:cs="Arial"/>
          <w:lang w:val="es-ES" w:eastAsia="es-MX"/>
        </w:rPr>
        <w:t xml:space="preserve"> podrían establecer otras, según su autonomía de la voluntad, y teniendo en cuenta el objeto del contrato, los riesgos detectados en los estudios previos, el presupuesto oficial, entre otros factores.</w:t>
      </w:r>
      <w:r>
        <w:rPr>
          <w:rFonts w:ascii="Verdana" w:eastAsia="Times New Roman" w:hAnsi="Verdana" w:cs="Arial"/>
          <w:lang w:val="es-ES" w:eastAsia="es-MX"/>
        </w:rPr>
        <w:t xml:space="preserve"> Sin embargo, esto no implica que las Entidades puedan establecer cualquier tipo de requisitos, pues su exigencia debe en todo caso ser </w:t>
      </w:r>
      <w:r w:rsidRPr="00810146">
        <w:rPr>
          <w:rFonts w:ascii="Verdana" w:eastAsia="Times New Roman" w:hAnsi="Verdana" w:cs="Arial"/>
          <w:i/>
          <w:lang w:val="es-ES" w:eastAsia="es-MX"/>
        </w:rPr>
        <w:t>proporcional y adecuada</w:t>
      </w:r>
      <w:r>
        <w:rPr>
          <w:rFonts w:ascii="Verdana" w:eastAsia="Times New Roman" w:hAnsi="Verdana" w:cs="Arial"/>
          <w:lang w:val="es-ES" w:eastAsia="es-MX"/>
        </w:rPr>
        <w:t xml:space="preserve"> frente a la naturaleza y el valor del contrato.</w:t>
      </w:r>
    </w:p>
    <w:p w14:paraId="06B60083" w14:textId="77777777" w:rsidR="00EF750F" w:rsidRDefault="00EF750F" w:rsidP="00EF750F">
      <w:pPr>
        <w:tabs>
          <w:tab w:val="left" w:pos="426"/>
        </w:tabs>
        <w:spacing w:before="120" w:after="0" w:line="276" w:lineRule="auto"/>
        <w:ind w:firstLine="709"/>
        <w:jc w:val="both"/>
        <w:rPr>
          <w:rFonts w:ascii="Verdana" w:eastAsia="Times New Roman" w:hAnsi="Verdana" w:cs="Arial"/>
          <w:lang w:val="es-ES_tradnl" w:eastAsia="es-MX"/>
        </w:rPr>
      </w:pPr>
      <w:bookmarkStart w:id="13" w:name="_Hlk99548027"/>
      <w:bookmarkEnd w:id="12"/>
      <w:r w:rsidRPr="008D1B9C">
        <w:rPr>
          <w:rFonts w:ascii="Verdana" w:eastAsia="Times New Roman" w:hAnsi="Verdana" w:cs="Arial"/>
          <w:lang w:val="es-ES_tradnl" w:eastAsia="es-MX"/>
        </w:rPr>
        <w:t xml:space="preserve">En ese sentido, </w:t>
      </w:r>
      <w:bookmarkStart w:id="14" w:name="_Hlk191627322"/>
      <w:r w:rsidRPr="008D1B9C">
        <w:rPr>
          <w:rFonts w:ascii="Verdana" w:eastAsia="Times New Roman" w:hAnsi="Verdana" w:cs="Arial"/>
          <w:lang w:val="es-ES_tradnl" w:eastAsia="es-MX"/>
        </w:rPr>
        <w:t xml:space="preserve">si bien </w:t>
      </w:r>
      <w:r w:rsidRPr="008D1B9C">
        <w:rPr>
          <w:rFonts w:ascii="Verdana" w:eastAsia="Calibri" w:hAnsi="Verdana" w:cs="Arial"/>
          <w:lang w:val="es-ES_tradnl" w:eastAsia="es-MX"/>
        </w:rPr>
        <w:t xml:space="preserve">la Ley 1150 de 2007 estableció unos requisitos habilitantes para los proponentes –la capacidad jurídica, las condiciones de experiencia, la capacidad financiera y la capacidad de organización–, estos no son taxativos. </w:t>
      </w:r>
      <w:r w:rsidRPr="008D1B9C">
        <w:rPr>
          <w:rFonts w:ascii="Verdana" w:eastAsia="Times New Roman" w:hAnsi="Verdana" w:cs="Arial"/>
          <w:lang w:val="es-ES_tradnl" w:eastAsia="es-MX"/>
        </w:rPr>
        <w:t>En consecuencia, corresponde a las Entidades Estatales,</w:t>
      </w:r>
      <w:r w:rsidRPr="001A4E79">
        <w:rPr>
          <w:rFonts w:ascii="Verdana" w:eastAsia="Times New Roman" w:hAnsi="Verdana" w:cs="Arial"/>
          <w:lang w:val="es-ES_tradnl" w:eastAsia="es-MX"/>
        </w:rPr>
        <w:t xml:space="preserve"> durante la etapa de planeación del contrato estatal, estudiar y </w:t>
      </w:r>
      <w:r w:rsidRPr="001A4E79">
        <w:rPr>
          <w:rFonts w:ascii="Verdana" w:eastAsia="Times New Roman" w:hAnsi="Verdana" w:cs="Arial"/>
          <w:bCs/>
          <w:iCs/>
          <w:lang w:val="es-ES_tradnl" w:eastAsia="es-MX"/>
        </w:rPr>
        <w:t>determinar</w:t>
      </w:r>
      <w:r w:rsidRPr="001A4E79">
        <w:rPr>
          <w:rFonts w:ascii="Verdana" w:eastAsia="Times New Roman" w:hAnsi="Verdana" w:cs="Arial"/>
          <w:lang w:val="es-ES_tradnl" w:eastAsia="es-MX"/>
        </w:rPr>
        <w:t xml:space="preserve"> los requisitos habilitantes que establecerán en los pliegos de condiciones</w:t>
      </w:r>
      <w:r w:rsidRPr="00C94107">
        <w:rPr>
          <w:rFonts w:ascii="Verdana" w:eastAsia="Times New Roman" w:hAnsi="Verdana" w:cs="Arial"/>
          <w:lang w:val="es-ES_tradnl" w:eastAsia="es-MX"/>
        </w:rPr>
        <w:t xml:space="preserve"> o documentos equivalentes</w:t>
      </w:r>
      <w:r w:rsidRPr="001A4E79">
        <w:rPr>
          <w:rFonts w:ascii="Verdana" w:eastAsia="Times New Roman" w:hAnsi="Verdana" w:cs="Arial"/>
          <w:lang w:val="es-ES_tradnl" w:eastAsia="es-MX"/>
        </w:rPr>
        <w:t xml:space="preserve">, </w:t>
      </w:r>
      <w:r w:rsidRPr="00987A26">
        <w:rPr>
          <w:rFonts w:ascii="Verdana" w:eastAsia="Times New Roman" w:hAnsi="Verdana" w:cs="Arial"/>
          <w:i/>
          <w:iCs/>
          <w:lang w:val="es-ES_tradnl" w:eastAsia="es-MX"/>
        </w:rPr>
        <w:t>los cuales deben fijarse de forma adecuada y proporcional</w:t>
      </w:r>
      <w:r w:rsidRPr="001A4E79">
        <w:rPr>
          <w:rFonts w:ascii="Verdana" w:eastAsia="Times New Roman" w:hAnsi="Verdana" w:cs="Arial"/>
          <w:lang w:val="es-ES_tradnl" w:eastAsia="es-MX"/>
        </w:rPr>
        <w:t xml:space="preserve">. </w:t>
      </w:r>
      <w:bookmarkEnd w:id="13"/>
      <w:bookmarkEnd w:id="14"/>
      <w:r w:rsidRPr="001A4E79">
        <w:rPr>
          <w:rFonts w:ascii="Verdana" w:eastAsia="Times New Roman" w:hAnsi="Verdana" w:cs="Arial"/>
          <w:lang w:val="es-ES_tradnl" w:eastAsia="es-MX"/>
        </w:rPr>
        <w:t>Al respecto, en la Sentencia C-004 de 2017, la Corte Constitucional señaló que</w:t>
      </w:r>
      <w:r>
        <w:rPr>
          <w:rFonts w:ascii="Verdana" w:eastAsia="Times New Roman" w:hAnsi="Verdana" w:cs="Arial"/>
          <w:lang w:val="es-ES_tradnl" w:eastAsia="es-MX"/>
        </w:rPr>
        <w:t>:</w:t>
      </w:r>
    </w:p>
    <w:p w14:paraId="0F3E53CC" w14:textId="77777777" w:rsidR="00EF750F" w:rsidRPr="00C94107" w:rsidRDefault="00EF750F" w:rsidP="00EF750F">
      <w:pPr>
        <w:tabs>
          <w:tab w:val="left" w:pos="426"/>
        </w:tabs>
        <w:spacing w:after="0" w:line="276" w:lineRule="auto"/>
        <w:ind w:firstLine="709"/>
        <w:jc w:val="both"/>
        <w:rPr>
          <w:rFonts w:ascii="Verdana" w:eastAsia="Times New Roman" w:hAnsi="Verdana" w:cs="Arial"/>
          <w:lang w:val="es-ES_tradnl" w:eastAsia="es-MX"/>
        </w:rPr>
      </w:pPr>
    </w:p>
    <w:p w14:paraId="6521610B" w14:textId="77777777" w:rsidR="00EF750F" w:rsidRDefault="00EF750F" w:rsidP="00EF750F">
      <w:pPr>
        <w:spacing w:after="0" w:line="240" w:lineRule="auto"/>
        <w:ind w:left="709" w:right="709"/>
        <w:jc w:val="both"/>
        <w:rPr>
          <w:rFonts w:ascii="Verdana" w:hAnsi="Verdana" w:cs="Arial"/>
          <w:sz w:val="20"/>
          <w:szCs w:val="20"/>
          <w:lang w:val="es-ES_tradnl" w:eastAsia="es-ES" w:bidi="es-ES"/>
        </w:rPr>
      </w:pPr>
      <w:r w:rsidRPr="00810146">
        <w:rPr>
          <w:rFonts w:ascii="Verdana" w:hAnsi="Verdana" w:cs="Arial"/>
          <w:sz w:val="20"/>
          <w:szCs w:val="20"/>
          <w:lang w:val="es-ES_tradnl" w:eastAsia="es-ES" w:bidi="es-ES"/>
        </w:rPr>
        <w:t>“[l]a determinación de dichas condiciones habilitantes para participar, es competencia de la entidad que planee la celebración del contrato, a través de la valoración en concreto de las características mínimas de idoneidad, experiencia, capacidad jurídica y financiera para que la realización del objeto contractual resulte eficiente y eficaz frente a la necesidad identificada”.</w:t>
      </w:r>
    </w:p>
    <w:p w14:paraId="4C94DC14" w14:textId="77777777" w:rsidR="00EF750F" w:rsidRPr="000C2E6B" w:rsidRDefault="00EF750F" w:rsidP="00EF750F">
      <w:pPr>
        <w:spacing w:after="0" w:line="240" w:lineRule="auto"/>
        <w:ind w:left="709" w:right="709"/>
        <w:jc w:val="both"/>
        <w:rPr>
          <w:rFonts w:ascii="Verdana" w:hAnsi="Verdana" w:cs="Arial"/>
          <w:sz w:val="20"/>
          <w:szCs w:val="20"/>
          <w:lang w:val="es-ES_tradnl" w:eastAsia="es-ES" w:bidi="es-ES"/>
        </w:rPr>
      </w:pPr>
    </w:p>
    <w:p w14:paraId="05CBD97D" w14:textId="77777777" w:rsidR="00EF750F" w:rsidRPr="001A4E79" w:rsidRDefault="00EF750F" w:rsidP="00EF750F">
      <w:pPr>
        <w:tabs>
          <w:tab w:val="left" w:pos="426"/>
        </w:tabs>
        <w:spacing w:after="120" w:line="276" w:lineRule="auto"/>
        <w:ind w:firstLine="709"/>
        <w:jc w:val="both"/>
        <w:rPr>
          <w:rFonts w:ascii="Verdana" w:eastAsia="Times New Roman" w:hAnsi="Verdana" w:cs="Arial"/>
          <w:lang w:val="es-ES_tradnl" w:eastAsia="es-MX"/>
        </w:rPr>
      </w:pPr>
      <w:r w:rsidRPr="001A4E79">
        <w:rPr>
          <w:rFonts w:ascii="Verdana" w:eastAsia="Times New Roman" w:hAnsi="Verdana" w:cs="Arial"/>
          <w:lang w:val="es-ES_tradnl" w:eastAsia="es-MX"/>
        </w:rPr>
        <w:t xml:space="preserve">El </w:t>
      </w:r>
      <w:bookmarkStart w:id="15" w:name="_Hlk191627359"/>
      <w:r w:rsidRPr="001A4E79">
        <w:rPr>
          <w:rFonts w:ascii="Verdana" w:eastAsia="Times New Roman" w:hAnsi="Verdana" w:cs="Arial"/>
          <w:lang w:val="es-ES_tradnl" w:eastAsia="es-MX"/>
        </w:rPr>
        <w:t>Decreto 1082 de 2015 en su artículo 2.2.1.1.1.6.2</w:t>
      </w:r>
      <w:r w:rsidRPr="00C94107">
        <w:rPr>
          <w:rFonts w:ascii="Verdana" w:eastAsia="Times New Roman" w:hAnsi="Verdana" w:cs="Arial"/>
          <w:lang w:val="es-ES_tradnl" w:eastAsia="es-MX"/>
        </w:rPr>
        <w:t>.</w:t>
      </w:r>
      <w:r w:rsidRPr="001A4E79">
        <w:rPr>
          <w:rFonts w:ascii="Verdana" w:eastAsia="Times New Roman" w:hAnsi="Verdana" w:cs="Arial"/>
          <w:lang w:val="es-ES_tradnl" w:eastAsia="es-MX"/>
        </w:rPr>
        <w:t xml:space="preserve"> </w:t>
      </w:r>
      <w:bookmarkEnd w:id="15"/>
      <w:r w:rsidRPr="001A4E79">
        <w:rPr>
          <w:rFonts w:ascii="Verdana" w:eastAsia="Times New Roman" w:hAnsi="Verdana" w:cs="Arial"/>
          <w:lang w:val="es-ES_tradnl" w:eastAsia="es-MX"/>
        </w:rPr>
        <w:t>reglamenta los requisitos habilitantes, estableciendo que estos deben ser señalados en los pliegos de condiciones o en la invitación</w:t>
      </w:r>
      <w:r w:rsidRPr="001A4E79">
        <w:rPr>
          <w:rStyle w:val="Refdenotaalpie"/>
          <w:rFonts w:ascii="Verdana" w:eastAsia="Times New Roman" w:hAnsi="Verdana" w:cs="Arial"/>
          <w:lang w:val="es-ES_tradnl" w:eastAsia="es-MX"/>
        </w:rPr>
        <w:footnoteReference w:id="3"/>
      </w:r>
      <w:r w:rsidRPr="001A4E79">
        <w:rPr>
          <w:rFonts w:ascii="Verdana" w:eastAsia="Times New Roman" w:hAnsi="Verdana" w:cs="Arial"/>
          <w:lang w:val="es-ES_tradnl" w:eastAsia="es-MX"/>
        </w:rPr>
        <w:t xml:space="preserve">, lo cual es concordante con el </w:t>
      </w:r>
      <w:bookmarkStart w:id="16" w:name="_Hlk191627380"/>
      <w:r w:rsidRPr="001A4E79">
        <w:rPr>
          <w:rFonts w:ascii="Verdana" w:eastAsia="Times New Roman" w:hAnsi="Verdana" w:cs="Arial"/>
          <w:lang w:val="es-ES_tradnl" w:eastAsia="es-MX"/>
        </w:rPr>
        <w:t xml:space="preserve">numeral </w:t>
      </w:r>
      <w:r w:rsidRPr="001A4E79">
        <w:rPr>
          <w:rFonts w:ascii="Verdana" w:eastAsia="Times New Roman" w:hAnsi="Verdana" w:cs="Arial"/>
          <w:lang w:val="es-ES_tradnl" w:eastAsia="es-MX"/>
        </w:rPr>
        <w:lastRenderedPageBreak/>
        <w:t>5 del artículo 2.2.1.1.2.1.3</w:t>
      </w:r>
      <w:bookmarkEnd w:id="16"/>
      <w:r w:rsidRPr="001A4E79">
        <w:rPr>
          <w:rFonts w:ascii="Verdana" w:eastAsia="Times New Roman" w:hAnsi="Verdana" w:cs="Arial"/>
          <w:lang w:val="es-ES_tradnl" w:eastAsia="es-MX"/>
        </w:rPr>
        <w:t>, en el que se establece como uno de los componentes mínimos de los pliegos de condiciones</w:t>
      </w:r>
      <w:r w:rsidRPr="001A4E79">
        <w:rPr>
          <w:rFonts w:ascii="Verdana" w:hAnsi="Verdana" w:cs="Arial"/>
          <w:color w:val="000000"/>
        </w:rPr>
        <w:t xml:space="preserve"> a las reglas aplicables a la presentación y evaluación de las ofertas, entre las que se inscriben las relativas a la acreditación de las condiciones habilitantes. </w:t>
      </w:r>
      <w:r>
        <w:rPr>
          <w:rFonts w:ascii="Verdana" w:eastAsia="Times New Roman" w:hAnsi="Verdana" w:cs="Arial"/>
          <w:lang w:val="es-ES_tradnl" w:eastAsia="es-MX"/>
        </w:rPr>
        <w:t>A</w:t>
      </w:r>
      <w:r w:rsidRPr="001A4E79">
        <w:rPr>
          <w:rFonts w:ascii="Verdana" w:eastAsia="Times New Roman" w:hAnsi="Verdana" w:cs="Arial"/>
          <w:lang w:val="es-ES_tradnl" w:eastAsia="es-MX"/>
        </w:rPr>
        <w:t>demás</w:t>
      </w:r>
      <w:r>
        <w:rPr>
          <w:rFonts w:ascii="Verdana" w:eastAsia="Times New Roman" w:hAnsi="Verdana" w:cs="Arial"/>
          <w:lang w:val="es-ES_tradnl" w:eastAsia="es-MX"/>
        </w:rPr>
        <w:t>,</w:t>
      </w:r>
      <w:r w:rsidRPr="001A4E79">
        <w:rPr>
          <w:rFonts w:ascii="Verdana" w:eastAsia="Times New Roman" w:hAnsi="Verdana" w:cs="Arial"/>
          <w:lang w:val="es-ES_tradnl" w:eastAsia="es-MX"/>
        </w:rPr>
        <w:t xml:space="preserve"> el artículo 2.2.1.1.1.6.2 </w:t>
      </w:r>
      <w:r>
        <w:rPr>
          <w:rFonts w:ascii="Verdana" w:eastAsia="Times New Roman" w:hAnsi="Verdana" w:cs="Arial"/>
          <w:lang w:val="es-ES_tradnl" w:eastAsia="es-MX"/>
        </w:rPr>
        <w:t xml:space="preserve">establece </w:t>
      </w:r>
      <w:r w:rsidRPr="001A4E79">
        <w:rPr>
          <w:rFonts w:ascii="Verdana" w:eastAsia="Times New Roman" w:hAnsi="Verdana" w:cs="Arial"/>
          <w:lang w:val="es-ES_tradnl" w:eastAsia="es-MX"/>
        </w:rPr>
        <w:t xml:space="preserve">que la determinación de los requisitos habilitantes debe ser realizada en función de criterios </w:t>
      </w:r>
      <w:r w:rsidRPr="00987A26">
        <w:rPr>
          <w:rFonts w:ascii="Verdana" w:eastAsia="Times New Roman" w:hAnsi="Verdana" w:cs="Arial"/>
          <w:i/>
          <w:iCs/>
          <w:lang w:val="es-ES_tradnl" w:eastAsia="es-MX"/>
        </w:rPr>
        <w:t>como el riesgo del proceso de contratación, el valor del contrato, el análisis del sector económico respectivo y el conocimiento de fondo de los posibles oferentes desde la perspectiva comercial</w:t>
      </w:r>
      <w:r w:rsidRPr="001A4E79">
        <w:rPr>
          <w:rFonts w:ascii="Verdana" w:eastAsia="Times New Roman" w:hAnsi="Verdana" w:cs="Arial"/>
          <w:lang w:val="es-ES_tradnl" w:eastAsia="es-MX"/>
        </w:rPr>
        <w:t xml:space="preserve">. </w:t>
      </w:r>
    </w:p>
    <w:p w14:paraId="78634B4D" w14:textId="77777777" w:rsidR="00EF750F" w:rsidRDefault="00EF750F" w:rsidP="00EF750F">
      <w:pPr>
        <w:tabs>
          <w:tab w:val="left" w:pos="426"/>
        </w:tabs>
        <w:spacing w:before="120" w:after="120" w:line="276" w:lineRule="auto"/>
        <w:ind w:firstLine="709"/>
        <w:jc w:val="both"/>
        <w:rPr>
          <w:rFonts w:ascii="Verdana" w:eastAsia="Times New Roman" w:hAnsi="Verdana" w:cs="Arial"/>
          <w:lang w:val="es-ES" w:eastAsia="es-MX"/>
        </w:rPr>
      </w:pPr>
      <w:r w:rsidRPr="00C94107">
        <w:rPr>
          <w:rFonts w:ascii="Verdana" w:eastAsia="Times New Roman" w:hAnsi="Verdana" w:cs="Arial"/>
          <w:lang w:val="es-ES" w:eastAsia="es-MX"/>
        </w:rPr>
        <w:t>En este punto, debe señalarse que, si bien la determinación de los requisitos habilitantes exigidos para participar en un proceso de contratación es una facultad discrecional de la Entidad Estatal, que obedece a la autonomía que le asiste para estructurar sus procesos de contratación, esta debe ejercerse respetando los principios que rigen en materia de contratación pública, como el selección objetiva e igualdad, y las normas de orden legal. Así, los mencionados criterios deben ser establecidos por parte de la Entidad que adelanta el proceso de contratación de manera tal que, de la ponderación de los mismos resulten requisitos que permitan medir la aptitud de los oferentes para cumplir con el contrato, y que, además de ser proporcionales y adecuados a su objeto, no limiten la participación en el proceso de selección</w:t>
      </w:r>
      <w:r w:rsidRPr="00C94107">
        <w:rPr>
          <w:rStyle w:val="Refdenotaalpie"/>
          <w:rFonts w:ascii="Verdana" w:eastAsia="Times New Roman" w:hAnsi="Verdana" w:cs="Arial"/>
          <w:lang w:val="es-ES" w:eastAsia="es-MX"/>
        </w:rPr>
        <w:footnoteReference w:id="4"/>
      </w:r>
      <w:r w:rsidRPr="00C94107">
        <w:rPr>
          <w:rFonts w:ascii="Verdana" w:eastAsia="Times New Roman" w:hAnsi="Verdana" w:cs="Arial"/>
          <w:lang w:val="es-ES" w:eastAsia="es-MX"/>
        </w:rPr>
        <w:t xml:space="preserve">. </w:t>
      </w:r>
    </w:p>
    <w:p w14:paraId="144CC056" w14:textId="77777777" w:rsidR="00EF750F" w:rsidRPr="00C94107" w:rsidRDefault="00EF750F" w:rsidP="00EF750F">
      <w:pPr>
        <w:tabs>
          <w:tab w:val="left" w:pos="426"/>
        </w:tabs>
        <w:spacing w:before="120" w:after="120" w:line="276" w:lineRule="auto"/>
        <w:ind w:firstLine="709"/>
        <w:jc w:val="both"/>
        <w:rPr>
          <w:rFonts w:ascii="Verdana" w:eastAsia="Times New Roman" w:hAnsi="Verdana" w:cs="Arial"/>
          <w:lang w:val="es-ES" w:eastAsia="es-MX"/>
        </w:rPr>
      </w:pPr>
      <w:r w:rsidRPr="00C94107">
        <w:rPr>
          <w:rFonts w:ascii="Verdana" w:eastAsia="Times New Roman" w:hAnsi="Verdana" w:cs="Arial"/>
          <w:lang w:val="es-ES" w:eastAsia="es-MX"/>
        </w:rPr>
        <w:t>En ese sentido, las Entidades</w:t>
      </w:r>
      <w:r>
        <w:rPr>
          <w:rFonts w:ascii="Verdana" w:eastAsia="Times New Roman" w:hAnsi="Verdana" w:cs="Arial"/>
          <w:lang w:val="es-ES" w:eastAsia="es-MX"/>
        </w:rPr>
        <w:t xml:space="preserve"> Estatales</w:t>
      </w:r>
      <w:r w:rsidRPr="00C94107">
        <w:rPr>
          <w:rFonts w:ascii="Verdana" w:eastAsia="Times New Roman" w:hAnsi="Verdana" w:cs="Arial"/>
          <w:lang w:val="es-ES" w:eastAsia="es-MX"/>
        </w:rPr>
        <w:t xml:space="preserve"> tienen autonomía para estructurar los requisitos habilitantes en los procesos que adelantan, </w:t>
      </w:r>
      <w:r w:rsidRPr="00C94107">
        <w:rPr>
          <w:rFonts w:ascii="Verdana" w:eastAsia="Times New Roman" w:hAnsi="Verdana" w:cs="Arial"/>
          <w:i/>
          <w:iCs/>
          <w:lang w:val="es-ES" w:eastAsia="es-MX"/>
        </w:rPr>
        <w:t>pero tal facultad no puede ejercerse de forma arbitraria, caprichosa y, mucho menos, con el ánimo de direccionar el proceso de contratación</w:t>
      </w:r>
      <w:r w:rsidRPr="00C94107">
        <w:rPr>
          <w:rFonts w:ascii="Verdana" w:eastAsia="Times New Roman" w:hAnsi="Verdana" w:cs="Arial"/>
          <w:lang w:val="es-ES" w:eastAsia="es-MX"/>
        </w:rPr>
        <w:t xml:space="preserve"> o favorecer a alguno de los proponentes. Tampoco puede suceder que el ejercicio de dicha atribución se haga con desconocimiento de los límites impuestos por la normativa vigente, como, por ejemplo, el parágrafo 2 del artículo 5 de la Ley 1150 de 2007, que prohíbe exigir certificaciones de sistemas de gestión de calidad como requisito habilitante. </w:t>
      </w:r>
    </w:p>
    <w:p w14:paraId="5F7B645A" w14:textId="77777777" w:rsidR="00EF750F" w:rsidRPr="003D0085" w:rsidRDefault="00EF750F" w:rsidP="00EF750F">
      <w:pPr>
        <w:spacing w:after="120" w:line="276" w:lineRule="auto"/>
        <w:ind w:firstLine="708"/>
        <w:jc w:val="both"/>
        <w:rPr>
          <w:rFonts w:ascii="Verdana" w:hAnsi="Verdana" w:cs="Arial"/>
        </w:rPr>
      </w:pPr>
      <w:bookmarkStart w:id="18" w:name="_Hlk99548176"/>
      <w:r>
        <w:rPr>
          <w:rFonts w:ascii="Verdana" w:hAnsi="Verdana" w:cs="Arial"/>
        </w:rPr>
        <w:lastRenderedPageBreak/>
        <w:t xml:space="preserve">Ahora bien, </w:t>
      </w:r>
      <w:r w:rsidRPr="00C94107">
        <w:rPr>
          <w:rFonts w:ascii="Verdana" w:hAnsi="Verdana" w:cs="Arial"/>
        </w:rPr>
        <w:t>una vez fijados los requisitos habilitantes por la Entidad Estatal, quienes presenten ofertas deben acreditar que cumplen con los mismos, pues, en el evento contrario, las propuestas deberán ser rechazadas. E</w:t>
      </w:r>
      <w:r w:rsidRPr="003D0085">
        <w:rPr>
          <w:rFonts w:ascii="Verdana" w:hAnsi="Verdana" w:cs="Arial"/>
        </w:rPr>
        <w:t>n cuanto al cumplimiento de los requisitos habilitantes, las Entidades Estatales sometidas al Estatuto General de Contratación de la Administración Pública – en adelante EGCAP -,  en virtud de lo establecido en el artículo 5 y 6 de la Ley 1150 de 2007, están obligadas a efectuar la evaluación correspondiente teniendo en cuenta la información que reposa en el certificado del Registro Único de Proponentes –en adelante RUP–, documento que constituye plena prueba de la información que contiene</w:t>
      </w:r>
      <w:r w:rsidRPr="003D0085">
        <w:rPr>
          <w:rFonts w:ascii="Verdana" w:hAnsi="Verdana" w:cs="Arial"/>
          <w:vertAlign w:val="superscript"/>
        </w:rPr>
        <w:footnoteReference w:id="5"/>
      </w:r>
      <w:r w:rsidRPr="003D0085">
        <w:rPr>
          <w:rFonts w:ascii="Verdana" w:hAnsi="Verdana" w:cs="Arial"/>
        </w:rPr>
        <w:t xml:space="preserve">, tal como lo establece el artículo 6.1 de la Ley 1150 de 2007. Por su parte, el artículo 5.1 ibidem, al fijar los criterios que deben tener en cuenta las Entidades Estatales para garantizar la selección objetiva, dispone que las Cámaras de Comercio verificarán la información suministrada por las personas naturales o jurídicas para la inscripción en el Registro. </w:t>
      </w:r>
    </w:p>
    <w:bookmarkEnd w:id="18"/>
    <w:p w14:paraId="1BC5CAFB" w14:textId="77777777" w:rsidR="00EF750F" w:rsidRDefault="00EF750F" w:rsidP="00EF750F">
      <w:pPr>
        <w:spacing w:after="120" w:line="276" w:lineRule="auto"/>
        <w:ind w:firstLine="708"/>
        <w:jc w:val="both"/>
        <w:rPr>
          <w:rFonts w:ascii="Verdana" w:hAnsi="Verdana" w:cs="Arial"/>
        </w:rPr>
      </w:pPr>
      <w:r w:rsidRPr="003D0085">
        <w:rPr>
          <w:rFonts w:ascii="Verdana" w:hAnsi="Verdana" w:cs="Arial"/>
        </w:rPr>
        <w:t xml:space="preserve">Dicha información debe tenerse en cuenta por las </w:t>
      </w:r>
      <w:r w:rsidRPr="00C94107">
        <w:rPr>
          <w:rFonts w:ascii="Verdana" w:hAnsi="Verdana" w:cs="Arial"/>
        </w:rPr>
        <w:t>Entidades</w:t>
      </w:r>
      <w:r w:rsidRPr="003D0085">
        <w:rPr>
          <w:rFonts w:ascii="Verdana" w:hAnsi="Verdana" w:cs="Arial"/>
        </w:rPr>
        <w:t xml:space="preserve"> en los </w:t>
      </w:r>
      <w:r w:rsidRPr="00C94107">
        <w:rPr>
          <w:rFonts w:ascii="Verdana" w:hAnsi="Verdana" w:cs="Arial"/>
        </w:rPr>
        <w:t>procedimientos</w:t>
      </w:r>
      <w:r w:rsidRPr="003D0085">
        <w:rPr>
          <w:rFonts w:ascii="Verdana" w:hAnsi="Verdana" w:cs="Arial"/>
        </w:rPr>
        <w:t xml:space="preserve"> de </w:t>
      </w:r>
      <w:r w:rsidRPr="00C94107">
        <w:rPr>
          <w:rFonts w:ascii="Verdana" w:hAnsi="Verdana" w:cs="Arial"/>
        </w:rPr>
        <w:t>contratación</w:t>
      </w:r>
      <w:r w:rsidRPr="003D0085">
        <w:rPr>
          <w:rFonts w:ascii="Verdana" w:hAnsi="Verdana" w:cs="Arial"/>
        </w:rPr>
        <w:t xml:space="preserve"> en los que es exigible el RUP</w:t>
      </w:r>
      <w:r w:rsidRPr="003D0085">
        <w:rPr>
          <w:rFonts w:ascii="Verdana" w:hAnsi="Verdana" w:cs="Arial"/>
          <w:vertAlign w:val="superscript"/>
        </w:rPr>
        <w:footnoteReference w:id="6"/>
      </w:r>
      <w:r w:rsidRPr="003D0085">
        <w:rPr>
          <w:rFonts w:ascii="Verdana" w:hAnsi="Verdana" w:cs="Arial"/>
        </w:rPr>
        <w:t>. Así las cosas, la capacidad jurídica y las condiciones de experiencia, capacidad financiera y de organización de los proponentes deberán ser verificadas exclusivamente a través del RUP, pues de acuerdo con lo expuesto, este documento es plena prueba de la información financiera, de experiencia y de capacidad acreditada por la persona natural o jurídica</w:t>
      </w:r>
      <w:r w:rsidRPr="003D0085">
        <w:rPr>
          <w:rFonts w:ascii="Verdana" w:hAnsi="Verdana" w:cs="Arial"/>
          <w:vertAlign w:val="superscript"/>
        </w:rPr>
        <w:footnoteReference w:id="7"/>
      </w:r>
      <w:r w:rsidRPr="003D0085">
        <w:rPr>
          <w:rFonts w:ascii="Verdana" w:hAnsi="Verdana" w:cs="Arial"/>
        </w:rPr>
        <w:t xml:space="preserve">. </w:t>
      </w:r>
    </w:p>
    <w:p w14:paraId="0E08C372" w14:textId="77777777" w:rsidR="00EF750F" w:rsidRPr="00C94107" w:rsidRDefault="00EF750F" w:rsidP="00EF750F">
      <w:pPr>
        <w:spacing w:after="120" w:line="276" w:lineRule="auto"/>
        <w:ind w:firstLine="709"/>
        <w:jc w:val="both"/>
        <w:rPr>
          <w:rFonts w:ascii="Verdana" w:hAnsi="Verdana" w:cs="Arial"/>
        </w:rPr>
      </w:pPr>
      <w:bookmarkStart w:id="19" w:name="_Hlk99548308"/>
      <w:r w:rsidRPr="003D0085">
        <w:rPr>
          <w:rFonts w:ascii="Verdana" w:hAnsi="Verdana" w:cs="Arial"/>
        </w:rPr>
        <w:lastRenderedPageBreak/>
        <w:t>No obstante, el RUP no es exigible en algunos procedimientos de contratación, como en la contratación directa, la mínima cuantía, la prestación de servicios de salud, enajenación de bienes del Estado, la adquisición de productos de origen o destinación agropecuaria ofrecidos en bolsas de productos, los contratos de concesión y los contratos que celebren las empresas industriales y comerciales del Estado y las sociedades de economía mixta, que tengan por objeto el desarrollo de sus actividades industriales y comerciales</w:t>
      </w:r>
      <w:bookmarkEnd w:id="19"/>
      <w:r w:rsidRPr="003D0085">
        <w:rPr>
          <w:rFonts w:ascii="Verdana" w:hAnsi="Verdana" w:cs="Arial"/>
        </w:rPr>
        <w:t xml:space="preserve">. </w:t>
      </w:r>
    </w:p>
    <w:p w14:paraId="013EB21A" w14:textId="77777777" w:rsidR="00EF750F" w:rsidRDefault="00EF750F" w:rsidP="00EF750F">
      <w:pPr>
        <w:spacing w:after="120" w:line="276" w:lineRule="auto"/>
        <w:ind w:firstLine="709"/>
        <w:jc w:val="both"/>
        <w:rPr>
          <w:rFonts w:ascii="Verdana" w:hAnsi="Verdana" w:cs="Arial"/>
        </w:rPr>
      </w:pPr>
      <w:r w:rsidRPr="003D0085">
        <w:rPr>
          <w:rFonts w:ascii="Verdana" w:hAnsi="Verdana" w:cs="Arial"/>
          <w:lang w:val="es-ES_tradnl"/>
        </w:rPr>
        <w:t xml:space="preserve">Estas excepciones son taxativas y se rigen por una interpretación restrictiva. Así lo dispone el artículo 2.2.1.1.1.5.1 del Decreto 1082 de 2015, al prescribir que la inscripción en el RUP es imperativa para los sujetos mencionados en el primer inciso del artículo 6 de la Ley 1150 de 2007, salvo las excepciones previstas de forma taxativa en la </w:t>
      </w:r>
      <w:r w:rsidRPr="00C94107">
        <w:rPr>
          <w:rFonts w:ascii="Verdana" w:hAnsi="Verdana" w:cs="Arial"/>
          <w:lang w:val="es-ES_tradnl"/>
        </w:rPr>
        <w:t>Ley</w:t>
      </w:r>
      <w:r w:rsidRPr="003D0085">
        <w:rPr>
          <w:rFonts w:ascii="Verdana" w:hAnsi="Verdana" w:cs="Arial"/>
          <w:lang w:val="es-ES_tradnl"/>
        </w:rPr>
        <w:t xml:space="preserve">. </w:t>
      </w:r>
      <w:r w:rsidRPr="003D0085">
        <w:rPr>
          <w:rFonts w:ascii="Verdana" w:hAnsi="Verdana" w:cs="Arial"/>
        </w:rPr>
        <w:t xml:space="preserve">Adicionalmente, en el numeral 6.1. del artículo 6 de la Ley 1150 de 2007 establece que cuando sea necesario verificar requisitos o información que no reposa en RUP, la </w:t>
      </w:r>
      <w:r w:rsidRPr="00C94107">
        <w:rPr>
          <w:rFonts w:ascii="Verdana" w:hAnsi="Verdana" w:cs="Arial"/>
        </w:rPr>
        <w:t>Entidad</w:t>
      </w:r>
      <w:r w:rsidRPr="003D0085">
        <w:rPr>
          <w:rFonts w:ascii="Verdana" w:hAnsi="Verdana" w:cs="Arial"/>
        </w:rPr>
        <w:t xml:space="preserve"> podrá solicitar información adicional solo para complementar la información contenida en el RUP</w:t>
      </w:r>
      <w:r w:rsidRPr="003D0085">
        <w:rPr>
          <w:rFonts w:ascii="Verdana" w:hAnsi="Verdana" w:cs="Arial"/>
          <w:vertAlign w:val="superscript"/>
        </w:rPr>
        <w:footnoteReference w:id="8"/>
      </w:r>
      <w:r w:rsidRPr="003D0085">
        <w:rPr>
          <w:rFonts w:ascii="Verdana" w:hAnsi="Verdana" w:cs="Arial"/>
        </w:rPr>
        <w:t>.</w:t>
      </w:r>
    </w:p>
    <w:p w14:paraId="5D434013" w14:textId="77777777" w:rsidR="00EF750F" w:rsidRDefault="00EF750F" w:rsidP="00EF750F">
      <w:pPr>
        <w:spacing w:after="120" w:line="276" w:lineRule="auto"/>
        <w:ind w:firstLine="709"/>
        <w:jc w:val="both"/>
        <w:rPr>
          <w:rFonts w:ascii="Verdana" w:hAnsi="Verdana" w:cs="Arial"/>
        </w:rPr>
      </w:pPr>
      <w:r>
        <w:rPr>
          <w:rFonts w:ascii="Verdana" w:hAnsi="Verdana" w:cs="Arial"/>
        </w:rPr>
        <w:t xml:space="preserve">En cualquier caso, en los procedimientos en los cuales no es exigible el RUP, como aquellos que se adelanten mediante la modalidad de mínima cuantía, las </w:t>
      </w:r>
      <w:r w:rsidRPr="00C94107">
        <w:rPr>
          <w:rFonts w:ascii="Verdana" w:hAnsi="Verdana" w:cs="Arial"/>
        </w:rPr>
        <w:t>Entidades</w:t>
      </w:r>
      <w:r>
        <w:rPr>
          <w:rFonts w:ascii="Verdana" w:hAnsi="Verdana" w:cs="Arial"/>
        </w:rPr>
        <w:t xml:space="preserve"> deberán </w:t>
      </w:r>
      <w:r w:rsidRPr="003D0085">
        <w:rPr>
          <w:rFonts w:ascii="Verdana" w:hAnsi="Verdana" w:cs="Arial"/>
        </w:rPr>
        <w:t>verificar directamente el cumplimiento de los requisitos habilitantes</w:t>
      </w:r>
      <w:r w:rsidRPr="003D0085">
        <w:rPr>
          <w:rFonts w:ascii="Verdana" w:hAnsi="Verdana" w:cs="Arial"/>
          <w:vertAlign w:val="superscript"/>
        </w:rPr>
        <w:footnoteReference w:id="9"/>
      </w:r>
      <w:r>
        <w:rPr>
          <w:rFonts w:ascii="Verdana" w:hAnsi="Verdana" w:cs="Arial"/>
        </w:rPr>
        <w:t xml:space="preserve">. Para esto, deberá señalar en la invitación, o el documento que haga sus veces, </w:t>
      </w:r>
      <w:r w:rsidRPr="00FB79E2">
        <w:rPr>
          <w:rFonts w:ascii="Verdana" w:eastAsia="Times New Roman" w:hAnsi="Verdana" w:cs="Arial"/>
          <w:lang w:eastAsia="es-ES_tradnl"/>
        </w:rPr>
        <w:t>cuál es la información que se debe acreditar, así como los documentos que tendrá como válidos para tal fin.</w:t>
      </w:r>
      <w:r>
        <w:rPr>
          <w:rFonts w:ascii="Verdana" w:hAnsi="Verdana" w:cs="Arial"/>
        </w:rPr>
        <w:t xml:space="preserve"> Estos documentos también deberán ser proporcionales y adecuados, pues no podrán imponer barreras injustificadas para la participación en el proceso de selección.</w:t>
      </w:r>
    </w:p>
    <w:p w14:paraId="77FDEE52" w14:textId="77777777" w:rsidR="00EF750F" w:rsidRPr="00BD4869" w:rsidRDefault="00EF750F" w:rsidP="00EF750F">
      <w:pPr>
        <w:spacing w:after="120" w:line="276" w:lineRule="auto"/>
        <w:ind w:right="51"/>
        <w:jc w:val="both"/>
        <w:rPr>
          <w:rFonts w:ascii="Verdana" w:eastAsia="Calibri" w:hAnsi="Verdana" w:cs="Arial"/>
          <w:bCs/>
          <w:lang w:val="es-MX"/>
        </w:rPr>
      </w:pPr>
      <w:r w:rsidRPr="00A51B1D">
        <w:rPr>
          <w:rFonts w:ascii="Verdana" w:hAnsi="Verdana" w:cs="Arial"/>
        </w:rPr>
        <w:lastRenderedPageBreak/>
        <w:t xml:space="preserve">ii) </w:t>
      </w:r>
      <w:r w:rsidRPr="00A51B1D">
        <w:rPr>
          <w:rFonts w:ascii="Verdana" w:eastAsia="Calibri" w:hAnsi="Verdana" w:cs="Arial"/>
          <w:bCs/>
          <w:lang w:val="es-MX"/>
        </w:rPr>
        <w:t>En con</w:t>
      </w:r>
      <w:r w:rsidRPr="00C77162">
        <w:rPr>
          <w:rFonts w:ascii="Verdana" w:eastAsia="Calibri" w:hAnsi="Verdana" w:cs="Arial"/>
          <w:bCs/>
          <w:lang w:val="es-MX"/>
        </w:rPr>
        <w:t>traposición a</w:t>
      </w:r>
      <w:r w:rsidRPr="00BD4869">
        <w:rPr>
          <w:rFonts w:ascii="Verdana" w:eastAsia="Calibri" w:hAnsi="Verdana" w:cs="Arial"/>
          <w:bCs/>
          <w:lang w:val="es-MX"/>
        </w:rPr>
        <w:t xml:space="preserve"> los requisitos habilitantes, el artículo 5 de la Ley 1150 de 2007 regula los factores dirigidos a determinar cuál es la propuesta, comparativamente, más favorable. En ese sentido, el inciso primero dispone los factores de escogencia y calificación que deben indicarse en los pliegos de condiciones o documentos equivalentes. El numeral segundo de esta norma establece que la oferta más favorable es aquella que resulte ser la más ventajosa para la entidad, una vez se realice la ponderación precisa y detallada de los factores técnicos y económicos de escogencia, de acuerdo con los parámetros establecidos en los pliegos de condiciones o equivalentes, que permiten la comparación de ofertas. Este numeral segundo se divide en dos literales, cada uno de los cuales hace referencia a los mecanismos por los que pueden optar las entidades para ponderar los elementos de calidad y precio de las ofertas. El literal a) alude a la ponderación de los referidos elementos mediante </w:t>
      </w:r>
      <w:r w:rsidRPr="00BD4869">
        <w:rPr>
          <w:rFonts w:ascii="Verdana" w:eastAsia="Calibri" w:hAnsi="Verdana" w:cs="Arial"/>
          <w:bCs/>
          <w:i/>
          <w:iCs/>
          <w:lang w:val="es-MX"/>
        </w:rPr>
        <w:t>puntajes o fórmulas</w:t>
      </w:r>
      <w:r w:rsidRPr="00BD4869">
        <w:rPr>
          <w:rFonts w:ascii="Verdana" w:eastAsia="Calibri" w:hAnsi="Verdana" w:cs="Arial"/>
          <w:bCs/>
          <w:lang w:val="es-MX"/>
        </w:rPr>
        <w:t xml:space="preserve">, </w:t>
      </w:r>
      <w:r w:rsidRPr="0058754A">
        <w:rPr>
          <w:rFonts w:ascii="Verdana" w:eastAsia="Calibri" w:hAnsi="Verdana" w:cs="Arial"/>
          <w:bCs/>
          <w:lang w:val="es-MX"/>
        </w:rPr>
        <w:t xml:space="preserve">mientras que el literal b) se refiere la elección de la oferta que represente la mejor relación </w:t>
      </w:r>
      <w:r w:rsidRPr="0058754A">
        <w:rPr>
          <w:rFonts w:ascii="Verdana" w:eastAsia="Calibri" w:hAnsi="Verdana" w:cs="Arial"/>
          <w:bCs/>
          <w:i/>
          <w:iCs/>
          <w:lang w:val="es-MX"/>
        </w:rPr>
        <w:t>costo-beneficio</w:t>
      </w:r>
      <w:r w:rsidRPr="0058754A">
        <w:rPr>
          <w:rFonts w:ascii="Verdana" w:eastAsia="Calibri" w:hAnsi="Verdana" w:cs="Arial"/>
          <w:bCs/>
          <w:lang w:val="es-MX"/>
        </w:rPr>
        <w:t xml:space="preserve"> para la entidad.</w:t>
      </w:r>
      <w:r w:rsidRPr="00BD4869">
        <w:rPr>
          <w:rFonts w:ascii="Verdana" w:eastAsia="Calibri" w:hAnsi="Verdana" w:cs="Arial"/>
          <w:bCs/>
          <w:lang w:val="es-MX"/>
        </w:rPr>
        <w:t xml:space="preserve"> </w:t>
      </w:r>
    </w:p>
    <w:p w14:paraId="63ACA7CA" w14:textId="77777777" w:rsidR="00EF750F" w:rsidRPr="00BD4869" w:rsidRDefault="00EF750F" w:rsidP="00EF750F">
      <w:pPr>
        <w:spacing w:after="120" w:line="276" w:lineRule="auto"/>
        <w:ind w:right="51" w:firstLine="709"/>
        <w:jc w:val="both"/>
        <w:rPr>
          <w:rFonts w:ascii="Verdana" w:eastAsia="Calibri" w:hAnsi="Verdana" w:cs="Arial"/>
          <w:bCs/>
          <w:lang w:val="es-MX"/>
        </w:rPr>
      </w:pPr>
      <w:r w:rsidRPr="00BD4869">
        <w:rPr>
          <w:rFonts w:ascii="Verdana" w:eastAsia="Calibri" w:hAnsi="Verdana" w:cs="Arial"/>
          <w:bCs/>
          <w:lang w:val="es-MX"/>
        </w:rPr>
        <w:t>Por su parte, el numeral tercero establece que en los procesos de selección de bienes y servicios de características técnicas uniformes y de común utilización el único factor de evaluación consiste en el menor precio. Por último, el numeral 4, referente a los procedimientos para la selección de consultores, señala que deben usarse factores de calificación, para valorar los aspectos técnicos de la oferta, permitiendo que entre ellos se pondere la experiencia.</w:t>
      </w:r>
    </w:p>
    <w:p w14:paraId="71ADCEB7" w14:textId="77777777" w:rsidR="00EF750F" w:rsidRDefault="00EF750F" w:rsidP="00EF750F">
      <w:pPr>
        <w:spacing w:after="120" w:line="276" w:lineRule="auto"/>
        <w:ind w:right="51" w:firstLine="709"/>
        <w:jc w:val="both"/>
        <w:rPr>
          <w:rFonts w:ascii="Verdana" w:eastAsia="Calibri" w:hAnsi="Verdana" w:cs="Arial"/>
          <w:bCs/>
          <w:lang w:val="es-MX"/>
        </w:rPr>
      </w:pPr>
      <w:r w:rsidRPr="00BD4869">
        <w:rPr>
          <w:rFonts w:ascii="Verdana" w:eastAsia="Calibri" w:hAnsi="Verdana" w:cs="Arial"/>
          <w:bCs/>
          <w:lang w:val="es-MX"/>
        </w:rPr>
        <w:t>De acuerdo con lo expresado, se concluye que el artículo 5 de la Ley 1150 de 2007 define los parámetros conforme a los cuales deben exigirse y evaluarse los factores que no otorgan puntaje o requisitos habilitantes, como también aquellos que deben tenerse en cuenta para la exigencia y evaluación de los factores de escogencia o calificación, técnicos y económicos, los cuales inciden en la comparación de las ofertas. Por ello, la doctrina define los requisitos o factores ponderables como “[…] aquellas condiciones de la oferta y no de quien la presenta, que sí entrarán a ser evaluadas por la Administración y que, en consecuencia, darán lugar a la escogencia objetiva de la mejor propuesta para la entidad”</w:t>
      </w:r>
      <w:r w:rsidRPr="00BD4869">
        <w:rPr>
          <w:rFonts w:ascii="Verdana" w:eastAsia="Calibri" w:hAnsi="Verdana" w:cs="Arial"/>
          <w:bCs/>
          <w:vertAlign w:val="superscript"/>
          <w:lang w:val="es-MX"/>
        </w:rPr>
        <w:footnoteReference w:id="10"/>
      </w:r>
      <w:r w:rsidRPr="00BD4869">
        <w:rPr>
          <w:rFonts w:ascii="Verdana" w:eastAsia="Calibri" w:hAnsi="Verdana" w:cs="Arial"/>
          <w:bCs/>
          <w:lang w:val="es-MX"/>
        </w:rPr>
        <w:t xml:space="preserve">. Todas estas categorías designan los “[…] factores a los cuales cabe otorgarles puntajes o que pueden ser ponderados, precisamente, pues estos </w:t>
      </w:r>
      <w:r w:rsidRPr="00BD4869">
        <w:rPr>
          <w:rFonts w:ascii="Verdana" w:eastAsia="Calibri" w:hAnsi="Verdana" w:cs="Arial"/>
          <w:bCs/>
          <w:lang w:val="es-MX"/>
        </w:rPr>
        <w:lastRenderedPageBreak/>
        <w:t>son los factores que en últimas permiten una comparación de ofertas y una diferenciación entre ellas”</w:t>
      </w:r>
      <w:r w:rsidRPr="00BD4869">
        <w:rPr>
          <w:rFonts w:ascii="Verdana" w:eastAsia="Calibri" w:hAnsi="Verdana" w:cs="Arial"/>
          <w:bCs/>
          <w:vertAlign w:val="superscript"/>
          <w:lang w:val="es-MX"/>
        </w:rPr>
        <w:footnoteReference w:id="11"/>
      </w:r>
      <w:r w:rsidRPr="00BD4869">
        <w:rPr>
          <w:rFonts w:ascii="Verdana" w:eastAsia="Calibri" w:hAnsi="Verdana" w:cs="Arial"/>
          <w:bCs/>
          <w:lang w:val="es-MX"/>
        </w:rPr>
        <w:t xml:space="preserve">. </w:t>
      </w:r>
    </w:p>
    <w:p w14:paraId="33E0369F" w14:textId="77777777" w:rsidR="00EF750F" w:rsidRPr="009563E7" w:rsidRDefault="00EF750F" w:rsidP="00EF750F">
      <w:pPr>
        <w:shd w:val="clear" w:color="auto" w:fill="FFFFFF"/>
        <w:spacing w:after="120" w:line="276" w:lineRule="auto"/>
        <w:jc w:val="both"/>
        <w:rPr>
          <w:rFonts w:ascii="Verdana" w:eastAsia="Calibri" w:hAnsi="Verdana" w:cs="Arial"/>
          <w:bCs/>
          <w:color w:val="000000"/>
          <w:lang w:val="es-MX"/>
        </w:rPr>
      </w:pPr>
      <w:r>
        <w:rPr>
          <w:rFonts w:ascii="Verdana" w:eastAsia="Calibri" w:hAnsi="Verdana" w:cs="Arial"/>
          <w:bCs/>
          <w:lang w:val="es-MX"/>
        </w:rPr>
        <w:t xml:space="preserve">iii) </w:t>
      </w:r>
      <w:r w:rsidRPr="009563E7">
        <w:rPr>
          <w:rFonts w:ascii="Verdana" w:eastAsia="Calibri" w:hAnsi="Verdana" w:cs="Arial"/>
          <w:bCs/>
          <w:color w:val="000000"/>
          <w:lang w:val="es-MX"/>
        </w:rPr>
        <w:t xml:space="preserve">El artículo 38 de la Constitución Política, estableció la obligación de </w:t>
      </w:r>
      <w:r w:rsidRPr="009563E7">
        <w:rPr>
          <w:rFonts w:ascii="Verdana" w:eastAsia="Calibri" w:hAnsi="Verdana" w:cs="Arial"/>
          <w:color w:val="000000"/>
        </w:rPr>
        <w:t>“</w:t>
      </w:r>
      <w:r w:rsidRPr="009563E7">
        <w:rPr>
          <w:rFonts w:ascii="Verdana" w:eastAsia="Calibri" w:hAnsi="Verdana" w:cs="Arial"/>
          <w:bCs/>
          <w:color w:val="000000"/>
          <w:lang w:val="es-MX"/>
        </w:rPr>
        <w:t>garantizar el derecho de libre asociación para el desarrollo de las distintas actividades que las personas realizan en sociedad</w:t>
      </w:r>
      <w:r w:rsidRPr="009563E7">
        <w:rPr>
          <w:rFonts w:ascii="Verdana" w:eastAsia="Calibri" w:hAnsi="Verdana" w:cs="Arial"/>
          <w:color w:val="000000"/>
          <w:lang w:val="es-ES_tradnl"/>
        </w:rPr>
        <w:t>”</w:t>
      </w:r>
      <w:r w:rsidRPr="009563E7">
        <w:rPr>
          <w:rFonts w:ascii="Verdana" w:eastAsia="Calibri" w:hAnsi="Verdana" w:cs="Arial"/>
          <w:bCs/>
          <w:i/>
          <w:iCs/>
          <w:color w:val="000000"/>
          <w:lang w:val="es-MX"/>
        </w:rPr>
        <w:t>,</w:t>
      </w:r>
      <w:r w:rsidRPr="009563E7">
        <w:rPr>
          <w:rFonts w:ascii="Verdana" w:eastAsia="Calibri" w:hAnsi="Verdana" w:cs="Arial"/>
          <w:bCs/>
          <w:color w:val="000000"/>
          <w:lang w:val="es-MX"/>
        </w:rPr>
        <w:t xml:space="preserve"> en aras de contar con una sociedad civil más participativa. De igual forma, los artículos 103 y 355 superior permitieron que las organizaciones civiles previstas por el constituyente no solamente puedan ejercer una labor de vigilancia y control, sino que también se prevé su intervención en la actividad estatal. Al respecto, la Corte Constitucional en sentencia C-580 de 2001, realizó un análisis del desarrollo comunitario de los Organismos de Acción Comunal, concluyendo que su proceso social va de la mano con la acción participativa de la comunidad, en tanto que impulsa al individuo a involucrarse en su contexto detectando necesidades de su comunidad y ayudando a solucionarlas</w:t>
      </w:r>
      <w:r w:rsidRPr="009563E7">
        <w:rPr>
          <w:rFonts w:ascii="Verdana" w:eastAsia="Calibri" w:hAnsi="Verdana" w:cs="Arial"/>
          <w:bCs/>
          <w:color w:val="000000"/>
          <w:vertAlign w:val="superscript"/>
          <w:lang w:val="es-MX"/>
        </w:rPr>
        <w:footnoteReference w:id="12"/>
      </w:r>
      <w:r w:rsidRPr="009563E7">
        <w:rPr>
          <w:rFonts w:ascii="Verdana" w:eastAsia="Calibri" w:hAnsi="Verdana" w:cs="Arial"/>
          <w:bCs/>
          <w:color w:val="000000"/>
          <w:lang w:val="es-MX"/>
        </w:rPr>
        <w:t>.</w:t>
      </w:r>
    </w:p>
    <w:p w14:paraId="3B9C3A38" w14:textId="77777777" w:rsidR="00EF750F" w:rsidRPr="009563E7" w:rsidRDefault="00EF750F" w:rsidP="00EF750F">
      <w:pPr>
        <w:shd w:val="clear" w:color="auto" w:fill="FFFFFF"/>
        <w:spacing w:after="120" w:line="276" w:lineRule="auto"/>
        <w:ind w:firstLine="708"/>
        <w:jc w:val="both"/>
        <w:rPr>
          <w:rFonts w:ascii="Verdana" w:eastAsia="Calibri" w:hAnsi="Verdana" w:cs="Arial"/>
          <w:bCs/>
          <w:color w:val="000000"/>
          <w:lang w:val="es-MX"/>
        </w:rPr>
      </w:pPr>
      <w:r w:rsidRPr="009563E7">
        <w:rPr>
          <w:rFonts w:ascii="Verdana" w:eastAsia="Calibri" w:hAnsi="Verdana" w:cs="Arial"/>
          <w:color w:val="000000"/>
          <w:lang w:val="es-MX"/>
        </w:rPr>
        <w:t>Es así como, en desarrollo del principio de participación, el artículo 7 de la Ley 2166 de 2021 definió cuatro grados de Organismos de Acción Comunal</w:t>
      </w:r>
      <w:r w:rsidRPr="009563E7">
        <w:rPr>
          <w:rFonts w:ascii="Verdana" w:eastAsia="Calibri" w:hAnsi="Verdana" w:cs="Arial"/>
          <w:color w:val="000000"/>
          <w:vertAlign w:val="superscript"/>
          <w:lang w:val="es-MX"/>
        </w:rPr>
        <w:footnoteReference w:id="13"/>
      </w:r>
      <w:r w:rsidRPr="009563E7">
        <w:rPr>
          <w:rFonts w:ascii="Verdana" w:eastAsia="Calibri" w:hAnsi="Verdana" w:cs="Arial"/>
          <w:color w:val="000000"/>
          <w:lang w:val="es-MX"/>
        </w:rPr>
        <w:t xml:space="preserve">. En el primer grado se clasifican las Juntas de Acción Comunal y las Juntas de Vivienda Comunal. Las primeras de ellas fueron definidas como </w:t>
      </w:r>
      <w:r w:rsidRPr="009563E7">
        <w:rPr>
          <w:rFonts w:ascii="Verdana" w:eastAsia="Calibri" w:hAnsi="Verdana" w:cs="Arial"/>
          <w:i/>
          <w:color w:val="000000"/>
          <w:lang w:val="es-MX"/>
        </w:rPr>
        <w:t>“una organización cívica, social y comunitaria de gestión social, sin ánimo de lucro, de naturaleza solidaria, con personería jurídica y patrimonio propio […]</w:t>
      </w:r>
      <w:r w:rsidRPr="009563E7">
        <w:rPr>
          <w:rFonts w:ascii="Verdana" w:eastAsia="Calibri" w:hAnsi="Verdana" w:cs="Arial"/>
          <w:color w:val="000000"/>
          <w:lang w:val="es-MX"/>
        </w:rPr>
        <w:t xml:space="preserve">”, que se encuentra integrada voluntariamente por los residentes de un lugar que aúnan esfuerzos y recursos para </w:t>
      </w:r>
      <w:r w:rsidRPr="009563E7">
        <w:rPr>
          <w:rFonts w:ascii="Verdana" w:eastAsia="Calibri" w:hAnsi="Verdana" w:cs="Arial"/>
          <w:i/>
          <w:color w:val="000000"/>
          <w:lang w:val="es-MX"/>
        </w:rPr>
        <w:t>“procurar un desarrollo integral, sostenible y sustentable con fundamento en el ejercicio de la democracia participativa.”</w:t>
      </w:r>
      <w:r w:rsidRPr="009563E7">
        <w:rPr>
          <w:rFonts w:ascii="Verdana" w:eastAsia="Calibri" w:hAnsi="Verdana" w:cs="Arial"/>
          <w:color w:val="000000"/>
          <w:lang w:val="es-MX"/>
        </w:rPr>
        <w:t xml:space="preserve"> Por su parte, las Juntas de Vivienda Comunal, fueron definidas como “</w:t>
      </w:r>
      <w:r w:rsidRPr="009563E7">
        <w:rPr>
          <w:rFonts w:ascii="Verdana" w:eastAsia="Calibri" w:hAnsi="Verdana" w:cs="Arial"/>
          <w:i/>
          <w:color w:val="000000"/>
          <w:lang w:val="es-MX"/>
        </w:rPr>
        <w:t>una organización cívica sin ánimo de lucro, integrada por familias que se reúnen con el propósito de adelantar programas de mejoramiento o de autoconstrucción de vivienda”</w:t>
      </w:r>
      <w:r w:rsidRPr="009563E7">
        <w:rPr>
          <w:rFonts w:ascii="Verdana" w:eastAsia="Calibri" w:hAnsi="Verdana" w:cs="Arial"/>
          <w:color w:val="000000"/>
          <w:lang w:val="es-MX"/>
        </w:rPr>
        <w:t xml:space="preserve"> y una vez concluido el programa podrán asimilarse a una Junta de Acción Comunal, siempre y cuando cumplan los requisitos de Ley.</w:t>
      </w:r>
    </w:p>
    <w:p w14:paraId="7372429E" w14:textId="77777777" w:rsidR="00EF750F" w:rsidRPr="00BD545E" w:rsidRDefault="00EF750F" w:rsidP="00EF750F">
      <w:pPr>
        <w:shd w:val="clear" w:color="auto" w:fill="FFFFFF"/>
        <w:spacing w:after="120" w:line="276" w:lineRule="auto"/>
        <w:ind w:firstLine="708"/>
        <w:jc w:val="both"/>
        <w:rPr>
          <w:rFonts w:ascii="Verdana" w:eastAsia="Calibri" w:hAnsi="Verdana" w:cs="Arial"/>
          <w:color w:val="000000"/>
          <w:lang w:val="es-ES"/>
        </w:rPr>
      </w:pPr>
      <w:r w:rsidRPr="009563E7">
        <w:rPr>
          <w:rFonts w:ascii="Verdana" w:eastAsia="Calibri" w:hAnsi="Verdana" w:cs="Arial"/>
          <w:color w:val="000000"/>
          <w:lang w:val="es-ES"/>
        </w:rPr>
        <w:lastRenderedPageBreak/>
        <w:t>Ahora bien, la contratación estatal con entidades privadas sin ánimo de lucro encuentra su fundamento en el artículo 355 de la Constitución Política, el cual, tras proscribir cualquier tipo de donación por parte del Estado a personas de derecho privado, dispone que “El Gobierno, en los niveles nacional, departamental, distrital y municipal podrá, con recursos de los respectivos presupuestos, celebrar contratos con entidades privadas sin ánimo de lucro y de reconocida idoneidad con el fin de impulsar programas y actividades de interés público acordes con el Plan Nacional y los planes seccionales de Desarrollo […]”. A su vez, el referido mandato constitucional faculta al Gobierno Nacional para reglamentar la materia.</w:t>
      </w:r>
    </w:p>
    <w:p w14:paraId="0172A428" w14:textId="77777777" w:rsidR="00EF750F" w:rsidRPr="009563E7" w:rsidRDefault="00EF750F" w:rsidP="006E698A">
      <w:pPr>
        <w:spacing w:after="120" w:line="276" w:lineRule="auto"/>
        <w:ind w:firstLine="708"/>
        <w:jc w:val="both"/>
        <w:textAlignment w:val="baseline"/>
        <w:rPr>
          <w:rFonts w:ascii="Verdana" w:eastAsia="Calibri" w:hAnsi="Verdana" w:cs="Arial"/>
          <w:lang w:val="es-ES"/>
        </w:rPr>
      </w:pPr>
      <w:r w:rsidRPr="009563E7">
        <w:rPr>
          <w:rFonts w:ascii="Verdana" w:eastAsia="Calibri" w:hAnsi="Verdana" w:cs="Arial"/>
          <w:szCs w:val="24"/>
          <w:lang w:val="es-ES" w:eastAsia="es-ES_tradnl"/>
        </w:rPr>
        <w:t>En concordancia con lo establecido en el artículo 355, la Ley 136 de 1994 introdujo un tipo especial de contratación cuyo objetivo consiste en la celebración de convenios solidarios. De conformidad con lo dispuesto en el parágrafo tercero del artículo 3 del referido cuerpo normativo, modificado por la Ley 1551 de 2012, los convenios solidarios se definen como “la complementación de esfuerzos institucionales, comunitarios, económicos y sociales para la construcción de obras y la satisfacción de necesidades y aspiraciones de las comunidades”.  En este sentido, el artículo 3° de la Ley 136 de 1994, modificado por la Ley 1551 de 2012, determina tres alternativas mediante las cuales las entidades territoriales pueden celebrar convenios solidarios con organismos de acción comunal, las cuales se enlistan a continuación:</w:t>
      </w:r>
    </w:p>
    <w:p w14:paraId="261056A5" w14:textId="77777777" w:rsidR="00EF750F" w:rsidRPr="009563E7" w:rsidRDefault="00EF750F" w:rsidP="00EF750F">
      <w:pPr>
        <w:spacing w:after="120" w:line="276" w:lineRule="auto"/>
        <w:ind w:firstLine="708"/>
        <w:jc w:val="both"/>
        <w:rPr>
          <w:rFonts w:ascii="Verdana" w:eastAsia="Calibri" w:hAnsi="Verdana" w:cs="Arial"/>
          <w:szCs w:val="24"/>
          <w:lang w:val="es-ES" w:eastAsia="es-ES_tradnl"/>
        </w:rPr>
      </w:pPr>
      <w:r w:rsidRPr="009563E7">
        <w:rPr>
          <w:rFonts w:ascii="Verdana" w:eastAsia="Calibri" w:hAnsi="Verdana" w:cs="Arial"/>
          <w:szCs w:val="24"/>
          <w:lang w:val="es-ES" w:eastAsia="es-ES_tradnl"/>
        </w:rPr>
        <w:t>a) En primer lugar, las entidades territoriales del orden municipal o distrital pueden celebrar convenios solidarios con organismos de acción comunal “[…] para el desarrollo conjunto de programas y actividades establecidas por la Ley a los municipios y distritos, acorde con sus planes y desarrollos”</w:t>
      </w:r>
      <w:r w:rsidRPr="009563E7">
        <w:rPr>
          <w:rFonts w:ascii="Verdana" w:eastAsia="Calibri" w:hAnsi="Verdana" w:cs="Arial"/>
          <w:szCs w:val="24"/>
          <w:vertAlign w:val="superscript"/>
          <w:lang w:eastAsia="es-ES_tradnl"/>
        </w:rPr>
        <w:footnoteReference w:id="14"/>
      </w:r>
      <w:r w:rsidRPr="009563E7">
        <w:rPr>
          <w:rFonts w:ascii="Verdana" w:eastAsia="Calibri" w:hAnsi="Verdana" w:cs="Arial"/>
          <w:szCs w:val="24"/>
          <w:lang w:val="es-ES" w:eastAsia="es-ES_tradnl"/>
        </w:rPr>
        <w:t>.</w:t>
      </w:r>
    </w:p>
    <w:p w14:paraId="5BD8AFB0" w14:textId="77777777" w:rsidR="00EF750F" w:rsidRPr="009563E7" w:rsidRDefault="00EF750F" w:rsidP="00EF750F">
      <w:pPr>
        <w:spacing w:after="120" w:line="276" w:lineRule="auto"/>
        <w:ind w:firstLine="708"/>
        <w:jc w:val="both"/>
        <w:rPr>
          <w:rFonts w:ascii="Verdana" w:eastAsia="Calibri" w:hAnsi="Verdana" w:cs="Arial"/>
          <w:szCs w:val="24"/>
          <w:lang w:val="es-ES" w:eastAsia="es-ES_tradnl"/>
        </w:rPr>
      </w:pPr>
      <w:r w:rsidRPr="009563E7">
        <w:rPr>
          <w:rFonts w:ascii="Verdana" w:eastAsia="Calibri" w:hAnsi="Verdana" w:cs="Arial"/>
          <w:szCs w:val="24"/>
          <w:lang w:val="es-ES" w:eastAsia="es-ES_tradnl"/>
        </w:rPr>
        <w:t xml:space="preserve">b) En segundo lugar, existe la opción, establecida en el parágrafo cuarto de la norma en cita, consistente en que las entidades territoriales del orden departamental y municipal podrán celebrar directamente convenios solidarios con juntas de acción comunal para la ejecución de obras hasta por la mínima cuantía. </w:t>
      </w:r>
    </w:p>
    <w:p w14:paraId="22D8DDAD" w14:textId="77777777" w:rsidR="00EF750F" w:rsidRPr="009563E7" w:rsidRDefault="00EF750F" w:rsidP="00EF750F">
      <w:pPr>
        <w:spacing w:after="120" w:line="276" w:lineRule="auto"/>
        <w:ind w:firstLine="709"/>
        <w:jc w:val="both"/>
        <w:rPr>
          <w:rFonts w:ascii="Verdana" w:eastAsia="Calibri" w:hAnsi="Verdana" w:cs="Arial"/>
          <w:szCs w:val="24"/>
          <w:lang w:val="es-ES" w:eastAsia="es-ES_tradnl"/>
        </w:rPr>
      </w:pPr>
      <w:r w:rsidRPr="009563E7">
        <w:rPr>
          <w:rFonts w:ascii="Verdana" w:eastAsia="Calibri" w:hAnsi="Verdana" w:cs="Arial"/>
          <w:szCs w:val="24"/>
          <w:lang w:val="es-ES" w:eastAsia="es-ES_tradnl"/>
        </w:rPr>
        <w:lastRenderedPageBreak/>
        <w:t xml:space="preserve">c) En tercer lugar, la Ley 1955 de 2019 introdujo un quinto parágrafo al artículo tercero, mediante el cual se permite la celebración de convenios solidarios entre entidades del orden nacional y los organismos de acción comunal, en aras de ejecutar proyectos previstos en el Plan Nacional de Desarrollo. </w:t>
      </w:r>
    </w:p>
    <w:p w14:paraId="74BCF2D6" w14:textId="77777777" w:rsidR="00EF750F" w:rsidRPr="009563E7" w:rsidRDefault="00EF750F" w:rsidP="00EF750F">
      <w:pPr>
        <w:spacing w:after="120" w:line="276" w:lineRule="auto"/>
        <w:ind w:firstLine="709"/>
        <w:jc w:val="both"/>
        <w:rPr>
          <w:rFonts w:ascii="Verdana" w:eastAsia="Calibri" w:hAnsi="Verdana" w:cs="Arial"/>
          <w:szCs w:val="24"/>
          <w:lang w:val="es-ES" w:eastAsia="es-ES_tradnl"/>
        </w:rPr>
      </w:pPr>
      <w:r w:rsidRPr="009563E7">
        <w:rPr>
          <w:rFonts w:ascii="Verdana" w:eastAsia="Calibri" w:hAnsi="Verdana" w:cs="Arial"/>
          <w:szCs w:val="24"/>
          <w:lang w:val="es-ES" w:eastAsia="es-ES_tradnl"/>
        </w:rPr>
        <w:t xml:space="preserve">Existen características que se encuentran presentes en los tres regímenes de contratación aplicables y que están contenidas en el parágrafo tercero del artículo 3 de la Ley 136 de 1994, en consonancia con el artículo 355 de la Constitución Política. En ese sentido, debe tenerse en cuenta que todos los convenios solidarios celebrados entre entidades del orden nacional, departamental, distrital o municipal y los organismos de acción comunal deben propender por la satisfacción de necesidades y aspiraciones de las comunidades, estar encaminados a la satisfacción del interés público, y ser concordantes con el Plan Nacional o los planes seccionales de desarrollo, según el caso. </w:t>
      </w:r>
    </w:p>
    <w:p w14:paraId="0FBCF667" w14:textId="77777777" w:rsidR="00EF750F" w:rsidRPr="009563E7" w:rsidRDefault="00EF750F" w:rsidP="00EF750F">
      <w:pPr>
        <w:spacing w:after="120" w:line="276" w:lineRule="auto"/>
        <w:ind w:firstLine="709"/>
        <w:jc w:val="both"/>
        <w:rPr>
          <w:rFonts w:ascii="Verdana" w:eastAsia="Calibri" w:hAnsi="Verdana" w:cs="Arial"/>
          <w:szCs w:val="24"/>
          <w:lang w:eastAsia="es-ES_tradnl"/>
        </w:rPr>
      </w:pPr>
      <w:r w:rsidRPr="009563E7">
        <w:rPr>
          <w:rFonts w:ascii="Verdana" w:eastAsia="Times New Roman" w:hAnsi="Verdana" w:cs="Arial"/>
          <w:szCs w:val="24"/>
          <w:lang w:val="es-ES" w:eastAsia="es-ES_tradnl"/>
        </w:rPr>
        <w:t>De esta manera, habiendo abordado las características generales aplicables a la celebración de cualquier convenio solidario, debe destacarse que en los diferentes conceptos expedidos por la Agencia, así como en la “Guía para la celebración de convenios solidarios”</w:t>
      </w:r>
      <w:r w:rsidRPr="009563E7">
        <w:rPr>
          <w:rFonts w:ascii="Verdana" w:eastAsia="Times New Roman" w:hAnsi="Verdana" w:cs="Arial"/>
          <w:szCs w:val="24"/>
          <w:vertAlign w:val="superscript"/>
          <w:lang w:val="es-ES" w:eastAsia="es-ES_tradnl"/>
        </w:rPr>
        <w:footnoteReference w:id="15"/>
      </w:r>
      <w:r>
        <w:rPr>
          <w:rFonts w:ascii="Verdana" w:eastAsia="Times New Roman" w:hAnsi="Verdana" w:cs="Arial"/>
          <w:szCs w:val="24"/>
          <w:lang w:val="es-ES" w:eastAsia="es-ES_tradnl"/>
        </w:rPr>
        <w:t xml:space="preserve"> </w:t>
      </w:r>
      <w:r w:rsidRPr="009563E7">
        <w:rPr>
          <w:rFonts w:ascii="Verdana" w:eastAsia="Times New Roman" w:hAnsi="Verdana" w:cs="Arial"/>
          <w:szCs w:val="24"/>
          <w:lang w:val="es-ES" w:eastAsia="es-ES_tradnl"/>
        </w:rPr>
        <w:t xml:space="preserve">a. </w:t>
      </w:r>
      <w:r w:rsidRPr="009563E7">
        <w:rPr>
          <w:rFonts w:ascii="Verdana" w:eastAsia="Times New Roman" w:hAnsi="Verdana" w:cs="Arial"/>
          <w:i/>
          <w:szCs w:val="24"/>
          <w:lang w:val="es-ES" w:eastAsia="es-ES_tradnl"/>
        </w:rPr>
        <w:t>P</w:t>
      </w:r>
      <w:r w:rsidRPr="009563E7">
        <w:rPr>
          <w:rFonts w:ascii="Verdana" w:eastAsia="Times New Roman" w:hAnsi="Verdana" w:cs="Arial"/>
          <w:i/>
          <w:iCs/>
          <w:szCs w:val="24"/>
          <w:lang w:val="es-ES" w:eastAsia="es-ES_tradnl"/>
        </w:rPr>
        <w:t>rimer régimen.</w:t>
      </w:r>
      <w:r w:rsidRPr="009563E7">
        <w:rPr>
          <w:rFonts w:ascii="Verdana" w:eastAsia="Times New Roman" w:hAnsi="Verdana" w:cs="Arial"/>
          <w:szCs w:val="24"/>
          <w:lang w:val="es-ES" w:eastAsia="es-ES_tradnl"/>
        </w:rPr>
        <w:t xml:space="preserve"> </w:t>
      </w:r>
      <w:r w:rsidRPr="009563E7">
        <w:rPr>
          <w:rFonts w:ascii="Verdana" w:eastAsia="Calibri" w:hAnsi="Verdana" w:cs="Arial"/>
          <w:bCs/>
          <w:szCs w:val="24"/>
          <w:lang w:val="es-ES" w:eastAsia="es-ES_tradnl"/>
        </w:rPr>
        <w:t>Este régimen se fundamenta</w:t>
      </w:r>
      <w:r w:rsidRPr="009563E7">
        <w:rPr>
          <w:rFonts w:ascii="Verdana" w:eastAsia="Calibri" w:hAnsi="Verdana" w:cs="Arial"/>
          <w:szCs w:val="24"/>
          <w:lang w:eastAsia="es-ES_tradnl"/>
        </w:rPr>
        <w:t xml:space="preserve"> en la Ley 2166 de 2021 “</w:t>
      </w:r>
      <w:r w:rsidRPr="009563E7">
        <w:rPr>
          <w:rFonts w:ascii="Verdana" w:eastAsia="Calibri" w:hAnsi="Verdana" w:cs="Arial"/>
          <w:i/>
          <w:iCs/>
          <w:szCs w:val="24"/>
          <w:lang w:eastAsia="es-ES_tradnl"/>
        </w:rPr>
        <w:t>por la cual se desarrolla el artículo 38 de la Constitución Política de Colombia en lo referente a los Organismos de Acción Comunal”.</w:t>
      </w:r>
      <w:r w:rsidRPr="009563E7">
        <w:rPr>
          <w:rFonts w:ascii="Verdana" w:eastAsia="Calibri" w:hAnsi="Verdana" w:cs="Arial"/>
          <w:szCs w:val="24"/>
          <w:lang w:eastAsia="es-ES_tradnl"/>
        </w:rPr>
        <w:t xml:space="preserve"> En su artículo 95 contempla la </w:t>
      </w:r>
      <w:r w:rsidRPr="009563E7">
        <w:rPr>
          <w:rFonts w:ascii="Verdana" w:eastAsia="Calibri" w:hAnsi="Verdana" w:cs="Arial"/>
          <w:bCs/>
          <w:iCs/>
          <w:szCs w:val="24"/>
          <w:lang w:eastAsia="es-ES_tradnl"/>
        </w:rPr>
        <w:t>celebración directa de convenios solidarios para ejecutar obras hasta por la menor cuantía entre Organismos de Acción Comunal y los entes del orden Nacional, Departamental, Distrital y municipal</w:t>
      </w:r>
      <w:r w:rsidRPr="009563E7">
        <w:rPr>
          <w:rFonts w:ascii="Verdana" w:eastAsia="Calibri" w:hAnsi="Verdana" w:cs="Arial"/>
          <w:bCs/>
          <w:szCs w:val="24"/>
          <w:vertAlign w:val="superscript"/>
          <w:lang w:eastAsia="es-ES_tradnl"/>
        </w:rPr>
        <w:footnoteReference w:id="16"/>
      </w:r>
      <w:r w:rsidRPr="009563E7">
        <w:rPr>
          <w:rFonts w:ascii="Verdana" w:eastAsia="Calibri" w:hAnsi="Verdana" w:cs="Arial"/>
          <w:szCs w:val="24"/>
          <w:lang w:eastAsia="es-ES_tradnl"/>
        </w:rPr>
        <w:t xml:space="preserve">. </w:t>
      </w:r>
      <w:r w:rsidRPr="009563E7">
        <w:rPr>
          <w:rFonts w:ascii="Verdana" w:eastAsia="Calibri" w:hAnsi="Verdana" w:cs="Arial"/>
          <w:bCs/>
          <w:szCs w:val="24"/>
          <w:lang w:eastAsia="es-ES_tradnl"/>
        </w:rPr>
        <w:t xml:space="preserve">El artículo 95 de dicha ley –derogado parcialmente por el artículo 372 de la Ley 2294 de 2023 en lo que respecta a la expresión “territoriales”– dispone la celebración directa de convenios solidarios entre Organismos de </w:t>
      </w:r>
      <w:r w:rsidRPr="009563E7">
        <w:rPr>
          <w:rFonts w:ascii="Verdana" w:eastAsia="Calibri" w:hAnsi="Verdana" w:cs="Arial"/>
          <w:bCs/>
          <w:szCs w:val="24"/>
          <w:lang w:eastAsia="es-ES_tradnl"/>
        </w:rPr>
        <w:lastRenderedPageBreak/>
        <w:t>Acción Comunal y “los entes territoriales del orden Nacional, Departamental, Distrital y municipal”.</w:t>
      </w:r>
      <w:r w:rsidRPr="009563E7">
        <w:rPr>
          <w:rFonts w:ascii="Verdana" w:eastAsia="Calibri" w:hAnsi="Verdana" w:cs="Arial"/>
          <w:szCs w:val="24"/>
          <w:lang w:eastAsia="es-ES_tradnl"/>
        </w:rPr>
        <w:t xml:space="preserve"> </w:t>
      </w:r>
    </w:p>
    <w:p w14:paraId="5F458E3B" w14:textId="77777777" w:rsidR="00EF750F" w:rsidRPr="009563E7" w:rsidRDefault="00EF750F" w:rsidP="00EF750F">
      <w:pPr>
        <w:spacing w:after="120" w:line="276" w:lineRule="auto"/>
        <w:ind w:firstLine="709"/>
        <w:jc w:val="both"/>
        <w:rPr>
          <w:rFonts w:ascii="Verdana" w:eastAsia="Calibri" w:hAnsi="Verdana" w:cs="Arial"/>
          <w:szCs w:val="24"/>
          <w:lang w:eastAsia="es-ES_tradnl"/>
        </w:rPr>
      </w:pPr>
      <w:r w:rsidRPr="009563E7">
        <w:rPr>
          <w:rFonts w:ascii="Verdana" w:eastAsia="Calibri" w:hAnsi="Verdana" w:cs="Arial"/>
          <w:szCs w:val="24"/>
          <w:lang w:eastAsia="es-ES_tradnl"/>
        </w:rPr>
        <w:t>En tal sentido</w:t>
      </w:r>
      <w:r w:rsidRPr="009563E7">
        <w:rPr>
          <w:rFonts w:ascii="Verdana" w:eastAsia="Calibri" w:hAnsi="Verdana" w:cs="Arial"/>
          <w:bCs/>
          <w:szCs w:val="24"/>
          <w:lang w:eastAsia="es-ES_tradnl"/>
        </w:rPr>
        <w:t>, las Entidades Estatales deben tener en cuenta los siguientes criterios para la suscripción de los convenios solidarios bajo este régimen:</w:t>
      </w:r>
      <w:r w:rsidRPr="009563E7">
        <w:rPr>
          <w:rFonts w:ascii="Verdana" w:eastAsia="Calibri" w:hAnsi="Verdana" w:cs="Arial"/>
          <w:szCs w:val="24"/>
          <w:lang w:eastAsia="es-ES_tradnl"/>
        </w:rPr>
        <w:t xml:space="preserve"> i) Estos convenios solidarios deben celebrarse entre </w:t>
      </w:r>
      <w:r w:rsidRPr="009563E7">
        <w:rPr>
          <w:rFonts w:ascii="Verdana" w:eastAsia="Calibri" w:hAnsi="Verdana" w:cs="Arial"/>
          <w:i/>
          <w:iCs/>
          <w:szCs w:val="24"/>
          <w:lang w:eastAsia="es-ES_tradnl"/>
        </w:rPr>
        <w:t xml:space="preserve">sujetos </w:t>
      </w:r>
      <w:r w:rsidRPr="009563E7">
        <w:rPr>
          <w:rFonts w:ascii="Verdana" w:eastAsia="Calibri" w:hAnsi="Verdana" w:cs="Arial"/>
          <w:szCs w:val="24"/>
          <w:lang w:eastAsia="es-ES_tradnl"/>
        </w:rPr>
        <w:t>específicos, es decir, se funda bajo un criterio orgánico: por una parte, entidades que sean del</w:t>
      </w:r>
      <w:r w:rsidRPr="009563E7">
        <w:rPr>
          <w:rFonts w:ascii="Verdana" w:eastAsia="Calibri" w:hAnsi="Verdana" w:cs="Arial"/>
          <w:szCs w:val="24"/>
          <w:lang w:val="es-ES" w:eastAsia="es-ES_tradnl"/>
        </w:rPr>
        <w:t xml:space="preserve"> </w:t>
      </w:r>
      <w:r w:rsidRPr="009563E7">
        <w:rPr>
          <w:rFonts w:ascii="Verdana" w:eastAsia="Calibri" w:hAnsi="Verdana" w:cs="Arial"/>
          <w:szCs w:val="24"/>
          <w:lang w:eastAsia="es-ES_tradnl"/>
        </w:rPr>
        <w:t>orden Nacional, Departamental, Distrital y/o municipal</w:t>
      </w:r>
      <w:r w:rsidRPr="009563E7">
        <w:rPr>
          <w:rFonts w:ascii="Verdana" w:eastAsia="Calibri" w:hAnsi="Verdana" w:cs="Arial"/>
          <w:szCs w:val="24"/>
          <w:lang w:val="es-ES" w:eastAsia="es-ES_tradnl"/>
        </w:rPr>
        <w:t>, y por el otro, los Organismos de Acción Comunal. Dichas entidades pueden celebrar estos convenios con cualquiera de los Organismos de Acción Comunal que se encuentran enlistados en el artículo 7 de la Ley 2166 de 2021</w:t>
      </w:r>
      <w:r w:rsidRPr="009563E7">
        <w:rPr>
          <w:rFonts w:ascii="Verdana" w:eastAsia="Calibri" w:hAnsi="Verdana" w:cs="Arial"/>
          <w:szCs w:val="24"/>
          <w:vertAlign w:val="superscript"/>
          <w:lang w:val="es-ES" w:eastAsia="es-ES_tradnl"/>
        </w:rPr>
        <w:footnoteReference w:id="17"/>
      </w:r>
      <w:r w:rsidRPr="009563E7">
        <w:rPr>
          <w:rFonts w:ascii="Verdana" w:eastAsia="Calibri" w:hAnsi="Verdana" w:cs="Arial"/>
          <w:szCs w:val="24"/>
          <w:lang w:val="es-ES" w:eastAsia="es-ES_tradnl"/>
        </w:rPr>
        <w:t xml:space="preserve">, es decir, con las juntas de acción comunal y juntas de vivienda comunal, las asociaciones de juntas de acción comunal, la federación de acción comunal y la confederación nacional de acción comunal; ii) el </w:t>
      </w:r>
      <w:r w:rsidRPr="009563E7">
        <w:rPr>
          <w:rFonts w:ascii="Verdana" w:eastAsia="Calibri" w:hAnsi="Verdana" w:cs="Arial"/>
          <w:i/>
          <w:iCs/>
          <w:szCs w:val="24"/>
          <w:lang w:val="es-ES" w:eastAsia="es-ES_tradnl"/>
        </w:rPr>
        <w:t>objeto</w:t>
      </w:r>
      <w:r w:rsidRPr="009563E7">
        <w:rPr>
          <w:rFonts w:ascii="Verdana" w:eastAsia="Calibri" w:hAnsi="Verdana" w:cs="Arial"/>
          <w:szCs w:val="24"/>
          <w:lang w:val="es-ES" w:eastAsia="es-ES_tradnl"/>
        </w:rPr>
        <w:t xml:space="preserve"> contractual de los convenios solidarios solamente para la ejecución de obras; iii) el</w:t>
      </w:r>
      <w:r w:rsidRPr="009563E7">
        <w:rPr>
          <w:rFonts w:ascii="Verdana" w:eastAsia="Calibri" w:hAnsi="Verdana" w:cs="Arial"/>
          <w:i/>
          <w:szCs w:val="24"/>
          <w:lang w:val="es-ES" w:eastAsia="es-ES_tradnl"/>
        </w:rPr>
        <w:t xml:space="preserve"> valor</w:t>
      </w:r>
      <w:r w:rsidRPr="009563E7">
        <w:rPr>
          <w:rFonts w:ascii="Verdana" w:eastAsia="Calibri" w:hAnsi="Verdana" w:cs="Arial"/>
          <w:szCs w:val="24"/>
          <w:lang w:val="es-ES" w:eastAsia="es-ES_tradnl"/>
        </w:rPr>
        <w:t xml:space="preserve"> del convenio no puede superar la menor cuantía de la entidad, la cual </w:t>
      </w:r>
      <w:r w:rsidRPr="009563E7">
        <w:rPr>
          <w:rFonts w:ascii="Verdana" w:eastAsia="Calibri" w:hAnsi="Verdana" w:cs="Arial"/>
          <w:szCs w:val="24"/>
          <w:lang w:eastAsia="es-ES_tradnl"/>
        </w:rPr>
        <w:t>se define en función de los presupuestos anuales de las entidades públicas expresados en salarios mínimos legales mensuales, teniendo en cuenta los rangos</w:t>
      </w:r>
      <w:r w:rsidRPr="009563E7">
        <w:rPr>
          <w:rFonts w:ascii="Verdana" w:eastAsia="Calibri" w:hAnsi="Verdana" w:cs="Arial"/>
          <w:szCs w:val="24"/>
          <w:lang w:val="es-ES" w:eastAsia="es-ES_tradnl"/>
        </w:rPr>
        <w:t xml:space="preserve"> establecidos en el literal b) del artículo 2.2 de la Ley 1150 de 2007</w:t>
      </w:r>
      <w:r w:rsidRPr="009563E7">
        <w:rPr>
          <w:rFonts w:ascii="Verdana" w:eastAsia="Calibri" w:hAnsi="Verdana" w:cs="Arial"/>
          <w:szCs w:val="24"/>
          <w:vertAlign w:val="superscript"/>
          <w:lang w:val="es-ES" w:eastAsia="es-ES_tradnl"/>
        </w:rPr>
        <w:footnoteReference w:id="18"/>
      </w:r>
      <w:r w:rsidRPr="009563E7">
        <w:rPr>
          <w:rFonts w:ascii="Verdana" w:eastAsia="Calibri" w:hAnsi="Verdana" w:cs="Arial"/>
          <w:szCs w:val="24"/>
          <w:lang w:val="es-ES" w:eastAsia="es-ES_tradnl"/>
        </w:rPr>
        <w:t xml:space="preserve">; iv) el convenio debe tener en cuenta a los </w:t>
      </w:r>
      <w:r w:rsidRPr="009563E7">
        <w:rPr>
          <w:rFonts w:ascii="Verdana" w:eastAsia="Calibri" w:hAnsi="Verdana" w:cs="Arial"/>
          <w:i/>
          <w:szCs w:val="24"/>
          <w:lang w:val="es-ES" w:eastAsia="es-ES_tradnl"/>
        </w:rPr>
        <w:lastRenderedPageBreak/>
        <w:t>habitantes de la comunidad</w:t>
      </w:r>
      <w:r w:rsidRPr="009563E7">
        <w:rPr>
          <w:rFonts w:ascii="Verdana" w:eastAsia="Calibri" w:hAnsi="Verdana" w:cs="Arial"/>
          <w:szCs w:val="24"/>
          <w:lang w:val="es-ES" w:eastAsia="es-ES_tradnl"/>
        </w:rPr>
        <w:t xml:space="preserve"> para la ejecución de las obras, es decir, no deben vincular a personas que sean ajenas a la población que se impacta; v) en el </w:t>
      </w:r>
      <w:r w:rsidRPr="009563E7">
        <w:rPr>
          <w:rFonts w:ascii="Verdana" w:eastAsia="Calibri" w:hAnsi="Verdana" w:cs="Arial"/>
          <w:i/>
          <w:szCs w:val="24"/>
          <w:lang w:val="es-ES" w:eastAsia="es-ES_tradnl"/>
        </w:rPr>
        <w:t>valor</w:t>
      </w:r>
      <w:r w:rsidRPr="009563E7">
        <w:rPr>
          <w:rFonts w:ascii="Verdana" w:eastAsia="Calibri" w:hAnsi="Verdana" w:cs="Arial"/>
          <w:szCs w:val="24"/>
          <w:lang w:val="es-ES" w:eastAsia="es-ES_tradnl"/>
        </w:rPr>
        <w:t xml:space="preserve"> del convenio la entidad puede incluirse los costos directos, los costos administrativos y el subsidio </w:t>
      </w:r>
      <w:r w:rsidRPr="009563E7">
        <w:rPr>
          <w:rFonts w:ascii="Verdana" w:eastAsia="Calibri" w:hAnsi="Verdana" w:cs="Arial"/>
          <w:szCs w:val="24"/>
          <w:lang w:eastAsia="es-ES_tradnl"/>
        </w:rPr>
        <w:t>al dignatario representante legal para transportes regulado en el literal c) del artículo 39 de la Ley 2166 de 2022</w:t>
      </w:r>
      <w:r w:rsidRPr="009563E7">
        <w:rPr>
          <w:rFonts w:ascii="Verdana" w:eastAsia="Calibri" w:hAnsi="Verdana" w:cs="Arial"/>
          <w:szCs w:val="24"/>
          <w:vertAlign w:val="superscript"/>
          <w:lang w:eastAsia="es-ES_tradnl"/>
        </w:rPr>
        <w:footnoteReference w:id="19"/>
      </w:r>
      <w:r w:rsidRPr="009563E7">
        <w:rPr>
          <w:rFonts w:ascii="Verdana" w:eastAsia="Calibri" w:hAnsi="Verdana" w:cs="Arial"/>
          <w:szCs w:val="24"/>
          <w:lang w:eastAsia="es-ES_tradnl"/>
        </w:rPr>
        <w:t>; vi) Las entidades deben disponer de personal técnico y administrativo-contable para apoyar y supervisar a los Organismos de Acción Comunal durante la ejecución de las obras. El costo que se genera para garantizar este personal de apoyo es independiente a los comprendidos dentro del valor del Convenio Solidario.</w:t>
      </w:r>
    </w:p>
    <w:p w14:paraId="0A6E4BD9" w14:textId="77777777" w:rsidR="00EF750F" w:rsidRPr="009563E7" w:rsidRDefault="00EF750F" w:rsidP="00EF750F">
      <w:pPr>
        <w:spacing w:after="120" w:line="276" w:lineRule="auto"/>
        <w:ind w:firstLine="709"/>
        <w:jc w:val="both"/>
        <w:rPr>
          <w:rFonts w:ascii="Verdana" w:eastAsia="Calibri" w:hAnsi="Verdana" w:cs="Arial"/>
          <w:bCs/>
          <w:szCs w:val="24"/>
          <w:lang w:val="es-ES" w:eastAsia="es-ES_tradnl"/>
        </w:rPr>
      </w:pPr>
      <w:r w:rsidRPr="009563E7">
        <w:rPr>
          <w:rFonts w:ascii="Verdana" w:eastAsia="Calibri" w:hAnsi="Verdana" w:cs="Arial"/>
          <w:szCs w:val="24"/>
          <w:lang w:eastAsia="es-ES_tradnl"/>
        </w:rPr>
        <w:lastRenderedPageBreak/>
        <w:t xml:space="preserve">b. </w:t>
      </w:r>
      <w:r w:rsidRPr="009563E7">
        <w:rPr>
          <w:rFonts w:ascii="Verdana" w:eastAsia="Calibri" w:hAnsi="Verdana" w:cs="Arial"/>
          <w:i/>
          <w:szCs w:val="24"/>
          <w:lang w:eastAsia="es-ES_tradnl"/>
        </w:rPr>
        <w:t>Segundo régimen</w:t>
      </w:r>
      <w:r w:rsidRPr="009563E7">
        <w:rPr>
          <w:rFonts w:ascii="Verdana" w:eastAsia="Calibri" w:hAnsi="Verdana" w:cs="Arial"/>
          <w:szCs w:val="24"/>
          <w:lang w:eastAsia="es-ES_tradnl"/>
        </w:rPr>
        <w:t xml:space="preserve">. Dicho sistema normativo está previsto en el Decreto 092 de 2017, con excepción a lo prescrito </w:t>
      </w:r>
      <w:r w:rsidRPr="009563E7">
        <w:rPr>
          <w:rFonts w:ascii="Verdana" w:eastAsia="Calibri" w:hAnsi="Verdana" w:cs="Arial"/>
          <w:szCs w:val="24"/>
          <w:lang w:val="es-ES" w:eastAsia="es-ES_tradnl"/>
        </w:rPr>
        <w:t>en su artículo 5</w:t>
      </w:r>
      <w:r w:rsidRPr="009563E7">
        <w:rPr>
          <w:rFonts w:ascii="Verdana" w:eastAsia="Calibri" w:hAnsi="Verdana" w:cs="Arial"/>
          <w:bCs/>
          <w:szCs w:val="24"/>
          <w:lang w:val="es-ES" w:eastAsia="es-ES_tradnl"/>
        </w:rPr>
        <w:t xml:space="preserve">, que </w:t>
      </w:r>
      <w:r w:rsidRPr="009563E7">
        <w:rPr>
          <w:rFonts w:ascii="Verdana" w:eastAsia="Calibri" w:hAnsi="Verdana" w:cs="Arial"/>
          <w:szCs w:val="24"/>
          <w:lang w:val="es-ES" w:eastAsia="es-ES_tradnl"/>
        </w:rPr>
        <w:t>reglamenta otro tipo contractual, como son los convenios de asociación. Este Decreto reguló, en términos generales, la contratación autorizada por el artículo 355 de la Constitución Política, la cual puede manifestarse mediante convenios solidarios, en atención a lo prescrito en el numeral 16 y el parágrafo tercero del artículo 3 de la Ley 136 de 1994.</w:t>
      </w:r>
      <w:r w:rsidRPr="009563E7">
        <w:rPr>
          <w:rFonts w:ascii="Verdana" w:eastAsia="Calibri" w:hAnsi="Verdana" w:cs="Arial"/>
          <w:bCs/>
          <w:szCs w:val="24"/>
          <w:lang w:val="es-ES" w:eastAsia="es-ES_tradnl"/>
        </w:rPr>
        <w:t xml:space="preserve"> Ahora bien, para celebrar los convenios solidarios de este régimen se requiere: i) los sujetos deben ser, de un lado, municipios y distritos y, de otro, </w:t>
      </w:r>
      <w:r w:rsidRPr="009563E7">
        <w:rPr>
          <w:rFonts w:ascii="Verdana" w:eastAsia="Calibri" w:hAnsi="Verdana" w:cs="Arial"/>
          <w:bCs/>
          <w:szCs w:val="24"/>
          <w:lang w:eastAsia="es-ES_tradnl"/>
        </w:rPr>
        <w:t>los cabildos, las autoridades y organizaciones indígenas, los organismos de acción comunal y demás organizaciones civiles y asociaciones residentes en el territorio; ii</w:t>
      </w:r>
      <w:r w:rsidRPr="009563E7">
        <w:rPr>
          <w:rFonts w:ascii="Verdana" w:eastAsia="Calibri" w:hAnsi="Verdana" w:cs="Arial"/>
          <w:bCs/>
          <w:szCs w:val="24"/>
          <w:lang w:val="es-ES" w:eastAsia="es-ES_tradnl"/>
        </w:rPr>
        <w:t xml:space="preserve">) el </w:t>
      </w:r>
      <w:r w:rsidRPr="009563E7">
        <w:rPr>
          <w:rFonts w:ascii="Verdana" w:eastAsia="Calibri" w:hAnsi="Verdana" w:cs="Arial"/>
          <w:bCs/>
          <w:i/>
          <w:iCs/>
          <w:szCs w:val="24"/>
          <w:lang w:val="es-ES" w:eastAsia="es-ES_tradnl"/>
        </w:rPr>
        <w:t>objeto</w:t>
      </w:r>
      <w:r w:rsidRPr="009563E7">
        <w:rPr>
          <w:rFonts w:ascii="Verdana" w:eastAsia="Calibri" w:hAnsi="Verdana" w:cs="Arial"/>
          <w:bCs/>
          <w:szCs w:val="24"/>
          <w:lang w:val="es-ES" w:eastAsia="es-ES_tradnl"/>
        </w:rPr>
        <w:t xml:space="preserve"> debe centrarse programas y actividades de interés público acordes con el plan de desarrollo aplicable a la entidad municipio o distrito–; iii) el convenio, independiente de su cuantía, no puede implicar relaciones conmutativas, que impliquen contraprestaciones para la entidad del Estado, por tanto, por la naturaleza del convenio no es compatible que en dichos convenios emanen intereses onerosos; iv) la entidad no puede impartir instrucciones precisas para la ejecución del objeto convenido. En todo caso</w:t>
      </w:r>
      <w:r w:rsidRPr="009563E7">
        <w:rPr>
          <w:rFonts w:ascii="Verdana" w:eastAsia="Calibri" w:hAnsi="Verdana" w:cs="Arial"/>
          <w:bCs/>
          <w:szCs w:val="24"/>
          <w:lang w:eastAsia="es-ES_tradnl"/>
        </w:rPr>
        <w:t>, no establecer instrucciones precisas no significa que deje de realizar un seguimiento y control a la ejecución del convenio de colaboración.</w:t>
      </w:r>
      <w:r w:rsidRPr="009563E7">
        <w:rPr>
          <w:rFonts w:ascii="Verdana" w:eastAsia="Calibri" w:hAnsi="Verdana" w:cs="Arial"/>
          <w:bCs/>
          <w:szCs w:val="24"/>
          <w:lang w:val="es-ES" w:eastAsia="es-ES_tradnl"/>
        </w:rPr>
        <w:t xml:space="preserve"> Por último, se recuerda que cuando se cumplan los requisitos de este régimen, las entidades aplicarán en el proceso de planeación, selección y contratación el procedimiento previsto en el Decreto 092 de 2017 y, en lo no previsto en este, las normas previstas en el Estatuto General de Contratación de la Administración Pública -EGCAP-, según la remisión de los artículos 7 y 8 del Decreto. De esta manera, </w:t>
      </w:r>
      <w:r w:rsidRPr="009563E7">
        <w:rPr>
          <w:rFonts w:ascii="Verdana" w:eastAsia="Calibri" w:hAnsi="Verdana" w:cs="Arial"/>
          <w:bCs/>
          <w:szCs w:val="24"/>
          <w:lang w:eastAsia="es-ES_tradnl"/>
        </w:rPr>
        <w:t xml:space="preserve">para la celebración de convenios de acuerdo con este régimen debe surtirse proceso de selección plural y competitiva, cuando en los estudios del sector se identifique que existen más organizaciones comunales que pueden ejecutar el objeto.  </w:t>
      </w:r>
    </w:p>
    <w:p w14:paraId="44607236" w14:textId="77777777" w:rsidR="00EF750F" w:rsidRPr="009563E7" w:rsidRDefault="00EF750F" w:rsidP="00EF750F">
      <w:pPr>
        <w:spacing w:after="120" w:line="276" w:lineRule="auto"/>
        <w:ind w:firstLine="709"/>
        <w:jc w:val="both"/>
        <w:rPr>
          <w:rFonts w:ascii="Verdana" w:eastAsia="Calibri" w:hAnsi="Verdana" w:cs="Arial"/>
          <w:bCs/>
          <w:szCs w:val="24"/>
          <w:lang w:val="es-ES" w:eastAsia="es-ES_tradnl"/>
        </w:rPr>
      </w:pPr>
      <w:r w:rsidRPr="009563E7">
        <w:rPr>
          <w:rFonts w:ascii="Verdana" w:eastAsia="Calibri" w:hAnsi="Verdana" w:cs="Arial"/>
          <w:bCs/>
          <w:szCs w:val="24"/>
          <w:lang w:val="es-ES" w:eastAsia="es-ES_tradnl"/>
        </w:rPr>
        <w:lastRenderedPageBreak/>
        <w:t xml:space="preserve">c. </w:t>
      </w:r>
      <w:r w:rsidRPr="009563E7">
        <w:rPr>
          <w:rFonts w:ascii="Verdana" w:eastAsia="Calibri" w:hAnsi="Verdana" w:cs="Arial"/>
          <w:bCs/>
          <w:i/>
          <w:szCs w:val="24"/>
          <w:lang w:val="es-ES" w:eastAsia="es-ES_tradnl"/>
        </w:rPr>
        <w:t>Tercer régimen</w:t>
      </w:r>
      <w:r w:rsidRPr="009563E7">
        <w:rPr>
          <w:rFonts w:ascii="Verdana" w:eastAsia="Calibri" w:hAnsi="Verdana" w:cs="Arial"/>
          <w:bCs/>
          <w:szCs w:val="24"/>
          <w:lang w:val="es-ES" w:eastAsia="es-ES_tradnl"/>
        </w:rPr>
        <w:t>. Su régimen se fundamenta en el artículo 63 de la Ley 2166 de 2021</w:t>
      </w:r>
      <w:r w:rsidRPr="009563E7">
        <w:rPr>
          <w:rFonts w:ascii="Verdana" w:eastAsia="Calibri" w:hAnsi="Verdana" w:cs="Arial"/>
          <w:bCs/>
          <w:szCs w:val="24"/>
          <w:vertAlign w:val="superscript"/>
          <w:lang w:val="es-ES" w:eastAsia="es-ES_tradnl"/>
        </w:rPr>
        <w:footnoteReference w:id="20"/>
      </w:r>
      <w:r w:rsidRPr="009563E7">
        <w:rPr>
          <w:rFonts w:ascii="Verdana" w:eastAsia="Calibri" w:hAnsi="Verdana" w:cs="Arial"/>
          <w:bCs/>
          <w:szCs w:val="24"/>
          <w:lang w:val="es-ES" w:eastAsia="es-ES_tradnl"/>
        </w:rPr>
        <w:t xml:space="preserve"> y el artículo 141 de la Ley 136 de 1994</w:t>
      </w:r>
      <w:r w:rsidRPr="009563E7">
        <w:rPr>
          <w:rFonts w:ascii="Verdana" w:eastAsia="Calibri" w:hAnsi="Verdana" w:cs="Arial"/>
          <w:bCs/>
          <w:szCs w:val="24"/>
          <w:vertAlign w:val="superscript"/>
          <w:lang w:val="es-ES" w:eastAsia="es-ES_tradnl"/>
        </w:rPr>
        <w:footnoteReference w:id="21"/>
      </w:r>
      <w:r w:rsidRPr="009563E7">
        <w:rPr>
          <w:rFonts w:ascii="Verdana" w:eastAsia="Calibri" w:hAnsi="Verdana" w:cs="Arial"/>
          <w:bCs/>
          <w:szCs w:val="24"/>
          <w:lang w:val="es-ES" w:eastAsia="es-ES_tradnl"/>
        </w:rPr>
        <w:t xml:space="preserve">. En efecto, el parágrafo 2 del artículo 63 </w:t>
      </w:r>
      <w:r w:rsidRPr="009563E7">
        <w:rPr>
          <w:rFonts w:ascii="Verdana" w:eastAsia="Calibri" w:hAnsi="Verdana" w:cs="Arial"/>
          <w:bCs/>
          <w:i/>
          <w:iCs/>
          <w:szCs w:val="24"/>
          <w:lang w:val="es-ES" w:eastAsia="es-ES_tradnl"/>
        </w:rPr>
        <w:t xml:space="preserve">ibidem </w:t>
      </w:r>
      <w:r w:rsidRPr="009563E7">
        <w:rPr>
          <w:rFonts w:ascii="Verdana" w:eastAsia="Calibri" w:hAnsi="Verdana" w:cs="Arial"/>
          <w:bCs/>
          <w:szCs w:val="24"/>
          <w:lang w:val="es-ES" w:eastAsia="es-ES_tradnl"/>
        </w:rPr>
        <w:t xml:space="preserve">permite la celebración de convenios solidarios con </w:t>
      </w:r>
      <w:r w:rsidRPr="009563E7">
        <w:rPr>
          <w:rFonts w:ascii="Verdana" w:eastAsia="Calibri" w:hAnsi="Verdana" w:cs="Arial"/>
          <w:bCs/>
          <w:szCs w:val="24"/>
          <w:lang w:eastAsia="es-ES_tradnl"/>
        </w:rPr>
        <w:t xml:space="preserve">organismos de acción comunal con el fin de que estos se vinculen al desarrollo y mejoramiento municipal mediante: i) su participación en el ejercicio de sus funciones, ii) la prestación de bienes y servicios o iii) la ejecución de obras públicas a cargo de la administración central o descentralizada. Así mismo, las entidades del orden nacional, departamental, distrital, local y municipal y los organismos de acción comunal podrán ejecutar los proyectos incluidos en el respectivo Plan Nacional de Desarrollo o para la ejecución de los proyectos derivados del Acuerdo Final de Paz, como lo son, los Programas de Desarrollo con Enfoque territorial o los Planes de Acción para la Transformación Regional (PATR) o la Hoja de Ruta Única de que trata el artículo 281 de la Ley 1955 de 2019. No obstante, este artículo fue derogado por el artículo 372 de la Ley 2294 de 2023. </w:t>
      </w:r>
    </w:p>
    <w:p w14:paraId="430A6C2A" w14:textId="77777777" w:rsidR="00EF750F" w:rsidRPr="009563E7" w:rsidRDefault="00EF750F" w:rsidP="00EF750F">
      <w:pPr>
        <w:spacing w:after="120" w:line="276" w:lineRule="auto"/>
        <w:ind w:firstLine="709"/>
        <w:jc w:val="both"/>
        <w:rPr>
          <w:rFonts w:ascii="Verdana" w:eastAsia="Calibri" w:hAnsi="Verdana" w:cs="Arial"/>
          <w:bCs/>
          <w:szCs w:val="24"/>
          <w:lang w:val="es-ES" w:eastAsia="es-ES_tradnl"/>
        </w:rPr>
      </w:pPr>
      <w:r w:rsidRPr="009563E7">
        <w:rPr>
          <w:rFonts w:ascii="Verdana" w:eastAsia="Calibri" w:hAnsi="Verdana" w:cs="Arial"/>
          <w:bCs/>
          <w:szCs w:val="24"/>
          <w:lang w:eastAsia="es-ES_tradnl"/>
        </w:rPr>
        <w:t>Este régimen cumple las siguientes condiciones:</w:t>
      </w:r>
      <w:r w:rsidRPr="009563E7">
        <w:rPr>
          <w:rFonts w:ascii="Verdana" w:eastAsia="Calibri" w:hAnsi="Verdana" w:cs="Arial"/>
          <w:bCs/>
          <w:szCs w:val="24"/>
          <w:lang w:val="es-ES" w:eastAsia="es-ES_tradnl"/>
        </w:rPr>
        <w:t xml:space="preserve"> i) se trata de entidades del orden municipal</w:t>
      </w:r>
      <w:r w:rsidRPr="009563E7">
        <w:rPr>
          <w:rFonts w:ascii="Verdana" w:eastAsia="Calibri" w:hAnsi="Verdana" w:cs="Arial"/>
          <w:szCs w:val="24"/>
          <w:lang w:val="es-ES" w:eastAsia="es-ES_tradnl"/>
        </w:rPr>
        <w:t>,</w:t>
      </w:r>
      <w:r w:rsidRPr="009563E7">
        <w:rPr>
          <w:rFonts w:ascii="Verdana" w:eastAsia="Calibri" w:hAnsi="Verdana" w:cs="Arial"/>
          <w:bCs/>
          <w:szCs w:val="24"/>
          <w:lang w:val="es-ES" w:eastAsia="es-ES_tradnl"/>
        </w:rPr>
        <w:t xml:space="preserve"> distrital</w:t>
      </w:r>
      <w:r w:rsidRPr="009563E7">
        <w:rPr>
          <w:rFonts w:ascii="Verdana" w:eastAsia="Calibri" w:hAnsi="Verdana" w:cs="Arial"/>
          <w:szCs w:val="24"/>
          <w:lang w:val="es-ES" w:eastAsia="es-ES_tradnl"/>
        </w:rPr>
        <w:t>, o nacional,</w:t>
      </w:r>
      <w:r w:rsidRPr="009563E7">
        <w:rPr>
          <w:rFonts w:ascii="Verdana" w:eastAsia="Calibri" w:hAnsi="Verdana" w:cs="Arial"/>
          <w:bCs/>
          <w:szCs w:val="24"/>
          <w:lang w:val="es-ES" w:eastAsia="es-ES_tradnl"/>
        </w:rPr>
        <w:t xml:space="preserve"> y por otro, los organismos comunales, de acuerdo con lo dispuesto en el artículo 63 de la Ley 2166 de 2021 y artículo 141 de la Ley 136 de 1994; ii) el </w:t>
      </w:r>
      <w:r w:rsidRPr="009563E7">
        <w:rPr>
          <w:rFonts w:ascii="Verdana" w:eastAsia="Calibri" w:hAnsi="Verdana" w:cs="Arial"/>
          <w:bCs/>
          <w:i/>
          <w:iCs/>
          <w:szCs w:val="24"/>
          <w:lang w:val="es-ES" w:eastAsia="es-ES_tradnl"/>
        </w:rPr>
        <w:t>objeto</w:t>
      </w:r>
      <w:r w:rsidRPr="009563E7">
        <w:rPr>
          <w:rFonts w:ascii="Verdana" w:eastAsia="Calibri" w:hAnsi="Verdana" w:cs="Arial"/>
          <w:bCs/>
          <w:szCs w:val="24"/>
          <w:lang w:val="es-ES" w:eastAsia="es-ES_tradnl"/>
        </w:rPr>
        <w:t xml:space="preserve"> tiene como fin </w:t>
      </w:r>
      <w:r w:rsidRPr="009563E7">
        <w:rPr>
          <w:rFonts w:ascii="Verdana" w:eastAsia="Calibri" w:hAnsi="Verdana" w:cs="Arial"/>
          <w:bCs/>
          <w:szCs w:val="24"/>
          <w:lang w:eastAsia="es-ES_tradnl"/>
        </w:rPr>
        <w:t>la prestación de bienes y servicios o la ejecución de obras públicas cargo de la administración central o descentralizada, cuyos organismos comunales podrán vincularse al desarrollo y mejoramiento municipal, mediante su participación en el ejercicio de sus funciones; iii) en torno</w:t>
      </w:r>
      <w:r w:rsidRPr="009563E7">
        <w:rPr>
          <w:rFonts w:ascii="Verdana" w:eastAsia="Calibri" w:hAnsi="Verdana" w:cs="Arial"/>
          <w:bCs/>
          <w:szCs w:val="24"/>
          <w:lang w:val="es-ES" w:eastAsia="es-ES_tradnl"/>
        </w:rPr>
        <w:t xml:space="preserve"> a sus objetivos</w:t>
      </w:r>
      <w:r w:rsidRPr="009563E7">
        <w:rPr>
          <w:rFonts w:ascii="Verdana" w:eastAsia="Calibri" w:hAnsi="Verdana" w:cs="Arial"/>
          <w:bCs/>
          <w:szCs w:val="24"/>
          <w:lang w:eastAsia="es-ES_tradnl"/>
        </w:rPr>
        <w:t xml:space="preserve">, las entidades del orden nacional, </w:t>
      </w:r>
      <w:r w:rsidRPr="009563E7">
        <w:rPr>
          <w:rFonts w:ascii="Verdana" w:eastAsia="Calibri" w:hAnsi="Verdana" w:cs="Arial"/>
          <w:bCs/>
          <w:szCs w:val="24"/>
          <w:lang w:eastAsia="es-ES_tradnl"/>
        </w:rPr>
        <w:lastRenderedPageBreak/>
        <w:t>departamental, distrital, local y municipal y los organismos de acción comunal podrán ejecutar los proyectos incluidos en el respectivo Plan Nacional de Desarrollo; iv</w:t>
      </w:r>
      <w:r w:rsidRPr="009563E7">
        <w:rPr>
          <w:rFonts w:ascii="Verdana" w:eastAsia="Calibri" w:hAnsi="Verdana" w:cs="Arial"/>
          <w:bCs/>
          <w:szCs w:val="24"/>
          <w:lang w:val="es-ES" w:eastAsia="es-ES_tradnl"/>
        </w:rPr>
        <w:t xml:space="preserve">) en referencia a la cuantía, se precisa que el parágrafo primero del artículo 63 de la Ley 2166 de 2021 dispone que </w:t>
      </w:r>
      <w:r w:rsidRPr="009563E7">
        <w:rPr>
          <w:rFonts w:ascii="Verdana" w:eastAsia="Calibri" w:hAnsi="Verdana" w:cs="Arial"/>
          <w:bCs/>
          <w:szCs w:val="24"/>
          <w:lang w:eastAsia="es-ES_tradnl"/>
        </w:rPr>
        <w:t xml:space="preserve">los organismos de acción comunal podrán contratar con las entidades territoriales hasta por la menor cuantía de dicha entidad de conformidad con la ley. </w:t>
      </w:r>
    </w:p>
    <w:p w14:paraId="01E46C57" w14:textId="77777777" w:rsidR="00EF750F" w:rsidRDefault="00EF750F" w:rsidP="00EF750F">
      <w:pPr>
        <w:spacing w:after="120" w:line="276" w:lineRule="auto"/>
        <w:ind w:firstLine="709"/>
        <w:jc w:val="both"/>
        <w:rPr>
          <w:rFonts w:ascii="Verdana" w:eastAsia="Calibri" w:hAnsi="Verdana" w:cs="Arial"/>
          <w:szCs w:val="24"/>
          <w:lang w:val="es-ES" w:eastAsia="es-ES_tradnl"/>
        </w:rPr>
      </w:pPr>
      <w:r w:rsidRPr="009563E7">
        <w:rPr>
          <w:rFonts w:ascii="Verdana" w:eastAsia="Calibri" w:hAnsi="Verdana" w:cs="Arial"/>
          <w:bCs/>
          <w:szCs w:val="24"/>
          <w:lang w:val="es-ES" w:eastAsia="es-ES_tradnl"/>
        </w:rPr>
        <w:t xml:space="preserve">De este régimen se resalta para la suscripción de dichos convenios el inciso primero del artículo 63 remita al </w:t>
      </w:r>
      <w:r w:rsidRPr="009563E7">
        <w:rPr>
          <w:rFonts w:ascii="Verdana" w:eastAsia="Calibri" w:hAnsi="Verdana" w:cs="Arial"/>
          <w:szCs w:val="24"/>
          <w:lang w:eastAsia="es-ES_tradnl"/>
        </w:rPr>
        <w:t xml:space="preserve">artículo 141 de la Ley 136 de 1994, en virtud del cual </w:t>
      </w:r>
      <w:r w:rsidRPr="009563E7">
        <w:rPr>
          <w:rFonts w:ascii="Verdana" w:eastAsia="Calibri" w:hAnsi="Verdana" w:cs="Arial"/>
          <w:szCs w:val="24"/>
          <w:lang w:val="es-ES_tradnl" w:eastAsia="es-ES_tradnl"/>
        </w:rPr>
        <w:t>“</w:t>
      </w:r>
      <w:r w:rsidRPr="009563E7">
        <w:rPr>
          <w:rFonts w:ascii="Verdana" w:eastAsia="Calibri" w:hAnsi="Verdana" w:cs="Arial"/>
          <w:szCs w:val="24"/>
          <w:lang w:eastAsia="es-ES_tradnl"/>
        </w:rPr>
        <w:t>Los contratos o convenios que se celebren en desarrollo del artículo anterior, se sujetarán a lo dispuesto por los artículos 375 al 378 del Decreto 1333 de 1986 y la Ley 80 de 1993</w:t>
      </w:r>
      <w:r w:rsidRPr="009563E7">
        <w:rPr>
          <w:rFonts w:ascii="Verdana" w:eastAsia="Calibri" w:hAnsi="Verdana" w:cs="Arial"/>
          <w:szCs w:val="24"/>
          <w:lang w:val="es-ES_tradnl" w:eastAsia="es-ES_tradnl"/>
        </w:rPr>
        <w:t>”</w:t>
      </w:r>
      <w:r w:rsidRPr="009563E7">
        <w:rPr>
          <w:rFonts w:ascii="Verdana" w:eastAsia="Calibri" w:hAnsi="Verdana" w:cs="Arial"/>
          <w:szCs w:val="24"/>
          <w:lang w:eastAsia="es-ES_tradnl"/>
        </w:rPr>
        <w:t>.</w:t>
      </w:r>
      <w:r w:rsidRPr="009563E7">
        <w:rPr>
          <w:rFonts w:ascii="Verdana" w:eastAsia="Calibri" w:hAnsi="Verdana" w:cs="Arial"/>
          <w:szCs w:val="24"/>
          <w:lang w:val="es-ES" w:eastAsia="es-ES_tradnl"/>
        </w:rPr>
        <w:t xml:space="preserve"> Sin embargo, que, en el evento, en que el objeto del convenio sea solo la ejecución una obra por parte de la organización comunal, sin superar el monto de la menor cuantía, la entidad puede aplicar el régimen previsto en el artículo 95 de la Ley 2166 de 2021, con el cumplimiento de los presupuestos contemplados en dicho régimen. </w:t>
      </w:r>
    </w:p>
    <w:p w14:paraId="331CFA5B" w14:textId="77777777" w:rsidR="00EF750F" w:rsidRDefault="00EF750F" w:rsidP="00EF750F">
      <w:pPr>
        <w:spacing w:after="120" w:line="276" w:lineRule="auto"/>
        <w:ind w:firstLine="709"/>
        <w:jc w:val="both"/>
        <w:rPr>
          <w:rFonts w:ascii="Verdana" w:eastAsia="Century Gothic" w:hAnsi="Verdana" w:cs="Century Gothic"/>
          <w:bCs/>
          <w:lang w:val="es-ES_tradnl"/>
        </w:rPr>
      </w:pPr>
      <w:r>
        <w:rPr>
          <w:rFonts w:ascii="Verdana" w:eastAsia="Calibri" w:hAnsi="Verdana" w:cs="Arial"/>
          <w:szCs w:val="24"/>
          <w:lang w:val="es-ES" w:eastAsia="es-ES_tradnl"/>
        </w:rPr>
        <w:t xml:space="preserve">A partir de lo explicado, le corresponde a la Entidad determinar cuál es el régimen más acorde al objeto del convenio solidario que pretende suscribirse. </w:t>
      </w:r>
      <w:r w:rsidRPr="00F81FE2">
        <w:rPr>
          <w:rFonts w:ascii="Verdana" w:eastAsia="Century Gothic" w:hAnsi="Verdana" w:cs="Century Gothic"/>
          <w:lang w:val="es-MX"/>
        </w:rPr>
        <w:t>En este sentido, adquiere relevancia la</w:t>
      </w:r>
      <w:r w:rsidRPr="00F81FE2">
        <w:rPr>
          <w:rFonts w:ascii="Verdana" w:eastAsia="Century Gothic" w:hAnsi="Verdana" w:cs="Century Gothic"/>
          <w:bCs/>
          <w:lang w:val="es-ES_tradnl"/>
        </w:rPr>
        <w:t xml:space="preserve"> planeación contractual como una herramienta de gerencia pública, que exige estructurar el proceso contractual dedicando tiempo y esfuerzos para elaborar estudios previos, con el fin de determinar la necesidad que pretende satisfacer la entidad estatal y cuál es la mejor manera de hacerlo, consultand</w:t>
      </w:r>
      <w:r>
        <w:rPr>
          <w:rFonts w:ascii="Verdana" w:eastAsia="Century Gothic" w:hAnsi="Verdana" w:cs="Century Gothic"/>
          <w:bCs/>
          <w:lang w:val="es-ES_tradnl"/>
        </w:rPr>
        <w:t xml:space="preserve">o el tipo de bienes y servicios que pretende adquirirse. </w:t>
      </w:r>
    </w:p>
    <w:p w14:paraId="79BD4A1A" w14:textId="77777777" w:rsidR="00EF750F" w:rsidRPr="0026138F" w:rsidRDefault="00EF750F" w:rsidP="00EF750F">
      <w:pPr>
        <w:spacing w:after="120" w:line="276" w:lineRule="auto"/>
        <w:ind w:right="51"/>
        <w:jc w:val="both"/>
        <w:rPr>
          <w:rFonts w:ascii="Verdana" w:eastAsia="Calibri" w:hAnsi="Verdana" w:cs="Arial"/>
          <w:bCs/>
          <w:lang w:val="es-ES_tradnl"/>
        </w:rPr>
      </w:pPr>
    </w:p>
    <w:p w14:paraId="6DD0BE81" w14:textId="77777777" w:rsidR="00EF750F" w:rsidRPr="0026138F" w:rsidRDefault="00EF750F" w:rsidP="00EF750F">
      <w:pPr>
        <w:tabs>
          <w:tab w:val="left" w:pos="709"/>
        </w:tabs>
        <w:spacing w:after="0" w:line="276" w:lineRule="auto"/>
        <w:jc w:val="both"/>
        <w:rPr>
          <w:rFonts w:ascii="Verdana" w:eastAsia="Calibri" w:hAnsi="Verdana" w:cs="Arial"/>
          <w:lang w:val="es-ES" w:eastAsia="es-ES"/>
        </w:rPr>
      </w:pPr>
      <w:r w:rsidRPr="0026138F">
        <w:rPr>
          <w:rFonts w:ascii="Verdana" w:eastAsia="Calibri" w:hAnsi="Verdana" w:cs="Arial"/>
          <w:lang w:eastAsia="es-ES"/>
        </w:rPr>
        <w:tab/>
      </w:r>
      <w:r w:rsidRPr="0026138F">
        <w:rPr>
          <w:rFonts w:ascii="Verdana" w:eastAsia="Calibri" w:hAnsi="Verdana" w:cs="Arial"/>
          <w:bCs/>
        </w:rPr>
        <w:t xml:space="preserve">Al margen de la explicación precedente debe advertirse que </w:t>
      </w:r>
      <w:r w:rsidRPr="0026138F">
        <w:rPr>
          <w:rStyle w:val="s15"/>
          <w:rFonts w:ascii="Verdana" w:hAnsi="Verdana"/>
        </w:rPr>
        <w:t>el análisis requerido para resolver problemas específicos en torno a la gestión contractual debe ser realizado por quienes tengan interés en ello, de acuerdo con lo explicado la aclaración preliminar del presente oficio</w:t>
      </w:r>
      <w:r w:rsidRPr="0026138F">
        <w:rPr>
          <w:rFonts w:ascii="Verdana" w:eastAsia="Calibri" w:hAnsi="Verdana" w:cs="Arial"/>
          <w:bCs/>
        </w:rPr>
        <w:t>.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7C294CD3" w14:textId="77777777" w:rsidR="00EF750F" w:rsidRPr="00CD496A" w:rsidRDefault="00EF750F" w:rsidP="00EF750F">
      <w:pPr>
        <w:spacing w:after="0" w:line="276" w:lineRule="auto"/>
        <w:jc w:val="both"/>
        <w:rPr>
          <w:rFonts w:ascii="Verdana" w:eastAsia="Calibri" w:hAnsi="Verdana" w:cs="Arial"/>
          <w:bCs/>
        </w:rPr>
      </w:pPr>
    </w:p>
    <w:bookmarkEnd w:id="3"/>
    <w:bookmarkEnd w:id="4"/>
    <w:p w14:paraId="5775457E" w14:textId="77777777" w:rsidR="00EF750F" w:rsidRPr="006733BD" w:rsidRDefault="00EF750F" w:rsidP="00EF750F">
      <w:pPr>
        <w:spacing w:after="120" w:line="276" w:lineRule="auto"/>
        <w:jc w:val="both"/>
        <w:rPr>
          <w:rFonts w:ascii="Verdana" w:eastAsia="Century Gothic" w:hAnsi="Verdana" w:cs="Century Gothic"/>
          <w:b/>
          <w:color w:val="ED7D31" w:themeColor="accent2"/>
          <w:lang w:val="es-ES"/>
        </w:rPr>
      </w:pPr>
      <w:r w:rsidRPr="00CD496A">
        <w:rPr>
          <w:rFonts w:ascii="Verdana" w:eastAsia="Century Gothic" w:hAnsi="Verdana" w:cs="Century Gothic"/>
          <w:b/>
          <w:lang w:val="es-ES"/>
        </w:rPr>
        <w:lastRenderedPageBreak/>
        <w:t>4. 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F750F" w:rsidRPr="006733BD" w14:paraId="5FC66596" w14:textId="77777777" w:rsidTr="0068055E">
        <w:trPr>
          <w:trHeight w:val="870"/>
        </w:trPr>
        <w:tc>
          <w:tcPr>
            <w:tcW w:w="8647" w:type="dxa"/>
          </w:tcPr>
          <w:p w14:paraId="48F7E2F1" w14:textId="77777777" w:rsidR="00EF750F" w:rsidRDefault="00EF750F" w:rsidP="0068055E">
            <w:pPr>
              <w:pStyle w:val="Prrafodelista"/>
              <w:numPr>
                <w:ilvl w:val="0"/>
                <w:numId w:val="16"/>
              </w:numPr>
              <w:spacing w:line="276" w:lineRule="auto"/>
              <w:rPr>
                <w:rFonts w:ascii="Verdana" w:eastAsia="Aptos" w:hAnsi="Verdana" w:cs="Arial"/>
                <w:lang w:val="es-CO"/>
              </w:rPr>
            </w:pPr>
            <w:r w:rsidRPr="00490388">
              <w:rPr>
                <w:rFonts w:ascii="Verdana" w:eastAsia="Aptos" w:hAnsi="Verdana" w:cs="Arial"/>
                <w:lang w:val="es-CO"/>
              </w:rPr>
              <w:t>Constitución Política de Colombia 1991, artículos 38, 209 y 355</w:t>
            </w:r>
            <w:r>
              <w:rPr>
                <w:rFonts w:ascii="Verdana" w:eastAsia="Aptos" w:hAnsi="Verdana" w:cs="Arial"/>
                <w:lang w:val="es-CO"/>
              </w:rPr>
              <w:t>.</w:t>
            </w:r>
          </w:p>
          <w:p w14:paraId="68CA0E2A" w14:textId="77777777" w:rsidR="00EF750F" w:rsidRPr="00F40AF0" w:rsidRDefault="00EF750F" w:rsidP="0068055E">
            <w:pPr>
              <w:pStyle w:val="Prrafodelista"/>
              <w:numPr>
                <w:ilvl w:val="0"/>
                <w:numId w:val="16"/>
              </w:numPr>
              <w:spacing w:line="276" w:lineRule="auto"/>
              <w:rPr>
                <w:rFonts w:ascii="Verdana" w:eastAsia="Aptos" w:hAnsi="Verdana" w:cs="Arial"/>
                <w:lang w:val="es-CO"/>
              </w:rPr>
            </w:pPr>
            <w:r w:rsidRPr="00F40AF0">
              <w:rPr>
                <w:rFonts w:ascii="Verdana" w:hAnsi="Verdana" w:cs="Arial"/>
              </w:rPr>
              <w:t xml:space="preserve">Ley 136 de 1994, artículos 3 y 141. </w:t>
            </w:r>
          </w:p>
          <w:p w14:paraId="2A8E6090" w14:textId="77777777" w:rsidR="00EF750F" w:rsidRPr="007708BF" w:rsidRDefault="00EF750F" w:rsidP="0068055E">
            <w:pPr>
              <w:widowControl w:val="0"/>
              <w:numPr>
                <w:ilvl w:val="0"/>
                <w:numId w:val="16"/>
              </w:numPr>
              <w:autoSpaceDE w:val="0"/>
              <w:autoSpaceDN w:val="0"/>
              <w:spacing w:line="276" w:lineRule="auto"/>
              <w:contextualSpacing/>
              <w:jc w:val="both"/>
              <w:rPr>
                <w:rFonts w:ascii="Verdana" w:eastAsia="Aptos" w:hAnsi="Verdana" w:cs="Arial"/>
              </w:rPr>
            </w:pPr>
            <w:r w:rsidRPr="007708BF">
              <w:rPr>
                <w:rFonts w:ascii="Verdana" w:eastAsia="Calibri" w:hAnsi="Verdana" w:cs="Arial"/>
                <w:lang w:val="es-ES"/>
              </w:rPr>
              <w:t>Ley 1150 de 2007. Artículos 5 y 6.</w:t>
            </w:r>
          </w:p>
          <w:p w14:paraId="331B3F18" w14:textId="77777777" w:rsidR="00EF750F" w:rsidRPr="007708BF" w:rsidRDefault="00EF750F" w:rsidP="0068055E">
            <w:pPr>
              <w:widowControl w:val="0"/>
              <w:numPr>
                <w:ilvl w:val="0"/>
                <w:numId w:val="16"/>
              </w:numPr>
              <w:autoSpaceDE w:val="0"/>
              <w:autoSpaceDN w:val="0"/>
              <w:spacing w:line="276" w:lineRule="auto"/>
              <w:contextualSpacing/>
              <w:jc w:val="both"/>
              <w:rPr>
                <w:rFonts w:ascii="Verdana" w:eastAsia="Aptos" w:hAnsi="Verdana" w:cs="Arial"/>
              </w:rPr>
            </w:pPr>
            <w:r w:rsidRPr="007708BF">
              <w:rPr>
                <w:rFonts w:ascii="Verdana" w:eastAsia="Calibri" w:hAnsi="Verdana" w:cs="Arial"/>
                <w:lang w:val="es-ES"/>
              </w:rPr>
              <w:t>Ley 1437 de 2011. Artículo 44</w:t>
            </w:r>
            <w:r>
              <w:rPr>
                <w:rFonts w:ascii="Verdana" w:eastAsia="Calibri" w:hAnsi="Verdana" w:cs="Arial"/>
                <w:lang w:val="es-ES"/>
              </w:rPr>
              <w:t>.</w:t>
            </w:r>
          </w:p>
          <w:p w14:paraId="375039D6" w14:textId="77777777" w:rsidR="00EF750F" w:rsidRPr="009126C5" w:rsidRDefault="00EF750F" w:rsidP="0068055E">
            <w:pPr>
              <w:widowControl w:val="0"/>
              <w:numPr>
                <w:ilvl w:val="0"/>
                <w:numId w:val="16"/>
              </w:numPr>
              <w:autoSpaceDE w:val="0"/>
              <w:autoSpaceDN w:val="0"/>
              <w:spacing w:line="276" w:lineRule="auto"/>
              <w:contextualSpacing/>
              <w:jc w:val="both"/>
              <w:rPr>
                <w:rFonts w:ascii="Verdana" w:eastAsia="Aptos" w:hAnsi="Verdana" w:cs="Arial"/>
              </w:rPr>
            </w:pPr>
            <w:r w:rsidRPr="007708BF">
              <w:rPr>
                <w:rFonts w:ascii="Verdana" w:eastAsia="Calibri" w:hAnsi="Verdana" w:cs="Arial"/>
                <w:lang w:val="es-ES"/>
              </w:rPr>
              <w:t xml:space="preserve">Ley 2166 de 2021. Artículo </w:t>
            </w:r>
            <w:r>
              <w:rPr>
                <w:rFonts w:ascii="Verdana" w:eastAsia="Calibri" w:hAnsi="Verdana" w:cs="Arial"/>
                <w:lang w:val="es-ES"/>
              </w:rPr>
              <w:t xml:space="preserve">7 y </w:t>
            </w:r>
            <w:r w:rsidRPr="007708BF">
              <w:rPr>
                <w:rFonts w:ascii="Verdana" w:eastAsia="Calibri" w:hAnsi="Verdana" w:cs="Arial"/>
                <w:lang w:val="es-ES"/>
              </w:rPr>
              <w:t>95</w:t>
            </w:r>
            <w:r>
              <w:rPr>
                <w:rFonts w:ascii="Verdana" w:eastAsia="Calibri" w:hAnsi="Verdana" w:cs="Arial"/>
                <w:lang w:val="es-ES"/>
              </w:rPr>
              <w:t>.</w:t>
            </w:r>
          </w:p>
          <w:p w14:paraId="1BC79079" w14:textId="77777777" w:rsidR="00EF750F" w:rsidRPr="009126C5" w:rsidRDefault="00EF750F" w:rsidP="0068055E">
            <w:pPr>
              <w:widowControl w:val="0"/>
              <w:numPr>
                <w:ilvl w:val="0"/>
                <w:numId w:val="16"/>
              </w:numPr>
              <w:autoSpaceDE w:val="0"/>
              <w:autoSpaceDN w:val="0"/>
              <w:spacing w:line="276" w:lineRule="auto"/>
              <w:contextualSpacing/>
              <w:jc w:val="both"/>
              <w:rPr>
                <w:rFonts w:ascii="Verdana" w:eastAsia="Aptos" w:hAnsi="Verdana" w:cs="Arial"/>
              </w:rPr>
            </w:pPr>
            <w:r w:rsidRPr="009126C5">
              <w:rPr>
                <w:rFonts w:ascii="Verdana" w:hAnsi="Verdana" w:cs="Arial"/>
                <w:lang w:val="es-ES"/>
              </w:rPr>
              <w:t>Ley 2294 del 2023, artículo 372.</w:t>
            </w:r>
          </w:p>
          <w:p w14:paraId="51FE419B" w14:textId="77777777" w:rsidR="00EF750F" w:rsidRPr="00C34836" w:rsidRDefault="00EF750F" w:rsidP="0068055E">
            <w:pPr>
              <w:widowControl w:val="0"/>
              <w:numPr>
                <w:ilvl w:val="0"/>
                <w:numId w:val="16"/>
              </w:numPr>
              <w:autoSpaceDE w:val="0"/>
              <w:autoSpaceDN w:val="0"/>
              <w:spacing w:line="276" w:lineRule="auto"/>
              <w:contextualSpacing/>
              <w:jc w:val="both"/>
              <w:rPr>
                <w:rFonts w:ascii="Verdana" w:eastAsia="Aptos" w:hAnsi="Verdana" w:cs="Arial"/>
                <w:color w:val="EE0000"/>
              </w:rPr>
            </w:pPr>
            <w:r w:rsidRPr="007708BF">
              <w:rPr>
                <w:rFonts w:ascii="Verdana" w:eastAsia="Calibri" w:hAnsi="Verdana" w:cs="Arial"/>
                <w:lang w:val="es-ES"/>
              </w:rPr>
              <w:t xml:space="preserve">Decreto 1082 de 2015. Artículo </w:t>
            </w:r>
            <w:r w:rsidRPr="007708BF">
              <w:rPr>
                <w:rFonts w:ascii="Verdana" w:eastAsia="Times New Roman" w:hAnsi="Verdana" w:cs="Arial"/>
                <w:lang w:val="es-ES_tradnl" w:eastAsia="es-MX"/>
              </w:rPr>
              <w:t xml:space="preserve">2.2.1.1.1.6.2. </w:t>
            </w:r>
          </w:p>
          <w:p w14:paraId="2227B45F" w14:textId="77777777" w:rsidR="00EF750F" w:rsidRPr="00D90EDB" w:rsidRDefault="00EF750F" w:rsidP="0068055E">
            <w:pPr>
              <w:widowControl w:val="0"/>
              <w:numPr>
                <w:ilvl w:val="0"/>
                <w:numId w:val="16"/>
              </w:numPr>
              <w:autoSpaceDE w:val="0"/>
              <w:autoSpaceDN w:val="0"/>
              <w:spacing w:line="276" w:lineRule="auto"/>
              <w:contextualSpacing/>
              <w:jc w:val="both"/>
              <w:rPr>
                <w:rFonts w:ascii="Verdana" w:eastAsia="Aptos" w:hAnsi="Verdana" w:cs="Arial"/>
                <w:color w:val="EE0000"/>
                <w:sz w:val="32"/>
                <w:szCs w:val="32"/>
              </w:rPr>
            </w:pPr>
            <w:r w:rsidRPr="00D90EDB">
              <w:rPr>
                <w:rFonts w:ascii="Verdana" w:hAnsi="Verdana" w:cs="Arial"/>
                <w:lang w:eastAsia="es-CO"/>
              </w:rPr>
              <w:t>Consejo de Estado. Sección Tercera. Subsección A. Sentencia del 12 de febrero de 2014. Exp. 31.753. C.P. Mauricio Fajardo Gómez</w:t>
            </w:r>
            <w:r>
              <w:rPr>
                <w:rFonts w:ascii="Verdana" w:hAnsi="Verdana" w:cs="Arial"/>
                <w:lang w:eastAsia="es-CO"/>
              </w:rPr>
              <w:t>.</w:t>
            </w:r>
          </w:p>
          <w:p w14:paraId="683F6AEA" w14:textId="77777777" w:rsidR="00EF750F" w:rsidRPr="00294DD2" w:rsidRDefault="00EF750F" w:rsidP="0068055E">
            <w:pPr>
              <w:widowControl w:val="0"/>
              <w:numPr>
                <w:ilvl w:val="0"/>
                <w:numId w:val="16"/>
              </w:numPr>
              <w:autoSpaceDE w:val="0"/>
              <w:autoSpaceDN w:val="0"/>
              <w:spacing w:line="276" w:lineRule="auto"/>
              <w:contextualSpacing/>
              <w:jc w:val="both"/>
              <w:rPr>
                <w:rFonts w:ascii="Verdana" w:eastAsia="Aptos" w:hAnsi="Verdana" w:cs="Arial"/>
                <w:color w:val="EE0000"/>
              </w:rPr>
            </w:pPr>
            <w:r>
              <w:rPr>
                <w:rFonts w:ascii="Verdana" w:eastAsia="Times New Roman" w:hAnsi="Verdana" w:cs="Arial"/>
                <w:lang w:val="es-ES_tradnl" w:eastAsia="es-MX"/>
              </w:rPr>
              <w:t xml:space="preserve">Agencia Nacional de Contratación Pública – Colombia Compra Eficiente. </w:t>
            </w:r>
            <w:r w:rsidRPr="006402E7">
              <w:rPr>
                <w:rFonts w:ascii="Verdana" w:hAnsi="Verdana" w:cs="Arial"/>
              </w:rPr>
              <w:t xml:space="preserve">Manual para determinar los requisitos habilitantes en los procesos de contratación, 2023. Disponible: </w:t>
            </w:r>
            <w:hyperlink r:id="rId12" w:history="1">
              <w:r>
                <w:rPr>
                  <w:rStyle w:val="Hipervnculo"/>
                  <w:rFonts w:ascii="Verdana" w:hAnsi="Verdana" w:cs="Arial"/>
                </w:rPr>
                <w:t>Aquí</w:t>
              </w:r>
            </w:hyperlink>
          </w:p>
          <w:p w14:paraId="5B7CDA0F" w14:textId="11914842" w:rsidR="00EF750F" w:rsidRPr="006733BD" w:rsidRDefault="00EF750F" w:rsidP="006E698A">
            <w:pPr>
              <w:widowControl w:val="0"/>
              <w:numPr>
                <w:ilvl w:val="0"/>
                <w:numId w:val="16"/>
              </w:numPr>
              <w:autoSpaceDE w:val="0"/>
              <w:autoSpaceDN w:val="0"/>
              <w:spacing w:line="276" w:lineRule="auto"/>
              <w:contextualSpacing/>
              <w:jc w:val="both"/>
              <w:rPr>
                <w:rFonts w:ascii="Verdana" w:eastAsia="Arial MT" w:hAnsi="Verdana" w:cs="Arial"/>
                <w:color w:val="ED7D31" w:themeColor="accent2"/>
                <w:lang w:eastAsia="es-ES" w:bidi="es-ES"/>
              </w:rPr>
            </w:pPr>
            <w:r w:rsidRPr="009563E7">
              <w:rPr>
                <w:rFonts w:ascii="Verdana" w:hAnsi="Verdana"/>
                <w:bCs/>
                <w:color w:val="000000"/>
                <w:lang w:val="es-ES_tradnl" w:eastAsia="es-ES_tradnl" w:bidi="es-ES"/>
              </w:rPr>
              <w:t>Agencia Nacional de Contratación Pública –Colombia Compra Eficiente. Guía para la celebración de convenios solidarios</w:t>
            </w:r>
            <w:r>
              <w:rPr>
                <w:rFonts w:ascii="Verdana" w:hAnsi="Verdana"/>
                <w:bCs/>
                <w:color w:val="000000"/>
                <w:lang w:val="es-ES_tradnl" w:eastAsia="es-ES_tradnl" w:bidi="es-ES"/>
              </w:rPr>
              <w:t xml:space="preserve">. </w:t>
            </w:r>
            <w:r w:rsidRPr="009563E7">
              <w:rPr>
                <w:rFonts w:ascii="Verdana" w:hAnsi="Verdana"/>
                <w:bCs/>
                <w:color w:val="000000"/>
                <w:lang w:val="es-ES_tradnl" w:eastAsia="es-ES_tradnl" w:bidi="es-ES"/>
              </w:rPr>
              <w:t xml:space="preserve">2025. Disponible en línea: </w:t>
            </w:r>
            <w:hyperlink r:id="rId13" w:history="1">
              <w:r>
                <w:rPr>
                  <w:rFonts w:ascii="Verdana" w:hAnsi="Verdana"/>
                  <w:bCs/>
                  <w:color w:val="0000FF"/>
                  <w:u w:val="single"/>
                  <w:lang w:val="es-ES_tradnl" w:eastAsia="es-ES_tradnl" w:bidi="es-ES"/>
                </w:rPr>
                <w:t>Aquí</w:t>
              </w:r>
            </w:hyperlink>
          </w:p>
        </w:tc>
      </w:tr>
    </w:tbl>
    <w:p w14:paraId="59341A29" w14:textId="77777777" w:rsidR="00EF750F" w:rsidRPr="006733BD" w:rsidRDefault="00EF750F" w:rsidP="00EF750F">
      <w:pPr>
        <w:widowControl w:val="0"/>
        <w:autoSpaceDE w:val="0"/>
        <w:autoSpaceDN w:val="0"/>
        <w:spacing w:after="0" w:line="276" w:lineRule="auto"/>
        <w:jc w:val="both"/>
        <w:rPr>
          <w:rFonts w:ascii="Verdana" w:hAnsi="Verdana" w:cs="Arial"/>
          <w:color w:val="ED7D31" w:themeColor="accent2"/>
          <w:lang w:val="es-ES"/>
        </w:rPr>
      </w:pPr>
    </w:p>
    <w:p w14:paraId="3EDC7B99" w14:textId="77777777" w:rsidR="00EF750F" w:rsidRPr="006733BD" w:rsidRDefault="00EF750F" w:rsidP="00EF750F">
      <w:pPr>
        <w:tabs>
          <w:tab w:val="left" w:pos="142"/>
          <w:tab w:val="left" w:pos="284"/>
        </w:tabs>
        <w:spacing w:after="0" w:line="276" w:lineRule="auto"/>
        <w:jc w:val="both"/>
        <w:rPr>
          <w:rFonts w:ascii="Verdana" w:eastAsia="Century Gothic" w:hAnsi="Verdana" w:cs="Century Gothic"/>
          <w:b/>
          <w:color w:val="ED7D31" w:themeColor="accent2"/>
          <w:lang w:val="es-ES"/>
        </w:rPr>
      </w:pPr>
      <w:r w:rsidRPr="003F2A6E">
        <w:rPr>
          <w:rFonts w:ascii="Verdana" w:eastAsia="Century Gothic" w:hAnsi="Verdana" w:cs="Century Gothic"/>
          <w:b/>
          <w:lang w:val="es-ES"/>
        </w:rPr>
        <w:t>5. Doctrina de la Agencia Nacional de Contratación Pública:</w:t>
      </w:r>
    </w:p>
    <w:p w14:paraId="2B7E7B38" w14:textId="77777777" w:rsidR="00EF750F" w:rsidRPr="006733BD" w:rsidRDefault="00EF750F" w:rsidP="00EF750F">
      <w:pPr>
        <w:widowControl w:val="0"/>
        <w:autoSpaceDE w:val="0"/>
        <w:autoSpaceDN w:val="0"/>
        <w:spacing w:after="0" w:line="276" w:lineRule="auto"/>
        <w:jc w:val="both"/>
        <w:rPr>
          <w:rFonts w:ascii="Verdana" w:hAnsi="Verdana" w:cs="Arial"/>
          <w:color w:val="ED7D31" w:themeColor="accent2"/>
          <w:lang w:val="es-ES"/>
        </w:rPr>
      </w:pPr>
    </w:p>
    <w:p w14:paraId="61BBBCAC" w14:textId="08C3683A" w:rsidR="00EF750F" w:rsidRDefault="00EF750F" w:rsidP="005C6412">
      <w:pPr>
        <w:widowControl w:val="0"/>
        <w:autoSpaceDE w:val="0"/>
        <w:autoSpaceDN w:val="0"/>
        <w:spacing w:after="0" w:line="276" w:lineRule="auto"/>
        <w:jc w:val="both"/>
        <w:rPr>
          <w:rStyle w:val="normaltextrun"/>
          <w:rFonts w:ascii="Verdana" w:hAnsi="Verdana" w:cs="Arial"/>
          <w:shd w:val="clear" w:color="auto" w:fill="FFFFFF"/>
          <w:lang w:val="es-ES"/>
        </w:rPr>
      </w:pPr>
      <w:r w:rsidRPr="003F4BAF">
        <w:rPr>
          <w:rFonts w:ascii="Verdana" w:hAnsi="Verdana" w:cs="Arial"/>
          <w:bCs/>
          <w:shd w:val="clear" w:color="auto" w:fill="FFFFFF"/>
        </w:rPr>
        <w:t>La Agencia Nacional de Contratación Pública – Colombia Compra Eficient</w:t>
      </w:r>
      <w:r>
        <w:rPr>
          <w:rFonts w:ascii="Verdana" w:hAnsi="Verdana" w:cs="Arial"/>
          <w:bCs/>
          <w:shd w:val="clear" w:color="auto" w:fill="FFFFFF"/>
        </w:rPr>
        <w:t xml:space="preserve">e ha expedido </w:t>
      </w:r>
      <w:r>
        <w:rPr>
          <w:rFonts w:ascii="Verdana" w:eastAsia="Calibri" w:hAnsi="Verdana" w:cs="Arial"/>
          <w:lang w:val="es-ES_tradnl"/>
        </w:rPr>
        <w:t>conceptos sobre los requisitos habilitantes</w:t>
      </w:r>
      <w:r w:rsidRPr="009A0C08">
        <w:rPr>
          <w:rFonts w:ascii="Verdana" w:eastAsia="Aptos" w:hAnsi="Verdana" w:cs="Arial"/>
          <w:color w:val="EE0000"/>
          <w:shd w:val="clear" w:color="auto" w:fill="FFFFFF"/>
          <w:lang w:val="es-ES"/>
        </w:rPr>
        <w:t xml:space="preserve"> </w:t>
      </w:r>
      <w:r w:rsidRPr="00B106E4">
        <w:rPr>
          <w:rStyle w:val="normaltextrun"/>
          <w:rFonts w:ascii="Verdana" w:hAnsi="Verdana" w:cs="Arial"/>
          <w:shd w:val="clear" w:color="auto" w:fill="FFFFFF"/>
          <w:lang w:val="es-ES"/>
        </w:rPr>
        <w:t xml:space="preserve">C-120 del 3 de marzo de 2020, C-204 del 31 de marzo de 2020, C-099 del 6 de abril  de 2020, C-195 del 13 de abril de 2020, C-013 del 17 de abril de 2020, C-330 del 27 de mayo de 2020 y C-396 de 16 de julio de 2020, C-142 del 30 de marzo de 2022,  C-337 de 18de agosto de 2023,Concepto C-483 del 26 de septiembre de 2024, Concepto C- 662 de 2024 del 29 de enero de 2025, C –043 del 28 de febrero de 2025, Concepto C- 116 del 1 de marzo de 2025, </w:t>
      </w:r>
      <w:r>
        <w:rPr>
          <w:rStyle w:val="normaltextrun"/>
          <w:rFonts w:ascii="Verdana" w:hAnsi="Verdana" w:cs="Arial"/>
          <w:shd w:val="clear" w:color="auto" w:fill="FFFFFF"/>
          <w:lang w:val="es-ES"/>
        </w:rPr>
        <w:t xml:space="preserve">C-442 del 21 de mayo de 2025, c-1790 del 30 de diciembre de 2025 y C-1817 del 20 de enero de 2026, </w:t>
      </w:r>
      <w:r w:rsidRPr="00B106E4">
        <w:rPr>
          <w:rStyle w:val="normaltextrun"/>
          <w:rFonts w:ascii="Verdana" w:hAnsi="Verdana" w:cs="Arial"/>
          <w:shd w:val="clear" w:color="auto" w:fill="FFFFFF"/>
          <w:lang w:val="es-ES"/>
        </w:rPr>
        <w:t>entre otros</w:t>
      </w:r>
      <w:r>
        <w:rPr>
          <w:rStyle w:val="normaltextrun"/>
          <w:rFonts w:ascii="Verdana" w:hAnsi="Verdana" w:cs="Arial"/>
          <w:shd w:val="clear" w:color="auto" w:fill="FFFFFF"/>
          <w:lang w:val="es-ES"/>
        </w:rPr>
        <w:t>.</w:t>
      </w:r>
    </w:p>
    <w:p w14:paraId="5AC8D5FB" w14:textId="77777777" w:rsidR="005C6412" w:rsidRPr="005C6412" w:rsidRDefault="005C6412" w:rsidP="005C6412">
      <w:pPr>
        <w:widowControl w:val="0"/>
        <w:autoSpaceDE w:val="0"/>
        <w:autoSpaceDN w:val="0"/>
        <w:spacing w:after="0" w:line="276" w:lineRule="auto"/>
        <w:jc w:val="both"/>
        <w:rPr>
          <w:rFonts w:ascii="Verdana" w:hAnsi="Verdana" w:cs="Arial"/>
          <w:shd w:val="clear" w:color="auto" w:fill="FFFFFF"/>
          <w:lang w:val="es-ES"/>
        </w:rPr>
      </w:pPr>
    </w:p>
    <w:p w14:paraId="7A41F8AF" w14:textId="77777777" w:rsidR="00EF750F" w:rsidRPr="008278B1" w:rsidRDefault="00EF750F" w:rsidP="006E698A">
      <w:pPr>
        <w:spacing w:after="0" w:line="276" w:lineRule="auto"/>
        <w:jc w:val="both"/>
        <w:rPr>
          <w:rFonts w:ascii="Verdana" w:hAnsi="Verdana"/>
          <w:lang w:val="es-ES"/>
        </w:rPr>
      </w:pPr>
      <w:r w:rsidRPr="008278B1">
        <w:rPr>
          <w:rFonts w:ascii="Verdana" w:hAnsi="Verdana" w:cs="Arial"/>
          <w:shd w:val="clear" w:color="auto" w:fill="FFFFFF"/>
          <w:lang w:val="es-ES"/>
        </w:rPr>
        <w:t>Estos</w:t>
      </w:r>
      <w:r w:rsidRPr="008278B1">
        <w:rPr>
          <w:rFonts w:ascii="Verdana" w:hAnsi="Verdana"/>
          <w:lang w:val="es-ES"/>
        </w:rPr>
        <w:t xml:space="preserve"> y otros se encuentran disponibles para consulta en el Sistema de relatoría de la Agencia, al cual se puede acceder a través del siguiente enlace:</w:t>
      </w:r>
      <w:r w:rsidRPr="008278B1">
        <w:rPr>
          <w:rFonts w:ascii="Verdana" w:hAnsi="Verdana" w:cs="Arial"/>
          <w:shd w:val="clear" w:color="auto" w:fill="FFFFFF"/>
          <w:lang w:val="es-ES"/>
        </w:rPr>
        <w:t xml:space="preserve"> </w:t>
      </w:r>
      <w:hyperlink r:id="rId14" w:history="1">
        <w:r w:rsidRPr="00C0327D">
          <w:rPr>
            <w:rStyle w:val="Hipervnculo"/>
            <w:rFonts w:ascii="Verdana" w:hAnsi="Verdana" w:cs="Arial"/>
            <w:shd w:val="clear" w:color="auto" w:fill="FFFFFF"/>
            <w:lang w:val="es-ES"/>
          </w:rPr>
          <w:t>https://relatoria.colombiacompra.gov.co/busqueda/conceptos</w:t>
        </w:r>
      </w:hyperlink>
    </w:p>
    <w:p w14:paraId="4FEE487C" w14:textId="77777777" w:rsidR="00EF750F" w:rsidRPr="008278B1" w:rsidRDefault="00EF750F" w:rsidP="006E698A">
      <w:pPr>
        <w:spacing w:after="0" w:line="276" w:lineRule="auto"/>
        <w:jc w:val="both"/>
        <w:rPr>
          <w:rFonts w:ascii="Verdana" w:hAnsi="Verdana" w:cs="Arial"/>
          <w:shd w:val="clear" w:color="auto" w:fill="FFFFFF"/>
          <w:lang w:val="es-ES"/>
        </w:rPr>
      </w:pPr>
    </w:p>
    <w:p w14:paraId="035FA115" w14:textId="77777777" w:rsidR="00EF750F" w:rsidRPr="00F84F36" w:rsidRDefault="00EF750F" w:rsidP="006E698A">
      <w:pPr>
        <w:spacing w:after="0" w:line="276" w:lineRule="auto"/>
        <w:jc w:val="both"/>
        <w:rPr>
          <w:rFonts w:ascii="Verdana" w:hAnsi="Verdana" w:cs="Arial"/>
          <w:color w:val="EE0000"/>
          <w:shd w:val="clear" w:color="auto" w:fill="FFFFFF"/>
        </w:rPr>
      </w:pPr>
      <w:r w:rsidRPr="008278B1">
        <w:rPr>
          <w:rFonts w:ascii="Verdana" w:hAnsi="Verdana" w:cs="Arial"/>
          <w:shd w:val="clear" w:color="auto" w:fill="FFFFFF"/>
        </w:rPr>
        <w:t>También le contamos que ya se encuentra disponible la </w:t>
      </w:r>
      <w:r w:rsidRPr="008278B1">
        <w:rPr>
          <w:rFonts w:ascii="Verdana" w:hAnsi="Verdana" w:cs="Arial"/>
          <w:b/>
          <w:bCs/>
          <w:shd w:val="clear" w:color="auto" w:fill="FFFFFF"/>
        </w:rPr>
        <w:t xml:space="preserve">Guía de lineamientos de transparencia y selección objetiva para el departamento de La </w:t>
      </w:r>
      <w:r w:rsidRPr="008278B1">
        <w:rPr>
          <w:rFonts w:ascii="Verdana" w:hAnsi="Verdana" w:cs="Arial"/>
          <w:b/>
          <w:bCs/>
          <w:shd w:val="clear" w:color="auto" w:fill="FFFFFF"/>
        </w:rPr>
        <w:lastRenderedPageBreak/>
        <w:t>Guajira – Objetivo sexto constitucional de la Sentencia T-302 del 2017. </w:t>
      </w:r>
      <w:r w:rsidRPr="008278B1">
        <w:rPr>
          <w:rFonts w:ascii="Verdana" w:hAnsi="Verdana" w:cs="Arial"/>
          <w:shd w:val="clear" w:color="auto" w:fill="FFFFFF"/>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w:t>
      </w:r>
      <w:r w:rsidRPr="00C0327D">
        <w:rPr>
          <w:rFonts w:ascii="Verdana" w:hAnsi="Verdana" w:cs="Arial"/>
          <w:shd w:val="clear" w:color="auto" w:fill="FFFFFF"/>
        </w:rPr>
        <w:t>Puede consultar la guía en el siguiente enlace: </w:t>
      </w:r>
      <w:hyperlink r:id="rId15" w:tgtFrame="_blank" w:tooltip="Dirección URL original: https://www.colombiacompra.gov.co/wp-content/uploads/2025/05/GUIA-DE-LINEAMIENTOS-DE-TRANSPARENCIA-Y-SELECCION-OBJETIVA-1.0.pdf. Haga clic o pulse si confía en este vínculo." w:history="1">
        <w:r w:rsidRPr="00C0327D">
          <w:rPr>
            <w:rStyle w:val="Hipervnculo"/>
            <w:rFonts w:ascii="Verdana" w:hAnsi="Verdana"/>
          </w:rPr>
          <w:t>Guía de lineamientos de transparencia y selección objetiva para el departamento de La Guajira – Objetivo sexto constitucional de la Sentencia T-302 del 2017</w:t>
        </w:r>
      </w:hyperlink>
    </w:p>
    <w:p w14:paraId="06B3428D" w14:textId="77777777" w:rsidR="00EF750F" w:rsidRPr="008278B1" w:rsidRDefault="00EF750F" w:rsidP="006E698A">
      <w:pPr>
        <w:spacing w:after="0" w:line="276" w:lineRule="auto"/>
        <w:jc w:val="both"/>
        <w:rPr>
          <w:rFonts w:ascii="Verdana" w:hAnsi="Verdana" w:cs="Arial"/>
          <w:shd w:val="clear" w:color="auto" w:fill="FFFFFF"/>
        </w:rPr>
      </w:pPr>
    </w:p>
    <w:p w14:paraId="260CDD3D" w14:textId="77777777" w:rsidR="00EF750F" w:rsidRPr="008278B1" w:rsidRDefault="00EF750F" w:rsidP="006E698A">
      <w:pPr>
        <w:spacing w:after="0" w:line="276" w:lineRule="auto"/>
        <w:jc w:val="both"/>
        <w:rPr>
          <w:rFonts w:ascii="Verdana" w:hAnsi="Verdana" w:cs="Arial"/>
          <w:shd w:val="clear" w:color="auto" w:fill="FFFFFF"/>
        </w:rPr>
      </w:pPr>
      <w:r w:rsidRPr="008278B1">
        <w:rPr>
          <w:rFonts w:ascii="Verdana" w:hAnsi="Verdana" w:cs="Arial"/>
          <w:shd w:val="clear" w:color="auto" w:fill="FFFFFF"/>
        </w:rPr>
        <w:t xml:space="preserve">Por último, lo invitamos a seguirnos en las redes sociales en las cuales se difunde información institucional: </w:t>
      </w:r>
    </w:p>
    <w:p w14:paraId="5690219C" w14:textId="77777777" w:rsidR="00EF750F" w:rsidRPr="008278B1" w:rsidRDefault="00EF750F" w:rsidP="006E698A">
      <w:pPr>
        <w:spacing w:after="0" w:line="276" w:lineRule="auto"/>
        <w:jc w:val="both"/>
        <w:rPr>
          <w:rFonts w:ascii="Verdana" w:hAnsi="Verdana" w:cs="Arial"/>
          <w:shd w:val="clear" w:color="auto" w:fill="FFFFFF"/>
        </w:rPr>
      </w:pPr>
    </w:p>
    <w:p w14:paraId="72663D34" w14:textId="77777777" w:rsidR="00EF750F" w:rsidRPr="008278B1" w:rsidRDefault="00EF750F" w:rsidP="006E698A">
      <w:pPr>
        <w:spacing w:after="0" w:line="276" w:lineRule="auto"/>
        <w:jc w:val="both"/>
        <w:rPr>
          <w:rFonts w:ascii="Verdana" w:hAnsi="Verdana" w:cs="Arial"/>
          <w:shd w:val="clear" w:color="auto" w:fill="FFFFFF"/>
        </w:rPr>
      </w:pPr>
      <w:r w:rsidRPr="008278B1">
        <w:rPr>
          <w:rFonts w:ascii="Verdana" w:hAnsi="Verdana" w:cs="Arial"/>
          <w:shd w:val="clear" w:color="auto" w:fill="FFFFFF"/>
        </w:rPr>
        <w:t xml:space="preserve">Twitter: </w:t>
      </w:r>
      <w:r w:rsidRPr="008278B1">
        <w:rPr>
          <w:rStyle w:val="Hipervnculo"/>
          <w:rFonts w:ascii="Verdana" w:hAnsi="Verdana"/>
          <w:lang w:val="es-ES"/>
        </w:rPr>
        <w:t>@colombiacompra</w:t>
      </w:r>
      <w:r w:rsidRPr="008278B1">
        <w:rPr>
          <w:rStyle w:val="Hipervnculo"/>
          <w:rFonts w:ascii="Verdana" w:hAnsi="Verdana"/>
          <w:color w:val="auto"/>
          <w:lang w:val="es-ES"/>
        </w:rPr>
        <w:t xml:space="preserve"> </w:t>
      </w:r>
    </w:p>
    <w:p w14:paraId="5746E46F" w14:textId="77777777" w:rsidR="00EF750F" w:rsidRPr="008278B1" w:rsidRDefault="00EF750F" w:rsidP="006E698A">
      <w:pPr>
        <w:spacing w:after="0" w:line="276" w:lineRule="auto"/>
        <w:jc w:val="both"/>
        <w:rPr>
          <w:rFonts w:ascii="Verdana" w:hAnsi="Verdana" w:cs="Arial"/>
          <w:shd w:val="clear" w:color="auto" w:fill="FFFFFF"/>
        </w:rPr>
      </w:pPr>
      <w:r w:rsidRPr="008278B1">
        <w:rPr>
          <w:rFonts w:ascii="Verdana" w:hAnsi="Verdana" w:cs="Arial"/>
          <w:shd w:val="clear" w:color="auto" w:fill="FFFFFF"/>
        </w:rPr>
        <w:t>Facebook:</w:t>
      </w:r>
      <w:r w:rsidRPr="008278B1">
        <w:rPr>
          <w:rStyle w:val="Hipervnculo"/>
          <w:rFonts w:ascii="Verdana" w:hAnsi="Verdana"/>
          <w:lang w:val="es-ES"/>
        </w:rPr>
        <w:t xml:space="preserve"> ColombiaCompraEficiente</w:t>
      </w:r>
    </w:p>
    <w:p w14:paraId="55B64992" w14:textId="77777777" w:rsidR="00EF750F" w:rsidRPr="008278B1" w:rsidRDefault="00EF750F" w:rsidP="006E698A">
      <w:pPr>
        <w:spacing w:after="0" w:line="276" w:lineRule="auto"/>
        <w:jc w:val="both"/>
        <w:rPr>
          <w:rFonts w:ascii="Verdana" w:hAnsi="Verdana" w:cs="Arial"/>
          <w:shd w:val="clear" w:color="auto" w:fill="FFFFFF"/>
        </w:rPr>
      </w:pPr>
      <w:r w:rsidRPr="008278B1">
        <w:rPr>
          <w:rFonts w:ascii="Verdana" w:hAnsi="Verdana" w:cs="Arial"/>
          <w:shd w:val="clear" w:color="auto" w:fill="FFFFFF"/>
        </w:rPr>
        <w:t xml:space="preserve">LinkedIn: </w:t>
      </w:r>
      <w:r w:rsidRPr="008278B1">
        <w:rPr>
          <w:rStyle w:val="Hipervnculo"/>
          <w:rFonts w:ascii="Verdana" w:hAnsi="Verdana"/>
          <w:lang w:val="es-ES"/>
        </w:rPr>
        <w:t>Agencia Nacional de Contratación Pública - Colombia Compra Eficiente</w:t>
      </w:r>
      <w:r w:rsidRPr="008278B1">
        <w:rPr>
          <w:rFonts w:ascii="Verdana" w:hAnsi="Verdana" w:cs="Arial"/>
          <w:color w:val="0000FF"/>
          <w:shd w:val="clear" w:color="auto" w:fill="FFFFFF"/>
        </w:rPr>
        <w:t xml:space="preserve"> </w:t>
      </w:r>
    </w:p>
    <w:p w14:paraId="4D31384F" w14:textId="77777777" w:rsidR="00EF750F" w:rsidRPr="008278B1" w:rsidRDefault="00EF750F" w:rsidP="006E698A">
      <w:pPr>
        <w:spacing w:after="0" w:line="276" w:lineRule="auto"/>
        <w:jc w:val="both"/>
        <w:rPr>
          <w:rFonts w:ascii="Verdana" w:hAnsi="Verdana" w:cs="Arial"/>
          <w:shd w:val="clear" w:color="auto" w:fill="FFFFFF"/>
        </w:rPr>
      </w:pPr>
      <w:r w:rsidRPr="008278B1">
        <w:rPr>
          <w:rFonts w:ascii="Verdana" w:hAnsi="Verdana" w:cs="Arial"/>
          <w:shd w:val="clear" w:color="auto" w:fill="FFFFFF"/>
        </w:rPr>
        <w:t xml:space="preserve">Instagram: </w:t>
      </w:r>
      <w:r w:rsidRPr="008278B1">
        <w:rPr>
          <w:rStyle w:val="Hipervnculo"/>
          <w:rFonts w:ascii="Verdana" w:hAnsi="Verdana"/>
          <w:lang w:val="es-ES"/>
        </w:rPr>
        <w:t>@colombiacompraeficiente_cce</w:t>
      </w:r>
    </w:p>
    <w:p w14:paraId="744A1978" w14:textId="77777777" w:rsidR="00EF750F" w:rsidRPr="008278B1" w:rsidRDefault="00EF750F" w:rsidP="00EF750F">
      <w:pPr>
        <w:widowControl w:val="0"/>
        <w:autoSpaceDE w:val="0"/>
        <w:autoSpaceDN w:val="0"/>
        <w:spacing w:after="0" w:line="276" w:lineRule="auto"/>
        <w:jc w:val="both"/>
        <w:rPr>
          <w:rFonts w:ascii="Verdana" w:hAnsi="Verdana" w:cs="Arial"/>
          <w:lang w:val="es-ES"/>
        </w:rPr>
      </w:pPr>
    </w:p>
    <w:p w14:paraId="59C00A93" w14:textId="77777777" w:rsidR="00EF750F" w:rsidRPr="008278B1" w:rsidRDefault="00EF750F" w:rsidP="00EF750F">
      <w:pPr>
        <w:widowControl w:val="0"/>
        <w:autoSpaceDE w:val="0"/>
        <w:autoSpaceDN w:val="0"/>
        <w:spacing w:after="0" w:line="276" w:lineRule="auto"/>
        <w:jc w:val="both"/>
        <w:rPr>
          <w:rFonts w:ascii="Verdana" w:hAnsi="Verdana" w:cs="Arial"/>
          <w:lang w:val="es-ES"/>
        </w:rPr>
      </w:pPr>
      <w:r w:rsidRPr="008278B1">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37629E84" w14:textId="77777777" w:rsidR="00EF750F" w:rsidRPr="008278B1" w:rsidRDefault="00EF750F" w:rsidP="00EF750F">
      <w:pPr>
        <w:widowControl w:val="0"/>
        <w:autoSpaceDE w:val="0"/>
        <w:autoSpaceDN w:val="0"/>
        <w:spacing w:after="0" w:line="276" w:lineRule="auto"/>
        <w:jc w:val="both"/>
        <w:rPr>
          <w:rFonts w:ascii="Verdana" w:hAnsi="Verdana" w:cs="Arial"/>
          <w:lang w:val="es-ES"/>
        </w:rPr>
      </w:pPr>
    </w:p>
    <w:p w14:paraId="5D68041F" w14:textId="77777777" w:rsidR="00EF750F" w:rsidRDefault="00EF750F" w:rsidP="00EF750F">
      <w:pPr>
        <w:spacing w:after="0" w:line="276" w:lineRule="auto"/>
        <w:rPr>
          <w:rFonts w:ascii="Verdana" w:hAnsi="Verdana" w:cs="Arial"/>
          <w:lang w:val="es-ES" w:eastAsia="es-CO"/>
        </w:rPr>
      </w:pPr>
      <w:r w:rsidRPr="008278B1">
        <w:rPr>
          <w:rFonts w:ascii="Verdana" w:eastAsia="Times New Roman" w:hAnsi="Verdana" w:cs="Arial"/>
          <w:lang w:val="es-ES" w:eastAsia="es-CO"/>
        </w:rPr>
        <w:t>Atentamente,</w:t>
      </w:r>
      <w:r w:rsidRPr="008278B1">
        <w:rPr>
          <w:rFonts w:ascii="Verdana" w:hAnsi="Verdana" w:cs="Arial"/>
          <w:lang w:val="es-ES" w:eastAsia="es-CO"/>
        </w:rPr>
        <w:t xml:space="preserve"> </w:t>
      </w:r>
    </w:p>
    <w:p w14:paraId="7A4531BE" w14:textId="77777777" w:rsidR="005C6412" w:rsidRPr="008278B1" w:rsidRDefault="005C6412" w:rsidP="00EF750F">
      <w:pPr>
        <w:spacing w:after="0" w:line="276" w:lineRule="auto"/>
        <w:rPr>
          <w:rFonts w:ascii="Verdana" w:hAnsi="Verdana" w:cs="Arial"/>
          <w:lang w:val="es-ES" w:eastAsia="es-CO"/>
        </w:rPr>
      </w:pPr>
    </w:p>
    <w:p w14:paraId="28605CD4" w14:textId="3C47ED2B" w:rsidR="00EF750F" w:rsidRPr="007849EA" w:rsidRDefault="007849EA" w:rsidP="007849EA">
      <w:pPr>
        <w:spacing w:after="0" w:line="276" w:lineRule="auto"/>
        <w:jc w:val="center"/>
        <w:rPr>
          <w:rFonts w:ascii="Verdana" w:hAnsi="Verdana"/>
          <w:noProof/>
          <w:color w:val="EE0000"/>
        </w:rPr>
      </w:pPr>
      <w:r w:rsidRPr="007849EA">
        <w:rPr>
          <w:rFonts w:ascii="Verdana" w:hAnsi="Verdana"/>
          <w:noProof/>
          <w:color w:val="EE0000"/>
        </w:rPr>
        <w:drawing>
          <wp:inline distT="0" distB="0" distL="0" distR="0" wp14:anchorId="4657AD50" wp14:editId="12A7CF08">
            <wp:extent cx="2998637" cy="971550"/>
            <wp:effectExtent l="0" t="0" r="0" b="0"/>
            <wp:docPr id="1660430270"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0430270" name="Imagen 1" descr="Texto&#10;&#10;El contenido generado por IA puede ser incorrecto."/>
                    <pic:cNvPicPr/>
                  </pic:nvPicPr>
                  <pic:blipFill rotWithShape="1">
                    <a:blip r:embed="rId16"/>
                    <a:srcRect t="14982" b="4815"/>
                    <a:stretch>
                      <a:fillRect/>
                    </a:stretch>
                  </pic:blipFill>
                  <pic:spPr bwMode="auto">
                    <a:xfrm>
                      <a:off x="0" y="0"/>
                      <a:ext cx="3002944" cy="972946"/>
                    </a:xfrm>
                    <a:prstGeom prst="rect">
                      <a:avLst/>
                    </a:prstGeom>
                    <a:ln>
                      <a:noFill/>
                    </a:ln>
                    <a:extLst>
                      <a:ext uri="{53640926-AAD7-44D8-BBD7-CCE9431645EC}">
                        <a14:shadowObscured xmlns:a14="http://schemas.microsoft.com/office/drawing/2010/main"/>
                      </a:ext>
                    </a:extLst>
                  </pic:spPr>
                </pic:pic>
              </a:graphicData>
            </a:graphic>
          </wp:inline>
        </w:drawing>
      </w:r>
    </w:p>
    <w:p w14:paraId="13D5F700" w14:textId="77777777" w:rsidR="00EF750F" w:rsidRPr="008278B1" w:rsidRDefault="00EF750F" w:rsidP="00EF750F">
      <w:pPr>
        <w:spacing w:after="0" w:line="276" w:lineRule="auto"/>
        <w:jc w:val="center"/>
        <w:rPr>
          <w:rFonts w:ascii="Verdana" w:hAnsi="Verdana" w:cs="Arial"/>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F750F" w:rsidRPr="008278B1" w14:paraId="64D257B4" w14:textId="77777777" w:rsidTr="0068055E">
        <w:trPr>
          <w:trHeight w:val="315"/>
        </w:trPr>
        <w:tc>
          <w:tcPr>
            <w:tcW w:w="893" w:type="dxa"/>
            <w:vAlign w:val="center"/>
            <w:hideMark/>
          </w:tcPr>
          <w:p w14:paraId="12718781" w14:textId="77777777" w:rsidR="00EF750F" w:rsidRPr="008278B1" w:rsidRDefault="00EF750F" w:rsidP="0068055E">
            <w:pPr>
              <w:contextualSpacing/>
              <w:rPr>
                <w:rFonts w:ascii="Verdana" w:hAnsi="Verdana" w:cs="Arial"/>
                <w:sz w:val="16"/>
                <w:szCs w:val="16"/>
                <w:lang w:val="es-ES" w:eastAsia="es-ES"/>
              </w:rPr>
            </w:pPr>
            <w:r w:rsidRPr="008278B1">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86824CD" w14:textId="77777777" w:rsidR="00EF750F" w:rsidRPr="008278B1" w:rsidRDefault="00EF750F" w:rsidP="0068055E">
            <w:pPr>
              <w:rPr>
                <w:rFonts w:ascii="Verdana" w:eastAsia="Times New Roman" w:hAnsi="Verdana" w:cs="Arial"/>
                <w:sz w:val="16"/>
                <w:szCs w:val="16"/>
                <w:lang w:eastAsia="es-ES"/>
              </w:rPr>
            </w:pPr>
            <w:r w:rsidRPr="008278B1">
              <w:rPr>
                <w:rFonts w:ascii="Verdana" w:eastAsia="Times New Roman" w:hAnsi="Verdana" w:cs="Arial"/>
                <w:sz w:val="16"/>
                <w:szCs w:val="16"/>
                <w:lang w:eastAsia="es-ES"/>
              </w:rPr>
              <w:t>Camila Alejandra Naranjo Gómez</w:t>
            </w:r>
          </w:p>
          <w:p w14:paraId="3E588425" w14:textId="77777777" w:rsidR="00EF750F" w:rsidRPr="008278B1" w:rsidRDefault="00EF750F" w:rsidP="0068055E">
            <w:pPr>
              <w:contextualSpacing/>
              <w:rPr>
                <w:rFonts w:ascii="Verdana" w:eastAsia="Arial" w:hAnsi="Verdana" w:cs="Arial"/>
                <w:sz w:val="16"/>
                <w:szCs w:val="16"/>
                <w:lang w:val="es-ES"/>
              </w:rPr>
            </w:pPr>
            <w:r w:rsidRPr="008278B1">
              <w:rPr>
                <w:rFonts w:ascii="Verdana" w:eastAsia="Times New Roman" w:hAnsi="Verdana" w:cs="Arial"/>
                <w:sz w:val="16"/>
                <w:szCs w:val="16"/>
                <w:lang w:eastAsia="es-ES"/>
              </w:rPr>
              <w:t>Analista T2-</w:t>
            </w:r>
            <w:r>
              <w:rPr>
                <w:rFonts w:ascii="Verdana" w:eastAsia="Times New Roman" w:hAnsi="Verdana" w:cs="Arial"/>
                <w:sz w:val="16"/>
                <w:szCs w:val="16"/>
                <w:lang w:eastAsia="es-ES"/>
              </w:rPr>
              <w:t>02</w:t>
            </w:r>
            <w:r w:rsidRPr="008278B1">
              <w:rPr>
                <w:rFonts w:ascii="Verdana" w:eastAsia="Times New Roman" w:hAnsi="Verdana" w:cs="Arial"/>
                <w:sz w:val="16"/>
                <w:szCs w:val="16"/>
                <w:lang w:eastAsia="es-ES"/>
              </w:rPr>
              <w:t xml:space="preserve"> de la Subdirección de Gestión Contractual</w:t>
            </w:r>
          </w:p>
        </w:tc>
      </w:tr>
      <w:tr w:rsidR="00EF750F" w:rsidRPr="00F84F36" w14:paraId="13C97FBC" w14:textId="77777777" w:rsidTr="0068055E">
        <w:trPr>
          <w:trHeight w:val="330"/>
        </w:trPr>
        <w:tc>
          <w:tcPr>
            <w:tcW w:w="893" w:type="dxa"/>
            <w:vAlign w:val="center"/>
            <w:hideMark/>
          </w:tcPr>
          <w:p w14:paraId="747B938B" w14:textId="77777777" w:rsidR="00EF750F" w:rsidRPr="0025661F" w:rsidRDefault="00EF750F" w:rsidP="0068055E">
            <w:pPr>
              <w:contextualSpacing/>
              <w:rPr>
                <w:rFonts w:ascii="Verdana" w:hAnsi="Verdana" w:cs="Arial"/>
                <w:color w:val="000000" w:themeColor="text1"/>
                <w:sz w:val="16"/>
                <w:szCs w:val="16"/>
                <w:lang w:val="es-ES" w:eastAsia="es-ES"/>
              </w:rPr>
            </w:pPr>
            <w:r w:rsidRPr="0025661F">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3D81EB4" w14:textId="77777777" w:rsidR="00EF750F" w:rsidRPr="0025661F" w:rsidRDefault="00EF750F" w:rsidP="0068055E">
            <w:pPr>
              <w:rPr>
                <w:rFonts w:ascii="Verdana" w:eastAsia="Times New Roman" w:hAnsi="Verdana" w:cs="Arial"/>
                <w:color w:val="000000" w:themeColor="text1"/>
                <w:sz w:val="16"/>
                <w:szCs w:val="16"/>
                <w:lang w:eastAsia="es-ES"/>
              </w:rPr>
            </w:pPr>
            <w:r w:rsidRPr="0025661F">
              <w:rPr>
                <w:rFonts w:ascii="Verdana" w:eastAsia="Times New Roman" w:hAnsi="Verdana" w:cs="Arial"/>
                <w:color w:val="000000" w:themeColor="text1"/>
                <w:sz w:val="16"/>
                <w:szCs w:val="16"/>
                <w:lang w:eastAsia="es-ES"/>
              </w:rPr>
              <w:t>Diana Lucía Saavedra Castañeda</w:t>
            </w:r>
          </w:p>
          <w:p w14:paraId="551EA5BF" w14:textId="77777777" w:rsidR="00EF750F" w:rsidRPr="0025661F" w:rsidRDefault="00EF750F" w:rsidP="0068055E">
            <w:pPr>
              <w:pStyle w:val="paragraph"/>
              <w:spacing w:before="0" w:beforeAutospacing="0" w:after="0" w:afterAutospacing="0"/>
              <w:contextualSpacing/>
              <w:textAlignment w:val="baseline"/>
              <w:rPr>
                <w:rFonts w:ascii="Verdana" w:hAnsi="Verdana" w:cs="Segoe UI"/>
                <w:color w:val="000000" w:themeColor="text1"/>
                <w:sz w:val="16"/>
                <w:szCs w:val="16"/>
                <w:lang w:val="es-ES"/>
              </w:rPr>
            </w:pPr>
            <w:r w:rsidRPr="0025661F">
              <w:rPr>
                <w:rFonts w:ascii="Verdana" w:hAnsi="Verdana" w:cs="Arial"/>
                <w:color w:val="000000" w:themeColor="text1"/>
                <w:sz w:val="16"/>
                <w:szCs w:val="16"/>
                <w:lang w:eastAsia="es-ES"/>
              </w:rPr>
              <w:t>Contratista de la Subdirección de Gestión Contractual</w:t>
            </w:r>
          </w:p>
        </w:tc>
      </w:tr>
      <w:tr w:rsidR="00EF750F" w:rsidRPr="00F84F36" w14:paraId="1412D0F4" w14:textId="77777777" w:rsidTr="0068055E">
        <w:trPr>
          <w:trHeight w:val="300"/>
        </w:trPr>
        <w:tc>
          <w:tcPr>
            <w:tcW w:w="893" w:type="dxa"/>
            <w:vAlign w:val="center"/>
          </w:tcPr>
          <w:p w14:paraId="3435FFA0" w14:textId="77777777" w:rsidR="00EF750F" w:rsidRPr="008278B1" w:rsidRDefault="00EF750F" w:rsidP="0068055E">
            <w:pPr>
              <w:contextualSpacing/>
              <w:rPr>
                <w:rFonts w:ascii="Verdana" w:hAnsi="Verdana" w:cs="Arial"/>
                <w:sz w:val="16"/>
                <w:szCs w:val="16"/>
                <w:lang w:val="es-ES" w:eastAsia="es-ES"/>
              </w:rPr>
            </w:pPr>
            <w:r w:rsidRPr="008278B1">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69C7D09" w14:textId="77777777" w:rsidR="00EF750F" w:rsidRPr="008278B1" w:rsidRDefault="00EF750F" w:rsidP="0068055E">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Carolina Quintero Gacharná</w:t>
            </w:r>
          </w:p>
          <w:p w14:paraId="0C7588EE" w14:textId="77777777" w:rsidR="00EF750F" w:rsidRPr="008278B1" w:rsidRDefault="00EF750F" w:rsidP="0068055E">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Subdirectora de Gestión Contractual ANCP – CCE</w:t>
            </w:r>
          </w:p>
        </w:tc>
      </w:tr>
      <w:bookmarkEnd w:id="2"/>
    </w:tbl>
    <w:p w14:paraId="0F293BF4" w14:textId="4238FB8D" w:rsidR="00127233" w:rsidRPr="00EF750F" w:rsidRDefault="00127233" w:rsidP="00E95DF0">
      <w:pPr>
        <w:rPr>
          <w:lang w:val="es-ES"/>
        </w:rPr>
      </w:pPr>
    </w:p>
    <w:sectPr w:rsidR="00127233" w:rsidRPr="00EF750F"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2B78F0" w14:textId="77777777" w:rsidR="005D316B" w:rsidRDefault="005D316B" w:rsidP="004A1847">
      <w:pPr>
        <w:spacing w:after="0" w:line="240" w:lineRule="auto"/>
      </w:pPr>
      <w:r>
        <w:separator/>
      </w:r>
    </w:p>
  </w:endnote>
  <w:endnote w:type="continuationSeparator" w:id="0">
    <w:p w14:paraId="099AA4F7" w14:textId="77777777" w:rsidR="005D316B" w:rsidRDefault="005D316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C9F83D" w14:textId="77777777" w:rsidR="005D316B" w:rsidRDefault="005D316B" w:rsidP="004A1847">
      <w:pPr>
        <w:spacing w:after="0" w:line="240" w:lineRule="auto"/>
      </w:pPr>
      <w:r>
        <w:separator/>
      </w:r>
    </w:p>
  </w:footnote>
  <w:footnote w:type="continuationSeparator" w:id="0">
    <w:p w14:paraId="4EB7EEB6" w14:textId="77777777" w:rsidR="005D316B" w:rsidRDefault="005D316B" w:rsidP="004A1847">
      <w:pPr>
        <w:spacing w:after="0" w:line="240" w:lineRule="auto"/>
      </w:pPr>
      <w:r>
        <w:continuationSeparator/>
      </w:r>
    </w:p>
  </w:footnote>
  <w:footnote w:id="1">
    <w:p w14:paraId="2515B364" w14:textId="77777777" w:rsidR="00EF750F" w:rsidRPr="00810146" w:rsidRDefault="00EF750F" w:rsidP="00EF750F">
      <w:pPr>
        <w:pStyle w:val="NormalWeb"/>
        <w:snapToGrid w:val="0"/>
        <w:spacing w:before="0" w:beforeAutospacing="0" w:after="0" w:afterAutospacing="0"/>
        <w:ind w:firstLine="709"/>
        <w:contextualSpacing/>
        <w:jc w:val="both"/>
        <w:rPr>
          <w:rFonts w:ascii="Verdana" w:hAnsi="Verdana" w:cs="Arial"/>
          <w:sz w:val="16"/>
          <w:szCs w:val="16"/>
        </w:rPr>
      </w:pPr>
      <w:r w:rsidRPr="00810146">
        <w:rPr>
          <w:rStyle w:val="Refdenotaalpie"/>
          <w:rFonts w:ascii="Verdana" w:hAnsi="Verdana" w:cs="Arial"/>
          <w:sz w:val="16"/>
          <w:szCs w:val="16"/>
        </w:rPr>
        <w:footnoteRef/>
      </w:r>
      <w:r w:rsidRPr="00810146">
        <w:rPr>
          <w:rFonts w:ascii="Verdana" w:hAnsi="Verdana" w:cs="Arial"/>
          <w:sz w:val="16"/>
          <w:szCs w:val="16"/>
        </w:rPr>
        <w:t xml:space="preserve"> </w:t>
      </w:r>
      <w:r w:rsidRPr="00810146">
        <w:rPr>
          <w:rFonts w:ascii="Verdana" w:hAnsi="Verdana" w:cs="Arial"/>
          <w:sz w:val="16"/>
          <w:szCs w:val="16"/>
          <w:lang w:val="es-ES"/>
        </w:rPr>
        <w:t>“</w:t>
      </w:r>
      <w:r w:rsidRPr="00810146">
        <w:rPr>
          <w:rFonts w:ascii="Verdana" w:hAnsi="Verdana" w:cs="Arial"/>
          <w:sz w:val="16"/>
          <w:szCs w:val="16"/>
        </w:rPr>
        <w:t xml:space="preserve">Para poder participar en los procesos de selección de los contratos de obra, la capacidad residual del proponente o K de contratación deberá ser igual o superior al que la entidad haya establecido para el efecto en los pliegos de condiciones. </w:t>
      </w:r>
    </w:p>
    <w:p w14:paraId="4C8FC5CA" w14:textId="77777777" w:rsidR="00EF750F" w:rsidRPr="00810146" w:rsidRDefault="00EF750F" w:rsidP="00EF750F">
      <w:pPr>
        <w:snapToGrid w:val="0"/>
        <w:spacing w:after="0" w:line="240" w:lineRule="auto"/>
        <w:ind w:firstLine="708"/>
        <w:contextualSpacing/>
        <w:jc w:val="both"/>
        <w:rPr>
          <w:rFonts w:ascii="Verdana" w:hAnsi="Verdana" w:cs="Arial"/>
          <w:sz w:val="16"/>
          <w:szCs w:val="16"/>
        </w:rPr>
      </w:pPr>
      <w:r w:rsidRPr="00810146">
        <w:rPr>
          <w:rFonts w:ascii="Verdana" w:hAnsi="Verdana" w:cs="Arial"/>
          <w:sz w:val="16"/>
          <w:szCs w:val="16"/>
        </w:rPr>
        <w:t>Para establecer la capacidad residual del proponente o K de contratación, se deberán considerar todos los contratos que tenga en ejecución el proponente al momento de presentar la oferta. El desarrollo y ejecución del contrato podrá dar lugar a que los valores que sean cancelados al contratista se consideren para establecer el real K de contratación, en cada oportunidad. El Gobierno Nacional reglamentará la materia.</w:t>
      </w:r>
    </w:p>
  </w:footnote>
  <w:footnote w:id="2">
    <w:p w14:paraId="42A3B4A5" w14:textId="77777777" w:rsidR="00EF750F" w:rsidRPr="00810146" w:rsidRDefault="00EF750F" w:rsidP="00EF750F">
      <w:pPr>
        <w:pStyle w:val="Textonotapie"/>
        <w:ind w:firstLine="708"/>
        <w:contextualSpacing/>
        <w:jc w:val="both"/>
        <w:rPr>
          <w:rFonts w:ascii="Verdana" w:hAnsi="Verdana"/>
          <w:sz w:val="16"/>
          <w:szCs w:val="16"/>
        </w:rPr>
      </w:pPr>
      <w:r w:rsidRPr="00810146">
        <w:rPr>
          <w:rStyle w:val="Refdenotaalpie"/>
          <w:rFonts w:ascii="Verdana" w:hAnsi="Verdana"/>
          <w:sz w:val="16"/>
          <w:szCs w:val="16"/>
        </w:rPr>
        <w:footnoteRef/>
      </w:r>
      <w:r w:rsidRPr="00810146">
        <w:rPr>
          <w:rFonts w:ascii="Verdana" w:hAnsi="Verdana"/>
          <w:sz w:val="16"/>
          <w:szCs w:val="16"/>
        </w:rPr>
        <w:t xml:space="preserve"> El </w:t>
      </w:r>
      <w:r w:rsidRPr="00810146">
        <w:rPr>
          <w:rFonts w:ascii="Verdana" w:eastAsia="Times New Roman" w:hAnsi="Verdana" w:cs="Arial"/>
          <w:sz w:val="16"/>
          <w:szCs w:val="16"/>
          <w:lang w:val="es-ES" w:eastAsia="es-MX"/>
        </w:rPr>
        <w:t>“Manual para determinar y verificar los requisitos habilitantes en los Procesos de Contratación”</w:t>
      </w:r>
      <w:r w:rsidRPr="00810146">
        <w:rPr>
          <w:rFonts w:ascii="Verdana" w:eastAsia="Calibri" w:hAnsi="Verdana" w:cs="Arial"/>
          <w:sz w:val="16"/>
          <w:szCs w:val="16"/>
          <w:lang w:val="es-ES" w:eastAsia="es-MX"/>
        </w:rPr>
        <w:t>,</w:t>
      </w:r>
      <w:r w:rsidRPr="00810146">
        <w:rPr>
          <w:rFonts w:ascii="Verdana" w:eastAsia="Times New Roman" w:hAnsi="Verdana" w:cs="Arial"/>
          <w:sz w:val="16"/>
          <w:szCs w:val="16"/>
          <w:lang w:val="es-ES" w:eastAsia="es-MX"/>
        </w:rPr>
        <w:t xml:space="preserve"> expedido por la </w:t>
      </w:r>
      <w:r w:rsidRPr="00810146">
        <w:rPr>
          <w:rFonts w:ascii="Verdana" w:eastAsia="Calibri" w:hAnsi="Verdana" w:cs="Arial"/>
          <w:sz w:val="16"/>
          <w:szCs w:val="16"/>
          <w:lang w:val="es-ES" w:eastAsia="es-MX"/>
        </w:rPr>
        <w:t xml:space="preserve">Agencia Nacional de Contratación Pública – Colombia Compra Eficiente, puede ser consultado en el siguiente enlace: </w:t>
      </w:r>
      <w:hyperlink r:id="rId1" w:history="1">
        <w:r w:rsidRPr="00810146">
          <w:rPr>
            <w:rStyle w:val="Hipervnculo"/>
            <w:rFonts w:ascii="Verdana" w:eastAsia="Calibri" w:hAnsi="Verdana" w:cs="Arial"/>
            <w:sz w:val="16"/>
            <w:szCs w:val="16"/>
            <w:lang w:val="es-ES" w:eastAsia="es-MX"/>
          </w:rPr>
          <w:t>https://colombiacompra.gov.co/sites/cce_public/files/cce_documents/cce-eicp-ma-04._manual_requisitos_habilitantes_v3_29-09-2023.pdf</w:t>
        </w:r>
      </w:hyperlink>
      <w:r w:rsidRPr="00810146">
        <w:rPr>
          <w:rFonts w:ascii="Verdana" w:eastAsia="Calibri" w:hAnsi="Verdana" w:cs="Arial"/>
          <w:sz w:val="16"/>
          <w:szCs w:val="16"/>
          <w:lang w:val="es-ES" w:eastAsia="es-MX"/>
        </w:rPr>
        <w:t xml:space="preserve">  </w:t>
      </w:r>
    </w:p>
  </w:footnote>
  <w:footnote w:id="3">
    <w:p w14:paraId="1D55E4C0" w14:textId="77777777" w:rsidR="00EF750F" w:rsidRPr="00810146" w:rsidRDefault="00EF750F" w:rsidP="00EF750F">
      <w:pPr>
        <w:pStyle w:val="NormalWeb"/>
        <w:snapToGrid w:val="0"/>
        <w:spacing w:before="0" w:beforeAutospacing="0" w:after="0" w:afterAutospacing="0"/>
        <w:ind w:firstLine="709"/>
        <w:contextualSpacing/>
        <w:jc w:val="both"/>
        <w:rPr>
          <w:rFonts w:ascii="Verdana" w:hAnsi="Verdana" w:cs="Arial"/>
          <w:sz w:val="16"/>
          <w:szCs w:val="16"/>
          <w:lang w:val="es-ES"/>
        </w:rPr>
      </w:pPr>
      <w:r w:rsidRPr="00810146">
        <w:rPr>
          <w:rStyle w:val="Refdenotaalpie"/>
          <w:rFonts w:ascii="Verdana" w:hAnsi="Verdana" w:cs="Arial"/>
          <w:sz w:val="16"/>
          <w:szCs w:val="16"/>
        </w:rPr>
        <w:footnoteRef/>
      </w:r>
      <w:r w:rsidRPr="00810146">
        <w:rPr>
          <w:rStyle w:val="Refdenotaalpie"/>
          <w:rFonts w:ascii="Verdana" w:hAnsi="Verdana" w:cs="Arial"/>
          <w:sz w:val="16"/>
          <w:szCs w:val="16"/>
        </w:rPr>
        <w:t xml:space="preserve"> </w:t>
      </w:r>
      <w:r>
        <w:rPr>
          <w:rFonts w:ascii="Verdana" w:hAnsi="Verdana" w:cs="Arial"/>
          <w:sz w:val="16"/>
          <w:szCs w:val="16"/>
        </w:rPr>
        <w:t>“</w:t>
      </w:r>
      <w:r w:rsidRPr="00810146">
        <w:rPr>
          <w:rFonts w:ascii="Verdana" w:hAnsi="Verdana" w:cs="Arial"/>
          <w:sz w:val="16"/>
          <w:szCs w:val="16"/>
          <w:lang w:val="es-ES"/>
        </w:rPr>
        <w:t>Artículo 2.2.1.1.1.6.2.</w:t>
      </w:r>
      <w:r>
        <w:rPr>
          <w:rFonts w:ascii="Verdana" w:hAnsi="Verdana" w:cs="Arial"/>
          <w:sz w:val="16"/>
          <w:szCs w:val="16"/>
          <w:lang w:val="es-ES"/>
        </w:rPr>
        <w:t xml:space="preserve"> </w:t>
      </w:r>
      <w:r w:rsidRPr="00810146">
        <w:rPr>
          <w:rFonts w:ascii="Verdana" w:hAnsi="Verdana" w:cs="Arial"/>
          <w:sz w:val="16"/>
          <w:szCs w:val="16"/>
          <w:lang w:val="es-ES"/>
        </w:rPr>
        <w:t>Determinación de los Requisitos Habilitantes.</w:t>
      </w:r>
      <w:r>
        <w:rPr>
          <w:rFonts w:ascii="Verdana" w:hAnsi="Verdana" w:cs="Arial"/>
          <w:sz w:val="16"/>
          <w:szCs w:val="16"/>
          <w:lang w:val="es-ES"/>
        </w:rPr>
        <w:t xml:space="preserve"> </w:t>
      </w:r>
      <w:r w:rsidRPr="00810146">
        <w:rPr>
          <w:rFonts w:ascii="Verdana" w:hAnsi="Verdana" w:cs="Arial"/>
          <w:sz w:val="16"/>
          <w:szCs w:val="16"/>
          <w:lang w:val="es-ES"/>
        </w:rPr>
        <w:t>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p w14:paraId="0335662E" w14:textId="77777777" w:rsidR="00EF750F" w:rsidRPr="00810146" w:rsidRDefault="00EF750F" w:rsidP="00EF750F">
      <w:pPr>
        <w:pStyle w:val="NormalWeb"/>
        <w:snapToGrid w:val="0"/>
        <w:spacing w:before="0" w:beforeAutospacing="0" w:after="0" w:afterAutospacing="0"/>
        <w:ind w:firstLine="709"/>
        <w:contextualSpacing/>
        <w:jc w:val="both"/>
        <w:rPr>
          <w:rFonts w:ascii="Verdana" w:hAnsi="Verdana" w:cs="Arial"/>
          <w:sz w:val="16"/>
          <w:szCs w:val="16"/>
          <w:lang w:val="es-ES"/>
        </w:rPr>
      </w:pPr>
      <w:r w:rsidRPr="00810146">
        <w:rPr>
          <w:rFonts w:ascii="Verdana" w:hAnsi="Verdana" w:cs="Arial"/>
          <w:sz w:val="16"/>
          <w:szCs w:val="16"/>
          <w:lang w:val="es-ES"/>
        </w:rPr>
        <w:t>Parágrafo Transitorio.</w:t>
      </w:r>
      <w:r>
        <w:rPr>
          <w:rFonts w:ascii="Verdana" w:hAnsi="Verdana" w:cs="Arial"/>
          <w:sz w:val="16"/>
          <w:szCs w:val="16"/>
          <w:lang w:val="es-ES"/>
        </w:rPr>
        <w:t xml:space="preserve"> </w:t>
      </w:r>
      <w:r w:rsidRPr="00810146">
        <w:rPr>
          <w:rFonts w:ascii="Verdana" w:hAnsi="Verdana" w:cs="Arial"/>
          <w:sz w:val="16"/>
          <w:szCs w:val="16"/>
          <w:lang w:val="es-ES"/>
        </w:rPr>
        <w:t>De conformidad con los parágrafos transitorios de los artículos 2.2.1.1.1.5.2. y 2.2.1.1.1.5.6., yen desarrollo del deber de análisis de las Entidades Estatales, de que trata el artículo 2.2.1.1.1.6.1. de este Decreto, a partir del 1 de julio de 2021 las Entidades Estatales establecerán y evaluarán los requisitos habilitantes de capacidad financiera y organizacional teniendo en cuenta la información que conste en el Registro Único de Proponentes. En todo caso, se establecerán indicadores proporcionales al procedimiento de contratación.</w:t>
      </w:r>
    </w:p>
    <w:p w14:paraId="329DB0AE" w14:textId="77777777" w:rsidR="00EF750F" w:rsidRPr="00C77162" w:rsidRDefault="00EF750F" w:rsidP="00EF750F">
      <w:pPr>
        <w:pStyle w:val="NormalWeb"/>
        <w:snapToGrid w:val="0"/>
        <w:spacing w:before="0" w:beforeAutospacing="0" w:after="0" w:afterAutospacing="0"/>
        <w:ind w:firstLine="708"/>
        <w:contextualSpacing/>
        <w:jc w:val="both"/>
        <w:rPr>
          <w:rStyle w:val="Refdenotaalpie"/>
          <w:rFonts w:ascii="Verdana" w:hAnsi="Verdana" w:cs="Arial"/>
          <w:sz w:val="16"/>
          <w:szCs w:val="16"/>
          <w:vertAlign w:val="baseline"/>
          <w:lang w:val="es-ES"/>
        </w:rPr>
      </w:pPr>
      <w:r w:rsidRPr="00810146">
        <w:rPr>
          <w:rFonts w:ascii="Verdana" w:hAnsi="Verdana" w:cs="Arial"/>
          <w:sz w:val="16"/>
          <w:szCs w:val="16"/>
          <w:lang w:val="es-ES"/>
        </w:rPr>
        <w:t>Para ello, atendiendo a las condiciones aludidas, en relación con los indicadores de la capacidad financiera y organizacional, de los procesos de selección cuyo acto administrativo de apertura o invitación se publique a partir del 1 de julio de 2021, se tendrá en cuenta la información vigente y en firme en el RUP, por lo que las Entidades Estatales evaluarán estos</w:t>
      </w:r>
      <w:r>
        <w:rPr>
          <w:rFonts w:ascii="Verdana" w:hAnsi="Verdana" w:cs="Arial"/>
          <w:sz w:val="16"/>
          <w:szCs w:val="16"/>
          <w:lang w:val="es-ES"/>
        </w:rPr>
        <w:t xml:space="preserve"> </w:t>
      </w:r>
      <w:r w:rsidRPr="00810146">
        <w:rPr>
          <w:rFonts w:ascii="Verdana" w:hAnsi="Verdana" w:cs="Arial"/>
          <w:sz w:val="16"/>
          <w:szCs w:val="16"/>
          <w:lang w:val="es-ES"/>
        </w:rPr>
        <w:t>indicadores, teniendo en cuenta el mejor año fiscal que se refleje en el registro de cada proponente</w:t>
      </w:r>
      <w:r w:rsidRPr="00810146">
        <w:rPr>
          <w:rFonts w:ascii="Verdana" w:hAnsi="Verdana" w:cs="Verdana"/>
          <w:sz w:val="16"/>
          <w:szCs w:val="16"/>
          <w:lang w:val="es-ES"/>
        </w:rPr>
        <w:t>”</w:t>
      </w:r>
      <w:r w:rsidRPr="00810146">
        <w:rPr>
          <w:rFonts w:ascii="Verdana" w:hAnsi="Verdana" w:cs="Arial"/>
          <w:sz w:val="16"/>
          <w:szCs w:val="16"/>
          <w:lang w:val="es-ES"/>
        </w:rPr>
        <w:t>.</w:t>
      </w:r>
    </w:p>
  </w:footnote>
  <w:footnote w:id="4">
    <w:p w14:paraId="668FBF01" w14:textId="77777777" w:rsidR="00EF750F" w:rsidRPr="00810146" w:rsidRDefault="00EF750F" w:rsidP="00EF750F">
      <w:pPr>
        <w:pStyle w:val="Textonotapie"/>
        <w:ind w:firstLine="708"/>
        <w:contextualSpacing/>
        <w:jc w:val="both"/>
        <w:rPr>
          <w:rFonts w:ascii="Verdana" w:hAnsi="Verdana"/>
          <w:sz w:val="16"/>
          <w:szCs w:val="16"/>
        </w:rPr>
      </w:pPr>
      <w:r w:rsidRPr="00810146">
        <w:rPr>
          <w:rStyle w:val="Refdenotaalpie"/>
          <w:rFonts w:ascii="Verdana" w:hAnsi="Verdana"/>
          <w:sz w:val="16"/>
          <w:szCs w:val="16"/>
        </w:rPr>
        <w:footnoteRef/>
      </w:r>
      <w:r w:rsidRPr="00810146">
        <w:rPr>
          <w:rFonts w:ascii="Verdana" w:hAnsi="Verdana"/>
          <w:sz w:val="16"/>
          <w:szCs w:val="16"/>
        </w:rPr>
        <w:t xml:space="preserve"> </w:t>
      </w:r>
      <w:bookmarkStart w:id="17" w:name="44"/>
      <w:r w:rsidRPr="00810146">
        <w:rPr>
          <w:rFonts w:ascii="Verdana" w:hAnsi="Verdana"/>
          <w:sz w:val="16"/>
          <w:szCs w:val="16"/>
        </w:rPr>
        <w:t xml:space="preserve">Sobre el particular el </w:t>
      </w:r>
      <w:r w:rsidRPr="00810146">
        <w:rPr>
          <w:rFonts w:ascii="Verdana" w:hAnsi="Verdana"/>
          <w:sz w:val="16"/>
          <w:szCs w:val="16"/>
          <w:lang w:val="es-CO"/>
        </w:rPr>
        <w:t>artículo 44 de la Ley 1437 de 2011, dispone: “</w:t>
      </w:r>
      <w:r w:rsidRPr="00407F3F">
        <w:rPr>
          <w:rFonts w:ascii="Verdana" w:hAnsi="Verdana"/>
          <w:sz w:val="16"/>
          <w:szCs w:val="16"/>
          <w:lang w:val="es-CO"/>
        </w:rPr>
        <w:t>Decisiones Discrecionales</w:t>
      </w:r>
      <w:r w:rsidRPr="00810146">
        <w:rPr>
          <w:rFonts w:ascii="Verdana" w:hAnsi="Verdana"/>
          <w:sz w:val="16"/>
          <w:szCs w:val="16"/>
          <w:lang w:val="es-CO"/>
        </w:rPr>
        <w:t>.</w:t>
      </w:r>
      <w:bookmarkEnd w:id="17"/>
      <w:r w:rsidRPr="00B076AE">
        <w:rPr>
          <w:rFonts w:ascii="Verdana" w:hAnsi="Verdana"/>
          <w:sz w:val="16"/>
          <w:szCs w:val="16"/>
          <w:lang w:val="es-CO"/>
        </w:rPr>
        <w:t xml:space="preserve"> </w:t>
      </w:r>
      <w:r w:rsidRPr="00810146">
        <w:rPr>
          <w:rFonts w:ascii="Verdana" w:hAnsi="Verdana"/>
          <w:sz w:val="16"/>
          <w:szCs w:val="16"/>
          <w:lang w:val="es-CO"/>
        </w:rPr>
        <w:t>En la medida en que el contenido de una decisión de carácter general o particular sea discrecional, debe ser adecuada a los fines de la norma que la autoriza, y proporcional a los hechos que le sirven de causa”.</w:t>
      </w:r>
    </w:p>
  </w:footnote>
  <w:footnote w:id="5">
    <w:p w14:paraId="339F7842" w14:textId="77777777" w:rsidR="00EF750F" w:rsidRPr="00810146" w:rsidRDefault="00EF750F" w:rsidP="00EF750F">
      <w:pPr>
        <w:pStyle w:val="Textonotapie"/>
        <w:snapToGrid w:val="0"/>
        <w:ind w:firstLine="708"/>
        <w:contextualSpacing/>
        <w:jc w:val="both"/>
        <w:rPr>
          <w:rFonts w:ascii="Verdana" w:hAnsi="Verdana" w:cs="Arial"/>
          <w:sz w:val="16"/>
          <w:szCs w:val="16"/>
        </w:rPr>
      </w:pPr>
      <w:r w:rsidRPr="00810146">
        <w:rPr>
          <w:rStyle w:val="Refdenotaalpie"/>
          <w:rFonts w:ascii="Verdana" w:hAnsi="Verdana" w:cs="Arial"/>
          <w:sz w:val="16"/>
          <w:szCs w:val="16"/>
        </w:rPr>
        <w:footnoteRef/>
      </w:r>
      <w:r w:rsidRPr="00810146">
        <w:rPr>
          <w:rFonts w:ascii="Verdana" w:hAnsi="Verdana" w:cs="Arial"/>
          <w:sz w:val="16"/>
          <w:szCs w:val="16"/>
        </w:rPr>
        <w:t xml:space="preserve"> Ley 1150 de 2007: “Artículo 6. De la verificación de las condiciones de los proponentes.</w:t>
      </w:r>
      <w:r w:rsidRPr="00810146">
        <w:rPr>
          <w:rFonts w:ascii="Verdana" w:hAnsi="Verdana" w:cs="Arial"/>
          <w:sz w:val="16"/>
          <w:szCs w:val="16"/>
          <w:lang w:eastAsia="es-CO"/>
        </w:rPr>
        <w:t xml:space="preserve"> […]</w:t>
      </w:r>
      <w:r w:rsidRPr="00810146">
        <w:rPr>
          <w:rFonts w:ascii="Verdana" w:hAnsi="Verdana" w:cs="Arial"/>
          <w:sz w:val="16"/>
          <w:szCs w:val="16"/>
        </w:rPr>
        <w:t xml:space="preserve"> </w:t>
      </w:r>
      <w:r w:rsidRPr="00810146">
        <w:rPr>
          <w:rFonts w:ascii="Verdana" w:hAnsi="Verdana" w:cs="Arial"/>
          <w:sz w:val="16"/>
          <w:szCs w:val="16"/>
          <w:lang w:eastAsia="es-CO"/>
        </w:rPr>
        <w:t>“6.1. […] “El certificado de Registro Único de Proponentes será plena prueba de las circunstancias que en ella se hagan constar y que hayan sido verificadas por las Cámaras de Comercio. En tal sentido, la verificación de las condiciones establecidas en el numeral 1 del artículo 5 de la presente ley, se demostrará exclusivamente con el respectivo certificado del RUP en donde deberán constar dichas condiciones. En consecuencia, las entidades estatales en los procesos de contratación no podrán exigir, ni los proponentes aportar documentación que deba utilizarse para efectuar la inscripción en el registro.</w:t>
      </w:r>
    </w:p>
    <w:p w14:paraId="07D54F3A" w14:textId="77777777" w:rsidR="00EF750F" w:rsidRPr="00810146" w:rsidRDefault="00EF750F" w:rsidP="00EF750F">
      <w:pPr>
        <w:pStyle w:val="Textonotapie"/>
        <w:snapToGrid w:val="0"/>
        <w:contextualSpacing/>
        <w:jc w:val="both"/>
        <w:rPr>
          <w:rFonts w:ascii="Verdana" w:hAnsi="Verdana" w:cs="Arial"/>
          <w:sz w:val="16"/>
          <w:szCs w:val="16"/>
          <w:lang w:eastAsia="es-CO"/>
        </w:rPr>
      </w:pPr>
      <w:r w:rsidRPr="00810146">
        <w:rPr>
          <w:rFonts w:ascii="Verdana" w:hAnsi="Verdana" w:cs="Arial"/>
          <w:sz w:val="16"/>
          <w:szCs w:val="16"/>
          <w:lang w:eastAsia="es-CO"/>
        </w:rPr>
        <w:t>No obstante lo anterior, sólo en aquellos casos en que por las características del objeto a contratar se requiera la verificación de requisitos del proponente adicionales a los contenidos en el Registro, la entidad podrá hacer tal verificación en forma directa […]”.</w:t>
      </w:r>
    </w:p>
  </w:footnote>
  <w:footnote w:id="6">
    <w:p w14:paraId="1D4D0FFB" w14:textId="77777777" w:rsidR="00EF750F" w:rsidRPr="00810146" w:rsidRDefault="00EF750F" w:rsidP="00EF750F">
      <w:pPr>
        <w:pStyle w:val="Textonotapie"/>
        <w:snapToGrid w:val="0"/>
        <w:ind w:firstLine="708"/>
        <w:contextualSpacing/>
        <w:jc w:val="both"/>
        <w:rPr>
          <w:rFonts w:ascii="Verdana" w:hAnsi="Verdana" w:cs="Arial"/>
          <w:sz w:val="16"/>
          <w:szCs w:val="16"/>
          <w:lang w:eastAsia="es-CO"/>
        </w:rPr>
      </w:pPr>
      <w:r w:rsidRPr="00810146">
        <w:rPr>
          <w:rStyle w:val="Refdenotaalpie"/>
          <w:rFonts w:ascii="Verdana" w:hAnsi="Verdana" w:cs="Arial"/>
          <w:sz w:val="16"/>
          <w:szCs w:val="16"/>
        </w:rPr>
        <w:footnoteRef/>
      </w:r>
      <w:r w:rsidRPr="00810146">
        <w:rPr>
          <w:rFonts w:ascii="Verdana" w:hAnsi="Verdana" w:cs="Arial"/>
          <w:sz w:val="16"/>
          <w:szCs w:val="16"/>
        </w:rPr>
        <w:t xml:space="preserve"> Ley 1150 de 2007: “Artículo 5. De la selección objetiva.</w:t>
      </w:r>
      <w:r w:rsidRPr="00810146">
        <w:rPr>
          <w:rFonts w:ascii="Verdana" w:hAnsi="Verdana" w:cs="Arial"/>
          <w:sz w:val="16"/>
          <w:szCs w:val="16"/>
          <w:lang w:eastAsia="es-CO"/>
        </w:rPr>
        <w:t xml:space="preserve"> […] “1.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 […]”.</w:t>
      </w:r>
    </w:p>
  </w:footnote>
  <w:footnote w:id="7">
    <w:p w14:paraId="306AD498" w14:textId="77777777" w:rsidR="00EF750F" w:rsidRPr="00810146" w:rsidRDefault="00EF750F" w:rsidP="00EF750F">
      <w:pPr>
        <w:pStyle w:val="Textonotapie"/>
        <w:snapToGrid w:val="0"/>
        <w:ind w:firstLine="708"/>
        <w:contextualSpacing/>
        <w:jc w:val="both"/>
        <w:rPr>
          <w:rFonts w:ascii="Verdana" w:hAnsi="Verdana" w:cs="Arial"/>
          <w:sz w:val="16"/>
          <w:szCs w:val="16"/>
        </w:rPr>
      </w:pPr>
      <w:r w:rsidRPr="00810146">
        <w:rPr>
          <w:rStyle w:val="Refdenotaalpie"/>
          <w:rFonts w:ascii="Verdana" w:hAnsi="Verdana" w:cs="Arial"/>
          <w:sz w:val="16"/>
          <w:szCs w:val="16"/>
        </w:rPr>
        <w:footnoteRef/>
      </w:r>
      <w:r w:rsidRPr="00810146">
        <w:rPr>
          <w:rFonts w:ascii="Verdana" w:hAnsi="Verdana" w:cs="Arial"/>
          <w:sz w:val="16"/>
          <w:szCs w:val="16"/>
        </w:rPr>
        <w:t xml:space="preserve"> </w:t>
      </w:r>
      <w:r w:rsidRPr="00810146">
        <w:rPr>
          <w:rFonts w:ascii="Verdana" w:hAnsi="Verdana" w:cs="Arial"/>
          <w:sz w:val="16"/>
          <w:szCs w:val="16"/>
          <w:lang w:eastAsia="es-CO"/>
        </w:rPr>
        <w:t>Consejo de Estado. Sección Tercera. Subsección A. Sentencia del 12 de febrero de 2014. Exp. 31.753. C.P. Mauricio Fajardo Gómez: “El certificado del Registro Único de Proponentes se erigió como “plena prueba” de las circunstancias sometidas al mismo, además de que se estableció que en el procedimiento de contratación no se pueden solicitar de nuevo los mismos documentos verificados por las Cámaras de Comercio según se observa de la disposición contenida en el artículo 5º de la Ley 1150”.</w:t>
      </w:r>
    </w:p>
  </w:footnote>
  <w:footnote w:id="8">
    <w:p w14:paraId="0D6A9ED8" w14:textId="77777777" w:rsidR="00EF750F" w:rsidRPr="00810146" w:rsidRDefault="00EF750F" w:rsidP="00EF750F">
      <w:pPr>
        <w:pStyle w:val="Textonotapie"/>
        <w:snapToGrid w:val="0"/>
        <w:ind w:firstLine="708"/>
        <w:contextualSpacing/>
        <w:jc w:val="both"/>
        <w:rPr>
          <w:rFonts w:ascii="Verdana" w:hAnsi="Verdana" w:cs="Arial"/>
          <w:sz w:val="16"/>
          <w:szCs w:val="16"/>
          <w:lang w:eastAsia="es-CO"/>
        </w:rPr>
      </w:pPr>
      <w:r w:rsidRPr="00810146">
        <w:rPr>
          <w:rStyle w:val="Refdenotaalpie"/>
          <w:rFonts w:ascii="Verdana" w:hAnsi="Verdana" w:cs="Arial"/>
          <w:sz w:val="16"/>
          <w:szCs w:val="16"/>
        </w:rPr>
        <w:footnoteRef/>
      </w:r>
      <w:r w:rsidRPr="00810146">
        <w:rPr>
          <w:rFonts w:ascii="Verdana" w:hAnsi="Verdana" w:cs="Arial"/>
          <w:sz w:val="16"/>
          <w:szCs w:val="16"/>
        </w:rPr>
        <w:t xml:space="preserve"> </w:t>
      </w:r>
      <w:r w:rsidRPr="00810146">
        <w:rPr>
          <w:rFonts w:ascii="Verdana" w:hAnsi="Verdana" w:cs="Arial"/>
          <w:sz w:val="16"/>
          <w:szCs w:val="16"/>
          <w:lang w:eastAsia="es-CO"/>
        </w:rPr>
        <w:t xml:space="preserve"> “6.1. [...] No obstante lo anterior, sólo en aquellos casos en que por las características del objeto a contratar se requiera la verificación de requisitos del proponente adicionales a los contenidos en el Registro, la entidad podrá hacer tal verificación en forma directa”.</w:t>
      </w:r>
    </w:p>
  </w:footnote>
  <w:footnote w:id="9">
    <w:p w14:paraId="4E5C6CDB" w14:textId="77777777" w:rsidR="00EF750F" w:rsidRPr="00810146" w:rsidRDefault="00EF750F" w:rsidP="00EF750F">
      <w:pPr>
        <w:pStyle w:val="Textonotapie"/>
        <w:snapToGrid w:val="0"/>
        <w:ind w:firstLine="708"/>
        <w:contextualSpacing/>
        <w:jc w:val="both"/>
        <w:rPr>
          <w:rFonts w:ascii="Verdana" w:hAnsi="Verdana" w:cs="Arial"/>
          <w:sz w:val="16"/>
          <w:szCs w:val="16"/>
          <w:lang w:eastAsia="es-CO"/>
        </w:rPr>
      </w:pPr>
      <w:r w:rsidRPr="00810146">
        <w:rPr>
          <w:rStyle w:val="Refdenotaalpie"/>
          <w:rFonts w:ascii="Verdana" w:hAnsi="Verdana" w:cs="Arial"/>
          <w:sz w:val="16"/>
          <w:szCs w:val="16"/>
        </w:rPr>
        <w:footnoteRef/>
      </w:r>
      <w:r w:rsidRPr="00810146">
        <w:rPr>
          <w:rFonts w:ascii="Verdana" w:hAnsi="Verdana" w:cs="Arial"/>
          <w:sz w:val="16"/>
          <w:szCs w:val="16"/>
        </w:rPr>
        <w:t xml:space="preserve"> </w:t>
      </w:r>
      <w:r w:rsidRPr="00810146">
        <w:rPr>
          <w:rFonts w:ascii="Verdana" w:hAnsi="Verdana" w:cs="Arial"/>
          <w:sz w:val="16"/>
          <w:szCs w:val="16"/>
          <w:lang w:eastAsia="es-CO"/>
        </w:rPr>
        <w:t xml:space="preserve">Ley 1150 de 2007: “Artículo 6.  De la verificación de las condiciones de los proponentes. [...] “No se requerirá de este registro, ni de calificación ni de clasificación, en los casos de contratación directa; contratos para la prestación de servicios de salud; contratos cuyo valor no supere el diez por ciento (10%) de la menor cuantía de la respectiva entidad;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 [...]”. </w:t>
      </w:r>
    </w:p>
  </w:footnote>
  <w:footnote w:id="10">
    <w:p w14:paraId="4AC8E3BA" w14:textId="77777777" w:rsidR="00EF750F" w:rsidRPr="006A19A1" w:rsidRDefault="00EF750F" w:rsidP="00EF750F">
      <w:pPr>
        <w:pBdr>
          <w:top w:val="nil"/>
          <w:left w:val="nil"/>
          <w:bottom w:val="nil"/>
          <w:right w:val="nil"/>
          <w:between w:val="nil"/>
        </w:pBdr>
        <w:spacing w:after="0" w:line="240" w:lineRule="auto"/>
        <w:ind w:firstLine="709"/>
        <w:contextualSpacing/>
        <w:jc w:val="both"/>
        <w:rPr>
          <w:rFonts w:ascii="Verdana" w:eastAsia="Arial" w:hAnsi="Verdana" w:cs="Arial"/>
          <w:color w:val="000000"/>
          <w:sz w:val="16"/>
          <w:szCs w:val="16"/>
        </w:rPr>
      </w:pPr>
      <w:r w:rsidRPr="006A19A1">
        <w:rPr>
          <w:rFonts w:ascii="Verdana" w:hAnsi="Verdana" w:cs="Arial"/>
          <w:sz w:val="16"/>
          <w:szCs w:val="16"/>
          <w:vertAlign w:val="superscript"/>
        </w:rPr>
        <w:footnoteRef/>
      </w:r>
      <w:r w:rsidRPr="006A19A1">
        <w:rPr>
          <w:rFonts w:ascii="Verdana" w:eastAsia="Arial" w:hAnsi="Verdana" w:cs="Arial"/>
          <w:color w:val="000000"/>
          <w:sz w:val="16"/>
          <w:szCs w:val="16"/>
        </w:rPr>
        <w:t xml:space="preserve"> RODRÍGUEZ TAMAYO, Mauricio F. Evaluación y rechazo de ofertas en la Ley 80 de 1993. Primera edición. Medellín: Librería Jurídica Sánchez, 2016. pp. 110-111.</w:t>
      </w:r>
    </w:p>
  </w:footnote>
  <w:footnote w:id="11">
    <w:p w14:paraId="17D52C11" w14:textId="77777777" w:rsidR="00EF750F" w:rsidRPr="006A19A1" w:rsidRDefault="00EF750F" w:rsidP="00EF750F">
      <w:pPr>
        <w:pBdr>
          <w:top w:val="nil"/>
          <w:left w:val="nil"/>
          <w:bottom w:val="nil"/>
          <w:right w:val="nil"/>
          <w:between w:val="nil"/>
        </w:pBdr>
        <w:spacing w:after="0" w:line="240" w:lineRule="auto"/>
        <w:contextualSpacing/>
        <w:jc w:val="both"/>
        <w:rPr>
          <w:rFonts w:ascii="Verdana" w:eastAsia="Arial" w:hAnsi="Verdana" w:cs="Arial"/>
          <w:color w:val="000000"/>
          <w:sz w:val="16"/>
          <w:szCs w:val="16"/>
        </w:rPr>
      </w:pPr>
      <w:r w:rsidRPr="006A19A1">
        <w:rPr>
          <w:rFonts w:ascii="Verdana" w:hAnsi="Verdana" w:cs="Arial"/>
          <w:sz w:val="16"/>
          <w:szCs w:val="16"/>
          <w:vertAlign w:val="superscript"/>
        </w:rPr>
        <w:footnoteRef/>
      </w:r>
      <w:r w:rsidRPr="006A19A1">
        <w:rPr>
          <w:rFonts w:ascii="Verdana" w:eastAsia="Arial" w:hAnsi="Verdana" w:cs="Arial"/>
          <w:color w:val="000000"/>
          <w:sz w:val="16"/>
          <w:szCs w:val="16"/>
        </w:rPr>
        <w:t xml:space="preserve"> EXPÓSITO VELEZ, Juan C., El deber de selección objetiva, en: Del contrato estatal a los sistemas de compras públicas, por COVILLA MARTINEZ Juan C. y LOZANO VILLEGAS Germán (Eds.). Universidad Externado de Colombia, Bogotá, 2019. págs. 118-184.</w:t>
      </w:r>
    </w:p>
  </w:footnote>
  <w:footnote w:id="12">
    <w:p w14:paraId="68084551" w14:textId="77777777" w:rsidR="00EF750F" w:rsidRPr="006D1F4A" w:rsidRDefault="00EF750F" w:rsidP="00EF750F">
      <w:pPr>
        <w:pStyle w:val="Textonotapie"/>
        <w:ind w:firstLine="708"/>
        <w:jc w:val="both"/>
        <w:rPr>
          <w:rFonts w:ascii="Verdana" w:hAnsi="Verdana" w:cs="Arial"/>
          <w:sz w:val="16"/>
          <w:szCs w:val="16"/>
          <w:lang w:val="es-CO"/>
        </w:rPr>
      </w:pPr>
      <w:r w:rsidRPr="006D1F4A">
        <w:rPr>
          <w:rStyle w:val="Refdenotaalpie"/>
          <w:rFonts w:ascii="Verdana" w:hAnsi="Verdana" w:cs="Arial"/>
          <w:sz w:val="16"/>
          <w:szCs w:val="16"/>
        </w:rPr>
        <w:footnoteRef/>
      </w:r>
      <w:r w:rsidRPr="006D1F4A">
        <w:rPr>
          <w:rFonts w:ascii="Verdana" w:hAnsi="Verdana" w:cs="Arial"/>
          <w:sz w:val="16"/>
          <w:szCs w:val="16"/>
        </w:rPr>
        <w:t xml:space="preserve"> </w:t>
      </w:r>
      <w:r>
        <w:rPr>
          <w:rFonts w:ascii="Verdana" w:hAnsi="Verdana" w:cs="Arial"/>
          <w:sz w:val="16"/>
          <w:szCs w:val="16"/>
          <w:lang w:val="es-CO"/>
        </w:rPr>
        <w:t>Corte Constitucional. Sentencia C-580 del 2001.</w:t>
      </w:r>
      <w:r w:rsidRPr="006D1F4A">
        <w:rPr>
          <w:rFonts w:ascii="Verdana" w:hAnsi="Verdana" w:cs="Arial"/>
          <w:sz w:val="16"/>
          <w:szCs w:val="16"/>
          <w:lang w:val="es-CO"/>
        </w:rPr>
        <w:t xml:space="preserve"> M.P. Clara Inés Vargas Hernández</w:t>
      </w:r>
      <w:r>
        <w:rPr>
          <w:rFonts w:ascii="Verdana" w:hAnsi="Verdana" w:cs="Arial"/>
          <w:sz w:val="16"/>
          <w:szCs w:val="16"/>
          <w:lang w:val="es-CO"/>
        </w:rPr>
        <w:t>.</w:t>
      </w:r>
      <w:r w:rsidRPr="006D1F4A">
        <w:rPr>
          <w:rFonts w:ascii="Verdana" w:hAnsi="Verdana" w:cs="Arial"/>
          <w:sz w:val="16"/>
          <w:szCs w:val="16"/>
          <w:lang w:val="es-CO"/>
        </w:rPr>
        <w:t xml:space="preserve"> </w:t>
      </w:r>
    </w:p>
  </w:footnote>
  <w:footnote w:id="13">
    <w:p w14:paraId="205816A9" w14:textId="77777777" w:rsidR="00EF750F" w:rsidRPr="006D1F4A" w:rsidRDefault="00EF750F" w:rsidP="00EF750F">
      <w:pPr>
        <w:pStyle w:val="Textonotapie"/>
        <w:ind w:firstLine="708"/>
        <w:jc w:val="both"/>
        <w:rPr>
          <w:rFonts w:ascii="Verdana" w:hAnsi="Verdana" w:cs="Arial"/>
          <w:sz w:val="16"/>
          <w:szCs w:val="16"/>
          <w:lang w:val="es-CO"/>
        </w:rPr>
      </w:pPr>
      <w:r w:rsidRPr="006D1F4A">
        <w:rPr>
          <w:rStyle w:val="Refdenotaalpie"/>
          <w:rFonts w:ascii="Verdana" w:hAnsi="Verdana" w:cs="Arial"/>
          <w:sz w:val="16"/>
          <w:szCs w:val="16"/>
        </w:rPr>
        <w:footnoteRef/>
      </w:r>
      <w:r w:rsidRPr="006D1F4A">
        <w:rPr>
          <w:rFonts w:ascii="Verdana" w:hAnsi="Verdana" w:cs="Arial"/>
          <w:sz w:val="16"/>
          <w:szCs w:val="16"/>
        </w:rPr>
        <w:t xml:space="preserve"> En el segundo grado por su parte, se clasificaron las asociaciones de juntas de acción comunal; en el tercer grado a la Federación de la acción comunal, constituida por los organismos de segundo grado y en cuarto grado al Confederación nacional de Acción comunal, constituido por los organismos de tercer grado y que posteriormente se afilien.</w:t>
      </w:r>
    </w:p>
  </w:footnote>
  <w:footnote w:id="14">
    <w:p w14:paraId="6E6A09E3" w14:textId="77777777" w:rsidR="00EF750F" w:rsidRPr="001D16E9" w:rsidRDefault="00EF750F" w:rsidP="00EF750F">
      <w:pPr>
        <w:pStyle w:val="Textonotapie"/>
        <w:ind w:firstLine="709"/>
        <w:jc w:val="both"/>
        <w:rPr>
          <w:rFonts w:ascii="Verdana" w:hAnsi="Verdana" w:cs="Arial"/>
          <w:color w:val="000000"/>
          <w:sz w:val="16"/>
          <w:szCs w:val="16"/>
          <w:lang w:val="es-CO"/>
        </w:rPr>
      </w:pPr>
      <w:r w:rsidRPr="006D1F4A">
        <w:rPr>
          <w:rStyle w:val="Refdenotaalpie"/>
          <w:rFonts w:ascii="Verdana" w:hAnsi="Verdana" w:cs="Arial"/>
          <w:sz w:val="16"/>
          <w:szCs w:val="16"/>
        </w:rPr>
        <w:footnoteRef/>
      </w:r>
      <w:r w:rsidRPr="006D1F4A">
        <w:rPr>
          <w:rFonts w:ascii="Verdana" w:hAnsi="Verdana" w:cs="Arial"/>
          <w:sz w:val="16"/>
          <w:szCs w:val="16"/>
        </w:rPr>
        <w:t xml:space="preserve"> </w:t>
      </w:r>
      <w:r w:rsidRPr="006D1F4A">
        <w:rPr>
          <w:rFonts w:ascii="Verdana" w:hAnsi="Verdana" w:cs="Arial"/>
          <w:sz w:val="16"/>
          <w:szCs w:val="16"/>
          <w:lang w:val="es-ES"/>
        </w:rPr>
        <w:t>El numeral 16 del artículo tercero de la Ley 136 de 1994 dispone:</w:t>
      </w:r>
      <w:r w:rsidRPr="006D1F4A">
        <w:rPr>
          <w:rFonts w:ascii="Verdana" w:hAnsi="Verdana" w:cs="Arial"/>
          <w:color w:val="000000"/>
          <w:sz w:val="16"/>
          <w:szCs w:val="16"/>
          <w:lang w:val="es-CO"/>
        </w:rPr>
        <w:t xml:space="preserve"> “[…] </w:t>
      </w:r>
      <w:r w:rsidRPr="006D1F4A">
        <w:rPr>
          <w:rFonts w:ascii="Verdana" w:hAnsi="Verdana" w:cs="Arial"/>
          <w:sz w:val="16"/>
          <w:szCs w:val="16"/>
          <w:lang w:val="es-ES"/>
        </w:rPr>
        <w:t>16. En concordancia con lo establecido en el artículo 355 de la Constitución Política, los municipios y distritos podrán celebrar convenios solidarios con: los cabildos, las autoridades y organizaciones indígenas, los organismos de acción comunal y demás organizaciones civiles y asociaciones residentes en el territorio, para el desarrollo conjunto de programas y actividades establecidas por la Ley a los municipios y distritos, acorde con sus planes de desarrollo</w:t>
      </w:r>
      <w:r w:rsidRPr="006D1F4A">
        <w:rPr>
          <w:rFonts w:ascii="Verdana" w:hAnsi="Verdana" w:cs="Arial"/>
          <w:color w:val="000000"/>
          <w:sz w:val="16"/>
          <w:szCs w:val="16"/>
          <w:lang w:val="es-CO"/>
        </w:rPr>
        <w:t xml:space="preserve"> […]”.</w:t>
      </w:r>
    </w:p>
  </w:footnote>
  <w:footnote w:id="15">
    <w:p w14:paraId="750A4804" w14:textId="77777777" w:rsidR="00EF750F" w:rsidRPr="00FB675F" w:rsidRDefault="00EF750F" w:rsidP="00EF750F">
      <w:pPr>
        <w:pStyle w:val="Textonotapie"/>
        <w:ind w:firstLine="708"/>
        <w:jc w:val="both"/>
        <w:rPr>
          <w:rFonts w:ascii="Verdana" w:hAnsi="Verdana"/>
          <w:sz w:val="16"/>
          <w:szCs w:val="16"/>
          <w:lang w:val="es-ES"/>
        </w:rPr>
      </w:pPr>
      <w:r w:rsidRPr="00FB675F">
        <w:rPr>
          <w:rStyle w:val="Refdenotaalpie"/>
          <w:rFonts w:ascii="Verdana" w:hAnsi="Verdana"/>
          <w:sz w:val="16"/>
          <w:szCs w:val="16"/>
        </w:rPr>
        <w:footnoteRef/>
      </w:r>
      <w:r w:rsidRPr="00FB675F">
        <w:rPr>
          <w:rFonts w:ascii="Verdana" w:hAnsi="Verdana"/>
          <w:sz w:val="16"/>
          <w:szCs w:val="16"/>
        </w:rPr>
        <w:t xml:space="preserve"> Agencia Nacional de Contratación Pública –Colombia Compra Eficiente. Guía para la celebración de convenios solidarios, 2025. Disponible en línea: </w:t>
      </w:r>
      <w:hyperlink r:id="rId2" w:history="1">
        <w:r w:rsidRPr="00FB675F">
          <w:rPr>
            <w:rStyle w:val="Hipervnculo"/>
            <w:rFonts w:ascii="Verdana" w:hAnsi="Verdana"/>
            <w:sz w:val="16"/>
            <w:szCs w:val="16"/>
          </w:rPr>
          <w:t>https://www.colombiacompra.gov.co/archivos/manual/guia-para-la-celebracion-de-convenios-solidarios</w:t>
        </w:r>
      </w:hyperlink>
      <w:r w:rsidRPr="00FB675F">
        <w:rPr>
          <w:rFonts w:ascii="Verdana" w:hAnsi="Verdana"/>
          <w:sz w:val="16"/>
          <w:szCs w:val="16"/>
        </w:rPr>
        <w:t xml:space="preserve"> </w:t>
      </w:r>
    </w:p>
  </w:footnote>
  <w:footnote w:id="16">
    <w:p w14:paraId="2679B9B7" w14:textId="77777777" w:rsidR="00EF750F" w:rsidRPr="00FB675F" w:rsidRDefault="00EF750F" w:rsidP="00EF750F">
      <w:pPr>
        <w:pStyle w:val="Textonotapie"/>
        <w:ind w:firstLine="708"/>
        <w:contextualSpacing/>
        <w:jc w:val="both"/>
        <w:rPr>
          <w:rFonts w:ascii="Verdana" w:hAnsi="Verdana"/>
          <w:sz w:val="16"/>
          <w:szCs w:val="16"/>
        </w:rPr>
      </w:pPr>
      <w:r w:rsidRPr="00FB675F">
        <w:rPr>
          <w:rStyle w:val="Refdenotaalpie"/>
          <w:rFonts w:ascii="Verdana" w:hAnsi="Verdana"/>
          <w:sz w:val="16"/>
          <w:szCs w:val="16"/>
        </w:rPr>
        <w:footnoteRef/>
      </w:r>
      <w:r w:rsidRPr="00FB675F">
        <w:rPr>
          <w:rFonts w:ascii="Verdana" w:hAnsi="Verdana"/>
          <w:sz w:val="16"/>
          <w:szCs w:val="16"/>
        </w:rPr>
        <w:t xml:space="preserve"> Ley 2166 de 2021, Artículo 95. “Convenios Solidarios. Se autoriza a los entes del orden Nacional, Departamental, Distrital y municipal para celebrar directamente convenios solidarios con los Organismos de Acción Comunal con el fin de ejecutar obras hasta por la menor cuantía. Para la ejecución de estas deberán contratar con los habitantes de la comunidad.</w:t>
      </w:r>
    </w:p>
    <w:p w14:paraId="26D6697D" w14:textId="77777777" w:rsidR="00EF750F" w:rsidRPr="00FB675F" w:rsidRDefault="00EF750F" w:rsidP="00EF750F">
      <w:pPr>
        <w:pStyle w:val="Textonotapie"/>
        <w:ind w:firstLine="708"/>
        <w:contextualSpacing/>
        <w:jc w:val="both"/>
        <w:rPr>
          <w:rFonts w:ascii="Verdana" w:hAnsi="Verdana"/>
          <w:sz w:val="16"/>
          <w:szCs w:val="16"/>
        </w:rPr>
      </w:pPr>
      <w:r w:rsidRPr="00FB675F">
        <w:rPr>
          <w:rFonts w:ascii="Verdana" w:hAnsi="Verdana"/>
          <w:sz w:val="16"/>
          <w:szCs w:val="16"/>
        </w:rPr>
        <w:t xml:space="preserve">Parágrafo 1. Los entes podrán incluir en el monto total de los Convenios Solidarios los costos directos, los costos administrativos y el Subsidio al dignatario representante legal para transportes de que trata el literal c) del artículo 38 de la presente ley. </w:t>
      </w:r>
    </w:p>
    <w:p w14:paraId="0A99A93E" w14:textId="77777777" w:rsidR="00EF750F" w:rsidRPr="00FB675F" w:rsidRDefault="00EF750F" w:rsidP="00EF750F">
      <w:pPr>
        <w:pStyle w:val="Textonotapie"/>
        <w:ind w:firstLine="708"/>
        <w:contextualSpacing/>
        <w:jc w:val="both"/>
        <w:rPr>
          <w:rFonts w:ascii="Verdana" w:hAnsi="Verdana"/>
          <w:sz w:val="16"/>
          <w:szCs w:val="16"/>
          <w:lang w:val="es-ES"/>
        </w:rPr>
      </w:pPr>
      <w:r w:rsidRPr="00FB675F">
        <w:rPr>
          <w:rFonts w:ascii="Verdana" w:hAnsi="Verdana"/>
          <w:sz w:val="16"/>
          <w:szCs w:val="16"/>
        </w:rPr>
        <w:t>Parágrafo 2. Adicional del monto del Convenio Solidario, los entes territoriales deberán contar o disponer de personal técnico y administrativo-contable, para supervisar y apoyar a los Organismos de Acción Comunal en la ejecución de las obras</w:t>
      </w:r>
    </w:p>
  </w:footnote>
  <w:footnote w:id="17">
    <w:p w14:paraId="43FE7847" w14:textId="77777777" w:rsidR="00EF750F" w:rsidRPr="00FB675F" w:rsidRDefault="00EF750F" w:rsidP="00EF750F">
      <w:pPr>
        <w:pStyle w:val="Textonotapie"/>
        <w:ind w:firstLine="708"/>
        <w:jc w:val="both"/>
        <w:rPr>
          <w:rFonts w:ascii="Verdana" w:hAnsi="Verdana"/>
          <w:sz w:val="16"/>
          <w:szCs w:val="16"/>
          <w:lang w:val="es-CO"/>
        </w:rPr>
      </w:pPr>
      <w:r w:rsidRPr="00FB675F">
        <w:rPr>
          <w:rStyle w:val="Refdenotaalpie"/>
          <w:rFonts w:ascii="Verdana" w:hAnsi="Verdana"/>
          <w:sz w:val="16"/>
          <w:szCs w:val="16"/>
        </w:rPr>
        <w:footnoteRef/>
      </w:r>
      <w:r w:rsidRPr="00FB675F">
        <w:rPr>
          <w:rFonts w:ascii="Verdana" w:hAnsi="Verdana"/>
          <w:sz w:val="16"/>
          <w:szCs w:val="16"/>
        </w:rPr>
        <w:t xml:space="preserve"> </w:t>
      </w:r>
      <w:r w:rsidRPr="00FB675F">
        <w:rPr>
          <w:rFonts w:ascii="Verdana" w:hAnsi="Verdana"/>
          <w:bCs/>
          <w:sz w:val="16"/>
          <w:szCs w:val="16"/>
          <w:lang w:val="es-CO"/>
        </w:rPr>
        <w:t>Artículo 7</w:t>
      </w:r>
      <w:r w:rsidRPr="00FB675F">
        <w:rPr>
          <w:rFonts w:ascii="Verdana" w:hAnsi="Verdana"/>
          <w:b/>
          <w:bCs/>
          <w:sz w:val="16"/>
          <w:szCs w:val="16"/>
          <w:lang w:val="es-CO"/>
        </w:rPr>
        <w:t>.</w:t>
      </w:r>
      <w:r w:rsidRPr="00FB675F">
        <w:rPr>
          <w:rFonts w:ascii="Verdana" w:hAnsi="Verdana"/>
          <w:sz w:val="16"/>
          <w:szCs w:val="16"/>
          <w:lang w:val="es-CO"/>
        </w:rPr>
        <w:t> Organismos de la Acción Comunal.  </w:t>
      </w:r>
    </w:p>
    <w:p w14:paraId="145923F2" w14:textId="77777777" w:rsidR="00EF750F" w:rsidRPr="006D1F4A" w:rsidRDefault="00EF750F" w:rsidP="00EF750F">
      <w:pPr>
        <w:pStyle w:val="Textonotapie"/>
        <w:ind w:firstLine="708"/>
        <w:jc w:val="both"/>
        <w:rPr>
          <w:rFonts w:ascii="Verdana" w:hAnsi="Verdana"/>
          <w:sz w:val="16"/>
          <w:szCs w:val="16"/>
          <w:lang w:val="es-CO"/>
        </w:rPr>
      </w:pPr>
      <w:r w:rsidRPr="006D1F4A">
        <w:rPr>
          <w:rFonts w:ascii="Verdana" w:hAnsi="Verdana"/>
          <w:sz w:val="16"/>
          <w:szCs w:val="16"/>
          <w:lang w:val="es-CO"/>
        </w:rPr>
        <w:t>a) Son organismos de acción comunal de primer grado las juntas de acción comunal y las juntas de vivienda comunal. La junta de acción comunal es una organización cívica, social y comunitaria de gestión social, sin ánimo de lucro, de naturaleza solidaria, con personería jurídica y patrimonio propio, integrada voluntariamente por los residentes de un lugar que aúnan esfuerzos y recursos para procurar un desarrollo integral, sostenible y sustentable con fundamento en el ejercicio de la democracia participativa;  </w:t>
      </w:r>
    </w:p>
    <w:p w14:paraId="3AC4C0D3" w14:textId="77777777" w:rsidR="00EF750F" w:rsidRPr="006D1F4A" w:rsidRDefault="00EF750F" w:rsidP="00EF750F">
      <w:pPr>
        <w:pStyle w:val="Textonotapie"/>
        <w:ind w:firstLine="708"/>
        <w:jc w:val="both"/>
        <w:rPr>
          <w:rFonts w:ascii="Verdana" w:hAnsi="Verdana"/>
          <w:sz w:val="16"/>
          <w:szCs w:val="16"/>
          <w:lang w:val="es-CO"/>
        </w:rPr>
      </w:pPr>
      <w:r w:rsidRPr="006D1F4A">
        <w:rPr>
          <w:rFonts w:ascii="Verdana" w:hAnsi="Verdana"/>
          <w:sz w:val="16"/>
          <w:szCs w:val="16"/>
          <w:lang w:val="es-CO"/>
        </w:rPr>
        <w:t>b) La junta de vivienda comunal es una organización cívica sin ánimo de lucro, integrada por familias que se reúnen con el propósito de adelantar programas de mejoramiento o de autoconstrucción de vivienda. Una vez concluido el programa, la junta de vivienda comunal se podrá asimilar a la Junta de Acción Comunal definida en el presente artículo, siempre y cuando cumpla los requisitos dispuestos en la ley;  </w:t>
      </w:r>
    </w:p>
    <w:p w14:paraId="29262430" w14:textId="77777777" w:rsidR="00EF750F" w:rsidRPr="006D1F4A" w:rsidRDefault="00EF750F" w:rsidP="00EF750F">
      <w:pPr>
        <w:pStyle w:val="Textonotapie"/>
        <w:ind w:firstLine="708"/>
        <w:jc w:val="both"/>
        <w:rPr>
          <w:rFonts w:ascii="Verdana" w:hAnsi="Verdana"/>
          <w:sz w:val="16"/>
          <w:szCs w:val="16"/>
          <w:lang w:val="es-CO"/>
        </w:rPr>
      </w:pPr>
      <w:r w:rsidRPr="006D1F4A">
        <w:rPr>
          <w:rFonts w:ascii="Verdana" w:hAnsi="Verdana"/>
          <w:sz w:val="16"/>
          <w:szCs w:val="16"/>
          <w:lang w:val="es-CO"/>
        </w:rPr>
        <w:t>c) Es organismo de acción comunal de segundo grado la asociación de juntas de acción comunal. Tienen la misma naturaleza jurídica de las juntas de acción comunal y se constituye con los organismos de primer grado fundadores y los que posteriormente se afilien;  </w:t>
      </w:r>
    </w:p>
    <w:p w14:paraId="37470E7E" w14:textId="77777777" w:rsidR="00EF750F" w:rsidRPr="006D1F4A" w:rsidRDefault="00EF750F" w:rsidP="00EF750F">
      <w:pPr>
        <w:pStyle w:val="Textonotapie"/>
        <w:ind w:firstLine="708"/>
        <w:jc w:val="both"/>
        <w:rPr>
          <w:rFonts w:ascii="Verdana" w:hAnsi="Verdana"/>
          <w:sz w:val="16"/>
          <w:szCs w:val="16"/>
          <w:lang w:val="es-CO"/>
        </w:rPr>
      </w:pPr>
      <w:r w:rsidRPr="006D1F4A">
        <w:rPr>
          <w:rFonts w:ascii="Verdana" w:hAnsi="Verdana"/>
          <w:sz w:val="16"/>
          <w:szCs w:val="16"/>
          <w:lang w:val="es-CO"/>
        </w:rPr>
        <w:t>d) Es organismo de acción comunal de tercer grado la federación de acción comunal tiene la misma naturaleza jurídica de las juntas de acción comunal y se constituye con los organismos de acción comunal de segundo grado fundadores y que posteriormente se afilien;  </w:t>
      </w:r>
    </w:p>
    <w:p w14:paraId="3C03D56F" w14:textId="77777777" w:rsidR="00EF750F" w:rsidRPr="006D1F4A" w:rsidRDefault="00EF750F" w:rsidP="00EF750F">
      <w:pPr>
        <w:pStyle w:val="Textonotapie"/>
        <w:ind w:firstLine="708"/>
        <w:jc w:val="both"/>
        <w:rPr>
          <w:rFonts w:ascii="Verdana" w:hAnsi="Verdana"/>
          <w:sz w:val="16"/>
          <w:szCs w:val="16"/>
          <w:lang w:val="es-CO"/>
        </w:rPr>
      </w:pPr>
      <w:r w:rsidRPr="006D1F4A">
        <w:rPr>
          <w:rFonts w:ascii="Verdana" w:hAnsi="Verdana"/>
          <w:sz w:val="16"/>
          <w:szCs w:val="16"/>
          <w:lang w:val="es-CO"/>
        </w:rPr>
        <w:t>e) Es organismo de acción comunal de cuarto grado, la confederación nacional de acción comunal tiene la misma naturaleza jurídica de las juntas de acción comunal y se constituye con los organismos de acción comunal de tercer grado fundadores y que posteriormente se afilien.  </w:t>
      </w:r>
    </w:p>
    <w:p w14:paraId="7A1FDF1C" w14:textId="77777777" w:rsidR="00EF750F" w:rsidRPr="006D1F4A" w:rsidRDefault="00EF750F" w:rsidP="00EF750F">
      <w:pPr>
        <w:pStyle w:val="Textonotapie"/>
        <w:jc w:val="both"/>
        <w:rPr>
          <w:rFonts w:ascii="Verdana" w:hAnsi="Verdana"/>
          <w:sz w:val="16"/>
          <w:szCs w:val="16"/>
          <w:lang w:val="es-CO"/>
        </w:rPr>
      </w:pPr>
      <w:r w:rsidRPr="006D1F4A">
        <w:rPr>
          <w:rFonts w:ascii="Verdana" w:hAnsi="Verdana"/>
          <w:bCs/>
          <w:sz w:val="16"/>
          <w:szCs w:val="16"/>
          <w:lang w:val="es-CO"/>
        </w:rPr>
        <w:t>Parágrafo 1</w:t>
      </w:r>
      <w:r w:rsidRPr="006D1F4A">
        <w:rPr>
          <w:rFonts w:ascii="Verdana" w:hAnsi="Verdana"/>
          <w:b/>
          <w:bCs/>
          <w:sz w:val="16"/>
          <w:szCs w:val="16"/>
          <w:lang w:val="es-CO"/>
        </w:rPr>
        <w:t>.</w:t>
      </w:r>
      <w:r w:rsidRPr="006D1F4A">
        <w:rPr>
          <w:rFonts w:ascii="Verdana" w:hAnsi="Verdana"/>
          <w:sz w:val="16"/>
          <w:szCs w:val="16"/>
          <w:lang w:val="es-CO"/>
        </w:rPr>
        <w:t> Cada organismo de acción comunal, se dará su propio reglamento conforme al marco brindado por esta ley enunciado en el artículo 1 y las normas que le sucedan.  </w:t>
      </w:r>
    </w:p>
    <w:p w14:paraId="33BF2291" w14:textId="77777777" w:rsidR="00EF750F" w:rsidRPr="006D1F4A" w:rsidRDefault="00EF750F" w:rsidP="00EF750F">
      <w:pPr>
        <w:pStyle w:val="Textonotapie"/>
        <w:ind w:firstLine="708"/>
        <w:jc w:val="both"/>
        <w:rPr>
          <w:rFonts w:ascii="Verdana" w:hAnsi="Verdana"/>
          <w:sz w:val="16"/>
          <w:szCs w:val="16"/>
          <w:lang w:val="es-CO"/>
        </w:rPr>
      </w:pPr>
      <w:r w:rsidRPr="006D1F4A">
        <w:rPr>
          <w:rFonts w:ascii="Verdana" w:hAnsi="Verdana"/>
          <w:bCs/>
          <w:sz w:val="16"/>
          <w:szCs w:val="16"/>
          <w:lang w:val="es-CO"/>
        </w:rPr>
        <w:t>Parágrafo 2</w:t>
      </w:r>
      <w:r w:rsidRPr="006D1F4A">
        <w:rPr>
          <w:rFonts w:ascii="Verdana" w:hAnsi="Verdana"/>
          <w:b/>
          <w:bCs/>
          <w:sz w:val="16"/>
          <w:szCs w:val="16"/>
          <w:lang w:val="es-CO"/>
        </w:rPr>
        <w:t>.</w:t>
      </w:r>
      <w:r w:rsidRPr="006D1F4A">
        <w:rPr>
          <w:rFonts w:ascii="Verdana" w:hAnsi="Verdana"/>
          <w:sz w:val="16"/>
          <w:szCs w:val="16"/>
          <w:lang w:val="es-CO"/>
        </w:rPr>
        <w:t> Dentro del año siguiente a la expedición de la presente Ley en concertación con la organización social de la Acción Comunal, el Gobierno Nacional expedirá una reglamentación para las Juntas de Vivienda Comunal.  </w:t>
      </w:r>
    </w:p>
  </w:footnote>
  <w:footnote w:id="18">
    <w:p w14:paraId="469DF602" w14:textId="77777777" w:rsidR="00EF750F" w:rsidRPr="006D1F4A" w:rsidRDefault="00EF750F" w:rsidP="00EF750F">
      <w:pPr>
        <w:pStyle w:val="Textonotapie"/>
        <w:contextualSpacing/>
        <w:jc w:val="both"/>
        <w:rPr>
          <w:rFonts w:ascii="Verdana" w:hAnsi="Verdana"/>
          <w:sz w:val="16"/>
          <w:szCs w:val="16"/>
        </w:rPr>
      </w:pPr>
      <w:r w:rsidRPr="006D1F4A">
        <w:rPr>
          <w:rStyle w:val="Refdenotaalpie"/>
          <w:rFonts w:ascii="Verdana" w:hAnsi="Verdana"/>
          <w:sz w:val="16"/>
          <w:szCs w:val="16"/>
        </w:rPr>
        <w:footnoteRef/>
      </w:r>
      <w:r w:rsidRPr="006D1F4A">
        <w:rPr>
          <w:rFonts w:ascii="Verdana" w:hAnsi="Verdana"/>
          <w:sz w:val="16"/>
          <w:szCs w:val="16"/>
        </w:rPr>
        <w:t xml:space="preserve"> </w:t>
      </w:r>
      <w:r w:rsidRPr="006D1F4A">
        <w:rPr>
          <w:rFonts w:ascii="Verdana" w:hAnsi="Verdana"/>
          <w:sz w:val="16"/>
          <w:szCs w:val="16"/>
        </w:rPr>
        <w:tab/>
        <w:t>Ley 1150 de 2007, Artículo 2.2, literal b): “Se entenderá por menor cuantía los valores que a continuación se relacionan, determinados en función de los presupuestos anuales de las entidades públicas expresados en salarios mínimos legales mensuales.</w:t>
      </w:r>
    </w:p>
    <w:p w14:paraId="34F382B2" w14:textId="77777777" w:rsidR="00EF750F" w:rsidRPr="006D1F4A" w:rsidRDefault="00EF750F" w:rsidP="00EF750F">
      <w:pPr>
        <w:pStyle w:val="Textonotapie"/>
        <w:ind w:firstLine="708"/>
        <w:contextualSpacing/>
        <w:jc w:val="both"/>
        <w:rPr>
          <w:rFonts w:ascii="Verdana" w:hAnsi="Verdana"/>
          <w:sz w:val="16"/>
          <w:szCs w:val="16"/>
        </w:rPr>
      </w:pPr>
      <w:r w:rsidRPr="006D1F4A">
        <w:rPr>
          <w:rFonts w:ascii="Verdana" w:hAnsi="Verdana"/>
          <w:sz w:val="16"/>
          <w:szCs w:val="16"/>
        </w:rPr>
        <w:t>|Para las entidades que tengan un presupuesto anual superior o igual a 1.200.000 salarios mínimos legales mensuales, la menor cuantía será hasta 1.000 salarios mínimos legales mensuales.</w:t>
      </w:r>
    </w:p>
    <w:p w14:paraId="7CE9A394" w14:textId="77777777" w:rsidR="00EF750F" w:rsidRPr="006D1F4A" w:rsidRDefault="00EF750F" w:rsidP="00EF750F">
      <w:pPr>
        <w:pStyle w:val="Textonotapie"/>
        <w:ind w:firstLine="708"/>
        <w:contextualSpacing/>
        <w:jc w:val="both"/>
        <w:rPr>
          <w:rFonts w:ascii="Verdana" w:hAnsi="Verdana"/>
          <w:sz w:val="16"/>
          <w:szCs w:val="16"/>
        </w:rPr>
      </w:pPr>
      <w:r w:rsidRPr="006D1F4A">
        <w:rPr>
          <w:rFonts w:ascii="Verdana" w:hAnsi="Verdana"/>
          <w:sz w:val="16"/>
          <w:szCs w:val="16"/>
        </w:rPr>
        <w:t>Las que tengan un presupuesto anual superior o igual a 850.000 salarios mínimos legales mensuales e inferiores a 1.200.000 salarios mínimos legales mensuales, la menor cuantía será hasta 850 salarios mínimos legales mensuales.</w:t>
      </w:r>
    </w:p>
    <w:p w14:paraId="2A355875" w14:textId="77777777" w:rsidR="00EF750F" w:rsidRPr="006D1F4A" w:rsidRDefault="00EF750F" w:rsidP="00EF750F">
      <w:pPr>
        <w:pStyle w:val="Textonotapie"/>
        <w:ind w:firstLine="708"/>
        <w:contextualSpacing/>
        <w:jc w:val="both"/>
        <w:rPr>
          <w:rFonts w:ascii="Verdana" w:hAnsi="Verdana"/>
          <w:sz w:val="16"/>
          <w:szCs w:val="16"/>
        </w:rPr>
      </w:pPr>
      <w:r w:rsidRPr="006D1F4A">
        <w:rPr>
          <w:rFonts w:ascii="Verdana" w:hAnsi="Verdana"/>
          <w:sz w:val="16"/>
          <w:szCs w:val="16"/>
        </w:rPr>
        <w:t>Las que tengan un presupuesto anual superior o igual a 400.000 salarios mínimos legales mensuales e inferior a 850.000 salarios mínimos legales mensuales, la menor cuantía será hasta 650 salarios mínimos legales mensuales.</w:t>
      </w:r>
    </w:p>
    <w:p w14:paraId="5B8F455D" w14:textId="77777777" w:rsidR="00EF750F" w:rsidRPr="006D1F4A" w:rsidRDefault="00EF750F" w:rsidP="00EF750F">
      <w:pPr>
        <w:pStyle w:val="Textonotapie"/>
        <w:ind w:firstLine="708"/>
        <w:contextualSpacing/>
        <w:jc w:val="both"/>
        <w:rPr>
          <w:rFonts w:ascii="Verdana" w:hAnsi="Verdana"/>
          <w:sz w:val="16"/>
          <w:szCs w:val="16"/>
        </w:rPr>
      </w:pPr>
      <w:r w:rsidRPr="006D1F4A">
        <w:rPr>
          <w:rFonts w:ascii="Verdana" w:hAnsi="Verdana"/>
          <w:sz w:val="16"/>
          <w:szCs w:val="16"/>
        </w:rPr>
        <w:t>Las que tengan un presupuesto anual superior o igual a 120.000 salarios mínimos legales mensuales e inferior a 400.000 salarios mínimos legales mensuales, la menor cuantía será hasta 450 salarios mínimos legales mensuales.</w:t>
      </w:r>
    </w:p>
    <w:p w14:paraId="2264D7DB" w14:textId="77777777" w:rsidR="00EF750F" w:rsidRPr="006D1F4A" w:rsidRDefault="00EF750F" w:rsidP="00EF750F">
      <w:pPr>
        <w:pStyle w:val="Textonotapie"/>
        <w:ind w:firstLine="708"/>
        <w:contextualSpacing/>
        <w:jc w:val="both"/>
        <w:rPr>
          <w:rFonts w:ascii="Verdana" w:hAnsi="Verdana"/>
          <w:sz w:val="16"/>
          <w:szCs w:val="16"/>
        </w:rPr>
      </w:pPr>
      <w:r w:rsidRPr="006D1F4A">
        <w:rPr>
          <w:rFonts w:ascii="Verdana" w:hAnsi="Verdana"/>
          <w:sz w:val="16"/>
          <w:szCs w:val="16"/>
        </w:rPr>
        <w:t>Las que tengan un presupuesto anual inferior a 120.000 salarios mínimos legales mensuales, la menor cuantía será hasta 280 salarios mínimos legales mensuales”.</w:t>
      </w:r>
    </w:p>
    <w:p w14:paraId="11B9A296" w14:textId="77777777" w:rsidR="00EF750F" w:rsidRPr="006D1F4A" w:rsidRDefault="00EF750F" w:rsidP="00EF750F">
      <w:pPr>
        <w:pStyle w:val="Textonotapie"/>
        <w:contextualSpacing/>
        <w:jc w:val="both"/>
        <w:rPr>
          <w:rFonts w:ascii="Verdana" w:hAnsi="Verdana"/>
          <w:sz w:val="16"/>
          <w:szCs w:val="16"/>
          <w:lang w:val="es-ES"/>
        </w:rPr>
      </w:pPr>
    </w:p>
  </w:footnote>
  <w:footnote w:id="19">
    <w:p w14:paraId="199F068C" w14:textId="77777777" w:rsidR="00EF750F" w:rsidRPr="006D1F4A" w:rsidRDefault="00EF750F" w:rsidP="00EF750F">
      <w:pPr>
        <w:pStyle w:val="Textonotapie"/>
        <w:ind w:firstLine="708"/>
        <w:jc w:val="both"/>
        <w:rPr>
          <w:rFonts w:ascii="Verdana" w:hAnsi="Verdana"/>
          <w:sz w:val="16"/>
          <w:szCs w:val="16"/>
          <w:lang w:val="es-CO"/>
        </w:rPr>
      </w:pPr>
      <w:r w:rsidRPr="006D1F4A">
        <w:rPr>
          <w:rStyle w:val="Refdenotaalpie"/>
          <w:rFonts w:ascii="Verdana" w:hAnsi="Verdana"/>
          <w:sz w:val="16"/>
          <w:szCs w:val="16"/>
        </w:rPr>
        <w:footnoteRef/>
      </w:r>
      <w:r w:rsidRPr="006D1F4A">
        <w:rPr>
          <w:rFonts w:ascii="Verdana" w:hAnsi="Verdana"/>
          <w:sz w:val="16"/>
          <w:szCs w:val="16"/>
        </w:rPr>
        <w:t xml:space="preserve"> </w:t>
      </w:r>
      <w:r w:rsidRPr="006D1F4A">
        <w:rPr>
          <w:rFonts w:ascii="Verdana" w:hAnsi="Verdana"/>
          <w:bCs/>
          <w:sz w:val="16"/>
          <w:szCs w:val="16"/>
          <w:lang w:val="es-CO"/>
        </w:rPr>
        <w:t>Artículo 39.</w:t>
      </w:r>
      <w:r w:rsidRPr="006D1F4A">
        <w:rPr>
          <w:rFonts w:ascii="Verdana" w:hAnsi="Verdana"/>
          <w:sz w:val="16"/>
          <w:szCs w:val="16"/>
          <w:lang w:val="es-CO"/>
        </w:rPr>
        <w:t> Beneficios para los Dignatarios. Adicional a los que señalen los estatutos, los dignatarios de los organismos de acción comunal podrán tener los siguientes beneficios:  </w:t>
      </w:r>
    </w:p>
    <w:p w14:paraId="04CAE93A" w14:textId="77777777" w:rsidR="00EF750F" w:rsidRPr="006D1F4A" w:rsidRDefault="00EF750F" w:rsidP="00EF750F">
      <w:pPr>
        <w:pStyle w:val="Textonotapie"/>
        <w:ind w:firstLine="708"/>
        <w:jc w:val="both"/>
        <w:rPr>
          <w:rFonts w:ascii="Verdana" w:hAnsi="Verdana"/>
          <w:sz w:val="16"/>
          <w:szCs w:val="16"/>
          <w:lang w:val="es-CO"/>
        </w:rPr>
      </w:pPr>
      <w:r w:rsidRPr="006D1F4A">
        <w:rPr>
          <w:rFonts w:ascii="Verdana" w:hAnsi="Verdana"/>
          <w:sz w:val="16"/>
          <w:szCs w:val="16"/>
          <w:lang w:val="es-CO"/>
        </w:rPr>
        <w:t>a) Quien ejerza la representación legal de un organismo de acción comunal podrá percibir ingresos provenientes de los recursos propios generados por el organismo, para gastos de representación previa reglamentación en estatutos y autorización de la asamblea respectiva;  </w:t>
      </w:r>
    </w:p>
    <w:p w14:paraId="77620AAB" w14:textId="77777777" w:rsidR="00EF750F" w:rsidRPr="006D1F4A" w:rsidRDefault="00EF750F" w:rsidP="00EF750F">
      <w:pPr>
        <w:pStyle w:val="Textonotapie"/>
        <w:ind w:firstLine="708"/>
        <w:jc w:val="both"/>
        <w:rPr>
          <w:rFonts w:ascii="Verdana" w:hAnsi="Verdana"/>
          <w:sz w:val="16"/>
          <w:szCs w:val="16"/>
          <w:lang w:val="es-CO"/>
        </w:rPr>
      </w:pPr>
      <w:r w:rsidRPr="006D1F4A">
        <w:rPr>
          <w:rFonts w:ascii="Verdana" w:hAnsi="Verdana"/>
          <w:sz w:val="16"/>
          <w:szCs w:val="16"/>
          <w:lang w:val="es-CO"/>
        </w:rPr>
        <w:t>b) El Sena, la Escuela Superior de Administración Pública (ESAP), la Universidad Nacional Abierta y a Distancia UNAD y las demás Universidades Públicas, podrán crear programas gratuitos, presenciales y/o virtuales, y de acceso prioritario de capacitación y formación técnica, tecnológica, profesional, posgrado o de formación continua destinados a los dignatarios de los organismos de acción comunal que contribuyan al desarrollo económico y productivo de las comunidades;  </w:t>
      </w:r>
    </w:p>
    <w:p w14:paraId="07402F98" w14:textId="77777777" w:rsidR="00EF750F" w:rsidRPr="006D1F4A" w:rsidRDefault="00EF750F" w:rsidP="00EF750F">
      <w:pPr>
        <w:pStyle w:val="Textonotapie"/>
        <w:ind w:firstLine="708"/>
        <w:jc w:val="both"/>
        <w:rPr>
          <w:rFonts w:ascii="Verdana" w:hAnsi="Verdana"/>
          <w:sz w:val="16"/>
          <w:szCs w:val="16"/>
          <w:lang w:val="es-CO"/>
        </w:rPr>
      </w:pPr>
      <w:r w:rsidRPr="006D1F4A">
        <w:rPr>
          <w:rFonts w:ascii="Verdana" w:hAnsi="Verdana"/>
          <w:sz w:val="16"/>
          <w:szCs w:val="16"/>
          <w:lang w:val="es-CO"/>
        </w:rPr>
        <w:t>c) Las entidades territoriales podrán entregar a quienes ejerzan la representación legal o sean miembros de la junta directiva de un organismo de acción comunal, un subsidio en el sistema integrado de transporte o intermunicipal del municipio o distrito en el que resida o su equivalente, correspondiente al 50% del valor de hasta 60 pasajes, con el fin de garantizar el óptimo desarrollo de sus funciones, aplicando también para transporte veredal. En todo caso será solo para una persona por Junta de Acción Comunal. Las entidades territoriales que establezcan este subsidio reglamentarán previamente la fuente presupuestal que lo financia y la garantía de su efectividad;  </w:t>
      </w:r>
    </w:p>
    <w:p w14:paraId="446E9C3B" w14:textId="77777777" w:rsidR="00EF750F" w:rsidRPr="006D1F4A" w:rsidRDefault="00EF750F" w:rsidP="00EF750F">
      <w:pPr>
        <w:pStyle w:val="Textonotapie"/>
        <w:ind w:firstLine="708"/>
        <w:jc w:val="both"/>
        <w:rPr>
          <w:rFonts w:ascii="Verdana" w:hAnsi="Verdana"/>
          <w:sz w:val="16"/>
          <w:szCs w:val="16"/>
          <w:lang w:val="es-CO"/>
        </w:rPr>
      </w:pPr>
      <w:r w:rsidRPr="006D1F4A">
        <w:rPr>
          <w:rFonts w:ascii="Verdana" w:hAnsi="Verdana"/>
          <w:sz w:val="16"/>
          <w:szCs w:val="16"/>
          <w:lang w:val="es-CO"/>
        </w:rPr>
        <w:t>I d) Las entidades territoriales certificadas en educación podrán diseñar y promover programas de beneficios e incentivos que promuevan la incursión de jóvenes entre los 14 y 28 años en los organismos comunales;  </w:t>
      </w:r>
    </w:p>
    <w:p w14:paraId="626C5E3F" w14:textId="77777777" w:rsidR="00EF750F" w:rsidRPr="006D1F4A" w:rsidRDefault="00EF750F" w:rsidP="00EF750F">
      <w:pPr>
        <w:pStyle w:val="Textonotapie"/>
        <w:ind w:firstLine="708"/>
        <w:jc w:val="both"/>
        <w:rPr>
          <w:rFonts w:ascii="Verdana" w:hAnsi="Verdana"/>
          <w:sz w:val="16"/>
          <w:szCs w:val="16"/>
          <w:lang w:val="es-CO"/>
        </w:rPr>
      </w:pPr>
      <w:r w:rsidRPr="006D1F4A">
        <w:rPr>
          <w:rFonts w:ascii="Verdana" w:hAnsi="Verdana"/>
          <w:sz w:val="16"/>
          <w:szCs w:val="16"/>
          <w:lang w:val="es-CO"/>
        </w:rPr>
        <w:t>f) En caso de desplazamiento o amenaza que dificulte el desarrollo de su función como dignatario este podrá mantener su dignidad a pesar de no estar en su territorio. Por lo anterior, ningún dignatario que se encuentre bajo esta situación podrá ser sancionado por incumplir el deber contemplado en el literal c) del artículo 28 de la presente ley, siempre y cuando certifique por la autoridad competente que su vida e integridad se encuentra ante un peligro efectivo y eminente.  </w:t>
      </w:r>
    </w:p>
  </w:footnote>
  <w:footnote w:id="20">
    <w:p w14:paraId="7268766B" w14:textId="77777777" w:rsidR="00EF750F" w:rsidRPr="006D1F4A" w:rsidRDefault="00EF750F" w:rsidP="00EF750F">
      <w:pPr>
        <w:pStyle w:val="Textonotapie"/>
        <w:ind w:firstLine="708"/>
        <w:jc w:val="both"/>
        <w:rPr>
          <w:rFonts w:ascii="Verdana" w:hAnsi="Verdana"/>
          <w:sz w:val="16"/>
          <w:szCs w:val="16"/>
        </w:rPr>
      </w:pPr>
      <w:r w:rsidRPr="006D1F4A">
        <w:rPr>
          <w:rStyle w:val="Refdenotaalpie"/>
          <w:rFonts w:ascii="Verdana" w:hAnsi="Verdana"/>
          <w:sz w:val="16"/>
          <w:szCs w:val="16"/>
        </w:rPr>
        <w:footnoteRef/>
      </w:r>
      <w:r w:rsidRPr="006D1F4A">
        <w:rPr>
          <w:rFonts w:ascii="Verdana" w:hAnsi="Verdana"/>
          <w:sz w:val="16"/>
          <w:szCs w:val="16"/>
        </w:rPr>
        <w:t xml:space="preserve"> </w:t>
      </w:r>
      <w:r w:rsidRPr="006D1F4A">
        <w:rPr>
          <w:rFonts w:ascii="Verdana" w:hAnsi="Verdana"/>
          <w:bCs/>
          <w:sz w:val="16"/>
          <w:szCs w:val="16"/>
        </w:rPr>
        <w:t>Artículo 63.</w:t>
      </w:r>
      <w:r w:rsidRPr="006D1F4A">
        <w:rPr>
          <w:rFonts w:ascii="Verdana" w:hAnsi="Verdana"/>
          <w:sz w:val="16"/>
          <w:szCs w:val="16"/>
        </w:rPr>
        <w:t> Conforme con el artículo 141 de la Ley 136 de 1994, los organismos comunales podrán vincularse al desarrollo y mejoramiento municipal, mediante su participación en el ejercicio de sus funciones, la prestación de bienes y servicios o la ejecución de obras públicas a cargo de la administración central o descentralizada. Los contratos o convenios que celebren con los organismos comunales se realizarán de acuerdo con la ley y sus objetivos, se regularán por el régimen vigente de contratación para organizaciones solidarias.  </w:t>
      </w:r>
    </w:p>
    <w:p w14:paraId="2C93D76A" w14:textId="77777777" w:rsidR="00EF750F" w:rsidRPr="006D1F4A" w:rsidRDefault="00EF750F" w:rsidP="00EF750F">
      <w:pPr>
        <w:pStyle w:val="Textonotapie"/>
        <w:ind w:firstLine="708"/>
        <w:jc w:val="both"/>
        <w:rPr>
          <w:rFonts w:ascii="Verdana" w:hAnsi="Verdana"/>
          <w:sz w:val="16"/>
          <w:szCs w:val="16"/>
        </w:rPr>
      </w:pPr>
      <w:r w:rsidRPr="006D1F4A">
        <w:rPr>
          <w:rFonts w:ascii="Verdana" w:hAnsi="Verdana"/>
          <w:bCs/>
          <w:sz w:val="16"/>
          <w:szCs w:val="16"/>
        </w:rPr>
        <w:t>Parágrafo 1.</w:t>
      </w:r>
      <w:r w:rsidRPr="006D1F4A">
        <w:rPr>
          <w:rFonts w:ascii="Verdana" w:hAnsi="Verdana"/>
          <w:sz w:val="16"/>
          <w:szCs w:val="16"/>
        </w:rPr>
        <w:t> Los organismos de Acción Comunal podrán contratar con las entidades territoriales hasta por la menor cuantía de dicha entidad de conformidad con la ley.  </w:t>
      </w:r>
    </w:p>
    <w:p w14:paraId="3EBBD0C1" w14:textId="77777777" w:rsidR="00EF750F" w:rsidRPr="006D1F4A" w:rsidRDefault="00EF750F" w:rsidP="00EF750F">
      <w:pPr>
        <w:pStyle w:val="Textonotapie"/>
        <w:ind w:firstLine="708"/>
        <w:jc w:val="both"/>
        <w:rPr>
          <w:rFonts w:ascii="Verdana" w:hAnsi="Verdana"/>
          <w:sz w:val="16"/>
          <w:szCs w:val="16"/>
        </w:rPr>
      </w:pPr>
      <w:r w:rsidRPr="006D1F4A">
        <w:rPr>
          <w:rFonts w:ascii="Verdana" w:hAnsi="Verdana"/>
          <w:bCs/>
          <w:sz w:val="16"/>
          <w:szCs w:val="16"/>
        </w:rPr>
        <w:t>Parágrafo 2.</w:t>
      </w:r>
      <w:r w:rsidRPr="006D1F4A">
        <w:rPr>
          <w:rFonts w:ascii="Verdana" w:hAnsi="Verdana"/>
          <w:sz w:val="16"/>
          <w:szCs w:val="16"/>
        </w:rPr>
        <w:t> Los denominados convenios solidarios y contratos interadministrativos de mínima, que trata el presente artículo también podrán ser celebrados entre las entidades del orden nacional, departamental, distrital, local y municipal y los organismos de acción comunal para la ejecución de proyectos incluidos en el respectivo Plan Nacional de Desarrollo o para la ejecución de los proyectos derivados del Acuerdo Final de Paz, como lo son, los Programas de Desarrollo con Enfoque territorial o los Planes de Acción para la Transformación Regional -PATR o la Hoja de Ruta Única de que trata el artículo 281 de la Ley 1955 de 2019.  </w:t>
      </w:r>
    </w:p>
  </w:footnote>
  <w:footnote w:id="21">
    <w:p w14:paraId="46444E62" w14:textId="77777777" w:rsidR="00EF750F" w:rsidRPr="006D1F4A" w:rsidRDefault="00EF750F" w:rsidP="00EF750F">
      <w:pPr>
        <w:pStyle w:val="Textonotapie"/>
        <w:ind w:firstLine="708"/>
        <w:jc w:val="both"/>
        <w:rPr>
          <w:rFonts w:ascii="Verdana" w:hAnsi="Verdana"/>
          <w:sz w:val="16"/>
          <w:szCs w:val="16"/>
          <w:lang w:val="es-ES"/>
        </w:rPr>
      </w:pPr>
      <w:r w:rsidRPr="006D1F4A">
        <w:rPr>
          <w:rStyle w:val="Refdenotaalpie"/>
          <w:rFonts w:ascii="Verdana" w:hAnsi="Verdana"/>
          <w:sz w:val="16"/>
          <w:szCs w:val="16"/>
        </w:rPr>
        <w:footnoteRef/>
      </w:r>
      <w:r w:rsidRPr="006D1F4A">
        <w:rPr>
          <w:rFonts w:ascii="Verdana" w:hAnsi="Verdana"/>
          <w:sz w:val="16"/>
          <w:szCs w:val="16"/>
        </w:rPr>
        <w:t xml:space="preserve"> </w:t>
      </w:r>
      <w:r w:rsidRPr="006D1F4A">
        <w:rPr>
          <w:rFonts w:ascii="Verdana" w:hAnsi="Verdana"/>
          <w:bCs/>
          <w:sz w:val="16"/>
          <w:szCs w:val="16"/>
        </w:rPr>
        <w:t>Articulo 141.</w:t>
      </w:r>
      <w:r>
        <w:rPr>
          <w:rFonts w:ascii="Verdana" w:hAnsi="Verdana"/>
          <w:sz w:val="16"/>
          <w:szCs w:val="16"/>
        </w:rPr>
        <w:t> Vinculación al D</w:t>
      </w:r>
      <w:r w:rsidRPr="006D1F4A">
        <w:rPr>
          <w:rFonts w:ascii="Verdana" w:hAnsi="Verdana"/>
          <w:sz w:val="16"/>
          <w:szCs w:val="16"/>
        </w:rPr>
        <w:t>esarrollo Municipal: Las organizaciones comunitarias, cívicas, profesionales, juveniles, sindicales, benéficas o de utilidad común no gubernamentales, sin ánimo de lucro y constituidas con arreglo a la ley, podrán vincularse al desarrollo y mejoramiento municipal mediante su participación en él ejercicio de las funciones, la prestación de servicios o la ejecución de obras públicas a cargo de la administración central o descentralizada.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81A8A056"/>
    <w:lvl w:ilvl="0" w:tplc="240A0001">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51C0620"/>
    <w:multiLevelType w:val="hybridMultilevel"/>
    <w:tmpl w:val="48F425EC"/>
    <w:lvl w:ilvl="0" w:tplc="F5648816">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153255849">
    <w:abstractNumId w:val="8"/>
  </w:num>
  <w:num w:numId="17" w16cid:durableId="9151031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E1722"/>
    <w:rsid w:val="000F6486"/>
    <w:rsid w:val="00116940"/>
    <w:rsid w:val="00125105"/>
    <w:rsid w:val="00127233"/>
    <w:rsid w:val="0015699B"/>
    <w:rsid w:val="001A33BF"/>
    <w:rsid w:val="001E4177"/>
    <w:rsid w:val="001F0B24"/>
    <w:rsid w:val="001F7D64"/>
    <w:rsid w:val="001F7DC6"/>
    <w:rsid w:val="0022400B"/>
    <w:rsid w:val="002421BB"/>
    <w:rsid w:val="0025796E"/>
    <w:rsid w:val="002707A2"/>
    <w:rsid w:val="002951A0"/>
    <w:rsid w:val="002962BC"/>
    <w:rsid w:val="002A093D"/>
    <w:rsid w:val="002A0DD0"/>
    <w:rsid w:val="002A32E2"/>
    <w:rsid w:val="002A49AC"/>
    <w:rsid w:val="002A64FD"/>
    <w:rsid w:val="002B382C"/>
    <w:rsid w:val="002C7A84"/>
    <w:rsid w:val="002E2BF8"/>
    <w:rsid w:val="002E4FD9"/>
    <w:rsid w:val="0030657A"/>
    <w:rsid w:val="00322A85"/>
    <w:rsid w:val="00324168"/>
    <w:rsid w:val="00330834"/>
    <w:rsid w:val="003448F4"/>
    <w:rsid w:val="0036564C"/>
    <w:rsid w:val="003713B6"/>
    <w:rsid w:val="00374F5E"/>
    <w:rsid w:val="00377E3E"/>
    <w:rsid w:val="003A779E"/>
    <w:rsid w:val="003C6E83"/>
    <w:rsid w:val="003D0F4D"/>
    <w:rsid w:val="003D5B0D"/>
    <w:rsid w:val="003D7C47"/>
    <w:rsid w:val="003E0499"/>
    <w:rsid w:val="003E4F80"/>
    <w:rsid w:val="003E6439"/>
    <w:rsid w:val="003F3941"/>
    <w:rsid w:val="00406575"/>
    <w:rsid w:val="0041294F"/>
    <w:rsid w:val="00414C74"/>
    <w:rsid w:val="0042722E"/>
    <w:rsid w:val="0044528D"/>
    <w:rsid w:val="00466E39"/>
    <w:rsid w:val="00480D6C"/>
    <w:rsid w:val="0049752D"/>
    <w:rsid w:val="004A1847"/>
    <w:rsid w:val="004A305D"/>
    <w:rsid w:val="004F21C4"/>
    <w:rsid w:val="004F685F"/>
    <w:rsid w:val="00524C9A"/>
    <w:rsid w:val="00534DE6"/>
    <w:rsid w:val="005566E8"/>
    <w:rsid w:val="00574867"/>
    <w:rsid w:val="00591460"/>
    <w:rsid w:val="005A2635"/>
    <w:rsid w:val="005A65E0"/>
    <w:rsid w:val="005A6E99"/>
    <w:rsid w:val="005C3777"/>
    <w:rsid w:val="005C5CDC"/>
    <w:rsid w:val="005C6412"/>
    <w:rsid w:val="005D316B"/>
    <w:rsid w:val="005D476C"/>
    <w:rsid w:val="006200BF"/>
    <w:rsid w:val="006219F8"/>
    <w:rsid w:val="006302F7"/>
    <w:rsid w:val="00646B9F"/>
    <w:rsid w:val="00665D70"/>
    <w:rsid w:val="006900D9"/>
    <w:rsid w:val="006E698A"/>
    <w:rsid w:val="00706C16"/>
    <w:rsid w:val="00726428"/>
    <w:rsid w:val="007340C3"/>
    <w:rsid w:val="0075235A"/>
    <w:rsid w:val="00756841"/>
    <w:rsid w:val="007649AB"/>
    <w:rsid w:val="00771D0C"/>
    <w:rsid w:val="007833AC"/>
    <w:rsid w:val="007849EA"/>
    <w:rsid w:val="007B268C"/>
    <w:rsid w:val="007B7171"/>
    <w:rsid w:val="007C0C0F"/>
    <w:rsid w:val="007C3DC2"/>
    <w:rsid w:val="007E5497"/>
    <w:rsid w:val="00806F5F"/>
    <w:rsid w:val="0081606B"/>
    <w:rsid w:val="00820278"/>
    <w:rsid w:val="008258C9"/>
    <w:rsid w:val="00844AE9"/>
    <w:rsid w:val="0085386D"/>
    <w:rsid w:val="00867F95"/>
    <w:rsid w:val="008843B6"/>
    <w:rsid w:val="00891928"/>
    <w:rsid w:val="008A446D"/>
    <w:rsid w:val="008B25F1"/>
    <w:rsid w:val="008D180B"/>
    <w:rsid w:val="008E006D"/>
    <w:rsid w:val="008E4B95"/>
    <w:rsid w:val="008F0EA7"/>
    <w:rsid w:val="00923EEF"/>
    <w:rsid w:val="00924E5A"/>
    <w:rsid w:val="009419F9"/>
    <w:rsid w:val="009431C3"/>
    <w:rsid w:val="00943867"/>
    <w:rsid w:val="0095685E"/>
    <w:rsid w:val="00961B09"/>
    <w:rsid w:val="00965334"/>
    <w:rsid w:val="0097093E"/>
    <w:rsid w:val="00997C7F"/>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C3D36"/>
    <w:rsid w:val="00BD54A6"/>
    <w:rsid w:val="00BD7F72"/>
    <w:rsid w:val="00BF7425"/>
    <w:rsid w:val="00C0327D"/>
    <w:rsid w:val="00C04FB3"/>
    <w:rsid w:val="00C11D8B"/>
    <w:rsid w:val="00C15139"/>
    <w:rsid w:val="00C1592D"/>
    <w:rsid w:val="00C330EB"/>
    <w:rsid w:val="00C50D69"/>
    <w:rsid w:val="00C5365C"/>
    <w:rsid w:val="00C754BE"/>
    <w:rsid w:val="00C76B1C"/>
    <w:rsid w:val="00C925AC"/>
    <w:rsid w:val="00CB6357"/>
    <w:rsid w:val="00CC1B26"/>
    <w:rsid w:val="00D361FD"/>
    <w:rsid w:val="00D423A2"/>
    <w:rsid w:val="00D44E26"/>
    <w:rsid w:val="00D520D8"/>
    <w:rsid w:val="00D62588"/>
    <w:rsid w:val="00D63AC2"/>
    <w:rsid w:val="00D7070B"/>
    <w:rsid w:val="00D7383B"/>
    <w:rsid w:val="00D7788A"/>
    <w:rsid w:val="00DA231B"/>
    <w:rsid w:val="00DC39FC"/>
    <w:rsid w:val="00DF5254"/>
    <w:rsid w:val="00E02524"/>
    <w:rsid w:val="00E16408"/>
    <w:rsid w:val="00E20894"/>
    <w:rsid w:val="00E245AB"/>
    <w:rsid w:val="00E2764C"/>
    <w:rsid w:val="00E27F2E"/>
    <w:rsid w:val="00E50AFE"/>
    <w:rsid w:val="00E525F4"/>
    <w:rsid w:val="00E75C92"/>
    <w:rsid w:val="00E771DC"/>
    <w:rsid w:val="00E8772A"/>
    <w:rsid w:val="00E90F6B"/>
    <w:rsid w:val="00E92C27"/>
    <w:rsid w:val="00E95DF0"/>
    <w:rsid w:val="00EA0E3D"/>
    <w:rsid w:val="00EC38A7"/>
    <w:rsid w:val="00EE1AA8"/>
    <w:rsid w:val="00EF750F"/>
    <w:rsid w:val="00F23FEA"/>
    <w:rsid w:val="00F31EDC"/>
    <w:rsid w:val="00F462B3"/>
    <w:rsid w:val="00F5664F"/>
    <w:rsid w:val="00F666C4"/>
    <w:rsid w:val="00F76AFC"/>
    <w:rsid w:val="00FA47C0"/>
    <w:rsid w:val="00FB5DD1"/>
    <w:rsid w:val="00FC2B5D"/>
    <w:rsid w:val="00FC4D7C"/>
    <w:rsid w:val="00FF107F"/>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EF750F"/>
    <w:pPr>
      <w:spacing w:line="240" w:lineRule="exact"/>
    </w:pPr>
    <w:rPr>
      <w:vertAlign w:val="superscript"/>
    </w:rPr>
  </w:style>
  <w:style w:type="character" w:customStyle="1" w:styleId="NormalWebCar">
    <w:name w:val="Normal (Web) Car"/>
    <w:link w:val="NormalWeb"/>
    <w:uiPriority w:val="99"/>
    <w:locked/>
    <w:rsid w:val="00EF750F"/>
    <w:rPr>
      <w:rFonts w:ascii="Times New Roman" w:eastAsia="Times New Roman" w:hAnsi="Times New Roman" w:cs="Times New Roman"/>
      <w:sz w:val="24"/>
      <w:szCs w:val="24"/>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F750F"/>
    <w:rPr>
      <w:rFonts w:ascii="Geomanist Light" w:hAnsi="Geomanist Light"/>
      <w:lang w:val="es-ES"/>
    </w:rPr>
  </w:style>
  <w:style w:type="paragraph" w:styleId="Textoindependiente">
    <w:name w:val="Body Text"/>
    <w:basedOn w:val="Normal"/>
    <w:link w:val="TextoindependienteCar"/>
    <w:uiPriority w:val="1"/>
    <w:unhideWhenUsed/>
    <w:qFormat/>
    <w:rsid w:val="00EF750F"/>
    <w:pPr>
      <w:spacing w:after="120"/>
    </w:pPr>
  </w:style>
  <w:style w:type="character" w:customStyle="1" w:styleId="TextoindependienteCar">
    <w:name w:val="Texto independiente Car"/>
    <w:basedOn w:val="Fuentedeprrafopredeter"/>
    <w:link w:val="Textoindependiente"/>
    <w:uiPriority w:val="1"/>
    <w:rsid w:val="00EF750F"/>
  </w:style>
  <w:style w:type="character" w:customStyle="1" w:styleId="s15">
    <w:name w:val="s15"/>
    <w:basedOn w:val="Fuentedeprrafopredeter"/>
    <w:rsid w:val="00EF750F"/>
  </w:style>
  <w:style w:type="character" w:customStyle="1" w:styleId="apple-converted-space">
    <w:name w:val="apple-converted-space"/>
    <w:basedOn w:val="Fuentedeprrafopredeter"/>
    <w:rsid w:val="00EF75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archivos/manual/guia-para-la-celebracion-de-convenios-solidarios"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archivos/manual/manual-para-determinar-y-verificar-los-requisitos-habilitantes-en-los-procesos-de-contratacion"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unta.sanfrancisco2@gmail.com" TargetMode="External"/><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archivos/manual/guia-para-la-celebracion-de-convenios-solidarios" TargetMode="External"/><Relationship Id="rId1" Type="http://schemas.openxmlformats.org/officeDocument/2006/relationships/hyperlink" Target="https://colombiacompra.gov.co/sites/cce_public/files/cce_documents/cce-eicp-ma-04._manual_requisitos_habilitantes_v3_29-09-2023.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C55E34F2-96AE-4C4B-8D3D-CA549D3E4E1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12</TotalTime>
  <Pages>25</Pages>
  <Words>8190</Words>
  <Characters>44232</Characters>
  <Application>Microsoft Office Word</Application>
  <DocSecurity>0</DocSecurity>
  <Lines>804</Lines>
  <Paragraphs>157</Paragraphs>
  <ScaleCrop>false</ScaleCrop>
  <Company/>
  <LinksUpToDate>false</LinksUpToDate>
  <CharactersWithSpaces>52265</CharactersWithSpaces>
  <SharedDoc>false</SharedDoc>
  <HLinks>
    <vt:vector size="42" baseType="variant">
      <vt:variant>
        <vt:i4>3276900</vt:i4>
      </vt:variant>
      <vt:variant>
        <vt:i4>12</vt:i4>
      </vt:variant>
      <vt:variant>
        <vt:i4>0</vt:i4>
      </vt:variant>
      <vt:variant>
        <vt:i4>5</vt:i4>
      </vt:variant>
      <vt:variant>
        <vt:lpwstr>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vt:lpwstr>
      </vt:variant>
      <vt:variant>
        <vt:lpwstr/>
      </vt:variant>
      <vt:variant>
        <vt:i4>7471218</vt:i4>
      </vt:variant>
      <vt:variant>
        <vt:i4>9</vt:i4>
      </vt:variant>
      <vt:variant>
        <vt:i4>0</vt:i4>
      </vt:variant>
      <vt:variant>
        <vt:i4>5</vt:i4>
      </vt:variant>
      <vt:variant>
        <vt:lpwstr>https://relatoria.colombiacompra.gov.co/busqueda/conceptos</vt:lpwstr>
      </vt:variant>
      <vt:variant>
        <vt:lpwstr/>
      </vt:variant>
      <vt:variant>
        <vt:i4>6946852</vt:i4>
      </vt:variant>
      <vt:variant>
        <vt:i4>6</vt:i4>
      </vt:variant>
      <vt:variant>
        <vt:i4>0</vt:i4>
      </vt:variant>
      <vt:variant>
        <vt:i4>5</vt:i4>
      </vt:variant>
      <vt:variant>
        <vt:lpwstr>https://www.colombiacompra.gov.co/archivos/manual/guia-para-la-celebracion-de-convenios-solidarios</vt:lpwstr>
      </vt:variant>
      <vt:variant>
        <vt:lpwstr/>
      </vt:variant>
      <vt:variant>
        <vt:i4>65617</vt:i4>
      </vt:variant>
      <vt:variant>
        <vt:i4>3</vt:i4>
      </vt:variant>
      <vt:variant>
        <vt:i4>0</vt:i4>
      </vt:variant>
      <vt:variant>
        <vt:i4>5</vt:i4>
      </vt:variant>
      <vt:variant>
        <vt:lpwstr>https://www.colombiacompra.gov.co/archivos/manual/manual-para-determinar-y-verificar-los-requisitos-habilitantes-en-los-procesos-de-contratacion</vt:lpwstr>
      </vt:variant>
      <vt:variant>
        <vt:lpwstr/>
      </vt:variant>
      <vt:variant>
        <vt:i4>5898361</vt:i4>
      </vt:variant>
      <vt:variant>
        <vt:i4>0</vt:i4>
      </vt:variant>
      <vt:variant>
        <vt:i4>0</vt:i4>
      </vt:variant>
      <vt:variant>
        <vt:i4>5</vt:i4>
      </vt:variant>
      <vt:variant>
        <vt:lpwstr>mailto:junta.sanfrancisco2@gmail.com</vt:lpwstr>
      </vt:variant>
      <vt:variant>
        <vt:lpwstr/>
      </vt:variant>
      <vt:variant>
        <vt:i4>6946852</vt:i4>
      </vt:variant>
      <vt:variant>
        <vt:i4>3</vt:i4>
      </vt:variant>
      <vt:variant>
        <vt:i4>0</vt:i4>
      </vt:variant>
      <vt:variant>
        <vt:i4>5</vt:i4>
      </vt:variant>
      <vt:variant>
        <vt:lpwstr>https://www.colombiacompra.gov.co/archivos/manual/guia-para-la-celebracion-de-convenios-solidarios</vt:lpwstr>
      </vt:variant>
      <vt:variant>
        <vt:lpwstr/>
      </vt:variant>
      <vt:variant>
        <vt:i4>5111908</vt:i4>
      </vt:variant>
      <vt:variant>
        <vt:i4>0</vt:i4>
      </vt:variant>
      <vt:variant>
        <vt:i4>0</vt:i4>
      </vt:variant>
      <vt:variant>
        <vt:i4>5</vt:i4>
      </vt:variant>
      <vt:variant>
        <vt:lpwstr>https://colombiacompra.gov.co/sites/cce_public/files/cce_documents/cce-eicp-ma-04._manual_requisitos_habilitantes_v3_29-09-2023.pdf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9</cp:revision>
  <cp:lastPrinted>2023-01-10T21:18:00Z</cp:lastPrinted>
  <dcterms:created xsi:type="dcterms:W3CDTF">2026-01-22T21:51:00Z</dcterms:created>
  <dcterms:modified xsi:type="dcterms:W3CDTF">2026-01-27T15:47:00Z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