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910EB7" w14:textId="77777777" w:rsidR="00F47FAD" w:rsidRPr="00F47FAD" w:rsidRDefault="00F47FAD" w:rsidP="00F47FAD">
      <w:pPr>
        <w:spacing w:line="276" w:lineRule="auto"/>
        <w:rPr>
          <w:rFonts w:ascii="Verdana" w:eastAsia="Calibri" w:hAnsi="Verdana" w:cs="Arial"/>
          <w:b/>
          <w:bCs/>
          <w:lang w:val="es-ES" w:eastAsia="es-ES"/>
        </w:rPr>
      </w:pPr>
      <w:bookmarkStart w:id="0" w:name="_Hlk143780582"/>
      <w:r w:rsidRPr="00F47FAD">
        <w:rPr>
          <w:rFonts w:ascii="Verdana" w:eastAsia="Calibri" w:hAnsi="Verdana" w:cs="Arial"/>
          <w:b/>
          <w:bCs/>
          <w:lang w:val="es-ES" w:eastAsia="es-ES"/>
        </w:rPr>
        <w:t xml:space="preserve">GARANTÍAS – Contratación estatal – Constitución de garantías – Finalidad – Cumplimiento – Obligaciones contractuales </w:t>
      </w:r>
    </w:p>
    <w:p w14:paraId="732E9FB9" w14:textId="68ACFD40" w:rsidR="00F47FAD" w:rsidRDefault="00F47FAD" w:rsidP="00F47FAD">
      <w:pPr>
        <w:spacing w:line="276" w:lineRule="auto"/>
        <w:jc w:val="both"/>
        <w:rPr>
          <w:rFonts w:ascii="Verdana" w:eastAsia="Calibri" w:hAnsi="Verdana" w:cs="Arial"/>
          <w:lang w:val="es-ES" w:eastAsia="es-ES"/>
        </w:rPr>
      </w:pPr>
      <w:r w:rsidRPr="00AB1D80">
        <w:rPr>
          <w:rFonts w:ascii="Verdana" w:eastAsia="Calibri" w:hAnsi="Verdana" w:cs="Arial"/>
          <w:color w:val="000000" w:themeColor="text1"/>
          <w:lang w:eastAsia="es-ES_tradnl"/>
        </w:rPr>
        <w:t>En los contratos estatales, por regla general, en la etapa precontractual y en la contractual</w:t>
      </w:r>
      <w:r>
        <w:rPr>
          <w:rFonts w:ascii="Verdana" w:eastAsia="Calibri" w:hAnsi="Verdana" w:cs="Arial"/>
          <w:color w:val="000000" w:themeColor="text1"/>
          <w:lang w:eastAsia="es-ES_tradnl"/>
        </w:rPr>
        <w:t>,</w:t>
      </w:r>
      <w:r w:rsidRPr="00AB1D80">
        <w:rPr>
          <w:rFonts w:ascii="Verdana" w:eastAsia="Calibri" w:hAnsi="Verdana" w:cs="Arial"/>
          <w:color w:val="000000" w:themeColor="text1"/>
          <w:lang w:eastAsia="es-ES_tradnl"/>
        </w:rPr>
        <w:t xml:space="preserve"> se requiere la constitución de garantías. Mientras las garantías en la primera etapa implican una caución provisional que avala la propuesta y es una garantía precontractual –y parcialmente contractual– destinada a asegurar la suscripción del acuerdo, entre otras obligaciones; las garantías en la segunda etapa son un mecanismo de cobertura del riesgo derivado del incumplimiento de las obligaciones del contrato. </w:t>
      </w:r>
      <w:r w:rsidRPr="00983DE2">
        <w:rPr>
          <w:rFonts w:ascii="Verdana" w:hAnsi="Verdana" w:cs="Arial"/>
          <w:color w:val="000000"/>
          <w:shd w:val="clear" w:color="auto" w:fill="FFFFFF"/>
          <w:lang w:val="es-ES"/>
        </w:rPr>
        <w:t>Por un lado, l</w:t>
      </w:r>
      <w:r w:rsidRPr="00983DE2">
        <w:rPr>
          <w:rFonts w:ascii="Verdana" w:eastAsia="Calibri" w:hAnsi="Verdana" w:cs="Arial"/>
          <w:color w:val="000000" w:themeColor="text1"/>
          <w:lang w:val="es-ES"/>
        </w:rPr>
        <w:t xml:space="preserve">a </w:t>
      </w:r>
      <w:r w:rsidRPr="00983DE2">
        <w:rPr>
          <w:rFonts w:ascii="Verdana" w:eastAsia="Calibri" w:hAnsi="Verdana" w:cs="Arial"/>
          <w:i/>
          <w:iCs/>
          <w:color w:val="000000" w:themeColor="text1"/>
          <w:lang w:val="es-ES"/>
        </w:rPr>
        <w:t>garantía de seriedad</w:t>
      </w:r>
      <w:r w:rsidRPr="00983DE2">
        <w:rPr>
          <w:rFonts w:ascii="Verdana" w:eastAsia="Calibri" w:hAnsi="Verdana" w:cs="Arial"/>
          <w:color w:val="000000" w:themeColor="text1"/>
          <w:lang w:val="es-ES"/>
        </w:rPr>
        <w:t xml:space="preserve"> respalda al principio de irrevocabilidad de la oferta, caso en el cual los proponentes que pierdan interés en la adjudicación resarcirán los perjuicios causados por su retiro del proceso de selección. Naturalmente, esta garantía solo la constituyen quienes presenten las propuestas, motivo por el cual sus efectos no se extienden a personas ajenas a la actividad precontractual; sin perjuicio de que la póliza sea un mecanismo 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p>
    <w:p w14:paraId="5EE1AE34" w14:textId="74942A7B" w:rsidR="00F47FAD" w:rsidRPr="00F47FAD" w:rsidRDefault="00F47FAD" w:rsidP="00F47FAD">
      <w:pPr>
        <w:spacing w:line="276" w:lineRule="auto"/>
        <w:rPr>
          <w:rFonts w:ascii="Verdana" w:eastAsia="Calibri" w:hAnsi="Verdana" w:cs="Arial"/>
          <w:b/>
          <w:bCs/>
          <w:lang w:val="es-ES" w:eastAsia="es-ES"/>
        </w:rPr>
      </w:pPr>
      <w:r w:rsidRPr="00F47FAD">
        <w:rPr>
          <w:rFonts w:ascii="Verdana" w:eastAsia="Calibri" w:hAnsi="Verdana" w:cs="Arial"/>
          <w:b/>
          <w:bCs/>
          <w:lang w:val="es-ES" w:eastAsia="es-ES"/>
        </w:rPr>
        <w:t>GARANTÍA DE OFERENTE PLURAL</w:t>
      </w:r>
    </w:p>
    <w:p w14:paraId="249F0471" w14:textId="79DB6084" w:rsidR="00F47FAD" w:rsidRPr="00340CA1" w:rsidRDefault="00F47FAD" w:rsidP="00F47FAD">
      <w:pPr>
        <w:spacing w:before="120" w:after="0" w:line="276" w:lineRule="auto"/>
        <w:jc w:val="both"/>
        <w:rPr>
          <w:rFonts w:ascii="Verdana" w:hAnsi="Verdana" w:cs="Arial"/>
          <w:color w:val="000000" w:themeColor="text1"/>
        </w:rPr>
      </w:pPr>
      <w:r>
        <w:rPr>
          <w:rFonts w:ascii="Verdana" w:hAnsi="Verdana" w:cs="Arial"/>
          <w:color w:val="000000" w:themeColor="text1"/>
        </w:rPr>
        <w:t xml:space="preserve">[…] debe tenerse en cuenta la regulación especial del Decreto 1082 de 2015, que en su artículo </w:t>
      </w:r>
      <w:r>
        <w:rPr>
          <w:rFonts w:ascii="Verdana" w:eastAsia="Times New Roman" w:hAnsi="Verdana" w:cs="Arial"/>
          <w:color w:val="000000" w:themeColor="text1"/>
          <w:lang w:val="es-ES" w:eastAsia="es-CO"/>
        </w:rPr>
        <w:t>2.2.1.2.3.1.4. establece que las garantías de los oferentes plurales deben ser otorgadas por todos sus integrantes.</w:t>
      </w:r>
    </w:p>
    <w:p w14:paraId="2C6D16A6" w14:textId="77777777" w:rsidR="00F47FAD" w:rsidRDefault="00F47FAD" w:rsidP="00C15139">
      <w:pPr>
        <w:spacing w:after="0"/>
        <w:rPr>
          <w:rFonts w:ascii="Verdana" w:hAnsi="Verdana"/>
        </w:rPr>
      </w:pPr>
    </w:p>
    <w:p w14:paraId="65DCD9E5" w14:textId="7012A47B" w:rsidR="00F47FAD" w:rsidRDefault="00F47FAD" w:rsidP="00C15139">
      <w:pPr>
        <w:spacing w:after="0"/>
        <w:rPr>
          <w:rFonts w:ascii="Verdana" w:hAnsi="Verdana"/>
        </w:rPr>
      </w:pPr>
    </w:p>
    <w:p w14:paraId="163CFEB1" w14:textId="3D039774" w:rsidR="00F47FAD" w:rsidRDefault="00F47FAD" w:rsidP="00C15139">
      <w:pPr>
        <w:spacing w:after="0"/>
        <w:rPr>
          <w:rFonts w:ascii="Verdana" w:hAnsi="Verdana"/>
        </w:rPr>
      </w:pPr>
    </w:p>
    <w:p w14:paraId="4DD61E19" w14:textId="2A4D8092" w:rsidR="00F47FAD" w:rsidRDefault="00F47FAD" w:rsidP="00C15139">
      <w:pPr>
        <w:spacing w:after="0"/>
        <w:rPr>
          <w:rFonts w:ascii="Verdana" w:hAnsi="Verdana"/>
        </w:rPr>
      </w:pPr>
    </w:p>
    <w:p w14:paraId="7A4A328F" w14:textId="0B8289C5" w:rsidR="00F47FAD" w:rsidRDefault="00F47FAD" w:rsidP="00C15139">
      <w:pPr>
        <w:spacing w:after="0"/>
        <w:rPr>
          <w:rFonts w:ascii="Verdana" w:hAnsi="Verdana"/>
        </w:rPr>
      </w:pPr>
    </w:p>
    <w:p w14:paraId="29EBFABF" w14:textId="5CFF435B" w:rsidR="00F47FAD" w:rsidRDefault="00F47FAD" w:rsidP="00C15139">
      <w:pPr>
        <w:spacing w:after="0"/>
        <w:rPr>
          <w:rFonts w:ascii="Verdana" w:hAnsi="Verdana"/>
        </w:rPr>
      </w:pPr>
    </w:p>
    <w:p w14:paraId="47C7EF52" w14:textId="5C3500E4" w:rsidR="00F47FAD" w:rsidRDefault="00F47FAD" w:rsidP="00C15139">
      <w:pPr>
        <w:spacing w:after="0"/>
        <w:rPr>
          <w:rFonts w:ascii="Verdana" w:hAnsi="Verdana"/>
        </w:rPr>
      </w:pPr>
    </w:p>
    <w:p w14:paraId="78701E70" w14:textId="77777777" w:rsidR="00F47FAD" w:rsidRDefault="00F47FAD" w:rsidP="00C15139">
      <w:pPr>
        <w:spacing w:after="0"/>
        <w:rPr>
          <w:rFonts w:ascii="Verdana" w:hAnsi="Verdana"/>
        </w:rPr>
      </w:pPr>
    </w:p>
    <w:p w14:paraId="6EBA04B0" w14:textId="77777777" w:rsidR="00F47FAD" w:rsidRDefault="00F47FAD" w:rsidP="00C15139">
      <w:pPr>
        <w:spacing w:after="0"/>
        <w:rPr>
          <w:rFonts w:ascii="Verdana" w:hAnsi="Verdana"/>
        </w:rPr>
      </w:pPr>
    </w:p>
    <w:p w14:paraId="52601A31" w14:textId="43F6360E" w:rsidR="00B72D12" w:rsidRDefault="00B72D12" w:rsidP="00C15139">
      <w:pPr>
        <w:spacing w:after="0"/>
        <w:rPr>
          <w:rFonts w:ascii="Verdana" w:hAnsi="Verdana"/>
        </w:rPr>
      </w:pPr>
      <w:r w:rsidRPr="00B72D12">
        <w:rPr>
          <w:rFonts w:ascii="Verdana" w:hAnsi="Verdana"/>
        </w:rPr>
        <w:lastRenderedPageBreak/>
        <w:drawing>
          <wp:anchor distT="0" distB="0" distL="114300" distR="114300" simplePos="0" relativeHeight="251658240" behindDoc="1" locked="0" layoutInCell="1" allowOverlap="1" wp14:anchorId="5298ED8C" wp14:editId="637ADAA0">
            <wp:simplePos x="0" y="0"/>
            <wp:positionH relativeFrom="column">
              <wp:posOffset>2955097</wp:posOffset>
            </wp:positionH>
            <wp:positionV relativeFrom="paragraph">
              <wp:posOffset>239892</wp:posOffset>
            </wp:positionV>
            <wp:extent cx="3362325" cy="1009650"/>
            <wp:effectExtent l="0" t="0" r="9525" b="0"/>
            <wp:wrapTight wrapText="bothSides">
              <wp:wrapPolygon edited="0">
                <wp:start x="0" y="0"/>
                <wp:lineTo x="0" y="21192"/>
                <wp:lineTo x="21539" y="21192"/>
                <wp:lineTo x="21539" y="0"/>
                <wp:lineTo x="0" y="0"/>
              </wp:wrapPolygon>
            </wp:wrapTight>
            <wp:docPr id="3763119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31192"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362325" cy="1009650"/>
                    </a:xfrm>
                    <a:prstGeom prst="rect">
                      <a:avLst/>
                    </a:prstGeom>
                  </pic:spPr>
                </pic:pic>
              </a:graphicData>
            </a:graphic>
          </wp:anchor>
        </w:drawing>
      </w:r>
      <w:r w:rsidR="00C15139" w:rsidRPr="0024624F">
        <w:rPr>
          <w:rFonts w:ascii="Verdana" w:hAnsi="Verdana"/>
        </w:rPr>
        <w:t xml:space="preserve">Bogotá D.C., </w:t>
      </w:r>
      <w:r w:rsidR="00F47FAD">
        <w:rPr>
          <w:rFonts w:ascii="Verdana" w:hAnsi="Verdana"/>
        </w:rPr>
        <w:t xml:space="preserve">30 </w:t>
      </w:r>
      <w:r w:rsidR="009D0D95">
        <w:rPr>
          <w:rFonts w:ascii="Verdana" w:hAnsi="Verdana"/>
        </w:rPr>
        <w:t>diciembre</w:t>
      </w:r>
      <w:r w:rsidR="00F47FAD">
        <w:rPr>
          <w:rFonts w:ascii="Verdana" w:hAnsi="Verdana"/>
        </w:rPr>
        <w:t xml:space="preserve"> 2025</w:t>
      </w:r>
      <w:r w:rsidR="00C15139" w:rsidRPr="000E2B93">
        <w:rPr>
          <w:rFonts w:ascii="Verdana" w:hAnsi="Verdana"/>
        </w:rPr>
        <w:tab/>
      </w:r>
      <w:r w:rsidR="00C15139" w:rsidRPr="000E2B93">
        <w:rPr>
          <w:rFonts w:ascii="Verdana" w:hAnsi="Verdana"/>
        </w:rPr>
        <w:br/>
      </w:r>
    </w:p>
    <w:p w14:paraId="7B38F047" w14:textId="5920F073" w:rsidR="00B72D12" w:rsidRDefault="00B72D12" w:rsidP="00C15139">
      <w:pPr>
        <w:spacing w:after="0"/>
        <w:rPr>
          <w:rFonts w:ascii="Verdana" w:hAnsi="Verdana"/>
        </w:rPr>
      </w:pPr>
    </w:p>
    <w:p w14:paraId="1468C46D" w14:textId="189406D8" w:rsidR="00C15139" w:rsidRPr="0024624F" w:rsidRDefault="00C15139" w:rsidP="00C15139">
      <w:pPr>
        <w:spacing w:after="0"/>
        <w:rPr>
          <w:rFonts w:ascii="Verdana" w:hAnsi="Verdana"/>
        </w:rPr>
      </w:pPr>
      <w:r w:rsidRPr="0024624F">
        <w:rPr>
          <w:rFonts w:ascii="Verdana" w:hAnsi="Verdana"/>
        </w:rPr>
        <w:tab/>
      </w:r>
    </w:p>
    <w:p w14:paraId="12443EE0" w14:textId="77777777" w:rsidR="00C15139" w:rsidRDefault="00C15139" w:rsidP="00C15139">
      <w:pPr>
        <w:spacing w:after="0"/>
        <w:rPr>
          <w:rFonts w:ascii="Verdana" w:hAnsi="Verdana"/>
        </w:rPr>
      </w:pPr>
    </w:p>
    <w:p w14:paraId="6E19DBDD" w14:textId="77777777" w:rsidR="00B72D12" w:rsidRDefault="00B72D12" w:rsidP="00C15139">
      <w:pPr>
        <w:spacing w:after="0"/>
        <w:rPr>
          <w:rFonts w:ascii="Verdana" w:hAnsi="Verdana"/>
        </w:rPr>
      </w:pPr>
    </w:p>
    <w:p w14:paraId="56BE9907" w14:textId="77777777" w:rsidR="00B72D12" w:rsidRPr="0024624F" w:rsidRDefault="00B72D12" w:rsidP="00C15139">
      <w:pPr>
        <w:spacing w:after="0"/>
        <w:rPr>
          <w:rFonts w:ascii="Verdana" w:hAnsi="Verdana"/>
        </w:rPr>
      </w:pPr>
    </w:p>
    <w:p w14:paraId="58278A3C" w14:textId="77777777" w:rsidR="00EE2FC5" w:rsidRPr="0051487B" w:rsidRDefault="00EE2FC5" w:rsidP="00EE2FC5">
      <w:pPr>
        <w:spacing w:after="0" w:line="240" w:lineRule="auto"/>
        <w:jc w:val="both"/>
        <w:rPr>
          <w:rFonts w:ascii="Verdana" w:eastAsia="Calibri" w:hAnsi="Verdana" w:cs="Arial"/>
          <w:lang w:val="de-DE" w:eastAsia="es-ES"/>
        </w:rPr>
      </w:pPr>
      <w:bookmarkStart w:id="1" w:name="_Hlk217672622"/>
      <w:bookmarkEnd w:id="0"/>
      <w:r w:rsidRPr="0051487B">
        <w:rPr>
          <w:rFonts w:ascii="Verdana" w:eastAsia="Calibri" w:hAnsi="Verdana" w:cs="Arial"/>
          <w:lang w:val="de-DE" w:eastAsia="es-ES"/>
        </w:rPr>
        <w:t>Señor</w:t>
      </w:r>
    </w:p>
    <w:p w14:paraId="7FEF114F" w14:textId="77777777" w:rsidR="00EE2FC5" w:rsidRPr="0051487B" w:rsidRDefault="00EE2FC5" w:rsidP="00EE2FC5">
      <w:pPr>
        <w:spacing w:after="0" w:line="240" w:lineRule="auto"/>
        <w:rPr>
          <w:rFonts w:ascii="Verdana" w:eastAsia="Calibri" w:hAnsi="Verdana" w:cs="Arial"/>
          <w:b/>
          <w:lang w:val="de-DE" w:eastAsia="es-ES"/>
        </w:rPr>
      </w:pPr>
      <w:r>
        <w:rPr>
          <w:rFonts w:ascii="Verdana" w:eastAsia="Calibri" w:hAnsi="Verdana" w:cs="Arial"/>
          <w:b/>
          <w:lang w:val="de-DE" w:eastAsia="es-ES"/>
        </w:rPr>
        <w:t>Andrés Felipe Guzmán Rojas</w:t>
      </w:r>
    </w:p>
    <w:p w14:paraId="11780B06" w14:textId="77777777" w:rsidR="00EE2FC5" w:rsidRDefault="00EE2FC5" w:rsidP="00EE2FC5">
      <w:pPr>
        <w:spacing w:after="0" w:line="240" w:lineRule="auto"/>
        <w:rPr>
          <w:rFonts w:ascii="Verdana" w:hAnsi="Verdana" w:cs="ArialMT"/>
          <w:lang w:val="de-DE"/>
        </w:rPr>
      </w:pPr>
      <w:hyperlink r:id="rId11" w:history="1">
        <w:r w:rsidRPr="00E86F04">
          <w:rPr>
            <w:rStyle w:val="Hipervnculo"/>
            <w:rFonts w:ascii="Verdana" w:hAnsi="Verdana" w:cs="ArialMT"/>
            <w:lang w:val="de-DE"/>
          </w:rPr>
          <w:t>andresabog@outlook.com</w:t>
        </w:r>
      </w:hyperlink>
      <w:r>
        <w:rPr>
          <w:rFonts w:ascii="Verdana" w:hAnsi="Verdana" w:cs="ArialMT"/>
          <w:lang w:val="de-DE"/>
        </w:rPr>
        <w:t xml:space="preserve">  </w:t>
      </w:r>
      <w:r w:rsidRPr="0051487B">
        <w:rPr>
          <w:rFonts w:ascii="Verdana" w:hAnsi="Verdana" w:cs="ArialMT"/>
          <w:lang w:val="de-DE"/>
        </w:rPr>
        <w:t xml:space="preserve">   </w:t>
      </w:r>
    </w:p>
    <w:p w14:paraId="454B9A74" w14:textId="77777777" w:rsidR="00EE2FC5" w:rsidRPr="00BA3D4C" w:rsidRDefault="00EE2FC5" w:rsidP="00EE2FC5">
      <w:pPr>
        <w:spacing w:after="0" w:line="240" w:lineRule="auto"/>
        <w:rPr>
          <w:rFonts w:ascii="Verdana" w:hAnsi="Verdana" w:cs="ArialMT"/>
          <w:lang w:val="de-DE"/>
        </w:rPr>
      </w:pPr>
      <w:r>
        <w:rPr>
          <w:rFonts w:ascii="Verdana" w:hAnsi="Verdana" w:cs="ArialMT"/>
          <w:lang w:val="de-DE"/>
        </w:rPr>
        <w:t>Bogotá D.C.</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EE2FC5" w:rsidRPr="00C53B42" w14:paraId="3DF32A7A" w14:textId="77777777" w:rsidTr="00BE67FB">
        <w:trPr>
          <w:trHeight w:val="218"/>
        </w:trPr>
        <w:tc>
          <w:tcPr>
            <w:tcW w:w="2175" w:type="dxa"/>
          </w:tcPr>
          <w:p w14:paraId="0071339A" w14:textId="77777777" w:rsidR="00EE2FC5" w:rsidRPr="00C53B42" w:rsidRDefault="00EE2FC5" w:rsidP="00BE67FB">
            <w:pPr>
              <w:jc w:val="both"/>
              <w:rPr>
                <w:rFonts w:ascii="Verdana" w:eastAsia="Calibri" w:hAnsi="Verdana" w:cs="Arial"/>
                <w:b/>
                <w:bCs/>
                <w:color w:val="7030A0"/>
                <w:lang w:val="es-ES_tradnl" w:eastAsia="es-ES_tradnl"/>
              </w:rPr>
            </w:pPr>
          </w:p>
        </w:tc>
        <w:tc>
          <w:tcPr>
            <w:tcW w:w="6614" w:type="dxa"/>
            <w:hideMark/>
          </w:tcPr>
          <w:p w14:paraId="11D55E29" w14:textId="77777777" w:rsidR="00EE2FC5" w:rsidRDefault="00EE2FC5" w:rsidP="00BE67FB">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1833</w:t>
            </w:r>
            <w:r w:rsidRPr="00C53B42">
              <w:rPr>
                <w:rFonts w:ascii="Verdana" w:eastAsia="Calibri" w:hAnsi="Verdana" w:cs="Arial"/>
                <w:b/>
                <w:bCs/>
                <w:lang w:val="es-ES" w:eastAsia="es-ES"/>
              </w:rPr>
              <w:t xml:space="preserve"> de 2025</w:t>
            </w:r>
          </w:p>
          <w:p w14:paraId="4189FBC0" w14:textId="77777777" w:rsidR="00EE2FC5" w:rsidRPr="00C53B42" w:rsidRDefault="00EE2FC5" w:rsidP="00BE67FB">
            <w:pPr>
              <w:jc w:val="both"/>
              <w:rPr>
                <w:rFonts w:ascii="Verdana" w:eastAsia="Calibri" w:hAnsi="Verdana" w:cs="Arial"/>
                <w:b/>
                <w:bCs/>
                <w:lang w:val="es-ES" w:eastAsia="es-ES"/>
              </w:rPr>
            </w:pPr>
          </w:p>
          <w:p w14:paraId="658BC436" w14:textId="77777777" w:rsidR="00EE2FC5" w:rsidRPr="00C53B42" w:rsidRDefault="00EE2FC5" w:rsidP="00BE67FB">
            <w:pPr>
              <w:jc w:val="both"/>
              <w:rPr>
                <w:rFonts w:ascii="Verdana" w:eastAsia="Calibri" w:hAnsi="Verdana" w:cs="Arial"/>
                <w:b/>
                <w:bCs/>
                <w:lang w:val="es-ES" w:eastAsia="es-ES"/>
              </w:rPr>
            </w:pPr>
          </w:p>
        </w:tc>
      </w:tr>
      <w:tr w:rsidR="00EE2FC5" w:rsidRPr="00C53B42" w14:paraId="252053F1" w14:textId="77777777" w:rsidTr="00BE67FB">
        <w:trPr>
          <w:trHeight w:val="884"/>
        </w:trPr>
        <w:tc>
          <w:tcPr>
            <w:tcW w:w="2175" w:type="dxa"/>
            <w:hideMark/>
          </w:tcPr>
          <w:p w14:paraId="34B16283" w14:textId="77777777" w:rsidR="00EE2FC5" w:rsidRPr="00C53B42" w:rsidRDefault="00EE2FC5" w:rsidP="00BE67FB">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141D0D6A" w14:textId="77777777" w:rsidR="00EE2FC5" w:rsidRPr="00983DE2" w:rsidRDefault="00EE2FC5" w:rsidP="00BE67FB">
            <w:pPr>
              <w:spacing w:line="276" w:lineRule="auto"/>
              <w:jc w:val="both"/>
              <w:rPr>
                <w:rFonts w:ascii="Verdana" w:eastAsia="Calibri" w:hAnsi="Verdana" w:cs="Arial"/>
                <w:lang w:val="es-ES" w:eastAsia="es-ES"/>
              </w:rPr>
            </w:pPr>
            <w:r w:rsidRPr="00983DE2">
              <w:rPr>
                <w:rFonts w:ascii="Verdana" w:eastAsia="Calibri" w:hAnsi="Verdana" w:cs="Arial"/>
                <w:lang w:val="es-ES" w:eastAsia="es-ES"/>
              </w:rPr>
              <w:t xml:space="preserve">GARANTÍAS – Contratación estatal – Constitución de garantías – Finalidad – Cumplimiento – Obligaciones contractuales / GARANTÍA DE </w:t>
            </w:r>
            <w:r>
              <w:rPr>
                <w:rFonts w:ascii="Verdana" w:eastAsia="Calibri" w:hAnsi="Verdana" w:cs="Arial"/>
                <w:lang w:val="es-ES" w:eastAsia="es-ES"/>
              </w:rPr>
              <w:t>OFERENTE PLURAL</w:t>
            </w:r>
          </w:p>
          <w:p w14:paraId="39985C79" w14:textId="77777777" w:rsidR="00EE2FC5" w:rsidRPr="00BA3D4C" w:rsidRDefault="00EE2FC5" w:rsidP="00BE67FB">
            <w:pPr>
              <w:jc w:val="both"/>
              <w:rPr>
                <w:rFonts w:ascii="Verdana" w:eastAsia="Calibri" w:hAnsi="Verdana" w:cs="Arial"/>
                <w:highlight w:val="yellow"/>
                <w:lang w:val="es-ES" w:eastAsia="es-ES"/>
              </w:rPr>
            </w:pPr>
          </w:p>
        </w:tc>
      </w:tr>
      <w:tr w:rsidR="00EE2FC5" w14:paraId="140B9CDB" w14:textId="77777777" w:rsidTr="00BE67FB">
        <w:trPr>
          <w:trHeight w:val="360"/>
        </w:trPr>
        <w:tc>
          <w:tcPr>
            <w:tcW w:w="2175" w:type="dxa"/>
            <w:hideMark/>
          </w:tcPr>
          <w:p w14:paraId="6441110D" w14:textId="77777777" w:rsidR="00EE2FC5" w:rsidRPr="00C53B42" w:rsidRDefault="00EE2FC5" w:rsidP="00BE67FB">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614" w:type="dxa"/>
          </w:tcPr>
          <w:p w14:paraId="2F380B05" w14:textId="77777777" w:rsidR="00EE2FC5" w:rsidRPr="00BA3D4C" w:rsidRDefault="00EE2FC5" w:rsidP="00BE67FB">
            <w:pPr>
              <w:jc w:val="both"/>
              <w:rPr>
                <w:rFonts w:ascii="Verdana" w:eastAsia="Calibri" w:hAnsi="Verdana" w:cs="Arial"/>
                <w:highlight w:val="yellow"/>
                <w:lang w:val="es-ES_tradnl" w:eastAsia="es-ES_tradnl"/>
              </w:rPr>
            </w:pPr>
            <w:r w:rsidRPr="00BA3D4C">
              <w:rPr>
                <w:rFonts w:ascii="Verdana" w:eastAsia="Calibri" w:hAnsi="Verdana" w:cs="Arial"/>
                <w:lang w:val="es-ES_tradnl" w:eastAsia="es-ES_tradnl"/>
              </w:rPr>
              <w:t>Respuesta a consulta con radicado No. 1_2025_12_16_013999</w:t>
            </w:r>
          </w:p>
        </w:tc>
      </w:tr>
    </w:tbl>
    <w:p w14:paraId="1C8D2F77" w14:textId="77777777" w:rsidR="00EE2FC5" w:rsidRDefault="00EE2FC5" w:rsidP="00EE2FC5">
      <w:pPr>
        <w:spacing w:after="0" w:line="240" w:lineRule="auto"/>
        <w:jc w:val="both"/>
        <w:rPr>
          <w:rFonts w:ascii="Verdana" w:eastAsia="Calibri" w:hAnsi="Verdana" w:cs="Arial"/>
          <w:color w:val="000000"/>
          <w:lang w:val="es-ES_tradnl" w:eastAsia="es-ES_tradnl"/>
        </w:rPr>
      </w:pPr>
    </w:p>
    <w:p w14:paraId="6F629AA8" w14:textId="77777777" w:rsidR="00EE2FC5" w:rsidRDefault="00EE2FC5" w:rsidP="00EE2FC5">
      <w:pPr>
        <w:spacing w:after="0" w:line="240" w:lineRule="auto"/>
        <w:jc w:val="both"/>
        <w:rPr>
          <w:rFonts w:ascii="Verdana" w:eastAsia="Calibri" w:hAnsi="Verdana" w:cs="Arial"/>
          <w:color w:val="000000"/>
          <w:lang w:val="es-ES_tradnl" w:eastAsia="es-ES_tradnl"/>
        </w:rPr>
      </w:pPr>
    </w:p>
    <w:p w14:paraId="34D4023D" w14:textId="77777777" w:rsidR="00EE2FC5" w:rsidRDefault="00EE2FC5" w:rsidP="00EE2FC5">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Guzmán,</w:t>
      </w:r>
    </w:p>
    <w:p w14:paraId="4466A485" w14:textId="77777777" w:rsidR="00EE2FC5" w:rsidRDefault="00EE2FC5" w:rsidP="00EE2FC5">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0C24B4C" w14:textId="77777777" w:rsidR="00EE2FC5" w:rsidRDefault="00EE2FC5" w:rsidP="00EE2FC5">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la Agencia Nacional de Contratación Pública – Colombia Compra Eficiente</w:t>
      </w:r>
      <w:r w:rsidRPr="00BA3D4C">
        <w:rPr>
          <w:rFonts w:ascii="Verdana" w:eastAsia="Calibri" w:hAnsi="Verdana" w:cs="Arial"/>
          <w:lang w:val="es-ES" w:eastAsia="es-ES"/>
        </w:rPr>
        <w:t>– responde su solicitud de consulta de fecha 1</w:t>
      </w:r>
      <w:r>
        <w:rPr>
          <w:rFonts w:ascii="Verdana" w:eastAsia="Calibri" w:hAnsi="Verdana" w:cs="Arial"/>
          <w:lang w:val="es-ES" w:eastAsia="es-ES"/>
        </w:rPr>
        <w:t>6</w:t>
      </w:r>
      <w:r w:rsidRPr="00BA3D4C">
        <w:rPr>
          <w:rFonts w:ascii="Verdana" w:eastAsia="Calibri" w:hAnsi="Verdana" w:cs="Arial"/>
          <w:lang w:val="es-ES" w:eastAsia="es-ES"/>
        </w:rPr>
        <w:t xml:space="preserve"> de diciembre de 2025, en la cual</w:t>
      </w:r>
      <w:r>
        <w:rPr>
          <w:rFonts w:ascii="Verdana" w:eastAsia="Calibri" w:hAnsi="Verdana" w:cs="Arial"/>
          <w:lang w:val="es-ES" w:eastAsia="es-ES"/>
        </w:rPr>
        <w:t xml:space="preserve"> manifiesta lo siguiente: </w:t>
      </w:r>
    </w:p>
    <w:p w14:paraId="28CF794E" w14:textId="77777777" w:rsidR="00EE2FC5" w:rsidRDefault="00EE2FC5" w:rsidP="00EE2FC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A6D5EE2" w14:textId="77777777" w:rsidR="00EE2FC5" w:rsidRDefault="00EE2FC5" w:rsidP="00EE2FC5">
      <w:pPr>
        <w:autoSpaceDE w:val="0"/>
        <w:autoSpaceDN w:val="0"/>
        <w:adjustRightInd w:val="0"/>
        <w:spacing w:after="0" w:line="240" w:lineRule="auto"/>
        <w:ind w:left="709" w:right="709"/>
        <w:jc w:val="both"/>
      </w:pPr>
      <w:r>
        <w:rPr>
          <w:rFonts w:ascii="Verdana" w:eastAsia="Century Gothic" w:hAnsi="Verdana" w:cs="Century Gothic"/>
          <w:sz w:val="20"/>
          <w:szCs w:val="20"/>
          <w:lang w:val="es-ES"/>
        </w:rPr>
        <w:t>“</w:t>
      </w:r>
      <w:r>
        <w:t>Con el ánimo de conocer la información, de manera atenta, consulto:</w:t>
      </w:r>
    </w:p>
    <w:p w14:paraId="10DDCAC3" w14:textId="77777777" w:rsidR="00EE2FC5" w:rsidRDefault="00EE2FC5" w:rsidP="00EE2FC5">
      <w:pPr>
        <w:autoSpaceDE w:val="0"/>
        <w:autoSpaceDN w:val="0"/>
        <w:adjustRightInd w:val="0"/>
        <w:spacing w:after="0" w:line="240" w:lineRule="auto"/>
        <w:ind w:left="709" w:right="709"/>
        <w:jc w:val="both"/>
      </w:pPr>
      <w:r>
        <w:t xml:space="preserve">Respecto de las garantías (seguro, bancaria, </w:t>
      </w:r>
      <w:proofErr w:type="spellStart"/>
      <w:r>
        <w:t>etc</w:t>
      </w:r>
      <w:proofErr w:type="spellEnd"/>
      <w:r>
        <w:t>) en la contratación estatal, cuando son presentadas por un proponente plural ¿deben ser tomadas por el proponente plural o por sus miembros?</w:t>
      </w:r>
    </w:p>
    <w:p w14:paraId="27B85955" w14:textId="77777777" w:rsidR="00EE2FC5" w:rsidRDefault="00EE2FC5" w:rsidP="00EE2FC5">
      <w:pPr>
        <w:autoSpaceDE w:val="0"/>
        <w:autoSpaceDN w:val="0"/>
        <w:adjustRightInd w:val="0"/>
        <w:spacing w:after="0" w:line="240" w:lineRule="auto"/>
        <w:ind w:left="709" w:right="709"/>
        <w:jc w:val="both"/>
      </w:pPr>
      <w:r>
        <w:t>¿hay diferencia en cuanto a quien es el tomador en las diferentes garantías?</w:t>
      </w:r>
    </w:p>
    <w:p w14:paraId="6647D816" w14:textId="77777777" w:rsidR="00EE2FC5" w:rsidRDefault="00EE2FC5" w:rsidP="00EE2FC5">
      <w:pPr>
        <w:autoSpaceDE w:val="0"/>
        <w:autoSpaceDN w:val="0"/>
        <w:adjustRightInd w:val="0"/>
        <w:spacing w:after="0" w:line="240" w:lineRule="auto"/>
        <w:ind w:left="709" w:right="709"/>
        <w:jc w:val="both"/>
      </w:pPr>
      <w:r>
        <w:t>Ejemplo, en la de seriedad de la oferta, anticipo, cumplimiento, etc.</w:t>
      </w:r>
    </w:p>
    <w:p w14:paraId="6D39A566" w14:textId="77777777" w:rsidR="00EE2FC5" w:rsidRDefault="00EE2FC5" w:rsidP="00EE2FC5">
      <w:pPr>
        <w:autoSpaceDE w:val="0"/>
        <w:autoSpaceDN w:val="0"/>
        <w:adjustRightInd w:val="0"/>
        <w:spacing w:after="0" w:line="240" w:lineRule="auto"/>
        <w:ind w:left="709" w:right="709"/>
        <w:jc w:val="both"/>
        <w:rPr>
          <w:rFonts w:ascii="Verdana" w:eastAsia="Century Gothic" w:hAnsi="Verdana" w:cs="Century Gothic"/>
          <w:sz w:val="20"/>
          <w:szCs w:val="20"/>
          <w:lang w:val="es-ES"/>
        </w:rPr>
      </w:pPr>
      <w:r>
        <w:t xml:space="preserve">En síntesis, quisiera saber cómo debe registrarse el proponente en cada una de las opciones de garantía y en cada uno de los riesgos que cubre. Por ejemplo, si en la garantía de seriedad de oferta, cumplimiento, </w:t>
      </w:r>
      <w:proofErr w:type="spellStart"/>
      <w:r>
        <w:t>etc</w:t>
      </w:r>
      <w:proofErr w:type="spellEnd"/>
      <w:r>
        <w:t xml:space="preserve">, deben plasmarse como “tomadores” a cada uno de los miembros del proponente plural o al proponente </w:t>
      </w:r>
      <w:r>
        <w:lastRenderedPageBreak/>
        <w:t>plural, es decir, con el nombre del proponente plural. ¿el número de NIT del proponente plural debe reflejarse en las garantías?”</w:t>
      </w:r>
    </w:p>
    <w:p w14:paraId="578B18FD" w14:textId="77777777" w:rsidR="00EE2FC5" w:rsidRPr="00924340" w:rsidRDefault="00EE2FC5" w:rsidP="00EE2FC5">
      <w:pPr>
        <w:autoSpaceDE w:val="0"/>
        <w:autoSpaceDN w:val="0"/>
        <w:adjustRightInd w:val="0"/>
        <w:spacing w:after="0" w:line="240" w:lineRule="auto"/>
        <w:ind w:left="709" w:right="709"/>
        <w:jc w:val="both"/>
        <w:rPr>
          <w:rFonts w:ascii="Verdana" w:eastAsia="Century Gothic" w:hAnsi="Verdana" w:cs="Century Gothic"/>
          <w:b/>
        </w:rPr>
      </w:pPr>
    </w:p>
    <w:p w14:paraId="0E4A8126" w14:textId="77777777" w:rsidR="00EE2FC5" w:rsidRDefault="00EE2FC5" w:rsidP="00EE2FC5">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5B493D1C" w14:textId="77777777" w:rsidR="00EE2FC5" w:rsidRDefault="00EE2FC5" w:rsidP="00EE2FC5">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del caso en concreto planteado, pero señalando algunas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23BA3EC1" w14:textId="77777777" w:rsidR="00EE2FC5" w:rsidRDefault="00EE2FC5" w:rsidP="00EE2FC5">
      <w:pPr>
        <w:spacing w:after="0" w:line="276" w:lineRule="auto"/>
        <w:ind w:firstLine="709"/>
        <w:jc w:val="both"/>
        <w:rPr>
          <w:rFonts w:ascii="Verdana" w:eastAsia="Calibri" w:hAnsi="Verdana" w:cs="Arial"/>
          <w:color w:val="000000"/>
          <w:lang w:val="es-ES" w:eastAsia="es-ES"/>
        </w:rPr>
      </w:pPr>
    </w:p>
    <w:p w14:paraId="3B0634F3" w14:textId="77777777" w:rsidR="00EE2FC5" w:rsidRDefault="00EE2FC5" w:rsidP="00EE2FC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782A2903" w14:textId="77777777" w:rsidR="00EE2FC5" w:rsidRDefault="00EE2FC5" w:rsidP="00EE2FC5">
      <w:pPr>
        <w:tabs>
          <w:tab w:val="left" w:pos="426"/>
        </w:tabs>
        <w:spacing w:after="0" w:line="276" w:lineRule="auto"/>
        <w:jc w:val="both"/>
        <w:rPr>
          <w:rFonts w:ascii="Verdana" w:eastAsia="Century Gothic" w:hAnsi="Verdana" w:cs="Century Gothic"/>
          <w:lang w:val="es-ES"/>
        </w:rPr>
      </w:pPr>
    </w:p>
    <w:p w14:paraId="04745706" w14:textId="77777777" w:rsidR="00EE2FC5" w:rsidRPr="00B8195A" w:rsidRDefault="00EE2FC5" w:rsidP="00EE2FC5">
      <w:pPr>
        <w:spacing w:after="0" w:line="276" w:lineRule="auto"/>
        <w:jc w:val="both"/>
        <w:rPr>
          <w:rFonts w:ascii="Verdana" w:eastAsia="Calibri" w:hAnsi="Verdana" w:cs="Times New Roman"/>
          <w:bCs/>
          <w:iCs/>
        </w:rPr>
      </w:pPr>
      <w:r>
        <w:rPr>
          <w:rFonts w:ascii="Verdana" w:eastAsia="Century Gothic" w:hAnsi="Verdana" w:cs="Century Gothic"/>
        </w:rPr>
        <w:t>De acuerdo con el contenido de su solicitud, esta Agencia resolverá el siguiente problema jurídico: ¿Cuáles son los requisitos para la presentación de garantías en contratación estatal y cómo deben ser presentadas por proponentes plurales?</w:t>
      </w:r>
    </w:p>
    <w:p w14:paraId="7E3B2943" w14:textId="77777777" w:rsidR="00EE2FC5" w:rsidRDefault="00EE2FC5" w:rsidP="00EE2FC5">
      <w:pPr>
        <w:spacing w:after="0" w:line="276" w:lineRule="auto"/>
        <w:jc w:val="both"/>
        <w:rPr>
          <w:rFonts w:ascii="Verdana" w:eastAsia="Calibri" w:hAnsi="Verdana" w:cs="Arial"/>
          <w:color w:val="7030A0"/>
          <w:lang w:val="es-ES"/>
        </w:rPr>
      </w:pPr>
    </w:p>
    <w:p w14:paraId="3EAAF65C" w14:textId="77777777" w:rsidR="00EE2FC5" w:rsidRDefault="00EE2FC5" w:rsidP="00EE2FC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3FBA0D8D" w14:textId="77777777" w:rsidR="00EE2FC5" w:rsidRDefault="00EE2FC5" w:rsidP="00EE2FC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E2FC5" w:rsidRPr="00DE5508" w14:paraId="6B1DB11E" w14:textId="77777777" w:rsidTr="00BE67FB">
        <w:tc>
          <w:tcPr>
            <w:tcW w:w="8828" w:type="dxa"/>
            <w:tcBorders>
              <w:top w:val="dotted" w:sz="4" w:space="0" w:color="auto"/>
              <w:left w:val="dotted" w:sz="4" w:space="0" w:color="auto"/>
              <w:bottom w:val="dotted" w:sz="4" w:space="0" w:color="auto"/>
              <w:right w:val="dotted" w:sz="4" w:space="0" w:color="auto"/>
            </w:tcBorders>
          </w:tcPr>
          <w:p w14:paraId="5FA6A3CD" w14:textId="77777777" w:rsidR="00EE2FC5" w:rsidRDefault="00EE2FC5" w:rsidP="00BE67FB">
            <w:pPr>
              <w:spacing w:after="120" w:line="276" w:lineRule="auto"/>
              <w:jc w:val="both"/>
              <w:rPr>
                <w:rFonts w:ascii="Verdana" w:hAnsi="Verdana"/>
                <w:lang w:val="es-MX"/>
              </w:rPr>
            </w:pPr>
            <w:r w:rsidRPr="00AB1D80">
              <w:rPr>
                <w:rFonts w:ascii="Verdana" w:eastAsia="Calibri" w:hAnsi="Verdana" w:cs="Arial"/>
                <w:color w:val="000000" w:themeColor="text1"/>
                <w:lang w:eastAsia="es-ES_tradnl"/>
              </w:rPr>
              <w:t>En los contratos estatales, por regla general, en la etapa precontractual y en la contractual</w:t>
            </w:r>
            <w:r>
              <w:rPr>
                <w:rFonts w:ascii="Verdana" w:eastAsia="Calibri" w:hAnsi="Verdana" w:cs="Arial"/>
                <w:color w:val="000000" w:themeColor="text1"/>
                <w:lang w:eastAsia="es-ES_tradnl"/>
              </w:rPr>
              <w:t>,</w:t>
            </w:r>
            <w:r w:rsidRPr="00AB1D80">
              <w:rPr>
                <w:rFonts w:ascii="Verdana" w:eastAsia="Calibri" w:hAnsi="Verdana" w:cs="Arial"/>
                <w:color w:val="000000" w:themeColor="text1"/>
                <w:lang w:eastAsia="es-ES_tradnl"/>
              </w:rPr>
              <w:t xml:space="preserve"> se requiere la constitución de garantías. Mientras las garantías en la primera etapa implican una caución provisional que avala la propuesta y es una garantía precontractual –y parcialmente contractual– destinada a asegurar la suscripción del acuerdo, entre otras obligaciones; las garantías en la segunda etapa son un mecanismo de cobertura del riesgo derivado del incumplimiento de las obligaciones del contrato. </w:t>
            </w:r>
            <w:r w:rsidRPr="00983DE2">
              <w:rPr>
                <w:rFonts w:ascii="Verdana" w:hAnsi="Verdana" w:cs="Arial"/>
                <w:color w:val="000000"/>
                <w:shd w:val="clear" w:color="auto" w:fill="FFFFFF"/>
                <w:lang w:val="es-ES"/>
              </w:rPr>
              <w:t>Por un lado, l</w:t>
            </w:r>
            <w:r w:rsidRPr="00983DE2">
              <w:rPr>
                <w:rFonts w:ascii="Verdana" w:eastAsia="Calibri" w:hAnsi="Verdana" w:cs="Arial"/>
                <w:color w:val="000000" w:themeColor="text1"/>
                <w:lang w:val="es-ES"/>
              </w:rPr>
              <w:t xml:space="preserve">a </w:t>
            </w:r>
            <w:r w:rsidRPr="00983DE2">
              <w:rPr>
                <w:rFonts w:ascii="Verdana" w:eastAsia="Calibri" w:hAnsi="Verdana" w:cs="Arial"/>
                <w:i/>
                <w:iCs/>
                <w:color w:val="000000" w:themeColor="text1"/>
                <w:lang w:val="es-ES"/>
              </w:rPr>
              <w:t xml:space="preserve">garantía de </w:t>
            </w:r>
            <w:r w:rsidRPr="00983DE2">
              <w:rPr>
                <w:rFonts w:ascii="Verdana" w:eastAsia="Calibri" w:hAnsi="Verdana" w:cs="Arial"/>
                <w:i/>
                <w:iCs/>
                <w:color w:val="000000" w:themeColor="text1"/>
                <w:lang w:val="es-ES"/>
              </w:rPr>
              <w:lastRenderedPageBreak/>
              <w:t>seriedad</w:t>
            </w:r>
            <w:r w:rsidRPr="00983DE2">
              <w:rPr>
                <w:rFonts w:ascii="Verdana" w:eastAsia="Calibri" w:hAnsi="Verdana" w:cs="Arial"/>
                <w:color w:val="000000" w:themeColor="text1"/>
                <w:lang w:val="es-ES"/>
              </w:rPr>
              <w:t xml:space="preserve"> respalda al principio de irrevocabilidad de la oferta, caso en el cual los proponentes que pierdan interés en la adjudicación resarcirán los perjuicios causados por su retiro del proceso de selección. Naturalmente, esta garantía solo la constituyen quienes presenten las propuestas, motivo por el cual sus efectos no se extienden a personas ajenas a la actividad precontractual; sin perjuicio de que la póliza sea un mecanismo conminatorio, en la medida en que obliga a celebrar el contrato, so pena de hacerla efectiva.</w:t>
            </w:r>
          </w:p>
          <w:p w14:paraId="16E6D78D" w14:textId="0A258AD8" w:rsidR="00EE2FC5" w:rsidRPr="00983DE2" w:rsidRDefault="00EE2FC5" w:rsidP="00BE67FB">
            <w:pPr>
              <w:spacing w:after="120" w:line="276" w:lineRule="auto"/>
              <w:ind w:firstLine="709"/>
              <w:jc w:val="both"/>
              <w:rPr>
                <w:rFonts w:ascii="Verdana" w:eastAsia="Calibri" w:hAnsi="Verdana" w:cs="Arial"/>
                <w:color w:val="000000" w:themeColor="text1"/>
                <w:lang w:val="es-ES"/>
              </w:rPr>
            </w:pPr>
            <w:r w:rsidRPr="00983DE2">
              <w:rPr>
                <w:rFonts w:ascii="Verdana" w:eastAsia="Calibri" w:hAnsi="Verdana" w:cs="Arial"/>
                <w:color w:val="000000" w:themeColor="text1"/>
                <w:lang w:val="es-ES"/>
              </w:rPr>
              <w:t xml:space="preserve">En contraste, mediante la </w:t>
            </w:r>
            <w:r w:rsidRPr="00983DE2">
              <w:rPr>
                <w:rFonts w:ascii="Verdana" w:eastAsia="Calibri" w:hAnsi="Verdana" w:cs="Arial"/>
                <w:i/>
                <w:iCs/>
                <w:color w:val="000000" w:themeColor="text1"/>
                <w:lang w:val="es-ES"/>
              </w:rPr>
              <w:t>garantía de única de cumplimiento</w:t>
            </w:r>
            <w:r w:rsidRPr="00983DE2">
              <w:rPr>
                <w:rFonts w:ascii="Verdana" w:eastAsia="Calibri" w:hAnsi="Verdana" w:cs="Arial"/>
                <w:color w:val="000000" w:themeColor="text1"/>
                <w:lang w:val="es-ES"/>
              </w:rPr>
              <w:t xml:space="preserve">, el contratista ampara los perjuicios que le pueda generar a la entidad el incumplimiento de las obligaciones derivadas del contrato. En esta medida, tienen como objetivo reparar los perjuicios causados por conductas atribuibles al contratista, por lo que estos últimos son un presupuesto necesario para el pago que cubre la garantía. </w:t>
            </w:r>
            <w:r w:rsidRPr="00983DE2">
              <w:rPr>
                <w:rFonts w:ascii="Verdana" w:hAnsi="Verdana" w:cs="Arial"/>
                <w:color w:val="000000" w:themeColor="text1"/>
                <w:lang w:val="es-ES"/>
              </w:rPr>
              <w:t xml:space="preserve">Para estos efectos es única, ya que “[…] La prioridad […] es que no haya garantías separadas para los diferentes riesgos, aunque existan varias garantías para diferentes proporciones del interés asegurado […]”.    </w:t>
            </w:r>
          </w:p>
          <w:p w14:paraId="30E7FB2A" w14:textId="053E8A63" w:rsidR="00EE2FC5" w:rsidRDefault="00EE2FC5" w:rsidP="00BE67FB">
            <w:pPr>
              <w:spacing w:after="12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rPr>
              <w:t xml:space="preserve">Desde esta perspectiva, ambas garantías constituyen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w:t>
            </w:r>
            <w:proofErr w:type="spellStart"/>
            <w:r w:rsidRPr="00983DE2">
              <w:rPr>
                <w:rFonts w:ascii="Verdana" w:hAnsi="Verdana" w:cs="Arial"/>
                <w:color w:val="000000" w:themeColor="text1"/>
                <w:lang w:val="es-ES"/>
              </w:rPr>
              <w:t>ii</w:t>
            </w:r>
            <w:proofErr w:type="spellEnd"/>
            <w:r w:rsidRPr="00983DE2">
              <w:rPr>
                <w:rFonts w:ascii="Verdana" w:hAnsi="Verdana" w:cs="Arial"/>
                <w:color w:val="000000" w:themeColor="text1"/>
                <w:lang w:val="es-ES"/>
              </w:rPr>
              <w:t xml:space="preserve">) garantías bancarias o </w:t>
            </w:r>
            <w:proofErr w:type="spellStart"/>
            <w:r w:rsidRPr="00983DE2">
              <w:rPr>
                <w:rFonts w:ascii="Verdana" w:hAnsi="Verdana" w:cs="Arial"/>
                <w:color w:val="000000" w:themeColor="text1"/>
                <w:lang w:val="es-ES"/>
              </w:rPr>
              <w:t>iii</w:t>
            </w:r>
            <w:proofErr w:type="spellEnd"/>
            <w:r w:rsidRPr="00983DE2">
              <w:rPr>
                <w:rFonts w:ascii="Verdana" w:hAnsi="Verdana" w:cs="Arial"/>
                <w:color w:val="000000" w:themeColor="text1"/>
                <w:lang w:val="es-ES"/>
              </w:rPr>
              <w:t>)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 De esta manera, las garantías previstas en la ley tienen como objetivo asegurar la solvencia del garante.</w:t>
            </w:r>
          </w:p>
          <w:p w14:paraId="59ECB2F4" w14:textId="76CD835A" w:rsidR="00D14F7B" w:rsidRPr="00983DE2" w:rsidRDefault="00D14F7B" w:rsidP="00D14F7B">
            <w:pPr>
              <w:spacing w:after="120" w:line="276" w:lineRule="auto"/>
              <w:ind w:firstLine="708"/>
              <w:jc w:val="both"/>
              <w:rPr>
                <w:rFonts w:ascii="Verdana" w:hAnsi="Verdana" w:cs="Arial"/>
                <w:color w:val="000000" w:themeColor="text1"/>
                <w:lang w:val="es-ES"/>
              </w:rPr>
            </w:pPr>
            <w:r>
              <w:rPr>
                <w:rFonts w:ascii="Verdana" w:eastAsia="Calibri" w:hAnsi="Verdana"/>
                <w:color w:val="000000" w:themeColor="text1"/>
                <w:lang w:val="es-ES"/>
              </w:rPr>
              <w:t xml:space="preserve">En relación con </w:t>
            </w:r>
            <w:r w:rsidRPr="00A7080B">
              <w:rPr>
                <w:rFonts w:ascii="Verdana" w:eastAsia="Calibri" w:hAnsi="Verdana"/>
                <w:color w:val="000000" w:themeColor="text1"/>
                <w:lang w:val="es-ES"/>
              </w:rPr>
              <w:t xml:space="preserve">el contrato de seguro </w:t>
            </w:r>
            <w:r>
              <w:rPr>
                <w:rFonts w:ascii="Verdana" w:eastAsia="Calibri" w:hAnsi="Verdana"/>
                <w:color w:val="000000" w:themeColor="text1"/>
                <w:lang w:val="es-ES"/>
              </w:rPr>
              <w:t>a través del cual pueden ot</w:t>
            </w:r>
            <w:r w:rsidR="00340CA1">
              <w:rPr>
                <w:rFonts w:ascii="Verdana" w:eastAsia="Calibri" w:hAnsi="Verdana"/>
                <w:color w:val="000000" w:themeColor="text1"/>
                <w:lang w:val="es-ES"/>
              </w:rPr>
              <w:t>or</w:t>
            </w:r>
            <w:r>
              <w:rPr>
                <w:rFonts w:ascii="Verdana" w:eastAsia="Calibri" w:hAnsi="Verdana"/>
                <w:color w:val="000000" w:themeColor="text1"/>
                <w:lang w:val="es-ES"/>
              </w:rPr>
              <w:t xml:space="preserve">garse las garantías precontractuales y contractuales, el mismo </w:t>
            </w:r>
            <w:r w:rsidRPr="00A7080B">
              <w:rPr>
                <w:rFonts w:ascii="Verdana" w:eastAsia="Calibri" w:hAnsi="Verdana"/>
                <w:color w:val="000000" w:themeColor="text1"/>
                <w:lang w:val="es-ES"/>
              </w:rPr>
              <w:t>está definido en el artículo 1036 del Código de Comercio: “</w:t>
            </w:r>
            <w:r w:rsidRPr="00A7080B">
              <w:rPr>
                <w:rFonts w:ascii="Verdana" w:eastAsia="Calibri" w:hAnsi="Verdana"/>
                <w:color w:val="000000" w:themeColor="text1"/>
              </w:rPr>
              <w:t xml:space="preserve">El seguro es un contrato consensual, bilateral, oneroso, aleatorio y de ejecución sucesiva”, cuyas partes son: i) el asegurador, esto es, la persona jurídica que asume los riesgos y que está autorizada para ello: </w:t>
            </w:r>
            <w:proofErr w:type="spellStart"/>
            <w:r w:rsidRPr="00A7080B">
              <w:rPr>
                <w:rFonts w:ascii="Verdana" w:eastAsia="Calibri" w:hAnsi="Verdana"/>
                <w:color w:val="000000" w:themeColor="text1"/>
              </w:rPr>
              <w:t>ii</w:t>
            </w:r>
            <w:proofErr w:type="spellEnd"/>
            <w:r w:rsidRPr="00A7080B">
              <w:rPr>
                <w:rFonts w:ascii="Verdana" w:eastAsia="Calibri" w:hAnsi="Verdana"/>
                <w:color w:val="000000" w:themeColor="text1"/>
              </w:rPr>
              <w:t xml:space="preserve">) el tomador, esto es, la persona que obrando por cuenta </w:t>
            </w:r>
            <w:r w:rsidRPr="00A7080B">
              <w:rPr>
                <w:rFonts w:ascii="Verdana" w:eastAsia="Calibri" w:hAnsi="Verdana"/>
                <w:color w:val="000000" w:themeColor="text1"/>
              </w:rPr>
              <w:lastRenderedPageBreak/>
              <w:t>propia o ajena traslada los riesgos, de conformidad con el artículo 1037 del Código de Comercio</w:t>
            </w:r>
            <w:r>
              <w:rPr>
                <w:rFonts w:ascii="Verdana" w:eastAsia="Calibri" w:hAnsi="Verdana"/>
                <w:color w:val="000000" w:themeColor="text1"/>
              </w:rPr>
              <w:t>.</w:t>
            </w:r>
          </w:p>
          <w:p w14:paraId="4E9B43E9" w14:textId="77777777" w:rsidR="00EE2FC5" w:rsidRDefault="00EE2FC5" w:rsidP="00BE67FB">
            <w:pPr>
              <w:spacing w:after="12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rPr>
              <w:t xml:space="preserve">El Decreto 1082 de 2015 reglamenta las condiciones en que debe cumplirse esta obligación. Los artículos 2.2.1.2.3.1.1 a 2.2.1.2.3.1.19 del Decreto Único Reglamentario del sector Administrativo de Planeación Nacional regulan asuntos como las clases de garantías permitidas, la indivisibilidad de </w:t>
            </w:r>
            <w:proofErr w:type="gramStart"/>
            <w:r w:rsidRPr="00983DE2">
              <w:rPr>
                <w:rFonts w:ascii="Verdana" w:hAnsi="Verdana" w:cs="Arial"/>
                <w:color w:val="000000" w:themeColor="text1"/>
                <w:lang w:val="es-ES"/>
              </w:rPr>
              <w:t>las mismas</w:t>
            </w:r>
            <w:proofErr w:type="gramEnd"/>
            <w:r w:rsidRPr="00983DE2">
              <w:rPr>
                <w:rFonts w:ascii="Verdana" w:hAnsi="Verdana" w:cs="Arial"/>
                <w:color w:val="000000" w:themeColor="text1"/>
                <w:lang w:val="es-ES"/>
              </w:rPr>
              <w:t xml:space="preserve">, los diferentes riesgos que deben ser objeto de garantía, la vigencia y valores mínimos que deben cubrir los amparos, entre otros aspectos. </w:t>
            </w:r>
          </w:p>
          <w:p w14:paraId="358930B0" w14:textId="3330E334" w:rsidR="00EE2FC5" w:rsidRPr="00724BD8" w:rsidRDefault="00A31366" w:rsidP="00724BD8">
            <w:pPr>
              <w:spacing w:before="120" w:line="276" w:lineRule="auto"/>
              <w:ind w:firstLine="708"/>
              <w:jc w:val="both"/>
              <w:rPr>
                <w:rFonts w:ascii="Verdana" w:hAnsi="Verdana" w:cs="Arial"/>
                <w:color w:val="000000" w:themeColor="text1"/>
              </w:rPr>
            </w:pPr>
            <w:r w:rsidRPr="00B35DC3">
              <w:rPr>
                <w:rFonts w:ascii="Verdana" w:hAnsi="Verdana" w:cs="Arial"/>
                <w:color w:val="000000" w:themeColor="text1"/>
              </w:rPr>
              <w:t>Ahora bien, para efectos de dar respuesta concreta al problema jurídico planteado,</w:t>
            </w:r>
            <w:r>
              <w:rPr>
                <w:rFonts w:ascii="Verdana" w:hAnsi="Verdana" w:cs="Arial"/>
                <w:color w:val="000000" w:themeColor="text1"/>
              </w:rPr>
              <w:t xml:space="preserve"> se resalta que tanto los miembros del consorcio como de la unión temporal deben designar la persona que representa para todos los efectos al consorcio o a la unión temporal según el artículo 7 de la Ley 80 de 1993, por lo que esa representación para todos los efectos incluye otorgar las garantías que corresponda</w:t>
            </w:r>
            <w:r w:rsidR="00B57783">
              <w:rPr>
                <w:rFonts w:ascii="Verdana" w:hAnsi="Verdana" w:cs="Arial"/>
                <w:color w:val="000000" w:themeColor="text1"/>
              </w:rPr>
              <w:t xml:space="preserve"> como las de cumplimiento cuando ya existe el contrato</w:t>
            </w:r>
            <w:r>
              <w:rPr>
                <w:rFonts w:ascii="Verdana" w:hAnsi="Verdana" w:cs="Arial"/>
                <w:color w:val="000000" w:themeColor="text1"/>
              </w:rPr>
              <w:t xml:space="preserve">. No obstante, debe tenerse en cuenta la regulación especial del Decreto 1082 de 2015, que en su artículo </w:t>
            </w:r>
            <w:r>
              <w:rPr>
                <w:rFonts w:ascii="Verdana" w:eastAsia="Times New Roman" w:hAnsi="Verdana" w:cs="Arial"/>
                <w:color w:val="000000" w:themeColor="text1"/>
                <w:lang w:val="es-ES" w:eastAsia="es-CO"/>
              </w:rPr>
              <w:t>2.2.1.2.3.1.4. establece que las garantías de los oferentes plurales deben ser otorgadas por todos sus integrantes.</w:t>
            </w:r>
          </w:p>
        </w:tc>
      </w:tr>
    </w:tbl>
    <w:p w14:paraId="6D20BC4A" w14:textId="77777777" w:rsidR="00EE2FC5" w:rsidRPr="00DE5508" w:rsidRDefault="00EE2FC5" w:rsidP="00EE2FC5">
      <w:pPr>
        <w:tabs>
          <w:tab w:val="left" w:pos="142"/>
          <w:tab w:val="left" w:pos="284"/>
        </w:tabs>
        <w:spacing w:after="0" w:line="276" w:lineRule="auto"/>
        <w:jc w:val="both"/>
        <w:rPr>
          <w:rFonts w:ascii="Verdana" w:eastAsia="Century Gothic" w:hAnsi="Verdana" w:cs="Century Gothic"/>
          <w:b/>
          <w:bCs/>
          <w:lang w:val="es-ES"/>
        </w:rPr>
      </w:pPr>
    </w:p>
    <w:p w14:paraId="1BE44E68" w14:textId="77777777" w:rsidR="00EE2FC5" w:rsidRDefault="00EE2FC5" w:rsidP="00EE2FC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20A0B86F" w14:textId="77777777" w:rsidR="00EE2FC5" w:rsidRDefault="00EE2FC5" w:rsidP="00EE2FC5">
      <w:pPr>
        <w:spacing w:after="0" w:line="276" w:lineRule="auto"/>
        <w:jc w:val="both"/>
        <w:rPr>
          <w:rFonts w:ascii="Verdana" w:eastAsia="Calibri" w:hAnsi="Verdana" w:cs="Arial"/>
          <w:color w:val="7030A0"/>
          <w:lang w:val="es-ES"/>
        </w:rPr>
      </w:pPr>
    </w:p>
    <w:p w14:paraId="50D04D32" w14:textId="77777777" w:rsidR="00EE2FC5" w:rsidRDefault="00EE2FC5" w:rsidP="00EE2FC5">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622E4CF5" w14:textId="77777777" w:rsidR="00EE2FC5" w:rsidRDefault="00EE2FC5" w:rsidP="00EE2FC5">
      <w:pPr>
        <w:spacing w:after="0" w:line="276" w:lineRule="auto"/>
        <w:jc w:val="both"/>
        <w:rPr>
          <w:rFonts w:ascii="Verdana" w:eastAsia="Calibri" w:hAnsi="Verdana" w:cs="Arial"/>
          <w:lang w:val="es-ES"/>
        </w:rPr>
      </w:pPr>
    </w:p>
    <w:p w14:paraId="254B2C05" w14:textId="2DE3C974" w:rsidR="00EE2FC5" w:rsidRPr="00983DE2" w:rsidRDefault="00B57783" w:rsidP="00EE2FC5">
      <w:pPr>
        <w:spacing w:after="120" w:line="276" w:lineRule="auto"/>
        <w:jc w:val="both"/>
        <w:rPr>
          <w:rFonts w:ascii="Verdana" w:eastAsia="Calibri" w:hAnsi="Verdana" w:cs="Arial"/>
          <w:color w:val="000000" w:themeColor="text1"/>
          <w:lang w:val="es-ES"/>
        </w:rPr>
      </w:pPr>
      <w:bookmarkStart w:id="2" w:name="_Hlk47893233"/>
      <w:proofErr w:type="spellStart"/>
      <w:r>
        <w:rPr>
          <w:rFonts w:ascii="Verdana" w:eastAsia="Calibri" w:hAnsi="Verdana" w:cs="Arial"/>
          <w:color w:val="000000" w:themeColor="text1"/>
          <w:lang w:eastAsia="es-ES_tradnl"/>
        </w:rPr>
        <w:t>i.</w:t>
      </w:r>
      <w:r w:rsidR="00EE2FC5" w:rsidRPr="00AB1D80">
        <w:rPr>
          <w:rFonts w:ascii="Verdana" w:eastAsia="Calibri" w:hAnsi="Verdana" w:cs="Arial"/>
          <w:color w:val="000000" w:themeColor="text1"/>
          <w:lang w:eastAsia="es-ES_tradnl"/>
        </w:rPr>
        <w:t>En</w:t>
      </w:r>
      <w:proofErr w:type="spellEnd"/>
      <w:r w:rsidR="00EE2FC5" w:rsidRPr="00AB1D80">
        <w:rPr>
          <w:rFonts w:ascii="Verdana" w:eastAsia="Calibri" w:hAnsi="Verdana" w:cs="Arial"/>
          <w:color w:val="000000" w:themeColor="text1"/>
          <w:lang w:eastAsia="es-ES_tradnl"/>
        </w:rPr>
        <w:t xml:space="preserve"> los contratos estatales, por regla general, en la etapa precontractual y en la contractual</w:t>
      </w:r>
      <w:r w:rsidR="00EE2FC5">
        <w:rPr>
          <w:rFonts w:ascii="Verdana" w:eastAsia="Calibri" w:hAnsi="Verdana" w:cs="Arial"/>
          <w:color w:val="000000" w:themeColor="text1"/>
          <w:lang w:eastAsia="es-ES_tradnl"/>
        </w:rPr>
        <w:t>,</w:t>
      </w:r>
      <w:r w:rsidR="00EE2FC5" w:rsidRPr="00AB1D80">
        <w:rPr>
          <w:rFonts w:ascii="Verdana" w:eastAsia="Calibri" w:hAnsi="Verdana" w:cs="Arial"/>
          <w:color w:val="000000" w:themeColor="text1"/>
          <w:lang w:eastAsia="es-ES_tradnl"/>
        </w:rPr>
        <w:t xml:space="preserve"> se requiere la constitución de garantías. Mientras las garantías en la primera etapa implican una caución provisional que avala la propuesta y es una garantía precontractual –y parcialmente contractual– destinada a asegurar la suscripción del acuerdo, entre otras obligaciones; las garantías en la segunda etapa son un mecanismo de cobertura del riesgo derivado del incumplimiento de las obligaciones del contrato. </w:t>
      </w:r>
      <w:r w:rsidR="00EE2FC5" w:rsidRPr="00983DE2">
        <w:rPr>
          <w:rFonts w:ascii="Verdana" w:hAnsi="Verdana" w:cs="Arial"/>
          <w:color w:val="000000"/>
          <w:shd w:val="clear" w:color="auto" w:fill="FFFFFF"/>
          <w:lang w:val="es-ES"/>
        </w:rPr>
        <w:t>Por un lado, l</w:t>
      </w:r>
      <w:r w:rsidR="00EE2FC5" w:rsidRPr="00983DE2">
        <w:rPr>
          <w:rFonts w:ascii="Verdana" w:eastAsia="Calibri" w:hAnsi="Verdana" w:cs="Arial"/>
          <w:color w:val="000000" w:themeColor="text1"/>
          <w:lang w:val="es-ES"/>
        </w:rPr>
        <w:t xml:space="preserve">a </w:t>
      </w:r>
      <w:r w:rsidR="00EE2FC5" w:rsidRPr="00983DE2">
        <w:rPr>
          <w:rFonts w:ascii="Verdana" w:eastAsia="Calibri" w:hAnsi="Verdana" w:cs="Arial"/>
          <w:i/>
          <w:iCs/>
          <w:color w:val="000000" w:themeColor="text1"/>
          <w:lang w:val="es-ES"/>
        </w:rPr>
        <w:t>garantía de seriedad</w:t>
      </w:r>
      <w:r w:rsidR="00EE2FC5" w:rsidRPr="00983DE2">
        <w:rPr>
          <w:rFonts w:ascii="Verdana" w:eastAsia="Calibri" w:hAnsi="Verdana" w:cs="Arial"/>
          <w:color w:val="000000" w:themeColor="text1"/>
          <w:lang w:val="es-ES"/>
        </w:rPr>
        <w:t xml:space="preserve"> respalda al principio de irrevocabilidad de la oferta, caso en el cual los proponentes que pierdan interés en la adjudicación resarcirán los perjuicios causados por su retiro del proceso de selección. Naturalmente, esta garantía solo la constituyen quienes presenten las propuestas, motivo por el cual sus efectos no se extienden a personas ajenas a la actividad precontractual; sin perjuicio de que la póliza sea un mecanismo conminatorio, en la medida en que obliga a celebrar el </w:t>
      </w:r>
      <w:r w:rsidR="00EE2FC5" w:rsidRPr="00983DE2">
        <w:rPr>
          <w:rFonts w:ascii="Verdana" w:eastAsia="Calibri" w:hAnsi="Verdana" w:cs="Arial"/>
          <w:color w:val="000000" w:themeColor="text1"/>
          <w:lang w:val="es-ES"/>
        </w:rPr>
        <w:lastRenderedPageBreak/>
        <w:t>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bookmarkEnd w:id="2"/>
      <w:r w:rsidR="00EE2FC5" w:rsidRPr="00983DE2">
        <w:rPr>
          <w:rStyle w:val="Refdenotaalpie"/>
          <w:rFonts w:ascii="Verdana" w:eastAsia="Calibri" w:hAnsi="Verdana" w:cs="Arial"/>
          <w:color w:val="000000" w:themeColor="text1"/>
          <w:lang w:val="es-ES"/>
        </w:rPr>
        <w:footnoteReference w:id="2"/>
      </w:r>
      <w:r w:rsidR="00EE2FC5" w:rsidRPr="00983DE2">
        <w:rPr>
          <w:rFonts w:ascii="Verdana" w:eastAsia="Calibri" w:hAnsi="Verdana" w:cs="Arial"/>
          <w:color w:val="000000" w:themeColor="text1"/>
          <w:lang w:val="es-ES"/>
        </w:rPr>
        <w:t>. Sobre este aspecto, la doctrina explica que:</w:t>
      </w:r>
    </w:p>
    <w:p w14:paraId="4FE48D90" w14:textId="77777777" w:rsidR="00EE2FC5" w:rsidRPr="00983DE2" w:rsidRDefault="00EE2FC5" w:rsidP="00EE2FC5">
      <w:pPr>
        <w:spacing w:after="0" w:line="276" w:lineRule="auto"/>
        <w:jc w:val="both"/>
        <w:rPr>
          <w:rFonts w:ascii="Verdana" w:eastAsia="Calibri" w:hAnsi="Verdana" w:cs="Arial"/>
          <w:color w:val="000000" w:themeColor="text1"/>
          <w:lang w:val="es-ES"/>
        </w:rPr>
      </w:pPr>
    </w:p>
    <w:p w14:paraId="0E17ADAC" w14:textId="77777777" w:rsidR="00EE2FC5" w:rsidRPr="00983DE2" w:rsidRDefault="00EE2FC5" w:rsidP="00EE2FC5">
      <w:pPr>
        <w:spacing w:after="0" w:line="240" w:lineRule="auto"/>
        <w:ind w:left="709" w:right="709"/>
        <w:jc w:val="both"/>
        <w:rPr>
          <w:rFonts w:ascii="Verdana" w:eastAsia="Calibri" w:hAnsi="Verdana" w:cs="Arial"/>
          <w:color w:val="000000" w:themeColor="text1"/>
          <w:sz w:val="21"/>
          <w:szCs w:val="21"/>
          <w:lang w:val="es-ES"/>
        </w:rPr>
      </w:pPr>
      <w:r w:rsidRPr="00983DE2">
        <w:rPr>
          <w:rFonts w:ascii="Verdana" w:eastAsia="Calibri" w:hAnsi="Verdana" w:cs="Arial"/>
          <w:color w:val="000000" w:themeColor="text1"/>
          <w:sz w:val="21"/>
          <w:szCs w:val="21"/>
          <w:lang w:val="es-ES"/>
        </w:rPr>
        <w:t xml:space="preserve">“Las </w:t>
      </w:r>
      <w:r w:rsidRPr="00983DE2">
        <w:rPr>
          <w:rFonts w:ascii="Verdana" w:eastAsia="Calibri" w:hAnsi="Verdana" w:cs="Arial"/>
          <w:i/>
          <w:iCs/>
          <w:color w:val="000000" w:themeColor="text1"/>
          <w:sz w:val="21"/>
          <w:szCs w:val="21"/>
          <w:lang w:val="es-ES"/>
        </w:rPr>
        <w:t>garantías provisionales</w:t>
      </w:r>
      <w:r w:rsidRPr="00983DE2">
        <w:rPr>
          <w:rFonts w:ascii="Verdana" w:eastAsia="Calibri" w:hAnsi="Verdana" w:cs="Arial"/>
          <w:color w:val="000000" w:themeColor="text1"/>
          <w:sz w:val="21"/>
          <w:szCs w:val="21"/>
          <w:lang w:val="es-ES"/>
        </w:rPr>
        <w:t xml:space="preserve"> “avalan la solemnidad de la oferta por parte del contratista”; constituyen una seña </w:t>
      </w:r>
      <w:proofErr w:type="spellStart"/>
      <w:r w:rsidRPr="00983DE2">
        <w:rPr>
          <w:rFonts w:ascii="Verdana" w:eastAsia="Calibri" w:hAnsi="Verdana" w:cs="Arial"/>
          <w:color w:val="000000" w:themeColor="text1"/>
          <w:sz w:val="21"/>
          <w:szCs w:val="21"/>
          <w:lang w:val="es-ES"/>
        </w:rPr>
        <w:t>pre-contractual</w:t>
      </w:r>
      <w:proofErr w:type="spellEnd"/>
      <w:r w:rsidRPr="00983DE2">
        <w:rPr>
          <w:rFonts w:ascii="Verdana" w:eastAsia="Calibri" w:hAnsi="Verdana" w:cs="Arial"/>
          <w:color w:val="000000" w:themeColor="text1"/>
          <w:sz w:val="21"/>
          <w:szCs w:val="21"/>
          <w:lang w:val="es-ES"/>
        </w:rPr>
        <w:t xml:space="preserve"> destinada a </w:t>
      </w:r>
      <w:r w:rsidRPr="00983DE2">
        <w:rPr>
          <w:rFonts w:ascii="Verdana" w:eastAsia="Calibri" w:hAnsi="Verdana" w:cs="Arial"/>
          <w:i/>
          <w:iCs/>
          <w:color w:val="000000" w:themeColor="text1"/>
          <w:sz w:val="21"/>
          <w:szCs w:val="21"/>
          <w:lang w:val="es-ES"/>
        </w:rPr>
        <w:t>asegurar la celebración del contrato</w:t>
      </w:r>
      <w:r w:rsidRPr="00983DE2">
        <w:rPr>
          <w:rFonts w:ascii="Verdana" w:eastAsia="Calibri" w:hAnsi="Verdana" w:cs="Arial"/>
          <w:color w:val="000000" w:themeColor="text1"/>
          <w:sz w:val="21"/>
          <w:szCs w:val="21"/>
          <w:lang w:val="es-ES"/>
        </w:rPr>
        <w:t xml:space="preserve">, no su cumplimiento. La administración procede a devolver a los oferentes no adjudicatarios, y a transformar en definitiva respecto al adjudicatario, las garantías provisionales, deduciéndose entonces que las </w:t>
      </w:r>
      <w:r w:rsidRPr="00983DE2">
        <w:rPr>
          <w:rFonts w:ascii="Verdana" w:eastAsia="Calibri" w:hAnsi="Verdana" w:cs="Arial"/>
          <w:i/>
          <w:iCs/>
          <w:color w:val="000000" w:themeColor="text1"/>
          <w:sz w:val="21"/>
          <w:szCs w:val="21"/>
          <w:lang w:val="es-ES"/>
        </w:rPr>
        <w:t>arras</w:t>
      </w:r>
      <w:r w:rsidRPr="00983DE2">
        <w:rPr>
          <w:rFonts w:ascii="Verdana" w:eastAsia="Calibri" w:hAnsi="Verdana" w:cs="Arial"/>
          <w:color w:val="000000" w:themeColor="text1"/>
          <w:sz w:val="21"/>
          <w:szCs w:val="21"/>
          <w:lang w:val="es-ES"/>
        </w:rPr>
        <w:t xml:space="preserve"> no forman parte del precio, ni son por tanto arras confirmatorias […], sino puramente penitenciales […] como garantías y compensación del </w:t>
      </w:r>
      <w:r w:rsidRPr="00983DE2">
        <w:rPr>
          <w:rFonts w:ascii="Verdana" w:eastAsia="Calibri" w:hAnsi="Verdana" w:cs="Arial"/>
          <w:i/>
          <w:iCs/>
          <w:color w:val="000000" w:themeColor="text1"/>
          <w:sz w:val="21"/>
          <w:szCs w:val="21"/>
          <w:lang w:val="es-ES"/>
        </w:rPr>
        <w:t xml:space="preserve">ius </w:t>
      </w:r>
      <w:proofErr w:type="spellStart"/>
      <w:r w:rsidRPr="00983DE2">
        <w:rPr>
          <w:rFonts w:ascii="Verdana" w:eastAsia="Calibri" w:hAnsi="Verdana" w:cs="Arial"/>
          <w:i/>
          <w:iCs/>
          <w:color w:val="000000" w:themeColor="text1"/>
          <w:sz w:val="21"/>
          <w:szCs w:val="21"/>
          <w:lang w:val="es-ES"/>
        </w:rPr>
        <w:t>poenitendi</w:t>
      </w:r>
      <w:proofErr w:type="spellEnd"/>
      <w:r w:rsidRPr="00983DE2">
        <w:rPr>
          <w:rFonts w:ascii="Verdana" w:eastAsia="Calibri" w:hAnsi="Verdana" w:cs="Arial"/>
          <w:color w:val="000000" w:themeColor="text1"/>
          <w:sz w:val="21"/>
          <w:szCs w:val="21"/>
          <w:lang w:val="es-ES"/>
        </w:rPr>
        <w:t xml:space="preserve"> del licitante. Son, en consecuencia, “la medida de la responsabilidad </w:t>
      </w:r>
      <w:proofErr w:type="spellStart"/>
      <w:r w:rsidRPr="00983DE2">
        <w:rPr>
          <w:rFonts w:ascii="Verdana" w:eastAsia="Calibri" w:hAnsi="Verdana" w:cs="Arial"/>
          <w:color w:val="000000" w:themeColor="text1"/>
          <w:sz w:val="21"/>
          <w:szCs w:val="21"/>
          <w:lang w:val="es-ES"/>
        </w:rPr>
        <w:t>pre-contractual</w:t>
      </w:r>
      <w:proofErr w:type="spellEnd"/>
      <w:r w:rsidRPr="00983DE2">
        <w:rPr>
          <w:rFonts w:ascii="Verdana" w:eastAsia="Calibri" w:hAnsi="Verdana" w:cs="Arial"/>
          <w:color w:val="000000" w:themeColor="text1"/>
          <w:sz w:val="21"/>
          <w:szCs w:val="21"/>
          <w:lang w:val="es-ES"/>
        </w:rPr>
        <w:t xml:space="preserve"> del oferente”; o, más bien, la garantía de oferta representa en definitiva la medida de la responsabilidad”</w:t>
      </w:r>
      <w:r w:rsidRPr="00983DE2">
        <w:rPr>
          <w:rStyle w:val="Refdenotaalpie"/>
          <w:rFonts w:ascii="Verdana" w:eastAsia="Calibri" w:hAnsi="Verdana" w:cs="Arial"/>
          <w:color w:val="000000" w:themeColor="text1"/>
          <w:sz w:val="21"/>
          <w:szCs w:val="21"/>
          <w:lang w:val="es-ES"/>
        </w:rPr>
        <w:footnoteReference w:id="3"/>
      </w:r>
      <w:r w:rsidRPr="00983DE2">
        <w:rPr>
          <w:rFonts w:ascii="Verdana" w:eastAsia="Calibri" w:hAnsi="Verdana" w:cs="Arial"/>
          <w:color w:val="000000" w:themeColor="text1"/>
          <w:sz w:val="21"/>
          <w:szCs w:val="21"/>
          <w:lang w:val="es-ES"/>
        </w:rPr>
        <w:t xml:space="preserve">. (Cursivas dentro del texto)   </w:t>
      </w:r>
    </w:p>
    <w:p w14:paraId="3D6E6997" w14:textId="77777777" w:rsidR="00EE2FC5" w:rsidRPr="00983DE2" w:rsidRDefault="00EE2FC5" w:rsidP="00EE2FC5">
      <w:pPr>
        <w:spacing w:after="0" w:line="276" w:lineRule="auto"/>
        <w:jc w:val="both"/>
        <w:rPr>
          <w:rFonts w:ascii="Verdana" w:eastAsia="Calibri" w:hAnsi="Verdana" w:cs="Arial"/>
          <w:color w:val="000000" w:themeColor="text1"/>
          <w:lang w:val="es-ES"/>
        </w:rPr>
      </w:pPr>
    </w:p>
    <w:p w14:paraId="4FD591FB" w14:textId="77777777" w:rsidR="00EE2FC5" w:rsidRPr="00983DE2" w:rsidRDefault="00EE2FC5" w:rsidP="00EE2FC5">
      <w:pPr>
        <w:spacing w:after="120" w:line="276" w:lineRule="auto"/>
        <w:ind w:firstLine="709"/>
        <w:jc w:val="both"/>
        <w:rPr>
          <w:rFonts w:ascii="Verdana" w:eastAsia="Calibri" w:hAnsi="Verdana" w:cs="Arial"/>
          <w:color w:val="000000" w:themeColor="text1"/>
          <w:lang w:val="es-ES"/>
        </w:rPr>
      </w:pPr>
      <w:r w:rsidRPr="00983DE2">
        <w:rPr>
          <w:rFonts w:ascii="Verdana" w:eastAsia="Calibri" w:hAnsi="Verdana" w:cs="Arial"/>
          <w:color w:val="000000" w:themeColor="text1"/>
          <w:lang w:val="es-ES"/>
        </w:rPr>
        <w:t xml:space="preserve">En contraste, mediante la </w:t>
      </w:r>
      <w:r w:rsidRPr="00983DE2">
        <w:rPr>
          <w:rFonts w:ascii="Verdana" w:eastAsia="Calibri" w:hAnsi="Verdana" w:cs="Arial"/>
          <w:i/>
          <w:iCs/>
          <w:color w:val="000000" w:themeColor="text1"/>
          <w:lang w:val="es-ES"/>
        </w:rPr>
        <w:t>garantía de única de cumplimiento</w:t>
      </w:r>
      <w:r w:rsidRPr="00983DE2">
        <w:rPr>
          <w:rFonts w:ascii="Verdana" w:eastAsia="Calibri" w:hAnsi="Verdana" w:cs="Arial"/>
          <w:color w:val="000000" w:themeColor="text1"/>
          <w:lang w:val="es-ES"/>
        </w:rPr>
        <w:t>, el contratista ampara los perjuicios que le pueda generar a la entidad el incumplimiento de las obligaciones derivadas del contrato</w:t>
      </w:r>
      <w:r w:rsidRPr="00983DE2">
        <w:rPr>
          <w:rStyle w:val="Refdenotaalpie"/>
          <w:rFonts w:ascii="Verdana" w:eastAsia="Calibri" w:hAnsi="Verdana" w:cs="Arial"/>
          <w:color w:val="000000" w:themeColor="text1"/>
          <w:lang w:val="es-ES"/>
        </w:rPr>
        <w:footnoteReference w:id="4"/>
      </w:r>
      <w:r w:rsidRPr="00983DE2">
        <w:rPr>
          <w:rFonts w:ascii="Verdana" w:eastAsia="Calibri" w:hAnsi="Verdana" w:cs="Arial"/>
          <w:color w:val="000000" w:themeColor="text1"/>
          <w:lang w:val="es-ES"/>
        </w:rPr>
        <w:t xml:space="preserve">. En esta medida, tienen como objetivo reparar los perjuicios causados por conductas atribuibles al contratista, por lo que estos últimos son un presupuesto necesario para el pago que cubre la garantía. </w:t>
      </w:r>
      <w:r w:rsidRPr="00983DE2">
        <w:rPr>
          <w:rFonts w:ascii="Verdana" w:hAnsi="Verdana" w:cs="Arial"/>
          <w:color w:val="000000" w:themeColor="text1"/>
          <w:lang w:val="es-ES"/>
        </w:rPr>
        <w:t>Para estos efectos es única, ya que “[…] La prioridad […] es que no haya garantías separadas para los diferentes riesgos, aunque existan varias garantías para diferentes proporciones del interés asegurado […]”</w:t>
      </w:r>
      <w:r w:rsidRPr="00983DE2">
        <w:rPr>
          <w:rStyle w:val="Refdenotaalpie"/>
          <w:rFonts w:ascii="Verdana" w:hAnsi="Verdana" w:cs="Arial"/>
          <w:color w:val="000000" w:themeColor="text1"/>
          <w:lang w:val="es-ES"/>
        </w:rPr>
        <w:footnoteReference w:id="5"/>
      </w:r>
      <w:r w:rsidRPr="00983DE2">
        <w:rPr>
          <w:rFonts w:ascii="Verdana" w:hAnsi="Verdana" w:cs="Arial"/>
          <w:color w:val="000000" w:themeColor="text1"/>
          <w:lang w:val="es-ES"/>
        </w:rPr>
        <w:t xml:space="preserve">.    </w:t>
      </w:r>
    </w:p>
    <w:p w14:paraId="4F4E3900" w14:textId="77777777" w:rsidR="00EE2FC5" w:rsidRDefault="00EE2FC5" w:rsidP="00EE2FC5">
      <w:pPr>
        <w:spacing w:after="12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rPr>
        <w:lastRenderedPageBreak/>
        <w:t xml:space="preserve">Desde esta perspectiva, ambas garantías constituyen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w:t>
      </w:r>
      <w:proofErr w:type="spellStart"/>
      <w:r w:rsidRPr="00983DE2">
        <w:rPr>
          <w:rFonts w:ascii="Verdana" w:hAnsi="Verdana" w:cs="Arial"/>
          <w:color w:val="000000" w:themeColor="text1"/>
          <w:lang w:val="es-ES"/>
        </w:rPr>
        <w:t>ii</w:t>
      </w:r>
      <w:proofErr w:type="spellEnd"/>
      <w:r w:rsidRPr="00983DE2">
        <w:rPr>
          <w:rFonts w:ascii="Verdana" w:hAnsi="Verdana" w:cs="Arial"/>
          <w:color w:val="000000" w:themeColor="text1"/>
          <w:lang w:val="es-ES"/>
        </w:rPr>
        <w:t xml:space="preserve">) garantías bancarias o </w:t>
      </w:r>
      <w:proofErr w:type="spellStart"/>
      <w:r w:rsidRPr="00983DE2">
        <w:rPr>
          <w:rFonts w:ascii="Verdana" w:hAnsi="Verdana" w:cs="Arial"/>
          <w:color w:val="000000" w:themeColor="text1"/>
          <w:lang w:val="es-ES"/>
        </w:rPr>
        <w:t>iii</w:t>
      </w:r>
      <w:proofErr w:type="spellEnd"/>
      <w:r w:rsidRPr="00983DE2">
        <w:rPr>
          <w:rFonts w:ascii="Verdana" w:hAnsi="Verdana" w:cs="Arial"/>
          <w:color w:val="000000" w:themeColor="text1"/>
          <w:lang w:val="es-ES"/>
        </w:rPr>
        <w:t>)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w:t>
      </w:r>
      <w:r w:rsidRPr="00983DE2">
        <w:rPr>
          <w:rStyle w:val="Refdenotaalpie"/>
          <w:rFonts w:ascii="Verdana" w:hAnsi="Verdana" w:cs="Arial"/>
          <w:color w:val="000000" w:themeColor="text1"/>
          <w:lang w:val="es-ES"/>
        </w:rPr>
        <w:footnoteReference w:id="6"/>
      </w:r>
      <w:r w:rsidRPr="00983DE2">
        <w:rPr>
          <w:rFonts w:ascii="Verdana" w:hAnsi="Verdana" w:cs="Arial"/>
          <w:color w:val="000000" w:themeColor="text1"/>
          <w:lang w:val="es-ES"/>
        </w:rPr>
        <w:t>. De esta manera, las garantías previstas en la ley tienen como objetivo asegurar la solvencia del garante</w:t>
      </w:r>
      <w:r w:rsidRPr="00983DE2">
        <w:rPr>
          <w:rStyle w:val="Refdenotaalpie"/>
          <w:rFonts w:ascii="Verdana" w:hAnsi="Verdana" w:cs="Arial"/>
          <w:color w:val="000000" w:themeColor="text1"/>
          <w:lang w:val="es-ES"/>
        </w:rPr>
        <w:footnoteReference w:id="7"/>
      </w:r>
      <w:r w:rsidRPr="00983DE2">
        <w:rPr>
          <w:rFonts w:ascii="Verdana" w:hAnsi="Verdana" w:cs="Arial"/>
          <w:color w:val="000000" w:themeColor="text1"/>
          <w:lang w:val="es-ES"/>
        </w:rPr>
        <w:t>.</w:t>
      </w:r>
    </w:p>
    <w:p w14:paraId="791745DA" w14:textId="77777777" w:rsidR="007D6702" w:rsidRPr="009F4B37" w:rsidRDefault="007D6702" w:rsidP="007D6702">
      <w:pPr>
        <w:spacing w:after="120" w:line="276" w:lineRule="auto"/>
        <w:ind w:firstLine="708"/>
        <w:jc w:val="both"/>
        <w:rPr>
          <w:rFonts w:ascii="Verdana" w:eastAsia="Calibri" w:hAnsi="Verdana"/>
          <w:color w:val="000000" w:themeColor="text1"/>
        </w:rPr>
      </w:pPr>
      <w:r>
        <w:rPr>
          <w:rFonts w:ascii="Verdana" w:eastAsia="Calibri" w:hAnsi="Verdana"/>
          <w:color w:val="000000" w:themeColor="text1"/>
          <w:lang w:val="es-ES"/>
        </w:rPr>
        <w:t xml:space="preserve">En relación con </w:t>
      </w:r>
      <w:r w:rsidRPr="00A7080B">
        <w:rPr>
          <w:rFonts w:ascii="Verdana" w:eastAsia="Calibri" w:hAnsi="Verdana"/>
          <w:color w:val="000000" w:themeColor="text1"/>
          <w:lang w:val="es-ES"/>
        </w:rPr>
        <w:t xml:space="preserve">el contrato de seguro </w:t>
      </w:r>
      <w:r>
        <w:rPr>
          <w:rFonts w:ascii="Verdana" w:eastAsia="Calibri" w:hAnsi="Verdana"/>
          <w:color w:val="000000" w:themeColor="text1"/>
          <w:lang w:val="es-ES"/>
        </w:rPr>
        <w:t xml:space="preserve">a través del cual pueden </w:t>
      </w:r>
      <w:proofErr w:type="spellStart"/>
      <w:r>
        <w:rPr>
          <w:rFonts w:ascii="Verdana" w:eastAsia="Calibri" w:hAnsi="Verdana"/>
          <w:color w:val="000000" w:themeColor="text1"/>
          <w:lang w:val="es-ES"/>
        </w:rPr>
        <w:t>otrogarse</w:t>
      </w:r>
      <w:proofErr w:type="spellEnd"/>
      <w:r>
        <w:rPr>
          <w:rFonts w:ascii="Verdana" w:eastAsia="Calibri" w:hAnsi="Verdana"/>
          <w:color w:val="000000" w:themeColor="text1"/>
          <w:lang w:val="es-ES"/>
        </w:rPr>
        <w:t xml:space="preserve"> las garantías precontractuales y contractuales, el mismo </w:t>
      </w:r>
      <w:r w:rsidRPr="00A7080B">
        <w:rPr>
          <w:rFonts w:ascii="Verdana" w:eastAsia="Calibri" w:hAnsi="Verdana"/>
          <w:color w:val="000000" w:themeColor="text1"/>
          <w:lang w:val="es-ES"/>
        </w:rPr>
        <w:t>está definido en el artículo 1036 del Código de Comercio: “</w:t>
      </w:r>
      <w:r w:rsidRPr="00A7080B">
        <w:rPr>
          <w:rFonts w:ascii="Verdana" w:eastAsia="Calibri" w:hAnsi="Verdana"/>
          <w:color w:val="000000" w:themeColor="text1"/>
        </w:rPr>
        <w:t xml:space="preserve">El seguro es un contrato consensual, bilateral, oneroso, aleatorio y de ejecución sucesiva”, cuyas partes son: i) el asegurador, esto es, la persona jurídica que asume los riesgos y que está autorizada para ello: </w:t>
      </w:r>
      <w:proofErr w:type="spellStart"/>
      <w:r w:rsidRPr="00A7080B">
        <w:rPr>
          <w:rFonts w:ascii="Verdana" w:eastAsia="Calibri" w:hAnsi="Verdana"/>
          <w:color w:val="000000" w:themeColor="text1"/>
        </w:rPr>
        <w:t>ii</w:t>
      </w:r>
      <w:proofErr w:type="spellEnd"/>
      <w:r w:rsidRPr="00A7080B">
        <w:rPr>
          <w:rFonts w:ascii="Verdana" w:eastAsia="Calibri" w:hAnsi="Verdana"/>
          <w:color w:val="000000" w:themeColor="text1"/>
        </w:rPr>
        <w:t>) el tomador, esto es, la persona que obrando por cuenta propia o ajena traslada los riesgos, de conformidad con el artículo 1037 del Código de Comercio</w:t>
      </w:r>
      <w:r w:rsidRPr="00A7080B">
        <w:rPr>
          <w:rFonts w:ascii="Verdana" w:eastAsia="Calibri" w:hAnsi="Verdana"/>
          <w:color w:val="000000" w:themeColor="text1"/>
          <w:vertAlign w:val="superscript"/>
        </w:rPr>
        <w:footnoteReference w:id="8"/>
      </w:r>
      <w:r w:rsidRPr="00A7080B">
        <w:rPr>
          <w:rFonts w:ascii="Verdana" w:eastAsia="Calibri" w:hAnsi="Verdana"/>
          <w:color w:val="000000" w:themeColor="text1"/>
        </w:rPr>
        <w:t xml:space="preserve">. </w:t>
      </w:r>
    </w:p>
    <w:p w14:paraId="06EDA7A5" w14:textId="77777777" w:rsidR="00EE2FC5" w:rsidRPr="00983DE2" w:rsidRDefault="00EE2FC5" w:rsidP="00EE2FC5">
      <w:pPr>
        <w:spacing w:after="12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rPr>
        <w:t xml:space="preserve">El Decreto 1082 de 2015 reglamenta las condiciones en que debe cumplirse esta obligación. Los artículos 2.2.1.2.3.1.1 a 2.2.1.2.3.1.19 del </w:t>
      </w:r>
      <w:r w:rsidRPr="00983DE2">
        <w:rPr>
          <w:rFonts w:ascii="Verdana" w:hAnsi="Verdana" w:cs="Arial"/>
          <w:color w:val="000000" w:themeColor="text1"/>
          <w:lang w:val="es-ES"/>
        </w:rPr>
        <w:lastRenderedPageBreak/>
        <w:t xml:space="preserve">Decreto Único Reglamentario del sector Administrativo de Planeación Nacional regulan asuntos como las clases de garantías permitidas, la indivisibilidad de </w:t>
      </w:r>
      <w:proofErr w:type="gramStart"/>
      <w:r w:rsidRPr="00983DE2">
        <w:rPr>
          <w:rFonts w:ascii="Verdana" w:hAnsi="Verdana" w:cs="Arial"/>
          <w:color w:val="000000" w:themeColor="text1"/>
          <w:lang w:val="es-ES"/>
        </w:rPr>
        <w:t>las mismas</w:t>
      </w:r>
      <w:proofErr w:type="gramEnd"/>
      <w:r w:rsidRPr="00983DE2">
        <w:rPr>
          <w:rFonts w:ascii="Verdana" w:hAnsi="Verdana" w:cs="Arial"/>
          <w:color w:val="000000" w:themeColor="text1"/>
          <w:lang w:val="es-ES"/>
        </w:rPr>
        <w:t xml:space="preserve">, los diferentes riesgos que deben ser objeto de garantía, la vigencia y valores mínimos que deben cubrir los amparos, entre otros aspectos. </w:t>
      </w:r>
    </w:p>
    <w:p w14:paraId="664514F8" w14:textId="77777777" w:rsidR="00EE2FC5" w:rsidRDefault="00EE2FC5" w:rsidP="00EE2FC5">
      <w:pPr>
        <w:spacing w:before="120" w:after="120" w:line="276" w:lineRule="auto"/>
        <w:ind w:firstLine="708"/>
        <w:jc w:val="both"/>
        <w:rPr>
          <w:rFonts w:ascii="Verdana" w:eastAsia="Times New Roman" w:hAnsi="Verdana" w:cs="Arial"/>
          <w:color w:val="000000" w:themeColor="text1"/>
          <w:lang w:val="es-ES" w:eastAsia="es-CO"/>
        </w:rPr>
      </w:pPr>
      <w:r w:rsidRPr="00983DE2">
        <w:rPr>
          <w:rFonts w:ascii="Verdana" w:hAnsi="Verdana" w:cs="Arial"/>
          <w:color w:val="000000" w:themeColor="text1"/>
          <w:lang w:val="es-ES"/>
        </w:rPr>
        <w:t>El artículo 2.2.1.2.3.1.3, por ejemplo, establece que la “garantía de cobertura del Riesgo es indivisible”, además de la obligación de los contratantes de establecer en los pliegos de condiciones las garantías exigidas para cada periodo contractual</w:t>
      </w:r>
      <w:r w:rsidRPr="00983DE2">
        <w:rPr>
          <w:rStyle w:val="Refdenotaalpie"/>
          <w:rFonts w:ascii="Verdana" w:hAnsi="Verdana" w:cs="Arial"/>
          <w:color w:val="000000" w:themeColor="text1"/>
          <w:lang w:val="es-ES"/>
        </w:rPr>
        <w:footnoteReference w:id="9"/>
      </w:r>
      <w:r w:rsidRPr="00983DE2">
        <w:rPr>
          <w:rFonts w:ascii="Verdana" w:hAnsi="Verdana" w:cs="Arial"/>
          <w:color w:val="000000" w:themeColor="text1"/>
          <w:lang w:val="es-ES"/>
        </w:rPr>
        <w:t xml:space="preserve">. Por su parte, el artículo 2.2.1.3.1.7 prescribe que la garantía de cumplimiento debe cubrir: i) el buen manejo y correcta inversión del anticipo; </w:t>
      </w:r>
      <w:proofErr w:type="spellStart"/>
      <w:r w:rsidRPr="00983DE2">
        <w:rPr>
          <w:rFonts w:ascii="Verdana" w:hAnsi="Verdana" w:cs="Arial"/>
          <w:color w:val="000000" w:themeColor="text1"/>
          <w:lang w:val="es-ES"/>
        </w:rPr>
        <w:t>ii</w:t>
      </w:r>
      <w:proofErr w:type="spellEnd"/>
      <w:r w:rsidRPr="00983DE2">
        <w:rPr>
          <w:rFonts w:ascii="Verdana" w:hAnsi="Verdana" w:cs="Arial"/>
          <w:color w:val="000000" w:themeColor="text1"/>
          <w:lang w:val="es-ES"/>
        </w:rPr>
        <w:t xml:space="preserve">) la devolución del pago anticipado; </w:t>
      </w:r>
      <w:proofErr w:type="spellStart"/>
      <w:r w:rsidRPr="00983DE2">
        <w:rPr>
          <w:rFonts w:ascii="Verdana" w:hAnsi="Verdana" w:cs="Arial"/>
          <w:color w:val="000000" w:themeColor="text1"/>
          <w:lang w:val="es-ES"/>
        </w:rPr>
        <w:t>iii</w:t>
      </w:r>
      <w:proofErr w:type="spellEnd"/>
      <w:r w:rsidRPr="00983DE2">
        <w:rPr>
          <w:rFonts w:ascii="Verdana" w:hAnsi="Verdana" w:cs="Arial"/>
          <w:color w:val="000000" w:themeColor="text1"/>
          <w:lang w:val="es-ES"/>
        </w:rPr>
        <w:t xml:space="preserve">) el cumplimiento del contrato; </w:t>
      </w:r>
      <w:proofErr w:type="spellStart"/>
      <w:r w:rsidRPr="00983DE2">
        <w:rPr>
          <w:rFonts w:ascii="Verdana" w:hAnsi="Verdana" w:cs="Arial"/>
          <w:color w:val="000000" w:themeColor="text1"/>
          <w:lang w:val="es-ES"/>
        </w:rPr>
        <w:t>iv</w:t>
      </w:r>
      <w:proofErr w:type="spellEnd"/>
      <w:r w:rsidRPr="00983DE2">
        <w:rPr>
          <w:rFonts w:ascii="Verdana" w:hAnsi="Verdana" w:cs="Arial"/>
          <w:color w:val="000000" w:themeColor="text1"/>
          <w:lang w:val="es-ES"/>
        </w:rPr>
        <w:t xml:space="preserve">) el pago de salarios, prestaciones sociales legales e indemnizaciones laborales; v)  la estabilidad y calidad de la obra; vi) la </w:t>
      </w:r>
      <w:r w:rsidRPr="00983DE2">
        <w:rPr>
          <w:rFonts w:ascii="Verdana" w:eastAsia="Times New Roman" w:hAnsi="Verdana" w:cs="Arial"/>
          <w:color w:val="000000" w:themeColor="text1"/>
          <w:lang w:val="es-ES" w:eastAsia="es-CO"/>
        </w:rPr>
        <w:t xml:space="preserve">calidad del servicio; </w:t>
      </w:r>
      <w:proofErr w:type="spellStart"/>
      <w:r w:rsidRPr="00983DE2">
        <w:rPr>
          <w:rFonts w:ascii="Verdana" w:eastAsia="Times New Roman" w:hAnsi="Verdana" w:cs="Arial"/>
          <w:color w:val="000000" w:themeColor="text1"/>
          <w:lang w:val="es-ES" w:eastAsia="es-CO"/>
        </w:rPr>
        <w:t>vii</w:t>
      </w:r>
      <w:proofErr w:type="spellEnd"/>
      <w:r w:rsidRPr="00983DE2">
        <w:rPr>
          <w:rFonts w:ascii="Verdana" w:eastAsia="Times New Roman" w:hAnsi="Verdana" w:cs="Arial"/>
          <w:color w:val="000000" w:themeColor="text1"/>
          <w:lang w:val="es-ES" w:eastAsia="es-CO"/>
        </w:rPr>
        <w:t xml:space="preserve">) la calidad y correcto funcionamiento de los bienes; y </w:t>
      </w:r>
      <w:proofErr w:type="spellStart"/>
      <w:r w:rsidRPr="00983DE2">
        <w:rPr>
          <w:rFonts w:ascii="Verdana" w:eastAsia="Times New Roman" w:hAnsi="Verdana" w:cs="Arial"/>
          <w:color w:val="000000" w:themeColor="text1"/>
          <w:lang w:val="es-ES" w:eastAsia="es-CO"/>
        </w:rPr>
        <w:t>viii</w:t>
      </w:r>
      <w:proofErr w:type="spellEnd"/>
      <w:r w:rsidRPr="00983DE2">
        <w:rPr>
          <w:rFonts w:ascii="Verdana" w:eastAsia="Times New Roman" w:hAnsi="Verdana" w:cs="Arial"/>
          <w:color w:val="000000" w:themeColor="text1"/>
          <w:lang w:val="es-ES" w:eastAsia="es-CO"/>
        </w:rPr>
        <w:t>) los demás incumplimientos de las obligaciones que la entidad estatal considere deben ser amparados</w:t>
      </w:r>
      <w:r w:rsidRPr="00983DE2">
        <w:rPr>
          <w:rStyle w:val="Refdenotaalpie"/>
          <w:rFonts w:ascii="Verdana" w:eastAsia="Times New Roman" w:hAnsi="Verdana" w:cs="Arial"/>
          <w:color w:val="000000" w:themeColor="text1"/>
          <w:lang w:val="es-ES" w:eastAsia="es-CO"/>
        </w:rPr>
        <w:footnoteReference w:id="10"/>
      </w:r>
      <w:r w:rsidRPr="00983DE2">
        <w:rPr>
          <w:rFonts w:ascii="Verdana" w:eastAsia="Times New Roman" w:hAnsi="Verdana" w:cs="Arial"/>
          <w:color w:val="000000" w:themeColor="text1"/>
          <w:lang w:val="es-ES" w:eastAsia="es-CO"/>
        </w:rPr>
        <w:t xml:space="preserve">. </w:t>
      </w:r>
    </w:p>
    <w:p w14:paraId="6FF78994" w14:textId="77777777" w:rsidR="00915351" w:rsidRDefault="00915351" w:rsidP="00340CA1">
      <w:pPr>
        <w:spacing w:before="120" w:after="120" w:line="276" w:lineRule="auto"/>
        <w:jc w:val="both"/>
        <w:rPr>
          <w:rFonts w:ascii="Verdana" w:eastAsia="Times New Roman" w:hAnsi="Verdana" w:cs="Arial"/>
          <w:color w:val="000000" w:themeColor="text1"/>
          <w:lang w:val="es-ES" w:eastAsia="es-CO"/>
        </w:rPr>
      </w:pPr>
    </w:p>
    <w:p w14:paraId="0342587F" w14:textId="77777777" w:rsidR="00EE2FC5" w:rsidRDefault="00EE2FC5" w:rsidP="00EE2FC5">
      <w:pPr>
        <w:spacing w:before="120" w:after="120" w:line="276" w:lineRule="auto"/>
        <w:ind w:firstLine="708"/>
        <w:jc w:val="both"/>
        <w:rPr>
          <w:rFonts w:ascii="Verdana" w:eastAsia="Times New Roman" w:hAnsi="Verdana" w:cs="Arial"/>
          <w:color w:val="000000" w:themeColor="text1"/>
          <w:lang w:val="es-ES" w:eastAsia="es-CO"/>
        </w:rPr>
      </w:pPr>
      <w:r>
        <w:rPr>
          <w:rFonts w:ascii="Verdana" w:eastAsia="Times New Roman" w:hAnsi="Verdana" w:cs="Arial"/>
          <w:color w:val="000000" w:themeColor="text1"/>
          <w:lang w:val="es-ES" w:eastAsia="es-CO"/>
        </w:rPr>
        <w:t xml:space="preserve">Sobre las garantías de los oferentes plurales, es decir cuando la oferta sea presentada por un proponente plural como promesa de sociedad futura, unión temporal o consorcio, la garantía debe ser otorgada por todos sus integrantes según el Artículo 2.2.1.2.3.1.4. </w:t>
      </w:r>
      <w:r w:rsidRPr="00983DE2">
        <w:rPr>
          <w:rFonts w:ascii="Verdana" w:eastAsia="Times New Roman" w:hAnsi="Verdana" w:cs="Arial"/>
          <w:color w:val="000000" w:themeColor="text1"/>
          <w:lang w:val="es-ES" w:eastAsia="es-CO"/>
        </w:rPr>
        <w:t xml:space="preserve">En torno al amparo de </w:t>
      </w:r>
      <w:r w:rsidRPr="00983DE2">
        <w:rPr>
          <w:rFonts w:ascii="Verdana" w:eastAsia="Times New Roman" w:hAnsi="Verdana" w:cs="Arial"/>
          <w:i/>
          <w:iCs/>
          <w:color w:val="000000" w:themeColor="text1"/>
          <w:lang w:val="es-ES" w:eastAsia="es-CO"/>
        </w:rPr>
        <w:t>responsabilidad civil extracontractual</w:t>
      </w:r>
      <w:r w:rsidRPr="00983DE2">
        <w:rPr>
          <w:rFonts w:ascii="Verdana" w:eastAsia="Times New Roman" w:hAnsi="Verdana" w:cs="Arial"/>
          <w:color w:val="000000" w:themeColor="text1"/>
          <w:lang w:val="es-ES" w:eastAsia="es-CO"/>
        </w:rPr>
        <w:t>,</w:t>
      </w:r>
      <w:r w:rsidRPr="00983DE2">
        <w:rPr>
          <w:rFonts w:ascii="Verdana" w:eastAsia="Times New Roman" w:hAnsi="Verdana" w:cs="Arial"/>
          <w:b/>
          <w:bCs/>
          <w:color w:val="000000" w:themeColor="text1"/>
          <w:lang w:val="es-ES" w:eastAsia="es-CO"/>
        </w:rPr>
        <w:t xml:space="preserve"> </w:t>
      </w:r>
      <w:r w:rsidRPr="00983DE2">
        <w:rPr>
          <w:rFonts w:ascii="Verdana" w:eastAsia="Times New Roman" w:hAnsi="Verdana" w:cs="Arial"/>
          <w:color w:val="000000" w:themeColor="text1"/>
          <w:lang w:val="es-ES" w:eastAsia="es-CO"/>
        </w:rPr>
        <w:t>el Artículo 2.2.1.2.3.1.5. establece sobre la cobertura del Riesgo de responsabilidad civil extracontractual que este se deriva de las actuaciones, hechos u omisiones de los contratistas o subcontratistas y solamente puede ser amparada con un contrato de seguro. </w:t>
      </w:r>
    </w:p>
    <w:p w14:paraId="2349B0EB" w14:textId="77777777" w:rsidR="00EE2FC5" w:rsidRPr="00983DE2" w:rsidRDefault="00EE2FC5" w:rsidP="00EE2FC5">
      <w:pPr>
        <w:spacing w:before="120" w:after="12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 xml:space="preserve">Adicionalmente, es obligatorio en los contratos de obra, así como en aquellos en que por su objeto o naturaleza se considere necesario con ocasión de los riesgos previstos en el negocio, para efectos de la cobertura frente a eventuales reclamaciones de terceros que surja de las actuaciones, hechos u omisiones de su contratista. De acuerdo con el inciso segundo del artículo 2.2.1.2.3.1.8 </w:t>
      </w:r>
      <w:r w:rsidRPr="00983DE2">
        <w:rPr>
          <w:rFonts w:ascii="Verdana" w:eastAsia="Times New Roman" w:hAnsi="Verdana" w:cs="Arial"/>
          <w:i/>
          <w:iCs/>
          <w:color w:val="000000" w:themeColor="text1"/>
          <w:lang w:val="es-ES" w:eastAsia="es-CO"/>
        </w:rPr>
        <w:t>ibidem</w:t>
      </w:r>
      <w:r w:rsidRPr="00983DE2">
        <w:rPr>
          <w:rFonts w:ascii="Verdana" w:eastAsia="Times New Roman" w:hAnsi="Verdana" w:cs="Arial"/>
          <w:color w:val="000000" w:themeColor="text1"/>
          <w:lang w:val="es-ES" w:eastAsia="es-CO"/>
        </w:rPr>
        <w:t xml:space="preserve">, “La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w:t>
      </w:r>
      <w:r w:rsidRPr="00983DE2">
        <w:rPr>
          <w:rFonts w:ascii="Verdana" w:eastAsia="Times New Roman" w:hAnsi="Verdana" w:cs="Arial"/>
          <w:color w:val="000000" w:themeColor="text1"/>
          <w:lang w:val="es-ES" w:eastAsia="es-CO"/>
        </w:rPr>
        <w:lastRenderedPageBreak/>
        <w:t>cuenta con un seguro propio con el mismo objeto y que la Entidad Estatal sea el asegurado”.</w:t>
      </w:r>
    </w:p>
    <w:p w14:paraId="5BCE584F" w14:textId="65C5DC70" w:rsidR="00EE2FC5" w:rsidRDefault="00EE2FC5" w:rsidP="00EE2FC5">
      <w:pPr>
        <w:spacing w:before="120" w:after="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Así, el cumplimiento de las exigencias previstas en el Decreto Único Reglamentario del Sector Planeación condiciona la aprobación de la garantía como requisito de ejecución contractual conforme al inciso segundo de artículo 41 de la Ley 80 de 1993. De esta manera,</w:t>
      </w:r>
      <w:r>
        <w:rPr>
          <w:rFonts w:ascii="Verdana" w:eastAsia="Times New Roman" w:hAnsi="Verdana" w:cs="Arial"/>
          <w:color w:val="000000" w:themeColor="text1"/>
          <w:lang w:val="es-ES" w:eastAsia="es-CO"/>
        </w:rPr>
        <w:t xml:space="preserve"> </w:t>
      </w:r>
      <w:r w:rsidRPr="00983DE2">
        <w:rPr>
          <w:rFonts w:ascii="Verdana" w:eastAsia="Times New Roman" w:hAnsi="Verdana" w:cs="Arial"/>
          <w:color w:val="000000" w:themeColor="text1"/>
          <w:lang w:val="es-ES" w:eastAsia="es-CO"/>
        </w:rPr>
        <w:t xml:space="preserve">la Entidad Estatal tiene la obligación de verificar en cada caso que </w:t>
      </w:r>
      <w:r w:rsidR="00FC1287">
        <w:rPr>
          <w:rFonts w:ascii="Verdana" w:eastAsia="Times New Roman" w:hAnsi="Verdana" w:cs="Arial"/>
          <w:color w:val="000000" w:themeColor="text1"/>
          <w:lang w:val="es-ES" w:eastAsia="es-CO"/>
        </w:rPr>
        <w:t>la garantía presentada</w:t>
      </w:r>
      <w:r w:rsidRPr="00983DE2">
        <w:rPr>
          <w:rFonts w:ascii="Verdana" w:eastAsia="Times New Roman" w:hAnsi="Verdana" w:cs="Arial"/>
          <w:color w:val="000000" w:themeColor="text1"/>
          <w:lang w:val="es-ES" w:eastAsia="es-CO"/>
        </w:rPr>
        <w:t xml:space="preserve"> satisfaga todos los requisitos en los términos establecidos en la normativa.</w:t>
      </w:r>
    </w:p>
    <w:p w14:paraId="30D13580" w14:textId="77777777" w:rsidR="00E340B7" w:rsidRDefault="00E340B7" w:rsidP="00E340B7">
      <w:pPr>
        <w:pStyle w:val="Prrafodelista"/>
        <w:spacing w:after="120" w:line="276" w:lineRule="auto"/>
        <w:ind w:left="54"/>
        <w:jc w:val="both"/>
        <w:rPr>
          <w:rFonts w:ascii="Verdana" w:eastAsia="Calibri" w:hAnsi="Verdana" w:cs="Arial"/>
        </w:rPr>
      </w:pPr>
    </w:p>
    <w:p w14:paraId="62A58FC3" w14:textId="73D753DE" w:rsidR="00E340B7" w:rsidRPr="009F4B37" w:rsidRDefault="00E340B7" w:rsidP="00340CA1">
      <w:pPr>
        <w:pStyle w:val="Prrafodelista"/>
        <w:spacing w:after="120" w:line="276" w:lineRule="auto"/>
        <w:ind w:left="54"/>
        <w:jc w:val="both"/>
        <w:rPr>
          <w:rFonts w:ascii="Verdana" w:eastAsia="Calibri" w:hAnsi="Verdana" w:cs="Arial"/>
        </w:rPr>
      </w:pPr>
      <w:proofErr w:type="spellStart"/>
      <w:r>
        <w:rPr>
          <w:rFonts w:ascii="Verdana" w:eastAsia="Calibri" w:hAnsi="Verdana" w:cs="Arial"/>
        </w:rPr>
        <w:t>ii.</w:t>
      </w:r>
      <w:proofErr w:type="gramStart"/>
      <w:r>
        <w:rPr>
          <w:rFonts w:ascii="Verdana" w:eastAsia="Calibri" w:hAnsi="Verdana" w:cs="Arial"/>
        </w:rPr>
        <w:t>En</w:t>
      </w:r>
      <w:proofErr w:type="spellEnd"/>
      <w:r>
        <w:rPr>
          <w:rFonts w:ascii="Verdana" w:eastAsia="Calibri" w:hAnsi="Verdana" w:cs="Arial"/>
        </w:rPr>
        <w:t xml:space="preserve"> relación a</w:t>
      </w:r>
      <w:proofErr w:type="gramEnd"/>
      <w:r>
        <w:rPr>
          <w:rFonts w:ascii="Verdana" w:eastAsia="Calibri" w:hAnsi="Verdana" w:cs="Arial"/>
        </w:rPr>
        <w:t xml:space="preserve"> cómo los proponentes plurales deben otorgar las garantías </w:t>
      </w:r>
      <w:proofErr w:type="gramStart"/>
      <w:r>
        <w:rPr>
          <w:rFonts w:ascii="Verdana" w:eastAsia="Calibri" w:hAnsi="Verdana" w:cs="Arial"/>
        </w:rPr>
        <w:t>pre contractuales</w:t>
      </w:r>
      <w:proofErr w:type="gramEnd"/>
      <w:r>
        <w:rPr>
          <w:rFonts w:ascii="Verdana" w:eastAsia="Calibri" w:hAnsi="Verdana" w:cs="Arial"/>
        </w:rPr>
        <w:t xml:space="preserve"> y contractuales, sea lo primero analizar su capacidad jurídica. E</w:t>
      </w:r>
      <w:r w:rsidRPr="009F4B37">
        <w:rPr>
          <w:rFonts w:ascii="Verdana" w:eastAsia="Calibri" w:hAnsi="Verdana" w:cs="Arial"/>
        </w:rPr>
        <w:t xml:space="preserve">l artículo 6 de la Ley 80 de 1993 señala que pueden celebrar contratos con las Entidades Estatales las personas naturales, las personas jurídicas que tengan dentro de su objeto social actividades relacionadas con el objeto a contratar y, por virtud de la ley, </w:t>
      </w:r>
      <w:r w:rsidRPr="009F4B37">
        <w:rPr>
          <w:rFonts w:ascii="Verdana" w:eastAsia="Calibri" w:hAnsi="Verdana" w:cs="Arial"/>
          <w:i/>
        </w:rPr>
        <w:t>los consorcios y uniones temporales</w:t>
      </w:r>
      <w:r w:rsidRPr="009F4B37">
        <w:rPr>
          <w:rFonts w:ascii="Verdana" w:eastAsia="Calibri" w:hAnsi="Verdana" w:cs="Arial"/>
        </w:rPr>
        <w:t xml:space="preserve">. </w:t>
      </w:r>
    </w:p>
    <w:p w14:paraId="0489229B" w14:textId="77777777" w:rsidR="00E340B7" w:rsidRDefault="00E340B7" w:rsidP="00E340B7">
      <w:pPr>
        <w:spacing w:before="120" w:after="0" w:line="276" w:lineRule="auto"/>
        <w:ind w:firstLine="708"/>
        <w:jc w:val="both"/>
        <w:rPr>
          <w:rFonts w:ascii="Verdana" w:eastAsia="Calibri" w:hAnsi="Verdana" w:cs="Arial"/>
          <w:lang w:val="es-MX"/>
        </w:rPr>
      </w:pPr>
      <w:r w:rsidRPr="00B35DC3">
        <w:rPr>
          <w:rFonts w:ascii="Verdana" w:eastAsia="Calibri" w:hAnsi="Verdana" w:cs="Arial"/>
          <w:lang w:val="es-MX"/>
        </w:rPr>
        <w:t xml:space="preserve">La capacidad para contratar y de realizar actos jurídicamente vinculantes, como la presentación de una oferta en un procedimiento de selección de contratistas, se consideró por mucho tiempo uno de los atributos de la personalidad reservado a las personas jurídicas y naturales. No obstante, el progreso en las formas negociales y asociativas hizo necesario reconocer nuevas estructuras plurales y otorgarles atributos que tradicionalmente habían estado reservados a las personas jurídicas. </w:t>
      </w:r>
    </w:p>
    <w:p w14:paraId="1C0143F7" w14:textId="77777777" w:rsidR="00E340B7" w:rsidRPr="00B35DC3" w:rsidRDefault="00E340B7" w:rsidP="00E340B7">
      <w:pPr>
        <w:spacing w:before="120" w:after="0" w:line="276" w:lineRule="auto"/>
        <w:ind w:firstLine="708"/>
        <w:jc w:val="both"/>
        <w:rPr>
          <w:rFonts w:ascii="Verdana" w:eastAsia="Calibri" w:hAnsi="Verdana" w:cs="Arial"/>
          <w:lang w:val="es-MX"/>
        </w:rPr>
      </w:pPr>
      <w:r w:rsidRPr="00B35DC3">
        <w:rPr>
          <w:rFonts w:ascii="Verdana" w:eastAsia="Calibri" w:hAnsi="Verdana" w:cs="Arial"/>
          <w:lang w:val="es-MX"/>
        </w:rPr>
        <w:t>En este sentido, la Corte Constitucional ha sostenido sobre la capacidad para contratar otorgada a los consorcios y uniones temporales:</w:t>
      </w:r>
    </w:p>
    <w:p w14:paraId="77992249" w14:textId="77777777" w:rsidR="00E340B7" w:rsidRPr="00B35DC3" w:rsidRDefault="00E340B7" w:rsidP="00E340B7">
      <w:pPr>
        <w:spacing w:after="0" w:line="276" w:lineRule="auto"/>
        <w:ind w:firstLine="708"/>
        <w:jc w:val="both"/>
        <w:rPr>
          <w:rFonts w:ascii="Verdana" w:eastAsia="Calibri" w:hAnsi="Verdana" w:cs="Arial"/>
          <w:lang w:val="es-MX"/>
        </w:rPr>
      </w:pPr>
    </w:p>
    <w:p w14:paraId="48C53644" w14:textId="77777777" w:rsidR="00E340B7" w:rsidRPr="00B35DC3" w:rsidRDefault="00E340B7" w:rsidP="00E340B7">
      <w:pPr>
        <w:spacing w:after="0" w:line="240" w:lineRule="auto"/>
        <w:ind w:left="709" w:right="709"/>
        <w:jc w:val="both"/>
        <w:rPr>
          <w:rFonts w:ascii="Verdana" w:eastAsia="Calibri" w:hAnsi="Verdana" w:cs="Arial"/>
          <w:sz w:val="20"/>
          <w:szCs w:val="20"/>
        </w:rPr>
      </w:pPr>
      <w:r w:rsidRPr="00B35DC3">
        <w:rPr>
          <w:rFonts w:ascii="Verdana" w:eastAsia="Calibri" w:hAnsi="Verdana" w:cs="Arial"/>
          <w:sz w:val="20"/>
          <w:szCs w:val="20"/>
        </w:rPr>
        <w:t>“Respecto de la capacidad legal para contratar y la personalidad jurídica señala, que la Ley 80 de 1993 al crear las figuras de los consorcios y uniones temporales, y construirlas como sujetos de la contratación administrativa, reconoce una realidad del mundo negocial: la necesidad de los contratos de colaboración económica para la efectiva realización de proyectos de contratación pública, altamente especializados e intensivos en capital y, así mismo, indispensables para que el Estado Social de Derecho, cumpla los cometidos para los cuales fue instituido- Preámbulo, artículos 1 y 2 de la Carta Política.</w:t>
      </w:r>
    </w:p>
    <w:p w14:paraId="50BFB056" w14:textId="77777777" w:rsidR="00E340B7" w:rsidRDefault="00E340B7" w:rsidP="00E340B7">
      <w:pPr>
        <w:spacing w:after="0" w:line="240" w:lineRule="auto"/>
        <w:ind w:left="709" w:right="709"/>
        <w:jc w:val="both"/>
        <w:rPr>
          <w:rFonts w:ascii="Verdana" w:eastAsia="Calibri" w:hAnsi="Verdana" w:cs="Arial"/>
          <w:sz w:val="20"/>
          <w:szCs w:val="20"/>
        </w:rPr>
      </w:pPr>
    </w:p>
    <w:p w14:paraId="64DCA0B7" w14:textId="77777777" w:rsidR="00E340B7" w:rsidRPr="00B35DC3" w:rsidRDefault="00E340B7" w:rsidP="00E340B7">
      <w:pPr>
        <w:spacing w:after="0" w:line="240" w:lineRule="auto"/>
        <w:ind w:left="709" w:right="709"/>
        <w:jc w:val="both"/>
        <w:rPr>
          <w:rFonts w:ascii="Verdana" w:eastAsia="Calibri" w:hAnsi="Verdana" w:cs="Arial"/>
          <w:sz w:val="20"/>
          <w:szCs w:val="20"/>
        </w:rPr>
      </w:pPr>
      <w:r>
        <w:rPr>
          <w:rFonts w:ascii="Verdana" w:eastAsia="Calibri" w:hAnsi="Verdana" w:cs="Arial"/>
          <w:sz w:val="20"/>
          <w:szCs w:val="20"/>
        </w:rPr>
        <w:t>(…)</w:t>
      </w:r>
    </w:p>
    <w:p w14:paraId="7F0E85A3" w14:textId="77777777" w:rsidR="00E340B7" w:rsidRPr="00B35DC3" w:rsidRDefault="00E340B7" w:rsidP="00E340B7">
      <w:pPr>
        <w:spacing w:after="0" w:line="240" w:lineRule="auto"/>
        <w:ind w:left="709" w:right="709"/>
        <w:jc w:val="both"/>
        <w:rPr>
          <w:rFonts w:ascii="Verdana" w:eastAsia="Calibri" w:hAnsi="Verdana" w:cs="Arial"/>
          <w:sz w:val="20"/>
          <w:szCs w:val="20"/>
        </w:rPr>
      </w:pPr>
    </w:p>
    <w:p w14:paraId="6B29B366" w14:textId="77777777" w:rsidR="00E340B7" w:rsidRPr="00B35DC3" w:rsidRDefault="00E340B7" w:rsidP="00E340B7">
      <w:pPr>
        <w:spacing w:after="0" w:line="240" w:lineRule="auto"/>
        <w:ind w:left="709" w:right="709"/>
        <w:jc w:val="both"/>
        <w:rPr>
          <w:rFonts w:ascii="Verdana" w:eastAsia="Calibri" w:hAnsi="Verdana" w:cs="Arial"/>
          <w:sz w:val="20"/>
          <w:szCs w:val="20"/>
        </w:rPr>
      </w:pPr>
      <w:r w:rsidRPr="00B35DC3">
        <w:rPr>
          <w:rFonts w:ascii="Verdana" w:eastAsia="Calibri" w:hAnsi="Verdana" w:cs="Arial"/>
          <w:sz w:val="20"/>
          <w:szCs w:val="20"/>
        </w:rPr>
        <w:lastRenderedPageBreak/>
        <w:t>En torno a la capacidad contractual de los consorcios y uniones temporales la jurisprudencia constitucional ha expresado que el Estatuto de contratación les reconoce este atributo sin exigirles como condición de su ejercicio la de ser personas morales. También ha dicho que el consorcio es un convenio de asociación, o mejor, un sistema de mediación que permite a sus miembros organizarse mancomunadamente para la celebración y ejecución de un contrato con el Estado, sin que por ello pierdan su individualidad jurídica, pero asumiendo un grado de responsabilidad solidaria en el cumplimiento de las obligaciones contractuales”</w:t>
      </w:r>
      <w:r w:rsidRPr="00B35DC3">
        <w:rPr>
          <w:rFonts w:ascii="Verdana" w:eastAsia="Calibri" w:hAnsi="Verdana" w:cs="Arial"/>
          <w:sz w:val="20"/>
          <w:szCs w:val="20"/>
          <w:vertAlign w:val="superscript"/>
        </w:rPr>
        <w:footnoteReference w:id="11"/>
      </w:r>
      <w:r w:rsidRPr="00B35DC3">
        <w:rPr>
          <w:rFonts w:ascii="Verdana" w:eastAsia="Calibri" w:hAnsi="Verdana" w:cs="Arial"/>
          <w:sz w:val="20"/>
          <w:szCs w:val="20"/>
        </w:rPr>
        <w:t>.</w:t>
      </w:r>
    </w:p>
    <w:p w14:paraId="39D4538E" w14:textId="77777777" w:rsidR="00E340B7" w:rsidRPr="00B35DC3" w:rsidRDefault="00E340B7" w:rsidP="00E340B7">
      <w:pPr>
        <w:spacing w:after="0" w:line="240" w:lineRule="auto"/>
        <w:ind w:left="709" w:right="709"/>
        <w:jc w:val="both"/>
        <w:rPr>
          <w:rFonts w:ascii="Verdana" w:eastAsia="Calibri" w:hAnsi="Verdana" w:cs="Arial"/>
          <w:sz w:val="20"/>
          <w:szCs w:val="20"/>
        </w:rPr>
      </w:pPr>
    </w:p>
    <w:p w14:paraId="21964009" w14:textId="77777777" w:rsidR="00E340B7" w:rsidRPr="00B35DC3" w:rsidRDefault="00E340B7" w:rsidP="00E340B7">
      <w:pPr>
        <w:spacing w:after="120" w:line="276" w:lineRule="auto"/>
        <w:ind w:firstLine="708"/>
        <w:jc w:val="both"/>
        <w:rPr>
          <w:rFonts w:ascii="Verdana" w:eastAsia="Calibri" w:hAnsi="Verdana"/>
        </w:rPr>
      </w:pPr>
      <w:r w:rsidRPr="00B35DC3">
        <w:rPr>
          <w:rFonts w:ascii="Verdana" w:eastAsia="Calibri" w:hAnsi="Verdana"/>
        </w:rPr>
        <w:t>De un lado, la Corte Constitucional destaca que las estructuras plurales son el reconocimiento de una realidad negocial en materia de contratación estatal, de otro, resalta que esta colaboración económica entre sujetos de derecho permite la materialización de los fines del estado, al facilitar la efectiva ejecución de los contratos. Adicionalmente, puntualiza que la capacidad contractual de los consorcios y uniones temporales se reconoce sin necesidad de exigirles como condición de su ejercicio que sean personas morales.</w:t>
      </w:r>
    </w:p>
    <w:p w14:paraId="1C235DC2" w14:textId="77777777" w:rsidR="00E340B7" w:rsidRPr="00B35DC3" w:rsidRDefault="00E340B7" w:rsidP="00E340B7">
      <w:pPr>
        <w:spacing w:before="120" w:after="0" w:line="276" w:lineRule="auto"/>
        <w:ind w:firstLine="708"/>
        <w:jc w:val="both"/>
        <w:rPr>
          <w:rFonts w:ascii="Verdana" w:eastAsia="Calibri" w:hAnsi="Verdana" w:cs="Arial"/>
        </w:rPr>
      </w:pPr>
      <w:r w:rsidRPr="00B35DC3">
        <w:rPr>
          <w:rFonts w:ascii="Verdana" w:eastAsia="Calibri" w:hAnsi="Verdana" w:cs="Arial"/>
        </w:rPr>
        <w:t>En línea con lo anterior, los consorcios y las uniones temporales no son personas jurídicas, pero su creación depende de un acuerdo en el que concurre la voluntad de sus integrantes para determinar su objeto, la participación de los miembros, las obligaciones frente al proyecto, su responsabilidad, la forma en que regirán sus relaciones internas y el relacionamiento con la entidad contratante, mediante la designación de un representante. Al respecto, el parágrafo 1 del artículo 7 de la Ley 80 de 1993 dispone que:</w:t>
      </w:r>
    </w:p>
    <w:p w14:paraId="13D08FB4" w14:textId="77777777" w:rsidR="00E340B7" w:rsidRPr="00B35DC3" w:rsidRDefault="00E340B7" w:rsidP="00E340B7">
      <w:pPr>
        <w:spacing w:after="0" w:line="276" w:lineRule="auto"/>
        <w:ind w:firstLine="708"/>
        <w:jc w:val="both"/>
        <w:rPr>
          <w:rFonts w:ascii="Verdana" w:eastAsia="Calibri" w:hAnsi="Verdana" w:cs="Arial"/>
        </w:rPr>
      </w:pPr>
    </w:p>
    <w:p w14:paraId="4325B705" w14:textId="77777777" w:rsidR="00E340B7" w:rsidRPr="00B35DC3" w:rsidRDefault="00E340B7" w:rsidP="00E340B7">
      <w:pPr>
        <w:spacing w:after="0" w:line="240" w:lineRule="auto"/>
        <w:ind w:left="709" w:right="709"/>
        <w:jc w:val="both"/>
        <w:rPr>
          <w:rFonts w:ascii="Verdana" w:eastAsia="Calibri" w:hAnsi="Verdana" w:cs="Arial"/>
          <w:sz w:val="20"/>
          <w:szCs w:val="20"/>
          <w:lang w:val="es-MX"/>
        </w:rPr>
      </w:pPr>
      <w:r w:rsidRPr="00B35DC3">
        <w:rPr>
          <w:rFonts w:ascii="Verdana" w:eastAsia="Calibri" w:hAnsi="Verdana" w:cs="Arial"/>
          <w:bCs/>
          <w:color w:val="000000" w:themeColor="text1"/>
          <w:sz w:val="20"/>
          <w:szCs w:val="20"/>
          <w:lang w:val="es-MX"/>
        </w:rPr>
        <w:t>“</w:t>
      </w:r>
      <w:r w:rsidRPr="00B35DC3">
        <w:rPr>
          <w:rFonts w:ascii="Verdana" w:eastAsia="Calibri" w:hAnsi="Verdana" w:cs="Arial"/>
          <w:sz w:val="20"/>
          <w:szCs w:val="20"/>
          <w:lang w:val="es-MX"/>
        </w:rPr>
        <w:t>Para los efectos de esta Ley se entiende por</w:t>
      </w:r>
      <w:r>
        <w:rPr>
          <w:rFonts w:ascii="Verdana" w:eastAsia="Calibri" w:hAnsi="Verdana" w:cs="Arial"/>
          <w:sz w:val="20"/>
          <w:szCs w:val="20"/>
          <w:lang w:val="es-MX"/>
        </w:rPr>
        <w:t>: (...)</w:t>
      </w:r>
    </w:p>
    <w:p w14:paraId="18EB115C" w14:textId="77777777" w:rsidR="00E340B7" w:rsidRPr="00B35DC3" w:rsidRDefault="00E340B7" w:rsidP="00E340B7">
      <w:pPr>
        <w:spacing w:after="0" w:line="240" w:lineRule="auto"/>
        <w:ind w:left="709" w:right="709"/>
        <w:jc w:val="both"/>
        <w:rPr>
          <w:rFonts w:ascii="Verdana" w:eastAsia="Calibri" w:hAnsi="Verdana" w:cs="Arial"/>
          <w:sz w:val="20"/>
          <w:szCs w:val="20"/>
          <w:lang w:val="es-MX"/>
        </w:rPr>
      </w:pPr>
    </w:p>
    <w:p w14:paraId="0D05C866" w14:textId="77777777" w:rsidR="00E340B7" w:rsidRPr="00B35DC3" w:rsidRDefault="00E340B7" w:rsidP="00E340B7">
      <w:pPr>
        <w:spacing w:after="0" w:line="240" w:lineRule="auto"/>
        <w:ind w:left="709" w:right="709"/>
        <w:jc w:val="both"/>
        <w:rPr>
          <w:rFonts w:ascii="Verdana" w:eastAsia="Calibri" w:hAnsi="Verdana" w:cs="Arial"/>
          <w:sz w:val="20"/>
          <w:szCs w:val="20"/>
          <w:lang w:val="es-MX"/>
        </w:rPr>
      </w:pPr>
      <w:r w:rsidRPr="00B35DC3">
        <w:rPr>
          <w:rFonts w:ascii="Verdana" w:eastAsia="Calibri" w:hAnsi="Verdana" w:cs="Arial"/>
          <w:sz w:val="20"/>
          <w:szCs w:val="20"/>
          <w:lang w:val="es-MX"/>
        </w:rPr>
        <w:t>6. Consorcio: Cuando dos o más personas en forma conjunta presentan una misma propuesta para la adjudicación, celebración y ejecución de un contrato, respondiendo solidariamente de todas y cada una de las obligaciones derivadas de la propuesta y del contrato. En consecuencia, las actuaciones, hechos y omisiones que se presenten en desarrollo de la propuesta y del contrato, afectarán a todos los miembros que lo conforman.</w:t>
      </w:r>
    </w:p>
    <w:p w14:paraId="31E59998" w14:textId="77777777" w:rsidR="00E340B7" w:rsidRPr="00B35DC3" w:rsidRDefault="00E340B7" w:rsidP="00E340B7">
      <w:pPr>
        <w:spacing w:after="0" w:line="240" w:lineRule="auto"/>
        <w:ind w:left="709" w:right="709"/>
        <w:jc w:val="both"/>
        <w:rPr>
          <w:rFonts w:ascii="Verdana" w:eastAsia="Calibri" w:hAnsi="Verdana" w:cs="Arial"/>
          <w:sz w:val="20"/>
          <w:szCs w:val="20"/>
          <w:lang w:val="es-MX"/>
        </w:rPr>
      </w:pPr>
    </w:p>
    <w:p w14:paraId="504219F6" w14:textId="77777777" w:rsidR="00E340B7" w:rsidRPr="00B35DC3" w:rsidRDefault="00E340B7" w:rsidP="00E340B7">
      <w:pPr>
        <w:spacing w:after="0" w:line="240" w:lineRule="auto"/>
        <w:ind w:left="709" w:right="709"/>
        <w:jc w:val="both"/>
        <w:rPr>
          <w:rFonts w:ascii="Verdana" w:eastAsia="Calibri" w:hAnsi="Verdana" w:cs="Arial"/>
          <w:sz w:val="20"/>
          <w:szCs w:val="20"/>
          <w:lang w:val="es-MX"/>
        </w:rPr>
      </w:pPr>
      <w:r w:rsidRPr="00B35DC3">
        <w:rPr>
          <w:rFonts w:ascii="Verdana" w:eastAsia="Calibri" w:hAnsi="Verdana" w:cs="Arial"/>
          <w:sz w:val="20"/>
          <w:szCs w:val="20"/>
          <w:lang w:val="es-MX"/>
        </w:rPr>
        <w:t xml:space="preserve">7. Unión Temporal: Cuando dos o más personas en forma conjunta presentan una misma propuesta para la adjudicación, celebración y ejecución de un contrato, respondiendo solidariamente por el </w:t>
      </w:r>
      <w:r w:rsidRPr="00B35DC3">
        <w:rPr>
          <w:rFonts w:ascii="Verdana" w:eastAsia="Calibri" w:hAnsi="Verdana" w:cs="Arial"/>
          <w:sz w:val="20"/>
          <w:szCs w:val="20"/>
          <w:lang w:val="es-MX"/>
        </w:rPr>
        <w:lastRenderedPageBreak/>
        <w:t>cumplimiento total de la propuesta y del objeto contratado, pero las sanciones por el incumplimiento de las obligaciones derivadas de la propuesta y del contrato se impondrán de acuerdo con la participación en la ejecución de cada uno de los miembros de la unión temporal. </w:t>
      </w:r>
    </w:p>
    <w:p w14:paraId="12EABF9F" w14:textId="77777777" w:rsidR="00E340B7" w:rsidRPr="00B35DC3" w:rsidRDefault="00E340B7" w:rsidP="00E340B7">
      <w:pPr>
        <w:spacing w:after="0" w:line="240" w:lineRule="auto"/>
        <w:ind w:left="709" w:right="709"/>
        <w:jc w:val="both"/>
        <w:rPr>
          <w:rFonts w:ascii="Verdana" w:eastAsia="Calibri" w:hAnsi="Verdana" w:cs="Arial"/>
          <w:bCs/>
          <w:color w:val="000000" w:themeColor="text1"/>
          <w:sz w:val="20"/>
          <w:szCs w:val="20"/>
          <w:lang w:val="es-MX"/>
        </w:rPr>
      </w:pPr>
      <w:r w:rsidRPr="00B35DC3">
        <w:rPr>
          <w:rFonts w:ascii="Verdana" w:eastAsia="Calibri" w:hAnsi="Verdana" w:cs="Arial"/>
          <w:bCs/>
          <w:color w:val="000000" w:themeColor="text1"/>
          <w:sz w:val="20"/>
          <w:szCs w:val="20"/>
          <w:lang w:val="es-MX"/>
        </w:rPr>
        <w:t>[…]</w:t>
      </w:r>
    </w:p>
    <w:p w14:paraId="52C5F4A7" w14:textId="77777777" w:rsidR="00E340B7" w:rsidRPr="00B35DC3" w:rsidRDefault="00E340B7" w:rsidP="00E340B7">
      <w:pPr>
        <w:spacing w:after="0" w:line="240" w:lineRule="auto"/>
        <w:ind w:left="709" w:right="709"/>
        <w:jc w:val="both"/>
        <w:rPr>
          <w:rFonts w:ascii="Verdana" w:eastAsia="Calibri" w:hAnsi="Verdana" w:cs="Arial"/>
          <w:bCs/>
          <w:color w:val="000000" w:themeColor="text1"/>
          <w:sz w:val="20"/>
          <w:szCs w:val="20"/>
          <w:lang w:val="es-MX"/>
        </w:rPr>
      </w:pPr>
    </w:p>
    <w:p w14:paraId="0F4785DC" w14:textId="77777777" w:rsidR="00E340B7" w:rsidRPr="00B35DC3" w:rsidRDefault="00E340B7" w:rsidP="00E340B7">
      <w:pPr>
        <w:spacing w:after="0" w:line="240" w:lineRule="auto"/>
        <w:ind w:left="709" w:right="709"/>
        <w:jc w:val="both"/>
        <w:rPr>
          <w:rFonts w:ascii="Verdana" w:eastAsia="Calibri" w:hAnsi="Verdana" w:cs="Arial"/>
          <w:bCs/>
          <w:color w:val="000000" w:themeColor="text1"/>
          <w:sz w:val="20"/>
          <w:szCs w:val="20"/>
          <w:lang w:val="es-MX"/>
        </w:rPr>
      </w:pPr>
      <w:r w:rsidRPr="00B35DC3">
        <w:rPr>
          <w:rFonts w:ascii="Verdana" w:eastAsia="Calibri" w:hAnsi="Verdana" w:cs="Arial"/>
          <w:bCs/>
          <w:color w:val="000000" w:themeColor="text1"/>
          <w:sz w:val="20"/>
          <w:szCs w:val="20"/>
          <w:lang w:val="es-MX"/>
        </w:rPr>
        <w:t>Parágrafo 1º.- Los proponentes indicarán si su participación es a título de consorcio o unión temporal y, en este último caso, señalarán los términos y extensión de la participación en la propuesta y en su ejecución, los cuales no podrán ser modificados sin el consentimiento previo de la entidad estatal contratante.</w:t>
      </w:r>
    </w:p>
    <w:p w14:paraId="45E6FE92" w14:textId="77777777" w:rsidR="00E340B7" w:rsidRPr="00B35DC3" w:rsidRDefault="00E340B7" w:rsidP="00E340B7">
      <w:pPr>
        <w:spacing w:after="0" w:line="240" w:lineRule="auto"/>
        <w:ind w:left="709" w:right="709"/>
        <w:jc w:val="both"/>
        <w:rPr>
          <w:rFonts w:ascii="Verdana" w:eastAsia="Calibri" w:hAnsi="Verdana" w:cs="Arial"/>
          <w:bCs/>
          <w:color w:val="000000" w:themeColor="text1"/>
          <w:sz w:val="20"/>
          <w:szCs w:val="20"/>
          <w:lang w:val="es-MX"/>
        </w:rPr>
      </w:pPr>
    </w:p>
    <w:p w14:paraId="49C102FA" w14:textId="77777777" w:rsidR="00E340B7" w:rsidRPr="00C6555F" w:rsidRDefault="00E340B7" w:rsidP="00E340B7">
      <w:pPr>
        <w:spacing w:after="0" w:line="240" w:lineRule="auto"/>
        <w:ind w:left="709" w:right="709"/>
        <w:jc w:val="both"/>
        <w:rPr>
          <w:rFonts w:ascii="Verdana" w:eastAsia="Calibri" w:hAnsi="Verdana" w:cs="Arial"/>
          <w:bCs/>
          <w:color w:val="000000" w:themeColor="text1"/>
          <w:sz w:val="20"/>
          <w:szCs w:val="20"/>
          <w:lang w:val="es-MX"/>
        </w:rPr>
      </w:pPr>
      <w:r w:rsidRPr="00B35DC3">
        <w:rPr>
          <w:rFonts w:ascii="Verdana" w:eastAsia="Calibri" w:hAnsi="Verdana" w:cs="Arial"/>
          <w:bCs/>
          <w:color w:val="000000" w:themeColor="text1"/>
          <w:sz w:val="20"/>
          <w:szCs w:val="20"/>
          <w:lang w:val="es-MX"/>
        </w:rPr>
        <w:t>Los miembros del consorcio y de la unión temporal deberán designar la persona que, para todos los efectos, representará al consorcio o unión temporal y señalarán las reglas básicas que regulen las relaciones entre ellos y su responsabilidad</w:t>
      </w:r>
      <w:r>
        <w:rPr>
          <w:rFonts w:ascii="Verdana" w:eastAsia="Calibri" w:hAnsi="Verdana" w:cs="Arial"/>
          <w:bCs/>
          <w:color w:val="000000" w:themeColor="text1"/>
          <w:sz w:val="20"/>
          <w:szCs w:val="20"/>
          <w:lang w:val="es-MX"/>
        </w:rPr>
        <w:t xml:space="preserve"> (…)</w:t>
      </w:r>
      <w:r w:rsidRPr="00B35DC3">
        <w:rPr>
          <w:rFonts w:ascii="Verdana" w:eastAsia="Calibri" w:hAnsi="Verdana" w:cs="Arial"/>
          <w:bCs/>
          <w:color w:val="000000" w:themeColor="text1"/>
          <w:sz w:val="20"/>
          <w:szCs w:val="20"/>
          <w:lang w:val="es-MX"/>
        </w:rPr>
        <w:t>”.</w:t>
      </w:r>
    </w:p>
    <w:p w14:paraId="0C9C05CB" w14:textId="77777777" w:rsidR="00E340B7" w:rsidRPr="00B35DC3" w:rsidRDefault="00E340B7" w:rsidP="00E340B7">
      <w:pPr>
        <w:spacing w:after="0" w:line="276" w:lineRule="auto"/>
        <w:ind w:firstLine="709"/>
        <w:jc w:val="both"/>
        <w:rPr>
          <w:rFonts w:ascii="Verdana" w:eastAsia="Calibri" w:hAnsi="Verdana" w:cs="Arial"/>
          <w:sz w:val="20"/>
          <w:szCs w:val="20"/>
        </w:rPr>
      </w:pPr>
    </w:p>
    <w:p w14:paraId="5896EF79" w14:textId="77777777" w:rsidR="00E340B7" w:rsidRPr="00B35DC3" w:rsidRDefault="00E340B7" w:rsidP="00E340B7">
      <w:pPr>
        <w:spacing w:after="120" w:line="276" w:lineRule="auto"/>
        <w:ind w:firstLine="708"/>
        <w:jc w:val="both"/>
        <w:rPr>
          <w:rFonts w:ascii="Verdana" w:hAnsi="Verdana" w:cs="Arial"/>
          <w:color w:val="000000" w:themeColor="text1"/>
        </w:rPr>
      </w:pPr>
      <w:r w:rsidRPr="00B35DC3">
        <w:rPr>
          <w:rFonts w:ascii="Verdana" w:hAnsi="Verdana" w:cs="Arial"/>
          <w:color w:val="000000" w:themeColor="text1"/>
        </w:rPr>
        <w:t xml:space="preserve">Como se observa, el artículo citado señala que el consorcio o la unión temporal se da “Cuando dos o más personas en forma conjunta presentan una misma propuesta para la adjudicación, celebración y ejecución de un contrato […]”. Desde esta perspectiva, su capacidad para participar en la adjudicación, celebración y ejecución de los contratos estatales depende de que los integrantes de la estructura plural adopten la decisión conjunta de presentar una misma propuesta al proceso de selección. Como existe una relación de medio – fin, sin la entrega de la oferta no surge la habilitación legal para todo lo demás. </w:t>
      </w:r>
    </w:p>
    <w:p w14:paraId="316DCDAC" w14:textId="77777777" w:rsidR="00E340B7" w:rsidRDefault="00E340B7" w:rsidP="00E340B7">
      <w:pPr>
        <w:spacing w:after="120" w:line="276" w:lineRule="auto"/>
        <w:ind w:firstLine="708"/>
        <w:jc w:val="both"/>
        <w:rPr>
          <w:rFonts w:ascii="Verdana" w:hAnsi="Verdana" w:cs="Arial"/>
          <w:color w:val="000000" w:themeColor="text1"/>
        </w:rPr>
      </w:pPr>
      <w:r w:rsidRPr="00B35DC3">
        <w:rPr>
          <w:rFonts w:ascii="Verdana" w:hAnsi="Verdana" w:cs="Arial"/>
          <w:color w:val="000000" w:themeColor="text1"/>
        </w:rPr>
        <w:t xml:space="preserve">De esta manera, los consorcios o uniones temporales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 contrato estatal, compartiendo recursos, de toda índole, para su ejecución, así como las utilidades y los riesgos.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   </w:t>
      </w:r>
    </w:p>
    <w:p w14:paraId="7900528C" w14:textId="4F705CFB" w:rsidR="00FC1287" w:rsidRPr="00340CA1" w:rsidRDefault="00E340B7" w:rsidP="00E340B7">
      <w:pPr>
        <w:spacing w:before="120" w:after="0" w:line="276" w:lineRule="auto"/>
        <w:ind w:firstLine="708"/>
        <w:jc w:val="both"/>
        <w:rPr>
          <w:rFonts w:ascii="Verdana" w:hAnsi="Verdana" w:cs="Arial"/>
          <w:color w:val="000000" w:themeColor="text1"/>
        </w:rPr>
      </w:pPr>
      <w:r w:rsidRPr="00B35DC3">
        <w:rPr>
          <w:rFonts w:ascii="Verdana" w:hAnsi="Verdana" w:cs="Arial"/>
          <w:color w:val="000000" w:themeColor="text1"/>
        </w:rPr>
        <w:t>Ahora bien, para efectos de dar respuesta concreta al problema jurídico planteado,</w:t>
      </w:r>
      <w:r>
        <w:rPr>
          <w:rFonts w:ascii="Verdana" w:hAnsi="Verdana" w:cs="Arial"/>
          <w:color w:val="000000" w:themeColor="text1"/>
        </w:rPr>
        <w:t xml:space="preserve"> se resalta que tanto los miembros del consorcio como de la unión temporal deben designar la persona que representa para todos los efectos al </w:t>
      </w:r>
      <w:r>
        <w:rPr>
          <w:rFonts w:ascii="Verdana" w:hAnsi="Verdana" w:cs="Arial"/>
          <w:color w:val="000000" w:themeColor="text1"/>
        </w:rPr>
        <w:lastRenderedPageBreak/>
        <w:t xml:space="preserve">consorcio o a la unión temporal según el artículo 7 de la Ley 80 de 1993, por lo que esa representación para todos los efectos incluye otorgar las garantías que corresponda. No obstante, debe tenerse en cuenta la regulación especial del Decreto 1082 de 2015, que en su artículo </w:t>
      </w:r>
      <w:r>
        <w:rPr>
          <w:rFonts w:ascii="Verdana" w:eastAsia="Times New Roman" w:hAnsi="Verdana" w:cs="Arial"/>
          <w:color w:val="000000" w:themeColor="text1"/>
          <w:lang w:val="es-ES" w:eastAsia="es-CO"/>
        </w:rPr>
        <w:t>2.2.1.2.3.1.4. establece que las garantías de los oferentes plurales deben ser otorgadas por todos sus integrantes.</w:t>
      </w:r>
    </w:p>
    <w:p w14:paraId="2D2EC6F1" w14:textId="2D8EF7B3" w:rsidR="00EE2FC5" w:rsidRPr="00724BD8" w:rsidRDefault="00EE2FC5" w:rsidP="00724BD8">
      <w:pPr>
        <w:spacing w:before="120" w:after="12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rPr>
        <w:t>Al margen de la explicación precedente debe advertirse que el análisis requerido para la aprobación de las garantías en materia de contratación estatal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w:t>
      </w:r>
    </w:p>
    <w:p w14:paraId="7692DFC4" w14:textId="77777777" w:rsidR="00EE2FC5" w:rsidRDefault="00EE2FC5" w:rsidP="00EE2FC5">
      <w:pPr>
        <w:widowControl w:val="0"/>
        <w:autoSpaceDE w:val="0"/>
        <w:autoSpaceDN w:val="0"/>
        <w:spacing w:after="0" w:line="276" w:lineRule="auto"/>
        <w:jc w:val="both"/>
        <w:rPr>
          <w:rFonts w:ascii="Verdana" w:hAnsi="Verdana" w:cs="Arial"/>
        </w:rPr>
      </w:pPr>
    </w:p>
    <w:p w14:paraId="7B9F68B2" w14:textId="77777777" w:rsidR="00EE2FC5" w:rsidRDefault="00EE2FC5" w:rsidP="00EE2FC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2D8076AB" w14:textId="77777777" w:rsidR="00EE2FC5" w:rsidRDefault="00EE2FC5" w:rsidP="00EE2FC5">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EE2FC5" w14:paraId="70364BA6" w14:textId="77777777" w:rsidTr="00BE67FB">
        <w:trPr>
          <w:trHeight w:val="870"/>
        </w:trPr>
        <w:tc>
          <w:tcPr>
            <w:tcW w:w="8647" w:type="dxa"/>
            <w:tcBorders>
              <w:top w:val="dotted" w:sz="4" w:space="0" w:color="auto"/>
              <w:left w:val="dotted" w:sz="4" w:space="0" w:color="auto"/>
              <w:bottom w:val="dotted" w:sz="4" w:space="0" w:color="auto"/>
              <w:right w:val="dotted" w:sz="4" w:space="0" w:color="auto"/>
            </w:tcBorders>
            <w:hideMark/>
          </w:tcPr>
          <w:p w14:paraId="3455374B" w14:textId="6A654F24" w:rsidR="00EE2FC5" w:rsidRPr="00983DE2" w:rsidRDefault="00EE2FC5" w:rsidP="00EE2FC5">
            <w:pPr>
              <w:pStyle w:val="Prrafodelista"/>
              <w:numPr>
                <w:ilvl w:val="0"/>
                <w:numId w:val="17"/>
              </w:numPr>
              <w:snapToGrid w:val="0"/>
              <w:spacing w:before="120" w:after="120" w:line="276" w:lineRule="auto"/>
              <w:contextualSpacing w:val="0"/>
              <w:jc w:val="both"/>
              <w:rPr>
                <w:rFonts w:ascii="Verdana" w:eastAsia="Times New Roman" w:hAnsi="Verdana" w:cs="Arial"/>
                <w:color w:val="000000" w:themeColor="text1"/>
                <w:lang w:eastAsia="es-CO"/>
              </w:rPr>
            </w:pPr>
            <w:r w:rsidRPr="00983DE2">
              <w:rPr>
                <w:rFonts w:ascii="Verdana" w:eastAsia="Times New Roman" w:hAnsi="Verdana" w:cs="Arial"/>
                <w:color w:val="000000" w:themeColor="text1"/>
                <w:lang w:eastAsia="es-CO"/>
              </w:rPr>
              <w:t>Ley 80 de 1993, artículo</w:t>
            </w:r>
            <w:r w:rsidR="00E340B7">
              <w:rPr>
                <w:rFonts w:ascii="Verdana" w:eastAsia="Times New Roman" w:hAnsi="Verdana" w:cs="Arial"/>
                <w:color w:val="000000" w:themeColor="text1"/>
                <w:lang w:eastAsia="es-CO"/>
              </w:rPr>
              <w:t>s</w:t>
            </w:r>
            <w:r w:rsidRPr="00983DE2">
              <w:rPr>
                <w:rFonts w:ascii="Verdana" w:eastAsia="Times New Roman" w:hAnsi="Verdana" w:cs="Arial"/>
                <w:color w:val="000000" w:themeColor="text1"/>
                <w:lang w:eastAsia="es-CO"/>
              </w:rPr>
              <w:t xml:space="preserve"> </w:t>
            </w:r>
            <w:r w:rsidR="00E340B7">
              <w:rPr>
                <w:rFonts w:ascii="Verdana" w:eastAsia="Times New Roman" w:hAnsi="Verdana" w:cs="Arial"/>
                <w:color w:val="000000" w:themeColor="text1"/>
                <w:lang w:eastAsia="es-CO"/>
              </w:rPr>
              <w:t xml:space="preserve">6, 7, </w:t>
            </w:r>
            <w:r w:rsidRPr="00983DE2">
              <w:rPr>
                <w:rFonts w:ascii="Verdana" w:eastAsia="Times New Roman" w:hAnsi="Verdana" w:cs="Arial"/>
                <w:color w:val="000000" w:themeColor="text1"/>
                <w:lang w:eastAsia="es-CO"/>
              </w:rPr>
              <w:t xml:space="preserve">41. </w:t>
            </w:r>
          </w:p>
          <w:p w14:paraId="4437026D" w14:textId="77777777" w:rsidR="00EE2FC5" w:rsidRPr="00983DE2" w:rsidRDefault="00EE2FC5" w:rsidP="00EE2FC5">
            <w:pPr>
              <w:pStyle w:val="Prrafodelista"/>
              <w:numPr>
                <w:ilvl w:val="0"/>
                <w:numId w:val="17"/>
              </w:numPr>
              <w:snapToGrid w:val="0"/>
              <w:spacing w:before="120" w:after="120" w:line="276" w:lineRule="auto"/>
              <w:contextualSpacing w:val="0"/>
              <w:jc w:val="both"/>
              <w:rPr>
                <w:rFonts w:ascii="Verdana" w:eastAsia="Times New Roman" w:hAnsi="Verdana" w:cs="Arial"/>
                <w:color w:val="000000" w:themeColor="text1"/>
                <w:lang w:eastAsia="es-CO"/>
              </w:rPr>
            </w:pPr>
            <w:r w:rsidRPr="00983DE2">
              <w:rPr>
                <w:rFonts w:ascii="Verdana" w:eastAsia="Times New Roman" w:hAnsi="Verdana" w:cs="Arial"/>
                <w:color w:val="000000" w:themeColor="text1"/>
                <w:lang w:eastAsia="es-CO"/>
              </w:rPr>
              <w:t xml:space="preserve">Ley 1150 de 2007, artículo 7. </w:t>
            </w:r>
          </w:p>
          <w:p w14:paraId="0D64E2B2" w14:textId="6C12A0FE" w:rsidR="00EE2FC5" w:rsidRPr="00983DE2" w:rsidRDefault="00EE2FC5" w:rsidP="00EE2FC5">
            <w:pPr>
              <w:pStyle w:val="Prrafodelista"/>
              <w:numPr>
                <w:ilvl w:val="0"/>
                <w:numId w:val="17"/>
              </w:numPr>
              <w:snapToGrid w:val="0"/>
              <w:spacing w:before="120" w:after="120" w:line="276" w:lineRule="auto"/>
              <w:contextualSpacing w:val="0"/>
              <w:jc w:val="both"/>
              <w:rPr>
                <w:rFonts w:ascii="Verdana" w:eastAsia="Times New Roman" w:hAnsi="Verdana" w:cs="Arial"/>
                <w:color w:val="000000" w:themeColor="text1"/>
                <w:lang w:eastAsia="es-CO"/>
              </w:rPr>
            </w:pPr>
            <w:r w:rsidRPr="00983DE2">
              <w:rPr>
                <w:rFonts w:ascii="Verdana" w:eastAsia="Times New Roman" w:hAnsi="Verdana" w:cs="Arial"/>
                <w:color w:val="000000" w:themeColor="text1"/>
                <w:lang w:eastAsia="es-CO"/>
              </w:rPr>
              <w:t>Código de Comercio, artículos 1068</w:t>
            </w:r>
            <w:r w:rsidR="00724BD8">
              <w:rPr>
                <w:rFonts w:ascii="Verdana" w:eastAsia="Times New Roman" w:hAnsi="Verdana" w:cs="Arial"/>
                <w:color w:val="000000" w:themeColor="text1"/>
                <w:lang w:eastAsia="es-CO"/>
              </w:rPr>
              <w:t>, 1037 y</w:t>
            </w:r>
            <w:r w:rsidRPr="00983DE2">
              <w:rPr>
                <w:rFonts w:ascii="Verdana" w:eastAsia="Times New Roman" w:hAnsi="Verdana" w:cs="Arial"/>
                <w:color w:val="000000" w:themeColor="text1"/>
                <w:lang w:eastAsia="es-CO"/>
              </w:rPr>
              <w:t xml:space="preserve"> 1071.</w:t>
            </w:r>
          </w:p>
          <w:p w14:paraId="72598AFF" w14:textId="77777777" w:rsidR="00EE2FC5" w:rsidRPr="0035481C" w:rsidRDefault="00EE2FC5" w:rsidP="00EE2FC5">
            <w:pPr>
              <w:widowControl w:val="0"/>
              <w:numPr>
                <w:ilvl w:val="0"/>
                <w:numId w:val="17"/>
              </w:numPr>
              <w:tabs>
                <w:tab w:val="left" w:pos="8419"/>
              </w:tabs>
              <w:autoSpaceDE w:val="0"/>
              <w:autoSpaceDN w:val="0"/>
              <w:spacing w:after="120" w:line="276" w:lineRule="auto"/>
              <w:jc w:val="both"/>
              <w:rPr>
                <w:rFonts w:ascii="Verdana" w:hAnsi="Verdana" w:cs="Arial"/>
                <w:lang w:val="es-ES"/>
              </w:rPr>
            </w:pPr>
            <w:r w:rsidRPr="00983DE2">
              <w:rPr>
                <w:rFonts w:ascii="Verdana" w:eastAsia="Times New Roman" w:hAnsi="Verdana" w:cs="Arial"/>
                <w:color w:val="000000" w:themeColor="text1"/>
                <w:lang w:eastAsia="es-CO"/>
              </w:rPr>
              <w:t>Decreto 1082 de 2015, artículos 2.2.1.2.3.1.1 a 2.2.1.2.3.1.19.</w:t>
            </w:r>
          </w:p>
        </w:tc>
      </w:tr>
    </w:tbl>
    <w:p w14:paraId="6E01189C" w14:textId="77777777" w:rsidR="00EE2FC5" w:rsidRDefault="00EE2FC5" w:rsidP="00EE2FC5">
      <w:pPr>
        <w:widowControl w:val="0"/>
        <w:autoSpaceDE w:val="0"/>
        <w:autoSpaceDN w:val="0"/>
        <w:spacing w:after="0" w:line="276" w:lineRule="auto"/>
        <w:jc w:val="both"/>
        <w:rPr>
          <w:rFonts w:ascii="Verdana" w:hAnsi="Verdana" w:cs="Arial"/>
        </w:rPr>
      </w:pPr>
    </w:p>
    <w:p w14:paraId="3B1A1BDF" w14:textId="77777777" w:rsidR="00EE2FC5" w:rsidRDefault="00EE2FC5" w:rsidP="00EE2FC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73AC15F2" w14:textId="77777777" w:rsidR="00EE2FC5" w:rsidRDefault="00EE2FC5" w:rsidP="00EE2FC5">
      <w:pPr>
        <w:widowControl w:val="0"/>
        <w:autoSpaceDE w:val="0"/>
        <w:autoSpaceDN w:val="0"/>
        <w:spacing w:after="0" w:line="276" w:lineRule="auto"/>
        <w:jc w:val="both"/>
        <w:rPr>
          <w:rFonts w:ascii="Verdana" w:hAnsi="Verdana" w:cs="Arial"/>
        </w:rPr>
      </w:pPr>
    </w:p>
    <w:p w14:paraId="2BD2E03F" w14:textId="77777777" w:rsidR="00EE2FC5" w:rsidRPr="00FE3C84" w:rsidRDefault="00EE2FC5" w:rsidP="00EE2FC5">
      <w:pPr>
        <w:widowControl w:val="0"/>
        <w:autoSpaceDE w:val="0"/>
        <w:autoSpaceDN w:val="0"/>
        <w:spacing w:after="0" w:line="276" w:lineRule="auto"/>
        <w:jc w:val="both"/>
        <w:rPr>
          <w:rStyle w:val="normaltextrun"/>
          <w:rFonts w:ascii="Verdana" w:hAnsi="Verdana"/>
          <w:color w:val="FF0000"/>
          <w:shd w:val="clear" w:color="auto" w:fill="FFFFFF"/>
          <w:lang w:val="es-ES"/>
        </w:rPr>
      </w:pPr>
      <w:r w:rsidRPr="0033373D">
        <w:rPr>
          <w:rStyle w:val="normaltextrun"/>
          <w:rFonts w:ascii="Verdana" w:hAnsi="Verdana" w:cs="Arial"/>
          <w:shd w:val="clear" w:color="auto" w:fill="FFFFFF"/>
          <w:lang w:val="es-ES"/>
        </w:rPr>
        <w:t>La Agencia Nacional de Contratación Pública – Colombia Compra Eficiente se ha referido al régimen de garantías en los Conceptos 2201913000009075 del 9 de diciembre de 2019, C-080 del 8 de abril de 2021, C-525 del 27 de septiembre de 2021, C- 567 del 08 de octubre del 2021, C-036 del 28 de febrero del 2022, C-126 de 25 de marzo de 2022, C-583 del 19 de octubre de 2022, C-584 del 26 de septiembre de 2022, C-712 del 13 de octubre de 2022 y C-845 del 7 de diciembre de 2022, C-036 del 31 de marzo de 2023, C-386 del 31 de enero de 2024, C-306 del 12 de agosto de 2024</w:t>
      </w:r>
      <w:r>
        <w:rPr>
          <w:rStyle w:val="normaltextrun"/>
          <w:rFonts w:ascii="Verdana" w:hAnsi="Verdana" w:cs="Arial"/>
          <w:shd w:val="clear" w:color="auto" w:fill="FFFFFF"/>
          <w:lang w:val="es-ES"/>
        </w:rPr>
        <w:t>,</w:t>
      </w:r>
      <w:r w:rsidRPr="0033373D">
        <w:rPr>
          <w:rStyle w:val="normaltextrun"/>
          <w:rFonts w:ascii="Verdana" w:hAnsi="Verdana" w:cs="Arial"/>
          <w:shd w:val="clear" w:color="auto" w:fill="FFFFFF"/>
          <w:lang w:val="es-ES"/>
        </w:rPr>
        <w:t xml:space="preserve"> C–099 del 21 de febrero de 2025</w:t>
      </w:r>
      <w:r>
        <w:rPr>
          <w:rStyle w:val="normaltextrun"/>
          <w:rFonts w:ascii="Verdana" w:hAnsi="Verdana" w:cs="Arial"/>
          <w:shd w:val="clear" w:color="auto" w:fill="FFFFFF"/>
          <w:lang w:val="es-ES"/>
        </w:rPr>
        <w:t>,</w:t>
      </w:r>
      <w:r w:rsidRPr="0035481C">
        <w:rPr>
          <w:rStyle w:val="normaltextrun"/>
          <w:rFonts w:ascii="Verdana" w:hAnsi="Verdana" w:cs="Arial"/>
          <w:shd w:val="clear" w:color="auto" w:fill="FFFFFF"/>
          <w:lang w:val="es-ES"/>
        </w:rPr>
        <w:t xml:space="preserve"> </w:t>
      </w:r>
      <w:r>
        <w:rPr>
          <w:rStyle w:val="normaltextrun"/>
          <w:rFonts w:ascii="Verdana" w:hAnsi="Verdana" w:cs="Arial"/>
          <w:shd w:val="clear" w:color="auto" w:fill="FFFFFF"/>
          <w:lang w:val="es-ES"/>
        </w:rPr>
        <w:t>C-</w:t>
      </w:r>
      <w:r>
        <w:rPr>
          <w:rStyle w:val="normaltextrun"/>
          <w:rFonts w:ascii="Verdana" w:hAnsi="Verdana" w:cs="Arial"/>
          <w:shd w:val="clear" w:color="auto" w:fill="FFFFFF"/>
          <w:lang w:val="es-ES"/>
        </w:rPr>
        <w:lastRenderedPageBreak/>
        <w:t xml:space="preserve">1547 del 3 de diciembre de 2025, </w:t>
      </w:r>
      <w:r w:rsidRPr="0035481C">
        <w:rPr>
          <w:rStyle w:val="normaltextrun"/>
          <w:rFonts w:ascii="Verdana" w:hAnsi="Verdana" w:cs="Arial"/>
          <w:shd w:val="clear" w:color="auto" w:fill="FFFFFF"/>
          <w:lang w:val="es-ES"/>
        </w:rPr>
        <w:t xml:space="preserve">entre otros. </w:t>
      </w:r>
      <w:r>
        <w:rPr>
          <w:rStyle w:val="normaltextrun"/>
          <w:rFonts w:ascii="Verdana" w:hAnsi="Verdana" w:cs="Arial"/>
          <w:shd w:val="clear" w:color="auto" w:fill="FFFFFF"/>
          <w:lang w:val="es-ES"/>
        </w:rPr>
        <w:t>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53F1AA20" w14:textId="77777777" w:rsidR="00EE2FC5" w:rsidRDefault="00EE2FC5" w:rsidP="00EE2FC5">
      <w:pPr>
        <w:spacing w:after="0" w:line="276" w:lineRule="auto"/>
        <w:jc w:val="both"/>
        <w:rPr>
          <w:rFonts w:ascii="Verdana" w:hAnsi="Verdana"/>
        </w:rPr>
      </w:pPr>
    </w:p>
    <w:p w14:paraId="79187446" w14:textId="77777777" w:rsidR="00EE2FC5" w:rsidRDefault="00EE2FC5" w:rsidP="00EE2FC5">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3A319BCA" w14:textId="77777777" w:rsidR="00EE2FC5" w:rsidRDefault="00EE2FC5" w:rsidP="00EE2FC5">
      <w:pPr>
        <w:spacing w:after="0" w:line="276" w:lineRule="auto"/>
        <w:jc w:val="both"/>
        <w:rPr>
          <w:rFonts w:ascii="Verdana" w:hAnsi="Verdana"/>
        </w:rPr>
      </w:pPr>
    </w:p>
    <w:p w14:paraId="1C325FB0" w14:textId="77777777" w:rsidR="00EE2FC5" w:rsidRDefault="00EE2FC5" w:rsidP="00EE2FC5">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538DAB78" w14:textId="77777777" w:rsidR="00EE2FC5" w:rsidRDefault="00EE2FC5" w:rsidP="00EE2FC5">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7CF7EDD6" w14:textId="77777777" w:rsidR="00EE2FC5" w:rsidRDefault="00EE2FC5" w:rsidP="00EE2FC5">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4E6C2360" w14:textId="77777777" w:rsidR="00EE2FC5" w:rsidRDefault="00EE2FC5" w:rsidP="00EE2FC5">
      <w:pPr>
        <w:widowControl w:val="0"/>
        <w:autoSpaceDE w:val="0"/>
        <w:autoSpaceDN w:val="0"/>
        <w:spacing w:after="0" w:line="276" w:lineRule="auto"/>
        <w:jc w:val="both"/>
        <w:rPr>
          <w:rFonts w:ascii="Verdana" w:hAnsi="Verdana" w:cs="Arial"/>
        </w:rPr>
      </w:pPr>
    </w:p>
    <w:p w14:paraId="259604CD" w14:textId="77777777" w:rsidR="00EE2FC5" w:rsidRDefault="00EE2FC5" w:rsidP="00EE2FC5">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0742E7AB" w14:textId="77777777" w:rsidR="00EE2FC5" w:rsidRDefault="00EE2FC5" w:rsidP="00EE2FC5">
      <w:pPr>
        <w:widowControl w:val="0"/>
        <w:autoSpaceDE w:val="0"/>
        <w:autoSpaceDN w:val="0"/>
        <w:spacing w:after="0" w:line="276" w:lineRule="auto"/>
        <w:jc w:val="both"/>
        <w:rPr>
          <w:rFonts w:ascii="Verdana" w:hAnsi="Verdana" w:cs="Arial"/>
        </w:rPr>
      </w:pPr>
    </w:p>
    <w:p w14:paraId="2CBE51A1" w14:textId="77777777" w:rsidR="00EE2FC5" w:rsidRDefault="00EE2FC5" w:rsidP="00EE2FC5">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1C4E6468" w14:textId="150BA821" w:rsidR="00EE2FC5" w:rsidRDefault="00F47FAD" w:rsidP="00EE2FC5">
      <w:pPr>
        <w:spacing w:after="0" w:line="276" w:lineRule="auto"/>
        <w:jc w:val="center"/>
      </w:pPr>
      <w:r>
        <w:rPr>
          <w:noProof/>
        </w:rPr>
        <w:drawing>
          <wp:inline distT="0" distB="0" distL="0" distR="0" wp14:anchorId="7B3DA691" wp14:editId="072C0BCE">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E2FC5" w14:paraId="39E8A6E3" w14:textId="77777777" w:rsidTr="00BE67FB">
        <w:trPr>
          <w:trHeight w:val="315"/>
        </w:trPr>
        <w:tc>
          <w:tcPr>
            <w:tcW w:w="893" w:type="dxa"/>
            <w:vAlign w:val="center"/>
            <w:hideMark/>
          </w:tcPr>
          <w:p w14:paraId="066EB83C" w14:textId="77777777" w:rsidR="00EE2FC5" w:rsidRDefault="00EE2FC5" w:rsidP="00BE67FB">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09E9017" w14:textId="77777777" w:rsidR="00EE2FC5" w:rsidRDefault="00EE2FC5" w:rsidP="00BE67FB">
            <w:pPr>
              <w:spacing w:after="255"/>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3E0AA855" w14:textId="77777777" w:rsidR="00EE2FC5" w:rsidRDefault="00EE2FC5" w:rsidP="00BE67FB">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EE2FC5" w14:paraId="44959E24" w14:textId="77777777" w:rsidTr="00BE67FB">
        <w:trPr>
          <w:trHeight w:val="330"/>
        </w:trPr>
        <w:tc>
          <w:tcPr>
            <w:tcW w:w="893" w:type="dxa"/>
            <w:vAlign w:val="center"/>
            <w:hideMark/>
          </w:tcPr>
          <w:p w14:paraId="2D571C6C" w14:textId="77777777" w:rsidR="00EE2FC5" w:rsidRDefault="00EE2FC5" w:rsidP="00BE67FB">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1EA196E" w14:textId="77777777" w:rsidR="00EE2FC5" w:rsidRDefault="00EE2FC5" w:rsidP="00BE67FB">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Juan Carlos González Vásquez</w:t>
            </w:r>
          </w:p>
          <w:p w14:paraId="0CDE3B4D" w14:textId="77777777" w:rsidR="00EE2FC5" w:rsidRDefault="00EE2FC5" w:rsidP="00BE67FB">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EE2FC5" w14:paraId="6F87EA9E" w14:textId="77777777" w:rsidTr="00BE67FB">
        <w:trPr>
          <w:trHeight w:val="300"/>
        </w:trPr>
        <w:tc>
          <w:tcPr>
            <w:tcW w:w="893" w:type="dxa"/>
            <w:vAlign w:val="center"/>
            <w:hideMark/>
          </w:tcPr>
          <w:p w14:paraId="3AE09925" w14:textId="77777777" w:rsidR="00EE2FC5" w:rsidRDefault="00EE2FC5" w:rsidP="00BE67FB">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55FF556" w14:textId="77777777" w:rsidR="00EE2FC5" w:rsidRDefault="00EE2FC5" w:rsidP="00BE67FB">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5D53B65D" w14:textId="77777777" w:rsidR="00EE2FC5" w:rsidRDefault="00EE2FC5" w:rsidP="00BE67FB">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 </w:t>
            </w:r>
          </w:p>
        </w:tc>
      </w:tr>
    </w:tbl>
    <w:p w14:paraId="4C40B1A0" w14:textId="77777777" w:rsidR="00EE2FC5" w:rsidRPr="001249F1" w:rsidRDefault="00EE2FC5" w:rsidP="00EE2FC5"/>
    <w:p w14:paraId="68EB1546" w14:textId="77777777" w:rsidR="00EE2FC5" w:rsidRPr="0044528D" w:rsidRDefault="00EE2FC5" w:rsidP="00EE2FC5">
      <w:pPr>
        <w:spacing w:after="0"/>
        <w:rPr>
          <w:rFonts w:ascii="Verdana" w:eastAsia="Times New Roman" w:hAnsi="Verdana" w:cs="Segoe UI"/>
          <w:b/>
          <w:bCs/>
          <w:color w:val="46589C"/>
          <w:lang w:val="es-ES" w:eastAsia="es-CO"/>
        </w:rPr>
      </w:pPr>
    </w:p>
    <w:p w14:paraId="1D9C0994" w14:textId="77777777" w:rsidR="00EE2FC5" w:rsidRPr="00046945" w:rsidRDefault="00EE2FC5" w:rsidP="00EE2FC5">
      <w:pPr>
        <w:spacing w:after="0"/>
        <w:rPr>
          <w:rFonts w:ascii="Verdana" w:eastAsia="Times New Roman" w:hAnsi="Verdana" w:cs="Segoe UI"/>
          <w:sz w:val="18"/>
          <w:szCs w:val="18"/>
          <w:lang w:eastAsia="es-CO"/>
        </w:rPr>
      </w:pPr>
    </w:p>
    <w:p w14:paraId="062842DE" w14:textId="77777777" w:rsidR="00EE2FC5" w:rsidRPr="0044528D" w:rsidRDefault="00EE2FC5" w:rsidP="00EE2FC5">
      <w:pPr>
        <w:spacing w:after="0"/>
        <w:rPr>
          <w:rFonts w:ascii="Verdana" w:hAnsi="Verdana"/>
        </w:rPr>
      </w:pPr>
    </w:p>
    <w:bookmarkEnd w:id="1"/>
    <w:p w14:paraId="5199F8CB" w14:textId="77777777" w:rsidR="00EE2FC5" w:rsidRPr="0015699B" w:rsidRDefault="00EE2FC5" w:rsidP="00EE2FC5">
      <w:pPr>
        <w:spacing w:after="0"/>
        <w:rPr>
          <w:rFonts w:ascii="Verdana" w:eastAsia="Times New Roman" w:hAnsi="Verdana" w:cs="Segoe UI"/>
          <w:lang w:eastAsia="es-CO"/>
        </w:rPr>
      </w:pPr>
    </w:p>
    <w:p w14:paraId="0F293BF4" w14:textId="394BD505" w:rsidR="00127233" w:rsidRPr="0015699B" w:rsidRDefault="00127233" w:rsidP="00EE2FC5">
      <w:pPr>
        <w:spacing w:after="0"/>
        <w:rPr>
          <w:rFonts w:ascii="Verdana" w:eastAsia="Times New Roman" w:hAnsi="Verdana" w:cs="Segoe UI"/>
          <w:lang w:eastAsia="es-CO"/>
        </w:rPr>
      </w:pPr>
    </w:p>
    <w:sectPr w:rsidR="00127233" w:rsidRPr="0015699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FA5A91" w14:textId="77777777" w:rsidR="00A71255" w:rsidRDefault="00A71255" w:rsidP="004A1847">
      <w:pPr>
        <w:spacing w:after="0" w:line="240" w:lineRule="auto"/>
      </w:pPr>
      <w:r>
        <w:separator/>
      </w:r>
    </w:p>
  </w:endnote>
  <w:endnote w:type="continuationSeparator" w:id="0">
    <w:p w14:paraId="48938647" w14:textId="77777777" w:rsidR="00A71255" w:rsidRDefault="00A71255" w:rsidP="004A1847">
      <w:pPr>
        <w:spacing w:after="0" w:line="240" w:lineRule="auto"/>
      </w:pPr>
      <w:r>
        <w:continuationSeparator/>
      </w:r>
    </w:p>
  </w:endnote>
  <w:endnote w:type="continuationNotice" w:id="1">
    <w:p w14:paraId="5208B47A" w14:textId="77777777" w:rsidR="00A71255" w:rsidRDefault="00A7125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4D579" w14:textId="77777777" w:rsidR="00A71255" w:rsidRDefault="00A71255" w:rsidP="004A1847">
      <w:pPr>
        <w:spacing w:after="0" w:line="240" w:lineRule="auto"/>
      </w:pPr>
      <w:r>
        <w:separator/>
      </w:r>
    </w:p>
  </w:footnote>
  <w:footnote w:type="continuationSeparator" w:id="0">
    <w:p w14:paraId="580463E6" w14:textId="77777777" w:rsidR="00A71255" w:rsidRDefault="00A71255" w:rsidP="004A1847">
      <w:pPr>
        <w:spacing w:after="0" w:line="240" w:lineRule="auto"/>
      </w:pPr>
      <w:r>
        <w:continuationSeparator/>
      </w:r>
    </w:p>
  </w:footnote>
  <w:footnote w:type="continuationNotice" w:id="1">
    <w:p w14:paraId="387629DF" w14:textId="77777777" w:rsidR="00A71255" w:rsidRDefault="00A71255">
      <w:pPr>
        <w:spacing w:after="0" w:line="240" w:lineRule="auto"/>
      </w:pPr>
    </w:p>
  </w:footnote>
  <w:footnote w:id="2">
    <w:p w14:paraId="55BC0830" w14:textId="77777777" w:rsidR="00EE2FC5" w:rsidRPr="00B85689" w:rsidRDefault="00EE2FC5" w:rsidP="00EE2FC5">
      <w:pPr>
        <w:pStyle w:val="Textonotapie"/>
        <w:snapToGrid w:val="0"/>
        <w:ind w:firstLine="708"/>
        <w:contextualSpacing/>
        <w:jc w:val="both"/>
        <w:rPr>
          <w:rFonts w:ascii="Verdana" w:hAnsi="Verdana" w:cs="Arial"/>
          <w:color w:val="000000" w:themeColor="text1"/>
          <w:sz w:val="16"/>
          <w:szCs w:val="16"/>
        </w:rPr>
      </w:pPr>
      <w:r w:rsidRPr="00B85689">
        <w:rPr>
          <w:rStyle w:val="Refdenotaalpi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CORTE CONSTITUCIONAL. Sentencia C-452 de 1999. M.P. Eduardo Cifuentes Muñoz. </w:t>
      </w:r>
    </w:p>
  </w:footnote>
  <w:footnote w:id="3">
    <w:p w14:paraId="2992EE8F" w14:textId="77777777" w:rsidR="00EE2FC5" w:rsidRPr="00B85689" w:rsidRDefault="00EE2FC5" w:rsidP="00EE2FC5">
      <w:pPr>
        <w:pStyle w:val="Textonotapie"/>
        <w:snapToGrid w:val="0"/>
        <w:ind w:firstLine="708"/>
        <w:contextualSpacing/>
        <w:jc w:val="both"/>
        <w:rPr>
          <w:rFonts w:ascii="Verdana" w:hAnsi="Verdana" w:cs="Arial"/>
          <w:color w:val="000000" w:themeColor="text1"/>
          <w:sz w:val="16"/>
          <w:szCs w:val="16"/>
        </w:rPr>
      </w:pPr>
      <w:r w:rsidRPr="00B85689">
        <w:rPr>
          <w:rStyle w:val="Refdenotaalpi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DROMI, José Roberto. La licitación pública. Buenos Aires: Ciudad Argentina, 1980. pp. 288-289.</w:t>
      </w:r>
    </w:p>
  </w:footnote>
  <w:footnote w:id="4">
    <w:p w14:paraId="04D6A49E" w14:textId="77777777" w:rsidR="00EE2FC5" w:rsidRPr="00B85689" w:rsidRDefault="00EE2FC5" w:rsidP="00EE2FC5">
      <w:pPr>
        <w:pStyle w:val="Textonotapie"/>
        <w:snapToGrid w:val="0"/>
        <w:ind w:firstLine="708"/>
        <w:contextualSpacing/>
        <w:jc w:val="both"/>
        <w:rPr>
          <w:rFonts w:ascii="Verdana" w:hAnsi="Verdana" w:cs="Arial"/>
          <w:sz w:val="16"/>
          <w:szCs w:val="16"/>
        </w:rPr>
      </w:pPr>
      <w:r w:rsidRPr="00B85689">
        <w:rPr>
          <w:rStyle w:val="Refdenotaalpie"/>
          <w:rFonts w:ascii="Verdana" w:hAnsi="Verdana" w:cs="Arial"/>
          <w:sz w:val="16"/>
          <w:szCs w:val="16"/>
        </w:rPr>
        <w:footnoteRef/>
      </w:r>
      <w:r w:rsidRPr="00B85689">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w:t>
      </w:r>
      <w:proofErr w:type="spellStart"/>
      <w:r w:rsidRPr="00B85689">
        <w:rPr>
          <w:rFonts w:ascii="Verdana" w:hAnsi="Verdana" w:cs="Arial"/>
          <w:sz w:val="16"/>
          <w:szCs w:val="16"/>
        </w:rPr>
        <w:t>Exp</w:t>
      </w:r>
      <w:proofErr w:type="spellEnd"/>
      <w:r w:rsidRPr="00B85689">
        <w:rPr>
          <w:rFonts w:ascii="Verdana" w:hAnsi="Verdana" w:cs="Arial"/>
          <w:sz w:val="16"/>
          <w:szCs w:val="16"/>
        </w:rPr>
        <w:t>.  28278. C.P. Carlos Alberto Zambrano Barrera).</w:t>
      </w:r>
    </w:p>
  </w:footnote>
  <w:footnote w:id="5">
    <w:p w14:paraId="3975EB82" w14:textId="77777777" w:rsidR="00EE2FC5" w:rsidRPr="00B85689" w:rsidRDefault="00EE2FC5" w:rsidP="00EE2FC5">
      <w:pPr>
        <w:pStyle w:val="Textonotapie"/>
        <w:snapToGrid w:val="0"/>
        <w:ind w:firstLine="709"/>
        <w:contextualSpacing/>
        <w:jc w:val="both"/>
        <w:rPr>
          <w:rFonts w:ascii="Verdana" w:hAnsi="Verdana" w:cs="Arial"/>
          <w:color w:val="000000" w:themeColor="text1"/>
          <w:sz w:val="16"/>
          <w:szCs w:val="16"/>
        </w:rPr>
      </w:pPr>
      <w:r w:rsidRPr="00B85689">
        <w:rPr>
          <w:rStyle w:val="Refdenotaalpi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ORDÓÑEZ </w:t>
      </w:r>
      <w:proofErr w:type="spellStart"/>
      <w:r w:rsidRPr="00B85689">
        <w:rPr>
          <w:rFonts w:ascii="Verdana" w:hAnsi="Verdana" w:cs="Arial"/>
          <w:color w:val="000000" w:themeColor="text1"/>
          <w:sz w:val="16"/>
          <w:szCs w:val="16"/>
        </w:rPr>
        <w:t>ORDÓÑEZ</w:t>
      </w:r>
      <w:proofErr w:type="spellEnd"/>
      <w:r w:rsidRPr="00B85689">
        <w:rPr>
          <w:rFonts w:ascii="Verdana" w:hAnsi="Verdana" w:cs="Arial"/>
          <w:color w:val="000000" w:themeColor="text1"/>
          <w:sz w:val="16"/>
          <w:szCs w:val="16"/>
        </w:rPr>
        <w:t>, Andrés E. Seguro de cumplimiento de los contratos estatales en Colombia. Bogotá: Universidad Externado de Colombia, 2011. p. 44.</w:t>
      </w:r>
    </w:p>
  </w:footnote>
  <w:footnote w:id="6">
    <w:p w14:paraId="7BD8B736" w14:textId="77777777" w:rsidR="00EE2FC5" w:rsidRPr="00B85689" w:rsidRDefault="00EE2FC5" w:rsidP="00EE2FC5">
      <w:pPr>
        <w:pStyle w:val="Textonotapie"/>
        <w:snapToGrid w:val="0"/>
        <w:ind w:firstLine="709"/>
        <w:contextualSpacing/>
        <w:jc w:val="both"/>
        <w:rPr>
          <w:rFonts w:ascii="Verdana" w:hAnsi="Verdana" w:cs="Arial"/>
          <w:color w:val="000000" w:themeColor="text1"/>
          <w:sz w:val="16"/>
          <w:szCs w:val="16"/>
          <w:lang w:val="es-ES"/>
        </w:rPr>
      </w:pPr>
      <w:r w:rsidRPr="00B85689">
        <w:rPr>
          <w:rStyle w:val="Refdenotaalpi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Al respecto, el inciso primero del artículo 1068 del Código de Comercio dispone lo siguiente: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 </w:t>
      </w:r>
      <w:r w:rsidRPr="00B85689">
        <w:rPr>
          <w:rFonts w:ascii="Verdana" w:hAnsi="Verdana" w:cs="Arial"/>
          <w:color w:val="000000" w:themeColor="text1"/>
          <w:sz w:val="16"/>
          <w:szCs w:val="16"/>
          <w:lang w:val="es-ES"/>
        </w:rPr>
        <w:t xml:space="preserve">Igualmente, el inciso primero del artículo 1071 </w:t>
      </w:r>
      <w:r w:rsidRPr="00B85689">
        <w:rPr>
          <w:rFonts w:ascii="Verdana" w:hAnsi="Verdana" w:cs="Arial"/>
          <w:i/>
          <w:iCs/>
          <w:color w:val="000000" w:themeColor="text1"/>
          <w:sz w:val="16"/>
          <w:szCs w:val="16"/>
          <w:lang w:val="es-ES"/>
        </w:rPr>
        <w:t>ibidem</w:t>
      </w:r>
      <w:r w:rsidRPr="00B85689">
        <w:rPr>
          <w:rFonts w:ascii="Verdana" w:hAnsi="Verdana" w:cs="Arial"/>
          <w:color w:val="000000" w:themeColor="text1"/>
          <w:sz w:val="16"/>
          <w:szCs w:val="16"/>
          <w:lang w:val="es-ES"/>
        </w:rPr>
        <w:t xml:space="preserve"> prescribe: “El contrato de seguro podrá ser revocado unilateralmente por los contratantes. Por el asegurador, mediante noticia escrita al asegurado, enviada a su última dirección conocida, con no menos de diez días de antelación, contados a partir de la fecha del envío; por el asegurado, en cualquier momento, mediante aviso escrito al asegurador”.  </w:t>
      </w:r>
    </w:p>
  </w:footnote>
  <w:footnote w:id="7">
    <w:p w14:paraId="43F97C6B" w14:textId="77777777" w:rsidR="00EE2FC5" w:rsidRPr="00B85689" w:rsidRDefault="00EE2FC5" w:rsidP="00EE2FC5">
      <w:pPr>
        <w:pStyle w:val="Textonotapie"/>
        <w:snapToGrid w:val="0"/>
        <w:ind w:firstLine="709"/>
        <w:contextualSpacing/>
        <w:jc w:val="both"/>
        <w:rPr>
          <w:rFonts w:ascii="Verdana" w:hAnsi="Verdana" w:cs="Arial"/>
          <w:color w:val="000000" w:themeColor="text1"/>
          <w:sz w:val="16"/>
          <w:szCs w:val="16"/>
        </w:rPr>
      </w:pPr>
      <w:r w:rsidRPr="00B85689">
        <w:rPr>
          <w:rStyle w:val="Refdenotaalpi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ESCOBAR GIL, Rodrigo. Teoría general de los contratos de la Administración pública. Bogotá: Legis, 2000. p. 247. Respecto a las pólizas, la doctrina explica que “En rigor, el seguro no elimina el </w:t>
      </w:r>
      <w:proofErr w:type="gramStart"/>
      <w:r w:rsidRPr="00B85689">
        <w:rPr>
          <w:rFonts w:ascii="Verdana" w:hAnsi="Verdana" w:cs="Arial"/>
          <w:color w:val="000000" w:themeColor="text1"/>
          <w:sz w:val="16"/>
          <w:szCs w:val="16"/>
        </w:rPr>
        <w:t>daño</w:t>
      </w:r>
      <w:proofErr w:type="gramEnd"/>
      <w:r w:rsidRPr="00B85689">
        <w:rPr>
          <w:rFonts w:ascii="Verdana" w:hAnsi="Verdana" w:cs="Arial"/>
          <w:color w:val="000000" w:themeColor="text1"/>
          <w:sz w:val="16"/>
          <w:szCs w:val="16"/>
        </w:rPr>
        <w:t xml:space="preserve"> sino que tolera que sus consecuencias resulten transferidas (trasladadas) por el sujeto amenazado por un evento económicamente desfavorable, a otro (asegurador) que, a esos fines, ha constituido una mutualidad especialmente ‘preparada para absorber el riesgo de indemnización</w:t>
      </w:r>
      <w:proofErr w:type="gramStart"/>
      <w:r w:rsidRPr="00B85689">
        <w:rPr>
          <w:rFonts w:ascii="Verdana" w:hAnsi="Verdana" w:cs="Arial"/>
          <w:color w:val="000000" w:themeColor="text1"/>
          <w:sz w:val="16"/>
          <w:szCs w:val="16"/>
        </w:rPr>
        <w:t>’“ (</w:t>
      </w:r>
      <w:proofErr w:type="gramEnd"/>
      <w:r w:rsidRPr="00B85689">
        <w:rPr>
          <w:rFonts w:ascii="Verdana" w:hAnsi="Verdana" w:cs="Arial"/>
          <w:color w:val="000000" w:themeColor="text1"/>
          <w:sz w:val="16"/>
          <w:szCs w:val="16"/>
        </w:rPr>
        <w:t>Cfr. STIGLITZ, Rubén S. Derecho de seguros. Tomo I. Tercera Edición. Buenos Aires: Abeledo – Perrot, 2001. p. 21).</w:t>
      </w:r>
    </w:p>
  </w:footnote>
  <w:footnote w:id="8">
    <w:p w14:paraId="0CDFBAD4" w14:textId="77777777" w:rsidR="007D6702" w:rsidRPr="000418A8" w:rsidRDefault="007D6702" w:rsidP="007D6702">
      <w:pPr>
        <w:spacing w:after="0" w:line="240" w:lineRule="auto"/>
        <w:ind w:firstLine="709"/>
        <w:jc w:val="both"/>
        <w:rPr>
          <w:rFonts w:ascii="Verdana" w:eastAsia="Calibri" w:hAnsi="Verdana"/>
          <w:color w:val="000000" w:themeColor="text1"/>
          <w:sz w:val="16"/>
          <w:szCs w:val="16"/>
        </w:rPr>
      </w:pPr>
      <w:r w:rsidRPr="000418A8">
        <w:rPr>
          <w:rStyle w:val="Refdenotaalpie"/>
          <w:rFonts w:ascii="Verdana" w:hAnsi="Verdana"/>
          <w:sz w:val="16"/>
          <w:szCs w:val="16"/>
        </w:rPr>
        <w:footnoteRef/>
      </w:r>
      <w:r w:rsidRPr="000418A8">
        <w:rPr>
          <w:rFonts w:ascii="Verdana" w:hAnsi="Verdana"/>
          <w:sz w:val="16"/>
          <w:szCs w:val="16"/>
        </w:rPr>
        <w:t xml:space="preserve"> </w:t>
      </w:r>
      <w:r w:rsidRPr="000418A8">
        <w:rPr>
          <w:rFonts w:ascii="Verdana" w:eastAsia="Calibri" w:hAnsi="Verdana"/>
          <w:bCs/>
          <w:color w:val="000000" w:themeColor="text1"/>
          <w:sz w:val="16"/>
          <w:szCs w:val="16"/>
        </w:rPr>
        <w:t>Artículo 1037.</w:t>
      </w:r>
      <w:r w:rsidRPr="000418A8">
        <w:rPr>
          <w:rFonts w:ascii="Verdana" w:eastAsia="Calibri" w:hAnsi="Verdana"/>
          <w:color w:val="000000" w:themeColor="text1"/>
          <w:sz w:val="16"/>
          <w:szCs w:val="16"/>
        </w:rPr>
        <w:t> PARTES EN EL CONTRATO DE SEGURO. Son partes del contrato de seguro: </w:t>
      </w:r>
    </w:p>
    <w:p w14:paraId="7E0F0997" w14:textId="77777777" w:rsidR="007D6702" w:rsidRPr="000418A8" w:rsidRDefault="007D6702" w:rsidP="007D6702">
      <w:pPr>
        <w:spacing w:after="0" w:line="240" w:lineRule="auto"/>
        <w:ind w:firstLine="709"/>
        <w:jc w:val="both"/>
        <w:rPr>
          <w:rFonts w:ascii="Verdana" w:eastAsia="Calibri" w:hAnsi="Verdana"/>
          <w:color w:val="000000" w:themeColor="text1"/>
          <w:sz w:val="16"/>
          <w:szCs w:val="16"/>
        </w:rPr>
      </w:pPr>
      <w:r w:rsidRPr="000418A8">
        <w:rPr>
          <w:rFonts w:ascii="Verdana" w:eastAsia="Calibri" w:hAnsi="Verdana"/>
          <w:color w:val="000000" w:themeColor="text1"/>
          <w:sz w:val="16"/>
          <w:szCs w:val="16"/>
        </w:rPr>
        <w:t>1) El asegurador, o sea la persona jurídica que asume los riesgos, debidamente autorizada para ello con arreglo a las leyes y reglamentos, y </w:t>
      </w:r>
    </w:p>
    <w:p w14:paraId="21EFD700" w14:textId="77777777" w:rsidR="007D6702" w:rsidRPr="000418A8" w:rsidRDefault="007D6702" w:rsidP="007D6702">
      <w:pPr>
        <w:spacing w:after="0" w:line="240" w:lineRule="auto"/>
        <w:ind w:firstLine="709"/>
        <w:jc w:val="both"/>
        <w:rPr>
          <w:rFonts w:ascii="Verdana" w:eastAsia="Calibri" w:hAnsi="Verdana"/>
          <w:color w:val="000000" w:themeColor="text1"/>
          <w:sz w:val="16"/>
          <w:szCs w:val="16"/>
        </w:rPr>
      </w:pPr>
      <w:r w:rsidRPr="000418A8">
        <w:rPr>
          <w:rFonts w:ascii="Verdana" w:eastAsia="Calibri" w:hAnsi="Verdana"/>
          <w:color w:val="000000" w:themeColor="text1"/>
          <w:sz w:val="16"/>
          <w:szCs w:val="16"/>
        </w:rPr>
        <w:t>2) El tomador, o sea la persona que, obrando por cuenta propia o ajena, traslada los riesgos. </w:t>
      </w:r>
    </w:p>
    <w:p w14:paraId="0917D945" w14:textId="77777777" w:rsidR="007D6702" w:rsidRPr="000418A8" w:rsidRDefault="007D6702" w:rsidP="007D6702">
      <w:pPr>
        <w:pStyle w:val="Textonotapie"/>
        <w:jc w:val="both"/>
        <w:rPr>
          <w:rFonts w:ascii="Verdana" w:hAnsi="Verdana"/>
          <w:sz w:val="16"/>
          <w:szCs w:val="16"/>
          <w:lang w:val="es-CO"/>
        </w:rPr>
      </w:pPr>
    </w:p>
  </w:footnote>
  <w:footnote w:id="9">
    <w:p w14:paraId="5526DAA1" w14:textId="77777777" w:rsidR="00EE2FC5" w:rsidRPr="00B85689" w:rsidRDefault="00EE2FC5" w:rsidP="00EE2FC5">
      <w:pPr>
        <w:pStyle w:val="Textonotapie"/>
        <w:snapToGrid w:val="0"/>
        <w:ind w:firstLine="708"/>
        <w:contextualSpacing/>
        <w:jc w:val="both"/>
        <w:rPr>
          <w:rFonts w:ascii="Verdana" w:hAnsi="Verdana" w:cs="Arial"/>
          <w:color w:val="000000" w:themeColor="text1"/>
          <w:sz w:val="16"/>
          <w:szCs w:val="16"/>
          <w:lang w:val="es-CO"/>
        </w:rPr>
      </w:pPr>
      <w:r w:rsidRPr="00B85689">
        <w:rPr>
          <w:rStyle w:val="Refdenotaalpi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w:t>
      </w:r>
      <w:r w:rsidRPr="00B85689">
        <w:rPr>
          <w:rFonts w:ascii="Verdana" w:hAnsi="Verdana" w:cs="Arial"/>
          <w:color w:val="000000" w:themeColor="text1"/>
          <w:sz w:val="16"/>
          <w:szCs w:val="16"/>
          <w:lang w:val="es-CO"/>
        </w:rPr>
        <w:t xml:space="preserve">“Artículo 2.2.1.2.3.1.3. Indivisibilidad de la garantía. La garantía de cobertura del Riesgo es indivisible. Sin embargo, en los contratos con un plazo mayor a cinco (5) años las garantías pueden cubrir los Riesgos de la Etapa del Contrato o del Periodo Contractual, de acuerdo con lo previsto en el contrato. </w:t>
      </w:r>
    </w:p>
    <w:p w14:paraId="4E9E3073" w14:textId="77777777" w:rsidR="00EE2FC5" w:rsidRPr="00B85689" w:rsidRDefault="00EE2FC5" w:rsidP="00EE2FC5">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En consecuencia, la Entidad Estatal en los pliegos de condiciones para la Contratación debe indicar las garantías que exige en cada Etapa del Contrato o cada Periodo Contractual así: </w:t>
      </w:r>
    </w:p>
    <w:p w14:paraId="25B57D14" w14:textId="77777777" w:rsidR="00EE2FC5" w:rsidRPr="00B85689" w:rsidRDefault="00EE2FC5" w:rsidP="00EE2FC5">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1. La Entidad Estatal debe exigir una garantía independiente para cada Etapa del Contrato o cada Periodo Contractual o cada unidad funcional en el caso de las Asociaciones </w:t>
      </w:r>
      <w:proofErr w:type="gramStart"/>
      <w:r w:rsidRPr="00B85689">
        <w:rPr>
          <w:rFonts w:ascii="Verdana" w:hAnsi="Verdana" w:cs="Arial"/>
          <w:color w:val="000000" w:themeColor="text1"/>
          <w:sz w:val="16"/>
          <w:szCs w:val="16"/>
          <w:lang w:val="es-CO"/>
        </w:rPr>
        <w:t>Público Privadas</w:t>
      </w:r>
      <w:proofErr w:type="gramEnd"/>
      <w:r w:rsidRPr="00B85689">
        <w:rPr>
          <w:rFonts w:ascii="Verdana" w:hAnsi="Verdana" w:cs="Arial"/>
          <w:color w:val="000000" w:themeColor="text1"/>
          <w:sz w:val="16"/>
          <w:szCs w:val="16"/>
          <w:lang w:val="es-CO"/>
        </w:rPr>
        <w:t xml:space="preserve">, cuya vigencia debe ser por lo menos la misma establecida para la Etapa del Contrato o Periodo Contractual respectivo. </w:t>
      </w:r>
    </w:p>
    <w:p w14:paraId="3E8C1ED0" w14:textId="77777777" w:rsidR="00EE2FC5" w:rsidRPr="00B85689" w:rsidRDefault="00EE2FC5" w:rsidP="00EE2FC5">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2. La Entidad Estatal debe calcular el valor asegurado para cada Etapa del Contrato, Periodo Contractual o unidad funcional, tomando el valor de las obligaciones del contratista para cada Etapa del Contrato, Periodo Contractual o unidad funcional y de acuerdo con las reglas de suficiencia de las garantías establecidas en el presente título. </w:t>
      </w:r>
    </w:p>
    <w:p w14:paraId="2086F465" w14:textId="77777777" w:rsidR="00EE2FC5" w:rsidRPr="00B85689" w:rsidRDefault="00EE2FC5" w:rsidP="00EE2FC5">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3. Antes del vencimiento de cada Etapa del Contrato o cada Periodo Contractual, el contratista está obligado a obtener una nueva garantía que ampare el cumplimiento de sus obligaciones para la Etapa del Contrato o Periodo Contractual subsiguiente, si no lo hiciere se aplicarán las reglas previstas para el restablecimiento de la garantía. </w:t>
      </w:r>
    </w:p>
    <w:p w14:paraId="745A9091" w14:textId="77777777" w:rsidR="00EE2FC5" w:rsidRPr="00B85689" w:rsidRDefault="00EE2FC5" w:rsidP="00EE2FC5">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Si el garante de una Etapa del Contrato o un Periodo Contractual decide no continuar garantizando la Etapa del Contrato o Periodo Contractual subsiguiente, debe informar su decisión por escrito a la Entidad Estatal garantizada seis (6) meses antes del vencimiento del plazo de la garantía. Este aviso no afecta la garantía de la Etapa Contractual o Periodo Contractual en ejecución. Si el garante no da el aviso con la anticipación mencionada y el contratista no obtiene una nueva garantía, queda obligado a garantizar la Etapa del Contrato o el Periodo Contractual subsiguiente”.</w:t>
      </w:r>
    </w:p>
  </w:footnote>
  <w:footnote w:id="10">
    <w:p w14:paraId="51690EA0" w14:textId="77777777" w:rsidR="00EE2FC5" w:rsidRPr="00B85689" w:rsidRDefault="00EE2FC5" w:rsidP="00EE2FC5">
      <w:pPr>
        <w:pStyle w:val="Textonotapie"/>
        <w:snapToGrid w:val="0"/>
        <w:ind w:firstLine="708"/>
        <w:contextualSpacing/>
        <w:jc w:val="both"/>
        <w:rPr>
          <w:rFonts w:ascii="Verdana" w:hAnsi="Verdana" w:cs="Arial"/>
          <w:color w:val="000000" w:themeColor="text1"/>
          <w:sz w:val="16"/>
          <w:szCs w:val="16"/>
          <w:lang w:val="es-CO"/>
        </w:rPr>
      </w:pPr>
      <w:r w:rsidRPr="00B85689">
        <w:rPr>
          <w:rStyle w:val="Refdenotaalpi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w:t>
      </w:r>
      <w:r w:rsidRPr="00B85689">
        <w:rPr>
          <w:rFonts w:ascii="Verdana" w:hAnsi="Verdana" w:cs="Arial"/>
          <w:color w:val="000000" w:themeColor="text1"/>
          <w:sz w:val="16"/>
          <w:szCs w:val="16"/>
          <w:lang w:val="es-CO"/>
        </w:rPr>
        <w:t xml:space="preserve">“Artículo </w:t>
      </w:r>
      <w:bookmarkStart w:id="3" w:name="_Hlk67919994"/>
      <w:r w:rsidRPr="00B85689">
        <w:rPr>
          <w:rFonts w:ascii="Verdana" w:hAnsi="Verdana" w:cs="Arial"/>
          <w:color w:val="000000" w:themeColor="text1"/>
          <w:sz w:val="16"/>
          <w:szCs w:val="16"/>
          <w:lang w:val="es-CO"/>
        </w:rPr>
        <w:t>2.2.1.2.3.1.7</w:t>
      </w:r>
      <w:bookmarkEnd w:id="3"/>
      <w:r w:rsidRPr="00B85689">
        <w:rPr>
          <w:rFonts w:ascii="Verdana" w:hAnsi="Verdana" w:cs="Arial"/>
          <w:color w:val="000000" w:themeColor="text1"/>
          <w:sz w:val="16"/>
          <w:szCs w:val="16"/>
          <w:lang w:val="es-CO"/>
        </w:rPr>
        <w:t xml:space="preserve">. Garantía de cumplimiento. La garantía de cumplimiento del contrato debe cubrir: </w:t>
      </w:r>
    </w:p>
    <w:p w14:paraId="4662E505" w14:textId="77777777" w:rsidR="00EE2FC5" w:rsidRPr="00B85689" w:rsidRDefault="00EE2FC5" w:rsidP="00EE2FC5">
      <w:pPr>
        <w:pStyle w:val="Textonotapie"/>
        <w:snapToGrid w:val="0"/>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  </w:t>
      </w:r>
      <w:r w:rsidRPr="00B85689">
        <w:rPr>
          <w:rFonts w:ascii="Verdana" w:hAnsi="Verdana" w:cs="Arial"/>
          <w:color w:val="000000" w:themeColor="text1"/>
          <w:sz w:val="16"/>
          <w:szCs w:val="16"/>
          <w:lang w:val="es-CO"/>
        </w:rPr>
        <w:tab/>
        <w:t>1. Buen manejo y correcta inversión del anticipo. Este amparo cubre los perjuicios sufridos por la Entidad Estatal con ocasión de: (i) la no inversión del anticipo; (</w:t>
      </w:r>
      <w:proofErr w:type="spellStart"/>
      <w:r w:rsidRPr="00B85689">
        <w:rPr>
          <w:rFonts w:ascii="Verdana" w:hAnsi="Verdana" w:cs="Arial"/>
          <w:color w:val="000000" w:themeColor="text1"/>
          <w:sz w:val="16"/>
          <w:szCs w:val="16"/>
          <w:lang w:val="es-CO"/>
        </w:rPr>
        <w:t>ii</w:t>
      </w:r>
      <w:proofErr w:type="spellEnd"/>
      <w:r w:rsidRPr="00B85689">
        <w:rPr>
          <w:rFonts w:ascii="Verdana" w:hAnsi="Verdana" w:cs="Arial"/>
          <w:color w:val="000000" w:themeColor="text1"/>
          <w:sz w:val="16"/>
          <w:szCs w:val="16"/>
          <w:lang w:val="es-CO"/>
        </w:rPr>
        <w:t>) el uso indebido del anticipo; y (</w:t>
      </w:r>
      <w:proofErr w:type="spellStart"/>
      <w:r w:rsidRPr="00B85689">
        <w:rPr>
          <w:rFonts w:ascii="Verdana" w:hAnsi="Verdana" w:cs="Arial"/>
          <w:color w:val="000000" w:themeColor="text1"/>
          <w:sz w:val="16"/>
          <w:szCs w:val="16"/>
          <w:lang w:val="es-CO"/>
        </w:rPr>
        <w:t>iii</w:t>
      </w:r>
      <w:proofErr w:type="spellEnd"/>
      <w:r w:rsidRPr="00B85689">
        <w:rPr>
          <w:rFonts w:ascii="Verdana" w:hAnsi="Verdana" w:cs="Arial"/>
          <w:color w:val="000000" w:themeColor="text1"/>
          <w:sz w:val="16"/>
          <w:szCs w:val="16"/>
          <w:lang w:val="es-CO"/>
        </w:rPr>
        <w:t>) la apropiación indebida de los recursos recibidos en calidad de anticipo</w:t>
      </w:r>
    </w:p>
    <w:p w14:paraId="5AF8C2F0" w14:textId="77777777" w:rsidR="00EE2FC5" w:rsidRPr="00B85689" w:rsidRDefault="00EE2FC5" w:rsidP="00EE2FC5">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145B4E07" w14:textId="77777777" w:rsidR="00EE2FC5" w:rsidRPr="00B85689" w:rsidRDefault="00EE2FC5" w:rsidP="00EE2FC5">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3. Cumplimiento del contrato. Este amparo cubre a la Entidad Estatal de los perjuicios derivados de: </w:t>
      </w:r>
    </w:p>
    <w:p w14:paraId="0DCD180C" w14:textId="77777777" w:rsidR="00EE2FC5" w:rsidRPr="00B85689" w:rsidRDefault="00EE2FC5" w:rsidP="00EE2FC5">
      <w:pPr>
        <w:pStyle w:val="Textonotapie"/>
        <w:snapToGrid w:val="0"/>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  </w:t>
      </w:r>
      <w:r w:rsidRPr="00B85689">
        <w:rPr>
          <w:rFonts w:ascii="Verdana" w:hAnsi="Verdana" w:cs="Arial"/>
          <w:color w:val="000000" w:themeColor="text1"/>
          <w:sz w:val="16"/>
          <w:szCs w:val="16"/>
          <w:lang w:val="es-CO"/>
        </w:rPr>
        <w:tab/>
        <w:t xml:space="preserve">3.1. </w:t>
      </w:r>
      <w:bookmarkStart w:id="4" w:name="_Hlk67920056"/>
      <w:r w:rsidRPr="00B85689">
        <w:rPr>
          <w:rFonts w:ascii="Verdana" w:hAnsi="Verdana" w:cs="Arial"/>
          <w:color w:val="000000" w:themeColor="text1"/>
          <w:sz w:val="16"/>
          <w:szCs w:val="16"/>
          <w:lang w:val="es-CO"/>
        </w:rPr>
        <w:t xml:space="preserve">El incumplimiento total o parcial del contrato, cuando el incumplimiento es imputable al contratista; </w:t>
      </w:r>
    </w:p>
    <w:p w14:paraId="10202C00" w14:textId="77777777" w:rsidR="00EE2FC5" w:rsidRPr="00B85689" w:rsidRDefault="00EE2FC5" w:rsidP="00EE2FC5">
      <w:pPr>
        <w:pStyle w:val="Textonotapie"/>
        <w:snapToGrid w:val="0"/>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  </w:t>
      </w:r>
      <w:r w:rsidRPr="00B85689">
        <w:rPr>
          <w:rFonts w:ascii="Verdana" w:hAnsi="Verdana" w:cs="Arial"/>
          <w:color w:val="000000" w:themeColor="text1"/>
          <w:sz w:val="16"/>
          <w:szCs w:val="16"/>
          <w:lang w:val="es-CO"/>
        </w:rPr>
        <w:tab/>
        <w:t xml:space="preserve">3.2. El cumplimiento tardío o defectuoso del contrato, cuando el incumplimiento es imputable al contratista; </w:t>
      </w:r>
    </w:p>
    <w:p w14:paraId="3D44B2D9" w14:textId="77777777" w:rsidR="00EE2FC5" w:rsidRPr="00B85689" w:rsidRDefault="00EE2FC5" w:rsidP="00EE2FC5">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3.3. Los daños imputables al contratista por entregas parciales de la obra, cuando el contrato no prevé entregas parciales; y </w:t>
      </w:r>
    </w:p>
    <w:bookmarkEnd w:id="4"/>
    <w:p w14:paraId="0F8E072D" w14:textId="77777777" w:rsidR="00EE2FC5" w:rsidRPr="00B85689" w:rsidRDefault="00EE2FC5" w:rsidP="00EE2FC5">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3.4. El pago del valor de las multas y de la cláusula penal pecuniaria. </w:t>
      </w:r>
    </w:p>
    <w:p w14:paraId="56B602BE" w14:textId="77777777" w:rsidR="00EE2FC5" w:rsidRPr="00B85689" w:rsidRDefault="00EE2FC5" w:rsidP="00EE2FC5">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1F94121C" w14:textId="77777777" w:rsidR="00EE2FC5" w:rsidRPr="00B85689" w:rsidRDefault="00EE2FC5" w:rsidP="00EE2FC5">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La Entidad Estatal no debe exigir una garantía para cubrir este Riesgo en los contratos que se ejecuten fuera del territorio nacional con personal contratado bajo un régimen jurídico distinto al colombiano. </w:t>
      </w:r>
    </w:p>
    <w:p w14:paraId="0E8782E8" w14:textId="77777777" w:rsidR="00EE2FC5" w:rsidRPr="00B85689" w:rsidRDefault="00EE2FC5" w:rsidP="00EE2FC5">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5. Estabilidad y calidad de la obra. Este amparo cubre a la Entidad Estatal de los perjuicios ocasionados por cualquier tipo de daño o deterioro, imputable al contratista, sufrido por la obra entregada a satisfacción. </w:t>
      </w:r>
    </w:p>
    <w:p w14:paraId="7FB5C3BC" w14:textId="77777777" w:rsidR="00EE2FC5" w:rsidRPr="00B85689" w:rsidRDefault="00EE2FC5" w:rsidP="00EE2FC5">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6. Calidad del servicio. Este amparo cubre a la Entidad Estatal por los perjuicios derivados de la deficiente calidad del servicio prestado. </w:t>
      </w:r>
    </w:p>
    <w:p w14:paraId="7B23121B" w14:textId="77777777" w:rsidR="00EE2FC5" w:rsidRPr="00B85689" w:rsidRDefault="00EE2FC5" w:rsidP="00EE2FC5">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7. Calidad y correcto funcionamiento de los bienes. Este amparo debe cubrir la calidad y el correcto funcionamiento de los bienes que recibe la Entidad Estatal en cumplimiento de un contrato. </w:t>
      </w:r>
    </w:p>
    <w:p w14:paraId="0B7A9E1B" w14:textId="77777777" w:rsidR="00EE2FC5" w:rsidRPr="00B85689" w:rsidRDefault="00EE2FC5" w:rsidP="00EE2FC5">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8. </w:t>
      </w:r>
      <w:bookmarkStart w:id="5" w:name="_Hlk143267015"/>
      <w:r w:rsidRPr="00B85689">
        <w:rPr>
          <w:rFonts w:ascii="Verdana" w:hAnsi="Verdana" w:cs="Arial"/>
          <w:color w:val="000000" w:themeColor="text1"/>
          <w:sz w:val="16"/>
          <w:szCs w:val="16"/>
          <w:lang w:val="es-CO"/>
        </w:rPr>
        <w:t>Los demás incumplimientos de obligaciones que la Entidad Estatal considere deben ser amparados de manera proporcional y acorde a la naturaleza del contrato</w:t>
      </w:r>
      <w:bookmarkEnd w:id="5"/>
      <w:r w:rsidRPr="00B85689">
        <w:rPr>
          <w:rFonts w:ascii="Verdana" w:hAnsi="Verdana" w:cs="Arial"/>
          <w:color w:val="000000" w:themeColor="text1"/>
          <w:sz w:val="16"/>
          <w:szCs w:val="16"/>
          <w:lang w:val="es-CO"/>
        </w:rPr>
        <w:t>”.</w:t>
      </w:r>
    </w:p>
  </w:footnote>
  <w:footnote w:id="11">
    <w:p w14:paraId="06CC52B1" w14:textId="77777777" w:rsidR="00E340B7" w:rsidRPr="001E453D" w:rsidRDefault="00E340B7" w:rsidP="00E340B7">
      <w:pPr>
        <w:pStyle w:val="Textonotapie"/>
        <w:ind w:firstLine="708"/>
        <w:jc w:val="both"/>
        <w:rPr>
          <w:rFonts w:ascii="Verdana" w:hAnsi="Verdana"/>
          <w:sz w:val="16"/>
          <w:szCs w:val="16"/>
          <w:lang w:val="es-ES"/>
        </w:rPr>
      </w:pPr>
      <w:r w:rsidRPr="001E453D">
        <w:rPr>
          <w:rStyle w:val="Refdenotaalpie"/>
          <w:rFonts w:ascii="Verdana" w:hAnsi="Verdana"/>
          <w:sz w:val="16"/>
          <w:szCs w:val="16"/>
        </w:rPr>
        <w:footnoteRef/>
      </w:r>
      <w:r w:rsidRPr="001E453D">
        <w:rPr>
          <w:rFonts w:ascii="Verdana" w:hAnsi="Verdana"/>
          <w:sz w:val="16"/>
          <w:szCs w:val="16"/>
        </w:rPr>
        <w:t xml:space="preserve"> C</w:t>
      </w:r>
      <w:r>
        <w:rPr>
          <w:rFonts w:ascii="Verdana" w:hAnsi="Verdana"/>
          <w:sz w:val="16"/>
          <w:szCs w:val="16"/>
        </w:rPr>
        <w:t>orte Constitucional</w:t>
      </w:r>
      <w:r w:rsidRPr="001E453D">
        <w:rPr>
          <w:rFonts w:ascii="Verdana" w:hAnsi="Verdana"/>
          <w:sz w:val="16"/>
          <w:szCs w:val="16"/>
        </w:rPr>
        <w:t>. Sentencia C-949 del 5 de septiembre de 2001. M.P</w:t>
      </w:r>
      <w:r>
        <w:rPr>
          <w:rFonts w:ascii="Verdana" w:hAnsi="Verdana"/>
          <w:sz w:val="16"/>
          <w:szCs w:val="16"/>
        </w:rPr>
        <w:t>:</w:t>
      </w:r>
      <w:r w:rsidRPr="001E453D">
        <w:rPr>
          <w:rFonts w:ascii="Verdana" w:hAnsi="Verdana"/>
          <w:sz w:val="16"/>
          <w:szCs w:val="16"/>
        </w:rPr>
        <w:t xml:space="preserve"> Clara Inés Vargas Hernández.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4D41A2"/>
    <w:multiLevelType w:val="hybridMultilevel"/>
    <w:tmpl w:val="0B168F72"/>
    <w:lvl w:ilvl="0" w:tplc="00ECA75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15055997">
    <w:abstractNumId w:val="7"/>
  </w:num>
  <w:num w:numId="2" w16cid:durableId="247614327">
    <w:abstractNumId w:val="2"/>
  </w:num>
  <w:num w:numId="3" w16cid:durableId="2136093706">
    <w:abstractNumId w:val="5"/>
  </w:num>
  <w:num w:numId="4" w16cid:durableId="570935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87209187">
    <w:abstractNumId w:val="2"/>
  </w:num>
  <w:num w:numId="6" w16cid:durableId="108159699">
    <w:abstractNumId w:val="14"/>
  </w:num>
  <w:num w:numId="7" w16cid:durableId="258107303">
    <w:abstractNumId w:val="6"/>
  </w:num>
  <w:num w:numId="8" w16cid:durableId="523710760">
    <w:abstractNumId w:val="13"/>
  </w:num>
  <w:num w:numId="9" w16cid:durableId="1555772203">
    <w:abstractNumId w:val="8"/>
  </w:num>
  <w:num w:numId="10" w16cid:durableId="1733194044">
    <w:abstractNumId w:val="12"/>
  </w:num>
  <w:num w:numId="11" w16cid:durableId="954219183">
    <w:abstractNumId w:val="9"/>
  </w:num>
  <w:num w:numId="12" w16cid:durableId="255022045">
    <w:abstractNumId w:val="1"/>
  </w:num>
  <w:num w:numId="13" w16cid:durableId="635988688">
    <w:abstractNumId w:val="4"/>
  </w:num>
  <w:num w:numId="14" w16cid:durableId="658267111">
    <w:abstractNumId w:val="15"/>
  </w:num>
  <w:num w:numId="15" w16cid:durableId="790515525">
    <w:abstractNumId w:val="11"/>
  </w:num>
  <w:num w:numId="16" w16cid:durableId="169850874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93726209">
    <w:abstractNumId w:val="3"/>
  </w:num>
  <w:num w:numId="18" w16cid:durableId="15880335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17799"/>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119F2"/>
    <w:rsid w:val="00322A85"/>
    <w:rsid w:val="00324168"/>
    <w:rsid w:val="00330834"/>
    <w:rsid w:val="00340CA1"/>
    <w:rsid w:val="003448F4"/>
    <w:rsid w:val="00374F5E"/>
    <w:rsid w:val="00377E3E"/>
    <w:rsid w:val="003A779E"/>
    <w:rsid w:val="003D0F4D"/>
    <w:rsid w:val="003D5B0D"/>
    <w:rsid w:val="003E0499"/>
    <w:rsid w:val="003E4F80"/>
    <w:rsid w:val="003E6439"/>
    <w:rsid w:val="003F3941"/>
    <w:rsid w:val="00406575"/>
    <w:rsid w:val="00414C74"/>
    <w:rsid w:val="0042722E"/>
    <w:rsid w:val="004424C1"/>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94B90"/>
    <w:rsid w:val="00706C16"/>
    <w:rsid w:val="00724BD8"/>
    <w:rsid w:val="007340C3"/>
    <w:rsid w:val="0075235A"/>
    <w:rsid w:val="00756841"/>
    <w:rsid w:val="007649AB"/>
    <w:rsid w:val="00771D0C"/>
    <w:rsid w:val="007833AC"/>
    <w:rsid w:val="007B268C"/>
    <w:rsid w:val="007B7171"/>
    <w:rsid w:val="007C0C0F"/>
    <w:rsid w:val="007C3DC2"/>
    <w:rsid w:val="007D6702"/>
    <w:rsid w:val="007E5497"/>
    <w:rsid w:val="00806F5F"/>
    <w:rsid w:val="00820278"/>
    <w:rsid w:val="008258C9"/>
    <w:rsid w:val="00844AE9"/>
    <w:rsid w:val="00867F95"/>
    <w:rsid w:val="008843B6"/>
    <w:rsid w:val="00891928"/>
    <w:rsid w:val="008A446D"/>
    <w:rsid w:val="008B25F1"/>
    <w:rsid w:val="008D180B"/>
    <w:rsid w:val="008F0EA7"/>
    <w:rsid w:val="00915351"/>
    <w:rsid w:val="00923EEF"/>
    <w:rsid w:val="009419F9"/>
    <w:rsid w:val="0095685E"/>
    <w:rsid w:val="00961B09"/>
    <w:rsid w:val="00965334"/>
    <w:rsid w:val="0097093E"/>
    <w:rsid w:val="00985405"/>
    <w:rsid w:val="009A0DFA"/>
    <w:rsid w:val="009A1C6F"/>
    <w:rsid w:val="009B2D26"/>
    <w:rsid w:val="009C71FA"/>
    <w:rsid w:val="009C72E7"/>
    <w:rsid w:val="009C7F7E"/>
    <w:rsid w:val="009D0D95"/>
    <w:rsid w:val="009D3058"/>
    <w:rsid w:val="009F3A13"/>
    <w:rsid w:val="00A122D3"/>
    <w:rsid w:val="00A14468"/>
    <w:rsid w:val="00A17F13"/>
    <w:rsid w:val="00A20739"/>
    <w:rsid w:val="00A23AF9"/>
    <w:rsid w:val="00A31366"/>
    <w:rsid w:val="00A33C78"/>
    <w:rsid w:val="00A71255"/>
    <w:rsid w:val="00AB0ADB"/>
    <w:rsid w:val="00B00C0E"/>
    <w:rsid w:val="00B01B1A"/>
    <w:rsid w:val="00B0381D"/>
    <w:rsid w:val="00B44A47"/>
    <w:rsid w:val="00B57783"/>
    <w:rsid w:val="00B72CD3"/>
    <w:rsid w:val="00B72D12"/>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14F7B"/>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340B7"/>
    <w:rsid w:val="00E50AFE"/>
    <w:rsid w:val="00E75C92"/>
    <w:rsid w:val="00E771DC"/>
    <w:rsid w:val="00E8772A"/>
    <w:rsid w:val="00E90F6B"/>
    <w:rsid w:val="00E92C27"/>
    <w:rsid w:val="00EA0E3D"/>
    <w:rsid w:val="00EA5E93"/>
    <w:rsid w:val="00EC38A7"/>
    <w:rsid w:val="00EE1AA8"/>
    <w:rsid w:val="00EE2FC5"/>
    <w:rsid w:val="00F23FEA"/>
    <w:rsid w:val="00F31EDC"/>
    <w:rsid w:val="00F462B3"/>
    <w:rsid w:val="00F47FAD"/>
    <w:rsid w:val="00F5664F"/>
    <w:rsid w:val="00F666C4"/>
    <w:rsid w:val="00F76AFC"/>
    <w:rsid w:val="00FA47C0"/>
    <w:rsid w:val="00FB3090"/>
    <w:rsid w:val="00FB5DD1"/>
    <w:rsid w:val="00FC1287"/>
    <w:rsid w:val="00FC2B5D"/>
    <w:rsid w:val="00FF1449"/>
    <w:rsid w:val="00FF7963"/>
    <w:rsid w:val="071B8F93"/>
    <w:rsid w:val="09908A09"/>
    <w:rsid w:val="0FF4CCA8"/>
    <w:rsid w:val="13CFC91B"/>
    <w:rsid w:val="19A2EC2C"/>
    <w:rsid w:val="1EA2C089"/>
    <w:rsid w:val="2859CA1B"/>
    <w:rsid w:val="30D117DA"/>
    <w:rsid w:val="32A4F9CF"/>
    <w:rsid w:val="356CEDFD"/>
    <w:rsid w:val="561F31BA"/>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E2FC5"/>
    <w:rPr>
      <w:rFonts w:ascii="Geomanist Light" w:hAnsi="Geomanist Light"/>
      <w:lang w:val="es-ES"/>
    </w:rPr>
  </w:style>
  <w:style w:type="paragraph" w:customStyle="1" w:styleId="Appelnotedebasde">
    <w:name w:val="Appel note de bas de..."/>
    <w:basedOn w:val="Normal"/>
    <w:link w:val="Refdenotaalpie"/>
    <w:uiPriority w:val="99"/>
    <w:rsid w:val="00EE2FC5"/>
    <w:pPr>
      <w:spacing w:line="240" w:lineRule="exact"/>
    </w:pPr>
    <w:rPr>
      <w:vertAlign w:val="superscript"/>
    </w:rPr>
  </w:style>
  <w:style w:type="paragraph" w:styleId="Textocomentario">
    <w:name w:val="annotation text"/>
    <w:basedOn w:val="Normal"/>
    <w:link w:val="TextocomentarioCar"/>
    <w:uiPriority w:val="99"/>
    <w:semiHidden/>
    <w:unhideWhenUsed/>
    <w:rsid w:val="00EA5E93"/>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A5E93"/>
    <w:rPr>
      <w:sz w:val="20"/>
      <w:szCs w:val="20"/>
    </w:rPr>
  </w:style>
  <w:style w:type="character" w:styleId="Refdecomentario">
    <w:name w:val="annotation reference"/>
    <w:basedOn w:val="Fuentedeprrafopredeter"/>
    <w:uiPriority w:val="99"/>
    <w:semiHidden/>
    <w:unhideWhenUsed/>
    <w:rsid w:val="00EA5E93"/>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dresabog@outlook.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CB88443D-A53D-4638-9DDC-5D0D9F28E1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14</Pages>
  <Words>4077</Words>
  <Characters>22470</Characters>
  <Application>Microsoft Office Word</Application>
  <DocSecurity>0</DocSecurity>
  <Lines>449</Lines>
  <Paragraphs>99</Paragraphs>
  <ScaleCrop>false</ScaleCrop>
  <Company/>
  <LinksUpToDate>false</LinksUpToDate>
  <CharactersWithSpaces>26448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7</cp:revision>
  <cp:lastPrinted>2023-01-10T21:18:00Z</cp:lastPrinted>
  <dcterms:created xsi:type="dcterms:W3CDTF">2025-12-31T01:36:00Z</dcterms:created>
  <dcterms:modified xsi:type="dcterms:W3CDTF">2026-01-08T13:08:00Z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