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36B25" w14:textId="77777777" w:rsidR="00F21113" w:rsidRPr="000036B2" w:rsidRDefault="00F21113" w:rsidP="00F21113">
      <w:pPr>
        <w:spacing w:after="0" w:line="240" w:lineRule="auto"/>
        <w:contextualSpacing/>
        <w:jc w:val="both"/>
        <w:rPr>
          <w:rFonts w:ascii="Verdana" w:eastAsia="Calibri" w:hAnsi="Verdana" w:cs="Arial"/>
          <w:b/>
          <w:lang w:val="es-MX" w:eastAsia="es-MX"/>
        </w:rPr>
      </w:pPr>
      <w:r w:rsidRPr="000036B2">
        <w:rPr>
          <w:rFonts w:ascii="Verdana" w:eastAsia="Calibri" w:hAnsi="Verdana" w:cs="Arial"/>
          <w:b/>
          <w:lang w:val="es-MX" w:eastAsia="es-MX"/>
        </w:rPr>
        <w:t xml:space="preserve">LEY DE GARANTÍAS ELECTORALES – Naturaleza Jurídica </w:t>
      </w:r>
    </w:p>
    <w:p w14:paraId="1F5248C7" w14:textId="77777777" w:rsidR="00F21113" w:rsidRPr="000036B2" w:rsidRDefault="00F21113" w:rsidP="00F21113">
      <w:pPr>
        <w:spacing w:after="0" w:line="240" w:lineRule="auto"/>
        <w:contextualSpacing/>
        <w:jc w:val="both"/>
        <w:rPr>
          <w:rFonts w:ascii="Verdana" w:eastAsia="Calibri" w:hAnsi="Verdana" w:cs="Arial"/>
          <w:b/>
          <w:sz w:val="20"/>
          <w:szCs w:val="20"/>
          <w:lang w:val="es-MX" w:eastAsia="es-MX"/>
        </w:rPr>
      </w:pPr>
    </w:p>
    <w:p w14:paraId="32BEC812" w14:textId="7374C1D0" w:rsidR="00F21113" w:rsidRPr="000036B2" w:rsidRDefault="00F21113" w:rsidP="00F21113">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xml:space="preserve">[…] la Ley 996 de 2005, conocida como </w:t>
      </w:r>
      <w:r w:rsidR="000036B2" w:rsidRPr="000036B2">
        <w:rPr>
          <w:rFonts w:ascii="Verdana" w:eastAsia="Times New Roman" w:hAnsi="Verdana" w:cs="Arial"/>
          <w:bCs/>
          <w:sz w:val="20"/>
          <w:szCs w:val="20"/>
          <w:lang w:val="es-MX" w:eastAsia="es-CO"/>
        </w:rPr>
        <w:t>“</w:t>
      </w:r>
      <w:r w:rsidRPr="000036B2">
        <w:rPr>
          <w:rFonts w:ascii="Verdana" w:eastAsia="Times New Roman" w:hAnsi="Verdana" w:cs="Arial"/>
          <w:bCs/>
          <w:sz w:val="20"/>
          <w:szCs w:val="20"/>
          <w:lang w:val="es-MX" w:eastAsia="es-CO"/>
        </w:rPr>
        <w:t>Ley de Garantías Electorales</w:t>
      </w:r>
      <w:r w:rsidRPr="000036B2">
        <w:rPr>
          <w:rFonts w:ascii="Verdana" w:eastAsia="Times New Roman" w:hAnsi="Verdana" w:cs="Arial"/>
          <w:bCs/>
          <w:sz w:val="20"/>
          <w:szCs w:val="20"/>
          <w:lang w:val="es-MX" w:eastAsia="es-CO"/>
        </w:rPr>
        <w:t>”</w:t>
      </w:r>
      <w:r w:rsidRPr="000036B2">
        <w:rPr>
          <w:rFonts w:ascii="Verdana" w:eastAsia="Times New Roman" w:hAnsi="Verdana" w:cs="Arial"/>
          <w:bCs/>
          <w:sz w:val="20"/>
          <w:szCs w:val="20"/>
          <w:lang w:val="es-MX"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citada ley introduce limitaciones para realizar nombramientos, postulaciones, contrataciones o cualquier otro tipo de actividad que implique destinación de recursos públicos bajo el devenir propio de las entidades estatales.</w:t>
      </w:r>
    </w:p>
    <w:p w14:paraId="01D46153" w14:textId="77777777" w:rsidR="00F21113" w:rsidRPr="000036B2" w:rsidRDefault="00F21113" w:rsidP="005F085B">
      <w:pPr>
        <w:spacing w:after="0" w:line="240" w:lineRule="auto"/>
        <w:jc w:val="both"/>
        <w:rPr>
          <w:rFonts w:ascii="Verdana" w:hAnsi="Verdana"/>
        </w:rPr>
      </w:pPr>
    </w:p>
    <w:p w14:paraId="5B87B595" w14:textId="77777777" w:rsidR="00F21113" w:rsidRPr="000036B2" w:rsidRDefault="00F21113" w:rsidP="00F21113">
      <w:pPr>
        <w:spacing w:after="0" w:line="240" w:lineRule="auto"/>
        <w:contextualSpacing/>
        <w:jc w:val="both"/>
        <w:rPr>
          <w:rFonts w:ascii="Verdana" w:eastAsia="Calibri" w:hAnsi="Verdana" w:cs="Arial"/>
          <w:b/>
          <w:sz w:val="20"/>
          <w:szCs w:val="20"/>
          <w:lang w:val="es-MX" w:eastAsia="es-MX"/>
        </w:rPr>
      </w:pPr>
      <w:r w:rsidRPr="000036B2">
        <w:rPr>
          <w:rFonts w:ascii="Verdana" w:eastAsia="Calibri" w:hAnsi="Verdana" w:cs="Arial"/>
          <w:b/>
          <w:lang w:val="es-MX" w:eastAsia="es-MX"/>
        </w:rPr>
        <w:t>LEY DE GARANTÍAS ELECTORALES – Prohibiciones</w:t>
      </w:r>
      <w:r w:rsidRPr="000036B2">
        <w:rPr>
          <w:rFonts w:ascii="Verdana" w:eastAsia="Calibri" w:hAnsi="Verdana" w:cs="Arial"/>
          <w:b/>
          <w:sz w:val="20"/>
          <w:szCs w:val="20"/>
          <w:lang w:val="es-MX" w:eastAsia="es-MX"/>
        </w:rPr>
        <w:t xml:space="preserve"> </w:t>
      </w:r>
    </w:p>
    <w:p w14:paraId="004E07B3" w14:textId="77777777" w:rsidR="00F21113" w:rsidRPr="000036B2" w:rsidRDefault="00F21113" w:rsidP="00F21113">
      <w:pPr>
        <w:spacing w:after="0" w:line="240" w:lineRule="auto"/>
        <w:contextualSpacing/>
        <w:jc w:val="both"/>
        <w:rPr>
          <w:rFonts w:ascii="Verdana" w:eastAsia="Calibri" w:hAnsi="Verdana" w:cs="Arial"/>
          <w:b/>
          <w:sz w:val="20"/>
          <w:szCs w:val="20"/>
          <w:lang w:val="es-MX" w:eastAsia="es-MX"/>
        </w:rPr>
      </w:pPr>
    </w:p>
    <w:p w14:paraId="4C8A0716" w14:textId="77777777" w:rsidR="00F21113" w:rsidRPr="000036B2" w:rsidRDefault="00F21113" w:rsidP="00F21113">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663EC583" w14:textId="77777777" w:rsidR="00F21113" w:rsidRPr="000036B2" w:rsidRDefault="00F21113" w:rsidP="00F21113">
      <w:pPr>
        <w:spacing w:after="0" w:line="240" w:lineRule="auto"/>
        <w:contextualSpacing/>
        <w:jc w:val="both"/>
        <w:rPr>
          <w:rFonts w:ascii="Verdana" w:eastAsia="Times New Roman" w:hAnsi="Verdana" w:cs="Arial"/>
          <w:bCs/>
          <w:sz w:val="20"/>
          <w:szCs w:val="20"/>
          <w:lang w:val="es-MX" w:eastAsia="es-CO"/>
        </w:rPr>
      </w:pPr>
    </w:p>
    <w:p w14:paraId="112C17BF" w14:textId="26A6F4BA" w:rsidR="00F21113" w:rsidRPr="000036B2" w:rsidRDefault="00F21113" w:rsidP="00F21113">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xml:space="preserve">Por un lado, el artículo 33 de la Ley 996 de 2005 prohíbe </w:t>
      </w:r>
      <w:r w:rsidRPr="000036B2">
        <w:rPr>
          <w:rFonts w:ascii="Verdana" w:eastAsia="Times New Roman" w:hAnsi="Verdana" w:cs="Arial"/>
          <w:bCs/>
          <w:sz w:val="20"/>
          <w:szCs w:val="20"/>
          <w:lang w:val="es-MX" w:eastAsia="es-CO"/>
        </w:rPr>
        <w:t>“</w:t>
      </w:r>
      <w:r w:rsidRPr="000036B2">
        <w:rPr>
          <w:rFonts w:ascii="Verdana" w:eastAsia="Times New Roman" w:hAnsi="Verdana" w:cs="Arial"/>
          <w:bCs/>
          <w:sz w:val="20"/>
          <w:szCs w:val="20"/>
          <w:lang w:val="es-MX" w:eastAsia="es-CO"/>
        </w:rPr>
        <w:t>[…] la contratación directa por parte de todos los entes del Estado</w:t>
      </w:r>
      <w:r w:rsidRPr="000036B2">
        <w:rPr>
          <w:rFonts w:ascii="Verdana" w:eastAsia="Times New Roman" w:hAnsi="Verdana" w:cs="Arial"/>
          <w:bCs/>
          <w:sz w:val="20"/>
          <w:szCs w:val="20"/>
          <w:lang w:val="es-MX" w:eastAsia="es-CO"/>
        </w:rPr>
        <w:t>”</w:t>
      </w:r>
      <w:r w:rsidRPr="000036B2">
        <w:rPr>
          <w:rFonts w:ascii="Verdana" w:eastAsia="Times New Roman" w:hAnsi="Verdana" w:cs="Arial"/>
          <w:bCs/>
          <w:sz w:val="20"/>
          <w:szCs w:val="20"/>
          <w:lang w:val="es-MX" w:eastAsia="es-CO"/>
        </w:rPr>
        <w:t xml:space="preserve"> durante los cuatro (4) meses anteriores a las elecciones presidenciales, salvo </w:t>
      </w:r>
      <w:r w:rsidRPr="000036B2">
        <w:rPr>
          <w:rFonts w:ascii="Verdana" w:eastAsia="Times New Roman" w:hAnsi="Verdana" w:cs="Arial"/>
          <w:bCs/>
          <w:sz w:val="20"/>
          <w:szCs w:val="20"/>
          <w:lang w:val="es-MX" w:eastAsia="es-CO"/>
        </w:rPr>
        <w:t>“</w:t>
      </w:r>
      <w:r w:rsidRPr="000036B2">
        <w:rPr>
          <w:rFonts w:ascii="Verdana" w:eastAsia="Times New Roman" w:hAnsi="Verdana" w:cs="Arial"/>
          <w:bCs/>
          <w:sz w:val="20"/>
          <w:szCs w:val="20"/>
          <w:lang w:val="es-MX" w:eastAsia="es-CO"/>
        </w:rPr>
        <w:t>[…]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397B61A" w14:textId="77777777" w:rsidR="00F21113" w:rsidRPr="000036B2" w:rsidRDefault="00F21113" w:rsidP="00F21113">
      <w:pPr>
        <w:spacing w:after="0" w:line="240" w:lineRule="auto"/>
        <w:contextualSpacing/>
        <w:jc w:val="both"/>
        <w:rPr>
          <w:rFonts w:ascii="Verdana" w:eastAsia="Times New Roman" w:hAnsi="Verdana" w:cs="Arial"/>
          <w:bCs/>
          <w:sz w:val="20"/>
          <w:szCs w:val="20"/>
          <w:lang w:val="es-MX" w:eastAsia="es-CO"/>
        </w:rPr>
      </w:pPr>
    </w:p>
    <w:p w14:paraId="4E31FABB" w14:textId="6DE448A0" w:rsidR="00F21113" w:rsidRPr="000036B2" w:rsidRDefault="00F21113" w:rsidP="00F21113">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0036B2">
        <w:rPr>
          <w:rFonts w:ascii="Verdana" w:eastAsia="Times New Roman" w:hAnsi="Verdana" w:cs="Arial"/>
          <w:bCs/>
          <w:sz w:val="20"/>
          <w:szCs w:val="20"/>
          <w:lang w:val="es-MX" w:eastAsia="es-CO"/>
        </w:rPr>
        <w:t>“</w:t>
      </w:r>
      <w:r w:rsidRPr="000036B2">
        <w:rPr>
          <w:rFonts w:ascii="Verdana" w:eastAsia="Times New Roman" w:hAnsi="Verdana" w:cs="Arial"/>
          <w:bCs/>
          <w:sz w:val="20"/>
          <w:szCs w:val="20"/>
          <w:lang w:val="es-MX" w:eastAsia="es-CO"/>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036B2">
        <w:rPr>
          <w:rFonts w:ascii="Verdana" w:eastAsia="Times New Roman" w:hAnsi="Verdana" w:cs="Arial"/>
          <w:bCs/>
          <w:sz w:val="20"/>
          <w:szCs w:val="20"/>
          <w:lang w:val="es-MX" w:eastAsia="es-CO"/>
        </w:rPr>
        <w:t>”</w:t>
      </w:r>
    </w:p>
    <w:p w14:paraId="49264E8B" w14:textId="77777777" w:rsidR="00F21113" w:rsidRPr="000036B2" w:rsidRDefault="00F21113" w:rsidP="005F085B">
      <w:pPr>
        <w:spacing w:after="0" w:line="240" w:lineRule="auto"/>
        <w:jc w:val="both"/>
        <w:rPr>
          <w:rFonts w:ascii="Verdana" w:hAnsi="Verdana"/>
          <w:lang w:val="es-MX"/>
        </w:rPr>
      </w:pPr>
    </w:p>
    <w:p w14:paraId="5C6924B8" w14:textId="77777777" w:rsidR="00F21113" w:rsidRPr="000036B2" w:rsidRDefault="00F21113" w:rsidP="005F085B">
      <w:pPr>
        <w:spacing w:after="0" w:line="240" w:lineRule="auto"/>
        <w:jc w:val="both"/>
        <w:rPr>
          <w:rFonts w:ascii="Verdana" w:hAnsi="Verdana"/>
        </w:rPr>
      </w:pPr>
    </w:p>
    <w:p w14:paraId="037B25B0" w14:textId="77777777" w:rsidR="00F21113" w:rsidRPr="000036B2" w:rsidRDefault="00F21113" w:rsidP="005F085B">
      <w:pPr>
        <w:spacing w:after="0" w:line="240" w:lineRule="auto"/>
        <w:jc w:val="both"/>
        <w:rPr>
          <w:rFonts w:ascii="Verdana" w:hAnsi="Verdana"/>
        </w:rPr>
      </w:pPr>
    </w:p>
    <w:p w14:paraId="0840EFBE" w14:textId="77777777" w:rsidR="00F21113" w:rsidRPr="000036B2" w:rsidRDefault="00F21113" w:rsidP="005F085B">
      <w:pPr>
        <w:spacing w:after="0" w:line="240" w:lineRule="auto"/>
        <w:jc w:val="both"/>
        <w:rPr>
          <w:rFonts w:ascii="Verdana" w:hAnsi="Verdana"/>
        </w:rPr>
      </w:pPr>
    </w:p>
    <w:p w14:paraId="53C9B75D" w14:textId="77777777" w:rsidR="00F21113" w:rsidRPr="000036B2" w:rsidRDefault="00F21113" w:rsidP="00F21113">
      <w:pPr>
        <w:tabs>
          <w:tab w:val="left" w:pos="426"/>
        </w:tabs>
        <w:spacing w:after="0" w:line="240" w:lineRule="auto"/>
        <w:contextualSpacing/>
        <w:jc w:val="both"/>
        <w:rPr>
          <w:rFonts w:ascii="Verdana" w:eastAsia="Calibri" w:hAnsi="Verdana" w:cs="Arial"/>
          <w:b/>
          <w:bCs/>
          <w:lang w:val="es-MX"/>
        </w:rPr>
      </w:pPr>
      <w:bookmarkStart w:id="0" w:name="_Hlk77165666"/>
      <w:r w:rsidRPr="000036B2">
        <w:rPr>
          <w:rFonts w:ascii="Verdana" w:eastAsia="Calibri" w:hAnsi="Verdana" w:cs="Arial"/>
          <w:b/>
          <w:bCs/>
          <w:lang w:val="es-MX"/>
        </w:rPr>
        <w:lastRenderedPageBreak/>
        <w:t xml:space="preserve">LEY DE GARANTÍAS ELECTORALES ─ Prohibición artículo 33 ‒ </w:t>
      </w:r>
      <w:bookmarkEnd w:id="0"/>
      <w:r w:rsidRPr="000036B2">
        <w:rPr>
          <w:rFonts w:ascii="Verdana" w:eastAsia="Calibri" w:hAnsi="Verdana" w:cs="Arial"/>
          <w:b/>
          <w:bCs/>
          <w:lang w:val="es-MX"/>
        </w:rPr>
        <w:t xml:space="preserve">Contratación directa ‒ Alcance </w:t>
      </w:r>
    </w:p>
    <w:p w14:paraId="7C8C545B" w14:textId="77777777" w:rsidR="00F21113" w:rsidRPr="000036B2" w:rsidRDefault="00F21113" w:rsidP="00F21113">
      <w:pPr>
        <w:tabs>
          <w:tab w:val="left" w:pos="426"/>
        </w:tabs>
        <w:spacing w:after="0" w:line="240" w:lineRule="auto"/>
        <w:contextualSpacing/>
        <w:jc w:val="both"/>
        <w:rPr>
          <w:rFonts w:ascii="Verdana" w:eastAsia="Calibri" w:hAnsi="Verdana" w:cs="Arial"/>
          <w:noProof/>
          <w:sz w:val="20"/>
          <w:szCs w:val="20"/>
          <w:lang w:val="es-MX"/>
        </w:rPr>
      </w:pPr>
    </w:p>
    <w:p w14:paraId="2E8D24A4" w14:textId="0FBB6D67" w:rsidR="00F21113" w:rsidRPr="000036B2" w:rsidRDefault="00F21113" w:rsidP="00F21113">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xml:space="preserve">[…] para los efectos de la Ley de Garantías Electorales y, en particular, para la prohibición o restricción temporal contenida en su artículo 33, </w:t>
      </w:r>
      <w:r w:rsidRPr="000036B2">
        <w:rPr>
          <w:rFonts w:ascii="Verdana" w:eastAsia="Times New Roman" w:hAnsi="Verdana" w:cs="Arial"/>
          <w:bCs/>
          <w:sz w:val="20"/>
          <w:szCs w:val="20"/>
          <w:lang w:val="es-MX" w:eastAsia="es-CO"/>
        </w:rPr>
        <w:t>“</w:t>
      </w:r>
      <w:r w:rsidRPr="000036B2">
        <w:rPr>
          <w:rFonts w:ascii="Verdana" w:eastAsia="Times New Roman" w:hAnsi="Verdana" w:cs="Arial"/>
          <w:bCs/>
          <w:sz w:val="20"/>
          <w:szCs w:val="20"/>
          <w:lang w:val="es-MX" w:eastAsia="es-CO"/>
        </w:rPr>
        <w:t>contratación directa</w:t>
      </w:r>
      <w:r w:rsidRPr="000036B2">
        <w:rPr>
          <w:rFonts w:ascii="Verdana" w:eastAsia="Times New Roman" w:hAnsi="Verdana" w:cs="Arial"/>
          <w:bCs/>
          <w:sz w:val="20"/>
          <w:szCs w:val="20"/>
          <w:lang w:val="es-MX" w:eastAsia="es-CO"/>
        </w:rPr>
        <w:t>”</w:t>
      </w:r>
      <w:r w:rsidRPr="000036B2">
        <w:rPr>
          <w:rFonts w:ascii="Verdana" w:eastAsia="Times New Roman" w:hAnsi="Verdana" w:cs="Arial"/>
          <w:bCs/>
          <w:sz w:val="20"/>
          <w:szCs w:val="20"/>
          <w:lang w:val="es-MX" w:eastAsia="es-CO"/>
        </w:rPr>
        <w:t xml:space="preserve"> es cualquier sistema de selección o procedimiento de contratación utilizado por las entidades estatales que no incluya la convocatoria pública en alguna de sus etapas, ni permita la participación de una pluralidad de oferentes. </w:t>
      </w:r>
    </w:p>
    <w:p w14:paraId="77C36B89" w14:textId="77777777" w:rsidR="00F21113" w:rsidRPr="000036B2" w:rsidRDefault="00F21113" w:rsidP="00F21113">
      <w:pPr>
        <w:spacing w:after="0" w:line="240" w:lineRule="auto"/>
        <w:contextualSpacing/>
        <w:jc w:val="both"/>
        <w:rPr>
          <w:rFonts w:ascii="Verdana" w:eastAsia="Times New Roman" w:hAnsi="Verdana" w:cs="Arial"/>
          <w:bCs/>
          <w:sz w:val="20"/>
          <w:szCs w:val="20"/>
          <w:lang w:val="es-MX" w:eastAsia="es-CO"/>
        </w:rPr>
      </w:pPr>
    </w:p>
    <w:p w14:paraId="503CD7FE" w14:textId="3854FA37" w:rsidR="00F21113" w:rsidRPr="000036B2" w:rsidRDefault="00F21113" w:rsidP="00F21113">
      <w:pPr>
        <w:spacing w:after="0" w:line="240" w:lineRule="auto"/>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De lo anterior se desprende que la restricción aplica, sin perjuicio de las excepciones establecidas en la misma ley,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w:t>
      </w:r>
      <w:r w:rsidRPr="000036B2">
        <w:rPr>
          <w:rFonts w:ascii="Verdana" w:eastAsia="Times New Roman" w:hAnsi="Verdana" w:cs="Arial"/>
          <w:bCs/>
          <w:sz w:val="20"/>
          <w:szCs w:val="20"/>
          <w:lang w:val="es-MX" w:eastAsia="es-CO"/>
        </w:rPr>
        <w:t xml:space="preserve"> </w:t>
      </w:r>
      <w:r w:rsidRPr="000036B2">
        <w:rPr>
          <w:rFonts w:ascii="Verdana" w:eastAsia="Times New Roman" w:hAnsi="Verdana" w:cs="Arial"/>
          <w:bCs/>
          <w:sz w:val="20"/>
          <w:szCs w:val="20"/>
          <w:lang w:val="es-MX" w:eastAsia="es-CO"/>
        </w:rPr>
        <w:t>abreviada y la mínima cuantía razón por la cual en ese período preelectoral de que trata la disposición las entidades públicas pueden seguir contratando bajo estos sistemas.</w:t>
      </w:r>
      <w:r w:rsidRPr="000036B2">
        <w:rPr>
          <w:rFonts w:ascii="Verdana" w:eastAsia="Times New Roman" w:hAnsi="Verdana" w:cs="Arial"/>
          <w:bCs/>
          <w:sz w:val="20"/>
          <w:szCs w:val="20"/>
          <w:lang w:val="es-MX" w:eastAsia="es-CO"/>
        </w:rPr>
        <w:t xml:space="preserve"> </w:t>
      </w:r>
    </w:p>
    <w:p w14:paraId="118403B6" w14:textId="77777777" w:rsidR="00F21113" w:rsidRPr="000036B2" w:rsidRDefault="00F21113" w:rsidP="00F21113">
      <w:pPr>
        <w:spacing w:after="0" w:line="240" w:lineRule="auto"/>
        <w:jc w:val="both"/>
        <w:rPr>
          <w:rFonts w:ascii="Verdana" w:eastAsia="Times New Roman" w:hAnsi="Verdana" w:cs="Arial"/>
          <w:bCs/>
          <w:sz w:val="20"/>
          <w:szCs w:val="20"/>
          <w:lang w:val="es-MX" w:eastAsia="es-CO"/>
        </w:rPr>
      </w:pPr>
    </w:p>
    <w:p w14:paraId="7A6E3683" w14:textId="77777777" w:rsidR="00F21113" w:rsidRPr="000036B2" w:rsidRDefault="00F21113" w:rsidP="00F21113">
      <w:pPr>
        <w:shd w:val="clear" w:color="auto" w:fill="FFFFFF"/>
        <w:spacing w:after="0" w:line="240" w:lineRule="auto"/>
        <w:contextualSpacing/>
        <w:jc w:val="both"/>
        <w:rPr>
          <w:rFonts w:ascii="Verdana" w:eastAsia="Times New Roman" w:hAnsi="Verdana" w:cs="Arial"/>
          <w:b/>
          <w:bCs/>
          <w:lang w:eastAsia="es-CO"/>
        </w:rPr>
      </w:pPr>
      <w:r w:rsidRPr="000036B2">
        <w:rPr>
          <w:rFonts w:ascii="Verdana" w:eastAsia="Times New Roman" w:hAnsi="Verdana" w:cs="Arial"/>
          <w:b/>
          <w:bCs/>
          <w:lang w:eastAsia="es-CO"/>
        </w:rPr>
        <w:t xml:space="preserve">LEY DE GARANTÍAS ELECTORALES </w:t>
      </w:r>
      <w:r w:rsidRPr="000036B2">
        <w:rPr>
          <w:rFonts w:ascii="Verdana" w:eastAsia="Calibri" w:hAnsi="Verdana" w:cs="Arial"/>
          <w:b/>
          <w:bCs/>
          <w:lang w:val="es-MX"/>
        </w:rPr>
        <w:t xml:space="preserve">─ Prohibición artículo 33 ‒ </w:t>
      </w:r>
      <w:r w:rsidRPr="000036B2">
        <w:rPr>
          <w:rFonts w:ascii="Verdana" w:eastAsia="Times New Roman" w:hAnsi="Verdana" w:cs="Arial"/>
          <w:b/>
          <w:bCs/>
          <w:lang w:eastAsia="es-CO"/>
        </w:rPr>
        <w:t>Excepciones</w:t>
      </w:r>
    </w:p>
    <w:p w14:paraId="712E469C" w14:textId="77777777" w:rsidR="00F21113" w:rsidRPr="000036B2" w:rsidRDefault="00F21113" w:rsidP="00F21113">
      <w:pPr>
        <w:shd w:val="clear" w:color="auto" w:fill="FFFFFF"/>
        <w:spacing w:after="0" w:line="240" w:lineRule="auto"/>
        <w:contextualSpacing/>
        <w:jc w:val="both"/>
        <w:rPr>
          <w:rFonts w:ascii="Verdana" w:eastAsia="Times New Roman" w:hAnsi="Verdana" w:cs="Arial"/>
          <w:b/>
          <w:lang w:eastAsia="es-CO"/>
        </w:rPr>
      </w:pPr>
    </w:p>
    <w:p w14:paraId="1757B4CD" w14:textId="77777777" w:rsidR="00F21113" w:rsidRPr="000036B2" w:rsidRDefault="00F21113" w:rsidP="00F21113">
      <w:pPr>
        <w:tabs>
          <w:tab w:val="left" w:pos="426"/>
        </w:tabs>
        <w:spacing w:after="0" w:line="240" w:lineRule="auto"/>
        <w:contextualSpacing/>
        <w:jc w:val="both"/>
        <w:rPr>
          <w:rFonts w:ascii="Verdana" w:eastAsia="Times New Roman" w:hAnsi="Verdana" w:cs="Arial"/>
          <w:sz w:val="20"/>
          <w:szCs w:val="20"/>
          <w:lang w:eastAsia="x-none"/>
        </w:rPr>
      </w:pPr>
      <w:r w:rsidRPr="000036B2">
        <w:rPr>
          <w:rFonts w:ascii="Verdana" w:eastAsia="Times New Roman" w:hAnsi="Verdana" w:cs="Arial"/>
          <w:sz w:val="20"/>
          <w:szCs w:val="20"/>
          <w:lang w:eastAsia="x-none"/>
        </w:rPr>
        <w:t>[…] ,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5F2E1E57" w14:textId="77777777" w:rsidR="00F21113" w:rsidRPr="000036B2" w:rsidRDefault="00F21113" w:rsidP="00F21113">
      <w:pPr>
        <w:spacing w:after="0" w:line="240" w:lineRule="auto"/>
        <w:jc w:val="both"/>
        <w:rPr>
          <w:rFonts w:ascii="Verdana" w:hAnsi="Verdana"/>
        </w:rPr>
      </w:pPr>
    </w:p>
    <w:p w14:paraId="6AA0BE21" w14:textId="77777777" w:rsidR="00F21113" w:rsidRPr="000036B2" w:rsidRDefault="00F21113" w:rsidP="00F21113">
      <w:pPr>
        <w:spacing w:after="0" w:line="240" w:lineRule="auto"/>
        <w:contextualSpacing/>
        <w:jc w:val="both"/>
        <w:rPr>
          <w:rFonts w:ascii="Verdana" w:eastAsia="Times New Roman" w:hAnsi="Verdana" w:cs="Arial"/>
          <w:b/>
          <w:lang w:val="es-ES" w:eastAsia="es-CO"/>
        </w:rPr>
      </w:pPr>
      <w:r w:rsidRPr="000036B2">
        <w:rPr>
          <w:rFonts w:ascii="Verdana" w:eastAsia="Times New Roman" w:hAnsi="Verdana" w:cs="Arial"/>
          <w:b/>
          <w:bCs/>
          <w:lang w:eastAsia="es-CO"/>
        </w:rPr>
        <w:t xml:space="preserve">LEY DE GARANTÍAS ELECTORALES </w:t>
      </w:r>
      <w:bookmarkStart w:id="1" w:name="_Hlk77166669"/>
      <w:r w:rsidRPr="000036B2">
        <w:rPr>
          <w:rFonts w:ascii="Verdana" w:eastAsia="Times New Roman" w:hAnsi="Verdana" w:cs="Arial"/>
          <w:b/>
          <w:bCs/>
          <w:lang w:eastAsia="es-CO"/>
        </w:rPr>
        <w:t>‒</w:t>
      </w:r>
      <w:bookmarkEnd w:id="1"/>
      <w:r w:rsidRPr="000036B2">
        <w:rPr>
          <w:rFonts w:ascii="Verdana" w:eastAsia="Times New Roman" w:hAnsi="Verdana" w:cs="Arial"/>
          <w:b/>
          <w:bCs/>
          <w:lang w:eastAsia="es-CO"/>
        </w:rPr>
        <w:t xml:space="preserve"> </w:t>
      </w:r>
      <w:r w:rsidRPr="000036B2">
        <w:rPr>
          <w:rFonts w:ascii="Verdana" w:eastAsia="Times New Roman" w:hAnsi="Verdana" w:cs="Arial"/>
          <w:b/>
          <w:lang w:val="es-ES" w:eastAsia="es-CO"/>
        </w:rPr>
        <w:t xml:space="preserve">Prohibición del artículo 33 </w:t>
      </w:r>
      <w:r w:rsidRPr="000036B2">
        <w:rPr>
          <w:rFonts w:ascii="Verdana" w:eastAsia="Times New Roman" w:hAnsi="Verdana" w:cs="Arial"/>
          <w:b/>
          <w:bCs/>
          <w:lang w:eastAsia="es-CO"/>
        </w:rPr>
        <w:t>‒ Destinatarios</w:t>
      </w:r>
    </w:p>
    <w:p w14:paraId="33AADF9D" w14:textId="77777777" w:rsidR="00F21113" w:rsidRPr="000036B2" w:rsidRDefault="00F21113" w:rsidP="00F21113">
      <w:pPr>
        <w:tabs>
          <w:tab w:val="left" w:pos="426"/>
        </w:tabs>
        <w:spacing w:after="0" w:line="240" w:lineRule="auto"/>
        <w:contextualSpacing/>
        <w:jc w:val="both"/>
        <w:rPr>
          <w:rFonts w:ascii="Verdana" w:eastAsia="Calibri" w:hAnsi="Verdana" w:cs="Arial"/>
          <w:noProof/>
          <w:lang w:val="es-ES"/>
        </w:rPr>
      </w:pPr>
    </w:p>
    <w:p w14:paraId="3D516BE4" w14:textId="541AF175"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 xml:space="preserve">El artículo 33 de la Ley 996 de 2005 señala expresamente a los destinatarios de la prohibición, en el sentido de que son </w:t>
      </w:r>
      <w:r w:rsidR="000036B2" w:rsidRPr="000036B2">
        <w:rPr>
          <w:rFonts w:ascii="Verdana" w:eastAsia="Times New Roman" w:hAnsi="Verdana" w:cs="Arial"/>
          <w:bCs/>
          <w:sz w:val="20"/>
          <w:szCs w:val="20"/>
          <w:lang w:val="es-MX" w:eastAsia="x-none"/>
        </w:rPr>
        <w:t>“</w:t>
      </w:r>
      <w:r w:rsidRPr="000036B2">
        <w:rPr>
          <w:rFonts w:ascii="Verdana" w:eastAsia="Times New Roman" w:hAnsi="Verdana" w:cs="Arial"/>
          <w:bCs/>
          <w:sz w:val="20"/>
          <w:szCs w:val="20"/>
          <w:lang w:val="es-MX" w:eastAsia="x-none"/>
        </w:rPr>
        <w:t>todos los entes del Estado</w:t>
      </w:r>
      <w:r w:rsidRPr="000036B2">
        <w:rPr>
          <w:rFonts w:ascii="Verdana" w:eastAsia="Times New Roman" w:hAnsi="Verdana" w:cs="Arial"/>
          <w:bCs/>
          <w:sz w:val="20"/>
          <w:szCs w:val="20"/>
          <w:lang w:val="es-MX" w:eastAsia="x-none"/>
        </w:rPr>
        <w:t>”</w:t>
      </w:r>
      <w:r w:rsidRPr="000036B2">
        <w:rPr>
          <w:rFonts w:ascii="Verdana" w:eastAsia="Times New Roman" w:hAnsi="Verdana" w:cs="Arial"/>
          <w:bCs/>
          <w:sz w:val="20"/>
          <w:szCs w:val="20"/>
          <w:lang w:val="es-MX" w:eastAsia="x-none"/>
        </w:rPr>
        <w:t>, expresión que contempla a los diferentes organismos o entidades autorizadas por la ley para suscribir contratos.</w:t>
      </w:r>
      <w:r w:rsidRPr="000036B2">
        <w:rPr>
          <w:rFonts w:ascii="Verdana" w:eastAsia="Calibri" w:hAnsi="Verdana" w:cs="Times New Roman"/>
          <w:sz w:val="20"/>
          <w:szCs w:val="20"/>
          <w:lang w:val="es-MX"/>
        </w:rPr>
        <w:t xml:space="preserve"> </w:t>
      </w:r>
      <w:r w:rsidRPr="000036B2">
        <w:rPr>
          <w:rFonts w:ascii="Verdana" w:eastAsia="Times New Roman" w:hAnsi="Verdana" w:cs="Arial"/>
          <w:bCs/>
          <w:sz w:val="20"/>
          <w:szCs w:val="20"/>
          <w:lang w:val="es-MX" w:eastAsia="x-none"/>
        </w:rPr>
        <w:t xml:space="preserve">En efecto, tal como lo ha sostenido el Consejo de Estado, el vocablo </w:t>
      </w:r>
      <w:r w:rsidR="000036B2" w:rsidRPr="000036B2">
        <w:rPr>
          <w:rFonts w:ascii="Verdana" w:eastAsia="Times New Roman" w:hAnsi="Verdana" w:cs="Arial"/>
          <w:bCs/>
          <w:sz w:val="20"/>
          <w:szCs w:val="20"/>
          <w:lang w:val="es-MX" w:eastAsia="x-none"/>
        </w:rPr>
        <w:t>“</w:t>
      </w:r>
      <w:r w:rsidRPr="000036B2">
        <w:rPr>
          <w:rFonts w:ascii="Verdana" w:eastAsia="Times New Roman" w:hAnsi="Verdana" w:cs="Arial"/>
          <w:bCs/>
          <w:sz w:val="20"/>
          <w:szCs w:val="20"/>
          <w:lang w:val="es-MX" w:eastAsia="x-none"/>
        </w:rPr>
        <w:t>todos</w:t>
      </w:r>
      <w:r w:rsidR="000036B2" w:rsidRPr="000036B2">
        <w:rPr>
          <w:rFonts w:ascii="Verdana" w:eastAsia="Times New Roman" w:hAnsi="Verdana" w:cs="Arial"/>
          <w:bCs/>
          <w:sz w:val="20"/>
          <w:szCs w:val="20"/>
          <w:lang w:val="es-MX" w:eastAsia="x-none"/>
        </w:rPr>
        <w:t>”</w:t>
      </w:r>
      <w:r w:rsidRPr="000036B2">
        <w:rPr>
          <w:rFonts w:ascii="Verdana" w:eastAsia="Times New Roman" w:hAnsi="Verdana" w:cs="Arial"/>
          <w:bCs/>
          <w:sz w:val="20"/>
          <w:szCs w:val="20"/>
          <w:lang w:val="es-MX" w:eastAsia="x-none"/>
        </w:rPr>
        <w:t xml:space="preserve"> utilizado por el legislador comprende</w:t>
      </w:r>
      <w:r w:rsidRPr="000036B2">
        <w:rPr>
          <w:rFonts w:ascii="Verdana" w:eastAsia="Calibri" w:hAnsi="Verdana" w:cs="Times New Roman"/>
          <w:sz w:val="20"/>
          <w:szCs w:val="20"/>
          <w:lang w:val="es-MX"/>
        </w:rPr>
        <w:t xml:space="preserve"> </w:t>
      </w:r>
      <w:r w:rsidRPr="000036B2">
        <w:rPr>
          <w:rFonts w:ascii="Verdana" w:eastAsia="Times New Roman" w:hAnsi="Verdana" w:cs="Arial"/>
          <w:bCs/>
          <w:sz w:val="20"/>
          <w:szCs w:val="20"/>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38A0F1FE" w14:textId="77777777"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p>
    <w:p w14:paraId="4637659D" w14:textId="77777777" w:rsidR="00F21113" w:rsidRPr="000036B2" w:rsidRDefault="00F21113" w:rsidP="00F21113">
      <w:pPr>
        <w:spacing w:after="0" w:line="240" w:lineRule="auto"/>
        <w:contextualSpacing/>
        <w:jc w:val="both"/>
        <w:rPr>
          <w:rFonts w:ascii="Verdana" w:eastAsia="Calibri" w:hAnsi="Verdana" w:cs="Arial"/>
          <w:b/>
          <w:bCs/>
          <w:lang w:val="es-MX"/>
        </w:rPr>
      </w:pPr>
      <w:r w:rsidRPr="000036B2">
        <w:rPr>
          <w:rFonts w:ascii="Verdana" w:eastAsia="Times New Roman" w:hAnsi="Verdana" w:cs="Arial"/>
          <w:b/>
          <w:bCs/>
          <w:lang w:eastAsia="es-CO"/>
        </w:rPr>
        <w:lastRenderedPageBreak/>
        <w:t xml:space="preserve">LEY DE GARANTÍAS ELECTORALES ‒ </w:t>
      </w:r>
      <w:r w:rsidRPr="000036B2">
        <w:rPr>
          <w:rFonts w:ascii="Verdana" w:eastAsia="Times New Roman" w:hAnsi="Verdana" w:cs="Arial"/>
          <w:b/>
          <w:lang w:val="es-ES" w:eastAsia="es-CO"/>
        </w:rPr>
        <w:t xml:space="preserve">Prohibición del parágrafo del artículo 38 </w:t>
      </w:r>
      <w:r w:rsidRPr="000036B2">
        <w:rPr>
          <w:rFonts w:ascii="Verdana" w:eastAsia="Times New Roman" w:hAnsi="Verdana" w:cs="Arial"/>
          <w:b/>
          <w:bCs/>
          <w:lang w:eastAsia="es-CO"/>
        </w:rPr>
        <w:t xml:space="preserve">‒ </w:t>
      </w:r>
      <w:r w:rsidRPr="000036B2">
        <w:rPr>
          <w:rFonts w:ascii="Verdana" w:eastAsia="Calibri" w:hAnsi="Verdana" w:cs="Arial"/>
          <w:b/>
          <w:bCs/>
          <w:lang w:val="es-MX"/>
        </w:rPr>
        <w:t>Alcance</w:t>
      </w:r>
    </w:p>
    <w:p w14:paraId="56422475" w14:textId="77777777" w:rsidR="00F21113" w:rsidRPr="000036B2" w:rsidRDefault="00F21113" w:rsidP="00F21113">
      <w:pPr>
        <w:spacing w:after="0" w:line="240" w:lineRule="auto"/>
        <w:contextualSpacing/>
        <w:jc w:val="both"/>
        <w:rPr>
          <w:rFonts w:ascii="Verdana" w:eastAsia="Times New Roman" w:hAnsi="Verdana" w:cs="Arial"/>
          <w:b/>
          <w:lang w:val="es-ES" w:eastAsia="es-CO"/>
        </w:rPr>
      </w:pPr>
    </w:p>
    <w:p w14:paraId="427D6FF9" w14:textId="637BF333"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 xml:space="preserve">El parágrafo del artículo 38 de la Ley 996 de 2005 dispone que </w:t>
      </w:r>
      <w:r w:rsidRPr="000036B2">
        <w:rPr>
          <w:rFonts w:ascii="Verdana" w:eastAsia="Times New Roman" w:hAnsi="Verdana" w:cs="Arial"/>
          <w:bCs/>
          <w:sz w:val="20"/>
          <w:szCs w:val="20"/>
          <w:lang w:val="es-MX" w:eastAsia="x-none"/>
        </w:rPr>
        <w:t>“</w:t>
      </w:r>
      <w:r w:rsidRPr="000036B2">
        <w:rPr>
          <w:rFonts w:ascii="Verdana" w:eastAsia="Times New Roman" w:hAnsi="Verdana" w:cs="Arial"/>
          <w:bCs/>
          <w:sz w:val="20"/>
          <w:szCs w:val="20"/>
          <w:lang w:val="es-MX" w:eastAsia="x-none"/>
        </w:rPr>
        <w:t>[l]os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0036B2">
        <w:rPr>
          <w:rFonts w:ascii="Verdana" w:eastAsia="Times New Roman" w:hAnsi="Verdana" w:cs="Arial"/>
          <w:bCs/>
          <w:sz w:val="20"/>
          <w:szCs w:val="20"/>
          <w:lang w:val="es-MX" w:eastAsia="x-none"/>
        </w:rPr>
        <w:t>”</w:t>
      </w:r>
      <w:r w:rsidRPr="000036B2">
        <w:rPr>
          <w:rFonts w:ascii="Verdana" w:eastAsia="Times New Roman" w:hAnsi="Verdana" w:cs="Arial"/>
          <w:bCs/>
          <w:sz w:val="20"/>
          <w:szCs w:val="20"/>
          <w:lang w:val="es-MX"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 </w:t>
      </w:r>
    </w:p>
    <w:p w14:paraId="613D8AA2" w14:textId="77777777"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p>
    <w:p w14:paraId="10FC4744" w14:textId="77777777"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 se reitera la conclusión en el sentido de que lo que define los contratos o convenios interadministrativos es la naturaleza de las partes, de manera que están determinados por un criterio orgánico, en el sentido de que lo serán aquellos celebrados entre entidades estatales. Además, como se indicó en la Circular, no existe una definición legal que diferencie los conceptos de contrato y convenio, por lo que se partió de su asimilación para la aplicación de la Ley de Garantías. En tal sentido, las referencias realizadas por el legislador a estos términos deben asimilarse, salvo que de su contenido se logre inferir que se le quiere otorgar un contenido en particular, pues como se expresó, el legislador usualmente utiliza estos conceptos de forma indistinta.</w:t>
      </w:r>
    </w:p>
    <w:p w14:paraId="0A1FB7E3" w14:textId="77777777" w:rsidR="000036B2" w:rsidRPr="000036B2" w:rsidRDefault="000036B2" w:rsidP="000036B2">
      <w:pPr>
        <w:tabs>
          <w:tab w:val="left" w:pos="426"/>
        </w:tabs>
        <w:spacing w:after="0" w:line="240" w:lineRule="auto"/>
        <w:contextualSpacing/>
        <w:jc w:val="both"/>
        <w:rPr>
          <w:rFonts w:ascii="Verdana" w:eastAsia="Times New Roman" w:hAnsi="Verdana" w:cs="Arial"/>
          <w:b/>
          <w:bCs/>
          <w:sz w:val="20"/>
          <w:szCs w:val="20"/>
          <w:lang w:eastAsia="x-none"/>
        </w:rPr>
      </w:pPr>
    </w:p>
    <w:p w14:paraId="13C421BE" w14:textId="2FE18439" w:rsidR="000036B2" w:rsidRPr="000036B2" w:rsidRDefault="000036B2" w:rsidP="000036B2">
      <w:pPr>
        <w:tabs>
          <w:tab w:val="left" w:pos="426"/>
        </w:tabs>
        <w:spacing w:after="0" w:line="240" w:lineRule="auto"/>
        <w:contextualSpacing/>
        <w:jc w:val="both"/>
        <w:rPr>
          <w:rFonts w:ascii="Verdana" w:eastAsia="Times New Roman" w:hAnsi="Verdana" w:cs="Arial"/>
          <w:b/>
          <w:bCs/>
          <w:lang w:eastAsia="x-none"/>
        </w:rPr>
      </w:pPr>
      <w:r w:rsidRPr="000036B2">
        <w:rPr>
          <w:rFonts w:ascii="Verdana" w:eastAsia="Times New Roman" w:hAnsi="Verdana" w:cs="Arial"/>
          <w:b/>
          <w:bCs/>
          <w:lang w:eastAsia="x-none"/>
        </w:rPr>
        <w:t>CONTRATOS Y CONVENIOS INTERADMINISTRATIVOS –</w:t>
      </w:r>
      <w:r w:rsidRPr="000036B2">
        <w:rPr>
          <w:rFonts w:ascii="Verdana" w:eastAsia="Times New Roman" w:hAnsi="Verdana" w:cs="Arial"/>
          <w:b/>
          <w:bCs/>
          <w:lang w:eastAsia="x-none"/>
        </w:rPr>
        <w:t xml:space="preserve"> </w:t>
      </w:r>
      <w:r w:rsidRPr="000036B2">
        <w:rPr>
          <w:rFonts w:ascii="Verdana" w:eastAsia="Times New Roman" w:hAnsi="Verdana" w:cs="Arial"/>
          <w:b/>
          <w:bCs/>
          <w:lang w:eastAsia="x-none"/>
        </w:rPr>
        <w:t>Circular Externa Única – Auto de suspensión – Numeral 16.2 – Sentencia expedida por la Sección Tercera de la Sala de lo Contencioso Administrativo del 17 de octubre de 2025, los autos del 4 de octubre de 2024 y 6 de noviembre de 2025</w:t>
      </w:r>
    </w:p>
    <w:p w14:paraId="0E0CAF74" w14:textId="77777777" w:rsidR="000036B2" w:rsidRPr="000036B2" w:rsidRDefault="000036B2" w:rsidP="000036B2">
      <w:pPr>
        <w:tabs>
          <w:tab w:val="left" w:pos="426"/>
        </w:tabs>
        <w:spacing w:after="0" w:line="240" w:lineRule="auto"/>
        <w:contextualSpacing/>
        <w:jc w:val="both"/>
        <w:rPr>
          <w:rFonts w:ascii="Verdana" w:eastAsia="Times New Roman" w:hAnsi="Verdana" w:cs="Arial"/>
          <w:bCs/>
          <w:sz w:val="20"/>
          <w:szCs w:val="20"/>
          <w:lang w:eastAsia="x-none"/>
        </w:rPr>
      </w:pPr>
    </w:p>
    <w:p w14:paraId="664F3E41" w14:textId="77777777" w:rsidR="000036B2" w:rsidRPr="000036B2" w:rsidRDefault="000036B2" w:rsidP="000036B2">
      <w:pPr>
        <w:tabs>
          <w:tab w:val="left" w:pos="426"/>
        </w:tabs>
        <w:spacing w:after="0" w:line="240" w:lineRule="auto"/>
        <w:contextualSpacing/>
        <w:jc w:val="both"/>
        <w:rPr>
          <w:rFonts w:ascii="Verdana" w:eastAsia="Times New Roman" w:hAnsi="Verdana" w:cs="Arial"/>
          <w:bCs/>
          <w:sz w:val="20"/>
          <w:szCs w:val="20"/>
          <w:lang w:eastAsia="x-none"/>
        </w:rPr>
      </w:pPr>
      <w:r w:rsidRPr="000036B2">
        <w:rPr>
          <w:rFonts w:ascii="Verdana" w:eastAsia="Times New Roman" w:hAnsi="Verdana" w:cs="Arial"/>
          <w:bCs/>
          <w:sz w:val="20"/>
          <w:szCs w:val="20"/>
          <w:lang w:eastAsia="x-none"/>
        </w:rPr>
        <w:t>[…]</w:t>
      </w:r>
    </w:p>
    <w:p w14:paraId="0914215A" w14:textId="77777777" w:rsidR="000036B2" w:rsidRDefault="000036B2" w:rsidP="000036B2">
      <w:pPr>
        <w:tabs>
          <w:tab w:val="left" w:pos="426"/>
        </w:tabs>
        <w:spacing w:after="0" w:line="240" w:lineRule="auto"/>
        <w:contextualSpacing/>
        <w:jc w:val="both"/>
        <w:rPr>
          <w:rFonts w:ascii="Verdana" w:eastAsia="Times New Roman" w:hAnsi="Verdana" w:cs="Arial"/>
          <w:bCs/>
          <w:sz w:val="20"/>
          <w:szCs w:val="20"/>
          <w:lang w:eastAsia="x-none"/>
        </w:rPr>
      </w:pPr>
      <w:r w:rsidRPr="000036B2">
        <w:rPr>
          <w:rFonts w:ascii="Verdana" w:eastAsia="Times New Roman" w:hAnsi="Verdana" w:cs="Arial"/>
          <w:bCs/>
          <w:sz w:val="20"/>
          <w:szCs w:val="20"/>
          <w:lang w:eastAsia="x-none"/>
        </w:rPr>
        <w:t>a la luz de lo expuesto por el Consejo de Estado en la sentencia expedida por la Sección Tercera de la Sala de lo Contencioso Administrativo del 17 de octubre de 2025, los autos del 4 de octubre de 2024 y 6 de noviembre de 2025, en los cuales se declaró la nulidad parcial, se decretó la medida de suspensión provisional parcial del numeral 16.2 de la Circular Externa Única de 2022 expedida por la Agencia Nacional de Contratación Pública -Colombia Compra Eficiente-, y de los apartes cuestionados del inciso segundo y del inciso cuarto del numeral 16.2 de la Circular Externa Única, versión 3 del 27 de diciembre de 2023, no resultaría aplicable la prohibición del parágrafo del artículo 38 de la Ley de Garantías Electorales a los contratos interadministrativos.</w:t>
      </w:r>
    </w:p>
    <w:p w14:paraId="03F2BC04" w14:textId="77777777" w:rsidR="000036B2" w:rsidRPr="000036B2" w:rsidRDefault="000036B2" w:rsidP="000036B2">
      <w:pPr>
        <w:tabs>
          <w:tab w:val="left" w:pos="426"/>
        </w:tabs>
        <w:spacing w:after="0" w:line="240" w:lineRule="auto"/>
        <w:contextualSpacing/>
        <w:jc w:val="both"/>
        <w:rPr>
          <w:rFonts w:ascii="Verdana" w:eastAsia="Times New Roman" w:hAnsi="Verdana" w:cs="Arial"/>
          <w:bCs/>
          <w:sz w:val="20"/>
          <w:szCs w:val="20"/>
          <w:lang w:eastAsia="x-none"/>
        </w:rPr>
      </w:pPr>
    </w:p>
    <w:p w14:paraId="64503616" w14:textId="77777777" w:rsidR="000036B2" w:rsidRDefault="000036B2" w:rsidP="000036B2">
      <w:pPr>
        <w:tabs>
          <w:tab w:val="left" w:pos="426"/>
        </w:tabs>
        <w:spacing w:after="0" w:line="240" w:lineRule="auto"/>
        <w:contextualSpacing/>
        <w:jc w:val="both"/>
        <w:rPr>
          <w:rFonts w:ascii="Verdana" w:eastAsia="Times New Roman" w:hAnsi="Verdana" w:cs="Arial"/>
          <w:bCs/>
          <w:sz w:val="20"/>
          <w:szCs w:val="20"/>
          <w:lang w:eastAsia="x-none"/>
        </w:rPr>
      </w:pPr>
      <w:r w:rsidRPr="000036B2">
        <w:rPr>
          <w:rFonts w:ascii="Verdana" w:eastAsia="Times New Roman" w:hAnsi="Verdana" w:cs="Arial"/>
          <w:bCs/>
          <w:sz w:val="20"/>
          <w:szCs w:val="20"/>
          <w:lang w:eastAsia="x-none"/>
        </w:rPr>
        <w:t>Así las cosas, conforme a lo señalado por el Consejo de Estado, cuando dos entidades públicas celebren un contrato interadministrativo, independientemente del objeto, dicho contrato puede suscribirse durante el periodo preelectoral.</w:t>
      </w:r>
    </w:p>
    <w:p w14:paraId="7A94D54B" w14:textId="77777777" w:rsidR="000036B2" w:rsidRPr="000036B2" w:rsidRDefault="000036B2" w:rsidP="000036B2">
      <w:pPr>
        <w:tabs>
          <w:tab w:val="left" w:pos="426"/>
        </w:tabs>
        <w:spacing w:after="0" w:line="240" w:lineRule="auto"/>
        <w:contextualSpacing/>
        <w:jc w:val="both"/>
        <w:rPr>
          <w:rFonts w:ascii="Verdana" w:eastAsia="Times New Roman" w:hAnsi="Verdana" w:cs="Arial"/>
          <w:bCs/>
          <w:sz w:val="20"/>
          <w:szCs w:val="20"/>
          <w:lang w:eastAsia="x-none"/>
        </w:rPr>
      </w:pPr>
    </w:p>
    <w:p w14:paraId="7437D343" w14:textId="77777777" w:rsidR="000036B2" w:rsidRPr="000036B2" w:rsidRDefault="000036B2" w:rsidP="000036B2">
      <w:pPr>
        <w:tabs>
          <w:tab w:val="left" w:pos="426"/>
        </w:tabs>
        <w:spacing w:after="0" w:line="240" w:lineRule="auto"/>
        <w:contextualSpacing/>
        <w:jc w:val="both"/>
        <w:rPr>
          <w:rFonts w:ascii="Verdana" w:eastAsia="Times New Roman" w:hAnsi="Verdana" w:cs="Arial"/>
          <w:bCs/>
          <w:sz w:val="20"/>
          <w:szCs w:val="20"/>
          <w:lang w:eastAsia="x-none"/>
        </w:rPr>
      </w:pPr>
      <w:r w:rsidRPr="000036B2">
        <w:rPr>
          <w:rFonts w:ascii="Verdana" w:eastAsia="Times New Roman" w:hAnsi="Verdana" w:cs="Arial"/>
          <w:bCs/>
          <w:sz w:val="20"/>
          <w:szCs w:val="20"/>
          <w:lang w:eastAsia="x-none"/>
        </w:rPr>
        <w:t>No obstante, lo anterior, es importante mencionar que aún se encuentra por definir la demanda de nulidad simple, identificada con el Radicado número 11001-03-26-000-</w:t>
      </w:r>
      <w:r w:rsidRPr="000036B2">
        <w:rPr>
          <w:rFonts w:ascii="Verdana" w:eastAsia="Times New Roman" w:hAnsi="Verdana" w:cs="Arial"/>
          <w:bCs/>
          <w:sz w:val="20"/>
          <w:szCs w:val="20"/>
          <w:lang w:eastAsia="x-none"/>
        </w:rPr>
        <w:lastRenderedPageBreak/>
        <w:t>2025-00016-00, en la cual se cuestiona parcialmente el numeral 16.2 de la Circular Externa Única CCE-EICP-MA-06, Versión 03 del 27 de diciembre de 2023.</w:t>
      </w:r>
    </w:p>
    <w:p w14:paraId="45332DD0" w14:textId="77777777" w:rsidR="000036B2" w:rsidRPr="000036B2" w:rsidRDefault="000036B2" w:rsidP="00F21113">
      <w:pPr>
        <w:tabs>
          <w:tab w:val="left" w:pos="426"/>
        </w:tabs>
        <w:spacing w:after="0" w:line="240" w:lineRule="auto"/>
        <w:contextualSpacing/>
        <w:jc w:val="both"/>
        <w:rPr>
          <w:rFonts w:ascii="Verdana" w:eastAsia="Times New Roman" w:hAnsi="Verdana" w:cs="Arial"/>
          <w:bCs/>
          <w:sz w:val="20"/>
          <w:szCs w:val="20"/>
          <w:lang w:eastAsia="x-none"/>
        </w:rPr>
      </w:pPr>
    </w:p>
    <w:p w14:paraId="33745EDA" w14:textId="1E68C31F" w:rsidR="00F21113" w:rsidRPr="000036B2" w:rsidRDefault="00F21113" w:rsidP="00F21113">
      <w:pPr>
        <w:spacing w:after="0" w:line="240" w:lineRule="auto"/>
        <w:contextualSpacing/>
        <w:jc w:val="both"/>
        <w:rPr>
          <w:rFonts w:ascii="Verdana" w:eastAsia="Times New Roman" w:hAnsi="Verdana" w:cs="Arial"/>
          <w:b/>
          <w:bCs/>
          <w:lang w:eastAsia="es-CO"/>
        </w:rPr>
      </w:pPr>
      <w:r w:rsidRPr="000036B2">
        <w:rPr>
          <w:rFonts w:ascii="Verdana" w:eastAsia="Times New Roman" w:hAnsi="Verdana" w:cs="Arial"/>
          <w:b/>
          <w:bCs/>
          <w:lang w:eastAsia="es-CO"/>
        </w:rPr>
        <w:t>CUERPOS DE BOMBEROS VOLUNTARIOS ‒ Ley de garantías – Prohibición del artículo 33 y parágrafo del artículo 38 de la Ley 966 de 2005</w:t>
      </w:r>
    </w:p>
    <w:p w14:paraId="12679515" w14:textId="77777777"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p>
    <w:p w14:paraId="2ACF0FD6" w14:textId="77777777"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 xml:space="preserve">[…]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contratación directa, entendiendo esta como aquel sistema de selección de contratistas en el que no exista convocatoria pública, ni sea posible la participación de una pluralidad de oferentes, independientemente del régimen de contratación que se aplique. </w:t>
      </w:r>
    </w:p>
    <w:p w14:paraId="649F49F9" w14:textId="77777777"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p>
    <w:p w14:paraId="4DE5CF5D" w14:textId="77777777"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045110EF" w14:textId="77777777"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p>
    <w:p w14:paraId="350354C0" w14:textId="77777777" w:rsidR="00F21113" w:rsidRPr="000036B2" w:rsidRDefault="00F21113" w:rsidP="00F21113">
      <w:pPr>
        <w:tabs>
          <w:tab w:val="left" w:pos="426"/>
        </w:tabs>
        <w:spacing w:after="0" w:line="240" w:lineRule="auto"/>
        <w:contextualSpacing/>
        <w:jc w:val="both"/>
        <w:rPr>
          <w:rFonts w:ascii="Verdana" w:eastAsia="Times New Roman" w:hAnsi="Verdana" w:cs="Arial"/>
          <w:bCs/>
          <w:sz w:val="20"/>
          <w:szCs w:val="20"/>
          <w:lang w:val="es-MX" w:eastAsia="x-none"/>
        </w:rPr>
      </w:pPr>
      <w:r w:rsidRPr="000036B2">
        <w:rPr>
          <w:rFonts w:ascii="Verdana" w:eastAsia="Times New Roman" w:hAnsi="Verdana" w:cs="Arial"/>
          <w:bCs/>
          <w:sz w:val="20"/>
          <w:szCs w:val="20"/>
          <w:lang w:val="es-MX" w:eastAsia="x-none"/>
        </w:rPr>
        <w:t>Finalmente, dada la naturaleza jurídica privada de los cuerpos de bomberos voluntarios, no les es aplicable la restricción consagrada en el parágrafo del artículo 38 de la Ley de Garantías Electorales, en la media que esta norma prohíbe la celebración de convenios o contratos interadministrativos para la ejecución de recursos públicos y lo que define a estos contratos, conforme el análisis realizado en el numeral 2.3 de este concepto es la naturaleza de las partes, de manera que están determinados por un criterio orgánico, en el sentido de que lo serán aquellos celebrados entre entidades estatales.</w:t>
      </w:r>
    </w:p>
    <w:p w14:paraId="5363B71B" w14:textId="77777777" w:rsidR="00F21113" w:rsidRPr="00137E43" w:rsidRDefault="00F21113" w:rsidP="00F21113">
      <w:pPr>
        <w:tabs>
          <w:tab w:val="left" w:pos="426"/>
        </w:tabs>
        <w:spacing w:after="0" w:line="240" w:lineRule="auto"/>
        <w:contextualSpacing/>
        <w:jc w:val="both"/>
        <w:rPr>
          <w:rFonts w:ascii="Arial" w:eastAsia="Times New Roman" w:hAnsi="Arial" w:cs="Arial"/>
          <w:bCs/>
          <w:sz w:val="20"/>
          <w:szCs w:val="20"/>
          <w:lang w:val="es-MX" w:eastAsia="x-none"/>
        </w:rPr>
      </w:pPr>
    </w:p>
    <w:p w14:paraId="1EE4AFC2" w14:textId="77777777" w:rsidR="00F21113" w:rsidRPr="00020476" w:rsidRDefault="00F21113" w:rsidP="00F21113">
      <w:pPr>
        <w:tabs>
          <w:tab w:val="left" w:pos="426"/>
        </w:tabs>
        <w:spacing w:after="0" w:line="240" w:lineRule="auto"/>
        <w:contextualSpacing/>
        <w:jc w:val="both"/>
        <w:rPr>
          <w:rFonts w:ascii="Arial" w:eastAsia="Times New Roman" w:hAnsi="Arial" w:cs="Arial"/>
          <w:bCs/>
          <w:sz w:val="20"/>
          <w:szCs w:val="20"/>
          <w:lang w:val="es-MX" w:eastAsia="x-none"/>
        </w:rPr>
      </w:pPr>
    </w:p>
    <w:p w14:paraId="70543C78" w14:textId="77777777" w:rsidR="00F21113" w:rsidRPr="00F21113" w:rsidRDefault="00F21113" w:rsidP="00F21113">
      <w:pPr>
        <w:spacing w:after="0" w:line="240" w:lineRule="auto"/>
        <w:jc w:val="both"/>
        <w:rPr>
          <w:rFonts w:ascii="Verdana" w:hAnsi="Verdana"/>
          <w:lang w:val="es-MX"/>
        </w:rPr>
      </w:pPr>
    </w:p>
    <w:p w14:paraId="606CC874" w14:textId="77777777" w:rsidR="00F21113" w:rsidRDefault="00F21113" w:rsidP="005F085B">
      <w:pPr>
        <w:spacing w:after="0" w:line="240" w:lineRule="auto"/>
        <w:jc w:val="both"/>
        <w:rPr>
          <w:rFonts w:ascii="Verdana" w:hAnsi="Verdana"/>
        </w:rPr>
      </w:pPr>
    </w:p>
    <w:p w14:paraId="315F6A92" w14:textId="77777777" w:rsidR="00F21113" w:rsidRDefault="00F21113" w:rsidP="005F085B">
      <w:pPr>
        <w:spacing w:after="0" w:line="240" w:lineRule="auto"/>
        <w:jc w:val="both"/>
        <w:rPr>
          <w:rFonts w:ascii="Verdana" w:hAnsi="Verdana"/>
        </w:rPr>
      </w:pPr>
    </w:p>
    <w:p w14:paraId="07BFD13B" w14:textId="77777777" w:rsidR="00F21113" w:rsidRDefault="00F21113" w:rsidP="005F085B">
      <w:pPr>
        <w:spacing w:after="0" w:line="240" w:lineRule="auto"/>
        <w:jc w:val="both"/>
        <w:rPr>
          <w:rFonts w:ascii="Verdana" w:hAnsi="Verdana"/>
        </w:rPr>
      </w:pPr>
    </w:p>
    <w:p w14:paraId="37B0D520" w14:textId="77777777" w:rsidR="000036B2" w:rsidRDefault="000036B2" w:rsidP="005F085B">
      <w:pPr>
        <w:spacing w:after="0" w:line="240" w:lineRule="auto"/>
        <w:jc w:val="both"/>
        <w:rPr>
          <w:rFonts w:ascii="Verdana" w:hAnsi="Verdana"/>
        </w:rPr>
      </w:pPr>
    </w:p>
    <w:p w14:paraId="41A7CEB2" w14:textId="77777777" w:rsidR="000036B2" w:rsidRDefault="000036B2" w:rsidP="005F085B">
      <w:pPr>
        <w:spacing w:after="0" w:line="240" w:lineRule="auto"/>
        <w:jc w:val="both"/>
        <w:rPr>
          <w:rFonts w:ascii="Verdana" w:hAnsi="Verdana"/>
        </w:rPr>
      </w:pPr>
    </w:p>
    <w:p w14:paraId="773F5DA7" w14:textId="77777777" w:rsidR="000036B2" w:rsidRDefault="000036B2" w:rsidP="005F085B">
      <w:pPr>
        <w:spacing w:after="0" w:line="240" w:lineRule="auto"/>
        <w:jc w:val="both"/>
        <w:rPr>
          <w:rFonts w:ascii="Verdana" w:hAnsi="Verdana"/>
        </w:rPr>
      </w:pPr>
    </w:p>
    <w:p w14:paraId="6998E0C1" w14:textId="77777777" w:rsidR="000036B2" w:rsidRDefault="000036B2" w:rsidP="005F085B">
      <w:pPr>
        <w:spacing w:after="0" w:line="240" w:lineRule="auto"/>
        <w:jc w:val="both"/>
        <w:rPr>
          <w:rFonts w:ascii="Verdana" w:hAnsi="Verdana"/>
        </w:rPr>
      </w:pPr>
    </w:p>
    <w:p w14:paraId="1717445F" w14:textId="77777777" w:rsidR="000036B2" w:rsidRDefault="000036B2" w:rsidP="005F085B">
      <w:pPr>
        <w:spacing w:after="0" w:line="240" w:lineRule="auto"/>
        <w:jc w:val="both"/>
        <w:rPr>
          <w:rFonts w:ascii="Verdana" w:hAnsi="Verdana"/>
        </w:rPr>
      </w:pPr>
    </w:p>
    <w:p w14:paraId="0670A7B1" w14:textId="08D731EF" w:rsidR="0082597B" w:rsidRPr="005F085B" w:rsidRDefault="00F21113" w:rsidP="005F085B">
      <w:pPr>
        <w:spacing w:after="0" w:line="240" w:lineRule="auto"/>
        <w:jc w:val="both"/>
        <w:rPr>
          <w:rFonts w:ascii="Verdana" w:hAnsi="Verdana"/>
        </w:rPr>
      </w:pPr>
      <w:r w:rsidRPr="00F21113">
        <w:rPr>
          <w:rFonts w:ascii="Verdana" w:hAnsi="Verdana"/>
        </w:rPr>
        <w:lastRenderedPageBreak/>
        <w:t xml:space="preserve">Bogotá D.C., 21 </w:t>
      </w:r>
      <w:r>
        <w:rPr>
          <w:rFonts w:ascii="Verdana" w:hAnsi="Verdana"/>
        </w:rPr>
        <w:t>e</w:t>
      </w:r>
      <w:r w:rsidRPr="00F21113">
        <w:rPr>
          <w:rFonts w:ascii="Verdana" w:hAnsi="Verdana"/>
        </w:rPr>
        <w:t>nero 2026</w:t>
      </w:r>
      <w:r>
        <w:rPr>
          <w:rFonts w:ascii="Verdana" w:hAnsi="Verdana"/>
        </w:rPr>
        <w:t xml:space="preserve"> </w:t>
      </w:r>
    </w:p>
    <w:p w14:paraId="2ADDD98A" w14:textId="0A091128" w:rsidR="0082597B" w:rsidRPr="005F085B" w:rsidRDefault="0082597B" w:rsidP="005F085B">
      <w:pPr>
        <w:spacing w:after="0" w:line="240" w:lineRule="auto"/>
        <w:jc w:val="both"/>
        <w:rPr>
          <w:rFonts w:ascii="Verdana" w:eastAsia="Calibri" w:hAnsi="Verdana" w:cs="Arial"/>
          <w:lang w:eastAsia="es-ES"/>
        </w:rPr>
      </w:pPr>
      <w:bookmarkStart w:id="2" w:name="_Hlk197462763"/>
      <w:bookmarkStart w:id="3" w:name="_Hlk197529996"/>
    </w:p>
    <w:p w14:paraId="1BEF4B5E" w14:textId="27C1A57E" w:rsidR="0082597B" w:rsidRDefault="00F21113" w:rsidP="005F085B">
      <w:pPr>
        <w:spacing w:after="0" w:line="240" w:lineRule="auto"/>
        <w:jc w:val="both"/>
        <w:rPr>
          <w:rFonts w:ascii="Verdana" w:eastAsia="Calibri" w:hAnsi="Verdana" w:cs="Arial"/>
          <w:lang w:eastAsia="es-ES"/>
        </w:rPr>
      </w:pPr>
      <w:r w:rsidRPr="00F21113">
        <w:rPr>
          <w:rFonts w:ascii="Verdana" w:eastAsia="Calibri" w:hAnsi="Verdana" w:cs="Arial"/>
          <w:lang w:eastAsia="es-ES"/>
        </w:rPr>
        <w:drawing>
          <wp:anchor distT="0" distB="0" distL="114300" distR="114300" simplePos="0" relativeHeight="251661312" behindDoc="1" locked="0" layoutInCell="1" allowOverlap="1" wp14:anchorId="576ECF1F" wp14:editId="3F3C32E8">
            <wp:simplePos x="0" y="0"/>
            <wp:positionH relativeFrom="column">
              <wp:posOffset>2947481</wp:posOffset>
            </wp:positionH>
            <wp:positionV relativeFrom="paragraph">
              <wp:posOffset>9255</wp:posOffset>
            </wp:positionV>
            <wp:extent cx="3343275" cy="981075"/>
            <wp:effectExtent l="0" t="0" r="9525" b="9525"/>
            <wp:wrapTight wrapText="bothSides">
              <wp:wrapPolygon edited="0">
                <wp:start x="0" y="0"/>
                <wp:lineTo x="0" y="21390"/>
                <wp:lineTo x="21538" y="21390"/>
                <wp:lineTo x="21538" y="0"/>
                <wp:lineTo x="0" y="0"/>
              </wp:wrapPolygon>
            </wp:wrapTight>
            <wp:docPr id="21295334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53341"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43275" cy="981075"/>
                    </a:xfrm>
                    <a:prstGeom prst="rect">
                      <a:avLst/>
                    </a:prstGeom>
                  </pic:spPr>
                </pic:pic>
              </a:graphicData>
            </a:graphic>
          </wp:anchor>
        </w:drawing>
      </w:r>
    </w:p>
    <w:p w14:paraId="389AE613" w14:textId="030D13EA" w:rsidR="00F21113" w:rsidRDefault="00F21113" w:rsidP="005F085B">
      <w:pPr>
        <w:spacing w:after="0" w:line="240" w:lineRule="auto"/>
        <w:jc w:val="both"/>
        <w:rPr>
          <w:rFonts w:ascii="Verdana" w:eastAsia="Calibri" w:hAnsi="Verdana" w:cs="Arial"/>
          <w:lang w:eastAsia="es-ES"/>
        </w:rPr>
      </w:pPr>
    </w:p>
    <w:p w14:paraId="2BF7A7B9" w14:textId="77777777" w:rsidR="00F21113" w:rsidRPr="005F085B" w:rsidRDefault="00F21113" w:rsidP="005F085B">
      <w:pPr>
        <w:spacing w:after="0" w:line="240" w:lineRule="auto"/>
        <w:jc w:val="both"/>
        <w:rPr>
          <w:rFonts w:ascii="Verdana" w:eastAsia="Calibri" w:hAnsi="Verdana" w:cs="Arial"/>
          <w:lang w:eastAsia="es-ES"/>
        </w:rPr>
      </w:pPr>
    </w:p>
    <w:p w14:paraId="462B0C85" w14:textId="77777777" w:rsidR="0082597B" w:rsidRPr="005F085B" w:rsidRDefault="0082597B" w:rsidP="005F085B">
      <w:pPr>
        <w:spacing w:after="0" w:line="240" w:lineRule="auto"/>
        <w:jc w:val="both"/>
        <w:rPr>
          <w:rFonts w:ascii="Verdana" w:eastAsia="Calibri" w:hAnsi="Verdana" w:cs="Arial"/>
          <w:lang w:eastAsia="es-ES"/>
        </w:rPr>
      </w:pPr>
      <w:r w:rsidRPr="005F085B">
        <w:rPr>
          <w:rFonts w:ascii="Verdana" w:eastAsia="Calibri" w:hAnsi="Verdana" w:cs="Arial"/>
          <w:lang w:eastAsia="es-ES"/>
        </w:rPr>
        <w:t>Señor</w:t>
      </w:r>
    </w:p>
    <w:p w14:paraId="7C8C2D12" w14:textId="77777777" w:rsidR="0082597B" w:rsidRPr="005F085B" w:rsidRDefault="0082597B" w:rsidP="005F085B">
      <w:pPr>
        <w:spacing w:after="0" w:line="240" w:lineRule="auto"/>
        <w:jc w:val="both"/>
        <w:rPr>
          <w:rFonts w:ascii="Verdana" w:eastAsia="Calibri" w:hAnsi="Verdana" w:cs="Arial"/>
          <w:b/>
          <w:highlight w:val="yellow"/>
          <w:lang w:eastAsia="es-ES_tradnl"/>
        </w:rPr>
      </w:pPr>
      <w:r w:rsidRPr="005F085B">
        <w:rPr>
          <w:rFonts w:ascii="Verdana" w:eastAsia="Calibri" w:hAnsi="Verdana" w:cs="Arial"/>
          <w:b/>
          <w:lang w:eastAsia="es-ES_tradnl"/>
        </w:rPr>
        <w:t>Germán Humberto Riaño Chacón</w:t>
      </w:r>
    </w:p>
    <w:p w14:paraId="28A9F4D1" w14:textId="77777777" w:rsidR="0082597B" w:rsidRPr="00BE19D4" w:rsidRDefault="0082597B" w:rsidP="005F085B">
      <w:pPr>
        <w:spacing w:after="0" w:line="240" w:lineRule="auto"/>
        <w:jc w:val="both"/>
        <w:rPr>
          <w:rFonts w:ascii="Verdana" w:eastAsia="Calibri" w:hAnsi="Verdana" w:cs="Arial"/>
          <w:highlight w:val="yellow"/>
          <w:lang w:eastAsia="es-ES_tradnl"/>
        </w:rPr>
      </w:pPr>
      <w:hyperlink r:id="rId11" w:history="1">
        <w:r w:rsidRPr="00BE19D4">
          <w:rPr>
            <w:rStyle w:val="Hipervnculo"/>
            <w:rFonts w:ascii="Verdana" w:eastAsia="Calibri" w:hAnsi="Verdana" w:cs="Arial"/>
            <w:lang w:eastAsia="es-ES_tradnl"/>
          </w:rPr>
          <w:t>rianogerman218@gmail.com</w:t>
        </w:r>
      </w:hyperlink>
      <w:r w:rsidRPr="00BE19D4">
        <w:rPr>
          <w:rFonts w:ascii="Verdana" w:eastAsia="Calibri" w:hAnsi="Verdana" w:cs="Arial"/>
          <w:lang w:eastAsia="es-ES_tradnl"/>
        </w:rPr>
        <w:t xml:space="preserve"> </w:t>
      </w:r>
    </w:p>
    <w:p w14:paraId="1B21B159" w14:textId="77777777" w:rsidR="0082597B" w:rsidRPr="005F085B" w:rsidRDefault="0082597B" w:rsidP="005F085B">
      <w:pPr>
        <w:spacing w:after="0" w:line="240" w:lineRule="auto"/>
        <w:jc w:val="both"/>
        <w:rPr>
          <w:rFonts w:ascii="Verdana" w:eastAsia="Calibri" w:hAnsi="Verdana" w:cs="Arial"/>
          <w:bCs/>
          <w:lang w:eastAsia="es-ES_tradnl"/>
        </w:rPr>
      </w:pPr>
      <w:r w:rsidRPr="005F085B">
        <w:rPr>
          <w:rFonts w:ascii="Verdana" w:eastAsia="Calibri" w:hAnsi="Verdana" w:cs="Arial"/>
          <w:bCs/>
          <w:lang w:eastAsia="es-ES_tradnl"/>
        </w:rPr>
        <w:t xml:space="preserve">Ciudad </w:t>
      </w:r>
    </w:p>
    <w:p w14:paraId="769D5861" w14:textId="77777777" w:rsidR="0082597B" w:rsidRPr="005F085B" w:rsidRDefault="0082597B" w:rsidP="005F085B">
      <w:pPr>
        <w:spacing w:after="0" w:line="240" w:lineRule="auto"/>
        <w:jc w:val="both"/>
        <w:rPr>
          <w:rFonts w:ascii="Verdana" w:hAnsi="Verdana"/>
          <w:lang w:val="it-CH"/>
        </w:rPr>
      </w:pPr>
    </w:p>
    <w:p w14:paraId="0D547229" w14:textId="77777777" w:rsidR="0082597B" w:rsidRPr="005F085B" w:rsidRDefault="0082597B" w:rsidP="005F085B">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82597B" w:rsidRPr="00BE19D4" w14:paraId="3C2CE39F" w14:textId="77777777">
        <w:trPr>
          <w:trHeight w:val="162"/>
        </w:trPr>
        <w:tc>
          <w:tcPr>
            <w:tcW w:w="3119" w:type="dxa"/>
          </w:tcPr>
          <w:p w14:paraId="7BAC382D" w14:textId="77777777" w:rsidR="0082597B" w:rsidRPr="005F085B" w:rsidRDefault="0082597B" w:rsidP="005F085B">
            <w:pPr>
              <w:jc w:val="both"/>
              <w:rPr>
                <w:rFonts w:ascii="Verdana" w:eastAsia="Calibri" w:hAnsi="Verdana" w:cs="Arial"/>
                <w:b/>
                <w:bCs/>
                <w:color w:val="7030A0"/>
                <w:lang w:val="it-CH" w:eastAsia="es-ES_tradnl"/>
              </w:rPr>
            </w:pPr>
          </w:p>
        </w:tc>
        <w:tc>
          <w:tcPr>
            <w:tcW w:w="5670" w:type="dxa"/>
          </w:tcPr>
          <w:p w14:paraId="18F419C6" w14:textId="77777777" w:rsidR="0082597B" w:rsidRPr="005F085B" w:rsidRDefault="0082597B" w:rsidP="005F085B">
            <w:pPr>
              <w:jc w:val="both"/>
              <w:rPr>
                <w:rFonts w:ascii="Verdana" w:eastAsia="Calibri" w:hAnsi="Verdana" w:cs="Arial"/>
                <w:b/>
                <w:bCs/>
                <w:lang w:eastAsia="es-ES"/>
              </w:rPr>
            </w:pPr>
            <w:r w:rsidRPr="005F085B">
              <w:rPr>
                <w:rFonts w:ascii="Verdana" w:eastAsia="Calibri" w:hAnsi="Verdana" w:cs="Arial"/>
                <w:b/>
                <w:bCs/>
                <w:lang w:eastAsia="es-ES"/>
              </w:rPr>
              <w:t>Concepto C- 1835 de 2025</w:t>
            </w:r>
          </w:p>
          <w:p w14:paraId="678D8B7B" w14:textId="77777777" w:rsidR="0082597B" w:rsidRPr="005F085B" w:rsidRDefault="0082597B" w:rsidP="005F085B">
            <w:pPr>
              <w:jc w:val="both"/>
              <w:rPr>
                <w:rFonts w:ascii="Verdana" w:eastAsia="Calibri" w:hAnsi="Verdana" w:cs="Arial"/>
                <w:b/>
                <w:bCs/>
                <w:color w:val="7030A0"/>
                <w:lang w:eastAsia="es-ES"/>
              </w:rPr>
            </w:pPr>
          </w:p>
        </w:tc>
      </w:tr>
      <w:tr w:rsidR="0082597B" w:rsidRPr="00BE19D4" w14:paraId="3E859878" w14:textId="77777777">
        <w:trPr>
          <w:trHeight w:val="884"/>
        </w:trPr>
        <w:tc>
          <w:tcPr>
            <w:tcW w:w="3119" w:type="dxa"/>
          </w:tcPr>
          <w:p w14:paraId="212520DB" w14:textId="77777777" w:rsidR="0082597B" w:rsidRPr="005F085B" w:rsidRDefault="0082597B" w:rsidP="005F085B">
            <w:pPr>
              <w:jc w:val="both"/>
              <w:rPr>
                <w:rFonts w:ascii="Verdana" w:eastAsia="Calibri" w:hAnsi="Verdana" w:cs="Arial"/>
                <w:color w:val="000000"/>
                <w:lang w:eastAsia="es-ES_tradnl"/>
              </w:rPr>
            </w:pPr>
            <w:r w:rsidRPr="005F085B">
              <w:rPr>
                <w:rFonts w:ascii="Verdana" w:eastAsia="Calibri" w:hAnsi="Verdana" w:cs="Arial"/>
                <w:b/>
                <w:color w:val="000000"/>
                <w:lang w:eastAsia="es-ES_tradnl"/>
              </w:rPr>
              <w:t>Temas:</w:t>
            </w:r>
            <w:r w:rsidRPr="005F085B">
              <w:rPr>
                <w:rFonts w:ascii="Verdana" w:eastAsia="Calibri" w:hAnsi="Verdana" w:cs="Arial"/>
                <w:color w:val="000000"/>
                <w:lang w:eastAsia="es-ES_tradnl"/>
              </w:rPr>
              <w:t xml:space="preserve">                   </w:t>
            </w:r>
          </w:p>
        </w:tc>
        <w:tc>
          <w:tcPr>
            <w:tcW w:w="5670" w:type="dxa"/>
          </w:tcPr>
          <w:p w14:paraId="2942AABB" w14:textId="6320D335" w:rsidR="00253FAB" w:rsidRDefault="0082597B" w:rsidP="005F085B">
            <w:pPr>
              <w:jc w:val="both"/>
              <w:rPr>
                <w:rFonts w:ascii="Verdana" w:eastAsia="Times New Roman" w:hAnsi="Verdana" w:cs="Arial"/>
                <w:bCs/>
                <w:lang w:eastAsia="es-CO"/>
              </w:rPr>
            </w:pPr>
            <w:r w:rsidRPr="005F085B">
              <w:rPr>
                <w:rStyle w:val="normaltextrun"/>
                <w:rFonts w:ascii="Verdana" w:hAnsi="Verdana" w:cs="Arial"/>
                <w:lang w:val="es-MX"/>
              </w:rPr>
              <w:t xml:space="preserve">LEY DE GARANTÍAS ELECTORALES – Naturaleza Jurídica / LEY DE GARANTÍAS ELECTORALES – Prohibiciones / LEY DE GARANTÍAS ELECTORALES ─ Prohibición artículo 33 ‒ Contratación directa ‒ Alcance / </w:t>
            </w:r>
            <w:r w:rsidRPr="005F085B">
              <w:rPr>
                <w:rStyle w:val="normaltextrun"/>
                <w:rFonts w:ascii="Verdana" w:hAnsi="Verdana" w:cs="Arial"/>
              </w:rPr>
              <w:t xml:space="preserve">LEY DE GARANTÍAS ELECTORALES </w:t>
            </w:r>
            <w:r w:rsidRPr="005F085B">
              <w:rPr>
                <w:rStyle w:val="normaltextrun"/>
                <w:rFonts w:ascii="Verdana" w:hAnsi="Verdana" w:cs="Arial"/>
                <w:lang w:val="es-MX"/>
              </w:rPr>
              <w:t xml:space="preserve">─ Prohibición artículo 33 ‒ </w:t>
            </w:r>
            <w:r w:rsidRPr="005F085B">
              <w:rPr>
                <w:rStyle w:val="normaltextrun"/>
                <w:rFonts w:ascii="Verdana" w:hAnsi="Verdana" w:cs="Arial"/>
              </w:rPr>
              <w:t xml:space="preserve">Excepciones / LEY DE GARANTÍAS ELECTORALES ‒ </w:t>
            </w:r>
            <w:r w:rsidRPr="005F085B">
              <w:rPr>
                <w:rStyle w:val="normaltextrun"/>
                <w:rFonts w:ascii="Verdana" w:hAnsi="Verdana" w:cs="Arial"/>
                <w:lang w:val="es-ES"/>
              </w:rPr>
              <w:t xml:space="preserve">Prohibición del artículo 33 </w:t>
            </w:r>
            <w:r w:rsidRPr="005F085B">
              <w:rPr>
                <w:rStyle w:val="normaltextrun"/>
                <w:rFonts w:ascii="Verdana" w:hAnsi="Verdana" w:cs="Arial"/>
              </w:rPr>
              <w:t xml:space="preserve">‒ Destinatarios </w:t>
            </w:r>
            <w:r w:rsidR="005E341F" w:rsidRPr="005F085B">
              <w:rPr>
                <w:rFonts w:ascii="Verdana" w:eastAsia="Times New Roman" w:hAnsi="Verdana"/>
                <w:bCs/>
                <w:lang w:eastAsia="es-CO"/>
              </w:rPr>
              <w:t xml:space="preserve">/ </w:t>
            </w:r>
            <w:r w:rsidR="005E341F" w:rsidRPr="005F085B">
              <w:rPr>
                <w:rFonts w:ascii="Verdana" w:hAnsi="Verdana" w:cs="Arial"/>
                <w:lang w:val="es-MX" w:eastAsia="es-ES_tradnl"/>
              </w:rPr>
              <w:t>CONTRATOS Y CONVENIOS INTERADMINISTRATIVOS – Circular Externa Única – Auto de suspensión –numeral 16.2.</w:t>
            </w:r>
            <w:r w:rsidR="005E341F" w:rsidRPr="005F085B">
              <w:rPr>
                <w:rFonts w:ascii="Verdana" w:eastAsia="Times New Roman" w:hAnsi="Verdana" w:cs="Arial"/>
                <w:lang w:eastAsia="es-CO"/>
              </w:rPr>
              <w:t xml:space="preserve"> Sentencia expedida por la Sección Tercera de la Sala de lo Contencioso Administrativo del 17 de octubre de 2025, los autos del 4 de octubre de 2024 y 6 de noviembre de 2025 </w:t>
            </w:r>
            <w:r w:rsidR="00FC7D77" w:rsidRPr="005F085B">
              <w:rPr>
                <w:rStyle w:val="normaltextrun"/>
                <w:rFonts w:ascii="Verdana" w:hAnsi="Verdana" w:cs="Arial"/>
                <w:lang w:val="es-MX"/>
              </w:rPr>
              <w:t xml:space="preserve">/ </w:t>
            </w:r>
            <w:r w:rsidR="00FC7D77" w:rsidRPr="005F085B">
              <w:rPr>
                <w:rStyle w:val="normaltextrun"/>
                <w:rFonts w:ascii="Verdana" w:hAnsi="Verdana" w:cs="Arial"/>
              </w:rPr>
              <w:t>CUERPOS DE BOMBEROS VOLUNTARIOS ‒ Ley de garantías – Prohibición del artículo 33 </w:t>
            </w:r>
            <w:r w:rsidR="00FC7D77" w:rsidRPr="005F085B">
              <w:rPr>
                <w:rFonts w:ascii="Verdana" w:eastAsia="Times New Roman" w:hAnsi="Verdana" w:cs="Arial"/>
                <w:lang w:eastAsia="es-CO"/>
              </w:rPr>
              <w:t xml:space="preserve">/ </w:t>
            </w:r>
            <w:r w:rsidR="00FC7D77" w:rsidRPr="005F085B">
              <w:rPr>
                <w:rFonts w:ascii="Verdana" w:eastAsia="Times New Roman" w:hAnsi="Verdana" w:cs="Arial"/>
                <w:bCs/>
                <w:lang w:eastAsia="es-CO"/>
              </w:rPr>
              <w:t>CUERPOS DE BOMBEROS VOLUNTARIOS ‒ Ley de garantías – Prohibición del artículo 33 y parágrafo del artículo 38 de la Ley 966 de 2005</w:t>
            </w:r>
          </w:p>
          <w:p w14:paraId="76C10A35" w14:textId="77777777" w:rsidR="00F21113" w:rsidRPr="005F085B" w:rsidRDefault="00F21113" w:rsidP="005F085B">
            <w:pPr>
              <w:jc w:val="both"/>
              <w:rPr>
                <w:rFonts w:ascii="Verdana" w:eastAsia="Times New Roman" w:hAnsi="Verdana" w:cs="Arial"/>
                <w:bCs/>
                <w:lang w:eastAsia="es-CO"/>
              </w:rPr>
            </w:pPr>
          </w:p>
          <w:p w14:paraId="0F294D42" w14:textId="77777777" w:rsidR="0082597B" w:rsidRPr="005F085B" w:rsidRDefault="0082597B" w:rsidP="005F085B">
            <w:pPr>
              <w:jc w:val="both"/>
              <w:rPr>
                <w:rFonts w:ascii="Verdana" w:eastAsia="Calibri" w:hAnsi="Verdana" w:cs="Arial"/>
                <w:lang w:val="es-ES_tradnl" w:eastAsia="es-ES"/>
              </w:rPr>
            </w:pPr>
          </w:p>
        </w:tc>
      </w:tr>
      <w:tr w:rsidR="0082597B" w:rsidRPr="00BE19D4" w14:paraId="48253390" w14:textId="77777777">
        <w:tc>
          <w:tcPr>
            <w:tcW w:w="3119" w:type="dxa"/>
          </w:tcPr>
          <w:p w14:paraId="263715FA" w14:textId="77777777" w:rsidR="0082597B" w:rsidRPr="005F085B" w:rsidRDefault="0082597B" w:rsidP="005F085B">
            <w:pPr>
              <w:jc w:val="both"/>
              <w:rPr>
                <w:rFonts w:ascii="Verdana" w:eastAsia="Calibri" w:hAnsi="Verdana" w:cs="Arial"/>
                <w:b/>
                <w:lang w:eastAsia="es-ES_tradnl"/>
              </w:rPr>
            </w:pPr>
            <w:r w:rsidRPr="005F085B">
              <w:rPr>
                <w:rFonts w:ascii="Verdana" w:eastAsia="Calibri" w:hAnsi="Verdana" w:cs="Arial"/>
                <w:b/>
                <w:lang w:eastAsia="es-ES_tradnl"/>
              </w:rPr>
              <w:t>Radicación:</w:t>
            </w:r>
            <w:r w:rsidRPr="005F085B">
              <w:rPr>
                <w:rFonts w:ascii="Verdana" w:eastAsia="Calibri" w:hAnsi="Verdana" w:cs="Arial"/>
                <w:lang w:eastAsia="es-ES_tradnl"/>
              </w:rPr>
              <w:t xml:space="preserve">               </w:t>
            </w:r>
          </w:p>
        </w:tc>
        <w:tc>
          <w:tcPr>
            <w:tcW w:w="5670" w:type="dxa"/>
          </w:tcPr>
          <w:p w14:paraId="2A52DE41" w14:textId="77777777" w:rsidR="0082597B" w:rsidRPr="005F085B" w:rsidRDefault="0082597B" w:rsidP="005F085B">
            <w:pPr>
              <w:jc w:val="both"/>
              <w:rPr>
                <w:rFonts w:ascii="Verdana" w:eastAsia="Calibri" w:hAnsi="Verdana" w:cs="Arial"/>
                <w:lang w:eastAsia="es-ES_tradnl"/>
              </w:rPr>
            </w:pPr>
            <w:r w:rsidRPr="005F085B">
              <w:rPr>
                <w:rFonts w:ascii="Verdana" w:eastAsia="Calibri" w:hAnsi="Verdana" w:cs="Arial"/>
                <w:lang w:eastAsia="es-ES_tradnl"/>
              </w:rPr>
              <w:t xml:space="preserve">Respuesta a consulta con radicado </w:t>
            </w:r>
            <w:r w:rsidRPr="005F085B">
              <w:rPr>
                <w:rFonts w:ascii="Verdana" w:hAnsi="Verdana" w:cs="Segoe UI"/>
                <w:color w:val="2B2B2B"/>
                <w:shd w:val="clear" w:color="auto" w:fill="FFFFFF"/>
              </w:rPr>
              <w:t>1_2025_12_16_014017</w:t>
            </w:r>
          </w:p>
        </w:tc>
      </w:tr>
    </w:tbl>
    <w:p w14:paraId="5637EDE2" w14:textId="77777777" w:rsidR="0082597B" w:rsidRPr="005F085B" w:rsidRDefault="0082597B" w:rsidP="00BE19D4">
      <w:pPr>
        <w:spacing w:after="0" w:line="240" w:lineRule="auto"/>
        <w:jc w:val="both"/>
        <w:rPr>
          <w:rFonts w:ascii="Verdana" w:eastAsia="Calibri" w:hAnsi="Verdana" w:cs="Arial"/>
          <w:lang w:eastAsia="es-ES_tradnl"/>
        </w:rPr>
      </w:pPr>
    </w:p>
    <w:p w14:paraId="3AADD763" w14:textId="77777777" w:rsidR="0082597B" w:rsidRPr="005F085B" w:rsidRDefault="0082597B" w:rsidP="00BE19D4">
      <w:pPr>
        <w:spacing w:after="0" w:line="240" w:lineRule="auto"/>
        <w:jc w:val="both"/>
        <w:rPr>
          <w:rFonts w:ascii="Verdana" w:eastAsia="Calibri" w:hAnsi="Verdana" w:cs="Arial"/>
          <w:lang w:eastAsia="es-ES_tradnl"/>
        </w:rPr>
      </w:pPr>
    </w:p>
    <w:p w14:paraId="3A2CB41A" w14:textId="77777777" w:rsidR="0082597B" w:rsidRPr="008E4F36" w:rsidRDefault="0082597B" w:rsidP="005F085B">
      <w:pPr>
        <w:spacing w:after="0" w:line="276" w:lineRule="auto"/>
        <w:jc w:val="both"/>
        <w:rPr>
          <w:rFonts w:ascii="Verdana" w:eastAsia="Calibri" w:hAnsi="Verdana" w:cs="Arial"/>
          <w:lang w:eastAsia="es-ES"/>
        </w:rPr>
      </w:pPr>
      <w:r w:rsidRPr="00596158">
        <w:rPr>
          <w:rFonts w:ascii="Verdana" w:eastAsia="Calibri" w:hAnsi="Verdana" w:cs="Arial"/>
          <w:lang w:eastAsia="es-ES"/>
        </w:rPr>
        <w:t>Estimado señor Riaño:</w:t>
      </w:r>
      <w:r w:rsidRPr="008E4F36">
        <w:rPr>
          <w:rFonts w:ascii="Verdana" w:eastAsia="Calibri" w:hAnsi="Verdana" w:cs="Arial"/>
          <w:lang w:eastAsia="es-ES"/>
        </w:rPr>
        <w:t xml:space="preserve"> </w:t>
      </w:r>
    </w:p>
    <w:p w14:paraId="600619B1" w14:textId="77777777" w:rsidR="0082597B" w:rsidRDefault="0082597B" w:rsidP="00BE19D4">
      <w:pPr>
        <w:tabs>
          <w:tab w:val="left" w:pos="3768"/>
        </w:tabs>
        <w:spacing w:after="0" w:line="276" w:lineRule="auto"/>
        <w:jc w:val="both"/>
        <w:rPr>
          <w:rFonts w:ascii="Verdana" w:eastAsia="Calibri" w:hAnsi="Verdana" w:cs="Arial"/>
          <w:lang w:eastAsia="es-ES"/>
        </w:rPr>
      </w:pPr>
    </w:p>
    <w:p w14:paraId="651489BE" w14:textId="77777777" w:rsidR="0082597B" w:rsidRPr="008E4F36" w:rsidRDefault="0082597B" w:rsidP="005F085B">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lastRenderedPageBreak/>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sidRPr="00596158">
        <w:rPr>
          <w:rFonts w:ascii="Verdana" w:eastAsia="Calibri" w:hAnsi="Verdana" w:cs="Arial"/>
          <w:lang w:eastAsia="es-ES"/>
        </w:rPr>
        <w:t>16 de diciembre de 2025,</w:t>
      </w:r>
      <w:r w:rsidRPr="000F2158">
        <w:rPr>
          <w:rFonts w:ascii="Verdana" w:eastAsia="Calibri" w:hAnsi="Verdana" w:cs="Arial"/>
          <w:lang w:eastAsia="es-ES"/>
        </w:rPr>
        <w:t xml:space="preserve"> en la cual manifiesta lo siguiente:</w:t>
      </w:r>
    </w:p>
    <w:p w14:paraId="5FF5342F" w14:textId="77777777" w:rsidR="0082597B" w:rsidRPr="008E4F36" w:rsidRDefault="0082597B" w:rsidP="005F085B">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5CDFDA12" w14:textId="77777777" w:rsidR="0082597B" w:rsidRPr="00617A31" w:rsidRDefault="0082597B" w:rsidP="0082597B">
      <w:pPr>
        <w:spacing w:after="0" w:line="240" w:lineRule="auto"/>
        <w:ind w:left="709" w:right="709"/>
        <w:jc w:val="both"/>
        <w:rPr>
          <w:rFonts w:ascii="Verdana" w:eastAsia="Century Gothic" w:hAnsi="Verdana" w:cs="Century Gothic"/>
          <w:sz w:val="20"/>
          <w:szCs w:val="20"/>
        </w:rPr>
      </w:pPr>
      <w:bookmarkStart w:id="4" w:name="_Hlk192699624"/>
      <w:bookmarkStart w:id="5" w:name="_Hlk199394899"/>
      <w:r>
        <w:rPr>
          <w:rFonts w:ascii="Verdana" w:eastAsia="Century Gothic" w:hAnsi="Verdana" w:cs="Century Gothic"/>
          <w:sz w:val="20"/>
          <w:szCs w:val="20"/>
        </w:rPr>
        <w:t>“</w:t>
      </w:r>
      <w:bookmarkEnd w:id="4"/>
      <w:bookmarkEnd w:id="5"/>
      <w:r w:rsidRPr="00596158">
        <w:rPr>
          <w:rFonts w:ascii="Verdana" w:eastAsia="Century Gothic" w:hAnsi="Verdana" w:cs="Century Gothic"/>
          <w:sz w:val="20"/>
          <w:szCs w:val="20"/>
        </w:rPr>
        <w:t>En ejercicio del Derecho de Petición, me permito solicitarles se sirvan informar que instrucciones o directrices ha impartido Colombia Compra Eficiente para las Entidades Territoriales (Municipios de Sexta Categoría), con ocasión de la etapa preelectoral actual, en cuanto a la celebración de CONVENIOS INTERADMINISTRATIVOS CON LOS CUERPOS DE BOMBEROS VOLUNTARIOS que prestan sus servicios en un municipio de sexta categoría, porque según tengo entendido a partir del 08 de noviembre de 2025 empezó a regir la Ley de Garantías  quedando prohibida esta clase de contratación o por el hecho de tratarse de los BOMBEROS VOLUNTARIOS existe alguna reglamentación especial que les permite celebrar esta clase de convenios con los municipios en cualquier tiempo?</w:t>
      </w:r>
      <w:r>
        <w:rPr>
          <w:rFonts w:ascii="Verdana" w:eastAsia="Century Gothic" w:hAnsi="Verdana" w:cs="Century Gothic"/>
          <w:sz w:val="20"/>
          <w:szCs w:val="20"/>
        </w:rPr>
        <w:t>.”</w:t>
      </w:r>
    </w:p>
    <w:p w14:paraId="12BDCD11" w14:textId="77777777" w:rsidR="0082597B" w:rsidRPr="00BE19D4" w:rsidRDefault="0082597B" w:rsidP="00BE19D4">
      <w:pPr>
        <w:spacing w:after="0" w:line="276" w:lineRule="auto"/>
        <w:ind w:right="709"/>
        <w:jc w:val="both"/>
        <w:rPr>
          <w:rFonts w:ascii="Verdana" w:hAnsi="Verdana"/>
        </w:rPr>
      </w:pPr>
    </w:p>
    <w:p w14:paraId="1670C791" w14:textId="77777777" w:rsidR="0082597B" w:rsidRDefault="0082597B" w:rsidP="00BE19D4">
      <w:pPr>
        <w:spacing w:after="12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FA4B69A" w14:textId="77777777" w:rsidR="0082597B" w:rsidRPr="00054383" w:rsidRDefault="0082597B" w:rsidP="00BE19D4">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6CFE233C" w14:textId="77777777" w:rsidR="0082597B" w:rsidRPr="008E4F36" w:rsidRDefault="0082597B" w:rsidP="00634B13">
      <w:pPr>
        <w:spacing w:after="0" w:line="276" w:lineRule="auto"/>
        <w:ind w:firstLine="709"/>
        <w:jc w:val="both"/>
        <w:rPr>
          <w:rFonts w:ascii="Verdana" w:eastAsia="Calibri" w:hAnsi="Verdana" w:cs="Arial"/>
          <w:color w:val="000000"/>
          <w:lang w:eastAsia="es-ES"/>
        </w:rPr>
      </w:pPr>
    </w:p>
    <w:p w14:paraId="6C9AA736" w14:textId="77777777" w:rsidR="0082597B" w:rsidRDefault="0082597B" w:rsidP="00A877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40DAA8C" w14:textId="324DD722" w:rsidR="0082597B" w:rsidRPr="007E330B" w:rsidRDefault="0082597B" w:rsidP="00634B13">
      <w:pPr>
        <w:pStyle w:val="NormalWeb"/>
        <w:spacing w:line="276" w:lineRule="auto"/>
        <w:jc w:val="both"/>
        <w:rPr>
          <w:sz w:val="22"/>
          <w:szCs w:val="22"/>
        </w:rPr>
      </w:pPr>
      <w:r w:rsidRPr="007E330B">
        <w:rPr>
          <w:rFonts w:ascii="Verdana" w:eastAsia="Calibri" w:hAnsi="Verdana" w:cs="Arial"/>
          <w:color w:val="000000"/>
          <w:sz w:val="22"/>
          <w:szCs w:val="22"/>
          <w:lang w:eastAsia="es-ES"/>
        </w:rPr>
        <w:lastRenderedPageBreak/>
        <w:t>De acuerdo con el contenido de su solicitud, esta Agencia resolverá el siguiente problema jurídico: ¿</w:t>
      </w:r>
      <w:r w:rsidRPr="007E330B">
        <w:rPr>
          <w:rFonts w:ascii="Verdana" w:hAnsi="Verdana"/>
          <w:sz w:val="22"/>
          <w:szCs w:val="22"/>
        </w:rPr>
        <w:t>Es permitida la celebración de convenios entre entidades territoriales y los cuerpos de bomberos voluntarios durante la etapa preelectoral, considerando las restricciones de la Ley de Garantías</w:t>
      </w:r>
      <w:r w:rsidR="00964D61">
        <w:rPr>
          <w:rFonts w:ascii="Verdana" w:hAnsi="Verdana"/>
          <w:sz w:val="22"/>
          <w:szCs w:val="22"/>
        </w:rPr>
        <w:t xml:space="preserve"> Electorales</w:t>
      </w:r>
      <w:r w:rsidRPr="007E330B">
        <w:rPr>
          <w:rFonts w:ascii="Verdana" w:hAnsi="Verdana"/>
          <w:sz w:val="22"/>
          <w:szCs w:val="22"/>
        </w:rPr>
        <w:t>, o existe alguna excepción que autorice estos convenios en cualquier momento?</w:t>
      </w:r>
    </w:p>
    <w:p w14:paraId="1B546DF1" w14:textId="77777777" w:rsidR="0082597B" w:rsidRPr="008E4F36" w:rsidRDefault="0082597B" w:rsidP="00A87734">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110A690E" w14:textId="77777777" w:rsidR="0082597B" w:rsidRPr="008E4F36" w:rsidRDefault="0082597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82597B" w:rsidRPr="008E4F36" w14:paraId="60D7DA3C" w14:textId="77777777">
        <w:tc>
          <w:tcPr>
            <w:tcW w:w="8828" w:type="dxa"/>
          </w:tcPr>
          <w:p w14:paraId="576D01E5" w14:textId="585F8011" w:rsidR="0082597B" w:rsidRPr="00FF007A" w:rsidRDefault="0082597B">
            <w:pPr>
              <w:spacing w:after="120" w:line="276" w:lineRule="auto"/>
              <w:jc w:val="both"/>
              <w:rPr>
                <w:rFonts w:ascii="Verdana" w:eastAsia="Arial" w:hAnsi="Verdana" w:cs="Arial"/>
                <w:lang w:eastAsia="es-ES" w:bidi="es-ES"/>
              </w:rPr>
            </w:pPr>
            <w:r w:rsidRPr="00FF007A">
              <w:rPr>
                <w:rFonts w:ascii="Verdana" w:eastAsia="Arial" w:hAnsi="Verdana" w:cs="Arial"/>
                <w:lang w:eastAsia="es-ES" w:bidi="es-ES"/>
              </w:rPr>
              <w:t xml:space="preserve">Las restricciones consagradas en la Ley de Garantías </w:t>
            </w:r>
            <w:r w:rsidR="00A87734">
              <w:rPr>
                <w:rFonts w:ascii="Verdana" w:eastAsia="Arial" w:hAnsi="Verdana" w:cs="Arial"/>
                <w:lang w:eastAsia="es-ES" w:bidi="es-ES"/>
              </w:rPr>
              <w:t xml:space="preserve">Electorales </w:t>
            </w:r>
            <w:r w:rsidRPr="00FF007A">
              <w:rPr>
                <w:rFonts w:ascii="Verdana" w:eastAsia="Arial" w:hAnsi="Verdana" w:cs="Arial"/>
                <w:lang w:eastAsia="es-ES" w:bidi="es-ES"/>
              </w:rPr>
              <w:t xml:space="preserve">se dirigen a dos (2) tipos de campañas electorales diferenciadas: </w:t>
            </w:r>
            <w:r>
              <w:rPr>
                <w:rFonts w:ascii="Verdana" w:eastAsia="Arial" w:hAnsi="Verdana" w:cs="Arial"/>
                <w:lang w:eastAsia="es-ES" w:bidi="es-ES"/>
              </w:rPr>
              <w:t xml:space="preserve">i) </w:t>
            </w:r>
            <w:r w:rsidRPr="00FF007A">
              <w:rPr>
                <w:rFonts w:ascii="Verdana" w:eastAsia="Arial" w:hAnsi="Verdana" w:cs="Arial"/>
                <w:lang w:eastAsia="es-ES" w:bidi="es-ES"/>
              </w:rPr>
              <w:t xml:space="preserve">las presidenciales y </w:t>
            </w:r>
            <w:r>
              <w:rPr>
                <w:rFonts w:ascii="Verdana" w:eastAsia="Arial" w:hAnsi="Verdana" w:cs="Arial"/>
                <w:lang w:eastAsia="es-ES" w:bidi="es-ES"/>
              </w:rPr>
              <w:t xml:space="preserve">ii) </w:t>
            </w:r>
            <w:r w:rsidRPr="00FF007A">
              <w:rPr>
                <w:rFonts w:ascii="Verdana" w:eastAsia="Arial" w:hAnsi="Verdana" w:cs="Arial"/>
                <w:lang w:eastAsia="es-ES" w:bidi="es-ES"/>
              </w:rPr>
              <w:t>las que se adelanten para la elección de los demás cargos de elección popular, tanto a nivel nacional como territorial.</w:t>
            </w:r>
          </w:p>
          <w:p w14:paraId="0BEE96CB" w14:textId="77777777" w:rsidR="0082597B" w:rsidRPr="00FF007A" w:rsidRDefault="0082597B">
            <w:pPr>
              <w:spacing w:after="120" w:line="276" w:lineRule="auto"/>
              <w:ind w:firstLine="709"/>
              <w:jc w:val="both"/>
              <w:rPr>
                <w:rFonts w:ascii="Verdana" w:eastAsia="Calibri" w:hAnsi="Verdana" w:cs="Arial"/>
              </w:rPr>
            </w:pPr>
            <w:r>
              <w:rPr>
                <w:rFonts w:ascii="Verdana" w:eastAsia="Calibri" w:hAnsi="Verdana" w:cs="Arial"/>
              </w:rPr>
              <w:t xml:space="preserve">Para las primeras, es decir las presidenciales, </w:t>
            </w:r>
            <w:r w:rsidRPr="00FF007A">
              <w:rPr>
                <w:rFonts w:ascii="Verdana" w:eastAsia="Calibri" w:hAnsi="Verdana" w:cs="Arial"/>
              </w:rPr>
              <w:t xml:space="preserve">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contratación directa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B1BB319" w14:textId="77777777" w:rsidR="0082597B" w:rsidRDefault="0082597B">
            <w:pPr>
              <w:spacing w:after="120" w:line="276" w:lineRule="auto"/>
              <w:ind w:firstLine="709"/>
              <w:jc w:val="both"/>
              <w:rPr>
                <w:rFonts w:ascii="Verdana" w:eastAsia="Times New Roman" w:hAnsi="Verdana" w:cs="Arial"/>
                <w:lang w:eastAsia="es-CO"/>
              </w:rPr>
            </w:pPr>
            <w:r w:rsidRPr="00FF007A">
              <w:rPr>
                <w:rFonts w:ascii="Verdana" w:eastAsia="Calibri" w:hAnsi="Verdana" w:cs="Arial"/>
              </w:rPr>
              <w:t>Por otro lado,</w:t>
            </w:r>
            <w:r>
              <w:rPr>
                <w:rFonts w:ascii="Verdana" w:eastAsia="Calibri" w:hAnsi="Verdana" w:cs="Arial"/>
              </w:rPr>
              <w:t xml:space="preserve"> para las segundas,</w:t>
            </w:r>
            <w:r w:rsidRPr="00FF007A">
              <w:rPr>
                <w:rFonts w:ascii="Verdana" w:eastAsia="Calibri" w:hAnsi="Verdana" w:cs="Arial"/>
              </w:rPr>
              <w:t xml:space="preserve"> </w:t>
            </w:r>
            <w:r w:rsidRPr="00FF007A">
              <w:rPr>
                <w:rFonts w:ascii="Verdana" w:eastAsia="Calibri" w:hAnsi="Verdana" w:cs="Arial"/>
                <w:i/>
                <w:iCs/>
              </w:rPr>
              <w:t xml:space="preserve">el parágrafo del artículo 38 </w:t>
            </w:r>
            <w:r w:rsidRPr="00FF007A">
              <w:rPr>
                <w:rFonts w:ascii="Verdana" w:eastAsia="Calibri" w:hAnsi="Verdana" w:cs="Arial"/>
              </w:rPr>
              <w:t xml:space="preserve">de la Ley 996 de 2005 prevé una restricción, aplicable respecto de </w:t>
            </w:r>
            <w:r w:rsidRPr="00FF007A">
              <w:rPr>
                <w:rFonts w:ascii="Verdana" w:eastAsia="Calibri" w:hAnsi="Verdana" w:cs="Arial"/>
                <w:i/>
                <w:iCs/>
              </w:rPr>
              <w:t>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Arial" w:hAnsi="Verdana" w:cs="Arial"/>
                <w:lang w:eastAsia="es-ES" w:bidi="es-ES"/>
              </w:rPr>
              <w:t xml:space="preserve"> </w:t>
            </w:r>
            <w:r w:rsidRPr="00667CD6">
              <w:rPr>
                <w:rFonts w:ascii="Verdana" w:eastAsia="Times New Roman" w:hAnsi="Verdana" w:cs="Arial"/>
                <w:lang w:eastAsia="es-CO"/>
              </w:rPr>
              <w:t xml:space="preserve">En este sentido, si una o ambas partes de la relación contractual es una entidad de aquellas descritas en el parágrafo </w:t>
            </w:r>
            <w:r w:rsidRPr="00667CD6">
              <w:rPr>
                <w:rFonts w:ascii="Verdana" w:eastAsia="Times New Roman" w:hAnsi="Verdana" w:cs="Arial"/>
                <w:i/>
                <w:lang w:eastAsia="es-CO"/>
              </w:rPr>
              <w:t>ibidem</w:t>
            </w:r>
            <w:r w:rsidRPr="00667CD6">
              <w:rPr>
                <w:rFonts w:ascii="Verdana" w:eastAsia="Times New Roman" w:hAnsi="Verdana" w:cs="Arial"/>
                <w:lang w:eastAsia="es-CO"/>
              </w:rPr>
              <w:t xml:space="preserve">, no podrá celebrar tales </w:t>
            </w:r>
            <w:r w:rsidRPr="00667CD6">
              <w:rPr>
                <w:rFonts w:ascii="Verdana" w:eastAsia="Times New Roman" w:hAnsi="Verdana" w:cs="Arial"/>
                <w:i/>
                <w:iCs/>
                <w:lang w:eastAsia="es-CO"/>
              </w:rPr>
              <w:t>convenios</w:t>
            </w:r>
            <w:r w:rsidRPr="00667CD6">
              <w:rPr>
                <w:rFonts w:ascii="Verdana" w:eastAsia="Times New Roman" w:hAnsi="Verdana" w:cs="Arial"/>
                <w:lang w:eastAsia="es-CO"/>
              </w:rPr>
              <w:t xml:space="preserve"> durante la aplicación de la Ley de Garantías Electorales, toda vez que la citada disposición hace referencia a </w:t>
            </w:r>
            <w:r w:rsidRPr="00667CD6">
              <w:rPr>
                <w:rFonts w:ascii="Verdana" w:eastAsia="Times New Roman" w:hAnsi="Verdana" w:cs="Arial"/>
                <w:lang w:eastAsia="es-CO"/>
              </w:rPr>
              <w:lastRenderedPageBreak/>
              <w:t xml:space="preserve">dicha tipología contractual sin que el legislador hubiere contemplado un efecto extensivo a otra tipología. </w:t>
            </w:r>
          </w:p>
          <w:p w14:paraId="3E3B747C" w14:textId="0D93A50D" w:rsidR="00D92AF8" w:rsidRPr="00D92AF8" w:rsidRDefault="0082597B" w:rsidP="00D92AF8">
            <w:pPr>
              <w:spacing w:after="120" w:line="276" w:lineRule="auto"/>
              <w:ind w:firstLine="709"/>
              <w:jc w:val="both"/>
              <w:rPr>
                <w:rFonts w:ascii="Verdana" w:hAnsi="Verdana" w:cs="Arial"/>
                <w:lang w:eastAsia="x-none"/>
              </w:rPr>
            </w:pPr>
            <w:r w:rsidRPr="00D92AF8">
              <w:rPr>
                <w:rFonts w:ascii="Verdana" w:eastAsia="Times New Roman" w:hAnsi="Verdana" w:cs="Arial"/>
                <w:lang w:eastAsia="es-CO"/>
              </w:rPr>
              <w:t xml:space="preserve">Ahora bien, en relación con el problema jurídico planteado, </w:t>
            </w:r>
            <w:r w:rsidR="00D92AF8" w:rsidRPr="00D92AF8">
              <w:rPr>
                <w:rFonts w:ascii="Verdana" w:hAnsi="Verdana" w:cs="Arial"/>
                <w:lang w:val="es-ES_tradnl" w:eastAsia="es-ES_tradnl"/>
              </w:rPr>
              <w:t xml:space="preserve">esta Agencia concluye que </w:t>
            </w:r>
            <w:r w:rsidR="00D92AF8" w:rsidRPr="00D92AF8">
              <w:rPr>
                <w:rFonts w:ascii="Verdana" w:hAnsi="Verdana" w:cs="Arial"/>
                <w:bCs/>
                <w:lang w:val="es-MX" w:eastAsia="x-none"/>
              </w:rPr>
              <w:t xml:space="preserve">ha de entenderse que, para efectos de la Ley de Garantías Electorales y, en particular, para la prohibición o restricción temporal contenida en su artículo 33, que la </w:t>
            </w:r>
            <w:r w:rsidR="00346456">
              <w:rPr>
                <w:rFonts w:ascii="Verdana" w:hAnsi="Verdana" w:cs="Arial"/>
                <w:bCs/>
                <w:lang w:val="es-MX" w:eastAsia="x-none"/>
              </w:rPr>
              <w:t>“</w:t>
            </w:r>
            <w:r w:rsidR="00D92AF8" w:rsidRPr="00D92AF8">
              <w:rPr>
                <w:rFonts w:ascii="Verdana" w:hAnsi="Verdana" w:cs="Arial"/>
                <w:bCs/>
                <w:lang w:val="es-MX" w:eastAsia="x-none"/>
              </w:rPr>
              <w:t>contratación directa</w:t>
            </w:r>
            <w:r w:rsidR="00346456">
              <w:rPr>
                <w:rFonts w:ascii="Verdana" w:hAnsi="Verdana" w:cs="Arial"/>
                <w:bCs/>
                <w:lang w:val="es-MX" w:eastAsia="x-none"/>
              </w:rPr>
              <w:t>”</w:t>
            </w:r>
            <w:r w:rsidR="00D92AF8" w:rsidRPr="00D92AF8">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 De lo anterior se desprende que la prohibición aplica, sin perjuicio de las excepciones establecidas en la misma ley, para celebrar cualquier contrato que se celebre de forma directa, esto es, sin que exista un proceso abierto y competitivo.</w:t>
            </w:r>
            <w:r w:rsidR="00D92AF8" w:rsidRPr="00D92AF8">
              <w:rPr>
                <w:rFonts w:ascii="Verdana" w:hAnsi="Verdana" w:cs="Arial"/>
                <w:lang w:eastAsia="x-none"/>
              </w:rPr>
              <w:t xml:space="preserve"> </w:t>
            </w:r>
          </w:p>
          <w:p w14:paraId="099B1961" w14:textId="77777777" w:rsidR="0065689A" w:rsidRDefault="00D92AF8" w:rsidP="00D92AF8">
            <w:pPr>
              <w:tabs>
                <w:tab w:val="left" w:pos="426"/>
              </w:tabs>
              <w:spacing w:after="120" w:line="276" w:lineRule="auto"/>
              <w:ind w:firstLine="709"/>
              <w:jc w:val="both"/>
              <w:rPr>
                <w:rFonts w:ascii="Verdana" w:eastAsia="Times New Roman" w:hAnsi="Verdana" w:cs="Arial"/>
                <w:bCs/>
                <w:lang w:eastAsia="es-CO"/>
              </w:rPr>
            </w:pPr>
            <w:r w:rsidRPr="00D92AF8">
              <w:rPr>
                <w:rFonts w:ascii="Verdana" w:hAnsi="Verdana" w:cs="Arial"/>
                <w:bCs/>
                <w:lang w:val="es-MX" w:eastAsia="x-none"/>
              </w:rPr>
              <w:t>Así las cosas, los distritos y municipios, quienes tienen a cargo la prestación del servicio público bomberil, durante los cuatro (4) meses anteriores a la elección presidencial y hasta la realización de la elección en la segunda vuelta</w:t>
            </w:r>
            <w:r w:rsidRPr="00D92AF8">
              <w:rPr>
                <w:rFonts w:ascii="Verdana" w:eastAsia="Times New Roman" w:hAnsi="Verdana" w:cs="Arial"/>
                <w:bCs/>
                <w:lang w:eastAsia="es-CO"/>
              </w:rPr>
              <w:t xml:space="preserve"> podrán celebrar contratos y convenios con Cuerpos de Bomberos Voluntarios siempre que la escogencia del contratista se realice mediante un procedimiento abierto y competitivo, que permita la participación de una pluralidad de oferentes. Por el contrario, no le será posible a estos entes territoriales celebrar contratos de forma directa, esto es a través de cualquier sistema de selección de contratistas en el que no exista convocatoria pública, ni sea posible la participación de una pluralidad de oferentes, independientemente del régimen de contratación que se aplique. </w:t>
            </w:r>
          </w:p>
          <w:p w14:paraId="09F082B4" w14:textId="00604DF3" w:rsidR="00D92AF8" w:rsidRDefault="00D92AF8" w:rsidP="00D92AF8">
            <w:pPr>
              <w:tabs>
                <w:tab w:val="left" w:pos="426"/>
              </w:tabs>
              <w:spacing w:after="120" w:line="276" w:lineRule="auto"/>
              <w:ind w:firstLine="709"/>
              <w:jc w:val="both"/>
              <w:rPr>
                <w:rFonts w:ascii="Verdana" w:eastAsia="Times New Roman" w:hAnsi="Verdana" w:cs="Arial"/>
                <w:bCs/>
                <w:lang w:val="es-MX" w:eastAsia="es-CO"/>
              </w:rPr>
            </w:pPr>
            <w:r w:rsidRPr="00D92AF8">
              <w:rPr>
                <w:rFonts w:ascii="Verdana" w:eastAsia="Times New Roman" w:hAnsi="Verdana" w:cs="Arial"/>
                <w:bCs/>
                <w:lang w:eastAsia="es-CO"/>
              </w:rPr>
              <w:t xml:space="preserve">Lo último, salvo que el contrato específico a celebrar se enmarque en alguna de las excepciones establecidas en el inciso segundo del artículo 33 de la Ley 996 de 2005, bajo los cuales se excepciona la prohibición de la contratación directa, esto es, lo referente a: </w:t>
            </w:r>
            <w:r w:rsidRPr="00D92AF8">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D92AF8">
              <w:rPr>
                <w:rFonts w:ascii="Verdana" w:eastAsia="Times New Roman" w:hAnsi="Verdana" w:cs="Arial"/>
                <w:bCs/>
                <w:lang w:val="es-MX" w:eastAsia="es-CO"/>
              </w:rPr>
              <w:t xml:space="preserve"> Es responsabilidad del </w:t>
            </w:r>
            <w:r w:rsidRPr="00D92AF8">
              <w:rPr>
                <w:rFonts w:ascii="Verdana" w:eastAsia="Times New Roman" w:hAnsi="Verdana" w:cs="Arial"/>
                <w:bCs/>
                <w:lang w:val="es-MX" w:eastAsia="es-CO"/>
              </w:rPr>
              <w:lastRenderedPageBreak/>
              <w:t>respectivo ente del Estado, examinar en cada caso concreto si el contrato a celebrar se enmarca en alguna de las mencionadas excepciones.</w:t>
            </w:r>
          </w:p>
          <w:p w14:paraId="3419E7A1" w14:textId="217B4480" w:rsidR="0082597B" w:rsidRPr="00CC4608" w:rsidRDefault="00CC4608" w:rsidP="00574752">
            <w:pPr>
              <w:spacing w:line="276" w:lineRule="auto"/>
              <w:ind w:firstLine="709"/>
              <w:jc w:val="both"/>
              <w:rPr>
                <w:rFonts w:ascii="Verdana" w:eastAsia="Arial" w:hAnsi="Verdana" w:cs="Arial"/>
                <w:lang w:val="es-ES"/>
              </w:rPr>
            </w:pPr>
            <w:r w:rsidRPr="00CC4608">
              <w:rPr>
                <w:rFonts w:ascii="Verdana" w:hAnsi="Verdana" w:cs="Arial"/>
                <w:bCs/>
                <w:lang w:val="es-ES_tradnl" w:eastAsia="x-none"/>
              </w:rPr>
              <w:t xml:space="preserve">Finalmente, </w:t>
            </w:r>
            <w:r w:rsidRPr="00CC4608">
              <w:rPr>
                <w:rFonts w:ascii="Verdana" w:hAnsi="Verdana" w:cs="Arial"/>
                <w:bCs/>
                <w:lang w:val="es-ES_tradnl" w:eastAsia="es-CO"/>
              </w:rPr>
              <w:t>el parágrafo del artículo 38 de la Ley 996 de 2005 prohíbe a los alcaldes, gobernadores, secretarios, gerentes y directores de las entidades del orden municipal, departamental o distrital celebrar convenios interadministrativos para la ejecución de recursos públicos dentro de los cuatro (4) meses anteriores a las elecciones</w:t>
            </w:r>
            <w:r w:rsidRPr="00CC4608">
              <w:rPr>
                <w:rFonts w:ascii="Verdana" w:eastAsia="Arial" w:hAnsi="Verdana" w:cs="Arial"/>
                <w:lang w:val="es-ES"/>
              </w:rPr>
              <w:t>. Así las cosas, si una o ambas partes de la relación contractual es una entidad de aquellas descritas en el parágrafo ibídem, no podrá celebrar tales convenios o contratos interadministrativos durante el ámbito temporal de esta prohibición, toda vez que la citada disposición hace referencia a dicha tipología contractual sin que el legislador hubiere contemplado excepción alguna frente a la modalidad de selección o naturaleza de su objeto. Teniendo en cuenta la naturaleza privada de los cuerpos de bomberos voluntarios la prohibición del artículo citado no resultaría aplicable a estos c</w:t>
            </w:r>
            <w:r w:rsidR="00CB7E2A">
              <w:rPr>
                <w:rFonts w:ascii="Verdana" w:eastAsia="Arial" w:hAnsi="Verdana" w:cs="Arial"/>
                <w:lang w:val="es-ES"/>
              </w:rPr>
              <w:t>onvenios</w:t>
            </w:r>
            <w:r w:rsidRPr="00CC4608">
              <w:rPr>
                <w:rFonts w:ascii="Verdana" w:eastAsia="Arial" w:hAnsi="Verdana" w:cs="Arial"/>
                <w:lang w:val="es-ES"/>
              </w:rPr>
              <w:t>, pues no serían interadministrativos</w:t>
            </w:r>
            <w:r w:rsidR="00CB7E2A">
              <w:rPr>
                <w:rFonts w:ascii="Verdana" w:eastAsia="Arial" w:hAnsi="Verdana" w:cs="Arial"/>
                <w:lang w:val="es-ES"/>
              </w:rPr>
              <w:t>, dado que no se cumple con el criterio orgánico que los caracteriza</w:t>
            </w:r>
            <w:r w:rsidRPr="00CC4608">
              <w:rPr>
                <w:rFonts w:ascii="Verdana" w:eastAsia="Arial" w:hAnsi="Verdana" w:cs="Arial"/>
                <w:lang w:val="es-ES"/>
              </w:rPr>
              <w:t xml:space="preserve">. </w:t>
            </w:r>
          </w:p>
        </w:tc>
      </w:tr>
    </w:tbl>
    <w:p w14:paraId="53DC2C54" w14:textId="77777777" w:rsidR="0082597B" w:rsidRDefault="0082597B" w:rsidP="0065689A">
      <w:pPr>
        <w:tabs>
          <w:tab w:val="left" w:pos="142"/>
          <w:tab w:val="left" w:pos="284"/>
        </w:tabs>
        <w:spacing w:after="0" w:line="276" w:lineRule="auto"/>
        <w:jc w:val="both"/>
        <w:rPr>
          <w:rFonts w:ascii="Verdana" w:eastAsia="Century Gothic" w:hAnsi="Verdana" w:cs="Century Gothic"/>
          <w:b/>
          <w:bCs/>
        </w:rPr>
      </w:pPr>
    </w:p>
    <w:p w14:paraId="409D6802" w14:textId="77777777" w:rsidR="0082597B" w:rsidRPr="008E4F36" w:rsidRDefault="0082597B" w:rsidP="0065689A">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71ABF83B" w14:textId="77777777" w:rsidR="0082597B" w:rsidRDefault="0082597B" w:rsidP="0065689A">
      <w:pPr>
        <w:pStyle w:val="Prrafodelista"/>
        <w:tabs>
          <w:tab w:val="left" w:pos="142"/>
          <w:tab w:val="left" w:pos="284"/>
        </w:tabs>
        <w:spacing w:after="0" w:line="276" w:lineRule="auto"/>
        <w:ind w:left="0"/>
        <w:contextualSpacing w:val="0"/>
        <w:jc w:val="both"/>
        <w:rPr>
          <w:rFonts w:ascii="Verdana" w:eastAsia="Calibri" w:hAnsi="Verdana" w:cs="Arial"/>
        </w:rPr>
      </w:pPr>
    </w:p>
    <w:p w14:paraId="6D5ED1AA" w14:textId="77777777" w:rsidR="0082597B" w:rsidRDefault="0082597B" w:rsidP="00EA4164">
      <w:pPr>
        <w:pStyle w:val="Prrafodelista"/>
        <w:tabs>
          <w:tab w:val="left" w:pos="142"/>
          <w:tab w:val="left" w:pos="284"/>
        </w:tabs>
        <w:spacing w:after="0" w:line="276" w:lineRule="auto"/>
        <w:ind w:left="0"/>
        <w:contextualSpacing w:val="0"/>
        <w:jc w:val="both"/>
        <w:rPr>
          <w:rFonts w:ascii="Verdana" w:eastAsia="Calibri" w:hAnsi="Verdana" w:cs="Arial"/>
        </w:rPr>
      </w:pPr>
      <w:r w:rsidRPr="00432152">
        <w:rPr>
          <w:rFonts w:ascii="Verdana" w:eastAsia="Calibri" w:hAnsi="Verdana" w:cs="Arial"/>
        </w:rPr>
        <w:t xml:space="preserve">Lo anterior se sustenta en las siguientes consideraciones: </w:t>
      </w:r>
    </w:p>
    <w:p w14:paraId="699E45B1" w14:textId="77777777" w:rsidR="0082597B" w:rsidRPr="00432152" w:rsidRDefault="0082597B" w:rsidP="0065689A">
      <w:pPr>
        <w:pStyle w:val="Prrafodelista"/>
        <w:tabs>
          <w:tab w:val="left" w:pos="142"/>
          <w:tab w:val="left" w:pos="284"/>
        </w:tabs>
        <w:spacing w:after="0" w:line="276" w:lineRule="auto"/>
        <w:ind w:left="142"/>
        <w:contextualSpacing w:val="0"/>
        <w:jc w:val="both"/>
        <w:rPr>
          <w:rFonts w:ascii="Verdana" w:eastAsia="Calibri" w:hAnsi="Verdana" w:cs="Arial"/>
        </w:rPr>
      </w:pPr>
    </w:p>
    <w:p w14:paraId="77E47688" w14:textId="55872710" w:rsidR="0082597B" w:rsidRPr="00432152" w:rsidRDefault="0082597B" w:rsidP="00EA4164">
      <w:pPr>
        <w:tabs>
          <w:tab w:val="left" w:pos="426"/>
        </w:tabs>
        <w:spacing w:after="120" w:line="276" w:lineRule="auto"/>
        <w:jc w:val="both"/>
        <w:rPr>
          <w:rFonts w:ascii="Verdana" w:eastAsia="Calibri" w:hAnsi="Verdana" w:cs="Arial"/>
          <w:bCs/>
          <w:lang w:val="es-ES_tradnl" w:eastAsia="es-CO"/>
        </w:rPr>
      </w:pPr>
      <w:bookmarkStart w:id="6" w:name="_Hlk204856061"/>
      <w:bookmarkStart w:id="7" w:name="_Hlk78820161"/>
      <w:bookmarkStart w:id="8" w:name="_Hlk204854194"/>
      <w:r>
        <w:rPr>
          <w:rFonts w:ascii="Verdana" w:eastAsia="Calibri" w:hAnsi="Verdana" w:cs="Arial"/>
          <w:bCs/>
          <w:lang w:eastAsia="es-ES_tradnl"/>
        </w:rPr>
        <w:t>i</w:t>
      </w:r>
      <w:r w:rsidR="00DB0A00">
        <w:rPr>
          <w:rFonts w:ascii="Verdana" w:eastAsia="Calibri" w:hAnsi="Verdana" w:cs="Arial"/>
          <w:bCs/>
          <w:lang w:eastAsia="es-ES_tradnl"/>
        </w:rPr>
        <w:t>.</w:t>
      </w:r>
      <w:r w:rsidRPr="00432152">
        <w:rPr>
          <w:rFonts w:ascii="Verdana" w:eastAsia="Calibri" w:hAnsi="Verdana" w:cs="Arial"/>
          <w:bCs/>
          <w:lang w:val="es-ES_tradnl" w:eastAsia="es-ES_tradnl"/>
        </w:rPr>
        <w:t>El ordenamiento jurídico colombiano contempla previsiones claras para evitar la obtención de beneficios personales en asuntos propios de la administración pública</w:t>
      </w:r>
      <w:r w:rsidRPr="00432152">
        <w:rPr>
          <w:rFonts w:ascii="Verdana" w:eastAsia="Calibri" w:hAnsi="Verdana" w:cs="Arial"/>
          <w:bCs/>
          <w:i/>
          <w:iCs/>
          <w:lang w:val="es-ES_tradnl" w:eastAsia="es-ES_tradnl"/>
        </w:rPr>
        <w:t xml:space="preserve">. </w:t>
      </w:r>
      <w:r w:rsidRPr="00432152">
        <w:rPr>
          <w:rFonts w:ascii="Verdana" w:eastAsia="Calibri" w:hAnsi="Verdana" w:cs="Arial"/>
          <w:bCs/>
          <w:lang w:val="es-ES_tradnl" w:eastAsia="es-ES_tradnl"/>
        </w:rPr>
        <w:t>Por ejemplo, el artículo 127 de la Constitución Política establece una prohibición contractual a los servidores públicos y</w:t>
      </w:r>
      <w:r w:rsidR="00C3532E">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en cuanto a aspectos políticos establece restricciones a ciertos empleados del Estado, incluso en época no electoral</w:t>
      </w:r>
      <w:r w:rsidRPr="00432152">
        <w:rPr>
          <w:rFonts w:ascii="Verdana" w:eastAsia="Calibri" w:hAnsi="Verdana" w:cs="Arial"/>
          <w:bCs/>
          <w:vertAlign w:val="superscript"/>
          <w:lang w:val="es-ES_tradnl" w:eastAsia="es-ES_tradnl"/>
        </w:rPr>
        <w:footnoteReference w:id="1"/>
      </w:r>
      <w:r w:rsidRPr="00432152">
        <w:rPr>
          <w:rFonts w:ascii="Verdana" w:eastAsia="Calibri" w:hAnsi="Verdana" w:cs="Arial"/>
          <w:bCs/>
          <w:lang w:val="es-ES_tradnl" w:eastAsia="es-ES_tradnl"/>
        </w:rPr>
        <w:t xml:space="preserve">. </w:t>
      </w:r>
    </w:p>
    <w:p w14:paraId="12A43A71" w14:textId="1924874C" w:rsidR="0082597B" w:rsidRDefault="0082597B" w:rsidP="00EA4164">
      <w:pPr>
        <w:tabs>
          <w:tab w:val="left" w:pos="426"/>
        </w:tabs>
        <w:spacing w:after="0" w:line="276" w:lineRule="auto"/>
        <w:ind w:firstLine="709"/>
        <w:jc w:val="both"/>
        <w:rPr>
          <w:rFonts w:ascii="Verdana" w:eastAsia="Calibri" w:hAnsi="Verdana" w:cs="Arial"/>
          <w:bCs/>
          <w:lang w:val="es-ES_tradnl" w:eastAsia="es-CO"/>
        </w:rPr>
      </w:pPr>
      <w:r w:rsidRPr="00432152">
        <w:rPr>
          <w:rFonts w:ascii="Verdana" w:eastAsia="Calibri" w:hAnsi="Verdana" w:cs="Arial"/>
          <w:bCs/>
          <w:lang w:val="es-ES_tradnl" w:eastAsia="es-CO"/>
        </w:rPr>
        <w:t xml:space="preserve">En el mismo sentido, la Ley 996 de 2005, conocida como </w:t>
      </w:r>
      <w:r w:rsidR="00C3532E">
        <w:rPr>
          <w:rFonts w:ascii="Verdana" w:eastAsia="Calibri" w:hAnsi="Verdana" w:cs="Arial"/>
          <w:bCs/>
          <w:lang w:val="es-ES_tradnl" w:eastAsia="es-CO"/>
        </w:rPr>
        <w:t>“</w:t>
      </w:r>
      <w:r w:rsidRPr="00432152">
        <w:rPr>
          <w:rFonts w:ascii="Verdana" w:eastAsia="Calibri" w:hAnsi="Verdana" w:cs="Arial"/>
          <w:bCs/>
          <w:lang w:val="es-ES_tradnl" w:eastAsia="es-CO"/>
        </w:rPr>
        <w:t>Ley de Garantías Electorales</w:t>
      </w:r>
      <w:r w:rsidR="003771C9">
        <w:rPr>
          <w:rFonts w:ascii="Verdana" w:eastAsia="Calibri" w:hAnsi="Verdana" w:cs="Arial"/>
          <w:bCs/>
          <w:lang w:val="es-ES_tradnl" w:eastAsia="es-CO"/>
        </w:rPr>
        <w:t>”</w:t>
      </w:r>
      <w:r w:rsidRPr="00432152">
        <w:rPr>
          <w:rFonts w:ascii="Verdana" w:eastAsia="Calibri" w:hAnsi="Verdana" w:cs="Arial"/>
          <w:bCs/>
          <w:lang w:val="es-ES_tradnl" w:eastAsia="es-CO"/>
        </w:rPr>
        <w:t xml:space="preserve">, se suma al andamiaje de orden constitucional y legal que se ha ocupado de evitar la injerencia inadecuada de intereses particulares en el </w:t>
      </w:r>
      <w:r w:rsidRPr="00432152">
        <w:rPr>
          <w:rFonts w:ascii="Verdana" w:eastAsia="Calibri" w:hAnsi="Verdana" w:cs="Arial"/>
          <w:bCs/>
          <w:lang w:val="es-ES_tradnl" w:eastAsia="es-CO"/>
        </w:rPr>
        <w:lastRenderedPageBreak/>
        <w:t>ejercicio de la función pública. Esta ley tiene como propósito evitar cualquier tipo de arbitrariedad, de ventaja injustificada, de uso irregular de los recursos del Estado en las campañas o falta de garantías en la elección presidencial</w:t>
      </w:r>
      <w:r w:rsidRPr="00432152">
        <w:rPr>
          <w:rFonts w:ascii="Verdana" w:eastAsia="Calibri" w:hAnsi="Verdana" w:cs="Arial"/>
          <w:bCs/>
          <w:vertAlign w:val="superscript"/>
          <w:lang w:val="es-ES_tradnl" w:eastAsia="es-CO"/>
        </w:rPr>
        <w:footnoteReference w:id="2"/>
      </w:r>
      <w:r w:rsidRPr="00432152">
        <w:rPr>
          <w:rFonts w:ascii="Verdana" w:eastAsia="Calibri"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432152">
        <w:rPr>
          <w:rFonts w:ascii="Verdana" w:eastAsia="Calibri" w:hAnsi="Verdana" w:cs="Arial"/>
          <w:noProof/>
          <w:lang w:val="es-ES_tradnl" w:eastAsia="es-ES_tradnl"/>
        </w:rPr>
        <w:t xml:space="preserve"> </w:t>
      </w:r>
      <w:r w:rsidRPr="00432152">
        <w:rPr>
          <w:rFonts w:ascii="Verdana" w:eastAsia="Calibri" w:hAnsi="Verdana" w:cs="Arial"/>
          <w:bCs/>
          <w:lang w:val="es-ES_tradnl" w:eastAsia="es-CO"/>
        </w:rPr>
        <w:t>En armonía con lo anterior, la Corte Constitucional ha abordado la definición de la Ley de Garantías Electorales, en los siguientes términos:</w:t>
      </w:r>
    </w:p>
    <w:p w14:paraId="5FB62C11" w14:textId="77777777" w:rsidR="00EA4164" w:rsidRPr="00432152" w:rsidRDefault="00EA4164" w:rsidP="00EA4164">
      <w:pPr>
        <w:tabs>
          <w:tab w:val="left" w:pos="426"/>
        </w:tabs>
        <w:spacing w:after="0" w:line="276" w:lineRule="auto"/>
        <w:ind w:firstLine="709"/>
        <w:jc w:val="both"/>
        <w:rPr>
          <w:rFonts w:ascii="Verdana" w:eastAsia="Calibri" w:hAnsi="Verdana" w:cs="Arial"/>
          <w:bCs/>
          <w:lang w:val="es-ES_tradnl" w:eastAsia="es-CO"/>
        </w:rPr>
      </w:pPr>
    </w:p>
    <w:p w14:paraId="4162BE6B" w14:textId="77777777" w:rsidR="0082597B" w:rsidRPr="00432152" w:rsidRDefault="0082597B" w:rsidP="00EA4164">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sz w:val="20"/>
          <w:szCs w:val="20"/>
          <w:lang w:val="es-ES" w:eastAsia="es-CO"/>
        </w:rPr>
        <w:t xml:space="preserve">[…] </w:t>
      </w:r>
      <w:r w:rsidRPr="00432152">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042FDFA6" w14:textId="77777777" w:rsidR="0082597B" w:rsidRPr="00432152" w:rsidRDefault="0082597B" w:rsidP="00EA4164">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 xml:space="preserve">[…] </w:t>
      </w:r>
    </w:p>
    <w:p w14:paraId="3BA38F70" w14:textId="77777777" w:rsidR="0082597B" w:rsidRDefault="0082597B" w:rsidP="00EA4164">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32152">
        <w:rPr>
          <w:rFonts w:ascii="Verdana" w:eastAsia="Calibri" w:hAnsi="Verdana" w:cs="Arial"/>
          <w:sz w:val="20"/>
          <w:szCs w:val="20"/>
          <w:vertAlign w:val="superscript"/>
          <w:lang w:val="es-ES_tradnl" w:eastAsia="es-ES_tradnl"/>
        </w:rPr>
        <w:footnoteReference w:id="3"/>
      </w:r>
    </w:p>
    <w:p w14:paraId="63DC8021" w14:textId="77777777" w:rsidR="00EA4164" w:rsidRPr="00432152" w:rsidRDefault="00EA4164" w:rsidP="00EA4164">
      <w:pPr>
        <w:spacing w:after="0" w:line="240" w:lineRule="auto"/>
        <w:ind w:left="709" w:right="709"/>
        <w:jc w:val="both"/>
        <w:rPr>
          <w:rFonts w:ascii="Verdana" w:eastAsia="Calibri" w:hAnsi="Verdana" w:cs="Arial"/>
          <w:bCs/>
          <w:sz w:val="20"/>
          <w:szCs w:val="20"/>
          <w:lang w:val="es-ES_tradnl" w:eastAsia="es-CO"/>
        </w:rPr>
      </w:pPr>
    </w:p>
    <w:p w14:paraId="15B2F747" w14:textId="77777777" w:rsidR="00EA4164" w:rsidRDefault="0082597B" w:rsidP="00EA4164">
      <w:pPr>
        <w:spacing w:after="120" w:line="276" w:lineRule="auto"/>
        <w:ind w:firstLine="709"/>
        <w:jc w:val="both"/>
        <w:rPr>
          <w:rFonts w:ascii="Verdana" w:eastAsia="Times New Roman" w:hAnsi="Verdana" w:cs="Arial"/>
          <w:bCs/>
          <w:lang w:val="es-MX" w:eastAsia="es-CO"/>
        </w:rPr>
      </w:pPr>
      <w:bookmarkStart w:id="9" w:name="_Hlk78818186"/>
      <w:r w:rsidRPr="00432152">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0CC29501" w14:textId="2EC9FB1B" w:rsidR="0082597B" w:rsidRPr="00432152" w:rsidRDefault="0082597B" w:rsidP="0082597B">
      <w:pPr>
        <w:spacing w:after="200" w:line="276" w:lineRule="auto"/>
        <w:ind w:left="142" w:firstLine="709"/>
        <w:jc w:val="both"/>
        <w:rPr>
          <w:rFonts w:ascii="Verdana" w:eastAsia="Calibri" w:hAnsi="Verdana" w:cs="Arial"/>
          <w:bCs/>
          <w:lang w:val="es-ES_tradnl" w:eastAsia="es-CO"/>
        </w:rPr>
      </w:pPr>
      <w:r w:rsidRPr="00432152">
        <w:rPr>
          <w:rFonts w:ascii="Verdana" w:eastAsia="Times New Roman" w:hAnsi="Verdana" w:cs="Arial"/>
          <w:bCs/>
          <w:lang w:val="es-MX" w:eastAsia="es-CO"/>
        </w:rPr>
        <w:t>En efecto, la Sala de Consulta y Servicio Civil del Consejo de Estado al analizar la referida ley, precisó lo siguiente:</w:t>
      </w:r>
      <w:bookmarkEnd w:id="9"/>
    </w:p>
    <w:p w14:paraId="1FDB0E9F" w14:textId="77777777" w:rsidR="0082597B" w:rsidRDefault="0082597B" w:rsidP="003A7DBD">
      <w:pPr>
        <w:spacing w:after="0" w:line="240" w:lineRule="auto"/>
        <w:ind w:left="851" w:right="709"/>
        <w:jc w:val="both"/>
        <w:rPr>
          <w:rFonts w:ascii="Verdana" w:eastAsia="Calibri" w:hAnsi="Verdana" w:cs="Arial"/>
          <w:sz w:val="20"/>
          <w:szCs w:val="20"/>
          <w:lang w:val="es-ES" w:eastAsia="es-CO"/>
        </w:rPr>
      </w:pPr>
      <w:r w:rsidRPr="4057FCD2">
        <w:rPr>
          <w:rFonts w:ascii="Verdana" w:eastAsia="Calibri" w:hAnsi="Verdana" w:cs="Arial"/>
          <w:sz w:val="20"/>
          <w:szCs w:val="20"/>
          <w:lang w:val="es-ES" w:eastAsia="es-CO"/>
        </w:rPr>
        <w:t xml:space="preserve">No está de más recordar que las prohibiciones, en tanto limitan la libertad y los derechos de las personas, son de origen constitucional y legal; la </w:t>
      </w:r>
      <w:r w:rsidRPr="4057FCD2">
        <w:rPr>
          <w:rFonts w:ascii="Verdana" w:eastAsia="Calibri" w:hAnsi="Verdana" w:cs="Arial"/>
          <w:sz w:val="20"/>
          <w:szCs w:val="20"/>
          <w:lang w:val="es-ES" w:eastAsia="es-CO"/>
        </w:rPr>
        <w:lastRenderedPageBreak/>
        <w:t>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10F2335" w14:textId="77777777" w:rsidR="003A7DBD" w:rsidRPr="00432152" w:rsidRDefault="003A7DBD" w:rsidP="003A7DBD">
      <w:pPr>
        <w:spacing w:after="0" w:line="240" w:lineRule="auto"/>
        <w:ind w:left="851" w:right="709"/>
        <w:jc w:val="both"/>
        <w:rPr>
          <w:rFonts w:ascii="Verdana" w:eastAsia="Calibri" w:hAnsi="Verdana" w:cs="Arial"/>
          <w:sz w:val="20"/>
          <w:szCs w:val="20"/>
          <w:lang w:val="es-ES" w:eastAsia="es-CO"/>
        </w:rPr>
      </w:pPr>
    </w:p>
    <w:p w14:paraId="31CCB9A3" w14:textId="77777777" w:rsidR="0082597B" w:rsidRDefault="0082597B" w:rsidP="003A7DBD">
      <w:pPr>
        <w:spacing w:after="0" w:line="240" w:lineRule="auto"/>
        <w:ind w:left="851"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La jurisprudencia de la Corte Constitucional</w:t>
      </w:r>
      <w:r w:rsidRPr="00432152">
        <w:rPr>
          <w:rFonts w:ascii="Verdana" w:eastAsia="Calibri" w:hAnsi="Verdana" w:cs="Arial"/>
          <w:bCs/>
          <w:sz w:val="20"/>
          <w:szCs w:val="20"/>
          <w:vertAlign w:val="superscript"/>
          <w:lang w:val="es-ES_tradnl" w:eastAsia="es-CO"/>
        </w:rPr>
        <w:footnoteReference w:id="4"/>
      </w:r>
      <w:r w:rsidRPr="00432152">
        <w:rPr>
          <w:rFonts w:ascii="Verdana" w:eastAsia="Calibri" w:hAnsi="Verdana" w:cs="Arial"/>
          <w:bCs/>
          <w:sz w:val="20"/>
          <w:szCs w:val="20"/>
          <w:lang w:val="es-ES_tradnl" w:eastAsia="es-CO"/>
        </w:rPr>
        <w:t> y del Consejo de Estado</w:t>
      </w:r>
      <w:r w:rsidRPr="00432152">
        <w:rPr>
          <w:rFonts w:ascii="Verdana" w:eastAsia="Calibri" w:hAnsi="Verdana" w:cs="Arial"/>
          <w:bCs/>
          <w:sz w:val="20"/>
          <w:szCs w:val="20"/>
          <w:vertAlign w:val="superscript"/>
          <w:lang w:val="es-ES_tradnl" w:eastAsia="es-CO"/>
        </w:rPr>
        <w:footnoteReference w:id="5"/>
      </w:r>
      <w:r w:rsidRPr="00432152">
        <w:rPr>
          <w:rFonts w:ascii="Verdana" w:eastAsia="Calibri" w:hAnsi="Verdana" w:cs="Arial"/>
          <w:bCs/>
          <w:sz w:val="20"/>
          <w:szCs w:val="20"/>
          <w:lang w:val="es-ES_tradnl"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32152">
        <w:rPr>
          <w:rFonts w:ascii="Verdana" w:eastAsia="Calibri" w:hAnsi="Verdana" w:cs="Arial"/>
          <w:bCs/>
          <w:sz w:val="20"/>
          <w:szCs w:val="20"/>
          <w:vertAlign w:val="superscript"/>
          <w:lang w:val="es-ES_tradnl" w:eastAsia="es-CO"/>
        </w:rPr>
        <w:footnoteReference w:id="6"/>
      </w:r>
      <w:r w:rsidRPr="00432152">
        <w:rPr>
          <w:rFonts w:ascii="Verdana" w:eastAsia="Calibri" w:hAnsi="Verdana" w:cs="Arial"/>
          <w:bCs/>
          <w:sz w:val="20"/>
          <w:szCs w:val="20"/>
          <w:lang w:val="es-ES_tradnl" w:eastAsia="es-CO"/>
        </w:rPr>
        <w:t>.</w:t>
      </w:r>
    </w:p>
    <w:p w14:paraId="395A74B8" w14:textId="77777777" w:rsidR="003A7DBD" w:rsidRPr="00432152" w:rsidRDefault="003A7DBD" w:rsidP="003A7DBD">
      <w:pPr>
        <w:spacing w:after="0" w:line="240" w:lineRule="auto"/>
        <w:ind w:left="851" w:right="709"/>
        <w:jc w:val="both"/>
        <w:rPr>
          <w:rFonts w:ascii="Verdana" w:eastAsia="Calibri" w:hAnsi="Verdana" w:cs="Arial"/>
          <w:bCs/>
          <w:sz w:val="20"/>
          <w:szCs w:val="20"/>
          <w:lang w:val="es-ES_tradnl" w:eastAsia="es-CO"/>
        </w:rPr>
      </w:pPr>
    </w:p>
    <w:p w14:paraId="15FA6DD2" w14:textId="77777777" w:rsidR="0082597B" w:rsidRPr="00432152" w:rsidRDefault="0082597B" w:rsidP="0082597B">
      <w:pPr>
        <w:spacing w:after="120" w:line="276" w:lineRule="auto"/>
        <w:ind w:left="142"/>
        <w:jc w:val="both"/>
        <w:rPr>
          <w:rFonts w:ascii="Verdana" w:eastAsia="Arial" w:hAnsi="Verdana" w:cs="Arial"/>
          <w:lang w:val="es-ES" w:eastAsia="es-ES" w:bidi="es-ES"/>
        </w:rPr>
      </w:pPr>
      <w:r w:rsidRPr="00432152">
        <w:rPr>
          <w:rFonts w:ascii="Verdana" w:eastAsia="Calibri" w:hAnsi="Verdana" w:cs="Arial"/>
          <w:bCs/>
          <w:lang w:val="es-ES_tradnl" w:eastAsia="es-CO"/>
        </w:rPr>
        <w:tab/>
        <w:t>De</w:t>
      </w:r>
      <w:r w:rsidRPr="00432152">
        <w:rPr>
          <w:rFonts w:ascii="Verdana" w:eastAsia="Arial" w:hAnsi="Verdana" w:cs="Arial"/>
          <w:lang w:val="es-ES" w:eastAsia="es-ES" w:bidi="es-ES"/>
        </w:rPr>
        <w:t xml:space="preserve"> conformidad con lo anterior, </w:t>
      </w:r>
      <w:bookmarkStart w:id="10" w:name="_Hlk77236098"/>
      <w:r w:rsidRPr="004321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10"/>
    </w:p>
    <w:p w14:paraId="4353CF54" w14:textId="68B327C6" w:rsidR="0082597B" w:rsidRPr="00432152" w:rsidRDefault="0082597B" w:rsidP="00B84F0F">
      <w:pPr>
        <w:spacing w:after="0" w:line="276" w:lineRule="auto"/>
        <w:ind w:firstLine="708"/>
        <w:jc w:val="both"/>
        <w:rPr>
          <w:rFonts w:ascii="Verdana" w:eastAsia="Calibri" w:hAnsi="Verdana" w:cs="Arial"/>
          <w:lang w:val="es-ES_tradnl" w:eastAsia="es-ES_tradnl"/>
        </w:rPr>
      </w:pPr>
      <w:r w:rsidRPr="00432152">
        <w:rPr>
          <w:rFonts w:ascii="Verdana" w:eastAsia="Calibri" w:hAnsi="Verdana" w:cs="Arial"/>
          <w:lang w:val="es-ES_tradnl" w:eastAsia="es-ES_tradnl"/>
        </w:rPr>
        <w:t xml:space="preserve">Por un lado, el artículo 33 de la Ley 996 de 2005 prohíbe </w:t>
      </w:r>
      <w:r w:rsidR="007F557B">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la contratación directa por parte de todos los entes del Estado</w:t>
      </w:r>
      <w:r w:rsidR="007F557B">
        <w:rPr>
          <w:rFonts w:ascii="Verdana" w:eastAsia="Calibri" w:hAnsi="Verdana" w:cs="Arial"/>
          <w:bCs/>
          <w:lang w:val="es-ES_tradnl" w:eastAsia="es-ES_tradnl"/>
        </w:rPr>
        <w:t>”</w:t>
      </w:r>
      <w:r w:rsidRPr="00432152">
        <w:rPr>
          <w:rFonts w:ascii="Verdana" w:eastAsia="Calibri" w:hAnsi="Verdana" w:cs="Arial"/>
          <w:lang w:val="es-ES_tradnl" w:eastAsia="es-ES_tradnl"/>
        </w:rPr>
        <w:t xml:space="preserve"> durante los cuatro (4) meses anteriores a las elecciones presidenciales, salvo </w:t>
      </w:r>
      <w:r w:rsidR="003771C9">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 xml:space="preserve">lo referente a la </w:t>
      </w:r>
      <w:r w:rsidRPr="00432152">
        <w:rPr>
          <w:rFonts w:ascii="Verdana" w:eastAsia="Calibri" w:hAnsi="Verdana" w:cs="Arial"/>
          <w:lang w:val="es-ES_tradnl" w:eastAsia="es-ES_tradnl"/>
        </w:rPr>
        <w:lastRenderedPageBreak/>
        <w:t>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3771C9">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7"/>
      </w:r>
      <w:r w:rsidRPr="00432152">
        <w:rPr>
          <w:rFonts w:ascii="Verdana" w:eastAsia="Calibri" w:hAnsi="Verdana" w:cs="Arial"/>
          <w:lang w:val="es-ES_tradnl" w:eastAsia="es-ES_tradnl"/>
        </w:rPr>
        <w:t>.</w:t>
      </w:r>
    </w:p>
    <w:p w14:paraId="04CFEBBA" w14:textId="77777777" w:rsidR="00B84F0F" w:rsidRDefault="0082597B" w:rsidP="00B84F0F">
      <w:pPr>
        <w:widowControl w:val="0"/>
        <w:autoSpaceDE w:val="0"/>
        <w:autoSpaceDN w:val="0"/>
        <w:spacing w:after="0" w:line="276" w:lineRule="auto"/>
        <w:ind w:firstLine="708"/>
        <w:jc w:val="both"/>
        <w:rPr>
          <w:rFonts w:ascii="Verdana" w:eastAsia="Arial" w:hAnsi="Verdana" w:cs="Arial"/>
          <w:lang w:val="es-ES" w:eastAsia="es-ES" w:bidi="es-ES"/>
        </w:rPr>
      </w:pPr>
      <w:r w:rsidRPr="00432152">
        <w:rPr>
          <w:rFonts w:ascii="Verdana" w:eastAsia="Calibri" w:hAnsi="Verdana" w:cs="Arial"/>
          <w:lang w:val="es-ES_tradnl" w:eastAsia="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003771C9">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00356D16">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8"/>
      </w:r>
      <w:r w:rsidRPr="00432152">
        <w:rPr>
          <w:rFonts w:ascii="Verdana" w:eastAsia="Calibri" w:hAnsi="Verdana" w:cs="Arial"/>
          <w:lang w:val="es-ES_tradnl" w:eastAsia="es-ES_tradnl"/>
        </w:rPr>
        <w:t>.</w:t>
      </w:r>
      <w:r w:rsidRPr="00432152">
        <w:rPr>
          <w:rFonts w:ascii="Verdana" w:eastAsia="Arial" w:hAnsi="Verdana" w:cs="Arial"/>
          <w:lang w:val="es-ES" w:eastAsia="es-ES" w:bidi="es-ES"/>
        </w:rPr>
        <w:t xml:space="preserve"> </w:t>
      </w:r>
    </w:p>
    <w:p w14:paraId="0145B2A5" w14:textId="42FD270D" w:rsidR="0082597B" w:rsidRPr="00432152" w:rsidRDefault="0082597B" w:rsidP="00B84F0F">
      <w:pPr>
        <w:widowControl w:val="0"/>
        <w:autoSpaceDE w:val="0"/>
        <w:autoSpaceDN w:val="0"/>
        <w:spacing w:after="0" w:line="276" w:lineRule="auto"/>
        <w:ind w:left="142" w:right="113" w:firstLine="708"/>
        <w:jc w:val="both"/>
        <w:rPr>
          <w:rFonts w:ascii="Verdana" w:eastAsia="Arial" w:hAnsi="Verdana" w:cs="Arial"/>
          <w:lang w:val="es-ES" w:eastAsia="es-ES" w:bidi="es-ES"/>
        </w:rPr>
      </w:pPr>
      <w:r w:rsidRPr="004321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BDDE237" w14:textId="77777777" w:rsidR="00B84F0F" w:rsidRDefault="00B84F0F" w:rsidP="00B84F0F">
      <w:pPr>
        <w:widowControl w:val="0"/>
        <w:autoSpaceDE w:val="0"/>
        <w:autoSpaceDN w:val="0"/>
        <w:spacing w:after="0" w:line="240" w:lineRule="auto"/>
        <w:ind w:left="851" w:right="709"/>
        <w:jc w:val="both"/>
        <w:rPr>
          <w:rFonts w:ascii="Verdana" w:eastAsia="Arial" w:hAnsi="Verdana" w:cs="Arial"/>
          <w:sz w:val="20"/>
          <w:szCs w:val="20"/>
          <w:lang w:val="es-ES" w:eastAsia="es-ES" w:bidi="es-ES"/>
        </w:rPr>
      </w:pPr>
    </w:p>
    <w:p w14:paraId="69E31159" w14:textId="3792F56B" w:rsidR="0082597B" w:rsidRPr="00432152" w:rsidRDefault="0082597B" w:rsidP="00B84F0F">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432152">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432152">
        <w:rPr>
          <w:rFonts w:ascii="Verdana" w:eastAsia="Arial" w:hAnsi="Verdana" w:cs="Arial"/>
          <w:bCs/>
          <w:sz w:val="20"/>
          <w:szCs w:val="20"/>
          <w:lang w:val="es-ES" w:eastAsia="es-ES" w:bidi="es-ES"/>
        </w:rPr>
        <w:t xml:space="preserve">En cambio, para elecciones en general, excluyendo las correspondientes a Presidente de la República, a las </w:t>
      </w:r>
      <w:r w:rsidRPr="00432152">
        <w:rPr>
          <w:rFonts w:ascii="Verdana" w:eastAsia="Arial" w:hAnsi="Verdana" w:cs="Arial"/>
          <w:bCs/>
          <w:sz w:val="20"/>
          <w:szCs w:val="20"/>
          <w:lang w:val="es-ES" w:eastAsia="es-ES" w:bidi="es-ES"/>
        </w:rPr>
        <w:lastRenderedPageBreak/>
        <w:t>autoridades territoriales allí mencionadas sólo se aplican las restricciones contenidas en el parágrafo del artículo 38</w:t>
      </w:r>
      <w:r w:rsidRPr="00432152">
        <w:rPr>
          <w:rFonts w:ascii="Verdana" w:eastAsia="Arial" w:hAnsi="Verdana" w:cs="Arial"/>
          <w:sz w:val="20"/>
          <w:szCs w:val="20"/>
          <w:vertAlign w:val="superscript"/>
          <w:lang w:val="es-ES" w:eastAsia="es-ES" w:bidi="es-ES"/>
        </w:rPr>
        <w:footnoteReference w:id="9"/>
      </w:r>
      <w:r w:rsidRPr="00432152">
        <w:rPr>
          <w:rFonts w:ascii="Verdana" w:eastAsia="Arial" w:hAnsi="Verdana" w:cs="Arial"/>
          <w:sz w:val="20"/>
          <w:szCs w:val="20"/>
          <w:lang w:val="es-ES" w:eastAsia="es-ES" w:bidi="es-ES"/>
        </w:rPr>
        <w:t>.</w:t>
      </w:r>
    </w:p>
    <w:p w14:paraId="2E7A801E" w14:textId="77777777" w:rsidR="00B84F0F" w:rsidRDefault="00B84F0F" w:rsidP="00B84F0F">
      <w:pPr>
        <w:spacing w:after="0" w:line="276" w:lineRule="auto"/>
        <w:ind w:left="142" w:firstLine="709"/>
        <w:jc w:val="both"/>
        <w:rPr>
          <w:rFonts w:ascii="Verdana" w:eastAsia="Arial" w:hAnsi="Verdana" w:cs="Arial"/>
          <w:lang w:val="es-ES" w:eastAsia="es-ES" w:bidi="es-ES"/>
        </w:rPr>
      </w:pPr>
    </w:p>
    <w:p w14:paraId="471D6005" w14:textId="7DDD5107" w:rsidR="0082597B" w:rsidRPr="00432152" w:rsidRDefault="0082597B" w:rsidP="009543F7">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 xml:space="preserve">De lo anterior se desprende que </w:t>
      </w:r>
      <w:bookmarkStart w:id="12" w:name="_Hlk77236420"/>
      <w:bookmarkStart w:id="13" w:name="_Hlk78818435"/>
      <w:r w:rsidRPr="00432152">
        <w:rPr>
          <w:rFonts w:ascii="Verdana" w:eastAsia="Arial" w:hAnsi="Verdana" w:cs="Arial"/>
          <w:lang w:val="es-ES" w:eastAsia="es-ES" w:bidi="es-ES"/>
        </w:rPr>
        <w:t xml:space="preserve">la Ley 996 de 2005 establece dos (2) tipos de restricciones en materia de contratación, las cuales coinciden parcialmente. </w:t>
      </w:r>
      <w:r w:rsidRPr="00432152">
        <w:rPr>
          <w:rFonts w:ascii="Verdana" w:eastAsia="Arial" w:hAnsi="Verdana" w:cs="Arial"/>
          <w:i/>
          <w:iCs/>
          <w:lang w:val="es-ES" w:eastAsia="es-ES" w:bidi="es-ES"/>
        </w:rPr>
        <w:t>En primer lugar</w:t>
      </w:r>
      <w:r w:rsidRPr="004321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32152">
        <w:rPr>
          <w:rFonts w:ascii="Verdana" w:eastAsia="Arial" w:hAnsi="Verdana" w:cs="Arial"/>
          <w:i/>
          <w:iCs/>
          <w:lang w:val="es-ES" w:eastAsia="es-ES" w:bidi="es-ES"/>
        </w:rPr>
        <w:t>En segundo lugar</w:t>
      </w:r>
      <w:r w:rsidRPr="004321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2"/>
    </w:p>
    <w:bookmarkEnd w:id="13"/>
    <w:p w14:paraId="4CF97935" w14:textId="77777777" w:rsidR="0082597B" w:rsidRPr="00432152" w:rsidRDefault="0082597B" w:rsidP="009543F7">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19ABB47B" w14:textId="77777777" w:rsidR="0082597B" w:rsidRPr="00432152" w:rsidRDefault="0082597B" w:rsidP="009543F7">
      <w:pPr>
        <w:spacing w:after="0" w:line="276" w:lineRule="auto"/>
        <w:ind w:firstLine="708"/>
        <w:jc w:val="both"/>
        <w:rPr>
          <w:rFonts w:ascii="Verdana" w:eastAsia="Arial" w:hAnsi="Verdana" w:cs="Arial"/>
          <w:lang w:val="es-ES" w:eastAsia="es-ES" w:bidi="es-ES"/>
        </w:rPr>
      </w:pPr>
      <w:r w:rsidRPr="004321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w:t>
      </w:r>
      <w:r w:rsidRPr="00432152">
        <w:rPr>
          <w:rFonts w:ascii="Verdana" w:eastAsia="Arial" w:hAnsi="Verdana" w:cs="Arial"/>
          <w:lang w:val="es-ES" w:eastAsia="es-ES" w:bidi="es-ES"/>
        </w:rPr>
        <w:lastRenderedPageBreak/>
        <w:t xml:space="preserve">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6196A0C3" w14:textId="77777777" w:rsidR="007851C7" w:rsidRDefault="007851C7" w:rsidP="007851C7">
      <w:pPr>
        <w:spacing w:after="0" w:line="276" w:lineRule="auto"/>
        <w:jc w:val="both"/>
        <w:rPr>
          <w:rFonts w:ascii="Verdana" w:eastAsia="Calibri" w:hAnsi="Verdana" w:cs="Arial"/>
          <w:bCs/>
          <w:lang w:val="es-ES" w:eastAsia="es-CO"/>
        </w:rPr>
      </w:pPr>
    </w:p>
    <w:p w14:paraId="6B379E6F" w14:textId="054FCDCB" w:rsidR="0082597B" w:rsidRDefault="0082597B" w:rsidP="007851C7">
      <w:pPr>
        <w:spacing w:after="0" w:line="276" w:lineRule="auto"/>
        <w:jc w:val="both"/>
        <w:rPr>
          <w:rFonts w:ascii="Verdana" w:eastAsia="Calibri" w:hAnsi="Verdana" w:cs="Arial"/>
          <w:lang w:val="es-ES_tradnl" w:eastAsia="es-CO"/>
        </w:rPr>
      </w:pPr>
      <w:r w:rsidRPr="004D4D54">
        <w:rPr>
          <w:rFonts w:ascii="Verdana" w:eastAsia="Calibri" w:hAnsi="Verdana" w:cs="Arial"/>
          <w:bCs/>
          <w:lang w:val="es-ES" w:eastAsia="es-CO"/>
        </w:rPr>
        <w:t>i</w:t>
      </w:r>
      <w:r w:rsidR="00DB0A00">
        <w:rPr>
          <w:rFonts w:ascii="Verdana" w:eastAsia="Calibri" w:hAnsi="Verdana" w:cs="Arial"/>
          <w:bCs/>
          <w:lang w:val="es-ES" w:eastAsia="es-CO"/>
        </w:rPr>
        <w:t>i.</w:t>
      </w:r>
      <w:r w:rsidRPr="00432152">
        <w:rPr>
          <w:rFonts w:ascii="Verdana" w:eastAsia="Calibri" w:hAnsi="Verdana" w:cs="Arial"/>
          <w:bCs/>
          <w:lang w:val="es-ES_tradnl" w:eastAsia="x-none"/>
        </w:rPr>
        <w:t xml:space="preserve">El ámbito material de la prohibición contenida en el artículo 33 de la ley 996 de 2005 está delimitado por la expresión </w:t>
      </w:r>
      <w:r w:rsidR="00356D16">
        <w:rPr>
          <w:rFonts w:ascii="Verdana" w:eastAsia="Calibri" w:hAnsi="Verdana" w:cs="Arial"/>
          <w:bCs/>
          <w:lang w:val="es-ES_tradnl" w:eastAsia="es-ES_tradnl"/>
        </w:rPr>
        <w:t>“</w:t>
      </w:r>
      <w:r w:rsidRPr="00432152">
        <w:rPr>
          <w:rFonts w:ascii="Verdana" w:eastAsia="Calibri" w:hAnsi="Verdana" w:cs="Arial"/>
          <w:bCs/>
          <w:lang w:val="es-ES_tradnl" w:eastAsia="x-none"/>
        </w:rPr>
        <w:t>queda prohibida la contratación directa</w:t>
      </w:r>
      <w:r w:rsidR="00356D16">
        <w:rPr>
          <w:rFonts w:ascii="Verdana" w:eastAsia="Calibri" w:hAnsi="Verdana" w:cs="Arial"/>
          <w:lang w:val="es-ES_tradnl" w:eastAsia="es-ES_tradnl"/>
        </w:rPr>
        <w:t>”</w:t>
      </w:r>
      <w:r w:rsidRPr="00432152">
        <w:rPr>
          <w:rFonts w:ascii="Verdana" w:eastAsia="Calibri" w:hAnsi="Verdana" w:cs="Arial"/>
          <w:bCs/>
          <w:lang w:val="es-ES_tradnl" w:eastAsia="x-none"/>
        </w:rPr>
        <w:t xml:space="preserve">. </w:t>
      </w:r>
      <w:r w:rsidRPr="00432152">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6E564E29" w14:textId="77777777" w:rsidR="007851C7" w:rsidRPr="00432152" w:rsidRDefault="007851C7" w:rsidP="007851C7">
      <w:pPr>
        <w:spacing w:after="0" w:line="276" w:lineRule="auto"/>
        <w:jc w:val="both"/>
        <w:rPr>
          <w:rFonts w:ascii="Verdana" w:eastAsia="Calibri" w:hAnsi="Verdana" w:cs="Arial"/>
          <w:bCs/>
          <w:lang w:val="es-ES_tradnl" w:eastAsia="es-CO"/>
        </w:rPr>
      </w:pPr>
    </w:p>
    <w:p w14:paraId="4FC5FAAA" w14:textId="77777777" w:rsidR="0082597B" w:rsidRDefault="0082597B" w:rsidP="007851C7">
      <w:pPr>
        <w:spacing w:after="0" w:line="240" w:lineRule="auto"/>
        <w:ind w:left="709" w:right="709"/>
        <w:jc w:val="both"/>
        <w:rPr>
          <w:rFonts w:ascii="Verdana" w:eastAsia="Calibri" w:hAnsi="Verdana" w:cs="Arial"/>
          <w:sz w:val="20"/>
          <w:szCs w:val="20"/>
          <w:lang w:val="es-ES_tradnl" w:eastAsia="es-ES_tradnl"/>
        </w:rPr>
      </w:pPr>
      <w:r w:rsidRPr="00432152">
        <w:rPr>
          <w:rFonts w:ascii="Verdana" w:eastAsia="Calibri" w:hAnsi="Verdana" w:cs="Arial"/>
          <w:sz w:val="20"/>
          <w:szCs w:val="20"/>
          <w:lang w:val="es-ES_tradnl" w:eastAsia="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432152">
        <w:rPr>
          <w:rFonts w:ascii="Verdana" w:eastAsia="Calibri" w:hAnsi="Verdana" w:cs="Arial"/>
          <w:sz w:val="20"/>
          <w:szCs w:val="20"/>
          <w:vertAlign w:val="superscript"/>
          <w:lang w:val="es-ES_tradnl" w:eastAsia="es-CO"/>
        </w:rPr>
        <w:footnoteReference w:id="10"/>
      </w:r>
      <w:r w:rsidRPr="00432152">
        <w:rPr>
          <w:rFonts w:ascii="Verdana" w:eastAsia="Calibri" w:hAnsi="Verdana" w:cs="Arial"/>
          <w:sz w:val="20"/>
          <w:szCs w:val="20"/>
          <w:lang w:val="es-ES_tradnl" w:eastAsia="es-ES_tradnl"/>
        </w:rPr>
        <w:t>.</w:t>
      </w:r>
    </w:p>
    <w:p w14:paraId="2FCCC3E7" w14:textId="77777777" w:rsidR="007851C7" w:rsidRPr="00432152" w:rsidRDefault="007851C7" w:rsidP="007851C7">
      <w:pPr>
        <w:spacing w:after="0" w:line="240" w:lineRule="auto"/>
        <w:ind w:left="709" w:right="709"/>
        <w:jc w:val="both"/>
        <w:rPr>
          <w:rFonts w:ascii="Verdana" w:eastAsia="Calibri" w:hAnsi="Verdana" w:cs="Arial"/>
          <w:sz w:val="20"/>
          <w:szCs w:val="20"/>
          <w:lang w:val="es-ES_tradnl" w:eastAsia="es-ES_tradnl"/>
        </w:rPr>
      </w:pPr>
    </w:p>
    <w:p w14:paraId="792E2CC9" w14:textId="77777777" w:rsidR="0082597B" w:rsidRDefault="0082597B" w:rsidP="007851C7">
      <w:pPr>
        <w:spacing w:after="0" w:line="240" w:lineRule="auto"/>
        <w:ind w:left="709" w:right="709"/>
        <w:jc w:val="both"/>
        <w:rPr>
          <w:rFonts w:ascii="Verdana" w:eastAsia="Calibri" w:hAnsi="Verdana" w:cs="Arial"/>
          <w:sz w:val="20"/>
          <w:szCs w:val="20"/>
          <w:lang w:val="es-ES" w:eastAsia="es-ES"/>
        </w:rPr>
      </w:pPr>
      <w:r w:rsidRPr="4057FCD2">
        <w:rPr>
          <w:rFonts w:ascii="Verdana" w:eastAsia="Calibri" w:hAnsi="Verdana" w:cs="Arial"/>
          <w:sz w:val="20"/>
          <w:szCs w:val="20"/>
          <w:lang w:val="es-ES" w:eastAsia="es-ES"/>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4057FCD2">
        <w:rPr>
          <w:rFonts w:ascii="Verdana" w:eastAsia="Calibri" w:hAnsi="Verdana" w:cs="Arial"/>
          <w:sz w:val="20"/>
          <w:szCs w:val="20"/>
          <w:vertAlign w:val="superscript"/>
          <w:lang w:val="es-ES" w:eastAsia="es-ES"/>
        </w:rPr>
        <w:footnoteReference w:id="11"/>
      </w:r>
      <w:r w:rsidRPr="4057FCD2">
        <w:rPr>
          <w:rFonts w:ascii="Verdana" w:eastAsia="Calibri" w:hAnsi="Verdana" w:cs="Arial"/>
          <w:sz w:val="20"/>
          <w:szCs w:val="20"/>
          <w:vertAlign w:val="superscript"/>
          <w:lang w:val="es-ES" w:eastAsia="es-ES"/>
        </w:rPr>
        <w:t>.</w:t>
      </w:r>
      <w:r w:rsidRPr="4057FCD2">
        <w:rPr>
          <w:rFonts w:ascii="Verdana" w:eastAsia="Calibri" w:hAnsi="Verdana" w:cs="Arial"/>
          <w:sz w:val="20"/>
          <w:szCs w:val="20"/>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4057FCD2">
        <w:rPr>
          <w:rFonts w:ascii="Verdana" w:eastAsia="Calibri" w:hAnsi="Verdana" w:cs="Arial"/>
          <w:sz w:val="20"/>
          <w:szCs w:val="20"/>
          <w:vertAlign w:val="superscript"/>
          <w:lang w:val="es-ES" w:eastAsia="es-CO"/>
        </w:rPr>
        <w:footnoteReference w:id="12"/>
      </w:r>
      <w:r w:rsidRPr="4057FCD2">
        <w:rPr>
          <w:rFonts w:ascii="Verdana" w:eastAsia="Calibri" w:hAnsi="Verdana" w:cs="Arial"/>
          <w:sz w:val="20"/>
          <w:szCs w:val="20"/>
          <w:lang w:val="es-ES" w:eastAsia="es-ES"/>
        </w:rPr>
        <w:t xml:space="preserve"> .</w:t>
      </w:r>
    </w:p>
    <w:p w14:paraId="35D450E9" w14:textId="77777777" w:rsidR="007851C7" w:rsidRPr="00432152" w:rsidRDefault="007851C7" w:rsidP="007851C7">
      <w:pPr>
        <w:spacing w:after="0" w:line="240" w:lineRule="auto"/>
        <w:ind w:left="709" w:right="709"/>
        <w:jc w:val="both"/>
        <w:rPr>
          <w:rFonts w:ascii="Verdana" w:eastAsia="Calibri" w:hAnsi="Verdana" w:cs="Arial"/>
          <w:sz w:val="20"/>
          <w:szCs w:val="20"/>
          <w:lang w:val="es-ES" w:eastAsia="es-ES"/>
        </w:rPr>
      </w:pPr>
    </w:p>
    <w:p w14:paraId="7B7923D6" w14:textId="77777777" w:rsidR="0082597B" w:rsidRPr="00432152" w:rsidRDefault="0082597B" w:rsidP="007851C7">
      <w:pPr>
        <w:spacing w:after="120" w:line="276" w:lineRule="auto"/>
        <w:ind w:firstLine="708"/>
        <w:jc w:val="both"/>
        <w:rPr>
          <w:rFonts w:ascii="Verdana" w:eastAsia="Times New Roman" w:hAnsi="Verdana" w:cs="Arial"/>
          <w:bCs/>
          <w:lang w:val="es-ES_tradnl" w:eastAsia="x-none"/>
        </w:rPr>
      </w:pPr>
      <w:r w:rsidRPr="00432152">
        <w:rPr>
          <w:rFonts w:ascii="Verdana" w:eastAsia="Calibri" w:hAnsi="Verdana" w:cs="Arial"/>
          <w:lang w:val="es-ES_tradnl" w:eastAsia="x-none"/>
        </w:rPr>
        <w:t xml:space="preserve">De acuerdo con el citado concepto, la prohibición del artículo 33 de la Ley de Garantías Electorales se refiere a </w:t>
      </w:r>
      <w:r>
        <w:rPr>
          <w:rFonts w:ascii="Verdana" w:eastAsia="Calibri" w:hAnsi="Verdana" w:cs="Arial"/>
          <w:lang w:val="es-ES_tradnl" w:eastAsia="en-GB"/>
        </w:rPr>
        <w:t>“</w:t>
      </w:r>
      <w:r w:rsidRPr="00432152">
        <w:rPr>
          <w:rFonts w:ascii="Verdana" w:eastAsia="Calibri" w:hAnsi="Verdana" w:cs="Arial"/>
          <w:lang w:val="es-ES_tradnl" w:eastAsia="x-none"/>
        </w:rPr>
        <w:t>cualquier sistema que no implique convocatoria pública y posibilidad de pluralidad de oferentes</w:t>
      </w:r>
      <w:r>
        <w:rPr>
          <w:rFonts w:ascii="Verdana" w:eastAsia="Calibri" w:hAnsi="Verdana" w:cs="Arial"/>
          <w:lang w:val="es-ES_tradnl" w:eastAsia="en-GB"/>
        </w:rPr>
        <w:t>”</w:t>
      </w:r>
      <w:r w:rsidRPr="00432152">
        <w:rPr>
          <w:rFonts w:ascii="Verdana" w:eastAsia="Calibri" w:hAnsi="Verdana" w:cs="Arial"/>
          <w:lang w:val="es-ES_tradnl" w:eastAsia="x-none"/>
        </w:rPr>
        <w:t xml:space="preserve">, por lo que excluye </w:t>
      </w:r>
      <w:r w:rsidRPr="00432152">
        <w:rPr>
          <w:rFonts w:ascii="Verdana" w:eastAsia="Calibri" w:hAnsi="Verdana" w:cs="Arial"/>
          <w:lang w:val="es-ES_tradnl" w:eastAsia="x-none"/>
        </w:rPr>
        <w:lastRenderedPageBreak/>
        <w:t xml:space="preserve">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432152">
        <w:rPr>
          <w:rFonts w:ascii="Verdana" w:eastAsia="Calibri" w:hAnsi="Verdana" w:cs="Arial"/>
          <w:color w:val="000000"/>
          <w:lang w:val="es-ES_tradnl" w:eastAsia="x-none"/>
        </w:rPr>
        <w:t>además lo es con la posterior creación de la modalidad de mínima cuantía establecida actualmente en el numeral 5 del artículo 2 de la Ley 1150 de 2007, de acuerdo con las modificaciones realizadas por leyes posteriores</w:t>
      </w:r>
      <w:r w:rsidRPr="00432152">
        <w:rPr>
          <w:rFonts w:ascii="Verdana" w:eastAsia="Calibri" w:hAnsi="Verdana" w:cs="Arial"/>
          <w:color w:val="000000"/>
          <w:vertAlign w:val="superscript"/>
          <w:lang w:val="es-ES_tradnl" w:eastAsia="x-none"/>
        </w:rPr>
        <w:footnoteReference w:id="13"/>
      </w:r>
      <w:r w:rsidRPr="00432152">
        <w:rPr>
          <w:rFonts w:ascii="Verdana" w:eastAsia="Calibri" w:hAnsi="Verdana" w:cs="Arial"/>
          <w:color w:val="000000"/>
          <w:lang w:val="es-ES_tradnl" w:eastAsia="x-none"/>
        </w:rPr>
        <w:t>.</w:t>
      </w:r>
      <w:r w:rsidRPr="00432152">
        <w:rPr>
          <w:rFonts w:ascii="Verdana" w:eastAsia="Times New Roman" w:hAnsi="Verdana" w:cs="Arial"/>
          <w:lang w:val="es-ES_tradnl" w:eastAsia="x-none"/>
        </w:rPr>
        <w:t xml:space="preserve"> </w:t>
      </w:r>
    </w:p>
    <w:p w14:paraId="7160BCA7" w14:textId="7B79D4E3" w:rsidR="0082597B" w:rsidRPr="00432152" w:rsidRDefault="0082597B" w:rsidP="007851C7">
      <w:pPr>
        <w:spacing w:after="120" w:line="276" w:lineRule="auto"/>
        <w:ind w:firstLine="708"/>
        <w:jc w:val="both"/>
        <w:rPr>
          <w:rFonts w:ascii="Verdana" w:eastAsia="Calibri" w:hAnsi="Verdana" w:cs="Arial"/>
          <w:lang w:val="es-ES_tradnl" w:eastAsia="x-none"/>
        </w:rPr>
      </w:pPr>
      <w:r w:rsidRPr="00432152">
        <w:rPr>
          <w:rFonts w:ascii="Verdana" w:eastAsia="Calibri" w:hAnsi="Verdana" w:cs="Arial"/>
          <w:lang w:val="es-ES_tradnl" w:eastAsia="x-none"/>
        </w:rPr>
        <w:t xml:space="preserve">De esta forma, con fundamento en la evolución de la normativa sobre la contratación pública, se ha depurado la noción de </w:t>
      </w:r>
      <w:r>
        <w:rPr>
          <w:rFonts w:ascii="Verdana" w:eastAsia="Calibri" w:hAnsi="Verdana" w:cs="Arial"/>
          <w:lang w:val="es-ES_tradnl" w:eastAsia="en-GB"/>
        </w:rPr>
        <w:t>“</w:t>
      </w:r>
      <w:r w:rsidRPr="00432152">
        <w:rPr>
          <w:rFonts w:ascii="Verdana" w:eastAsia="Calibri" w:hAnsi="Verdana" w:cs="Arial"/>
          <w:lang w:val="es-ES_tradnl" w:eastAsia="x-none"/>
        </w:rPr>
        <w:t>contratación directa</w:t>
      </w:r>
      <w:r>
        <w:rPr>
          <w:rFonts w:ascii="Verdana" w:eastAsia="Calibri" w:hAnsi="Verdana" w:cs="Arial"/>
          <w:lang w:val="es-ES_tradnl" w:eastAsia="en-GB"/>
        </w:rPr>
        <w:t>”</w:t>
      </w:r>
      <w:r w:rsidRPr="00432152">
        <w:rPr>
          <w:rFonts w:ascii="Verdana" w:eastAsia="Calibri" w:hAnsi="Verdana" w:cs="Arial"/>
          <w:lang w:val="es-ES_tradnl" w:eastAsia="x-none"/>
        </w:rPr>
        <w:t xml:space="preserve">, precisando el Consejo de Estado –en el concepto citado– que, </w:t>
      </w:r>
      <w:r>
        <w:rPr>
          <w:rFonts w:ascii="Verdana" w:eastAsia="Calibri" w:hAnsi="Verdana" w:cs="Arial"/>
          <w:lang w:val="es-ES_tradnl" w:eastAsia="x-none"/>
        </w:rPr>
        <w:t>“</w:t>
      </w:r>
      <w:r w:rsidRPr="00432152">
        <w:rPr>
          <w:rFonts w:ascii="Verdana" w:eastAsia="Calibri" w:hAnsi="Verdana" w:cs="Arial"/>
          <w:lang w:val="es-ES_tradnl"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432152">
        <w:rPr>
          <w:rFonts w:ascii="Verdana" w:eastAsia="Calibri" w:hAnsi="Verdana" w:cs="Arial"/>
          <w:vertAlign w:val="superscript"/>
          <w:lang w:val="en-GB" w:eastAsia="x-none"/>
        </w:rPr>
        <w:footnoteReference w:id="14"/>
      </w:r>
      <w:r w:rsidRPr="00432152">
        <w:rPr>
          <w:rFonts w:ascii="Verdana" w:eastAsia="Calibri" w:hAnsi="Verdana" w:cs="Arial"/>
          <w:lang w:val="es-ES_tradnl" w:eastAsia="x-none"/>
        </w:rPr>
        <w:t>, han establecido sistemas de contratación que implican convocatoria pública y participación de varios oferentes</w:t>
      </w:r>
      <w:r w:rsidR="00346456">
        <w:rPr>
          <w:rFonts w:ascii="Verdana" w:eastAsia="Calibri" w:hAnsi="Verdana" w:cs="Arial"/>
          <w:lang w:val="es-ES_tradnl" w:eastAsia="en-GB"/>
        </w:rPr>
        <w:t>”</w:t>
      </w:r>
      <w:r w:rsidRPr="00432152">
        <w:rPr>
          <w:rFonts w:ascii="Verdana" w:eastAsia="Calibri" w:hAnsi="Verdana" w:cs="Arial"/>
          <w:lang w:val="es-ES_tradnl" w:eastAsia="x-none"/>
        </w:rPr>
        <w:t xml:space="preserve">. </w:t>
      </w:r>
    </w:p>
    <w:p w14:paraId="273252DF" w14:textId="03AF168F" w:rsidR="0082597B" w:rsidRPr="00432152" w:rsidRDefault="0082597B" w:rsidP="007851C7">
      <w:pPr>
        <w:spacing w:after="120" w:line="276" w:lineRule="auto"/>
        <w:ind w:firstLine="708"/>
        <w:jc w:val="both"/>
        <w:rPr>
          <w:rFonts w:ascii="Verdana" w:eastAsia="Calibri" w:hAnsi="Verdana" w:cs="Arial"/>
          <w:bCs/>
          <w:lang w:val="es-ES_tradnl" w:eastAsia="es-CO"/>
        </w:rPr>
      </w:pPr>
      <w:r w:rsidRPr="00432152">
        <w:rPr>
          <w:rFonts w:ascii="Verdana" w:eastAsia="Calibri" w:hAnsi="Verdana" w:cs="Arial"/>
          <w:bCs/>
          <w:lang w:val="es-ES_tradnl" w:eastAsia="x-none"/>
        </w:rPr>
        <w:t>E</w:t>
      </w:r>
      <w:r w:rsidRPr="00432152">
        <w:rPr>
          <w:rFonts w:ascii="Verdana" w:eastAsia="Calibri" w:hAnsi="Verdana" w:cs="Arial"/>
          <w:lang w:val="es-ES_tradnl"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00476534">
        <w:rPr>
          <w:rFonts w:ascii="Verdana" w:eastAsia="Calibri" w:hAnsi="Verdana" w:cs="Arial"/>
          <w:lang w:val="es-ES_tradnl" w:eastAsia="x-none"/>
        </w:rPr>
        <w:t>“</w:t>
      </w:r>
      <w:r w:rsidRPr="00432152">
        <w:rPr>
          <w:rFonts w:ascii="Verdana" w:eastAsia="Calibri" w:hAnsi="Verdana" w:cs="Arial"/>
          <w:lang w:val="es-ES_tradnl" w:eastAsia="x-none"/>
        </w:rPr>
        <w:t>contratación directa</w:t>
      </w:r>
      <w:r w:rsidR="00346456">
        <w:rPr>
          <w:rFonts w:ascii="Verdana" w:eastAsia="Calibri" w:hAnsi="Verdana" w:cs="Arial"/>
          <w:lang w:val="es-ES_tradnl" w:eastAsia="x-none"/>
        </w:rPr>
        <w:t>”</w:t>
      </w:r>
      <w:r w:rsidRPr="00432152">
        <w:rPr>
          <w:rFonts w:ascii="Verdana" w:eastAsia="Calibri" w:hAnsi="Verdana" w:cs="Arial"/>
          <w:lang w:val="es-ES_tradnl" w:eastAsia="x-none"/>
        </w:rPr>
        <w:t>, es que la convocatoria para inscribirse en forma previa se haga de manera pública, y que se permita la participación de una pluralidad de oferentes</w:t>
      </w:r>
      <w:r w:rsidRPr="00432152">
        <w:rPr>
          <w:rFonts w:ascii="Verdana" w:eastAsia="Calibri" w:hAnsi="Verdana" w:cs="Arial"/>
          <w:vertAlign w:val="superscript"/>
          <w:lang w:val="es-ES_tradnl" w:eastAsia="x-none"/>
        </w:rPr>
        <w:footnoteReference w:id="15"/>
      </w:r>
      <w:r w:rsidRPr="00432152">
        <w:rPr>
          <w:rFonts w:ascii="Verdana" w:eastAsia="Calibri" w:hAnsi="Verdana" w:cs="Arial"/>
          <w:lang w:val="es-ES_tradnl" w:eastAsia="x-none"/>
        </w:rPr>
        <w:t xml:space="preserve">. </w:t>
      </w:r>
    </w:p>
    <w:p w14:paraId="50A206C2" w14:textId="33705C05" w:rsidR="0082597B" w:rsidRPr="00432152" w:rsidRDefault="0082597B" w:rsidP="007851C7">
      <w:pPr>
        <w:spacing w:after="120" w:line="276" w:lineRule="auto"/>
        <w:ind w:firstLine="708"/>
        <w:jc w:val="both"/>
        <w:rPr>
          <w:rFonts w:ascii="Verdana" w:eastAsia="Calibri" w:hAnsi="Verdana" w:cs="Arial"/>
          <w:lang w:val="es-ES" w:eastAsia="es-CO"/>
        </w:rPr>
      </w:pPr>
      <w:r w:rsidRPr="4057FCD2">
        <w:rPr>
          <w:rFonts w:ascii="Verdana" w:eastAsia="Calibri" w:hAnsi="Verdana" w:cs="Arial"/>
          <w:lang w:val="es-ES" w:eastAsia="es-CO"/>
        </w:rPr>
        <w:lastRenderedPageBreak/>
        <w:t>Como se advierte de lo anterior, el Consejo de Estado realiza una interpretación amplia de la contratación directa, para efectos de aplicar las restricciones establecidas en la Ley de Garantías</w:t>
      </w:r>
      <w:r w:rsidR="00544575">
        <w:rPr>
          <w:rFonts w:ascii="Verdana" w:eastAsia="Calibri" w:hAnsi="Verdana" w:cs="Arial"/>
          <w:lang w:val="es-ES" w:eastAsia="es-CO"/>
        </w:rPr>
        <w:t xml:space="preserve"> Electorales</w:t>
      </w:r>
      <w:r w:rsidRPr="4057FCD2">
        <w:rPr>
          <w:rFonts w:ascii="Verdana" w:eastAsia="Calibri" w:hAnsi="Verdana" w:cs="Arial"/>
          <w:lang w:val="es-ES"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00122A17">
        <w:rPr>
          <w:rFonts w:ascii="Verdana" w:eastAsia="Calibri" w:hAnsi="Verdana" w:cs="Arial"/>
          <w:lang w:val="es-ES" w:eastAsia="es-CO"/>
        </w:rPr>
        <w:t>“</w:t>
      </w:r>
      <w:r w:rsidRPr="4057FCD2">
        <w:rPr>
          <w:rFonts w:ascii="Verdana" w:eastAsia="Calibri" w:hAnsi="Verdana" w:cs="Arial"/>
          <w:lang w:val="es-ES" w:eastAsia="es-CO"/>
        </w:rPr>
        <w:t>contratación directa</w:t>
      </w:r>
      <w:r w:rsidR="00122A17">
        <w:rPr>
          <w:rFonts w:ascii="Verdana" w:eastAsia="Calibri" w:hAnsi="Verdana" w:cs="Arial"/>
          <w:lang w:val="es-ES" w:eastAsia="es-CO"/>
        </w:rPr>
        <w:t>”</w:t>
      </w:r>
      <w:r w:rsidRPr="4057FCD2">
        <w:rPr>
          <w:rFonts w:ascii="Verdana" w:eastAsia="Calibri" w:hAnsi="Verdana" w:cs="Arial"/>
          <w:lang w:val="es-ES" w:eastAsia="es-CO"/>
        </w:rPr>
        <w:t>.</w:t>
      </w:r>
    </w:p>
    <w:p w14:paraId="72EA20D5" w14:textId="0F3DE20B" w:rsidR="0082597B" w:rsidRPr="00432152" w:rsidRDefault="0082597B" w:rsidP="007851C7">
      <w:pPr>
        <w:spacing w:after="120" w:line="276" w:lineRule="auto"/>
        <w:ind w:firstLine="708"/>
        <w:jc w:val="both"/>
        <w:rPr>
          <w:rFonts w:ascii="Verdana" w:eastAsia="Calibri" w:hAnsi="Verdana" w:cs="Arial"/>
          <w:bCs/>
          <w:lang w:val="es-ES_tradnl" w:eastAsia="x-none"/>
        </w:rPr>
      </w:pPr>
      <w:r w:rsidRPr="00432152">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contenida en su artículo 33, </w:t>
      </w:r>
      <w:r w:rsidR="00122A17">
        <w:rPr>
          <w:rFonts w:ascii="Verdana" w:eastAsia="Calibri" w:hAnsi="Verdana" w:cs="Arial"/>
          <w:bCs/>
          <w:lang w:val="es-ES_tradnl" w:eastAsia="x-none"/>
        </w:rPr>
        <w:t>“</w:t>
      </w:r>
      <w:r w:rsidRPr="00432152">
        <w:rPr>
          <w:rFonts w:ascii="Verdana" w:eastAsia="Calibri" w:hAnsi="Verdana" w:cs="Arial"/>
          <w:bCs/>
          <w:lang w:val="es-ES_tradnl" w:eastAsia="x-none"/>
        </w:rPr>
        <w:t>contratación directa</w:t>
      </w:r>
      <w:r w:rsidR="00122A17">
        <w:rPr>
          <w:rFonts w:ascii="Verdana" w:eastAsia="Calibri" w:hAnsi="Verdana" w:cs="Arial"/>
          <w:bCs/>
          <w:lang w:val="es-ES_tradnl" w:eastAsia="x-none"/>
        </w:rPr>
        <w:t>”</w:t>
      </w:r>
      <w:r w:rsidRPr="00432152">
        <w:rPr>
          <w:rFonts w:ascii="Verdana" w:eastAsia="Calibri" w:hAnsi="Verdana" w:cs="Arial"/>
          <w:bCs/>
          <w:lang w:val="es-ES_tradnl"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432152">
        <w:rPr>
          <w:rFonts w:ascii="Verdana" w:eastAsia="Calibri" w:hAnsi="Verdana" w:cs="Arial"/>
          <w:vertAlign w:val="superscript"/>
          <w:lang w:val="es-ES_tradnl" w:eastAsia="x-none"/>
        </w:rPr>
        <w:footnoteReference w:id="16"/>
      </w:r>
      <w:r w:rsidRPr="00432152">
        <w:rPr>
          <w:rFonts w:ascii="Verdana" w:eastAsia="Calibri" w:hAnsi="Verdana" w:cs="Arial"/>
          <w:bCs/>
          <w:lang w:val="es-ES_tradnl" w:eastAsia="x-none"/>
        </w:rPr>
        <w:t>.</w:t>
      </w:r>
      <w:r w:rsidRPr="00432152">
        <w:rPr>
          <w:rFonts w:ascii="Verdana" w:eastAsia="Calibri" w:hAnsi="Verdana" w:cs="Arial"/>
          <w:vertAlign w:val="superscript"/>
          <w:lang w:val="es-ES_tradnl" w:eastAsia="x-none"/>
        </w:rPr>
        <w:t xml:space="preserve"> </w:t>
      </w:r>
    </w:p>
    <w:p w14:paraId="1AFA7BD9" w14:textId="77777777" w:rsidR="0082597B" w:rsidRPr="00432152" w:rsidRDefault="0082597B" w:rsidP="007851C7">
      <w:pPr>
        <w:spacing w:after="120" w:line="276" w:lineRule="auto"/>
        <w:ind w:firstLine="708"/>
        <w:jc w:val="both"/>
        <w:rPr>
          <w:rFonts w:ascii="Verdana" w:eastAsia="Calibri" w:hAnsi="Verdana" w:cs="Arial"/>
          <w:lang w:val="es-ES_tradnl" w:eastAsia="x-none"/>
        </w:rPr>
      </w:pPr>
      <w:r w:rsidRPr="00432152">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432152">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166E0009" w14:textId="77777777" w:rsidR="0082597B" w:rsidRPr="00432152" w:rsidRDefault="0082597B" w:rsidP="007851C7">
      <w:pPr>
        <w:spacing w:after="120" w:line="276" w:lineRule="auto"/>
        <w:ind w:firstLine="708"/>
        <w:jc w:val="both"/>
        <w:rPr>
          <w:rFonts w:ascii="Verdana" w:eastAsia="Calibri" w:hAnsi="Verdana" w:cs="Arial"/>
          <w:lang w:val="es-ES"/>
        </w:rPr>
      </w:pPr>
      <w:r w:rsidRPr="4057FCD2">
        <w:rPr>
          <w:rFonts w:ascii="Verdana" w:eastAsia="Calibri" w:hAnsi="Verdana" w:cs="Arial"/>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150428B2" w14:textId="522C656E" w:rsidR="0082597B" w:rsidRPr="00432152" w:rsidRDefault="0082597B" w:rsidP="007851C7">
      <w:pPr>
        <w:spacing w:after="120" w:line="276" w:lineRule="auto"/>
        <w:ind w:firstLine="708"/>
        <w:jc w:val="both"/>
        <w:rPr>
          <w:rFonts w:ascii="Verdana" w:eastAsia="Calibri" w:hAnsi="Verdana" w:cs="Arial"/>
          <w:lang w:val="es-ES" w:eastAsia="es-CO"/>
        </w:rPr>
      </w:pPr>
      <w:r w:rsidRPr="4057FCD2">
        <w:rPr>
          <w:rFonts w:ascii="Verdana" w:eastAsia="Calibri" w:hAnsi="Verdana" w:cs="Arial"/>
          <w:lang w:val="es-ES"/>
        </w:rPr>
        <w:t>De otro lado, las excepciones a la restricción prevista en la Ley de Garantías</w:t>
      </w:r>
      <w:r w:rsidR="00C83094">
        <w:rPr>
          <w:rFonts w:ascii="Verdana" w:eastAsia="Calibri" w:hAnsi="Verdana" w:cs="Arial"/>
          <w:lang w:val="es-ES"/>
        </w:rPr>
        <w:t xml:space="preserve"> Electorales</w:t>
      </w:r>
      <w:r w:rsidRPr="4057FCD2">
        <w:rPr>
          <w:rFonts w:ascii="Verdana" w:eastAsia="Calibri" w:hAnsi="Verdana" w:cs="Arial"/>
          <w:lang w:val="es-ES"/>
        </w:rPr>
        <w:t xml:space="preserve">,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w:t>
      </w:r>
      <w:r w:rsidRPr="4057FCD2">
        <w:rPr>
          <w:rFonts w:ascii="Verdana" w:eastAsia="Calibri" w:hAnsi="Verdana" w:cs="Arial"/>
          <w:lang w:val="es-ES"/>
        </w:rPr>
        <w:lastRenderedPageBreak/>
        <w:t>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4057FCD2">
        <w:rPr>
          <w:rFonts w:ascii="Verdana" w:eastAsia="Calibri" w:hAnsi="Verdana" w:cs="Arial"/>
          <w:lang w:val="es-ES"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B99FCD2" w14:textId="3AE6AE59" w:rsidR="0082597B" w:rsidRPr="00432152" w:rsidRDefault="0082597B" w:rsidP="007851C7">
      <w:pPr>
        <w:spacing w:after="120" w:line="276" w:lineRule="auto"/>
        <w:ind w:firstLine="708"/>
        <w:jc w:val="both"/>
        <w:rPr>
          <w:rFonts w:ascii="Verdana" w:eastAsia="Calibri" w:hAnsi="Verdana" w:cs="Arial"/>
          <w:bCs/>
          <w:lang w:val="es-ES_tradnl" w:eastAsia="x-none"/>
        </w:rPr>
      </w:pPr>
      <w:r w:rsidRPr="00432152">
        <w:rPr>
          <w:rFonts w:ascii="Verdana" w:eastAsia="Calibri" w:hAnsi="Verdana" w:cs="Arial"/>
          <w:bCs/>
          <w:lang w:val="es-ES_tradnl" w:eastAsia="x-none"/>
        </w:rPr>
        <w:t>En esta labor es importante tener en cuenta, como lo anotó la Corte Constitucional, en Sentencia C-1153 de noviembre 11 de 2005</w:t>
      </w:r>
      <w:r w:rsidRPr="00432152">
        <w:rPr>
          <w:rFonts w:ascii="Verdana" w:eastAsia="Calibri" w:hAnsi="Verdana" w:cs="Calibri"/>
          <w:vertAlign w:val="superscript"/>
          <w:lang w:val="es-ES_tradnl" w:eastAsia="es-ES_tradnl"/>
        </w:rPr>
        <w:t>,</w:t>
      </w:r>
      <w:r w:rsidRPr="00432152">
        <w:rPr>
          <w:rFonts w:ascii="Verdana" w:eastAsia="Calibri" w:hAnsi="Verdana" w:cs="Arial"/>
          <w:bCs/>
          <w:lang w:val="es-ES_tradnl"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00122A17">
        <w:rPr>
          <w:rFonts w:ascii="Verdana" w:eastAsia="Calibri" w:hAnsi="Verdana" w:cs="Arial"/>
          <w:bCs/>
          <w:lang w:val="es-ES_tradnl" w:eastAsia="x-none"/>
        </w:rPr>
        <w:t>”</w:t>
      </w:r>
      <w:r w:rsidRPr="00432152">
        <w:rPr>
          <w:rFonts w:ascii="Verdana" w:eastAsia="Calibri" w:hAnsi="Verdana" w:cs="Arial"/>
          <w:vertAlign w:val="superscript"/>
          <w:lang w:val="es-ES_tradnl" w:eastAsia="es-ES_tradnl"/>
        </w:rPr>
        <w:footnoteReference w:id="17"/>
      </w:r>
      <w:r w:rsidRPr="00432152">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D84DB0E" w14:textId="22E7B381" w:rsidR="0082597B" w:rsidRPr="00432152" w:rsidRDefault="0082597B" w:rsidP="007851C7">
      <w:pPr>
        <w:spacing w:after="120" w:line="276" w:lineRule="auto"/>
        <w:ind w:firstLine="709"/>
        <w:jc w:val="both"/>
        <w:rPr>
          <w:rFonts w:ascii="Verdana" w:eastAsia="Times New Roman" w:hAnsi="Verdana" w:cs="Arial"/>
          <w:bCs/>
          <w:lang w:val="es-MX" w:eastAsia="es-CO"/>
        </w:rPr>
      </w:pPr>
      <w:r w:rsidRPr="00432152">
        <w:rPr>
          <w:rFonts w:ascii="Verdana" w:eastAsia="Calibri" w:hAnsi="Verdana" w:cs="Arial"/>
          <w:bCs/>
          <w:color w:val="000000"/>
          <w:lang w:val="es-MX" w:eastAsia="x-none"/>
        </w:rPr>
        <w:t>En relación con los destinatarios de la restricción analizada</w:t>
      </w:r>
      <w:r w:rsidRPr="00432152">
        <w:rPr>
          <w:rFonts w:ascii="Verdana" w:eastAsia="Times New Roman" w:hAnsi="Verdana" w:cs="Arial"/>
          <w:bCs/>
          <w:lang w:val="es-MX" w:eastAsia="x-none"/>
        </w:rPr>
        <w:t xml:space="preserve">, el artículo 33 de la Ley 996 de 2005 señala expresamente a los destinatarios de la prohibición, en el sentido de que son </w:t>
      </w:r>
      <w:r w:rsidR="00122A17">
        <w:rPr>
          <w:rFonts w:ascii="Verdana" w:eastAsia="Times New Roman" w:hAnsi="Verdana" w:cs="Arial"/>
          <w:bCs/>
          <w:lang w:val="es-MX" w:eastAsia="x-none"/>
        </w:rPr>
        <w:t>“</w:t>
      </w:r>
      <w:r w:rsidRPr="00432152">
        <w:rPr>
          <w:rFonts w:ascii="Verdana" w:eastAsia="Times New Roman" w:hAnsi="Verdana" w:cs="Arial"/>
          <w:bCs/>
          <w:lang w:val="es-MX" w:eastAsia="x-none"/>
        </w:rPr>
        <w:t>todos los entes del Estado</w:t>
      </w:r>
      <w:r w:rsidR="00457CAB">
        <w:rPr>
          <w:rFonts w:ascii="Verdana" w:eastAsia="Times New Roman" w:hAnsi="Verdana" w:cs="Arial"/>
          <w:bCs/>
          <w:lang w:val="es-MX" w:eastAsia="x-none"/>
        </w:rPr>
        <w:t>”</w:t>
      </w:r>
      <w:r w:rsidRPr="00432152">
        <w:rPr>
          <w:rFonts w:ascii="Verdana" w:eastAsia="Times New Roman" w:hAnsi="Verdana" w:cs="Arial"/>
          <w:bCs/>
          <w:lang w:val="es-MX" w:eastAsia="x-none"/>
        </w:rPr>
        <w:t>, expresión que contempla a los diferentes organismos o entidades autorizadas por la ley para suscribir contratos.</w:t>
      </w:r>
      <w:r w:rsidRPr="00432152">
        <w:rPr>
          <w:rFonts w:ascii="Verdana" w:eastAsia="Calibri" w:hAnsi="Verdana" w:cs="Arial"/>
          <w:lang w:val="es-MX"/>
        </w:rPr>
        <w:t xml:space="preserve"> </w:t>
      </w:r>
      <w:r w:rsidRPr="00432152">
        <w:rPr>
          <w:rFonts w:ascii="Verdana" w:eastAsia="Times New Roman" w:hAnsi="Verdana" w:cs="Arial"/>
          <w:bCs/>
          <w:lang w:val="es-MX" w:eastAsia="x-none"/>
        </w:rPr>
        <w:t xml:space="preserve">En efecto, tal como lo ha sostenido el Consejo de Estado, el vocablo </w:t>
      </w:r>
      <w:r>
        <w:rPr>
          <w:rFonts w:ascii="Verdana" w:eastAsia="Times New Roman" w:hAnsi="Verdana" w:cs="Arial"/>
          <w:bCs/>
          <w:lang w:val="es-MX" w:eastAsia="x-none"/>
        </w:rPr>
        <w:t>“</w:t>
      </w:r>
      <w:r w:rsidRPr="00432152">
        <w:rPr>
          <w:rFonts w:ascii="Verdana" w:eastAsia="Times New Roman" w:hAnsi="Verdana" w:cs="Arial"/>
          <w:bCs/>
          <w:lang w:val="es-MX" w:eastAsia="x-none"/>
        </w:rPr>
        <w:t>todos</w:t>
      </w:r>
      <w:r>
        <w:rPr>
          <w:rFonts w:ascii="Verdana" w:eastAsia="Times New Roman" w:hAnsi="Verdana" w:cs="Arial"/>
          <w:bCs/>
          <w:lang w:val="es-MX" w:eastAsia="x-none"/>
        </w:rPr>
        <w:t>”</w:t>
      </w:r>
      <w:r w:rsidRPr="00432152">
        <w:rPr>
          <w:rFonts w:ascii="Verdana" w:eastAsia="Times New Roman" w:hAnsi="Verdana" w:cs="Arial"/>
          <w:bCs/>
          <w:lang w:val="es-MX" w:eastAsia="x-none"/>
        </w:rPr>
        <w:t xml:space="preserve"> utilizado por el legislador comprende</w:t>
      </w:r>
      <w:r w:rsidRPr="00432152">
        <w:rPr>
          <w:rFonts w:ascii="Verdana" w:eastAsia="Calibri" w:hAnsi="Verdana" w:cs="Arial"/>
          <w:lang w:val="es-MX"/>
        </w:rPr>
        <w:t xml:space="preserve"> </w:t>
      </w:r>
      <w:r w:rsidRPr="00432152">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Sobre el particular, el Consejo de Estado, en Concepto con radicado 1727 de fecha 20 de febrero de 2006, consideró que</w:t>
      </w:r>
      <w:bookmarkStart w:id="14" w:name="_Hlk75787147"/>
      <w:r w:rsidRPr="00432152">
        <w:rPr>
          <w:rFonts w:ascii="Verdana" w:eastAsia="Times New Roman" w:hAnsi="Verdana" w:cs="Arial"/>
          <w:bCs/>
          <w:lang w:val="es-MX" w:eastAsia="x-none"/>
        </w:rPr>
        <w:t xml:space="preserve"> </w:t>
      </w:r>
      <w:r w:rsidRPr="00432152">
        <w:rPr>
          <w:rFonts w:ascii="Verdana" w:eastAsia="Calibri" w:hAnsi="Verdana" w:cs="Arial"/>
          <w:bCs/>
          <w:color w:val="000000"/>
          <w:lang w:val="es-MX" w:eastAsia="x-none"/>
        </w:rPr>
        <w:t xml:space="preserve">el artículo 33 </w:t>
      </w:r>
      <w:r w:rsidRPr="00432152">
        <w:rPr>
          <w:rFonts w:ascii="Verdana" w:eastAsia="Calibri" w:hAnsi="Verdana" w:cs="Arial"/>
          <w:bCs/>
          <w:color w:val="000000"/>
          <w:lang w:val="es-MX" w:eastAsia="x-none"/>
        </w:rPr>
        <w:lastRenderedPageBreak/>
        <w:t xml:space="preserve">de la ley 996 de 2005, efectivamente se aplica incluso a las entidades estatales con régimen especial de contratación y que están exceptuadas del ámbito de aplicación del Estatuto General de Contratación de la Administración Pública, como por ejemplo </w:t>
      </w:r>
      <w:r w:rsidR="006B1D51">
        <w:rPr>
          <w:rFonts w:ascii="Verdana" w:eastAsia="Calibri" w:hAnsi="Verdana" w:cs="Arial"/>
          <w:bCs/>
          <w:color w:val="000000"/>
          <w:lang w:val="es-MX" w:eastAsia="x-none"/>
        </w:rPr>
        <w:t>“</w:t>
      </w:r>
      <w:r w:rsidRPr="00432152">
        <w:rPr>
          <w:rFonts w:ascii="Verdana" w:eastAsia="Calibri" w:hAnsi="Verdana" w:cs="Arial"/>
          <w:bCs/>
          <w:color w:val="000000"/>
          <w:lang w:val="es-MX" w:eastAsia="x-none"/>
        </w:rPr>
        <w:t>los prestadores de servicios públicos domiciliarios (empresas de servicios públicos oficiales y empresas industriales y comerciales del Estado) y a los municipios prestadores directos, incluyendo las excepciones contenidas en el segundo inciso de esta norma</w:t>
      </w:r>
      <w:r w:rsidR="006B399F">
        <w:rPr>
          <w:rFonts w:ascii="Verdana" w:eastAsia="Calibri" w:hAnsi="Verdana" w:cs="Arial"/>
          <w:bCs/>
          <w:color w:val="000000"/>
          <w:lang w:val="es-MX" w:eastAsia="x-none"/>
        </w:rPr>
        <w:t>”</w:t>
      </w:r>
      <w:r w:rsidRPr="00432152">
        <w:rPr>
          <w:rFonts w:ascii="Verdana" w:eastAsia="Calibri" w:hAnsi="Verdana" w:cs="Arial"/>
          <w:bCs/>
          <w:color w:val="000000"/>
          <w:vertAlign w:val="superscript"/>
          <w:lang w:val="es-MX" w:eastAsia="x-none"/>
        </w:rPr>
        <w:footnoteReference w:id="18"/>
      </w:r>
      <w:r w:rsidRPr="00432152">
        <w:rPr>
          <w:rFonts w:ascii="Verdana" w:eastAsia="Calibri" w:hAnsi="Verdana" w:cs="Arial"/>
          <w:bCs/>
          <w:color w:val="000000"/>
          <w:lang w:val="es-MX" w:eastAsia="x-none"/>
        </w:rPr>
        <w:t>.</w:t>
      </w:r>
    </w:p>
    <w:p w14:paraId="2CD48EF7" w14:textId="77777777" w:rsidR="0082597B" w:rsidRDefault="0082597B" w:rsidP="00B14D87">
      <w:pPr>
        <w:spacing w:after="0" w:line="276" w:lineRule="auto"/>
        <w:ind w:firstLine="708"/>
        <w:jc w:val="both"/>
        <w:rPr>
          <w:rFonts w:ascii="Verdana" w:eastAsia="Times New Roman" w:hAnsi="Verdana" w:cs="Arial"/>
          <w:bCs/>
          <w:lang w:val="es-MX" w:eastAsia="x-none"/>
        </w:rPr>
      </w:pPr>
      <w:bookmarkStart w:id="15" w:name="_Hlk77237229"/>
      <w:bookmarkEnd w:id="14"/>
      <w:r w:rsidRPr="00432152">
        <w:rPr>
          <w:rFonts w:ascii="Verdana" w:eastAsia="Calibri" w:hAnsi="Verdana" w:cs="Arial"/>
          <w:lang w:val="es-MX"/>
        </w:rPr>
        <w:t>Por lo tanto, la restricción prevista en la Ley 996 de 200</w:t>
      </w:r>
      <w:bookmarkStart w:id="16" w:name="_Hlk75741539"/>
      <w:r w:rsidRPr="00432152">
        <w:rPr>
          <w:rFonts w:ascii="Verdana" w:eastAsia="Calibri" w:hAnsi="Verdana" w:cs="Arial"/>
          <w:lang w:val="es-MX"/>
        </w:rPr>
        <w:t xml:space="preserve">5, </w:t>
      </w:r>
      <w:r w:rsidRPr="00432152">
        <w:rPr>
          <w:rFonts w:ascii="Verdana" w:eastAsia="Times New Roman" w:hAnsi="Verdana" w:cs="Arial"/>
          <w:bCs/>
          <w:lang w:val="es-MX"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15"/>
      <w:bookmarkEnd w:id="16"/>
    </w:p>
    <w:p w14:paraId="42342831" w14:textId="77777777" w:rsidR="00E53FFB" w:rsidRDefault="00E53FFB" w:rsidP="00B14D87">
      <w:pPr>
        <w:spacing w:after="0" w:line="276" w:lineRule="auto"/>
        <w:ind w:firstLine="708"/>
        <w:jc w:val="both"/>
        <w:rPr>
          <w:rFonts w:ascii="Verdana" w:eastAsia="Times New Roman" w:hAnsi="Verdana" w:cs="Arial"/>
          <w:bCs/>
          <w:lang w:val="es-MX" w:eastAsia="x-none"/>
        </w:rPr>
      </w:pPr>
    </w:p>
    <w:p w14:paraId="47681031" w14:textId="02CC9652" w:rsidR="009D5ED8" w:rsidRPr="00343E12" w:rsidRDefault="0082597B" w:rsidP="00E53FFB">
      <w:pPr>
        <w:spacing w:after="0" w:line="276" w:lineRule="auto"/>
        <w:jc w:val="both"/>
        <w:rPr>
          <w:rFonts w:ascii="Verdana" w:eastAsia="Times New Roman" w:hAnsi="Verdana" w:cs="Arial"/>
          <w:lang w:eastAsia="es-CO"/>
        </w:rPr>
      </w:pPr>
      <w:bookmarkStart w:id="17" w:name="_Hlk88210558"/>
      <w:r w:rsidRPr="00122A17">
        <w:rPr>
          <w:rFonts w:ascii="Verdana" w:eastAsia="Calibri" w:hAnsi="Verdana" w:cs="Arial"/>
          <w:bCs/>
          <w:lang w:val="es-MX" w:eastAsia="es-CO"/>
        </w:rPr>
        <w:t>iii</w:t>
      </w:r>
      <w:r w:rsidR="00E05BF4" w:rsidRPr="00122A17">
        <w:rPr>
          <w:rFonts w:ascii="Verdana" w:eastAsia="Calibri" w:hAnsi="Verdana" w:cs="Arial"/>
          <w:bCs/>
          <w:lang w:val="es-MX" w:eastAsia="es-CO"/>
        </w:rPr>
        <w:t>.</w:t>
      </w:r>
      <w:bookmarkEnd w:id="17"/>
      <w:r w:rsidR="00807364" w:rsidRPr="00122A17">
        <w:rPr>
          <w:rFonts w:ascii="Verdana" w:eastAsia="Times New Roman" w:hAnsi="Verdana" w:cs="Arial"/>
          <w:bCs/>
          <w:lang w:eastAsia="es-CO"/>
        </w:rPr>
        <w:t xml:space="preserve"> </w:t>
      </w:r>
      <w:r w:rsidR="000F6DF5">
        <w:rPr>
          <w:rFonts w:ascii="Verdana" w:eastAsia="Times New Roman" w:hAnsi="Verdana" w:cs="Arial"/>
          <w:bCs/>
          <w:lang w:eastAsia="es-CO"/>
        </w:rPr>
        <w:t>R</w:t>
      </w:r>
      <w:r w:rsidR="009D5ED8" w:rsidRPr="00725218">
        <w:rPr>
          <w:rFonts w:ascii="Verdana" w:eastAsia="Times New Roman" w:hAnsi="Verdana" w:cs="Arial"/>
          <w:lang w:eastAsia="es-CO"/>
        </w:rPr>
        <w:t>especto del</w:t>
      </w:r>
      <w:r w:rsidR="009D5ED8" w:rsidRPr="00725218">
        <w:rPr>
          <w:rFonts w:ascii="Verdana" w:eastAsia="Times New Roman" w:hAnsi="Verdana" w:cs="Arial"/>
          <w:lang w:val="es-MX" w:eastAsia="es-CO"/>
        </w:rPr>
        <w:t xml:space="preserve"> alcance de </w:t>
      </w:r>
      <w:r w:rsidR="000F6DF5">
        <w:rPr>
          <w:rFonts w:ascii="Verdana" w:eastAsia="Times New Roman" w:hAnsi="Verdana" w:cs="Arial"/>
          <w:lang w:val="es-MX" w:eastAsia="es-CO"/>
        </w:rPr>
        <w:t>l</w:t>
      </w:r>
      <w:r w:rsidR="009D5ED8" w:rsidRPr="00725218">
        <w:rPr>
          <w:rFonts w:ascii="Verdana" w:eastAsia="Times New Roman" w:hAnsi="Verdana" w:cs="Arial"/>
          <w:lang w:val="es-MX" w:eastAsia="es-CO"/>
        </w:rPr>
        <w:t>a prohibición</w:t>
      </w:r>
      <w:r w:rsidR="000F6DF5">
        <w:rPr>
          <w:rFonts w:ascii="Verdana" w:eastAsia="Times New Roman" w:hAnsi="Verdana" w:cs="Arial"/>
          <w:lang w:val="es-MX" w:eastAsia="es-CO"/>
        </w:rPr>
        <w:t xml:space="preserve"> establecida en el parágrafo del artículo 38 de la Ley 996 de 2005,</w:t>
      </w:r>
      <w:r w:rsidR="009D5ED8" w:rsidRPr="00725218">
        <w:rPr>
          <w:rFonts w:ascii="Verdana" w:eastAsia="Times New Roman" w:hAnsi="Verdana" w:cs="Arial"/>
          <w:lang w:val="es-MX" w:eastAsia="es-CO"/>
        </w:rPr>
        <w:t xml:space="preserve"> la Circular Externa No. 006 de 2025 expedida por la ANCP -CCE, en los literales ii) y iv) del numeral 2</w:t>
      </w:r>
      <w:r w:rsidR="009D5ED8" w:rsidRPr="00725218">
        <w:rPr>
          <w:rFonts w:ascii="Verdana" w:eastAsia="Times New Roman" w:hAnsi="Verdana" w:cs="Arial"/>
          <w:lang w:eastAsia="es-CO"/>
        </w:rPr>
        <w:t>,</w:t>
      </w:r>
      <w:r w:rsidR="009D5ED8" w:rsidRPr="00725218">
        <w:rPr>
          <w:rFonts w:ascii="Verdana" w:eastAsia="Times New Roman" w:hAnsi="Verdana" w:cs="Arial"/>
          <w:lang w:val="es-MX" w:eastAsia="es-CO"/>
        </w:rPr>
        <w:t xml:space="preserve"> indica que </w:t>
      </w:r>
      <w:r w:rsidR="000F6DF5">
        <w:rPr>
          <w:rFonts w:ascii="Verdana" w:eastAsia="Times New Roman" w:hAnsi="Verdana" w:cs="Arial"/>
          <w:lang w:val="es-MX" w:eastAsia="es-CO"/>
        </w:rPr>
        <w:t>esta disposición</w:t>
      </w:r>
      <w:r w:rsidR="009D5ED8" w:rsidRPr="00343E12">
        <w:rPr>
          <w:rFonts w:ascii="Verdana" w:eastAsia="Times New Roman" w:hAnsi="Verdana" w:cs="Arial"/>
          <w:lang w:eastAsia="es-CO"/>
        </w:rPr>
        <w:t xml:space="preserve"> cobija expresamente a los </w:t>
      </w:r>
      <w:r w:rsidR="009D5ED8" w:rsidRPr="00343E12">
        <w:rPr>
          <w:rFonts w:ascii="Verdana" w:eastAsia="Times New Roman" w:hAnsi="Verdana" w:cs="Arial"/>
          <w:i/>
          <w:iCs/>
          <w:lang w:eastAsia="es-CO"/>
        </w:rPr>
        <w:t>convenios interadministrativos</w:t>
      </w:r>
      <w:r w:rsidR="009D5ED8"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009D5ED8" w:rsidRPr="00343E12">
        <w:rPr>
          <w:rFonts w:ascii="Verdana" w:eastAsia="Times New Roman" w:hAnsi="Verdana" w:cs="Arial"/>
          <w:i/>
          <w:iCs/>
          <w:lang w:eastAsia="es-CO"/>
        </w:rPr>
        <w:t>“aunque se configure alguno de los supuestos de excepción que señaló el inciso final del artículo 33”.</w:t>
      </w:r>
      <w:r w:rsidR="009D5ED8" w:rsidRPr="00343E12">
        <w:rPr>
          <w:rFonts w:ascii="Verdana" w:eastAsia="Times New Roman" w:hAnsi="Verdana" w:cs="Arial"/>
          <w:lang w:eastAsia="es-CO"/>
        </w:rPr>
        <w:t xml:space="preserve"> </w:t>
      </w:r>
    </w:p>
    <w:p w14:paraId="7E41FF8A" w14:textId="77777777" w:rsidR="009D5ED8" w:rsidRPr="00343E12" w:rsidRDefault="009D5ED8" w:rsidP="009D5ED8">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w:t>
      </w:r>
      <w:r w:rsidRPr="00343E12">
        <w:rPr>
          <w:rFonts w:ascii="Verdana" w:eastAsia="Times New Roman" w:hAnsi="Verdana" w:cs="Arial"/>
          <w:lang w:eastAsia="es-CO"/>
        </w:rPr>
        <w:lastRenderedPageBreak/>
        <w:t xml:space="preserve">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44F545DF" w14:textId="77777777" w:rsidR="009D5ED8" w:rsidRPr="00343E12" w:rsidRDefault="009D5ED8" w:rsidP="009D5ED8">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108655DB" w14:textId="637C87FD" w:rsidR="009D5ED8" w:rsidRPr="00343E12" w:rsidRDefault="009D5ED8" w:rsidP="009D5ED8">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En este punto, teniendo en cuenta lo señalado en el contenido de su petición, vale la pena destacar </w:t>
      </w:r>
      <w:r w:rsidR="009F0C9F" w:rsidRPr="00343E12">
        <w:rPr>
          <w:rFonts w:ascii="Verdana" w:eastAsia="Times New Roman" w:hAnsi="Verdana" w:cs="Arial"/>
          <w:lang w:eastAsia="es-CO"/>
        </w:rPr>
        <w:t>que,</w:t>
      </w:r>
      <w:r w:rsidRPr="00343E12">
        <w:rPr>
          <w:rFonts w:ascii="Verdana" w:eastAsia="Times New Roman" w:hAnsi="Verdana" w:cs="Arial"/>
          <w:lang w:eastAsia="es-CO"/>
        </w:rPr>
        <w:t xml:space="preserv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19"/>
      </w:r>
      <w:r w:rsidRPr="00343E12">
        <w:rPr>
          <w:rFonts w:ascii="Verdana" w:eastAsia="Aptos" w:hAnsi="Verdana" w:cs="Arial"/>
        </w:rPr>
        <w:t xml:space="preserve">: </w:t>
      </w:r>
    </w:p>
    <w:p w14:paraId="0C985DDF" w14:textId="77777777" w:rsidR="009D5ED8" w:rsidRPr="00343E12" w:rsidRDefault="009D5ED8" w:rsidP="009D5ED8">
      <w:pPr>
        <w:spacing w:after="0" w:line="276" w:lineRule="auto"/>
        <w:ind w:firstLine="709"/>
        <w:jc w:val="both"/>
        <w:rPr>
          <w:rFonts w:ascii="Verdana" w:eastAsia="Aptos" w:hAnsi="Verdana" w:cs="Arial"/>
        </w:rPr>
      </w:pPr>
    </w:p>
    <w:p w14:paraId="4C55E70A" w14:textId="77777777" w:rsidR="009D5ED8" w:rsidRPr="00343E12" w:rsidRDefault="009D5ED8" w:rsidP="009D5ED8">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168D38DC" w14:textId="77777777" w:rsidR="009D5ED8" w:rsidRPr="00343E12" w:rsidRDefault="009D5ED8" w:rsidP="009D5ED8">
      <w:pPr>
        <w:spacing w:after="0" w:line="240" w:lineRule="auto"/>
        <w:ind w:left="709" w:right="709"/>
        <w:jc w:val="both"/>
        <w:rPr>
          <w:rFonts w:ascii="Verdana" w:eastAsia="Aptos" w:hAnsi="Verdana" w:cs="Arial"/>
          <w:sz w:val="20"/>
          <w:szCs w:val="20"/>
        </w:rPr>
      </w:pPr>
    </w:p>
    <w:p w14:paraId="42CB1BAD" w14:textId="77777777" w:rsidR="009D5ED8" w:rsidRPr="00343E12" w:rsidRDefault="009D5ED8" w:rsidP="009D5ED8">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w:t>
      </w:r>
      <w:r w:rsidRPr="00343E12">
        <w:rPr>
          <w:rFonts w:ascii="Verdana" w:eastAsia="Aptos" w:hAnsi="Verdana" w:cs="Arial"/>
          <w:sz w:val="20"/>
          <w:szCs w:val="20"/>
        </w:rPr>
        <w:lastRenderedPageBreak/>
        <w:t xml:space="preserve">del Estado se ejecuten para lograr apoyos indebidos mediante la suscripción de contratos y/o convenios, que, para efectos de la Ley de Garantías, tienen la misma connotación y propósito”. </w:t>
      </w:r>
    </w:p>
    <w:p w14:paraId="04F187D4" w14:textId="77777777" w:rsidR="009D5ED8" w:rsidRPr="00343E12" w:rsidRDefault="009D5ED8" w:rsidP="009D5ED8">
      <w:pPr>
        <w:spacing w:after="0" w:line="276" w:lineRule="auto"/>
        <w:ind w:left="709" w:right="709"/>
        <w:jc w:val="both"/>
        <w:rPr>
          <w:rFonts w:ascii="Verdana" w:eastAsia="Aptos" w:hAnsi="Verdana" w:cs="Arial"/>
        </w:rPr>
      </w:pPr>
    </w:p>
    <w:p w14:paraId="40F48A89" w14:textId="77777777" w:rsidR="009D5ED8" w:rsidRPr="00343E12" w:rsidRDefault="009D5ED8" w:rsidP="009D5ED8">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0737E4B" w14:textId="77777777" w:rsidR="009D5ED8" w:rsidRPr="00343E12" w:rsidRDefault="009D5ED8" w:rsidP="009D5ED8">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343E12">
        <w:rPr>
          <w:rFonts w:ascii="Verdana" w:eastAsia="Arial" w:hAnsi="Verdana" w:cs="Arial"/>
          <w:vertAlign w:val="superscript"/>
          <w:lang w:eastAsia="es-ES" w:bidi="es-ES"/>
        </w:rPr>
        <w:footnoteReference w:id="20"/>
      </w:r>
      <w:r w:rsidRPr="00343E12">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w:t>
      </w:r>
      <w:r w:rsidRPr="00343E12">
        <w:rPr>
          <w:rFonts w:ascii="Verdana" w:eastAsia="Arial" w:hAnsi="Verdana" w:cs="Arial"/>
          <w:lang w:eastAsia="es-ES" w:bidi="es-ES"/>
        </w:rPr>
        <w:lastRenderedPageBreak/>
        <w:t xml:space="preserve">extensiva y reiteró los argumentos sobre la diferencia entre contratos y convenios interadministrativos. </w:t>
      </w:r>
    </w:p>
    <w:p w14:paraId="69C0B286" w14:textId="77777777" w:rsidR="009D5ED8" w:rsidRPr="00343E12" w:rsidRDefault="009D5ED8" w:rsidP="009D5ED8">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08DB020" w14:textId="77777777" w:rsidR="009D5ED8" w:rsidRPr="00343E12" w:rsidRDefault="009D5ED8" w:rsidP="009D5ED8">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1"/>
      </w:r>
      <w:r w:rsidRPr="00343E1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6AA7AB6" w14:textId="77777777" w:rsidR="009D5ED8" w:rsidRPr="00343E12" w:rsidRDefault="009D5ED8" w:rsidP="009D5ED8">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05329613" w14:textId="77777777" w:rsidR="009D5ED8" w:rsidRPr="00343E12" w:rsidRDefault="009D5ED8" w:rsidP="00FC7D77">
      <w:pPr>
        <w:spacing w:after="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43E12">
        <w:rPr>
          <w:rFonts w:ascii="Verdana" w:eastAsia="Times New Roman" w:hAnsi="Verdana" w:cs="Arial"/>
          <w:i/>
          <w:iCs/>
          <w:lang w:eastAsia="es-CO"/>
        </w:rPr>
        <w:t xml:space="preserve">contratos </w:t>
      </w:r>
      <w:r w:rsidRPr="00343E12">
        <w:rPr>
          <w:rFonts w:ascii="Verdana" w:eastAsia="Times New Roman" w:hAnsi="Verdana" w:cs="Arial"/>
          <w:i/>
          <w:iCs/>
          <w:lang w:eastAsia="es-CO"/>
        </w:rPr>
        <w:lastRenderedPageBreak/>
        <w:t>interadministrativos</w:t>
      </w:r>
      <w:r w:rsidRPr="00343E12">
        <w:rPr>
          <w:rFonts w:ascii="Verdana" w:eastAsia="Times New Roman" w:hAnsi="Verdana" w:cs="Arial"/>
          <w:lang w:eastAsia="es-CO"/>
        </w:rPr>
        <w:t>, esta prohibición solo aplicaría a los convenios interadministrativos que impliquen la ejecución de recursos públicos</w:t>
      </w:r>
      <w:r w:rsidRPr="00343E12">
        <w:rPr>
          <w:rFonts w:ascii="Verdana" w:eastAsia="Times New Roman" w:hAnsi="Verdana" w:cs="Arial"/>
          <w:vertAlign w:val="superscript"/>
          <w:lang w:eastAsia="es-CO"/>
        </w:rPr>
        <w:footnoteReference w:id="22"/>
      </w:r>
      <w:r w:rsidRPr="00343E12">
        <w:rPr>
          <w:rFonts w:ascii="Verdana" w:eastAsia="Times New Roman" w:hAnsi="Verdana" w:cs="Arial"/>
          <w:lang w:eastAsia="es-CO"/>
        </w:rPr>
        <w:t>.</w:t>
      </w:r>
    </w:p>
    <w:p w14:paraId="2A0B666B" w14:textId="00B4176B" w:rsidR="009D5ED8" w:rsidRDefault="009D5ED8" w:rsidP="00FC7D77">
      <w:pPr>
        <w:tabs>
          <w:tab w:val="left" w:pos="426"/>
        </w:tabs>
        <w:spacing w:after="0" w:line="276" w:lineRule="auto"/>
        <w:jc w:val="both"/>
        <w:rPr>
          <w:rFonts w:ascii="Verdana" w:eastAsia="Times New Roman" w:hAnsi="Verdana" w:cs="Arial"/>
          <w:bCs/>
          <w:lang w:eastAsia="es-CO"/>
        </w:rPr>
      </w:pPr>
    </w:p>
    <w:p w14:paraId="24F0758A" w14:textId="1EEABE98" w:rsidR="00807364" w:rsidRPr="00122A17" w:rsidRDefault="00FC7D77" w:rsidP="00807364">
      <w:pPr>
        <w:tabs>
          <w:tab w:val="left" w:pos="426"/>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iv) </w:t>
      </w:r>
      <w:r w:rsidR="00807364" w:rsidRPr="00122A17">
        <w:rPr>
          <w:rFonts w:ascii="Verdana" w:eastAsia="Times New Roman" w:hAnsi="Verdana" w:cs="Arial"/>
          <w:bCs/>
          <w:lang w:eastAsia="es-CO"/>
        </w:rPr>
        <w:t>El artículo 1 la Ley 1575 de 2012, denominada “Ley General de Bomberos de Colombia”, define el servicio bomberil como un servicio público esencial y señala que este será prestado mediante instituciones Bomberiles</w:t>
      </w:r>
      <w:r w:rsidR="00807364" w:rsidRPr="00122A17">
        <w:rPr>
          <w:rFonts w:ascii="Verdana" w:eastAsia="Times New Roman" w:hAnsi="Verdana" w:cs="Arial"/>
          <w:bCs/>
          <w:vertAlign w:val="superscript"/>
          <w:lang w:eastAsia="es-CO"/>
        </w:rPr>
        <w:footnoteReference w:id="23"/>
      </w:r>
      <w:r w:rsidR="00807364" w:rsidRPr="00122A17">
        <w:rPr>
          <w:rFonts w:ascii="Verdana" w:eastAsia="Times New Roman" w:hAnsi="Verdana" w:cs="Arial"/>
          <w:bCs/>
          <w:lang w:eastAsia="es-CO"/>
        </w:rPr>
        <w:t>. Mediante la citada ley se les impone a los distritos, con asiento en su respectiva jurisdicción, y a los municipios la obligación de prestar este servicio público esencial a través de sus cuerpos de bomberos oficiales o mediante la celebración de contratos y/o convenios con los cuerpos de bomberos voluntarios</w:t>
      </w:r>
      <w:r w:rsidR="00807364" w:rsidRPr="00122A17">
        <w:rPr>
          <w:rFonts w:ascii="Verdana" w:eastAsia="Times New Roman" w:hAnsi="Verdana" w:cs="Arial"/>
          <w:bCs/>
          <w:vertAlign w:val="superscript"/>
          <w:lang w:eastAsia="es-CO"/>
        </w:rPr>
        <w:footnoteReference w:id="24"/>
      </w:r>
      <w:r w:rsidR="00807364" w:rsidRPr="00122A17">
        <w:rPr>
          <w:rFonts w:ascii="Verdana" w:eastAsia="Times New Roman" w:hAnsi="Verdana" w:cs="Arial"/>
          <w:bCs/>
          <w:lang w:eastAsia="es-CO"/>
        </w:rPr>
        <w:t>.</w:t>
      </w:r>
    </w:p>
    <w:p w14:paraId="37D9EADA" w14:textId="74696F05" w:rsidR="00807364" w:rsidRPr="00122A17" w:rsidRDefault="00807364" w:rsidP="00807364">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En consonancia con lo anterior, el artículo 18 ibídem clasifica a los cuerpos de bomberos en: bomberos oficiales, bomberos voluntarios y bomberos aeronáuticos, definiendo a los cuerpos voluntarios como aquellos “organizados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 </w:t>
      </w:r>
    </w:p>
    <w:p w14:paraId="3E137E1E" w14:textId="77777777" w:rsidR="00807364" w:rsidRPr="00122A17" w:rsidRDefault="00807364" w:rsidP="00807364">
      <w:pPr>
        <w:tabs>
          <w:tab w:val="left" w:pos="426"/>
        </w:tabs>
        <w:spacing w:after="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De conformidad con las normas citadas, la gestión integral del riesgo contra incendio, los preparativos y atención de rescates y la atención de incidentes con materiales peligrosos se constituyen como un servicio público esencial a cargo del Estado, cuya prestación le fue asignada a los municipios y distritos, por lo tanto, es su deber asegurar la prestación eficiente a todos los habitantes del territorio nacional. Con el fin de prestar de forma eficiente el servicio público bomberil, los municipios y distritos pueden constituir su propio cuerpo de bomberos oficiales o pueden optar por celebrar contratos o convenios </w:t>
      </w:r>
      <w:r w:rsidRPr="00122A17">
        <w:rPr>
          <w:rFonts w:ascii="Verdana" w:eastAsia="Times New Roman" w:hAnsi="Verdana" w:cs="Arial"/>
          <w:bCs/>
          <w:lang w:eastAsia="es-CO"/>
        </w:rPr>
        <w:lastRenderedPageBreak/>
        <w:t xml:space="preserve">con cuerpos de bomberos voluntarios. Sobre la prestación del servicio objeto de la consulta, esta Agencia se pronunció mediante el concepto con radicado número 2201913000008606, del 19 de noviembre de 2019, indicando lo siguiente: </w:t>
      </w:r>
    </w:p>
    <w:p w14:paraId="0CDA2556" w14:textId="77777777" w:rsidR="00807364" w:rsidRPr="00122A17" w:rsidRDefault="00807364" w:rsidP="00807364">
      <w:pPr>
        <w:tabs>
          <w:tab w:val="left" w:pos="426"/>
        </w:tabs>
        <w:spacing w:after="0" w:line="276" w:lineRule="auto"/>
        <w:ind w:firstLine="709"/>
        <w:jc w:val="both"/>
        <w:rPr>
          <w:rFonts w:ascii="Verdana" w:eastAsia="Times New Roman" w:hAnsi="Verdana" w:cs="Arial"/>
          <w:bCs/>
          <w:lang w:eastAsia="es-CO"/>
        </w:rPr>
      </w:pPr>
    </w:p>
    <w:p w14:paraId="27D6FEF4" w14:textId="77777777" w:rsidR="00807364" w:rsidRPr="00725218" w:rsidRDefault="00807364" w:rsidP="00EA65A7">
      <w:pPr>
        <w:spacing w:after="0" w:line="240" w:lineRule="auto"/>
        <w:ind w:left="709" w:right="709"/>
        <w:jc w:val="both"/>
        <w:rPr>
          <w:rFonts w:ascii="Verdana" w:eastAsia="Calibri" w:hAnsi="Verdana" w:cs="Arial"/>
          <w:sz w:val="20"/>
          <w:szCs w:val="20"/>
          <w:lang w:val="es-ES_tradnl"/>
        </w:rPr>
      </w:pPr>
      <w:r w:rsidRPr="00725218">
        <w:rPr>
          <w:rFonts w:ascii="Verdana" w:eastAsia="Calibri" w:hAnsi="Verdana" w:cs="Arial"/>
          <w:sz w:val="20"/>
          <w:szCs w:val="20"/>
          <w:lang w:val="es-ES_tradnl"/>
        </w:rPr>
        <w:t xml:space="preserve">Ahora bien, recopilando los fundamentos normativos del concepto, la Ley 1575 de 2012, artículo 3, inciso 4, establece que los municipios pueden cumplir la obligación de prestar el servicio esencial de gestión del riesgo contra incendios mediante: i) la constitución de cuerpos de bomberos oficiales o ii) la celebración de contratos y/o convenios con los cuerpos de bomberos voluntarios. </w:t>
      </w:r>
    </w:p>
    <w:p w14:paraId="7DFF9EA5" w14:textId="77777777" w:rsidR="00807364" w:rsidRPr="00725218" w:rsidRDefault="00807364" w:rsidP="00EA65A7">
      <w:pPr>
        <w:spacing w:after="0" w:line="240" w:lineRule="auto"/>
        <w:ind w:left="709" w:right="709"/>
        <w:jc w:val="both"/>
        <w:rPr>
          <w:rFonts w:ascii="Verdana" w:eastAsia="Calibri" w:hAnsi="Verdana" w:cs="Arial"/>
          <w:sz w:val="20"/>
          <w:szCs w:val="20"/>
          <w:lang w:val="es-ES_tradnl"/>
        </w:rPr>
      </w:pPr>
      <w:r w:rsidRPr="00725218">
        <w:rPr>
          <w:rFonts w:ascii="Verdana" w:eastAsia="Calibri" w:hAnsi="Verdana" w:cs="Arial"/>
          <w:sz w:val="20"/>
          <w:szCs w:val="20"/>
          <w:lang w:val="es-ES_tradnl"/>
        </w:rPr>
        <w:t>[…]</w:t>
      </w:r>
    </w:p>
    <w:p w14:paraId="52760F22" w14:textId="77777777" w:rsidR="00807364" w:rsidRPr="00725218" w:rsidRDefault="00807364" w:rsidP="00EA65A7">
      <w:pPr>
        <w:spacing w:after="0" w:line="240" w:lineRule="auto"/>
        <w:ind w:left="709" w:right="709"/>
        <w:jc w:val="both"/>
        <w:rPr>
          <w:rFonts w:ascii="Verdana" w:hAnsi="Verdana" w:cs="Arial"/>
          <w:i/>
          <w:iCs/>
          <w:sz w:val="20"/>
          <w:szCs w:val="20"/>
        </w:rPr>
      </w:pPr>
      <w:r w:rsidRPr="00725218">
        <w:rPr>
          <w:rFonts w:ascii="Verdana" w:eastAsia="Calibri" w:hAnsi="Verdana" w:cs="Arial"/>
          <w:sz w:val="20"/>
          <w:szCs w:val="20"/>
          <w:lang w:val="es-ES_tradnl"/>
        </w:rPr>
        <w:t>El texto de la norma no obliga a contratar con los bomberos voluntario, sino que faculta al municipio a hacerlo cuando no cuente con un cuerpo de bomberos oficiales, es más, la norma dispone que los municipios de menos de veinte mil habitantes cuentan con apoyo técnico del departamento, quien podrá asesorarlos con el fin de escoger la opción que mejor convenga entre constituir un cuerpo de bomberos oficial o contratar con uno voluntario</w:t>
      </w:r>
      <w:r w:rsidRPr="00725218">
        <w:rPr>
          <w:rFonts w:ascii="Verdana" w:hAnsi="Verdana" w:cs="Arial"/>
          <w:i/>
          <w:iCs/>
          <w:sz w:val="20"/>
          <w:szCs w:val="20"/>
        </w:rPr>
        <w:t>.</w:t>
      </w:r>
    </w:p>
    <w:p w14:paraId="162F7A79" w14:textId="77777777" w:rsidR="00807364" w:rsidRPr="00122A17" w:rsidRDefault="00807364" w:rsidP="00807364">
      <w:pPr>
        <w:spacing w:after="0" w:line="276" w:lineRule="auto"/>
        <w:ind w:left="808" w:right="1104"/>
        <w:contextualSpacing/>
        <w:jc w:val="both"/>
        <w:rPr>
          <w:rFonts w:ascii="Verdana" w:hAnsi="Verdana" w:cs="Arial"/>
          <w:i/>
          <w:iCs/>
          <w:sz w:val="20"/>
          <w:szCs w:val="20"/>
        </w:rPr>
      </w:pPr>
    </w:p>
    <w:p w14:paraId="367A35BF" w14:textId="77777777" w:rsidR="00807364" w:rsidRPr="00122A17" w:rsidRDefault="00807364" w:rsidP="00FC7D77">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Los elementos del contrato o convenio dados por la ley 1575 de 2012 son: i) el objeto contractual: la gestión integral del riesgo contra incendio, los preparativos y atención de rescates en todas sus modalidades y la atención de incidentes con materiales peligrosos, actividades que están a cargo de instituciones bomberiles; y ii) las partes: un municipio, a cuyo cargo esta la prestación del servicio público esencial de atención integral del riesgo de incendio, y un cuerpo de bomberos voluntarios reconocido, que sea capaz de prestar el servicio y cumpla con la regulación propia de su actividad</w:t>
      </w:r>
      <w:r w:rsidRPr="00122A17">
        <w:rPr>
          <w:rFonts w:ascii="Verdana" w:eastAsia="Times New Roman" w:hAnsi="Verdana" w:cs="Arial"/>
          <w:bCs/>
          <w:vertAlign w:val="superscript"/>
          <w:lang w:eastAsia="es-CO"/>
        </w:rPr>
        <w:footnoteReference w:id="25"/>
      </w:r>
      <w:r w:rsidRPr="00122A17">
        <w:rPr>
          <w:rFonts w:ascii="Verdana" w:eastAsia="Times New Roman" w:hAnsi="Verdana" w:cs="Arial"/>
          <w:bCs/>
          <w:lang w:eastAsia="es-CO"/>
        </w:rPr>
        <w:t xml:space="preserve">. </w:t>
      </w:r>
    </w:p>
    <w:p w14:paraId="6A0C4566" w14:textId="77777777" w:rsidR="00EA65A7" w:rsidRDefault="00807364" w:rsidP="00FC7D77">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Respecto al proceso de selección para la celebración de un contrato con el cuerpo de bomberos voluntarios, como se señaló en el concepto 4201913000006918 –radicado de salida 2201913000008606– del 19 de noviembre de 2019, el artículo 9 de la Ley 322 de 1996 disponía que los distritos, municipios y territorios indígenas debían contratar directamente con los Cuerpos de Bomberos Voluntarios, cuando no contaran con un cuerpo oficial</w:t>
      </w:r>
      <w:r w:rsidRPr="00122A17">
        <w:rPr>
          <w:rStyle w:val="Refdenotaalpie"/>
          <w:rFonts w:ascii="Verdana" w:eastAsia="Times New Roman" w:hAnsi="Verdana" w:cs="Arial"/>
          <w:bCs/>
          <w:lang w:eastAsia="es-CO"/>
        </w:rPr>
        <w:footnoteReference w:id="26"/>
      </w:r>
      <w:r w:rsidRPr="00122A17">
        <w:rPr>
          <w:rFonts w:ascii="Verdana" w:eastAsia="Times New Roman" w:hAnsi="Verdana" w:cs="Arial"/>
          <w:bCs/>
          <w:lang w:eastAsia="es-CO"/>
        </w:rPr>
        <w:t xml:space="preserve">. No obstante, dicha norma fue derogada con la expedición de la Ley 1575 de 2012, </w:t>
      </w:r>
      <w:r w:rsidRPr="00122A17">
        <w:rPr>
          <w:rFonts w:ascii="Verdana" w:eastAsia="Times New Roman" w:hAnsi="Verdana" w:cs="Arial"/>
          <w:bCs/>
          <w:lang w:eastAsia="es-CO"/>
        </w:rPr>
        <w:lastRenderedPageBreak/>
        <w:t xml:space="preserve">la cual no establece una modalidad de selección específica para la elección del contratista, de lo cual se concluye que quedó derogada la posibilidad de que los municipios contrataran directamente el servicio bomberil con fundamento en aquella causal. </w:t>
      </w:r>
    </w:p>
    <w:p w14:paraId="096CA64C" w14:textId="7F57E57F" w:rsidR="00807364" w:rsidRPr="00122A17" w:rsidRDefault="00807364" w:rsidP="00FC7D77">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En efecto, consultada la exposición de motivos de la Ley 1575 de 2012 no se encuentra una justificación para dicha modificación, ni tampoco se encuentran los motivos que condujeron a que el legislador no determinara cuál es la modalidad de selección para la contratación con cuerpos de bomberos voluntarios. Así las cosas, dado que no existe una modalidad de selección y que el contrato es celebrado por una entidad estatal, es necesario acudir al artículo 2 de la Ley 1150 de 2007</w:t>
      </w:r>
      <w:r w:rsidRPr="00122A17">
        <w:rPr>
          <w:rFonts w:ascii="Verdana" w:eastAsia="Times New Roman" w:hAnsi="Verdana" w:cs="Arial"/>
          <w:bCs/>
          <w:vertAlign w:val="superscript"/>
          <w:lang w:eastAsia="es-CO"/>
        </w:rPr>
        <w:footnoteReference w:id="27"/>
      </w:r>
      <w:r w:rsidRPr="00122A17">
        <w:rPr>
          <w:rFonts w:ascii="Verdana" w:eastAsia="Times New Roman" w:hAnsi="Verdana" w:cs="Arial"/>
          <w:bCs/>
          <w:lang w:eastAsia="es-CO"/>
        </w:rPr>
        <w:t xml:space="preserve">, que dispone que la escogencia del contratista se efectúa con arreglo a las modalidades de selección de licitación pública, selección abreviada, concurso de méritos, mínima cuantía o contratación directa, con base en las reglas y causales que el mismo artículo establece. </w:t>
      </w:r>
    </w:p>
    <w:p w14:paraId="28347725" w14:textId="77777777" w:rsidR="00807364" w:rsidRPr="00122A17" w:rsidRDefault="00807364" w:rsidP="00FC7D77">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contratación directa, entendiendo esta como aquel sistema de selección de contratistas en el que no exista convocatoria pública, ni sea posible la participación de una pluralidad de oferentes, independientemente del régimen de contratación que se aplique. </w:t>
      </w:r>
    </w:p>
    <w:p w14:paraId="13C12495" w14:textId="77777777" w:rsidR="00ED169D" w:rsidRPr="00122A17" w:rsidRDefault="00ED169D" w:rsidP="00FC7D77">
      <w:pPr>
        <w:tabs>
          <w:tab w:val="left" w:pos="426"/>
        </w:tabs>
        <w:spacing w:after="120" w:line="276" w:lineRule="auto"/>
        <w:ind w:firstLine="709"/>
        <w:jc w:val="both"/>
        <w:rPr>
          <w:rFonts w:ascii="Verdana" w:eastAsia="Times New Roman" w:hAnsi="Verdana" w:cs="Arial"/>
          <w:bCs/>
          <w:lang w:val="es-MX" w:eastAsia="es-CO"/>
        </w:rPr>
      </w:pPr>
      <w:r w:rsidRPr="00122A17">
        <w:rPr>
          <w:rFonts w:ascii="Verdana" w:eastAsia="Times New Roman" w:hAnsi="Verdana" w:cs="Arial"/>
          <w:bCs/>
          <w:lang w:eastAsia="es-CO"/>
        </w:rPr>
        <w:t xml:space="preserve">Ahora bien, las entidades públicas, de acuerdo con el inciso final del artículo 33 de la Ley 996 de 2005 –Ley de Garantías Electorales–, y previo análisis de la </w:t>
      </w:r>
      <w:r w:rsidRPr="00122A17">
        <w:rPr>
          <w:rFonts w:ascii="Verdana" w:eastAsia="Times New Roman" w:hAnsi="Verdana" w:cs="Arial"/>
          <w:bCs/>
          <w:lang w:val="es-MX" w:eastAsia="es-CO"/>
        </w:rPr>
        <w:t xml:space="preserve">naturaleza de las actividades que adelantan, </w:t>
      </w:r>
      <w:r w:rsidRPr="00122A17">
        <w:rPr>
          <w:rFonts w:ascii="Verdana" w:eastAsia="Times New Roman" w:hAnsi="Verdana" w:cs="Arial"/>
          <w:bCs/>
          <w:lang w:eastAsia="es-CO"/>
        </w:rPr>
        <w:t xml:space="preserve">podrán </w:t>
      </w:r>
      <w:r w:rsidRPr="00122A17">
        <w:rPr>
          <w:rFonts w:ascii="Verdana" w:eastAsia="Times New Roman" w:hAnsi="Verdana" w:cs="Arial"/>
          <w:bCs/>
          <w:lang w:val="es-MX" w:eastAsia="x-none"/>
        </w:rPr>
        <w:t xml:space="preserve">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w:t>
      </w:r>
      <w:r w:rsidRPr="00122A17">
        <w:rPr>
          <w:rFonts w:ascii="Verdana" w:eastAsia="Times New Roman" w:hAnsi="Verdana" w:cs="Arial"/>
          <w:bCs/>
          <w:lang w:val="es-MX" w:eastAsia="x-none"/>
        </w:rPr>
        <w:lastRenderedPageBreak/>
        <w:t>energética y de comunicaciones, en caso de que hayan sido objeto de atentados, acciones terroristas, desastres naturales o casos de fuerza mayor; y, v) los que deban realizar las entidades sanitarias y hospitalarias.</w:t>
      </w:r>
      <w:r w:rsidRPr="00122A17">
        <w:rPr>
          <w:rFonts w:ascii="Verdana" w:eastAsia="Times New Roman" w:hAnsi="Verdana" w:cs="Arial"/>
          <w:bCs/>
          <w:lang w:val="es-MX" w:eastAsia="es-CO"/>
        </w:rPr>
        <w:t xml:space="preserve"> </w:t>
      </w:r>
    </w:p>
    <w:p w14:paraId="582289D1" w14:textId="62A8C213" w:rsidR="0082597B" w:rsidRPr="00512049" w:rsidRDefault="00725218" w:rsidP="00FC7D77">
      <w:pPr>
        <w:spacing w:after="120" w:line="276" w:lineRule="auto"/>
        <w:ind w:firstLine="708"/>
        <w:jc w:val="both"/>
        <w:rPr>
          <w:rFonts w:ascii="Verdana" w:eastAsia="Times New Roman" w:hAnsi="Verdana" w:cs="Arial"/>
          <w:i/>
          <w:iCs/>
          <w:lang w:eastAsia="es-CO"/>
        </w:rPr>
      </w:pPr>
      <w:r>
        <w:rPr>
          <w:rFonts w:ascii="Verdana" w:eastAsia="Times New Roman" w:hAnsi="Verdana" w:cs="Arial"/>
          <w:bCs/>
          <w:lang w:eastAsia="es-CO"/>
        </w:rPr>
        <w:t>En ese sentido</w:t>
      </w:r>
      <w:r w:rsidR="00ED169D" w:rsidRPr="00122A17">
        <w:rPr>
          <w:rFonts w:ascii="Verdana" w:eastAsia="Times New Roman" w:hAnsi="Verdana" w:cs="Arial"/>
          <w:bCs/>
          <w:lang w:eastAsia="es-CO"/>
        </w:rPr>
        <w:t xml:space="preserve">, dada la naturaleza jurídica privada de los cuerpos de bomberos voluntarios, no les es aplicable la restricción consagrada en el parágrafo del artículo 38 de la Ley de Garantías Electorales, en la media que esta norma prohíbe la celebración de convenios o contratos interadministrativos para la ejecución de recursos públicos y lo que define a estos contratos, conforme el análisis realizado en el numeral 2.3 de este concepto es la naturaleza de las partes, de manera que están determinados por un criterio </w:t>
      </w:r>
      <w:r w:rsidR="00ED169D" w:rsidRPr="00512049">
        <w:rPr>
          <w:rFonts w:ascii="Verdana" w:eastAsia="Times New Roman" w:hAnsi="Verdana" w:cs="Arial"/>
          <w:i/>
          <w:iCs/>
          <w:lang w:eastAsia="es-CO"/>
        </w:rPr>
        <w:t>orgánico, en el sentido de que lo serán aquellos celebrados entre entidades estatales.</w:t>
      </w:r>
    </w:p>
    <w:p w14:paraId="73F0ED85" w14:textId="77777777" w:rsidR="00512049" w:rsidRPr="00343E12" w:rsidRDefault="00512049" w:rsidP="00512049">
      <w:pPr>
        <w:spacing w:after="120" w:line="276" w:lineRule="auto"/>
        <w:ind w:firstLine="708"/>
        <w:jc w:val="both"/>
        <w:rPr>
          <w:rFonts w:ascii="Verdana" w:eastAsia="Times New Roman" w:hAnsi="Verdana" w:cs="Arial"/>
          <w:lang w:eastAsia="es-CO"/>
        </w:rPr>
      </w:pPr>
      <w:bookmarkStart w:id="18" w:name="_Hlk215234154"/>
      <w:r w:rsidRPr="00343E12">
        <w:rPr>
          <w:rFonts w:ascii="Verdana" w:eastAsia="Aptos" w:hAnsi="Verdana" w:cs="Arial"/>
          <w:bCs/>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C408EC6" w14:textId="1CCB378F" w:rsidR="00512049" w:rsidRPr="00512049" w:rsidRDefault="00512049" w:rsidP="00512049">
      <w:pPr>
        <w:spacing w:after="0" w:line="276" w:lineRule="auto"/>
        <w:ind w:firstLine="708"/>
        <w:jc w:val="both"/>
        <w:rPr>
          <w:rFonts w:ascii="Verdana" w:eastAsia="Aptos" w:hAnsi="Verdana" w:cs="Arial"/>
          <w:bCs/>
          <w:color w:val="000000"/>
        </w:rPr>
      </w:pPr>
      <w:r w:rsidRPr="00343E12">
        <w:rPr>
          <w:rFonts w:ascii="Verdana" w:eastAsia="Aptos"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End w:id="18"/>
      <w:r w:rsidRPr="00343E12">
        <w:rPr>
          <w:rFonts w:ascii="Verdana" w:eastAsia="Aptos" w:hAnsi="Verdana" w:cs="Arial"/>
          <w:bCs/>
          <w:color w:val="000000"/>
        </w:rPr>
        <w:t xml:space="preserve"> </w:t>
      </w:r>
    </w:p>
    <w:p w14:paraId="68C614AA" w14:textId="77777777" w:rsidR="00ED169D" w:rsidRPr="00ED169D" w:rsidRDefault="00ED169D" w:rsidP="00ED169D">
      <w:pPr>
        <w:tabs>
          <w:tab w:val="left" w:pos="426"/>
        </w:tabs>
        <w:spacing w:after="0" w:line="276" w:lineRule="auto"/>
        <w:ind w:firstLine="709"/>
        <w:jc w:val="both"/>
        <w:rPr>
          <w:rFonts w:ascii="Arial" w:eastAsia="Times New Roman" w:hAnsi="Arial" w:cs="Arial"/>
          <w:bCs/>
          <w:lang w:eastAsia="es-CO"/>
        </w:rPr>
      </w:pPr>
    </w:p>
    <w:bookmarkEnd w:id="6"/>
    <w:bookmarkEnd w:id="7"/>
    <w:p w14:paraId="400DEDD8" w14:textId="77777777" w:rsidR="0082597B" w:rsidRPr="001F283D" w:rsidRDefault="0082597B" w:rsidP="0082597B">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8"/>
    <w:p w14:paraId="716A45EA" w14:textId="77777777" w:rsidR="0082597B" w:rsidRPr="00593A5F" w:rsidRDefault="0082597B" w:rsidP="0082597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2597B" w:rsidRPr="002407CE" w14:paraId="4C3FC038" w14:textId="77777777">
        <w:trPr>
          <w:trHeight w:val="870"/>
          <w:jc w:val="center"/>
        </w:trPr>
        <w:tc>
          <w:tcPr>
            <w:tcW w:w="8647" w:type="dxa"/>
          </w:tcPr>
          <w:p w14:paraId="15092908" w14:textId="36B7DCCE" w:rsidR="0082597B" w:rsidRPr="00FC7D77" w:rsidRDefault="0082597B" w:rsidP="00FC7D77">
            <w:pPr>
              <w:pStyle w:val="Prrafodelista"/>
              <w:widowControl w:val="0"/>
              <w:numPr>
                <w:ilvl w:val="0"/>
                <w:numId w:val="21"/>
              </w:numPr>
              <w:autoSpaceDE w:val="0"/>
              <w:autoSpaceDN w:val="0"/>
              <w:spacing w:before="120" w:after="120" w:line="276" w:lineRule="auto"/>
              <w:jc w:val="both"/>
              <w:rPr>
                <w:rFonts w:ascii="Verdana" w:eastAsia="Arial MT" w:hAnsi="Verdana" w:cs="Arial"/>
                <w:lang w:eastAsia="es-ES" w:bidi="es-ES"/>
              </w:rPr>
            </w:pPr>
            <w:r w:rsidRPr="00FC7D77">
              <w:rPr>
                <w:rFonts w:ascii="Verdana" w:eastAsia="Arial MT" w:hAnsi="Verdana" w:cs="Arial"/>
                <w:lang w:eastAsia="es-ES" w:bidi="es-ES"/>
              </w:rPr>
              <w:lastRenderedPageBreak/>
              <w:t>Constitución Política de Colombia, artículos 2, 123, 209 y 355.</w:t>
            </w:r>
          </w:p>
          <w:p w14:paraId="6CEB2A6F" w14:textId="2666EB5A" w:rsidR="00FC7D77" w:rsidRPr="00FC7D77" w:rsidRDefault="00FC7D77" w:rsidP="00FC7D77">
            <w:pPr>
              <w:pStyle w:val="Prrafodelista"/>
              <w:widowControl w:val="0"/>
              <w:numPr>
                <w:ilvl w:val="0"/>
                <w:numId w:val="21"/>
              </w:numPr>
              <w:autoSpaceDE w:val="0"/>
              <w:autoSpaceDN w:val="0"/>
              <w:spacing w:before="120" w:after="120" w:line="276" w:lineRule="auto"/>
              <w:jc w:val="both"/>
              <w:rPr>
                <w:rFonts w:ascii="Verdana" w:eastAsia="Arial MT" w:hAnsi="Verdana" w:cs="Arial"/>
                <w:lang w:eastAsia="es-ES" w:bidi="es-ES"/>
              </w:rPr>
            </w:pPr>
            <w:r w:rsidRPr="00FC7D77">
              <w:rPr>
                <w:rFonts w:ascii="Verdana" w:eastAsia="Arial MT" w:hAnsi="Verdana" w:cs="Arial"/>
                <w:lang w:eastAsia="es-ES" w:bidi="es-ES"/>
              </w:rPr>
              <w:t>Ley 80 de 1993, artículos 2, 24 y 32.</w:t>
            </w:r>
          </w:p>
          <w:p w14:paraId="1B77D7AC" w14:textId="065825B6" w:rsidR="0082597B" w:rsidRPr="00FC7D77" w:rsidRDefault="0082597B" w:rsidP="00FC7D77">
            <w:pPr>
              <w:pStyle w:val="Prrafodelista"/>
              <w:widowControl w:val="0"/>
              <w:numPr>
                <w:ilvl w:val="0"/>
                <w:numId w:val="21"/>
              </w:numPr>
              <w:autoSpaceDE w:val="0"/>
              <w:autoSpaceDN w:val="0"/>
              <w:spacing w:before="120" w:after="120" w:line="276" w:lineRule="auto"/>
              <w:jc w:val="both"/>
              <w:rPr>
                <w:rFonts w:ascii="Verdana" w:eastAsia="Arial MT" w:hAnsi="Verdana" w:cs="Arial"/>
                <w:lang w:eastAsia="es-ES" w:bidi="es-ES"/>
              </w:rPr>
            </w:pPr>
            <w:r w:rsidRPr="00FC7D77">
              <w:rPr>
                <w:rFonts w:ascii="Verdana" w:eastAsia="Arial MT" w:hAnsi="Verdana" w:cs="Arial"/>
                <w:lang w:eastAsia="es-ES" w:bidi="es-ES"/>
              </w:rPr>
              <w:t>Ley 996 de 2005, artículo 33.</w:t>
            </w:r>
          </w:p>
          <w:p w14:paraId="25446CE4" w14:textId="65C57977" w:rsidR="0082597B" w:rsidRPr="00FC7D77" w:rsidRDefault="0082597B" w:rsidP="00FC7D77">
            <w:pPr>
              <w:pStyle w:val="Prrafodelista"/>
              <w:widowControl w:val="0"/>
              <w:numPr>
                <w:ilvl w:val="0"/>
                <w:numId w:val="21"/>
              </w:numPr>
              <w:autoSpaceDE w:val="0"/>
              <w:autoSpaceDN w:val="0"/>
              <w:spacing w:before="120" w:after="120" w:line="276" w:lineRule="auto"/>
              <w:jc w:val="both"/>
              <w:rPr>
                <w:rFonts w:ascii="Verdana" w:eastAsia="Arial MT" w:hAnsi="Verdana" w:cs="Arial"/>
                <w:lang w:eastAsia="es-ES" w:bidi="es-ES"/>
              </w:rPr>
            </w:pPr>
            <w:r w:rsidRPr="00FC7D77">
              <w:rPr>
                <w:rFonts w:ascii="Verdana" w:eastAsia="Arial MT" w:hAnsi="Verdana" w:cs="Arial"/>
                <w:lang w:eastAsia="es-ES" w:bidi="es-ES"/>
              </w:rPr>
              <w:t>Ley 1150 de 2007, artículos 2 y 5.</w:t>
            </w:r>
          </w:p>
          <w:p w14:paraId="5380C4F4" w14:textId="421CE4EE" w:rsidR="00FC7D77" w:rsidRPr="00FC7D77" w:rsidRDefault="00FC7D77" w:rsidP="00FC7D77">
            <w:pPr>
              <w:pStyle w:val="Prrafodelista"/>
              <w:widowControl w:val="0"/>
              <w:numPr>
                <w:ilvl w:val="0"/>
                <w:numId w:val="21"/>
              </w:numPr>
              <w:autoSpaceDE w:val="0"/>
              <w:autoSpaceDN w:val="0"/>
              <w:spacing w:before="120" w:after="120" w:line="276" w:lineRule="auto"/>
              <w:jc w:val="both"/>
              <w:rPr>
                <w:rFonts w:ascii="Verdana" w:eastAsia="Arial MT" w:hAnsi="Verdana" w:cs="Arial"/>
                <w:lang w:eastAsia="es-ES" w:bidi="es-ES"/>
              </w:rPr>
            </w:pPr>
            <w:r w:rsidRPr="00FC7D77">
              <w:rPr>
                <w:rFonts w:ascii="Verdana" w:eastAsia="Times New Roman" w:hAnsi="Verdana" w:cs="Arial"/>
                <w:bCs/>
                <w:lang w:eastAsia="es-CO"/>
              </w:rPr>
              <w:t>Ley 1575 de 2012</w:t>
            </w:r>
            <w:r>
              <w:rPr>
                <w:rFonts w:ascii="Verdana" w:eastAsia="Times New Roman" w:hAnsi="Verdana" w:cs="Arial"/>
                <w:bCs/>
                <w:lang w:eastAsia="es-CO"/>
              </w:rPr>
              <w:t xml:space="preserve">, </w:t>
            </w:r>
          </w:p>
          <w:p w14:paraId="4D1225C4" w14:textId="65BB7CA0" w:rsidR="0082597B" w:rsidRPr="00FC7D77" w:rsidRDefault="0082597B" w:rsidP="00FC7D77">
            <w:pPr>
              <w:pStyle w:val="Prrafodelista"/>
              <w:widowControl w:val="0"/>
              <w:numPr>
                <w:ilvl w:val="0"/>
                <w:numId w:val="21"/>
              </w:numPr>
              <w:autoSpaceDE w:val="0"/>
              <w:autoSpaceDN w:val="0"/>
              <w:spacing w:before="120" w:after="120" w:line="276" w:lineRule="auto"/>
              <w:jc w:val="both"/>
              <w:rPr>
                <w:rFonts w:ascii="Verdana" w:eastAsia="Arial MT" w:hAnsi="Verdana" w:cs="Arial"/>
                <w:lang w:eastAsia="es-ES" w:bidi="es-ES"/>
              </w:rPr>
            </w:pPr>
            <w:r w:rsidRPr="00FC7D77">
              <w:rPr>
                <w:rFonts w:ascii="Verdana" w:eastAsia="Arial MT" w:hAnsi="Verdana" w:cs="Arial"/>
                <w:lang w:eastAsia="es-ES" w:bidi="es-ES"/>
              </w:rPr>
              <w:t>Decreto 1082 de 2015, artículos 2.2.1.1.1.1 y 2.2.1.2.1.1.1.</w:t>
            </w:r>
          </w:p>
        </w:tc>
      </w:tr>
    </w:tbl>
    <w:p w14:paraId="44BE1363" w14:textId="77777777" w:rsidR="0082597B" w:rsidRPr="00FC7D77" w:rsidRDefault="0082597B" w:rsidP="00FC7D77">
      <w:pPr>
        <w:widowControl w:val="0"/>
        <w:autoSpaceDE w:val="0"/>
        <w:autoSpaceDN w:val="0"/>
        <w:spacing w:after="0" w:line="276" w:lineRule="auto"/>
        <w:jc w:val="both"/>
        <w:rPr>
          <w:rFonts w:ascii="Verdana" w:hAnsi="Verdana" w:cs="Arial"/>
        </w:rPr>
      </w:pPr>
    </w:p>
    <w:p w14:paraId="4AFA9E26" w14:textId="77777777" w:rsidR="0082597B" w:rsidRPr="00FC7D77" w:rsidRDefault="0082597B" w:rsidP="00FC7D77">
      <w:pPr>
        <w:tabs>
          <w:tab w:val="left" w:pos="142"/>
          <w:tab w:val="left" w:pos="284"/>
        </w:tabs>
        <w:spacing w:after="0" w:line="276" w:lineRule="auto"/>
        <w:jc w:val="both"/>
        <w:rPr>
          <w:rFonts w:ascii="Verdana" w:eastAsia="Century Gothic" w:hAnsi="Verdana" w:cs="Century Gothic"/>
          <w:b/>
          <w:bCs/>
        </w:rPr>
      </w:pPr>
      <w:r w:rsidRPr="00FC7D77">
        <w:rPr>
          <w:rFonts w:ascii="Verdana" w:eastAsia="Century Gothic" w:hAnsi="Verdana" w:cs="Century Gothic"/>
          <w:b/>
          <w:bCs/>
        </w:rPr>
        <w:t>5. Doctrina de la Agencia Nacional de Contratación Pública:</w:t>
      </w:r>
    </w:p>
    <w:p w14:paraId="0B91E1D6" w14:textId="77777777" w:rsidR="0082597B" w:rsidRPr="00FC7D77" w:rsidRDefault="0082597B" w:rsidP="00FC7D77">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769193E6" w14:textId="77777777" w:rsidR="0082597B" w:rsidRPr="00FC7D77" w:rsidRDefault="0082597B" w:rsidP="00FC7D77">
      <w:pPr>
        <w:widowControl w:val="0"/>
        <w:autoSpaceDE w:val="0"/>
        <w:autoSpaceDN w:val="0"/>
        <w:spacing w:after="0" w:line="276" w:lineRule="auto"/>
        <w:jc w:val="both"/>
        <w:rPr>
          <w:rFonts w:ascii="Verdana" w:hAnsi="Verdana" w:cs="Arial"/>
          <w:shd w:val="clear" w:color="auto" w:fill="FFFFFF"/>
        </w:rPr>
      </w:pPr>
      <w:r w:rsidRPr="00FC7D77">
        <w:rPr>
          <w:rFonts w:ascii="Verdana" w:hAnsi="Verdana" w:cs="Arial"/>
        </w:rPr>
        <w:t xml:space="preserve">La Agencia Nacional de Contratación Pública – Colombia Compra Eficiente se ha pronunciado en diferentes ocasiones sobre la Ley de Garantías Electorales, entre otros,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C-429 del 27 de agosto de 2021, C-456 del 3 de septiembre, C-481 del 9 de septiembre de 2021, C- 528 del 27 de septiembre de 2021, C-550 del 5 de octubre de 2021,  C-523 del 10 de octubre de 2021, C-614 del 2 de noviembre de 2021 y C-543 del 11 de noviembre de 2021, C-633 del 11 de noviembre de 2021, 681 del 7 de diciembre de 2021, C-686 del 21 de diciembre de 2021, C-697 del 3 de enero de 2022, C-009 del 15 de febrero de 2022, C-005 del 16 de febrero de  2022, C-014 del 18 de febrero de 2022, C- 022 del 21 de febrero de 2022, C-045 del 3 de marzo de 2022, C-064 del 8 de marzo de 2022, C-072 del 11 de marzo de 2022, C- 097 del 18 de febrero de 2022, C-116 del 18 de febrero de 2022 y C-077 del 17 de marzo de 2022, </w:t>
      </w:r>
      <w:r w:rsidRPr="00FC7D77">
        <w:rPr>
          <w:rFonts w:ascii="Verdana" w:hAnsi="Verdana" w:cs="Arial"/>
          <w:shd w:val="clear" w:color="auto" w:fill="FFFFFF"/>
        </w:rPr>
        <w:t xml:space="preserve">C-180 del 21 de marzo de 2025, C-317 del 25 de abril de 2025, C-510 del 4 de junio de 2025, </w:t>
      </w:r>
      <w:r w:rsidRPr="00FC7D77">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FC7D77">
        <w:rPr>
          <w:rFonts w:ascii="Verdana" w:hAnsi="Verdana" w:cs="Arial"/>
          <w:shd w:val="clear" w:color="auto" w:fill="FFFFFF"/>
        </w:rPr>
        <w:t xml:space="preserve">C–750 de 17 de julio 2025, C-868 del 12 de agosto de 2025, C-1057 del 5 de septiembre de 2025, C-1195 del 3 de octubre de 2025, C-1350 del 19 de septiembre de 2025 y C- 1236 del 27 de octubre de 2025, </w:t>
      </w:r>
      <w:r w:rsidRPr="00FC7D77">
        <w:rPr>
          <w:rFonts w:ascii="Verdana" w:hAnsi="Verdana" w:cs="Arial"/>
        </w:rPr>
        <w:t>entre otros</w:t>
      </w:r>
      <w:r w:rsidRPr="00FC7D77">
        <w:rPr>
          <w:rFonts w:ascii="Verdana" w:hAnsi="Verdana" w:cs="Arial"/>
          <w:shd w:val="clear" w:color="auto" w:fill="FFFFFF"/>
        </w:rPr>
        <w:t xml:space="preserve">. </w:t>
      </w:r>
      <w:r w:rsidRPr="00FC7D77">
        <w:rPr>
          <w:rFonts w:ascii="Verdana" w:hAnsi="Verdana" w:cs="Arial"/>
          <w:shd w:val="clear" w:color="auto" w:fill="FFFFFF"/>
          <w:lang w:val="es-ES_tradnl"/>
        </w:rPr>
        <w:t xml:space="preserve">Estos conceptos se encuentran disponibles para consulta en el Sistema de relatoría de la Agencia, </w:t>
      </w:r>
      <w:r w:rsidRPr="00FC7D77">
        <w:rPr>
          <w:rFonts w:ascii="Verdana" w:hAnsi="Verdana" w:cs="Arial"/>
          <w:shd w:val="clear" w:color="auto" w:fill="FFFFFF"/>
          <w:lang w:val="es-ES_tradnl"/>
        </w:rPr>
        <w:lastRenderedPageBreak/>
        <w:t xml:space="preserve">al cual puede accederse a través del siguiente enlace: </w:t>
      </w:r>
      <w:hyperlink r:id="rId12" w:history="1">
        <w:r w:rsidRPr="00FC7D77">
          <w:rPr>
            <w:rFonts w:ascii="Verdana" w:hAnsi="Verdana" w:cs="Arial"/>
            <w:color w:val="0000FF"/>
            <w:u w:val="single"/>
            <w:shd w:val="clear" w:color="auto" w:fill="FFFFFF"/>
            <w:lang w:val="es-ES_tradnl"/>
          </w:rPr>
          <w:t>https://relatoria.colombiacompra.gov.co/busqueda/conceptos</w:t>
        </w:r>
      </w:hyperlink>
      <w:r w:rsidRPr="00FC7D77">
        <w:rPr>
          <w:rFonts w:ascii="Verdana" w:hAnsi="Verdana" w:cs="Arial"/>
          <w:shd w:val="clear" w:color="auto" w:fill="FFFFFF"/>
          <w:lang w:val="es-ES_tradnl"/>
        </w:rPr>
        <w:t xml:space="preserve">. </w:t>
      </w:r>
      <w:r w:rsidRPr="00FC7D77">
        <w:rPr>
          <w:rFonts w:ascii="Verdana" w:hAnsi="Verdana" w:cs="Arial"/>
          <w:color w:val="FF0000"/>
          <w:shd w:val="clear" w:color="auto" w:fill="FFFFFF"/>
          <w:lang w:val="es-ES_tradnl"/>
        </w:rPr>
        <w:t xml:space="preserve"> </w:t>
      </w:r>
    </w:p>
    <w:p w14:paraId="49E3D17F" w14:textId="77777777" w:rsidR="0082597B" w:rsidRPr="00FC7D77" w:rsidRDefault="0082597B" w:rsidP="00FC7D77">
      <w:pPr>
        <w:widowControl w:val="0"/>
        <w:autoSpaceDE w:val="0"/>
        <w:autoSpaceDN w:val="0"/>
        <w:spacing w:after="0" w:line="276" w:lineRule="auto"/>
        <w:jc w:val="both"/>
        <w:rPr>
          <w:rFonts w:ascii="Verdana" w:eastAsia="Calibri" w:hAnsi="Verdana" w:cs="Arial"/>
          <w:color w:val="000000" w:themeColor="text1"/>
          <w:lang w:eastAsia="es-ES_tradnl"/>
        </w:rPr>
      </w:pPr>
    </w:p>
    <w:p w14:paraId="43E8C130" w14:textId="77777777" w:rsidR="0082597B" w:rsidRPr="00FC7D77" w:rsidRDefault="0082597B" w:rsidP="00FC7D77">
      <w:pPr>
        <w:spacing w:after="0" w:line="276" w:lineRule="auto"/>
        <w:jc w:val="both"/>
        <w:rPr>
          <w:rFonts w:ascii="Verdana" w:eastAsia="Calibri" w:hAnsi="Verdana" w:cs="Times New Roman"/>
        </w:rPr>
      </w:pPr>
      <w:r w:rsidRPr="00FC7D77">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348364A" w14:textId="77777777" w:rsidR="0082597B" w:rsidRPr="00FC7D77" w:rsidRDefault="0082597B" w:rsidP="00FC7D77">
      <w:pPr>
        <w:pStyle w:val="Prrafodelista"/>
        <w:numPr>
          <w:ilvl w:val="0"/>
          <w:numId w:val="15"/>
        </w:numPr>
        <w:spacing w:after="0" w:line="276" w:lineRule="auto"/>
        <w:contextualSpacing w:val="0"/>
        <w:jc w:val="both"/>
        <w:rPr>
          <w:rFonts w:ascii="Verdana" w:hAnsi="Verdana"/>
        </w:rPr>
      </w:pPr>
      <w:r w:rsidRPr="00FC7D77">
        <w:rPr>
          <w:rFonts w:ascii="Verdana" w:hAnsi="Verdana"/>
        </w:rPr>
        <w:t>Línea nacional gratuita o servicio a la ciudadanía: 01800 0520808</w:t>
      </w:r>
    </w:p>
    <w:p w14:paraId="14578549" w14:textId="77777777" w:rsidR="0082597B" w:rsidRPr="00FC7D77" w:rsidRDefault="0082597B" w:rsidP="00FC7D77">
      <w:pPr>
        <w:pStyle w:val="Prrafodelista"/>
        <w:numPr>
          <w:ilvl w:val="0"/>
          <w:numId w:val="15"/>
        </w:numPr>
        <w:spacing w:after="0" w:line="276" w:lineRule="auto"/>
        <w:contextualSpacing w:val="0"/>
        <w:jc w:val="both"/>
        <w:rPr>
          <w:rFonts w:ascii="Verdana" w:hAnsi="Verdana"/>
        </w:rPr>
      </w:pPr>
      <w:r w:rsidRPr="00FC7D77">
        <w:rPr>
          <w:rFonts w:ascii="Verdana" w:hAnsi="Verdana"/>
        </w:rPr>
        <w:t>Línea en Bogotá (Mesa de servicio): +57 601 7456788</w:t>
      </w:r>
    </w:p>
    <w:p w14:paraId="7CA0F12C" w14:textId="77777777" w:rsidR="0082597B" w:rsidRPr="00FC7D77" w:rsidRDefault="0082597B" w:rsidP="00FC7D77">
      <w:pPr>
        <w:pStyle w:val="Prrafodelista"/>
        <w:numPr>
          <w:ilvl w:val="0"/>
          <w:numId w:val="15"/>
        </w:numPr>
        <w:spacing w:after="0" w:line="276" w:lineRule="auto"/>
        <w:contextualSpacing w:val="0"/>
        <w:jc w:val="both"/>
        <w:rPr>
          <w:rFonts w:ascii="Verdana" w:hAnsi="Verdana"/>
        </w:rPr>
      </w:pPr>
      <w:r w:rsidRPr="00FC7D77">
        <w:rPr>
          <w:rFonts w:ascii="Verdana" w:hAnsi="Verdana"/>
        </w:rPr>
        <w:t>Línea de servicio y atención al ciudadano: +57 601 7956600</w:t>
      </w:r>
    </w:p>
    <w:p w14:paraId="455112E7" w14:textId="77777777" w:rsidR="0082597B" w:rsidRPr="00FC7D77" w:rsidRDefault="0082597B" w:rsidP="00FC7D77">
      <w:pPr>
        <w:pStyle w:val="Prrafodelista"/>
        <w:numPr>
          <w:ilvl w:val="0"/>
          <w:numId w:val="15"/>
        </w:numPr>
        <w:spacing w:after="0" w:line="276" w:lineRule="auto"/>
        <w:contextualSpacing w:val="0"/>
        <w:jc w:val="both"/>
        <w:rPr>
          <w:rFonts w:ascii="Verdana" w:hAnsi="Verdana"/>
        </w:rPr>
      </w:pPr>
      <w:r w:rsidRPr="00FC7D77">
        <w:rPr>
          <w:rFonts w:ascii="Verdana" w:hAnsi="Verdana"/>
        </w:rPr>
        <w:t xml:space="preserve">Página web: </w:t>
      </w:r>
      <w:hyperlink r:id="rId13" w:history="1">
        <w:r w:rsidRPr="00FC7D77">
          <w:rPr>
            <w:rStyle w:val="Hipervnculo"/>
            <w:rFonts w:ascii="Verdana" w:hAnsi="Verdana"/>
          </w:rPr>
          <w:t>www.colombiacompra.gov.co</w:t>
        </w:r>
      </w:hyperlink>
    </w:p>
    <w:p w14:paraId="524F13BD" w14:textId="77777777" w:rsidR="0082597B" w:rsidRPr="00FC7D77" w:rsidRDefault="0082597B" w:rsidP="00FC7D77">
      <w:pPr>
        <w:spacing w:after="0" w:line="276" w:lineRule="auto"/>
        <w:jc w:val="both"/>
        <w:rPr>
          <w:rFonts w:ascii="Verdana" w:hAnsi="Verdana"/>
        </w:rPr>
      </w:pPr>
      <w:r w:rsidRPr="00FC7D77">
        <w:rPr>
          <w:rFonts w:ascii="Verdana" w:hAnsi="Verdana"/>
        </w:rPr>
        <w:t xml:space="preserve">Por último, lo invitamos a seguirnos en las redes sociales en las cuales se difunde información institucional: </w:t>
      </w:r>
    </w:p>
    <w:p w14:paraId="3EB5221C" w14:textId="77777777" w:rsidR="0082597B" w:rsidRPr="00FC7D77" w:rsidRDefault="0082597B" w:rsidP="00FC7D77">
      <w:pPr>
        <w:spacing w:after="0" w:line="276" w:lineRule="auto"/>
        <w:jc w:val="both"/>
        <w:rPr>
          <w:rFonts w:ascii="Verdana" w:hAnsi="Verdana"/>
        </w:rPr>
      </w:pPr>
    </w:p>
    <w:p w14:paraId="45EA6DF4" w14:textId="77777777" w:rsidR="0082597B" w:rsidRPr="00FC7D77" w:rsidRDefault="0082597B" w:rsidP="00FC7D77">
      <w:pPr>
        <w:spacing w:after="0" w:line="276" w:lineRule="auto"/>
        <w:jc w:val="both"/>
        <w:rPr>
          <w:rFonts w:ascii="Verdana" w:hAnsi="Verdana"/>
        </w:rPr>
      </w:pPr>
      <w:r w:rsidRPr="00FC7D77">
        <w:rPr>
          <w:rFonts w:ascii="Verdana" w:hAnsi="Verdana"/>
        </w:rPr>
        <w:t xml:space="preserve">Twitter: </w:t>
      </w:r>
      <w:r w:rsidRPr="00FC7D77">
        <w:rPr>
          <w:rStyle w:val="Hipervnculo"/>
          <w:rFonts w:ascii="Verdana" w:hAnsi="Verdana"/>
        </w:rPr>
        <w:t>@colombiacompra</w:t>
      </w:r>
      <w:r w:rsidRPr="00FC7D77">
        <w:rPr>
          <w:rFonts w:ascii="Verdana" w:hAnsi="Verdana"/>
        </w:rPr>
        <w:t xml:space="preserve"> </w:t>
      </w:r>
    </w:p>
    <w:p w14:paraId="4D89050D" w14:textId="77777777" w:rsidR="0082597B" w:rsidRPr="00FC7D77" w:rsidRDefault="0082597B" w:rsidP="00FC7D77">
      <w:pPr>
        <w:spacing w:after="0" w:line="276" w:lineRule="auto"/>
        <w:jc w:val="both"/>
        <w:rPr>
          <w:rFonts w:ascii="Verdana" w:hAnsi="Verdana"/>
        </w:rPr>
      </w:pPr>
      <w:r w:rsidRPr="00FC7D77">
        <w:rPr>
          <w:rFonts w:ascii="Verdana" w:hAnsi="Verdana"/>
        </w:rPr>
        <w:t xml:space="preserve">Facebook: </w:t>
      </w:r>
      <w:r w:rsidRPr="00FC7D77">
        <w:rPr>
          <w:rStyle w:val="Hipervnculo"/>
          <w:rFonts w:ascii="Verdana" w:hAnsi="Verdana"/>
        </w:rPr>
        <w:t>ColombiaCompraEficiente</w:t>
      </w:r>
    </w:p>
    <w:p w14:paraId="1C93B4A4" w14:textId="77777777" w:rsidR="0082597B" w:rsidRPr="00FC7D77" w:rsidRDefault="0082597B" w:rsidP="00FC7D77">
      <w:pPr>
        <w:spacing w:after="0" w:line="276" w:lineRule="auto"/>
        <w:jc w:val="both"/>
        <w:rPr>
          <w:rFonts w:ascii="Verdana" w:hAnsi="Verdana"/>
        </w:rPr>
      </w:pPr>
      <w:r w:rsidRPr="00FC7D77">
        <w:rPr>
          <w:rFonts w:ascii="Verdana" w:hAnsi="Verdana"/>
        </w:rPr>
        <w:t xml:space="preserve">LinkedIn: </w:t>
      </w:r>
      <w:r w:rsidRPr="00FC7D77">
        <w:rPr>
          <w:rStyle w:val="Hipervnculo"/>
          <w:rFonts w:ascii="Verdana" w:hAnsi="Verdana"/>
        </w:rPr>
        <w:t>Agencia Nacional de Contratación Pública - Colombia Compra Eficiente</w:t>
      </w:r>
      <w:r w:rsidRPr="00FC7D77">
        <w:rPr>
          <w:rFonts w:ascii="Verdana" w:hAnsi="Verdana"/>
        </w:rPr>
        <w:t xml:space="preserve"> Instagram: </w:t>
      </w:r>
      <w:r w:rsidRPr="00FC7D77">
        <w:rPr>
          <w:rStyle w:val="Hipervnculo"/>
          <w:rFonts w:ascii="Verdana" w:hAnsi="Verdana"/>
        </w:rPr>
        <w:t>@colombiacompraeficiente_cce</w:t>
      </w:r>
    </w:p>
    <w:p w14:paraId="6985C726" w14:textId="77777777" w:rsidR="0082597B" w:rsidRPr="00FC7D77" w:rsidRDefault="0082597B" w:rsidP="00FC7D77">
      <w:pPr>
        <w:spacing w:after="0" w:line="276" w:lineRule="auto"/>
        <w:jc w:val="both"/>
        <w:rPr>
          <w:rFonts w:ascii="Verdana" w:hAnsi="Verdana"/>
        </w:rPr>
      </w:pPr>
    </w:p>
    <w:p w14:paraId="4C35F943" w14:textId="77777777" w:rsidR="0082597B" w:rsidRPr="00FC7D77" w:rsidRDefault="0082597B" w:rsidP="00FC7D77">
      <w:pPr>
        <w:spacing w:after="0" w:line="276" w:lineRule="auto"/>
        <w:jc w:val="both"/>
        <w:rPr>
          <w:rFonts w:ascii="Verdana" w:hAnsi="Verdana"/>
        </w:rPr>
      </w:pPr>
      <w:r w:rsidRPr="00FC7D77">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DA84DDD" w14:textId="77777777" w:rsidR="0082597B" w:rsidRPr="00FC7D77" w:rsidRDefault="0082597B" w:rsidP="00FC7D77">
      <w:pPr>
        <w:spacing w:after="0" w:line="276" w:lineRule="auto"/>
        <w:jc w:val="both"/>
        <w:rPr>
          <w:rFonts w:ascii="Verdana" w:eastAsia="Calibri" w:hAnsi="Verdana" w:cs="Times New Roman"/>
        </w:rPr>
      </w:pPr>
    </w:p>
    <w:p w14:paraId="7AA9B596" w14:textId="79728620" w:rsidR="0082597B" w:rsidRPr="00F21113" w:rsidRDefault="0082597B" w:rsidP="00F21113">
      <w:pPr>
        <w:spacing w:after="0" w:line="276" w:lineRule="auto"/>
        <w:jc w:val="both"/>
        <w:rPr>
          <w:rFonts w:ascii="Verdana" w:eastAsia="Calibri" w:hAnsi="Verdana" w:cs="Times New Roman"/>
        </w:rPr>
      </w:pPr>
      <w:r w:rsidRPr="00FC7D77">
        <w:rPr>
          <w:rFonts w:ascii="Verdana" w:eastAsia="Calibri" w:hAnsi="Verdana" w:cs="Times New Roman"/>
        </w:rPr>
        <w:t>Atentamente,</w:t>
      </w:r>
      <w:bookmarkEnd w:id="2"/>
      <w:bookmarkEnd w:id="3"/>
    </w:p>
    <w:p w14:paraId="5E520111" w14:textId="77777777" w:rsidR="0082597B" w:rsidRPr="00FC7D77" w:rsidRDefault="0082597B" w:rsidP="00FC7D77">
      <w:pPr>
        <w:spacing w:after="0" w:line="276" w:lineRule="auto"/>
        <w:rPr>
          <w:rFonts w:ascii="Verdana" w:hAnsi="Verdana"/>
        </w:rPr>
      </w:pPr>
    </w:p>
    <w:p w14:paraId="0AFFD620" w14:textId="76995296" w:rsidR="0082597B" w:rsidRPr="00FC7D77" w:rsidRDefault="00F21113" w:rsidP="00F21113">
      <w:pPr>
        <w:spacing w:after="0" w:line="276" w:lineRule="auto"/>
        <w:jc w:val="center"/>
        <w:rPr>
          <w:rFonts w:ascii="Verdana" w:hAnsi="Verdana"/>
        </w:rPr>
      </w:pPr>
      <w:r w:rsidRPr="002C3AD6">
        <w:rPr>
          <w:rFonts w:ascii="Century Gothic" w:hAnsi="Century Gothic"/>
          <w:noProof/>
        </w:rPr>
        <w:drawing>
          <wp:inline distT="0" distB="0" distL="0" distR="0" wp14:anchorId="730239E7" wp14:editId="3774450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p w14:paraId="12D70E63" w14:textId="77777777" w:rsidR="0082597B" w:rsidRDefault="0082597B" w:rsidP="0082597B">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2597B" w:rsidRPr="002423D6" w14:paraId="18B6A821" w14:textId="77777777">
        <w:trPr>
          <w:trHeight w:val="315"/>
        </w:trPr>
        <w:tc>
          <w:tcPr>
            <w:tcW w:w="893" w:type="dxa"/>
            <w:vAlign w:val="center"/>
            <w:hideMark/>
          </w:tcPr>
          <w:p w14:paraId="5F4FA80E" w14:textId="77777777" w:rsidR="0082597B" w:rsidRPr="002423D6" w:rsidRDefault="0082597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DEF14DB" w14:textId="77777777" w:rsidR="0082597B" w:rsidRPr="002423D6" w:rsidRDefault="0082597B">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27FFBB06" w14:textId="77777777" w:rsidR="0082597B" w:rsidRPr="002423D6" w:rsidRDefault="0082597B">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lastRenderedPageBreak/>
              <w:t>Analista T2-02 de la Subdirección de Gestión Contractual</w:t>
            </w:r>
          </w:p>
        </w:tc>
      </w:tr>
      <w:tr w:rsidR="0082597B" w:rsidRPr="002423D6" w14:paraId="4736CED5" w14:textId="77777777">
        <w:trPr>
          <w:trHeight w:val="330"/>
        </w:trPr>
        <w:tc>
          <w:tcPr>
            <w:tcW w:w="893" w:type="dxa"/>
            <w:vAlign w:val="center"/>
            <w:hideMark/>
          </w:tcPr>
          <w:p w14:paraId="325CB063" w14:textId="77777777" w:rsidR="0082597B" w:rsidRPr="002423D6" w:rsidRDefault="0082597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E79ADC" w14:textId="77777777" w:rsidR="0082597B" w:rsidRPr="002423D6" w:rsidRDefault="0082597B">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582CBC0B" w14:textId="77777777" w:rsidR="0082597B" w:rsidRPr="002423D6" w:rsidRDefault="0082597B">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82597B" w:rsidRPr="002423D6" w14:paraId="4EF5792B" w14:textId="77777777">
        <w:trPr>
          <w:trHeight w:val="300"/>
        </w:trPr>
        <w:tc>
          <w:tcPr>
            <w:tcW w:w="893" w:type="dxa"/>
            <w:vAlign w:val="center"/>
          </w:tcPr>
          <w:p w14:paraId="1CA99D3E" w14:textId="77777777" w:rsidR="0082597B" w:rsidRPr="002423D6" w:rsidRDefault="0082597B">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2022186" w14:textId="77777777" w:rsidR="0082597B" w:rsidRPr="002423D6" w:rsidRDefault="0082597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16CCEEE5" w14:textId="77777777" w:rsidR="0082597B" w:rsidRPr="002423D6" w:rsidRDefault="0082597B">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3A364661" w14:textId="77777777" w:rsidR="0082597B" w:rsidRDefault="0082597B" w:rsidP="0082597B"/>
    <w:p w14:paraId="4F36D652" w14:textId="77777777" w:rsidR="0082597B" w:rsidRPr="00823C60" w:rsidRDefault="0082597B" w:rsidP="0082597B"/>
    <w:p w14:paraId="0F293BF4" w14:textId="3E8960E7" w:rsidR="00127233" w:rsidRPr="00D076DF" w:rsidRDefault="00127233" w:rsidP="00D076DF"/>
    <w:sectPr w:rsidR="00127233" w:rsidRPr="00D076D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61202" w14:textId="77777777" w:rsidR="00A95B3B" w:rsidRDefault="00A95B3B" w:rsidP="004A1847">
      <w:pPr>
        <w:spacing w:after="0" w:line="240" w:lineRule="auto"/>
      </w:pPr>
      <w:r>
        <w:separator/>
      </w:r>
    </w:p>
  </w:endnote>
  <w:endnote w:type="continuationSeparator" w:id="0">
    <w:p w14:paraId="020C2EA5" w14:textId="77777777" w:rsidR="00A95B3B" w:rsidRDefault="00A95B3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F364E" w14:textId="77777777" w:rsidR="00A95B3B" w:rsidRDefault="00A95B3B" w:rsidP="004A1847">
      <w:pPr>
        <w:spacing w:after="0" w:line="240" w:lineRule="auto"/>
      </w:pPr>
      <w:r>
        <w:separator/>
      </w:r>
    </w:p>
  </w:footnote>
  <w:footnote w:type="continuationSeparator" w:id="0">
    <w:p w14:paraId="65567E9D" w14:textId="77777777" w:rsidR="00A95B3B" w:rsidRDefault="00A95B3B" w:rsidP="004A1847">
      <w:pPr>
        <w:spacing w:after="0" w:line="240" w:lineRule="auto"/>
      </w:pPr>
      <w:r>
        <w:continuationSeparator/>
      </w:r>
    </w:p>
  </w:footnote>
  <w:footnote w:id="1">
    <w:p w14:paraId="5FF0DF2F" w14:textId="77777777"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6AEEFDB" w14:textId="20913BC0" w:rsidR="0082597B" w:rsidRPr="00146191" w:rsidRDefault="00457CAB" w:rsidP="00FC7D77">
      <w:pPr>
        <w:pStyle w:val="Textonotapie"/>
        <w:ind w:firstLine="709"/>
        <w:jc w:val="both"/>
        <w:rPr>
          <w:rFonts w:ascii="Verdana" w:hAnsi="Verdana" w:cs="Arial"/>
          <w:sz w:val="12"/>
          <w:szCs w:val="12"/>
        </w:rPr>
      </w:pPr>
      <w:r w:rsidRPr="00146191">
        <w:rPr>
          <w:rFonts w:ascii="Verdana" w:hAnsi="Verdana" w:cs="Arial"/>
          <w:sz w:val="12"/>
          <w:szCs w:val="12"/>
        </w:rPr>
        <w:t>“</w:t>
      </w:r>
      <w:r w:rsidR="0082597B" w:rsidRPr="00146191">
        <w:rPr>
          <w:rFonts w:ascii="Verdana" w:hAnsi="Verdana" w:cs="Arial"/>
          <w:sz w:val="12"/>
          <w:szCs w:val="12"/>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sidRPr="00146191">
        <w:rPr>
          <w:rFonts w:ascii="Verdana" w:hAnsi="Verdana" w:cs="Arial"/>
          <w:sz w:val="12"/>
          <w:szCs w:val="12"/>
        </w:rPr>
        <w:t>”</w:t>
      </w:r>
      <w:r w:rsidR="0082597B" w:rsidRPr="00146191">
        <w:rPr>
          <w:rFonts w:ascii="Verdana" w:hAnsi="Verdana" w:cs="Arial"/>
          <w:sz w:val="12"/>
          <w:szCs w:val="12"/>
        </w:rPr>
        <w:t>.</w:t>
      </w:r>
    </w:p>
    <w:p w14:paraId="70347FF8" w14:textId="77777777" w:rsidR="0082597B" w:rsidRPr="00146191" w:rsidRDefault="0082597B" w:rsidP="00FC7D77">
      <w:pPr>
        <w:pStyle w:val="Textonotapie"/>
        <w:ind w:firstLine="709"/>
        <w:jc w:val="both"/>
        <w:rPr>
          <w:rFonts w:ascii="Verdana" w:hAnsi="Verdana" w:cs="Arial"/>
          <w:sz w:val="12"/>
          <w:szCs w:val="12"/>
        </w:rPr>
      </w:pPr>
    </w:p>
  </w:footnote>
  <w:footnote w:id="2">
    <w:p w14:paraId="291E3E03" w14:textId="77777777"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Gaceta del Congreso de la República No. 71 del 2005.</w:t>
      </w:r>
    </w:p>
    <w:p w14:paraId="083DC8BE" w14:textId="77777777" w:rsidR="0082597B" w:rsidRPr="00146191" w:rsidRDefault="0082597B" w:rsidP="00FC7D77">
      <w:pPr>
        <w:pStyle w:val="Textonotapie"/>
        <w:ind w:firstLine="709"/>
        <w:jc w:val="both"/>
        <w:rPr>
          <w:rFonts w:ascii="Verdana" w:hAnsi="Verdana" w:cs="Arial"/>
          <w:sz w:val="12"/>
          <w:szCs w:val="12"/>
        </w:rPr>
      </w:pPr>
    </w:p>
  </w:footnote>
  <w:footnote w:id="3">
    <w:p w14:paraId="454AD7B9" w14:textId="77777777"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Corte Constitucional, Sentencia C- 1153 de 2005, M.P. Marco Gerardo Monroy Cabra.</w:t>
      </w:r>
    </w:p>
    <w:p w14:paraId="498658BE" w14:textId="77777777" w:rsidR="00FC7D77" w:rsidRPr="00146191" w:rsidRDefault="00FC7D77" w:rsidP="00FC7D77">
      <w:pPr>
        <w:pStyle w:val="Textonotapie"/>
        <w:ind w:firstLine="709"/>
        <w:jc w:val="both"/>
        <w:rPr>
          <w:rFonts w:ascii="Verdana" w:hAnsi="Verdana" w:cs="Arial"/>
          <w:sz w:val="12"/>
          <w:szCs w:val="12"/>
        </w:rPr>
      </w:pPr>
    </w:p>
  </w:footnote>
  <w:footnote w:id="4">
    <w:p w14:paraId="63429E9C" w14:textId="77777777"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0DCBAEAD" w14:textId="77777777" w:rsidR="0082597B" w:rsidRPr="00146191" w:rsidRDefault="0082597B" w:rsidP="00FC7D77">
      <w:pPr>
        <w:pStyle w:val="Textonotapie"/>
        <w:ind w:firstLine="709"/>
        <w:jc w:val="both"/>
        <w:rPr>
          <w:rFonts w:ascii="Verdana" w:hAnsi="Verdana" w:cs="Arial"/>
          <w:sz w:val="12"/>
          <w:szCs w:val="12"/>
        </w:rPr>
      </w:pPr>
    </w:p>
  </w:footnote>
  <w:footnote w:id="5">
    <w:p w14:paraId="59F8DAD1" w14:textId="77777777" w:rsidR="0082597B" w:rsidRPr="00146191" w:rsidRDefault="0082597B" w:rsidP="00FC7D77">
      <w:pPr>
        <w:pStyle w:val="Textonotapie"/>
        <w:ind w:firstLine="708"/>
        <w:jc w:val="both"/>
        <w:rPr>
          <w:rFonts w:ascii="Verdana" w:hAnsi="Verdana" w:cs="Arial"/>
          <w:sz w:val="12"/>
          <w:szCs w:val="12"/>
          <w:lang w:val="es-CO"/>
        </w:rPr>
      </w:pPr>
      <w:r w:rsidRPr="00146191">
        <w:rPr>
          <w:rStyle w:val="Refdenotaalpie"/>
          <w:rFonts w:ascii="Verdana" w:hAnsi="Verdana" w:cs="Arial"/>
          <w:sz w:val="12"/>
          <w:szCs w:val="12"/>
        </w:rPr>
        <w:footnoteRef/>
      </w:r>
      <w:r w:rsidRPr="00146191">
        <w:rPr>
          <w:rFonts w:ascii="Verdana" w:hAnsi="Verdana" w:cs="Arial"/>
          <w:sz w:val="12"/>
          <w:szCs w:val="12"/>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3AEF7811" w14:textId="77777777" w:rsidR="0082597B" w:rsidRPr="00146191" w:rsidRDefault="0082597B" w:rsidP="00FC7D77">
      <w:pPr>
        <w:pStyle w:val="Textonotapie"/>
        <w:ind w:firstLine="708"/>
        <w:jc w:val="both"/>
        <w:rPr>
          <w:rFonts w:ascii="Verdana" w:hAnsi="Verdana" w:cs="Arial"/>
          <w:sz w:val="12"/>
          <w:szCs w:val="12"/>
          <w:lang w:val="es-CO"/>
        </w:rPr>
      </w:pPr>
    </w:p>
  </w:footnote>
  <w:footnote w:id="6">
    <w:p w14:paraId="0FDDEC7C" w14:textId="77777777"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Consejo de Estado, Sala de Consulta y Servicio Civil de fecha 24 de julio de 2013, radicado 2166, Consejero Ponente: Álvaro Namén Vargas.  </w:t>
      </w:r>
    </w:p>
    <w:p w14:paraId="4FC60F63" w14:textId="77777777" w:rsidR="0082597B" w:rsidRPr="00146191" w:rsidRDefault="0082597B" w:rsidP="00FC7D77">
      <w:pPr>
        <w:pStyle w:val="Textonotapie"/>
        <w:ind w:firstLine="709"/>
        <w:jc w:val="both"/>
        <w:rPr>
          <w:rFonts w:ascii="Verdana" w:hAnsi="Verdana" w:cs="Arial"/>
          <w:sz w:val="12"/>
          <w:szCs w:val="12"/>
        </w:rPr>
      </w:pPr>
    </w:p>
  </w:footnote>
  <w:footnote w:id="7">
    <w:p w14:paraId="7C492799" w14:textId="3F4E1F98" w:rsidR="0082597B" w:rsidRPr="00146191" w:rsidRDefault="0082597B" w:rsidP="00FC7D77">
      <w:pPr>
        <w:spacing w:after="0" w:line="240" w:lineRule="auto"/>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w:t>
      </w:r>
      <w:r w:rsidR="00FC7D77" w:rsidRPr="00146191">
        <w:rPr>
          <w:rFonts w:ascii="Verdana" w:hAnsi="Verdana" w:cs="Arial"/>
          <w:bCs/>
          <w:color w:val="000000"/>
          <w:sz w:val="12"/>
          <w:szCs w:val="12"/>
        </w:rPr>
        <w:t>“</w:t>
      </w:r>
      <w:r w:rsidRPr="00146191">
        <w:rPr>
          <w:rFonts w:ascii="Verdana" w:hAnsi="Verdana" w:cs="Arial"/>
          <w:sz w:val="12"/>
          <w:szCs w:val="12"/>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D81023C" w14:textId="437BE0FC" w:rsidR="0082597B" w:rsidRPr="00146191" w:rsidRDefault="0082597B" w:rsidP="00FC7D77">
      <w:pPr>
        <w:spacing w:after="0" w:line="240" w:lineRule="auto"/>
        <w:ind w:firstLine="709"/>
        <w:jc w:val="both"/>
        <w:rPr>
          <w:rFonts w:ascii="Verdana" w:hAnsi="Verdana" w:cs="Arial"/>
          <w:sz w:val="12"/>
          <w:szCs w:val="12"/>
        </w:rPr>
      </w:pPr>
      <w:r w:rsidRPr="00146191">
        <w:rPr>
          <w:rFonts w:ascii="Verdana" w:hAnsi="Verdana" w:cs="Arial"/>
          <w:sz w:val="12"/>
          <w:szCs w:val="12"/>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EA7ACA" w:rsidRPr="00146191">
        <w:rPr>
          <w:rFonts w:ascii="Verdana" w:hAnsi="Verdana" w:cs="Arial"/>
          <w:bCs/>
          <w:color w:val="000000"/>
          <w:sz w:val="12"/>
          <w:szCs w:val="12"/>
        </w:rPr>
        <w:t>”</w:t>
      </w:r>
      <w:r w:rsidRPr="00146191">
        <w:rPr>
          <w:rFonts w:ascii="Verdana" w:hAnsi="Verdana" w:cs="Arial"/>
          <w:sz w:val="12"/>
          <w:szCs w:val="12"/>
        </w:rPr>
        <w:t>.</w:t>
      </w:r>
    </w:p>
    <w:p w14:paraId="793F6FC4" w14:textId="77777777" w:rsidR="0082597B" w:rsidRPr="00146191" w:rsidRDefault="0082597B" w:rsidP="00FC7D77">
      <w:pPr>
        <w:spacing w:after="0" w:line="240" w:lineRule="auto"/>
        <w:ind w:firstLine="709"/>
        <w:jc w:val="both"/>
        <w:rPr>
          <w:rFonts w:ascii="Verdana" w:hAnsi="Verdana" w:cs="Arial"/>
          <w:sz w:val="12"/>
          <w:szCs w:val="12"/>
        </w:rPr>
      </w:pPr>
    </w:p>
  </w:footnote>
  <w:footnote w:id="8">
    <w:p w14:paraId="11AFA658" w14:textId="3E6A8EE7" w:rsidR="0082597B" w:rsidRPr="00146191" w:rsidRDefault="0082597B" w:rsidP="00FC7D77">
      <w:pPr>
        <w:pStyle w:val="NormalWeb"/>
        <w:spacing w:before="0" w:beforeAutospacing="0" w:after="0" w:afterAutospacing="0"/>
        <w:ind w:firstLine="709"/>
        <w:jc w:val="both"/>
        <w:rPr>
          <w:rFonts w:ascii="Verdana" w:hAnsi="Verdana" w:cs="Arial"/>
          <w:sz w:val="12"/>
          <w:szCs w:val="12"/>
          <w:lang w:val="es-MX"/>
        </w:rPr>
      </w:pPr>
      <w:r w:rsidRPr="00146191">
        <w:rPr>
          <w:rStyle w:val="Refdenotaalpie"/>
          <w:rFonts w:ascii="Verdana" w:hAnsi="Verdana" w:cs="Arial"/>
          <w:sz w:val="12"/>
          <w:szCs w:val="12"/>
        </w:rPr>
        <w:footnoteRef/>
      </w:r>
      <w:r w:rsidRPr="00146191">
        <w:rPr>
          <w:rFonts w:ascii="Verdana" w:hAnsi="Verdana" w:cs="Arial"/>
          <w:sz w:val="12"/>
          <w:szCs w:val="12"/>
        </w:rPr>
        <w:t xml:space="preserve"> </w:t>
      </w:r>
      <w:bookmarkStart w:id="11" w:name="38"/>
      <w:r w:rsidR="00FC7D77" w:rsidRPr="00146191">
        <w:rPr>
          <w:rFonts w:ascii="Verdana" w:hAnsi="Verdana" w:cs="Arial"/>
          <w:sz w:val="12"/>
          <w:szCs w:val="12"/>
        </w:rPr>
        <w:t>“</w:t>
      </w:r>
      <w:r w:rsidRPr="00146191">
        <w:rPr>
          <w:rFonts w:ascii="Verdana" w:hAnsi="Verdana" w:cs="Arial"/>
          <w:sz w:val="12"/>
          <w:szCs w:val="12"/>
          <w:lang w:val="es-MX"/>
        </w:rPr>
        <w:t>Artículo 38. Prohibiciones para los servidores públicos. A los empleados del Estado les está prohibido:</w:t>
      </w:r>
      <w:bookmarkEnd w:id="11"/>
    </w:p>
    <w:p w14:paraId="1A8D466D" w14:textId="0FF3E85F" w:rsidR="0082597B" w:rsidRPr="00146191" w:rsidRDefault="0082597B" w:rsidP="00FC7D77">
      <w:pPr>
        <w:pStyle w:val="NormalWeb"/>
        <w:spacing w:before="0" w:beforeAutospacing="0" w:after="0" w:afterAutospacing="0"/>
        <w:ind w:firstLine="709"/>
        <w:jc w:val="both"/>
        <w:rPr>
          <w:rFonts w:ascii="Verdana" w:hAnsi="Verdana" w:cs="Arial"/>
          <w:sz w:val="12"/>
          <w:szCs w:val="12"/>
          <w:lang w:val="es-MX"/>
        </w:rPr>
      </w:pPr>
      <w:r w:rsidRPr="00146191">
        <w:rPr>
          <w:rFonts w:ascii="Verdana" w:hAnsi="Verdana" w:cs="Arial"/>
          <w:sz w:val="12"/>
          <w:szCs w:val="12"/>
          <w:lang w:val="es-MX"/>
        </w:rPr>
        <w:t>[…]</w:t>
      </w:r>
    </w:p>
    <w:p w14:paraId="38D38FE0" w14:textId="245E5529" w:rsidR="0082597B" w:rsidRPr="00146191" w:rsidRDefault="0082597B" w:rsidP="00FC7D77">
      <w:pPr>
        <w:pStyle w:val="NormalWeb"/>
        <w:spacing w:before="0" w:beforeAutospacing="0" w:after="0" w:afterAutospacing="0"/>
        <w:ind w:firstLine="709"/>
        <w:jc w:val="both"/>
        <w:rPr>
          <w:rFonts w:ascii="Verdana" w:hAnsi="Verdana" w:cs="Arial"/>
          <w:sz w:val="12"/>
          <w:szCs w:val="12"/>
          <w:lang w:val="es-MX"/>
        </w:rPr>
      </w:pPr>
      <w:r w:rsidRPr="00146191">
        <w:rPr>
          <w:rStyle w:val="baj"/>
          <w:rFonts w:ascii="Verdana" w:hAnsi="Verdana" w:cs="Arial"/>
          <w:sz w:val="12"/>
          <w:szCs w:val="12"/>
          <w:lang w:val="es-MX"/>
        </w:rPr>
        <w:t>Parágrafo.</w:t>
      </w:r>
      <w:r w:rsidRPr="00146191">
        <w:rPr>
          <w:rFonts w:ascii="Verdana" w:hAnsi="Verdana" w:cs="Arial"/>
          <w:sz w:val="12"/>
          <w:szCs w:val="12"/>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00EA7ACA" w:rsidRPr="00146191">
        <w:rPr>
          <w:rFonts w:ascii="Verdana" w:eastAsia="Calibri" w:hAnsi="Verdana" w:cs="Arial"/>
          <w:bCs/>
          <w:color w:val="000000"/>
          <w:sz w:val="12"/>
          <w:szCs w:val="12"/>
        </w:rPr>
        <w:t>”</w:t>
      </w:r>
      <w:r w:rsidRPr="00146191">
        <w:rPr>
          <w:rFonts w:ascii="Verdana" w:hAnsi="Verdana" w:cs="Arial"/>
          <w:sz w:val="12"/>
          <w:szCs w:val="12"/>
          <w:lang w:val="es-MX"/>
        </w:rPr>
        <w:t>.</w:t>
      </w:r>
    </w:p>
    <w:p w14:paraId="27435AC5" w14:textId="77777777" w:rsidR="0082597B" w:rsidRPr="00146191" w:rsidRDefault="0082597B" w:rsidP="00FC7D77">
      <w:pPr>
        <w:pStyle w:val="NormalWeb"/>
        <w:spacing w:before="0" w:beforeAutospacing="0" w:after="0" w:afterAutospacing="0"/>
        <w:ind w:firstLine="709"/>
        <w:jc w:val="both"/>
        <w:rPr>
          <w:rFonts w:ascii="Verdana" w:hAnsi="Verdana" w:cs="Arial"/>
          <w:sz w:val="12"/>
          <w:szCs w:val="12"/>
          <w:lang w:val="es-MX"/>
        </w:rPr>
      </w:pPr>
    </w:p>
  </w:footnote>
  <w:footnote w:id="9">
    <w:p w14:paraId="5DFDFB9A" w14:textId="77777777" w:rsidR="0082597B" w:rsidRPr="00146191" w:rsidRDefault="0082597B" w:rsidP="00FC7D77">
      <w:pPr>
        <w:spacing w:after="0" w:line="240" w:lineRule="auto"/>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Consejo de Estado. Sala de Consulta y Servicio Civil. Concepto del 17 de febrero de 2015. C.P. William Zambrano Cetina. Radicación No. 11001-03-06-000-2015-00164-00(2269).</w:t>
      </w:r>
    </w:p>
    <w:p w14:paraId="5F786DC5" w14:textId="77777777" w:rsidR="003D6E83" w:rsidRPr="00146191" w:rsidRDefault="003D6E83" w:rsidP="00FC7D77">
      <w:pPr>
        <w:spacing w:after="0" w:line="240" w:lineRule="auto"/>
        <w:ind w:firstLine="709"/>
        <w:jc w:val="both"/>
        <w:rPr>
          <w:rFonts w:ascii="Verdana" w:hAnsi="Verdana" w:cs="Arial"/>
          <w:sz w:val="12"/>
          <w:szCs w:val="12"/>
          <w:lang w:val="es-ES"/>
        </w:rPr>
      </w:pPr>
    </w:p>
  </w:footnote>
  <w:footnote w:id="10">
    <w:p w14:paraId="73AA1A16" w14:textId="6759B6AC"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w:t>
      </w:r>
      <w:r w:rsidR="00457CAB" w:rsidRPr="00146191">
        <w:rPr>
          <w:rFonts w:ascii="Verdana" w:hAnsi="Verdana" w:cs="Arial"/>
          <w:sz w:val="12"/>
          <w:szCs w:val="12"/>
        </w:rPr>
        <w:t>“</w:t>
      </w:r>
      <w:r w:rsidRPr="00146191">
        <w:rPr>
          <w:rFonts w:ascii="Verdana" w:hAnsi="Verdana" w:cs="Arial"/>
          <w:sz w:val="12"/>
          <w:szCs w:val="12"/>
          <w:lang w:val="es-ES"/>
        </w:rPr>
        <w:t xml:space="preserve">[25] </w:t>
      </w:r>
      <w:r w:rsidRPr="00146191">
        <w:rPr>
          <w:rFonts w:ascii="Verdana" w:hAnsi="Verdana" w:cs="Arial"/>
          <w:sz w:val="12"/>
          <w:szCs w:val="12"/>
        </w:rPr>
        <w:t>Cfr. Consejo de Estado. Sección Tercera. Sentencia de 3 de diciembre de 2007. Radicados: 24.715, 25.206, 25.409, 24.524, 27.834, 25.410, 26.105, 28.244, 31.447 -acumulados-</w:t>
      </w:r>
      <w:r w:rsidR="00457CAB" w:rsidRPr="00146191">
        <w:rPr>
          <w:rFonts w:ascii="Verdana" w:hAnsi="Verdana" w:cs="Arial"/>
          <w:sz w:val="12"/>
          <w:szCs w:val="12"/>
        </w:rPr>
        <w:t>“</w:t>
      </w:r>
      <w:r w:rsidRPr="00146191">
        <w:rPr>
          <w:rFonts w:ascii="Verdana" w:hAnsi="Verdana" w:cs="Arial"/>
          <w:sz w:val="12"/>
          <w:szCs w:val="12"/>
        </w:rPr>
        <w:t>.</w:t>
      </w:r>
    </w:p>
    <w:p w14:paraId="5FB7A158" w14:textId="77777777" w:rsidR="0082597B" w:rsidRPr="00146191" w:rsidRDefault="0082597B" w:rsidP="00FC7D77">
      <w:pPr>
        <w:pStyle w:val="Textonotapie"/>
        <w:ind w:firstLine="709"/>
        <w:jc w:val="both"/>
        <w:rPr>
          <w:rFonts w:ascii="Verdana" w:hAnsi="Verdana" w:cs="Arial"/>
          <w:sz w:val="12"/>
          <w:szCs w:val="12"/>
        </w:rPr>
      </w:pPr>
    </w:p>
  </w:footnote>
  <w:footnote w:id="11">
    <w:p w14:paraId="22B5A7C7" w14:textId="0028A363"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w:t>
      </w:r>
      <w:r w:rsidR="00457CAB" w:rsidRPr="00146191">
        <w:rPr>
          <w:rFonts w:ascii="Verdana" w:hAnsi="Verdana" w:cs="Arial"/>
          <w:sz w:val="12"/>
          <w:szCs w:val="12"/>
        </w:rPr>
        <w:t>“</w:t>
      </w:r>
      <w:r w:rsidRPr="00146191">
        <w:rPr>
          <w:rFonts w:ascii="Verdana" w:hAnsi="Verdana" w:cs="Arial"/>
          <w:sz w:val="12"/>
          <w:szCs w:val="12"/>
          <w:lang w:val="es-ES"/>
        </w:rPr>
        <w:t xml:space="preserve">[26] </w:t>
      </w:r>
      <w:r w:rsidRPr="00146191">
        <w:rPr>
          <w:rFonts w:ascii="Verdana" w:hAnsi="Verdana" w:cs="Arial"/>
          <w:sz w:val="12"/>
          <w:szCs w:val="12"/>
        </w:rPr>
        <w:t>Al respecto ver el concepto 1712 de 2 de febrero de 2006. Consejo de Estado Sala de Consulta y Servicio Civil</w:t>
      </w:r>
      <w:r w:rsidR="00457CAB" w:rsidRPr="00146191">
        <w:rPr>
          <w:rFonts w:ascii="Verdana" w:hAnsi="Verdana" w:cs="Arial"/>
          <w:sz w:val="12"/>
          <w:szCs w:val="12"/>
        </w:rPr>
        <w:t>”</w:t>
      </w:r>
      <w:r w:rsidRPr="00146191">
        <w:rPr>
          <w:rFonts w:ascii="Verdana" w:hAnsi="Verdana" w:cs="Arial"/>
          <w:sz w:val="12"/>
          <w:szCs w:val="12"/>
        </w:rPr>
        <w:t>.</w:t>
      </w:r>
    </w:p>
    <w:p w14:paraId="2DF24BF8" w14:textId="77777777" w:rsidR="0082597B" w:rsidRPr="00146191" w:rsidRDefault="0082597B" w:rsidP="00FC7D77">
      <w:pPr>
        <w:pStyle w:val="Textonotapie"/>
        <w:ind w:firstLine="709"/>
        <w:jc w:val="both"/>
        <w:rPr>
          <w:rFonts w:ascii="Verdana" w:hAnsi="Verdana" w:cs="Arial"/>
          <w:sz w:val="12"/>
          <w:szCs w:val="12"/>
        </w:rPr>
      </w:pPr>
    </w:p>
  </w:footnote>
  <w:footnote w:id="12">
    <w:p w14:paraId="4359384B" w14:textId="77777777"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Consejo de Estado. Sala de Consulta y Servicio Civil. Concepto del 2 de septiembre de 2013. Radicación número: 11001-03-06-000-2013-00412-00 (2168). Consejero Ponente: Álvaro Namén Vargas.</w:t>
      </w:r>
    </w:p>
    <w:p w14:paraId="50D16EDC" w14:textId="77777777" w:rsidR="0082597B" w:rsidRPr="00146191" w:rsidRDefault="0082597B" w:rsidP="00FC7D77">
      <w:pPr>
        <w:pStyle w:val="Textonotapie"/>
        <w:ind w:firstLine="709"/>
        <w:jc w:val="both"/>
        <w:rPr>
          <w:rFonts w:ascii="Verdana" w:hAnsi="Verdana" w:cs="Arial"/>
          <w:sz w:val="12"/>
          <w:szCs w:val="12"/>
        </w:rPr>
      </w:pPr>
    </w:p>
  </w:footnote>
  <w:footnote w:id="13">
    <w:p w14:paraId="0D96D10E" w14:textId="55A3F88A" w:rsidR="0082597B" w:rsidRPr="00146191" w:rsidRDefault="0082597B" w:rsidP="00FC7D77">
      <w:pPr>
        <w:pStyle w:val="Textonotapie"/>
        <w:ind w:firstLine="708"/>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w:t>
      </w:r>
      <w:r w:rsidR="00457CAB" w:rsidRPr="00146191">
        <w:rPr>
          <w:rFonts w:ascii="Verdana" w:hAnsi="Verdana" w:cs="Arial"/>
          <w:sz w:val="12"/>
          <w:szCs w:val="12"/>
        </w:rPr>
        <w:t>“</w:t>
      </w:r>
      <w:r w:rsidRPr="00146191">
        <w:rPr>
          <w:rFonts w:ascii="Verdana" w:hAnsi="Verdana" w:cs="Arial"/>
          <w:sz w:val="12"/>
          <w:szCs w:val="12"/>
        </w:rPr>
        <w:t xml:space="preserve">ARTÍCULO 2. DE LAS MODALIDADES DE SELECCIÓN. La escogencia del contratista se efectuará con arreglo a las modalidades de selección de licitación pública, selección abreviada, concurso de méritos y contratación directa, con base en las siguientes reglas: </w:t>
      </w:r>
    </w:p>
    <w:p w14:paraId="6DDEC579" w14:textId="77777777" w:rsidR="0082597B" w:rsidRPr="00146191" w:rsidRDefault="0082597B" w:rsidP="00FC7D77">
      <w:pPr>
        <w:pStyle w:val="Textonotapie"/>
        <w:ind w:firstLine="708"/>
        <w:jc w:val="both"/>
        <w:rPr>
          <w:rFonts w:ascii="Verdana" w:hAnsi="Verdana" w:cs="Arial"/>
          <w:sz w:val="12"/>
          <w:szCs w:val="12"/>
        </w:rPr>
      </w:pPr>
      <w:r w:rsidRPr="00146191">
        <w:rPr>
          <w:rFonts w:ascii="Verdana" w:hAnsi="Verdana" w:cs="Arial"/>
          <w:sz w:val="12"/>
          <w:szCs w:val="12"/>
        </w:rPr>
        <w:t>[…]</w:t>
      </w:r>
    </w:p>
    <w:p w14:paraId="164AA66D" w14:textId="7E28B62B" w:rsidR="0082597B" w:rsidRPr="00146191" w:rsidRDefault="0082597B" w:rsidP="00FC7D77">
      <w:pPr>
        <w:pStyle w:val="Textonotapie"/>
        <w:ind w:firstLine="708"/>
        <w:jc w:val="both"/>
        <w:rPr>
          <w:rFonts w:ascii="Verdana" w:hAnsi="Verdana" w:cs="Arial"/>
          <w:sz w:val="12"/>
          <w:szCs w:val="12"/>
        </w:rPr>
      </w:pPr>
      <w:r w:rsidRPr="00146191">
        <w:rPr>
          <w:rFonts w:ascii="Verdana" w:hAnsi="Verdana" w:cs="Arial"/>
          <w:sz w:val="12"/>
          <w:szCs w:val="12"/>
        </w:rPr>
        <w:t>5. Contratación mínima cuantía. [Numeral modificado por el artículo 30 de la Ley 2069 de 2020]</w:t>
      </w:r>
      <w:r w:rsidR="00457CAB" w:rsidRPr="00146191">
        <w:rPr>
          <w:rFonts w:ascii="Verdana" w:hAnsi="Verdana" w:cs="Arial"/>
          <w:sz w:val="12"/>
          <w:szCs w:val="12"/>
        </w:rPr>
        <w:t>”</w:t>
      </w:r>
      <w:r w:rsidRPr="00146191">
        <w:rPr>
          <w:rFonts w:ascii="Verdana" w:hAnsi="Verdana" w:cs="Arial"/>
          <w:sz w:val="12"/>
          <w:szCs w:val="12"/>
        </w:rPr>
        <w:t>.</w:t>
      </w:r>
    </w:p>
  </w:footnote>
  <w:footnote w:id="14">
    <w:p w14:paraId="48DF53A0" w14:textId="62338688" w:rsidR="0082597B" w:rsidRPr="00146191" w:rsidRDefault="0082597B" w:rsidP="00FC7D77">
      <w:pPr>
        <w:pStyle w:val="Textonotapie"/>
        <w:ind w:firstLine="709"/>
        <w:jc w:val="both"/>
        <w:rPr>
          <w:rFonts w:ascii="Verdana" w:hAnsi="Verdana" w:cs="Arial"/>
          <w:sz w:val="12"/>
          <w:szCs w:val="12"/>
          <w:lang w:val="es-ES"/>
        </w:rPr>
      </w:pPr>
      <w:r w:rsidRPr="00146191">
        <w:rPr>
          <w:rStyle w:val="Refdenotaalpie"/>
          <w:rFonts w:ascii="Verdana" w:hAnsi="Verdana" w:cs="Arial"/>
          <w:sz w:val="12"/>
          <w:szCs w:val="12"/>
        </w:rPr>
        <w:footnoteRef/>
      </w:r>
      <w:r w:rsidRPr="00146191">
        <w:rPr>
          <w:rStyle w:val="Refdenotaalpie"/>
          <w:rFonts w:ascii="Verdana" w:hAnsi="Verdana" w:cs="Arial"/>
          <w:sz w:val="12"/>
          <w:szCs w:val="12"/>
        </w:rPr>
        <w:t xml:space="preserve"> </w:t>
      </w:r>
      <w:r w:rsidR="00457CAB" w:rsidRPr="00146191">
        <w:rPr>
          <w:rFonts w:ascii="Verdana" w:hAnsi="Verdana" w:cs="Arial"/>
          <w:sz w:val="12"/>
          <w:szCs w:val="12"/>
          <w:lang w:val="es-ES"/>
        </w:rPr>
        <w:t>“</w:t>
      </w:r>
      <w:r w:rsidRPr="00146191">
        <w:rPr>
          <w:rFonts w:ascii="Verdana" w:hAnsi="Verdana" w:cs="Arial"/>
          <w:sz w:val="12"/>
          <w:szCs w:val="12"/>
          <w:lang w:val="es-ES"/>
        </w:rPr>
        <w:t>[…] A este respecto, cabe recordar que el artículo 860 del Código de Comercio regula la licitación en el derecho privado</w:t>
      </w:r>
      <w:r w:rsidR="00024940" w:rsidRPr="00146191">
        <w:rPr>
          <w:rFonts w:ascii="Verdana" w:hAnsi="Verdana" w:cs="Arial"/>
          <w:sz w:val="12"/>
          <w:szCs w:val="12"/>
          <w:lang w:val="es-ES"/>
        </w:rPr>
        <w:t>”</w:t>
      </w:r>
      <w:r w:rsidRPr="00146191">
        <w:rPr>
          <w:rFonts w:ascii="Verdana" w:hAnsi="Verdana" w:cs="Arial"/>
          <w:sz w:val="12"/>
          <w:szCs w:val="12"/>
          <w:lang w:val="es-ES"/>
        </w:rPr>
        <w:t xml:space="preserve">. </w:t>
      </w:r>
    </w:p>
    <w:p w14:paraId="3A980B86" w14:textId="77777777" w:rsidR="0082597B" w:rsidRPr="00146191" w:rsidRDefault="0082597B" w:rsidP="00FC7D77">
      <w:pPr>
        <w:pStyle w:val="Textonotapie"/>
        <w:ind w:firstLine="709"/>
        <w:jc w:val="both"/>
        <w:rPr>
          <w:rFonts w:ascii="Verdana" w:hAnsi="Verdana" w:cs="Arial"/>
          <w:sz w:val="12"/>
          <w:szCs w:val="12"/>
          <w:lang w:val="es-ES"/>
        </w:rPr>
      </w:pPr>
    </w:p>
  </w:footnote>
  <w:footnote w:id="15">
    <w:p w14:paraId="75FEEAD1" w14:textId="77777777" w:rsidR="0082597B" w:rsidRPr="00146191" w:rsidRDefault="0082597B" w:rsidP="00FC7D77">
      <w:pPr>
        <w:shd w:val="clear" w:color="auto" w:fill="FFFFFF"/>
        <w:spacing w:after="0" w:line="240" w:lineRule="auto"/>
        <w:ind w:firstLine="709"/>
        <w:jc w:val="both"/>
        <w:rPr>
          <w:rFonts w:ascii="Verdana" w:hAnsi="Verdana" w:cs="Arial"/>
          <w:sz w:val="12"/>
          <w:szCs w:val="12"/>
          <w:lang w:val="es-ES"/>
        </w:rPr>
      </w:pPr>
      <w:r w:rsidRPr="00146191">
        <w:rPr>
          <w:rStyle w:val="Refdenotaalpie"/>
          <w:rFonts w:ascii="Verdana" w:hAnsi="Verdana" w:cs="Arial"/>
          <w:sz w:val="12"/>
          <w:szCs w:val="12"/>
        </w:rPr>
        <w:footnoteRef/>
      </w:r>
      <w:r w:rsidRPr="00146191">
        <w:rPr>
          <w:rStyle w:val="Refdenotaalpie"/>
          <w:rFonts w:ascii="Verdana" w:hAnsi="Verdana" w:cs="Arial"/>
          <w:sz w:val="12"/>
          <w:szCs w:val="12"/>
        </w:rPr>
        <w:t xml:space="preserve"> </w:t>
      </w:r>
      <w:r w:rsidRPr="00146191">
        <w:rPr>
          <w:rFonts w:ascii="Verdana" w:hAnsi="Verdana" w:cs="Arial"/>
          <w:sz w:val="12"/>
          <w:szCs w:val="12"/>
          <w:lang w:val="es-ES"/>
        </w:rPr>
        <w:t>Consejo de Estado. Sala de Consulta y Servicio Civil, Concepto de 8 de mayo de 2018. Radicación Número: 11001-03-06-000-2018-00095-00(2382). Consejero Ponente: Álvaro Namén Vargas.</w:t>
      </w:r>
    </w:p>
    <w:p w14:paraId="4F835DA5" w14:textId="77777777" w:rsidR="0082597B" w:rsidRPr="00146191" w:rsidRDefault="0082597B" w:rsidP="00FC7D77">
      <w:pPr>
        <w:shd w:val="clear" w:color="auto" w:fill="FFFFFF"/>
        <w:spacing w:after="0" w:line="240" w:lineRule="auto"/>
        <w:ind w:firstLine="709"/>
        <w:jc w:val="both"/>
        <w:rPr>
          <w:rFonts w:ascii="Verdana" w:hAnsi="Verdana" w:cs="Arial"/>
          <w:sz w:val="12"/>
          <w:szCs w:val="12"/>
          <w:lang w:val="es-ES"/>
        </w:rPr>
      </w:pPr>
    </w:p>
  </w:footnote>
  <w:footnote w:id="16">
    <w:p w14:paraId="7DAC5762" w14:textId="77777777"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Consejo de Estado. Sala de Consulta y Servicio Civil. Concepto del 08 de mayo de 2018. Exp. 2.382. C.P. Álvaro Namén Vargas.</w:t>
      </w:r>
    </w:p>
    <w:p w14:paraId="78367632" w14:textId="77777777" w:rsidR="003D6E83" w:rsidRPr="00146191" w:rsidRDefault="003D6E83" w:rsidP="00FC7D77">
      <w:pPr>
        <w:pStyle w:val="Textonotapie"/>
        <w:ind w:firstLine="709"/>
        <w:jc w:val="both"/>
        <w:rPr>
          <w:rFonts w:ascii="Verdana" w:hAnsi="Verdana" w:cs="Arial"/>
          <w:sz w:val="12"/>
          <w:szCs w:val="12"/>
        </w:rPr>
      </w:pPr>
    </w:p>
  </w:footnote>
  <w:footnote w:id="17">
    <w:p w14:paraId="57A13FA3" w14:textId="77777777" w:rsidR="0082597B" w:rsidRPr="00146191" w:rsidRDefault="0082597B" w:rsidP="00FC7D77">
      <w:pPr>
        <w:pStyle w:val="Textonotapie"/>
        <w:ind w:firstLine="709"/>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1C864651" w14:textId="77777777" w:rsidR="003D6E83" w:rsidRPr="00146191" w:rsidRDefault="003D6E83" w:rsidP="00FC7D77">
      <w:pPr>
        <w:pStyle w:val="Textonotapie"/>
        <w:ind w:firstLine="709"/>
        <w:jc w:val="both"/>
        <w:rPr>
          <w:rFonts w:ascii="Verdana" w:hAnsi="Verdana" w:cs="Arial"/>
          <w:sz w:val="12"/>
          <w:szCs w:val="12"/>
        </w:rPr>
      </w:pPr>
    </w:p>
  </w:footnote>
  <w:footnote w:id="18">
    <w:p w14:paraId="601345ED" w14:textId="77777777" w:rsidR="0082597B" w:rsidRPr="00146191" w:rsidRDefault="0082597B" w:rsidP="00FC7D77">
      <w:pPr>
        <w:spacing w:after="0" w:line="240" w:lineRule="auto"/>
        <w:ind w:firstLine="709"/>
        <w:jc w:val="both"/>
        <w:rPr>
          <w:rFonts w:ascii="Verdana" w:hAnsi="Verdana" w:cs="Arial"/>
          <w:color w:val="000000"/>
          <w:sz w:val="12"/>
          <w:szCs w:val="12"/>
        </w:rPr>
      </w:pPr>
      <w:r w:rsidRPr="00146191">
        <w:rPr>
          <w:rStyle w:val="Refdenotaalpie"/>
          <w:rFonts w:ascii="Verdana" w:hAnsi="Verdana" w:cs="Arial"/>
          <w:color w:val="000000"/>
          <w:sz w:val="12"/>
          <w:szCs w:val="12"/>
        </w:rPr>
        <w:footnoteRef/>
      </w:r>
      <w:r w:rsidRPr="00146191">
        <w:rPr>
          <w:rFonts w:ascii="Verdana" w:hAnsi="Verdana" w:cs="Arial"/>
          <w:color w:val="000000"/>
          <w:sz w:val="12"/>
          <w:szCs w:val="12"/>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6616AC70" w14:textId="77777777" w:rsidR="003D6E83" w:rsidRPr="00146191" w:rsidRDefault="003D6E83" w:rsidP="00FC7D77">
      <w:pPr>
        <w:spacing w:after="0" w:line="240" w:lineRule="auto"/>
        <w:ind w:firstLine="709"/>
        <w:jc w:val="both"/>
        <w:rPr>
          <w:rFonts w:ascii="Verdana" w:hAnsi="Verdana" w:cs="Arial"/>
          <w:color w:val="000000"/>
          <w:sz w:val="12"/>
          <w:szCs w:val="12"/>
        </w:rPr>
      </w:pPr>
    </w:p>
  </w:footnote>
  <w:footnote w:id="19">
    <w:p w14:paraId="17F32669" w14:textId="77777777" w:rsidR="009D5ED8" w:rsidRPr="00146191" w:rsidRDefault="009D5ED8" w:rsidP="00FC7D77">
      <w:pPr>
        <w:pStyle w:val="Textonotapie"/>
        <w:ind w:firstLine="709"/>
        <w:jc w:val="both"/>
        <w:rPr>
          <w:rFonts w:ascii="Verdana" w:hAnsi="Verdana"/>
          <w:sz w:val="12"/>
          <w:szCs w:val="12"/>
          <w:lang w:val="es-CO"/>
        </w:rPr>
      </w:pPr>
      <w:r w:rsidRPr="00146191">
        <w:rPr>
          <w:rStyle w:val="Refdenotaalpie"/>
          <w:rFonts w:ascii="Verdana" w:hAnsi="Verdana"/>
          <w:sz w:val="12"/>
          <w:szCs w:val="12"/>
        </w:rPr>
        <w:footnoteRef/>
      </w:r>
      <w:r w:rsidRPr="00146191">
        <w:rPr>
          <w:rFonts w:ascii="Verdana" w:hAnsi="Verdana"/>
          <w:sz w:val="12"/>
          <w:szCs w:val="12"/>
          <w:lang w:val="es-CO"/>
        </w:rPr>
        <w:t xml:space="preserve"> Consejo de Estado, Sección Tercera. Auto del 4 de octubre de 2024. Exp. 70.313. C.P: Fredy Ibarra Martínez.</w:t>
      </w:r>
    </w:p>
    <w:p w14:paraId="18182069" w14:textId="77777777" w:rsidR="003D6E83" w:rsidRPr="00146191" w:rsidRDefault="003D6E83" w:rsidP="00FC7D77">
      <w:pPr>
        <w:pStyle w:val="Textonotapie"/>
        <w:ind w:firstLine="709"/>
        <w:jc w:val="both"/>
        <w:rPr>
          <w:rFonts w:ascii="Verdana" w:hAnsi="Verdana"/>
          <w:sz w:val="12"/>
          <w:szCs w:val="12"/>
          <w:lang w:val="es-CO"/>
        </w:rPr>
      </w:pPr>
    </w:p>
  </w:footnote>
  <w:footnote w:id="20">
    <w:p w14:paraId="66154902" w14:textId="77777777" w:rsidR="009D5ED8" w:rsidRPr="00146191" w:rsidRDefault="009D5ED8" w:rsidP="00FC7D77">
      <w:pPr>
        <w:pStyle w:val="Textonotapie"/>
        <w:ind w:firstLine="709"/>
        <w:jc w:val="both"/>
        <w:rPr>
          <w:rFonts w:ascii="Verdana" w:hAnsi="Verdana"/>
          <w:sz w:val="12"/>
          <w:szCs w:val="12"/>
          <w:lang w:val="es-CO"/>
        </w:rPr>
      </w:pPr>
      <w:r w:rsidRPr="00146191">
        <w:rPr>
          <w:rStyle w:val="Refdenotaalpie"/>
          <w:rFonts w:ascii="Verdana" w:hAnsi="Verdana"/>
          <w:sz w:val="12"/>
          <w:szCs w:val="12"/>
        </w:rPr>
        <w:footnoteRef/>
      </w:r>
      <w:r w:rsidRPr="00146191">
        <w:rPr>
          <w:rFonts w:ascii="Verdana" w:hAnsi="Verdana"/>
          <w:sz w:val="12"/>
          <w:szCs w:val="12"/>
        </w:rPr>
        <w:t xml:space="preserve"> La parte resolutiva del auto dispone lo siguiente; “</w:t>
      </w:r>
      <w:r w:rsidRPr="00146191">
        <w:rPr>
          <w:rFonts w:ascii="Verdana" w:hAnsi="Verdana"/>
          <w:b/>
          <w:sz w:val="12"/>
          <w:szCs w:val="12"/>
          <w:lang w:val="es-CO"/>
        </w:rPr>
        <w:t xml:space="preserve">PRIMERO: DECRETAR </w:t>
      </w:r>
      <w:r w:rsidRPr="00146191">
        <w:rPr>
          <w:rFonts w:ascii="Verdana" w:hAnsi="Verdana"/>
          <w:sz w:val="12"/>
          <w:szCs w:val="12"/>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46191">
        <w:rPr>
          <w:rFonts w:ascii="Verdana" w:hAnsi="Verdana"/>
          <w:i/>
          <w:sz w:val="12"/>
          <w:szCs w:val="12"/>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46191">
        <w:rPr>
          <w:rFonts w:ascii="Verdana" w:hAnsi="Verdana"/>
          <w:sz w:val="12"/>
          <w:szCs w:val="12"/>
          <w:lang w:val="es-CO"/>
        </w:rPr>
        <w:t xml:space="preserve">, por las razones expuestas en precedencia. </w:t>
      </w:r>
    </w:p>
    <w:p w14:paraId="599EC647" w14:textId="77777777" w:rsidR="009D5ED8" w:rsidRPr="00146191" w:rsidRDefault="009D5ED8" w:rsidP="00FC7D77">
      <w:pPr>
        <w:pStyle w:val="Textonotapie"/>
        <w:ind w:firstLine="709"/>
        <w:jc w:val="both"/>
        <w:rPr>
          <w:rFonts w:ascii="Verdana" w:hAnsi="Verdana"/>
          <w:sz w:val="12"/>
          <w:szCs w:val="12"/>
          <w:lang w:val="es-CO"/>
        </w:rPr>
      </w:pPr>
      <w:r w:rsidRPr="00146191">
        <w:rPr>
          <w:rFonts w:ascii="Verdana" w:hAnsi="Verdana"/>
          <w:b/>
          <w:sz w:val="12"/>
          <w:szCs w:val="12"/>
          <w:lang w:val="es-CO"/>
        </w:rPr>
        <w:t xml:space="preserve">SEGUNDO: DECRETAR </w:t>
      </w:r>
      <w:r w:rsidRPr="00146191">
        <w:rPr>
          <w:rFonts w:ascii="Verdana" w:hAnsi="Verdana"/>
          <w:sz w:val="12"/>
          <w:szCs w:val="12"/>
          <w:lang w:val="es-CO"/>
        </w:rPr>
        <w:t>la suspensión provisional de la expresión “</w:t>
      </w:r>
      <w:r w:rsidRPr="00146191">
        <w:rPr>
          <w:rFonts w:ascii="Verdana" w:hAnsi="Verdana"/>
          <w:i/>
          <w:sz w:val="12"/>
          <w:szCs w:val="12"/>
          <w:lang w:val="es-CO"/>
        </w:rPr>
        <w:t>contratos</w:t>
      </w:r>
      <w:r w:rsidRPr="00146191">
        <w:rPr>
          <w:rFonts w:ascii="Verdana" w:hAnsi="Verdana"/>
          <w:sz w:val="12"/>
          <w:szCs w:val="12"/>
          <w:lang w:val="es-CO"/>
        </w:rPr>
        <w:t xml:space="preserve">” y del párrafo </w:t>
      </w:r>
      <w:r w:rsidRPr="00146191">
        <w:rPr>
          <w:rFonts w:ascii="Verdana" w:hAnsi="Verdana"/>
          <w:i/>
          <w:sz w:val="12"/>
          <w:szCs w:val="12"/>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46191">
        <w:rPr>
          <w:rFonts w:ascii="Verdana" w:hAnsi="Verdana"/>
          <w:sz w:val="12"/>
          <w:szCs w:val="12"/>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1">
    <w:p w14:paraId="3B296D35" w14:textId="77777777" w:rsidR="009D5ED8" w:rsidRPr="00146191" w:rsidRDefault="009D5ED8" w:rsidP="00FC7D77">
      <w:pPr>
        <w:spacing w:after="0" w:line="240" w:lineRule="auto"/>
        <w:ind w:firstLine="709"/>
        <w:jc w:val="both"/>
        <w:rPr>
          <w:rFonts w:ascii="Verdana" w:eastAsia="Times New Roman" w:hAnsi="Verdana" w:cs="Times New Roman"/>
          <w:sz w:val="12"/>
          <w:szCs w:val="12"/>
          <w:lang w:eastAsia="es-ES"/>
        </w:rPr>
      </w:pPr>
      <w:r w:rsidRPr="00146191">
        <w:rPr>
          <w:rStyle w:val="Refdenotaalpie"/>
          <w:rFonts w:ascii="Verdana" w:hAnsi="Verdana"/>
          <w:sz w:val="12"/>
          <w:szCs w:val="12"/>
        </w:rPr>
        <w:footnoteRef/>
      </w:r>
      <w:r w:rsidRPr="00146191">
        <w:rPr>
          <w:rFonts w:ascii="Verdana" w:hAnsi="Verdana"/>
          <w:sz w:val="12"/>
          <w:szCs w:val="12"/>
        </w:rPr>
        <w:t xml:space="preserve"> </w:t>
      </w:r>
      <w:r w:rsidRPr="00146191">
        <w:rPr>
          <w:rFonts w:ascii="Verdana" w:eastAsia="Times New Roman" w:hAnsi="Verdana" w:cs="Times New Roman"/>
          <w:sz w:val="12"/>
          <w:szCs w:val="12"/>
          <w:lang w:eastAsia="es-ES"/>
        </w:rPr>
        <w:t xml:space="preserve">Consejo de Estado. Sala de lo Contencioso Administrativo. Sección Tercera. Subsección B. 17 de octubre de 2025. Magistrado Ponente: Fredy Ibarra Martínez.  </w:t>
      </w:r>
      <w:r w:rsidRPr="00146191">
        <w:rPr>
          <w:rFonts w:ascii="Verdana" w:hAnsi="Verdana"/>
          <w:sz w:val="12"/>
          <w:szCs w:val="12"/>
        </w:rPr>
        <w:t xml:space="preserve">La parte de la providencia señala: </w:t>
      </w:r>
      <w:r w:rsidRPr="00146191">
        <w:rPr>
          <w:rFonts w:ascii="Verdana" w:eastAsia="Times New Roman" w:hAnsi="Verdana" w:cs="Times New Roman"/>
          <w:sz w:val="12"/>
          <w:szCs w:val="12"/>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48AC2B1D" w14:textId="77777777" w:rsidR="003D6E83" w:rsidRPr="00146191" w:rsidRDefault="003D6E83" w:rsidP="00FC7D77">
      <w:pPr>
        <w:spacing w:after="0" w:line="240" w:lineRule="auto"/>
        <w:ind w:firstLine="709"/>
        <w:jc w:val="both"/>
        <w:rPr>
          <w:rFonts w:ascii="Verdana" w:eastAsia="Times New Roman" w:hAnsi="Verdana" w:cs="Times New Roman"/>
          <w:sz w:val="12"/>
          <w:szCs w:val="12"/>
          <w:lang w:eastAsia="es-ES"/>
        </w:rPr>
      </w:pPr>
    </w:p>
  </w:footnote>
  <w:footnote w:id="22">
    <w:p w14:paraId="3F4F54CF" w14:textId="77777777" w:rsidR="009D5ED8" w:rsidRPr="00146191" w:rsidRDefault="009D5ED8" w:rsidP="00FC7D77">
      <w:pPr>
        <w:pStyle w:val="Textonotapie"/>
        <w:ind w:firstLine="709"/>
        <w:jc w:val="both"/>
        <w:rPr>
          <w:rFonts w:ascii="Verdana" w:hAnsi="Verdana"/>
          <w:sz w:val="12"/>
          <w:szCs w:val="12"/>
          <w:lang w:val="es-CO"/>
        </w:rPr>
      </w:pPr>
      <w:r w:rsidRPr="00146191">
        <w:rPr>
          <w:rStyle w:val="Refdenotaalpie"/>
          <w:rFonts w:ascii="Verdana" w:hAnsi="Verdana"/>
          <w:sz w:val="12"/>
          <w:szCs w:val="12"/>
        </w:rPr>
        <w:footnoteRef/>
      </w:r>
      <w:r w:rsidRPr="00146191">
        <w:rPr>
          <w:rFonts w:ascii="Verdana" w:hAnsi="Verdana"/>
          <w:sz w:val="12"/>
          <w:szCs w:val="12"/>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3">
    <w:p w14:paraId="3D45E676" w14:textId="77777777" w:rsidR="003D6E83" w:rsidRPr="00146191" w:rsidRDefault="003D6E83" w:rsidP="00FC7D77">
      <w:pPr>
        <w:pStyle w:val="Textonotapie"/>
        <w:ind w:firstLine="708"/>
        <w:jc w:val="both"/>
        <w:rPr>
          <w:rFonts w:ascii="Verdana" w:hAnsi="Verdana" w:cs="Arial"/>
          <w:sz w:val="12"/>
          <w:szCs w:val="12"/>
        </w:rPr>
      </w:pPr>
    </w:p>
    <w:p w14:paraId="3F4CD8CC" w14:textId="0FFECE88" w:rsidR="00807364" w:rsidRPr="00146191" w:rsidRDefault="00807364" w:rsidP="00FC7D77">
      <w:pPr>
        <w:pStyle w:val="Textonotapie"/>
        <w:ind w:firstLine="708"/>
        <w:jc w:val="both"/>
        <w:rPr>
          <w:rFonts w:ascii="Verdana" w:hAnsi="Verdana" w:cs="Arial"/>
          <w:sz w:val="12"/>
          <w:szCs w:val="12"/>
        </w:rPr>
      </w:pPr>
      <w:r w:rsidRPr="00146191">
        <w:rPr>
          <w:rStyle w:val="Refdenotaalpie"/>
          <w:rFonts w:ascii="Verdana" w:hAnsi="Verdana" w:cs="Arial"/>
          <w:sz w:val="12"/>
          <w:szCs w:val="12"/>
        </w:rPr>
        <w:footnoteRef/>
      </w:r>
      <w:r w:rsidRPr="00146191">
        <w:rPr>
          <w:rStyle w:val="Refdenotaalpie"/>
          <w:rFonts w:ascii="Verdana" w:hAnsi="Verdana" w:cs="Arial"/>
          <w:sz w:val="12"/>
          <w:szCs w:val="12"/>
        </w:rPr>
        <w:t xml:space="preserve"> </w:t>
      </w:r>
      <w:r w:rsidRPr="00146191">
        <w:rPr>
          <w:rStyle w:val="Refdenotaalpie"/>
          <w:rFonts w:ascii="Verdana" w:hAnsi="Verdana" w:cs="Arial"/>
          <w:sz w:val="12"/>
          <w:szCs w:val="12"/>
          <w:vertAlign w:val="baseline"/>
        </w:rPr>
        <w:t>Artículo 1. Ley 1575 de 20212. La gestión integral del riesgo contra incendio, los preparativos y atención de rescates en todas sus modalidades y la atención de incidentes con materiales peligrosos, constituyen un servicio público esencial a cargo del Estado. Este servicio se presta a través de instituciones Bomberiles, según lo regulado por la Ley 1575 de 2012 “Ley General de Bomberos de Colombia.</w:t>
      </w:r>
    </w:p>
    <w:p w14:paraId="4E866AC5" w14:textId="77777777" w:rsidR="003D6E83" w:rsidRPr="00146191" w:rsidRDefault="003D6E83" w:rsidP="00FC7D77">
      <w:pPr>
        <w:pStyle w:val="Textonotapie"/>
        <w:ind w:firstLine="708"/>
        <w:jc w:val="both"/>
        <w:rPr>
          <w:rStyle w:val="Refdenotaalpie"/>
          <w:rFonts w:ascii="Verdana" w:hAnsi="Verdana" w:cs="Arial"/>
          <w:sz w:val="12"/>
          <w:szCs w:val="12"/>
          <w:vertAlign w:val="baseline"/>
        </w:rPr>
      </w:pPr>
    </w:p>
  </w:footnote>
  <w:footnote w:id="24">
    <w:p w14:paraId="0225E60D" w14:textId="38204F34" w:rsidR="00807364" w:rsidRPr="00146191" w:rsidRDefault="00807364" w:rsidP="00FC7D77">
      <w:pPr>
        <w:pStyle w:val="Textonotapie"/>
        <w:ind w:firstLine="708"/>
        <w:jc w:val="both"/>
        <w:rPr>
          <w:rStyle w:val="Refdenotaalpie"/>
          <w:rFonts w:ascii="Verdana" w:hAnsi="Verdana" w:cs="Arial"/>
          <w:sz w:val="12"/>
          <w:szCs w:val="12"/>
          <w:vertAlign w:val="baseline"/>
        </w:rPr>
      </w:pPr>
      <w:r w:rsidRPr="00146191">
        <w:rPr>
          <w:rStyle w:val="Refdenotaalpie"/>
          <w:rFonts w:ascii="Verdana" w:hAnsi="Verdana" w:cs="Arial"/>
          <w:sz w:val="12"/>
          <w:szCs w:val="12"/>
        </w:rPr>
        <w:footnoteRef/>
      </w:r>
      <w:r w:rsidRPr="00146191">
        <w:rPr>
          <w:rStyle w:val="Refdenotaalpie"/>
          <w:rFonts w:ascii="Verdana" w:hAnsi="Verdana" w:cs="Arial"/>
          <w:sz w:val="12"/>
          <w:szCs w:val="12"/>
          <w:vertAlign w:val="baseline"/>
        </w:rPr>
        <w:t xml:space="preserve"> Ley 1575 de 20212. </w:t>
      </w:r>
      <w:r w:rsidR="003D6E83" w:rsidRPr="00146191">
        <w:rPr>
          <w:rFonts w:ascii="Verdana" w:hAnsi="Verdana" w:cs="Arial"/>
          <w:sz w:val="12"/>
          <w:szCs w:val="12"/>
        </w:rPr>
        <w:t>“</w:t>
      </w:r>
      <w:r w:rsidRPr="00146191">
        <w:rPr>
          <w:rStyle w:val="Refdenotaalpie"/>
          <w:rFonts w:ascii="Verdana" w:hAnsi="Verdana" w:cs="Arial"/>
          <w:sz w:val="12"/>
          <w:szCs w:val="12"/>
          <w:vertAlign w:val="baseline"/>
        </w:rPr>
        <w:t>Artículo 3. COMPETENCIAS DEL NIVEL NACIONAL Y TERRITORIAL. El servicio público esencial se prestará con fundamento en los principios de subsidiariedad, coordinación y concurrencia, en cumplimiento de lo dispuesto en el artículo 288 de la Constitución.   </w:t>
      </w:r>
    </w:p>
    <w:p w14:paraId="02F72F55" w14:textId="77777777" w:rsidR="00807364" w:rsidRPr="00146191" w:rsidRDefault="00807364" w:rsidP="00FC7D77">
      <w:pPr>
        <w:pStyle w:val="Textonotapie"/>
        <w:ind w:firstLine="708"/>
        <w:jc w:val="both"/>
        <w:rPr>
          <w:rStyle w:val="Refdenotaalpie"/>
          <w:rFonts w:ascii="Verdana" w:hAnsi="Verdana" w:cs="Arial"/>
          <w:sz w:val="12"/>
          <w:szCs w:val="12"/>
          <w:vertAlign w:val="baseline"/>
        </w:rPr>
      </w:pPr>
      <w:r w:rsidRPr="00146191">
        <w:rPr>
          <w:rFonts w:ascii="Verdana" w:hAnsi="Verdana" w:cs="Arial"/>
          <w:sz w:val="12"/>
          <w:szCs w:val="12"/>
        </w:rPr>
        <w:t>[</w:t>
      </w:r>
      <w:r w:rsidRPr="00146191">
        <w:rPr>
          <w:rStyle w:val="Refdenotaalpie"/>
          <w:rFonts w:ascii="Verdana" w:hAnsi="Verdana" w:cs="Arial"/>
          <w:sz w:val="12"/>
          <w:szCs w:val="12"/>
          <w:vertAlign w:val="baseline"/>
        </w:rPr>
        <w:t>…</w:t>
      </w:r>
      <w:r w:rsidRPr="00146191">
        <w:rPr>
          <w:rFonts w:ascii="Verdana" w:hAnsi="Verdana" w:cs="Arial"/>
          <w:sz w:val="12"/>
          <w:szCs w:val="12"/>
        </w:rPr>
        <w:t>]</w:t>
      </w:r>
      <w:r w:rsidRPr="00146191">
        <w:rPr>
          <w:rStyle w:val="Refdenotaalpie"/>
          <w:rFonts w:ascii="Verdana" w:hAnsi="Verdana" w:cs="Arial"/>
          <w:sz w:val="12"/>
          <w:szCs w:val="12"/>
          <w:vertAlign w:val="baseline"/>
        </w:rPr>
        <w:t>   </w:t>
      </w:r>
    </w:p>
    <w:p w14:paraId="5FDF829B" w14:textId="38C0055E" w:rsidR="00807364" w:rsidRPr="00146191" w:rsidRDefault="00024940" w:rsidP="00FC7D77">
      <w:pPr>
        <w:pStyle w:val="Textonotapie"/>
        <w:ind w:firstLine="707"/>
        <w:jc w:val="both"/>
        <w:rPr>
          <w:rStyle w:val="Refdenotaalpie"/>
          <w:rFonts w:ascii="Verdana" w:hAnsi="Verdana" w:cs="Arial"/>
          <w:sz w:val="12"/>
          <w:szCs w:val="12"/>
          <w:vertAlign w:val="baseline"/>
        </w:rPr>
      </w:pPr>
      <w:r w:rsidRPr="00146191">
        <w:rPr>
          <w:rFonts w:ascii="Verdana" w:hAnsi="Verdana" w:cs="Arial"/>
          <w:sz w:val="12"/>
          <w:szCs w:val="12"/>
        </w:rPr>
        <w:t>“</w:t>
      </w:r>
      <w:r w:rsidR="00807364" w:rsidRPr="00146191">
        <w:rPr>
          <w:rStyle w:val="Refdenotaalpie"/>
          <w:rFonts w:ascii="Verdana" w:hAnsi="Verdana" w:cs="Arial"/>
          <w:sz w:val="12"/>
          <w:szCs w:val="12"/>
          <w:vertAlign w:val="baseline"/>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w:t>
      </w:r>
      <w:r w:rsidRPr="00146191">
        <w:rPr>
          <w:rFonts w:ascii="Verdana" w:hAnsi="Verdana" w:cs="Arial"/>
          <w:sz w:val="12"/>
          <w:szCs w:val="12"/>
        </w:rPr>
        <w:t>”</w:t>
      </w:r>
      <w:r w:rsidR="00807364" w:rsidRPr="00146191">
        <w:rPr>
          <w:rStyle w:val="Refdenotaalpie"/>
          <w:rFonts w:ascii="Verdana" w:hAnsi="Verdana" w:cs="Arial"/>
          <w:sz w:val="12"/>
          <w:szCs w:val="12"/>
          <w:vertAlign w:val="baseline"/>
        </w:rPr>
        <w:t>. </w:t>
      </w:r>
    </w:p>
    <w:p w14:paraId="1CA26406" w14:textId="77777777" w:rsidR="00807364" w:rsidRPr="00146191" w:rsidRDefault="00807364" w:rsidP="00FC7D77">
      <w:pPr>
        <w:pStyle w:val="Textonotapie"/>
        <w:jc w:val="both"/>
        <w:rPr>
          <w:rFonts w:ascii="Verdana" w:hAnsi="Verdana" w:cs="Arial"/>
          <w:sz w:val="12"/>
          <w:szCs w:val="12"/>
          <w:lang w:val="es-ES"/>
        </w:rPr>
      </w:pPr>
    </w:p>
  </w:footnote>
  <w:footnote w:id="25">
    <w:p w14:paraId="1CE405B6" w14:textId="77777777" w:rsidR="00807364" w:rsidRPr="00146191" w:rsidRDefault="00807364" w:rsidP="00FC7D77">
      <w:pPr>
        <w:spacing w:after="0" w:line="240" w:lineRule="auto"/>
        <w:ind w:firstLine="707"/>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w:t>
      </w:r>
      <w:r w:rsidRPr="00146191">
        <w:rPr>
          <w:rFonts w:ascii="Verdana" w:hAnsi="Verdana" w:cs="Arial"/>
          <w:position w:val="6"/>
          <w:sz w:val="12"/>
          <w:szCs w:val="12"/>
        </w:rPr>
        <w:t xml:space="preserve"> </w:t>
      </w:r>
      <w:r w:rsidRPr="00146191">
        <w:rPr>
          <w:rFonts w:ascii="Verdana" w:hAnsi="Verdana" w:cs="Arial"/>
          <w:sz w:val="12"/>
          <w:szCs w:val="12"/>
        </w:rPr>
        <w:t xml:space="preserve">Colombia Compra Eficiente. Concepto 2201913000008606, del 19 de noviembre de 2019. </w:t>
      </w:r>
    </w:p>
    <w:p w14:paraId="5E5B367C" w14:textId="77777777" w:rsidR="003D6E83" w:rsidRPr="00146191" w:rsidRDefault="003D6E83" w:rsidP="00FC7D77">
      <w:pPr>
        <w:spacing w:after="0" w:line="240" w:lineRule="auto"/>
        <w:ind w:firstLine="707"/>
        <w:jc w:val="both"/>
        <w:rPr>
          <w:rFonts w:ascii="Verdana" w:hAnsi="Verdana" w:cs="Arial"/>
          <w:sz w:val="12"/>
          <w:szCs w:val="12"/>
        </w:rPr>
      </w:pPr>
    </w:p>
  </w:footnote>
  <w:footnote w:id="26">
    <w:p w14:paraId="72BBCE30" w14:textId="12CE120C" w:rsidR="00807364" w:rsidRPr="00146191" w:rsidRDefault="00807364" w:rsidP="00FC7D77">
      <w:pPr>
        <w:pStyle w:val="Textonotapie"/>
        <w:ind w:firstLine="707"/>
        <w:jc w:val="both"/>
        <w:rPr>
          <w:rFonts w:ascii="Verdana" w:hAnsi="Verdana" w:cs="Arial"/>
          <w:sz w:val="12"/>
          <w:szCs w:val="12"/>
          <w:lang w:val="es-CO"/>
        </w:rPr>
      </w:pPr>
      <w:r w:rsidRPr="00146191">
        <w:rPr>
          <w:rStyle w:val="Refdenotaalpie"/>
          <w:rFonts w:ascii="Verdana" w:hAnsi="Verdana" w:cs="Arial"/>
          <w:sz w:val="12"/>
          <w:szCs w:val="12"/>
        </w:rPr>
        <w:footnoteRef/>
      </w:r>
      <w:r w:rsidRPr="00146191">
        <w:rPr>
          <w:rFonts w:ascii="Verdana" w:hAnsi="Verdana" w:cs="Arial"/>
          <w:sz w:val="12"/>
          <w:szCs w:val="12"/>
        </w:rPr>
        <w:t xml:space="preserve"> </w:t>
      </w:r>
      <w:r w:rsidR="0006090B" w:rsidRPr="00146191">
        <w:rPr>
          <w:rFonts w:ascii="Verdana" w:hAnsi="Verdana" w:cs="Arial"/>
          <w:sz w:val="12"/>
          <w:szCs w:val="12"/>
        </w:rPr>
        <w:t>“</w:t>
      </w:r>
      <w:r w:rsidRPr="00146191">
        <w:rPr>
          <w:rFonts w:ascii="Verdana" w:hAnsi="Verdana" w:cs="Arial"/>
          <w:sz w:val="12"/>
          <w:szCs w:val="12"/>
        </w:rPr>
        <w:t>Artículo 9. Los distritos, municipios y territorios indígenas que no cuenten con sus propios Cuerpos de Bomberos Oficiales, o cuando la cobertura de éstos no sea la adecuada, de acuerdo con los parámetros que fije la Junta Nacional de Bomberos de Colombia, deberán contratar directamente con los Cuerpos de Bomberos Voluntarios, que se organicen conforme a la presente Ley, la prestación total o parcial según sea el caso del servicio público a su cargo</w:t>
      </w:r>
      <w:r w:rsidR="0006090B" w:rsidRPr="00146191">
        <w:rPr>
          <w:rFonts w:ascii="Verdana" w:hAnsi="Verdana" w:cs="Arial"/>
          <w:sz w:val="12"/>
          <w:szCs w:val="12"/>
        </w:rPr>
        <w:t>”</w:t>
      </w:r>
      <w:r w:rsidRPr="00146191">
        <w:rPr>
          <w:rFonts w:ascii="Verdana" w:hAnsi="Verdana" w:cs="Arial"/>
          <w:sz w:val="12"/>
          <w:szCs w:val="12"/>
        </w:rPr>
        <w:t>.</w:t>
      </w:r>
    </w:p>
  </w:footnote>
  <w:footnote w:id="27">
    <w:p w14:paraId="29E1F4AF" w14:textId="54239806" w:rsidR="00807364" w:rsidRPr="00146191" w:rsidRDefault="00807364" w:rsidP="00FC7D77">
      <w:pPr>
        <w:spacing w:after="0" w:line="240" w:lineRule="auto"/>
        <w:ind w:firstLine="620"/>
        <w:jc w:val="both"/>
        <w:rPr>
          <w:rFonts w:ascii="Verdana" w:hAnsi="Verdana" w:cs="Arial"/>
          <w:sz w:val="12"/>
          <w:szCs w:val="12"/>
        </w:rPr>
      </w:pPr>
      <w:r w:rsidRPr="00146191">
        <w:rPr>
          <w:rStyle w:val="Refdenotaalpie"/>
          <w:rFonts w:ascii="Verdana" w:hAnsi="Verdana" w:cs="Arial"/>
          <w:sz w:val="12"/>
          <w:szCs w:val="12"/>
        </w:rPr>
        <w:footnoteRef/>
      </w:r>
      <w:r w:rsidRPr="00146191">
        <w:rPr>
          <w:rFonts w:ascii="Verdana" w:hAnsi="Verdana" w:cs="Arial"/>
          <w:sz w:val="12"/>
          <w:szCs w:val="12"/>
        </w:rPr>
        <w:t xml:space="preserve"> </w:t>
      </w:r>
      <w:r w:rsidR="0006090B" w:rsidRPr="00146191">
        <w:rPr>
          <w:rFonts w:ascii="Verdana" w:hAnsi="Verdana" w:cs="Arial"/>
          <w:sz w:val="12"/>
          <w:szCs w:val="12"/>
        </w:rPr>
        <w:t>“</w:t>
      </w:r>
      <w:r w:rsidRPr="00146191">
        <w:rPr>
          <w:rFonts w:ascii="Verdana" w:hAnsi="Verdana" w:cs="Arial"/>
          <w:sz w:val="12"/>
          <w:szCs w:val="12"/>
        </w:rPr>
        <w:t>Artículo 2. De las modalidades de selección. La escogencia del contratista se efectuará con arreglo a las modalidades de selección de licitación pública, selección abreviada, concurso de méritos y contratación directa, con base en las siguientes reglas:</w:t>
      </w:r>
      <w:r w:rsidRPr="00146191">
        <w:rPr>
          <w:rFonts w:ascii="Verdana" w:hAnsi="Verdana" w:cs="Arial"/>
          <w:spacing w:val="-7"/>
          <w:sz w:val="12"/>
          <w:szCs w:val="12"/>
        </w:rPr>
        <w:t xml:space="preserve"> </w:t>
      </w:r>
      <w:r w:rsidRPr="00146191">
        <w:rPr>
          <w:rFonts w:ascii="Verdana" w:hAnsi="Verdana" w:cs="Arial"/>
          <w:sz w:val="12"/>
          <w:szCs w:val="12"/>
        </w:rPr>
        <w:t>[…]</w:t>
      </w:r>
      <w:r w:rsidR="0006090B" w:rsidRPr="00146191">
        <w:rPr>
          <w:rFonts w:ascii="Verdana" w:hAnsi="Verdana" w:cs="Arial"/>
          <w:sz w:val="12"/>
          <w:szCs w:val="12"/>
        </w:rPr>
        <w:t>”</w:t>
      </w:r>
      <w:r w:rsidRPr="00146191">
        <w:rPr>
          <w:rFonts w:ascii="Verdana" w:hAnsi="Verdana" w:cs="Arial"/>
          <w:sz w:val="12"/>
          <w:szCs w:val="12"/>
        </w:rPr>
        <w:t>.</w:t>
      </w:r>
    </w:p>
    <w:p w14:paraId="5C74B11E" w14:textId="77777777" w:rsidR="00807364" w:rsidRPr="00146191" w:rsidRDefault="00807364" w:rsidP="00FC7D77">
      <w:pPr>
        <w:pStyle w:val="Textonotapie"/>
        <w:jc w:val="both"/>
        <w:rPr>
          <w:rFonts w:ascii="Verdana" w:hAnsi="Verdana" w:cs="Arial"/>
          <w:sz w:val="12"/>
          <w:szCs w:val="12"/>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9F5709"/>
    <w:multiLevelType w:val="hybridMultilevel"/>
    <w:tmpl w:val="86BEAABA"/>
    <w:lvl w:ilvl="0" w:tplc="0DD87DC0">
      <w:start w:val="4"/>
      <w:numFmt w:val="bullet"/>
      <w:lvlText w:val=""/>
      <w:lvlJc w:val="left"/>
      <w:pPr>
        <w:ind w:left="1080" w:hanging="360"/>
      </w:pPr>
      <w:rPr>
        <w:rFonts w:ascii="Symbol" w:eastAsia="Arial MT" w:hAnsi="Symbo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 w15:restartNumberingAfterBreak="0">
    <w:nsid w:val="24725CAD"/>
    <w:multiLevelType w:val="hybridMultilevel"/>
    <w:tmpl w:val="934A1BF0"/>
    <w:lvl w:ilvl="0" w:tplc="0DD87DC0">
      <w:start w:val="4"/>
      <w:numFmt w:val="bullet"/>
      <w:lvlText w:val=""/>
      <w:lvlJc w:val="left"/>
      <w:pPr>
        <w:ind w:left="720" w:hanging="360"/>
      </w:pPr>
      <w:rPr>
        <w:rFonts w:ascii="Symbol" w:eastAsia="Arial MT"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CB2707"/>
    <w:multiLevelType w:val="hybridMultilevel"/>
    <w:tmpl w:val="C8C6DC14"/>
    <w:lvl w:ilvl="0" w:tplc="4C32A2F2">
      <w:numFmt w:val="bullet"/>
      <w:lvlText w:val="•"/>
      <w:lvlJc w:val="left"/>
      <w:pPr>
        <w:ind w:left="360" w:hanging="360"/>
      </w:pPr>
      <w:rPr>
        <w:rFonts w:ascii="Verdana" w:eastAsia="Arial MT" w:hAnsi="Verdana"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49F0D0A"/>
    <w:multiLevelType w:val="hybridMultilevel"/>
    <w:tmpl w:val="ED768F72"/>
    <w:lvl w:ilvl="0" w:tplc="1D8CC62A">
      <w:start w:val="4"/>
      <w:numFmt w:val="bullet"/>
      <w:lvlText w:val=""/>
      <w:lvlJc w:val="left"/>
      <w:pPr>
        <w:ind w:left="720" w:hanging="360"/>
      </w:pPr>
      <w:rPr>
        <w:rFonts w:ascii="Symbol" w:eastAsia="Arial MT"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FC45168"/>
    <w:multiLevelType w:val="hybridMultilevel"/>
    <w:tmpl w:val="B67667D4"/>
    <w:lvl w:ilvl="0" w:tplc="4C32A2F2">
      <w:numFmt w:val="bullet"/>
      <w:lvlText w:val="•"/>
      <w:lvlJc w:val="left"/>
      <w:pPr>
        <w:ind w:left="720" w:hanging="360"/>
      </w:pPr>
      <w:rPr>
        <w:rFonts w:ascii="Verdana" w:eastAsia="Arial MT" w:hAnsi="Verdana"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420612349">
    <w:abstractNumId w:val="8"/>
  </w:num>
  <w:num w:numId="2" w16cid:durableId="24451458">
    <w:abstractNumId w:val="2"/>
  </w:num>
  <w:num w:numId="3" w16cid:durableId="1062677351">
    <w:abstractNumId w:val="6"/>
  </w:num>
  <w:num w:numId="4" w16cid:durableId="11257341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31539731">
    <w:abstractNumId w:val="2"/>
  </w:num>
  <w:num w:numId="6" w16cid:durableId="638804508">
    <w:abstractNumId w:val="16"/>
  </w:num>
  <w:num w:numId="7" w16cid:durableId="277640876">
    <w:abstractNumId w:val="7"/>
  </w:num>
  <w:num w:numId="8" w16cid:durableId="1728263527">
    <w:abstractNumId w:val="15"/>
  </w:num>
  <w:num w:numId="9" w16cid:durableId="1635066553">
    <w:abstractNumId w:val="9"/>
  </w:num>
  <w:num w:numId="10" w16cid:durableId="825243611">
    <w:abstractNumId w:val="14"/>
  </w:num>
  <w:num w:numId="11" w16cid:durableId="212272724">
    <w:abstractNumId w:val="11"/>
  </w:num>
  <w:num w:numId="12" w16cid:durableId="1835992669">
    <w:abstractNumId w:val="1"/>
  </w:num>
  <w:num w:numId="13" w16cid:durableId="1123885093">
    <w:abstractNumId w:val="5"/>
  </w:num>
  <w:num w:numId="14" w16cid:durableId="1839731098">
    <w:abstractNumId w:val="17"/>
  </w:num>
  <w:num w:numId="15" w16cid:durableId="1021395840">
    <w:abstractNumId w:val="13"/>
  </w:num>
  <w:num w:numId="16" w16cid:durableId="1178156914">
    <w:abstractNumId w:val="0"/>
  </w:num>
  <w:num w:numId="17" w16cid:durableId="1838227167">
    <w:abstractNumId w:val="12"/>
  </w:num>
  <w:num w:numId="18" w16cid:durableId="49891052">
    <w:abstractNumId w:val="4"/>
  </w:num>
  <w:num w:numId="19" w16cid:durableId="190146680">
    <w:abstractNumId w:val="3"/>
  </w:num>
  <w:num w:numId="20" w16cid:durableId="701785098">
    <w:abstractNumId w:val="18"/>
  </w:num>
  <w:num w:numId="21" w16cid:durableId="14429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6B2"/>
    <w:rsid w:val="00016F78"/>
    <w:rsid w:val="00024940"/>
    <w:rsid w:val="00045FA7"/>
    <w:rsid w:val="00046945"/>
    <w:rsid w:val="0006090B"/>
    <w:rsid w:val="00061B2A"/>
    <w:rsid w:val="00082362"/>
    <w:rsid w:val="000916C1"/>
    <w:rsid w:val="000A683E"/>
    <w:rsid w:val="000B19B9"/>
    <w:rsid w:val="000D0334"/>
    <w:rsid w:val="000D5DA7"/>
    <w:rsid w:val="000F5EFE"/>
    <w:rsid w:val="000F6486"/>
    <w:rsid w:val="000F6DF5"/>
    <w:rsid w:val="00116940"/>
    <w:rsid w:val="00122A17"/>
    <w:rsid w:val="00125105"/>
    <w:rsid w:val="00127233"/>
    <w:rsid w:val="00146191"/>
    <w:rsid w:val="0015699B"/>
    <w:rsid w:val="0017787C"/>
    <w:rsid w:val="001A33BF"/>
    <w:rsid w:val="001C5766"/>
    <w:rsid w:val="001E4177"/>
    <w:rsid w:val="001F0B24"/>
    <w:rsid w:val="001F7DC6"/>
    <w:rsid w:val="00215D7B"/>
    <w:rsid w:val="0022400B"/>
    <w:rsid w:val="00236468"/>
    <w:rsid w:val="002421BB"/>
    <w:rsid w:val="00251910"/>
    <w:rsid w:val="00253FAB"/>
    <w:rsid w:val="00256653"/>
    <w:rsid w:val="0025796E"/>
    <w:rsid w:val="002645A2"/>
    <w:rsid w:val="002707A2"/>
    <w:rsid w:val="002951A0"/>
    <w:rsid w:val="002962BC"/>
    <w:rsid w:val="002A093D"/>
    <w:rsid w:val="002A0DD0"/>
    <w:rsid w:val="002A22A4"/>
    <w:rsid w:val="002A49AC"/>
    <w:rsid w:val="002A64FD"/>
    <w:rsid w:val="002C7A84"/>
    <w:rsid w:val="002E2BF8"/>
    <w:rsid w:val="002E4FD9"/>
    <w:rsid w:val="0030657A"/>
    <w:rsid w:val="00322A85"/>
    <w:rsid w:val="00324168"/>
    <w:rsid w:val="00330834"/>
    <w:rsid w:val="00343900"/>
    <w:rsid w:val="003448F4"/>
    <w:rsid w:val="00346456"/>
    <w:rsid w:val="00356D16"/>
    <w:rsid w:val="00374F5E"/>
    <w:rsid w:val="003771C9"/>
    <w:rsid w:val="00377E3E"/>
    <w:rsid w:val="003A779E"/>
    <w:rsid w:val="003A7DBD"/>
    <w:rsid w:val="003D0F4D"/>
    <w:rsid w:val="003D5B0D"/>
    <w:rsid w:val="003D6E83"/>
    <w:rsid w:val="003E0499"/>
    <w:rsid w:val="003E3CC9"/>
    <w:rsid w:val="003E4558"/>
    <w:rsid w:val="003E4F80"/>
    <w:rsid w:val="003E6439"/>
    <w:rsid w:val="003F3941"/>
    <w:rsid w:val="00406575"/>
    <w:rsid w:val="00414C74"/>
    <w:rsid w:val="0042722E"/>
    <w:rsid w:val="0044528D"/>
    <w:rsid w:val="00457CAB"/>
    <w:rsid w:val="00466E39"/>
    <w:rsid w:val="00476534"/>
    <w:rsid w:val="004A1847"/>
    <w:rsid w:val="004A305D"/>
    <w:rsid w:val="004F21C4"/>
    <w:rsid w:val="004F2C0E"/>
    <w:rsid w:val="004F685F"/>
    <w:rsid w:val="00512049"/>
    <w:rsid w:val="00544575"/>
    <w:rsid w:val="005566E8"/>
    <w:rsid w:val="00574752"/>
    <w:rsid w:val="00574867"/>
    <w:rsid w:val="00580C7D"/>
    <w:rsid w:val="00591460"/>
    <w:rsid w:val="005A65E0"/>
    <w:rsid w:val="005C3777"/>
    <w:rsid w:val="005C5CDC"/>
    <w:rsid w:val="005D476C"/>
    <w:rsid w:val="005E12EF"/>
    <w:rsid w:val="005E341F"/>
    <w:rsid w:val="005F085B"/>
    <w:rsid w:val="006200BF"/>
    <w:rsid w:val="006219F8"/>
    <w:rsid w:val="006302F7"/>
    <w:rsid w:val="00634B13"/>
    <w:rsid w:val="00646B9F"/>
    <w:rsid w:val="00647C86"/>
    <w:rsid w:val="0065689A"/>
    <w:rsid w:val="00665D70"/>
    <w:rsid w:val="006900D9"/>
    <w:rsid w:val="006A4477"/>
    <w:rsid w:val="006B1D51"/>
    <w:rsid w:val="006B399F"/>
    <w:rsid w:val="006C6C3E"/>
    <w:rsid w:val="00706C16"/>
    <w:rsid w:val="00725218"/>
    <w:rsid w:val="007340C3"/>
    <w:rsid w:val="007475FB"/>
    <w:rsid w:val="0075235A"/>
    <w:rsid w:val="00756841"/>
    <w:rsid w:val="00761502"/>
    <w:rsid w:val="00762466"/>
    <w:rsid w:val="0076478B"/>
    <w:rsid w:val="007649AB"/>
    <w:rsid w:val="00771D0C"/>
    <w:rsid w:val="007833AC"/>
    <w:rsid w:val="007851C7"/>
    <w:rsid w:val="007B268C"/>
    <w:rsid w:val="007B7171"/>
    <w:rsid w:val="007C0C0F"/>
    <w:rsid w:val="007C3DC2"/>
    <w:rsid w:val="007E3B7E"/>
    <w:rsid w:val="007E5497"/>
    <w:rsid w:val="007F557B"/>
    <w:rsid w:val="00806F5F"/>
    <w:rsid w:val="00807364"/>
    <w:rsid w:val="00820278"/>
    <w:rsid w:val="00820D34"/>
    <w:rsid w:val="008258C9"/>
    <w:rsid w:val="0082597B"/>
    <w:rsid w:val="00844AE9"/>
    <w:rsid w:val="00867F95"/>
    <w:rsid w:val="008843B6"/>
    <w:rsid w:val="00891928"/>
    <w:rsid w:val="00892F86"/>
    <w:rsid w:val="008A446D"/>
    <w:rsid w:val="008B25F1"/>
    <w:rsid w:val="008D180B"/>
    <w:rsid w:val="008F0EA7"/>
    <w:rsid w:val="00923EEF"/>
    <w:rsid w:val="009419F9"/>
    <w:rsid w:val="009543F7"/>
    <w:rsid w:val="0095685E"/>
    <w:rsid w:val="00961B09"/>
    <w:rsid w:val="00964D61"/>
    <w:rsid w:val="00965334"/>
    <w:rsid w:val="0097093E"/>
    <w:rsid w:val="0097602B"/>
    <w:rsid w:val="009A0DFA"/>
    <w:rsid w:val="009A1C6F"/>
    <w:rsid w:val="009A4A49"/>
    <w:rsid w:val="009B2D26"/>
    <w:rsid w:val="009B439F"/>
    <w:rsid w:val="009C71FA"/>
    <w:rsid w:val="009C72E7"/>
    <w:rsid w:val="009C7F7E"/>
    <w:rsid w:val="009D3058"/>
    <w:rsid w:val="009D5ED8"/>
    <w:rsid w:val="009F0C9F"/>
    <w:rsid w:val="009F3A13"/>
    <w:rsid w:val="00A122D3"/>
    <w:rsid w:val="00A14468"/>
    <w:rsid w:val="00A17F13"/>
    <w:rsid w:val="00A20739"/>
    <w:rsid w:val="00A23AF9"/>
    <w:rsid w:val="00A33C78"/>
    <w:rsid w:val="00A601C9"/>
    <w:rsid w:val="00A87734"/>
    <w:rsid w:val="00A95B3B"/>
    <w:rsid w:val="00AB0ADB"/>
    <w:rsid w:val="00B00C0E"/>
    <w:rsid w:val="00B01B1A"/>
    <w:rsid w:val="00B0381D"/>
    <w:rsid w:val="00B1060D"/>
    <w:rsid w:val="00B14D87"/>
    <w:rsid w:val="00B44A47"/>
    <w:rsid w:val="00B45CE1"/>
    <w:rsid w:val="00B60B30"/>
    <w:rsid w:val="00B72CD3"/>
    <w:rsid w:val="00B72FFF"/>
    <w:rsid w:val="00B76E33"/>
    <w:rsid w:val="00B84F0F"/>
    <w:rsid w:val="00BA4239"/>
    <w:rsid w:val="00BC3D36"/>
    <w:rsid w:val="00BD54A6"/>
    <w:rsid w:val="00BD7F72"/>
    <w:rsid w:val="00BE19D4"/>
    <w:rsid w:val="00BF7425"/>
    <w:rsid w:val="00C04FB3"/>
    <w:rsid w:val="00C11D8B"/>
    <w:rsid w:val="00C15139"/>
    <w:rsid w:val="00C330EB"/>
    <w:rsid w:val="00C3532E"/>
    <w:rsid w:val="00C50D69"/>
    <w:rsid w:val="00C5365C"/>
    <w:rsid w:val="00C754BE"/>
    <w:rsid w:val="00C76B1C"/>
    <w:rsid w:val="00C83094"/>
    <w:rsid w:val="00C925AC"/>
    <w:rsid w:val="00CA4A97"/>
    <w:rsid w:val="00CB6357"/>
    <w:rsid w:val="00CB7E2A"/>
    <w:rsid w:val="00CC1B26"/>
    <w:rsid w:val="00CC4608"/>
    <w:rsid w:val="00CF2E10"/>
    <w:rsid w:val="00D076DF"/>
    <w:rsid w:val="00D361FD"/>
    <w:rsid w:val="00D423A2"/>
    <w:rsid w:val="00D44E26"/>
    <w:rsid w:val="00D520D8"/>
    <w:rsid w:val="00D63AC2"/>
    <w:rsid w:val="00D7383B"/>
    <w:rsid w:val="00D7788A"/>
    <w:rsid w:val="00D92AF8"/>
    <w:rsid w:val="00DA231B"/>
    <w:rsid w:val="00DB0A00"/>
    <w:rsid w:val="00DC39FC"/>
    <w:rsid w:val="00DC4D1D"/>
    <w:rsid w:val="00DF5254"/>
    <w:rsid w:val="00E02524"/>
    <w:rsid w:val="00E05BF4"/>
    <w:rsid w:val="00E16408"/>
    <w:rsid w:val="00E20894"/>
    <w:rsid w:val="00E245AB"/>
    <w:rsid w:val="00E2764C"/>
    <w:rsid w:val="00E27F2E"/>
    <w:rsid w:val="00E50AFE"/>
    <w:rsid w:val="00E53FFB"/>
    <w:rsid w:val="00E75C92"/>
    <w:rsid w:val="00E771DC"/>
    <w:rsid w:val="00E85584"/>
    <w:rsid w:val="00E8772A"/>
    <w:rsid w:val="00E90F6B"/>
    <w:rsid w:val="00E92C27"/>
    <w:rsid w:val="00EA0E3D"/>
    <w:rsid w:val="00EA4164"/>
    <w:rsid w:val="00EA65A7"/>
    <w:rsid w:val="00EA7ACA"/>
    <w:rsid w:val="00EC38A7"/>
    <w:rsid w:val="00ED169D"/>
    <w:rsid w:val="00EE1AA8"/>
    <w:rsid w:val="00F21113"/>
    <w:rsid w:val="00F23FEA"/>
    <w:rsid w:val="00F31EDC"/>
    <w:rsid w:val="00F462B3"/>
    <w:rsid w:val="00F5664F"/>
    <w:rsid w:val="00F666C4"/>
    <w:rsid w:val="00F747E4"/>
    <w:rsid w:val="00F7536D"/>
    <w:rsid w:val="00F76AFC"/>
    <w:rsid w:val="00FA47C0"/>
    <w:rsid w:val="00FA59E4"/>
    <w:rsid w:val="00FB5DD1"/>
    <w:rsid w:val="00FC2B5D"/>
    <w:rsid w:val="00FC7D77"/>
    <w:rsid w:val="00FF1449"/>
    <w:rsid w:val="00FF7963"/>
    <w:rsid w:val="071B8F93"/>
    <w:rsid w:val="09908A09"/>
    <w:rsid w:val="0FF4CCA8"/>
    <w:rsid w:val="13CFC91B"/>
    <w:rsid w:val="19A2EC2C"/>
    <w:rsid w:val="2859CA1B"/>
    <w:rsid w:val="32A4F9CF"/>
    <w:rsid w:val="356CEDFD"/>
    <w:rsid w:val="4057FCD2"/>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B629416-B6B2-4C53-8ABD-B765E59DB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97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2597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2597B"/>
    <w:rPr>
      <w:rFonts w:ascii="Geomanist Light" w:hAnsi="Geomanist Light"/>
      <w:lang w:val="es-ES"/>
    </w:rPr>
  </w:style>
  <w:style w:type="character" w:customStyle="1" w:styleId="NormalWebCar">
    <w:name w:val="Normal (Web) Car"/>
    <w:link w:val="NormalWeb"/>
    <w:uiPriority w:val="99"/>
    <w:locked/>
    <w:rsid w:val="0082597B"/>
    <w:rPr>
      <w:rFonts w:ascii="Times New Roman" w:eastAsia="Times New Roman" w:hAnsi="Times New Roman" w:cs="Times New Roman"/>
      <w:sz w:val="24"/>
      <w:szCs w:val="24"/>
      <w:lang w:eastAsia="es-CO"/>
    </w:rPr>
  </w:style>
  <w:style w:type="character" w:customStyle="1" w:styleId="baj">
    <w:name w:val="b_aj"/>
    <w:basedOn w:val="Fuentedeprrafopredeter"/>
    <w:rsid w:val="0082597B"/>
  </w:style>
  <w:style w:type="character" w:styleId="Textoennegrita">
    <w:name w:val="Strong"/>
    <w:basedOn w:val="Fuentedeprrafopredeter"/>
    <w:uiPriority w:val="22"/>
    <w:qFormat/>
    <w:rsid w:val="008259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ianogerman218@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6914A26-FDEA-46C4-B70F-2071C8A7E194}"/>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TotalTime>
  <Pages>28</Pages>
  <Words>9629</Words>
  <Characters>52002</Characters>
  <Application>Microsoft Office Word</Application>
  <DocSecurity>0</DocSecurity>
  <Lines>838</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61492</CharactersWithSpaces>
  <SharedDoc>false</SharedDoc>
  <HLinks>
    <vt:vector size="18" baseType="variant">
      <vt:variant>
        <vt:i4>6029407</vt:i4>
      </vt:variant>
      <vt:variant>
        <vt:i4>6</vt:i4>
      </vt:variant>
      <vt:variant>
        <vt:i4>0</vt:i4>
      </vt:variant>
      <vt:variant>
        <vt:i4>5</vt:i4>
      </vt:variant>
      <vt:variant>
        <vt:lpwstr>http://www.colombiacompra.gov.co/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4980794</vt:i4>
      </vt:variant>
      <vt:variant>
        <vt:i4>0</vt:i4>
      </vt:variant>
      <vt:variant>
        <vt:i4>0</vt:i4>
      </vt:variant>
      <vt:variant>
        <vt:i4>5</vt:i4>
      </vt:variant>
      <vt:variant>
        <vt:lpwstr>mailto:rianogerman218@gmail.com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2023-01-11T00:18:00Z</cp:lastPrinted>
  <dcterms:created xsi:type="dcterms:W3CDTF">2026-01-22T00:40:00Z</dcterms:created>
  <dcterms:modified xsi:type="dcterms:W3CDTF">2026-01-26T14:54:00Z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