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CD123E" w14:textId="77777777" w:rsidR="00A8538A" w:rsidRPr="00EB73BF" w:rsidRDefault="00A8538A" w:rsidP="00A8538A">
      <w:pPr>
        <w:spacing w:after="0" w:line="240" w:lineRule="auto"/>
        <w:jc w:val="both"/>
        <w:rPr>
          <w:rFonts w:ascii="Verdana" w:eastAsia="Times New Roman" w:hAnsi="Verdana" w:cs="Arial"/>
          <w:b/>
          <w:lang w:eastAsia="es-ES"/>
        </w:rPr>
      </w:pPr>
      <w:bookmarkStart w:id="0" w:name="_Hlk143780582"/>
      <w:r w:rsidRPr="00EB73BF">
        <w:rPr>
          <w:rFonts w:ascii="Verdana" w:eastAsia="Times New Roman" w:hAnsi="Verdana" w:cs="Arial"/>
          <w:b/>
          <w:lang w:eastAsia="es-ES"/>
        </w:rPr>
        <w:t xml:space="preserve">CONTRATO DE PRESTACIÓN DE SERVICIOS – Concepto </w:t>
      </w:r>
    </w:p>
    <w:p w14:paraId="2141BF4C" w14:textId="77777777" w:rsidR="00A8538A" w:rsidRPr="00133A58" w:rsidRDefault="00A8538A" w:rsidP="00A8538A">
      <w:pPr>
        <w:spacing w:after="0" w:line="240" w:lineRule="auto"/>
        <w:jc w:val="both"/>
        <w:rPr>
          <w:rFonts w:ascii="Verdana" w:eastAsia="Times New Roman" w:hAnsi="Verdana" w:cs="Arial"/>
          <w:sz w:val="20"/>
          <w:lang w:eastAsia="es-ES"/>
        </w:rPr>
      </w:pPr>
    </w:p>
    <w:p w14:paraId="72549A3A" w14:textId="77777777" w:rsidR="00A8538A" w:rsidRPr="00133A58" w:rsidRDefault="00A8538A" w:rsidP="00A8538A">
      <w:pPr>
        <w:spacing w:after="0" w:line="240" w:lineRule="auto"/>
        <w:jc w:val="both"/>
        <w:rPr>
          <w:rFonts w:ascii="Verdana" w:eastAsia="Times New Roman" w:hAnsi="Verdana" w:cs="Arial"/>
          <w:sz w:val="20"/>
          <w:lang w:eastAsia="es-ES"/>
        </w:rPr>
      </w:pPr>
      <w:r w:rsidRPr="00133A58">
        <w:rPr>
          <w:rFonts w:ascii="Verdana" w:eastAsia="Times New Roman" w:hAnsi="Verdana" w:cs="Arial"/>
          <w:sz w:val="20"/>
          <w:lang w:eastAsia="es-ES"/>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 “Son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p>
    <w:p w14:paraId="32AD982F" w14:textId="77777777" w:rsidR="00A8538A" w:rsidRPr="00EB73BF" w:rsidRDefault="00A8538A" w:rsidP="00A8538A">
      <w:pPr>
        <w:spacing w:after="0" w:line="240" w:lineRule="auto"/>
        <w:jc w:val="both"/>
        <w:rPr>
          <w:rFonts w:ascii="Verdana" w:eastAsia="Times New Roman" w:hAnsi="Verdana" w:cs="Arial"/>
          <w:b/>
          <w:lang w:eastAsia="es-ES"/>
        </w:rPr>
      </w:pPr>
    </w:p>
    <w:p w14:paraId="48B41951" w14:textId="77777777" w:rsidR="00A8538A" w:rsidRPr="00EB73BF" w:rsidRDefault="00A8538A" w:rsidP="00A8538A">
      <w:pPr>
        <w:spacing w:after="0" w:line="240" w:lineRule="auto"/>
        <w:jc w:val="both"/>
        <w:rPr>
          <w:rFonts w:ascii="Verdana" w:eastAsia="Times New Roman" w:hAnsi="Verdana" w:cs="Arial"/>
          <w:b/>
          <w:lang w:eastAsia="es-ES"/>
        </w:rPr>
      </w:pPr>
      <w:r w:rsidRPr="00EB73BF">
        <w:rPr>
          <w:rFonts w:ascii="Verdana" w:eastAsia="Times New Roman" w:hAnsi="Verdana" w:cs="Arial"/>
          <w:b/>
          <w:lang w:eastAsia="es-ES"/>
        </w:rPr>
        <w:t>CONTRATO DE PRESTACIÓN DE SERVICIOS – Características</w:t>
      </w:r>
    </w:p>
    <w:p w14:paraId="403C14E3" w14:textId="77777777" w:rsidR="00A8538A" w:rsidRDefault="00A8538A" w:rsidP="00A8538A">
      <w:pPr>
        <w:spacing w:after="0" w:line="240" w:lineRule="auto"/>
        <w:jc w:val="both"/>
        <w:rPr>
          <w:rFonts w:ascii="Verdana" w:eastAsia="Times New Roman" w:hAnsi="Verdana" w:cs="Arial"/>
          <w:b/>
          <w:lang w:eastAsia="es-ES"/>
        </w:rPr>
      </w:pPr>
    </w:p>
    <w:p w14:paraId="5BFA27D9" w14:textId="77777777" w:rsidR="00A8538A" w:rsidRPr="00133A58" w:rsidRDefault="00A8538A" w:rsidP="00A8538A">
      <w:pPr>
        <w:spacing w:after="0" w:line="240" w:lineRule="auto"/>
        <w:jc w:val="both"/>
        <w:rPr>
          <w:rFonts w:ascii="Verdana" w:eastAsia="Times New Roman" w:hAnsi="Verdana" w:cs="Arial"/>
          <w:sz w:val="20"/>
          <w:lang w:val="es-ES" w:eastAsia="es-ES"/>
        </w:rPr>
      </w:pPr>
      <w:r w:rsidRPr="00133A58">
        <w:rPr>
          <w:rFonts w:ascii="Verdana" w:eastAsia="Times New Roman" w:hAnsi="Verdana" w:cs="Arial"/>
          <w:sz w:val="20"/>
          <w:lang w:eastAsia="es-ES"/>
        </w:rPr>
        <w:t xml:space="preserve">A partir de estos enunciados normativos, así como de otros, de carácter legal y reglamentario, que complementan su regulación, y de los pronunciamientos judiciales más destacados sobre el tema, es posible señalar las siguientes características del contrato de prestación de servicios profesionales: a) Solo puede celebrarse para realizar “actividades relacionadas con la administración o funcionamiento de la entidad”, es decir, que hagan parte de su giro ordinario o quehacer cotidiano. b)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c) Si bien se celebran para obtener la prestación personal de un servicio, se diferencian del contrato de trabajo en que quien celebra el contrato de prestación de servicios profesionales debe mantener autonomía e independencia en la ejecución de la labor, lo que significa que no puede existir la </w:t>
      </w:r>
      <w:r w:rsidRPr="00133A58">
        <w:rPr>
          <w:rFonts w:ascii="Verdana" w:eastAsia="Times New Roman" w:hAnsi="Verdana" w:cs="Arial"/>
          <w:i/>
          <w:iCs/>
          <w:sz w:val="20"/>
          <w:lang w:eastAsia="es-ES"/>
        </w:rPr>
        <w:t>subordinación y dependencia</w:t>
      </w:r>
      <w:r w:rsidRPr="00133A58">
        <w:rPr>
          <w:rFonts w:ascii="Verdana" w:eastAsia="Times New Roman" w:hAnsi="Verdana" w:cs="Arial"/>
          <w:sz w:val="20"/>
          <w:lang w:eastAsia="es-ES"/>
        </w:rPr>
        <w:t>, que es uno de los elementos constitutivos del vínculo laboral. d) Deben ser temporales. e</w:t>
      </w:r>
      <w:r w:rsidRPr="00133A58">
        <w:rPr>
          <w:rFonts w:ascii="Verdana" w:eastAsia="Times New Roman" w:hAnsi="Verdana" w:cs="Arial"/>
          <w:sz w:val="20"/>
          <w:lang w:val="es-ES" w:eastAsia="es-ES"/>
        </w:rPr>
        <w:t xml:space="preserve">) Los contratos de prestación de servicios constituyen un </w:t>
      </w:r>
      <w:r w:rsidRPr="00133A58">
        <w:rPr>
          <w:rFonts w:ascii="Verdana" w:eastAsia="Times New Roman" w:hAnsi="Verdana" w:cs="Arial"/>
          <w:i/>
          <w:iCs/>
          <w:sz w:val="20"/>
          <w:lang w:val="es-ES" w:eastAsia="es-ES"/>
        </w:rPr>
        <w:t>género</w:t>
      </w:r>
      <w:r w:rsidRPr="00133A58">
        <w:rPr>
          <w:rFonts w:ascii="Verdana" w:eastAsia="Times New Roman" w:hAnsi="Verdana" w:cs="Arial"/>
          <w:sz w:val="20"/>
          <w:lang w:val="es-ES" w:eastAsia="es-ES"/>
        </w:rPr>
        <w:t xml:space="preserve"> que incluye, como </w:t>
      </w:r>
      <w:r w:rsidRPr="00133A58">
        <w:rPr>
          <w:rFonts w:ascii="Verdana" w:eastAsia="Times New Roman" w:hAnsi="Verdana" w:cs="Arial"/>
          <w:i/>
          <w:iCs/>
          <w:sz w:val="20"/>
          <w:lang w:val="es-ES" w:eastAsia="es-ES"/>
        </w:rPr>
        <w:t>especies</w:t>
      </w:r>
      <w:r w:rsidRPr="00133A58">
        <w:rPr>
          <w:rFonts w:ascii="Verdana" w:eastAsia="Times New Roman" w:hAnsi="Verdana" w:cs="Arial"/>
          <w:sz w:val="20"/>
          <w:lang w:val="es-ES" w:eastAsia="es-ES"/>
        </w:rPr>
        <w:t xml:space="preserve">, los contratos de prestación de servicios profesionales, los contratos de prestación de servicios de apoyo a la gestión y los contratos de prestación de servicios artísticos que solo pueden encomendarse a determinadas personas naturales. La diferencia entre el contrato de prestación de servicios </w:t>
      </w:r>
      <w:r w:rsidRPr="00133A58">
        <w:rPr>
          <w:rFonts w:ascii="Verdana" w:eastAsia="Times New Roman" w:hAnsi="Verdana" w:cs="Arial"/>
          <w:i/>
          <w:iCs/>
          <w:sz w:val="20"/>
          <w:lang w:val="es-ES" w:eastAsia="es-ES"/>
        </w:rPr>
        <w:t>profesionales</w:t>
      </w:r>
      <w:r w:rsidRPr="00133A58">
        <w:rPr>
          <w:rFonts w:ascii="Verdana" w:eastAsia="Times New Roman" w:hAnsi="Verdana" w:cs="Arial"/>
          <w:sz w:val="20"/>
          <w:lang w:val="es-ES" w:eastAsia="es-ES"/>
        </w:rPr>
        <w:t xml:space="preserve"> con las otras dos especies del género en el cual se ubican radica en su contenido intelectual intangible y, al mismo tiempo, en la formación profesional que se exige para desempeñar la labor</w:t>
      </w:r>
      <w:r w:rsidRPr="00133A58">
        <w:rPr>
          <w:rFonts w:ascii="Verdana" w:eastAsia="Times New Roman" w:hAnsi="Verdana" w:cs="Arial"/>
          <w:sz w:val="20"/>
          <w:vertAlign w:val="superscript"/>
          <w:lang w:val="es-ES" w:eastAsia="es-ES"/>
        </w:rPr>
        <w:t xml:space="preserve">. </w:t>
      </w:r>
      <w:r w:rsidRPr="00133A58">
        <w:rPr>
          <w:rFonts w:ascii="Verdana" w:eastAsia="Times New Roman" w:hAnsi="Verdana" w:cs="Arial"/>
          <w:sz w:val="20"/>
          <w:lang w:val="es-ES" w:eastAsia="es-ES"/>
        </w:rPr>
        <w:t xml:space="preserve">f) Su celebración debe realizarse a través de la modalidad de contratación directa, independientemente de la cuantía y del tipo de servicio, siempre que este no ingrese dentro del objeto del contrato de consultoría, pues, como lo indicó el Consejo de Estado en la sentencia de unificación jurisprudencial, si bien en ambos existe un componente intelectual intangible, el objeto del contrato de consultoría es especial y debe celebrarse, por regla general, precedido de un concurso de méritos. Pero, tampoco puede suscribirse un contrato de prestación de servicios profesionales para que el contratista ejecute labores que se enmarcan dentro de los otros contratos tipificados en el artículo 32 de la Ley 80 de 1993, como, </w:t>
      </w:r>
      <w:r w:rsidRPr="00133A58">
        <w:rPr>
          <w:rFonts w:ascii="Verdana" w:eastAsia="Times New Roman" w:hAnsi="Verdana" w:cs="Arial"/>
          <w:sz w:val="20"/>
          <w:lang w:val="es-ES" w:eastAsia="es-ES"/>
        </w:rPr>
        <w:lastRenderedPageBreak/>
        <w:t>por ejemplo, para que el contratista de prestación de servicios construya una obra.</w:t>
      </w:r>
      <w:r w:rsidRPr="00133A58">
        <w:rPr>
          <w:rFonts w:ascii="Verdana" w:eastAsia="Times New Roman" w:hAnsi="Verdana" w:cs="Arial"/>
          <w:sz w:val="20"/>
          <w:lang w:eastAsia="es-ES"/>
        </w:rPr>
        <w:t xml:space="preserve"> </w:t>
      </w:r>
      <w:r w:rsidRPr="00133A58">
        <w:rPr>
          <w:rFonts w:ascii="Verdana" w:eastAsia="Times New Roman" w:hAnsi="Verdana" w:cs="Arial"/>
          <w:sz w:val="20"/>
          <w:lang w:val="es-ES" w:eastAsia="es-ES"/>
        </w:rPr>
        <w:t xml:space="preserve">g) Para su celebración no se requiere en algunos casos la expedición del acto administrativo de justificación de la contratación directa. h) Admiten el pacto de cláusulas excepcionales. </w:t>
      </w:r>
    </w:p>
    <w:p w14:paraId="26D79271" w14:textId="77777777" w:rsidR="00A8538A" w:rsidRPr="00144A14" w:rsidRDefault="00A8538A" w:rsidP="00A8538A">
      <w:pPr>
        <w:spacing w:after="0" w:line="240" w:lineRule="auto"/>
        <w:jc w:val="both"/>
        <w:rPr>
          <w:rFonts w:ascii="Verdana" w:hAnsi="Verdana"/>
          <w:b/>
        </w:rPr>
      </w:pPr>
    </w:p>
    <w:p w14:paraId="3719AE07" w14:textId="77777777" w:rsidR="00A8538A" w:rsidRPr="00144A14" w:rsidRDefault="00A8538A" w:rsidP="00A8538A">
      <w:pPr>
        <w:spacing w:after="0" w:line="240" w:lineRule="auto"/>
        <w:jc w:val="both"/>
        <w:rPr>
          <w:rFonts w:ascii="Verdana" w:hAnsi="Verdana"/>
          <w:b/>
        </w:rPr>
      </w:pPr>
      <w:r w:rsidRPr="00144A14">
        <w:rPr>
          <w:rFonts w:ascii="Verdana" w:hAnsi="Verdana"/>
          <w:b/>
        </w:rPr>
        <w:t>ESTABILIDAD OCUPACIONAL REFORZADA DE MUJER EMBARAZADA – Concepto</w:t>
      </w:r>
    </w:p>
    <w:p w14:paraId="6F360620" w14:textId="77777777" w:rsidR="00A8538A" w:rsidRPr="00822A37" w:rsidRDefault="00A8538A" w:rsidP="00A8538A">
      <w:pPr>
        <w:spacing w:after="0" w:line="240" w:lineRule="auto"/>
        <w:jc w:val="both"/>
        <w:rPr>
          <w:rFonts w:ascii="Verdana" w:hAnsi="Verdana"/>
          <w:sz w:val="20"/>
        </w:rPr>
      </w:pPr>
    </w:p>
    <w:p w14:paraId="0695F3B0" w14:textId="77777777" w:rsidR="00A8538A" w:rsidRPr="00822A37" w:rsidRDefault="00A8538A" w:rsidP="00A8538A">
      <w:pPr>
        <w:spacing w:after="0" w:line="240" w:lineRule="auto"/>
        <w:jc w:val="both"/>
        <w:rPr>
          <w:rFonts w:ascii="Verdana" w:hAnsi="Verdana"/>
          <w:sz w:val="20"/>
        </w:rPr>
      </w:pPr>
      <w:r w:rsidRPr="00822A37">
        <w:rPr>
          <w:rFonts w:ascii="Verdana" w:hAnsi="Verdana"/>
          <w:sz w:val="20"/>
          <w:lang w:val="es-ES"/>
        </w:rPr>
        <w:t>El</w:t>
      </w:r>
      <w:r w:rsidRPr="00822A37">
        <w:rPr>
          <w:rFonts w:ascii="Verdana" w:hAnsi="Verdana"/>
          <w:sz w:val="20"/>
        </w:rPr>
        <w:t xml:space="preserve"> fuero de maternidad es una institución jurídica que otorga una protección reforzada a la futura madre y a la que acaba de serlo, es decir, a la mujer que se encuentra en estado de embarazo, en licencia de maternidad y en periodo de lactancia. Esto con el fin de que el proceso de gestación no interfiera en la estabilidad ocupacional que, como trabajadora, le asiste. El propósito es que las aspiraciones familiares y profesionales de la mujer no se excluyan y puedan armonizarse, al punto de desarrollar su proyecto de vida y su personalidad en condiciones de dignidad y libertad, pues históricamente el estado de gravidez ha constituido un motivo de exclusión de la mujer en el trabajo, en el que es preciso “impedir la discriminación constituida por el despido, la terminación o la no renovación del contrato por causa o con ocasión del embarazo o la lactancia”.</w:t>
      </w:r>
    </w:p>
    <w:p w14:paraId="41B2565E" w14:textId="77777777" w:rsidR="00A8538A" w:rsidRPr="00144A14" w:rsidRDefault="00A8538A" w:rsidP="00A8538A">
      <w:pPr>
        <w:spacing w:after="0" w:line="240" w:lineRule="auto"/>
        <w:jc w:val="both"/>
        <w:rPr>
          <w:rFonts w:ascii="Verdana" w:hAnsi="Verdana"/>
          <w:b/>
        </w:rPr>
      </w:pPr>
    </w:p>
    <w:p w14:paraId="71A82D29" w14:textId="77777777" w:rsidR="00A8538A" w:rsidRPr="00144A14" w:rsidRDefault="00A8538A" w:rsidP="00A8538A">
      <w:pPr>
        <w:spacing w:after="0" w:line="240" w:lineRule="auto"/>
        <w:jc w:val="both"/>
        <w:rPr>
          <w:rFonts w:ascii="Verdana" w:hAnsi="Verdana"/>
          <w:b/>
        </w:rPr>
      </w:pPr>
      <w:r w:rsidRPr="00144A14">
        <w:rPr>
          <w:rFonts w:ascii="Verdana" w:hAnsi="Verdana"/>
          <w:b/>
        </w:rPr>
        <w:t>ESTABILIDAD OCUPACIONAL REFORZADA DE MUJER EMBARAZADA – Unificación jurisprudencial</w:t>
      </w:r>
    </w:p>
    <w:p w14:paraId="5BD97601" w14:textId="77777777" w:rsidR="00A8538A" w:rsidRPr="00144A14" w:rsidRDefault="00A8538A" w:rsidP="00A8538A">
      <w:pPr>
        <w:spacing w:after="0" w:line="240" w:lineRule="auto"/>
        <w:jc w:val="both"/>
        <w:rPr>
          <w:rFonts w:ascii="Verdana" w:hAnsi="Verdana"/>
          <w:b/>
        </w:rPr>
      </w:pPr>
    </w:p>
    <w:p w14:paraId="4090E4CC" w14:textId="77777777" w:rsidR="00A8538A" w:rsidRPr="00822A37" w:rsidRDefault="00A8538A" w:rsidP="00A8538A">
      <w:pPr>
        <w:spacing w:after="0" w:line="240" w:lineRule="auto"/>
        <w:jc w:val="both"/>
        <w:rPr>
          <w:rFonts w:ascii="Verdana" w:hAnsi="Verdana"/>
          <w:sz w:val="20"/>
        </w:rPr>
      </w:pPr>
      <w:r w:rsidRPr="00822A37">
        <w:rPr>
          <w:rFonts w:ascii="Verdana" w:hAnsi="Verdana"/>
          <w:sz w:val="20"/>
        </w:rPr>
        <w:t>La Corte Constitucional profirió la sentencia de unificación SU-075 de 2018, en la cual recoge, entre otras, las sentencias T-350 del 2016, T-030 de 2018. En esta providencia, el Alto Tribunal estableció unos criterios con el fin de impedir la discriminación que se puede presentarse frente a una mujer en estado de embarazo, en periodo de licencia de maternidad o de lactancia, específicamente, respecto a la terminación o la no renovación del contrato. Dicha providencia dio paso a establecer que, el denominado “fuero de maternidad” encuentra también su sustento en la cláusula general de igualdad de la Constitución “que proscribe la discriminación por razones de sexo, así como en el ya mencionado artículo 43 Superior, que dispone la igualdad de derechos y oportunidades entre hombres y mujeres”.</w:t>
      </w:r>
    </w:p>
    <w:p w14:paraId="11A6372F" w14:textId="77777777" w:rsidR="00A8538A" w:rsidRPr="00144A14" w:rsidRDefault="00A8538A" w:rsidP="00A8538A">
      <w:pPr>
        <w:spacing w:after="0" w:line="240" w:lineRule="auto"/>
        <w:jc w:val="both"/>
        <w:rPr>
          <w:rFonts w:ascii="Verdana" w:hAnsi="Verdana"/>
          <w:b/>
        </w:rPr>
      </w:pPr>
    </w:p>
    <w:p w14:paraId="309FCE15" w14:textId="77777777" w:rsidR="00A8538A" w:rsidRPr="00144A14" w:rsidRDefault="00A8538A" w:rsidP="00A8538A">
      <w:pPr>
        <w:spacing w:after="0" w:line="240" w:lineRule="auto"/>
        <w:jc w:val="both"/>
        <w:rPr>
          <w:rFonts w:ascii="Verdana" w:hAnsi="Verdana"/>
          <w:b/>
        </w:rPr>
      </w:pPr>
      <w:r w:rsidRPr="00144A14">
        <w:rPr>
          <w:rFonts w:ascii="Verdana" w:hAnsi="Verdana"/>
          <w:b/>
        </w:rPr>
        <w:t xml:space="preserve"> ESTABILIDAD OCUPACIONAL REFORZADA DE MUJER EMBARAZADA – Procedencia – Contratos de prestación de servicios</w:t>
      </w:r>
    </w:p>
    <w:p w14:paraId="7DB1C475" w14:textId="77777777" w:rsidR="00A8538A" w:rsidRDefault="00A8538A" w:rsidP="00A8538A">
      <w:pPr>
        <w:spacing w:after="0" w:line="240" w:lineRule="auto"/>
        <w:jc w:val="both"/>
        <w:rPr>
          <w:rFonts w:ascii="Verdana" w:hAnsi="Verdana"/>
          <w:b/>
        </w:rPr>
      </w:pPr>
    </w:p>
    <w:p w14:paraId="27CAABA0" w14:textId="77777777" w:rsidR="00A8538A" w:rsidRPr="00822A37" w:rsidRDefault="00A8538A" w:rsidP="00A8538A">
      <w:pPr>
        <w:spacing w:after="0" w:line="240" w:lineRule="auto"/>
        <w:jc w:val="both"/>
        <w:rPr>
          <w:rFonts w:ascii="Verdana" w:hAnsi="Verdana"/>
          <w:sz w:val="20"/>
          <w:szCs w:val="20"/>
          <w:lang w:val="es-ES"/>
        </w:rPr>
      </w:pPr>
      <w:r w:rsidRPr="00822A37">
        <w:rPr>
          <w:rFonts w:ascii="Verdana" w:hAnsi="Verdana"/>
          <w:sz w:val="20"/>
          <w:szCs w:val="20"/>
          <w:lang w:val="es-ES"/>
        </w:rPr>
        <w:t>El contrato de prestación de servicios no pertenece al ámbito jurídico laboral y, en consecuencia, no se rige por el Código Sustantivo del Trabajo, razón por la cual, entre el contratante y el contratista no existe un vínculo laboral sino una relación de orden civil, comercial o de contratación estatal. Así las cosas, en el contrato de prestación de servicios no se generan las prerrogativas propias del contrato de trabajo como es el caso de los descansos remunerados en el periodo de lactancia y la extensión del fuero de maternidad que da en virtud de dicha prerrogativa por el tiempo de dos (2) años señalados en la disposición objeto de estudio.</w:t>
      </w:r>
    </w:p>
    <w:p w14:paraId="2526DAFD" w14:textId="77777777" w:rsidR="00A8538A" w:rsidRPr="00822A37" w:rsidRDefault="00A8538A" w:rsidP="00A8538A">
      <w:pPr>
        <w:spacing w:after="0" w:line="240" w:lineRule="auto"/>
        <w:jc w:val="both"/>
        <w:rPr>
          <w:rFonts w:ascii="Verdana" w:hAnsi="Verdana"/>
          <w:sz w:val="20"/>
          <w:szCs w:val="20"/>
          <w:lang w:val="es-ES"/>
        </w:rPr>
      </w:pPr>
      <w:r w:rsidRPr="00822A37">
        <w:rPr>
          <w:rFonts w:ascii="Verdana" w:hAnsi="Verdana"/>
          <w:sz w:val="20"/>
          <w:szCs w:val="20"/>
          <w:lang w:val="es-ES"/>
        </w:rPr>
        <w:t>[…]</w:t>
      </w:r>
    </w:p>
    <w:p w14:paraId="5EABE8C9" w14:textId="77777777" w:rsidR="00A8538A" w:rsidRPr="00822A37" w:rsidRDefault="00A8538A" w:rsidP="00A8538A">
      <w:pPr>
        <w:spacing w:after="0" w:line="240" w:lineRule="auto"/>
        <w:jc w:val="both"/>
        <w:rPr>
          <w:rFonts w:ascii="Verdana" w:hAnsi="Verdana"/>
          <w:sz w:val="20"/>
          <w:szCs w:val="20"/>
          <w:lang w:val="es-ES"/>
        </w:rPr>
      </w:pPr>
      <w:r w:rsidRPr="00822A37">
        <w:rPr>
          <w:rFonts w:ascii="Verdana" w:hAnsi="Verdana"/>
          <w:sz w:val="20"/>
          <w:szCs w:val="20"/>
          <w:lang w:val="es-ES"/>
        </w:rPr>
        <w:lastRenderedPageBreak/>
        <w:t>El despido por estas causas en el contrato de prestación de servicios es determinado según la Corte Constitucional a través de tres componentes: (i) el contratante conoce el estado de embarazo de la contratista, (ii) subsiste la causa del contrato y (iii) no cuenta con permiso del inspector del trabajo para terminar el contrato. En estos eventos procede la garantía de estabilidad reforzada por lo que la entidad deberá proceder a la renovación de la relación contractual.</w:t>
      </w:r>
    </w:p>
    <w:p w14:paraId="040E4ECD" w14:textId="77777777" w:rsidR="00A8538A" w:rsidRPr="00822A37" w:rsidRDefault="00A8538A" w:rsidP="00A8538A">
      <w:pPr>
        <w:spacing w:after="0" w:line="240" w:lineRule="auto"/>
        <w:jc w:val="both"/>
        <w:rPr>
          <w:rFonts w:ascii="Verdana" w:hAnsi="Verdana"/>
          <w:b/>
          <w:lang w:val="es-ES"/>
        </w:rPr>
      </w:pPr>
    </w:p>
    <w:p w14:paraId="33F1B18A" w14:textId="77777777" w:rsidR="00A8538A" w:rsidRPr="00144A14" w:rsidRDefault="00A8538A" w:rsidP="00A8538A">
      <w:pPr>
        <w:spacing w:after="0" w:line="240" w:lineRule="auto"/>
        <w:jc w:val="both"/>
        <w:rPr>
          <w:rFonts w:ascii="Verdana" w:hAnsi="Verdana"/>
          <w:b/>
        </w:rPr>
      </w:pPr>
      <w:r w:rsidRPr="00144A14">
        <w:rPr>
          <w:rFonts w:ascii="Verdana" w:hAnsi="Verdana"/>
          <w:b/>
        </w:rPr>
        <w:t xml:space="preserve">ESTABILIDAD OCUPACIONAL REFORZADA – Periodo de lactancia – Contratos de prestación de servicios </w:t>
      </w:r>
    </w:p>
    <w:p w14:paraId="5A34D545" w14:textId="77777777" w:rsidR="00A8538A" w:rsidRDefault="00A8538A" w:rsidP="00A8538A">
      <w:pPr>
        <w:spacing w:after="0" w:line="240" w:lineRule="auto"/>
        <w:jc w:val="both"/>
        <w:rPr>
          <w:rFonts w:ascii="Verdana" w:hAnsi="Verdana"/>
          <w:b/>
        </w:rPr>
      </w:pPr>
    </w:p>
    <w:p w14:paraId="37E6A59D" w14:textId="77777777" w:rsidR="00A8538A" w:rsidRDefault="00A8538A" w:rsidP="00A8538A">
      <w:pPr>
        <w:spacing w:after="0" w:line="240" w:lineRule="auto"/>
        <w:jc w:val="both"/>
        <w:rPr>
          <w:rFonts w:ascii="Verdana" w:hAnsi="Verdana"/>
          <w:sz w:val="20"/>
          <w:lang w:val="es-ES"/>
        </w:rPr>
      </w:pPr>
      <w:r>
        <w:rPr>
          <w:rFonts w:ascii="Verdana" w:hAnsi="Verdana"/>
          <w:sz w:val="20"/>
          <w:lang w:val="es-ES"/>
        </w:rPr>
        <w:t xml:space="preserve">[…] </w:t>
      </w:r>
      <w:r w:rsidRPr="00822A37">
        <w:rPr>
          <w:rFonts w:ascii="Verdana" w:hAnsi="Verdana"/>
          <w:sz w:val="20"/>
          <w:lang w:val="es-ES"/>
        </w:rPr>
        <w:t>sobre el alcance de la protección de estabilidad ocupacional reforzada en contratos de prestación de servicios, de acuerdo con lo expresado por la Corte Constitucional en las sentencias SU-070 de 2013, SU-075 de 2018, y en especial las sentencias T-329 de 2022 y T-119 de 2023, se tiene que dicho alcance se presenta durante el periodo de gestación, la licencia de maternidad, hasta por dieciocho (18) semanas y el periodo de lactancia, que por lo general, es de seis (6) meses, sin perjuicio de otras consideraciones planteadas por el Ministerio de Trabajo. De acuerdo con esto, aplica para la madre – contratista, una protección de estabilidad que evita que sea despedida por causa de embarazo o en periodo de la licencia de maternidad o durante el periodo de lactancia, enfatizando que cada periodo la presunción de despido aplicar de forma diferente conforme lo expuesto.</w:t>
      </w:r>
    </w:p>
    <w:p w14:paraId="266C40F1" w14:textId="77777777" w:rsidR="00A8538A" w:rsidRPr="00822A37" w:rsidRDefault="00A8538A" w:rsidP="00A8538A">
      <w:pPr>
        <w:spacing w:after="0" w:line="240" w:lineRule="auto"/>
        <w:jc w:val="both"/>
        <w:rPr>
          <w:rFonts w:ascii="Verdana" w:hAnsi="Verdana"/>
          <w:b/>
          <w:lang w:val="es-ES"/>
        </w:rPr>
      </w:pPr>
    </w:p>
    <w:p w14:paraId="22042D47" w14:textId="77777777" w:rsidR="00A8538A" w:rsidRDefault="00A8538A" w:rsidP="00A8538A">
      <w:pPr>
        <w:spacing w:after="0" w:line="240" w:lineRule="auto"/>
        <w:rPr>
          <w:rFonts w:ascii="Verdana" w:hAnsi="Verdana"/>
        </w:rPr>
      </w:pPr>
    </w:p>
    <w:p w14:paraId="1549BA76" w14:textId="77777777" w:rsidR="00A8538A" w:rsidRDefault="00A8538A" w:rsidP="00A8538A">
      <w:pPr>
        <w:spacing w:after="0" w:line="240" w:lineRule="auto"/>
        <w:rPr>
          <w:rFonts w:ascii="Verdana" w:hAnsi="Verdana"/>
        </w:rPr>
      </w:pPr>
    </w:p>
    <w:p w14:paraId="48830726" w14:textId="77777777" w:rsidR="00A8538A" w:rsidRDefault="00A8538A" w:rsidP="00A8538A">
      <w:pPr>
        <w:spacing w:after="0" w:line="240" w:lineRule="auto"/>
        <w:rPr>
          <w:rFonts w:ascii="Verdana" w:hAnsi="Verdana"/>
        </w:rPr>
      </w:pPr>
    </w:p>
    <w:p w14:paraId="65B6252E" w14:textId="77777777" w:rsidR="00A8538A" w:rsidRDefault="00A8538A" w:rsidP="00A8538A">
      <w:pPr>
        <w:spacing w:after="0" w:line="240" w:lineRule="auto"/>
        <w:rPr>
          <w:rFonts w:ascii="Verdana" w:hAnsi="Verdana"/>
        </w:rPr>
      </w:pPr>
    </w:p>
    <w:p w14:paraId="17BD3087" w14:textId="77777777" w:rsidR="00A8538A" w:rsidRDefault="00A8538A" w:rsidP="00A8538A">
      <w:pPr>
        <w:spacing w:after="0" w:line="240" w:lineRule="auto"/>
        <w:rPr>
          <w:rFonts w:ascii="Verdana" w:hAnsi="Verdana"/>
        </w:rPr>
      </w:pPr>
    </w:p>
    <w:p w14:paraId="4FFB6436" w14:textId="77777777" w:rsidR="00A8538A" w:rsidRDefault="00A8538A" w:rsidP="00A8538A">
      <w:pPr>
        <w:spacing w:after="0" w:line="240" w:lineRule="auto"/>
        <w:rPr>
          <w:rFonts w:ascii="Verdana" w:hAnsi="Verdana"/>
        </w:rPr>
      </w:pPr>
    </w:p>
    <w:p w14:paraId="7A405C28" w14:textId="77777777" w:rsidR="00A8538A" w:rsidRDefault="00A8538A" w:rsidP="00A8538A">
      <w:pPr>
        <w:spacing w:after="0" w:line="240" w:lineRule="auto"/>
        <w:rPr>
          <w:rFonts w:ascii="Verdana" w:hAnsi="Verdana"/>
        </w:rPr>
      </w:pPr>
    </w:p>
    <w:p w14:paraId="4C7DDEFD" w14:textId="77777777" w:rsidR="00A8538A" w:rsidRDefault="00A8538A" w:rsidP="00C15139">
      <w:pPr>
        <w:spacing w:after="0"/>
        <w:rPr>
          <w:rFonts w:ascii="Verdana" w:hAnsi="Verdana"/>
        </w:rPr>
      </w:pPr>
    </w:p>
    <w:p w14:paraId="258D422C" w14:textId="77777777" w:rsidR="00A8538A" w:rsidRDefault="00A8538A" w:rsidP="00C15139">
      <w:pPr>
        <w:spacing w:after="0"/>
        <w:rPr>
          <w:rFonts w:ascii="Verdana" w:hAnsi="Verdana"/>
        </w:rPr>
      </w:pPr>
    </w:p>
    <w:p w14:paraId="52F0E583" w14:textId="77777777" w:rsidR="00A8538A" w:rsidRDefault="00A8538A" w:rsidP="00C15139">
      <w:pPr>
        <w:spacing w:after="0"/>
        <w:rPr>
          <w:rFonts w:ascii="Verdana" w:hAnsi="Verdana"/>
        </w:rPr>
      </w:pPr>
    </w:p>
    <w:p w14:paraId="1B5DE9C4" w14:textId="77777777" w:rsidR="00A8538A" w:rsidRDefault="00A8538A" w:rsidP="00C15139">
      <w:pPr>
        <w:spacing w:after="0"/>
        <w:rPr>
          <w:rFonts w:ascii="Verdana" w:hAnsi="Verdana"/>
        </w:rPr>
      </w:pPr>
    </w:p>
    <w:p w14:paraId="616C196A" w14:textId="77777777" w:rsidR="00A8538A" w:rsidRDefault="00A8538A" w:rsidP="00C15139">
      <w:pPr>
        <w:spacing w:after="0"/>
        <w:rPr>
          <w:rFonts w:ascii="Verdana" w:hAnsi="Verdana"/>
        </w:rPr>
      </w:pPr>
    </w:p>
    <w:p w14:paraId="2F536C23" w14:textId="77777777" w:rsidR="00A8538A" w:rsidRDefault="00A8538A" w:rsidP="00C15139">
      <w:pPr>
        <w:spacing w:after="0"/>
        <w:rPr>
          <w:rFonts w:ascii="Verdana" w:hAnsi="Verdana"/>
        </w:rPr>
      </w:pPr>
    </w:p>
    <w:p w14:paraId="73BFDA69" w14:textId="77777777" w:rsidR="00A8538A" w:rsidRDefault="00A8538A" w:rsidP="00C15139">
      <w:pPr>
        <w:spacing w:after="0"/>
        <w:rPr>
          <w:rFonts w:ascii="Verdana" w:hAnsi="Verdana"/>
        </w:rPr>
      </w:pPr>
    </w:p>
    <w:p w14:paraId="61DEB6E8" w14:textId="77777777" w:rsidR="00A8538A" w:rsidRDefault="00A8538A" w:rsidP="00C15139">
      <w:pPr>
        <w:spacing w:after="0"/>
        <w:rPr>
          <w:rFonts w:ascii="Verdana" w:hAnsi="Verdana"/>
        </w:rPr>
      </w:pPr>
    </w:p>
    <w:p w14:paraId="1F9EAE4D" w14:textId="77777777" w:rsidR="00A8538A" w:rsidRDefault="00A8538A" w:rsidP="00C15139">
      <w:pPr>
        <w:spacing w:after="0"/>
        <w:rPr>
          <w:rFonts w:ascii="Verdana" w:hAnsi="Verdana"/>
        </w:rPr>
      </w:pPr>
    </w:p>
    <w:p w14:paraId="5990A2BB" w14:textId="77777777" w:rsidR="00A8538A" w:rsidRDefault="00A8538A" w:rsidP="00C15139">
      <w:pPr>
        <w:spacing w:after="0"/>
        <w:rPr>
          <w:rFonts w:ascii="Verdana" w:hAnsi="Verdana"/>
        </w:rPr>
      </w:pPr>
    </w:p>
    <w:p w14:paraId="03D640A1" w14:textId="77777777" w:rsidR="00A8538A" w:rsidRDefault="00A8538A" w:rsidP="00C15139">
      <w:pPr>
        <w:spacing w:after="0"/>
        <w:rPr>
          <w:rFonts w:ascii="Verdana" w:hAnsi="Verdana"/>
        </w:rPr>
      </w:pPr>
    </w:p>
    <w:p w14:paraId="5FB018A6" w14:textId="77777777" w:rsidR="00A8538A" w:rsidRDefault="00A8538A" w:rsidP="00C15139">
      <w:pPr>
        <w:spacing w:after="0"/>
        <w:rPr>
          <w:rFonts w:ascii="Verdana" w:hAnsi="Verdana"/>
        </w:rPr>
      </w:pPr>
    </w:p>
    <w:p w14:paraId="2162AD4F" w14:textId="77777777" w:rsidR="00A8538A" w:rsidRDefault="00A8538A" w:rsidP="00C15139">
      <w:pPr>
        <w:spacing w:after="0"/>
        <w:rPr>
          <w:rFonts w:ascii="Verdana" w:hAnsi="Verdana"/>
        </w:rPr>
      </w:pPr>
    </w:p>
    <w:p w14:paraId="1468C46D" w14:textId="0144F588" w:rsidR="00C15139" w:rsidRPr="0024624F" w:rsidRDefault="00C15139" w:rsidP="00C15139">
      <w:pPr>
        <w:spacing w:after="0"/>
        <w:rPr>
          <w:rFonts w:ascii="Verdana" w:hAnsi="Verdana"/>
        </w:rPr>
      </w:pPr>
      <w:r w:rsidRPr="0024624F">
        <w:rPr>
          <w:rFonts w:ascii="Verdana" w:hAnsi="Verdana"/>
        </w:rPr>
        <w:lastRenderedPageBreak/>
        <w:t xml:space="preserve">Bogotá D.C., </w:t>
      </w:r>
      <w:r w:rsidR="005723A0">
        <w:rPr>
          <w:rFonts w:ascii="Verdana" w:hAnsi="Verdana"/>
        </w:rPr>
        <w:t>05 enero 2026</w:t>
      </w:r>
      <w:r w:rsidRPr="000E2B93">
        <w:rPr>
          <w:rFonts w:ascii="Verdana" w:hAnsi="Verdana"/>
        </w:rPr>
        <w:tab/>
      </w:r>
      <w:r w:rsidRPr="000E2B93">
        <w:rPr>
          <w:rFonts w:ascii="Verdana" w:hAnsi="Verdana"/>
        </w:rPr>
        <w:br/>
      </w:r>
      <w:r w:rsidRPr="0024624F">
        <w:rPr>
          <w:rFonts w:ascii="Verdana" w:hAnsi="Verdana"/>
        </w:rPr>
        <w:tab/>
      </w:r>
    </w:p>
    <w:p w14:paraId="56B1835D" w14:textId="2DE00975" w:rsidR="0081088A" w:rsidRDefault="005207A8" w:rsidP="0081088A">
      <w:pPr>
        <w:spacing w:after="0" w:line="240" w:lineRule="auto"/>
        <w:rPr>
          <w:rFonts w:ascii="Verdana" w:eastAsia="Calibri" w:hAnsi="Verdana" w:cs="Times New Roman"/>
          <w:lang w:val="es-MX"/>
        </w:rPr>
      </w:pPr>
      <w:bookmarkStart w:id="1" w:name="_Hlk218504336"/>
      <w:bookmarkEnd w:id="0"/>
      <w:r w:rsidRPr="005207A8">
        <w:rPr>
          <w:rFonts w:ascii="Verdana" w:hAnsi="Verdana"/>
        </w:rPr>
        <w:drawing>
          <wp:anchor distT="0" distB="0" distL="114300" distR="114300" simplePos="0" relativeHeight="251658240" behindDoc="1" locked="0" layoutInCell="1" allowOverlap="1" wp14:anchorId="0E6794DA" wp14:editId="7E39F0FB">
            <wp:simplePos x="0" y="0"/>
            <wp:positionH relativeFrom="margin">
              <wp:align>right</wp:align>
            </wp:positionH>
            <wp:positionV relativeFrom="paragraph">
              <wp:posOffset>10160</wp:posOffset>
            </wp:positionV>
            <wp:extent cx="2486025" cy="750237"/>
            <wp:effectExtent l="0" t="0" r="0" b="0"/>
            <wp:wrapNone/>
            <wp:docPr id="1217439690"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7439690"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2486025" cy="750237"/>
                    </a:xfrm>
                    <a:prstGeom prst="rect">
                      <a:avLst/>
                    </a:prstGeom>
                  </pic:spPr>
                </pic:pic>
              </a:graphicData>
            </a:graphic>
            <wp14:sizeRelH relativeFrom="margin">
              <wp14:pctWidth>0</wp14:pctWidth>
            </wp14:sizeRelH>
            <wp14:sizeRelV relativeFrom="margin">
              <wp14:pctHeight>0</wp14:pctHeight>
            </wp14:sizeRelV>
          </wp:anchor>
        </w:drawing>
      </w:r>
      <w:r w:rsidR="0081088A" w:rsidRPr="00F60F65">
        <w:rPr>
          <w:rFonts w:ascii="Verdana" w:eastAsia="Calibri" w:hAnsi="Verdana" w:cs="Times New Roman"/>
          <w:lang w:val="es-MX"/>
        </w:rPr>
        <w:t>Señor</w:t>
      </w:r>
    </w:p>
    <w:p w14:paraId="730963FE" w14:textId="468F7DE1" w:rsidR="0081088A" w:rsidRPr="00936D65" w:rsidRDefault="0081088A" w:rsidP="0081088A">
      <w:pPr>
        <w:spacing w:after="0" w:line="240" w:lineRule="auto"/>
        <w:rPr>
          <w:rFonts w:ascii="Verdana" w:eastAsia="Calibri" w:hAnsi="Verdana" w:cs="Times New Roman"/>
          <w:b/>
          <w:bCs/>
          <w:lang w:val="es-MX"/>
        </w:rPr>
      </w:pPr>
      <w:r>
        <w:rPr>
          <w:rFonts w:ascii="Verdana" w:eastAsia="Calibri" w:hAnsi="Verdana" w:cs="Times New Roman"/>
          <w:b/>
          <w:bCs/>
          <w:lang w:val="es-MX"/>
        </w:rPr>
        <w:t>Oscar Ojeda</w:t>
      </w:r>
    </w:p>
    <w:p w14:paraId="4A4E05FA" w14:textId="658EAF18" w:rsidR="0081088A" w:rsidRPr="00F60F65" w:rsidRDefault="0081088A" w:rsidP="0081088A">
      <w:pPr>
        <w:spacing w:after="0" w:line="240" w:lineRule="auto"/>
        <w:rPr>
          <w:rFonts w:ascii="Verdana" w:hAnsi="Verdana"/>
        </w:rPr>
      </w:pPr>
      <w:hyperlink r:id="rId12" w:history="1">
        <w:r w:rsidRPr="00977549">
          <w:rPr>
            <w:rStyle w:val="Hipervnculo"/>
            <w:rFonts w:ascii="Verdana" w:hAnsi="Verdana"/>
          </w:rPr>
          <w:t>oscarhavier3@gmail.com</w:t>
        </w:r>
      </w:hyperlink>
      <w:r>
        <w:rPr>
          <w:rFonts w:ascii="Verdana" w:hAnsi="Verdana"/>
        </w:rPr>
        <w:t xml:space="preserve"> </w:t>
      </w:r>
    </w:p>
    <w:p w14:paraId="2E4827A8" w14:textId="77777777" w:rsidR="0081088A" w:rsidRPr="00F60F65" w:rsidRDefault="0081088A" w:rsidP="0081088A">
      <w:pPr>
        <w:spacing w:after="0" w:line="240" w:lineRule="auto"/>
        <w:rPr>
          <w:rFonts w:ascii="Verdana" w:eastAsia="Calibri" w:hAnsi="Verdana" w:cs="Times New Roman"/>
          <w:bCs/>
        </w:rPr>
      </w:pPr>
      <w:r w:rsidRPr="00F60F65">
        <w:rPr>
          <w:rFonts w:ascii="Verdana" w:eastAsia="Calibri" w:hAnsi="Verdana" w:cs="Times New Roman"/>
          <w:bCs/>
        </w:rPr>
        <w:t xml:space="preserve">Bogotá D.C.  </w:t>
      </w:r>
    </w:p>
    <w:p w14:paraId="212617B9" w14:textId="77777777" w:rsidR="0081088A" w:rsidRDefault="0081088A" w:rsidP="0081088A">
      <w:pPr>
        <w:spacing w:after="0" w:line="240" w:lineRule="auto"/>
        <w:rPr>
          <w:rFonts w:ascii="Verdana" w:eastAsia="Calibri" w:hAnsi="Verdana" w:cs="Times New Roman"/>
        </w:rPr>
      </w:pPr>
    </w:p>
    <w:p w14:paraId="4D68D6D1" w14:textId="77777777" w:rsidR="0081088A" w:rsidRPr="002B4BE9" w:rsidRDefault="0081088A" w:rsidP="0081088A">
      <w:pPr>
        <w:spacing w:after="0" w:line="240" w:lineRule="auto"/>
        <w:rPr>
          <w:rFonts w:ascii="Verdana" w:eastAsia="Calibri" w:hAnsi="Verdana" w:cs="Times New Roman"/>
        </w:rPr>
      </w:pPr>
    </w:p>
    <w:p w14:paraId="4A05FC1F" w14:textId="77777777" w:rsidR="0081088A" w:rsidRPr="002B4BE9" w:rsidRDefault="0081088A" w:rsidP="0081088A">
      <w:pPr>
        <w:spacing w:after="0" w:line="240" w:lineRule="auto"/>
        <w:ind w:left="-284"/>
        <w:rPr>
          <w:rFonts w:ascii="Verdana" w:eastAsia="Calibri" w:hAnsi="Verdana" w:cs="Times New Roman"/>
          <w:b/>
          <w:bCs/>
          <w:lang w:val="es-ES"/>
        </w:rPr>
      </w:pPr>
      <w:bookmarkStart w:id="2" w:name="_Hlk218504812"/>
      <w:r w:rsidRPr="002B4BE9">
        <w:rPr>
          <w:rFonts w:ascii="Verdana" w:eastAsia="Calibri" w:hAnsi="Verdana" w:cs="Times New Roman"/>
          <w:b/>
          <w:bCs/>
          <w:lang w:val="es-ES"/>
        </w:rPr>
        <w:t xml:space="preserve">                   </w:t>
      </w:r>
      <w:r>
        <w:rPr>
          <w:rFonts w:ascii="Verdana" w:eastAsia="Calibri" w:hAnsi="Verdana" w:cs="Times New Roman"/>
          <w:b/>
          <w:bCs/>
          <w:lang w:val="es-ES"/>
        </w:rPr>
        <w:t xml:space="preserve">                 Concepto C–1836</w:t>
      </w:r>
      <w:r w:rsidRPr="002B4BE9">
        <w:rPr>
          <w:rFonts w:ascii="Verdana" w:eastAsia="Calibri" w:hAnsi="Verdana" w:cs="Times New Roman"/>
          <w:b/>
          <w:bCs/>
          <w:lang w:val="es-ES"/>
        </w:rPr>
        <w:t xml:space="preserve"> de 2025</w:t>
      </w:r>
    </w:p>
    <w:p w14:paraId="62A61630" w14:textId="77777777" w:rsidR="0081088A" w:rsidRPr="002B4BE9" w:rsidRDefault="0081088A" w:rsidP="0081088A">
      <w:pPr>
        <w:spacing w:after="0" w:line="240" w:lineRule="auto"/>
        <w:rPr>
          <w:rFonts w:ascii="Verdana" w:eastAsia="Calibri" w:hAnsi="Verdana" w:cs="Times New Roman"/>
          <w:lang w:val="es-ES_tradnl"/>
        </w:rPr>
      </w:pPr>
    </w:p>
    <w:tbl>
      <w:tblPr>
        <w:tblStyle w:val="Tablaconcuadrcula111"/>
        <w:tblW w:w="14888"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241"/>
        <w:gridCol w:w="6237"/>
      </w:tblGrid>
      <w:tr w:rsidR="0081088A" w:rsidRPr="002B4BE9" w14:paraId="2D97578A" w14:textId="77777777" w:rsidTr="00974252">
        <w:trPr>
          <w:trHeight w:val="645"/>
        </w:trPr>
        <w:tc>
          <w:tcPr>
            <w:tcW w:w="2410" w:type="dxa"/>
            <w:hideMark/>
          </w:tcPr>
          <w:p w14:paraId="18AE22FB" w14:textId="77777777" w:rsidR="0081088A" w:rsidRPr="002B4BE9" w:rsidRDefault="0081088A" w:rsidP="0081088A">
            <w:pPr>
              <w:ind w:left="-142" w:firstLine="142"/>
              <w:rPr>
                <w:rFonts w:ascii="Verdana" w:hAnsi="Verdana"/>
                <w:b/>
                <w:bCs/>
                <w:lang w:val="es-ES_tradnl"/>
              </w:rPr>
            </w:pPr>
            <w:r w:rsidRPr="002B4BE9">
              <w:rPr>
                <w:rFonts w:ascii="Verdana" w:hAnsi="Verdana"/>
                <w:b/>
                <w:bCs/>
                <w:lang w:val="es-ES_tradnl"/>
              </w:rPr>
              <w:t xml:space="preserve">Temas:                  </w:t>
            </w:r>
          </w:p>
        </w:tc>
        <w:tc>
          <w:tcPr>
            <w:tcW w:w="6241" w:type="dxa"/>
            <w:hideMark/>
          </w:tcPr>
          <w:p w14:paraId="6B80AE1B" w14:textId="77777777" w:rsidR="0081088A" w:rsidRPr="00917FBF" w:rsidRDefault="0081088A" w:rsidP="00974252">
            <w:pPr>
              <w:jc w:val="both"/>
              <w:rPr>
                <w:rFonts w:ascii="Verdana" w:hAnsi="Verdana" w:cs="Arial"/>
                <w:bCs/>
                <w:highlight w:val="yellow"/>
                <w:lang w:eastAsia="es-ES"/>
              </w:rPr>
            </w:pPr>
            <w:r w:rsidRPr="00A42107">
              <w:rPr>
                <w:rFonts w:ascii="Verdana" w:hAnsi="Verdana" w:cs="Arial"/>
                <w:lang w:val="es-ES" w:eastAsia="es-ES"/>
              </w:rPr>
              <w:t>CONTRATO DE PRESTACIÓN DE SERVICIOS – Concepto / CONTRATO DE PRESTACIÓN DE SERVICIOS – Características / ESTABILIDAD OCUPACIONAL REFORZADA DE MUJER EMBARAZADA – Concepto / ESTABILIDAD OCUPACIONAL REFORZADA DE MUJER EMBARAZADA – Unificación jurisprudencial / ESTABILIDAD OCUPACIONAL REFORZADA DE MUJER EMBARAZADA – Procedencia – Contratos de prestación de servicios / ESTABILIDAD OCUPACIONAL REFORZADA – Periodo de lactancia – Contratos de prestación de servicios</w:t>
            </w:r>
            <w:r w:rsidRPr="00917FBF">
              <w:rPr>
                <w:rFonts w:ascii="Verdana" w:hAnsi="Verdana" w:cs="Arial"/>
                <w:bCs/>
                <w:lang w:eastAsia="es-ES"/>
              </w:rPr>
              <w:t xml:space="preserve"> </w:t>
            </w:r>
          </w:p>
        </w:tc>
        <w:tc>
          <w:tcPr>
            <w:tcW w:w="6237" w:type="dxa"/>
          </w:tcPr>
          <w:p w14:paraId="42A4211E" w14:textId="77777777" w:rsidR="0081088A" w:rsidRPr="002B4BE9" w:rsidRDefault="0081088A" w:rsidP="00974252">
            <w:pPr>
              <w:rPr>
                <w:rFonts w:ascii="Verdana" w:hAnsi="Verdana"/>
                <w:lang w:val="es-ES"/>
              </w:rPr>
            </w:pPr>
          </w:p>
        </w:tc>
      </w:tr>
      <w:tr w:rsidR="0081088A" w:rsidRPr="002B4BE9" w14:paraId="6623145F" w14:textId="77777777" w:rsidTr="00974252">
        <w:tc>
          <w:tcPr>
            <w:tcW w:w="2410" w:type="dxa"/>
          </w:tcPr>
          <w:p w14:paraId="2206023B" w14:textId="77777777" w:rsidR="0081088A" w:rsidRPr="002B4BE9" w:rsidRDefault="0081088A" w:rsidP="00974252">
            <w:pPr>
              <w:rPr>
                <w:rFonts w:ascii="Verdana" w:hAnsi="Verdana"/>
                <w:b/>
                <w:bCs/>
                <w:lang w:val="es-ES_tradnl"/>
              </w:rPr>
            </w:pPr>
          </w:p>
          <w:p w14:paraId="5B9054A5" w14:textId="77777777" w:rsidR="0081088A" w:rsidRPr="002B4BE9" w:rsidRDefault="0081088A" w:rsidP="00974252">
            <w:pPr>
              <w:rPr>
                <w:rFonts w:ascii="Verdana" w:hAnsi="Verdana"/>
                <w:b/>
                <w:bCs/>
                <w:lang w:val="es-ES_tradnl"/>
              </w:rPr>
            </w:pPr>
          </w:p>
          <w:p w14:paraId="4B0C1528" w14:textId="77777777" w:rsidR="0081088A" w:rsidRPr="00995618" w:rsidRDefault="0081088A" w:rsidP="00974252">
            <w:pPr>
              <w:ind w:left="426" w:right="5" w:hanging="426"/>
              <w:rPr>
                <w:rFonts w:ascii="Verdana" w:hAnsi="Verdana"/>
                <w:b/>
                <w:bCs/>
                <w:lang w:val="es-ES_tradnl"/>
              </w:rPr>
            </w:pPr>
            <w:r w:rsidRPr="002B4BE9">
              <w:rPr>
                <w:rFonts w:ascii="Verdana" w:hAnsi="Verdana"/>
                <w:b/>
                <w:bCs/>
                <w:lang w:val="es-ES_tradnl"/>
              </w:rPr>
              <w:t xml:space="preserve">Radicación:               </w:t>
            </w:r>
          </w:p>
        </w:tc>
        <w:tc>
          <w:tcPr>
            <w:tcW w:w="6241" w:type="dxa"/>
          </w:tcPr>
          <w:p w14:paraId="299489DB" w14:textId="77777777" w:rsidR="0081088A" w:rsidRDefault="0081088A" w:rsidP="00974252">
            <w:pPr>
              <w:jc w:val="both"/>
              <w:rPr>
                <w:rFonts w:ascii="Verdana" w:hAnsi="Verdana"/>
                <w:lang w:val="es-ES_tradnl"/>
              </w:rPr>
            </w:pPr>
          </w:p>
          <w:p w14:paraId="427966BB" w14:textId="77777777" w:rsidR="0081088A" w:rsidRPr="002B4BE9" w:rsidRDefault="0081088A" w:rsidP="00974252">
            <w:pPr>
              <w:jc w:val="both"/>
              <w:rPr>
                <w:rFonts w:ascii="Verdana" w:hAnsi="Verdana"/>
                <w:lang w:val="es-ES_tradnl"/>
              </w:rPr>
            </w:pPr>
          </w:p>
          <w:p w14:paraId="4666FB69" w14:textId="77777777" w:rsidR="0081088A" w:rsidRPr="002B4BE9" w:rsidRDefault="0081088A" w:rsidP="00974252">
            <w:pPr>
              <w:jc w:val="both"/>
              <w:rPr>
                <w:rFonts w:ascii="Verdana" w:hAnsi="Verdana"/>
                <w:lang w:val="es-ES_tradnl"/>
              </w:rPr>
            </w:pPr>
            <w:r w:rsidRPr="002B4BE9">
              <w:rPr>
                <w:rFonts w:ascii="Verdana" w:hAnsi="Verdana"/>
                <w:lang w:val="es-ES_tradnl"/>
              </w:rPr>
              <w:t>Respuesta a consulta con radicado</w:t>
            </w:r>
            <w:r>
              <w:rPr>
                <w:rFonts w:ascii="Verdana" w:hAnsi="Verdana"/>
                <w:lang w:val="es-ES_tradnl"/>
              </w:rPr>
              <w:t xml:space="preserve"> No. </w:t>
            </w:r>
            <w:r w:rsidRPr="00936D65">
              <w:rPr>
                <w:rFonts w:ascii="Verdana" w:hAnsi="Verdana"/>
                <w:lang w:val="es-ES_tradnl"/>
              </w:rPr>
              <w:t>1_2025_12_16_014011</w:t>
            </w:r>
          </w:p>
          <w:p w14:paraId="77C7BF10" w14:textId="77777777" w:rsidR="0081088A" w:rsidRPr="002B4BE9" w:rsidRDefault="0081088A" w:rsidP="00974252">
            <w:pPr>
              <w:jc w:val="both"/>
              <w:rPr>
                <w:rFonts w:ascii="Verdana" w:hAnsi="Verdana"/>
              </w:rPr>
            </w:pPr>
          </w:p>
          <w:p w14:paraId="44F9B36F" w14:textId="77777777" w:rsidR="0081088A" w:rsidRPr="002B4BE9" w:rsidRDefault="0081088A" w:rsidP="00974252">
            <w:pPr>
              <w:jc w:val="both"/>
              <w:rPr>
                <w:rFonts w:ascii="Verdana" w:hAnsi="Verdana"/>
              </w:rPr>
            </w:pPr>
          </w:p>
        </w:tc>
        <w:tc>
          <w:tcPr>
            <w:tcW w:w="6237" w:type="dxa"/>
          </w:tcPr>
          <w:p w14:paraId="3A659572" w14:textId="77777777" w:rsidR="0081088A" w:rsidRPr="002B4BE9" w:rsidRDefault="0081088A" w:rsidP="00974252">
            <w:pPr>
              <w:rPr>
                <w:rFonts w:ascii="Verdana" w:hAnsi="Verdana"/>
              </w:rPr>
            </w:pPr>
          </w:p>
        </w:tc>
      </w:tr>
    </w:tbl>
    <w:p w14:paraId="6AD1782B" w14:textId="77777777" w:rsidR="0081088A" w:rsidRPr="009037F6" w:rsidRDefault="0081088A" w:rsidP="0081088A">
      <w:pPr>
        <w:spacing w:after="0" w:line="256" w:lineRule="auto"/>
        <w:rPr>
          <w:rFonts w:ascii="Verdana" w:eastAsia="Calibri" w:hAnsi="Verdana" w:cs="Times New Roman"/>
          <w:lang w:val="es-ES"/>
        </w:rPr>
      </w:pPr>
      <w:r>
        <w:rPr>
          <w:rFonts w:ascii="Verdana" w:eastAsia="Calibri" w:hAnsi="Verdana" w:cs="Times New Roman"/>
          <w:lang w:val="es-ES"/>
        </w:rPr>
        <w:t>Estimado Señor Ojeda:</w:t>
      </w:r>
    </w:p>
    <w:p w14:paraId="00FC0CE6" w14:textId="77777777" w:rsidR="0081088A" w:rsidRPr="009037F6" w:rsidRDefault="0081088A" w:rsidP="0081088A">
      <w:pPr>
        <w:spacing w:after="0" w:line="276" w:lineRule="auto"/>
        <w:rPr>
          <w:rFonts w:ascii="Verdana" w:eastAsia="Calibri" w:hAnsi="Verdana" w:cs="Times New Roman"/>
          <w:lang w:val="es-ES"/>
        </w:rPr>
      </w:pPr>
    </w:p>
    <w:p w14:paraId="60879005" w14:textId="77777777" w:rsidR="0081088A" w:rsidRPr="009037F6" w:rsidRDefault="0081088A" w:rsidP="0081088A">
      <w:pPr>
        <w:spacing w:after="0" w:line="276" w:lineRule="auto"/>
        <w:jc w:val="both"/>
        <w:rPr>
          <w:rFonts w:ascii="Verdana" w:eastAsia="Calibri" w:hAnsi="Verdana" w:cs="Times New Roman"/>
          <w:bCs/>
          <w:lang w:val="es-ES" w:bidi="es-ES"/>
        </w:rPr>
      </w:pPr>
      <w:r w:rsidRPr="00413568">
        <w:rPr>
          <w:rFonts w:ascii="Verdana" w:eastAsia="Calibri" w:hAnsi="Verdana" w:cs="Arial"/>
          <w:lang w:val="es-ES" w:eastAsia="es-ES"/>
        </w:rPr>
        <w:t>En ejercicio de la competencia otorgada por los artículos 3, numeral 5º, y 11, numeral 8º, del Decreto Ley 4170 de 2011</w:t>
      </w:r>
      <w:r>
        <w:rPr>
          <w:rFonts w:ascii="Verdana" w:eastAsia="Calibri" w:hAnsi="Verdana" w:cs="Arial"/>
          <w:lang w:val="es-ES" w:eastAsia="es-ES"/>
        </w:rPr>
        <w:t xml:space="preserve">, </w:t>
      </w:r>
      <w:r w:rsidRPr="006C555A">
        <w:rPr>
          <w:rFonts w:ascii="Verdana" w:hAnsi="Verdana" w:cs="Arial"/>
          <w:lang w:val="es-ES_tradnl"/>
        </w:rPr>
        <w:t>así como lo establecido en</w:t>
      </w:r>
      <w:r w:rsidRPr="006C555A">
        <w:rPr>
          <w:rFonts w:ascii="Verdana" w:hAnsi="Verdana" w:cs="Arial"/>
        </w:rPr>
        <w:t xml:space="preserve"> la Resolución 469 de 2025 expedida por esta Entidad</w:t>
      </w:r>
      <w:r w:rsidRPr="00413568">
        <w:rPr>
          <w:rFonts w:ascii="Verdana" w:hAnsi="Verdana" w:cs="Arial"/>
        </w:rPr>
        <w:t xml:space="preserve">, </w:t>
      </w:r>
      <w:r w:rsidRPr="00413568">
        <w:rPr>
          <w:rFonts w:ascii="Verdana" w:eastAsia="Calibri" w:hAnsi="Verdana" w:cs="Arial"/>
          <w:lang w:val="es-ES" w:eastAsia="es-ES"/>
        </w:rPr>
        <w:t xml:space="preserve">la Agencia Nacional de Contratación Pública – Colombia Compra Eficiente– responde su solicitud de consulta de fecha </w:t>
      </w:r>
      <w:r>
        <w:rPr>
          <w:rFonts w:ascii="Verdana" w:eastAsia="Calibri" w:hAnsi="Verdana" w:cs="Arial"/>
          <w:lang w:val="es-ES" w:eastAsia="es-ES"/>
        </w:rPr>
        <w:t>16</w:t>
      </w:r>
      <w:r w:rsidRPr="00413568">
        <w:rPr>
          <w:rFonts w:ascii="Verdana" w:eastAsia="Calibri" w:hAnsi="Verdana" w:cs="Arial"/>
          <w:lang w:val="es-ES" w:eastAsia="es-ES"/>
        </w:rPr>
        <w:t xml:space="preserve"> de </w:t>
      </w:r>
      <w:r>
        <w:rPr>
          <w:rFonts w:ascii="Verdana" w:eastAsia="Calibri" w:hAnsi="Verdana" w:cs="Arial"/>
          <w:lang w:val="es-ES" w:eastAsia="es-ES"/>
        </w:rPr>
        <w:t>diciembre</w:t>
      </w:r>
      <w:r w:rsidRPr="00413568">
        <w:rPr>
          <w:rFonts w:ascii="Verdana" w:eastAsia="Calibri" w:hAnsi="Verdana" w:cs="Arial"/>
          <w:lang w:val="es-ES" w:eastAsia="es-ES"/>
        </w:rPr>
        <w:t xml:space="preserve"> de 202</w:t>
      </w:r>
      <w:r>
        <w:rPr>
          <w:rFonts w:ascii="Verdana" w:eastAsia="Calibri" w:hAnsi="Verdana" w:cs="Arial"/>
          <w:lang w:val="es-ES" w:eastAsia="es-ES"/>
        </w:rPr>
        <w:t>5</w:t>
      </w:r>
      <w:r w:rsidRPr="009037F6">
        <w:rPr>
          <w:rFonts w:ascii="Verdana" w:eastAsia="Calibri" w:hAnsi="Verdana" w:cs="Times New Roman"/>
          <w:bCs/>
          <w:lang w:val="es-ES" w:bidi="es-ES"/>
        </w:rPr>
        <w:t>, en la cual manifiesta</w:t>
      </w:r>
      <w:r>
        <w:rPr>
          <w:rFonts w:ascii="Verdana" w:eastAsia="Calibri" w:hAnsi="Verdana" w:cs="Times New Roman"/>
          <w:bCs/>
          <w:lang w:val="es-ES" w:bidi="es-ES"/>
        </w:rPr>
        <w:t xml:space="preserve"> lo siguiente</w:t>
      </w:r>
      <w:r w:rsidRPr="009037F6">
        <w:rPr>
          <w:rFonts w:ascii="Verdana" w:eastAsia="Calibri" w:hAnsi="Verdana" w:cs="Times New Roman"/>
          <w:bCs/>
          <w:lang w:val="es-ES" w:bidi="es-ES"/>
        </w:rPr>
        <w:t xml:space="preserve">: </w:t>
      </w:r>
    </w:p>
    <w:p w14:paraId="4BAD000F" w14:textId="77777777" w:rsidR="0081088A" w:rsidRPr="00F9721B" w:rsidRDefault="0081088A" w:rsidP="0081088A">
      <w:pPr>
        <w:spacing w:after="0" w:line="240" w:lineRule="auto"/>
        <w:ind w:right="709"/>
        <w:jc w:val="both"/>
        <w:rPr>
          <w:rFonts w:ascii="Verdana" w:eastAsia="Calibri" w:hAnsi="Verdana" w:cs="Times New Roman"/>
          <w:bCs/>
          <w:sz w:val="20"/>
          <w:szCs w:val="20"/>
          <w:lang w:bidi="es-ES"/>
        </w:rPr>
      </w:pPr>
    </w:p>
    <w:p w14:paraId="46E82880" w14:textId="77777777" w:rsidR="0081088A" w:rsidRPr="00A42107" w:rsidRDefault="0081088A" w:rsidP="0081088A">
      <w:pPr>
        <w:pStyle w:val="Prrafodelista"/>
        <w:spacing w:after="0" w:line="240" w:lineRule="auto"/>
        <w:ind w:right="709"/>
        <w:jc w:val="both"/>
        <w:rPr>
          <w:rFonts w:ascii="Verdana" w:hAnsi="Verdana"/>
          <w:i/>
          <w:iCs/>
          <w:sz w:val="20"/>
          <w:szCs w:val="20"/>
        </w:rPr>
      </w:pPr>
      <w:r>
        <w:rPr>
          <w:rFonts w:ascii="Verdana" w:hAnsi="Verdana"/>
          <w:sz w:val="20"/>
          <w:szCs w:val="20"/>
        </w:rPr>
        <w:t>“</w:t>
      </w:r>
      <w:r w:rsidRPr="00A42107">
        <w:rPr>
          <w:rFonts w:ascii="Verdana" w:hAnsi="Verdana"/>
          <w:i/>
          <w:iCs/>
          <w:sz w:val="20"/>
          <w:szCs w:val="20"/>
        </w:rPr>
        <w:t>En el marco de la gestión contractual y en la responsabilidad de supervisor de un contrato de prestación de servicio, solicito concepto jurídico y orientaciones frente a la aplicación de la Ley 2306 de 2023 (modificación del artículo 238 del CST sobre descanso remunerado por lactancia hasta los dos (2) años, condicionada a lactancia continua) y la interpretación realizada por la Corte Constitucional en las sentencias T-</w:t>
      </w:r>
      <w:r w:rsidRPr="00A42107">
        <w:rPr>
          <w:rFonts w:ascii="Verdana" w:hAnsi="Verdana"/>
          <w:i/>
          <w:iCs/>
          <w:sz w:val="20"/>
          <w:szCs w:val="20"/>
        </w:rPr>
        <w:lastRenderedPageBreak/>
        <w:t xml:space="preserve">169 de 2025 sobre estabilidad reforzada en periodo de lactancia. En particular, agradecemos se absuelvan las siguientes inquietudes: </w:t>
      </w:r>
    </w:p>
    <w:p w14:paraId="5366834D" w14:textId="77777777" w:rsidR="0081088A" w:rsidRPr="00A42107" w:rsidRDefault="0081088A" w:rsidP="0081088A">
      <w:pPr>
        <w:pStyle w:val="Prrafodelista"/>
        <w:spacing w:after="0" w:line="240" w:lineRule="auto"/>
        <w:ind w:right="709"/>
        <w:jc w:val="both"/>
        <w:rPr>
          <w:rFonts w:ascii="Verdana" w:hAnsi="Verdana"/>
          <w:i/>
          <w:iCs/>
          <w:sz w:val="20"/>
          <w:szCs w:val="20"/>
        </w:rPr>
      </w:pPr>
    </w:p>
    <w:p w14:paraId="79F92334" w14:textId="6EA823DF" w:rsidR="0081088A" w:rsidRDefault="0081088A" w:rsidP="00DA7808">
      <w:pPr>
        <w:pStyle w:val="Prrafodelista"/>
        <w:spacing w:after="0" w:line="240" w:lineRule="auto"/>
        <w:ind w:right="709"/>
        <w:jc w:val="both"/>
        <w:rPr>
          <w:rFonts w:ascii="Verdana" w:hAnsi="Verdana"/>
          <w:i/>
          <w:iCs/>
          <w:sz w:val="20"/>
          <w:szCs w:val="20"/>
        </w:rPr>
      </w:pPr>
      <w:r w:rsidRPr="00A42107">
        <w:rPr>
          <w:rFonts w:ascii="Verdana" w:hAnsi="Verdana"/>
          <w:i/>
          <w:iCs/>
          <w:sz w:val="20"/>
          <w:szCs w:val="20"/>
        </w:rPr>
        <w:t xml:space="preserve">1. Para entidades públicas territoriales en relación a contratos de prestación de servicios, ¿cómo debe entenderse el alcance de la Ley 2306 de 2023 en cuanto a lactancia hasta los 2 años del menor? </w:t>
      </w:r>
    </w:p>
    <w:p w14:paraId="0781B80B" w14:textId="77777777" w:rsidR="00DA7808" w:rsidRPr="00DA7808" w:rsidRDefault="00DA7808" w:rsidP="00DA7808">
      <w:pPr>
        <w:pStyle w:val="Prrafodelista"/>
        <w:spacing w:after="0" w:line="240" w:lineRule="auto"/>
        <w:ind w:right="709"/>
        <w:jc w:val="both"/>
        <w:rPr>
          <w:rFonts w:ascii="Verdana" w:hAnsi="Verdana"/>
          <w:i/>
          <w:iCs/>
          <w:sz w:val="20"/>
          <w:szCs w:val="20"/>
        </w:rPr>
      </w:pPr>
    </w:p>
    <w:p w14:paraId="65C88204" w14:textId="77777777" w:rsidR="0081088A" w:rsidRPr="00A42107" w:rsidRDefault="0081088A" w:rsidP="0081088A">
      <w:pPr>
        <w:pStyle w:val="Prrafodelista"/>
        <w:spacing w:after="0" w:line="240" w:lineRule="auto"/>
        <w:ind w:right="709"/>
        <w:jc w:val="both"/>
        <w:rPr>
          <w:rFonts w:ascii="Verdana" w:hAnsi="Verdana"/>
          <w:i/>
          <w:iCs/>
          <w:sz w:val="20"/>
          <w:szCs w:val="20"/>
        </w:rPr>
      </w:pPr>
      <w:r w:rsidRPr="00A42107">
        <w:rPr>
          <w:rFonts w:ascii="Verdana" w:hAnsi="Verdana"/>
          <w:i/>
          <w:iCs/>
          <w:sz w:val="20"/>
          <w:szCs w:val="20"/>
        </w:rPr>
        <w:t xml:space="preserve">2. ¿La interpretación de la Corte en T-169/25 sobre estabilidad reforzada durante lactancia (hasta 2 años) tiene aplicación directa en la gestión de contratos de prestación de servicios (naturaleza civil) suscritos por municipios? </w:t>
      </w:r>
    </w:p>
    <w:p w14:paraId="5830C4AB" w14:textId="77777777" w:rsidR="0081088A" w:rsidRPr="00A42107" w:rsidRDefault="0081088A" w:rsidP="0081088A">
      <w:pPr>
        <w:pStyle w:val="Prrafodelista"/>
        <w:spacing w:after="0" w:line="240" w:lineRule="auto"/>
        <w:ind w:right="709"/>
        <w:jc w:val="both"/>
        <w:rPr>
          <w:rFonts w:ascii="Verdana" w:hAnsi="Verdana"/>
          <w:i/>
          <w:iCs/>
          <w:sz w:val="20"/>
          <w:szCs w:val="20"/>
        </w:rPr>
      </w:pPr>
    </w:p>
    <w:p w14:paraId="61F5BF91" w14:textId="77777777" w:rsidR="0081088A" w:rsidRPr="00A42107" w:rsidRDefault="0081088A" w:rsidP="0081088A">
      <w:pPr>
        <w:pStyle w:val="Prrafodelista"/>
        <w:spacing w:after="0" w:line="240" w:lineRule="auto"/>
        <w:ind w:right="709"/>
        <w:jc w:val="both"/>
        <w:rPr>
          <w:rFonts w:ascii="Verdana" w:hAnsi="Verdana"/>
          <w:i/>
          <w:iCs/>
          <w:sz w:val="20"/>
          <w:szCs w:val="20"/>
        </w:rPr>
      </w:pPr>
      <w:r w:rsidRPr="00A42107">
        <w:rPr>
          <w:rFonts w:ascii="Verdana" w:hAnsi="Verdana"/>
          <w:i/>
          <w:iCs/>
          <w:sz w:val="20"/>
          <w:szCs w:val="20"/>
        </w:rPr>
        <w:t xml:space="preserve">3. En caso de respuesta afirmativa o parcial: ¿esa protección debe entenderse como fuero laboral o como estabilidad ocupacional reforzada (no discriminación) en el marco de un CPS? </w:t>
      </w:r>
    </w:p>
    <w:p w14:paraId="2BC309A6" w14:textId="77777777" w:rsidR="0081088A" w:rsidRPr="00A42107" w:rsidRDefault="0081088A" w:rsidP="0081088A">
      <w:pPr>
        <w:pStyle w:val="Prrafodelista"/>
        <w:spacing w:after="0" w:line="240" w:lineRule="auto"/>
        <w:ind w:right="709"/>
        <w:jc w:val="both"/>
        <w:rPr>
          <w:rFonts w:ascii="Verdana" w:hAnsi="Verdana"/>
          <w:i/>
          <w:iCs/>
          <w:sz w:val="20"/>
          <w:szCs w:val="20"/>
        </w:rPr>
      </w:pPr>
    </w:p>
    <w:p w14:paraId="7455F553" w14:textId="77777777" w:rsidR="0081088A" w:rsidRPr="00A42107" w:rsidRDefault="0081088A" w:rsidP="0081088A">
      <w:pPr>
        <w:pStyle w:val="Prrafodelista"/>
        <w:spacing w:after="0" w:line="240" w:lineRule="auto"/>
        <w:ind w:right="709"/>
        <w:jc w:val="both"/>
        <w:rPr>
          <w:rFonts w:ascii="Verdana" w:hAnsi="Verdana"/>
          <w:i/>
          <w:iCs/>
          <w:sz w:val="20"/>
          <w:szCs w:val="20"/>
        </w:rPr>
      </w:pPr>
      <w:r w:rsidRPr="00A42107">
        <w:rPr>
          <w:rFonts w:ascii="Verdana" w:hAnsi="Verdana"/>
          <w:i/>
          <w:iCs/>
          <w:sz w:val="20"/>
          <w:szCs w:val="20"/>
        </w:rPr>
        <w:t>4. ¿Cuáles son los criterios objetivos mínimos que deben constar en el expediente para justificar (i) terminación por cumplimiento del plazo/objeto, (ii) no renovación, o (iii) adición/prórroga, cuando la contratista se encuentra en periodo de lactancia?</w:t>
      </w:r>
    </w:p>
    <w:p w14:paraId="20B1710F" w14:textId="77777777" w:rsidR="0081088A" w:rsidRPr="00A42107" w:rsidRDefault="0081088A" w:rsidP="0081088A">
      <w:pPr>
        <w:pStyle w:val="Prrafodelista"/>
        <w:spacing w:after="0" w:line="240" w:lineRule="auto"/>
        <w:ind w:right="709"/>
        <w:jc w:val="both"/>
        <w:rPr>
          <w:rFonts w:ascii="Verdana" w:hAnsi="Verdana"/>
          <w:i/>
          <w:iCs/>
          <w:sz w:val="20"/>
          <w:szCs w:val="20"/>
        </w:rPr>
      </w:pPr>
    </w:p>
    <w:p w14:paraId="524B0252" w14:textId="77777777" w:rsidR="0081088A" w:rsidRPr="00A42107" w:rsidRDefault="0081088A" w:rsidP="0081088A">
      <w:pPr>
        <w:pStyle w:val="Prrafodelista"/>
        <w:spacing w:after="0" w:line="240" w:lineRule="auto"/>
        <w:ind w:right="709"/>
        <w:jc w:val="both"/>
        <w:rPr>
          <w:rFonts w:ascii="Verdana" w:hAnsi="Verdana"/>
          <w:i/>
          <w:iCs/>
          <w:sz w:val="20"/>
          <w:szCs w:val="20"/>
          <w:lang w:val="es-CO"/>
        </w:rPr>
      </w:pPr>
      <w:r w:rsidRPr="00A42107">
        <w:rPr>
          <w:rFonts w:ascii="Verdana" w:hAnsi="Verdana"/>
          <w:i/>
          <w:iCs/>
          <w:sz w:val="20"/>
          <w:szCs w:val="20"/>
          <w:lang w:val="es-CO"/>
        </w:rPr>
        <w:t xml:space="preserve">5. ¿Se requiere que la contratista acredite lactancia materna continua (certificación médica u otro soporte) para activar el análisis reforzado hasta los 2 años? (Indicar soporte mínimo recomendable). </w:t>
      </w:r>
    </w:p>
    <w:p w14:paraId="22A4F4A2" w14:textId="77777777" w:rsidR="0081088A" w:rsidRPr="00A42107" w:rsidRDefault="0081088A" w:rsidP="0081088A">
      <w:pPr>
        <w:pStyle w:val="Prrafodelista"/>
        <w:spacing w:after="0" w:line="240" w:lineRule="auto"/>
        <w:ind w:right="709"/>
        <w:jc w:val="both"/>
        <w:rPr>
          <w:rFonts w:ascii="Verdana" w:hAnsi="Verdana"/>
          <w:i/>
          <w:iCs/>
          <w:sz w:val="20"/>
          <w:szCs w:val="20"/>
          <w:lang w:val="es-CO"/>
        </w:rPr>
      </w:pPr>
    </w:p>
    <w:p w14:paraId="2D49B375" w14:textId="77777777" w:rsidR="0081088A" w:rsidRPr="00A42107" w:rsidRDefault="0081088A" w:rsidP="0081088A">
      <w:pPr>
        <w:pStyle w:val="Prrafodelista"/>
        <w:spacing w:after="0" w:line="240" w:lineRule="auto"/>
        <w:ind w:right="709"/>
        <w:jc w:val="both"/>
        <w:rPr>
          <w:rFonts w:ascii="Verdana" w:hAnsi="Verdana"/>
          <w:i/>
          <w:iCs/>
          <w:sz w:val="20"/>
          <w:szCs w:val="20"/>
          <w:lang w:val="es-CO"/>
        </w:rPr>
      </w:pPr>
      <w:r w:rsidRPr="00A42107">
        <w:rPr>
          <w:rFonts w:ascii="Verdana" w:hAnsi="Verdana"/>
          <w:i/>
          <w:iCs/>
          <w:sz w:val="20"/>
          <w:szCs w:val="20"/>
          <w:lang w:val="es-CO"/>
        </w:rPr>
        <w:t xml:space="preserve">6. ¿Existe alguna obligación para la entidad de optar por prórroga/adición del contrato, o la regla aplicable es evitar decisiones discriminatorias y motivar estrictamente la decisión contractual? </w:t>
      </w:r>
    </w:p>
    <w:p w14:paraId="7F7669B7" w14:textId="77777777" w:rsidR="0081088A" w:rsidRPr="00A42107" w:rsidRDefault="0081088A" w:rsidP="0081088A">
      <w:pPr>
        <w:pStyle w:val="Prrafodelista"/>
        <w:spacing w:after="0" w:line="240" w:lineRule="auto"/>
        <w:ind w:right="709"/>
        <w:jc w:val="both"/>
        <w:rPr>
          <w:rFonts w:ascii="Verdana" w:hAnsi="Verdana"/>
          <w:i/>
          <w:iCs/>
          <w:sz w:val="20"/>
          <w:szCs w:val="20"/>
          <w:lang w:val="es-CO"/>
        </w:rPr>
      </w:pPr>
    </w:p>
    <w:p w14:paraId="7CC285FE" w14:textId="77777777" w:rsidR="0081088A" w:rsidRPr="00A42107" w:rsidRDefault="0081088A" w:rsidP="0081088A">
      <w:pPr>
        <w:pStyle w:val="Prrafodelista"/>
        <w:spacing w:after="0" w:line="240" w:lineRule="auto"/>
        <w:ind w:right="709"/>
        <w:jc w:val="both"/>
        <w:rPr>
          <w:rFonts w:ascii="Verdana" w:hAnsi="Verdana"/>
          <w:i/>
          <w:iCs/>
          <w:sz w:val="20"/>
          <w:szCs w:val="20"/>
          <w:lang w:val="es-CO"/>
        </w:rPr>
      </w:pPr>
      <w:r w:rsidRPr="00A42107">
        <w:rPr>
          <w:rFonts w:ascii="Verdana" w:hAnsi="Verdana"/>
          <w:i/>
          <w:iCs/>
          <w:sz w:val="20"/>
          <w:szCs w:val="20"/>
          <w:lang w:val="es-CO"/>
        </w:rPr>
        <w:t xml:space="preserve">7. ¿cómo justificar (motivar) por escrito una prórroga o adición de un contrato de prestación de servicios sin que parezca que la entidad está usando el CPS como si fuera un empleo de planta, y al mismo tiempo cumplir con la protección reforzada (no discriminación por maternidad/lactancia)? </w:t>
      </w:r>
    </w:p>
    <w:p w14:paraId="4D9B4C7F" w14:textId="77777777" w:rsidR="0081088A" w:rsidRPr="00A42107" w:rsidRDefault="0081088A" w:rsidP="0081088A">
      <w:pPr>
        <w:pStyle w:val="Prrafodelista"/>
        <w:spacing w:after="0" w:line="240" w:lineRule="auto"/>
        <w:ind w:right="709"/>
        <w:jc w:val="both"/>
        <w:rPr>
          <w:rFonts w:ascii="Verdana" w:hAnsi="Verdana"/>
          <w:i/>
          <w:iCs/>
          <w:sz w:val="20"/>
          <w:szCs w:val="20"/>
          <w:lang w:val="es-CO"/>
        </w:rPr>
      </w:pPr>
    </w:p>
    <w:p w14:paraId="59D27B47" w14:textId="77777777" w:rsidR="0081088A" w:rsidRPr="00A42107" w:rsidRDefault="0081088A" w:rsidP="0081088A">
      <w:pPr>
        <w:pStyle w:val="Prrafodelista"/>
        <w:spacing w:after="0" w:line="240" w:lineRule="auto"/>
        <w:ind w:right="709"/>
        <w:jc w:val="both"/>
        <w:rPr>
          <w:rFonts w:ascii="Verdana" w:hAnsi="Verdana"/>
          <w:i/>
          <w:iCs/>
          <w:sz w:val="20"/>
          <w:szCs w:val="20"/>
          <w:lang w:val="es-CO"/>
        </w:rPr>
      </w:pPr>
      <w:r w:rsidRPr="00A42107">
        <w:rPr>
          <w:rFonts w:ascii="Verdana" w:hAnsi="Verdana"/>
          <w:i/>
          <w:iCs/>
          <w:sz w:val="20"/>
          <w:szCs w:val="20"/>
          <w:lang w:val="es-CO"/>
        </w:rPr>
        <w:t xml:space="preserve">8. En términos de control disciplinario/preventivo: ¿qué riesgos identifica DAFP para el ordenador del gasto y supervisor si se (a) no renueva, (b) prorroga, o (c) termina anticipadamente un CPS en periodo de lactancia, teniendo en cuenta la estabilidad reforzada de dos (2) años? </w:t>
      </w:r>
    </w:p>
    <w:p w14:paraId="7AD03625" w14:textId="77777777" w:rsidR="0081088A" w:rsidRPr="00A42107" w:rsidRDefault="0081088A" w:rsidP="0081088A">
      <w:pPr>
        <w:pStyle w:val="Prrafodelista"/>
        <w:spacing w:after="0" w:line="240" w:lineRule="auto"/>
        <w:ind w:right="709"/>
        <w:jc w:val="both"/>
        <w:rPr>
          <w:rFonts w:ascii="Verdana" w:hAnsi="Verdana"/>
          <w:i/>
          <w:iCs/>
          <w:sz w:val="20"/>
          <w:szCs w:val="20"/>
          <w:lang w:val="es-CO"/>
        </w:rPr>
      </w:pPr>
    </w:p>
    <w:p w14:paraId="20BA241A" w14:textId="77777777" w:rsidR="0081088A" w:rsidRPr="00A42107" w:rsidRDefault="0081088A" w:rsidP="0081088A">
      <w:pPr>
        <w:pStyle w:val="Prrafodelista"/>
        <w:spacing w:after="0" w:line="240" w:lineRule="auto"/>
        <w:ind w:right="709"/>
        <w:jc w:val="both"/>
        <w:rPr>
          <w:rFonts w:ascii="Verdana" w:hAnsi="Verdana"/>
          <w:i/>
          <w:iCs/>
          <w:sz w:val="20"/>
          <w:szCs w:val="20"/>
          <w:lang w:val="es-CO"/>
        </w:rPr>
      </w:pPr>
      <w:r w:rsidRPr="00A42107">
        <w:rPr>
          <w:rFonts w:ascii="Verdana" w:hAnsi="Verdana"/>
          <w:i/>
          <w:iCs/>
          <w:sz w:val="20"/>
          <w:szCs w:val="20"/>
          <w:lang w:val="es-CO"/>
        </w:rPr>
        <w:t xml:space="preserve">9. ¿Cómo armonizar el deber de no discriminación con el principio de planeación y con la prohibición de usar CPS para funciones permanentes? (En caso de persistir necesidad del servicio). </w:t>
      </w:r>
    </w:p>
    <w:p w14:paraId="2007BA43" w14:textId="77777777" w:rsidR="0081088A" w:rsidRPr="00A42107" w:rsidRDefault="0081088A" w:rsidP="0081088A">
      <w:pPr>
        <w:pStyle w:val="Prrafodelista"/>
        <w:spacing w:after="0" w:line="240" w:lineRule="auto"/>
        <w:ind w:right="709"/>
        <w:jc w:val="both"/>
        <w:rPr>
          <w:rFonts w:ascii="Verdana" w:hAnsi="Verdana"/>
          <w:i/>
          <w:iCs/>
          <w:sz w:val="20"/>
          <w:szCs w:val="20"/>
          <w:lang w:val="es-CO"/>
        </w:rPr>
      </w:pPr>
    </w:p>
    <w:p w14:paraId="63815462" w14:textId="77777777" w:rsidR="0081088A" w:rsidRPr="00A42107" w:rsidRDefault="0081088A" w:rsidP="0081088A">
      <w:pPr>
        <w:pStyle w:val="Prrafodelista"/>
        <w:spacing w:after="0" w:line="240" w:lineRule="auto"/>
        <w:ind w:right="709"/>
        <w:jc w:val="both"/>
        <w:rPr>
          <w:rFonts w:ascii="Verdana" w:hAnsi="Verdana"/>
          <w:i/>
          <w:iCs/>
          <w:sz w:val="20"/>
          <w:szCs w:val="20"/>
        </w:rPr>
      </w:pPr>
      <w:r w:rsidRPr="00A42107">
        <w:rPr>
          <w:rFonts w:ascii="Verdana" w:hAnsi="Verdana"/>
          <w:i/>
          <w:iCs/>
          <w:sz w:val="20"/>
          <w:szCs w:val="20"/>
          <w:lang w:val="es-CO"/>
        </w:rPr>
        <w:t>10. ¿Qué documentación probatoria conviene solicitar/archivar sobre la lactancia continua (si aplica) para soportar el análisis de riesgos?”</w:t>
      </w:r>
    </w:p>
    <w:p w14:paraId="738F2EB5" w14:textId="77777777" w:rsidR="0081088A" w:rsidRPr="00E27341" w:rsidRDefault="0081088A" w:rsidP="0081088A">
      <w:pPr>
        <w:spacing w:after="0" w:line="240" w:lineRule="auto"/>
        <w:ind w:right="709"/>
        <w:jc w:val="both"/>
        <w:rPr>
          <w:rFonts w:ascii="Verdana" w:eastAsia="Calibri" w:hAnsi="Verdana" w:cs="Times New Roman"/>
          <w:bCs/>
          <w:sz w:val="21"/>
          <w:szCs w:val="21"/>
          <w:lang w:bidi="es-ES"/>
        </w:rPr>
      </w:pPr>
    </w:p>
    <w:p w14:paraId="56FFC04D" w14:textId="77777777" w:rsidR="0081088A" w:rsidRPr="009037F6" w:rsidRDefault="0081088A" w:rsidP="0081088A">
      <w:pPr>
        <w:spacing w:after="120" w:line="276" w:lineRule="auto"/>
        <w:ind w:firstLine="709"/>
        <w:jc w:val="both"/>
        <w:rPr>
          <w:rFonts w:ascii="Verdana" w:eastAsia="Calibri" w:hAnsi="Verdana" w:cs="Times New Roman"/>
          <w:lang w:val="es-ES"/>
        </w:rPr>
      </w:pPr>
      <w:r w:rsidRPr="009037F6">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2C812F34" w14:textId="77777777" w:rsidR="0081088A" w:rsidRPr="009037F6" w:rsidRDefault="0081088A" w:rsidP="0081088A">
      <w:pPr>
        <w:spacing w:after="0" w:line="276" w:lineRule="auto"/>
        <w:ind w:firstLine="708"/>
        <w:jc w:val="both"/>
        <w:rPr>
          <w:rFonts w:ascii="Verdana" w:eastAsia="Calibri" w:hAnsi="Verdana" w:cs="Times New Roman"/>
          <w:lang w:val="es-ES"/>
        </w:rPr>
      </w:pPr>
      <w:r w:rsidRPr="009037F6">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Times New Roman"/>
          <w:lang w:val="es-ES"/>
        </w:rPr>
        <w:t xml:space="preserve">los problemas jurídicos de su consulta. </w:t>
      </w:r>
    </w:p>
    <w:p w14:paraId="72FCA093" w14:textId="77777777" w:rsidR="0081088A" w:rsidRPr="009037F6" w:rsidRDefault="0081088A" w:rsidP="0081088A">
      <w:pPr>
        <w:spacing w:after="0" w:line="276" w:lineRule="auto"/>
        <w:rPr>
          <w:rFonts w:ascii="Verdana" w:eastAsia="Calibri" w:hAnsi="Verdana" w:cs="Times New Roman"/>
          <w:lang w:val="es-ES"/>
        </w:rPr>
      </w:pPr>
    </w:p>
    <w:p w14:paraId="60A91A91" w14:textId="77777777" w:rsidR="0081088A" w:rsidRPr="005F3C15" w:rsidRDefault="0081088A" w:rsidP="0081088A">
      <w:pPr>
        <w:tabs>
          <w:tab w:val="left" w:pos="142"/>
          <w:tab w:val="left" w:pos="284"/>
        </w:tabs>
        <w:spacing w:after="0" w:line="276" w:lineRule="auto"/>
        <w:contextualSpacing/>
        <w:jc w:val="both"/>
        <w:rPr>
          <w:rFonts w:ascii="Verdana" w:eastAsia="Century Gothic" w:hAnsi="Verdana" w:cs="Century Gothic"/>
          <w:b/>
          <w:lang w:val="es-ES"/>
        </w:rPr>
      </w:pPr>
      <w:r w:rsidRPr="005F3C15">
        <w:rPr>
          <w:rFonts w:ascii="Verdana" w:eastAsia="Century Gothic" w:hAnsi="Verdana" w:cs="Century Gothic"/>
          <w:b/>
          <w:lang w:val="es-ES"/>
        </w:rPr>
        <w:t>1. Problema planteado:</w:t>
      </w:r>
    </w:p>
    <w:p w14:paraId="526D0D8F" w14:textId="77777777" w:rsidR="0081088A" w:rsidRPr="009037F6" w:rsidRDefault="0081088A" w:rsidP="0081088A">
      <w:pPr>
        <w:spacing w:after="0" w:line="276" w:lineRule="auto"/>
        <w:rPr>
          <w:rFonts w:ascii="Verdana" w:eastAsia="Calibri" w:hAnsi="Verdana" w:cs="Times New Roman"/>
        </w:rPr>
      </w:pPr>
    </w:p>
    <w:p w14:paraId="3CADFB78" w14:textId="77777777" w:rsidR="0081088A" w:rsidRDefault="0081088A" w:rsidP="0081088A">
      <w:pPr>
        <w:spacing w:after="0" w:line="276" w:lineRule="auto"/>
        <w:jc w:val="both"/>
        <w:rPr>
          <w:rFonts w:ascii="Verdana" w:eastAsia="Century Gothic" w:hAnsi="Verdana" w:cs="Century Gothic"/>
        </w:rPr>
      </w:pPr>
      <w:r w:rsidRPr="009037F6">
        <w:rPr>
          <w:rFonts w:ascii="Verdana" w:eastAsia="Calibri" w:hAnsi="Verdana" w:cs="Times New Roman"/>
        </w:rPr>
        <w:t>De acuerdo con</w:t>
      </w:r>
      <w:r>
        <w:rPr>
          <w:rFonts w:ascii="Verdana" w:eastAsia="Calibri" w:hAnsi="Verdana" w:cs="Times New Roman"/>
        </w:rPr>
        <w:t xml:space="preserve"> el contenido de sus solicitudes, la Agencia procede a resolver el siguiente problema jurídico: </w:t>
      </w:r>
      <w:r>
        <w:rPr>
          <w:rFonts w:ascii="Verdana" w:eastAsia="Century Gothic" w:hAnsi="Verdana" w:cs="Century Gothic"/>
        </w:rPr>
        <w:t>¿Cuál es el alcance de la protección ocupacional reforzada establecida en el artículo 6 de la Ley 2306 de 2023 en licencia de maternidad y periodo de lactancia en un contrato de prestación de servicios?</w:t>
      </w:r>
    </w:p>
    <w:p w14:paraId="7995003C" w14:textId="77777777" w:rsidR="0081088A" w:rsidRPr="00917FBF" w:rsidRDefault="0081088A" w:rsidP="0081088A">
      <w:pPr>
        <w:spacing w:after="0" w:line="276" w:lineRule="auto"/>
        <w:jc w:val="both"/>
        <w:rPr>
          <w:rFonts w:ascii="Verdana" w:eastAsia="Calibri" w:hAnsi="Verdana" w:cs="Times New Roman"/>
          <w:i/>
          <w:iCs/>
        </w:rPr>
      </w:pPr>
    </w:p>
    <w:p w14:paraId="6436EF3D" w14:textId="77777777" w:rsidR="0081088A" w:rsidRPr="00892057" w:rsidRDefault="0081088A" w:rsidP="0081088A">
      <w:pPr>
        <w:tabs>
          <w:tab w:val="left" w:pos="142"/>
          <w:tab w:val="left" w:pos="284"/>
        </w:tabs>
        <w:spacing w:after="0" w:line="276" w:lineRule="auto"/>
        <w:jc w:val="both"/>
        <w:rPr>
          <w:rFonts w:ascii="Verdana" w:eastAsia="Century Gothic" w:hAnsi="Verdana" w:cs="Century Gothic"/>
          <w:b/>
          <w:lang w:val="es-ES"/>
        </w:rPr>
      </w:pPr>
      <w:r w:rsidRPr="00892057">
        <w:rPr>
          <w:rFonts w:ascii="Verdana" w:eastAsia="Century Gothic" w:hAnsi="Verdana" w:cs="Century Gothic"/>
          <w:b/>
          <w:lang w:val="es-ES"/>
        </w:rPr>
        <w:t>2. Respuesta:</w:t>
      </w:r>
    </w:p>
    <w:p w14:paraId="2A84D14D" w14:textId="77777777" w:rsidR="0081088A" w:rsidRPr="009037F6" w:rsidRDefault="0081088A" w:rsidP="0081088A">
      <w:pPr>
        <w:spacing w:after="0" w:line="276" w:lineRule="auto"/>
        <w:rPr>
          <w:rFonts w:ascii="Verdana" w:eastAsia="Calibri" w:hAnsi="Verdana" w:cs="Times New Roman"/>
          <w:b/>
          <w:bCs/>
          <w:lang w:val="es-ES"/>
        </w:rPr>
      </w:pPr>
    </w:p>
    <w:tbl>
      <w:tblPr>
        <w:tblStyle w:val="Tablaconcuadrcula11"/>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81088A" w:rsidRPr="009037F6" w14:paraId="15AFBC52" w14:textId="77777777" w:rsidTr="00974252">
        <w:trPr>
          <w:trHeight w:val="345"/>
          <w:jc w:val="center"/>
        </w:trPr>
        <w:tc>
          <w:tcPr>
            <w:tcW w:w="8784" w:type="dxa"/>
            <w:tcBorders>
              <w:bottom w:val="single" w:sz="4" w:space="0" w:color="auto"/>
            </w:tcBorders>
          </w:tcPr>
          <w:p w14:paraId="445E3E28" w14:textId="77777777" w:rsidR="0081088A" w:rsidRPr="00C8597D" w:rsidRDefault="0081088A" w:rsidP="00974252">
            <w:pPr>
              <w:spacing w:after="120" w:line="276" w:lineRule="auto"/>
              <w:jc w:val="both"/>
              <w:rPr>
                <w:rFonts w:ascii="Verdana" w:hAnsi="Verdana"/>
              </w:rPr>
            </w:pPr>
            <w:r w:rsidRPr="00C8597D">
              <w:rPr>
                <w:rFonts w:ascii="Verdana" w:hAnsi="Verdana"/>
              </w:rPr>
              <w:t xml:space="preserve">La Corte Constitucional profirió la sentencia de unificación SU-075 de 2018, en la cual recoge, entre otras, las sentencias T-350 del 2016, T-030 de 2018. En esta providencia, el Alto Tribunal estableció unos criterios con el fin de impedir la discriminación que se puede presentarse frente a una mujer en estado de embarazo, en periodo de licencia de maternidad o de lactancia, </w:t>
            </w:r>
            <w:r w:rsidRPr="00C8597D">
              <w:rPr>
                <w:rFonts w:ascii="Verdana" w:hAnsi="Verdana"/>
              </w:rPr>
              <w:lastRenderedPageBreak/>
              <w:t>específicamente, respecto a la terminación o la no renovación del contrato. Dicha providencia dio paso a establecer que, el denominado “fuero de maternidad” encuentra también su sustento en la cláusula general de igualdad de la Constitución “que proscribe la discriminación por razones de sexo, así como en el ya mencionado artículo 43 Superior, que dispone la igualdad de derechos y oportunidades entre hombres y mujeres”.</w:t>
            </w:r>
          </w:p>
          <w:p w14:paraId="6E834D6F" w14:textId="77777777" w:rsidR="0081088A" w:rsidRDefault="0081088A" w:rsidP="00974252">
            <w:pPr>
              <w:widowControl w:val="0"/>
              <w:autoSpaceDE w:val="0"/>
              <w:autoSpaceDN w:val="0"/>
              <w:spacing w:after="120" w:line="276" w:lineRule="auto"/>
              <w:ind w:firstLine="709"/>
              <w:jc w:val="both"/>
              <w:rPr>
                <w:rFonts w:ascii="Verdana" w:eastAsia="Arial" w:hAnsi="Verdana" w:cs="Arial"/>
                <w:lang w:val="es-ES"/>
              </w:rPr>
            </w:pPr>
            <w:r w:rsidRPr="00C8597D">
              <w:rPr>
                <w:rFonts w:ascii="Verdana" w:eastAsia="Arial" w:hAnsi="Verdana" w:cs="Arial"/>
                <w:lang w:val="es-ES"/>
              </w:rPr>
              <w:t>Conforme con lo anterior, la Corte Constitucional ha expuesto dos (2) posiciones frente a los cuales opera la protección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subordinación o dependencia y c) la prestación personal del servicio; y además, ii) cuando a pesar de no probarse la configuración de un contrato realidad, la terminación del contrato de prestación de servicios se fundamenta en criterios discriminatorios, y no en motivos objetivos.</w:t>
            </w:r>
          </w:p>
          <w:p w14:paraId="3E3E9169" w14:textId="77777777" w:rsidR="0081088A" w:rsidRPr="00C8597D" w:rsidRDefault="0081088A" w:rsidP="00974252">
            <w:pPr>
              <w:widowControl w:val="0"/>
              <w:autoSpaceDE w:val="0"/>
              <w:autoSpaceDN w:val="0"/>
              <w:spacing w:after="120" w:line="276" w:lineRule="auto"/>
              <w:ind w:firstLine="709"/>
              <w:jc w:val="both"/>
              <w:rPr>
                <w:rFonts w:ascii="Verdana" w:eastAsia="Arial" w:hAnsi="Verdana" w:cs="Arial"/>
                <w:lang w:val="es-ES"/>
              </w:rPr>
            </w:pPr>
            <w:r w:rsidRPr="00C8597D">
              <w:rPr>
                <w:rFonts w:ascii="Verdana" w:eastAsia="Arial" w:hAnsi="Verdana" w:cs="Arial"/>
                <w:lang w:val="es-ES"/>
              </w:rPr>
              <w:t>En relación con la prohibición de despido consagrada en el artículo 239 del Código Sustantivo de Trabajo por motivo del embarazo o la lactancia, a la luz de la modificación introducida por la Ley 2306 de 2023, resulta importante hacer una precisión respecto a cómo opera la presunción de despido discriminatorio durante el embarazo y cómo opera durante el periodo de lactancia. De acuerdo con lo establecido en el artículo 239 ibidem se presume que un despido es discriminatorio cuando sucede entre el embarazo y la licencia de maternidad – es decir, durante las dieciocho (18) semanas posteriores al parto – no durante el periodo de la lactancia. Durante la lactancia, si bien la trabajadora goza del fuero de maternidad, la presunción cambia y esta debe probar que el despido ocurrió con motivo de la lactancia.</w:t>
            </w:r>
          </w:p>
          <w:p w14:paraId="015D4D2E" w14:textId="77777777" w:rsidR="0081088A" w:rsidRPr="009B3C20" w:rsidRDefault="0081088A" w:rsidP="00974252">
            <w:pPr>
              <w:widowControl w:val="0"/>
              <w:autoSpaceDE w:val="0"/>
              <w:autoSpaceDN w:val="0"/>
              <w:spacing w:after="120" w:line="276" w:lineRule="auto"/>
              <w:ind w:firstLine="709"/>
              <w:jc w:val="both"/>
              <w:rPr>
                <w:rFonts w:ascii="Verdana" w:eastAsia="Arial" w:hAnsi="Verdana" w:cs="Arial"/>
                <w:lang w:val="es-ES"/>
              </w:rPr>
            </w:pPr>
            <w:r w:rsidRPr="00C8597D">
              <w:rPr>
                <w:rFonts w:ascii="Verdana" w:eastAsia="Arial" w:hAnsi="Verdana" w:cs="Arial"/>
                <w:lang w:val="es-ES"/>
              </w:rPr>
              <w:t>En efe</w:t>
            </w:r>
            <w:r>
              <w:rPr>
                <w:rFonts w:ascii="Verdana" w:eastAsia="Arial" w:hAnsi="Verdana" w:cs="Arial"/>
                <w:lang w:val="es-ES"/>
              </w:rPr>
              <w:t>c</w:t>
            </w:r>
            <w:r w:rsidRPr="00C8597D">
              <w:rPr>
                <w:rFonts w:ascii="Verdana" w:eastAsia="Arial" w:hAnsi="Verdana" w:cs="Arial"/>
                <w:lang w:val="es-ES"/>
              </w:rPr>
              <w:t xml:space="preserve">to, respecto a la extensión del periodo de protección del fuero de maternidad en virtud de la expedición del artículo 6 de la Ley 2306 de 2023, </w:t>
            </w:r>
            <w:r w:rsidRPr="009B3C20">
              <w:rPr>
                <w:rFonts w:ascii="Verdana" w:eastAsia="Arial" w:hAnsi="Verdana" w:cs="Arial"/>
                <w:lang w:val="es-ES"/>
              </w:rPr>
              <w:t xml:space="preserve">mediante el cual se modificó el artículo 238 del Código Sustantivo de Trabajo, que estableció un descanso remunerado por dos (2) años en ciertas circunstancias, el Ministerio del Trabajo, mediante concepto No. 2023120300000068155 de 2023 expuso que: “la puesta en marcha de la Ley 2603 de 2023 no implica una extensión automática del fuero de maternidad. En efecto, las trabajadoras gozarán del descanso remunerado de lactancia </w:t>
            </w:r>
            <w:r w:rsidRPr="009B3C20">
              <w:rPr>
                <w:rFonts w:ascii="Verdana" w:eastAsia="Arial" w:hAnsi="Verdana" w:cs="Arial"/>
                <w:lang w:val="es-ES"/>
              </w:rPr>
              <w:lastRenderedPageBreak/>
              <w:t>durante los dos (2) primeros años de vida del menor “(…) siempre y cuando se mantenga y manifieste una adecuada lactancia materno continua, la que deberá acreditar la Madre Trabajadora con los respectivos certificados médicos”.</w:t>
            </w:r>
          </w:p>
          <w:p w14:paraId="73667DA1" w14:textId="77777777" w:rsidR="0081088A" w:rsidRPr="00C8597D" w:rsidRDefault="0081088A" w:rsidP="00974252">
            <w:pPr>
              <w:widowControl w:val="0"/>
              <w:autoSpaceDE w:val="0"/>
              <w:autoSpaceDN w:val="0"/>
              <w:snapToGrid w:val="0"/>
              <w:spacing w:after="120" w:line="276" w:lineRule="auto"/>
              <w:ind w:firstLine="709"/>
              <w:jc w:val="both"/>
              <w:rPr>
                <w:rFonts w:ascii="Verdana" w:eastAsia="Arial" w:hAnsi="Verdana" w:cs="Arial"/>
                <w:lang w:val="es-ES"/>
              </w:rPr>
            </w:pPr>
            <w:r w:rsidRPr="00C8597D">
              <w:rPr>
                <w:rFonts w:ascii="Verdana" w:eastAsia="Arial" w:hAnsi="Verdana" w:cs="Arial"/>
                <w:lang w:val="es-ES"/>
              </w:rPr>
              <w:t>En este contexto, las modificaciones introducidas por el artículo 6 de la Ley 2306 de 2023 son aplicables a las mujeres vinculadas por contrato laboral, en la medida que, por un lado, como se ha venido señalando, la referida disposición modificó el artículo 238 del Código Sustantivo de Trabajo, el cual regula relaciones laborales. Por otro lado, se deduce de la lectura literal del artículo objeto de estudio, el cual hace referencia a los sujetos propios de la relación laboral - “empleador”, “trabajadora”. Asimismo, regula unos “descansos remunerados”, que son un derecho propio de una relación laboral.</w:t>
            </w:r>
          </w:p>
          <w:p w14:paraId="3DEE71DD" w14:textId="77777777" w:rsidR="0081088A" w:rsidRPr="00C8597D" w:rsidRDefault="0081088A" w:rsidP="00974252">
            <w:pPr>
              <w:widowControl w:val="0"/>
              <w:autoSpaceDE w:val="0"/>
              <w:autoSpaceDN w:val="0"/>
              <w:snapToGrid w:val="0"/>
              <w:spacing w:after="120" w:line="276" w:lineRule="auto"/>
              <w:ind w:firstLine="709"/>
              <w:jc w:val="both"/>
              <w:rPr>
                <w:rFonts w:ascii="Verdana" w:eastAsia="Arial" w:hAnsi="Verdana" w:cs="Arial"/>
                <w:lang w:val="es-ES"/>
              </w:rPr>
            </w:pPr>
            <w:r w:rsidRPr="00C8597D">
              <w:rPr>
                <w:rFonts w:ascii="Verdana" w:eastAsia="Arial" w:hAnsi="Verdana" w:cs="Arial"/>
                <w:lang w:val="es-ES"/>
              </w:rPr>
              <w:t>Por lo tanto, lo previsto en la Ley 2306 de 2023, específicamente en el artículo 6, no se aplica a las relaciones contractuales de las entidades estatales que no generan una relación laboral. En otras palabras, el derecho consagrado en esta Ley tiene como destinatarios a los sujetos que ostentan la calidad de trabajadores, es decir, aquellos que han celebrado con estas un contrato de trabajo o del que emerge una relación laboral.</w:t>
            </w:r>
            <w:r>
              <w:rPr>
                <w:rFonts w:ascii="Verdana" w:eastAsia="Arial" w:hAnsi="Verdana" w:cs="Arial"/>
                <w:lang w:val="es-ES"/>
              </w:rPr>
              <w:t xml:space="preserve"> Además, vale la pena señalar que la sentencia T-169 de 2025, que menciona en su consulta, se refiere a </w:t>
            </w:r>
            <w:r w:rsidRPr="004163D7">
              <w:rPr>
                <w:rFonts w:ascii="Verdana" w:eastAsia="Arial" w:hAnsi="Verdana" w:cs="Arial"/>
              </w:rPr>
              <w:t>estabilidad laboral reforzada de las mujeres lactantes en el ámbito laboral</w:t>
            </w:r>
            <w:r>
              <w:rPr>
                <w:rFonts w:ascii="Verdana" w:eastAsia="Arial" w:hAnsi="Verdana" w:cs="Arial"/>
              </w:rPr>
              <w:t>.</w:t>
            </w:r>
          </w:p>
          <w:p w14:paraId="7F9311B5" w14:textId="77777777" w:rsidR="0081088A" w:rsidRPr="00144A14" w:rsidRDefault="0081088A" w:rsidP="00974252">
            <w:pPr>
              <w:widowControl w:val="0"/>
              <w:autoSpaceDE w:val="0"/>
              <w:autoSpaceDN w:val="0"/>
              <w:snapToGrid w:val="0"/>
              <w:spacing w:after="120" w:line="276" w:lineRule="auto"/>
              <w:ind w:firstLine="709"/>
              <w:jc w:val="both"/>
              <w:rPr>
                <w:rFonts w:ascii="Verdana" w:eastAsia="Arial" w:hAnsi="Verdana" w:cs="Arial"/>
                <w:lang w:val="es-ES"/>
              </w:rPr>
            </w:pPr>
            <w:r w:rsidRPr="00144A14">
              <w:rPr>
                <w:rFonts w:ascii="Verdana" w:eastAsia="Arial" w:hAnsi="Verdana" w:cs="Arial"/>
                <w:lang w:val="es-ES"/>
              </w:rPr>
              <w:t>En este contexto, frente al problema jurídico planteado, que versa sobre el alcance de la protección de estabilidad ocupacional reforzada en contratos de prestación de servicios, de acuerdo con lo expresado por la Corte Constitucional en las sentencias SU-070 de 2013, SU-075 de 2018, y en especial las sentencias T-329 de 2022 y T-119 de 2023, se tiene que dicho alcance se presenta durante el periodo de gestación, la licencia de maternidad, hasta por dieciocho (18) semanas y el periodo de lactancia, que por lo general, es de seis (6) meses, sin perjuicio de otras consideraciones planteadas por el Ministerio de Trabajo. De acuerdo con esto, aplica para la madre – contratista, una protección de estabilidad que evita que sea despedida por causa de embarazo o en periodo de la licencia de maternidad o durante el periodo de lactancia, enfatizando que cada periodo la presunción de despido aplicar de forma diferente conforme lo expuesto.</w:t>
            </w:r>
          </w:p>
          <w:p w14:paraId="481B5892" w14:textId="77777777" w:rsidR="0081088A" w:rsidRPr="00C8597D" w:rsidRDefault="0081088A" w:rsidP="00974252">
            <w:pPr>
              <w:widowControl w:val="0"/>
              <w:autoSpaceDE w:val="0"/>
              <w:autoSpaceDN w:val="0"/>
              <w:snapToGrid w:val="0"/>
              <w:spacing w:after="120" w:line="276" w:lineRule="auto"/>
              <w:ind w:firstLine="709"/>
              <w:jc w:val="both"/>
              <w:rPr>
                <w:rFonts w:ascii="Verdana" w:eastAsia="Arial" w:hAnsi="Verdana" w:cs="Arial"/>
                <w:lang w:val="es-ES"/>
              </w:rPr>
            </w:pPr>
            <w:r w:rsidRPr="00C8597D">
              <w:rPr>
                <w:rFonts w:ascii="Verdana" w:eastAsia="Arial" w:hAnsi="Verdana" w:cs="Arial"/>
                <w:lang w:val="es-ES"/>
              </w:rPr>
              <w:t xml:space="preserve">El despido por estas causas en el contrato de prestación de servicios es </w:t>
            </w:r>
            <w:r w:rsidRPr="00C8597D">
              <w:rPr>
                <w:rFonts w:ascii="Verdana" w:eastAsia="Arial" w:hAnsi="Verdana" w:cs="Arial"/>
                <w:lang w:val="es-ES"/>
              </w:rPr>
              <w:lastRenderedPageBreak/>
              <w:t>determinado según la Corte Constitucional a través de tres componentes: (i) el contratante conoce el estado de embarazo de la contratista, (ii) subsiste la causa del contrato y (iii) no cuenta con permiso del inspector del trabajo para terminar el contrato. En estos eventos procede la garantía de estabilidad reforzada por lo que la entidad deberá proceder a la renovación de la relación contractual.</w:t>
            </w:r>
          </w:p>
          <w:p w14:paraId="5C21B0C7" w14:textId="77777777" w:rsidR="0081088A" w:rsidRDefault="0081088A" w:rsidP="00974252">
            <w:pPr>
              <w:widowControl w:val="0"/>
              <w:autoSpaceDE w:val="0"/>
              <w:autoSpaceDN w:val="0"/>
              <w:spacing w:after="120" w:line="276" w:lineRule="auto"/>
              <w:ind w:firstLine="743"/>
              <w:jc w:val="both"/>
              <w:rPr>
                <w:rFonts w:ascii="Verdana" w:eastAsia="Calibri" w:hAnsi="Verdana" w:cs="Arial"/>
                <w:shd w:val="clear" w:color="auto" w:fill="FFFFFF"/>
              </w:rPr>
            </w:pPr>
            <w:r w:rsidRPr="00C8597D">
              <w:rPr>
                <w:rFonts w:ascii="Verdana" w:hAnsi="Verdana"/>
              </w:rPr>
              <w:t>En el mismo sentido, esta tesis jurisprudencial de la Corte Constitucional fue acogida por el Consejo de Estado determinando que las mujeres embarazadas que estén vinculadas a las entidades por contrato de prestación de servicios tienen derecho al reconocimiento de licencia de maternidad y estabilidad laboral reforzada siempre cuando el contratante conozca del embarazo, subsista la causa del contrato y no se cuente con permiso el inspector de trabajo para determinarlo, en estos casos no se requiere demostrar una relación laboral encubierta.</w:t>
            </w:r>
            <w:r w:rsidRPr="00186A6A">
              <w:rPr>
                <w:rFonts w:ascii="Verdana" w:eastAsia="Calibri" w:hAnsi="Verdana" w:cs="Arial"/>
                <w:shd w:val="clear" w:color="auto" w:fill="FFFFFF"/>
              </w:rPr>
              <w:t xml:space="preserve"> </w:t>
            </w:r>
          </w:p>
          <w:p w14:paraId="1387B709" w14:textId="77777777" w:rsidR="0081088A" w:rsidRPr="00C8597D" w:rsidRDefault="0081088A" w:rsidP="00974252">
            <w:pPr>
              <w:widowControl w:val="0"/>
              <w:autoSpaceDE w:val="0"/>
              <w:autoSpaceDN w:val="0"/>
              <w:snapToGrid w:val="0"/>
              <w:spacing w:after="120" w:line="276" w:lineRule="auto"/>
              <w:ind w:firstLine="709"/>
              <w:jc w:val="both"/>
              <w:rPr>
                <w:rFonts w:ascii="Verdana" w:eastAsia="Arial" w:hAnsi="Verdana" w:cs="Arial"/>
                <w:lang w:val="es-ES"/>
              </w:rPr>
            </w:pPr>
            <w:bookmarkStart w:id="3" w:name="_Hlk218460606"/>
            <w:r>
              <w:rPr>
                <w:rFonts w:ascii="Verdana" w:eastAsia="Arial" w:hAnsi="Verdana" w:cs="Arial"/>
                <w:lang w:val="es-ES"/>
              </w:rPr>
              <w:t>Así las cosas</w:t>
            </w:r>
            <w:r w:rsidRPr="00C8597D">
              <w:rPr>
                <w:rFonts w:ascii="Verdana" w:eastAsia="Arial" w:hAnsi="Verdana" w:cs="Arial"/>
                <w:lang w:val="es-ES"/>
              </w:rPr>
              <w:t>, les corresponde a las entidades estatales,</w:t>
            </w:r>
            <w:r>
              <w:rPr>
                <w:rFonts w:ascii="Verdana" w:eastAsia="Arial" w:hAnsi="Verdana" w:cs="Arial"/>
                <w:lang w:val="es-ES"/>
              </w:rPr>
              <w:t xml:space="preserve"> incluyendo las entidades territoriales,</w:t>
            </w:r>
            <w:r w:rsidRPr="00C8597D">
              <w:rPr>
                <w:rFonts w:ascii="Verdana" w:eastAsia="Arial" w:hAnsi="Verdana" w:cs="Arial"/>
                <w:lang w:val="es-ES"/>
              </w:rPr>
              <w:t xml:space="preserve"> en virtud de su autonomía, y de acuerdo con los lineamientos de la Corte Constitucional, las normas consagradas en el Estatuto General de Contratación para la Administración Pública – EGCAP, los principios legales y demás normas que regulen la materia, garantizar la estabilidad laboral reforzada de las mujeres embarazadas y lactantes, conforme a los lineamientos explicados en el presente concepto.</w:t>
            </w:r>
          </w:p>
          <w:bookmarkEnd w:id="3"/>
          <w:p w14:paraId="58858798" w14:textId="77777777" w:rsidR="0081088A" w:rsidRPr="00AC694F" w:rsidRDefault="0081088A" w:rsidP="00974252">
            <w:pPr>
              <w:widowControl w:val="0"/>
              <w:autoSpaceDE w:val="0"/>
              <w:autoSpaceDN w:val="0"/>
              <w:spacing w:line="276" w:lineRule="auto"/>
              <w:ind w:firstLine="743"/>
              <w:jc w:val="both"/>
              <w:rPr>
                <w:rFonts w:ascii="Verdana" w:eastAsia="Arial" w:hAnsi="Verdana" w:cs="Arial"/>
                <w:lang w:val="es-MX"/>
              </w:rPr>
            </w:pPr>
          </w:p>
        </w:tc>
      </w:tr>
    </w:tbl>
    <w:p w14:paraId="11D8510F" w14:textId="77777777" w:rsidR="0081088A" w:rsidRPr="00B57A1B" w:rsidRDefault="0081088A" w:rsidP="0081088A">
      <w:pPr>
        <w:spacing w:after="0" w:line="276" w:lineRule="auto"/>
        <w:jc w:val="both"/>
        <w:rPr>
          <w:rFonts w:ascii="Verdana" w:eastAsia="Calibri" w:hAnsi="Verdana" w:cs="Arial"/>
          <w:bCs/>
          <w:color w:val="000000" w:themeColor="text1"/>
        </w:rPr>
      </w:pPr>
      <w:bookmarkStart w:id="4" w:name="_Hlk78820161"/>
      <w:bookmarkStart w:id="5" w:name="_Hlk37703813"/>
    </w:p>
    <w:p w14:paraId="32AA79ED" w14:textId="77777777" w:rsidR="0081088A" w:rsidRPr="00434558" w:rsidRDefault="0081088A" w:rsidP="0081088A">
      <w:pPr>
        <w:tabs>
          <w:tab w:val="left" w:pos="142"/>
          <w:tab w:val="left" w:pos="284"/>
        </w:tabs>
        <w:spacing w:after="0" w:line="276" w:lineRule="auto"/>
        <w:jc w:val="both"/>
        <w:rPr>
          <w:rFonts w:ascii="Verdana" w:eastAsia="Century Gothic" w:hAnsi="Verdana" w:cs="Century Gothic"/>
          <w:b/>
          <w:lang w:val="es-ES"/>
        </w:rPr>
      </w:pPr>
      <w:r w:rsidRPr="00434558">
        <w:rPr>
          <w:rFonts w:ascii="Verdana" w:eastAsia="Century Gothic" w:hAnsi="Verdana" w:cs="Century Gothic"/>
          <w:b/>
          <w:lang w:val="es-ES"/>
        </w:rPr>
        <w:t>3. Razones de la respuesta:</w:t>
      </w:r>
    </w:p>
    <w:p w14:paraId="51144BE5" w14:textId="77777777" w:rsidR="0081088A" w:rsidRPr="00B57A1B" w:rsidRDefault="0081088A" w:rsidP="0081088A">
      <w:pPr>
        <w:spacing w:after="0" w:line="276" w:lineRule="auto"/>
        <w:rPr>
          <w:rFonts w:ascii="Verdana" w:eastAsia="Calibri" w:hAnsi="Verdana" w:cs="Times New Roman"/>
          <w:b/>
          <w:bCs/>
          <w:lang w:val="es-ES"/>
        </w:rPr>
      </w:pPr>
    </w:p>
    <w:p w14:paraId="12B05F05" w14:textId="77777777" w:rsidR="0081088A" w:rsidRDefault="0081088A" w:rsidP="0081088A">
      <w:pPr>
        <w:spacing w:after="0" w:line="276" w:lineRule="auto"/>
        <w:jc w:val="both"/>
        <w:rPr>
          <w:rFonts w:ascii="Verdana" w:eastAsia="Calibri" w:hAnsi="Verdana" w:cs="Arial"/>
          <w:lang w:val="es-ES"/>
        </w:rPr>
      </w:pPr>
      <w:r w:rsidRPr="00B57A1B">
        <w:rPr>
          <w:rFonts w:ascii="Verdana" w:eastAsia="Calibri" w:hAnsi="Verdana" w:cs="Arial"/>
          <w:lang w:val="es-ES"/>
        </w:rPr>
        <w:t xml:space="preserve">Lo anterior se sustenta en las siguientes consideraciones: </w:t>
      </w:r>
    </w:p>
    <w:p w14:paraId="1339F998" w14:textId="77777777" w:rsidR="0081088A" w:rsidRPr="003C0ED7" w:rsidRDefault="0081088A" w:rsidP="0081088A">
      <w:pPr>
        <w:spacing w:after="0" w:line="276" w:lineRule="auto"/>
        <w:jc w:val="both"/>
        <w:rPr>
          <w:rFonts w:ascii="Verdana" w:eastAsia="Calibri" w:hAnsi="Verdana" w:cs="Arial"/>
          <w:lang w:val="es-ES"/>
        </w:rPr>
      </w:pPr>
    </w:p>
    <w:p w14:paraId="3228E73B" w14:textId="77777777" w:rsidR="0081088A" w:rsidRPr="00342512" w:rsidRDefault="0081088A" w:rsidP="0081088A">
      <w:pPr>
        <w:tabs>
          <w:tab w:val="left" w:pos="3276"/>
        </w:tabs>
        <w:spacing w:after="0" w:line="276" w:lineRule="auto"/>
        <w:jc w:val="both"/>
        <w:rPr>
          <w:rFonts w:ascii="Verdana" w:eastAsia="Calibri" w:hAnsi="Verdana" w:cs="Arial"/>
          <w:color w:val="000000"/>
        </w:rPr>
      </w:pPr>
      <w:r w:rsidRPr="00E7254D">
        <w:rPr>
          <w:rFonts w:ascii="Verdana" w:eastAsia="Calibri" w:hAnsi="Verdana" w:cs="Arial"/>
          <w:color w:val="000000"/>
          <w:lang w:val="es-ES"/>
        </w:rPr>
        <w:t>i</w:t>
      </w:r>
      <w:r>
        <w:rPr>
          <w:rFonts w:ascii="Verdana" w:eastAsia="Calibri" w:hAnsi="Verdana" w:cs="Arial"/>
          <w:color w:val="000000"/>
          <w:lang w:val="es-ES"/>
        </w:rPr>
        <w:t>)</w:t>
      </w:r>
      <w:r w:rsidRPr="00E7254D">
        <w:rPr>
          <w:rFonts w:ascii="Verdana" w:eastAsia="Calibri" w:hAnsi="Verdana" w:cs="Arial"/>
          <w:color w:val="000000"/>
          <w:lang w:val="es-ES"/>
        </w:rPr>
        <w:t xml:space="preserve"> </w:t>
      </w:r>
      <w:bookmarkEnd w:id="4"/>
      <w:bookmarkEnd w:id="5"/>
      <w:r w:rsidRPr="00342512">
        <w:rPr>
          <w:rFonts w:ascii="Verdana" w:eastAsia="Calibri" w:hAnsi="Verdana" w:cs="Arial"/>
          <w:color w:val="000000"/>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w:t>
      </w:r>
    </w:p>
    <w:p w14:paraId="663B7FF3" w14:textId="77777777" w:rsidR="0081088A" w:rsidRPr="00917FBF" w:rsidRDefault="0081088A" w:rsidP="0081088A">
      <w:pPr>
        <w:tabs>
          <w:tab w:val="left" w:pos="3276"/>
        </w:tabs>
        <w:spacing w:after="0" w:line="276" w:lineRule="auto"/>
        <w:jc w:val="both"/>
        <w:rPr>
          <w:rFonts w:ascii="Verdana" w:eastAsia="Calibri" w:hAnsi="Verdana" w:cs="Arial"/>
          <w:color w:val="000000"/>
          <w:sz w:val="20"/>
          <w:szCs w:val="20"/>
        </w:rPr>
      </w:pPr>
    </w:p>
    <w:p w14:paraId="13A86BFD" w14:textId="77777777" w:rsidR="0081088A" w:rsidRPr="00917FBF" w:rsidRDefault="0081088A" w:rsidP="0081088A">
      <w:pPr>
        <w:tabs>
          <w:tab w:val="left" w:pos="3276"/>
        </w:tabs>
        <w:spacing w:after="0" w:line="240" w:lineRule="auto"/>
        <w:ind w:left="709" w:right="709"/>
        <w:jc w:val="both"/>
        <w:rPr>
          <w:rFonts w:ascii="Verdana" w:eastAsia="Calibri" w:hAnsi="Verdana" w:cs="Arial"/>
          <w:color w:val="000000"/>
          <w:sz w:val="20"/>
          <w:szCs w:val="20"/>
        </w:rPr>
      </w:pPr>
      <w:r w:rsidRPr="00917FBF">
        <w:rPr>
          <w:rFonts w:ascii="Verdana" w:eastAsia="Calibri" w:hAnsi="Verdana" w:cs="Arial"/>
          <w:color w:val="000000" w:themeColor="text1"/>
          <w:sz w:val="20"/>
          <w:szCs w:val="20"/>
        </w:rPr>
        <w:t xml:space="preserve">“Son contratos de prestación de servicios los que celebren las entidades estatales para desarrollar actividades relacionadas con la administración o funcionamiento de la entidad. Estos contratos sólo podrán celebrarse con </w:t>
      </w:r>
      <w:r w:rsidRPr="00917FBF">
        <w:rPr>
          <w:rFonts w:ascii="Verdana" w:eastAsia="Calibri" w:hAnsi="Verdana" w:cs="Arial"/>
          <w:color w:val="000000" w:themeColor="text1"/>
          <w:sz w:val="20"/>
          <w:szCs w:val="20"/>
        </w:rPr>
        <w:lastRenderedPageBreak/>
        <w:t>personas naturales cuando dichas actividades no puedan realizarse con personal de planta o requieran conocimientos especializados.</w:t>
      </w:r>
    </w:p>
    <w:p w14:paraId="3F43932A" w14:textId="77777777" w:rsidR="0081088A" w:rsidRPr="00917FBF" w:rsidRDefault="0081088A" w:rsidP="0081088A">
      <w:pPr>
        <w:tabs>
          <w:tab w:val="left" w:pos="3276"/>
        </w:tabs>
        <w:spacing w:after="0" w:line="240" w:lineRule="auto"/>
        <w:ind w:left="709" w:right="709"/>
        <w:jc w:val="both"/>
        <w:rPr>
          <w:rFonts w:ascii="Verdana" w:eastAsia="Calibri" w:hAnsi="Verdana" w:cs="Arial"/>
          <w:color w:val="000000"/>
          <w:sz w:val="20"/>
          <w:szCs w:val="20"/>
        </w:rPr>
      </w:pPr>
    </w:p>
    <w:p w14:paraId="1E718C53" w14:textId="77777777" w:rsidR="0081088A" w:rsidRPr="00917FBF" w:rsidRDefault="0081088A" w:rsidP="0081088A">
      <w:pPr>
        <w:tabs>
          <w:tab w:val="left" w:pos="3276"/>
        </w:tabs>
        <w:spacing w:after="0" w:line="240" w:lineRule="auto"/>
        <w:ind w:left="709" w:right="709"/>
        <w:jc w:val="both"/>
        <w:rPr>
          <w:rFonts w:ascii="Verdana" w:eastAsia="Calibri" w:hAnsi="Verdana" w:cs="Arial"/>
          <w:color w:val="000000"/>
          <w:sz w:val="20"/>
          <w:szCs w:val="20"/>
        </w:rPr>
      </w:pPr>
      <w:r w:rsidRPr="00917FBF">
        <w:rPr>
          <w:rFonts w:ascii="Verdana" w:eastAsia="Calibri" w:hAnsi="Verdana" w:cs="Arial"/>
          <w:color w:val="000000" w:themeColor="text1"/>
          <w:sz w:val="20"/>
          <w:szCs w:val="20"/>
        </w:rPr>
        <w:t>En ningún caso estos contratos generan relación laboral ni prestaciones sociales y se celebrarán por el término estrictamente indispensable”.</w:t>
      </w:r>
    </w:p>
    <w:p w14:paraId="05210C5F" w14:textId="77777777" w:rsidR="0081088A" w:rsidRPr="00342512" w:rsidRDefault="0081088A" w:rsidP="0081088A">
      <w:pPr>
        <w:tabs>
          <w:tab w:val="left" w:pos="284"/>
          <w:tab w:val="left" w:pos="3276"/>
        </w:tabs>
        <w:spacing w:after="0" w:line="276" w:lineRule="auto"/>
        <w:contextualSpacing/>
        <w:jc w:val="both"/>
        <w:rPr>
          <w:rFonts w:ascii="Verdana" w:eastAsia="Calibri" w:hAnsi="Verdana" w:cs="Arial"/>
          <w:b/>
          <w:color w:val="000000"/>
        </w:rPr>
      </w:pPr>
    </w:p>
    <w:p w14:paraId="5FE43F2C" w14:textId="77777777" w:rsidR="0081088A" w:rsidRPr="00342512" w:rsidRDefault="0081088A" w:rsidP="0081088A">
      <w:pPr>
        <w:tabs>
          <w:tab w:val="left" w:pos="3276"/>
        </w:tabs>
        <w:spacing w:after="0" w:line="276" w:lineRule="auto"/>
        <w:ind w:firstLine="709"/>
        <w:jc w:val="both"/>
        <w:rPr>
          <w:rFonts w:ascii="Verdana" w:eastAsia="Calibri" w:hAnsi="Verdana" w:cs="Arial"/>
          <w:color w:val="000000"/>
        </w:rPr>
      </w:pPr>
      <w:r w:rsidRPr="00342512">
        <w:rPr>
          <w:rFonts w:ascii="Verdana" w:eastAsia="Calibri" w:hAnsi="Verdana" w:cs="Arial"/>
          <w:color w:val="000000"/>
        </w:rPr>
        <w:t>De otro lado, la celebración de dicho contrato debe efectuar</w:t>
      </w:r>
      <w:r>
        <w:rPr>
          <w:rFonts w:ascii="Verdana" w:eastAsia="Calibri" w:hAnsi="Verdana" w:cs="Arial"/>
          <w:color w:val="000000"/>
        </w:rPr>
        <w:t xml:space="preserve">se mediante </w:t>
      </w:r>
      <w:r w:rsidRPr="00342512">
        <w:rPr>
          <w:rFonts w:ascii="Verdana" w:eastAsia="Calibri" w:hAnsi="Verdana" w:cs="Arial"/>
          <w:color w:val="000000"/>
        </w:rPr>
        <w:t>la modalidad de la contratación directa. Así lo prevé el artículo 2, numeral 4º, literal h) de la Ley 1150 de 2007, que dispone:</w:t>
      </w:r>
    </w:p>
    <w:p w14:paraId="525870B2" w14:textId="77777777" w:rsidR="0081088A" w:rsidRPr="00342512" w:rsidRDefault="0081088A" w:rsidP="0081088A">
      <w:pPr>
        <w:tabs>
          <w:tab w:val="left" w:pos="3276"/>
        </w:tabs>
        <w:spacing w:after="0" w:line="240" w:lineRule="auto"/>
        <w:ind w:firstLine="709"/>
        <w:jc w:val="both"/>
        <w:rPr>
          <w:rFonts w:ascii="Verdana" w:eastAsia="Calibri" w:hAnsi="Verdana" w:cs="Arial"/>
          <w:color w:val="000000"/>
        </w:rPr>
      </w:pPr>
    </w:p>
    <w:p w14:paraId="25E84438" w14:textId="77777777" w:rsidR="0081088A" w:rsidRPr="00EE4799" w:rsidRDefault="0081088A" w:rsidP="0081088A">
      <w:pPr>
        <w:tabs>
          <w:tab w:val="left" w:pos="3276"/>
        </w:tabs>
        <w:spacing w:after="0" w:line="240" w:lineRule="auto"/>
        <w:ind w:left="709" w:right="709"/>
        <w:jc w:val="both"/>
        <w:rPr>
          <w:rFonts w:ascii="Verdana" w:eastAsia="Calibri" w:hAnsi="Verdana" w:cs="Arial"/>
          <w:color w:val="000000"/>
          <w:sz w:val="20"/>
          <w:szCs w:val="20"/>
        </w:rPr>
      </w:pPr>
      <w:r w:rsidRPr="328AD567">
        <w:rPr>
          <w:rFonts w:ascii="Verdana" w:eastAsia="Calibri" w:hAnsi="Verdana" w:cs="Arial"/>
          <w:color w:val="000000" w:themeColor="text1"/>
          <w:sz w:val="20"/>
          <w:szCs w:val="20"/>
        </w:rPr>
        <w:t>“[…]Contratación directa. La modalidad de selección de contratación directa solamente procederá en los siguientes casos:</w:t>
      </w:r>
    </w:p>
    <w:p w14:paraId="5A8DCCDE" w14:textId="77777777" w:rsidR="0081088A" w:rsidRPr="00EE4799" w:rsidRDefault="0081088A" w:rsidP="0081088A">
      <w:pPr>
        <w:tabs>
          <w:tab w:val="left" w:pos="3276"/>
        </w:tabs>
        <w:spacing w:after="0" w:line="240" w:lineRule="auto"/>
        <w:ind w:left="709" w:right="709"/>
        <w:jc w:val="both"/>
        <w:rPr>
          <w:rFonts w:ascii="Verdana" w:eastAsia="Calibri" w:hAnsi="Verdana" w:cs="Arial"/>
          <w:color w:val="000000"/>
          <w:sz w:val="20"/>
          <w:szCs w:val="20"/>
        </w:rPr>
      </w:pPr>
      <w:r w:rsidRPr="328AD567">
        <w:rPr>
          <w:rFonts w:ascii="Verdana" w:eastAsia="Calibri" w:hAnsi="Verdana" w:cs="Arial"/>
          <w:color w:val="000000" w:themeColor="text1"/>
          <w:sz w:val="20"/>
          <w:szCs w:val="20"/>
        </w:rPr>
        <w:t>[…]</w:t>
      </w:r>
    </w:p>
    <w:p w14:paraId="0CF94727" w14:textId="77777777" w:rsidR="0081088A" w:rsidRPr="00EE4799" w:rsidRDefault="0081088A" w:rsidP="0081088A">
      <w:pPr>
        <w:tabs>
          <w:tab w:val="left" w:pos="3276"/>
        </w:tabs>
        <w:spacing w:after="0" w:line="240" w:lineRule="auto"/>
        <w:ind w:left="709" w:right="709"/>
        <w:jc w:val="both"/>
        <w:rPr>
          <w:rFonts w:ascii="Verdana" w:eastAsia="Calibri" w:hAnsi="Verdana" w:cs="Arial"/>
          <w:color w:val="000000"/>
          <w:sz w:val="20"/>
          <w:szCs w:val="20"/>
        </w:rPr>
      </w:pPr>
      <w:r w:rsidRPr="328AD567">
        <w:rPr>
          <w:rFonts w:ascii="Verdana" w:eastAsia="Calibri" w:hAnsi="Verdana" w:cs="Arial"/>
          <w:color w:val="000000" w:themeColor="text1"/>
          <w:sz w:val="20"/>
          <w:szCs w:val="20"/>
        </w:rPr>
        <w:t>h) Para la prestación de servicios profesionales y de apoyo a la gestión, o para la ejecución de trabajos artísticos que sólo puedan encomendarse a determinadas personas naturales;”</w:t>
      </w:r>
    </w:p>
    <w:p w14:paraId="522B693A" w14:textId="77777777" w:rsidR="0081088A" w:rsidRPr="00342512" w:rsidRDefault="0081088A" w:rsidP="0081088A">
      <w:pPr>
        <w:tabs>
          <w:tab w:val="left" w:pos="3276"/>
        </w:tabs>
        <w:spacing w:after="0" w:line="240" w:lineRule="auto"/>
        <w:ind w:right="709"/>
        <w:jc w:val="both"/>
        <w:rPr>
          <w:rFonts w:ascii="Verdana" w:eastAsia="Calibri" w:hAnsi="Verdana" w:cs="Arial"/>
          <w:color w:val="000000"/>
        </w:rPr>
      </w:pPr>
    </w:p>
    <w:p w14:paraId="6670A98A" w14:textId="77777777" w:rsidR="0081088A" w:rsidRPr="00342512" w:rsidRDefault="0081088A" w:rsidP="0081088A">
      <w:pPr>
        <w:tabs>
          <w:tab w:val="left" w:pos="3276"/>
        </w:tabs>
        <w:spacing w:after="0" w:line="276" w:lineRule="auto"/>
        <w:ind w:firstLine="709"/>
        <w:jc w:val="both"/>
        <w:rPr>
          <w:rFonts w:ascii="Verdana" w:eastAsia="Calibri" w:hAnsi="Verdana" w:cs="Arial"/>
          <w:color w:val="000000"/>
        </w:rPr>
      </w:pPr>
      <w:r w:rsidRPr="00342512">
        <w:rPr>
          <w:rFonts w:ascii="Verdana" w:eastAsia="Calibri" w:hAnsi="Verdana" w:cs="Arial"/>
          <w:color w:val="000000"/>
        </w:rPr>
        <w:t>A partir de estos enunciados normativos, así como de otros, de carácter legal y reglamentario, que complementan su regulación, y de los pronunciamientos judiciales más destacados sobre el tema, es posible señalar las siguientes características del contrato de prestación de servicios profesionales:</w:t>
      </w:r>
    </w:p>
    <w:p w14:paraId="0B24FA50" w14:textId="77777777" w:rsidR="0081088A" w:rsidRPr="00342512" w:rsidRDefault="0081088A" w:rsidP="0081088A">
      <w:pPr>
        <w:tabs>
          <w:tab w:val="left" w:pos="3276"/>
        </w:tabs>
        <w:spacing w:before="120" w:after="120" w:line="276" w:lineRule="auto"/>
        <w:ind w:firstLine="709"/>
        <w:jc w:val="both"/>
        <w:rPr>
          <w:rFonts w:ascii="Verdana" w:eastAsia="Calibri" w:hAnsi="Verdana" w:cs="Arial"/>
          <w:color w:val="000000"/>
        </w:rPr>
      </w:pPr>
      <w:r>
        <w:rPr>
          <w:rFonts w:ascii="Verdana" w:eastAsia="Calibri" w:hAnsi="Verdana" w:cs="Arial"/>
          <w:color w:val="000000"/>
        </w:rPr>
        <w:t>a</w:t>
      </w:r>
      <w:r w:rsidRPr="00342512">
        <w:rPr>
          <w:rFonts w:ascii="Verdana" w:eastAsia="Calibri" w:hAnsi="Verdana" w:cs="Arial"/>
          <w:color w:val="000000"/>
        </w:rPr>
        <w:t xml:space="preserve">) Solo puede celebrarse para realizar </w:t>
      </w:r>
      <w:r>
        <w:rPr>
          <w:rFonts w:ascii="Verdana" w:eastAsia="Calibri" w:hAnsi="Verdana" w:cs="Arial"/>
          <w:color w:val="000000"/>
        </w:rPr>
        <w:t>“</w:t>
      </w:r>
      <w:r w:rsidRPr="00342512">
        <w:rPr>
          <w:rFonts w:ascii="Verdana" w:eastAsia="Calibri" w:hAnsi="Verdana" w:cs="Arial"/>
          <w:color w:val="000000"/>
        </w:rPr>
        <w:t>actividades relacionadas con la administración o funcionamiento de la entidad</w:t>
      </w:r>
      <w:r>
        <w:rPr>
          <w:rFonts w:ascii="Verdana" w:eastAsia="Calibri" w:hAnsi="Verdana" w:cs="Arial"/>
          <w:color w:val="000000"/>
        </w:rPr>
        <w:t>”</w:t>
      </w:r>
      <w:r w:rsidRPr="00342512">
        <w:rPr>
          <w:rFonts w:ascii="Verdana" w:eastAsia="Calibri" w:hAnsi="Verdana" w:cs="Arial"/>
          <w:color w:val="000000"/>
        </w:rPr>
        <w:t>, es decir, que hagan parte de su giro ordinario o quehacer cotidiano.</w:t>
      </w:r>
    </w:p>
    <w:p w14:paraId="24A3871C" w14:textId="77777777" w:rsidR="0081088A" w:rsidRPr="00342512" w:rsidRDefault="0081088A" w:rsidP="0081088A">
      <w:pPr>
        <w:tabs>
          <w:tab w:val="left" w:pos="3276"/>
        </w:tabs>
        <w:spacing w:before="120" w:after="120" w:line="276" w:lineRule="auto"/>
        <w:ind w:firstLine="709"/>
        <w:jc w:val="both"/>
        <w:rPr>
          <w:rFonts w:ascii="Verdana" w:eastAsia="Calibri" w:hAnsi="Verdana" w:cs="Arial"/>
          <w:color w:val="000000"/>
        </w:rPr>
      </w:pPr>
      <w:r>
        <w:rPr>
          <w:rFonts w:ascii="Verdana" w:eastAsia="Calibri" w:hAnsi="Verdana" w:cs="Arial"/>
          <w:color w:val="000000"/>
        </w:rPr>
        <w:t>b</w:t>
      </w:r>
      <w:r w:rsidRPr="00342512">
        <w:rPr>
          <w:rFonts w:ascii="Verdana" w:eastAsia="Calibri" w:hAnsi="Verdana" w:cs="Arial"/>
          <w:color w:val="000000"/>
        </w:rPr>
        <w:t>) Admite que se suscriba tanto con personas naturales, como con personas jurídicas. Sin embargo, cuando pretenda celebrarse con una persona natural, la entidad estatal debe justificar en los estudios previos que las actividades que</w:t>
      </w:r>
      <w:r>
        <w:rPr>
          <w:rFonts w:ascii="Verdana" w:eastAsia="Calibri" w:hAnsi="Verdana" w:cs="Arial"/>
          <w:color w:val="000000"/>
        </w:rPr>
        <w:t xml:space="preserve"> buscan encomendarse a aquella “</w:t>
      </w:r>
      <w:r w:rsidRPr="00342512">
        <w:rPr>
          <w:rFonts w:ascii="Verdana" w:eastAsia="Calibri" w:hAnsi="Verdana" w:cs="Arial"/>
          <w:color w:val="000000"/>
        </w:rPr>
        <w:t>no puedan realizarse con personal de planta o requier</w:t>
      </w:r>
      <w:r>
        <w:rPr>
          <w:rFonts w:ascii="Verdana" w:eastAsia="Calibri" w:hAnsi="Verdana" w:cs="Arial"/>
          <w:color w:val="000000"/>
        </w:rPr>
        <w:t>an conocimientos especializados”</w:t>
      </w:r>
      <w:r w:rsidRPr="00342512">
        <w:rPr>
          <w:rFonts w:ascii="Verdana" w:eastAsia="Calibri" w:hAnsi="Verdana" w:cs="Arial"/>
          <w:color w:val="000000"/>
        </w:rPr>
        <w:t>. 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308311EB" w14:textId="77777777" w:rsidR="0081088A" w:rsidRPr="00342512" w:rsidRDefault="0081088A" w:rsidP="0081088A">
      <w:pPr>
        <w:tabs>
          <w:tab w:val="left" w:pos="3276"/>
        </w:tabs>
        <w:spacing w:before="120" w:after="120" w:line="276" w:lineRule="auto"/>
        <w:ind w:firstLine="709"/>
        <w:jc w:val="both"/>
        <w:rPr>
          <w:rFonts w:ascii="Verdana" w:eastAsia="Calibri" w:hAnsi="Verdana" w:cs="Arial"/>
          <w:color w:val="000000"/>
        </w:rPr>
      </w:pPr>
      <w:r>
        <w:rPr>
          <w:rFonts w:ascii="Verdana" w:eastAsia="Calibri" w:hAnsi="Verdana" w:cs="Arial"/>
          <w:color w:val="000000"/>
        </w:rPr>
        <w:lastRenderedPageBreak/>
        <w:t>c</w:t>
      </w:r>
      <w:r w:rsidRPr="00342512">
        <w:rPr>
          <w:rFonts w:ascii="Verdana" w:eastAsia="Calibri" w:hAnsi="Verdana" w:cs="Arial"/>
          <w:color w:val="000000"/>
        </w:rPr>
        <w:t>) Si bien se celebran para obtener la prestación personal de un servicio, se diferencian del contrato de trabajo</w:t>
      </w:r>
      <w:r>
        <w:rPr>
          <w:rStyle w:val="Refdenotaalpie"/>
          <w:rFonts w:ascii="Verdana" w:eastAsia="Calibri" w:hAnsi="Verdana" w:cs="Arial"/>
          <w:color w:val="000000"/>
        </w:rPr>
        <w:footnoteReference w:id="1"/>
      </w:r>
      <w:r w:rsidRPr="00342512">
        <w:rPr>
          <w:rFonts w:ascii="Verdana" w:eastAsia="Calibri" w:hAnsi="Verdana" w:cs="Arial"/>
          <w:color w:val="000000"/>
        </w:rPr>
        <w:t xml:space="preserve"> en que quien celebra el contrato de prestación de servicios profesionales debe mantener autonomía e independencia en la ejecución de la labor, lo que significa que no puede existir la </w:t>
      </w:r>
      <w:r w:rsidRPr="328AD567">
        <w:rPr>
          <w:rFonts w:ascii="Verdana" w:eastAsia="Calibri" w:hAnsi="Verdana" w:cs="Arial"/>
          <w:i/>
          <w:iCs/>
          <w:color w:val="000000"/>
        </w:rPr>
        <w:t>subordinación y dependencia</w:t>
      </w:r>
      <w:r w:rsidRPr="328AD567">
        <w:rPr>
          <w:rFonts w:ascii="Verdana" w:eastAsia="Calibri" w:hAnsi="Verdana" w:cs="Arial"/>
          <w:color w:val="000000"/>
        </w:rPr>
        <w:t>,</w:t>
      </w:r>
      <w:r w:rsidRPr="00342512">
        <w:rPr>
          <w:rFonts w:ascii="Verdana" w:eastAsia="Calibri" w:hAnsi="Verdana" w:cs="Arial"/>
          <w:color w:val="000000"/>
        </w:rPr>
        <w:t xml:space="preserve"> que es uno de los elementos constitutivos del vínculo laboral. Por ello el artículo 32, numeral 3º, de l</w:t>
      </w:r>
      <w:r>
        <w:rPr>
          <w:rFonts w:ascii="Verdana" w:eastAsia="Calibri" w:hAnsi="Verdana" w:cs="Arial"/>
          <w:color w:val="000000"/>
        </w:rPr>
        <w:t>a Ley 80 de 1993 establece que “</w:t>
      </w:r>
      <w:r w:rsidRPr="00342512">
        <w:rPr>
          <w:rFonts w:ascii="Verdana" w:eastAsia="Calibri" w:hAnsi="Verdana" w:cs="Arial"/>
          <w:color w:val="000000"/>
        </w:rPr>
        <w:t>En ningún caso estos contratos generan relación laboral ni prestaciones sociales</w:t>
      </w:r>
      <w:r>
        <w:rPr>
          <w:rFonts w:ascii="Verdana" w:eastAsia="Calibri" w:hAnsi="Verdana" w:cs="Arial"/>
          <w:color w:val="000000"/>
        </w:rPr>
        <w:t>”</w:t>
      </w:r>
      <w:r w:rsidRPr="00342512">
        <w:rPr>
          <w:rFonts w:ascii="Verdana" w:eastAsia="Calibri" w:hAnsi="Verdana" w:cs="Arial"/>
          <w:color w:val="000000"/>
        </w:rPr>
        <w:t xml:space="preserve">, inciso que más que un enunciado que aluda al </w:t>
      </w:r>
      <w:r>
        <w:rPr>
          <w:rFonts w:ascii="Verdana" w:eastAsia="Calibri" w:hAnsi="Verdana" w:cs="Arial"/>
          <w:color w:val="000000"/>
        </w:rPr>
        <w:t>“ser”</w:t>
      </w:r>
      <w:r w:rsidRPr="00342512">
        <w:rPr>
          <w:rFonts w:ascii="Verdana" w:eastAsia="Calibri" w:hAnsi="Verdana" w:cs="Arial"/>
          <w:color w:val="000000"/>
        </w:rPr>
        <w:t xml:space="preserve"> se refiere al </w:t>
      </w:r>
      <w:r>
        <w:rPr>
          <w:rFonts w:ascii="Verdana" w:eastAsia="Calibri" w:hAnsi="Verdana" w:cs="Arial"/>
          <w:color w:val="000000"/>
        </w:rPr>
        <w:t>“deber ser”</w:t>
      </w:r>
      <w:r w:rsidRPr="00342512">
        <w:rPr>
          <w:rFonts w:ascii="Verdana" w:eastAsia="Calibri" w:hAnsi="Verdana" w:cs="Arial"/>
          <w:color w:val="000000"/>
        </w:rPr>
        <w:t xml:space="preserve">, pues debe interpretarse en el sentido de que los contratos de prestación de servicios profesionales </w:t>
      </w:r>
      <w:r w:rsidRPr="328AD567">
        <w:rPr>
          <w:rFonts w:ascii="Verdana" w:eastAsia="Calibri" w:hAnsi="Verdana" w:cs="Arial"/>
          <w:i/>
          <w:iCs/>
          <w:color w:val="000000"/>
        </w:rPr>
        <w:t>no pueden</w:t>
      </w:r>
      <w:r w:rsidRPr="00342512">
        <w:rPr>
          <w:rFonts w:ascii="Verdana" w:eastAsia="Calibri" w:hAnsi="Verdana" w:cs="Arial"/>
          <w:color w:val="000000"/>
        </w:rPr>
        <w:t xml:space="preserve"> generar relación laboral, ni dar lugar a que las entidades estatales paguen por su cuenta los aportes al Sistema de Seguridad Social Integral del contratista. Ello por cuanto, según se indicó, en dichos contratos no puede existir subordinación y dependencia; entonces, la relación laboral está proscrita y</w:t>
      </w:r>
      <w:r>
        <w:rPr>
          <w:rFonts w:ascii="Verdana" w:eastAsia="Calibri" w:hAnsi="Verdana" w:cs="Arial"/>
          <w:color w:val="000000"/>
        </w:rPr>
        <w:t xml:space="preserve"> es el contratista quien, como “</w:t>
      </w:r>
      <w:r w:rsidRPr="00342512">
        <w:rPr>
          <w:rFonts w:ascii="Verdana" w:eastAsia="Calibri" w:hAnsi="Verdana" w:cs="Arial"/>
          <w:color w:val="000000"/>
        </w:rPr>
        <w:t>trabajador independiente</w:t>
      </w:r>
      <w:r>
        <w:rPr>
          <w:rFonts w:ascii="Verdana" w:eastAsia="Calibri" w:hAnsi="Verdana" w:cs="Arial"/>
          <w:color w:val="000000"/>
        </w:rPr>
        <w:t xml:space="preserve">” </w:t>
      </w:r>
      <w:r w:rsidRPr="00342512">
        <w:rPr>
          <w:rFonts w:ascii="Verdana" w:eastAsia="Calibri" w:hAnsi="Verdana" w:cs="Arial"/>
          <w:color w:val="000000"/>
        </w:rPr>
        <w:t xml:space="preserve">–como lo califican las normas en materia de seguridad social– debe cotizar por </w:t>
      </w:r>
      <w:r w:rsidRPr="00BC1DCC">
        <w:rPr>
          <w:rFonts w:ascii="Verdana" w:eastAsia="Calibri" w:hAnsi="Verdana" w:cs="Arial"/>
          <w:color w:val="000000"/>
        </w:rPr>
        <w:t xml:space="preserve">su cuenta y riesgo al Sistema de Seguridad Social Integral. Pero es posible que, a pesar de este mandato deontológico, en la práctica surja la relación laboral, pues, como se sabe, el contrato de trabajo es un </w:t>
      </w:r>
      <w:r w:rsidRPr="328AD567">
        <w:rPr>
          <w:rFonts w:ascii="Verdana" w:eastAsia="Calibri" w:hAnsi="Verdana" w:cs="Arial"/>
          <w:i/>
          <w:iCs/>
          <w:color w:val="000000"/>
        </w:rPr>
        <w:t>contrato realidad</w:t>
      </w:r>
      <w:r w:rsidRPr="00BC1DCC">
        <w:rPr>
          <w:rFonts w:ascii="Verdana" w:eastAsia="Calibri" w:hAnsi="Verdana" w:cs="Arial"/>
          <w:color w:val="000000"/>
        </w:rPr>
        <w:t>, ya que para su perfeccionamiento rige el principio de la prevalencia de la realidad sobre las formalidades. En esa perspectiva, la Corte Constitucional declaró la constitucionalidad condicionada del segundo inciso del numeral 3º del artículo 32, indicando que “las expresiones acusadas del numeral 3o. del artículo 32 de la Ley 80 de 1993, no vulneran los preceptos constitucionales, razón por la cual deberán ser declaradas exequibles, salvo que se acredite por parte del contratista la existencia de una relación laboral subordinada”</w:t>
      </w:r>
      <w:r>
        <w:rPr>
          <w:rStyle w:val="Refdenotaalpie"/>
          <w:rFonts w:ascii="Verdana" w:eastAsia="Calibri" w:hAnsi="Verdana" w:cs="Arial"/>
          <w:color w:val="000000"/>
        </w:rPr>
        <w:footnoteReference w:id="2"/>
      </w:r>
      <w:r w:rsidRPr="00BC1DCC">
        <w:rPr>
          <w:rFonts w:ascii="Verdana" w:eastAsia="Calibri" w:hAnsi="Verdana" w:cs="Arial"/>
          <w:color w:val="000000"/>
        </w:rPr>
        <w:t xml:space="preserve">. En esta misma línea, la Corte Constitucional en el control de constitucionalidad a un aparte del artículo 2° del Decreto Ley 2400 de 1968 modificado por el Decreto Ley 3074 de 1968 señaló que el indebido uso del contrato de prestación de servicios, constituye una violación del derecho a la igualdad, pues tratándose de funciones de carácter permanentes, los trabajadores que se presentan en esos supuestos, podrían encontrarse en la práctica, bajo una continuada dependencia o </w:t>
      </w:r>
      <w:r w:rsidRPr="00BC1DCC">
        <w:rPr>
          <w:rFonts w:ascii="Verdana" w:eastAsia="Calibri" w:hAnsi="Verdana" w:cs="Arial"/>
          <w:color w:val="000000"/>
        </w:rPr>
        <w:lastRenderedPageBreak/>
        <w:t>subordinación, características que eventualmente configurarían una vinculación legal y reglamentaria y/o un contrato de trabajo, según sea la naturaleza jurídica de la entidad pública y el tipo de cargo</w:t>
      </w:r>
      <w:r w:rsidRPr="00BC1DCC">
        <w:rPr>
          <w:rFonts w:ascii="Verdana" w:eastAsia="Calibri" w:hAnsi="Verdana" w:cs="Arial"/>
          <w:color w:val="000000"/>
          <w:vertAlign w:val="superscript"/>
        </w:rPr>
        <w:footnoteReference w:id="3"/>
      </w:r>
      <w:r w:rsidRPr="00BC1DCC">
        <w:rPr>
          <w:rFonts w:ascii="Verdana" w:eastAsia="Calibri" w:hAnsi="Verdana" w:cs="Arial"/>
          <w:color w:val="000000"/>
        </w:rPr>
        <w:t>. De modo que, bajo la perspectiva indicada, se podría invocar la presunción de la existencia de una relación laboral; siendo contrario a uno de los aspectos más relevantes del contrato de prestación de servicio, la autonomía e independe</w:t>
      </w:r>
      <w:r>
        <w:rPr>
          <w:rFonts w:ascii="Verdana" w:eastAsia="Calibri" w:hAnsi="Verdana" w:cs="Arial"/>
          <w:color w:val="000000"/>
        </w:rPr>
        <w:t>ncia en la ejecución del mismo.</w:t>
      </w:r>
    </w:p>
    <w:p w14:paraId="2F53288F" w14:textId="77777777" w:rsidR="0081088A" w:rsidRPr="00342512" w:rsidRDefault="0081088A" w:rsidP="0081088A">
      <w:pPr>
        <w:tabs>
          <w:tab w:val="left" w:pos="3276"/>
        </w:tabs>
        <w:spacing w:after="0" w:line="276" w:lineRule="auto"/>
        <w:ind w:firstLine="709"/>
        <w:jc w:val="both"/>
        <w:rPr>
          <w:rFonts w:ascii="Verdana" w:eastAsia="Calibri" w:hAnsi="Verdana" w:cs="Arial"/>
          <w:color w:val="000000"/>
        </w:rPr>
      </w:pPr>
      <w:r>
        <w:rPr>
          <w:rFonts w:ascii="Verdana" w:eastAsia="Calibri" w:hAnsi="Verdana" w:cs="Arial"/>
          <w:color w:val="000000"/>
        </w:rPr>
        <w:t>d</w:t>
      </w:r>
      <w:r w:rsidRPr="00342512">
        <w:rPr>
          <w:rFonts w:ascii="Verdana" w:eastAsia="Calibri" w:hAnsi="Verdana" w:cs="Arial"/>
          <w:color w:val="000000"/>
        </w:rPr>
        <w:t>) Deben ser temporales. Así lo señaló la Corte Constitucional en la misma providencia a la que se aludió previamente, expresando que:</w:t>
      </w:r>
    </w:p>
    <w:p w14:paraId="2447B4AB" w14:textId="77777777" w:rsidR="0081088A" w:rsidRPr="00342512" w:rsidRDefault="0081088A" w:rsidP="0081088A">
      <w:pPr>
        <w:tabs>
          <w:tab w:val="left" w:pos="3276"/>
        </w:tabs>
        <w:spacing w:after="0" w:line="276" w:lineRule="auto"/>
        <w:ind w:firstLine="709"/>
        <w:jc w:val="both"/>
        <w:rPr>
          <w:rFonts w:ascii="Verdana" w:eastAsia="Calibri" w:hAnsi="Verdana" w:cs="Arial"/>
          <w:color w:val="000000"/>
        </w:rPr>
      </w:pPr>
    </w:p>
    <w:p w14:paraId="60C3180E" w14:textId="49BCF0DE" w:rsidR="0081088A" w:rsidRDefault="0081088A" w:rsidP="000E4BBA">
      <w:pPr>
        <w:tabs>
          <w:tab w:val="left" w:pos="3276"/>
        </w:tabs>
        <w:spacing w:after="0" w:line="240" w:lineRule="auto"/>
        <w:ind w:left="709" w:right="709"/>
        <w:jc w:val="both"/>
        <w:rPr>
          <w:rFonts w:ascii="Verdana" w:eastAsia="Calibri" w:hAnsi="Verdana" w:cs="Arial"/>
          <w:color w:val="000000"/>
          <w:sz w:val="20"/>
          <w:szCs w:val="20"/>
        </w:rPr>
      </w:pPr>
      <w:r w:rsidRPr="00917FBF">
        <w:rPr>
          <w:rFonts w:ascii="Verdana" w:eastAsia="Calibri" w:hAnsi="Verdana" w:cs="Arial"/>
          <w:color w:val="000000"/>
          <w:sz w:val="20"/>
          <w:szCs w:val="20"/>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917FBF">
        <w:rPr>
          <w:rStyle w:val="Refdenotaalpie"/>
          <w:rFonts w:ascii="Verdana" w:eastAsia="Calibri" w:hAnsi="Verdana" w:cs="Arial"/>
          <w:color w:val="000000"/>
          <w:sz w:val="20"/>
          <w:szCs w:val="20"/>
        </w:rPr>
        <w:footnoteReference w:id="4"/>
      </w:r>
      <w:r w:rsidRPr="00917FBF">
        <w:rPr>
          <w:rFonts w:ascii="Verdana" w:eastAsia="Calibri" w:hAnsi="Verdana" w:cs="Arial"/>
          <w:color w:val="000000"/>
          <w:sz w:val="20"/>
          <w:szCs w:val="20"/>
        </w:rPr>
        <w:t>.</w:t>
      </w:r>
    </w:p>
    <w:p w14:paraId="47BCED7C" w14:textId="77777777" w:rsidR="000E4BBA" w:rsidRPr="000E4BBA" w:rsidRDefault="000E4BBA" w:rsidP="000E4BBA">
      <w:pPr>
        <w:tabs>
          <w:tab w:val="left" w:pos="3276"/>
        </w:tabs>
        <w:spacing w:after="0" w:line="240" w:lineRule="auto"/>
        <w:ind w:left="709" w:right="709"/>
        <w:jc w:val="both"/>
        <w:rPr>
          <w:rFonts w:ascii="Verdana" w:eastAsia="Calibri" w:hAnsi="Verdana" w:cs="Arial"/>
          <w:color w:val="000000"/>
          <w:sz w:val="20"/>
          <w:szCs w:val="20"/>
        </w:rPr>
      </w:pPr>
    </w:p>
    <w:p w14:paraId="377EB138" w14:textId="77777777" w:rsidR="0081088A" w:rsidRPr="009E0E25" w:rsidRDefault="0081088A" w:rsidP="0081088A">
      <w:pPr>
        <w:tabs>
          <w:tab w:val="left" w:pos="3276"/>
        </w:tabs>
        <w:spacing w:after="120" w:line="276" w:lineRule="auto"/>
        <w:ind w:firstLine="709"/>
        <w:jc w:val="both"/>
        <w:rPr>
          <w:rFonts w:ascii="Verdana" w:eastAsia="Calibri" w:hAnsi="Verdana" w:cs="Arial"/>
          <w:color w:val="000000"/>
          <w:lang w:val="es-ES_tradnl" w:eastAsia="es-ES_tradnl"/>
        </w:rPr>
      </w:pPr>
      <w:r w:rsidRPr="328AD567">
        <w:rPr>
          <w:rFonts w:ascii="Verdana" w:eastAsia="Calibri" w:hAnsi="Verdana" w:cs="Arial"/>
          <w:color w:val="000000"/>
          <w:lang w:eastAsia="es-ES"/>
        </w:rPr>
        <w:t>e</w:t>
      </w:r>
      <w:r w:rsidRPr="328AD567">
        <w:rPr>
          <w:rFonts w:ascii="Verdana" w:eastAsia="Calibri" w:hAnsi="Verdana" w:cs="Arial"/>
          <w:color w:val="000000"/>
          <w:lang w:val="es-ES" w:eastAsia="es-ES"/>
        </w:rPr>
        <w:t xml:space="preserve">) Los contratos de prestación de servicios constituyen un </w:t>
      </w:r>
      <w:r w:rsidRPr="328AD567">
        <w:rPr>
          <w:rFonts w:ascii="Verdana" w:eastAsia="Calibri" w:hAnsi="Verdana" w:cs="Arial"/>
          <w:i/>
          <w:iCs/>
          <w:color w:val="000000"/>
          <w:lang w:val="es-ES" w:eastAsia="es-ES"/>
        </w:rPr>
        <w:t>género</w:t>
      </w:r>
      <w:r w:rsidRPr="328AD567">
        <w:rPr>
          <w:rFonts w:ascii="Verdana" w:eastAsia="Calibri" w:hAnsi="Verdana" w:cs="Arial"/>
          <w:color w:val="000000"/>
          <w:lang w:val="es-ES" w:eastAsia="es-ES"/>
        </w:rPr>
        <w:t xml:space="preserve"> que incluye, como </w:t>
      </w:r>
      <w:r w:rsidRPr="328AD567">
        <w:rPr>
          <w:rFonts w:ascii="Verdana" w:eastAsia="Calibri" w:hAnsi="Verdana" w:cs="Arial"/>
          <w:i/>
          <w:iCs/>
          <w:color w:val="000000"/>
          <w:lang w:val="es-ES" w:eastAsia="es-ES"/>
        </w:rPr>
        <w:t>especies</w:t>
      </w:r>
      <w:r w:rsidRPr="328AD567">
        <w:rPr>
          <w:rFonts w:ascii="Verdana" w:eastAsia="Calibri" w:hAnsi="Verdana" w:cs="Arial"/>
          <w:color w:val="000000"/>
          <w:lang w:val="es-ES" w:eastAsia="es-ES"/>
        </w:rPr>
        <w:t>, los contratos de prestación de servicios profesionales, los contratos de prestación de servicios de apoyo a la gestión y los contratos de prestación de servicios artísticos que solo pueden encomendarse a determinadas personas naturales</w:t>
      </w:r>
      <w:r w:rsidRPr="328AD567">
        <w:rPr>
          <w:rFonts w:ascii="Verdana" w:eastAsia="Calibri" w:hAnsi="Verdana" w:cs="Arial"/>
          <w:color w:val="000000"/>
          <w:vertAlign w:val="superscript"/>
          <w:lang w:val="es-ES" w:eastAsia="es-ES"/>
        </w:rPr>
        <w:footnoteReference w:id="5"/>
      </w:r>
      <w:r w:rsidRPr="328AD567">
        <w:rPr>
          <w:rFonts w:ascii="Verdana" w:eastAsia="Calibri" w:hAnsi="Verdana" w:cs="Arial"/>
          <w:color w:val="000000"/>
          <w:lang w:val="es-ES" w:eastAsia="es-ES"/>
        </w:rPr>
        <w:t xml:space="preserve">. La diferencia entre el contrato de prestación de servicios </w:t>
      </w:r>
      <w:r w:rsidRPr="328AD567">
        <w:rPr>
          <w:rFonts w:ascii="Verdana" w:eastAsia="Calibri" w:hAnsi="Verdana" w:cs="Arial"/>
          <w:i/>
          <w:iCs/>
          <w:color w:val="000000"/>
          <w:lang w:val="es-ES" w:eastAsia="es-ES"/>
        </w:rPr>
        <w:t>profesionales</w:t>
      </w:r>
      <w:r w:rsidRPr="328AD567">
        <w:rPr>
          <w:rFonts w:ascii="Verdana" w:eastAsia="Calibri" w:hAnsi="Verdana" w:cs="Arial"/>
          <w:color w:val="000000"/>
          <w:lang w:val="es-ES" w:eastAsia="es-ES"/>
        </w:rPr>
        <w:t xml:space="preserve"> con las otras dos especies del género en el cual se ubican radica </w:t>
      </w:r>
      <w:r w:rsidRPr="328AD567">
        <w:rPr>
          <w:rFonts w:ascii="Verdana" w:eastAsia="Calibri" w:hAnsi="Verdana" w:cs="Arial"/>
          <w:color w:val="000000"/>
          <w:lang w:val="es-ES" w:eastAsia="es-ES"/>
        </w:rPr>
        <w:lastRenderedPageBreak/>
        <w:t>en su contenido intelectual intangible y, al mismo tiempo, en la formación profesional que se exige para desempeñar la labor</w:t>
      </w:r>
      <w:r w:rsidRPr="328AD567">
        <w:rPr>
          <w:rFonts w:ascii="Verdana" w:eastAsia="Calibri" w:hAnsi="Verdana" w:cs="Arial"/>
          <w:color w:val="000000"/>
          <w:vertAlign w:val="superscript"/>
          <w:lang w:val="es-ES" w:eastAsia="es-ES"/>
        </w:rPr>
        <w:footnoteReference w:id="6"/>
      </w:r>
      <w:r w:rsidRPr="328AD567">
        <w:rPr>
          <w:rFonts w:ascii="Verdana" w:eastAsia="Calibri" w:hAnsi="Verdana" w:cs="Arial"/>
          <w:color w:val="000000"/>
          <w:lang w:val="es-ES" w:eastAsia="es-ES"/>
        </w:rPr>
        <w:t>.</w:t>
      </w:r>
    </w:p>
    <w:p w14:paraId="12618CE9" w14:textId="77777777" w:rsidR="0081088A" w:rsidRPr="009E0E25" w:rsidRDefault="0081088A" w:rsidP="0081088A">
      <w:pPr>
        <w:tabs>
          <w:tab w:val="left" w:pos="3276"/>
        </w:tabs>
        <w:spacing w:after="120" w:line="276" w:lineRule="auto"/>
        <w:ind w:firstLine="709"/>
        <w:jc w:val="both"/>
        <w:rPr>
          <w:rFonts w:ascii="Verdana" w:eastAsia="Calibri" w:hAnsi="Verdana" w:cs="Arial"/>
          <w:color w:val="000000"/>
          <w:lang w:val="es-ES" w:eastAsia="es-ES"/>
        </w:rPr>
      </w:pPr>
      <w:r w:rsidRPr="328AD567">
        <w:rPr>
          <w:rFonts w:ascii="Verdana" w:eastAsia="Calibri" w:hAnsi="Verdana" w:cs="Arial"/>
          <w:color w:val="000000"/>
          <w:lang w:val="es-ES" w:eastAsia="es-ES"/>
        </w:rPr>
        <w:t>f</w:t>
      </w:r>
      <w:r w:rsidRPr="009E0E25">
        <w:rPr>
          <w:rFonts w:ascii="Verdana" w:eastAsia="Calibri" w:hAnsi="Verdana" w:cs="Arial"/>
          <w:color w:val="000000"/>
          <w:lang w:val="es-ES" w:eastAsia="es-ES"/>
        </w:rPr>
        <w:t>) Su celebración debe realizarse a través de la modalidad de contratación directa, independientemente de la cuantía y del tipo de servicio, siempre que este no ingrese dentro del objeto del contrato de consultoría, pues, como lo indicó el Consejo de Estado en la sentencia de unificación jurisprudencial, si bien en ambos existe un componente intelectual intangible, el objeto del contrato de consultoría es especial y debe celebrarse, por regla general, precedido de un concurso de méritos</w:t>
      </w:r>
      <w:r w:rsidRPr="009E0E25">
        <w:rPr>
          <w:rFonts w:ascii="Verdana" w:eastAsia="Calibri" w:hAnsi="Verdana" w:cs="Arial"/>
          <w:color w:val="000000"/>
          <w:vertAlign w:val="superscript"/>
          <w:lang w:val="es-ES" w:eastAsia="es-ES"/>
        </w:rPr>
        <w:footnoteReference w:id="7"/>
      </w:r>
      <w:r w:rsidRPr="009E0E25">
        <w:rPr>
          <w:rFonts w:ascii="Verdana" w:eastAsia="Calibri" w:hAnsi="Verdana" w:cs="Arial"/>
          <w:color w:val="000000"/>
          <w:lang w:val="es-ES" w:eastAsia="es-ES"/>
        </w:rPr>
        <w:t>. Pero, tampoco puede suscribirse un contrato de prestación de servicios profesionales para que el contratista ejecute labores que se enmarcan dentro de los otros contratos tipificados en el artículo 32 de la Ley 80 de 1993, como, por ejemplo, para que el contratista de prestación de servicios construya una obra.</w:t>
      </w:r>
    </w:p>
    <w:p w14:paraId="436778C6" w14:textId="77777777" w:rsidR="0081088A" w:rsidRPr="009E0E25" w:rsidRDefault="0081088A" w:rsidP="0081088A">
      <w:pPr>
        <w:tabs>
          <w:tab w:val="left" w:pos="3276"/>
        </w:tabs>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g</w:t>
      </w:r>
      <w:r w:rsidRPr="009E0E25">
        <w:rPr>
          <w:rFonts w:ascii="Verdana" w:eastAsia="Calibri" w:hAnsi="Verdana" w:cs="Arial"/>
          <w:color w:val="000000"/>
          <w:lang w:val="es-ES" w:eastAsia="es-ES"/>
        </w:rPr>
        <w:t>) Para su celebración no se requiere en algunos casos la expedición del acto administrativo de justificación de la contratación directa</w:t>
      </w:r>
      <w:r w:rsidRPr="009E0E25">
        <w:rPr>
          <w:rFonts w:ascii="Verdana" w:eastAsia="Calibri" w:hAnsi="Verdana" w:cs="Arial"/>
          <w:color w:val="000000"/>
          <w:vertAlign w:val="superscript"/>
          <w:lang w:val="es-ES" w:eastAsia="es-ES"/>
        </w:rPr>
        <w:footnoteReference w:id="8"/>
      </w:r>
      <w:r w:rsidRPr="009E0E25">
        <w:rPr>
          <w:rFonts w:ascii="Verdana" w:eastAsia="Calibri" w:hAnsi="Verdana" w:cs="Arial"/>
          <w:color w:val="000000"/>
          <w:lang w:val="es-ES" w:eastAsia="es-ES"/>
        </w:rPr>
        <w:t xml:space="preserve">. </w:t>
      </w:r>
    </w:p>
    <w:p w14:paraId="73910B42" w14:textId="77777777" w:rsidR="0081088A" w:rsidRPr="009E0E25" w:rsidRDefault="0081088A" w:rsidP="0081088A">
      <w:pPr>
        <w:tabs>
          <w:tab w:val="left" w:pos="3276"/>
        </w:tabs>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h</w:t>
      </w:r>
      <w:r w:rsidRPr="009E0E25">
        <w:rPr>
          <w:rFonts w:ascii="Verdana" w:eastAsia="Calibri" w:hAnsi="Verdana" w:cs="Arial"/>
          <w:color w:val="000000"/>
          <w:lang w:val="es-ES" w:eastAsia="es-ES"/>
        </w:rPr>
        <w:t xml:space="preserve">) Admiten el pacto de cláusulas excepcionales. Es decir, en los contratos de prestación de servicios se puede estipular la caducidad, así como la modificación, interpretación o terminación unilaterales, como elementos accidentales, o sea que para que puedan ejercerse dichas exorbitancias han </w:t>
      </w:r>
      <w:r w:rsidRPr="009E0E25">
        <w:rPr>
          <w:rFonts w:ascii="Verdana" w:eastAsia="Calibri" w:hAnsi="Verdana" w:cs="Arial"/>
          <w:color w:val="000000"/>
          <w:lang w:val="es-ES" w:eastAsia="es-ES"/>
        </w:rPr>
        <w:lastRenderedPageBreak/>
        <w:t>debido quedar incluidas expresamente en el contrato, ya que no se entienden pactadas por naturaleza. Así se infiere del artículo 14, numeral 2º, de la Ley 80 de 1993</w:t>
      </w:r>
      <w:r w:rsidRPr="009E0E25">
        <w:rPr>
          <w:rFonts w:ascii="Verdana" w:eastAsia="Calibri" w:hAnsi="Verdana" w:cs="Arial"/>
          <w:color w:val="000000"/>
          <w:vertAlign w:val="superscript"/>
          <w:lang w:val="es-ES" w:eastAsia="es-ES"/>
        </w:rPr>
        <w:footnoteReference w:id="9"/>
      </w:r>
      <w:r w:rsidRPr="009E0E25">
        <w:rPr>
          <w:rFonts w:ascii="Verdana" w:eastAsia="Calibri" w:hAnsi="Verdana" w:cs="Arial"/>
          <w:color w:val="000000"/>
          <w:lang w:val="es-ES" w:eastAsia="es-ES"/>
        </w:rPr>
        <w:t>.</w:t>
      </w:r>
    </w:p>
    <w:p w14:paraId="1E69E02F" w14:textId="77777777" w:rsidR="0081088A" w:rsidRPr="009E0E25" w:rsidRDefault="0081088A" w:rsidP="0081088A">
      <w:pPr>
        <w:tabs>
          <w:tab w:val="left" w:pos="3276"/>
        </w:tabs>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i</w:t>
      </w:r>
      <w:r w:rsidRPr="009E0E25">
        <w:rPr>
          <w:rFonts w:ascii="Verdana" w:eastAsia="Calibri" w:hAnsi="Verdana" w:cs="Arial"/>
          <w:color w:val="000000"/>
          <w:lang w:val="es-ES" w:eastAsia="es-ES"/>
        </w:rPr>
        <w:t>) En algunos casos no es obligatoria la liquidación, pues así lo estableció el artículo 217 del Decreto 019 de 2012, que modificó el artículo 60 de la Ley 80 de 1993</w:t>
      </w:r>
      <w:r w:rsidRPr="009E0E25">
        <w:rPr>
          <w:rFonts w:ascii="Verdana" w:eastAsia="Calibri" w:hAnsi="Verdana" w:cs="Arial"/>
          <w:color w:val="000000"/>
          <w:vertAlign w:val="superscript"/>
          <w:lang w:val="es-ES" w:eastAsia="es-ES"/>
        </w:rPr>
        <w:footnoteReference w:id="10"/>
      </w:r>
      <w:r w:rsidRPr="009E0E25">
        <w:rPr>
          <w:rFonts w:ascii="Verdana" w:eastAsia="Calibri" w:hAnsi="Verdana" w:cs="Arial"/>
          <w:color w:val="000000"/>
          <w:lang w:val="es-ES" w:eastAsia="es-ES"/>
        </w:rPr>
        <w:t>, refiriéndose a los contratos de prestación de servicios profesionales y de apoyo a la gestión.</w:t>
      </w:r>
    </w:p>
    <w:p w14:paraId="5ECA32A1" w14:textId="77777777" w:rsidR="0081088A" w:rsidRPr="009E0E25" w:rsidRDefault="0081088A" w:rsidP="0081088A">
      <w:pPr>
        <w:tabs>
          <w:tab w:val="left" w:pos="3276"/>
        </w:tabs>
        <w:spacing w:after="120" w:line="276" w:lineRule="auto"/>
        <w:ind w:firstLine="709"/>
        <w:jc w:val="both"/>
        <w:rPr>
          <w:rFonts w:ascii="Verdana" w:eastAsia="Calibri" w:hAnsi="Verdana" w:cs="Arial"/>
          <w:color w:val="000000"/>
          <w:lang w:val="es-ES_tradnl" w:eastAsia="es-ES_tradnl"/>
        </w:rPr>
      </w:pPr>
      <w:r w:rsidRPr="328AD567">
        <w:rPr>
          <w:rFonts w:ascii="Verdana" w:eastAsia="Calibri" w:hAnsi="Verdana" w:cs="Arial"/>
          <w:color w:val="000000"/>
          <w:lang w:val="es-ES" w:eastAsia="es-ES"/>
        </w:rPr>
        <w:t>j) Para su celebración no se requiere inscripción en el Registro Único de Proponentes (RUP), según lo prevé el artículo 6 de la Ley 1150 de 2007</w:t>
      </w:r>
      <w:r w:rsidRPr="328AD567">
        <w:rPr>
          <w:rFonts w:ascii="Verdana" w:eastAsia="Calibri" w:hAnsi="Verdana" w:cs="Arial"/>
          <w:color w:val="000000"/>
          <w:vertAlign w:val="superscript"/>
          <w:lang w:val="es-ES" w:eastAsia="es-ES"/>
        </w:rPr>
        <w:footnoteReference w:id="11"/>
      </w:r>
      <w:r w:rsidRPr="328AD567">
        <w:rPr>
          <w:rFonts w:ascii="Verdana" w:eastAsia="Calibri" w:hAnsi="Verdana" w:cs="Arial"/>
          <w:color w:val="000000"/>
          <w:lang w:val="es-ES" w:eastAsia="es-ES"/>
        </w:rPr>
        <w:t>.</w:t>
      </w:r>
    </w:p>
    <w:p w14:paraId="0E05363D" w14:textId="77777777" w:rsidR="0081088A" w:rsidRPr="002446F8" w:rsidRDefault="0081088A" w:rsidP="0081088A">
      <w:pPr>
        <w:tabs>
          <w:tab w:val="left" w:pos="3276"/>
        </w:tabs>
        <w:spacing w:after="120" w:line="276" w:lineRule="auto"/>
        <w:ind w:firstLine="709"/>
        <w:jc w:val="both"/>
        <w:rPr>
          <w:rFonts w:ascii="Verdana" w:eastAsia="Calibri" w:hAnsi="Verdana" w:cs="Arial"/>
          <w:color w:val="000000"/>
          <w:lang w:val="es-ES_tradnl" w:eastAsia="es-ES_tradnl"/>
        </w:rPr>
      </w:pPr>
      <w:r w:rsidRPr="328AD567">
        <w:rPr>
          <w:rFonts w:ascii="Verdana" w:eastAsia="Calibri" w:hAnsi="Verdana" w:cs="Arial"/>
          <w:color w:val="000000"/>
          <w:lang w:val="es-ES" w:eastAsia="es-ES"/>
        </w:rPr>
        <w:t>xi) En ellos no son necesarias las garantías</w:t>
      </w:r>
      <w:r w:rsidRPr="328AD567">
        <w:rPr>
          <w:rFonts w:ascii="Verdana" w:eastAsia="Calibri" w:hAnsi="Verdana" w:cs="Arial"/>
          <w:color w:val="000000"/>
          <w:vertAlign w:val="superscript"/>
          <w:lang w:val="es-ES" w:eastAsia="es-ES"/>
        </w:rPr>
        <w:footnoteReference w:id="12"/>
      </w:r>
      <w:r w:rsidRPr="328AD567">
        <w:rPr>
          <w:rFonts w:ascii="Verdana" w:eastAsia="Calibri" w:hAnsi="Verdana" w:cs="Arial"/>
          <w:color w:val="000000"/>
          <w:lang w:val="es-ES" w:eastAsia="es-ES"/>
        </w:rPr>
        <w:t>.</w:t>
      </w:r>
    </w:p>
    <w:p w14:paraId="54DEA750" w14:textId="77777777" w:rsidR="00453CA0" w:rsidRDefault="0081088A" w:rsidP="007E0189">
      <w:pPr>
        <w:spacing w:after="120" w:line="276" w:lineRule="auto"/>
        <w:jc w:val="both"/>
        <w:rPr>
          <w:rFonts w:ascii="Verdana" w:hAnsi="Verdana"/>
        </w:rPr>
      </w:pPr>
      <w:r w:rsidRPr="009736BF">
        <w:rPr>
          <w:rFonts w:ascii="Verdana" w:eastAsia="Calibri" w:hAnsi="Verdana" w:cs="Arial"/>
          <w:color w:val="000000" w:themeColor="text1"/>
          <w:lang w:val="es-ES"/>
        </w:rPr>
        <w:t xml:space="preserve">ii. </w:t>
      </w:r>
      <w:r>
        <w:rPr>
          <w:rFonts w:ascii="Verdana" w:hAnsi="Verdana"/>
          <w:lang w:val="es-ES"/>
        </w:rPr>
        <w:t>El</w:t>
      </w:r>
      <w:r w:rsidRPr="009736BF">
        <w:rPr>
          <w:rFonts w:ascii="Verdana" w:hAnsi="Verdana"/>
        </w:rPr>
        <w:t xml:space="preserve"> fuero de maternidad es una institución jurídica que otorga una protección reforzada a la futura madre y a la que acaba de serlo, es decir, a la mujer</w:t>
      </w:r>
      <w:r w:rsidRPr="009736BF">
        <w:rPr>
          <w:rFonts w:ascii="Verdana" w:hAnsi="Verdana"/>
          <w:spacing w:val="-6"/>
        </w:rPr>
        <w:t xml:space="preserve"> </w:t>
      </w:r>
      <w:r w:rsidRPr="009736BF">
        <w:rPr>
          <w:rFonts w:ascii="Verdana" w:hAnsi="Verdana"/>
        </w:rPr>
        <w:t>que</w:t>
      </w:r>
      <w:r w:rsidRPr="009736BF">
        <w:rPr>
          <w:rFonts w:ascii="Verdana" w:hAnsi="Verdana"/>
          <w:spacing w:val="-7"/>
        </w:rPr>
        <w:t xml:space="preserve"> </w:t>
      </w:r>
      <w:r w:rsidRPr="009736BF">
        <w:rPr>
          <w:rFonts w:ascii="Verdana" w:hAnsi="Verdana"/>
        </w:rPr>
        <w:t>se</w:t>
      </w:r>
      <w:r w:rsidRPr="009736BF">
        <w:rPr>
          <w:rFonts w:ascii="Verdana" w:hAnsi="Verdana"/>
          <w:spacing w:val="-7"/>
        </w:rPr>
        <w:t xml:space="preserve"> </w:t>
      </w:r>
      <w:r w:rsidRPr="009736BF">
        <w:rPr>
          <w:rFonts w:ascii="Verdana" w:hAnsi="Verdana"/>
        </w:rPr>
        <w:t>encuentra</w:t>
      </w:r>
      <w:r w:rsidRPr="009736BF">
        <w:rPr>
          <w:rFonts w:ascii="Verdana" w:hAnsi="Verdana"/>
          <w:spacing w:val="-5"/>
        </w:rPr>
        <w:t xml:space="preserve"> </w:t>
      </w:r>
      <w:r w:rsidRPr="009736BF">
        <w:rPr>
          <w:rFonts w:ascii="Verdana" w:hAnsi="Verdana"/>
        </w:rPr>
        <w:t>en</w:t>
      </w:r>
      <w:r w:rsidRPr="009736BF">
        <w:rPr>
          <w:rFonts w:ascii="Verdana" w:hAnsi="Verdana"/>
          <w:spacing w:val="-7"/>
        </w:rPr>
        <w:t xml:space="preserve"> </w:t>
      </w:r>
      <w:r w:rsidRPr="009736BF">
        <w:rPr>
          <w:rFonts w:ascii="Verdana" w:hAnsi="Verdana"/>
        </w:rPr>
        <w:t>estado</w:t>
      </w:r>
      <w:r w:rsidRPr="009736BF">
        <w:rPr>
          <w:rFonts w:ascii="Verdana" w:hAnsi="Verdana"/>
          <w:spacing w:val="-6"/>
        </w:rPr>
        <w:t xml:space="preserve"> </w:t>
      </w:r>
      <w:r w:rsidRPr="009736BF">
        <w:rPr>
          <w:rFonts w:ascii="Verdana" w:hAnsi="Verdana"/>
        </w:rPr>
        <w:t>de</w:t>
      </w:r>
      <w:r w:rsidRPr="009736BF">
        <w:rPr>
          <w:rFonts w:ascii="Verdana" w:hAnsi="Verdana"/>
          <w:spacing w:val="-7"/>
        </w:rPr>
        <w:t xml:space="preserve"> </w:t>
      </w:r>
      <w:r w:rsidRPr="009736BF">
        <w:rPr>
          <w:rFonts w:ascii="Verdana" w:hAnsi="Verdana"/>
        </w:rPr>
        <w:t>embarazo,</w:t>
      </w:r>
      <w:r w:rsidRPr="009736BF">
        <w:rPr>
          <w:rFonts w:ascii="Verdana" w:hAnsi="Verdana"/>
          <w:spacing w:val="-7"/>
        </w:rPr>
        <w:t xml:space="preserve"> </w:t>
      </w:r>
      <w:r w:rsidRPr="009736BF">
        <w:rPr>
          <w:rFonts w:ascii="Verdana" w:hAnsi="Verdana"/>
        </w:rPr>
        <w:t>en</w:t>
      </w:r>
      <w:r w:rsidRPr="009736BF">
        <w:rPr>
          <w:rFonts w:ascii="Verdana" w:hAnsi="Verdana"/>
          <w:spacing w:val="-7"/>
        </w:rPr>
        <w:t xml:space="preserve"> </w:t>
      </w:r>
      <w:r w:rsidRPr="009736BF">
        <w:rPr>
          <w:rFonts w:ascii="Verdana" w:hAnsi="Verdana"/>
        </w:rPr>
        <w:t>licencia</w:t>
      </w:r>
      <w:r w:rsidRPr="009736BF">
        <w:rPr>
          <w:rFonts w:ascii="Verdana" w:hAnsi="Verdana"/>
          <w:spacing w:val="-5"/>
        </w:rPr>
        <w:t xml:space="preserve"> </w:t>
      </w:r>
      <w:r w:rsidRPr="009736BF">
        <w:rPr>
          <w:rFonts w:ascii="Verdana" w:hAnsi="Verdana"/>
        </w:rPr>
        <w:t>de</w:t>
      </w:r>
      <w:r w:rsidRPr="009736BF">
        <w:rPr>
          <w:rFonts w:ascii="Verdana" w:hAnsi="Verdana"/>
          <w:spacing w:val="-7"/>
        </w:rPr>
        <w:t xml:space="preserve"> </w:t>
      </w:r>
      <w:r w:rsidRPr="009736BF">
        <w:rPr>
          <w:rFonts w:ascii="Verdana" w:hAnsi="Verdana"/>
        </w:rPr>
        <w:t>maternidad</w:t>
      </w:r>
      <w:r w:rsidRPr="009736BF">
        <w:rPr>
          <w:rFonts w:ascii="Verdana" w:hAnsi="Verdana"/>
          <w:spacing w:val="-5"/>
        </w:rPr>
        <w:t xml:space="preserve"> </w:t>
      </w:r>
      <w:r w:rsidRPr="009736BF">
        <w:rPr>
          <w:rFonts w:ascii="Verdana" w:hAnsi="Verdana"/>
        </w:rPr>
        <w:t>y</w:t>
      </w:r>
      <w:r w:rsidRPr="009736BF">
        <w:rPr>
          <w:rFonts w:ascii="Verdana" w:hAnsi="Verdana"/>
          <w:spacing w:val="-7"/>
        </w:rPr>
        <w:t xml:space="preserve"> </w:t>
      </w:r>
      <w:r w:rsidRPr="009736BF">
        <w:rPr>
          <w:rFonts w:ascii="Verdana" w:hAnsi="Verdana"/>
        </w:rPr>
        <w:t>en periodo</w:t>
      </w:r>
      <w:r w:rsidRPr="009736BF">
        <w:rPr>
          <w:rFonts w:ascii="Verdana" w:hAnsi="Verdana"/>
          <w:spacing w:val="-10"/>
        </w:rPr>
        <w:t xml:space="preserve"> </w:t>
      </w:r>
      <w:r w:rsidRPr="009736BF">
        <w:rPr>
          <w:rFonts w:ascii="Verdana" w:hAnsi="Verdana"/>
        </w:rPr>
        <w:t>de</w:t>
      </w:r>
      <w:r w:rsidRPr="009736BF">
        <w:rPr>
          <w:rFonts w:ascii="Verdana" w:hAnsi="Verdana"/>
          <w:spacing w:val="-11"/>
        </w:rPr>
        <w:t xml:space="preserve"> </w:t>
      </w:r>
      <w:r w:rsidRPr="009736BF">
        <w:rPr>
          <w:rFonts w:ascii="Verdana" w:hAnsi="Verdana"/>
        </w:rPr>
        <w:t>lactancia. Esto</w:t>
      </w:r>
      <w:r w:rsidRPr="009736BF">
        <w:rPr>
          <w:rFonts w:ascii="Verdana" w:hAnsi="Verdana"/>
          <w:spacing w:val="-12"/>
        </w:rPr>
        <w:t xml:space="preserve"> </w:t>
      </w:r>
      <w:r w:rsidRPr="009736BF">
        <w:rPr>
          <w:rFonts w:ascii="Verdana" w:hAnsi="Verdana"/>
        </w:rPr>
        <w:t>con</w:t>
      </w:r>
      <w:r w:rsidRPr="009736BF">
        <w:rPr>
          <w:rFonts w:ascii="Verdana" w:hAnsi="Verdana"/>
          <w:spacing w:val="-11"/>
        </w:rPr>
        <w:t xml:space="preserve"> </w:t>
      </w:r>
      <w:r w:rsidRPr="009736BF">
        <w:rPr>
          <w:rFonts w:ascii="Verdana" w:hAnsi="Verdana"/>
        </w:rPr>
        <w:t>el</w:t>
      </w:r>
      <w:r w:rsidRPr="009736BF">
        <w:rPr>
          <w:rFonts w:ascii="Verdana" w:hAnsi="Verdana"/>
          <w:spacing w:val="-11"/>
        </w:rPr>
        <w:t xml:space="preserve"> </w:t>
      </w:r>
      <w:r w:rsidRPr="009736BF">
        <w:rPr>
          <w:rFonts w:ascii="Verdana" w:hAnsi="Verdana"/>
        </w:rPr>
        <w:t>fin</w:t>
      </w:r>
      <w:r w:rsidRPr="009736BF">
        <w:rPr>
          <w:rFonts w:ascii="Verdana" w:hAnsi="Verdana"/>
          <w:spacing w:val="-11"/>
        </w:rPr>
        <w:t xml:space="preserve"> </w:t>
      </w:r>
      <w:r w:rsidRPr="009736BF">
        <w:rPr>
          <w:rFonts w:ascii="Verdana" w:hAnsi="Verdana"/>
        </w:rPr>
        <w:t>de</w:t>
      </w:r>
      <w:r w:rsidRPr="009736BF">
        <w:rPr>
          <w:rFonts w:ascii="Verdana" w:hAnsi="Verdana"/>
          <w:spacing w:val="-11"/>
        </w:rPr>
        <w:t xml:space="preserve"> </w:t>
      </w:r>
      <w:r w:rsidRPr="009736BF">
        <w:rPr>
          <w:rFonts w:ascii="Verdana" w:hAnsi="Verdana"/>
        </w:rPr>
        <w:t>que</w:t>
      </w:r>
      <w:r w:rsidRPr="009736BF">
        <w:rPr>
          <w:rFonts w:ascii="Verdana" w:hAnsi="Verdana"/>
          <w:spacing w:val="-11"/>
        </w:rPr>
        <w:t xml:space="preserve"> </w:t>
      </w:r>
      <w:r w:rsidRPr="009736BF">
        <w:rPr>
          <w:rFonts w:ascii="Verdana" w:hAnsi="Verdana"/>
        </w:rPr>
        <w:t>el</w:t>
      </w:r>
      <w:r w:rsidRPr="009736BF">
        <w:rPr>
          <w:rFonts w:ascii="Verdana" w:hAnsi="Verdana"/>
          <w:spacing w:val="-11"/>
        </w:rPr>
        <w:t xml:space="preserve"> </w:t>
      </w:r>
      <w:r w:rsidRPr="009736BF">
        <w:rPr>
          <w:rFonts w:ascii="Verdana" w:hAnsi="Verdana"/>
        </w:rPr>
        <w:t>proceso</w:t>
      </w:r>
      <w:r w:rsidRPr="009736BF">
        <w:rPr>
          <w:rFonts w:ascii="Verdana" w:hAnsi="Verdana"/>
          <w:spacing w:val="-9"/>
        </w:rPr>
        <w:t xml:space="preserve"> </w:t>
      </w:r>
      <w:r w:rsidRPr="009736BF">
        <w:rPr>
          <w:rFonts w:ascii="Verdana" w:hAnsi="Verdana"/>
        </w:rPr>
        <w:t>de</w:t>
      </w:r>
      <w:r w:rsidRPr="009736BF">
        <w:rPr>
          <w:rFonts w:ascii="Verdana" w:hAnsi="Verdana"/>
          <w:spacing w:val="-11"/>
        </w:rPr>
        <w:t xml:space="preserve"> </w:t>
      </w:r>
      <w:r w:rsidRPr="009736BF">
        <w:rPr>
          <w:rFonts w:ascii="Verdana" w:hAnsi="Verdana"/>
        </w:rPr>
        <w:t>gestación</w:t>
      </w:r>
      <w:r w:rsidRPr="009736BF">
        <w:rPr>
          <w:rFonts w:ascii="Verdana" w:hAnsi="Verdana"/>
          <w:spacing w:val="-8"/>
        </w:rPr>
        <w:t xml:space="preserve"> </w:t>
      </w:r>
      <w:r w:rsidRPr="009736BF">
        <w:rPr>
          <w:rFonts w:ascii="Verdana" w:hAnsi="Verdana"/>
        </w:rPr>
        <w:t>no</w:t>
      </w:r>
      <w:r w:rsidRPr="009736BF">
        <w:rPr>
          <w:rFonts w:ascii="Verdana" w:hAnsi="Verdana"/>
          <w:spacing w:val="-11"/>
        </w:rPr>
        <w:t xml:space="preserve"> </w:t>
      </w:r>
      <w:r w:rsidRPr="009736BF">
        <w:rPr>
          <w:rFonts w:ascii="Verdana" w:hAnsi="Verdana"/>
        </w:rPr>
        <w:t>interfiera</w:t>
      </w:r>
      <w:r w:rsidRPr="009736BF">
        <w:rPr>
          <w:rFonts w:ascii="Verdana" w:hAnsi="Verdana"/>
          <w:spacing w:val="-9"/>
        </w:rPr>
        <w:t xml:space="preserve"> </w:t>
      </w:r>
      <w:r w:rsidRPr="009736BF">
        <w:rPr>
          <w:rFonts w:ascii="Verdana" w:hAnsi="Verdana"/>
        </w:rPr>
        <w:t>en</w:t>
      </w:r>
      <w:r w:rsidRPr="009736BF">
        <w:rPr>
          <w:rFonts w:ascii="Verdana" w:hAnsi="Verdana"/>
          <w:spacing w:val="-11"/>
        </w:rPr>
        <w:t xml:space="preserve"> </w:t>
      </w:r>
      <w:r w:rsidRPr="009736BF">
        <w:rPr>
          <w:rFonts w:ascii="Verdana" w:hAnsi="Verdana"/>
        </w:rPr>
        <w:t>la estabilidad ocupacional que, como trabajadora, le asiste. El propósito es que las aspiraciones familiares y profesionales de la mujer no se excluyan y puedan armonizarse, al punto de desarrollar su proyecto de vida y su personalidad en condiciones</w:t>
      </w:r>
      <w:r w:rsidRPr="009736BF">
        <w:rPr>
          <w:rFonts w:ascii="Verdana" w:hAnsi="Verdana"/>
          <w:spacing w:val="-12"/>
        </w:rPr>
        <w:t xml:space="preserve"> </w:t>
      </w:r>
      <w:r w:rsidRPr="009736BF">
        <w:rPr>
          <w:rFonts w:ascii="Verdana" w:hAnsi="Verdana"/>
        </w:rPr>
        <w:t>de</w:t>
      </w:r>
      <w:r w:rsidRPr="009736BF">
        <w:rPr>
          <w:rFonts w:ascii="Verdana" w:hAnsi="Verdana"/>
          <w:spacing w:val="-15"/>
        </w:rPr>
        <w:t xml:space="preserve"> </w:t>
      </w:r>
      <w:r w:rsidRPr="009736BF">
        <w:rPr>
          <w:rFonts w:ascii="Verdana" w:hAnsi="Verdana"/>
        </w:rPr>
        <w:t>dignidad</w:t>
      </w:r>
      <w:r w:rsidRPr="009736BF">
        <w:rPr>
          <w:rFonts w:ascii="Verdana" w:hAnsi="Verdana"/>
          <w:spacing w:val="-14"/>
        </w:rPr>
        <w:t xml:space="preserve"> </w:t>
      </w:r>
      <w:r w:rsidRPr="009736BF">
        <w:rPr>
          <w:rFonts w:ascii="Verdana" w:hAnsi="Verdana"/>
        </w:rPr>
        <w:t>y</w:t>
      </w:r>
      <w:r w:rsidRPr="009736BF">
        <w:rPr>
          <w:rFonts w:ascii="Verdana" w:hAnsi="Verdana"/>
          <w:spacing w:val="-15"/>
        </w:rPr>
        <w:t xml:space="preserve"> </w:t>
      </w:r>
      <w:r w:rsidRPr="009736BF">
        <w:rPr>
          <w:rFonts w:ascii="Verdana" w:hAnsi="Verdana"/>
        </w:rPr>
        <w:t>libertad,</w:t>
      </w:r>
      <w:r w:rsidRPr="009736BF">
        <w:rPr>
          <w:rFonts w:ascii="Verdana" w:hAnsi="Verdana"/>
          <w:spacing w:val="-13"/>
        </w:rPr>
        <w:t xml:space="preserve"> </w:t>
      </w:r>
      <w:r w:rsidRPr="009736BF">
        <w:rPr>
          <w:rFonts w:ascii="Verdana" w:hAnsi="Verdana"/>
        </w:rPr>
        <w:t>pues</w:t>
      </w:r>
      <w:r w:rsidRPr="009736BF">
        <w:rPr>
          <w:rFonts w:ascii="Verdana" w:hAnsi="Verdana"/>
          <w:spacing w:val="-14"/>
        </w:rPr>
        <w:t xml:space="preserve"> </w:t>
      </w:r>
      <w:r w:rsidRPr="009736BF">
        <w:rPr>
          <w:rFonts w:ascii="Verdana" w:hAnsi="Verdana"/>
        </w:rPr>
        <w:t>históricamente</w:t>
      </w:r>
      <w:r w:rsidRPr="009736BF">
        <w:rPr>
          <w:rFonts w:ascii="Verdana" w:hAnsi="Verdana"/>
          <w:spacing w:val="-11"/>
        </w:rPr>
        <w:t xml:space="preserve"> </w:t>
      </w:r>
      <w:r w:rsidRPr="009736BF">
        <w:rPr>
          <w:rFonts w:ascii="Verdana" w:hAnsi="Verdana"/>
        </w:rPr>
        <w:t>el</w:t>
      </w:r>
      <w:r w:rsidRPr="009736BF">
        <w:rPr>
          <w:rFonts w:ascii="Verdana" w:hAnsi="Verdana"/>
          <w:spacing w:val="-15"/>
        </w:rPr>
        <w:t xml:space="preserve"> </w:t>
      </w:r>
      <w:r w:rsidRPr="009736BF">
        <w:rPr>
          <w:rFonts w:ascii="Verdana" w:hAnsi="Verdana"/>
        </w:rPr>
        <w:t>estado</w:t>
      </w:r>
      <w:r w:rsidRPr="009736BF">
        <w:rPr>
          <w:rFonts w:ascii="Verdana" w:hAnsi="Verdana"/>
          <w:spacing w:val="-14"/>
        </w:rPr>
        <w:t xml:space="preserve"> </w:t>
      </w:r>
      <w:r w:rsidRPr="009736BF">
        <w:rPr>
          <w:rFonts w:ascii="Verdana" w:hAnsi="Verdana"/>
        </w:rPr>
        <w:t>de</w:t>
      </w:r>
      <w:r w:rsidRPr="009736BF">
        <w:rPr>
          <w:rFonts w:ascii="Verdana" w:hAnsi="Verdana"/>
          <w:spacing w:val="-15"/>
        </w:rPr>
        <w:t xml:space="preserve"> </w:t>
      </w:r>
      <w:r w:rsidRPr="009736BF">
        <w:rPr>
          <w:rFonts w:ascii="Verdana" w:hAnsi="Verdana"/>
        </w:rPr>
        <w:t>gravidez</w:t>
      </w:r>
      <w:r w:rsidRPr="009736BF">
        <w:rPr>
          <w:rFonts w:ascii="Verdana" w:hAnsi="Verdana"/>
          <w:spacing w:val="-13"/>
        </w:rPr>
        <w:t xml:space="preserve"> </w:t>
      </w:r>
      <w:r w:rsidRPr="009736BF">
        <w:rPr>
          <w:rFonts w:ascii="Verdana" w:hAnsi="Verdana"/>
        </w:rPr>
        <w:t>ha constituido</w:t>
      </w:r>
      <w:r w:rsidRPr="009736BF">
        <w:rPr>
          <w:rFonts w:ascii="Verdana" w:hAnsi="Verdana"/>
          <w:spacing w:val="-14"/>
        </w:rPr>
        <w:t xml:space="preserve"> </w:t>
      </w:r>
      <w:r w:rsidRPr="009736BF">
        <w:rPr>
          <w:rFonts w:ascii="Verdana" w:hAnsi="Verdana"/>
        </w:rPr>
        <w:t>un</w:t>
      </w:r>
      <w:r w:rsidRPr="009736BF">
        <w:rPr>
          <w:rFonts w:ascii="Verdana" w:hAnsi="Verdana"/>
          <w:spacing w:val="-17"/>
        </w:rPr>
        <w:t xml:space="preserve"> </w:t>
      </w:r>
      <w:r w:rsidRPr="009736BF">
        <w:rPr>
          <w:rFonts w:ascii="Verdana" w:hAnsi="Verdana"/>
        </w:rPr>
        <w:t>motivo</w:t>
      </w:r>
      <w:r w:rsidRPr="009736BF">
        <w:rPr>
          <w:rFonts w:ascii="Verdana" w:hAnsi="Verdana"/>
          <w:spacing w:val="-16"/>
        </w:rPr>
        <w:t xml:space="preserve"> </w:t>
      </w:r>
      <w:r w:rsidRPr="009736BF">
        <w:rPr>
          <w:rFonts w:ascii="Verdana" w:hAnsi="Verdana"/>
        </w:rPr>
        <w:t>de</w:t>
      </w:r>
      <w:r w:rsidRPr="009736BF">
        <w:rPr>
          <w:rFonts w:ascii="Verdana" w:hAnsi="Verdana"/>
          <w:spacing w:val="-18"/>
        </w:rPr>
        <w:t xml:space="preserve"> </w:t>
      </w:r>
      <w:r w:rsidRPr="009736BF">
        <w:rPr>
          <w:rFonts w:ascii="Verdana" w:hAnsi="Verdana"/>
        </w:rPr>
        <w:t>exclusión</w:t>
      </w:r>
      <w:r w:rsidRPr="009736BF">
        <w:rPr>
          <w:rFonts w:ascii="Verdana" w:hAnsi="Verdana"/>
          <w:spacing w:val="-15"/>
        </w:rPr>
        <w:t xml:space="preserve"> </w:t>
      </w:r>
      <w:r w:rsidRPr="009736BF">
        <w:rPr>
          <w:rFonts w:ascii="Verdana" w:hAnsi="Verdana"/>
        </w:rPr>
        <w:t>de</w:t>
      </w:r>
      <w:r w:rsidRPr="009736BF">
        <w:rPr>
          <w:rFonts w:ascii="Verdana" w:hAnsi="Verdana"/>
          <w:spacing w:val="-18"/>
        </w:rPr>
        <w:t xml:space="preserve"> </w:t>
      </w:r>
      <w:r w:rsidRPr="009736BF">
        <w:rPr>
          <w:rFonts w:ascii="Verdana" w:hAnsi="Verdana"/>
        </w:rPr>
        <w:t>la</w:t>
      </w:r>
      <w:r w:rsidRPr="009736BF">
        <w:rPr>
          <w:rFonts w:ascii="Verdana" w:hAnsi="Verdana"/>
          <w:spacing w:val="-18"/>
        </w:rPr>
        <w:t xml:space="preserve"> </w:t>
      </w:r>
      <w:r w:rsidRPr="009736BF">
        <w:rPr>
          <w:rFonts w:ascii="Verdana" w:hAnsi="Verdana"/>
        </w:rPr>
        <w:t>mujer</w:t>
      </w:r>
      <w:r w:rsidRPr="009736BF">
        <w:rPr>
          <w:rFonts w:ascii="Verdana" w:hAnsi="Verdana"/>
          <w:spacing w:val="-16"/>
        </w:rPr>
        <w:t xml:space="preserve"> </w:t>
      </w:r>
      <w:r w:rsidRPr="009736BF">
        <w:rPr>
          <w:rFonts w:ascii="Verdana" w:hAnsi="Verdana"/>
        </w:rPr>
        <w:t>en</w:t>
      </w:r>
      <w:r w:rsidRPr="009736BF">
        <w:rPr>
          <w:rFonts w:ascii="Verdana" w:hAnsi="Verdana"/>
          <w:spacing w:val="-17"/>
        </w:rPr>
        <w:t xml:space="preserve"> </w:t>
      </w:r>
      <w:r w:rsidRPr="009736BF">
        <w:rPr>
          <w:rFonts w:ascii="Verdana" w:hAnsi="Verdana"/>
        </w:rPr>
        <w:t>el</w:t>
      </w:r>
      <w:r w:rsidRPr="009736BF">
        <w:rPr>
          <w:rFonts w:ascii="Verdana" w:hAnsi="Verdana"/>
          <w:spacing w:val="-18"/>
        </w:rPr>
        <w:t xml:space="preserve"> </w:t>
      </w:r>
      <w:r w:rsidRPr="009736BF">
        <w:rPr>
          <w:rFonts w:ascii="Verdana" w:hAnsi="Verdana"/>
        </w:rPr>
        <w:t>trabajo,</w:t>
      </w:r>
      <w:r w:rsidRPr="009736BF">
        <w:rPr>
          <w:rFonts w:ascii="Verdana" w:hAnsi="Verdana"/>
          <w:spacing w:val="-16"/>
        </w:rPr>
        <w:t xml:space="preserve"> </w:t>
      </w:r>
      <w:r w:rsidRPr="009736BF">
        <w:rPr>
          <w:rFonts w:ascii="Verdana" w:hAnsi="Verdana"/>
        </w:rPr>
        <w:t>en</w:t>
      </w:r>
      <w:r w:rsidRPr="009736BF">
        <w:rPr>
          <w:rFonts w:ascii="Verdana" w:hAnsi="Verdana"/>
          <w:spacing w:val="-17"/>
        </w:rPr>
        <w:t xml:space="preserve"> </w:t>
      </w:r>
      <w:r w:rsidRPr="009736BF">
        <w:rPr>
          <w:rFonts w:ascii="Verdana" w:hAnsi="Verdana"/>
        </w:rPr>
        <w:t>el</w:t>
      </w:r>
      <w:r w:rsidRPr="009736BF">
        <w:rPr>
          <w:rFonts w:ascii="Verdana" w:hAnsi="Verdana"/>
          <w:spacing w:val="-18"/>
        </w:rPr>
        <w:t xml:space="preserve"> </w:t>
      </w:r>
      <w:r w:rsidRPr="009736BF">
        <w:rPr>
          <w:rFonts w:ascii="Verdana" w:hAnsi="Verdana"/>
        </w:rPr>
        <w:t>que</w:t>
      </w:r>
      <w:r w:rsidRPr="009736BF">
        <w:rPr>
          <w:rFonts w:ascii="Verdana" w:hAnsi="Verdana"/>
          <w:spacing w:val="-17"/>
        </w:rPr>
        <w:t xml:space="preserve"> </w:t>
      </w:r>
      <w:r w:rsidRPr="009736BF">
        <w:rPr>
          <w:rFonts w:ascii="Verdana" w:hAnsi="Verdana"/>
        </w:rPr>
        <w:t>es</w:t>
      </w:r>
      <w:r w:rsidRPr="009736BF">
        <w:rPr>
          <w:rFonts w:ascii="Verdana" w:hAnsi="Verdana"/>
          <w:spacing w:val="-17"/>
        </w:rPr>
        <w:t xml:space="preserve"> </w:t>
      </w:r>
      <w:r w:rsidRPr="009736BF">
        <w:rPr>
          <w:rFonts w:ascii="Verdana" w:hAnsi="Verdana"/>
        </w:rPr>
        <w:t xml:space="preserve">preciso </w:t>
      </w:r>
      <w:r w:rsidRPr="009736BF">
        <w:rPr>
          <w:rFonts w:ascii="Verdana" w:hAnsi="Verdana"/>
        </w:rPr>
        <w:lastRenderedPageBreak/>
        <w:t>“impedir la discriminación constituida por el despido, la terminación o la no renovación del contrato por causa o con ocasión del embarazo o la lactancia</w:t>
      </w:r>
      <w:r w:rsidRPr="009736BF">
        <w:rPr>
          <w:rFonts w:ascii="Verdana" w:hAnsi="Verdana"/>
          <w:spacing w:val="-52"/>
        </w:rPr>
        <w:t xml:space="preserve"> </w:t>
      </w:r>
      <w:r w:rsidRPr="009736BF">
        <w:rPr>
          <w:rFonts w:ascii="Verdana" w:hAnsi="Verdana"/>
        </w:rPr>
        <w:t>”</w:t>
      </w:r>
      <w:r w:rsidRPr="009736BF">
        <w:rPr>
          <w:rFonts w:ascii="Verdana" w:hAnsi="Verdana"/>
          <w:vertAlign w:val="superscript"/>
        </w:rPr>
        <w:footnoteReference w:id="13"/>
      </w:r>
      <w:r w:rsidRPr="009736BF">
        <w:rPr>
          <w:rFonts w:ascii="Verdana" w:hAnsi="Verdana"/>
        </w:rPr>
        <w:t>.</w:t>
      </w:r>
    </w:p>
    <w:p w14:paraId="5618F2B2" w14:textId="0F5F44CA" w:rsidR="0081088A" w:rsidRPr="009B3C20" w:rsidRDefault="0081088A" w:rsidP="007E0189">
      <w:pPr>
        <w:spacing w:after="120" w:line="276" w:lineRule="auto"/>
        <w:jc w:val="both"/>
        <w:rPr>
          <w:rFonts w:ascii="Verdana" w:hAnsi="Verdana"/>
        </w:rPr>
      </w:pPr>
      <w:r w:rsidRPr="009B3C20">
        <w:rPr>
          <w:rFonts w:ascii="Verdana" w:hAnsi="Verdana"/>
        </w:rPr>
        <w:t>La Corte Constitucional profirió la sentencia de unificación SU-075 de 2018</w:t>
      </w:r>
      <w:r w:rsidRPr="009B3C20">
        <w:rPr>
          <w:rFonts w:ascii="Verdana" w:hAnsi="Verdana"/>
          <w:vertAlign w:val="superscript"/>
        </w:rPr>
        <w:footnoteReference w:id="14"/>
      </w:r>
      <w:r w:rsidRPr="009B3C20">
        <w:rPr>
          <w:rFonts w:ascii="Verdana" w:hAnsi="Verdana"/>
        </w:rPr>
        <w:t>, en la cual recoge, entre otras, las sentencias T-350 del 2016</w:t>
      </w:r>
      <w:r w:rsidRPr="009B3C20">
        <w:rPr>
          <w:rFonts w:ascii="Verdana" w:hAnsi="Verdana"/>
          <w:vertAlign w:val="superscript"/>
        </w:rPr>
        <w:footnoteReference w:id="15"/>
      </w:r>
      <w:r w:rsidRPr="009B3C20">
        <w:rPr>
          <w:rFonts w:ascii="Verdana" w:hAnsi="Verdana"/>
        </w:rPr>
        <w:t>, T-030 de 2018</w:t>
      </w:r>
      <w:r w:rsidRPr="009B3C20">
        <w:rPr>
          <w:rFonts w:ascii="Verdana" w:hAnsi="Verdana"/>
          <w:vertAlign w:val="superscript"/>
        </w:rPr>
        <w:footnoteReference w:id="16"/>
      </w:r>
      <w:r w:rsidRPr="009B3C20">
        <w:rPr>
          <w:rFonts w:ascii="Verdana" w:hAnsi="Verdana"/>
        </w:rPr>
        <w:t>. En esta providencia, el Alto Tribunal estableció unos criterios con el fin de impedir la discriminación que se puede presentarse frente a una mujer en estado de embarazo, en periodo de licencia de maternidad o de lactancia, específicamente, respecto a la terminación o la no renovación del contrato. Dicha providencia dio paso a establecer que, el denominado “fuero de maternidad” encuentra también su sustento en la cláusula general de igualdad de la Constitución “que proscribe la discriminación por razones de sexo, así como en el ya mencionado artículo 43 Superior, que dispone la igualdad de derechos y oportunidades entre hombres y mujeres”.</w:t>
      </w:r>
    </w:p>
    <w:p w14:paraId="162371B4" w14:textId="77777777" w:rsidR="0081088A" w:rsidRPr="009B3C20" w:rsidRDefault="0081088A" w:rsidP="0081088A">
      <w:pPr>
        <w:widowControl w:val="0"/>
        <w:autoSpaceDE w:val="0"/>
        <w:autoSpaceDN w:val="0"/>
        <w:spacing w:after="120" w:line="276" w:lineRule="auto"/>
        <w:ind w:firstLine="709"/>
        <w:jc w:val="both"/>
        <w:rPr>
          <w:rFonts w:ascii="Verdana" w:eastAsia="Arial" w:hAnsi="Verdana" w:cs="Arial"/>
          <w:lang w:val="es-ES"/>
        </w:rPr>
      </w:pPr>
      <w:r>
        <w:rPr>
          <w:rFonts w:ascii="Verdana" w:eastAsia="Arial" w:hAnsi="Verdana" w:cs="Arial"/>
          <w:lang w:val="es-ES"/>
        </w:rPr>
        <w:t>La Sentencia de U</w:t>
      </w:r>
      <w:r w:rsidRPr="009B3C20">
        <w:rPr>
          <w:rFonts w:ascii="Verdana" w:eastAsia="Arial" w:hAnsi="Verdana" w:cs="Arial"/>
          <w:lang w:val="es-ES"/>
        </w:rPr>
        <w:t>nificación citada determina el tratamiento que deberían darles las entidades a sus trabajadoras o contratistas cuando se encuentren en estado de embarazo o lactancia, estableciendo su procedencia en los siguientes términos:</w:t>
      </w:r>
    </w:p>
    <w:p w14:paraId="68CDD477" w14:textId="77777777" w:rsidR="0081088A" w:rsidRPr="009B3C20" w:rsidRDefault="0081088A" w:rsidP="0081088A">
      <w:pPr>
        <w:widowControl w:val="0"/>
        <w:autoSpaceDE w:val="0"/>
        <w:autoSpaceDN w:val="0"/>
        <w:spacing w:after="0" w:line="240" w:lineRule="auto"/>
        <w:ind w:firstLine="709"/>
        <w:jc w:val="both"/>
        <w:rPr>
          <w:rFonts w:ascii="Verdana" w:eastAsia="Arial" w:hAnsi="Verdana" w:cs="Arial"/>
          <w:lang w:val="es-ES"/>
        </w:rPr>
      </w:pPr>
    </w:p>
    <w:p w14:paraId="6FDB395D" w14:textId="3B68CD61" w:rsidR="0081088A" w:rsidRDefault="0081088A" w:rsidP="001B738D">
      <w:pPr>
        <w:spacing w:after="0" w:line="240" w:lineRule="auto"/>
        <w:ind w:left="709" w:right="709"/>
        <w:jc w:val="both"/>
        <w:rPr>
          <w:rFonts w:ascii="Verdana" w:hAnsi="Verdana"/>
          <w:sz w:val="20"/>
          <w:szCs w:val="20"/>
        </w:rPr>
      </w:pPr>
      <w:r w:rsidRPr="009B3C20">
        <w:rPr>
          <w:rFonts w:ascii="Verdana" w:hAnsi="Verdana"/>
          <w:sz w:val="20"/>
          <w:szCs w:val="20"/>
        </w:rPr>
        <w:t>“La protección reforzada a la maternidad y la lactancia en el ámbito del trabajo</w:t>
      </w:r>
      <w:r w:rsidRPr="009B3C20">
        <w:rPr>
          <w:rFonts w:ascii="Verdana" w:hAnsi="Verdana"/>
          <w:spacing w:val="-1"/>
          <w:sz w:val="20"/>
          <w:szCs w:val="20"/>
        </w:rPr>
        <w:t xml:space="preserve"> </w:t>
      </w:r>
      <w:r w:rsidRPr="009B3C20">
        <w:rPr>
          <w:rFonts w:ascii="Verdana" w:hAnsi="Verdana"/>
          <w:sz w:val="20"/>
          <w:szCs w:val="20"/>
        </w:rPr>
        <w:t>procede cuando se demuestre, sin ninguna otra exigencia adicional, lo siguiente:</w:t>
      </w:r>
    </w:p>
    <w:p w14:paraId="1217C833" w14:textId="77777777" w:rsidR="006F0BD8" w:rsidRPr="009B3C20" w:rsidRDefault="006F0BD8" w:rsidP="001B738D">
      <w:pPr>
        <w:spacing w:after="0" w:line="240" w:lineRule="auto"/>
        <w:ind w:left="709" w:right="709"/>
        <w:jc w:val="both"/>
        <w:rPr>
          <w:rFonts w:ascii="Verdana" w:hAnsi="Verdana"/>
          <w:sz w:val="20"/>
          <w:szCs w:val="20"/>
        </w:rPr>
      </w:pPr>
    </w:p>
    <w:p w14:paraId="483484EB" w14:textId="77777777" w:rsidR="0081088A" w:rsidRPr="009B3C20" w:rsidRDefault="0081088A" w:rsidP="0081088A">
      <w:pPr>
        <w:widowControl w:val="0"/>
        <w:numPr>
          <w:ilvl w:val="1"/>
          <w:numId w:val="18"/>
        </w:numPr>
        <w:tabs>
          <w:tab w:val="left" w:pos="1134"/>
        </w:tabs>
        <w:autoSpaceDE w:val="0"/>
        <w:autoSpaceDN w:val="0"/>
        <w:spacing w:after="0" w:line="240" w:lineRule="auto"/>
        <w:ind w:left="709" w:right="709" w:firstLine="0"/>
        <w:contextualSpacing/>
        <w:jc w:val="both"/>
        <w:rPr>
          <w:rFonts w:ascii="Verdana" w:hAnsi="Verdana"/>
          <w:sz w:val="20"/>
          <w:szCs w:val="20"/>
          <w:lang w:val="es-ES"/>
        </w:rPr>
      </w:pPr>
      <w:r w:rsidRPr="009B3C20">
        <w:rPr>
          <w:rFonts w:ascii="Verdana" w:hAnsi="Verdana"/>
          <w:sz w:val="20"/>
          <w:szCs w:val="20"/>
          <w:lang w:val="es-ES"/>
        </w:rPr>
        <w:t>La</w:t>
      </w:r>
      <w:r w:rsidRPr="009B3C20">
        <w:rPr>
          <w:rFonts w:ascii="Verdana" w:hAnsi="Verdana"/>
          <w:spacing w:val="-11"/>
          <w:sz w:val="20"/>
          <w:szCs w:val="20"/>
          <w:lang w:val="es-ES"/>
        </w:rPr>
        <w:t xml:space="preserve"> </w:t>
      </w:r>
      <w:r w:rsidRPr="009B3C20">
        <w:rPr>
          <w:rFonts w:ascii="Verdana" w:hAnsi="Verdana"/>
          <w:sz w:val="20"/>
          <w:szCs w:val="20"/>
          <w:lang w:val="es-ES"/>
        </w:rPr>
        <w:t>existencia</w:t>
      </w:r>
      <w:r w:rsidRPr="009B3C20">
        <w:rPr>
          <w:rFonts w:ascii="Verdana" w:hAnsi="Verdana"/>
          <w:spacing w:val="-10"/>
          <w:sz w:val="20"/>
          <w:szCs w:val="20"/>
          <w:lang w:val="es-ES"/>
        </w:rPr>
        <w:t xml:space="preserve"> </w:t>
      </w:r>
      <w:r w:rsidRPr="009B3C20">
        <w:rPr>
          <w:rFonts w:ascii="Verdana" w:hAnsi="Verdana"/>
          <w:sz w:val="20"/>
          <w:szCs w:val="20"/>
          <w:lang w:val="es-ES"/>
        </w:rPr>
        <w:t>de</w:t>
      </w:r>
      <w:r w:rsidRPr="009B3C20">
        <w:rPr>
          <w:rFonts w:ascii="Verdana" w:hAnsi="Verdana"/>
          <w:spacing w:val="-6"/>
          <w:sz w:val="20"/>
          <w:szCs w:val="20"/>
          <w:lang w:val="es-ES"/>
        </w:rPr>
        <w:t xml:space="preserve"> </w:t>
      </w:r>
      <w:r w:rsidRPr="009B3C20">
        <w:rPr>
          <w:rFonts w:ascii="Verdana" w:hAnsi="Verdana"/>
          <w:sz w:val="20"/>
          <w:szCs w:val="20"/>
          <w:lang w:val="es-ES"/>
        </w:rPr>
        <w:t>una</w:t>
      </w:r>
      <w:r w:rsidRPr="009B3C20">
        <w:rPr>
          <w:rFonts w:ascii="Verdana" w:hAnsi="Verdana"/>
          <w:spacing w:val="-10"/>
          <w:sz w:val="20"/>
          <w:szCs w:val="20"/>
          <w:lang w:val="es-ES"/>
        </w:rPr>
        <w:t xml:space="preserve"> </w:t>
      </w:r>
      <w:r w:rsidRPr="009B3C20">
        <w:rPr>
          <w:rFonts w:ascii="Verdana" w:hAnsi="Verdana"/>
          <w:sz w:val="20"/>
          <w:szCs w:val="20"/>
          <w:lang w:val="es-ES"/>
        </w:rPr>
        <w:t>relación</w:t>
      </w:r>
      <w:r w:rsidRPr="009B3C20">
        <w:rPr>
          <w:rFonts w:ascii="Verdana" w:hAnsi="Verdana"/>
          <w:spacing w:val="-10"/>
          <w:sz w:val="20"/>
          <w:szCs w:val="20"/>
          <w:lang w:val="es-ES"/>
        </w:rPr>
        <w:t xml:space="preserve"> </w:t>
      </w:r>
      <w:r w:rsidRPr="009B3C20">
        <w:rPr>
          <w:rFonts w:ascii="Verdana" w:hAnsi="Verdana"/>
          <w:sz w:val="20"/>
          <w:szCs w:val="20"/>
          <w:lang w:val="es-ES"/>
        </w:rPr>
        <w:t>laboral</w:t>
      </w:r>
      <w:r w:rsidRPr="009B3C20">
        <w:rPr>
          <w:rFonts w:ascii="Verdana" w:hAnsi="Verdana"/>
          <w:spacing w:val="-10"/>
          <w:sz w:val="20"/>
          <w:szCs w:val="20"/>
          <w:lang w:val="es-ES"/>
        </w:rPr>
        <w:t xml:space="preserve"> </w:t>
      </w:r>
      <w:r w:rsidRPr="009B3C20">
        <w:rPr>
          <w:rFonts w:ascii="Verdana" w:hAnsi="Verdana"/>
          <w:sz w:val="20"/>
          <w:szCs w:val="20"/>
          <w:lang w:val="es-ES"/>
        </w:rPr>
        <w:t>o</w:t>
      </w:r>
      <w:r w:rsidRPr="009B3C20">
        <w:rPr>
          <w:rFonts w:ascii="Verdana" w:hAnsi="Verdana"/>
          <w:spacing w:val="-11"/>
          <w:sz w:val="20"/>
          <w:szCs w:val="20"/>
          <w:lang w:val="es-ES"/>
        </w:rPr>
        <w:t xml:space="preserve"> </w:t>
      </w:r>
      <w:r w:rsidRPr="009B3C20">
        <w:rPr>
          <w:rFonts w:ascii="Verdana" w:hAnsi="Verdana"/>
          <w:sz w:val="20"/>
          <w:szCs w:val="20"/>
          <w:lang w:val="es-ES"/>
        </w:rPr>
        <w:t>de</w:t>
      </w:r>
      <w:r w:rsidRPr="009B3C20">
        <w:rPr>
          <w:rFonts w:ascii="Verdana" w:hAnsi="Verdana"/>
          <w:spacing w:val="-10"/>
          <w:sz w:val="20"/>
          <w:szCs w:val="20"/>
          <w:lang w:val="es-ES"/>
        </w:rPr>
        <w:t xml:space="preserve"> </w:t>
      </w:r>
      <w:r w:rsidRPr="009B3C20">
        <w:rPr>
          <w:rFonts w:ascii="Verdana" w:hAnsi="Verdana"/>
          <w:sz w:val="20"/>
          <w:szCs w:val="20"/>
          <w:lang w:val="es-ES"/>
        </w:rPr>
        <w:t>prestación</w:t>
      </w:r>
      <w:r w:rsidRPr="009B3C20">
        <w:rPr>
          <w:rFonts w:ascii="Verdana" w:hAnsi="Verdana"/>
          <w:spacing w:val="-10"/>
          <w:sz w:val="20"/>
          <w:szCs w:val="20"/>
          <w:lang w:val="es-ES"/>
        </w:rPr>
        <w:t xml:space="preserve"> </w:t>
      </w:r>
      <w:r w:rsidRPr="009B3C20">
        <w:rPr>
          <w:rFonts w:ascii="Verdana" w:hAnsi="Verdana"/>
          <w:sz w:val="20"/>
          <w:szCs w:val="20"/>
          <w:lang w:val="es-ES"/>
        </w:rPr>
        <w:t>de</w:t>
      </w:r>
      <w:r w:rsidRPr="009B3C20">
        <w:rPr>
          <w:rFonts w:ascii="Verdana" w:hAnsi="Verdana"/>
          <w:spacing w:val="-10"/>
          <w:sz w:val="20"/>
          <w:szCs w:val="20"/>
          <w:lang w:val="es-ES"/>
        </w:rPr>
        <w:t xml:space="preserve"> </w:t>
      </w:r>
      <w:r w:rsidRPr="009B3C20">
        <w:rPr>
          <w:rFonts w:ascii="Verdana" w:hAnsi="Verdana"/>
          <w:sz w:val="20"/>
          <w:szCs w:val="20"/>
          <w:lang w:val="es-ES"/>
        </w:rPr>
        <w:t>servicios</w:t>
      </w:r>
      <w:r w:rsidRPr="009B3C20">
        <w:rPr>
          <w:rFonts w:ascii="Verdana" w:hAnsi="Verdana"/>
          <w:spacing w:val="-11"/>
          <w:sz w:val="20"/>
          <w:szCs w:val="20"/>
          <w:lang w:val="es-ES"/>
        </w:rPr>
        <w:t xml:space="preserve"> </w:t>
      </w:r>
      <w:r w:rsidRPr="009B3C20">
        <w:rPr>
          <w:rFonts w:ascii="Verdana" w:hAnsi="Verdana"/>
          <w:spacing w:val="-5"/>
          <w:sz w:val="20"/>
          <w:szCs w:val="20"/>
          <w:lang w:val="es-ES"/>
        </w:rPr>
        <w:t>y;</w:t>
      </w:r>
    </w:p>
    <w:p w14:paraId="6ABDF978" w14:textId="77777777" w:rsidR="001B738D" w:rsidRDefault="0081088A" w:rsidP="001B738D">
      <w:pPr>
        <w:widowControl w:val="0"/>
        <w:numPr>
          <w:ilvl w:val="1"/>
          <w:numId w:val="18"/>
        </w:numPr>
        <w:tabs>
          <w:tab w:val="left" w:pos="1134"/>
        </w:tabs>
        <w:autoSpaceDE w:val="0"/>
        <w:autoSpaceDN w:val="0"/>
        <w:spacing w:after="0" w:line="240" w:lineRule="auto"/>
        <w:ind w:left="709" w:right="709" w:firstLine="0"/>
        <w:contextualSpacing/>
        <w:jc w:val="both"/>
        <w:rPr>
          <w:rFonts w:ascii="Verdana" w:hAnsi="Verdana"/>
          <w:sz w:val="20"/>
          <w:szCs w:val="20"/>
          <w:lang w:val="es-ES"/>
        </w:rPr>
      </w:pPr>
      <w:r w:rsidRPr="009B3C20">
        <w:rPr>
          <w:rFonts w:ascii="Verdana" w:hAnsi="Verdana"/>
          <w:sz w:val="20"/>
          <w:szCs w:val="20"/>
          <w:lang w:val="es-ES"/>
        </w:rPr>
        <w:t>Que la mujer se encuentra en estado de embarazo o dentro de los tres meses siguientes al parto, en vigencia de dicha relación laboral o de prestación.</w:t>
      </w:r>
    </w:p>
    <w:p w14:paraId="72AF6E34" w14:textId="77777777" w:rsidR="006F0BD8" w:rsidRDefault="006F0BD8" w:rsidP="00960131">
      <w:pPr>
        <w:widowControl w:val="0"/>
        <w:tabs>
          <w:tab w:val="left" w:pos="1134"/>
        </w:tabs>
        <w:autoSpaceDE w:val="0"/>
        <w:autoSpaceDN w:val="0"/>
        <w:spacing w:after="0" w:line="240" w:lineRule="auto"/>
        <w:ind w:left="709" w:right="709"/>
        <w:contextualSpacing/>
        <w:jc w:val="both"/>
        <w:rPr>
          <w:rFonts w:ascii="Verdana" w:hAnsi="Verdana"/>
          <w:sz w:val="20"/>
          <w:szCs w:val="20"/>
          <w:lang w:val="es-ES"/>
        </w:rPr>
      </w:pPr>
    </w:p>
    <w:p w14:paraId="3BE17AA4" w14:textId="5A3CD4D6" w:rsidR="0081088A" w:rsidRPr="001B738D" w:rsidRDefault="0081088A" w:rsidP="001B738D">
      <w:pPr>
        <w:widowControl w:val="0"/>
        <w:tabs>
          <w:tab w:val="left" w:pos="1134"/>
        </w:tabs>
        <w:autoSpaceDE w:val="0"/>
        <w:autoSpaceDN w:val="0"/>
        <w:spacing w:after="0" w:line="240" w:lineRule="auto"/>
        <w:ind w:left="709" w:right="709"/>
        <w:contextualSpacing/>
        <w:jc w:val="both"/>
        <w:rPr>
          <w:rFonts w:ascii="Verdana" w:hAnsi="Verdana"/>
          <w:sz w:val="20"/>
          <w:szCs w:val="20"/>
          <w:lang w:val="es-ES"/>
        </w:rPr>
      </w:pPr>
      <w:r w:rsidRPr="001B738D">
        <w:rPr>
          <w:rFonts w:ascii="Verdana" w:hAnsi="Verdana"/>
          <w:sz w:val="20"/>
          <w:szCs w:val="20"/>
          <w:lang w:val="es-ES"/>
        </w:rPr>
        <w:t>No obstante, el alcance de la protección se debe determinar a partir de dos factores:</w:t>
      </w:r>
    </w:p>
    <w:p w14:paraId="058B6E3B" w14:textId="39CE19C9" w:rsidR="0081088A" w:rsidRPr="001B738D" w:rsidRDefault="0081088A" w:rsidP="001B738D">
      <w:pPr>
        <w:widowControl w:val="0"/>
        <w:numPr>
          <w:ilvl w:val="0"/>
          <w:numId w:val="19"/>
        </w:numPr>
        <w:tabs>
          <w:tab w:val="left" w:pos="1339"/>
        </w:tabs>
        <w:autoSpaceDE w:val="0"/>
        <w:autoSpaceDN w:val="0"/>
        <w:spacing w:after="0" w:line="240" w:lineRule="auto"/>
        <w:ind w:right="709"/>
        <w:contextualSpacing/>
        <w:jc w:val="both"/>
        <w:rPr>
          <w:rFonts w:ascii="Verdana" w:hAnsi="Verdana"/>
          <w:sz w:val="20"/>
          <w:szCs w:val="20"/>
          <w:lang w:val="es-ES"/>
        </w:rPr>
      </w:pPr>
      <w:r w:rsidRPr="009B3C20">
        <w:rPr>
          <w:rFonts w:ascii="Verdana" w:hAnsi="Verdana"/>
          <w:sz w:val="20"/>
          <w:szCs w:val="20"/>
          <w:lang w:val="es-ES"/>
        </w:rPr>
        <w:t>El conocimiento del embarazo por parte del empleador; y</w:t>
      </w:r>
    </w:p>
    <w:p w14:paraId="51107AFD" w14:textId="77777777" w:rsidR="0081088A" w:rsidRPr="009B3C20" w:rsidRDefault="0081088A" w:rsidP="0081088A">
      <w:pPr>
        <w:widowControl w:val="0"/>
        <w:numPr>
          <w:ilvl w:val="0"/>
          <w:numId w:val="19"/>
        </w:numPr>
        <w:tabs>
          <w:tab w:val="left" w:pos="1339"/>
        </w:tabs>
        <w:autoSpaceDE w:val="0"/>
        <w:autoSpaceDN w:val="0"/>
        <w:spacing w:after="0" w:line="240" w:lineRule="auto"/>
        <w:ind w:right="709"/>
        <w:contextualSpacing/>
        <w:jc w:val="both"/>
        <w:rPr>
          <w:rFonts w:ascii="Verdana" w:hAnsi="Verdana"/>
          <w:sz w:val="20"/>
          <w:szCs w:val="20"/>
          <w:lang w:val="es-ES"/>
        </w:rPr>
      </w:pPr>
      <w:r w:rsidRPr="009B3C20">
        <w:rPr>
          <w:rFonts w:ascii="Verdana" w:hAnsi="Verdana"/>
          <w:sz w:val="20"/>
          <w:szCs w:val="20"/>
          <w:lang w:val="es-ES"/>
        </w:rPr>
        <w:t>La alternativa laboral mediante la cual se encontraba vinculada la mujer embarazada”.</w:t>
      </w:r>
    </w:p>
    <w:p w14:paraId="004B268A" w14:textId="77777777" w:rsidR="0081088A" w:rsidRPr="009B3C20" w:rsidRDefault="0081088A" w:rsidP="0081088A">
      <w:pPr>
        <w:widowControl w:val="0"/>
        <w:tabs>
          <w:tab w:val="left" w:pos="1339"/>
        </w:tabs>
        <w:autoSpaceDE w:val="0"/>
        <w:autoSpaceDN w:val="0"/>
        <w:spacing w:after="0" w:line="276" w:lineRule="auto"/>
        <w:ind w:left="709" w:right="618"/>
        <w:contextualSpacing/>
        <w:rPr>
          <w:rFonts w:ascii="Verdana" w:hAnsi="Verdana"/>
          <w:lang w:val="es-ES"/>
        </w:rPr>
      </w:pPr>
    </w:p>
    <w:p w14:paraId="5E121B74" w14:textId="77777777" w:rsidR="0081088A" w:rsidRPr="009B3C20" w:rsidRDefault="0081088A" w:rsidP="0081088A">
      <w:pPr>
        <w:widowControl w:val="0"/>
        <w:autoSpaceDE w:val="0"/>
        <w:autoSpaceDN w:val="0"/>
        <w:spacing w:after="0" w:line="276" w:lineRule="auto"/>
        <w:ind w:right="49" w:firstLine="709"/>
        <w:jc w:val="both"/>
        <w:rPr>
          <w:rFonts w:ascii="Verdana" w:eastAsia="Arial" w:hAnsi="Verdana" w:cs="Arial"/>
          <w:lang w:val="es-ES"/>
        </w:rPr>
      </w:pPr>
      <w:r w:rsidRPr="009B3C20">
        <w:rPr>
          <w:rFonts w:ascii="Verdana" w:eastAsia="Arial" w:hAnsi="Verdana" w:cs="Arial"/>
          <w:lang w:val="es-ES"/>
        </w:rPr>
        <w:t xml:space="preserve">Como se evidencia en el texto referido, el criterio de la Corte establece que solo se requiere acreditar la relación laboral o la existencia de un contrato </w:t>
      </w:r>
      <w:r w:rsidRPr="009B3C20">
        <w:rPr>
          <w:rFonts w:ascii="Verdana" w:eastAsia="Arial" w:hAnsi="Verdana" w:cs="Arial"/>
          <w:lang w:val="es-ES"/>
        </w:rPr>
        <w:lastRenderedPageBreak/>
        <w:t>de prestación de servicios y el estado de embarazo o lactancia para acceder a la protección denominada estabilidad laboral reforzada de mujer embarazada y en periodo de lactancia. Para el caso concreto de los contratos de prestación de servicios, la sentencia en mención determina:</w:t>
      </w:r>
    </w:p>
    <w:p w14:paraId="77B40821" w14:textId="77777777" w:rsidR="0081088A" w:rsidRPr="009B3C20" w:rsidRDefault="0081088A" w:rsidP="0081088A">
      <w:pPr>
        <w:widowControl w:val="0"/>
        <w:autoSpaceDE w:val="0"/>
        <w:autoSpaceDN w:val="0"/>
        <w:spacing w:after="0" w:line="276" w:lineRule="auto"/>
        <w:ind w:right="49" w:firstLine="709"/>
        <w:jc w:val="both"/>
        <w:rPr>
          <w:rFonts w:ascii="Verdana" w:eastAsia="Arial" w:hAnsi="Verdana" w:cs="Arial"/>
          <w:lang w:val="es-ES"/>
        </w:rPr>
      </w:pPr>
    </w:p>
    <w:p w14:paraId="50A8E428" w14:textId="77777777" w:rsidR="0081088A" w:rsidRPr="009B3C20" w:rsidRDefault="0081088A" w:rsidP="0081088A">
      <w:pPr>
        <w:spacing w:after="0" w:line="240" w:lineRule="auto"/>
        <w:ind w:left="709" w:right="709"/>
        <w:jc w:val="both"/>
        <w:rPr>
          <w:rFonts w:ascii="Verdana" w:hAnsi="Verdana"/>
          <w:sz w:val="20"/>
          <w:szCs w:val="20"/>
        </w:rPr>
      </w:pPr>
      <w:r>
        <w:rPr>
          <w:rFonts w:ascii="Verdana" w:hAnsi="Verdana"/>
          <w:sz w:val="20"/>
          <w:szCs w:val="20"/>
        </w:rPr>
        <w:t>“[…]</w:t>
      </w:r>
      <w:r w:rsidRPr="009B3C20">
        <w:rPr>
          <w:rFonts w:ascii="Verdana" w:hAnsi="Verdana"/>
          <w:sz w:val="20"/>
          <w:szCs w:val="20"/>
        </w:rPr>
        <w:t xml:space="preserve"> en el supuesto en que la trabajadora gestante o lactante haya estado vinculada mediante un contrato de prestación de servicios y logre demostrar la existencia de un contrato realidad, se deberán aplicar las reglas propuestas para los contratos a término fijo, toda vez que, “dentro las características del contrato de prestación de servicios, según lo ha entendido esta Corporación, se encuentran que se trata de un contrato temporal, cuya duración es por un tiempo limitado, que es además el indispensable para ejecutar e</w:t>
      </w:r>
      <w:r>
        <w:rPr>
          <w:rFonts w:ascii="Verdana" w:hAnsi="Verdana"/>
          <w:sz w:val="20"/>
          <w:szCs w:val="20"/>
        </w:rPr>
        <w:t>l objeto contractual convenido […]</w:t>
      </w:r>
      <w:r w:rsidRPr="009B3C20">
        <w:rPr>
          <w:rFonts w:ascii="Verdana" w:hAnsi="Verdana"/>
          <w:sz w:val="20"/>
          <w:szCs w:val="20"/>
        </w:rPr>
        <w:t>”.</w:t>
      </w:r>
    </w:p>
    <w:p w14:paraId="7A45AA45" w14:textId="77777777" w:rsidR="0081088A" w:rsidRPr="009B3C20" w:rsidRDefault="0081088A" w:rsidP="0081088A">
      <w:pPr>
        <w:spacing w:after="0" w:line="240" w:lineRule="auto"/>
        <w:ind w:left="709" w:right="709"/>
        <w:jc w:val="both"/>
        <w:rPr>
          <w:rFonts w:ascii="Verdana" w:hAnsi="Verdana"/>
          <w:sz w:val="20"/>
          <w:szCs w:val="20"/>
        </w:rPr>
      </w:pPr>
    </w:p>
    <w:p w14:paraId="5DA20DCE" w14:textId="77777777" w:rsidR="0081088A" w:rsidRPr="009B3C20" w:rsidRDefault="0081088A" w:rsidP="0081088A">
      <w:pPr>
        <w:widowControl w:val="0"/>
        <w:autoSpaceDE w:val="0"/>
        <w:autoSpaceDN w:val="0"/>
        <w:spacing w:after="120" w:line="276" w:lineRule="auto"/>
        <w:ind w:firstLine="709"/>
        <w:jc w:val="both"/>
        <w:rPr>
          <w:rFonts w:ascii="Verdana" w:eastAsia="Arial" w:hAnsi="Verdana" w:cs="Arial"/>
          <w:lang w:val="es-ES"/>
        </w:rPr>
      </w:pPr>
      <w:r w:rsidRPr="009B3C20">
        <w:rPr>
          <w:rFonts w:ascii="Verdana" w:eastAsia="Arial" w:hAnsi="Verdana" w:cs="Arial"/>
          <w:lang w:val="es-ES"/>
        </w:rPr>
        <w:t>Conforme con lo anterior, la Corte Constitucional ha expuesto dos (2) posiciones frente a los cuales opera la protección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subordinación o dependencia y c) la prestación personal del servicio; y además, ii) cuando a pesar de no probarse la configuración de un contrato realidad, la terminación del contrato de prestación de servicios se fundamenta en criterios discriminatorios, y no en motivos objetivos.</w:t>
      </w:r>
    </w:p>
    <w:p w14:paraId="2CF871AD" w14:textId="77777777" w:rsidR="0081088A" w:rsidRPr="009B3C20" w:rsidRDefault="0081088A" w:rsidP="0081088A">
      <w:pPr>
        <w:widowControl w:val="0"/>
        <w:autoSpaceDE w:val="0"/>
        <w:autoSpaceDN w:val="0"/>
        <w:spacing w:after="120" w:line="276" w:lineRule="auto"/>
        <w:ind w:firstLine="709"/>
        <w:jc w:val="both"/>
        <w:rPr>
          <w:rFonts w:ascii="Verdana" w:eastAsia="Arial" w:hAnsi="Verdana" w:cs="Arial"/>
          <w:lang w:val="es-ES"/>
        </w:rPr>
      </w:pPr>
      <w:r w:rsidRPr="009B3C20">
        <w:rPr>
          <w:rFonts w:ascii="Verdana" w:eastAsia="Arial" w:hAnsi="Verdana" w:cs="Arial"/>
          <w:lang w:val="es-ES"/>
        </w:rPr>
        <w:t xml:space="preserve">Asimismo, se resalta que el Alto </w:t>
      </w:r>
      <w:r>
        <w:rPr>
          <w:rFonts w:ascii="Verdana" w:eastAsia="Arial" w:hAnsi="Verdana" w:cs="Arial"/>
          <w:lang w:val="es-ES"/>
        </w:rPr>
        <w:t>Tribunal Constitucional, en la S</w:t>
      </w:r>
      <w:r w:rsidRPr="009B3C20">
        <w:rPr>
          <w:rFonts w:ascii="Verdana" w:eastAsia="Arial" w:hAnsi="Verdana" w:cs="Arial"/>
          <w:lang w:val="es-ES"/>
        </w:rPr>
        <w:t>entencia T-743 de 2017</w:t>
      </w:r>
      <w:r w:rsidRPr="009B3C20">
        <w:rPr>
          <w:rFonts w:ascii="Verdana" w:eastAsia="Arial" w:hAnsi="Verdana" w:cs="Arial"/>
          <w:vertAlign w:val="superscript"/>
          <w:lang w:val="es-ES"/>
        </w:rPr>
        <w:footnoteReference w:id="17"/>
      </w:r>
      <w:r w:rsidRPr="009B3C20">
        <w:rPr>
          <w:rFonts w:ascii="Verdana" w:eastAsia="Arial" w:hAnsi="Verdana" w:cs="Arial"/>
          <w:lang w:val="es-ES"/>
        </w:rPr>
        <w:t>, reiteró que la protección a la mujer en estado de embarazo, en licencia de maternidad y en periodo de lactancia está sustentada en cuatro presupuestos de origen constitucional: i) el deber de protección especial a la mujer gestante, ii) la contención de prácticas discriminatorias en el escenario laboral contra la mujer con ocasión del estado de embarazo, iii) la protección a la vida y a la mujer como su gestora y iv) la relevancia de la familia en el ordenamiento social colombiano.</w:t>
      </w:r>
    </w:p>
    <w:p w14:paraId="522DCB85" w14:textId="6450436E" w:rsidR="0081088A" w:rsidRPr="009B3C20" w:rsidRDefault="0081088A" w:rsidP="0081088A">
      <w:pPr>
        <w:widowControl w:val="0"/>
        <w:autoSpaceDE w:val="0"/>
        <w:autoSpaceDN w:val="0"/>
        <w:spacing w:after="0" w:line="276" w:lineRule="auto"/>
        <w:ind w:firstLine="709"/>
        <w:jc w:val="both"/>
        <w:rPr>
          <w:rFonts w:ascii="Verdana" w:eastAsia="Arial" w:hAnsi="Verdana" w:cs="Arial"/>
          <w:lang w:val="es-ES"/>
        </w:rPr>
      </w:pPr>
      <w:r w:rsidRPr="009B3C20">
        <w:rPr>
          <w:rFonts w:ascii="Verdana" w:eastAsia="Arial" w:hAnsi="Verdana" w:cs="Arial"/>
          <w:lang w:val="es-ES"/>
        </w:rPr>
        <w:t>Adicionalmente, la Co</w:t>
      </w:r>
      <w:r>
        <w:rPr>
          <w:rFonts w:ascii="Verdana" w:eastAsia="Arial" w:hAnsi="Verdana" w:cs="Arial"/>
          <w:lang w:val="es-ES"/>
        </w:rPr>
        <w:t>rte Constitucional profirió la S</w:t>
      </w:r>
      <w:r w:rsidRPr="009B3C20">
        <w:rPr>
          <w:rFonts w:ascii="Verdana" w:eastAsia="Arial" w:hAnsi="Verdana" w:cs="Arial"/>
          <w:lang w:val="es-ES"/>
        </w:rPr>
        <w:t>entencia T-329 de</w:t>
      </w:r>
      <w:r w:rsidR="001B738D">
        <w:rPr>
          <w:rFonts w:ascii="Verdana" w:eastAsia="Arial" w:hAnsi="Verdana" w:cs="Arial"/>
          <w:lang w:val="es-ES"/>
        </w:rPr>
        <w:t xml:space="preserve"> </w:t>
      </w:r>
      <w:r w:rsidRPr="009B3C20">
        <w:rPr>
          <w:rFonts w:ascii="Verdana" w:eastAsia="Arial" w:hAnsi="Verdana" w:cs="Arial"/>
          <w:lang w:val="es-ES"/>
        </w:rPr>
        <w:t>2022</w:t>
      </w:r>
      <w:r w:rsidRPr="009B3C20">
        <w:rPr>
          <w:rFonts w:ascii="Verdana" w:eastAsia="Arial" w:hAnsi="Verdana" w:cs="Arial"/>
          <w:vertAlign w:val="superscript"/>
          <w:lang w:val="es-ES"/>
        </w:rPr>
        <w:footnoteReference w:id="18"/>
      </w:r>
      <w:r w:rsidRPr="009B3C20">
        <w:rPr>
          <w:rFonts w:ascii="Verdana" w:eastAsia="Arial" w:hAnsi="Verdana" w:cs="Arial"/>
          <w:lang w:val="es-ES"/>
        </w:rPr>
        <w:t xml:space="preserve">, con ponencia de la magistrada Natalia Ángel Cabo, en la cual reiteró el </w:t>
      </w:r>
      <w:r w:rsidRPr="009B3C20">
        <w:rPr>
          <w:rFonts w:ascii="Verdana" w:eastAsia="Arial" w:hAnsi="Verdana" w:cs="Arial"/>
          <w:lang w:val="es-ES"/>
        </w:rPr>
        <w:lastRenderedPageBreak/>
        <w:t>precedente sobre la protección de la mujer embarazada y en período de lactancia en contratos de prestación de servicios establecido en la Sentencia SU-070 de 2013</w:t>
      </w:r>
      <w:r w:rsidRPr="009B3C20">
        <w:rPr>
          <w:rFonts w:ascii="Verdana" w:eastAsia="Arial" w:hAnsi="Verdana" w:cs="Arial"/>
          <w:vertAlign w:val="superscript"/>
          <w:lang w:val="es-ES"/>
        </w:rPr>
        <w:footnoteReference w:id="19"/>
      </w:r>
      <w:r w:rsidRPr="009B3C20">
        <w:rPr>
          <w:rFonts w:ascii="Verdana" w:eastAsia="Arial" w:hAnsi="Verdana" w:cs="Arial"/>
          <w:lang w:val="es-ES"/>
        </w:rPr>
        <w:t>, al indicar lo siguiente:</w:t>
      </w:r>
    </w:p>
    <w:p w14:paraId="41E586B5" w14:textId="77777777" w:rsidR="0081088A" w:rsidRPr="009B3C20" w:rsidRDefault="0081088A" w:rsidP="0081088A">
      <w:pPr>
        <w:widowControl w:val="0"/>
        <w:autoSpaceDE w:val="0"/>
        <w:autoSpaceDN w:val="0"/>
        <w:spacing w:after="0" w:line="276" w:lineRule="auto"/>
        <w:ind w:firstLine="709"/>
        <w:jc w:val="both"/>
        <w:rPr>
          <w:rFonts w:ascii="Verdana" w:eastAsia="Arial" w:hAnsi="Verdana" w:cs="Arial"/>
          <w:lang w:val="es-ES"/>
        </w:rPr>
      </w:pPr>
    </w:p>
    <w:p w14:paraId="1D6D9BFB" w14:textId="77777777" w:rsidR="0081088A" w:rsidRPr="009B3C20" w:rsidRDefault="0081088A" w:rsidP="0081088A">
      <w:pPr>
        <w:widowControl w:val="0"/>
        <w:autoSpaceDE w:val="0"/>
        <w:autoSpaceDN w:val="0"/>
        <w:spacing w:after="0" w:line="240" w:lineRule="auto"/>
        <w:ind w:left="709" w:right="709"/>
        <w:jc w:val="both"/>
        <w:rPr>
          <w:rFonts w:ascii="Verdana" w:eastAsiaTheme="minorEastAsia" w:hAnsi="Verdana" w:cs="Arial"/>
          <w:sz w:val="20"/>
          <w:szCs w:val="20"/>
          <w:lang w:val="es-ES"/>
        </w:rPr>
      </w:pPr>
      <w:r w:rsidRPr="009B3C20">
        <w:rPr>
          <w:rFonts w:ascii="Verdana" w:eastAsiaTheme="minorEastAsia" w:hAnsi="Verdana" w:cs="Arial"/>
          <w:sz w:val="20"/>
          <w:szCs w:val="20"/>
          <w:lang w:val="es-ES"/>
        </w:rPr>
        <w:t>“[…] En la Sentencia SU-070 de 2013, la Corte reconoció la protección de la mujer embarazada en otras alternativas laborales. En relación con el contrato de prestación de servicios indicó que el juez de tutela debe evaluar si existe un inminente riesgo de afectación al mínimo vital o a otros derechos fundamentales de la accionante. En caso afirmativo, el juez de tutela está obligado a evaluar las circunstancias fácticas particulares para determinar si tras esa figura contractual está oculta una relación laboral o si efectivamente se trata de un contrato de prestación de servicios. En los casos en los que se encuentre que el contrato de prestación de servicios oculta una relación laboral, se deben aplicar las reglas establecidas para el contrato laboral a término fijo”.</w:t>
      </w:r>
    </w:p>
    <w:p w14:paraId="1105B7F0" w14:textId="77777777" w:rsidR="0081088A" w:rsidRPr="009B3C20" w:rsidRDefault="0081088A" w:rsidP="0081088A">
      <w:pPr>
        <w:widowControl w:val="0"/>
        <w:autoSpaceDE w:val="0"/>
        <w:autoSpaceDN w:val="0"/>
        <w:spacing w:after="0" w:line="276" w:lineRule="auto"/>
        <w:ind w:left="709" w:right="709"/>
        <w:jc w:val="both"/>
        <w:rPr>
          <w:rFonts w:ascii="Verdana" w:eastAsiaTheme="minorEastAsia" w:hAnsi="Verdana" w:cs="Arial"/>
          <w:lang w:val="es-ES"/>
        </w:rPr>
      </w:pPr>
    </w:p>
    <w:p w14:paraId="236E3E2B" w14:textId="77777777" w:rsidR="0081088A" w:rsidRPr="009B3C20" w:rsidRDefault="0081088A" w:rsidP="0081088A">
      <w:pPr>
        <w:widowControl w:val="0"/>
        <w:autoSpaceDE w:val="0"/>
        <w:autoSpaceDN w:val="0"/>
        <w:spacing w:after="0" w:line="276" w:lineRule="auto"/>
        <w:ind w:right="49" w:firstLine="709"/>
        <w:jc w:val="both"/>
        <w:rPr>
          <w:rFonts w:ascii="Verdana" w:eastAsia="Arial" w:hAnsi="Verdana" w:cs="Arial"/>
          <w:lang w:val="es-ES"/>
        </w:rPr>
      </w:pPr>
      <w:r w:rsidRPr="009B3C20">
        <w:rPr>
          <w:rFonts w:ascii="Verdana" w:eastAsia="Arial" w:hAnsi="Verdana" w:cs="Arial"/>
          <w:lang w:val="es-ES"/>
        </w:rPr>
        <w:t xml:space="preserve">En dicha providencia la Corte consideró que, en los casos de vinculación mediante contrato de prestación de servicios, aun cuando en el trámite de tutela no se logren acreditar los elementos del contrato realidad, hay lugar a la protección derivada del fuero de maternidad. Lo anterior, en palabras de la Corte encuentra sustento en las siguientes razones: </w:t>
      </w:r>
    </w:p>
    <w:p w14:paraId="5753B224" w14:textId="77777777" w:rsidR="0081088A" w:rsidRPr="009B3C20" w:rsidRDefault="0081088A" w:rsidP="0081088A">
      <w:pPr>
        <w:widowControl w:val="0"/>
        <w:autoSpaceDE w:val="0"/>
        <w:autoSpaceDN w:val="0"/>
        <w:spacing w:after="0" w:line="276" w:lineRule="auto"/>
        <w:ind w:right="49" w:firstLine="709"/>
        <w:jc w:val="both"/>
        <w:rPr>
          <w:rFonts w:ascii="Verdana" w:eastAsia="Arial" w:hAnsi="Verdana" w:cs="Arial"/>
          <w:lang w:val="es-ES"/>
        </w:rPr>
      </w:pPr>
    </w:p>
    <w:p w14:paraId="40E5E399" w14:textId="77777777" w:rsidR="0081088A" w:rsidRPr="009B3C20" w:rsidRDefault="0081088A" w:rsidP="0081088A">
      <w:pPr>
        <w:widowControl w:val="0"/>
        <w:autoSpaceDE w:val="0"/>
        <w:autoSpaceDN w:val="0"/>
        <w:spacing w:after="0" w:line="240" w:lineRule="auto"/>
        <w:ind w:left="709" w:right="709"/>
        <w:jc w:val="both"/>
        <w:rPr>
          <w:rFonts w:ascii="Verdana" w:eastAsia="Arial" w:hAnsi="Verdana" w:cs="Arial"/>
          <w:spacing w:val="-2"/>
          <w:sz w:val="20"/>
          <w:szCs w:val="20"/>
          <w:lang w:val="es-ES"/>
        </w:rPr>
      </w:pPr>
      <w:r w:rsidRPr="009B3C20">
        <w:rPr>
          <w:rFonts w:ascii="Verdana" w:eastAsia="Arial" w:hAnsi="Verdana" w:cs="Arial"/>
          <w:sz w:val="20"/>
          <w:szCs w:val="20"/>
          <w:lang w:val="es-ES"/>
        </w:rPr>
        <w:t xml:space="preserve">“(i) la protección de la mujer gestante o en periodo de lactancia se deriva de, entre otros, los artículos 43, 53 y 13 de la Constitución Nacional; (ii) la Sentencia SU-070 de 2013 reiteró la protección a la mujer embarazada en todas las alternativas laborales o de trabajo en las que se incluye el contrato de prestación de servicios; (iii) la Sentencia SU-075 de 2018 reiteró que las condiciones para la protección de la mujer embarazada son la existencia de una relación laboral o de prestación de servicios y que la mujer se encuentre en estado de embarazo o dentro de los tres meses siguientes al parto, en vigencia de dicha relación laboral o de prestación de servicios; y (iv) las salas de revisión de la Corte Constitucional reconocen la protección derivada del fuero de maternidad en los contratos de prestación de </w:t>
      </w:r>
      <w:r w:rsidRPr="009B3C20">
        <w:rPr>
          <w:rFonts w:ascii="Verdana" w:eastAsia="Arial" w:hAnsi="Verdana" w:cs="Arial"/>
          <w:spacing w:val="-2"/>
          <w:sz w:val="20"/>
          <w:szCs w:val="20"/>
          <w:lang w:val="es-ES"/>
        </w:rPr>
        <w:t>servicios”</w:t>
      </w:r>
      <w:r w:rsidRPr="009B3C20">
        <w:rPr>
          <w:rFonts w:ascii="Verdana" w:eastAsia="Arial" w:hAnsi="Verdana" w:cs="Arial"/>
          <w:spacing w:val="-2"/>
          <w:sz w:val="20"/>
          <w:szCs w:val="20"/>
          <w:vertAlign w:val="superscript"/>
          <w:lang w:val="es-ES"/>
        </w:rPr>
        <w:footnoteReference w:id="20"/>
      </w:r>
      <w:r w:rsidRPr="009B3C20">
        <w:rPr>
          <w:rFonts w:ascii="Verdana" w:eastAsia="Arial" w:hAnsi="Verdana" w:cs="Arial"/>
          <w:spacing w:val="-2"/>
          <w:sz w:val="20"/>
          <w:szCs w:val="20"/>
          <w:lang w:val="es-ES"/>
        </w:rPr>
        <w:t>.</w:t>
      </w:r>
    </w:p>
    <w:p w14:paraId="4E593A39" w14:textId="77777777" w:rsidR="0081088A" w:rsidRPr="009B3C20" w:rsidRDefault="0081088A" w:rsidP="0081088A">
      <w:pPr>
        <w:widowControl w:val="0"/>
        <w:autoSpaceDE w:val="0"/>
        <w:autoSpaceDN w:val="0"/>
        <w:spacing w:after="0" w:line="276" w:lineRule="auto"/>
        <w:ind w:left="709" w:right="709"/>
        <w:jc w:val="both"/>
        <w:rPr>
          <w:rFonts w:ascii="Verdana" w:eastAsia="Arial" w:hAnsi="Verdana" w:cs="Arial"/>
          <w:spacing w:val="-2"/>
          <w:sz w:val="20"/>
          <w:szCs w:val="20"/>
          <w:lang w:val="es-ES"/>
        </w:rPr>
      </w:pPr>
    </w:p>
    <w:p w14:paraId="501B8E26" w14:textId="77777777" w:rsidR="0081088A" w:rsidRPr="009B3C20" w:rsidRDefault="0081088A" w:rsidP="0081088A">
      <w:pPr>
        <w:widowControl w:val="0"/>
        <w:autoSpaceDE w:val="0"/>
        <w:autoSpaceDN w:val="0"/>
        <w:spacing w:after="0" w:line="276" w:lineRule="auto"/>
        <w:ind w:right="51" w:firstLine="709"/>
        <w:jc w:val="both"/>
        <w:rPr>
          <w:rFonts w:ascii="Verdana" w:eastAsia="Arial" w:hAnsi="Verdana" w:cs="Arial"/>
          <w:lang w:val="es-ES"/>
        </w:rPr>
      </w:pPr>
      <w:r w:rsidRPr="009B3C20">
        <w:rPr>
          <w:rFonts w:ascii="Verdana" w:eastAsia="Arial" w:hAnsi="Verdana" w:cs="Arial"/>
          <w:lang w:val="es-ES"/>
        </w:rPr>
        <w:t xml:space="preserve">En línea con lo anterior, resulta relevante relacionar las reglas establecidas en la jurisprudencia constitucional para la protección de las mujeres vinculadas mediante contrato de prestación de servicios a quienes no se les renueva dicho contrato mientras se encuentran en estado de embarazo o en el </w:t>
      </w:r>
      <w:r w:rsidRPr="009B3C20">
        <w:rPr>
          <w:rFonts w:ascii="Verdana" w:eastAsia="Arial" w:hAnsi="Verdana" w:cs="Arial"/>
          <w:lang w:val="es-ES"/>
        </w:rPr>
        <w:lastRenderedPageBreak/>
        <w:t>periodo de lactancia:</w:t>
      </w:r>
    </w:p>
    <w:p w14:paraId="4C2921CB" w14:textId="77777777" w:rsidR="0081088A" w:rsidRPr="009B3C20" w:rsidRDefault="0081088A" w:rsidP="0081088A">
      <w:pPr>
        <w:widowControl w:val="0"/>
        <w:autoSpaceDE w:val="0"/>
        <w:autoSpaceDN w:val="0"/>
        <w:spacing w:after="0" w:line="276" w:lineRule="auto"/>
        <w:ind w:right="49" w:firstLine="709"/>
        <w:jc w:val="center"/>
        <w:rPr>
          <w:rFonts w:ascii="Verdana" w:eastAsia="Arial" w:hAnsi="Verdana" w:cs="Arial"/>
          <w:lang w:val="es-ES"/>
        </w:rPr>
      </w:pPr>
    </w:p>
    <w:tbl>
      <w:tblPr>
        <w:tblStyle w:val="TableNormal1"/>
        <w:tblW w:w="8837"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1E0" w:firstRow="1" w:lastRow="1" w:firstColumn="1" w:lastColumn="1" w:noHBand="0" w:noVBand="0"/>
      </w:tblPr>
      <w:tblGrid>
        <w:gridCol w:w="2830"/>
        <w:gridCol w:w="6007"/>
      </w:tblGrid>
      <w:tr w:rsidR="0081088A" w:rsidRPr="009B3C20" w14:paraId="66D3D824" w14:textId="77777777" w:rsidTr="00974252">
        <w:trPr>
          <w:trHeight w:val="729"/>
          <w:jc w:val="center"/>
        </w:trPr>
        <w:tc>
          <w:tcPr>
            <w:tcW w:w="2830" w:type="dxa"/>
            <w:tcBorders>
              <w:top w:val="single" w:sz="4" w:space="0" w:color="auto"/>
              <w:left w:val="single" w:sz="4" w:space="0" w:color="auto"/>
              <w:bottom w:val="single" w:sz="4" w:space="0" w:color="auto"/>
            </w:tcBorders>
            <w:shd w:val="clear" w:color="auto" w:fill="D9E2F3" w:themeFill="accent1" w:themeFillTint="33"/>
            <w:vAlign w:val="center"/>
          </w:tcPr>
          <w:p w14:paraId="6102485A" w14:textId="77777777" w:rsidR="0081088A" w:rsidRPr="009B3C20" w:rsidRDefault="0081088A" w:rsidP="00974252">
            <w:pPr>
              <w:ind w:left="438" w:right="428" w:firstLine="58"/>
              <w:jc w:val="center"/>
              <w:rPr>
                <w:rFonts w:ascii="Verdana" w:eastAsia="Calibri" w:hAnsi="Verdana" w:cs="Calibri"/>
                <w:b/>
                <w:sz w:val="20"/>
                <w:szCs w:val="20"/>
              </w:rPr>
            </w:pPr>
            <w:r w:rsidRPr="009B3C20">
              <w:rPr>
                <w:rFonts w:ascii="Verdana" w:eastAsia="Calibri" w:hAnsi="Verdana" w:cs="Calibri"/>
                <w:b/>
                <w:sz w:val="20"/>
                <w:szCs w:val="20"/>
              </w:rPr>
              <w:t>Tipo de</w:t>
            </w:r>
            <w:r>
              <w:rPr>
                <w:rFonts w:ascii="Verdana" w:eastAsia="Calibri" w:hAnsi="Verdana" w:cs="Calibri"/>
                <w:b/>
                <w:sz w:val="20"/>
                <w:szCs w:val="20"/>
              </w:rPr>
              <w:t xml:space="preserve"> </w:t>
            </w:r>
            <w:r w:rsidRPr="009B3C20">
              <w:rPr>
                <w:rFonts w:ascii="Verdana" w:eastAsia="Calibri" w:hAnsi="Verdana" w:cs="Calibri"/>
                <w:b/>
                <w:spacing w:val="-2"/>
                <w:sz w:val="20"/>
                <w:szCs w:val="20"/>
              </w:rPr>
              <w:t>relación material</w:t>
            </w:r>
          </w:p>
        </w:tc>
        <w:tc>
          <w:tcPr>
            <w:tcW w:w="6007" w:type="dxa"/>
            <w:tcBorders>
              <w:top w:val="single" w:sz="4" w:space="0" w:color="auto"/>
              <w:bottom w:val="single" w:sz="4" w:space="0" w:color="auto"/>
              <w:right w:val="single" w:sz="4" w:space="0" w:color="auto"/>
            </w:tcBorders>
            <w:shd w:val="clear" w:color="auto" w:fill="D9E2F3" w:themeFill="accent1" w:themeFillTint="33"/>
          </w:tcPr>
          <w:p w14:paraId="2F9E9C35" w14:textId="77777777" w:rsidR="0081088A" w:rsidRPr="009B3C20" w:rsidRDefault="0081088A" w:rsidP="00974252">
            <w:pPr>
              <w:ind w:left="119"/>
              <w:jc w:val="center"/>
              <w:rPr>
                <w:rFonts w:ascii="Verdana" w:eastAsia="Calibri" w:hAnsi="Verdana" w:cs="Calibri"/>
                <w:sz w:val="20"/>
                <w:szCs w:val="20"/>
              </w:rPr>
            </w:pPr>
          </w:p>
          <w:p w14:paraId="72DB6C3A" w14:textId="77777777" w:rsidR="0081088A" w:rsidRPr="009B3C20" w:rsidRDefault="0081088A" w:rsidP="00974252">
            <w:pPr>
              <w:ind w:left="4"/>
              <w:jc w:val="center"/>
              <w:rPr>
                <w:rFonts w:ascii="Verdana" w:eastAsia="Calibri" w:hAnsi="Verdana" w:cs="Calibri"/>
                <w:b/>
                <w:sz w:val="20"/>
                <w:szCs w:val="20"/>
              </w:rPr>
            </w:pPr>
            <w:r w:rsidRPr="009B3C20">
              <w:rPr>
                <w:rFonts w:ascii="Verdana" w:eastAsia="Calibri" w:hAnsi="Verdana" w:cs="Calibri"/>
                <w:b/>
                <w:sz w:val="20"/>
                <w:szCs w:val="20"/>
              </w:rPr>
              <w:t>Alcance</w:t>
            </w:r>
            <w:r w:rsidRPr="009B3C20">
              <w:rPr>
                <w:rFonts w:ascii="Verdana" w:eastAsia="Calibri" w:hAnsi="Verdana" w:cs="Calibri"/>
                <w:b/>
                <w:spacing w:val="-9"/>
                <w:sz w:val="20"/>
                <w:szCs w:val="20"/>
              </w:rPr>
              <w:t xml:space="preserve"> </w:t>
            </w:r>
            <w:r w:rsidRPr="009B3C20">
              <w:rPr>
                <w:rFonts w:ascii="Verdana" w:eastAsia="Calibri" w:hAnsi="Verdana" w:cs="Calibri"/>
                <w:b/>
                <w:sz w:val="20"/>
                <w:szCs w:val="20"/>
              </w:rPr>
              <w:t>de</w:t>
            </w:r>
            <w:r w:rsidRPr="009B3C20">
              <w:rPr>
                <w:rFonts w:ascii="Verdana" w:eastAsia="Calibri" w:hAnsi="Verdana" w:cs="Calibri"/>
                <w:b/>
                <w:spacing w:val="-8"/>
                <w:sz w:val="20"/>
                <w:szCs w:val="20"/>
              </w:rPr>
              <w:t xml:space="preserve"> </w:t>
            </w:r>
            <w:r w:rsidRPr="009B3C20">
              <w:rPr>
                <w:rFonts w:ascii="Verdana" w:eastAsia="Calibri" w:hAnsi="Verdana" w:cs="Calibri"/>
                <w:b/>
                <w:sz w:val="20"/>
                <w:szCs w:val="20"/>
              </w:rPr>
              <w:t>la</w:t>
            </w:r>
            <w:r w:rsidRPr="009B3C20">
              <w:rPr>
                <w:rFonts w:ascii="Verdana" w:eastAsia="Calibri" w:hAnsi="Verdana" w:cs="Calibri"/>
                <w:b/>
                <w:spacing w:val="-8"/>
                <w:sz w:val="20"/>
                <w:szCs w:val="20"/>
              </w:rPr>
              <w:t xml:space="preserve"> </w:t>
            </w:r>
            <w:r w:rsidRPr="009B3C20">
              <w:rPr>
                <w:rFonts w:ascii="Verdana" w:eastAsia="Calibri" w:hAnsi="Verdana" w:cs="Calibri"/>
                <w:b/>
                <w:spacing w:val="-2"/>
                <w:sz w:val="20"/>
                <w:szCs w:val="20"/>
              </w:rPr>
              <w:t>protección</w:t>
            </w:r>
          </w:p>
        </w:tc>
      </w:tr>
      <w:tr w:rsidR="0081088A" w:rsidRPr="009B3C20" w14:paraId="69AF4111" w14:textId="77777777" w:rsidTr="0097425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00"/>
          <w:jc w:val="center"/>
        </w:trPr>
        <w:tc>
          <w:tcPr>
            <w:tcW w:w="2830" w:type="dxa"/>
            <w:tcBorders>
              <w:top w:val="single" w:sz="4" w:space="0" w:color="auto"/>
              <w:left w:val="single" w:sz="4" w:space="0" w:color="auto"/>
              <w:bottom w:val="single" w:sz="4" w:space="0" w:color="auto"/>
              <w:right w:val="single" w:sz="4" w:space="0" w:color="auto"/>
            </w:tcBorders>
          </w:tcPr>
          <w:p w14:paraId="6817CCA5" w14:textId="77777777" w:rsidR="0081088A" w:rsidRPr="009B3C20" w:rsidRDefault="0081088A" w:rsidP="00974252">
            <w:pPr>
              <w:ind w:left="89" w:right="80"/>
              <w:jc w:val="center"/>
              <w:rPr>
                <w:rFonts w:ascii="Verdana" w:eastAsia="Calibri" w:hAnsi="Verdana" w:cs="Calibri"/>
                <w:b/>
                <w:sz w:val="20"/>
                <w:szCs w:val="20"/>
                <w:lang w:val="es-CO"/>
              </w:rPr>
            </w:pPr>
          </w:p>
          <w:p w14:paraId="7412C189" w14:textId="77777777" w:rsidR="0081088A" w:rsidRPr="009B3C20" w:rsidRDefault="0081088A" w:rsidP="00974252">
            <w:pPr>
              <w:ind w:left="89" w:right="80"/>
              <w:jc w:val="center"/>
              <w:rPr>
                <w:rFonts w:ascii="Verdana" w:eastAsia="Calibri" w:hAnsi="Verdana" w:cs="Calibri"/>
                <w:b/>
                <w:sz w:val="20"/>
                <w:szCs w:val="20"/>
                <w:lang w:val="es-CO"/>
              </w:rPr>
            </w:pPr>
            <w:r w:rsidRPr="009B3C20">
              <w:rPr>
                <w:rFonts w:ascii="Verdana" w:eastAsia="Calibri" w:hAnsi="Verdana" w:cs="Calibri"/>
                <w:b/>
                <w:sz w:val="20"/>
                <w:szCs w:val="20"/>
                <w:lang w:val="es-CO"/>
              </w:rPr>
              <w:t>Se</w:t>
            </w:r>
            <w:r w:rsidRPr="009B3C20">
              <w:rPr>
                <w:rFonts w:ascii="Verdana" w:eastAsia="Calibri" w:hAnsi="Verdana" w:cs="Calibri"/>
                <w:b/>
                <w:spacing w:val="-18"/>
                <w:sz w:val="20"/>
                <w:szCs w:val="20"/>
                <w:lang w:val="es-CO"/>
              </w:rPr>
              <w:t xml:space="preserve"> </w:t>
            </w:r>
            <w:r w:rsidRPr="009B3C20">
              <w:rPr>
                <w:rFonts w:ascii="Verdana" w:eastAsia="Calibri" w:hAnsi="Verdana" w:cs="Calibri"/>
                <w:b/>
                <w:sz w:val="20"/>
                <w:szCs w:val="20"/>
                <w:lang w:val="es-CO"/>
              </w:rPr>
              <w:t xml:space="preserve">configura un contrato </w:t>
            </w:r>
            <w:r w:rsidRPr="009B3C20">
              <w:rPr>
                <w:rFonts w:ascii="Verdana" w:eastAsia="Calibri" w:hAnsi="Verdana" w:cs="Calibri"/>
                <w:b/>
                <w:spacing w:val="-2"/>
                <w:sz w:val="20"/>
                <w:szCs w:val="20"/>
                <w:lang w:val="es-CO"/>
              </w:rPr>
              <w:t>realidad</w:t>
            </w:r>
          </w:p>
        </w:tc>
        <w:tc>
          <w:tcPr>
            <w:tcW w:w="6007" w:type="dxa"/>
            <w:tcBorders>
              <w:top w:val="single" w:sz="4" w:space="0" w:color="auto"/>
              <w:left w:val="single" w:sz="4" w:space="0" w:color="auto"/>
              <w:bottom w:val="single" w:sz="4" w:space="0" w:color="auto"/>
              <w:right w:val="single" w:sz="4" w:space="0" w:color="auto"/>
            </w:tcBorders>
          </w:tcPr>
          <w:p w14:paraId="0E979EAE" w14:textId="77777777" w:rsidR="0081088A" w:rsidRPr="009B3C20" w:rsidRDefault="0081088A" w:rsidP="00974252">
            <w:pPr>
              <w:ind w:left="108" w:right="95"/>
              <w:jc w:val="both"/>
              <w:rPr>
                <w:rFonts w:ascii="Verdana" w:eastAsia="Calibri" w:hAnsi="Verdana" w:cs="Calibri"/>
                <w:sz w:val="20"/>
                <w:szCs w:val="20"/>
                <w:lang w:val="es-CO"/>
              </w:rPr>
            </w:pPr>
            <w:r w:rsidRPr="009B3C20">
              <w:rPr>
                <w:rFonts w:ascii="Verdana" w:eastAsia="Calibri" w:hAnsi="Verdana" w:cs="Calibri"/>
                <w:sz w:val="20"/>
                <w:szCs w:val="20"/>
                <w:lang w:val="es-CO"/>
              </w:rPr>
              <w:t>El juez de tutela deberá aplicar las reglas establecidas para el contrato laboral a término fijo, debido a que este contrato, por sus características de temporalidad, es el que mejor se asemeja al contrato de prestación de servicios</w:t>
            </w:r>
            <w:r w:rsidRPr="009B3C20">
              <w:rPr>
                <w:rFonts w:ascii="Verdana" w:eastAsia="Calibri" w:hAnsi="Verdana" w:cs="Calibri"/>
                <w:sz w:val="20"/>
                <w:szCs w:val="20"/>
                <w:vertAlign w:val="superscript"/>
              </w:rPr>
              <w:footnoteReference w:id="21"/>
            </w:r>
            <w:r w:rsidRPr="009B3C20">
              <w:rPr>
                <w:rFonts w:ascii="Verdana" w:eastAsia="Calibri" w:hAnsi="Verdana" w:cs="Calibri"/>
                <w:sz w:val="20"/>
                <w:szCs w:val="20"/>
                <w:lang w:val="es-CO"/>
              </w:rPr>
              <w:t>.</w:t>
            </w:r>
          </w:p>
        </w:tc>
      </w:tr>
      <w:tr w:rsidR="0081088A" w:rsidRPr="009B3C20" w14:paraId="2753C5BE" w14:textId="77777777" w:rsidTr="00974252">
        <w:trPr>
          <w:trHeight w:val="267"/>
          <w:jc w:val="center"/>
        </w:trPr>
        <w:tc>
          <w:tcPr>
            <w:tcW w:w="2830" w:type="dxa"/>
            <w:tcBorders>
              <w:top w:val="single" w:sz="4" w:space="0" w:color="auto"/>
              <w:left w:val="single" w:sz="4" w:space="0" w:color="auto"/>
              <w:bottom w:val="single" w:sz="4" w:space="0" w:color="auto"/>
              <w:right w:val="single" w:sz="4" w:space="0" w:color="auto"/>
            </w:tcBorders>
          </w:tcPr>
          <w:p w14:paraId="03600A70" w14:textId="77777777" w:rsidR="0081088A" w:rsidRPr="009B3C20" w:rsidRDefault="0081088A" w:rsidP="00974252">
            <w:pPr>
              <w:ind w:left="119"/>
              <w:jc w:val="center"/>
              <w:rPr>
                <w:rFonts w:ascii="Verdana" w:eastAsia="Calibri" w:hAnsi="Verdana" w:cs="Calibri"/>
                <w:sz w:val="20"/>
                <w:szCs w:val="20"/>
                <w:lang w:val="es-CO"/>
              </w:rPr>
            </w:pPr>
          </w:p>
          <w:p w14:paraId="167D1553" w14:textId="77777777" w:rsidR="0081088A" w:rsidRPr="009B3C20" w:rsidRDefault="0081088A" w:rsidP="00974252">
            <w:pPr>
              <w:ind w:left="119"/>
              <w:jc w:val="center"/>
              <w:rPr>
                <w:rFonts w:ascii="Verdana" w:eastAsia="Calibri" w:hAnsi="Verdana" w:cs="Calibri"/>
                <w:sz w:val="20"/>
                <w:szCs w:val="20"/>
                <w:lang w:val="es-CO"/>
              </w:rPr>
            </w:pPr>
          </w:p>
          <w:p w14:paraId="57A7D230" w14:textId="77777777" w:rsidR="0081088A" w:rsidRPr="009B3C20" w:rsidRDefault="0081088A" w:rsidP="00974252">
            <w:pPr>
              <w:rPr>
                <w:rFonts w:ascii="Verdana" w:eastAsia="Calibri" w:hAnsi="Verdana" w:cs="Calibri"/>
                <w:sz w:val="20"/>
                <w:szCs w:val="20"/>
                <w:lang w:val="es-CO"/>
              </w:rPr>
            </w:pPr>
          </w:p>
          <w:p w14:paraId="5C376EC0" w14:textId="77777777" w:rsidR="0081088A" w:rsidRPr="009B3C20" w:rsidRDefault="0081088A" w:rsidP="00974252">
            <w:pPr>
              <w:ind w:left="198" w:right="189"/>
              <w:jc w:val="center"/>
              <w:rPr>
                <w:rFonts w:ascii="Verdana" w:eastAsia="Calibri" w:hAnsi="Verdana" w:cs="Calibri"/>
                <w:b/>
                <w:sz w:val="20"/>
                <w:szCs w:val="20"/>
                <w:lang w:val="es-CO"/>
              </w:rPr>
            </w:pPr>
            <w:r w:rsidRPr="009B3C20">
              <w:rPr>
                <w:rFonts w:ascii="Verdana" w:eastAsia="Calibri" w:hAnsi="Verdana" w:cs="Calibri"/>
                <w:b/>
                <w:sz w:val="20"/>
                <w:szCs w:val="20"/>
                <w:lang w:val="es-CO"/>
              </w:rPr>
              <w:t>No se configura</w:t>
            </w:r>
            <w:r w:rsidRPr="009B3C20">
              <w:rPr>
                <w:rFonts w:ascii="Verdana" w:eastAsia="Calibri" w:hAnsi="Verdana" w:cs="Calibri"/>
                <w:b/>
                <w:spacing w:val="-18"/>
                <w:sz w:val="20"/>
                <w:szCs w:val="20"/>
                <w:lang w:val="es-CO"/>
              </w:rPr>
              <w:t xml:space="preserve"> </w:t>
            </w:r>
            <w:r w:rsidRPr="009B3C20">
              <w:rPr>
                <w:rFonts w:ascii="Verdana" w:eastAsia="Calibri" w:hAnsi="Verdana" w:cs="Calibri"/>
                <w:b/>
                <w:sz w:val="20"/>
                <w:szCs w:val="20"/>
                <w:lang w:val="es-CO"/>
              </w:rPr>
              <w:t xml:space="preserve">un </w:t>
            </w:r>
            <w:r w:rsidRPr="009B3C20">
              <w:rPr>
                <w:rFonts w:ascii="Verdana" w:eastAsia="Calibri" w:hAnsi="Verdana" w:cs="Calibri"/>
                <w:b/>
                <w:spacing w:val="-2"/>
                <w:sz w:val="20"/>
                <w:szCs w:val="20"/>
                <w:lang w:val="es-CO"/>
              </w:rPr>
              <w:t>contrato realidad</w:t>
            </w:r>
          </w:p>
        </w:tc>
        <w:tc>
          <w:tcPr>
            <w:tcW w:w="6007" w:type="dxa"/>
            <w:tcBorders>
              <w:top w:val="single" w:sz="4" w:space="0" w:color="auto"/>
              <w:left w:val="single" w:sz="4" w:space="0" w:color="auto"/>
              <w:bottom w:val="single" w:sz="4" w:space="0" w:color="auto"/>
              <w:right w:val="single" w:sz="4" w:space="0" w:color="auto"/>
            </w:tcBorders>
          </w:tcPr>
          <w:p w14:paraId="55A0AA7E" w14:textId="77777777" w:rsidR="0081088A" w:rsidRPr="009B3C20" w:rsidRDefault="0081088A" w:rsidP="00974252">
            <w:pPr>
              <w:tabs>
                <w:tab w:val="left" w:pos="828"/>
              </w:tabs>
              <w:ind w:left="119" w:right="96"/>
              <w:jc w:val="both"/>
              <w:rPr>
                <w:rFonts w:ascii="Verdana" w:eastAsia="Calibri" w:hAnsi="Verdana" w:cs="Calibri"/>
                <w:sz w:val="20"/>
                <w:szCs w:val="20"/>
                <w:lang w:val="es-CO"/>
              </w:rPr>
            </w:pPr>
          </w:p>
          <w:p w14:paraId="0FB98F73" w14:textId="77777777" w:rsidR="0081088A" w:rsidRPr="009B3C20" w:rsidRDefault="0081088A" w:rsidP="00974252">
            <w:pPr>
              <w:tabs>
                <w:tab w:val="left" w:pos="828"/>
              </w:tabs>
              <w:ind w:left="119" w:right="96"/>
              <w:jc w:val="both"/>
              <w:rPr>
                <w:rFonts w:ascii="Verdana" w:eastAsia="Calibri" w:hAnsi="Verdana" w:cs="Calibri"/>
                <w:spacing w:val="-2"/>
                <w:sz w:val="20"/>
                <w:szCs w:val="20"/>
                <w:lang w:val="es-CO"/>
              </w:rPr>
            </w:pPr>
            <w:r w:rsidRPr="009B3C20">
              <w:rPr>
                <w:rFonts w:ascii="Verdana" w:eastAsia="Calibri" w:hAnsi="Verdana" w:cs="Calibri"/>
                <w:sz w:val="20"/>
                <w:szCs w:val="20"/>
                <w:lang w:val="es-CO"/>
              </w:rPr>
              <w:t>Si</w:t>
            </w:r>
            <w:r w:rsidRPr="009B3C20">
              <w:rPr>
                <w:rFonts w:ascii="Verdana" w:eastAsia="Calibri" w:hAnsi="Verdana" w:cs="Calibri"/>
                <w:spacing w:val="-14"/>
                <w:sz w:val="20"/>
                <w:szCs w:val="20"/>
                <w:lang w:val="es-CO"/>
              </w:rPr>
              <w:t xml:space="preserve"> </w:t>
            </w:r>
            <w:r w:rsidRPr="009B3C20">
              <w:rPr>
                <w:rFonts w:ascii="Verdana" w:eastAsia="Calibri" w:hAnsi="Verdana" w:cs="Calibri"/>
                <w:sz w:val="20"/>
                <w:szCs w:val="20"/>
                <w:lang w:val="es-CO"/>
              </w:rPr>
              <w:t>(i)</w:t>
            </w:r>
            <w:r w:rsidRPr="009B3C20">
              <w:rPr>
                <w:rFonts w:ascii="Verdana" w:eastAsia="Calibri" w:hAnsi="Verdana" w:cs="Calibri"/>
                <w:spacing w:val="-14"/>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13"/>
                <w:sz w:val="20"/>
                <w:szCs w:val="20"/>
                <w:lang w:val="es-CO"/>
              </w:rPr>
              <w:t xml:space="preserve"> </w:t>
            </w:r>
            <w:r w:rsidRPr="009B3C20">
              <w:rPr>
                <w:rFonts w:ascii="Verdana" w:eastAsia="Calibri" w:hAnsi="Verdana" w:cs="Calibri"/>
                <w:sz w:val="20"/>
                <w:szCs w:val="20"/>
                <w:lang w:val="es-CO"/>
              </w:rPr>
              <w:t>contratante</w:t>
            </w:r>
            <w:r w:rsidRPr="009B3C20">
              <w:rPr>
                <w:rFonts w:ascii="Verdana" w:eastAsia="Calibri" w:hAnsi="Verdana" w:cs="Calibri"/>
                <w:spacing w:val="-11"/>
                <w:sz w:val="20"/>
                <w:szCs w:val="20"/>
                <w:lang w:val="es-CO"/>
              </w:rPr>
              <w:t xml:space="preserve"> </w:t>
            </w:r>
            <w:r w:rsidRPr="009B3C20">
              <w:rPr>
                <w:rFonts w:ascii="Verdana" w:eastAsia="Calibri" w:hAnsi="Verdana" w:cs="Calibri"/>
                <w:sz w:val="20"/>
                <w:szCs w:val="20"/>
                <w:lang w:val="es-CO"/>
              </w:rPr>
              <w:t>conoce</w:t>
            </w:r>
            <w:r w:rsidRPr="009B3C20">
              <w:rPr>
                <w:rFonts w:ascii="Verdana" w:eastAsia="Calibri" w:hAnsi="Verdana" w:cs="Calibri"/>
                <w:spacing w:val="-13"/>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14"/>
                <w:sz w:val="20"/>
                <w:szCs w:val="20"/>
                <w:lang w:val="es-CO"/>
              </w:rPr>
              <w:t xml:space="preserve"> </w:t>
            </w:r>
            <w:r w:rsidRPr="009B3C20">
              <w:rPr>
                <w:rFonts w:ascii="Verdana" w:eastAsia="Calibri" w:hAnsi="Verdana" w:cs="Calibri"/>
                <w:sz w:val="20"/>
                <w:szCs w:val="20"/>
                <w:lang w:val="es-CO"/>
              </w:rPr>
              <w:t>estado</w:t>
            </w:r>
            <w:r w:rsidRPr="009B3C20">
              <w:rPr>
                <w:rFonts w:ascii="Verdana" w:eastAsia="Calibri" w:hAnsi="Verdana" w:cs="Calibri"/>
                <w:spacing w:val="-12"/>
                <w:sz w:val="20"/>
                <w:szCs w:val="20"/>
                <w:lang w:val="es-CO"/>
              </w:rPr>
              <w:t xml:space="preserve"> </w:t>
            </w:r>
            <w:r w:rsidRPr="009B3C20">
              <w:rPr>
                <w:rFonts w:ascii="Verdana" w:eastAsia="Calibri" w:hAnsi="Verdana" w:cs="Calibri"/>
                <w:sz w:val="20"/>
                <w:szCs w:val="20"/>
                <w:lang w:val="es-CO"/>
              </w:rPr>
              <w:t>de</w:t>
            </w:r>
            <w:r w:rsidRPr="009B3C20">
              <w:rPr>
                <w:rFonts w:ascii="Verdana" w:eastAsia="Calibri" w:hAnsi="Verdana" w:cs="Calibri"/>
                <w:spacing w:val="-14"/>
                <w:sz w:val="20"/>
                <w:szCs w:val="20"/>
                <w:lang w:val="es-CO"/>
              </w:rPr>
              <w:t xml:space="preserve"> </w:t>
            </w:r>
            <w:r w:rsidRPr="009B3C20">
              <w:rPr>
                <w:rFonts w:ascii="Verdana" w:eastAsia="Calibri" w:hAnsi="Verdana" w:cs="Calibri"/>
                <w:sz w:val="20"/>
                <w:szCs w:val="20"/>
                <w:lang w:val="es-CO"/>
              </w:rPr>
              <w:t>embarazo</w:t>
            </w:r>
            <w:r w:rsidRPr="009B3C20">
              <w:rPr>
                <w:rFonts w:ascii="Verdana" w:eastAsia="Calibri" w:hAnsi="Verdana" w:cs="Calibri"/>
                <w:spacing w:val="-12"/>
                <w:sz w:val="20"/>
                <w:szCs w:val="20"/>
                <w:lang w:val="es-CO"/>
              </w:rPr>
              <w:t xml:space="preserve"> </w:t>
            </w:r>
            <w:r w:rsidRPr="009B3C20">
              <w:rPr>
                <w:rFonts w:ascii="Verdana" w:eastAsia="Calibri" w:hAnsi="Verdana" w:cs="Calibri"/>
                <w:sz w:val="20"/>
                <w:szCs w:val="20"/>
                <w:lang w:val="es-CO"/>
              </w:rPr>
              <w:t>de</w:t>
            </w:r>
            <w:r w:rsidRPr="009B3C20">
              <w:rPr>
                <w:rFonts w:ascii="Verdana" w:eastAsia="Calibri" w:hAnsi="Verdana" w:cs="Calibri"/>
                <w:spacing w:val="-13"/>
                <w:sz w:val="20"/>
                <w:szCs w:val="20"/>
                <w:lang w:val="es-CO"/>
              </w:rPr>
              <w:t xml:space="preserve"> </w:t>
            </w:r>
            <w:r w:rsidRPr="009B3C20">
              <w:rPr>
                <w:rFonts w:ascii="Verdana" w:eastAsia="Calibri" w:hAnsi="Verdana" w:cs="Calibri"/>
                <w:sz w:val="20"/>
                <w:szCs w:val="20"/>
                <w:lang w:val="es-CO"/>
              </w:rPr>
              <w:t>la</w:t>
            </w:r>
            <w:r w:rsidRPr="009B3C20">
              <w:rPr>
                <w:rFonts w:ascii="Verdana" w:eastAsia="Calibri" w:hAnsi="Verdana" w:cs="Calibri"/>
                <w:spacing w:val="-14"/>
                <w:sz w:val="20"/>
                <w:szCs w:val="20"/>
                <w:lang w:val="es-CO"/>
              </w:rPr>
              <w:t xml:space="preserve"> </w:t>
            </w:r>
            <w:r w:rsidRPr="009B3C20">
              <w:rPr>
                <w:rFonts w:ascii="Verdana" w:eastAsia="Calibri" w:hAnsi="Verdana" w:cs="Calibri"/>
                <w:spacing w:val="-2"/>
                <w:sz w:val="20"/>
                <w:szCs w:val="20"/>
                <w:lang w:val="es-CO"/>
              </w:rPr>
              <w:t>contratista,</w:t>
            </w:r>
            <w:r w:rsidRPr="009B3C20">
              <w:rPr>
                <w:rFonts w:ascii="Verdana" w:eastAsia="Calibri" w:hAnsi="Verdana" w:cs="Calibri"/>
                <w:sz w:val="20"/>
                <w:szCs w:val="20"/>
                <w:lang w:val="es-CO"/>
              </w:rPr>
              <w:t xml:space="preserve"> (ii) subsiste la causa del contrato y (iii) no cuenta con permiso del inspector del trabajo para terminar el contrato, el juez deberá </w:t>
            </w:r>
            <w:r w:rsidRPr="009B3C20">
              <w:rPr>
                <w:rFonts w:ascii="Verdana" w:eastAsia="Calibri" w:hAnsi="Verdana" w:cs="Calibri"/>
                <w:spacing w:val="-2"/>
                <w:sz w:val="20"/>
                <w:szCs w:val="20"/>
                <w:lang w:val="es-CO"/>
              </w:rPr>
              <w:t>ordenar:</w:t>
            </w:r>
          </w:p>
          <w:p w14:paraId="5CC0E2ED" w14:textId="77777777" w:rsidR="0081088A" w:rsidRPr="009B3C20" w:rsidRDefault="0081088A" w:rsidP="00974252">
            <w:pPr>
              <w:tabs>
                <w:tab w:val="left" w:pos="828"/>
              </w:tabs>
              <w:ind w:left="119" w:right="96"/>
              <w:jc w:val="both"/>
              <w:rPr>
                <w:rFonts w:ascii="Verdana" w:eastAsia="Calibri" w:hAnsi="Verdana" w:cs="Calibri"/>
                <w:spacing w:val="-2"/>
                <w:sz w:val="20"/>
                <w:szCs w:val="20"/>
                <w:lang w:val="es-CO"/>
              </w:rPr>
            </w:pPr>
          </w:p>
          <w:p w14:paraId="6ECE881E" w14:textId="77777777" w:rsidR="0081088A" w:rsidRPr="009B3C20" w:rsidRDefault="0081088A" w:rsidP="0081088A">
            <w:pPr>
              <w:numPr>
                <w:ilvl w:val="0"/>
                <w:numId w:val="21"/>
              </w:numPr>
              <w:tabs>
                <w:tab w:val="left" w:pos="828"/>
              </w:tabs>
              <w:ind w:right="96"/>
              <w:jc w:val="both"/>
              <w:rPr>
                <w:rFonts w:ascii="Verdana" w:eastAsia="Calibri" w:hAnsi="Verdana" w:cs="Calibri"/>
                <w:sz w:val="20"/>
                <w:szCs w:val="20"/>
                <w:lang w:val="es-CO"/>
              </w:rPr>
            </w:pPr>
            <w:r w:rsidRPr="009B3C20">
              <w:rPr>
                <w:rFonts w:ascii="Verdana" w:eastAsia="Calibri" w:hAnsi="Verdana" w:cs="Calibri"/>
                <w:sz w:val="20"/>
                <w:szCs w:val="20"/>
                <w:lang w:val="es-CO"/>
              </w:rPr>
              <w:t>La</w:t>
            </w:r>
            <w:r w:rsidRPr="009B3C20">
              <w:rPr>
                <w:rFonts w:ascii="Verdana" w:eastAsia="Calibri" w:hAnsi="Verdana" w:cs="Calibri"/>
                <w:spacing w:val="-18"/>
                <w:sz w:val="20"/>
                <w:szCs w:val="20"/>
                <w:lang w:val="es-CO"/>
              </w:rPr>
              <w:t xml:space="preserve"> </w:t>
            </w:r>
            <w:r w:rsidRPr="009B3C20">
              <w:rPr>
                <w:rFonts w:ascii="Verdana" w:eastAsia="Calibri" w:hAnsi="Verdana" w:cs="Calibri"/>
                <w:sz w:val="20"/>
                <w:szCs w:val="20"/>
                <w:lang w:val="es-CO"/>
              </w:rPr>
              <w:t>renovación</w:t>
            </w:r>
            <w:r w:rsidRPr="009B3C20">
              <w:rPr>
                <w:rFonts w:ascii="Verdana" w:eastAsia="Calibri" w:hAnsi="Verdana" w:cs="Calibri"/>
                <w:spacing w:val="-18"/>
                <w:sz w:val="20"/>
                <w:szCs w:val="20"/>
                <w:lang w:val="es-CO"/>
              </w:rPr>
              <w:t xml:space="preserve"> </w:t>
            </w:r>
            <w:r w:rsidRPr="009B3C20">
              <w:rPr>
                <w:rFonts w:ascii="Verdana" w:eastAsia="Calibri" w:hAnsi="Verdana" w:cs="Calibri"/>
                <w:sz w:val="20"/>
                <w:szCs w:val="20"/>
                <w:lang w:val="es-CO"/>
              </w:rPr>
              <w:t>de</w:t>
            </w:r>
            <w:r w:rsidRPr="009B3C20">
              <w:rPr>
                <w:rFonts w:ascii="Verdana" w:eastAsia="Calibri" w:hAnsi="Verdana" w:cs="Calibri"/>
                <w:spacing w:val="-17"/>
                <w:sz w:val="20"/>
                <w:szCs w:val="20"/>
                <w:lang w:val="es-CO"/>
              </w:rPr>
              <w:t xml:space="preserve"> </w:t>
            </w:r>
            <w:r w:rsidRPr="009B3C20">
              <w:rPr>
                <w:rFonts w:ascii="Verdana" w:eastAsia="Calibri" w:hAnsi="Verdana" w:cs="Calibri"/>
                <w:sz w:val="20"/>
                <w:szCs w:val="20"/>
                <w:lang w:val="es-CO"/>
              </w:rPr>
              <w:t>la</w:t>
            </w:r>
            <w:r w:rsidRPr="009B3C20">
              <w:rPr>
                <w:rFonts w:ascii="Verdana" w:eastAsia="Calibri" w:hAnsi="Verdana" w:cs="Calibri"/>
                <w:spacing w:val="-18"/>
                <w:sz w:val="20"/>
                <w:szCs w:val="20"/>
                <w:lang w:val="es-CO"/>
              </w:rPr>
              <w:t xml:space="preserve"> </w:t>
            </w:r>
            <w:r w:rsidRPr="009B3C20">
              <w:rPr>
                <w:rFonts w:ascii="Verdana" w:eastAsia="Calibri" w:hAnsi="Verdana" w:cs="Calibri"/>
                <w:sz w:val="20"/>
                <w:szCs w:val="20"/>
                <w:lang w:val="es-CO"/>
              </w:rPr>
              <w:t>relación</w:t>
            </w:r>
            <w:r w:rsidRPr="009B3C20">
              <w:rPr>
                <w:rFonts w:ascii="Verdana" w:eastAsia="Calibri" w:hAnsi="Verdana" w:cs="Calibri"/>
                <w:spacing w:val="-17"/>
                <w:sz w:val="20"/>
                <w:szCs w:val="20"/>
                <w:lang w:val="es-CO"/>
              </w:rPr>
              <w:t xml:space="preserve"> </w:t>
            </w:r>
            <w:r w:rsidRPr="009B3C20">
              <w:rPr>
                <w:rFonts w:ascii="Verdana" w:eastAsia="Calibri" w:hAnsi="Verdana" w:cs="Calibri"/>
                <w:sz w:val="20"/>
                <w:szCs w:val="20"/>
                <w:lang w:val="es-CO"/>
              </w:rPr>
              <w:t>contractual,</w:t>
            </w:r>
            <w:r w:rsidRPr="009B3C20">
              <w:rPr>
                <w:rFonts w:ascii="Verdana" w:eastAsia="Calibri" w:hAnsi="Verdana" w:cs="Calibri"/>
                <w:spacing w:val="-18"/>
                <w:sz w:val="20"/>
                <w:szCs w:val="20"/>
                <w:lang w:val="es-CO"/>
              </w:rPr>
              <w:t xml:space="preserve"> </w:t>
            </w:r>
            <w:r w:rsidRPr="009B3C20">
              <w:rPr>
                <w:rFonts w:ascii="Verdana" w:eastAsia="Calibri" w:hAnsi="Verdana" w:cs="Calibri"/>
                <w:sz w:val="20"/>
                <w:szCs w:val="20"/>
                <w:lang w:val="es-CO"/>
              </w:rPr>
              <w:t>la</w:t>
            </w:r>
            <w:r w:rsidRPr="009B3C20">
              <w:rPr>
                <w:rFonts w:ascii="Verdana" w:eastAsia="Calibri" w:hAnsi="Verdana" w:cs="Calibri"/>
                <w:spacing w:val="-18"/>
                <w:sz w:val="20"/>
                <w:szCs w:val="20"/>
                <w:lang w:val="es-CO"/>
              </w:rPr>
              <w:t xml:space="preserve"> </w:t>
            </w:r>
            <w:r w:rsidRPr="009B3C20">
              <w:rPr>
                <w:rFonts w:ascii="Verdana" w:eastAsia="Calibri" w:hAnsi="Verdana" w:cs="Calibri"/>
                <w:sz w:val="20"/>
                <w:szCs w:val="20"/>
                <w:lang w:val="es-CO"/>
              </w:rPr>
              <w:t>cual</w:t>
            </w:r>
            <w:r w:rsidRPr="009B3C20">
              <w:rPr>
                <w:rFonts w:ascii="Verdana" w:eastAsia="Calibri" w:hAnsi="Verdana" w:cs="Calibri"/>
                <w:spacing w:val="-17"/>
                <w:sz w:val="20"/>
                <w:szCs w:val="20"/>
                <w:lang w:val="es-CO"/>
              </w:rPr>
              <w:t xml:space="preserve"> </w:t>
            </w:r>
            <w:r w:rsidRPr="009B3C20">
              <w:rPr>
                <w:rFonts w:ascii="Verdana" w:eastAsia="Calibri" w:hAnsi="Verdana" w:cs="Calibri"/>
                <w:sz w:val="20"/>
                <w:szCs w:val="20"/>
                <w:lang w:val="es-CO"/>
              </w:rPr>
              <w:t>se</w:t>
            </w:r>
            <w:r w:rsidRPr="009B3C20">
              <w:rPr>
                <w:rFonts w:ascii="Verdana" w:eastAsia="Calibri" w:hAnsi="Verdana" w:cs="Calibri"/>
                <w:spacing w:val="-18"/>
                <w:sz w:val="20"/>
                <w:szCs w:val="20"/>
                <w:lang w:val="es-CO"/>
              </w:rPr>
              <w:t xml:space="preserve"> </w:t>
            </w:r>
            <w:r w:rsidRPr="009B3C20">
              <w:rPr>
                <w:rFonts w:ascii="Verdana" w:eastAsia="Calibri" w:hAnsi="Verdana" w:cs="Calibri"/>
                <w:sz w:val="20"/>
                <w:szCs w:val="20"/>
                <w:lang w:val="es-CO"/>
              </w:rPr>
              <w:t>dará</w:t>
            </w:r>
            <w:r w:rsidRPr="009B3C20">
              <w:rPr>
                <w:rFonts w:ascii="Verdana" w:eastAsia="Calibri" w:hAnsi="Verdana" w:cs="Calibri"/>
                <w:spacing w:val="-17"/>
                <w:sz w:val="20"/>
                <w:szCs w:val="20"/>
                <w:lang w:val="es-CO"/>
              </w:rPr>
              <w:t xml:space="preserve"> </w:t>
            </w:r>
            <w:r w:rsidRPr="009B3C20">
              <w:rPr>
                <w:rFonts w:ascii="Verdana" w:eastAsia="Calibri" w:hAnsi="Verdana" w:cs="Calibri"/>
                <w:sz w:val="20"/>
                <w:szCs w:val="20"/>
                <w:lang w:val="es-CO"/>
              </w:rPr>
              <w:t>hasta por el término del periodo de lactancia.</w:t>
            </w:r>
          </w:p>
          <w:p w14:paraId="0448E7EE" w14:textId="77777777" w:rsidR="0081088A" w:rsidRPr="009B3C20" w:rsidRDefault="0081088A" w:rsidP="0081088A">
            <w:pPr>
              <w:numPr>
                <w:ilvl w:val="0"/>
                <w:numId w:val="21"/>
              </w:numPr>
              <w:tabs>
                <w:tab w:val="left" w:pos="828"/>
              </w:tabs>
              <w:ind w:right="96"/>
              <w:jc w:val="both"/>
              <w:rPr>
                <w:rFonts w:ascii="Verdana" w:eastAsia="Calibri" w:hAnsi="Verdana" w:cs="Calibri"/>
                <w:sz w:val="20"/>
                <w:szCs w:val="20"/>
                <w:lang w:val="es-CO"/>
              </w:rPr>
            </w:pPr>
            <w:r w:rsidRPr="009B3C20">
              <w:rPr>
                <w:rFonts w:ascii="Verdana" w:eastAsia="Calibri" w:hAnsi="Verdana" w:cs="Calibri"/>
                <w:sz w:val="20"/>
                <w:szCs w:val="20"/>
                <w:lang w:val="es-CO"/>
              </w:rPr>
              <w:t>El</w:t>
            </w:r>
            <w:r w:rsidRPr="009B3C20">
              <w:rPr>
                <w:rFonts w:ascii="Verdana" w:eastAsia="Calibri" w:hAnsi="Verdana" w:cs="Calibri"/>
                <w:spacing w:val="-1"/>
                <w:sz w:val="20"/>
                <w:szCs w:val="20"/>
                <w:lang w:val="es-CO"/>
              </w:rPr>
              <w:t xml:space="preserve"> </w:t>
            </w:r>
            <w:r w:rsidRPr="009B3C20">
              <w:rPr>
                <w:rFonts w:ascii="Verdana" w:eastAsia="Calibri" w:hAnsi="Verdana" w:cs="Calibri"/>
                <w:sz w:val="20"/>
                <w:szCs w:val="20"/>
                <w:lang w:val="es-CO"/>
              </w:rPr>
              <w:t>pago de</w:t>
            </w:r>
            <w:r w:rsidRPr="009B3C20">
              <w:rPr>
                <w:rFonts w:ascii="Verdana" w:eastAsia="Calibri" w:hAnsi="Verdana" w:cs="Calibri"/>
                <w:spacing w:val="-1"/>
                <w:sz w:val="20"/>
                <w:szCs w:val="20"/>
                <w:lang w:val="es-CO"/>
              </w:rPr>
              <w:t xml:space="preserve"> </w:t>
            </w:r>
            <w:r w:rsidRPr="009B3C20">
              <w:rPr>
                <w:rFonts w:ascii="Verdana" w:eastAsia="Calibri" w:hAnsi="Verdana" w:cs="Calibri"/>
                <w:sz w:val="20"/>
                <w:szCs w:val="20"/>
                <w:lang w:val="es-CO"/>
              </w:rPr>
              <w:t>los</w:t>
            </w:r>
            <w:r w:rsidRPr="009B3C20">
              <w:rPr>
                <w:rFonts w:ascii="Verdana" w:eastAsia="Calibri" w:hAnsi="Verdana" w:cs="Calibri"/>
                <w:spacing w:val="-1"/>
                <w:sz w:val="20"/>
                <w:szCs w:val="20"/>
                <w:lang w:val="es-CO"/>
              </w:rPr>
              <w:t xml:space="preserve"> </w:t>
            </w:r>
            <w:r w:rsidRPr="009B3C20">
              <w:rPr>
                <w:rFonts w:ascii="Verdana" w:eastAsia="Calibri" w:hAnsi="Verdana" w:cs="Calibri"/>
                <w:sz w:val="20"/>
                <w:szCs w:val="20"/>
                <w:lang w:val="es-CO"/>
              </w:rPr>
              <w:t>honorarios dejados de</w:t>
            </w:r>
            <w:r w:rsidRPr="009B3C20">
              <w:rPr>
                <w:rFonts w:ascii="Verdana" w:eastAsia="Calibri" w:hAnsi="Verdana" w:cs="Calibri"/>
                <w:spacing w:val="-1"/>
                <w:sz w:val="20"/>
                <w:szCs w:val="20"/>
                <w:lang w:val="es-CO"/>
              </w:rPr>
              <w:t xml:space="preserve"> </w:t>
            </w:r>
            <w:r w:rsidRPr="009B3C20">
              <w:rPr>
                <w:rFonts w:ascii="Verdana" w:eastAsia="Calibri" w:hAnsi="Verdana" w:cs="Calibri"/>
                <w:sz w:val="20"/>
                <w:szCs w:val="20"/>
                <w:lang w:val="es-CO"/>
              </w:rPr>
              <w:t>percibir desde la</w:t>
            </w:r>
            <w:r w:rsidRPr="009B3C20">
              <w:rPr>
                <w:rFonts w:ascii="Verdana" w:eastAsia="Calibri" w:hAnsi="Verdana" w:cs="Calibri"/>
                <w:spacing w:val="-1"/>
                <w:sz w:val="20"/>
                <w:szCs w:val="20"/>
                <w:lang w:val="es-CO"/>
              </w:rPr>
              <w:t xml:space="preserve"> </w:t>
            </w:r>
            <w:r w:rsidRPr="009B3C20">
              <w:rPr>
                <w:rFonts w:ascii="Verdana" w:eastAsia="Calibri" w:hAnsi="Verdana" w:cs="Calibri"/>
                <w:sz w:val="20"/>
                <w:szCs w:val="20"/>
                <w:lang w:val="es-CO"/>
              </w:rPr>
              <w:t xml:space="preserve">fecha de no renovación del contrato, hasta la renovación del </w:t>
            </w:r>
            <w:r w:rsidRPr="009B3C20">
              <w:rPr>
                <w:rFonts w:ascii="Verdana" w:eastAsia="Calibri" w:hAnsi="Verdana" w:cs="Calibri"/>
                <w:spacing w:val="-2"/>
                <w:sz w:val="20"/>
                <w:szCs w:val="20"/>
                <w:lang w:val="es-CO"/>
              </w:rPr>
              <w:t>mismo;</w:t>
            </w:r>
          </w:p>
          <w:p w14:paraId="7BF640D7" w14:textId="77777777" w:rsidR="0081088A" w:rsidRPr="009B3C20" w:rsidRDefault="0081088A" w:rsidP="0081088A">
            <w:pPr>
              <w:numPr>
                <w:ilvl w:val="0"/>
                <w:numId w:val="21"/>
              </w:numPr>
              <w:tabs>
                <w:tab w:val="left" w:pos="826"/>
                <w:tab w:val="left" w:pos="828"/>
              </w:tabs>
              <w:ind w:right="97"/>
              <w:jc w:val="both"/>
              <w:rPr>
                <w:rFonts w:ascii="Verdana" w:eastAsia="Calibri" w:hAnsi="Verdana" w:cs="Calibri"/>
                <w:sz w:val="20"/>
                <w:szCs w:val="20"/>
                <w:lang w:val="es-CO"/>
              </w:rPr>
            </w:pPr>
            <w:r w:rsidRPr="009B3C20">
              <w:rPr>
                <w:rFonts w:ascii="Verdana" w:eastAsia="Calibri" w:hAnsi="Verdana" w:cs="Calibri"/>
                <w:sz w:val="20"/>
                <w:szCs w:val="20"/>
                <w:lang w:val="es-CO"/>
              </w:rPr>
              <w:t>El pago por concepto de la indemnización por despido discriminatorio</w:t>
            </w:r>
            <w:r w:rsidRPr="009B3C20">
              <w:rPr>
                <w:rFonts w:ascii="Verdana" w:eastAsia="Calibri" w:hAnsi="Verdana" w:cs="Calibri"/>
                <w:sz w:val="20"/>
                <w:szCs w:val="20"/>
                <w:vertAlign w:val="superscript"/>
              </w:rPr>
              <w:footnoteReference w:id="22"/>
            </w:r>
            <w:r w:rsidRPr="009B3C20">
              <w:rPr>
                <w:rFonts w:ascii="Verdana" w:eastAsia="Calibri" w:hAnsi="Verdana" w:cs="Calibri"/>
                <w:sz w:val="20"/>
                <w:szCs w:val="20"/>
                <w:lang w:val="es-CO"/>
              </w:rPr>
              <w:t>; y</w:t>
            </w:r>
          </w:p>
          <w:p w14:paraId="31227ED4" w14:textId="77777777" w:rsidR="0081088A" w:rsidRPr="009B3C20" w:rsidRDefault="0081088A" w:rsidP="0081088A">
            <w:pPr>
              <w:numPr>
                <w:ilvl w:val="0"/>
                <w:numId w:val="21"/>
              </w:numPr>
              <w:tabs>
                <w:tab w:val="left" w:pos="826"/>
                <w:tab w:val="left" w:pos="828"/>
              </w:tabs>
              <w:ind w:right="95"/>
              <w:jc w:val="both"/>
              <w:rPr>
                <w:rFonts w:ascii="Verdana" w:eastAsia="Calibri" w:hAnsi="Verdana" w:cs="Calibri"/>
                <w:sz w:val="20"/>
                <w:szCs w:val="20"/>
                <w:lang w:val="es-CO"/>
              </w:rPr>
            </w:pPr>
            <w:r w:rsidRPr="009B3C20">
              <w:rPr>
                <w:rFonts w:ascii="Verdana" w:eastAsia="Calibri" w:hAnsi="Verdana" w:cs="Calibri"/>
                <w:sz w:val="20"/>
                <w:szCs w:val="20"/>
                <w:lang w:val="es-CO"/>
              </w:rPr>
              <w:t>El pago de la licencia de maternidad. Este pago no se realizará</w:t>
            </w:r>
            <w:r w:rsidRPr="009B3C20">
              <w:rPr>
                <w:rFonts w:ascii="Verdana" w:eastAsia="Calibri" w:hAnsi="Verdana" w:cs="Calibri"/>
                <w:spacing w:val="-7"/>
                <w:sz w:val="20"/>
                <w:szCs w:val="20"/>
                <w:lang w:val="es-CO"/>
              </w:rPr>
              <w:t xml:space="preserve"> </w:t>
            </w:r>
            <w:r w:rsidRPr="009B3C20">
              <w:rPr>
                <w:rFonts w:ascii="Verdana" w:eastAsia="Calibri" w:hAnsi="Verdana" w:cs="Calibri"/>
                <w:sz w:val="20"/>
                <w:szCs w:val="20"/>
                <w:lang w:val="es-CO"/>
              </w:rPr>
              <w:t>si</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en</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caso</w:t>
            </w:r>
            <w:r w:rsidRPr="009B3C20">
              <w:rPr>
                <w:rFonts w:ascii="Verdana" w:eastAsia="Calibri" w:hAnsi="Verdana" w:cs="Calibri"/>
                <w:spacing w:val="-8"/>
                <w:sz w:val="20"/>
                <w:szCs w:val="20"/>
                <w:lang w:val="es-CO"/>
              </w:rPr>
              <w:t xml:space="preserve"> </w:t>
            </w:r>
            <w:r w:rsidRPr="009B3C20">
              <w:rPr>
                <w:rFonts w:ascii="Verdana" w:eastAsia="Calibri" w:hAnsi="Verdana" w:cs="Calibri"/>
                <w:sz w:val="20"/>
                <w:szCs w:val="20"/>
                <w:lang w:val="es-CO"/>
              </w:rPr>
              <w:t>se</w:t>
            </w:r>
            <w:r w:rsidRPr="009B3C20">
              <w:rPr>
                <w:rFonts w:ascii="Verdana" w:eastAsia="Calibri" w:hAnsi="Verdana" w:cs="Calibri"/>
                <w:spacing w:val="-8"/>
                <w:sz w:val="20"/>
                <w:szCs w:val="20"/>
                <w:lang w:val="es-CO"/>
              </w:rPr>
              <w:t xml:space="preserve"> </w:t>
            </w:r>
            <w:r w:rsidRPr="009B3C20">
              <w:rPr>
                <w:rFonts w:ascii="Verdana" w:eastAsia="Calibri" w:hAnsi="Verdana" w:cs="Calibri"/>
                <w:sz w:val="20"/>
                <w:szCs w:val="20"/>
                <w:lang w:val="es-CO"/>
              </w:rPr>
              <w:t>acredita</w:t>
            </w:r>
            <w:r w:rsidRPr="009B3C20">
              <w:rPr>
                <w:rFonts w:ascii="Verdana" w:eastAsia="Calibri" w:hAnsi="Verdana" w:cs="Calibri"/>
                <w:spacing w:val="-7"/>
                <w:sz w:val="20"/>
                <w:szCs w:val="20"/>
                <w:lang w:val="es-CO"/>
              </w:rPr>
              <w:t xml:space="preserve"> </w:t>
            </w:r>
            <w:r w:rsidRPr="009B3C20">
              <w:rPr>
                <w:rFonts w:ascii="Verdana" w:eastAsia="Calibri" w:hAnsi="Verdana" w:cs="Calibri"/>
                <w:sz w:val="20"/>
                <w:szCs w:val="20"/>
                <w:lang w:val="es-CO"/>
              </w:rPr>
              <w:t>que</w:t>
            </w:r>
            <w:r w:rsidRPr="009B3C20">
              <w:rPr>
                <w:rFonts w:ascii="Verdana" w:eastAsia="Calibri" w:hAnsi="Verdana" w:cs="Calibri"/>
                <w:spacing w:val="-8"/>
                <w:sz w:val="20"/>
                <w:szCs w:val="20"/>
                <w:lang w:val="es-CO"/>
              </w:rPr>
              <w:t xml:space="preserve"> </w:t>
            </w:r>
            <w:r w:rsidRPr="009B3C20">
              <w:rPr>
                <w:rFonts w:ascii="Verdana" w:eastAsia="Calibri" w:hAnsi="Verdana" w:cs="Calibri"/>
                <w:sz w:val="20"/>
                <w:szCs w:val="20"/>
                <w:lang w:val="es-CO"/>
              </w:rPr>
              <w:t>la</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madre</w:t>
            </w:r>
            <w:r w:rsidRPr="009B3C20">
              <w:rPr>
                <w:rFonts w:ascii="Verdana" w:eastAsia="Calibri" w:hAnsi="Verdana" w:cs="Calibri"/>
                <w:spacing w:val="-8"/>
                <w:sz w:val="20"/>
                <w:szCs w:val="20"/>
                <w:lang w:val="es-CO"/>
              </w:rPr>
              <w:t xml:space="preserve"> </w:t>
            </w:r>
            <w:r w:rsidRPr="009B3C20">
              <w:rPr>
                <w:rFonts w:ascii="Verdana" w:eastAsia="Calibri" w:hAnsi="Verdana" w:cs="Calibri"/>
                <w:sz w:val="20"/>
                <w:szCs w:val="20"/>
                <w:lang w:val="es-CO"/>
              </w:rPr>
              <w:t>disfrutó</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de</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la licencia de maternidad</w:t>
            </w:r>
            <w:r w:rsidRPr="009B3C20">
              <w:rPr>
                <w:rFonts w:ascii="Verdana" w:eastAsia="Calibri" w:hAnsi="Verdana" w:cs="Calibri"/>
                <w:sz w:val="20"/>
                <w:szCs w:val="20"/>
                <w:vertAlign w:val="superscript"/>
              </w:rPr>
              <w:footnoteReference w:id="23"/>
            </w:r>
            <w:r w:rsidRPr="009B3C20">
              <w:rPr>
                <w:rFonts w:ascii="Verdana" w:eastAsia="Calibri" w:hAnsi="Verdana" w:cs="Calibri"/>
                <w:sz w:val="20"/>
                <w:szCs w:val="20"/>
                <w:lang w:val="es-CO"/>
              </w:rPr>
              <w:t>.</w:t>
            </w:r>
          </w:p>
          <w:p w14:paraId="13685546" w14:textId="77777777" w:rsidR="0081088A" w:rsidRPr="009B3C20" w:rsidRDefault="0081088A" w:rsidP="0081088A">
            <w:pPr>
              <w:numPr>
                <w:ilvl w:val="0"/>
                <w:numId w:val="21"/>
              </w:numPr>
              <w:tabs>
                <w:tab w:val="left" w:pos="828"/>
              </w:tabs>
              <w:ind w:right="95"/>
              <w:jc w:val="both"/>
              <w:rPr>
                <w:rFonts w:ascii="Verdana" w:eastAsia="Calibri" w:hAnsi="Verdana" w:cs="Calibri"/>
                <w:sz w:val="20"/>
                <w:szCs w:val="20"/>
                <w:lang w:val="es-CO"/>
              </w:rPr>
            </w:pPr>
            <w:r w:rsidRPr="009B3C20">
              <w:rPr>
                <w:rFonts w:ascii="Verdana" w:eastAsia="Calibri" w:hAnsi="Verdana" w:cs="Calibri"/>
                <w:sz w:val="20"/>
                <w:szCs w:val="20"/>
                <w:lang w:val="es-CO"/>
              </w:rPr>
              <w:t>En</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evento</w:t>
            </w:r>
            <w:r w:rsidRPr="009B3C20">
              <w:rPr>
                <w:rFonts w:ascii="Verdana" w:eastAsia="Calibri" w:hAnsi="Verdana" w:cs="Calibri"/>
                <w:spacing w:val="-5"/>
                <w:sz w:val="20"/>
                <w:szCs w:val="20"/>
                <w:lang w:val="es-CO"/>
              </w:rPr>
              <w:t xml:space="preserve"> </w:t>
            </w:r>
            <w:r w:rsidRPr="009B3C20">
              <w:rPr>
                <w:rFonts w:ascii="Verdana" w:eastAsia="Calibri" w:hAnsi="Verdana" w:cs="Calibri"/>
                <w:sz w:val="20"/>
                <w:szCs w:val="20"/>
                <w:lang w:val="es-CO"/>
              </w:rPr>
              <w:t>en</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que</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término</w:t>
            </w:r>
            <w:r w:rsidRPr="009B3C20">
              <w:rPr>
                <w:rFonts w:ascii="Verdana" w:eastAsia="Calibri" w:hAnsi="Verdana" w:cs="Calibri"/>
                <w:spacing w:val="-5"/>
                <w:sz w:val="20"/>
                <w:szCs w:val="20"/>
                <w:lang w:val="es-CO"/>
              </w:rPr>
              <w:t xml:space="preserve"> </w:t>
            </w:r>
            <w:r w:rsidRPr="009B3C20">
              <w:rPr>
                <w:rFonts w:ascii="Verdana" w:eastAsia="Calibri" w:hAnsi="Verdana" w:cs="Calibri"/>
                <w:sz w:val="20"/>
                <w:szCs w:val="20"/>
                <w:lang w:val="es-CO"/>
              </w:rPr>
              <w:t>del</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periodo</w:t>
            </w:r>
            <w:r w:rsidRPr="009B3C20">
              <w:rPr>
                <w:rFonts w:ascii="Verdana" w:eastAsia="Calibri" w:hAnsi="Verdana" w:cs="Calibri"/>
                <w:spacing w:val="-5"/>
                <w:sz w:val="20"/>
                <w:szCs w:val="20"/>
                <w:lang w:val="es-CO"/>
              </w:rPr>
              <w:t xml:space="preserve"> </w:t>
            </w:r>
            <w:r w:rsidRPr="009B3C20">
              <w:rPr>
                <w:rFonts w:ascii="Verdana" w:eastAsia="Calibri" w:hAnsi="Verdana" w:cs="Calibri"/>
                <w:sz w:val="20"/>
                <w:szCs w:val="20"/>
                <w:lang w:val="es-CO"/>
              </w:rPr>
              <w:t>de</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lactancia</w:t>
            </w:r>
            <w:r w:rsidRPr="009B3C20">
              <w:rPr>
                <w:rFonts w:ascii="Verdana" w:eastAsia="Calibri" w:hAnsi="Verdana" w:cs="Calibri"/>
                <w:spacing w:val="-5"/>
                <w:sz w:val="20"/>
                <w:szCs w:val="20"/>
                <w:lang w:val="es-CO"/>
              </w:rPr>
              <w:t xml:space="preserve"> </w:t>
            </w:r>
            <w:r w:rsidRPr="009B3C20">
              <w:rPr>
                <w:rFonts w:ascii="Verdana" w:eastAsia="Calibri" w:hAnsi="Verdana" w:cs="Calibri"/>
                <w:sz w:val="20"/>
                <w:szCs w:val="20"/>
                <w:lang w:val="es-CO"/>
              </w:rPr>
              <w:t>ya haya terminado, procederá el reconocimiento de los honorarios dejados de percibir hasta la terminación de periodo de lactancia</w:t>
            </w:r>
            <w:r w:rsidRPr="009B3C20">
              <w:rPr>
                <w:rFonts w:ascii="Verdana" w:eastAsia="Calibri" w:hAnsi="Verdana" w:cs="Calibri"/>
                <w:sz w:val="20"/>
                <w:szCs w:val="20"/>
                <w:vertAlign w:val="superscript"/>
              </w:rPr>
              <w:footnoteReference w:id="24"/>
            </w:r>
            <w:r w:rsidRPr="009B3C20">
              <w:rPr>
                <w:rFonts w:ascii="Verdana" w:eastAsia="Calibri" w:hAnsi="Verdana" w:cs="Calibri"/>
                <w:sz w:val="20"/>
                <w:szCs w:val="20"/>
                <w:lang w:val="es-CO"/>
              </w:rPr>
              <w:t xml:space="preserve">. </w:t>
            </w:r>
          </w:p>
          <w:p w14:paraId="249C1222" w14:textId="77777777" w:rsidR="0081088A" w:rsidRPr="009B3C20" w:rsidRDefault="0081088A" w:rsidP="00974252">
            <w:pPr>
              <w:tabs>
                <w:tab w:val="left" w:pos="828"/>
              </w:tabs>
              <w:ind w:left="360" w:right="95"/>
              <w:jc w:val="both"/>
              <w:rPr>
                <w:rFonts w:ascii="Verdana" w:eastAsia="Calibri" w:hAnsi="Verdana" w:cs="Calibri"/>
                <w:sz w:val="20"/>
                <w:szCs w:val="20"/>
                <w:lang w:val="es-CO"/>
              </w:rPr>
            </w:pPr>
          </w:p>
          <w:p w14:paraId="12706291" w14:textId="77777777" w:rsidR="0081088A" w:rsidRPr="009B3C20" w:rsidRDefault="0081088A" w:rsidP="00974252">
            <w:pPr>
              <w:tabs>
                <w:tab w:val="left" w:pos="828"/>
              </w:tabs>
              <w:ind w:left="119" w:right="95"/>
              <w:jc w:val="both"/>
              <w:rPr>
                <w:rFonts w:ascii="Verdana" w:eastAsia="Calibri" w:hAnsi="Verdana" w:cs="Calibri"/>
                <w:sz w:val="20"/>
                <w:szCs w:val="20"/>
                <w:lang w:val="es-CO"/>
              </w:rPr>
            </w:pPr>
            <w:r w:rsidRPr="009B3C20">
              <w:rPr>
                <w:rFonts w:ascii="Verdana" w:eastAsia="Calibri" w:hAnsi="Verdana" w:cs="Calibri"/>
                <w:sz w:val="20"/>
                <w:szCs w:val="20"/>
                <w:lang w:val="es-CO"/>
              </w:rPr>
              <w:t>En</w:t>
            </w:r>
            <w:r w:rsidRPr="009B3C20">
              <w:rPr>
                <w:rFonts w:ascii="Verdana" w:eastAsia="Calibri" w:hAnsi="Verdana" w:cs="Calibri"/>
                <w:spacing w:val="-10"/>
                <w:sz w:val="20"/>
                <w:szCs w:val="20"/>
                <w:lang w:val="es-CO"/>
              </w:rPr>
              <w:t xml:space="preserve"> </w:t>
            </w:r>
            <w:r w:rsidRPr="009B3C20">
              <w:rPr>
                <w:rFonts w:ascii="Verdana" w:eastAsia="Calibri" w:hAnsi="Verdana" w:cs="Calibri"/>
                <w:sz w:val="20"/>
                <w:szCs w:val="20"/>
                <w:lang w:val="es-CO"/>
              </w:rPr>
              <w:t>todo</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caso,</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10"/>
                <w:sz w:val="20"/>
                <w:szCs w:val="20"/>
                <w:lang w:val="es-CO"/>
              </w:rPr>
              <w:t xml:space="preserve"> </w:t>
            </w:r>
            <w:r w:rsidRPr="009B3C20">
              <w:rPr>
                <w:rFonts w:ascii="Verdana" w:eastAsia="Calibri" w:hAnsi="Verdana" w:cs="Calibri"/>
                <w:sz w:val="20"/>
                <w:szCs w:val="20"/>
                <w:lang w:val="es-CO"/>
              </w:rPr>
              <w:t>juez</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deberá</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estudiar</w:t>
            </w:r>
            <w:r w:rsidRPr="009B3C20">
              <w:rPr>
                <w:rFonts w:ascii="Verdana" w:eastAsia="Calibri" w:hAnsi="Verdana" w:cs="Calibri"/>
                <w:spacing w:val="-8"/>
                <w:sz w:val="20"/>
                <w:szCs w:val="20"/>
                <w:lang w:val="es-CO"/>
              </w:rPr>
              <w:t xml:space="preserve"> </w:t>
            </w:r>
            <w:r w:rsidRPr="009B3C20">
              <w:rPr>
                <w:rFonts w:ascii="Verdana" w:eastAsia="Calibri" w:hAnsi="Verdana" w:cs="Calibri"/>
                <w:sz w:val="20"/>
                <w:szCs w:val="20"/>
                <w:lang w:val="es-CO"/>
              </w:rPr>
              <w:t>la</w:t>
            </w:r>
            <w:r w:rsidRPr="009B3C20">
              <w:rPr>
                <w:rFonts w:ascii="Verdana" w:eastAsia="Calibri" w:hAnsi="Verdana" w:cs="Calibri"/>
                <w:spacing w:val="-10"/>
                <w:sz w:val="20"/>
                <w:szCs w:val="20"/>
                <w:lang w:val="es-CO"/>
              </w:rPr>
              <w:t xml:space="preserve"> </w:t>
            </w:r>
            <w:r w:rsidRPr="009B3C20">
              <w:rPr>
                <w:rFonts w:ascii="Verdana" w:eastAsia="Calibri" w:hAnsi="Verdana" w:cs="Calibri"/>
                <w:sz w:val="20"/>
                <w:szCs w:val="20"/>
                <w:lang w:val="es-CO"/>
              </w:rPr>
              <w:t>procedencia</w:t>
            </w:r>
            <w:r w:rsidRPr="009B3C20">
              <w:rPr>
                <w:rFonts w:ascii="Verdana" w:eastAsia="Calibri" w:hAnsi="Verdana" w:cs="Calibri"/>
                <w:spacing w:val="-7"/>
                <w:sz w:val="20"/>
                <w:szCs w:val="20"/>
                <w:lang w:val="es-CO"/>
              </w:rPr>
              <w:t xml:space="preserve"> </w:t>
            </w:r>
            <w:r w:rsidRPr="009B3C20">
              <w:rPr>
                <w:rFonts w:ascii="Verdana" w:eastAsia="Calibri" w:hAnsi="Verdana" w:cs="Calibri"/>
                <w:sz w:val="20"/>
                <w:szCs w:val="20"/>
                <w:lang w:val="es-CO"/>
              </w:rPr>
              <w:t>de</w:t>
            </w:r>
            <w:r w:rsidRPr="009B3C20">
              <w:rPr>
                <w:rFonts w:ascii="Verdana" w:eastAsia="Calibri" w:hAnsi="Verdana" w:cs="Calibri"/>
                <w:spacing w:val="-10"/>
                <w:sz w:val="20"/>
                <w:szCs w:val="20"/>
                <w:lang w:val="es-CO"/>
              </w:rPr>
              <w:t xml:space="preserve"> </w:t>
            </w:r>
            <w:r w:rsidRPr="009B3C20">
              <w:rPr>
                <w:rFonts w:ascii="Verdana" w:eastAsia="Calibri" w:hAnsi="Verdana" w:cs="Calibri"/>
                <w:sz w:val="20"/>
                <w:szCs w:val="20"/>
                <w:lang w:val="es-CO"/>
              </w:rPr>
              <w:t>cada</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una</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de estas medidas de protección para lo cual tendrá en cuenta las particularidades del caso</w:t>
            </w:r>
            <w:r w:rsidRPr="009B3C20">
              <w:rPr>
                <w:rFonts w:ascii="Verdana" w:eastAsia="Calibri" w:hAnsi="Verdana" w:cs="Calibri"/>
                <w:sz w:val="20"/>
                <w:szCs w:val="20"/>
                <w:vertAlign w:val="superscript"/>
              </w:rPr>
              <w:footnoteReference w:id="25"/>
            </w:r>
            <w:r w:rsidRPr="009B3C20">
              <w:rPr>
                <w:rFonts w:ascii="Verdana" w:eastAsia="Calibri" w:hAnsi="Verdana" w:cs="Calibri"/>
                <w:sz w:val="20"/>
                <w:szCs w:val="20"/>
                <w:lang w:val="es-CO"/>
              </w:rPr>
              <w:t>.</w:t>
            </w:r>
          </w:p>
          <w:p w14:paraId="7C8221B3" w14:textId="77777777" w:rsidR="0081088A" w:rsidRPr="009B3C20" w:rsidRDefault="0081088A" w:rsidP="00974252">
            <w:pPr>
              <w:tabs>
                <w:tab w:val="left" w:pos="828"/>
              </w:tabs>
              <w:ind w:left="119" w:right="95"/>
              <w:jc w:val="both"/>
              <w:rPr>
                <w:rFonts w:ascii="Verdana" w:eastAsia="Calibri" w:hAnsi="Verdana" w:cs="Calibri"/>
                <w:sz w:val="20"/>
                <w:szCs w:val="20"/>
                <w:lang w:val="es-CO"/>
              </w:rPr>
            </w:pPr>
          </w:p>
        </w:tc>
      </w:tr>
    </w:tbl>
    <w:p w14:paraId="53D5CB49" w14:textId="77777777" w:rsidR="0081088A" w:rsidRPr="009B3C20" w:rsidRDefault="0081088A" w:rsidP="0081088A">
      <w:pPr>
        <w:spacing w:after="0"/>
        <w:ind w:right="49"/>
        <w:jc w:val="center"/>
        <w:rPr>
          <w:rFonts w:ascii="Verdana" w:hAnsi="Verdana"/>
          <w:b/>
          <w:sz w:val="16"/>
          <w:szCs w:val="16"/>
        </w:rPr>
      </w:pPr>
    </w:p>
    <w:p w14:paraId="4BE49160" w14:textId="77777777" w:rsidR="0081088A" w:rsidRPr="009B3C20" w:rsidRDefault="0081088A" w:rsidP="0081088A">
      <w:pPr>
        <w:spacing w:after="0"/>
        <w:ind w:right="49"/>
        <w:jc w:val="center"/>
        <w:rPr>
          <w:rFonts w:ascii="Verdana" w:hAnsi="Verdana"/>
          <w:bCs/>
          <w:sz w:val="16"/>
          <w:szCs w:val="16"/>
        </w:rPr>
      </w:pPr>
      <w:r w:rsidRPr="009B3C20">
        <w:rPr>
          <w:rFonts w:ascii="Verdana" w:hAnsi="Verdana"/>
          <w:b/>
          <w:sz w:val="16"/>
          <w:szCs w:val="16"/>
        </w:rPr>
        <w:lastRenderedPageBreak/>
        <w:t>Tabla:</w:t>
      </w:r>
      <w:r w:rsidRPr="009B3C20">
        <w:rPr>
          <w:rFonts w:ascii="Verdana" w:hAnsi="Verdana"/>
          <w:b/>
          <w:spacing w:val="-5"/>
          <w:sz w:val="16"/>
          <w:szCs w:val="16"/>
        </w:rPr>
        <w:t xml:space="preserve"> </w:t>
      </w:r>
      <w:r w:rsidRPr="009B3C20">
        <w:rPr>
          <w:rFonts w:ascii="Verdana" w:hAnsi="Verdana"/>
          <w:bCs/>
          <w:sz w:val="16"/>
          <w:szCs w:val="16"/>
        </w:rPr>
        <w:t>Reglas</w:t>
      </w:r>
      <w:r w:rsidRPr="009B3C20">
        <w:rPr>
          <w:rFonts w:ascii="Verdana" w:hAnsi="Verdana"/>
          <w:bCs/>
          <w:spacing w:val="-5"/>
          <w:sz w:val="16"/>
          <w:szCs w:val="16"/>
        </w:rPr>
        <w:t xml:space="preserve"> </w:t>
      </w:r>
      <w:r w:rsidRPr="009B3C20">
        <w:rPr>
          <w:rFonts w:ascii="Verdana" w:hAnsi="Verdana"/>
          <w:bCs/>
          <w:sz w:val="16"/>
          <w:szCs w:val="16"/>
        </w:rPr>
        <w:t>para</w:t>
      </w:r>
      <w:r w:rsidRPr="009B3C20">
        <w:rPr>
          <w:rFonts w:ascii="Verdana" w:hAnsi="Verdana"/>
          <w:bCs/>
          <w:spacing w:val="-5"/>
          <w:sz w:val="16"/>
          <w:szCs w:val="16"/>
        </w:rPr>
        <w:t xml:space="preserve"> </w:t>
      </w:r>
      <w:r w:rsidRPr="009B3C20">
        <w:rPr>
          <w:rFonts w:ascii="Verdana" w:hAnsi="Verdana"/>
          <w:bCs/>
          <w:sz w:val="16"/>
          <w:szCs w:val="16"/>
        </w:rPr>
        <w:t>la</w:t>
      </w:r>
      <w:r w:rsidRPr="009B3C20">
        <w:rPr>
          <w:rFonts w:ascii="Verdana" w:hAnsi="Verdana"/>
          <w:bCs/>
          <w:spacing w:val="-5"/>
          <w:sz w:val="16"/>
          <w:szCs w:val="16"/>
        </w:rPr>
        <w:t xml:space="preserve"> </w:t>
      </w:r>
      <w:r w:rsidRPr="009B3C20">
        <w:rPr>
          <w:rFonts w:ascii="Verdana" w:hAnsi="Verdana"/>
          <w:bCs/>
          <w:sz w:val="16"/>
          <w:szCs w:val="16"/>
        </w:rPr>
        <w:t>protección</w:t>
      </w:r>
      <w:r w:rsidRPr="009B3C20">
        <w:rPr>
          <w:rFonts w:ascii="Verdana" w:hAnsi="Verdana"/>
          <w:bCs/>
          <w:spacing w:val="-5"/>
          <w:sz w:val="16"/>
          <w:szCs w:val="16"/>
        </w:rPr>
        <w:t xml:space="preserve"> </w:t>
      </w:r>
      <w:r w:rsidRPr="009B3C20">
        <w:rPr>
          <w:rFonts w:ascii="Verdana" w:hAnsi="Verdana"/>
          <w:bCs/>
          <w:sz w:val="16"/>
          <w:szCs w:val="16"/>
        </w:rPr>
        <w:t>de</w:t>
      </w:r>
      <w:r w:rsidRPr="009B3C20">
        <w:rPr>
          <w:rFonts w:ascii="Verdana" w:hAnsi="Verdana"/>
          <w:bCs/>
          <w:spacing w:val="-5"/>
          <w:sz w:val="16"/>
          <w:szCs w:val="16"/>
        </w:rPr>
        <w:t xml:space="preserve"> </w:t>
      </w:r>
      <w:r w:rsidRPr="009B3C20">
        <w:rPr>
          <w:rFonts w:ascii="Verdana" w:hAnsi="Verdana"/>
          <w:bCs/>
          <w:sz w:val="16"/>
          <w:szCs w:val="16"/>
        </w:rPr>
        <w:t>la</w:t>
      </w:r>
      <w:r w:rsidRPr="009B3C20">
        <w:rPr>
          <w:rFonts w:ascii="Verdana" w:hAnsi="Verdana"/>
          <w:bCs/>
          <w:spacing w:val="-5"/>
          <w:sz w:val="16"/>
          <w:szCs w:val="16"/>
        </w:rPr>
        <w:t xml:space="preserve"> </w:t>
      </w:r>
      <w:r w:rsidRPr="009B3C20">
        <w:rPr>
          <w:rFonts w:ascii="Verdana" w:hAnsi="Verdana"/>
          <w:bCs/>
          <w:sz w:val="16"/>
          <w:szCs w:val="16"/>
        </w:rPr>
        <w:t>mujer</w:t>
      </w:r>
      <w:r w:rsidRPr="009B3C20">
        <w:rPr>
          <w:rFonts w:ascii="Verdana" w:hAnsi="Verdana"/>
          <w:bCs/>
          <w:spacing w:val="-5"/>
          <w:sz w:val="16"/>
          <w:szCs w:val="16"/>
        </w:rPr>
        <w:t xml:space="preserve"> </w:t>
      </w:r>
      <w:r w:rsidRPr="009B3C20">
        <w:rPr>
          <w:rFonts w:ascii="Verdana" w:hAnsi="Verdana"/>
          <w:bCs/>
          <w:sz w:val="16"/>
          <w:szCs w:val="16"/>
        </w:rPr>
        <w:t>embarazada</w:t>
      </w:r>
      <w:r w:rsidRPr="009B3C20">
        <w:rPr>
          <w:rFonts w:ascii="Verdana" w:hAnsi="Verdana"/>
          <w:bCs/>
          <w:spacing w:val="-5"/>
          <w:sz w:val="16"/>
          <w:szCs w:val="16"/>
        </w:rPr>
        <w:t xml:space="preserve"> </w:t>
      </w:r>
      <w:r w:rsidRPr="009B3C20">
        <w:rPr>
          <w:rFonts w:ascii="Verdana" w:hAnsi="Verdana"/>
          <w:bCs/>
          <w:sz w:val="16"/>
          <w:szCs w:val="16"/>
        </w:rPr>
        <w:t>en</w:t>
      </w:r>
      <w:r w:rsidRPr="009B3C20">
        <w:rPr>
          <w:rFonts w:ascii="Verdana" w:hAnsi="Verdana"/>
          <w:bCs/>
          <w:spacing w:val="-5"/>
          <w:sz w:val="16"/>
          <w:szCs w:val="16"/>
        </w:rPr>
        <w:t xml:space="preserve"> </w:t>
      </w:r>
      <w:r w:rsidRPr="009B3C20">
        <w:rPr>
          <w:rFonts w:ascii="Verdana" w:hAnsi="Verdana"/>
          <w:bCs/>
          <w:sz w:val="16"/>
          <w:szCs w:val="16"/>
        </w:rPr>
        <w:t>contratos</w:t>
      </w:r>
      <w:r w:rsidRPr="009B3C20">
        <w:rPr>
          <w:rFonts w:ascii="Verdana" w:hAnsi="Verdana"/>
          <w:bCs/>
          <w:spacing w:val="-5"/>
          <w:sz w:val="16"/>
          <w:szCs w:val="16"/>
        </w:rPr>
        <w:t xml:space="preserve"> </w:t>
      </w:r>
      <w:r w:rsidRPr="009B3C20">
        <w:rPr>
          <w:rFonts w:ascii="Verdana" w:hAnsi="Verdana"/>
          <w:bCs/>
          <w:sz w:val="16"/>
          <w:szCs w:val="16"/>
        </w:rPr>
        <w:t>de</w:t>
      </w:r>
      <w:r w:rsidRPr="009B3C20">
        <w:rPr>
          <w:rFonts w:ascii="Verdana" w:hAnsi="Verdana"/>
          <w:bCs/>
          <w:spacing w:val="-5"/>
          <w:sz w:val="16"/>
          <w:szCs w:val="16"/>
        </w:rPr>
        <w:t xml:space="preserve"> </w:t>
      </w:r>
      <w:r w:rsidRPr="009B3C20">
        <w:rPr>
          <w:rFonts w:ascii="Verdana" w:hAnsi="Verdana"/>
          <w:bCs/>
          <w:sz w:val="16"/>
          <w:szCs w:val="16"/>
        </w:rPr>
        <w:t>prestación</w:t>
      </w:r>
      <w:r w:rsidRPr="009B3C20">
        <w:rPr>
          <w:rFonts w:ascii="Verdana" w:hAnsi="Verdana"/>
          <w:bCs/>
          <w:spacing w:val="-5"/>
          <w:sz w:val="16"/>
          <w:szCs w:val="16"/>
        </w:rPr>
        <w:t xml:space="preserve"> </w:t>
      </w:r>
      <w:r w:rsidRPr="009B3C20">
        <w:rPr>
          <w:rFonts w:ascii="Verdana" w:hAnsi="Verdana"/>
          <w:bCs/>
          <w:sz w:val="16"/>
          <w:szCs w:val="16"/>
        </w:rPr>
        <w:t>de</w:t>
      </w:r>
      <w:r w:rsidRPr="009B3C20">
        <w:rPr>
          <w:rFonts w:ascii="Verdana" w:hAnsi="Verdana"/>
          <w:bCs/>
          <w:spacing w:val="-5"/>
          <w:sz w:val="16"/>
          <w:szCs w:val="16"/>
        </w:rPr>
        <w:t xml:space="preserve"> </w:t>
      </w:r>
      <w:r w:rsidRPr="009B3C20">
        <w:rPr>
          <w:rFonts w:ascii="Verdana" w:hAnsi="Verdana"/>
          <w:bCs/>
          <w:sz w:val="16"/>
          <w:szCs w:val="16"/>
        </w:rPr>
        <w:t>servicios. – Tomada de la Sentencia T-329 de 2022.</w:t>
      </w:r>
    </w:p>
    <w:p w14:paraId="1AA9F242" w14:textId="77777777" w:rsidR="0081088A" w:rsidRPr="009B3C20" w:rsidRDefault="0081088A" w:rsidP="0081088A">
      <w:pPr>
        <w:spacing w:after="0" w:line="276" w:lineRule="auto"/>
        <w:ind w:right="49"/>
        <w:jc w:val="center"/>
        <w:rPr>
          <w:rFonts w:ascii="Verdana" w:hAnsi="Verdana"/>
          <w:bCs/>
          <w:sz w:val="16"/>
          <w:szCs w:val="16"/>
        </w:rPr>
      </w:pPr>
    </w:p>
    <w:p w14:paraId="04BF946A" w14:textId="77777777" w:rsidR="0081088A" w:rsidRPr="009B3C20" w:rsidRDefault="0081088A" w:rsidP="0081088A">
      <w:pPr>
        <w:widowControl w:val="0"/>
        <w:autoSpaceDE w:val="0"/>
        <w:autoSpaceDN w:val="0"/>
        <w:spacing w:after="0" w:line="276" w:lineRule="auto"/>
        <w:ind w:right="49" w:firstLine="709"/>
        <w:jc w:val="both"/>
        <w:rPr>
          <w:rFonts w:ascii="Verdana" w:eastAsia="Arial" w:hAnsi="Verdana" w:cs="Arial"/>
          <w:lang w:val="es-ES"/>
        </w:rPr>
      </w:pPr>
      <w:r w:rsidRPr="009B3C20">
        <w:rPr>
          <w:rFonts w:ascii="Verdana" w:eastAsia="Arial" w:hAnsi="Verdana" w:cs="Arial"/>
          <w:lang w:val="es-ES"/>
        </w:rPr>
        <w:t>Ahora bien, resulta necesario referirse a las modificaciones introducidas por la Ley 2306 de 2023 frente a la estabilidad ocupacional reforzada de las mujeres en periodo de lactancia. Al respecto, debe señalarse que, el Congreso de la Republica expidió dicha Ley 2306</w:t>
      </w:r>
      <w:r w:rsidRPr="009B3C20" w:rsidDel="00916E7B">
        <w:rPr>
          <w:rFonts w:ascii="Verdana" w:eastAsia="Arial" w:hAnsi="Verdana" w:cs="Arial"/>
          <w:lang w:val="es-ES"/>
        </w:rPr>
        <w:t xml:space="preserve"> </w:t>
      </w:r>
      <w:r w:rsidRPr="009B3C20">
        <w:rPr>
          <w:rFonts w:ascii="Verdana" w:eastAsia="Arial" w:hAnsi="Verdana" w:cs="Arial"/>
          <w:lang w:val="es-ES"/>
        </w:rPr>
        <w:t xml:space="preserve">“Por medio de la cual se promueve la protección de la maternidad y la primera infancia, se crean incentivos y normas para la construcción de áreas que permitan la lactancia materna en el espacio público y se dictan otras disposiciones”. El artículo 6 de la mencionada Ley modificó el artículo </w:t>
      </w:r>
      <w:hyperlink r:id="rId13">
        <w:r w:rsidRPr="009B3C20">
          <w:rPr>
            <w:rFonts w:ascii="Verdana" w:eastAsia="Arial" w:hAnsi="Verdana" w:cs="Arial"/>
            <w:lang w:val="es-ES"/>
          </w:rPr>
          <w:t>238</w:t>
        </w:r>
      </w:hyperlink>
      <w:r w:rsidRPr="009B3C20">
        <w:rPr>
          <w:rFonts w:ascii="Verdana" w:eastAsia="Arial" w:hAnsi="Verdana" w:cs="Arial"/>
          <w:lang w:val="es-ES"/>
        </w:rPr>
        <w:t xml:space="preserve"> del Código Sustantivo del Trabajo quedando este así:</w:t>
      </w:r>
    </w:p>
    <w:p w14:paraId="44AD5018" w14:textId="77777777" w:rsidR="0081088A" w:rsidRPr="009B3C20" w:rsidRDefault="0081088A" w:rsidP="0081088A">
      <w:pPr>
        <w:widowControl w:val="0"/>
        <w:autoSpaceDE w:val="0"/>
        <w:autoSpaceDN w:val="0"/>
        <w:spacing w:after="0" w:line="276" w:lineRule="auto"/>
        <w:ind w:right="49" w:firstLine="709"/>
        <w:jc w:val="both"/>
        <w:rPr>
          <w:rFonts w:ascii="Verdana" w:eastAsia="Arial" w:hAnsi="Verdana" w:cs="Arial"/>
          <w:lang w:val="es-ES"/>
        </w:rPr>
      </w:pPr>
    </w:p>
    <w:p w14:paraId="47E67B4A" w14:textId="77777777" w:rsidR="0081088A" w:rsidRPr="009B3C20" w:rsidRDefault="0081088A" w:rsidP="0081088A">
      <w:pPr>
        <w:widowControl w:val="0"/>
        <w:autoSpaceDE w:val="0"/>
        <w:autoSpaceDN w:val="0"/>
        <w:spacing w:after="0" w:line="240" w:lineRule="auto"/>
        <w:ind w:left="709" w:right="709"/>
        <w:jc w:val="both"/>
        <w:rPr>
          <w:rFonts w:ascii="Verdana" w:eastAsia="Arial" w:hAnsi="Verdana" w:cs="Arial"/>
          <w:spacing w:val="-2"/>
          <w:sz w:val="20"/>
          <w:szCs w:val="20"/>
          <w:lang w:val="es-ES"/>
        </w:rPr>
      </w:pPr>
      <w:r w:rsidRPr="009B3C20">
        <w:rPr>
          <w:rFonts w:ascii="Verdana" w:eastAsia="Arial" w:hAnsi="Verdana" w:cs="Arial"/>
          <w:sz w:val="20"/>
          <w:szCs w:val="20"/>
          <w:lang w:val="es-ES"/>
        </w:rPr>
        <w:t>“Artículo</w:t>
      </w:r>
      <w:r w:rsidRPr="009B3C20">
        <w:rPr>
          <w:rFonts w:ascii="Verdana" w:eastAsia="Arial" w:hAnsi="Verdana" w:cs="Arial"/>
          <w:spacing w:val="-16"/>
          <w:sz w:val="20"/>
          <w:szCs w:val="20"/>
          <w:lang w:val="es-ES"/>
        </w:rPr>
        <w:t xml:space="preserve"> </w:t>
      </w:r>
      <w:r w:rsidRPr="009B3C20">
        <w:rPr>
          <w:rFonts w:ascii="Verdana" w:eastAsia="Arial" w:hAnsi="Verdana" w:cs="Arial"/>
          <w:sz w:val="20"/>
          <w:szCs w:val="20"/>
          <w:lang w:val="es-ES"/>
        </w:rPr>
        <w:t>238.</w:t>
      </w:r>
      <w:r w:rsidRPr="009B3C20">
        <w:rPr>
          <w:rFonts w:ascii="Verdana" w:eastAsia="Arial" w:hAnsi="Verdana" w:cs="Arial"/>
          <w:spacing w:val="-15"/>
          <w:sz w:val="20"/>
          <w:szCs w:val="20"/>
          <w:lang w:val="es-ES"/>
        </w:rPr>
        <w:t xml:space="preserve"> </w:t>
      </w:r>
      <w:r w:rsidRPr="009B3C20">
        <w:rPr>
          <w:rFonts w:ascii="Verdana" w:eastAsia="Arial" w:hAnsi="Verdana" w:cs="Arial"/>
          <w:sz w:val="20"/>
          <w:szCs w:val="20"/>
          <w:lang w:val="es-ES"/>
        </w:rPr>
        <w:t>Descanso</w:t>
      </w:r>
      <w:r w:rsidRPr="009B3C20">
        <w:rPr>
          <w:rFonts w:ascii="Verdana" w:eastAsia="Arial" w:hAnsi="Verdana" w:cs="Arial"/>
          <w:spacing w:val="-16"/>
          <w:sz w:val="20"/>
          <w:szCs w:val="20"/>
          <w:lang w:val="es-ES"/>
        </w:rPr>
        <w:t xml:space="preserve"> </w:t>
      </w:r>
      <w:r w:rsidRPr="009B3C20">
        <w:rPr>
          <w:rFonts w:ascii="Verdana" w:eastAsia="Arial" w:hAnsi="Verdana" w:cs="Arial"/>
          <w:sz w:val="20"/>
          <w:szCs w:val="20"/>
          <w:lang w:val="es-ES"/>
        </w:rPr>
        <w:t>remunerado</w:t>
      </w:r>
      <w:r w:rsidRPr="009B3C20">
        <w:rPr>
          <w:rFonts w:ascii="Verdana" w:eastAsia="Arial" w:hAnsi="Verdana" w:cs="Arial"/>
          <w:spacing w:val="-15"/>
          <w:sz w:val="20"/>
          <w:szCs w:val="20"/>
          <w:lang w:val="es-ES"/>
        </w:rPr>
        <w:t xml:space="preserve"> </w:t>
      </w:r>
      <w:r w:rsidRPr="009B3C20">
        <w:rPr>
          <w:rFonts w:ascii="Verdana" w:eastAsia="Arial" w:hAnsi="Verdana" w:cs="Arial"/>
          <w:sz w:val="20"/>
          <w:szCs w:val="20"/>
          <w:lang w:val="es-ES"/>
        </w:rPr>
        <w:t>durante</w:t>
      </w:r>
      <w:r w:rsidRPr="009B3C20">
        <w:rPr>
          <w:rFonts w:ascii="Verdana" w:eastAsia="Arial" w:hAnsi="Verdana" w:cs="Arial"/>
          <w:spacing w:val="-16"/>
          <w:sz w:val="20"/>
          <w:szCs w:val="20"/>
          <w:lang w:val="es-ES"/>
        </w:rPr>
        <w:t xml:space="preserve"> </w:t>
      </w:r>
      <w:r w:rsidRPr="009B3C20">
        <w:rPr>
          <w:rFonts w:ascii="Verdana" w:eastAsia="Arial" w:hAnsi="Verdana" w:cs="Arial"/>
          <w:sz w:val="20"/>
          <w:szCs w:val="20"/>
          <w:lang w:val="es-ES"/>
        </w:rPr>
        <w:t>la</w:t>
      </w:r>
      <w:r w:rsidRPr="009B3C20">
        <w:rPr>
          <w:rFonts w:ascii="Verdana" w:eastAsia="Arial" w:hAnsi="Verdana" w:cs="Arial"/>
          <w:spacing w:val="-15"/>
          <w:sz w:val="20"/>
          <w:szCs w:val="20"/>
          <w:lang w:val="es-ES"/>
        </w:rPr>
        <w:t xml:space="preserve"> </w:t>
      </w:r>
      <w:r w:rsidRPr="009B3C20">
        <w:rPr>
          <w:rFonts w:ascii="Verdana" w:eastAsia="Arial" w:hAnsi="Verdana" w:cs="Arial"/>
          <w:spacing w:val="-2"/>
          <w:sz w:val="20"/>
          <w:szCs w:val="20"/>
          <w:lang w:val="es-ES"/>
        </w:rPr>
        <w:t>lactancia.</w:t>
      </w:r>
    </w:p>
    <w:p w14:paraId="7014A62A" w14:textId="77777777" w:rsidR="0081088A" w:rsidRPr="009B3C20" w:rsidRDefault="0081088A" w:rsidP="0081088A">
      <w:pPr>
        <w:widowControl w:val="0"/>
        <w:autoSpaceDE w:val="0"/>
        <w:autoSpaceDN w:val="0"/>
        <w:spacing w:after="0" w:line="240" w:lineRule="auto"/>
        <w:ind w:left="709" w:right="709"/>
        <w:jc w:val="both"/>
        <w:rPr>
          <w:rFonts w:ascii="Verdana" w:eastAsia="Arial" w:hAnsi="Verdana" w:cs="Arial"/>
          <w:sz w:val="20"/>
          <w:szCs w:val="20"/>
          <w:lang w:val="es-ES"/>
        </w:rPr>
      </w:pPr>
    </w:p>
    <w:p w14:paraId="633782C1" w14:textId="77777777" w:rsidR="0081088A" w:rsidRPr="009B3C20" w:rsidRDefault="0081088A" w:rsidP="0081088A">
      <w:pPr>
        <w:widowControl w:val="0"/>
        <w:numPr>
          <w:ilvl w:val="0"/>
          <w:numId w:val="20"/>
        </w:numPr>
        <w:tabs>
          <w:tab w:val="left" w:pos="1167"/>
        </w:tabs>
        <w:autoSpaceDE w:val="0"/>
        <w:autoSpaceDN w:val="0"/>
        <w:spacing w:after="0" w:line="240" w:lineRule="auto"/>
        <w:ind w:left="709" w:right="709" w:firstLine="0"/>
        <w:contextualSpacing/>
        <w:jc w:val="both"/>
        <w:rPr>
          <w:rFonts w:ascii="Verdana" w:hAnsi="Verdana"/>
          <w:sz w:val="20"/>
          <w:szCs w:val="20"/>
          <w:lang w:val="es-ES"/>
        </w:rPr>
      </w:pPr>
      <w:r w:rsidRPr="009B3C20">
        <w:rPr>
          <w:rFonts w:ascii="Verdana" w:hAnsi="Verdana"/>
          <w:sz w:val="20"/>
          <w:szCs w:val="20"/>
          <w:lang w:val="es-ES"/>
        </w:rPr>
        <w:t xml:space="preserve">El empleador está en la obligación de conceder a la trabajadora dos (2) descansos, de treinta (30) minutos cada uno, dentro de la jornada para </w:t>
      </w:r>
      <w:r w:rsidRPr="009B3C20">
        <w:rPr>
          <w:rFonts w:ascii="Verdana" w:hAnsi="Verdana"/>
          <w:spacing w:val="-2"/>
          <w:sz w:val="20"/>
          <w:szCs w:val="20"/>
          <w:lang w:val="es-ES"/>
        </w:rPr>
        <w:t>amamantar</w:t>
      </w:r>
      <w:r w:rsidRPr="009B3C20">
        <w:rPr>
          <w:rFonts w:ascii="Verdana" w:hAnsi="Verdana"/>
          <w:spacing w:val="-9"/>
          <w:sz w:val="20"/>
          <w:szCs w:val="20"/>
          <w:lang w:val="es-ES"/>
        </w:rPr>
        <w:t xml:space="preserve"> </w:t>
      </w:r>
      <w:r w:rsidRPr="009B3C20">
        <w:rPr>
          <w:rFonts w:ascii="Verdana" w:hAnsi="Verdana"/>
          <w:spacing w:val="-2"/>
          <w:sz w:val="20"/>
          <w:szCs w:val="20"/>
          <w:lang w:val="es-ES"/>
        </w:rPr>
        <w:t>a</w:t>
      </w:r>
      <w:r w:rsidRPr="009B3C20">
        <w:rPr>
          <w:rFonts w:ascii="Verdana" w:hAnsi="Verdana"/>
          <w:spacing w:val="-12"/>
          <w:sz w:val="20"/>
          <w:szCs w:val="20"/>
          <w:lang w:val="es-ES"/>
        </w:rPr>
        <w:t xml:space="preserve"> </w:t>
      </w:r>
      <w:r w:rsidRPr="009B3C20">
        <w:rPr>
          <w:rFonts w:ascii="Verdana" w:hAnsi="Verdana"/>
          <w:spacing w:val="-2"/>
          <w:sz w:val="20"/>
          <w:szCs w:val="20"/>
          <w:lang w:val="es-ES"/>
        </w:rPr>
        <w:t>su</w:t>
      </w:r>
      <w:r w:rsidRPr="009B3C20">
        <w:rPr>
          <w:rFonts w:ascii="Verdana" w:hAnsi="Verdana"/>
          <w:spacing w:val="-11"/>
          <w:sz w:val="20"/>
          <w:szCs w:val="20"/>
          <w:lang w:val="es-ES"/>
        </w:rPr>
        <w:t xml:space="preserve"> </w:t>
      </w:r>
      <w:r w:rsidRPr="009B3C20">
        <w:rPr>
          <w:rFonts w:ascii="Verdana" w:hAnsi="Verdana"/>
          <w:spacing w:val="-2"/>
          <w:sz w:val="20"/>
          <w:szCs w:val="20"/>
          <w:lang w:val="es-ES"/>
        </w:rPr>
        <w:t>hijo,</w:t>
      </w:r>
      <w:r w:rsidRPr="009B3C20">
        <w:rPr>
          <w:rFonts w:ascii="Verdana" w:hAnsi="Verdana"/>
          <w:spacing w:val="-11"/>
          <w:sz w:val="20"/>
          <w:szCs w:val="20"/>
          <w:lang w:val="es-ES"/>
        </w:rPr>
        <w:t xml:space="preserve"> </w:t>
      </w:r>
      <w:r w:rsidRPr="009B3C20">
        <w:rPr>
          <w:rFonts w:ascii="Verdana" w:hAnsi="Verdana"/>
          <w:spacing w:val="-2"/>
          <w:sz w:val="20"/>
          <w:szCs w:val="20"/>
          <w:lang w:val="es-ES"/>
        </w:rPr>
        <w:t>sin</w:t>
      </w:r>
      <w:r w:rsidRPr="009B3C20">
        <w:rPr>
          <w:rFonts w:ascii="Verdana" w:hAnsi="Verdana"/>
          <w:spacing w:val="-11"/>
          <w:sz w:val="20"/>
          <w:szCs w:val="20"/>
          <w:lang w:val="es-ES"/>
        </w:rPr>
        <w:t xml:space="preserve"> </w:t>
      </w:r>
      <w:r w:rsidRPr="009B3C20">
        <w:rPr>
          <w:rFonts w:ascii="Verdana" w:hAnsi="Verdana"/>
          <w:spacing w:val="-2"/>
          <w:sz w:val="20"/>
          <w:szCs w:val="20"/>
          <w:lang w:val="es-ES"/>
        </w:rPr>
        <w:t>descuento</w:t>
      </w:r>
      <w:r w:rsidRPr="009B3C20">
        <w:rPr>
          <w:rFonts w:ascii="Verdana" w:hAnsi="Verdana"/>
          <w:spacing w:val="-9"/>
          <w:sz w:val="20"/>
          <w:szCs w:val="20"/>
          <w:lang w:val="es-ES"/>
        </w:rPr>
        <w:t xml:space="preserve"> </w:t>
      </w:r>
      <w:r w:rsidRPr="009B3C20">
        <w:rPr>
          <w:rFonts w:ascii="Verdana" w:hAnsi="Verdana"/>
          <w:spacing w:val="-2"/>
          <w:sz w:val="20"/>
          <w:szCs w:val="20"/>
          <w:lang w:val="es-ES"/>
        </w:rPr>
        <w:t>alguno</w:t>
      </w:r>
      <w:r w:rsidRPr="009B3C20">
        <w:rPr>
          <w:rFonts w:ascii="Verdana" w:hAnsi="Verdana"/>
          <w:spacing w:val="-10"/>
          <w:sz w:val="20"/>
          <w:szCs w:val="20"/>
          <w:lang w:val="es-ES"/>
        </w:rPr>
        <w:t xml:space="preserve"> </w:t>
      </w:r>
      <w:r w:rsidRPr="009B3C20">
        <w:rPr>
          <w:rFonts w:ascii="Verdana" w:hAnsi="Verdana"/>
          <w:spacing w:val="-2"/>
          <w:sz w:val="20"/>
          <w:szCs w:val="20"/>
          <w:lang w:val="es-ES"/>
        </w:rPr>
        <w:t>en</w:t>
      </w:r>
      <w:r w:rsidRPr="009B3C20">
        <w:rPr>
          <w:rFonts w:ascii="Verdana" w:hAnsi="Verdana"/>
          <w:spacing w:val="-11"/>
          <w:sz w:val="20"/>
          <w:szCs w:val="20"/>
          <w:lang w:val="es-ES"/>
        </w:rPr>
        <w:t xml:space="preserve"> </w:t>
      </w:r>
      <w:r w:rsidRPr="009B3C20">
        <w:rPr>
          <w:rFonts w:ascii="Verdana" w:hAnsi="Verdana"/>
          <w:spacing w:val="-2"/>
          <w:sz w:val="20"/>
          <w:szCs w:val="20"/>
          <w:lang w:val="es-ES"/>
        </w:rPr>
        <w:t>el</w:t>
      </w:r>
      <w:r w:rsidRPr="009B3C20">
        <w:rPr>
          <w:rFonts w:ascii="Verdana" w:hAnsi="Verdana"/>
          <w:spacing w:val="-11"/>
          <w:sz w:val="20"/>
          <w:szCs w:val="20"/>
          <w:lang w:val="es-ES"/>
        </w:rPr>
        <w:t xml:space="preserve"> </w:t>
      </w:r>
      <w:r w:rsidRPr="009B3C20">
        <w:rPr>
          <w:rFonts w:ascii="Verdana" w:hAnsi="Verdana"/>
          <w:spacing w:val="-2"/>
          <w:sz w:val="20"/>
          <w:szCs w:val="20"/>
          <w:lang w:val="es-ES"/>
        </w:rPr>
        <w:t>salario</w:t>
      </w:r>
      <w:r w:rsidRPr="009B3C20">
        <w:rPr>
          <w:rFonts w:ascii="Verdana" w:hAnsi="Verdana"/>
          <w:spacing w:val="-10"/>
          <w:sz w:val="20"/>
          <w:szCs w:val="20"/>
          <w:lang w:val="es-ES"/>
        </w:rPr>
        <w:t xml:space="preserve"> </w:t>
      </w:r>
      <w:r w:rsidRPr="009B3C20">
        <w:rPr>
          <w:rFonts w:ascii="Verdana" w:hAnsi="Verdana"/>
          <w:spacing w:val="-2"/>
          <w:sz w:val="20"/>
          <w:szCs w:val="20"/>
          <w:lang w:val="es-ES"/>
        </w:rPr>
        <w:t>por</w:t>
      </w:r>
      <w:r w:rsidRPr="009B3C20">
        <w:rPr>
          <w:rFonts w:ascii="Verdana" w:hAnsi="Verdana"/>
          <w:spacing w:val="-11"/>
          <w:sz w:val="20"/>
          <w:szCs w:val="20"/>
          <w:lang w:val="es-ES"/>
        </w:rPr>
        <w:t xml:space="preserve"> </w:t>
      </w:r>
      <w:r w:rsidRPr="009B3C20">
        <w:rPr>
          <w:rFonts w:ascii="Verdana" w:hAnsi="Verdana"/>
          <w:spacing w:val="-2"/>
          <w:sz w:val="20"/>
          <w:szCs w:val="20"/>
          <w:lang w:val="es-ES"/>
        </w:rPr>
        <w:t>dicho</w:t>
      </w:r>
      <w:r w:rsidRPr="009B3C20">
        <w:rPr>
          <w:rFonts w:ascii="Verdana" w:hAnsi="Verdana"/>
          <w:spacing w:val="-10"/>
          <w:sz w:val="20"/>
          <w:szCs w:val="20"/>
          <w:lang w:val="es-ES"/>
        </w:rPr>
        <w:t xml:space="preserve"> </w:t>
      </w:r>
      <w:r w:rsidRPr="009B3C20">
        <w:rPr>
          <w:rFonts w:ascii="Verdana" w:hAnsi="Verdana"/>
          <w:spacing w:val="-2"/>
          <w:sz w:val="20"/>
          <w:szCs w:val="20"/>
          <w:lang w:val="es-ES"/>
        </w:rPr>
        <w:t xml:space="preserve">concepto, </w:t>
      </w:r>
      <w:r w:rsidRPr="009B3C20">
        <w:rPr>
          <w:rFonts w:ascii="Verdana" w:hAnsi="Verdana"/>
          <w:sz w:val="20"/>
          <w:szCs w:val="20"/>
          <w:lang w:val="es-ES"/>
        </w:rPr>
        <w:t>durante los primeros seis (6) meses de edad, y una vez cumplido este</w:t>
      </w:r>
      <w:r w:rsidRPr="009B3C20">
        <w:rPr>
          <w:rFonts w:ascii="Verdana" w:hAnsi="Verdana"/>
          <w:spacing w:val="80"/>
          <w:sz w:val="20"/>
          <w:szCs w:val="20"/>
          <w:lang w:val="es-ES"/>
        </w:rPr>
        <w:t xml:space="preserve"> </w:t>
      </w:r>
      <w:r w:rsidRPr="009B3C20">
        <w:rPr>
          <w:rFonts w:ascii="Verdana" w:hAnsi="Verdana"/>
          <w:sz w:val="20"/>
          <w:szCs w:val="20"/>
          <w:lang w:val="es-ES"/>
        </w:rPr>
        <w:t>periodo, un (1) descanso de treinta (30) minutos en los mismos términos hasta</w:t>
      </w:r>
      <w:r w:rsidRPr="009B3C20">
        <w:rPr>
          <w:rFonts w:ascii="Verdana" w:hAnsi="Verdana"/>
          <w:spacing w:val="-9"/>
          <w:sz w:val="20"/>
          <w:szCs w:val="20"/>
          <w:lang w:val="es-ES"/>
        </w:rPr>
        <w:t xml:space="preserve"> </w:t>
      </w:r>
      <w:r w:rsidRPr="009B3C20">
        <w:rPr>
          <w:rFonts w:ascii="Verdana" w:hAnsi="Verdana"/>
          <w:sz w:val="20"/>
          <w:szCs w:val="20"/>
          <w:lang w:val="es-ES"/>
        </w:rPr>
        <w:t>los</w:t>
      </w:r>
      <w:r w:rsidRPr="009B3C20">
        <w:rPr>
          <w:rFonts w:ascii="Verdana" w:hAnsi="Verdana"/>
          <w:spacing w:val="-9"/>
          <w:sz w:val="20"/>
          <w:szCs w:val="20"/>
          <w:lang w:val="es-ES"/>
        </w:rPr>
        <w:t xml:space="preserve"> </w:t>
      </w:r>
      <w:r w:rsidRPr="009B3C20">
        <w:rPr>
          <w:rFonts w:ascii="Verdana" w:hAnsi="Verdana"/>
          <w:sz w:val="20"/>
          <w:szCs w:val="20"/>
          <w:lang w:val="es-ES"/>
        </w:rPr>
        <w:t>dos</w:t>
      </w:r>
      <w:r w:rsidRPr="009B3C20">
        <w:rPr>
          <w:rFonts w:ascii="Verdana" w:hAnsi="Verdana"/>
          <w:spacing w:val="-9"/>
          <w:sz w:val="20"/>
          <w:szCs w:val="20"/>
          <w:lang w:val="es-ES"/>
        </w:rPr>
        <w:t xml:space="preserve"> </w:t>
      </w:r>
      <w:r w:rsidRPr="009B3C20">
        <w:rPr>
          <w:rFonts w:ascii="Verdana" w:hAnsi="Verdana"/>
          <w:sz w:val="20"/>
          <w:szCs w:val="20"/>
          <w:lang w:val="es-ES"/>
        </w:rPr>
        <w:t>(2)</w:t>
      </w:r>
      <w:r w:rsidRPr="009B3C20">
        <w:rPr>
          <w:rFonts w:ascii="Verdana" w:hAnsi="Verdana"/>
          <w:spacing w:val="-9"/>
          <w:sz w:val="20"/>
          <w:szCs w:val="20"/>
          <w:lang w:val="es-ES"/>
        </w:rPr>
        <w:t xml:space="preserve"> </w:t>
      </w:r>
      <w:r w:rsidRPr="009B3C20">
        <w:rPr>
          <w:rFonts w:ascii="Verdana" w:hAnsi="Verdana"/>
          <w:sz w:val="20"/>
          <w:szCs w:val="20"/>
          <w:lang w:val="es-ES"/>
        </w:rPr>
        <w:t>años</w:t>
      </w:r>
      <w:r w:rsidRPr="009B3C20">
        <w:rPr>
          <w:rFonts w:ascii="Verdana" w:hAnsi="Verdana"/>
          <w:spacing w:val="-9"/>
          <w:sz w:val="20"/>
          <w:szCs w:val="20"/>
          <w:lang w:val="es-ES"/>
        </w:rPr>
        <w:t xml:space="preserve"> </w:t>
      </w:r>
      <w:r w:rsidRPr="009B3C20">
        <w:rPr>
          <w:rFonts w:ascii="Verdana" w:hAnsi="Verdana"/>
          <w:sz w:val="20"/>
          <w:szCs w:val="20"/>
          <w:lang w:val="es-ES"/>
        </w:rPr>
        <w:t>de</w:t>
      </w:r>
      <w:r w:rsidRPr="009B3C20">
        <w:rPr>
          <w:rFonts w:ascii="Verdana" w:hAnsi="Verdana"/>
          <w:spacing w:val="-10"/>
          <w:sz w:val="20"/>
          <w:szCs w:val="20"/>
          <w:lang w:val="es-ES"/>
        </w:rPr>
        <w:t xml:space="preserve"> </w:t>
      </w:r>
      <w:r w:rsidRPr="009B3C20">
        <w:rPr>
          <w:rFonts w:ascii="Verdana" w:hAnsi="Verdana"/>
          <w:sz w:val="20"/>
          <w:szCs w:val="20"/>
          <w:lang w:val="es-ES"/>
        </w:rPr>
        <w:t>edad</w:t>
      </w:r>
      <w:r w:rsidRPr="009B3C20">
        <w:rPr>
          <w:rFonts w:ascii="Verdana" w:hAnsi="Verdana"/>
          <w:spacing w:val="-9"/>
          <w:sz w:val="20"/>
          <w:szCs w:val="20"/>
          <w:lang w:val="es-ES"/>
        </w:rPr>
        <w:t xml:space="preserve"> </w:t>
      </w:r>
      <w:r w:rsidRPr="009B3C20">
        <w:rPr>
          <w:rFonts w:ascii="Verdana" w:hAnsi="Verdana"/>
          <w:sz w:val="20"/>
          <w:szCs w:val="20"/>
          <w:lang w:val="es-ES"/>
        </w:rPr>
        <w:t>de/</w:t>
      </w:r>
      <w:r w:rsidRPr="009B3C20">
        <w:rPr>
          <w:rFonts w:ascii="Verdana" w:hAnsi="Verdana"/>
          <w:spacing w:val="-9"/>
          <w:sz w:val="20"/>
          <w:szCs w:val="20"/>
          <w:lang w:val="es-ES"/>
        </w:rPr>
        <w:t xml:space="preserve"> </w:t>
      </w:r>
      <w:r w:rsidRPr="009B3C20">
        <w:rPr>
          <w:rFonts w:ascii="Verdana" w:hAnsi="Verdana"/>
          <w:sz w:val="20"/>
          <w:szCs w:val="20"/>
          <w:lang w:val="es-ES"/>
        </w:rPr>
        <w:t>menor:</w:t>
      </w:r>
      <w:r w:rsidRPr="009B3C20">
        <w:rPr>
          <w:rFonts w:ascii="Verdana" w:hAnsi="Verdana"/>
          <w:spacing w:val="-9"/>
          <w:sz w:val="20"/>
          <w:szCs w:val="20"/>
          <w:lang w:val="es-ES"/>
        </w:rPr>
        <w:t xml:space="preserve"> </w:t>
      </w:r>
      <w:r w:rsidRPr="009B3C20">
        <w:rPr>
          <w:rFonts w:ascii="Verdana" w:hAnsi="Verdana"/>
          <w:sz w:val="20"/>
          <w:szCs w:val="20"/>
          <w:lang w:val="es-ES"/>
        </w:rPr>
        <w:t>siempre</w:t>
      </w:r>
      <w:r w:rsidRPr="009B3C20">
        <w:rPr>
          <w:rFonts w:ascii="Verdana" w:hAnsi="Verdana"/>
          <w:spacing w:val="-8"/>
          <w:sz w:val="20"/>
          <w:szCs w:val="20"/>
          <w:lang w:val="es-ES"/>
        </w:rPr>
        <w:t xml:space="preserve"> </w:t>
      </w:r>
      <w:r w:rsidRPr="009B3C20">
        <w:rPr>
          <w:rFonts w:ascii="Verdana" w:hAnsi="Verdana"/>
          <w:sz w:val="20"/>
          <w:szCs w:val="20"/>
          <w:lang w:val="es-ES"/>
        </w:rPr>
        <w:t>y</w:t>
      </w:r>
      <w:r w:rsidRPr="009B3C20">
        <w:rPr>
          <w:rFonts w:ascii="Verdana" w:hAnsi="Verdana"/>
          <w:spacing w:val="-10"/>
          <w:sz w:val="20"/>
          <w:szCs w:val="20"/>
          <w:lang w:val="es-ES"/>
        </w:rPr>
        <w:t xml:space="preserve"> </w:t>
      </w:r>
      <w:r w:rsidRPr="009B3C20">
        <w:rPr>
          <w:rFonts w:ascii="Verdana" w:hAnsi="Verdana"/>
          <w:sz w:val="20"/>
          <w:szCs w:val="20"/>
          <w:lang w:val="es-ES"/>
        </w:rPr>
        <w:t>cuando</w:t>
      </w:r>
      <w:r w:rsidRPr="009B3C20">
        <w:rPr>
          <w:rFonts w:ascii="Verdana" w:hAnsi="Verdana"/>
          <w:spacing w:val="-8"/>
          <w:sz w:val="20"/>
          <w:szCs w:val="20"/>
          <w:lang w:val="es-ES"/>
        </w:rPr>
        <w:t xml:space="preserve"> </w:t>
      </w:r>
      <w:r w:rsidRPr="009B3C20">
        <w:rPr>
          <w:rFonts w:ascii="Verdana" w:hAnsi="Verdana"/>
          <w:sz w:val="20"/>
          <w:szCs w:val="20"/>
          <w:lang w:val="es-ES"/>
        </w:rPr>
        <w:t>se</w:t>
      </w:r>
      <w:r w:rsidRPr="009B3C20">
        <w:rPr>
          <w:rFonts w:ascii="Verdana" w:hAnsi="Verdana"/>
          <w:spacing w:val="-9"/>
          <w:sz w:val="20"/>
          <w:szCs w:val="20"/>
          <w:lang w:val="es-ES"/>
        </w:rPr>
        <w:t xml:space="preserve"> </w:t>
      </w:r>
      <w:r w:rsidRPr="009B3C20">
        <w:rPr>
          <w:rFonts w:ascii="Verdana" w:hAnsi="Verdana"/>
          <w:sz w:val="20"/>
          <w:szCs w:val="20"/>
          <w:lang w:val="es-ES"/>
        </w:rPr>
        <w:t>mantenga y manifieste una adecuada lactancia materno-continua.</w:t>
      </w:r>
    </w:p>
    <w:p w14:paraId="63A01CB9" w14:textId="77777777" w:rsidR="0081088A" w:rsidRPr="009B3C20" w:rsidRDefault="0081088A" w:rsidP="0081088A">
      <w:pPr>
        <w:widowControl w:val="0"/>
        <w:tabs>
          <w:tab w:val="left" w:pos="1167"/>
        </w:tabs>
        <w:autoSpaceDE w:val="0"/>
        <w:autoSpaceDN w:val="0"/>
        <w:spacing w:after="0" w:line="240" w:lineRule="auto"/>
        <w:ind w:left="709" w:right="709"/>
        <w:contextualSpacing/>
        <w:jc w:val="both"/>
        <w:rPr>
          <w:rFonts w:ascii="Verdana" w:hAnsi="Verdana"/>
          <w:sz w:val="20"/>
          <w:szCs w:val="20"/>
          <w:lang w:val="es-ES"/>
        </w:rPr>
      </w:pPr>
    </w:p>
    <w:p w14:paraId="107AD3A8" w14:textId="77777777" w:rsidR="0081088A" w:rsidRPr="009B3C20" w:rsidRDefault="0081088A" w:rsidP="0081088A">
      <w:pPr>
        <w:widowControl w:val="0"/>
        <w:numPr>
          <w:ilvl w:val="0"/>
          <w:numId w:val="20"/>
        </w:numPr>
        <w:tabs>
          <w:tab w:val="left" w:pos="1241"/>
        </w:tabs>
        <w:autoSpaceDE w:val="0"/>
        <w:autoSpaceDN w:val="0"/>
        <w:spacing w:after="0" w:line="240" w:lineRule="auto"/>
        <w:ind w:left="709" w:right="709" w:firstLine="0"/>
        <w:contextualSpacing/>
        <w:jc w:val="both"/>
        <w:rPr>
          <w:rFonts w:ascii="Verdana" w:hAnsi="Verdana"/>
          <w:sz w:val="20"/>
          <w:szCs w:val="20"/>
          <w:lang w:val="es-ES"/>
        </w:rPr>
      </w:pPr>
      <w:r w:rsidRPr="009B3C20">
        <w:rPr>
          <w:rFonts w:ascii="Verdana" w:hAnsi="Verdana"/>
          <w:sz w:val="20"/>
          <w:szCs w:val="20"/>
          <w:lang w:val="es-ES"/>
        </w:rPr>
        <w:t>El</w:t>
      </w:r>
      <w:r w:rsidRPr="009B3C20">
        <w:rPr>
          <w:rFonts w:ascii="Verdana" w:hAnsi="Verdana"/>
          <w:spacing w:val="-2"/>
          <w:sz w:val="20"/>
          <w:szCs w:val="20"/>
          <w:lang w:val="es-ES"/>
        </w:rPr>
        <w:t xml:space="preserve"> </w:t>
      </w:r>
      <w:r w:rsidRPr="009B3C20">
        <w:rPr>
          <w:rFonts w:ascii="Verdana" w:hAnsi="Verdana"/>
          <w:sz w:val="20"/>
          <w:szCs w:val="20"/>
          <w:lang w:val="es-ES"/>
        </w:rPr>
        <w:t>empleador está</w:t>
      </w:r>
      <w:r w:rsidRPr="009B3C20">
        <w:rPr>
          <w:rFonts w:ascii="Verdana" w:hAnsi="Verdana"/>
          <w:spacing w:val="-1"/>
          <w:sz w:val="20"/>
          <w:szCs w:val="20"/>
          <w:lang w:val="es-ES"/>
        </w:rPr>
        <w:t xml:space="preserve"> </w:t>
      </w:r>
      <w:r w:rsidRPr="009B3C20">
        <w:rPr>
          <w:rFonts w:ascii="Verdana" w:hAnsi="Verdana"/>
          <w:sz w:val="20"/>
          <w:szCs w:val="20"/>
          <w:lang w:val="es-ES"/>
        </w:rPr>
        <w:t>en</w:t>
      </w:r>
      <w:r w:rsidRPr="009B3C20">
        <w:rPr>
          <w:rFonts w:ascii="Verdana" w:hAnsi="Verdana"/>
          <w:spacing w:val="-2"/>
          <w:sz w:val="20"/>
          <w:szCs w:val="20"/>
          <w:lang w:val="es-ES"/>
        </w:rPr>
        <w:t xml:space="preserve"> </w:t>
      </w:r>
      <w:r w:rsidRPr="009B3C20">
        <w:rPr>
          <w:rFonts w:ascii="Verdana" w:hAnsi="Verdana"/>
          <w:sz w:val="20"/>
          <w:szCs w:val="20"/>
          <w:lang w:val="es-ES"/>
        </w:rPr>
        <w:t>la</w:t>
      </w:r>
      <w:r w:rsidRPr="009B3C20">
        <w:rPr>
          <w:rFonts w:ascii="Verdana" w:hAnsi="Verdana"/>
          <w:spacing w:val="-2"/>
          <w:sz w:val="20"/>
          <w:szCs w:val="20"/>
          <w:lang w:val="es-ES"/>
        </w:rPr>
        <w:t xml:space="preserve"> </w:t>
      </w:r>
      <w:r w:rsidRPr="009B3C20">
        <w:rPr>
          <w:rFonts w:ascii="Verdana" w:hAnsi="Verdana"/>
          <w:sz w:val="20"/>
          <w:szCs w:val="20"/>
          <w:lang w:val="es-ES"/>
        </w:rPr>
        <w:t>obligación de</w:t>
      </w:r>
      <w:r w:rsidRPr="009B3C20">
        <w:rPr>
          <w:rFonts w:ascii="Verdana" w:hAnsi="Verdana"/>
          <w:spacing w:val="-2"/>
          <w:sz w:val="20"/>
          <w:szCs w:val="20"/>
          <w:lang w:val="es-ES"/>
        </w:rPr>
        <w:t xml:space="preserve"> </w:t>
      </w:r>
      <w:r w:rsidRPr="009B3C20">
        <w:rPr>
          <w:rFonts w:ascii="Verdana" w:hAnsi="Verdana"/>
          <w:sz w:val="20"/>
          <w:szCs w:val="20"/>
          <w:lang w:val="es-ES"/>
        </w:rPr>
        <w:t>conceder más</w:t>
      </w:r>
      <w:r w:rsidRPr="009B3C20">
        <w:rPr>
          <w:rFonts w:ascii="Verdana" w:hAnsi="Verdana"/>
          <w:spacing w:val="-2"/>
          <w:sz w:val="20"/>
          <w:szCs w:val="20"/>
          <w:lang w:val="es-ES"/>
        </w:rPr>
        <w:t xml:space="preserve"> </w:t>
      </w:r>
      <w:r w:rsidRPr="009B3C20">
        <w:rPr>
          <w:rFonts w:ascii="Verdana" w:hAnsi="Verdana"/>
          <w:sz w:val="20"/>
          <w:szCs w:val="20"/>
          <w:lang w:val="es-ES"/>
        </w:rPr>
        <w:t>descansos que</w:t>
      </w:r>
      <w:r w:rsidRPr="009B3C20">
        <w:rPr>
          <w:rFonts w:ascii="Verdana" w:hAnsi="Verdana"/>
          <w:spacing w:val="-2"/>
          <w:sz w:val="20"/>
          <w:szCs w:val="20"/>
          <w:lang w:val="es-ES"/>
        </w:rPr>
        <w:t xml:space="preserve"> </w:t>
      </w:r>
      <w:r w:rsidRPr="009B3C20">
        <w:rPr>
          <w:rFonts w:ascii="Verdana" w:hAnsi="Verdana"/>
          <w:sz w:val="20"/>
          <w:szCs w:val="20"/>
          <w:lang w:val="es-ES"/>
        </w:rPr>
        <w:t>los establecidos en el inciso anterior si lo trabajadora presenta certificado médico en el cual se expongan las razones que justifiquen ese mayor número de descansos.</w:t>
      </w:r>
    </w:p>
    <w:p w14:paraId="53167D77" w14:textId="77777777" w:rsidR="0081088A" w:rsidRPr="009B3C20" w:rsidRDefault="0081088A" w:rsidP="0081088A">
      <w:pPr>
        <w:widowControl w:val="0"/>
        <w:autoSpaceDE w:val="0"/>
        <w:autoSpaceDN w:val="0"/>
        <w:spacing w:after="0" w:line="240" w:lineRule="auto"/>
        <w:ind w:left="709" w:right="709"/>
        <w:jc w:val="both"/>
        <w:rPr>
          <w:rFonts w:ascii="Verdana" w:eastAsia="Arial" w:hAnsi="Verdana" w:cs="Arial"/>
          <w:sz w:val="20"/>
          <w:szCs w:val="20"/>
          <w:lang w:val="es-ES"/>
        </w:rPr>
      </w:pPr>
    </w:p>
    <w:p w14:paraId="20D8293B" w14:textId="77777777" w:rsidR="0081088A" w:rsidRPr="009B3C20" w:rsidRDefault="0081088A" w:rsidP="0081088A">
      <w:pPr>
        <w:widowControl w:val="0"/>
        <w:numPr>
          <w:ilvl w:val="0"/>
          <w:numId w:val="20"/>
        </w:numPr>
        <w:tabs>
          <w:tab w:val="left" w:pos="1247"/>
        </w:tabs>
        <w:autoSpaceDE w:val="0"/>
        <w:autoSpaceDN w:val="0"/>
        <w:spacing w:after="0" w:line="240" w:lineRule="auto"/>
        <w:ind w:left="709" w:right="709" w:firstLine="0"/>
        <w:contextualSpacing/>
        <w:jc w:val="both"/>
        <w:rPr>
          <w:rFonts w:ascii="Verdana" w:hAnsi="Verdana"/>
          <w:sz w:val="20"/>
          <w:szCs w:val="20"/>
          <w:lang w:val="es-ES"/>
        </w:rPr>
      </w:pPr>
      <w:r w:rsidRPr="009B3C20">
        <w:rPr>
          <w:rFonts w:ascii="Verdana" w:hAnsi="Verdana"/>
          <w:sz w:val="20"/>
          <w:szCs w:val="20"/>
          <w:lang w:val="es-ES"/>
        </w:rPr>
        <w:t>Para dar cumplimiento a la obligación consagrada en este artículo, los empleadores deben establecer en un local contiguo a aquel en donde la mujer</w:t>
      </w:r>
      <w:r w:rsidRPr="009B3C20">
        <w:rPr>
          <w:rFonts w:ascii="Verdana" w:hAnsi="Verdana"/>
          <w:spacing w:val="-4"/>
          <w:sz w:val="20"/>
          <w:szCs w:val="20"/>
          <w:lang w:val="es-ES"/>
        </w:rPr>
        <w:t xml:space="preserve"> </w:t>
      </w:r>
      <w:r w:rsidRPr="009B3C20">
        <w:rPr>
          <w:rFonts w:ascii="Verdana" w:hAnsi="Verdana"/>
          <w:sz w:val="20"/>
          <w:szCs w:val="20"/>
          <w:lang w:val="es-ES"/>
        </w:rPr>
        <w:t>trabaja,</w:t>
      </w:r>
      <w:r w:rsidRPr="009B3C20">
        <w:rPr>
          <w:rFonts w:ascii="Verdana" w:hAnsi="Verdana"/>
          <w:spacing w:val="-3"/>
          <w:sz w:val="20"/>
          <w:szCs w:val="20"/>
          <w:lang w:val="es-ES"/>
        </w:rPr>
        <w:t xml:space="preserve"> </w:t>
      </w:r>
      <w:r w:rsidRPr="009B3C20">
        <w:rPr>
          <w:rFonts w:ascii="Verdana" w:hAnsi="Verdana"/>
          <w:sz w:val="20"/>
          <w:szCs w:val="20"/>
          <w:lang w:val="es-ES"/>
        </w:rPr>
        <w:t>una</w:t>
      </w:r>
      <w:r w:rsidRPr="009B3C20">
        <w:rPr>
          <w:rFonts w:ascii="Verdana" w:hAnsi="Verdana"/>
          <w:spacing w:val="-5"/>
          <w:sz w:val="20"/>
          <w:szCs w:val="20"/>
          <w:lang w:val="es-ES"/>
        </w:rPr>
        <w:t xml:space="preserve"> </w:t>
      </w:r>
      <w:r w:rsidRPr="009B3C20">
        <w:rPr>
          <w:rFonts w:ascii="Verdana" w:hAnsi="Verdana"/>
          <w:sz w:val="20"/>
          <w:szCs w:val="20"/>
          <w:lang w:val="es-ES"/>
        </w:rPr>
        <w:t>sala</w:t>
      </w:r>
      <w:r w:rsidRPr="009B3C20">
        <w:rPr>
          <w:rFonts w:ascii="Verdana" w:hAnsi="Verdana"/>
          <w:spacing w:val="-5"/>
          <w:sz w:val="20"/>
          <w:szCs w:val="20"/>
          <w:lang w:val="es-ES"/>
        </w:rPr>
        <w:t xml:space="preserve"> </w:t>
      </w:r>
      <w:r w:rsidRPr="009B3C20">
        <w:rPr>
          <w:rFonts w:ascii="Verdana" w:hAnsi="Verdana"/>
          <w:sz w:val="20"/>
          <w:szCs w:val="20"/>
          <w:lang w:val="es-ES"/>
        </w:rPr>
        <w:t>de</w:t>
      </w:r>
      <w:r w:rsidRPr="009B3C20">
        <w:rPr>
          <w:rFonts w:ascii="Verdana" w:hAnsi="Verdana"/>
          <w:spacing w:val="-5"/>
          <w:sz w:val="20"/>
          <w:szCs w:val="20"/>
          <w:lang w:val="es-ES"/>
        </w:rPr>
        <w:t xml:space="preserve"> </w:t>
      </w:r>
      <w:r w:rsidRPr="009B3C20">
        <w:rPr>
          <w:rFonts w:ascii="Verdana" w:hAnsi="Verdana"/>
          <w:sz w:val="20"/>
          <w:szCs w:val="20"/>
          <w:lang w:val="es-ES"/>
        </w:rPr>
        <w:t>lactancia</w:t>
      </w:r>
      <w:r w:rsidRPr="009B3C20">
        <w:rPr>
          <w:rFonts w:ascii="Verdana" w:hAnsi="Verdana"/>
          <w:spacing w:val="-3"/>
          <w:sz w:val="20"/>
          <w:szCs w:val="20"/>
          <w:lang w:val="es-ES"/>
        </w:rPr>
        <w:t xml:space="preserve"> </w:t>
      </w:r>
      <w:r w:rsidRPr="009B3C20">
        <w:rPr>
          <w:rFonts w:ascii="Verdana" w:hAnsi="Verdana"/>
          <w:sz w:val="20"/>
          <w:szCs w:val="20"/>
          <w:lang w:val="es-ES"/>
        </w:rPr>
        <w:t>o</w:t>
      </w:r>
      <w:r w:rsidRPr="009B3C20">
        <w:rPr>
          <w:rFonts w:ascii="Verdana" w:hAnsi="Verdana"/>
          <w:spacing w:val="-6"/>
          <w:sz w:val="20"/>
          <w:szCs w:val="20"/>
          <w:lang w:val="es-ES"/>
        </w:rPr>
        <w:t xml:space="preserve"> </w:t>
      </w:r>
      <w:r w:rsidRPr="009B3C20">
        <w:rPr>
          <w:rFonts w:ascii="Verdana" w:hAnsi="Verdana"/>
          <w:sz w:val="20"/>
          <w:szCs w:val="20"/>
          <w:lang w:val="es-ES"/>
        </w:rPr>
        <w:t>un</w:t>
      </w:r>
      <w:r w:rsidRPr="009B3C20">
        <w:rPr>
          <w:rFonts w:ascii="Verdana" w:hAnsi="Verdana"/>
          <w:spacing w:val="-5"/>
          <w:sz w:val="20"/>
          <w:szCs w:val="20"/>
          <w:lang w:val="es-ES"/>
        </w:rPr>
        <w:t xml:space="preserve"> </w:t>
      </w:r>
      <w:r w:rsidRPr="009B3C20">
        <w:rPr>
          <w:rFonts w:ascii="Verdana" w:hAnsi="Verdana"/>
          <w:sz w:val="20"/>
          <w:szCs w:val="20"/>
          <w:lang w:val="es-ES"/>
        </w:rPr>
        <w:t>lugar</w:t>
      </w:r>
      <w:r w:rsidRPr="009B3C20">
        <w:rPr>
          <w:rFonts w:ascii="Verdana" w:hAnsi="Verdana"/>
          <w:spacing w:val="-4"/>
          <w:sz w:val="20"/>
          <w:szCs w:val="20"/>
          <w:lang w:val="es-ES"/>
        </w:rPr>
        <w:t xml:space="preserve"> </w:t>
      </w:r>
      <w:r w:rsidRPr="009B3C20">
        <w:rPr>
          <w:rFonts w:ascii="Verdana" w:hAnsi="Verdana"/>
          <w:sz w:val="20"/>
          <w:szCs w:val="20"/>
          <w:lang w:val="es-ES"/>
        </w:rPr>
        <w:t>apropiado</w:t>
      </w:r>
      <w:r w:rsidRPr="009B3C20">
        <w:rPr>
          <w:rFonts w:ascii="Verdana" w:hAnsi="Verdana"/>
          <w:spacing w:val="-3"/>
          <w:sz w:val="20"/>
          <w:szCs w:val="20"/>
          <w:lang w:val="es-ES"/>
        </w:rPr>
        <w:t xml:space="preserve"> </w:t>
      </w:r>
      <w:r w:rsidRPr="009B3C20">
        <w:rPr>
          <w:rFonts w:ascii="Verdana" w:hAnsi="Verdana"/>
          <w:sz w:val="20"/>
          <w:szCs w:val="20"/>
          <w:lang w:val="es-ES"/>
        </w:rPr>
        <w:t>para</w:t>
      </w:r>
      <w:r w:rsidRPr="009B3C20">
        <w:rPr>
          <w:rFonts w:ascii="Verdana" w:hAnsi="Verdana"/>
          <w:spacing w:val="-5"/>
          <w:sz w:val="20"/>
          <w:szCs w:val="20"/>
          <w:lang w:val="es-ES"/>
        </w:rPr>
        <w:t xml:space="preserve"> </w:t>
      </w:r>
      <w:r w:rsidRPr="009B3C20">
        <w:rPr>
          <w:rFonts w:ascii="Verdana" w:hAnsi="Verdana"/>
          <w:sz w:val="20"/>
          <w:szCs w:val="20"/>
          <w:lang w:val="es-ES"/>
        </w:rPr>
        <w:t>guardar</w:t>
      </w:r>
      <w:r w:rsidRPr="009B3C20">
        <w:rPr>
          <w:rFonts w:ascii="Verdana" w:hAnsi="Verdana"/>
          <w:spacing w:val="-4"/>
          <w:sz w:val="20"/>
          <w:szCs w:val="20"/>
          <w:lang w:val="es-ES"/>
        </w:rPr>
        <w:t xml:space="preserve"> </w:t>
      </w:r>
      <w:r w:rsidRPr="009B3C20">
        <w:rPr>
          <w:rFonts w:ascii="Verdana" w:hAnsi="Verdana"/>
          <w:sz w:val="20"/>
          <w:szCs w:val="20"/>
          <w:lang w:val="es-ES"/>
        </w:rPr>
        <w:t xml:space="preserve">al </w:t>
      </w:r>
      <w:r w:rsidRPr="009B3C20">
        <w:rPr>
          <w:rFonts w:ascii="Verdana" w:hAnsi="Verdana"/>
          <w:spacing w:val="-2"/>
          <w:sz w:val="20"/>
          <w:szCs w:val="20"/>
          <w:lang w:val="es-ES"/>
        </w:rPr>
        <w:t>niño.</w:t>
      </w:r>
    </w:p>
    <w:p w14:paraId="1FB27E99" w14:textId="77777777" w:rsidR="0081088A" w:rsidRPr="009B3C20" w:rsidRDefault="0081088A" w:rsidP="0081088A">
      <w:pPr>
        <w:widowControl w:val="0"/>
        <w:autoSpaceDE w:val="0"/>
        <w:autoSpaceDN w:val="0"/>
        <w:spacing w:after="0" w:line="240" w:lineRule="auto"/>
        <w:ind w:left="709" w:right="709"/>
        <w:jc w:val="both"/>
        <w:rPr>
          <w:rFonts w:ascii="Verdana" w:eastAsia="Arial" w:hAnsi="Verdana" w:cs="Arial"/>
          <w:sz w:val="20"/>
          <w:szCs w:val="20"/>
          <w:lang w:val="es-ES"/>
        </w:rPr>
      </w:pPr>
    </w:p>
    <w:p w14:paraId="1DAF75F9" w14:textId="77777777" w:rsidR="0081088A" w:rsidRPr="009B3C20" w:rsidRDefault="0081088A" w:rsidP="0081088A">
      <w:pPr>
        <w:widowControl w:val="0"/>
        <w:numPr>
          <w:ilvl w:val="0"/>
          <w:numId w:val="20"/>
        </w:numPr>
        <w:tabs>
          <w:tab w:val="left" w:pos="1253"/>
        </w:tabs>
        <w:autoSpaceDE w:val="0"/>
        <w:autoSpaceDN w:val="0"/>
        <w:spacing w:after="0" w:line="240" w:lineRule="auto"/>
        <w:ind w:left="709" w:right="709" w:firstLine="0"/>
        <w:contextualSpacing/>
        <w:jc w:val="both"/>
        <w:rPr>
          <w:rFonts w:ascii="Verdana" w:hAnsi="Verdana"/>
          <w:sz w:val="20"/>
          <w:szCs w:val="20"/>
          <w:lang w:val="es-ES"/>
        </w:rPr>
      </w:pPr>
      <w:r w:rsidRPr="009B3C20">
        <w:rPr>
          <w:rFonts w:ascii="Verdana" w:hAnsi="Verdana"/>
          <w:sz w:val="20"/>
          <w:szCs w:val="20"/>
          <w:lang w:val="es-ES"/>
        </w:rPr>
        <w:t>Los empleadores pueden contratar con las instituciones de protección infantil el inciso anterior”.</w:t>
      </w:r>
    </w:p>
    <w:p w14:paraId="6F4D8262" w14:textId="77777777" w:rsidR="0081088A" w:rsidRPr="009B3C20" w:rsidRDefault="0081088A" w:rsidP="0081088A">
      <w:pPr>
        <w:spacing w:after="0" w:line="240" w:lineRule="auto"/>
        <w:contextualSpacing/>
        <w:rPr>
          <w:rFonts w:ascii="Verdana" w:hAnsi="Verdana"/>
          <w:lang w:val="es-ES"/>
        </w:rPr>
      </w:pPr>
    </w:p>
    <w:p w14:paraId="0B8FDAE6" w14:textId="77777777" w:rsidR="0081088A" w:rsidRPr="009B3C20" w:rsidRDefault="0081088A" w:rsidP="0081088A">
      <w:pPr>
        <w:widowControl w:val="0"/>
        <w:autoSpaceDE w:val="0"/>
        <w:autoSpaceDN w:val="0"/>
        <w:spacing w:after="120" w:line="276" w:lineRule="auto"/>
        <w:ind w:firstLine="709"/>
        <w:jc w:val="both"/>
        <w:rPr>
          <w:rFonts w:ascii="Verdana" w:eastAsia="Arial" w:hAnsi="Verdana" w:cs="Arial"/>
          <w:lang w:val="es-ES"/>
        </w:rPr>
      </w:pPr>
      <w:r w:rsidRPr="009B3C20">
        <w:rPr>
          <w:rFonts w:ascii="Verdana" w:eastAsia="Arial" w:hAnsi="Verdana" w:cs="Arial"/>
          <w:lang w:val="es-ES"/>
        </w:rPr>
        <w:t xml:space="preserve">Según se deprende del texto transcrito, la norma concede un descanso remunerado para las trabajadoras durante el periodo de lactancia de la siguiente forma: </w:t>
      </w:r>
    </w:p>
    <w:p w14:paraId="28CD4F3F" w14:textId="77777777" w:rsidR="0081088A" w:rsidRPr="009B3C20" w:rsidRDefault="0081088A" w:rsidP="0081088A">
      <w:pPr>
        <w:widowControl w:val="0"/>
        <w:autoSpaceDE w:val="0"/>
        <w:autoSpaceDN w:val="0"/>
        <w:spacing w:after="120" w:line="276" w:lineRule="auto"/>
        <w:ind w:firstLine="709"/>
        <w:jc w:val="both"/>
        <w:rPr>
          <w:rFonts w:ascii="Verdana" w:eastAsia="Arial" w:hAnsi="Verdana" w:cs="Arial"/>
          <w:lang w:val="es-ES"/>
        </w:rPr>
      </w:pPr>
      <w:r w:rsidRPr="009B3C20">
        <w:rPr>
          <w:rFonts w:ascii="Verdana" w:eastAsia="Arial" w:hAnsi="Verdana" w:cs="Arial"/>
          <w:lang w:val="es-ES"/>
        </w:rPr>
        <w:t xml:space="preserve">i) hasta los seis (6) meses de edad, los empleadores deben conceder dos (2) descansos de treinta (30) minutos cada uno durante la jornada laboral y; </w:t>
      </w:r>
    </w:p>
    <w:p w14:paraId="6765E55F" w14:textId="77777777" w:rsidR="0081088A" w:rsidRPr="009B3C20" w:rsidRDefault="0081088A" w:rsidP="0081088A">
      <w:pPr>
        <w:widowControl w:val="0"/>
        <w:autoSpaceDE w:val="0"/>
        <w:autoSpaceDN w:val="0"/>
        <w:spacing w:after="120" w:line="276" w:lineRule="auto"/>
        <w:ind w:firstLine="709"/>
        <w:jc w:val="both"/>
        <w:rPr>
          <w:rFonts w:ascii="Verdana" w:eastAsia="Arial" w:hAnsi="Verdana" w:cs="Arial"/>
          <w:lang w:val="es-ES"/>
        </w:rPr>
      </w:pPr>
      <w:r w:rsidRPr="009B3C20">
        <w:rPr>
          <w:rFonts w:ascii="Verdana" w:eastAsia="Arial" w:hAnsi="Verdana" w:cs="Arial"/>
          <w:lang w:val="es-ES"/>
        </w:rPr>
        <w:t xml:space="preserve">ii) de los seis (6) en adelante y hasta los dos (2) años de edad, se debe </w:t>
      </w:r>
      <w:r w:rsidRPr="009B3C20">
        <w:rPr>
          <w:rFonts w:ascii="Verdana" w:eastAsia="Arial" w:hAnsi="Verdana" w:cs="Arial"/>
          <w:lang w:val="es-ES"/>
        </w:rPr>
        <w:lastRenderedPageBreak/>
        <w:t>conceder a la trabajadora un descanso de treinta (30) minutos durante la jornada laboral, sin que estos descansos impliquen una disminución en el salario devengado.</w:t>
      </w:r>
    </w:p>
    <w:p w14:paraId="4B1D6446" w14:textId="77777777" w:rsidR="0081088A" w:rsidRPr="009B3C20" w:rsidRDefault="0081088A" w:rsidP="0081088A">
      <w:pPr>
        <w:widowControl w:val="0"/>
        <w:autoSpaceDE w:val="0"/>
        <w:autoSpaceDN w:val="0"/>
        <w:spacing w:after="120" w:line="276" w:lineRule="auto"/>
        <w:ind w:firstLine="709"/>
        <w:jc w:val="both"/>
        <w:rPr>
          <w:rFonts w:ascii="Verdana" w:eastAsia="Arial" w:hAnsi="Verdana" w:cs="Arial"/>
          <w:lang w:val="es-ES"/>
        </w:rPr>
      </w:pPr>
      <w:r w:rsidRPr="009B3C20">
        <w:rPr>
          <w:rFonts w:ascii="Verdana" w:eastAsia="Arial" w:hAnsi="Verdana" w:cs="Arial"/>
          <w:lang w:val="es-ES"/>
        </w:rPr>
        <w:t>En relación con la prohibición de despido consagrada en el artículo 239 del Código Sustantivo de Trabajo por motivo del embarazo o la lactancia, a la luz de la modificación introducida por la Ley 2306 de 2023, resulta importante hacer una precisión respecto a cómo opera la presunción de despido discriminatorio durante el embarazo y cómo opera durante el periodo de lactancia. De acuerdo con lo establecido en el artículo 239 ibidem se presume que un despido es discriminatorio cuando sucede entre el embarazo y la licencia de maternidad – es decir, durante las dieciocho (18) semanas posteriores al parto – no durante el periodo de la lactancia. Durante la lactancia, si bien la trabajadora goza del fuero de maternidad, la presunción cambia y esta debe probar que el despido ocurrió con motivo de la lactancia.</w:t>
      </w:r>
      <w:r>
        <w:rPr>
          <w:rFonts w:ascii="Verdana" w:eastAsia="Arial" w:hAnsi="Verdana" w:cs="Arial"/>
          <w:lang w:val="es-ES"/>
        </w:rPr>
        <w:t xml:space="preserve"> </w:t>
      </w:r>
    </w:p>
    <w:p w14:paraId="419CA773" w14:textId="77777777" w:rsidR="0081088A" w:rsidRPr="009B3C20" w:rsidRDefault="0081088A" w:rsidP="0081088A">
      <w:pPr>
        <w:widowControl w:val="0"/>
        <w:autoSpaceDE w:val="0"/>
        <w:autoSpaceDN w:val="0"/>
        <w:spacing w:after="120" w:line="276" w:lineRule="auto"/>
        <w:ind w:firstLine="709"/>
        <w:jc w:val="both"/>
        <w:rPr>
          <w:rFonts w:ascii="Verdana" w:eastAsia="Arial" w:hAnsi="Verdana" w:cs="Arial"/>
          <w:lang w:val="es-ES"/>
        </w:rPr>
      </w:pPr>
      <w:r w:rsidRPr="009B3C20">
        <w:rPr>
          <w:rFonts w:ascii="Verdana" w:eastAsia="Arial" w:hAnsi="Verdana" w:cs="Arial"/>
          <w:lang w:val="es-ES"/>
        </w:rPr>
        <w:t>Ahora bien, respecto a la extensión del periodo de protección del fuero de maternidad en virtud de la expedición del artículo 6 de la Ley 2306 de 2023, mediante el cual se modificó el artículo 238 del Código Sustantivo de Trabajo, que estableció un descanso remunerado por dos (2) años en ciertas circunstancias, el Ministerio del Trabajo, mediante concepto No. 2023120300000068155 de 2023 expuso que: “la puesta en marcha de la Ley 2603 de 2023 no implica una extensión automática del fuero de maternidad. En efecto, las trabajadoras gozarán del descanso remunerado de lactancia durante los dos (2) primeros años de vida del menor “(…) siempre y cuando se mantenga y manifieste una adecuada lactancia materno continua, la que deberá acreditar la Madre Trabajadora con los respectivos certificados médicos”.</w:t>
      </w:r>
    </w:p>
    <w:p w14:paraId="31D0AE56" w14:textId="77777777" w:rsidR="0081088A" w:rsidRPr="009B3C20" w:rsidRDefault="0081088A" w:rsidP="0081088A">
      <w:pPr>
        <w:widowControl w:val="0"/>
        <w:autoSpaceDE w:val="0"/>
        <w:autoSpaceDN w:val="0"/>
        <w:snapToGrid w:val="0"/>
        <w:spacing w:after="120" w:line="276" w:lineRule="auto"/>
        <w:ind w:firstLine="709"/>
        <w:jc w:val="both"/>
        <w:rPr>
          <w:rFonts w:ascii="Verdana" w:eastAsia="Arial" w:hAnsi="Verdana" w:cs="Arial"/>
          <w:lang w:val="es-ES"/>
        </w:rPr>
      </w:pPr>
      <w:r w:rsidRPr="009B3C20">
        <w:rPr>
          <w:rFonts w:ascii="Verdana" w:eastAsia="Arial" w:hAnsi="Verdana" w:cs="Arial"/>
          <w:lang w:val="es-ES"/>
        </w:rPr>
        <w:t>En este contexto, las modificaciones introducidas por el artículo 6 de la Ley 2306 de 2023 son aplicables a las mujeres vinculadas por contrato laboral, en la medida que, por un lado, como se ha venido señalando, la referida disposición modificó el artículo 238 del Código Sustantivo de Trabajo, el cual regula relaciones laborales. Por otro lado, se deduce de la lectura literal del artículo objeto de estudio, el cual hace referencia a los sujetos propios de la relación laboral - “empleador”, “trabajadora”. Asimismo, regula unos “descansos remunerados”, que son un derecho propio de una relación laboral.</w:t>
      </w:r>
      <w:r>
        <w:rPr>
          <w:rFonts w:ascii="Verdana" w:eastAsia="Arial" w:hAnsi="Verdana" w:cs="Arial"/>
          <w:lang w:val="es-ES"/>
        </w:rPr>
        <w:t xml:space="preserve"> </w:t>
      </w:r>
    </w:p>
    <w:p w14:paraId="2DBCDEA1" w14:textId="77777777" w:rsidR="0081088A" w:rsidRPr="009B3C20" w:rsidRDefault="0081088A" w:rsidP="0081088A">
      <w:pPr>
        <w:widowControl w:val="0"/>
        <w:autoSpaceDE w:val="0"/>
        <w:autoSpaceDN w:val="0"/>
        <w:snapToGrid w:val="0"/>
        <w:spacing w:after="120" w:line="276" w:lineRule="auto"/>
        <w:ind w:firstLine="709"/>
        <w:jc w:val="both"/>
        <w:rPr>
          <w:rFonts w:ascii="Verdana" w:eastAsia="Arial" w:hAnsi="Verdana" w:cs="Arial"/>
          <w:lang w:val="es-ES"/>
        </w:rPr>
      </w:pPr>
      <w:r w:rsidRPr="009B3C20">
        <w:rPr>
          <w:rFonts w:ascii="Verdana" w:eastAsia="Arial" w:hAnsi="Verdana" w:cs="Arial"/>
          <w:lang w:val="es-ES"/>
        </w:rPr>
        <w:t xml:space="preserve">El contrato de prestación de servicios no pertenece al ámbito jurídico laboral y, en consecuencia, no se rige por el Código Sustantivo del Trabajo, razón </w:t>
      </w:r>
      <w:r w:rsidRPr="009B3C20">
        <w:rPr>
          <w:rFonts w:ascii="Verdana" w:eastAsia="Arial" w:hAnsi="Verdana" w:cs="Arial"/>
          <w:lang w:val="es-ES"/>
        </w:rPr>
        <w:lastRenderedPageBreak/>
        <w:t>por la cual, entre el contratante y el contratista no existe un vínculo laboral sino una relación de orden civil, comercial o de contratación estatal. Así las cosas, en el contrato de prestación de servicios no se generan las prerrogativas propias del contrato de trabajo como es el caso de los descansos remunerados en el periodo de lactancia y la extensión del fuero de maternidad que da en virtud de dicha prerrogativa por el tiempo de dos (2) años señalados en la disposición objeto de estudio.</w:t>
      </w:r>
      <w:r w:rsidRPr="001B3230">
        <w:rPr>
          <w:rFonts w:ascii="Verdana" w:eastAsia="Arial" w:hAnsi="Verdana" w:cs="Arial"/>
          <w:lang w:val="es-ES"/>
        </w:rPr>
        <w:t xml:space="preserve"> </w:t>
      </w:r>
      <w:r>
        <w:rPr>
          <w:rFonts w:ascii="Verdana" w:eastAsia="Arial" w:hAnsi="Verdana" w:cs="Arial"/>
          <w:lang w:val="es-ES"/>
        </w:rPr>
        <w:t xml:space="preserve">Además, vale la pena señalar que la sentencia T-169 de 2025 se refiere a </w:t>
      </w:r>
      <w:r w:rsidRPr="004163D7">
        <w:rPr>
          <w:rFonts w:ascii="Verdana" w:eastAsia="Arial" w:hAnsi="Verdana" w:cs="Arial"/>
        </w:rPr>
        <w:t>estabilidad laboral reforzada de las mujeres lactantes en el ámbito laboral</w:t>
      </w:r>
      <w:r>
        <w:rPr>
          <w:rFonts w:ascii="Verdana" w:eastAsia="Arial" w:hAnsi="Verdana" w:cs="Arial"/>
        </w:rPr>
        <w:t>.</w:t>
      </w:r>
    </w:p>
    <w:p w14:paraId="41B5819B" w14:textId="77777777" w:rsidR="0081088A" w:rsidRPr="00144A14" w:rsidRDefault="0081088A" w:rsidP="0081088A">
      <w:pPr>
        <w:widowControl w:val="0"/>
        <w:autoSpaceDE w:val="0"/>
        <w:autoSpaceDN w:val="0"/>
        <w:snapToGrid w:val="0"/>
        <w:spacing w:after="120" w:line="276" w:lineRule="auto"/>
        <w:ind w:firstLine="709"/>
        <w:jc w:val="both"/>
        <w:rPr>
          <w:rFonts w:ascii="Verdana" w:eastAsia="Arial" w:hAnsi="Verdana" w:cs="Arial"/>
          <w:lang w:val="es-ES"/>
        </w:rPr>
      </w:pPr>
      <w:r w:rsidRPr="00144A14">
        <w:rPr>
          <w:rFonts w:ascii="Verdana" w:eastAsia="Arial" w:hAnsi="Verdana" w:cs="Arial"/>
          <w:lang w:val="es-ES"/>
        </w:rPr>
        <w:t>En este contexto, frente al problema jurídico planteado, que versa sobre el alcance de la protección de estabilidad ocupacional reforzada en contratos de prestación de servicios, de acuerdo con lo expresado por la Corte Constitucional en las sentencias SU-070 de 2013, SU-075 de 2018, y en especial las sentencias T-329 de 2022 y T-119 de 2023, se tiene que dicho alcance se presenta durante el periodo de gestación, la licencia de maternidad, hasta por dieciocho (18) semanas y el periodo de lactancia, que por lo general, es de seis (6) meses, sin perjuicio de otras consideraciones planteadas por el Ministerio de Trabajo</w:t>
      </w:r>
      <w:r>
        <w:rPr>
          <w:rStyle w:val="Refdenotaalpie"/>
          <w:rFonts w:ascii="Verdana" w:eastAsia="Arial" w:hAnsi="Verdana" w:cs="Arial"/>
          <w:lang w:val="es-ES"/>
        </w:rPr>
        <w:footnoteReference w:id="26"/>
      </w:r>
      <w:r w:rsidRPr="00144A14">
        <w:rPr>
          <w:rFonts w:ascii="Verdana" w:eastAsia="Arial" w:hAnsi="Verdana" w:cs="Arial"/>
          <w:lang w:val="es-ES"/>
        </w:rPr>
        <w:t>. De acuerdo con esto, aplica para la madre – contratista, una protección de estabilidad que evita que sea despedida por causa de embarazo o en periodo de la licencia de maternidad o durante el periodo de lactancia, enfatizando que cada periodo la presunción de despido aplicar de forma diferente conforme lo expuesto.</w:t>
      </w:r>
    </w:p>
    <w:p w14:paraId="6B39FD35" w14:textId="77777777" w:rsidR="0081088A" w:rsidRPr="001A3A16" w:rsidRDefault="0081088A" w:rsidP="0081088A">
      <w:pPr>
        <w:widowControl w:val="0"/>
        <w:autoSpaceDE w:val="0"/>
        <w:autoSpaceDN w:val="0"/>
        <w:snapToGrid w:val="0"/>
        <w:spacing w:after="120" w:line="276" w:lineRule="auto"/>
        <w:ind w:firstLine="709"/>
        <w:jc w:val="both"/>
        <w:rPr>
          <w:rFonts w:ascii="Verdana" w:eastAsia="Arial" w:hAnsi="Verdana" w:cs="Arial"/>
          <w:lang w:val="es-ES"/>
        </w:rPr>
      </w:pPr>
      <w:r w:rsidRPr="001A3A16">
        <w:rPr>
          <w:rFonts w:ascii="Verdana" w:eastAsia="Arial" w:hAnsi="Verdana" w:cs="Arial"/>
          <w:lang w:val="es-ES"/>
        </w:rPr>
        <w:t>El despido por estas causas en el contrato de prestación de servicios es determinado según la Corte Constitucional a través de tres componentes: (i) el contratante conoce el estado de embarazo de la contratista, (ii) subsiste la causa del contrato y (iii) no cuenta con permiso del inspector del trabajo para terminar el contrato. En estos eventos procede la garantía de estabilidad reforzada por lo que la entidad deberá proceder a la renovación de la relación contractual.</w:t>
      </w:r>
    </w:p>
    <w:p w14:paraId="2AB3DBA8" w14:textId="77777777" w:rsidR="0081088A" w:rsidRDefault="0081088A" w:rsidP="0081088A">
      <w:pPr>
        <w:widowControl w:val="0"/>
        <w:autoSpaceDE w:val="0"/>
        <w:autoSpaceDN w:val="0"/>
        <w:spacing w:after="120" w:line="276" w:lineRule="auto"/>
        <w:ind w:firstLine="709"/>
        <w:jc w:val="both"/>
        <w:rPr>
          <w:rFonts w:ascii="Verdana" w:eastAsia="Arial" w:hAnsi="Verdana" w:cs="Arial"/>
          <w:lang w:val="es-ES"/>
        </w:rPr>
      </w:pPr>
      <w:r w:rsidRPr="001A3A16">
        <w:rPr>
          <w:rFonts w:ascii="Verdana" w:eastAsia="Arial" w:hAnsi="Verdana" w:cs="Arial"/>
          <w:lang w:val="es-ES"/>
        </w:rPr>
        <w:t xml:space="preserve">En el mismo sentido, esta tesis jurisprudencial de la Corte Constitucional </w:t>
      </w:r>
      <w:r w:rsidRPr="001A3A16">
        <w:rPr>
          <w:rFonts w:ascii="Verdana" w:eastAsia="Arial" w:hAnsi="Verdana" w:cs="Arial"/>
          <w:lang w:val="es-ES"/>
        </w:rPr>
        <w:lastRenderedPageBreak/>
        <w:t>fue acogida por el Consejo de Estado</w:t>
      </w:r>
      <w:r w:rsidRPr="001A3A16">
        <w:rPr>
          <w:rFonts w:ascii="Verdana" w:eastAsia="Arial" w:hAnsi="Verdana" w:cs="Arial"/>
          <w:vertAlign w:val="superscript"/>
          <w:lang w:val="es-ES"/>
        </w:rPr>
        <w:footnoteReference w:id="27"/>
      </w:r>
      <w:r w:rsidRPr="001A3A16">
        <w:rPr>
          <w:rFonts w:ascii="Verdana" w:eastAsia="Arial" w:hAnsi="Verdana" w:cs="Arial"/>
          <w:lang w:val="es-ES"/>
        </w:rPr>
        <w:t xml:space="preserve"> determinando que las mujeres embarazadas que estén vinculadas a las entidades por contrato de prestación de servicios tienen derecho al reconocimiento de licencia de maternidad y estabilidad laboral reforzada siempre cuando el contratante conozca del embarazo, subsista la causa del contrato y no se cuente con permiso el inspector de trabajo para determinarlo, en estos casos no se requiere demostrar una relación laboral encubierta.</w:t>
      </w:r>
    </w:p>
    <w:p w14:paraId="50FE8A2E" w14:textId="77777777" w:rsidR="0081088A" w:rsidRDefault="0081088A" w:rsidP="0081088A">
      <w:pPr>
        <w:widowControl w:val="0"/>
        <w:autoSpaceDE w:val="0"/>
        <w:autoSpaceDN w:val="0"/>
        <w:snapToGrid w:val="0"/>
        <w:spacing w:after="120" w:line="276" w:lineRule="auto"/>
        <w:ind w:firstLine="709"/>
        <w:jc w:val="both"/>
        <w:rPr>
          <w:rFonts w:ascii="Verdana" w:eastAsia="Calibri" w:hAnsi="Verdana" w:cs="Arial"/>
          <w:color w:val="000000"/>
          <w:lang w:val="es-ES_tradnl"/>
        </w:rPr>
      </w:pPr>
      <w:r>
        <w:rPr>
          <w:rFonts w:ascii="Verdana" w:eastAsia="Arial" w:hAnsi="Verdana" w:cs="Arial"/>
          <w:lang w:val="es-ES"/>
        </w:rPr>
        <w:t>Así las cosas</w:t>
      </w:r>
      <w:r w:rsidRPr="00C8597D">
        <w:rPr>
          <w:rFonts w:ascii="Verdana" w:eastAsia="Arial" w:hAnsi="Verdana" w:cs="Arial"/>
          <w:lang w:val="es-ES"/>
        </w:rPr>
        <w:t>, les corresponde a las entidades estatales,</w:t>
      </w:r>
      <w:r>
        <w:rPr>
          <w:rFonts w:ascii="Verdana" w:eastAsia="Arial" w:hAnsi="Verdana" w:cs="Arial"/>
          <w:lang w:val="es-ES"/>
        </w:rPr>
        <w:t xml:space="preserve"> incluyendo las entidades territoriales,</w:t>
      </w:r>
      <w:r w:rsidRPr="00C8597D">
        <w:rPr>
          <w:rFonts w:ascii="Verdana" w:eastAsia="Arial" w:hAnsi="Verdana" w:cs="Arial"/>
          <w:lang w:val="es-ES"/>
        </w:rPr>
        <w:t xml:space="preserve"> en virtud de su autonomía, y de acuerdo con los lineamientos de la Corte Constitucional, las normas consagradas en el Estatuto General de Contratación para la Administración Pública – EGCAP, los principios legales y demás normas que regulen la materia, garantizar la estabilidad laboral reforzada de las mujeres embarazadas y lactantes, conforme a los lineamientos explicados en el presente concepto</w:t>
      </w:r>
      <w:r>
        <w:rPr>
          <w:rFonts w:ascii="Verdana" w:eastAsia="Arial" w:hAnsi="Verdana" w:cs="Arial"/>
          <w:lang w:val="es-ES"/>
        </w:rPr>
        <w:t>.</w:t>
      </w:r>
      <w:r w:rsidRPr="00476D7D">
        <w:rPr>
          <w:rFonts w:ascii="Verdana" w:eastAsia="Calibri" w:hAnsi="Verdana" w:cs="Arial"/>
          <w:color w:val="000000"/>
          <w:lang w:val="es-ES_tradnl"/>
        </w:rPr>
        <w:t xml:space="preserve"> </w:t>
      </w:r>
    </w:p>
    <w:p w14:paraId="5007F1DC" w14:textId="77777777" w:rsidR="0081088A" w:rsidRPr="00290BA8" w:rsidRDefault="0081088A" w:rsidP="0081088A">
      <w:pPr>
        <w:widowControl w:val="0"/>
        <w:autoSpaceDE w:val="0"/>
        <w:autoSpaceDN w:val="0"/>
        <w:snapToGrid w:val="0"/>
        <w:spacing w:after="120" w:line="276" w:lineRule="auto"/>
        <w:ind w:firstLine="709"/>
        <w:jc w:val="both"/>
        <w:rPr>
          <w:rFonts w:ascii="Verdana" w:eastAsia="Calibri" w:hAnsi="Verdana" w:cs="Arial"/>
          <w:color w:val="000000"/>
          <w:lang w:val="es-ES_tradnl"/>
        </w:rPr>
      </w:pPr>
      <w:r>
        <w:rPr>
          <w:rFonts w:ascii="Verdana" w:eastAsia="Calibri" w:hAnsi="Verdana" w:cs="Arial"/>
          <w:color w:val="000000"/>
          <w:lang w:val="es-ES_tradnl"/>
        </w:rPr>
        <w:t xml:space="preserve">Finalmente, </w:t>
      </w:r>
      <w:r>
        <w:rPr>
          <w:rFonts w:ascii="Verdana" w:eastAsia="Arial" w:hAnsi="Verdana" w:cs="Arial"/>
        </w:rPr>
        <w:t>d</w:t>
      </w:r>
      <w:r w:rsidRPr="00290BA8">
        <w:rPr>
          <w:rFonts w:ascii="Verdana" w:eastAsia="Arial" w:hAnsi="Verdana" w:cs="Arial"/>
        </w:rPr>
        <w:t>e cara a las consultas planteadas, resulta pertinente precisar que, con el fin de garantizar la estabilidad ocupacional reforzada de las mujeres vinculadas mediante contratos de prestación de servicios que se encuentren en estado de embarazo o en período de lactancia, las entidades deberán evaluar, en el marco de su autonomía administrativa y contractual, las medidas que estimen más razonables y proporcionales para armonizar, de una parte, los principios de la gestión fiscal y la adecuada ejecución contractual, y de otra, la correcta aplicación de la normativa presupuestal vigente, sin desconocer la protección de los derechos fundamentales de las contratistas beneficiarias de dicha estabilidad reforzada.</w:t>
      </w:r>
    </w:p>
    <w:p w14:paraId="5BD65505" w14:textId="77777777" w:rsidR="0081088A" w:rsidRPr="00290BA8" w:rsidRDefault="0081088A" w:rsidP="0081088A">
      <w:pPr>
        <w:widowControl w:val="0"/>
        <w:autoSpaceDE w:val="0"/>
        <w:autoSpaceDN w:val="0"/>
        <w:snapToGrid w:val="0"/>
        <w:spacing w:after="120" w:line="276" w:lineRule="auto"/>
        <w:ind w:firstLine="709"/>
        <w:jc w:val="both"/>
        <w:rPr>
          <w:rFonts w:ascii="Verdana" w:eastAsia="Arial" w:hAnsi="Verdana" w:cs="Arial"/>
        </w:rPr>
      </w:pPr>
      <w:r w:rsidRPr="00290BA8">
        <w:rPr>
          <w:rFonts w:ascii="Verdana" w:eastAsia="Arial" w:hAnsi="Verdana" w:cs="Arial"/>
        </w:rPr>
        <w:t xml:space="preserve">En ese contexto, la entidad podrá determinar, atendiendo a las particularidades del caso concreto, la procedencia de la adición y/o prórroga del contrato de prestación de servicios, siempre que se cumplan los requisitos legales y presupuestales correspondientes. En aquellos eventos en los que la continuidad contractual se vea limitada por la culminación de la vigencia fiscal, la entidad podrá optar por la celebración de un nuevo contrato de prestación de servicios al inicio de la vigencia fiscal siguiente, procurando en todo caso una mínima solución de continuidad, con el propósito de garantizar la protección efectiva de los derechos de la contratista durante el período de amparo </w:t>
      </w:r>
      <w:r w:rsidRPr="00290BA8">
        <w:rPr>
          <w:rFonts w:ascii="Verdana" w:eastAsia="Arial" w:hAnsi="Verdana" w:cs="Arial"/>
        </w:rPr>
        <w:lastRenderedPageBreak/>
        <w:t>constitucional</w:t>
      </w:r>
      <w:r>
        <w:rPr>
          <w:rFonts w:ascii="Verdana" w:eastAsia="Arial" w:hAnsi="Verdana" w:cs="Arial"/>
        </w:rPr>
        <w:t xml:space="preserve">. </w:t>
      </w:r>
    </w:p>
    <w:p w14:paraId="48888153" w14:textId="77777777" w:rsidR="0081088A" w:rsidRPr="009037F6" w:rsidRDefault="0081088A" w:rsidP="0081088A">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iii. </w:t>
      </w:r>
      <w:r w:rsidRPr="009037F6">
        <w:rPr>
          <w:rFonts w:ascii="Verdana" w:eastAsia="Calibri" w:hAnsi="Verdana" w:cs="Arial"/>
          <w:color w:val="000000" w:themeColor="text1"/>
          <w:lang w:val="es-ES"/>
        </w:rPr>
        <w:t xml:space="preserve">Al </w:t>
      </w:r>
      <w:r w:rsidRPr="009037F6">
        <w:rPr>
          <w:rFonts w:ascii="Verdana" w:hAnsi="Verdana" w:cs="Arial"/>
          <w:lang w:val="es-ES_tradnl" w:eastAsia="es-ES"/>
        </w:rPr>
        <w:t xml:space="preserve">margen de la explicación precedente debe advertirse que el análisis requerido para resolver problemas específicos </w:t>
      </w:r>
      <w:r w:rsidRPr="009B28B9">
        <w:rPr>
          <w:rFonts w:ascii="Verdana" w:hAnsi="Verdana" w:cs="Arial"/>
          <w:lang w:val="es-ES_tradnl" w:eastAsia="es-ES"/>
        </w:rPr>
        <w:t>en torno a</w:t>
      </w:r>
      <w:r>
        <w:rPr>
          <w:rFonts w:ascii="Verdana" w:hAnsi="Verdana" w:cs="Arial"/>
          <w:lang w:val="es-ES_tradnl" w:eastAsia="es-ES"/>
        </w:rPr>
        <w:t xml:space="preserve"> la designación de la supervisión </w:t>
      </w:r>
      <w:r w:rsidRPr="009037F6">
        <w:rPr>
          <w:rFonts w:ascii="Verdana" w:hAnsi="Verdana" w:cs="Arial"/>
          <w:lang w:val="es-ES_tradnl" w:eastAsia="es-ES"/>
        </w:rPr>
        <w:t>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7D62532" w14:textId="77777777" w:rsidR="0081088A" w:rsidRPr="009037F6" w:rsidRDefault="0081088A" w:rsidP="0081088A">
      <w:pPr>
        <w:spacing w:after="0" w:line="276" w:lineRule="auto"/>
        <w:ind w:firstLine="709"/>
        <w:jc w:val="both"/>
        <w:rPr>
          <w:rFonts w:ascii="Verdana" w:hAnsi="Verdana" w:cs="Arial"/>
          <w:lang w:val="es-ES" w:eastAsia="es-ES"/>
        </w:rPr>
      </w:pPr>
      <w:r w:rsidRPr="009037F6">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2D5DB30D" w14:textId="77777777" w:rsidR="0081088A" w:rsidRPr="009037F6" w:rsidRDefault="0081088A" w:rsidP="0081088A">
      <w:pPr>
        <w:spacing w:after="0" w:line="276" w:lineRule="auto"/>
        <w:jc w:val="both"/>
        <w:rPr>
          <w:rFonts w:ascii="Verdana" w:eastAsia="Calibri" w:hAnsi="Verdana" w:cs="Arial"/>
          <w:lang w:val="es-ES" w:eastAsia="es-MX"/>
        </w:rPr>
      </w:pPr>
    </w:p>
    <w:p w14:paraId="7EAAC2ED" w14:textId="77777777" w:rsidR="0081088A" w:rsidRPr="00A42107" w:rsidRDefault="0081088A" w:rsidP="0081088A">
      <w:pPr>
        <w:spacing w:after="120" w:line="276" w:lineRule="auto"/>
        <w:jc w:val="both"/>
        <w:rPr>
          <w:rFonts w:ascii="Verdana" w:eastAsia="Century Gothic" w:hAnsi="Verdana" w:cs="Century Gothic"/>
          <w:b/>
          <w:lang w:val="es-ES"/>
        </w:rPr>
      </w:pPr>
      <w:r w:rsidRPr="00984FCE">
        <w:rPr>
          <w:rFonts w:ascii="Verdana" w:eastAsia="Century Gothic" w:hAnsi="Verdana" w:cs="Century Gothic"/>
          <w:b/>
          <w:lang w:val="es-ES"/>
        </w:rPr>
        <w:t>4. Referencias normativas, jurisprudenciales y otras fuentes:</w:t>
      </w: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1088A" w:rsidRPr="009037F6" w14:paraId="65832524" w14:textId="77777777" w:rsidTr="00974252">
        <w:trPr>
          <w:trHeight w:val="487"/>
          <w:jc w:val="center"/>
        </w:trPr>
        <w:tc>
          <w:tcPr>
            <w:tcW w:w="8647" w:type="dxa"/>
          </w:tcPr>
          <w:p w14:paraId="7804E9B1" w14:textId="77777777" w:rsidR="0081088A" w:rsidRPr="00C3284D" w:rsidRDefault="0081088A" w:rsidP="00F91724">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bookmarkStart w:id="6" w:name="_Hlk215586792"/>
            <w:r w:rsidRPr="00C3284D">
              <w:rPr>
                <w:rFonts w:ascii="Verdana" w:eastAsia="Arial MT" w:hAnsi="Verdana" w:cs="Arial"/>
                <w:lang w:val="es-ES" w:eastAsia="es-ES" w:bidi="es-ES"/>
              </w:rPr>
              <w:t xml:space="preserve">Código Sustantivo del Trabajo. Artículo 238, 241A, numeral 1. </w:t>
            </w:r>
          </w:p>
          <w:p w14:paraId="6F862535" w14:textId="77777777" w:rsidR="0081088A" w:rsidRPr="00C3284D" w:rsidRDefault="0081088A" w:rsidP="00F91724">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3284D">
              <w:rPr>
                <w:rFonts w:ascii="Verdana" w:eastAsia="Arial MT" w:hAnsi="Verdana" w:cs="Arial"/>
                <w:lang w:val="es-ES" w:eastAsia="es-ES" w:bidi="es-ES"/>
              </w:rPr>
              <w:t xml:space="preserve">Ley 80 de 1993. Artículo 32 numeral 3. </w:t>
            </w:r>
          </w:p>
          <w:bookmarkEnd w:id="6"/>
          <w:p w14:paraId="084E507A" w14:textId="77777777" w:rsidR="0081088A" w:rsidRDefault="0081088A" w:rsidP="00F91724">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Decreto 111 de 1996, artículos 14, 23 y 89. </w:t>
            </w:r>
          </w:p>
          <w:p w14:paraId="3F72134A" w14:textId="77777777" w:rsidR="0081088A" w:rsidRPr="00AC694F" w:rsidRDefault="0081088A" w:rsidP="00F91724">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AC694F">
              <w:rPr>
                <w:rFonts w:ascii="Verdana" w:eastAsia="Arial MT" w:hAnsi="Verdana" w:cs="Arial"/>
                <w:lang w:val="es-ES" w:eastAsia="es-ES" w:bidi="es-ES"/>
              </w:rPr>
              <w:t xml:space="preserve">Ley 1150 de 2007. Artículo 2 numeral 4 literal h). </w:t>
            </w:r>
          </w:p>
          <w:p w14:paraId="165AD5DA" w14:textId="77777777" w:rsidR="0081088A" w:rsidRPr="00AC694F" w:rsidRDefault="0081088A" w:rsidP="00F91724">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AC694F">
              <w:rPr>
                <w:rFonts w:ascii="Verdana" w:eastAsia="Arial MT" w:hAnsi="Verdana" w:cs="Arial"/>
                <w:lang w:val="es-ES" w:eastAsia="es-ES" w:bidi="es-ES"/>
              </w:rPr>
              <w:t>Decreto 1082 de 2015. Artículo 2.2.1.2.1.4.9.</w:t>
            </w:r>
          </w:p>
          <w:p w14:paraId="35CAC91D" w14:textId="77777777" w:rsidR="0081088A" w:rsidRPr="00AC694F" w:rsidRDefault="0081088A" w:rsidP="00F91724">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AC694F">
              <w:rPr>
                <w:rFonts w:ascii="Verdana" w:eastAsia="Arial MT" w:hAnsi="Verdana" w:cs="Arial"/>
                <w:lang w:val="es-ES" w:eastAsia="es-ES" w:bidi="es-ES"/>
              </w:rPr>
              <w:t xml:space="preserve">Decreto 780 de 2016, </w:t>
            </w:r>
            <w:r>
              <w:rPr>
                <w:rFonts w:ascii="Verdana" w:eastAsia="Arial MT" w:hAnsi="Verdana" w:cs="Arial"/>
                <w:bCs/>
                <w:lang w:eastAsia="es-ES" w:bidi="es-ES"/>
              </w:rPr>
              <w:t>a</w:t>
            </w:r>
            <w:r w:rsidRPr="00C661E0">
              <w:rPr>
                <w:rFonts w:ascii="Verdana" w:eastAsia="Arial MT" w:hAnsi="Verdana" w:cs="Arial"/>
                <w:bCs/>
                <w:lang w:eastAsia="es-ES" w:bidi="es-ES"/>
              </w:rPr>
              <w:t>rtículo 2.2.3.2.1</w:t>
            </w:r>
            <w:r>
              <w:rPr>
                <w:rFonts w:ascii="Verdana" w:eastAsia="Arial MT" w:hAnsi="Verdana" w:cs="Arial"/>
                <w:bCs/>
                <w:lang w:eastAsia="es-ES" w:bidi="es-ES"/>
              </w:rPr>
              <w:t>.</w:t>
            </w:r>
          </w:p>
          <w:p w14:paraId="3F922ADD" w14:textId="77777777" w:rsidR="0081088A" w:rsidRPr="00AC694F" w:rsidRDefault="0081088A" w:rsidP="00F91724">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AC694F">
              <w:rPr>
                <w:rFonts w:ascii="Verdana" w:eastAsia="Arial MT" w:hAnsi="Verdana" w:cs="Arial"/>
                <w:lang w:val="es-ES" w:eastAsia="es-ES" w:bidi="es-ES"/>
              </w:rPr>
              <w:t xml:space="preserve">Ley 2306 de 2023. Artículo 6. </w:t>
            </w:r>
          </w:p>
        </w:tc>
      </w:tr>
    </w:tbl>
    <w:p w14:paraId="7334D381" w14:textId="77777777" w:rsidR="0081088A" w:rsidRPr="009037F6" w:rsidRDefault="0081088A" w:rsidP="0081088A">
      <w:pPr>
        <w:widowControl w:val="0"/>
        <w:autoSpaceDE w:val="0"/>
        <w:autoSpaceDN w:val="0"/>
        <w:spacing w:after="0" w:line="276" w:lineRule="auto"/>
        <w:jc w:val="both"/>
        <w:rPr>
          <w:rFonts w:ascii="Verdana" w:hAnsi="Verdana" w:cs="Arial"/>
        </w:rPr>
      </w:pPr>
    </w:p>
    <w:p w14:paraId="4CA2FE9D" w14:textId="77777777" w:rsidR="0081088A" w:rsidRPr="006B2B41" w:rsidRDefault="0081088A" w:rsidP="0081088A">
      <w:pPr>
        <w:tabs>
          <w:tab w:val="left" w:pos="142"/>
          <w:tab w:val="left" w:pos="284"/>
        </w:tabs>
        <w:spacing w:after="0" w:line="276" w:lineRule="auto"/>
        <w:jc w:val="both"/>
        <w:rPr>
          <w:rFonts w:ascii="Verdana" w:eastAsia="Century Gothic" w:hAnsi="Verdana" w:cs="Century Gothic"/>
          <w:b/>
          <w:lang w:val="es-ES"/>
        </w:rPr>
      </w:pPr>
      <w:r w:rsidRPr="006B2B41">
        <w:rPr>
          <w:rFonts w:ascii="Verdana" w:eastAsia="Century Gothic" w:hAnsi="Verdana" w:cs="Century Gothic"/>
          <w:b/>
          <w:lang w:val="es-ES"/>
        </w:rPr>
        <w:t>5. Doctrina de la Agencia Nacional de Contratación Pública:</w:t>
      </w:r>
    </w:p>
    <w:p w14:paraId="240EA587" w14:textId="77777777" w:rsidR="0081088A" w:rsidRPr="00A42107" w:rsidRDefault="0081088A" w:rsidP="0081088A">
      <w:pPr>
        <w:widowControl w:val="0"/>
        <w:autoSpaceDE w:val="0"/>
        <w:autoSpaceDN w:val="0"/>
        <w:spacing w:after="0" w:line="276" w:lineRule="auto"/>
        <w:jc w:val="both"/>
        <w:rPr>
          <w:rFonts w:ascii="Verdana" w:hAnsi="Verdana" w:cs="Arial"/>
          <w:lang w:val="es-ES"/>
        </w:rPr>
      </w:pPr>
    </w:p>
    <w:p w14:paraId="60F0F35F" w14:textId="77777777" w:rsidR="0081088A" w:rsidRPr="001B7EDF" w:rsidRDefault="0081088A" w:rsidP="0081088A">
      <w:pPr>
        <w:widowControl w:val="0"/>
        <w:autoSpaceDE w:val="0"/>
        <w:autoSpaceDN w:val="0"/>
        <w:spacing w:after="0" w:line="276" w:lineRule="auto"/>
        <w:jc w:val="both"/>
        <w:rPr>
          <w:rFonts w:ascii="Verdana" w:eastAsia="Calibri" w:hAnsi="Verdana" w:cs="Arial"/>
          <w:lang w:val="es-ES"/>
        </w:rPr>
      </w:pPr>
      <w:r w:rsidRPr="00E860E7">
        <w:rPr>
          <w:rFonts w:ascii="Verdana" w:hAnsi="Verdana" w:cs="Arial"/>
          <w:bCs/>
          <w:shd w:val="clear" w:color="auto" w:fill="FFFFFF"/>
        </w:rPr>
        <w:lastRenderedPageBreak/>
        <w:t xml:space="preserve">Sobre la estabilidad laboral reforzada en mujer embarazada que tiene un vínculo a través de un contrato de prestación de servicios, esta Subdirección se ha pronunciado en los conceptos 2201913000009150 del 11 de diciembre de 2019, 2201913000009571 del 24 de diciembre de 2019, C-712 del 7 de diciembre de 2022, C-789 del 22 de noviembre de 2022, C-920 del 14 de febrero de 2023, C-031 del 17 de marzo de 2023, C-213 de 26 de junio de 2023, C-463 del 11 de noviembre de 2023, C- 015 del 13 de febrero de 2024, C-076 del 8 de julio de 2024, C-300 del 21 de agosto de 2024, C-922 del 8 de diciembre de 2024, </w:t>
      </w:r>
      <w:r>
        <w:rPr>
          <w:rFonts w:ascii="Verdana" w:hAnsi="Verdana" w:cs="Arial"/>
          <w:bCs/>
          <w:shd w:val="clear" w:color="auto" w:fill="FFFFFF"/>
        </w:rPr>
        <w:t xml:space="preserve">C-1003 del 30 de enero de 2025, </w:t>
      </w:r>
      <w:r w:rsidRPr="00E860E7">
        <w:rPr>
          <w:rFonts w:ascii="Verdana" w:hAnsi="Verdana" w:cs="Arial"/>
          <w:bCs/>
          <w:shd w:val="clear" w:color="auto" w:fill="FFFFFF"/>
        </w:rPr>
        <w:t xml:space="preserve">C-142 del 14 de marzo de 2025, C- 192 del 25 de marzo de 2025, C- 414 del 12 de mayo de 2025, </w:t>
      </w:r>
      <w:r>
        <w:rPr>
          <w:rFonts w:ascii="Verdana" w:hAnsi="Verdana" w:cs="Arial"/>
          <w:bCs/>
          <w:shd w:val="clear" w:color="auto" w:fill="FFFFFF"/>
        </w:rPr>
        <w:t>C-</w:t>
      </w:r>
      <w:r w:rsidRPr="001715C8">
        <w:rPr>
          <w:rFonts w:ascii="Verdana" w:hAnsi="Verdana" w:cs="Arial"/>
          <w:bCs/>
          <w:shd w:val="clear" w:color="auto" w:fill="FFFFFF"/>
        </w:rPr>
        <w:t>1271 del 17 de octubre de 2025</w:t>
      </w:r>
      <w:r w:rsidRPr="001715C8">
        <w:rPr>
          <w:rFonts w:ascii="Verdana" w:hAnsi="Verdana" w:cs="Arial"/>
          <w:shd w:val="clear" w:color="auto" w:fill="FFFFFF"/>
        </w:rPr>
        <w:t xml:space="preserve">, C-1415 del 11 de noviembre de 2025, </w:t>
      </w:r>
      <w:r>
        <w:rPr>
          <w:rFonts w:ascii="Verdana" w:hAnsi="Verdana" w:cs="Arial"/>
          <w:shd w:val="clear" w:color="auto" w:fill="FFFFFF"/>
        </w:rPr>
        <w:t xml:space="preserve">C-1602 del 11 de diciembre de 2025, c-1672 del 19 de diciembre de 2025, C-1754 y C-1840 de 2025, </w:t>
      </w:r>
      <w:r w:rsidRPr="001715C8">
        <w:rPr>
          <w:rFonts w:ascii="Verdana" w:hAnsi="Verdana" w:cs="Arial"/>
          <w:shd w:val="clear" w:color="auto" w:fill="FFFFFF"/>
        </w:rPr>
        <w:t>entre otros</w:t>
      </w:r>
      <w:r w:rsidRPr="001715C8">
        <w:rPr>
          <w:rFonts w:ascii="Verdana" w:hAnsi="Verdana" w:cs="Arial"/>
          <w:shd w:val="clear" w:color="auto" w:fill="FFFFFF"/>
          <w:lang w:val="es-ES"/>
        </w:rPr>
        <w:t>.</w:t>
      </w:r>
      <w:r w:rsidRPr="001715C8">
        <w:rPr>
          <w:rStyle w:val="normaltextrun"/>
          <w:rFonts w:ascii="Verdana" w:hAnsi="Verdana" w:cs="Arial"/>
          <w:shd w:val="clear" w:color="auto" w:fill="FFFFFF"/>
          <w:lang w:val="es-ES"/>
        </w:rPr>
        <w:t xml:space="preserve"> </w:t>
      </w:r>
      <w:r w:rsidRPr="009037F6">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r>
        <w:rPr>
          <w:rFonts w:ascii="Verdana" w:eastAsia="Calibri" w:hAnsi="Verdana" w:cs="Arial"/>
          <w:lang w:val="es-ES"/>
        </w:rPr>
        <w:t xml:space="preserve"> </w:t>
      </w:r>
      <w:hyperlink r:id="rId14" w:history="1">
        <w:r w:rsidRPr="00490328">
          <w:rPr>
            <w:rStyle w:val="Hipervnculo"/>
            <w:rFonts w:ascii="Verdana" w:eastAsia="Calibri" w:hAnsi="Verdana" w:cs="Times New Roman"/>
            <w:lang w:val="es-ES"/>
          </w:rPr>
          <w:t>https://relatoria.colombiacompra.gov.co/busqueda/conceptos</w:t>
        </w:r>
      </w:hyperlink>
      <w:r w:rsidRPr="009037F6">
        <w:rPr>
          <w:rFonts w:ascii="Verdana" w:eastAsia="Calibri" w:hAnsi="Verdana" w:cs="Times New Roman"/>
        </w:rPr>
        <w:t xml:space="preserve">. </w:t>
      </w:r>
    </w:p>
    <w:p w14:paraId="16B580B8" w14:textId="77777777" w:rsidR="0081088A" w:rsidRPr="009037F6" w:rsidRDefault="0081088A" w:rsidP="0081088A">
      <w:pPr>
        <w:spacing w:after="0"/>
        <w:jc w:val="both"/>
        <w:rPr>
          <w:rFonts w:ascii="Verdana" w:hAnsi="Verdana"/>
        </w:rPr>
      </w:pPr>
    </w:p>
    <w:p w14:paraId="4C17DA53" w14:textId="77777777" w:rsidR="0081088A" w:rsidRPr="008B29EE" w:rsidRDefault="0081088A" w:rsidP="0081088A">
      <w:pPr>
        <w:shd w:val="clear" w:color="auto" w:fill="FFFFFF"/>
        <w:spacing w:after="120" w:line="276" w:lineRule="auto"/>
        <w:jc w:val="both"/>
        <w:textAlignment w:val="baseline"/>
        <w:rPr>
          <w:rFonts w:ascii="Verdana" w:eastAsia="Times New Roman" w:hAnsi="Verdana" w:cs="Times New Roman"/>
          <w:color w:val="242424"/>
          <w:lang w:eastAsia="es-CO"/>
        </w:rPr>
      </w:pPr>
      <w:r w:rsidRPr="00A277EA">
        <w:rPr>
          <w:rFonts w:ascii="Verdana" w:eastAsia="Times New Roman" w:hAnsi="Verdana" w:cs="Times New Roman"/>
          <w:color w:val="000000"/>
          <w:bdr w:val="none" w:sz="0" w:space="0" w:color="auto" w:frame="1"/>
          <w:lang w:eastAsia="es-CO"/>
        </w:rPr>
        <w:t>También le contamos que ya se encuentra disponible la </w:t>
      </w:r>
      <w:r w:rsidRPr="00A277EA">
        <w:rPr>
          <w:rFonts w:ascii="Verdana" w:eastAsia="Times New Roman" w:hAnsi="Verdana" w:cs="Times New Roman"/>
          <w:b/>
          <w:bCs/>
          <w:color w:val="000000"/>
          <w:bdr w:val="none" w:sz="0" w:space="0" w:color="auto" w:frame="1"/>
          <w:lang w:eastAsia="es-CO"/>
        </w:rPr>
        <w:t>Guía de lineamientos de transparencia y selección objetiva para el departamento de La Guajira – Objetivo sexto constitucional de la Sentencia T-302 del 2017. </w:t>
      </w:r>
      <w:r w:rsidRPr="00A277EA">
        <w:rPr>
          <w:rFonts w:ascii="Verdana" w:eastAsia="Times New Roman" w:hAnsi="Verdana" w:cs="Times New Roman"/>
          <w:color w:val="000000"/>
          <w:bdr w:val="none" w:sz="0" w:space="0" w:color="auto" w:frame="1"/>
          <w:lang w:eastAsia="es-CO"/>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5" w:tgtFrame="_blank" w:tooltip="Dirección URL original: https://www.colombiacompra.gov.co/wp-content/uploads/2025/05/GUIA-DE-LINEAMIENTOS-DE-TRANSPARENCIA-Y-SELECCION-OBJETIVA-1.0.pdf. Haga clic o pulse si confía en este vínculo." w:history="1">
        <w:r w:rsidRPr="001B7EDF">
          <w:rPr>
            <w:rFonts w:ascii="Verdana" w:eastAsia="Calibri" w:hAnsi="Verdana" w:cs="Times New Roman"/>
            <w:color w:val="0000FF"/>
            <w:u w:val="single"/>
            <w:lang w:val="es-ES"/>
          </w:rPr>
          <w:t>Guía de lineamientos de transparencia y selección objetiva para el departamento de La Guajira – Objetivo sexto constitucional de la Sentencia T-302 del 2017</w:t>
        </w:r>
      </w:hyperlink>
      <w:r w:rsidRPr="001B7EDF">
        <w:rPr>
          <w:rFonts w:ascii="Verdana" w:eastAsia="Calibri" w:hAnsi="Verdana" w:cs="Times New Roman"/>
          <w:color w:val="0000FF"/>
          <w:u w:val="single"/>
          <w:lang w:val="es-ES"/>
        </w:rPr>
        <w:t>"</w:t>
      </w:r>
    </w:p>
    <w:p w14:paraId="4A1F86EE" w14:textId="77777777" w:rsidR="0081088A" w:rsidRPr="00801B1E" w:rsidRDefault="0081088A" w:rsidP="0081088A">
      <w:pPr>
        <w:spacing w:after="0" w:line="276" w:lineRule="auto"/>
        <w:jc w:val="both"/>
        <w:rPr>
          <w:rFonts w:ascii="Verdana" w:hAnsi="Verdana"/>
        </w:rPr>
      </w:pPr>
      <w:r w:rsidRPr="00801B1E">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36883E11" w14:textId="77777777" w:rsidR="0081088A" w:rsidRPr="00801B1E" w:rsidRDefault="0081088A" w:rsidP="0081088A">
      <w:pPr>
        <w:spacing w:after="0" w:line="276" w:lineRule="auto"/>
        <w:jc w:val="both"/>
        <w:rPr>
          <w:rFonts w:ascii="Verdana" w:hAnsi="Verdana"/>
        </w:rPr>
      </w:pPr>
    </w:p>
    <w:p w14:paraId="23C1D158" w14:textId="77777777" w:rsidR="0081088A" w:rsidRPr="00801B1E" w:rsidRDefault="0081088A" w:rsidP="0081088A">
      <w:pPr>
        <w:numPr>
          <w:ilvl w:val="0"/>
          <w:numId w:val="15"/>
        </w:numPr>
        <w:spacing w:after="0" w:line="276" w:lineRule="auto"/>
        <w:jc w:val="both"/>
        <w:rPr>
          <w:rFonts w:ascii="Verdana" w:hAnsi="Verdana"/>
          <w:lang w:val="es-ES"/>
        </w:rPr>
      </w:pPr>
      <w:r w:rsidRPr="00801B1E">
        <w:rPr>
          <w:rFonts w:ascii="Verdana" w:hAnsi="Verdana"/>
          <w:lang w:val="es-ES"/>
        </w:rPr>
        <w:lastRenderedPageBreak/>
        <w:t>Línea nacional gratuita o servicio a la ciudadanía: 01800 0520808</w:t>
      </w:r>
    </w:p>
    <w:p w14:paraId="5D88D52A" w14:textId="77777777" w:rsidR="0081088A" w:rsidRPr="00801B1E" w:rsidRDefault="0081088A" w:rsidP="0081088A">
      <w:pPr>
        <w:numPr>
          <w:ilvl w:val="0"/>
          <w:numId w:val="15"/>
        </w:numPr>
        <w:spacing w:after="0" w:line="276" w:lineRule="auto"/>
        <w:jc w:val="both"/>
        <w:rPr>
          <w:rFonts w:ascii="Verdana" w:hAnsi="Verdana"/>
          <w:lang w:val="es-ES"/>
        </w:rPr>
      </w:pPr>
      <w:r w:rsidRPr="00801B1E">
        <w:rPr>
          <w:rFonts w:ascii="Verdana" w:hAnsi="Verdana"/>
          <w:lang w:val="es-ES"/>
        </w:rPr>
        <w:t>Línea en Bogotá (Mesa de servicio): +57 601 7456788</w:t>
      </w:r>
    </w:p>
    <w:p w14:paraId="65668EF0" w14:textId="77777777" w:rsidR="0081088A" w:rsidRPr="00801B1E" w:rsidRDefault="0081088A" w:rsidP="0081088A">
      <w:pPr>
        <w:numPr>
          <w:ilvl w:val="0"/>
          <w:numId w:val="15"/>
        </w:numPr>
        <w:spacing w:after="0" w:line="276" w:lineRule="auto"/>
        <w:jc w:val="both"/>
        <w:rPr>
          <w:rFonts w:ascii="Verdana" w:hAnsi="Verdana"/>
          <w:lang w:val="es-ES"/>
        </w:rPr>
      </w:pPr>
      <w:r w:rsidRPr="00801B1E">
        <w:rPr>
          <w:rFonts w:ascii="Verdana" w:hAnsi="Verdana"/>
          <w:lang w:val="es-ES"/>
        </w:rPr>
        <w:t>Línea de servicio y atención al ciudadano: +57 601 7956600</w:t>
      </w:r>
    </w:p>
    <w:p w14:paraId="2A866F7F" w14:textId="77777777" w:rsidR="0081088A" w:rsidRPr="00801B1E" w:rsidRDefault="0081088A" w:rsidP="0081088A">
      <w:pPr>
        <w:numPr>
          <w:ilvl w:val="0"/>
          <w:numId w:val="15"/>
        </w:numPr>
        <w:spacing w:after="0" w:line="276" w:lineRule="auto"/>
        <w:jc w:val="both"/>
        <w:rPr>
          <w:rFonts w:ascii="Verdana" w:hAnsi="Verdana"/>
          <w:lang w:val="es-ES"/>
        </w:rPr>
      </w:pPr>
      <w:r w:rsidRPr="00801B1E">
        <w:rPr>
          <w:rFonts w:ascii="Verdana" w:hAnsi="Verdana"/>
          <w:lang w:val="es-ES"/>
        </w:rPr>
        <w:t xml:space="preserve">Página web: </w:t>
      </w:r>
      <w:hyperlink r:id="rId16" w:history="1">
        <w:r w:rsidRPr="00801B1E">
          <w:rPr>
            <w:rFonts w:ascii="Verdana" w:hAnsi="Verdana"/>
            <w:color w:val="0000FF"/>
            <w:u w:val="single"/>
            <w:lang w:val="es-ES"/>
          </w:rPr>
          <w:t>www.colombiacompra.gov.co</w:t>
        </w:r>
      </w:hyperlink>
    </w:p>
    <w:p w14:paraId="02701A9B" w14:textId="77777777" w:rsidR="0081088A" w:rsidRPr="00801B1E" w:rsidRDefault="0081088A" w:rsidP="0081088A">
      <w:pPr>
        <w:spacing w:after="0" w:line="276" w:lineRule="auto"/>
        <w:ind w:left="785"/>
        <w:jc w:val="both"/>
        <w:rPr>
          <w:rFonts w:ascii="Verdana" w:hAnsi="Verdana"/>
          <w:lang w:val="es-ES"/>
        </w:rPr>
      </w:pPr>
    </w:p>
    <w:p w14:paraId="21B95A04" w14:textId="77777777" w:rsidR="0081088A" w:rsidRPr="00801B1E" w:rsidRDefault="0081088A" w:rsidP="0081088A">
      <w:pPr>
        <w:spacing w:after="0" w:line="276" w:lineRule="auto"/>
        <w:jc w:val="both"/>
        <w:rPr>
          <w:rFonts w:ascii="Verdana" w:hAnsi="Verdana"/>
        </w:rPr>
      </w:pPr>
      <w:r w:rsidRPr="00801B1E">
        <w:rPr>
          <w:rFonts w:ascii="Verdana" w:hAnsi="Verdana"/>
        </w:rPr>
        <w:t xml:space="preserve">Por último, lo invitamos a seguirnos en las redes sociales en las cuales se difunde información institucional: </w:t>
      </w:r>
    </w:p>
    <w:p w14:paraId="5EBF1DA6" w14:textId="77777777" w:rsidR="0081088A" w:rsidRPr="00801B1E" w:rsidRDefault="0081088A" w:rsidP="0081088A">
      <w:pPr>
        <w:spacing w:after="0" w:line="276" w:lineRule="auto"/>
        <w:jc w:val="both"/>
        <w:rPr>
          <w:rFonts w:ascii="Verdana" w:hAnsi="Verdana"/>
        </w:rPr>
      </w:pPr>
    </w:p>
    <w:p w14:paraId="64E1641C" w14:textId="77777777" w:rsidR="0081088A" w:rsidRPr="00801B1E" w:rsidRDefault="0081088A" w:rsidP="0081088A">
      <w:pPr>
        <w:spacing w:after="0" w:line="276" w:lineRule="auto"/>
        <w:jc w:val="both"/>
        <w:rPr>
          <w:rFonts w:ascii="Verdana" w:hAnsi="Verdana"/>
        </w:rPr>
      </w:pPr>
      <w:r w:rsidRPr="00801B1E">
        <w:rPr>
          <w:rFonts w:ascii="Verdana" w:hAnsi="Verdana"/>
        </w:rPr>
        <w:t xml:space="preserve">Twitter: </w:t>
      </w:r>
      <w:r w:rsidRPr="00801B1E">
        <w:rPr>
          <w:rFonts w:ascii="Verdana" w:hAnsi="Verdana"/>
          <w:color w:val="0000FF"/>
          <w:u w:val="single"/>
        </w:rPr>
        <w:t>@colombiacompra</w:t>
      </w:r>
      <w:r w:rsidRPr="00801B1E">
        <w:rPr>
          <w:rFonts w:ascii="Verdana" w:hAnsi="Verdana"/>
        </w:rPr>
        <w:t xml:space="preserve"> </w:t>
      </w:r>
    </w:p>
    <w:p w14:paraId="35CA7B36" w14:textId="77777777" w:rsidR="0081088A" w:rsidRPr="00801B1E" w:rsidRDefault="0081088A" w:rsidP="0081088A">
      <w:pPr>
        <w:spacing w:after="0" w:line="276" w:lineRule="auto"/>
        <w:jc w:val="both"/>
        <w:rPr>
          <w:rFonts w:ascii="Verdana" w:hAnsi="Verdana"/>
        </w:rPr>
      </w:pPr>
      <w:r w:rsidRPr="00801B1E">
        <w:rPr>
          <w:rFonts w:ascii="Verdana" w:hAnsi="Verdana"/>
        </w:rPr>
        <w:t xml:space="preserve">Facebook: </w:t>
      </w:r>
      <w:r w:rsidRPr="00801B1E">
        <w:rPr>
          <w:rFonts w:ascii="Verdana" w:hAnsi="Verdana"/>
          <w:color w:val="0000FF"/>
          <w:u w:val="single"/>
        </w:rPr>
        <w:t>ColombiaCompraEficiente</w:t>
      </w:r>
    </w:p>
    <w:p w14:paraId="33E595D1" w14:textId="77777777" w:rsidR="0081088A" w:rsidRPr="00801B1E" w:rsidRDefault="0081088A" w:rsidP="0081088A">
      <w:pPr>
        <w:spacing w:after="0" w:line="276" w:lineRule="auto"/>
        <w:jc w:val="both"/>
        <w:rPr>
          <w:rFonts w:ascii="Verdana" w:hAnsi="Verdana"/>
        </w:rPr>
      </w:pPr>
      <w:r w:rsidRPr="00801B1E">
        <w:rPr>
          <w:rFonts w:ascii="Verdana" w:hAnsi="Verdana"/>
        </w:rPr>
        <w:t xml:space="preserve">LinkedIn: </w:t>
      </w:r>
      <w:r w:rsidRPr="00801B1E">
        <w:rPr>
          <w:rFonts w:ascii="Verdana" w:hAnsi="Verdana"/>
          <w:color w:val="0000FF"/>
          <w:u w:val="single"/>
        </w:rPr>
        <w:t>Agencia Nacional de Contratación Pública - Colombia Compra Eficiente</w:t>
      </w:r>
      <w:r w:rsidRPr="00801B1E">
        <w:rPr>
          <w:rFonts w:ascii="Verdana" w:hAnsi="Verdana"/>
        </w:rPr>
        <w:t xml:space="preserve"> Instagram: </w:t>
      </w:r>
      <w:r w:rsidRPr="00801B1E">
        <w:rPr>
          <w:rFonts w:ascii="Verdana" w:hAnsi="Verdana"/>
          <w:color w:val="0000FF"/>
          <w:u w:val="single"/>
        </w:rPr>
        <w:t>@colombiacompraeficiente_cce</w:t>
      </w:r>
    </w:p>
    <w:p w14:paraId="09B14C8B" w14:textId="77777777" w:rsidR="0081088A" w:rsidRPr="00801B1E" w:rsidRDefault="0081088A" w:rsidP="0081088A">
      <w:pPr>
        <w:spacing w:after="0" w:line="276" w:lineRule="auto"/>
        <w:jc w:val="both"/>
        <w:rPr>
          <w:rFonts w:ascii="Verdana" w:hAnsi="Verdana"/>
        </w:rPr>
      </w:pPr>
    </w:p>
    <w:p w14:paraId="71D22D43" w14:textId="77777777" w:rsidR="0081088A" w:rsidRPr="00801B1E" w:rsidRDefault="0081088A" w:rsidP="0081088A">
      <w:pPr>
        <w:spacing w:after="0" w:line="276" w:lineRule="auto"/>
        <w:jc w:val="both"/>
        <w:rPr>
          <w:rFonts w:ascii="Verdana" w:eastAsia="Calibri" w:hAnsi="Verdana" w:cs="Times New Roman"/>
          <w:bCs/>
          <w:lang w:val="es-ES_tradnl"/>
        </w:rPr>
      </w:pPr>
      <w:r w:rsidRPr="00801B1E">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71F4918" w14:textId="77777777" w:rsidR="0081088A" w:rsidRPr="00801B1E" w:rsidRDefault="0081088A" w:rsidP="0081088A">
      <w:pPr>
        <w:spacing w:after="0" w:line="276" w:lineRule="auto"/>
        <w:jc w:val="both"/>
        <w:rPr>
          <w:rFonts w:ascii="Verdana" w:eastAsia="Calibri" w:hAnsi="Verdana" w:cs="Times New Roman"/>
        </w:rPr>
      </w:pPr>
    </w:p>
    <w:p w14:paraId="7643EAF8" w14:textId="77777777" w:rsidR="0081088A" w:rsidRDefault="0081088A" w:rsidP="0081088A">
      <w:pPr>
        <w:spacing w:after="0" w:line="276" w:lineRule="auto"/>
        <w:jc w:val="both"/>
        <w:rPr>
          <w:rFonts w:ascii="Verdana" w:eastAsia="Calibri" w:hAnsi="Verdana" w:cs="Times New Roman"/>
        </w:rPr>
      </w:pPr>
      <w:r w:rsidRPr="00801B1E">
        <w:rPr>
          <w:rFonts w:ascii="Verdana" w:eastAsia="Calibri" w:hAnsi="Verdana" w:cs="Times New Roman"/>
        </w:rPr>
        <w:t>Atentamente,</w:t>
      </w:r>
    </w:p>
    <w:p w14:paraId="269A105A" w14:textId="77777777" w:rsidR="0081088A" w:rsidRDefault="0081088A" w:rsidP="0081088A">
      <w:pPr>
        <w:spacing w:after="0" w:line="276" w:lineRule="auto"/>
        <w:jc w:val="both"/>
        <w:rPr>
          <w:rFonts w:ascii="Verdana" w:eastAsia="Calibri" w:hAnsi="Verdana" w:cs="Times New Roman"/>
        </w:rPr>
      </w:pPr>
    </w:p>
    <w:p w14:paraId="60FB1476" w14:textId="77777777" w:rsidR="001C7C02" w:rsidRPr="00827F85" w:rsidRDefault="001C7C02" w:rsidP="0081088A">
      <w:pPr>
        <w:spacing w:after="0" w:line="276" w:lineRule="auto"/>
        <w:jc w:val="both"/>
        <w:rPr>
          <w:rFonts w:ascii="Verdana" w:eastAsia="Calibri" w:hAnsi="Verdana" w:cs="Times New Roman"/>
        </w:rPr>
      </w:pPr>
    </w:p>
    <w:p w14:paraId="7F7201AB" w14:textId="68FDBA33" w:rsidR="0081088A" w:rsidRPr="00A27102" w:rsidRDefault="001C554B" w:rsidP="0081088A">
      <w:pPr>
        <w:spacing w:line="276" w:lineRule="auto"/>
        <w:jc w:val="center"/>
        <w:rPr>
          <w:rFonts w:ascii="Verdana" w:hAnsi="Verdana" w:cs="Arial"/>
          <w:color w:val="000000"/>
          <w:lang w:val="es-ES_tradnl" w:eastAsia="es-CO"/>
        </w:rPr>
      </w:pPr>
      <w:r w:rsidRPr="001C554B">
        <w:rPr>
          <w:rFonts w:ascii="Verdana" w:hAnsi="Verdana" w:cs="Arial"/>
          <w:color w:val="000000"/>
          <w:lang w:val="es-ES_tradnl" w:eastAsia="es-CO"/>
        </w:rPr>
        <w:drawing>
          <wp:inline distT="0" distB="0" distL="0" distR="0" wp14:anchorId="68DD2E43" wp14:editId="4C5CD70D">
            <wp:extent cx="2991267" cy="1381318"/>
            <wp:effectExtent l="0" t="0" r="0" b="9525"/>
            <wp:docPr id="6400155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001559" name="Imagen 1" descr="Texto&#10;&#10;El contenido generado por IA puede ser incorrecto."/>
                    <pic:cNvPicPr/>
                  </pic:nvPicPr>
                  <pic:blipFill>
                    <a:blip r:embed="rId17"/>
                    <a:stretch>
                      <a:fillRect/>
                    </a:stretch>
                  </pic:blipFill>
                  <pic:spPr>
                    <a:xfrm>
                      <a:off x="0" y="0"/>
                      <a:ext cx="2991267" cy="1381318"/>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1088A" w:rsidRPr="00A27102" w14:paraId="0FD57E5F" w14:textId="77777777" w:rsidTr="00974252">
        <w:trPr>
          <w:trHeight w:val="315"/>
        </w:trPr>
        <w:tc>
          <w:tcPr>
            <w:tcW w:w="893" w:type="dxa"/>
            <w:vAlign w:val="center"/>
            <w:hideMark/>
          </w:tcPr>
          <w:p w14:paraId="53B6E712" w14:textId="77777777" w:rsidR="0081088A" w:rsidRPr="00A27102" w:rsidRDefault="0081088A" w:rsidP="00974252">
            <w:pPr>
              <w:contextualSpacing/>
              <w:rPr>
                <w:rFonts w:ascii="Verdana" w:hAnsi="Verdana" w:cs="Arial"/>
                <w:sz w:val="16"/>
                <w:szCs w:val="16"/>
                <w:lang w:val="es-ES" w:eastAsia="es-ES"/>
              </w:rPr>
            </w:pPr>
            <w:r w:rsidRPr="00A27102">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ACB7163" w14:textId="77777777" w:rsidR="0081088A" w:rsidRPr="00A27102" w:rsidRDefault="0081088A" w:rsidP="00974252">
            <w:pPr>
              <w:contextualSpacing/>
              <w:rPr>
                <w:rFonts w:ascii="Verdana" w:hAnsi="Verdana"/>
                <w:sz w:val="16"/>
                <w:szCs w:val="16"/>
              </w:rPr>
            </w:pPr>
            <w:r w:rsidRPr="00A27102">
              <w:rPr>
                <w:rFonts w:ascii="Verdana" w:hAnsi="Verdana"/>
                <w:sz w:val="16"/>
                <w:szCs w:val="16"/>
              </w:rPr>
              <w:t>Tatiana Baquero Iguarán</w:t>
            </w:r>
          </w:p>
          <w:p w14:paraId="59C9A041" w14:textId="77777777" w:rsidR="0081088A" w:rsidRDefault="0081088A" w:rsidP="00974252">
            <w:pPr>
              <w:contextualSpacing/>
              <w:rPr>
                <w:rFonts w:ascii="Verdana" w:hAnsi="Verdana"/>
                <w:sz w:val="16"/>
                <w:szCs w:val="16"/>
              </w:rPr>
            </w:pPr>
            <w:r w:rsidRPr="00A27102">
              <w:rPr>
                <w:rFonts w:ascii="Verdana" w:hAnsi="Verdana"/>
                <w:sz w:val="16"/>
                <w:szCs w:val="16"/>
              </w:rPr>
              <w:t>Contratista de la Subdirección de Gestión Contractual</w:t>
            </w:r>
          </w:p>
          <w:p w14:paraId="2715CDC8" w14:textId="77777777" w:rsidR="0081088A" w:rsidRPr="0037598A" w:rsidRDefault="0081088A" w:rsidP="00974252">
            <w:pPr>
              <w:rPr>
                <w:rFonts w:ascii="Verdana" w:eastAsia="Times New Roman" w:hAnsi="Verdana" w:cs="Arial"/>
                <w:sz w:val="16"/>
                <w:szCs w:val="16"/>
                <w:lang w:eastAsia="es-ES"/>
              </w:rPr>
            </w:pPr>
            <w:r w:rsidRPr="0037598A">
              <w:rPr>
                <w:rFonts w:ascii="Verdana" w:eastAsia="Times New Roman" w:hAnsi="Verdana" w:cs="Arial"/>
                <w:sz w:val="16"/>
                <w:szCs w:val="16"/>
                <w:lang w:eastAsia="es-ES"/>
              </w:rPr>
              <w:t>Camila Alejandra Naranjo Gómez</w:t>
            </w:r>
          </w:p>
          <w:p w14:paraId="0A844847" w14:textId="77777777" w:rsidR="0081088A" w:rsidRPr="00A27102" w:rsidRDefault="0081088A" w:rsidP="00974252">
            <w:pPr>
              <w:contextualSpacing/>
              <w:rPr>
                <w:rFonts w:ascii="Verdana" w:eastAsia="Arial" w:hAnsi="Verdana" w:cs="Arial"/>
                <w:sz w:val="16"/>
                <w:szCs w:val="16"/>
              </w:rPr>
            </w:pPr>
            <w:r w:rsidRPr="0037598A">
              <w:rPr>
                <w:rFonts w:ascii="Verdana" w:eastAsia="Times New Roman" w:hAnsi="Verdana" w:cs="Arial"/>
                <w:sz w:val="16"/>
                <w:szCs w:val="16"/>
                <w:lang w:eastAsia="es-ES"/>
              </w:rPr>
              <w:t>Analista T2-1 de la Subdirección de Gestión Contractual</w:t>
            </w:r>
          </w:p>
        </w:tc>
      </w:tr>
      <w:tr w:rsidR="0081088A" w:rsidRPr="00A27102" w14:paraId="276BE09B" w14:textId="77777777" w:rsidTr="00974252">
        <w:trPr>
          <w:trHeight w:val="330"/>
        </w:trPr>
        <w:tc>
          <w:tcPr>
            <w:tcW w:w="893" w:type="dxa"/>
            <w:vAlign w:val="center"/>
            <w:hideMark/>
          </w:tcPr>
          <w:p w14:paraId="0C5DCD4B" w14:textId="77777777" w:rsidR="0081088A" w:rsidRPr="00A27102" w:rsidRDefault="0081088A" w:rsidP="00974252">
            <w:pPr>
              <w:contextualSpacing/>
              <w:rPr>
                <w:rFonts w:ascii="Verdana" w:hAnsi="Verdana" w:cs="Arial"/>
                <w:sz w:val="16"/>
                <w:szCs w:val="16"/>
                <w:lang w:val="es-ES" w:eastAsia="es-ES"/>
              </w:rPr>
            </w:pPr>
            <w:r w:rsidRPr="00A27102">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599745E" w14:textId="77777777" w:rsidR="0081088A" w:rsidRPr="00A27102" w:rsidRDefault="0081088A" w:rsidP="00974252">
            <w:pPr>
              <w:spacing w:before="100" w:beforeAutospacing="1" w:afterAutospacing="1"/>
              <w:contextualSpacing/>
              <w:textAlignment w:val="baseline"/>
              <w:rPr>
                <w:rFonts w:ascii="Verdana" w:eastAsia="Times New Roman" w:hAnsi="Verdana" w:cs="Arial"/>
                <w:sz w:val="16"/>
                <w:szCs w:val="16"/>
                <w:lang w:val="es-ES" w:eastAsia="es-ES_tradnl"/>
              </w:rPr>
            </w:pPr>
            <w:r w:rsidRPr="00A27102">
              <w:rPr>
                <w:rFonts w:ascii="Verdana" w:eastAsia="Times New Roman" w:hAnsi="Verdana" w:cs="Arial"/>
                <w:sz w:val="16"/>
                <w:szCs w:val="16"/>
                <w:lang w:val="es-ES" w:eastAsia="es-ES_tradnl"/>
              </w:rPr>
              <w:t>Alejandro Sarmiento Cantillo</w:t>
            </w:r>
          </w:p>
          <w:p w14:paraId="6B11DD83" w14:textId="77777777" w:rsidR="0081088A" w:rsidRPr="00A27102" w:rsidRDefault="0081088A" w:rsidP="00974252">
            <w:pPr>
              <w:contextualSpacing/>
              <w:textAlignment w:val="baseline"/>
              <w:rPr>
                <w:rFonts w:ascii="Verdana" w:eastAsia="Times New Roman" w:hAnsi="Verdana" w:cs="Segoe UI"/>
                <w:sz w:val="16"/>
                <w:szCs w:val="16"/>
                <w:lang w:eastAsia="es-ES_tradnl"/>
              </w:rPr>
            </w:pPr>
            <w:r w:rsidRPr="00A27102">
              <w:rPr>
                <w:rFonts w:ascii="Verdana" w:eastAsia="Times New Roman" w:hAnsi="Verdana" w:cs="Arial"/>
                <w:sz w:val="16"/>
                <w:szCs w:val="16"/>
                <w:lang w:val="es-ES" w:eastAsia="es-ES_tradnl"/>
              </w:rPr>
              <w:t>Gestor T1 ‒ 15 de la Subdirección de Gestión Contractual</w:t>
            </w:r>
            <w:r w:rsidRPr="00A27102">
              <w:rPr>
                <w:rFonts w:ascii="Verdana" w:eastAsia="Times New Roman" w:hAnsi="Verdana" w:cs="Arial"/>
                <w:sz w:val="16"/>
                <w:szCs w:val="16"/>
                <w:lang w:eastAsia="es-ES_tradnl"/>
              </w:rPr>
              <w:t> </w:t>
            </w:r>
          </w:p>
        </w:tc>
      </w:tr>
      <w:tr w:rsidR="0081088A" w:rsidRPr="00A27102" w14:paraId="7FA6512F" w14:textId="77777777" w:rsidTr="00974252">
        <w:trPr>
          <w:trHeight w:val="300"/>
        </w:trPr>
        <w:tc>
          <w:tcPr>
            <w:tcW w:w="893" w:type="dxa"/>
            <w:vAlign w:val="center"/>
          </w:tcPr>
          <w:p w14:paraId="70945114" w14:textId="77777777" w:rsidR="0081088A" w:rsidRPr="00A27102" w:rsidRDefault="0081088A" w:rsidP="00974252">
            <w:pPr>
              <w:contextualSpacing/>
              <w:rPr>
                <w:rFonts w:ascii="Verdana" w:hAnsi="Verdana" w:cs="Arial"/>
                <w:sz w:val="16"/>
                <w:szCs w:val="16"/>
                <w:lang w:val="es-ES" w:eastAsia="es-ES"/>
              </w:rPr>
            </w:pPr>
            <w:r w:rsidRPr="00A27102">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4F76401" w14:textId="77777777" w:rsidR="0081088A" w:rsidRPr="00A27102" w:rsidRDefault="0081088A" w:rsidP="00974252">
            <w:pPr>
              <w:contextualSpacing/>
              <w:rPr>
                <w:rFonts w:ascii="Verdana" w:eastAsia="Calibri" w:hAnsi="Verdana" w:cs="Arial"/>
                <w:sz w:val="16"/>
                <w:szCs w:val="16"/>
                <w:lang w:val="pt-BR" w:eastAsia="es-ES"/>
              </w:rPr>
            </w:pPr>
            <w:r w:rsidRPr="00A27102">
              <w:rPr>
                <w:rFonts w:ascii="Verdana" w:eastAsia="Calibri" w:hAnsi="Verdana" w:cs="Arial"/>
                <w:sz w:val="16"/>
                <w:szCs w:val="16"/>
                <w:lang w:val="pt-BR" w:eastAsia="es-ES"/>
              </w:rPr>
              <w:t>Carolina Quintero Gacharná</w:t>
            </w:r>
          </w:p>
          <w:p w14:paraId="21C43808" w14:textId="77777777" w:rsidR="0081088A" w:rsidRPr="00A27102" w:rsidRDefault="0081088A" w:rsidP="00974252">
            <w:pPr>
              <w:contextualSpacing/>
              <w:rPr>
                <w:rFonts w:ascii="Verdana" w:eastAsia="Calibri" w:hAnsi="Verdana" w:cs="Arial"/>
                <w:sz w:val="16"/>
                <w:szCs w:val="16"/>
                <w:lang w:val="pt-BR" w:eastAsia="es-ES"/>
              </w:rPr>
            </w:pPr>
            <w:r w:rsidRPr="00A27102">
              <w:rPr>
                <w:rFonts w:ascii="Verdana" w:eastAsia="Calibri" w:hAnsi="Verdana" w:cs="Arial"/>
                <w:sz w:val="16"/>
                <w:szCs w:val="16"/>
                <w:lang w:eastAsia="es-ES"/>
              </w:rPr>
              <w:t>Subdirectora</w:t>
            </w:r>
            <w:r w:rsidRPr="00A27102">
              <w:rPr>
                <w:rFonts w:ascii="Verdana" w:eastAsia="Calibri" w:hAnsi="Verdana" w:cs="Arial"/>
                <w:sz w:val="16"/>
                <w:szCs w:val="16"/>
                <w:lang w:val="pt-BR" w:eastAsia="es-ES"/>
              </w:rPr>
              <w:t xml:space="preserve"> de Gestión Contratual ANCP – CCE</w:t>
            </w:r>
          </w:p>
        </w:tc>
      </w:tr>
      <w:bookmarkEnd w:id="1"/>
      <w:bookmarkEnd w:id="2"/>
    </w:tbl>
    <w:p w14:paraId="0F293BF4" w14:textId="4D91D7EB" w:rsidR="00127233" w:rsidRPr="00865E38" w:rsidRDefault="00127233" w:rsidP="0081088A">
      <w:pPr>
        <w:spacing w:after="0" w:line="240" w:lineRule="auto"/>
        <w:rPr>
          <w:rFonts w:ascii="Verdana" w:eastAsia="Times New Roman" w:hAnsi="Verdana" w:cs="Segoe UI"/>
          <w:lang w:val="es-ES" w:eastAsia="es-CO"/>
        </w:rPr>
      </w:pPr>
    </w:p>
    <w:sectPr w:rsidR="00127233" w:rsidRPr="00865E38"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A7A29E" w14:textId="77777777" w:rsidR="00C0340D" w:rsidRDefault="00C0340D" w:rsidP="004A1847">
      <w:pPr>
        <w:spacing w:after="0" w:line="240" w:lineRule="auto"/>
      </w:pPr>
      <w:r>
        <w:separator/>
      </w:r>
    </w:p>
  </w:endnote>
  <w:endnote w:type="continuationSeparator" w:id="0">
    <w:p w14:paraId="28332EA4" w14:textId="77777777" w:rsidR="00C0340D" w:rsidRDefault="00C0340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Arial Nova">
    <w:charset w:val="00"/>
    <w:family w:val="swiss"/>
    <w:pitch w:val="variable"/>
    <w:sig w:usb0="0000028F" w:usb1="00000002" w:usb2="00000000" w:usb3="00000000" w:csb0="000001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Arial"/>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32393A" w14:textId="77777777" w:rsidR="00C0340D" w:rsidRDefault="00C0340D" w:rsidP="004A1847">
      <w:pPr>
        <w:spacing w:after="0" w:line="240" w:lineRule="auto"/>
      </w:pPr>
      <w:r>
        <w:separator/>
      </w:r>
    </w:p>
  </w:footnote>
  <w:footnote w:type="continuationSeparator" w:id="0">
    <w:p w14:paraId="38C74718" w14:textId="77777777" w:rsidR="00C0340D" w:rsidRDefault="00C0340D" w:rsidP="004A1847">
      <w:pPr>
        <w:spacing w:after="0" w:line="240" w:lineRule="auto"/>
      </w:pPr>
      <w:r>
        <w:continuationSeparator/>
      </w:r>
    </w:p>
  </w:footnote>
  <w:footnote w:id="1">
    <w:p w14:paraId="69C30FAB" w14:textId="744F57A2" w:rsidR="0081088A" w:rsidRPr="00AF401E" w:rsidRDefault="0081088A" w:rsidP="00AF401E">
      <w:pPr>
        <w:pStyle w:val="Textonotapie"/>
        <w:ind w:firstLine="709"/>
        <w:jc w:val="both"/>
        <w:rPr>
          <w:rFonts w:ascii="Verdana" w:hAnsi="Verdana" w:cs="Arial"/>
          <w:color w:val="000000"/>
          <w:sz w:val="16"/>
          <w:szCs w:val="16"/>
          <w:lang w:val="es-ES"/>
        </w:rPr>
      </w:pPr>
      <w:r w:rsidRPr="00144A14">
        <w:rPr>
          <w:rStyle w:val="Refdenotaalpie"/>
          <w:rFonts w:ascii="Verdana" w:hAnsi="Verdana"/>
          <w:sz w:val="16"/>
          <w:szCs w:val="16"/>
        </w:rPr>
        <w:footnoteRef/>
      </w:r>
      <w:r w:rsidRPr="00144A14">
        <w:rPr>
          <w:rFonts w:ascii="Verdana" w:hAnsi="Verdana"/>
          <w:sz w:val="16"/>
          <w:szCs w:val="16"/>
        </w:rPr>
        <w:t xml:space="preserve"> </w:t>
      </w:r>
      <w:r w:rsidRPr="00144A14">
        <w:rPr>
          <w:rFonts w:ascii="Verdana" w:hAnsi="Verdana" w:cs="Arial"/>
          <w:color w:val="000000"/>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w:t>
      </w:r>
      <w:r w:rsidR="00AF401E">
        <w:rPr>
          <w:rFonts w:ascii="Verdana" w:hAnsi="Verdana" w:cs="Arial"/>
          <w:color w:val="000000"/>
          <w:sz w:val="16"/>
          <w:szCs w:val="16"/>
          <w:lang w:val="es-ES"/>
        </w:rPr>
        <w:t xml:space="preserve"> </w:t>
      </w:r>
      <w:r w:rsidRPr="00144A14">
        <w:rPr>
          <w:rFonts w:ascii="Verdana" w:hAnsi="Verdana" w:cs="Arial"/>
          <w:color w:val="000000" w:themeColor="text1"/>
          <w:sz w:val="16"/>
          <w:szCs w:val="16"/>
          <w:lang w:val="es-ES"/>
        </w:rPr>
        <w:t>2. Quien presta el servicio se denomina trabajador, quien lo recibe y remunera, empleador, y la remuneración, cualquiera que sea su forma, salario”.</w:t>
      </w:r>
    </w:p>
    <w:p w14:paraId="06F13F74" w14:textId="77777777" w:rsidR="00852AD9" w:rsidRPr="00144A14" w:rsidRDefault="00852AD9" w:rsidP="0081088A">
      <w:pPr>
        <w:pStyle w:val="Textonotapie"/>
        <w:ind w:firstLine="709"/>
        <w:jc w:val="both"/>
        <w:rPr>
          <w:rFonts w:ascii="Verdana" w:hAnsi="Verdana" w:cs="Arial"/>
          <w:color w:val="000000"/>
          <w:sz w:val="16"/>
          <w:szCs w:val="16"/>
          <w:lang w:val="es-ES"/>
        </w:rPr>
      </w:pPr>
    </w:p>
  </w:footnote>
  <w:footnote w:id="2">
    <w:p w14:paraId="7B3CFA25" w14:textId="77777777" w:rsidR="0081088A" w:rsidRPr="00144A14" w:rsidRDefault="0081088A" w:rsidP="0081088A">
      <w:pPr>
        <w:pStyle w:val="Textonotapie"/>
        <w:ind w:firstLine="708"/>
        <w:rPr>
          <w:rFonts w:ascii="Verdana" w:hAnsi="Verdana"/>
          <w:sz w:val="16"/>
          <w:szCs w:val="16"/>
          <w:lang w:val="pt-BR"/>
        </w:rPr>
      </w:pPr>
      <w:r w:rsidRPr="00144A14">
        <w:rPr>
          <w:rStyle w:val="Refdenotaalpie"/>
          <w:rFonts w:ascii="Verdana" w:hAnsi="Verdana"/>
          <w:sz w:val="16"/>
          <w:szCs w:val="16"/>
        </w:rPr>
        <w:footnoteRef/>
      </w:r>
      <w:r w:rsidRPr="00144A14">
        <w:rPr>
          <w:rFonts w:ascii="Verdana" w:hAnsi="Verdana"/>
          <w:sz w:val="16"/>
          <w:szCs w:val="16"/>
          <w:lang w:val="pt-BR"/>
        </w:rPr>
        <w:t xml:space="preserve"> </w:t>
      </w:r>
      <w:r w:rsidRPr="00144A14">
        <w:rPr>
          <w:rFonts w:ascii="Verdana" w:hAnsi="Verdana" w:cs="Arial"/>
          <w:color w:val="000000"/>
          <w:sz w:val="16"/>
          <w:szCs w:val="16"/>
          <w:lang w:val="pt-BR"/>
        </w:rPr>
        <w:t>Corte Constitucional. Sentencia C-154 de 1997. M.P. Hernando Herrera Vergara.</w:t>
      </w:r>
    </w:p>
  </w:footnote>
  <w:footnote w:id="3">
    <w:p w14:paraId="7E0920F4" w14:textId="191A9260" w:rsidR="00852AD9" w:rsidRDefault="0081088A" w:rsidP="00852AD9">
      <w:pPr>
        <w:spacing w:after="0"/>
        <w:ind w:firstLine="708"/>
        <w:jc w:val="both"/>
        <w:rPr>
          <w:rFonts w:ascii="Verdana" w:eastAsia="Arial Nova" w:hAnsi="Verdana" w:cs="Arial"/>
          <w:sz w:val="16"/>
          <w:szCs w:val="16"/>
          <w:lang w:val="pt-BR"/>
        </w:rPr>
      </w:pPr>
      <w:r w:rsidRPr="00144A14">
        <w:rPr>
          <w:rStyle w:val="Refdenotaalpie"/>
          <w:rFonts w:ascii="Verdana" w:hAnsi="Verdana" w:cs="Arial"/>
          <w:sz w:val="16"/>
          <w:szCs w:val="16"/>
        </w:rPr>
        <w:footnoteRef/>
      </w:r>
      <w:r w:rsidRPr="00144A14">
        <w:rPr>
          <w:rFonts w:ascii="Verdana" w:hAnsi="Verdana" w:cs="Arial"/>
          <w:sz w:val="16"/>
          <w:szCs w:val="16"/>
          <w:lang w:val="pt-BR"/>
        </w:rPr>
        <w:t xml:space="preserve"> </w:t>
      </w:r>
      <w:r w:rsidRPr="00144A14">
        <w:rPr>
          <w:rFonts w:ascii="Verdana" w:eastAsia="Arial Nova" w:hAnsi="Verdana" w:cs="Arial"/>
          <w:sz w:val="16"/>
          <w:szCs w:val="16"/>
          <w:lang w:val="pt-BR"/>
        </w:rPr>
        <w:t>Corte Constitucional. Sentencia C-614 de 2009. M.P. Jorge Ignacio Pretelt Chaljub.</w:t>
      </w:r>
    </w:p>
    <w:p w14:paraId="41879DC6" w14:textId="77777777" w:rsidR="000E4BBA" w:rsidRPr="00144A14" w:rsidDel="00A37FEF" w:rsidRDefault="000E4BBA" w:rsidP="00852AD9">
      <w:pPr>
        <w:spacing w:after="0"/>
        <w:ind w:firstLine="708"/>
        <w:jc w:val="both"/>
        <w:rPr>
          <w:rFonts w:ascii="Verdana" w:eastAsia="Arial Nova" w:hAnsi="Verdana" w:cs="Arial"/>
          <w:sz w:val="16"/>
          <w:szCs w:val="16"/>
          <w:lang w:val="pt-BR"/>
        </w:rPr>
      </w:pPr>
    </w:p>
  </w:footnote>
  <w:footnote w:id="4">
    <w:p w14:paraId="4AAAB2DF" w14:textId="2857D168" w:rsidR="00AF401E" w:rsidRDefault="0081088A" w:rsidP="000E4BBA">
      <w:pPr>
        <w:pStyle w:val="Textonotapie"/>
        <w:ind w:firstLine="708"/>
        <w:rPr>
          <w:rFonts w:ascii="Verdana" w:hAnsi="Verdana" w:cs="Arial"/>
          <w:color w:val="000000"/>
          <w:sz w:val="16"/>
          <w:szCs w:val="16"/>
          <w:lang w:val="es-ES"/>
        </w:rPr>
      </w:pPr>
      <w:r w:rsidRPr="00144A14">
        <w:rPr>
          <w:rStyle w:val="Refdenotaalpie"/>
          <w:rFonts w:ascii="Verdana" w:hAnsi="Verdana"/>
          <w:sz w:val="16"/>
          <w:szCs w:val="16"/>
        </w:rPr>
        <w:footnoteRef/>
      </w:r>
      <w:r w:rsidRPr="00144A14">
        <w:rPr>
          <w:rFonts w:ascii="Verdana" w:hAnsi="Verdana"/>
          <w:sz w:val="16"/>
          <w:szCs w:val="16"/>
          <w:lang w:val="pt-BR"/>
        </w:rPr>
        <w:t xml:space="preserve"> </w:t>
      </w:r>
      <w:r w:rsidRPr="00144A14">
        <w:rPr>
          <w:rFonts w:ascii="Verdana" w:hAnsi="Verdana" w:cs="Arial"/>
          <w:color w:val="000000"/>
          <w:sz w:val="16"/>
          <w:szCs w:val="16"/>
          <w:lang w:val="pt-BR"/>
        </w:rPr>
        <w:t xml:space="preserve">Corte Constitucional. Sentencia C-154 de 1997. </w:t>
      </w:r>
      <w:r w:rsidRPr="00144A14">
        <w:rPr>
          <w:rFonts w:ascii="Verdana" w:hAnsi="Verdana" w:cs="Arial"/>
          <w:color w:val="000000"/>
          <w:sz w:val="16"/>
          <w:szCs w:val="16"/>
          <w:lang w:val="es-ES"/>
        </w:rPr>
        <w:t>M.P. Hernando Herrera Vergara.</w:t>
      </w:r>
    </w:p>
    <w:p w14:paraId="7FDD604D" w14:textId="77777777" w:rsidR="000E4BBA" w:rsidRPr="000E4BBA" w:rsidDel="00A37FEF" w:rsidRDefault="000E4BBA" w:rsidP="000E4BBA">
      <w:pPr>
        <w:pStyle w:val="Textonotapie"/>
        <w:ind w:firstLine="708"/>
        <w:rPr>
          <w:rFonts w:ascii="Verdana" w:hAnsi="Verdana" w:cs="Arial"/>
          <w:color w:val="000000"/>
          <w:sz w:val="16"/>
          <w:szCs w:val="16"/>
          <w:lang w:val="es-ES"/>
        </w:rPr>
      </w:pPr>
    </w:p>
  </w:footnote>
  <w:footnote w:id="5">
    <w:p w14:paraId="732BE685" w14:textId="023E4DD4" w:rsidR="0081088A" w:rsidRPr="00144A14" w:rsidRDefault="0081088A" w:rsidP="000E4BBA">
      <w:pPr>
        <w:pStyle w:val="Textonotapie"/>
        <w:ind w:firstLine="709"/>
        <w:contextualSpacing/>
        <w:jc w:val="both"/>
        <w:rPr>
          <w:rFonts w:ascii="Verdana" w:hAnsi="Verdana" w:cs="Arial"/>
          <w:color w:val="000000"/>
          <w:sz w:val="16"/>
          <w:szCs w:val="16"/>
          <w:lang w:val="es-ES"/>
        </w:rPr>
      </w:pPr>
      <w:r w:rsidRPr="00144A14">
        <w:rPr>
          <w:rStyle w:val="Refdenotaalpie"/>
          <w:rFonts w:ascii="Verdana" w:hAnsi="Verdana" w:cs="Arial"/>
          <w:color w:val="000000"/>
          <w:sz w:val="16"/>
          <w:szCs w:val="16"/>
        </w:rPr>
        <w:footnoteRef/>
      </w:r>
      <w:r w:rsidRPr="00144A14">
        <w:rPr>
          <w:rFonts w:ascii="Verdana" w:hAnsi="Verdana" w:cs="Arial"/>
          <w:color w:val="000000"/>
          <w:sz w:val="16"/>
          <w:szCs w:val="16"/>
        </w:rPr>
        <w:t xml:space="preserve"> </w:t>
      </w:r>
      <w:r w:rsidRPr="00144A14">
        <w:rPr>
          <w:rFonts w:ascii="Verdana" w:hAnsi="Verdana" w:cs="Arial"/>
          <w:color w:val="000000"/>
          <w:sz w:val="16"/>
          <w:szCs w:val="16"/>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r w:rsidR="000E4BBA">
        <w:rPr>
          <w:rFonts w:ascii="Verdana" w:hAnsi="Verdana" w:cs="Arial"/>
          <w:color w:val="000000"/>
          <w:sz w:val="16"/>
          <w:szCs w:val="16"/>
          <w:lang w:val="es-ES"/>
        </w:rPr>
        <w:t xml:space="preserve"> </w:t>
      </w:r>
      <w:r w:rsidRPr="00144A14">
        <w:rPr>
          <w:rFonts w:ascii="Verdana" w:hAnsi="Verdana" w:cs="Arial"/>
          <w:color w:val="000000" w:themeColor="text1"/>
          <w:sz w:val="16"/>
          <w:szCs w:val="16"/>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r w:rsidR="000E4BBA">
        <w:rPr>
          <w:rFonts w:ascii="Verdana" w:hAnsi="Verdana" w:cs="Arial"/>
          <w:color w:val="000000"/>
          <w:sz w:val="16"/>
          <w:szCs w:val="16"/>
          <w:lang w:val="es-ES"/>
        </w:rPr>
        <w:t xml:space="preserve"> </w:t>
      </w:r>
      <w:r w:rsidRPr="00144A14">
        <w:rPr>
          <w:rFonts w:ascii="Verdana" w:hAnsi="Verdana" w:cs="Arial"/>
          <w:color w:val="000000" w:themeColor="text1"/>
          <w:sz w:val="16"/>
          <w:szCs w:val="16"/>
          <w:lang w:val="es-ES"/>
        </w:rPr>
        <w:t>La Entidad Estatal, para la contratación de trabajos artísticos que solamente puedan en­comendarse a determinadas personas naturales, debe justificar esta situación en los estudios y documentos previos”.</w:t>
      </w:r>
    </w:p>
  </w:footnote>
  <w:footnote w:id="6">
    <w:p w14:paraId="76377027" w14:textId="77777777" w:rsidR="0081088A" w:rsidRDefault="0081088A" w:rsidP="0081088A">
      <w:pPr>
        <w:pStyle w:val="Textonotapie"/>
        <w:ind w:firstLine="709"/>
        <w:contextualSpacing/>
        <w:jc w:val="both"/>
        <w:rPr>
          <w:rFonts w:ascii="Verdana" w:hAnsi="Verdana" w:cs="Arial"/>
          <w:color w:val="000000"/>
          <w:sz w:val="16"/>
          <w:szCs w:val="16"/>
          <w:lang w:val="es-ES"/>
        </w:rPr>
      </w:pPr>
      <w:r w:rsidRPr="00144A14">
        <w:rPr>
          <w:rStyle w:val="Refdenotaalpie"/>
          <w:rFonts w:ascii="Verdana" w:hAnsi="Verdana" w:cs="Arial"/>
          <w:color w:val="000000"/>
          <w:sz w:val="16"/>
          <w:szCs w:val="16"/>
        </w:rPr>
        <w:footnoteRef/>
      </w:r>
      <w:r w:rsidRPr="00144A14">
        <w:rPr>
          <w:rFonts w:ascii="Verdana" w:hAnsi="Verdana" w:cs="Arial"/>
          <w:color w:val="000000"/>
          <w:sz w:val="16"/>
          <w:szCs w:val="16"/>
        </w:rPr>
        <w:t xml:space="preserve"> </w:t>
      </w:r>
      <w:r w:rsidRPr="00144A14">
        <w:rPr>
          <w:rFonts w:ascii="Verdana" w:hAnsi="Verdana" w:cs="Arial"/>
          <w:color w:val="000000"/>
          <w:sz w:val="16"/>
          <w:szCs w:val="16"/>
          <w:lang w:val="es-ES"/>
        </w:rPr>
        <w:t>Consejo de Estado. Sección Tercera. Subsección C. Sentencia del 2 de diciembre de 2013. Exp. 41719. C.P. Jaime Orlando Santofimio Gamboa.</w:t>
      </w:r>
    </w:p>
    <w:p w14:paraId="65EAA29E" w14:textId="77777777" w:rsidR="00852AD9" w:rsidRPr="00144A14" w:rsidDel="00A37FEF" w:rsidRDefault="00852AD9" w:rsidP="0081088A">
      <w:pPr>
        <w:pStyle w:val="Textonotapie"/>
        <w:ind w:firstLine="709"/>
        <w:contextualSpacing/>
        <w:jc w:val="both"/>
        <w:rPr>
          <w:rFonts w:ascii="Verdana" w:hAnsi="Verdana" w:cs="Arial"/>
          <w:color w:val="000000"/>
          <w:sz w:val="16"/>
          <w:szCs w:val="16"/>
          <w:lang w:val="es-ES"/>
        </w:rPr>
      </w:pPr>
    </w:p>
  </w:footnote>
  <w:footnote w:id="7">
    <w:p w14:paraId="47D6817A" w14:textId="77777777" w:rsidR="0081088A" w:rsidRPr="00144A14" w:rsidRDefault="0081088A" w:rsidP="0081088A">
      <w:pPr>
        <w:pStyle w:val="Textonotapie"/>
        <w:ind w:firstLine="709"/>
        <w:contextualSpacing/>
        <w:jc w:val="both"/>
        <w:rPr>
          <w:rFonts w:ascii="Verdana" w:hAnsi="Verdana" w:cs="Arial"/>
          <w:color w:val="000000"/>
          <w:sz w:val="16"/>
          <w:szCs w:val="16"/>
          <w:lang w:val="es-ES"/>
        </w:rPr>
      </w:pPr>
      <w:r w:rsidRPr="00144A14">
        <w:rPr>
          <w:rStyle w:val="Refdenotaalpie"/>
          <w:rFonts w:ascii="Verdana" w:hAnsi="Verdana" w:cs="Arial"/>
          <w:color w:val="000000"/>
          <w:sz w:val="16"/>
          <w:szCs w:val="16"/>
        </w:rPr>
        <w:footnoteRef/>
      </w:r>
      <w:r w:rsidRPr="00144A14">
        <w:rPr>
          <w:rFonts w:ascii="Verdana" w:hAnsi="Verdana" w:cs="Arial"/>
          <w:color w:val="000000"/>
          <w:sz w:val="16"/>
          <w:szCs w:val="16"/>
        </w:rPr>
        <w:t xml:space="preserve"> </w:t>
      </w:r>
      <w:r w:rsidRPr="00144A14">
        <w:rPr>
          <w:rFonts w:ascii="Verdana" w:hAnsi="Verdana" w:cs="Arial"/>
          <w:color w:val="000000"/>
          <w:sz w:val="16"/>
          <w:szCs w:val="16"/>
          <w:lang w:val="es-ES"/>
        </w:rPr>
        <w:t>Ibíd.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0B320229" w14:textId="77777777" w:rsidR="0081088A" w:rsidRPr="00144A14" w:rsidRDefault="0081088A" w:rsidP="0081088A">
      <w:pPr>
        <w:pStyle w:val="Textonotapie"/>
        <w:ind w:firstLine="709"/>
        <w:contextualSpacing/>
        <w:jc w:val="both"/>
        <w:rPr>
          <w:rFonts w:ascii="Verdana" w:hAnsi="Verdana" w:cs="Arial"/>
          <w:color w:val="000000"/>
          <w:sz w:val="16"/>
          <w:szCs w:val="16"/>
          <w:lang w:val="es-ES"/>
        </w:rPr>
      </w:pPr>
      <w:r w:rsidRPr="00144A14">
        <w:rPr>
          <w:rFonts w:ascii="Verdana" w:hAnsi="Verdana" w:cs="Arial"/>
          <w:color w:val="000000" w:themeColor="text1"/>
          <w:sz w:val="16"/>
          <w:szCs w:val="16"/>
          <w:lang w:val="es-ES"/>
        </w:rPr>
        <w:t>Son también contratos de consultoría los que tienen por objeto la interventoría, asesoría, gerencia de obra o de proyectos, dirección, programación y la ejecución de diseños, planos, anteproyectos y proyectos.</w:t>
      </w:r>
    </w:p>
    <w:p w14:paraId="18899465" w14:textId="77777777" w:rsidR="0081088A" w:rsidRDefault="0081088A" w:rsidP="0081088A">
      <w:pPr>
        <w:pStyle w:val="Textonotapie"/>
        <w:ind w:firstLine="709"/>
        <w:contextualSpacing/>
        <w:jc w:val="both"/>
        <w:rPr>
          <w:rFonts w:ascii="Verdana" w:hAnsi="Verdana" w:cs="Arial"/>
          <w:color w:val="000000" w:themeColor="text1"/>
          <w:sz w:val="16"/>
          <w:szCs w:val="16"/>
          <w:lang w:val="es-ES"/>
        </w:rPr>
      </w:pPr>
      <w:r w:rsidRPr="00144A14">
        <w:rPr>
          <w:rFonts w:ascii="Verdana" w:hAnsi="Verdana" w:cs="Arial"/>
          <w:color w:val="000000" w:themeColor="text1"/>
          <w:sz w:val="16"/>
          <w:szCs w:val="16"/>
          <w:lang w:val="es-ES"/>
        </w:rPr>
        <w:t xml:space="preserve">Ninguna orden del interventor de una obra podrá darse verbalmente. Es obligatorio para el interventor entregar por escrito sus órdenes o sugerencias y ellas deben enmarcarse dentro de los términos del respectivo contrato”. </w:t>
      </w:r>
    </w:p>
    <w:p w14:paraId="032950F4" w14:textId="77777777" w:rsidR="00852AD9" w:rsidRPr="00144A14" w:rsidRDefault="00852AD9" w:rsidP="0081088A">
      <w:pPr>
        <w:pStyle w:val="Textonotapie"/>
        <w:ind w:firstLine="709"/>
        <w:contextualSpacing/>
        <w:jc w:val="both"/>
        <w:rPr>
          <w:rFonts w:ascii="Verdana" w:hAnsi="Verdana" w:cs="Arial"/>
          <w:color w:val="000000"/>
          <w:sz w:val="16"/>
          <w:szCs w:val="16"/>
          <w:lang w:val="es-ES"/>
        </w:rPr>
      </w:pPr>
    </w:p>
  </w:footnote>
  <w:footnote w:id="8">
    <w:p w14:paraId="710EB4B0" w14:textId="77777777" w:rsidR="0081088A" w:rsidRPr="00144A14" w:rsidRDefault="0081088A" w:rsidP="0081088A">
      <w:pPr>
        <w:pStyle w:val="Textonotapie"/>
        <w:ind w:firstLine="709"/>
        <w:contextualSpacing/>
        <w:jc w:val="both"/>
        <w:rPr>
          <w:rFonts w:ascii="Verdana" w:hAnsi="Verdana" w:cs="Arial"/>
          <w:color w:val="000000"/>
          <w:sz w:val="16"/>
          <w:szCs w:val="16"/>
          <w:lang w:val="es-ES"/>
        </w:rPr>
      </w:pPr>
      <w:r w:rsidRPr="00144A14">
        <w:rPr>
          <w:rStyle w:val="Refdenotaalpie"/>
          <w:rFonts w:ascii="Verdana" w:hAnsi="Verdana" w:cs="Arial"/>
          <w:color w:val="000000"/>
          <w:sz w:val="16"/>
          <w:szCs w:val="16"/>
        </w:rPr>
        <w:footnoteRef/>
      </w:r>
      <w:r w:rsidRPr="00144A14">
        <w:rPr>
          <w:rFonts w:ascii="Verdana" w:hAnsi="Verdana" w:cs="Arial"/>
          <w:color w:val="000000"/>
          <w:sz w:val="16"/>
          <w:szCs w:val="16"/>
        </w:rPr>
        <w:t xml:space="preserve"> </w:t>
      </w:r>
      <w:r w:rsidRPr="00144A14">
        <w:rPr>
          <w:rFonts w:ascii="Verdana" w:hAnsi="Verdana" w:cs="Arial"/>
          <w:color w:val="000000"/>
          <w:sz w:val="16"/>
          <w:szCs w:val="16"/>
          <w:lang w:val="es-ES"/>
        </w:rPr>
        <w:t>Así lo prevé el artículo 2.2.1.2.1.4.1. del Decreto 1082 de 2015: “La Entidad Estatal debe señalar en un acto administrativo la justificación para contratar bajo la modalidad de contratación directa, el cual debe contener:</w:t>
      </w:r>
    </w:p>
    <w:p w14:paraId="5C36C783" w14:textId="77777777" w:rsidR="0081088A" w:rsidRPr="00144A14" w:rsidRDefault="0081088A" w:rsidP="0081088A">
      <w:pPr>
        <w:pStyle w:val="Textonotapie"/>
        <w:ind w:firstLine="709"/>
        <w:contextualSpacing/>
        <w:jc w:val="both"/>
        <w:rPr>
          <w:rFonts w:ascii="Verdana" w:hAnsi="Verdana" w:cs="Arial"/>
          <w:color w:val="000000"/>
          <w:sz w:val="16"/>
          <w:szCs w:val="16"/>
          <w:lang w:val="es-ES"/>
        </w:rPr>
      </w:pPr>
      <w:r w:rsidRPr="00144A14">
        <w:rPr>
          <w:rFonts w:ascii="Verdana" w:hAnsi="Verdana" w:cs="Arial"/>
          <w:color w:val="000000" w:themeColor="text1"/>
          <w:sz w:val="16"/>
          <w:szCs w:val="16"/>
          <w:lang w:val="es-ES"/>
        </w:rPr>
        <w:t>1. La causal que invoca para contratar directamente.</w:t>
      </w:r>
    </w:p>
    <w:p w14:paraId="3C90C4EE" w14:textId="77777777" w:rsidR="0081088A" w:rsidRPr="00144A14" w:rsidRDefault="0081088A" w:rsidP="0081088A">
      <w:pPr>
        <w:pStyle w:val="Textonotapie"/>
        <w:ind w:firstLine="709"/>
        <w:contextualSpacing/>
        <w:jc w:val="both"/>
        <w:rPr>
          <w:rFonts w:ascii="Verdana" w:hAnsi="Verdana" w:cs="Arial"/>
          <w:color w:val="000000"/>
          <w:sz w:val="16"/>
          <w:szCs w:val="16"/>
          <w:lang w:val="es-ES"/>
        </w:rPr>
      </w:pPr>
      <w:r w:rsidRPr="00144A14">
        <w:rPr>
          <w:rFonts w:ascii="Verdana" w:hAnsi="Verdana" w:cs="Arial"/>
          <w:color w:val="000000" w:themeColor="text1"/>
          <w:sz w:val="16"/>
          <w:szCs w:val="16"/>
          <w:lang w:val="es-ES"/>
        </w:rPr>
        <w:t>2. El objeto del contrato.</w:t>
      </w:r>
    </w:p>
    <w:p w14:paraId="18DFBE39" w14:textId="77777777" w:rsidR="0081088A" w:rsidRPr="00144A14" w:rsidRDefault="0081088A" w:rsidP="0081088A">
      <w:pPr>
        <w:pStyle w:val="Textonotapie"/>
        <w:ind w:firstLine="709"/>
        <w:contextualSpacing/>
        <w:jc w:val="both"/>
        <w:rPr>
          <w:rFonts w:ascii="Verdana" w:hAnsi="Verdana" w:cs="Arial"/>
          <w:color w:val="000000"/>
          <w:sz w:val="16"/>
          <w:szCs w:val="16"/>
          <w:lang w:val="es-ES"/>
        </w:rPr>
      </w:pPr>
      <w:r w:rsidRPr="00144A14">
        <w:rPr>
          <w:rFonts w:ascii="Verdana" w:hAnsi="Verdana" w:cs="Arial"/>
          <w:color w:val="000000" w:themeColor="text1"/>
          <w:sz w:val="16"/>
          <w:szCs w:val="16"/>
          <w:lang w:val="es-ES"/>
        </w:rPr>
        <w:t>3. El presupuesto para la contratación y las condiciones que exigirá al contratista.</w:t>
      </w:r>
    </w:p>
    <w:p w14:paraId="5A91496D" w14:textId="77777777" w:rsidR="0081088A" w:rsidRPr="00144A14" w:rsidRDefault="0081088A" w:rsidP="0081088A">
      <w:pPr>
        <w:pStyle w:val="Textonotapie"/>
        <w:ind w:firstLine="709"/>
        <w:contextualSpacing/>
        <w:jc w:val="both"/>
        <w:rPr>
          <w:rFonts w:ascii="Verdana" w:hAnsi="Verdana" w:cs="Arial"/>
          <w:color w:val="000000"/>
          <w:sz w:val="16"/>
          <w:szCs w:val="16"/>
          <w:lang w:val="es-ES"/>
        </w:rPr>
      </w:pPr>
      <w:r w:rsidRPr="00144A14">
        <w:rPr>
          <w:rFonts w:ascii="Verdana" w:hAnsi="Verdana" w:cs="Arial"/>
          <w:color w:val="000000" w:themeColor="text1"/>
          <w:sz w:val="16"/>
          <w:szCs w:val="16"/>
          <w:lang w:val="es-ES"/>
        </w:rPr>
        <w:t>4. El lugar en el cual los interesados pueden consultar los estudios y documentos previos.</w:t>
      </w:r>
    </w:p>
    <w:p w14:paraId="12BAC7B2" w14:textId="77777777" w:rsidR="0081088A" w:rsidRPr="00144A14" w:rsidRDefault="0081088A" w:rsidP="0081088A">
      <w:pPr>
        <w:pStyle w:val="Textonotapie"/>
        <w:ind w:firstLine="709"/>
        <w:contextualSpacing/>
        <w:jc w:val="both"/>
        <w:rPr>
          <w:rFonts w:ascii="Verdana" w:hAnsi="Verdana" w:cs="Arial"/>
          <w:color w:val="000000"/>
          <w:sz w:val="16"/>
          <w:szCs w:val="16"/>
          <w:lang w:val="es-ES"/>
        </w:rPr>
      </w:pPr>
      <w:r w:rsidRPr="00144A14">
        <w:rPr>
          <w:rFonts w:ascii="Verdana" w:hAnsi="Verdana" w:cs="Arial"/>
          <w:color w:val="000000" w:themeColor="text1"/>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9">
    <w:p w14:paraId="58B6C5E6" w14:textId="3DE14DA0" w:rsidR="0081088A" w:rsidRPr="00144A14" w:rsidRDefault="0081088A" w:rsidP="00911BDE">
      <w:pPr>
        <w:pStyle w:val="Textonotapie"/>
        <w:ind w:firstLine="709"/>
        <w:contextualSpacing/>
        <w:jc w:val="both"/>
        <w:rPr>
          <w:rFonts w:ascii="Verdana" w:hAnsi="Verdana" w:cs="Arial"/>
          <w:color w:val="000000"/>
          <w:sz w:val="16"/>
          <w:szCs w:val="16"/>
          <w:lang w:val="es-ES"/>
        </w:rPr>
      </w:pPr>
      <w:r w:rsidRPr="00144A14">
        <w:rPr>
          <w:rStyle w:val="Refdenotaalpie"/>
          <w:rFonts w:ascii="Verdana" w:hAnsi="Verdana" w:cs="Arial"/>
          <w:color w:val="000000"/>
          <w:sz w:val="16"/>
          <w:szCs w:val="16"/>
        </w:rPr>
        <w:footnoteRef/>
      </w:r>
      <w:r w:rsidRPr="00144A14">
        <w:rPr>
          <w:rFonts w:ascii="Verdana" w:hAnsi="Verdana" w:cs="Arial"/>
          <w:color w:val="000000"/>
          <w:sz w:val="16"/>
          <w:szCs w:val="16"/>
        </w:rPr>
        <w:t xml:space="preserve"> </w:t>
      </w:r>
      <w:r w:rsidRPr="00144A14">
        <w:rPr>
          <w:rFonts w:ascii="Verdana" w:hAnsi="Verdana" w:cs="Arial"/>
          <w:color w:val="000000"/>
          <w:sz w:val="16"/>
          <w:szCs w:val="16"/>
          <w:lang w:val="es-ES"/>
        </w:rPr>
        <w:t>Esta norma expresa: “</w:t>
      </w:r>
      <w:r w:rsidRPr="00144A14">
        <w:rPr>
          <w:rFonts w:ascii="Verdana" w:hAnsi="Verdana" w:cs="Arial"/>
          <w:color w:val="000000"/>
          <w:sz w:val="16"/>
          <w:szCs w:val="16"/>
        </w:rPr>
        <w:t>P</w:t>
      </w:r>
      <w:r w:rsidRPr="00144A14">
        <w:rPr>
          <w:rFonts w:ascii="Verdana" w:hAnsi="Verdana" w:cs="Arial"/>
          <w:color w:val="000000"/>
          <w:sz w:val="16"/>
          <w:szCs w:val="16"/>
          <w:lang w:val="es-ES"/>
        </w:rPr>
        <w:t>ara el cumplimiento de los fines de la contratación, las entidades estatales al celebrar un contrato:</w:t>
      </w:r>
      <w:r w:rsidRPr="00144A14">
        <w:rPr>
          <w:rFonts w:ascii="Verdana" w:hAnsi="Verdana" w:cs="Arial"/>
          <w:color w:val="000000" w:themeColor="text1"/>
          <w:sz w:val="16"/>
          <w:szCs w:val="16"/>
          <w:lang w:val="es-ES"/>
        </w:rPr>
        <w:t>[…]</w:t>
      </w:r>
      <w:r w:rsidR="00911BDE">
        <w:rPr>
          <w:rFonts w:ascii="Verdana" w:hAnsi="Verdana" w:cs="Arial"/>
          <w:color w:val="000000"/>
          <w:sz w:val="16"/>
          <w:szCs w:val="16"/>
          <w:lang w:val="es-ES"/>
        </w:rPr>
        <w:t xml:space="preserve"> </w:t>
      </w:r>
      <w:r w:rsidRPr="00144A14">
        <w:rPr>
          <w:rFonts w:ascii="Verdana" w:hAnsi="Verdana" w:cs="Arial"/>
          <w:color w:val="000000" w:themeColor="text1"/>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76D2E3F7" w14:textId="77777777" w:rsidR="0081088A" w:rsidRDefault="0081088A" w:rsidP="0081088A">
      <w:pPr>
        <w:pStyle w:val="Textonotapie"/>
        <w:ind w:firstLine="709"/>
        <w:contextualSpacing/>
        <w:jc w:val="both"/>
        <w:rPr>
          <w:rFonts w:ascii="Verdana" w:hAnsi="Verdana" w:cs="Arial"/>
          <w:color w:val="000000" w:themeColor="text1"/>
          <w:sz w:val="16"/>
          <w:szCs w:val="16"/>
          <w:lang w:val="es-ES"/>
        </w:rPr>
      </w:pPr>
      <w:r w:rsidRPr="00144A14">
        <w:rPr>
          <w:rFonts w:ascii="Verdana" w:hAnsi="Verdana" w:cs="Arial"/>
          <w:color w:val="000000" w:themeColor="text1"/>
          <w:sz w:val="16"/>
          <w:szCs w:val="16"/>
          <w:lang w:val="es-ES"/>
        </w:rPr>
        <w:t>Las entidades estatales podrán pactar estas cláusulas en los contratos de suministro y de prestación de servicios. […]”.</w:t>
      </w:r>
    </w:p>
    <w:p w14:paraId="76A8DEEA" w14:textId="77777777" w:rsidR="00852AD9" w:rsidRPr="00144A14" w:rsidRDefault="00852AD9" w:rsidP="0081088A">
      <w:pPr>
        <w:pStyle w:val="Textonotapie"/>
        <w:ind w:firstLine="709"/>
        <w:contextualSpacing/>
        <w:jc w:val="both"/>
        <w:rPr>
          <w:rFonts w:ascii="Verdana" w:hAnsi="Verdana" w:cs="Arial"/>
          <w:color w:val="000000"/>
          <w:sz w:val="16"/>
          <w:szCs w:val="16"/>
          <w:lang w:val="es-ES"/>
        </w:rPr>
      </w:pPr>
    </w:p>
  </w:footnote>
  <w:footnote w:id="10">
    <w:p w14:paraId="13806BA7" w14:textId="77777777" w:rsidR="0081088A" w:rsidRPr="00144A14" w:rsidRDefault="0081088A" w:rsidP="00911BDE">
      <w:pPr>
        <w:pStyle w:val="Textonotapie"/>
        <w:contextualSpacing/>
        <w:jc w:val="both"/>
        <w:rPr>
          <w:rFonts w:ascii="Verdana" w:hAnsi="Verdana" w:cs="Arial"/>
          <w:color w:val="000000"/>
          <w:sz w:val="16"/>
          <w:szCs w:val="16"/>
          <w:lang w:val="es-ES"/>
        </w:rPr>
      </w:pPr>
      <w:r w:rsidRPr="00144A14">
        <w:rPr>
          <w:rStyle w:val="Refdenotaalpie"/>
          <w:rFonts w:ascii="Verdana" w:hAnsi="Verdana" w:cs="Arial"/>
          <w:color w:val="000000"/>
          <w:sz w:val="16"/>
          <w:szCs w:val="16"/>
        </w:rPr>
        <w:footnoteRef/>
      </w:r>
      <w:r w:rsidRPr="00144A14">
        <w:rPr>
          <w:rFonts w:ascii="Verdana" w:hAnsi="Verdana" w:cs="Arial"/>
          <w:color w:val="000000"/>
          <w:sz w:val="16"/>
          <w:szCs w:val="16"/>
        </w:rPr>
        <w:t xml:space="preserve"> </w:t>
      </w:r>
      <w:r w:rsidRPr="00144A14">
        <w:rPr>
          <w:rFonts w:ascii="Verdana" w:hAnsi="Verdana" w:cs="Arial"/>
          <w:color w:val="000000"/>
          <w:sz w:val="16"/>
          <w:szCs w:val="16"/>
          <w:lang w:val="es-ES"/>
        </w:rPr>
        <w:t>La norma dispone: “La liquidación a que se refiere el presente artículo no será obligatoria en los contratos de prestación de servicios profesionales y de apoyo a la gestión”.</w:t>
      </w:r>
    </w:p>
  </w:footnote>
  <w:footnote w:id="11">
    <w:p w14:paraId="03AF03B5" w14:textId="2CF2671F" w:rsidR="0081088A" w:rsidRDefault="0081088A" w:rsidP="007E0189">
      <w:pPr>
        <w:pStyle w:val="Textonotapie"/>
        <w:ind w:firstLine="709"/>
        <w:contextualSpacing/>
        <w:jc w:val="both"/>
        <w:rPr>
          <w:rFonts w:ascii="Verdana" w:hAnsi="Verdana" w:cs="Arial"/>
          <w:color w:val="000000" w:themeColor="text1"/>
          <w:sz w:val="16"/>
          <w:szCs w:val="16"/>
        </w:rPr>
      </w:pPr>
      <w:r w:rsidRPr="00144A14">
        <w:rPr>
          <w:rStyle w:val="Refdenotaalpie"/>
          <w:rFonts w:ascii="Verdana" w:hAnsi="Verdana" w:cs="Arial"/>
          <w:color w:val="000000"/>
          <w:sz w:val="16"/>
          <w:szCs w:val="16"/>
        </w:rPr>
        <w:footnoteRef/>
      </w:r>
      <w:r w:rsidRPr="00144A14">
        <w:rPr>
          <w:rFonts w:ascii="Verdana" w:hAnsi="Verdana" w:cs="Arial"/>
          <w:color w:val="000000"/>
          <w:sz w:val="16"/>
          <w:szCs w:val="16"/>
        </w:rPr>
        <w:t xml:space="preserve"> 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r w:rsidRPr="00144A14">
        <w:rPr>
          <w:rFonts w:ascii="Verdana" w:hAnsi="Verdana" w:cs="Arial"/>
          <w:color w:val="000000" w:themeColor="text1"/>
          <w:sz w:val="16"/>
          <w:szCs w:val="16"/>
        </w:rPr>
        <w:t xml:space="preserve"> […]”.</w:t>
      </w:r>
    </w:p>
    <w:p w14:paraId="1798B844" w14:textId="77777777" w:rsidR="00852AD9" w:rsidRPr="007E0189" w:rsidRDefault="00852AD9" w:rsidP="007E0189">
      <w:pPr>
        <w:pStyle w:val="Textonotapie"/>
        <w:ind w:firstLine="709"/>
        <w:contextualSpacing/>
        <w:jc w:val="both"/>
        <w:rPr>
          <w:rFonts w:ascii="Verdana" w:hAnsi="Verdana" w:cs="Arial"/>
          <w:color w:val="000000"/>
          <w:sz w:val="16"/>
          <w:szCs w:val="16"/>
        </w:rPr>
      </w:pPr>
    </w:p>
  </w:footnote>
  <w:footnote w:id="12">
    <w:p w14:paraId="6C2DDACB" w14:textId="77777777" w:rsidR="0081088A" w:rsidRPr="00144A14" w:rsidDel="00A37FEF" w:rsidRDefault="0081088A" w:rsidP="0081088A">
      <w:pPr>
        <w:pStyle w:val="Textonotapie"/>
        <w:ind w:firstLine="709"/>
        <w:contextualSpacing/>
        <w:jc w:val="both"/>
        <w:rPr>
          <w:rFonts w:ascii="Verdana" w:hAnsi="Verdana" w:cs="Arial"/>
          <w:color w:val="000000"/>
          <w:sz w:val="16"/>
          <w:szCs w:val="16"/>
          <w:lang w:val="es-ES"/>
        </w:rPr>
      </w:pPr>
      <w:r w:rsidRPr="00144A14">
        <w:rPr>
          <w:rStyle w:val="Refdenotaalpie"/>
          <w:rFonts w:ascii="Verdana" w:hAnsi="Verdana" w:cs="Arial"/>
          <w:color w:val="000000"/>
          <w:sz w:val="16"/>
          <w:szCs w:val="16"/>
        </w:rPr>
        <w:footnoteRef/>
      </w:r>
      <w:r w:rsidRPr="00144A14">
        <w:rPr>
          <w:rFonts w:ascii="Verdana" w:hAnsi="Verdana" w:cs="Arial"/>
          <w:color w:val="000000"/>
          <w:sz w:val="16"/>
          <w:szCs w:val="16"/>
        </w:rPr>
        <w:t xml:space="preserve"> </w:t>
      </w:r>
      <w:r w:rsidRPr="00144A14">
        <w:rPr>
          <w:rFonts w:ascii="Verdana" w:hAnsi="Verdana" w:cs="Arial"/>
          <w:color w:val="000000"/>
          <w:sz w:val="16"/>
          <w:szCs w:val="16"/>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footnote>
  <w:footnote w:id="13">
    <w:p w14:paraId="362F85BF" w14:textId="77777777" w:rsidR="0081088A" w:rsidRPr="00144A14" w:rsidRDefault="0081088A" w:rsidP="0081088A">
      <w:pPr>
        <w:pStyle w:val="Textonotapie"/>
        <w:ind w:firstLine="709"/>
        <w:jc w:val="both"/>
        <w:rPr>
          <w:rFonts w:ascii="Verdana" w:hAnsi="Verdana"/>
          <w:sz w:val="16"/>
          <w:szCs w:val="16"/>
          <w:lang w:val="es-CO"/>
        </w:rPr>
      </w:pPr>
      <w:r w:rsidRPr="00144A14">
        <w:rPr>
          <w:rStyle w:val="Refdenotaalpie"/>
          <w:rFonts w:ascii="Verdana" w:hAnsi="Verdana"/>
          <w:sz w:val="16"/>
          <w:szCs w:val="16"/>
          <w:lang w:val="es-CO"/>
        </w:rPr>
        <w:footnoteRef/>
      </w:r>
      <w:r w:rsidRPr="00144A14">
        <w:rPr>
          <w:rFonts w:ascii="Verdana" w:hAnsi="Verdana"/>
          <w:sz w:val="16"/>
          <w:szCs w:val="16"/>
          <w:lang w:val="es-CO"/>
        </w:rPr>
        <w:t xml:space="preserve"> Corte Constitucional. Sentencia T-743 de 2017. M.P: Gloria Stella Ortiz Delgado.</w:t>
      </w:r>
    </w:p>
  </w:footnote>
  <w:footnote w:id="14">
    <w:p w14:paraId="582ACEB8" w14:textId="77777777" w:rsidR="0081088A" w:rsidRPr="00144A14" w:rsidRDefault="0081088A" w:rsidP="0081088A">
      <w:pPr>
        <w:pStyle w:val="Textonotapie"/>
        <w:ind w:firstLine="709"/>
        <w:rPr>
          <w:rFonts w:ascii="Verdana" w:hAnsi="Verdana"/>
          <w:sz w:val="16"/>
          <w:szCs w:val="16"/>
          <w:lang w:val="es-CO"/>
        </w:rPr>
      </w:pPr>
      <w:r w:rsidRPr="00144A14">
        <w:rPr>
          <w:rStyle w:val="Refdenotaalpie"/>
          <w:rFonts w:ascii="Verdana" w:hAnsi="Verdana"/>
          <w:sz w:val="16"/>
          <w:szCs w:val="16"/>
          <w:lang w:val="es-CO"/>
        </w:rPr>
        <w:footnoteRef/>
      </w:r>
      <w:r w:rsidRPr="00144A14">
        <w:rPr>
          <w:rFonts w:ascii="Verdana" w:hAnsi="Verdana"/>
          <w:sz w:val="16"/>
          <w:szCs w:val="16"/>
          <w:lang w:val="es-CO"/>
        </w:rPr>
        <w:t xml:space="preserve"> Corte Constitucional. Sentencia SU-075 de 2018. M.P: Gloria Stella Ortiz Delgado.</w:t>
      </w:r>
    </w:p>
  </w:footnote>
  <w:footnote w:id="15">
    <w:p w14:paraId="7D495CFB" w14:textId="77777777" w:rsidR="0081088A" w:rsidRPr="00144A14" w:rsidRDefault="0081088A" w:rsidP="0081088A">
      <w:pPr>
        <w:pStyle w:val="Textonotapie"/>
        <w:ind w:firstLine="709"/>
        <w:rPr>
          <w:rFonts w:ascii="Verdana" w:hAnsi="Verdana"/>
          <w:sz w:val="16"/>
          <w:szCs w:val="16"/>
          <w:lang w:val="es-CO"/>
        </w:rPr>
      </w:pPr>
      <w:r w:rsidRPr="00144A14">
        <w:rPr>
          <w:rStyle w:val="Refdenotaalpie"/>
          <w:rFonts w:ascii="Verdana" w:hAnsi="Verdana"/>
          <w:sz w:val="16"/>
          <w:szCs w:val="16"/>
        </w:rPr>
        <w:footnoteRef/>
      </w:r>
      <w:r w:rsidRPr="00144A14">
        <w:rPr>
          <w:rFonts w:ascii="Verdana" w:hAnsi="Verdana"/>
          <w:sz w:val="16"/>
          <w:szCs w:val="16"/>
          <w:lang w:val="es-CO"/>
        </w:rPr>
        <w:t xml:space="preserve"> Corte Constitucional. Sentencia T-350 del 2016. M.P: María Victoria Calle Correa. </w:t>
      </w:r>
    </w:p>
  </w:footnote>
  <w:footnote w:id="16">
    <w:p w14:paraId="0280F7DB" w14:textId="77777777" w:rsidR="0081088A" w:rsidRPr="00144A14" w:rsidRDefault="0081088A" w:rsidP="0081088A">
      <w:pPr>
        <w:pStyle w:val="Textonotapie"/>
        <w:ind w:firstLine="709"/>
        <w:rPr>
          <w:rFonts w:ascii="Verdana" w:hAnsi="Verdana"/>
          <w:sz w:val="16"/>
          <w:szCs w:val="16"/>
          <w:lang w:val="es-ES"/>
        </w:rPr>
      </w:pPr>
      <w:r w:rsidRPr="00144A14">
        <w:rPr>
          <w:rStyle w:val="Refdenotaalpie"/>
          <w:rFonts w:ascii="Verdana" w:hAnsi="Verdana"/>
          <w:sz w:val="16"/>
          <w:szCs w:val="16"/>
        </w:rPr>
        <w:footnoteRef/>
      </w:r>
      <w:r w:rsidRPr="00144A14">
        <w:rPr>
          <w:rFonts w:ascii="Verdana" w:hAnsi="Verdana"/>
          <w:sz w:val="16"/>
          <w:szCs w:val="16"/>
        </w:rPr>
        <w:t xml:space="preserve"> </w:t>
      </w:r>
      <w:r w:rsidRPr="00144A14">
        <w:rPr>
          <w:rFonts w:ascii="Verdana" w:hAnsi="Verdana"/>
          <w:sz w:val="16"/>
          <w:szCs w:val="16"/>
          <w:lang w:val="es-ES"/>
        </w:rPr>
        <w:t xml:space="preserve">Corte Constitucional. Sentencia T-030 de 2018. M.P: </w:t>
      </w:r>
      <w:r w:rsidRPr="00144A14">
        <w:rPr>
          <w:rFonts w:ascii="Verdana" w:hAnsi="Verdana"/>
          <w:sz w:val="16"/>
          <w:szCs w:val="16"/>
          <w:lang w:val="es-CO"/>
        </w:rPr>
        <w:t>José Fernando Reyes Cuartas.</w:t>
      </w:r>
    </w:p>
  </w:footnote>
  <w:footnote w:id="17">
    <w:p w14:paraId="28B14AFA" w14:textId="77777777" w:rsidR="0081088A" w:rsidRPr="00144A14" w:rsidRDefault="0081088A" w:rsidP="0081088A">
      <w:pPr>
        <w:pStyle w:val="Textonotapie"/>
        <w:ind w:firstLine="709"/>
        <w:rPr>
          <w:rFonts w:ascii="Verdana" w:hAnsi="Verdana"/>
          <w:sz w:val="16"/>
          <w:szCs w:val="16"/>
          <w:lang w:val="es-CO"/>
        </w:rPr>
      </w:pPr>
      <w:r w:rsidRPr="00144A14">
        <w:rPr>
          <w:rStyle w:val="Refdenotaalpie"/>
          <w:rFonts w:ascii="Verdana" w:hAnsi="Verdana"/>
          <w:sz w:val="16"/>
          <w:szCs w:val="16"/>
          <w:lang w:val="es-CO"/>
        </w:rPr>
        <w:footnoteRef/>
      </w:r>
      <w:r w:rsidRPr="00144A14">
        <w:rPr>
          <w:rFonts w:ascii="Verdana" w:hAnsi="Verdana"/>
          <w:sz w:val="16"/>
          <w:szCs w:val="16"/>
          <w:lang w:val="es-CO"/>
        </w:rPr>
        <w:t xml:space="preserve">  Corte Constitucional. Sentencia </w:t>
      </w:r>
      <w:r w:rsidRPr="00144A14">
        <w:rPr>
          <w:rFonts w:ascii="Verdana" w:hAnsi="Verdana"/>
          <w:sz w:val="16"/>
          <w:szCs w:val="16"/>
        </w:rPr>
        <w:t xml:space="preserve">T-743 de 2017. </w:t>
      </w:r>
      <w:r w:rsidRPr="00144A14">
        <w:rPr>
          <w:rFonts w:ascii="Verdana" w:hAnsi="Verdana"/>
          <w:sz w:val="16"/>
          <w:szCs w:val="16"/>
          <w:lang w:val="es-CO"/>
        </w:rPr>
        <w:t xml:space="preserve">M.P: Gloria Stella Ortiz Delgado. </w:t>
      </w:r>
    </w:p>
  </w:footnote>
  <w:footnote w:id="18">
    <w:p w14:paraId="34961810" w14:textId="77777777" w:rsidR="0081088A" w:rsidRPr="00144A14" w:rsidRDefault="0081088A" w:rsidP="0081088A">
      <w:pPr>
        <w:pStyle w:val="Textonotapie"/>
        <w:ind w:firstLine="709"/>
        <w:jc w:val="both"/>
        <w:rPr>
          <w:rFonts w:ascii="Verdana" w:hAnsi="Verdana"/>
          <w:sz w:val="16"/>
          <w:szCs w:val="16"/>
          <w:lang w:val="es-CO"/>
        </w:rPr>
      </w:pPr>
      <w:r w:rsidRPr="00144A14">
        <w:rPr>
          <w:rStyle w:val="Refdenotaalpie"/>
          <w:rFonts w:ascii="Verdana" w:hAnsi="Verdana"/>
          <w:sz w:val="16"/>
          <w:szCs w:val="16"/>
          <w:lang w:val="es-CO"/>
        </w:rPr>
        <w:footnoteRef/>
      </w:r>
      <w:r w:rsidRPr="00144A14">
        <w:rPr>
          <w:rFonts w:ascii="Verdana" w:hAnsi="Verdana"/>
          <w:sz w:val="16"/>
          <w:szCs w:val="16"/>
          <w:lang w:val="es-CO"/>
        </w:rPr>
        <w:t xml:space="preserve"> Corte Constitucional. Sentencia T-329 de 2022. M.P: Natalia Ángel Cabo. Reiterada en sentencia de la Corte Constitucional T-119 de 2023. M.P: Paola Andrea Meneses Mosquera.</w:t>
      </w:r>
    </w:p>
  </w:footnote>
  <w:footnote w:id="19">
    <w:p w14:paraId="7D25F3FA" w14:textId="77777777" w:rsidR="0081088A" w:rsidRPr="00144A14" w:rsidRDefault="0081088A" w:rsidP="0081088A">
      <w:pPr>
        <w:pStyle w:val="Textonotapie"/>
        <w:ind w:firstLine="709"/>
        <w:rPr>
          <w:rFonts w:ascii="Verdana" w:hAnsi="Verdana"/>
          <w:sz w:val="16"/>
          <w:szCs w:val="16"/>
          <w:lang w:val="es-CO"/>
        </w:rPr>
      </w:pPr>
      <w:r w:rsidRPr="00144A14">
        <w:rPr>
          <w:rStyle w:val="Refdenotaalpie"/>
          <w:rFonts w:ascii="Verdana" w:hAnsi="Verdana"/>
          <w:sz w:val="16"/>
          <w:szCs w:val="16"/>
          <w:lang w:val="es-CO"/>
        </w:rPr>
        <w:footnoteRef/>
      </w:r>
      <w:r w:rsidRPr="00144A14">
        <w:rPr>
          <w:rFonts w:ascii="Verdana" w:hAnsi="Verdana"/>
          <w:sz w:val="16"/>
          <w:szCs w:val="16"/>
          <w:lang w:val="es-CO"/>
        </w:rPr>
        <w:t xml:space="preserve"> Corte Constitucional. Sentencia SU</w:t>
      </w:r>
      <w:r w:rsidRPr="00144A14">
        <w:rPr>
          <w:rFonts w:ascii="Verdana" w:hAnsi="Verdana"/>
          <w:sz w:val="16"/>
          <w:szCs w:val="16"/>
        </w:rPr>
        <w:t xml:space="preserve">-070 de 2013. </w:t>
      </w:r>
      <w:r w:rsidRPr="00144A14">
        <w:rPr>
          <w:rFonts w:ascii="Verdana" w:hAnsi="Verdana"/>
          <w:sz w:val="16"/>
          <w:szCs w:val="16"/>
          <w:lang w:val="es-CO"/>
        </w:rPr>
        <w:t xml:space="preserve">M.P: Alexei Julio Estrada. </w:t>
      </w:r>
    </w:p>
  </w:footnote>
  <w:footnote w:id="20">
    <w:p w14:paraId="340DB9AE" w14:textId="77777777" w:rsidR="0081088A" w:rsidRPr="00144A14" w:rsidRDefault="0081088A" w:rsidP="0081088A">
      <w:pPr>
        <w:spacing w:after="0" w:line="240" w:lineRule="auto"/>
        <w:ind w:firstLine="709"/>
        <w:jc w:val="both"/>
        <w:rPr>
          <w:rFonts w:ascii="Verdana" w:hAnsi="Verdana"/>
          <w:spacing w:val="-2"/>
          <w:sz w:val="16"/>
          <w:szCs w:val="16"/>
        </w:rPr>
      </w:pPr>
      <w:r w:rsidRPr="00144A14">
        <w:rPr>
          <w:rStyle w:val="Refdenotaalpie"/>
          <w:rFonts w:ascii="Verdana" w:hAnsi="Verdana"/>
          <w:sz w:val="16"/>
          <w:szCs w:val="16"/>
        </w:rPr>
        <w:footnoteRef/>
      </w:r>
      <w:r w:rsidRPr="00144A14">
        <w:rPr>
          <w:rFonts w:ascii="Verdana" w:hAnsi="Verdana"/>
          <w:sz w:val="16"/>
          <w:szCs w:val="16"/>
        </w:rPr>
        <w:t xml:space="preserve"> Corte</w:t>
      </w:r>
      <w:r w:rsidRPr="00144A14">
        <w:rPr>
          <w:rFonts w:ascii="Verdana" w:hAnsi="Verdana"/>
          <w:spacing w:val="1"/>
          <w:sz w:val="16"/>
          <w:szCs w:val="16"/>
        </w:rPr>
        <w:t xml:space="preserve"> </w:t>
      </w:r>
      <w:r w:rsidRPr="00144A14">
        <w:rPr>
          <w:rFonts w:ascii="Verdana" w:hAnsi="Verdana"/>
          <w:sz w:val="16"/>
          <w:szCs w:val="16"/>
        </w:rPr>
        <w:t>Constitucional.</w:t>
      </w:r>
      <w:r w:rsidRPr="00144A14">
        <w:rPr>
          <w:rFonts w:ascii="Verdana" w:hAnsi="Verdana"/>
          <w:spacing w:val="3"/>
          <w:sz w:val="16"/>
          <w:szCs w:val="16"/>
        </w:rPr>
        <w:t xml:space="preserve"> </w:t>
      </w:r>
      <w:r w:rsidRPr="00144A14">
        <w:rPr>
          <w:rFonts w:ascii="Verdana" w:hAnsi="Verdana"/>
          <w:sz w:val="16"/>
          <w:szCs w:val="16"/>
        </w:rPr>
        <w:t>Sentencia</w:t>
      </w:r>
      <w:r w:rsidRPr="00144A14">
        <w:rPr>
          <w:rFonts w:ascii="Verdana" w:hAnsi="Verdana"/>
          <w:spacing w:val="2"/>
          <w:sz w:val="16"/>
          <w:szCs w:val="16"/>
        </w:rPr>
        <w:t xml:space="preserve"> </w:t>
      </w:r>
      <w:r w:rsidRPr="00144A14">
        <w:rPr>
          <w:rFonts w:ascii="Verdana" w:hAnsi="Verdana"/>
          <w:sz w:val="16"/>
          <w:szCs w:val="16"/>
        </w:rPr>
        <w:t>T-329</w:t>
      </w:r>
      <w:r w:rsidRPr="00144A14">
        <w:rPr>
          <w:rFonts w:ascii="Verdana" w:hAnsi="Verdana"/>
          <w:spacing w:val="1"/>
          <w:sz w:val="16"/>
          <w:szCs w:val="16"/>
        </w:rPr>
        <w:t xml:space="preserve"> </w:t>
      </w:r>
      <w:r w:rsidRPr="00144A14">
        <w:rPr>
          <w:rFonts w:ascii="Verdana" w:hAnsi="Verdana"/>
          <w:sz w:val="16"/>
          <w:szCs w:val="16"/>
        </w:rPr>
        <w:t>del</w:t>
      </w:r>
      <w:r w:rsidRPr="00144A14">
        <w:rPr>
          <w:rFonts w:ascii="Verdana" w:hAnsi="Verdana"/>
          <w:spacing w:val="2"/>
          <w:sz w:val="16"/>
          <w:szCs w:val="16"/>
        </w:rPr>
        <w:t xml:space="preserve"> </w:t>
      </w:r>
      <w:r w:rsidRPr="00144A14">
        <w:rPr>
          <w:rFonts w:ascii="Verdana" w:hAnsi="Verdana"/>
          <w:sz w:val="16"/>
          <w:szCs w:val="16"/>
        </w:rPr>
        <w:t>19 de septiembre</w:t>
      </w:r>
      <w:r w:rsidRPr="00144A14">
        <w:rPr>
          <w:rFonts w:ascii="Verdana" w:hAnsi="Verdana"/>
          <w:spacing w:val="2"/>
          <w:sz w:val="16"/>
          <w:szCs w:val="16"/>
        </w:rPr>
        <w:t xml:space="preserve"> </w:t>
      </w:r>
      <w:r w:rsidRPr="00144A14">
        <w:rPr>
          <w:rFonts w:ascii="Verdana" w:hAnsi="Verdana"/>
          <w:sz w:val="16"/>
          <w:szCs w:val="16"/>
        </w:rPr>
        <w:t>de</w:t>
      </w:r>
      <w:r w:rsidRPr="00144A14">
        <w:rPr>
          <w:rFonts w:ascii="Verdana" w:hAnsi="Verdana"/>
          <w:spacing w:val="1"/>
          <w:sz w:val="16"/>
          <w:szCs w:val="16"/>
        </w:rPr>
        <w:t xml:space="preserve"> </w:t>
      </w:r>
      <w:r w:rsidRPr="00144A14">
        <w:rPr>
          <w:rFonts w:ascii="Verdana" w:hAnsi="Verdana"/>
          <w:sz w:val="16"/>
          <w:szCs w:val="16"/>
        </w:rPr>
        <w:t>2022.</w:t>
      </w:r>
      <w:r w:rsidRPr="00144A14">
        <w:rPr>
          <w:rFonts w:ascii="Verdana" w:hAnsi="Verdana"/>
          <w:spacing w:val="1"/>
          <w:sz w:val="16"/>
          <w:szCs w:val="16"/>
        </w:rPr>
        <w:t xml:space="preserve"> </w:t>
      </w:r>
      <w:r w:rsidRPr="00144A14">
        <w:rPr>
          <w:rFonts w:ascii="Verdana" w:hAnsi="Verdana"/>
          <w:sz w:val="16"/>
          <w:szCs w:val="16"/>
        </w:rPr>
        <w:t>M.P:</w:t>
      </w:r>
      <w:r w:rsidRPr="00144A14">
        <w:rPr>
          <w:rFonts w:ascii="Verdana" w:hAnsi="Verdana"/>
          <w:spacing w:val="1"/>
          <w:sz w:val="16"/>
          <w:szCs w:val="16"/>
        </w:rPr>
        <w:t xml:space="preserve"> </w:t>
      </w:r>
      <w:r w:rsidRPr="00144A14">
        <w:rPr>
          <w:rFonts w:ascii="Verdana" w:hAnsi="Verdana"/>
          <w:sz w:val="16"/>
          <w:szCs w:val="16"/>
        </w:rPr>
        <w:t>Natalia</w:t>
      </w:r>
      <w:r w:rsidRPr="00144A14">
        <w:rPr>
          <w:rFonts w:ascii="Verdana" w:hAnsi="Verdana"/>
          <w:spacing w:val="1"/>
          <w:sz w:val="16"/>
          <w:szCs w:val="16"/>
        </w:rPr>
        <w:t xml:space="preserve"> </w:t>
      </w:r>
      <w:r w:rsidRPr="00144A14">
        <w:rPr>
          <w:rFonts w:ascii="Verdana" w:hAnsi="Verdana"/>
          <w:spacing w:val="-2"/>
          <w:sz w:val="16"/>
          <w:szCs w:val="16"/>
        </w:rPr>
        <w:t xml:space="preserve">Ángel Cabo. </w:t>
      </w:r>
    </w:p>
  </w:footnote>
  <w:footnote w:id="21">
    <w:p w14:paraId="0D99056E" w14:textId="77777777" w:rsidR="0081088A" w:rsidRPr="00144A14" w:rsidRDefault="0081088A" w:rsidP="0081088A">
      <w:pPr>
        <w:pStyle w:val="Textonotapie"/>
        <w:ind w:firstLine="709"/>
        <w:jc w:val="both"/>
        <w:rPr>
          <w:rFonts w:ascii="Verdana" w:hAnsi="Verdana"/>
          <w:spacing w:val="-2"/>
          <w:sz w:val="16"/>
          <w:szCs w:val="16"/>
          <w:lang w:val="es-CO"/>
        </w:rPr>
      </w:pPr>
      <w:r w:rsidRPr="00144A14">
        <w:rPr>
          <w:rStyle w:val="Refdenotaalpie"/>
          <w:rFonts w:ascii="Verdana" w:hAnsi="Verdana"/>
          <w:sz w:val="16"/>
          <w:szCs w:val="16"/>
          <w:lang w:val="es-CO"/>
        </w:rPr>
        <w:footnoteRef/>
      </w:r>
      <w:r w:rsidRPr="00144A14">
        <w:rPr>
          <w:rFonts w:ascii="Verdana" w:hAnsi="Verdana"/>
          <w:sz w:val="16"/>
          <w:szCs w:val="16"/>
          <w:lang w:val="es-CO"/>
        </w:rPr>
        <w:t xml:space="preserve"> Sentencia</w:t>
      </w:r>
      <w:r w:rsidRPr="00144A14">
        <w:rPr>
          <w:rFonts w:ascii="Verdana" w:hAnsi="Verdana"/>
          <w:spacing w:val="-7"/>
          <w:sz w:val="16"/>
          <w:szCs w:val="16"/>
          <w:lang w:val="es-CO"/>
        </w:rPr>
        <w:t xml:space="preserve"> </w:t>
      </w:r>
      <w:r w:rsidRPr="00144A14">
        <w:rPr>
          <w:rFonts w:ascii="Verdana" w:hAnsi="Verdana"/>
          <w:sz w:val="16"/>
          <w:szCs w:val="16"/>
          <w:lang w:val="es-CO"/>
        </w:rPr>
        <w:t>SU-070</w:t>
      </w:r>
      <w:r w:rsidRPr="00144A14">
        <w:rPr>
          <w:rFonts w:ascii="Verdana" w:hAnsi="Verdana"/>
          <w:spacing w:val="-8"/>
          <w:sz w:val="16"/>
          <w:szCs w:val="16"/>
          <w:lang w:val="es-CO"/>
        </w:rPr>
        <w:t xml:space="preserve"> </w:t>
      </w:r>
      <w:r w:rsidRPr="00144A14">
        <w:rPr>
          <w:rFonts w:ascii="Verdana" w:hAnsi="Verdana"/>
          <w:sz w:val="16"/>
          <w:szCs w:val="16"/>
          <w:lang w:val="es-CO"/>
        </w:rPr>
        <w:t>de</w:t>
      </w:r>
      <w:r w:rsidRPr="00144A14">
        <w:rPr>
          <w:rFonts w:ascii="Verdana" w:hAnsi="Verdana"/>
          <w:spacing w:val="-7"/>
          <w:sz w:val="16"/>
          <w:szCs w:val="16"/>
          <w:lang w:val="es-CO"/>
        </w:rPr>
        <w:t xml:space="preserve"> </w:t>
      </w:r>
      <w:r w:rsidRPr="00144A14">
        <w:rPr>
          <w:rFonts w:ascii="Verdana" w:hAnsi="Verdana"/>
          <w:sz w:val="16"/>
          <w:szCs w:val="16"/>
          <w:lang w:val="es-CO"/>
        </w:rPr>
        <w:t>2013.</w:t>
      </w:r>
      <w:r w:rsidRPr="00144A14">
        <w:rPr>
          <w:rFonts w:ascii="Verdana" w:hAnsi="Verdana"/>
          <w:spacing w:val="-7"/>
          <w:sz w:val="16"/>
          <w:szCs w:val="16"/>
          <w:lang w:val="es-CO"/>
        </w:rPr>
        <w:t xml:space="preserve"> </w:t>
      </w:r>
      <w:r w:rsidRPr="00144A14">
        <w:rPr>
          <w:rFonts w:ascii="Verdana" w:hAnsi="Verdana"/>
          <w:sz w:val="16"/>
          <w:szCs w:val="16"/>
          <w:lang w:val="es-CO"/>
        </w:rPr>
        <w:t>Fund.</w:t>
      </w:r>
      <w:r w:rsidRPr="00144A14">
        <w:rPr>
          <w:rFonts w:ascii="Verdana" w:hAnsi="Verdana"/>
          <w:spacing w:val="-8"/>
          <w:sz w:val="16"/>
          <w:szCs w:val="16"/>
          <w:lang w:val="es-CO"/>
        </w:rPr>
        <w:t xml:space="preserve"> </w:t>
      </w:r>
      <w:r w:rsidRPr="00144A14">
        <w:rPr>
          <w:rFonts w:ascii="Verdana" w:hAnsi="Verdana"/>
          <w:sz w:val="16"/>
          <w:szCs w:val="16"/>
          <w:lang w:val="es-CO"/>
        </w:rPr>
        <w:t>6.</w:t>
      </w:r>
      <w:r w:rsidRPr="00144A14">
        <w:rPr>
          <w:rFonts w:ascii="Verdana" w:hAnsi="Verdana"/>
          <w:spacing w:val="-7"/>
          <w:sz w:val="16"/>
          <w:szCs w:val="16"/>
          <w:lang w:val="es-CO"/>
        </w:rPr>
        <w:t xml:space="preserve"> </w:t>
      </w:r>
      <w:r w:rsidRPr="00144A14">
        <w:rPr>
          <w:rFonts w:ascii="Verdana" w:hAnsi="Verdana"/>
          <w:sz w:val="16"/>
          <w:szCs w:val="16"/>
          <w:lang w:val="es-CO"/>
        </w:rPr>
        <w:t>Reiterado</w:t>
      </w:r>
      <w:r w:rsidRPr="00144A14">
        <w:rPr>
          <w:rFonts w:ascii="Verdana" w:hAnsi="Verdana"/>
          <w:spacing w:val="-7"/>
          <w:sz w:val="16"/>
          <w:szCs w:val="16"/>
          <w:lang w:val="es-CO"/>
        </w:rPr>
        <w:t xml:space="preserve"> </w:t>
      </w:r>
      <w:r w:rsidRPr="00144A14">
        <w:rPr>
          <w:rFonts w:ascii="Verdana" w:hAnsi="Verdana"/>
          <w:sz w:val="16"/>
          <w:szCs w:val="16"/>
          <w:lang w:val="es-CO"/>
        </w:rPr>
        <w:t>en</w:t>
      </w:r>
      <w:r w:rsidRPr="00144A14">
        <w:rPr>
          <w:rFonts w:ascii="Verdana" w:hAnsi="Verdana"/>
          <w:spacing w:val="-8"/>
          <w:sz w:val="16"/>
          <w:szCs w:val="16"/>
          <w:lang w:val="es-CO"/>
        </w:rPr>
        <w:t xml:space="preserve"> </w:t>
      </w:r>
      <w:r w:rsidRPr="00144A14">
        <w:rPr>
          <w:rFonts w:ascii="Verdana" w:hAnsi="Verdana"/>
          <w:sz w:val="16"/>
          <w:szCs w:val="16"/>
          <w:lang w:val="es-CO"/>
        </w:rPr>
        <w:t>las</w:t>
      </w:r>
      <w:r w:rsidRPr="00144A14">
        <w:rPr>
          <w:rFonts w:ascii="Verdana" w:hAnsi="Verdana"/>
          <w:spacing w:val="1"/>
          <w:sz w:val="16"/>
          <w:szCs w:val="16"/>
          <w:lang w:val="es-CO"/>
        </w:rPr>
        <w:t xml:space="preserve"> </w:t>
      </w:r>
      <w:r w:rsidRPr="00144A14">
        <w:rPr>
          <w:rFonts w:ascii="Verdana" w:hAnsi="Verdana"/>
          <w:sz w:val="16"/>
          <w:szCs w:val="16"/>
          <w:lang w:val="es-CO"/>
        </w:rPr>
        <w:t>sentencias</w:t>
      </w:r>
      <w:r w:rsidRPr="00144A14">
        <w:rPr>
          <w:rFonts w:ascii="Verdana" w:hAnsi="Verdana"/>
          <w:spacing w:val="-7"/>
          <w:sz w:val="16"/>
          <w:szCs w:val="16"/>
          <w:lang w:val="es-CO"/>
        </w:rPr>
        <w:t xml:space="preserve"> </w:t>
      </w:r>
      <w:r w:rsidRPr="00144A14">
        <w:rPr>
          <w:rFonts w:ascii="Verdana" w:hAnsi="Verdana"/>
          <w:sz w:val="16"/>
          <w:szCs w:val="16"/>
          <w:lang w:val="es-CO"/>
        </w:rPr>
        <w:t>SU-040</w:t>
      </w:r>
      <w:r w:rsidRPr="00144A14">
        <w:rPr>
          <w:rFonts w:ascii="Verdana" w:hAnsi="Verdana"/>
          <w:spacing w:val="-7"/>
          <w:sz w:val="16"/>
          <w:szCs w:val="16"/>
          <w:lang w:val="es-CO"/>
        </w:rPr>
        <w:t xml:space="preserve"> </w:t>
      </w:r>
      <w:r w:rsidRPr="00144A14">
        <w:rPr>
          <w:rFonts w:ascii="Verdana" w:hAnsi="Verdana"/>
          <w:sz w:val="16"/>
          <w:szCs w:val="16"/>
          <w:lang w:val="es-CO"/>
        </w:rPr>
        <w:t>de</w:t>
      </w:r>
      <w:r w:rsidRPr="00144A14">
        <w:rPr>
          <w:rFonts w:ascii="Verdana" w:hAnsi="Verdana"/>
          <w:spacing w:val="-8"/>
          <w:sz w:val="16"/>
          <w:szCs w:val="16"/>
          <w:lang w:val="es-CO"/>
        </w:rPr>
        <w:t xml:space="preserve"> </w:t>
      </w:r>
      <w:r w:rsidRPr="00144A14">
        <w:rPr>
          <w:rFonts w:ascii="Verdana" w:hAnsi="Verdana"/>
          <w:sz w:val="16"/>
          <w:szCs w:val="16"/>
          <w:lang w:val="es-CO"/>
        </w:rPr>
        <w:t>2018</w:t>
      </w:r>
      <w:r w:rsidRPr="00144A14">
        <w:rPr>
          <w:rFonts w:ascii="Verdana" w:hAnsi="Verdana"/>
          <w:spacing w:val="-7"/>
          <w:sz w:val="16"/>
          <w:szCs w:val="16"/>
          <w:lang w:val="es-CO"/>
        </w:rPr>
        <w:t xml:space="preserve"> </w:t>
      </w:r>
      <w:r w:rsidRPr="00144A14">
        <w:rPr>
          <w:rFonts w:ascii="Verdana" w:hAnsi="Verdana"/>
          <w:sz w:val="16"/>
          <w:szCs w:val="16"/>
          <w:lang w:val="es-CO"/>
        </w:rPr>
        <w:t>y</w:t>
      </w:r>
      <w:r w:rsidRPr="00144A14">
        <w:rPr>
          <w:rFonts w:ascii="Verdana" w:hAnsi="Verdana"/>
          <w:spacing w:val="-7"/>
          <w:sz w:val="16"/>
          <w:szCs w:val="16"/>
          <w:lang w:val="es-CO"/>
        </w:rPr>
        <w:t xml:space="preserve"> </w:t>
      </w:r>
      <w:r w:rsidRPr="00144A14">
        <w:rPr>
          <w:rFonts w:ascii="Verdana" w:hAnsi="Verdana"/>
          <w:sz w:val="16"/>
          <w:szCs w:val="16"/>
          <w:lang w:val="es-CO"/>
        </w:rPr>
        <w:t>SU-075</w:t>
      </w:r>
      <w:r w:rsidRPr="00144A14">
        <w:rPr>
          <w:rFonts w:ascii="Verdana" w:hAnsi="Verdana"/>
          <w:spacing w:val="-8"/>
          <w:sz w:val="16"/>
          <w:szCs w:val="16"/>
          <w:lang w:val="es-CO"/>
        </w:rPr>
        <w:t xml:space="preserve"> </w:t>
      </w:r>
      <w:r w:rsidRPr="00144A14">
        <w:rPr>
          <w:rFonts w:ascii="Verdana" w:hAnsi="Verdana"/>
          <w:sz w:val="16"/>
          <w:szCs w:val="16"/>
          <w:lang w:val="es-CO"/>
        </w:rPr>
        <w:t>de</w:t>
      </w:r>
      <w:r w:rsidRPr="00144A14">
        <w:rPr>
          <w:rFonts w:ascii="Verdana" w:hAnsi="Verdana"/>
          <w:spacing w:val="-7"/>
          <w:sz w:val="16"/>
          <w:szCs w:val="16"/>
          <w:lang w:val="es-CO"/>
        </w:rPr>
        <w:t xml:space="preserve"> </w:t>
      </w:r>
      <w:r w:rsidRPr="00144A14">
        <w:rPr>
          <w:rFonts w:ascii="Verdana" w:hAnsi="Verdana"/>
          <w:spacing w:val="-2"/>
          <w:sz w:val="16"/>
          <w:szCs w:val="16"/>
          <w:lang w:val="es-CO"/>
        </w:rPr>
        <w:t>2018.</w:t>
      </w:r>
    </w:p>
  </w:footnote>
  <w:footnote w:id="22">
    <w:p w14:paraId="42720FCC" w14:textId="77777777" w:rsidR="0081088A" w:rsidRPr="00144A14" w:rsidRDefault="0081088A" w:rsidP="0081088A">
      <w:pPr>
        <w:pStyle w:val="Textonotapie"/>
        <w:ind w:firstLine="709"/>
        <w:jc w:val="both"/>
        <w:rPr>
          <w:rFonts w:ascii="Verdana" w:hAnsi="Verdana"/>
          <w:sz w:val="16"/>
          <w:szCs w:val="16"/>
          <w:lang w:val="es-CO"/>
        </w:rPr>
      </w:pPr>
      <w:r w:rsidRPr="00144A14">
        <w:rPr>
          <w:rStyle w:val="Refdenotaalpie"/>
          <w:rFonts w:ascii="Verdana" w:hAnsi="Verdana"/>
          <w:sz w:val="16"/>
          <w:szCs w:val="16"/>
          <w:lang w:val="es-CO"/>
        </w:rPr>
        <w:footnoteRef/>
      </w:r>
      <w:r w:rsidRPr="00144A14">
        <w:rPr>
          <w:rFonts w:ascii="Verdana" w:hAnsi="Verdana"/>
          <w:sz w:val="16"/>
          <w:szCs w:val="16"/>
          <w:lang w:val="es-CO"/>
        </w:rPr>
        <w:t xml:space="preserve"> Esta indemnización se ha reconocido en contratos de prestación de servicios, entre otras las sentencias T-564 de 2017, T -316 de 2016, T-102 de 2016 y T-346 de 2013. </w:t>
      </w:r>
    </w:p>
  </w:footnote>
  <w:footnote w:id="23">
    <w:p w14:paraId="2CD4DFD9" w14:textId="77777777" w:rsidR="0081088A" w:rsidRPr="00144A14" w:rsidRDefault="0081088A" w:rsidP="0081088A">
      <w:pPr>
        <w:pStyle w:val="Textonotapie"/>
        <w:ind w:firstLine="709"/>
        <w:jc w:val="both"/>
        <w:rPr>
          <w:rFonts w:ascii="Verdana" w:hAnsi="Verdana"/>
          <w:sz w:val="16"/>
          <w:szCs w:val="16"/>
          <w:lang w:val="es-CO"/>
        </w:rPr>
      </w:pPr>
      <w:r w:rsidRPr="00144A14">
        <w:rPr>
          <w:rStyle w:val="Refdenotaalpie"/>
          <w:rFonts w:ascii="Verdana" w:hAnsi="Verdana"/>
          <w:sz w:val="16"/>
          <w:szCs w:val="16"/>
          <w:lang w:val="es-CO"/>
        </w:rPr>
        <w:footnoteRef/>
      </w:r>
      <w:r w:rsidRPr="00144A14">
        <w:rPr>
          <w:rFonts w:ascii="Verdana" w:hAnsi="Verdana"/>
          <w:sz w:val="16"/>
          <w:szCs w:val="16"/>
          <w:lang w:val="es-CO"/>
        </w:rPr>
        <w:t xml:space="preserve"> En las sentencias T-238 de 2015 y T-350 de 2016 la Corte Constitucional determinó que no procede el pago de la licencia de maternidad cuando en el caso se observe que la licencia de maternidad ya fue disfrutada.</w:t>
      </w:r>
    </w:p>
  </w:footnote>
  <w:footnote w:id="24">
    <w:p w14:paraId="7D9C6065" w14:textId="77777777" w:rsidR="0081088A" w:rsidRPr="00144A14" w:rsidRDefault="0081088A" w:rsidP="0081088A">
      <w:pPr>
        <w:pStyle w:val="Textonotapie"/>
        <w:ind w:firstLine="709"/>
        <w:jc w:val="both"/>
        <w:rPr>
          <w:rFonts w:ascii="Verdana" w:hAnsi="Verdana"/>
          <w:sz w:val="16"/>
          <w:szCs w:val="16"/>
          <w:lang w:val="es-CO"/>
        </w:rPr>
      </w:pPr>
      <w:r w:rsidRPr="00144A14">
        <w:rPr>
          <w:rStyle w:val="Refdenotaalpie"/>
          <w:rFonts w:ascii="Verdana" w:hAnsi="Verdana"/>
          <w:sz w:val="16"/>
          <w:szCs w:val="16"/>
          <w:lang w:val="es-CO"/>
        </w:rPr>
        <w:footnoteRef/>
      </w:r>
      <w:r w:rsidRPr="00144A14">
        <w:rPr>
          <w:rFonts w:ascii="Verdana" w:hAnsi="Verdana"/>
          <w:sz w:val="16"/>
          <w:szCs w:val="16"/>
          <w:lang w:val="es-CO"/>
        </w:rPr>
        <w:t xml:space="preserve"> Esta</w:t>
      </w:r>
      <w:r w:rsidRPr="00144A14">
        <w:rPr>
          <w:rFonts w:ascii="Verdana" w:hAnsi="Verdana"/>
          <w:spacing w:val="-9"/>
          <w:sz w:val="16"/>
          <w:szCs w:val="16"/>
          <w:lang w:val="es-CO"/>
        </w:rPr>
        <w:t xml:space="preserve"> </w:t>
      </w:r>
      <w:r w:rsidRPr="00144A14">
        <w:rPr>
          <w:rFonts w:ascii="Verdana" w:hAnsi="Verdana"/>
          <w:sz w:val="16"/>
          <w:szCs w:val="16"/>
          <w:lang w:val="es-CO"/>
        </w:rPr>
        <w:t>media</w:t>
      </w:r>
      <w:r w:rsidRPr="00144A14">
        <w:rPr>
          <w:rFonts w:ascii="Verdana" w:hAnsi="Verdana"/>
          <w:spacing w:val="-8"/>
          <w:sz w:val="16"/>
          <w:szCs w:val="16"/>
          <w:lang w:val="es-CO"/>
        </w:rPr>
        <w:t xml:space="preserve"> </w:t>
      </w:r>
      <w:r w:rsidRPr="00144A14">
        <w:rPr>
          <w:rFonts w:ascii="Verdana" w:hAnsi="Verdana"/>
          <w:sz w:val="16"/>
          <w:szCs w:val="16"/>
          <w:lang w:val="es-CO"/>
        </w:rPr>
        <w:t>fue</w:t>
      </w:r>
      <w:r w:rsidRPr="00144A14">
        <w:rPr>
          <w:rFonts w:ascii="Verdana" w:hAnsi="Verdana"/>
          <w:spacing w:val="-8"/>
          <w:sz w:val="16"/>
          <w:szCs w:val="16"/>
          <w:lang w:val="es-CO"/>
        </w:rPr>
        <w:t xml:space="preserve"> </w:t>
      </w:r>
      <w:r w:rsidRPr="00144A14">
        <w:rPr>
          <w:rFonts w:ascii="Verdana" w:hAnsi="Verdana"/>
          <w:sz w:val="16"/>
          <w:szCs w:val="16"/>
          <w:lang w:val="es-CO"/>
        </w:rPr>
        <w:t>aplicada</w:t>
      </w:r>
      <w:r w:rsidRPr="00144A14">
        <w:rPr>
          <w:rFonts w:ascii="Verdana" w:hAnsi="Verdana"/>
          <w:spacing w:val="-8"/>
          <w:sz w:val="16"/>
          <w:szCs w:val="16"/>
          <w:lang w:val="es-CO"/>
        </w:rPr>
        <w:t xml:space="preserve"> </w:t>
      </w:r>
      <w:r w:rsidRPr="00144A14">
        <w:rPr>
          <w:rFonts w:ascii="Verdana" w:hAnsi="Verdana"/>
          <w:sz w:val="16"/>
          <w:szCs w:val="16"/>
          <w:lang w:val="es-CO"/>
        </w:rPr>
        <w:t>en</w:t>
      </w:r>
      <w:r w:rsidRPr="00144A14">
        <w:rPr>
          <w:rFonts w:ascii="Verdana" w:hAnsi="Verdana"/>
          <w:spacing w:val="-8"/>
          <w:sz w:val="16"/>
          <w:szCs w:val="16"/>
          <w:lang w:val="es-CO"/>
        </w:rPr>
        <w:t xml:space="preserve"> </w:t>
      </w:r>
      <w:r w:rsidRPr="00144A14">
        <w:rPr>
          <w:rFonts w:ascii="Verdana" w:hAnsi="Verdana"/>
          <w:sz w:val="16"/>
          <w:szCs w:val="16"/>
          <w:lang w:val="es-CO"/>
        </w:rPr>
        <w:t>la</w:t>
      </w:r>
      <w:r w:rsidRPr="00144A14">
        <w:rPr>
          <w:rFonts w:ascii="Verdana" w:hAnsi="Verdana"/>
          <w:spacing w:val="-8"/>
          <w:sz w:val="16"/>
          <w:szCs w:val="16"/>
          <w:lang w:val="es-CO"/>
        </w:rPr>
        <w:t xml:space="preserve"> </w:t>
      </w:r>
      <w:r w:rsidRPr="00144A14">
        <w:rPr>
          <w:rFonts w:ascii="Verdana" w:hAnsi="Verdana"/>
          <w:sz w:val="16"/>
          <w:szCs w:val="16"/>
          <w:lang w:val="es-CO"/>
        </w:rPr>
        <w:t xml:space="preserve">Sentencia de la Corte Constitucional </w:t>
      </w:r>
      <w:r w:rsidRPr="00144A14">
        <w:rPr>
          <w:rFonts w:ascii="Verdana" w:hAnsi="Verdana"/>
          <w:spacing w:val="-8"/>
          <w:sz w:val="16"/>
          <w:szCs w:val="16"/>
          <w:lang w:val="es-CO"/>
        </w:rPr>
        <w:t>T</w:t>
      </w:r>
      <w:r w:rsidRPr="00144A14">
        <w:rPr>
          <w:rFonts w:ascii="Verdana" w:hAnsi="Verdana"/>
          <w:sz w:val="16"/>
          <w:szCs w:val="16"/>
          <w:lang w:val="es-CO"/>
        </w:rPr>
        <w:t>-030</w:t>
      </w:r>
      <w:r w:rsidRPr="00144A14">
        <w:rPr>
          <w:rFonts w:ascii="Verdana" w:hAnsi="Verdana"/>
          <w:spacing w:val="-8"/>
          <w:sz w:val="16"/>
          <w:szCs w:val="16"/>
          <w:lang w:val="es-CO"/>
        </w:rPr>
        <w:t xml:space="preserve"> </w:t>
      </w:r>
      <w:r w:rsidRPr="00144A14">
        <w:rPr>
          <w:rFonts w:ascii="Verdana" w:hAnsi="Verdana"/>
          <w:sz w:val="16"/>
          <w:szCs w:val="16"/>
          <w:lang w:val="es-CO"/>
        </w:rPr>
        <w:t>de</w:t>
      </w:r>
      <w:r w:rsidRPr="00144A14">
        <w:rPr>
          <w:rFonts w:ascii="Verdana" w:hAnsi="Verdana"/>
          <w:spacing w:val="-8"/>
          <w:sz w:val="16"/>
          <w:szCs w:val="16"/>
          <w:lang w:val="es-CO"/>
        </w:rPr>
        <w:t xml:space="preserve"> </w:t>
      </w:r>
      <w:r w:rsidRPr="00144A14">
        <w:rPr>
          <w:rFonts w:ascii="Verdana" w:hAnsi="Verdana"/>
          <w:sz w:val="16"/>
          <w:szCs w:val="16"/>
          <w:lang w:val="es-CO"/>
        </w:rPr>
        <w:t>2018.</w:t>
      </w:r>
    </w:p>
  </w:footnote>
  <w:footnote w:id="25">
    <w:p w14:paraId="732AF75A" w14:textId="77777777" w:rsidR="0081088A" w:rsidRPr="00144A14" w:rsidRDefault="0081088A" w:rsidP="0081088A">
      <w:pPr>
        <w:pStyle w:val="Textonotapie"/>
        <w:ind w:firstLine="709"/>
        <w:jc w:val="both"/>
        <w:rPr>
          <w:rFonts w:ascii="Verdana" w:hAnsi="Verdana"/>
          <w:sz w:val="16"/>
          <w:szCs w:val="16"/>
          <w:lang w:val="es-CO"/>
        </w:rPr>
      </w:pPr>
      <w:r w:rsidRPr="00144A14">
        <w:rPr>
          <w:rStyle w:val="Refdenotaalpie"/>
          <w:rFonts w:ascii="Verdana" w:hAnsi="Verdana"/>
          <w:sz w:val="16"/>
          <w:szCs w:val="16"/>
          <w:lang w:val="es-CO"/>
        </w:rPr>
        <w:footnoteRef/>
      </w:r>
      <w:r w:rsidRPr="00144A14">
        <w:rPr>
          <w:rFonts w:ascii="Verdana" w:hAnsi="Verdana"/>
          <w:sz w:val="16"/>
          <w:szCs w:val="16"/>
          <w:lang w:val="es-CO"/>
        </w:rPr>
        <w:t xml:space="preserve"> En algunas oportunidades las salas de revisión han reconocido el pago de las prestaciones en materia de seguridad social en salud como en la sentencia T-305 de 2020. M.P: Alberto Rojas Ríos. </w:t>
      </w:r>
    </w:p>
  </w:footnote>
  <w:footnote w:id="26">
    <w:p w14:paraId="526030DB" w14:textId="77777777" w:rsidR="0081088A" w:rsidRPr="00144A14" w:rsidRDefault="0081088A" w:rsidP="0081088A">
      <w:pPr>
        <w:pStyle w:val="Textonotapie"/>
        <w:ind w:firstLine="708"/>
        <w:jc w:val="both"/>
        <w:rPr>
          <w:rFonts w:ascii="Verdana" w:hAnsi="Verdana"/>
          <w:sz w:val="16"/>
          <w:szCs w:val="16"/>
          <w:lang w:val="es-ES"/>
        </w:rPr>
      </w:pPr>
      <w:r w:rsidRPr="00144A14">
        <w:rPr>
          <w:rStyle w:val="Refdenotaalpie"/>
          <w:rFonts w:ascii="Verdana" w:hAnsi="Verdana"/>
          <w:sz w:val="16"/>
          <w:szCs w:val="16"/>
        </w:rPr>
        <w:footnoteRef/>
      </w:r>
      <w:r w:rsidRPr="00144A14">
        <w:rPr>
          <w:rFonts w:ascii="Verdana" w:hAnsi="Verdana"/>
          <w:sz w:val="16"/>
          <w:szCs w:val="16"/>
        </w:rPr>
        <w:t xml:space="preserve"> </w:t>
      </w:r>
      <w:r w:rsidRPr="00144A14">
        <w:rPr>
          <w:rFonts w:ascii="Verdana" w:hAnsi="Verdana"/>
          <w:sz w:val="16"/>
          <w:szCs w:val="16"/>
          <w:lang w:val="es-ES"/>
        </w:rPr>
        <w:t>En torno al período de lactancia, el Ministerio de Trabajo en Concepto 02EE2019410600000051782 expresó: “Ahora bien, teniendo en cuenta que la normatividad legal referente al contrato de prestación de servicios no regula lo referente al tiempo de lactancia que tendría lugar en desarrollo de dicho contrato y las condiciones de ejecución del mismo se derivan del acuerdo de las partes, podríamos entender que este aspecto podría ser objeto de acuerdo contractual, teniendo en cuenta la estratégica y crucial importancia que de acuerdo con las normas antes referidas, tiene la lactancia de los niños para su desarrollo integral ”.</w:t>
      </w:r>
    </w:p>
  </w:footnote>
  <w:footnote w:id="27">
    <w:p w14:paraId="4F3F1075" w14:textId="77777777" w:rsidR="0081088A" w:rsidRPr="00144A14" w:rsidRDefault="0081088A" w:rsidP="0081088A">
      <w:pPr>
        <w:pStyle w:val="Textonotapie"/>
        <w:ind w:firstLine="709"/>
        <w:jc w:val="both"/>
        <w:rPr>
          <w:rFonts w:ascii="Verdana" w:hAnsi="Verdana"/>
          <w:sz w:val="16"/>
          <w:szCs w:val="16"/>
          <w:lang w:val="es-ES"/>
        </w:rPr>
      </w:pPr>
      <w:r w:rsidRPr="00144A14">
        <w:rPr>
          <w:rStyle w:val="Refdenotaalpie"/>
          <w:rFonts w:ascii="Verdana" w:hAnsi="Verdana"/>
          <w:sz w:val="16"/>
          <w:szCs w:val="16"/>
          <w:lang w:val="es-CO"/>
        </w:rPr>
        <w:footnoteRef/>
      </w:r>
      <w:r w:rsidRPr="00144A14">
        <w:rPr>
          <w:rFonts w:ascii="Verdana" w:hAnsi="Verdana"/>
          <w:sz w:val="16"/>
          <w:szCs w:val="16"/>
          <w:lang w:val="es-CO"/>
        </w:rPr>
        <w:t xml:space="preserve"> Consejo</w:t>
      </w:r>
      <w:r w:rsidRPr="00144A14">
        <w:rPr>
          <w:rFonts w:ascii="Verdana" w:hAnsi="Verdana"/>
          <w:spacing w:val="-4"/>
          <w:sz w:val="16"/>
          <w:szCs w:val="16"/>
          <w:lang w:val="es-CO"/>
        </w:rPr>
        <w:t xml:space="preserve"> </w:t>
      </w:r>
      <w:r w:rsidRPr="00144A14">
        <w:rPr>
          <w:rFonts w:ascii="Verdana" w:hAnsi="Verdana"/>
          <w:sz w:val="16"/>
          <w:szCs w:val="16"/>
          <w:lang w:val="es-CO"/>
        </w:rPr>
        <w:t>de</w:t>
      </w:r>
      <w:r w:rsidRPr="00144A14">
        <w:rPr>
          <w:rFonts w:ascii="Verdana" w:hAnsi="Verdana"/>
          <w:spacing w:val="-4"/>
          <w:sz w:val="16"/>
          <w:szCs w:val="16"/>
          <w:lang w:val="es-CO"/>
        </w:rPr>
        <w:t xml:space="preserve"> </w:t>
      </w:r>
      <w:r w:rsidRPr="00144A14">
        <w:rPr>
          <w:rFonts w:ascii="Verdana" w:hAnsi="Verdana"/>
          <w:sz w:val="16"/>
          <w:szCs w:val="16"/>
          <w:lang w:val="es-CO"/>
        </w:rPr>
        <w:t>Estado. Sección</w:t>
      </w:r>
      <w:r w:rsidRPr="00144A14">
        <w:rPr>
          <w:rFonts w:ascii="Verdana" w:hAnsi="Verdana"/>
          <w:spacing w:val="-4"/>
          <w:sz w:val="16"/>
          <w:szCs w:val="16"/>
          <w:lang w:val="es-CO"/>
        </w:rPr>
        <w:t xml:space="preserve"> </w:t>
      </w:r>
      <w:r w:rsidRPr="00144A14">
        <w:rPr>
          <w:rFonts w:ascii="Verdana" w:hAnsi="Verdana"/>
          <w:sz w:val="16"/>
          <w:szCs w:val="16"/>
          <w:lang w:val="es-CO"/>
        </w:rPr>
        <w:t>Segunda,</w:t>
      </w:r>
      <w:r w:rsidRPr="00144A14">
        <w:rPr>
          <w:rFonts w:ascii="Verdana" w:hAnsi="Verdana"/>
          <w:spacing w:val="-4"/>
          <w:sz w:val="16"/>
          <w:szCs w:val="16"/>
          <w:lang w:val="es-CO"/>
        </w:rPr>
        <w:t xml:space="preserve"> </w:t>
      </w:r>
      <w:r w:rsidRPr="00144A14">
        <w:rPr>
          <w:rFonts w:ascii="Verdana" w:hAnsi="Verdana"/>
          <w:sz w:val="16"/>
          <w:szCs w:val="16"/>
          <w:lang w:val="es-CO"/>
        </w:rPr>
        <w:t>Subsección A.</w:t>
      </w:r>
      <w:r w:rsidRPr="00144A14">
        <w:rPr>
          <w:rFonts w:ascii="Verdana" w:hAnsi="Verdana"/>
          <w:spacing w:val="-4"/>
          <w:sz w:val="16"/>
          <w:szCs w:val="16"/>
          <w:lang w:val="es-CO"/>
        </w:rPr>
        <w:t xml:space="preserve"> </w:t>
      </w:r>
      <w:r w:rsidRPr="00144A14">
        <w:rPr>
          <w:rFonts w:ascii="Verdana" w:hAnsi="Verdana"/>
          <w:sz w:val="16"/>
          <w:szCs w:val="16"/>
          <w:lang w:val="es-CO"/>
        </w:rPr>
        <w:t>Sentencia</w:t>
      </w:r>
      <w:r w:rsidRPr="00144A14">
        <w:rPr>
          <w:rFonts w:ascii="Verdana" w:hAnsi="Verdana"/>
          <w:spacing w:val="-4"/>
          <w:sz w:val="16"/>
          <w:szCs w:val="16"/>
          <w:lang w:val="es-CO"/>
        </w:rPr>
        <w:t xml:space="preserve"> </w:t>
      </w:r>
      <w:r w:rsidRPr="00144A14">
        <w:rPr>
          <w:rFonts w:ascii="Verdana" w:hAnsi="Verdana"/>
          <w:sz w:val="16"/>
          <w:szCs w:val="16"/>
          <w:lang w:val="es-CO"/>
        </w:rPr>
        <w:t>del</w:t>
      </w:r>
      <w:r w:rsidRPr="00144A14">
        <w:rPr>
          <w:rFonts w:ascii="Verdana" w:hAnsi="Verdana"/>
          <w:spacing w:val="-4"/>
          <w:sz w:val="16"/>
          <w:szCs w:val="16"/>
          <w:lang w:val="es-CO"/>
        </w:rPr>
        <w:t xml:space="preserve"> </w:t>
      </w:r>
      <w:r w:rsidRPr="00144A14">
        <w:rPr>
          <w:rFonts w:ascii="Verdana" w:hAnsi="Verdana"/>
          <w:sz w:val="16"/>
          <w:szCs w:val="16"/>
          <w:lang w:val="es-CO"/>
        </w:rPr>
        <w:t>26 de</w:t>
      </w:r>
      <w:r w:rsidRPr="00144A14">
        <w:rPr>
          <w:rFonts w:ascii="Verdana" w:hAnsi="Verdana"/>
          <w:spacing w:val="-4"/>
          <w:sz w:val="16"/>
          <w:szCs w:val="16"/>
          <w:lang w:val="es-CO"/>
        </w:rPr>
        <w:t xml:space="preserve"> </w:t>
      </w:r>
      <w:r w:rsidRPr="00144A14">
        <w:rPr>
          <w:rFonts w:ascii="Verdana" w:hAnsi="Verdana"/>
          <w:sz w:val="16"/>
          <w:szCs w:val="16"/>
          <w:lang w:val="es-CO"/>
        </w:rPr>
        <w:t>enero</w:t>
      </w:r>
      <w:r w:rsidRPr="00144A14">
        <w:rPr>
          <w:rFonts w:ascii="Verdana" w:hAnsi="Verdana"/>
          <w:spacing w:val="-4"/>
          <w:sz w:val="16"/>
          <w:szCs w:val="16"/>
          <w:lang w:val="es-CO"/>
        </w:rPr>
        <w:t xml:space="preserve"> </w:t>
      </w:r>
      <w:r w:rsidRPr="00144A14">
        <w:rPr>
          <w:rFonts w:ascii="Verdana" w:hAnsi="Verdana"/>
          <w:sz w:val="16"/>
          <w:szCs w:val="16"/>
          <w:lang w:val="es-CO"/>
        </w:rPr>
        <w:t>de</w:t>
      </w:r>
      <w:r w:rsidRPr="00144A14">
        <w:rPr>
          <w:rFonts w:ascii="Verdana" w:hAnsi="Verdana"/>
          <w:spacing w:val="-4"/>
          <w:sz w:val="16"/>
          <w:szCs w:val="16"/>
          <w:lang w:val="es-CO"/>
        </w:rPr>
        <w:t xml:space="preserve"> </w:t>
      </w:r>
      <w:r w:rsidRPr="00144A14">
        <w:rPr>
          <w:rFonts w:ascii="Verdana" w:hAnsi="Verdana"/>
          <w:sz w:val="16"/>
          <w:szCs w:val="16"/>
          <w:lang w:val="es-CO"/>
        </w:rPr>
        <w:t>2023.</w:t>
      </w:r>
      <w:r w:rsidRPr="00144A14">
        <w:rPr>
          <w:rFonts w:ascii="Verdana" w:hAnsi="Verdana"/>
          <w:spacing w:val="-4"/>
          <w:sz w:val="16"/>
          <w:szCs w:val="16"/>
          <w:lang w:val="es-CO"/>
        </w:rPr>
        <w:t xml:space="preserve"> </w:t>
      </w:r>
      <w:r w:rsidRPr="00144A14">
        <w:rPr>
          <w:rFonts w:ascii="Verdana" w:hAnsi="Verdana"/>
          <w:sz w:val="16"/>
          <w:szCs w:val="16"/>
          <w:lang w:val="es-CO"/>
        </w:rPr>
        <w:t>Exp</w:t>
      </w:r>
      <w:r w:rsidRPr="00144A14">
        <w:rPr>
          <w:rFonts w:ascii="Verdana" w:hAnsi="Verdana"/>
          <w:spacing w:val="-4"/>
          <w:sz w:val="16"/>
          <w:szCs w:val="16"/>
          <w:lang w:val="es-CO"/>
        </w:rPr>
        <w:t xml:space="preserve"> </w:t>
      </w:r>
      <w:r w:rsidRPr="00144A14">
        <w:rPr>
          <w:rFonts w:ascii="Verdana" w:hAnsi="Verdana"/>
          <w:sz w:val="16"/>
          <w:szCs w:val="16"/>
          <w:lang w:val="es-CO"/>
        </w:rPr>
        <w:t>(4620-2017),</w:t>
      </w:r>
      <w:r w:rsidRPr="00144A14">
        <w:rPr>
          <w:rFonts w:ascii="Verdana" w:hAnsi="Verdana"/>
          <w:spacing w:val="-4"/>
          <w:sz w:val="16"/>
          <w:szCs w:val="16"/>
          <w:lang w:val="es-CO"/>
        </w:rPr>
        <w:t xml:space="preserve"> </w:t>
      </w:r>
      <w:r w:rsidRPr="00144A14">
        <w:rPr>
          <w:rFonts w:ascii="Verdana" w:hAnsi="Verdana"/>
          <w:sz w:val="16"/>
          <w:szCs w:val="16"/>
          <w:lang w:val="es-CO"/>
        </w:rPr>
        <w:t>C.P:</w:t>
      </w:r>
      <w:r w:rsidRPr="00144A14">
        <w:rPr>
          <w:rFonts w:ascii="Verdana" w:hAnsi="Verdana"/>
          <w:spacing w:val="-4"/>
          <w:sz w:val="16"/>
          <w:szCs w:val="16"/>
          <w:lang w:val="es-CO"/>
        </w:rPr>
        <w:t xml:space="preserve"> </w:t>
      </w:r>
      <w:r w:rsidRPr="00144A14">
        <w:rPr>
          <w:rFonts w:ascii="Verdana" w:hAnsi="Verdana"/>
          <w:sz w:val="16"/>
          <w:szCs w:val="16"/>
          <w:lang w:val="es-CO"/>
        </w:rPr>
        <w:t>Gabriel</w:t>
      </w:r>
      <w:r w:rsidRPr="00144A14">
        <w:rPr>
          <w:rFonts w:ascii="Verdana" w:hAnsi="Verdana"/>
          <w:spacing w:val="-4"/>
          <w:sz w:val="16"/>
          <w:szCs w:val="16"/>
          <w:lang w:val="es-CO"/>
        </w:rPr>
        <w:t xml:space="preserve"> </w:t>
      </w:r>
      <w:r w:rsidRPr="00144A14">
        <w:rPr>
          <w:rFonts w:ascii="Verdana" w:hAnsi="Verdana"/>
          <w:sz w:val="16"/>
          <w:szCs w:val="16"/>
          <w:lang w:val="es-CO"/>
        </w:rPr>
        <w:t xml:space="preserve">Valbuena </w:t>
      </w:r>
      <w:r w:rsidRPr="00144A14">
        <w:rPr>
          <w:rFonts w:ascii="Verdana" w:hAnsi="Verdana"/>
          <w:spacing w:val="-2"/>
          <w:sz w:val="16"/>
          <w:szCs w:val="16"/>
          <w:lang w:val="es-CO"/>
        </w:rPr>
        <w:t>Hernández.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25pt;height:14.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2BD2B42"/>
    <w:multiLevelType w:val="hybridMultilevel"/>
    <w:tmpl w:val="8C3A30C6"/>
    <w:lvl w:ilvl="0" w:tplc="A70E43FA">
      <w:start w:val="8"/>
      <w:numFmt w:val="lowerLetter"/>
      <w:lvlText w:val="%1)"/>
      <w:lvlJc w:val="left"/>
      <w:pPr>
        <w:ind w:left="261" w:hanging="173"/>
      </w:pPr>
      <w:rPr>
        <w:rFonts w:ascii="Verdana" w:eastAsia="Verdana" w:hAnsi="Verdana" w:cs="Verdana" w:hint="default"/>
        <w:b w:val="0"/>
        <w:bCs w:val="0"/>
        <w:i w:val="0"/>
        <w:iCs w:val="0"/>
        <w:spacing w:val="-1"/>
        <w:w w:val="99"/>
        <w:sz w:val="12"/>
        <w:szCs w:val="12"/>
        <w:lang w:val="es-ES" w:eastAsia="en-US" w:bidi="ar-SA"/>
      </w:rPr>
    </w:lvl>
    <w:lvl w:ilvl="1" w:tplc="42E4B4B8">
      <w:start w:val="1"/>
      <w:numFmt w:val="lowerLetter"/>
      <w:lvlText w:val="(%2)"/>
      <w:lvlJc w:val="left"/>
      <w:pPr>
        <w:ind w:left="1342" w:hanging="373"/>
      </w:pPr>
      <w:rPr>
        <w:rFonts w:ascii="Verdana" w:eastAsia="Verdana" w:hAnsi="Verdana" w:cs="Verdana" w:hint="default"/>
        <w:b w:val="0"/>
        <w:bCs w:val="0"/>
        <w:i w:val="0"/>
        <w:iCs w:val="0"/>
        <w:spacing w:val="-1"/>
        <w:w w:val="99"/>
        <w:sz w:val="20"/>
        <w:szCs w:val="20"/>
        <w:lang w:val="es-ES" w:eastAsia="en-US" w:bidi="ar-SA"/>
      </w:rPr>
    </w:lvl>
    <w:lvl w:ilvl="2" w:tplc="AF0627EA">
      <w:numFmt w:val="bullet"/>
      <w:lvlText w:val="•"/>
      <w:lvlJc w:val="left"/>
      <w:pPr>
        <w:ind w:left="2311" w:hanging="373"/>
      </w:pPr>
      <w:rPr>
        <w:rFonts w:hint="default"/>
        <w:lang w:val="es-ES" w:eastAsia="en-US" w:bidi="ar-SA"/>
      </w:rPr>
    </w:lvl>
    <w:lvl w:ilvl="3" w:tplc="94CA9E88">
      <w:numFmt w:val="bullet"/>
      <w:lvlText w:val="•"/>
      <w:lvlJc w:val="left"/>
      <w:pPr>
        <w:ind w:left="3282" w:hanging="373"/>
      </w:pPr>
      <w:rPr>
        <w:rFonts w:hint="default"/>
        <w:lang w:val="es-ES" w:eastAsia="en-US" w:bidi="ar-SA"/>
      </w:rPr>
    </w:lvl>
    <w:lvl w:ilvl="4" w:tplc="430C99DC">
      <w:numFmt w:val="bullet"/>
      <w:lvlText w:val="•"/>
      <w:lvlJc w:val="left"/>
      <w:pPr>
        <w:ind w:left="4253" w:hanging="373"/>
      </w:pPr>
      <w:rPr>
        <w:rFonts w:hint="default"/>
        <w:lang w:val="es-ES" w:eastAsia="en-US" w:bidi="ar-SA"/>
      </w:rPr>
    </w:lvl>
    <w:lvl w:ilvl="5" w:tplc="0C463C76">
      <w:numFmt w:val="bullet"/>
      <w:lvlText w:val="•"/>
      <w:lvlJc w:val="left"/>
      <w:pPr>
        <w:ind w:left="5224" w:hanging="373"/>
      </w:pPr>
      <w:rPr>
        <w:rFonts w:hint="default"/>
        <w:lang w:val="es-ES" w:eastAsia="en-US" w:bidi="ar-SA"/>
      </w:rPr>
    </w:lvl>
    <w:lvl w:ilvl="6" w:tplc="C798C742">
      <w:numFmt w:val="bullet"/>
      <w:lvlText w:val="•"/>
      <w:lvlJc w:val="left"/>
      <w:pPr>
        <w:ind w:left="6195" w:hanging="373"/>
      </w:pPr>
      <w:rPr>
        <w:rFonts w:hint="default"/>
        <w:lang w:val="es-ES" w:eastAsia="en-US" w:bidi="ar-SA"/>
      </w:rPr>
    </w:lvl>
    <w:lvl w:ilvl="7" w:tplc="E3A4A3EE">
      <w:numFmt w:val="bullet"/>
      <w:lvlText w:val="•"/>
      <w:lvlJc w:val="left"/>
      <w:pPr>
        <w:ind w:left="7166" w:hanging="373"/>
      </w:pPr>
      <w:rPr>
        <w:rFonts w:hint="default"/>
        <w:lang w:val="es-ES" w:eastAsia="en-US" w:bidi="ar-SA"/>
      </w:rPr>
    </w:lvl>
    <w:lvl w:ilvl="8" w:tplc="8180AFB8">
      <w:numFmt w:val="bullet"/>
      <w:lvlText w:val="•"/>
      <w:lvlJc w:val="left"/>
      <w:pPr>
        <w:ind w:left="8137" w:hanging="373"/>
      </w:pPr>
      <w:rPr>
        <w:rFonts w:hint="default"/>
        <w:lang w:val="es-ES" w:eastAsia="en-US" w:bidi="ar-SA"/>
      </w:r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94936A6"/>
    <w:multiLevelType w:val="hybridMultilevel"/>
    <w:tmpl w:val="D730E3DE"/>
    <w:lvl w:ilvl="0" w:tplc="416AD218">
      <w:start w:val="1"/>
      <w:numFmt w:val="decimal"/>
      <w:lvlText w:val="%1."/>
      <w:lvlJc w:val="left"/>
      <w:pPr>
        <w:ind w:left="970" w:hanging="201"/>
      </w:pPr>
      <w:rPr>
        <w:rFonts w:ascii="Verdana" w:eastAsia="Verdana" w:hAnsi="Verdana" w:cs="Verdana" w:hint="default"/>
        <w:b w:val="0"/>
        <w:bCs w:val="0"/>
        <w:i w:val="0"/>
        <w:iCs w:val="0"/>
        <w:spacing w:val="-1"/>
        <w:w w:val="98"/>
        <w:sz w:val="22"/>
        <w:szCs w:val="22"/>
        <w:lang w:val="es-ES" w:eastAsia="en-US" w:bidi="ar-SA"/>
      </w:rPr>
    </w:lvl>
    <w:lvl w:ilvl="1" w:tplc="588ED99A">
      <w:numFmt w:val="bullet"/>
      <w:lvlText w:val="•"/>
      <w:lvlJc w:val="left"/>
      <w:pPr>
        <w:ind w:left="1890" w:hanging="201"/>
      </w:pPr>
      <w:rPr>
        <w:rFonts w:hint="default"/>
        <w:lang w:val="es-ES" w:eastAsia="en-US" w:bidi="ar-SA"/>
      </w:rPr>
    </w:lvl>
    <w:lvl w:ilvl="2" w:tplc="69E86FE8">
      <w:numFmt w:val="bullet"/>
      <w:lvlText w:val="•"/>
      <w:lvlJc w:val="left"/>
      <w:pPr>
        <w:ind w:left="2800" w:hanging="201"/>
      </w:pPr>
      <w:rPr>
        <w:rFonts w:hint="default"/>
        <w:lang w:val="es-ES" w:eastAsia="en-US" w:bidi="ar-SA"/>
      </w:rPr>
    </w:lvl>
    <w:lvl w:ilvl="3" w:tplc="B23ADEB0">
      <w:numFmt w:val="bullet"/>
      <w:lvlText w:val="•"/>
      <w:lvlJc w:val="left"/>
      <w:pPr>
        <w:ind w:left="3710" w:hanging="201"/>
      </w:pPr>
      <w:rPr>
        <w:rFonts w:hint="default"/>
        <w:lang w:val="es-ES" w:eastAsia="en-US" w:bidi="ar-SA"/>
      </w:rPr>
    </w:lvl>
    <w:lvl w:ilvl="4" w:tplc="C9B002AC">
      <w:numFmt w:val="bullet"/>
      <w:lvlText w:val="•"/>
      <w:lvlJc w:val="left"/>
      <w:pPr>
        <w:ind w:left="4620" w:hanging="201"/>
      </w:pPr>
      <w:rPr>
        <w:rFonts w:hint="default"/>
        <w:lang w:val="es-ES" w:eastAsia="en-US" w:bidi="ar-SA"/>
      </w:rPr>
    </w:lvl>
    <w:lvl w:ilvl="5" w:tplc="C0FABD90">
      <w:numFmt w:val="bullet"/>
      <w:lvlText w:val="•"/>
      <w:lvlJc w:val="left"/>
      <w:pPr>
        <w:ind w:left="5530" w:hanging="201"/>
      </w:pPr>
      <w:rPr>
        <w:rFonts w:hint="default"/>
        <w:lang w:val="es-ES" w:eastAsia="en-US" w:bidi="ar-SA"/>
      </w:rPr>
    </w:lvl>
    <w:lvl w:ilvl="6" w:tplc="B49EA4DE">
      <w:numFmt w:val="bullet"/>
      <w:lvlText w:val="•"/>
      <w:lvlJc w:val="left"/>
      <w:pPr>
        <w:ind w:left="6440" w:hanging="201"/>
      </w:pPr>
      <w:rPr>
        <w:rFonts w:hint="default"/>
        <w:lang w:val="es-ES" w:eastAsia="en-US" w:bidi="ar-SA"/>
      </w:rPr>
    </w:lvl>
    <w:lvl w:ilvl="7" w:tplc="89EA7374">
      <w:numFmt w:val="bullet"/>
      <w:lvlText w:val="•"/>
      <w:lvlJc w:val="left"/>
      <w:pPr>
        <w:ind w:left="7350" w:hanging="201"/>
      </w:pPr>
      <w:rPr>
        <w:rFonts w:hint="default"/>
        <w:lang w:val="es-ES" w:eastAsia="en-US" w:bidi="ar-SA"/>
      </w:rPr>
    </w:lvl>
    <w:lvl w:ilvl="8" w:tplc="A9CC812E">
      <w:numFmt w:val="bullet"/>
      <w:lvlText w:val="•"/>
      <w:lvlJc w:val="left"/>
      <w:pPr>
        <w:ind w:left="8260" w:hanging="201"/>
      </w:pPr>
      <w:rPr>
        <w:rFonts w:hint="default"/>
        <w:lang w:val="es-ES" w:eastAsia="en-US" w:bidi="ar-SA"/>
      </w:rPr>
    </w:lvl>
  </w:abstractNum>
  <w:abstractNum w:abstractNumId="12" w15:restartNumberingAfterBreak="0">
    <w:nsid w:val="5CDB15FB"/>
    <w:multiLevelType w:val="hybridMultilevel"/>
    <w:tmpl w:val="C8ACE6BC"/>
    <w:lvl w:ilvl="0" w:tplc="FFFFFFFF">
      <w:start w:val="1"/>
      <w:numFmt w:val="lowerLetter"/>
      <w:lvlText w:val="%1."/>
      <w:lvlJc w:val="left"/>
      <w:pPr>
        <w:ind w:left="360" w:hanging="360"/>
      </w:pPr>
      <w:rPr>
        <w:rFonts w:ascii="Verdana" w:eastAsia="Verdana" w:hAnsi="Verdana" w:cs="Verdana" w:hint="default"/>
        <w:b w:val="0"/>
        <w:bCs w:val="0"/>
        <w:i w:val="0"/>
        <w:iCs w:val="0"/>
        <w:spacing w:val="-1"/>
        <w:w w:val="99"/>
        <w:sz w:val="20"/>
        <w:szCs w:val="20"/>
        <w:lang w:val="es-ES" w:eastAsia="en-US" w:bidi="ar-SA"/>
      </w:rPr>
    </w:lvl>
    <w:lvl w:ilvl="1" w:tplc="FFFFFFFF">
      <w:numFmt w:val="bullet"/>
      <w:lvlText w:val="•"/>
      <w:lvlJc w:val="left"/>
      <w:pPr>
        <w:ind w:left="971" w:hanging="360"/>
      </w:pPr>
      <w:rPr>
        <w:rFonts w:hint="default"/>
        <w:lang w:val="es-ES" w:eastAsia="en-US" w:bidi="ar-SA"/>
      </w:rPr>
    </w:lvl>
    <w:lvl w:ilvl="2" w:tplc="FFFFFFFF">
      <w:numFmt w:val="bullet"/>
      <w:lvlText w:val="•"/>
      <w:lvlJc w:val="left"/>
      <w:pPr>
        <w:ind w:left="1590" w:hanging="360"/>
      </w:pPr>
      <w:rPr>
        <w:rFonts w:hint="default"/>
        <w:lang w:val="es-ES" w:eastAsia="en-US" w:bidi="ar-SA"/>
      </w:rPr>
    </w:lvl>
    <w:lvl w:ilvl="3" w:tplc="FFFFFFFF">
      <w:numFmt w:val="bullet"/>
      <w:lvlText w:val="•"/>
      <w:lvlJc w:val="left"/>
      <w:pPr>
        <w:ind w:left="2209" w:hanging="360"/>
      </w:pPr>
      <w:rPr>
        <w:rFonts w:hint="default"/>
        <w:lang w:val="es-ES" w:eastAsia="en-US" w:bidi="ar-SA"/>
      </w:rPr>
    </w:lvl>
    <w:lvl w:ilvl="4" w:tplc="FFFFFFFF">
      <w:numFmt w:val="bullet"/>
      <w:lvlText w:val="•"/>
      <w:lvlJc w:val="left"/>
      <w:pPr>
        <w:ind w:left="2828" w:hanging="360"/>
      </w:pPr>
      <w:rPr>
        <w:rFonts w:hint="default"/>
        <w:lang w:val="es-ES" w:eastAsia="en-US" w:bidi="ar-SA"/>
      </w:rPr>
    </w:lvl>
    <w:lvl w:ilvl="5" w:tplc="FFFFFFFF">
      <w:numFmt w:val="bullet"/>
      <w:lvlText w:val="•"/>
      <w:lvlJc w:val="left"/>
      <w:pPr>
        <w:ind w:left="3448" w:hanging="360"/>
      </w:pPr>
      <w:rPr>
        <w:rFonts w:hint="default"/>
        <w:lang w:val="es-ES" w:eastAsia="en-US" w:bidi="ar-SA"/>
      </w:rPr>
    </w:lvl>
    <w:lvl w:ilvl="6" w:tplc="FFFFFFFF">
      <w:numFmt w:val="bullet"/>
      <w:lvlText w:val="•"/>
      <w:lvlJc w:val="left"/>
      <w:pPr>
        <w:ind w:left="4067" w:hanging="360"/>
      </w:pPr>
      <w:rPr>
        <w:rFonts w:hint="default"/>
        <w:lang w:val="es-ES" w:eastAsia="en-US" w:bidi="ar-SA"/>
      </w:rPr>
    </w:lvl>
    <w:lvl w:ilvl="7" w:tplc="FFFFFFFF">
      <w:numFmt w:val="bullet"/>
      <w:lvlText w:val="•"/>
      <w:lvlJc w:val="left"/>
      <w:pPr>
        <w:ind w:left="4686" w:hanging="360"/>
      </w:pPr>
      <w:rPr>
        <w:rFonts w:hint="default"/>
        <w:lang w:val="es-ES" w:eastAsia="en-US" w:bidi="ar-SA"/>
      </w:rPr>
    </w:lvl>
    <w:lvl w:ilvl="8" w:tplc="FFFFFFFF">
      <w:numFmt w:val="bullet"/>
      <w:lvlText w:val="•"/>
      <w:lvlJc w:val="left"/>
      <w:pPr>
        <w:ind w:left="5305" w:hanging="360"/>
      </w:pPr>
      <w:rPr>
        <w:rFonts w:hint="default"/>
        <w:lang w:val="es-ES" w:eastAsia="en-US" w:bidi="ar-SA"/>
      </w:r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CFD41E4"/>
    <w:multiLevelType w:val="hybridMultilevel"/>
    <w:tmpl w:val="271816A0"/>
    <w:lvl w:ilvl="0" w:tplc="8B42C39E">
      <w:start w:val="1"/>
      <w:numFmt w:val="low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948779781">
    <w:abstractNumId w:val="7"/>
  </w:num>
  <w:num w:numId="2" w16cid:durableId="19822139">
    <w:abstractNumId w:val="1"/>
  </w:num>
  <w:num w:numId="3" w16cid:durableId="876742304">
    <w:abstractNumId w:val="4"/>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6"/>
  </w:num>
  <w:num w:numId="7" w16cid:durableId="1946422806">
    <w:abstractNumId w:val="5"/>
  </w:num>
  <w:num w:numId="8" w16cid:durableId="152644682">
    <w:abstractNumId w:val="15"/>
  </w:num>
  <w:num w:numId="9" w16cid:durableId="1317221377">
    <w:abstractNumId w:val="8"/>
  </w:num>
  <w:num w:numId="10" w16cid:durableId="1471245386">
    <w:abstractNumId w:val="14"/>
  </w:num>
  <w:num w:numId="11" w16cid:durableId="289172385">
    <w:abstractNumId w:val="9"/>
  </w:num>
  <w:num w:numId="12" w16cid:durableId="1470781324">
    <w:abstractNumId w:val="0"/>
  </w:num>
  <w:num w:numId="13" w16cid:durableId="1512908409">
    <w:abstractNumId w:val="2"/>
  </w:num>
  <w:num w:numId="14" w16cid:durableId="895897244">
    <w:abstractNumId w:val="17"/>
  </w:num>
  <w:num w:numId="15" w16cid:durableId="390349800">
    <w:abstractNumId w:val="13"/>
  </w:num>
  <w:num w:numId="16" w16cid:durableId="1907255548">
    <w:abstractNumId w:val="3"/>
  </w:num>
  <w:num w:numId="17" w16cid:durableId="1351376740">
    <w:abstractNumId w:val="10"/>
  </w:num>
  <w:num w:numId="18" w16cid:durableId="944965381">
    <w:abstractNumId w:val="6"/>
  </w:num>
  <w:num w:numId="19" w16cid:durableId="1285119278">
    <w:abstractNumId w:val="18"/>
  </w:num>
  <w:num w:numId="20" w16cid:durableId="536621656">
    <w:abstractNumId w:val="11"/>
  </w:num>
  <w:num w:numId="21" w16cid:durableId="14825508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77B8"/>
    <w:rsid w:val="00016F78"/>
    <w:rsid w:val="00046945"/>
    <w:rsid w:val="00061B2A"/>
    <w:rsid w:val="00082362"/>
    <w:rsid w:val="000A683E"/>
    <w:rsid w:val="000B19B9"/>
    <w:rsid w:val="000D0334"/>
    <w:rsid w:val="000D5DA7"/>
    <w:rsid w:val="000E4BBA"/>
    <w:rsid w:val="000F6486"/>
    <w:rsid w:val="00116940"/>
    <w:rsid w:val="00120CB2"/>
    <w:rsid w:val="00125105"/>
    <w:rsid w:val="00127233"/>
    <w:rsid w:val="0015699B"/>
    <w:rsid w:val="00162106"/>
    <w:rsid w:val="001A33BF"/>
    <w:rsid w:val="001B738D"/>
    <w:rsid w:val="001C554B"/>
    <w:rsid w:val="001C7C02"/>
    <w:rsid w:val="001E4177"/>
    <w:rsid w:val="001F0B24"/>
    <w:rsid w:val="001F7DC6"/>
    <w:rsid w:val="0022400B"/>
    <w:rsid w:val="0022692D"/>
    <w:rsid w:val="002421BB"/>
    <w:rsid w:val="00254C8B"/>
    <w:rsid w:val="0025796E"/>
    <w:rsid w:val="002707A2"/>
    <w:rsid w:val="002951A0"/>
    <w:rsid w:val="002962BC"/>
    <w:rsid w:val="002A093D"/>
    <w:rsid w:val="002A0DD0"/>
    <w:rsid w:val="002A49AC"/>
    <w:rsid w:val="002A64FD"/>
    <w:rsid w:val="002C7A84"/>
    <w:rsid w:val="002E2BF8"/>
    <w:rsid w:val="002E4FD9"/>
    <w:rsid w:val="002F6FE2"/>
    <w:rsid w:val="0030657A"/>
    <w:rsid w:val="00322A85"/>
    <w:rsid w:val="00324168"/>
    <w:rsid w:val="00330834"/>
    <w:rsid w:val="003448F4"/>
    <w:rsid w:val="00355537"/>
    <w:rsid w:val="00374F5E"/>
    <w:rsid w:val="00377E3E"/>
    <w:rsid w:val="003A779E"/>
    <w:rsid w:val="003D0F4D"/>
    <w:rsid w:val="003D5B0D"/>
    <w:rsid w:val="003E0499"/>
    <w:rsid w:val="003E1B46"/>
    <w:rsid w:val="003E4F80"/>
    <w:rsid w:val="003E6439"/>
    <w:rsid w:val="003F3941"/>
    <w:rsid w:val="00406575"/>
    <w:rsid w:val="00414C74"/>
    <w:rsid w:val="0042722E"/>
    <w:rsid w:val="0044528D"/>
    <w:rsid w:val="00453CA0"/>
    <w:rsid w:val="00465C0E"/>
    <w:rsid w:val="00466E39"/>
    <w:rsid w:val="004A1847"/>
    <w:rsid w:val="004A305D"/>
    <w:rsid w:val="004F21C4"/>
    <w:rsid w:val="004F59FA"/>
    <w:rsid w:val="004F685F"/>
    <w:rsid w:val="005207A8"/>
    <w:rsid w:val="005566E8"/>
    <w:rsid w:val="005723A0"/>
    <w:rsid w:val="005734F0"/>
    <w:rsid w:val="00574867"/>
    <w:rsid w:val="00591460"/>
    <w:rsid w:val="005A65E0"/>
    <w:rsid w:val="005C3777"/>
    <w:rsid w:val="005C5CDC"/>
    <w:rsid w:val="005D476C"/>
    <w:rsid w:val="005E1591"/>
    <w:rsid w:val="006200BF"/>
    <w:rsid w:val="006219F8"/>
    <w:rsid w:val="006302F7"/>
    <w:rsid w:val="00646B9F"/>
    <w:rsid w:val="00665D70"/>
    <w:rsid w:val="006900D9"/>
    <w:rsid w:val="006C0D60"/>
    <w:rsid w:val="006F0BD8"/>
    <w:rsid w:val="00706C16"/>
    <w:rsid w:val="0073333D"/>
    <w:rsid w:val="007340C3"/>
    <w:rsid w:val="0073774F"/>
    <w:rsid w:val="0075235A"/>
    <w:rsid w:val="00756841"/>
    <w:rsid w:val="007649AB"/>
    <w:rsid w:val="00771D0C"/>
    <w:rsid w:val="007833AC"/>
    <w:rsid w:val="007A7DCB"/>
    <w:rsid w:val="007B268C"/>
    <w:rsid w:val="007B7171"/>
    <w:rsid w:val="007C0C0F"/>
    <w:rsid w:val="007C3DC2"/>
    <w:rsid w:val="007E0189"/>
    <w:rsid w:val="007E5497"/>
    <w:rsid w:val="00806F5F"/>
    <w:rsid w:val="0081088A"/>
    <w:rsid w:val="00820278"/>
    <w:rsid w:val="008258C9"/>
    <w:rsid w:val="00844AE9"/>
    <w:rsid w:val="00852AD9"/>
    <w:rsid w:val="00865E38"/>
    <w:rsid w:val="00867F95"/>
    <w:rsid w:val="008843B6"/>
    <w:rsid w:val="00891928"/>
    <w:rsid w:val="008A446D"/>
    <w:rsid w:val="008B25F1"/>
    <w:rsid w:val="008D180B"/>
    <w:rsid w:val="008F0EA7"/>
    <w:rsid w:val="00911BDE"/>
    <w:rsid w:val="00923EEF"/>
    <w:rsid w:val="009419F9"/>
    <w:rsid w:val="0095685E"/>
    <w:rsid w:val="00960131"/>
    <w:rsid w:val="00961B09"/>
    <w:rsid w:val="00965334"/>
    <w:rsid w:val="0097093E"/>
    <w:rsid w:val="009A0023"/>
    <w:rsid w:val="009A0DFA"/>
    <w:rsid w:val="009A1C6F"/>
    <w:rsid w:val="009B2D26"/>
    <w:rsid w:val="009C6854"/>
    <w:rsid w:val="009C71FA"/>
    <w:rsid w:val="009C72E7"/>
    <w:rsid w:val="009C7F7E"/>
    <w:rsid w:val="009D3058"/>
    <w:rsid w:val="009F3A13"/>
    <w:rsid w:val="009F79E6"/>
    <w:rsid w:val="00A122D3"/>
    <w:rsid w:val="00A14468"/>
    <w:rsid w:val="00A17F13"/>
    <w:rsid w:val="00A20739"/>
    <w:rsid w:val="00A23AF9"/>
    <w:rsid w:val="00A33C78"/>
    <w:rsid w:val="00A77428"/>
    <w:rsid w:val="00A8538A"/>
    <w:rsid w:val="00AB0ADB"/>
    <w:rsid w:val="00AF401E"/>
    <w:rsid w:val="00B00C0E"/>
    <w:rsid w:val="00B01B1A"/>
    <w:rsid w:val="00B0381D"/>
    <w:rsid w:val="00B27D9F"/>
    <w:rsid w:val="00B44A47"/>
    <w:rsid w:val="00B72CD3"/>
    <w:rsid w:val="00B72FFF"/>
    <w:rsid w:val="00BC3D36"/>
    <w:rsid w:val="00BD54A6"/>
    <w:rsid w:val="00BD7F72"/>
    <w:rsid w:val="00BF7425"/>
    <w:rsid w:val="00C0340D"/>
    <w:rsid w:val="00C03B04"/>
    <w:rsid w:val="00C04FB3"/>
    <w:rsid w:val="00C11D8B"/>
    <w:rsid w:val="00C15139"/>
    <w:rsid w:val="00C166B6"/>
    <w:rsid w:val="00C330EB"/>
    <w:rsid w:val="00C50D69"/>
    <w:rsid w:val="00C5365C"/>
    <w:rsid w:val="00C754BE"/>
    <w:rsid w:val="00C76B1C"/>
    <w:rsid w:val="00C83167"/>
    <w:rsid w:val="00C8665F"/>
    <w:rsid w:val="00C925AC"/>
    <w:rsid w:val="00C9765C"/>
    <w:rsid w:val="00CB6357"/>
    <w:rsid w:val="00CC1B26"/>
    <w:rsid w:val="00D30CBF"/>
    <w:rsid w:val="00D361FD"/>
    <w:rsid w:val="00D423A2"/>
    <w:rsid w:val="00D44E26"/>
    <w:rsid w:val="00D520D8"/>
    <w:rsid w:val="00D63AC2"/>
    <w:rsid w:val="00D7383B"/>
    <w:rsid w:val="00D7788A"/>
    <w:rsid w:val="00DA03F8"/>
    <w:rsid w:val="00DA231B"/>
    <w:rsid w:val="00DA7808"/>
    <w:rsid w:val="00DC39FC"/>
    <w:rsid w:val="00DE7F7B"/>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078D7"/>
    <w:rsid w:val="00F23FEA"/>
    <w:rsid w:val="00F31EDC"/>
    <w:rsid w:val="00F462B3"/>
    <w:rsid w:val="00F5664F"/>
    <w:rsid w:val="00F666C4"/>
    <w:rsid w:val="00F76AFC"/>
    <w:rsid w:val="00F91724"/>
    <w:rsid w:val="00FA47C0"/>
    <w:rsid w:val="00FA7E8D"/>
    <w:rsid w:val="00FB5DD1"/>
    <w:rsid w:val="00FC2B5D"/>
    <w:rsid w:val="00FF1449"/>
    <w:rsid w:val="00FF7963"/>
    <w:rsid w:val="00FF79D8"/>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E44A31A9-5835-4728-85B3-CEC2CF2A94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865E3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65E38"/>
    <w:rPr>
      <w:rFonts w:ascii="Geomanist Light" w:hAnsi="Geomanist Light"/>
      <w:lang w:val="es-ES"/>
    </w:rPr>
  </w:style>
  <w:style w:type="table" w:customStyle="1" w:styleId="Tablaconcuadrcula11">
    <w:name w:val="Tabla con cuadrícula11"/>
    <w:basedOn w:val="Tablanormal"/>
    <w:next w:val="Tablaconcuadrcula"/>
    <w:uiPriority w:val="59"/>
    <w:qFormat/>
    <w:rsid w:val="00865E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865E38"/>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865E3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lcaldiabogota.gov.co/sisjur/normas/Norma1.jsp?i=33104&amp;238"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oscarhavier3@gmail.com"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www.colombiacompra.gov.co"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tatiana.baquero%40colombiacompra.gov.co%7C7cfff6dece924643582c08dd97bfed90%7C7b09041e245149d08cb179d5e3d8c1be%7C0%7C0%7C638833572792347448%7CUnknown%7CTWFpbGZsb3d8eyJFbXB0eU1hcGkiOnRydWUsIlYiOiIwLjAuMDAwMCIsIlAiOiJXaW4zMiIsIkFOIjoiTWFpbCIsIldUIjoyfQ%3D%3D%7C0%7C%7C%7C&amp;sdata=K03nwa35iwf9ehvktYrXqXUKICQPG9uZh4Vu1Re28IU%3D&amp;reserved=0"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767CBA3-D674-43FE-8519-AB44D73647C2}">
  <ds:schemaRefs>
    <ds:schemaRef ds:uri="http://schemas.openxmlformats.org/officeDocument/2006/bibliography"/>
  </ds:schemaRefs>
</ds:datastoreItem>
</file>

<file path=customXml/itemProps3.xml><?xml version="1.0" encoding="utf-8"?>
<ds:datastoreItem xmlns:ds="http://schemas.openxmlformats.org/officeDocument/2006/customXml" ds:itemID="{8B7598F5-4CBC-4F49-ADF1-9CDAC3A8A328}"/>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d8f5e815-0076-445a-b727-5225634d30bd"/>
    <ds:schemaRef ds:uri="8ae15d26-076e-464e-81a7-6f76a0fb3917"/>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11</TotalTime>
  <Pages>25</Pages>
  <Words>8486</Words>
  <Characters>45405</Characters>
  <Application>Microsoft Office Word</Application>
  <DocSecurity>0</DocSecurity>
  <Lines>926</Lines>
  <Paragraphs>191</Paragraphs>
  <ScaleCrop>false</ScaleCrop>
  <Company/>
  <LinksUpToDate>false</LinksUpToDate>
  <CharactersWithSpaces>53700</CharactersWithSpaces>
  <SharedDoc>false</SharedDoc>
  <HLinks>
    <vt:vector size="30" baseType="variant">
      <vt:variant>
        <vt:i4>6029407</vt:i4>
      </vt:variant>
      <vt:variant>
        <vt:i4>12</vt:i4>
      </vt:variant>
      <vt:variant>
        <vt:i4>0</vt:i4>
      </vt:variant>
      <vt:variant>
        <vt:i4>5</vt:i4>
      </vt:variant>
      <vt:variant>
        <vt:lpwstr>http://www.colombiacompra.gov.co/</vt:lpwstr>
      </vt:variant>
      <vt:variant>
        <vt:lpwstr/>
      </vt:variant>
      <vt:variant>
        <vt:i4>6553663</vt:i4>
      </vt:variant>
      <vt:variant>
        <vt:i4>9</vt:i4>
      </vt:variant>
      <vt:variant>
        <vt:i4>0</vt:i4>
      </vt:variant>
      <vt:variant>
        <vt:i4>5</vt:i4>
      </vt:variant>
      <vt:variant>
        <vt:lpwstr>https://nam02.safelinks.protection.outlook.com/?url=https%3A%2F%2Fwww.colombiacompra.gov.co%2Fwp-content%2Fuploads%2F2025%2F05%2FGUIA-DE-LINEAMIENTOS-DE-TRANSPARENCIA-Y-SELECCION-OBJETIVA-1.0.pdf&amp;data=05%7C02%7Ctatiana.baquero%40colombiacompra.gov.co%7C7cfff6dece924643582c08dd97bfed90%7C7b09041e245149d08cb179d5e3d8c1be%7C0%7C0%7C638833572792347448%7CUnknown%7CTWFpbGZsb3d8eyJFbXB0eU1hcGkiOnRydWUsIlYiOiIwLjAuMDAwMCIsIlAiOiJXaW4zMiIsIkFOIjoiTWFpbCIsIldUIjoyfQ%3D%3D%7C0%7C%7C%7C&amp;sdata=K03nwa35iwf9ehvktYrXqXUKICQPG9uZh4Vu1Re28IU%3D&amp;reserved=0</vt:lpwstr>
      </vt:variant>
      <vt:variant>
        <vt:lpwstr/>
      </vt:variant>
      <vt:variant>
        <vt:i4>7471218</vt:i4>
      </vt:variant>
      <vt:variant>
        <vt:i4>6</vt:i4>
      </vt:variant>
      <vt:variant>
        <vt:i4>0</vt:i4>
      </vt:variant>
      <vt:variant>
        <vt:i4>5</vt:i4>
      </vt:variant>
      <vt:variant>
        <vt:lpwstr>https://relatoria.colombiacompra.gov.co/busqueda/conceptos</vt:lpwstr>
      </vt:variant>
      <vt:variant>
        <vt:lpwstr/>
      </vt:variant>
      <vt:variant>
        <vt:i4>2293801</vt:i4>
      </vt:variant>
      <vt:variant>
        <vt:i4>3</vt:i4>
      </vt:variant>
      <vt:variant>
        <vt:i4>0</vt:i4>
      </vt:variant>
      <vt:variant>
        <vt:i4>5</vt:i4>
      </vt:variant>
      <vt:variant>
        <vt:lpwstr>https://www.alcaldiabogota.gov.co/sisjur/normas/Norma1.jsp?i=33104&amp;238</vt:lpwstr>
      </vt:variant>
      <vt:variant>
        <vt:lpwstr/>
      </vt:variant>
      <vt:variant>
        <vt:i4>6488089</vt:i4>
      </vt:variant>
      <vt:variant>
        <vt:i4>0</vt:i4>
      </vt:variant>
      <vt:variant>
        <vt:i4>0</vt:i4>
      </vt:variant>
      <vt:variant>
        <vt:i4>5</vt:i4>
      </vt:variant>
      <vt:variant>
        <vt:lpwstr>mailto:oscarhavier3@gmail.com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9</cp:revision>
  <cp:lastPrinted>2023-01-11T00:18:00Z</cp:lastPrinted>
  <dcterms:created xsi:type="dcterms:W3CDTF">2026-01-05T19:15:00Z</dcterms:created>
  <dcterms:modified xsi:type="dcterms:W3CDTF">2026-01-05T21:22:00Z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