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869CB" w14:textId="77777777" w:rsidR="004A5DD1" w:rsidRPr="00052F7C" w:rsidRDefault="004A5DD1" w:rsidP="004A5DD1">
      <w:pPr>
        <w:spacing w:after="0" w:line="240" w:lineRule="auto"/>
        <w:contextualSpacing/>
        <w:jc w:val="both"/>
        <w:rPr>
          <w:rFonts w:ascii="Verdana" w:eastAsia="Calibri" w:hAnsi="Verdana" w:cs="Arial"/>
          <w:b/>
          <w:bCs/>
          <w:lang w:val="es-ES_tradnl"/>
        </w:rPr>
      </w:pPr>
      <w:r w:rsidRPr="00052F7C">
        <w:rPr>
          <w:rFonts w:ascii="Verdana" w:eastAsia="Calibri" w:hAnsi="Verdana" w:cs="Arial"/>
          <w:b/>
          <w:bCs/>
        </w:rPr>
        <w:t xml:space="preserve">CONTRATO DE PRESTACIÓN DE SERVICIOS – Concepto </w:t>
      </w:r>
      <w:r w:rsidRPr="00052F7C">
        <w:rPr>
          <w:rFonts w:ascii="Verdana" w:eastAsia="Calibri" w:hAnsi="Verdana" w:cs="Arial"/>
          <w:b/>
          <w:bCs/>
          <w:lang w:val="es-ES_tradnl"/>
        </w:rPr>
        <w:t xml:space="preserve"> </w:t>
      </w:r>
    </w:p>
    <w:p w14:paraId="411F3FA7" w14:textId="77777777" w:rsidR="004A5DD1" w:rsidRPr="00052F7C" w:rsidRDefault="004A5DD1" w:rsidP="004A5DD1">
      <w:pPr>
        <w:spacing w:after="0" w:line="240" w:lineRule="auto"/>
        <w:contextualSpacing/>
        <w:jc w:val="both"/>
        <w:rPr>
          <w:rFonts w:ascii="Verdana" w:eastAsia="Calibri" w:hAnsi="Verdana" w:cs="Arial"/>
          <w:sz w:val="20"/>
          <w:szCs w:val="20"/>
          <w:lang w:val="es-ES_tradnl"/>
        </w:rPr>
      </w:pPr>
    </w:p>
    <w:p w14:paraId="66D9B844" w14:textId="77777777" w:rsidR="004A5DD1" w:rsidRPr="00052F7C" w:rsidRDefault="004A5DD1" w:rsidP="004A5DD1">
      <w:pPr>
        <w:spacing w:after="0" w:line="240" w:lineRule="auto"/>
        <w:contextualSpacing/>
        <w:jc w:val="both"/>
        <w:rPr>
          <w:rFonts w:ascii="Verdana" w:eastAsia="Calibri" w:hAnsi="Verdana" w:cs="Arial"/>
          <w:sz w:val="20"/>
          <w:szCs w:val="20"/>
          <w:lang w:val="es-ES_tradnl"/>
        </w:rPr>
      </w:pPr>
      <w:r w:rsidRPr="00052F7C">
        <w:rPr>
          <w:rFonts w:ascii="Verdana" w:eastAsia="Calibri" w:hAnsi="Verdana" w:cs="Arial"/>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r w:rsidRPr="00052F7C">
        <w:rPr>
          <w:rFonts w:ascii="Verdana" w:eastAsia="Calibri" w:hAnsi="Verdana" w:cs="Arial"/>
          <w:sz w:val="20"/>
          <w:szCs w:val="20"/>
          <w:lang w:val="es-ES_tradnl"/>
        </w:rPr>
        <w:t xml:space="preserve"> </w:t>
      </w:r>
      <w:r w:rsidRPr="00052F7C">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r w:rsidRPr="00052F7C">
        <w:rPr>
          <w:rFonts w:ascii="Verdana" w:eastAsia="Calibri" w:hAnsi="Verdana" w:cs="Arial"/>
          <w:sz w:val="20"/>
          <w:szCs w:val="20"/>
          <w:lang w:val="es-ES_tradnl"/>
        </w:rPr>
        <w:t xml:space="preserve"> </w:t>
      </w:r>
      <w:r w:rsidRPr="00052F7C">
        <w:rPr>
          <w:rFonts w:ascii="Verdana" w:eastAsia="Calibri" w:hAnsi="Verdana" w:cs="Arial"/>
          <w:sz w:val="20"/>
          <w:szCs w:val="20"/>
        </w:rPr>
        <w:t>En ningún caso estos contratos generan relación laboral ni prestaciones sociales y se celebrarán por el término estrictamente indispensable.</w:t>
      </w:r>
    </w:p>
    <w:p w14:paraId="497EF74C" w14:textId="77777777" w:rsidR="004A5DD1" w:rsidRPr="00941309" w:rsidRDefault="004A5DD1" w:rsidP="004A5DD1">
      <w:pPr>
        <w:spacing w:after="0" w:line="240" w:lineRule="auto"/>
        <w:contextualSpacing/>
        <w:jc w:val="both"/>
        <w:rPr>
          <w:rFonts w:ascii="Verdana" w:eastAsia="Calibri" w:hAnsi="Verdana" w:cs="Arial"/>
          <w:b/>
          <w:bCs/>
          <w:color w:val="4472C4" w:themeColor="accent1"/>
          <w:sz w:val="20"/>
          <w:szCs w:val="20"/>
          <w:lang w:val="es-ES_tradnl"/>
        </w:rPr>
      </w:pPr>
    </w:p>
    <w:p w14:paraId="26E1FC59" w14:textId="77777777" w:rsidR="004A5DD1" w:rsidRPr="00592DC4" w:rsidRDefault="004A5DD1" w:rsidP="004A5DD1">
      <w:pPr>
        <w:spacing w:after="0" w:line="240" w:lineRule="auto"/>
        <w:contextualSpacing/>
        <w:jc w:val="both"/>
        <w:rPr>
          <w:rFonts w:ascii="Verdana" w:eastAsia="Calibri" w:hAnsi="Verdana" w:cs="Arial"/>
          <w:b/>
          <w:bCs/>
          <w:lang w:val="es-ES_tradnl"/>
        </w:rPr>
      </w:pPr>
      <w:r w:rsidRPr="00592DC4">
        <w:rPr>
          <w:rFonts w:ascii="Verdana" w:eastAsia="Calibri" w:hAnsi="Verdana" w:cs="Arial"/>
          <w:b/>
          <w:bCs/>
          <w:lang w:val="es-ES_tradnl"/>
        </w:rPr>
        <w:t>CONTRATO DE PRESTACIÓN DE SERVICIOS – Características</w:t>
      </w:r>
    </w:p>
    <w:p w14:paraId="469A9EB9" w14:textId="77777777" w:rsidR="004A5DD1" w:rsidRPr="00592DC4" w:rsidRDefault="004A5DD1" w:rsidP="004A5DD1">
      <w:pPr>
        <w:spacing w:after="0" w:line="240" w:lineRule="auto"/>
        <w:contextualSpacing/>
        <w:jc w:val="both"/>
        <w:rPr>
          <w:rFonts w:ascii="Verdana" w:eastAsia="Calibri" w:hAnsi="Verdana" w:cs="Arial"/>
          <w:b/>
          <w:bCs/>
          <w:sz w:val="20"/>
          <w:szCs w:val="20"/>
          <w:lang w:val="es-ES_tradnl"/>
        </w:rPr>
      </w:pPr>
    </w:p>
    <w:p w14:paraId="34C8087B" w14:textId="77777777" w:rsidR="004A5DD1" w:rsidRDefault="004A5DD1" w:rsidP="004A5DD1">
      <w:pPr>
        <w:spacing w:after="0" w:line="240" w:lineRule="auto"/>
        <w:jc w:val="both"/>
        <w:rPr>
          <w:rFonts w:ascii="Verdana" w:eastAsia="Times New Roman" w:hAnsi="Verdana" w:cs="Times New Roman"/>
          <w:sz w:val="20"/>
          <w:szCs w:val="20"/>
          <w:lang w:val="es-ES_tradnl" w:eastAsia="es-ES_tradnl"/>
        </w:rPr>
      </w:pPr>
      <w:r w:rsidRPr="00592DC4">
        <w:rPr>
          <w:rFonts w:ascii="Verdana" w:eastAsia="Times New Roman" w:hAnsi="Verdana" w:cs="Times New Roman"/>
          <w:sz w:val="20"/>
          <w:szCs w:val="20"/>
          <w:lang w:val="es-ES_tradnl" w:eastAsia="es-ES_tradnl"/>
        </w:rPr>
        <w:t>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 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w:t>
      </w:r>
    </w:p>
    <w:p w14:paraId="78FA3863" w14:textId="77777777" w:rsidR="004A5DD1" w:rsidRDefault="004A5DD1" w:rsidP="004A5DD1">
      <w:pPr>
        <w:spacing w:after="0" w:line="240" w:lineRule="auto"/>
        <w:jc w:val="both"/>
        <w:rPr>
          <w:rFonts w:ascii="Verdana" w:eastAsia="Times New Roman" w:hAnsi="Verdana" w:cs="Times New Roman"/>
          <w:sz w:val="20"/>
          <w:szCs w:val="20"/>
          <w:lang w:val="es-ES_tradnl" w:eastAsia="es-ES_tradnl"/>
        </w:rPr>
      </w:pPr>
    </w:p>
    <w:p w14:paraId="325228C6" w14:textId="77777777" w:rsidR="004A5DD1" w:rsidRPr="009143F1" w:rsidRDefault="004A5DD1" w:rsidP="004A5DD1">
      <w:pPr>
        <w:jc w:val="both"/>
        <w:rPr>
          <w:rFonts w:ascii="Verdana" w:hAnsi="Verdana" w:cs="Arial"/>
          <w:b/>
          <w:bCs/>
          <w:color w:val="000000" w:themeColor="text1"/>
          <w:lang w:val="es-ES_tradnl"/>
        </w:rPr>
      </w:pPr>
      <w:r>
        <w:rPr>
          <w:rFonts w:ascii="Verdana" w:hAnsi="Verdana" w:cs="Arial"/>
          <w:b/>
          <w:bCs/>
          <w:color w:val="000000" w:themeColor="text1"/>
          <w:lang w:val="es-ES_tradnl"/>
        </w:rPr>
        <w:t>C</w:t>
      </w:r>
      <w:r w:rsidRPr="009143F1">
        <w:rPr>
          <w:rFonts w:ascii="Verdana" w:hAnsi="Verdana" w:cs="Arial"/>
          <w:b/>
          <w:bCs/>
          <w:color w:val="000000" w:themeColor="text1"/>
          <w:lang w:val="es-ES_tradnl"/>
        </w:rPr>
        <w:t xml:space="preserve">ONTRATO DE PRESTACIÓN DE SERVICIOS PROFESIONALES </w:t>
      </w:r>
      <w:r w:rsidRPr="009143F1">
        <w:rPr>
          <w:rFonts w:ascii="Verdana" w:eastAsia="Calibri" w:hAnsi="Verdana" w:cs="Arial"/>
          <w:b/>
          <w:color w:val="000000" w:themeColor="text1"/>
        </w:rPr>
        <w:t>–</w:t>
      </w:r>
      <w:r>
        <w:rPr>
          <w:rFonts w:ascii="Verdana" w:eastAsia="Calibri" w:hAnsi="Verdana" w:cs="Arial"/>
          <w:b/>
          <w:color w:val="000000" w:themeColor="text1"/>
        </w:rPr>
        <w:t xml:space="preserve"> Temporalidad </w:t>
      </w:r>
      <w:r w:rsidRPr="009143F1">
        <w:rPr>
          <w:rFonts w:ascii="Verdana" w:eastAsia="Calibri" w:hAnsi="Verdana" w:cs="Arial"/>
          <w:b/>
          <w:color w:val="000000" w:themeColor="text1"/>
        </w:rPr>
        <w:t>–</w:t>
      </w:r>
      <w:r>
        <w:rPr>
          <w:rFonts w:ascii="Verdana" w:eastAsia="Calibri" w:hAnsi="Verdana" w:cs="Arial"/>
          <w:b/>
          <w:color w:val="000000" w:themeColor="text1"/>
        </w:rPr>
        <w:t xml:space="preserve"> </w:t>
      </w:r>
      <w:r w:rsidRPr="0093694E">
        <w:rPr>
          <w:rFonts w:ascii="Verdana" w:hAnsi="Verdana" w:cs="Arial"/>
          <w:b/>
          <w:bCs/>
          <w:color w:val="000000" w:themeColor="text1"/>
          <w:lang w:val="es-ES_tradnl"/>
        </w:rPr>
        <w:t xml:space="preserve">Circular Conjunta 100-005-2022 </w:t>
      </w:r>
      <w:r w:rsidRPr="00B63B09">
        <w:rPr>
          <w:rFonts w:ascii="Verdana" w:hAnsi="Verdana" w:cs="Arial"/>
          <w:b/>
          <w:bCs/>
          <w:color w:val="000000" w:themeColor="text1"/>
          <w:lang w:val="es-ES_tradnl"/>
        </w:rPr>
        <w:t>–</w:t>
      </w:r>
      <w:r w:rsidRPr="009143F1">
        <w:rPr>
          <w:rFonts w:ascii="Verdana" w:hAnsi="Verdana" w:cs="Arial"/>
          <w:b/>
          <w:bCs/>
          <w:color w:val="000000" w:themeColor="text1"/>
          <w:lang w:val="es-ES_tradnl"/>
        </w:rPr>
        <w:t xml:space="preserve"> </w:t>
      </w:r>
      <w:r w:rsidRPr="00B63B09">
        <w:rPr>
          <w:rFonts w:ascii="Verdana" w:hAnsi="Verdana" w:cs="Arial"/>
          <w:b/>
          <w:bCs/>
          <w:color w:val="000000" w:themeColor="text1"/>
          <w:lang w:val="es-ES_tradnl"/>
        </w:rPr>
        <w:t>Sentencia de</w:t>
      </w:r>
      <w:r w:rsidRPr="009143F1">
        <w:rPr>
          <w:rFonts w:ascii="Verdana" w:eastAsia="Calibri" w:hAnsi="Verdana" w:cs="Arial"/>
          <w:b/>
          <w:bCs/>
          <w:color w:val="000000" w:themeColor="text1"/>
        </w:rPr>
        <w:t xml:space="preserve"> Unificación SUJ-025-CE-S2-2021 </w:t>
      </w:r>
    </w:p>
    <w:p w14:paraId="14F302AF" w14:textId="77777777" w:rsidR="004A5DD1" w:rsidRDefault="004A5DD1" w:rsidP="004A5DD1">
      <w:pPr>
        <w:spacing w:after="0" w:line="240" w:lineRule="auto"/>
        <w:jc w:val="both"/>
        <w:rPr>
          <w:rFonts w:ascii="Verdana" w:hAnsi="Verdana" w:cs="Arial"/>
          <w:bCs/>
          <w:color w:val="000000" w:themeColor="text1"/>
          <w:sz w:val="20"/>
          <w:szCs w:val="20"/>
        </w:rPr>
      </w:pPr>
      <w:r w:rsidRPr="008B161E">
        <w:rPr>
          <w:rFonts w:ascii="Verdana" w:hAnsi="Verdana" w:cs="Arial"/>
          <w:bCs/>
          <w:color w:val="000000" w:themeColor="text1"/>
          <w:sz w:val="20"/>
          <w:szCs w:val="20"/>
        </w:rPr>
        <w:t>Además, considerando que el contrato de prestación de servicios es una tipología contractual regulada por el numeral 3 del artículo 32 de la Ley 80 de 1993, norma que habilita su suscripción por el término estrictamente indispensable para cumplir su objeto, el numeral 3 de la Circular Conjunta 100-005-2022 no puede ser interpretado como una disposición que establece un plazo máximo de duración para los contratos de prestación de servicios, sino como una directriz administrativa orientadora tendiente a acompasar el proceso de creación de plantas temporales con la celebración de contratos de prestación de servicios durante el año 2023.</w:t>
      </w:r>
    </w:p>
    <w:p w14:paraId="49BAA361" w14:textId="77777777" w:rsidR="004A5DD1" w:rsidRDefault="004A5DD1" w:rsidP="004A5DD1">
      <w:pPr>
        <w:spacing w:after="0" w:line="240" w:lineRule="auto"/>
        <w:jc w:val="both"/>
        <w:rPr>
          <w:rFonts w:ascii="Verdana" w:hAnsi="Verdana" w:cs="Arial"/>
          <w:bCs/>
          <w:color w:val="000000" w:themeColor="text1"/>
          <w:sz w:val="20"/>
          <w:szCs w:val="20"/>
        </w:rPr>
      </w:pPr>
      <w:r>
        <w:rPr>
          <w:rFonts w:ascii="Verdana" w:hAnsi="Verdana" w:cs="Arial"/>
          <w:bCs/>
          <w:color w:val="000000" w:themeColor="text1"/>
          <w:sz w:val="20"/>
          <w:szCs w:val="20"/>
        </w:rPr>
        <w:t>(…)</w:t>
      </w:r>
    </w:p>
    <w:p w14:paraId="181A95BC" w14:textId="77777777" w:rsidR="004A5DD1" w:rsidRPr="0093694E" w:rsidRDefault="004A5DD1" w:rsidP="004A5DD1">
      <w:pPr>
        <w:spacing w:after="0" w:line="240" w:lineRule="auto"/>
        <w:jc w:val="both"/>
        <w:rPr>
          <w:rFonts w:ascii="Verdana" w:eastAsia="Times New Roman" w:hAnsi="Verdana" w:cs="Arial"/>
          <w:noProof/>
          <w:lang w:eastAsia="es-ES_tradnl"/>
        </w:rPr>
      </w:pPr>
      <w:r w:rsidRPr="008B161E">
        <w:rPr>
          <w:rFonts w:ascii="Verdana" w:hAnsi="Verdana" w:cs="Arial"/>
          <w:bCs/>
          <w:color w:val="000000" w:themeColor="text1"/>
          <w:sz w:val="20"/>
          <w:szCs w:val="20"/>
        </w:rPr>
        <w:lastRenderedPageBreak/>
        <w:t>Finalmente, se debe tener en cuenta que el Consejo de Estado mediante providencias con radicados 11001-03-24-000-2023-00010-00 (69.700) y 11001-03-24-000-2023-00008-00 (69539) decretó la medida cautelar de suspensión provisional de los efectos jurídicos del numeral 3 de la Circular Conjunta 100-005-2022, por lo que actualmente no es aplicable, y lo que rige sobre la temporalidad de los contratos de prestación de servicios es lo establecido por la Ley 80 de 1993 y la Sentencia de Unificación Jurisprudencial SUJ-025-CE-S2-2021 de la Sección Segunda del Consejo de Estado, esto es que el plazo de los contratos de prestación de servicios deberá sujetarse al “término estrictamente indispensable”, el cual según lo manifestado en dicha sentencia es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 . En ese entendido, la temporalidad del contrato de prestación de servicios está determinada por el tiempo requerido para desarrollar el objeto para el que se celebra de acuerdo con lo establecido en los correspondientes estudios previos, en cumplimiento del principio de planeación, conjuntamente con la autonomía y voluntad de las partes.</w:t>
      </w:r>
    </w:p>
    <w:p w14:paraId="4EEF0A70" w14:textId="77777777" w:rsidR="004A5DD1" w:rsidRDefault="004A5DD1" w:rsidP="004A5DD1">
      <w:pPr>
        <w:spacing w:after="0" w:line="240" w:lineRule="auto"/>
        <w:jc w:val="both"/>
        <w:rPr>
          <w:rFonts w:ascii="Verdana" w:eastAsia="Times New Roman" w:hAnsi="Verdana" w:cs="Arial"/>
          <w:noProof/>
          <w:lang w:val="es-ES_tradnl" w:eastAsia="es-ES_tradnl"/>
        </w:rPr>
      </w:pPr>
    </w:p>
    <w:p w14:paraId="43704CEB" w14:textId="77777777" w:rsidR="004A5DD1" w:rsidRDefault="004A5DD1" w:rsidP="004A5DD1">
      <w:pPr>
        <w:spacing w:after="0" w:line="240" w:lineRule="auto"/>
        <w:jc w:val="both"/>
        <w:rPr>
          <w:rFonts w:ascii="Verdana" w:eastAsia="Times New Roman" w:hAnsi="Verdana" w:cs="Arial"/>
          <w:noProof/>
          <w:lang w:val="es-ES_tradnl" w:eastAsia="es-ES_tradnl"/>
        </w:rPr>
      </w:pPr>
    </w:p>
    <w:p w14:paraId="4643B23B" w14:textId="77777777" w:rsidR="004A5DD1" w:rsidRDefault="004A5DD1" w:rsidP="004A5DD1">
      <w:pPr>
        <w:spacing w:after="0" w:line="240" w:lineRule="auto"/>
        <w:jc w:val="both"/>
        <w:rPr>
          <w:rFonts w:ascii="Verdana" w:eastAsia="Times New Roman" w:hAnsi="Verdana" w:cs="Arial"/>
          <w:noProof/>
          <w:lang w:val="es-ES_tradnl" w:eastAsia="es-ES_tradnl"/>
        </w:rPr>
      </w:pPr>
    </w:p>
    <w:p w14:paraId="2E1959A0" w14:textId="77777777" w:rsidR="004A5DD1" w:rsidRDefault="004A5DD1" w:rsidP="004A5DD1">
      <w:pPr>
        <w:spacing w:after="0" w:line="240" w:lineRule="auto"/>
        <w:jc w:val="both"/>
        <w:rPr>
          <w:rFonts w:ascii="Verdana" w:eastAsia="Times New Roman" w:hAnsi="Verdana" w:cs="Arial"/>
          <w:noProof/>
          <w:lang w:val="es-ES_tradnl" w:eastAsia="es-ES_tradnl"/>
        </w:rPr>
      </w:pPr>
    </w:p>
    <w:p w14:paraId="1D9020F3" w14:textId="77777777" w:rsidR="004A5DD1" w:rsidRDefault="004A5DD1" w:rsidP="004A5DD1">
      <w:pPr>
        <w:spacing w:after="0" w:line="240" w:lineRule="auto"/>
        <w:jc w:val="both"/>
        <w:rPr>
          <w:rFonts w:ascii="Verdana" w:eastAsia="Times New Roman" w:hAnsi="Verdana" w:cs="Arial"/>
          <w:noProof/>
          <w:lang w:val="es-ES_tradnl" w:eastAsia="es-ES_tradnl"/>
        </w:rPr>
      </w:pPr>
    </w:p>
    <w:p w14:paraId="3D4CCB3E" w14:textId="77777777" w:rsidR="004A5DD1" w:rsidRDefault="004A5DD1" w:rsidP="004A5DD1">
      <w:pPr>
        <w:spacing w:after="0" w:line="240" w:lineRule="auto"/>
        <w:jc w:val="both"/>
        <w:rPr>
          <w:rFonts w:ascii="Verdana" w:eastAsia="Times New Roman" w:hAnsi="Verdana" w:cs="Arial"/>
          <w:noProof/>
          <w:lang w:val="es-ES_tradnl" w:eastAsia="es-ES_tradnl"/>
        </w:rPr>
      </w:pPr>
    </w:p>
    <w:p w14:paraId="461DCF82" w14:textId="77777777" w:rsidR="004A5DD1" w:rsidRDefault="004A5DD1" w:rsidP="004A5DD1">
      <w:pPr>
        <w:spacing w:after="0" w:line="240" w:lineRule="auto"/>
        <w:jc w:val="both"/>
        <w:rPr>
          <w:rFonts w:ascii="Verdana" w:eastAsia="Times New Roman" w:hAnsi="Verdana" w:cs="Arial"/>
          <w:noProof/>
          <w:lang w:val="es-ES_tradnl" w:eastAsia="es-ES_tradnl"/>
        </w:rPr>
      </w:pPr>
    </w:p>
    <w:p w14:paraId="00AE7ABC" w14:textId="77777777" w:rsidR="004A5DD1" w:rsidRDefault="004A5DD1" w:rsidP="004A5DD1">
      <w:pPr>
        <w:spacing w:after="0" w:line="240" w:lineRule="auto"/>
        <w:jc w:val="both"/>
        <w:rPr>
          <w:rFonts w:ascii="Verdana" w:eastAsia="Times New Roman" w:hAnsi="Verdana" w:cs="Arial"/>
          <w:noProof/>
          <w:lang w:val="es-ES_tradnl" w:eastAsia="es-ES_tradnl"/>
        </w:rPr>
      </w:pPr>
    </w:p>
    <w:p w14:paraId="40A71CDE" w14:textId="77777777" w:rsidR="004A5DD1" w:rsidRDefault="004A5DD1" w:rsidP="004A5DD1">
      <w:pPr>
        <w:spacing w:after="0" w:line="240" w:lineRule="auto"/>
        <w:jc w:val="both"/>
        <w:rPr>
          <w:rFonts w:ascii="Verdana" w:eastAsia="Times New Roman" w:hAnsi="Verdana" w:cs="Arial"/>
          <w:noProof/>
          <w:lang w:val="es-ES_tradnl" w:eastAsia="es-ES_tradnl"/>
        </w:rPr>
      </w:pPr>
    </w:p>
    <w:p w14:paraId="660B4EAF" w14:textId="77777777" w:rsidR="004A5DD1" w:rsidRDefault="004A5DD1" w:rsidP="004A5DD1">
      <w:pPr>
        <w:spacing w:after="0" w:line="240" w:lineRule="auto"/>
        <w:jc w:val="both"/>
        <w:rPr>
          <w:rFonts w:ascii="Verdana" w:eastAsia="Times New Roman" w:hAnsi="Verdana" w:cs="Arial"/>
          <w:noProof/>
          <w:lang w:val="es-ES_tradnl" w:eastAsia="es-ES_tradnl"/>
        </w:rPr>
      </w:pPr>
    </w:p>
    <w:p w14:paraId="5AD6734D" w14:textId="77777777" w:rsidR="004A5DD1" w:rsidRDefault="004A5DD1" w:rsidP="004A5DD1">
      <w:pPr>
        <w:spacing w:after="0" w:line="240" w:lineRule="auto"/>
        <w:jc w:val="both"/>
        <w:rPr>
          <w:rFonts w:ascii="Verdana" w:eastAsia="Times New Roman" w:hAnsi="Verdana" w:cs="Arial"/>
          <w:noProof/>
          <w:lang w:val="es-ES_tradnl" w:eastAsia="es-ES_tradnl"/>
        </w:rPr>
      </w:pPr>
    </w:p>
    <w:p w14:paraId="7012481B" w14:textId="77777777" w:rsidR="004A5DD1" w:rsidRDefault="004A5DD1" w:rsidP="004A5DD1">
      <w:pPr>
        <w:spacing w:after="0" w:line="240" w:lineRule="auto"/>
        <w:jc w:val="both"/>
        <w:rPr>
          <w:rFonts w:ascii="Verdana" w:eastAsia="Times New Roman" w:hAnsi="Verdana" w:cs="Arial"/>
          <w:noProof/>
          <w:lang w:val="es-ES_tradnl" w:eastAsia="es-ES_tradnl"/>
        </w:rPr>
      </w:pPr>
    </w:p>
    <w:p w14:paraId="08652CAC" w14:textId="77777777" w:rsidR="004A5DD1" w:rsidRDefault="004A5DD1" w:rsidP="004A5DD1">
      <w:pPr>
        <w:spacing w:after="0" w:line="240" w:lineRule="auto"/>
        <w:jc w:val="both"/>
        <w:rPr>
          <w:rFonts w:ascii="Verdana" w:eastAsia="Times New Roman" w:hAnsi="Verdana" w:cs="Arial"/>
          <w:noProof/>
          <w:lang w:val="es-ES_tradnl" w:eastAsia="es-ES_tradnl"/>
        </w:rPr>
      </w:pPr>
    </w:p>
    <w:p w14:paraId="2C6F7583" w14:textId="77777777" w:rsidR="004A5DD1" w:rsidRDefault="004A5DD1" w:rsidP="004A5DD1">
      <w:pPr>
        <w:spacing w:after="0"/>
        <w:rPr>
          <w:rFonts w:ascii="Verdana" w:eastAsia="Times New Roman" w:hAnsi="Verdana" w:cs="Arial"/>
          <w:noProof/>
          <w:lang w:val="es-ES_tradnl" w:eastAsia="es-ES_tradnl"/>
        </w:rPr>
      </w:pPr>
    </w:p>
    <w:p w14:paraId="4AFBF0D1" w14:textId="77777777" w:rsidR="004A5DD1" w:rsidRDefault="004A5DD1" w:rsidP="004A5DD1">
      <w:pPr>
        <w:spacing w:after="0"/>
        <w:rPr>
          <w:rFonts w:ascii="Verdana" w:hAnsi="Verdana"/>
        </w:rPr>
      </w:pPr>
    </w:p>
    <w:p w14:paraId="3E524DAE" w14:textId="77777777" w:rsidR="004A5DD1" w:rsidRDefault="004A5DD1" w:rsidP="004A5DD1">
      <w:pPr>
        <w:spacing w:after="0"/>
        <w:rPr>
          <w:rFonts w:ascii="Verdana" w:hAnsi="Verdana"/>
        </w:rPr>
      </w:pPr>
    </w:p>
    <w:p w14:paraId="767AD82F" w14:textId="77777777" w:rsidR="004A5DD1" w:rsidRDefault="004A5DD1" w:rsidP="004A5DD1">
      <w:pPr>
        <w:spacing w:after="0"/>
        <w:rPr>
          <w:rFonts w:ascii="Verdana" w:hAnsi="Verdana"/>
        </w:rPr>
      </w:pPr>
    </w:p>
    <w:p w14:paraId="61C48A51" w14:textId="77777777" w:rsidR="004A5DD1" w:rsidRDefault="004A5DD1" w:rsidP="004A5DD1">
      <w:pPr>
        <w:spacing w:after="0"/>
        <w:rPr>
          <w:rFonts w:ascii="Verdana" w:hAnsi="Verdana"/>
        </w:rPr>
      </w:pPr>
    </w:p>
    <w:p w14:paraId="4BFB4062" w14:textId="77777777" w:rsidR="004A5DD1" w:rsidRDefault="004A5DD1" w:rsidP="004A5DD1">
      <w:pPr>
        <w:spacing w:after="0"/>
        <w:rPr>
          <w:rFonts w:ascii="Verdana" w:hAnsi="Verdana"/>
        </w:rPr>
      </w:pPr>
    </w:p>
    <w:p w14:paraId="00E1CC38" w14:textId="77777777" w:rsidR="004A5DD1" w:rsidRDefault="004A5DD1" w:rsidP="004A5DD1">
      <w:pPr>
        <w:spacing w:after="0"/>
        <w:rPr>
          <w:rFonts w:ascii="Verdana" w:hAnsi="Verdana"/>
        </w:rPr>
      </w:pPr>
    </w:p>
    <w:p w14:paraId="716420EF" w14:textId="77777777" w:rsidR="004A5DD1" w:rsidRDefault="004A5DD1" w:rsidP="004A5DD1">
      <w:pPr>
        <w:spacing w:after="0"/>
        <w:rPr>
          <w:rFonts w:ascii="Verdana" w:hAnsi="Verdana"/>
        </w:rPr>
      </w:pPr>
    </w:p>
    <w:p w14:paraId="2950718E" w14:textId="77777777" w:rsidR="004A5DD1" w:rsidRDefault="004A5DD1" w:rsidP="004A5DD1">
      <w:pPr>
        <w:spacing w:after="0"/>
        <w:rPr>
          <w:rFonts w:ascii="Verdana" w:hAnsi="Verdana"/>
        </w:rPr>
      </w:pPr>
    </w:p>
    <w:p w14:paraId="0E2115DA" w14:textId="77777777" w:rsidR="004A5DD1" w:rsidRDefault="004A5DD1" w:rsidP="004A5DD1">
      <w:pPr>
        <w:spacing w:after="0"/>
        <w:rPr>
          <w:rFonts w:ascii="Verdana" w:hAnsi="Verdana"/>
        </w:rPr>
      </w:pPr>
    </w:p>
    <w:p w14:paraId="7A434903" w14:textId="77777777" w:rsidR="004A5DD1" w:rsidRDefault="004A5DD1" w:rsidP="004A5DD1">
      <w:pPr>
        <w:spacing w:after="0"/>
        <w:rPr>
          <w:rFonts w:ascii="Verdana" w:hAnsi="Verdana"/>
        </w:rPr>
      </w:pPr>
    </w:p>
    <w:p w14:paraId="4AD3EE3A" w14:textId="36E4DB5A" w:rsidR="004A5DD1" w:rsidRPr="004A5DD1" w:rsidRDefault="004A5DD1" w:rsidP="004A5DD1">
      <w:pPr>
        <w:spacing w:after="0"/>
        <w:rPr>
          <w:rFonts w:ascii="Verdana" w:hAnsi="Verdana"/>
        </w:rPr>
      </w:pPr>
      <w:r w:rsidRPr="004A5DD1">
        <w:rPr>
          <w:rFonts w:ascii="Verdana" w:hAnsi="Verdana"/>
        </w:rPr>
        <w:lastRenderedPageBreak/>
        <w:t xml:space="preserve">Bogotá D.C., </w:t>
      </w:r>
      <w:r w:rsidR="000B0C5B">
        <w:rPr>
          <w:rFonts w:ascii="Verdana" w:hAnsi="Verdana"/>
        </w:rPr>
        <w:t>23 Enero 2026</w:t>
      </w:r>
    </w:p>
    <w:p w14:paraId="3F671092" w14:textId="77777777" w:rsidR="004A5DD1" w:rsidRPr="00A240C3" w:rsidRDefault="004A5DD1" w:rsidP="004A5DD1">
      <w:pPr>
        <w:spacing w:after="0"/>
        <w:rPr>
          <w:rFonts w:ascii="Verdana" w:hAnsi="Verdana"/>
          <w:lang w:val="es-ES"/>
        </w:rPr>
      </w:pPr>
    </w:p>
    <w:p w14:paraId="6FF38149" w14:textId="486872FF" w:rsidR="004A5DD1" w:rsidRPr="00A240C3" w:rsidRDefault="004F5804" w:rsidP="004A5DD1">
      <w:pPr>
        <w:spacing w:after="0" w:line="240" w:lineRule="auto"/>
        <w:rPr>
          <w:rFonts w:ascii="Verdana" w:hAnsi="Verdana"/>
          <w:lang w:val="es-ES"/>
        </w:rPr>
      </w:pPr>
      <w:bookmarkStart w:id="0" w:name="_Hlk143780582"/>
      <w:r w:rsidRPr="004F5804">
        <w:rPr>
          <w:rFonts w:ascii="Verdana" w:eastAsia="Calibri" w:hAnsi="Verdana" w:cs="Arial"/>
          <w:lang w:val="es-ES" w:eastAsia="es-ES"/>
        </w:rPr>
        <w:drawing>
          <wp:anchor distT="0" distB="0" distL="114300" distR="114300" simplePos="0" relativeHeight="251658240" behindDoc="1" locked="0" layoutInCell="1" allowOverlap="1" wp14:anchorId="68D44F30" wp14:editId="46B4CC43">
            <wp:simplePos x="0" y="0"/>
            <wp:positionH relativeFrom="margin">
              <wp:align>right</wp:align>
            </wp:positionH>
            <wp:positionV relativeFrom="paragraph">
              <wp:posOffset>10160</wp:posOffset>
            </wp:positionV>
            <wp:extent cx="2543175" cy="761333"/>
            <wp:effectExtent l="0" t="0" r="0" b="1270"/>
            <wp:wrapNone/>
            <wp:docPr id="14847359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73595"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543175" cy="761333"/>
                    </a:xfrm>
                    <a:prstGeom prst="rect">
                      <a:avLst/>
                    </a:prstGeom>
                  </pic:spPr>
                </pic:pic>
              </a:graphicData>
            </a:graphic>
            <wp14:sizeRelH relativeFrom="margin">
              <wp14:pctWidth>0</wp14:pctWidth>
            </wp14:sizeRelH>
            <wp14:sizeRelV relativeFrom="margin">
              <wp14:pctHeight>0</wp14:pctHeight>
            </wp14:sizeRelV>
          </wp:anchor>
        </w:drawing>
      </w:r>
      <w:r w:rsidR="004A5DD1" w:rsidRPr="00A240C3">
        <w:rPr>
          <w:rFonts w:ascii="Verdana" w:eastAsia="Calibri" w:hAnsi="Verdana" w:cs="Arial"/>
          <w:lang w:val="es-ES" w:eastAsia="es-ES"/>
        </w:rPr>
        <w:t>Señor</w:t>
      </w:r>
    </w:p>
    <w:p w14:paraId="6BB3BBF6" w14:textId="77777777" w:rsidR="004A5DD1" w:rsidRPr="006E4D2C" w:rsidRDefault="004A5DD1" w:rsidP="004A5DD1">
      <w:pPr>
        <w:spacing w:after="0"/>
        <w:rPr>
          <w:rFonts w:ascii="Verdana" w:eastAsia="Calibri" w:hAnsi="Verdana" w:cs="Arial"/>
          <w:b/>
          <w:bCs/>
          <w:lang w:eastAsia="es-ES"/>
        </w:rPr>
      </w:pPr>
      <w:r w:rsidRPr="006E4D2C">
        <w:rPr>
          <w:rFonts w:ascii="Verdana" w:eastAsia="Calibri" w:hAnsi="Verdana" w:cs="Arial"/>
          <w:b/>
          <w:bCs/>
          <w:lang w:eastAsia="es-ES"/>
        </w:rPr>
        <w:t>Ian Liar</w:t>
      </w:r>
    </w:p>
    <w:p w14:paraId="693EC2AD" w14:textId="77777777" w:rsidR="004A5DD1" w:rsidRPr="00164E7B" w:rsidRDefault="004A5DD1" w:rsidP="004A5DD1">
      <w:pPr>
        <w:spacing w:after="0"/>
        <w:rPr>
          <w:rStyle w:val="Hipervnculo"/>
          <w:rFonts w:ascii="Verdana" w:hAnsi="Verdana"/>
          <w:color w:val="EE0000"/>
        </w:rPr>
      </w:pPr>
      <w:hyperlink r:id="rId11" w:history="1">
        <w:r w:rsidRPr="00164E7B">
          <w:rPr>
            <w:rStyle w:val="Hipervnculo"/>
            <w:rFonts w:ascii="Verdana" w:hAnsi="Verdana"/>
          </w:rPr>
          <w:t>ianliar.esap@gmail.com</w:t>
        </w:r>
      </w:hyperlink>
      <w:r w:rsidRPr="00164E7B">
        <w:rPr>
          <w:rStyle w:val="Hipervnculo"/>
          <w:rFonts w:ascii="Verdana" w:hAnsi="Verdana"/>
          <w:color w:val="EE0000"/>
        </w:rPr>
        <w:t xml:space="preserve"> </w:t>
      </w:r>
    </w:p>
    <w:p w14:paraId="27BF5FDC" w14:textId="77777777" w:rsidR="004A5DD1" w:rsidRPr="00A240C3" w:rsidRDefault="004A5DD1" w:rsidP="004A5DD1">
      <w:pPr>
        <w:spacing w:after="0"/>
        <w:rPr>
          <w:rFonts w:ascii="Verdana" w:eastAsia="Calibri" w:hAnsi="Verdana" w:cs="Arial"/>
          <w:lang w:val="es-ES" w:eastAsia="es-ES"/>
        </w:rPr>
      </w:pPr>
      <w:r w:rsidRPr="00A240C3">
        <w:rPr>
          <w:rFonts w:ascii="Verdana" w:eastAsia="Calibri" w:hAnsi="Verdana" w:cs="Arial"/>
          <w:lang w:val="es-ES" w:eastAsia="es-ES"/>
        </w:rPr>
        <w:t>Bogotá D.C</w:t>
      </w:r>
    </w:p>
    <w:p w14:paraId="73CD3BCF" w14:textId="77777777" w:rsidR="004A5DD1" w:rsidRPr="009F4646" w:rsidRDefault="004A5DD1" w:rsidP="004A5DD1">
      <w:pPr>
        <w:spacing w:after="0"/>
        <w:rPr>
          <w:rFonts w:ascii="Verdana" w:eastAsia="Calibri" w:hAnsi="Verdana" w:cs="Arial"/>
          <w:color w:val="EE0000"/>
          <w:lang w:val="es-ES" w:eastAsia="es-ES"/>
        </w:rPr>
      </w:pPr>
    </w:p>
    <w:p w14:paraId="237C5994" w14:textId="77777777" w:rsidR="004A5DD1" w:rsidRPr="009F4646" w:rsidRDefault="004A5DD1" w:rsidP="004A5DD1">
      <w:pPr>
        <w:spacing w:after="0" w:line="240" w:lineRule="auto"/>
        <w:rPr>
          <w:rFonts w:ascii="Verdana" w:eastAsia="Calibri" w:hAnsi="Verdana" w:cs="Arial"/>
          <w:b/>
          <w:bCs/>
          <w:color w:val="EE000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4A5DD1" w:rsidRPr="009F4646" w14:paraId="5283E9E4" w14:textId="77777777" w:rsidTr="004C5339">
        <w:trPr>
          <w:trHeight w:val="300"/>
        </w:trPr>
        <w:tc>
          <w:tcPr>
            <w:tcW w:w="2410" w:type="dxa"/>
          </w:tcPr>
          <w:p w14:paraId="74855376" w14:textId="77777777" w:rsidR="004A5DD1" w:rsidRPr="009F4646" w:rsidRDefault="004A5DD1" w:rsidP="004C5339">
            <w:pPr>
              <w:ind w:left="-142"/>
              <w:jc w:val="both"/>
              <w:rPr>
                <w:rFonts w:ascii="Verdana" w:eastAsia="Calibri" w:hAnsi="Verdana" w:cs="Arial"/>
                <w:b/>
                <w:bCs/>
                <w:color w:val="EE0000"/>
                <w:lang w:val="es-ES" w:eastAsia="es-ES_tradnl"/>
              </w:rPr>
            </w:pPr>
          </w:p>
        </w:tc>
        <w:tc>
          <w:tcPr>
            <w:tcW w:w="6100" w:type="dxa"/>
          </w:tcPr>
          <w:p w14:paraId="39DFC7C2" w14:textId="77777777" w:rsidR="004A5DD1" w:rsidRPr="00502DE0" w:rsidRDefault="004A5DD1" w:rsidP="004C5339">
            <w:pPr>
              <w:ind w:left="3"/>
              <w:jc w:val="both"/>
              <w:rPr>
                <w:rFonts w:ascii="Verdana" w:eastAsia="Calibri" w:hAnsi="Verdana" w:cs="Arial"/>
                <w:b/>
                <w:bCs/>
                <w:lang w:val="es-ES" w:eastAsia="es-ES"/>
              </w:rPr>
            </w:pPr>
            <w:r w:rsidRPr="00502DE0">
              <w:rPr>
                <w:rFonts w:ascii="Verdana" w:eastAsia="Calibri" w:hAnsi="Verdana" w:cs="Arial"/>
                <w:b/>
                <w:bCs/>
                <w:lang w:val="es-ES" w:eastAsia="es-ES"/>
              </w:rPr>
              <w:t>Concepto C-1838 de 2025</w:t>
            </w:r>
          </w:p>
          <w:p w14:paraId="58FF3AE9" w14:textId="77777777" w:rsidR="004A5DD1" w:rsidRPr="009F4646" w:rsidRDefault="004A5DD1" w:rsidP="004C5339">
            <w:pPr>
              <w:ind w:left="3"/>
              <w:jc w:val="both"/>
              <w:rPr>
                <w:rFonts w:ascii="Verdana" w:eastAsia="Calibri" w:hAnsi="Verdana" w:cs="Arial"/>
                <w:b/>
                <w:bCs/>
                <w:color w:val="EE0000"/>
                <w:lang w:val="es-ES" w:eastAsia="es-ES"/>
              </w:rPr>
            </w:pPr>
          </w:p>
        </w:tc>
      </w:tr>
      <w:tr w:rsidR="004A5DD1" w:rsidRPr="009F4646" w14:paraId="16AD2671" w14:textId="77777777" w:rsidTr="004C5339">
        <w:trPr>
          <w:trHeight w:val="300"/>
        </w:trPr>
        <w:tc>
          <w:tcPr>
            <w:tcW w:w="2410" w:type="dxa"/>
          </w:tcPr>
          <w:p w14:paraId="29B0A33A" w14:textId="77777777" w:rsidR="004A5DD1" w:rsidRPr="00592DC4" w:rsidRDefault="004A5DD1" w:rsidP="004C5339">
            <w:pPr>
              <w:ind w:left="424" w:firstLine="142"/>
              <w:jc w:val="both"/>
              <w:rPr>
                <w:rFonts w:ascii="Verdana" w:eastAsia="Calibri" w:hAnsi="Verdana" w:cs="Arial"/>
                <w:lang w:val="es-ES" w:eastAsia="es-ES_tradnl"/>
              </w:rPr>
            </w:pPr>
            <w:r w:rsidRPr="00592DC4">
              <w:rPr>
                <w:rFonts w:ascii="Verdana" w:eastAsia="Calibri" w:hAnsi="Verdana" w:cs="Arial"/>
                <w:b/>
                <w:lang w:val="es-ES" w:eastAsia="es-ES_tradnl"/>
              </w:rPr>
              <w:t>Temas:</w:t>
            </w:r>
            <w:r w:rsidRPr="00592DC4">
              <w:rPr>
                <w:rFonts w:ascii="Verdana" w:eastAsia="Calibri" w:hAnsi="Verdana" w:cs="Arial"/>
                <w:lang w:val="es-ES" w:eastAsia="es-ES_tradnl"/>
              </w:rPr>
              <w:t xml:space="preserve">                  </w:t>
            </w:r>
          </w:p>
        </w:tc>
        <w:tc>
          <w:tcPr>
            <w:tcW w:w="6100" w:type="dxa"/>
          </w:tcPr>
          <w:p w14:paraId="7872A1E9" w14:textId="77777777" w:rsidR="004A5DD1" w:rsidRPr="009143F1" w:rsidRDefault="004A5DD1" w:rsidP="004C5339">
            <w:pPr>
              <w:jc w:val="both"/>
              <w:rPr>
                <w:rFonts w:ascii="Verdana" w:hAnsi="Verdana" w:cs="Arial"/>
                <w:b/>
                <w:bCs/>
                <w:color w:val="000000" w:themeColor="text1"/>
                <w:lang w:val="es-ES_tradnl"/>
              </w:rPr>
            </w:pPr>
            <w:r w:rsidRPr="00592DC4">
              <w:rPr>
                <w:rFonts w:ascii="Verdana" w:eastAsia="Calibri" w:hAnsi="Verdana" w:cs="Arial"/>
              </w:rPr>
              <w:t>CONTRATO DE PRESTACIÓN DE SERVICIOS – Concepto</w:t>
            </w:r>
            <w:r w:rsidRPr="00592DC4">
              <w:rPr>
                <w:rFonts w:ascii="Verdana" w:eastAsia="Calibri" w:hAnsi="Verdana" w:cs="Arial"/>
                <w:b/>
                <w:bCs/>
              </w:rPr>
              <w:t xml:space="preserve"> </w:t>
            </w:r>
            <w:r w:rsidRPr="00592DC4">
              <w:rPr>
                <w:rFonts w:ascii="Verdana" w:eastAsia="Calibri" w:hAnsi="Verdana" w:cs="Arial"/>
              </w:rPr>
              <w:t>/ CONTRATO DE PRESTACIÓN DE SERVICIOS – Ca</w:t>
            </w:r>
            <w:r w:rsidRPr="00CC17DE">
              <w:rPr>
                <w:rFonts w:ascii="Verdana" w:eastAsia="Calibri" w:hAnsi="Verdana" w:cs="Arial"/>
              </w:rPr>
              <w:t xml:space="preserve">racterísticas / </w:t>
            </w:r>
            <w:r w:rsidRPr="00CC17DE">
              <w:rPr>
                <w:rFonts w:ascii="Verdana" w:hAnsi="Verdana" w:cs="Arial"/>
                <w:color w:val="000000" w:themeColor="text1"/>
                <w:lang w:val="es-ES_tradnl"/>
              </w:rPr>
              <w:t xml:space="preserve">CONTRATO DE PRESTACIÓN DE SERVICIOS PROFESIONALES </w:t>
            </w:r>
            <w:r w:rsidRPr="00CC17DE">
              <w:rPr>
                <w:rFonts w:ascii="Verdana" w:eastAsia="Calibri" w:hAnsi="Verdana" w:cs="Arial"/>
                <w:color w:val="000000" w:themeColor="text1"/>
              </w:rPr>
              <w:t xml:space="preserve">– Temporalidad – </w:t>
            </w:r>
            <w:r w:rsidRPr="00CC17DE">
              <w:rPr>
                <w:rFonts w:ascii="Verdana" w:hAnsi="Verdana" w:cs="Arial"/>
                <w:color w:val="000000" w:themeColor="text1"/>
                <w:lang w:val="es-ES_tradnl"/>
              </w:rPr>
              <w:t>Circular Conjunta 100-005-2022 – Sentencia de</w:t>
            </w:r>
            <w:r w:rsidRPr="00CC17DE">
              <w:rPr>
                <w:rFonts w:ascii="Verdana" w:eastAsia="Calibri" w:hAnsi="Verdana" w:cs="Arial"/>
                <w:color w:val="000000" w:themeColor="text1"/>
              </w:rPr>
              <w:t xml:space="preserve"> Unificación SUJ-025-CE-S2-2021 </w:t>
            </w:r>
          </w:p>
          <w:p w14:paraId="60BA7089" w14:textId="77777777" w:rsidR="004A5DD1" w:rsidRPr="00592DC4" w:rsidRDefault="004A5DD1" w:rsidP="004C5339">
            <w:pPr>
              <w:contextualSpacing/>
              <w:jc w:val="both"/>
              <w:rPr>
                <w:rFonts w:ascii="Verdana" w:eastAsia="Calibri" w:hAnsi="Verdana" w:cs="Arial"/>
                <w:b/>
                <w:bCs/>
                <w:lang w:val="es-ES_tradnl"/>
              </w:rPr>
            </w:pPr>
          </w:p>
          <w:p w14:paraId="6B7C3293" w14:textId="77777777" w:rsidR="004A5DD1" w:rsidRPr="00592DC4" w:rsidRDefault="004A5DD1" w:rsidP="004C5339">
            <w:pPr>
              <w:tabs>
                <w:tab w:val="left" w:pos="3374"/>
              </w:tabs>
              <w:jc w:val="both"/>
              <w:rPr>
                <w:rFonts w:ascii="Verdana" w:eastAsia="Calibri" w:hAnsi="Verdana" w:cs="Arial"/>
              </w:rPr>
            </w:pPr>
          </w:p>
        </w:tc>
      </w:tr>
      <w:tr w:rsidR="004A5DD1" w:rsidRPr="009F4646" w14:paraId="2E337133" w14:textId="77777777" w:rsidTr="004C5339">
        <w:trPr>
          <w:trHeight w:val="350"/>
        </w:trPr>
        <w:tc>
          <w:tcPr>
            <w:tcW w:w="2410" w:type="dxa"/>
          </w:tcPr>
          <w:p w14:paraId="0BA88C67" w14:textId="77777777" w:rsidR="004A5DD1" w:rsidRPr="00502DE0" w:rsidRDefault="004A5DD1" w:rsidP="004C5339">
            <w:pPr>
              <w:ind w:left="561"/>
              <w:jc w:val="both"/>
              <w:rPr>
                <w:rFonts w:ascii="Verdana" w:eastAsia="Calibri" w:hAnsi="Verdana" w:cs="Arial"/>
                <w:b/>
                <w:lang w:val="es-ES" w:eastAsia="es-ES_tradnl"/>
              </w:rPr>
            </w:pPr>
            <w:r w:rsidRPr="00502DE0">
              <w:rPr>
                <w:rFonts w:ascii="Verdana" w:eastAsia="Calibri" w:hAnsi="Verdana" w:cs="Arial"/>
                <w:b/>
                <w:lang w:val="es-ES" w:eastAsia="es-ES_tradnl"/>
              </w:rPr>
              <w:t>Radicación:</w:t>
            </w:r>
            <w:r w:rsidRPr="00502DE0">
              <w:rPr>
                <w:rFonts w:ascii="Verdana" w:eastAsia="Calibri" w:hAnsi="Verdana" w:cs="Arial"/>
                <w:lang w:val="es-ES" w:eastAsia="es-ES_tradnl"/>
              </w:rPr>
              <w:t xml:space="preserve">              </w:t>
            </w:r>
          </w:p>
        </w:tc>
        <w:tc>
          <w:tcPr>
            <w:tcW w:w="6100" w:type="dxa"/>
          </w:tcPr>
          <w:p w14:paraId="5C1F0C9B" w14:textId="77777777" w:rsidR="004A5DD1" w:rsidRPr="00502DE0" w:rsidRDefault="004A5DD1" w:rsidP="004C5339">
            <w:pPr>
              <w:ind w:left="3"/>
              <w:jc w:val="both"/>
              <w:rPr>
                <w:rFonts w:ascii="Verdana" w:hAnsi="Verdana"/>
                <w:lang w:val="es-ES"/>
              </w:rPr>
            </w:pPr>
            <w:r w:rsidRPr="00502DE0">
              <w:rPr>
                <w:rFonts w:ascii="Verdana" w:eastAsia="Calibri" w:hAnsi="Verdana" w:cs="Arial"/>
                <w:lang w:val="es-ES" w:eastAsia="es-ES"/>
              </w:rPr>
              <w:t>Respuesta a consulta con radicado No. 1_2025_12_16_014049</w:t>
            </w:r>
          </w:p>
        </w:tc>
      </w:tr>
    </w:tbl>
    <w:p w14:paraId="068A71AB" w14:textId="77777777" w:rsidR="004A5DD1" w:rsidRPr="009F4646" w:rsidRDefault="004A5DD1" w:rsidP="004A5DD1">
      <w:pPr>
        <w:spacing w:after="0" w:line="276" w:lineRule="auto"/>
        <w:jc w:val="both"/>
        <w:rPr>
          <w:rFonts w:ascii="Verdana" w:eastAsia="Calibri" w:hAnsi="Verdana" w:cs="Arial"/>
          <w:color w:val="EE0000"/>
          <w:lang w:val="es-ES" w:eastAsia="es-ES"/>
        </w:rPr>
      </w:pPr>
    </w:p>
    <w:p w14:paraId="0837732F" w14:textId="77777777" w:rsidR="004A5DD1" w:rsidRPr="009F4646" w:rsidRDefault="004A5DD1" w:rsidP="004A5DD1">
      <w:pPr>
        <w:spacing w:after="0" w:line="276" w:lineRule="auto"/>
        <w:jc w:val="both"/>
        <w:rPr>
          <w:rFonts w:ascii="Verdana" w:eastAsia="Calibri" w:hAnsi="Verdana" w:cs="Arial"/>
          <w:color w:val="EE0000"/>
          <w:lang w:val="es-ES" w:eastAsia="es-ES"/>
        </w:rPr>
      </w:pPr>
    </w:p>
    <w:p w14:paraId="524A7F2E" w14:textId="77777777" w:rsidR="004A5DD1" w:rsidRPr="006176CE" w:rsidRDefault="004A5DD1" w:rsidP="004A5DD1">
      <w:pPr>
        <w:spacing w:after="0" w:line="276" w:lineRule="auto"/>
        <w:jc w:val="both"/>
        <w:rPr>
          <w:rFonts w:ascii="Verdana" w:eastAsia="Calibri" w:hAnsi="Verdana" w:cs="Arial"/>
          <w:lang w:val="es-ES" w:eastAsia="es-ES"/>
        </w:rPr>
      </w:pPr>
      <w:r w:rsidRPr="006176CE">
        <w:rPr>
          <w:rFonts w:ascii="Verdana" w:eastAsia="Calibri" w:hAnsi="Verdana" w:cs="Arial"/>
          <w:lang w:val="es-ES" w:eastAsia="es-ES"/>
        </w:rPr>
        <w:t>Estimado Señor Liar,</w:t>
      </w:r>
    </w:p>
    <w:p w14:paraId="0EFDEEE4" w14:textId="77777777" w:rsidR="004A5DD1" w:rsidRPr="006176CE" w:rsidRDefault="004A5DD1" w:rsidP="004A5DD1">
      <w:pPr>
        <w:tabs>
          <w:tab w:val="left" w:pos="3768"/>
        </w:tabs>
        <w:spacing w:after="0" w:line="276" w:lineRule="auto"/>
        <w:jc w:val="both"/>
        <w:rPr>
          <w:rFonts w:ascii="Verdana" w:eastAsia="Calibri" w:hAnsi="Verdana" w:cs="Arial"/>
          <w:lang w:val="es-ES" w:eastAsia="es-ES"/>
        </w:rPr>
      </w:pPr>
      <w:r w:rsidRPr="006176CE">
        <w:rPr>
          <w:rFonts w:ascii="Verdana" w:eastAsia="Calibri" w:hAnsi="Verdana" w:cs="Arial"/>
          <w:lang w:val="es-ES" w:eastAsia="es-ES"/>
        </w:rPr>
        <w:tab/>
      </w:r>
    </w:p>
    <w:p w14:paraId="3EC258E0" w14:textId="77777777" w:rsidR="004A5DD1" w:rsidRPr="006176CE" w:rsidRDefault="004A5DD1" w:rsidP="004A5DD1">
      <w:pPr>
        <w:spacing w:after="0" w:line="276" w:lineRule="auto"/>
        <w:jc w:val="both"/>
        <w:rPr>
          <w:rFonts w:ascii="Verdana" w:eastAsia="Calibri" w:hAnsi="Verdana" w:cs="Arial"/>
          <w:lang w:val="es-ES" w:eastAsia="es-ES"/>
        </w:rPr>
      </w:pPr>
      <w:r w:rsidRPr="006176CE">
        <w:rPr>
          <w:rFonts w:ascii="Verdana" w:eastAsia="Calibri" w:hAnsi="Verdana" w:cs="Arial"/>
          <w:lang w:val="es-ES" w:eastAsia="es-ES"/>
        </w:rPr>
        <w:t>En ejercicio de la competencia otorgada por los artículos 3, numeral 5º, y 11, numeral 8º, del Decreto Ley 4170 de 2011,</w:t>
      </w:r>
      <w:r w:rsidRPr="006176CE">
        <w:rPr>
          <w:rFonts w:ascii="Verdana" w:eastAsia="Arial MT" w:hAnsi="Verdana" w:cs="Arial MT"/>
          <w:lang w:val="es-ES" w:eastAsia="es-ES"/>
        </w:rPr>
        <w:t xml:space="preserve"> </w:t>
      </w:r>
      <w:r w:rsidRPr="006176CE">
        <w:rPr>
          <w:rFonts w:ascii="Verdana" w:hAnsi="Verdana" w:cs="Arial"/>
          <w:lang w:val="es-ES"/>
        </w:rPr>
        <w:t xml:space="preserve">así como lo establecido en el artículo 4 de la Resolución 1707 de 2018 expedida por esta Entidad, </w:t>
      </w:r>
      <w:r w:rsidRPr="006176CE">
        <w:rPr>
          <w:rFonts w:ascii="Verdana" w:eastAsia="Calibri" w:hAnsi="Verdana" w:cs="Arial"/>
          <w:lang w:val="es-ES" w:eastAsia="es-ES"/>
        </w:rPr>
        <w:t xml:space="preserve">la Agencia Nacional de Contratación Pública – Colombia Compra Eficiente– responde su solicitud de consulta de fecha 16 de diciembre de 2025, en la cual manifiesta lo siguiente: </w:t>
      </w:r>
    </w:p>
    <w:p w14:paraId="40D85E1F" w14:textId="77777777" w:rsidR="004A5DD1" w:rsidRPr="009F4646" w:rsidRDefault="004A5DD1" w:rsidP="004A5DD1">
      <w:pPr>
        <w:tabs>
          <w:tab w:val="left" w:pos="142"/>
          <w:tab w:val="left" w:pos="284"/>
        </w:tabs>
        <w:spacing w:after="0" w:line="276" w:lineRule="auto"/>
        <w:contextualSpacing/>
        <w:jc w:val="both"/>
        <w:rPr>
          <w:rFonts w:ascii="Verdana" w:eastAsia="Century Gothic" w:hAnsi="Verdana" w:cs="Century Gothic"/>
          <w:b/>
          <w:bCs/>
          <w:color w:val="EE0000"/>
          <w:lang w:val="es-ES"/>
        </w:rPr>
      </w:pPr>
    </w:p>
    <w:p w14:paraId="479F8F72" w14:textId="77777777" w:rsidR="004A5DD1" w:rsidRPr="00905247" w:rsidRDefault="004A5DD1" w:rsidP="004A5DD1">
      <w:pPr>
        <w:spacing w:before="120" w:after="120" w:line="240" w:lineRule="auto"/>
        <w:ind w:left="709" w:right="709"/>
        <w:contextualSpacing/>
        <w:jc w:val="both"/>
        <w:rPr>
          <w:rFonts w:ascii="Verdana" w:eastAsia="Century Gothic" w:hAnsi="Verdana" w:cs="Century Gothic"/>
          <w:i/>
          <w:iCs/>
          <w:sz w:val="20"/>
          <w:szCs w:val="20"/>
          <w:lang w:val="es-ES"/>
        </w:rPr>
      </w:pPr>
      <w:r w:rsidRPr="00905247">
        <w:rPr>
          <w:rFonts w:ascii="Verdana" w:eastAsia="Century Gothic" w:hAnsi="Verdana" w:cs="Century Gothic"/>
          <w:i/>
          <w:iCs/>
          <w:sz w:val="20"/>
          <w:szCs w:val="20"/>
          <w:lang w:val="es-ES"/>
        </w:rPr>
        <w:t>“Amablemente me permito elevar la siguiente consulta:</w:t>
      </w:r>
      <w:r>
        <w:rPr>
          <w:rFonts w:ascii="Verdana" w:eastAsia="Century Gothic" w:hAnsi="Verdana" w:cs="Century Gothic"/>
          <w:i/>
          <w:iCs/>
          <w:sz w:val="20"/>
          <w:szCs w:val="20"/>
          <w:lang w:val="es-ES"/>
        </w:rPr>
        <w:t xml:space="preserve"> </w:t>
      </w:r>
      <w:r w:rsidRPr="00905247">
        <w:rPr>
          <w:rFonts w:ascii="Verdana" w:eastAsia="Century Gothic" w:hAnsi="Verdana" w:cs="Century Gothic"/>
          <w:i/>
          <w:iCs/>
          <w:sz w:val="20"/>
          <w:szCs w:val="20"/>
          <w:lang w:val="es-ES"/>
        </w:rPr>
        <w:t>¿Como se puede combatir la contratación por prestación de servicios en una entidad del orden nacional de la rama ejecutiva de personas que desarrollan obligaciones que son contenidas dentro de los manuales de funciones de algunos empleos de la entidad?</w:t>
      </w:r>
    </w:p>
    <w:p w14:paraId="4F4EED7E" w14:textId="77777777" w:rsidR="004A5DD1" w:rsidRPr="00905247" w:rsidRDefault="004A5DD1" w:rsidP="004A5DD1">
      <w:pPr>
        <w:spacing w:before="120" w:after="120" w:line="240" w:lineRule="auto"/>
        <w:ind w:right="709"/>
        <w:contextualSpacing/>
        <w:jc w:val="both"/>
        <w:rPr>
          <w:rFonts w:ascii="Verdana" w:eastAsia="Century Gothic" w:hAnsi="Verdana" w:cs="Century Gothic"/>
          <w:i/>
          <w:iCs/>
          <w:sz w:val="20"/>
          <w:szCs w:val="20"/>
          <w:lang w:val="es-ES"/>
        </w:rPr>
      </w:pPr>
    </w:p>
    <w:p w14:paraId="21F9D5E3" w14:textId="77777777" w:rsidR="004A5DD1" w:rsidRPr="00905247" w:rsidRDefault="004A5DD1" w:rsidP="004A5DD1">
      <w:pPr>
        <w:spacing w:before="120" w:after="120" w:line="240" w:lineRule="auto"/>
        <w:ind w:left="709" w:right="709"/>
        <w:contextualSpacing/>
        <w:jc w:val="both"/>
        <w:rPr>
          <w:rFonts w:ascii="Verdana" w:eastAsia="Century Gothic" w:hAnsi="Verdana" w:cs="Century Gothic"/>
          <w:i/>
          <w:iCs/>
          <w:sz w:val="20"/>
          <w:szCs w:val="20"/>
          <w:lang w:val="es-ES"/>
        </w:rPr>
      </w:pPr>
      <w:r w:rsidRPr="00905247">
        <w:rPr>
          <w:rFonts w:ascii="Verdana" w:eastAsia="Century Gothic" w:hAnsi="Verdana" w:cs="Century Gothic"/>
          <w:i/>
          <w:iCs/>
          <w:sz w:val="20"/>
          <w:szCs w:val="20"/>
          <w:lang w:val="es-ES"/>
        </w:rPr>
        <w:t>Si un contratista lleva más de 2 años desarrollando las mismas obligaciones y es contratado con presupuesto de inversión o funcionamiento ¿Como se puede evitar que se le vuelva a contratar para</w:t>
      </w:r>
    </w:p>
    <w:p w14:paraId="088F3A83" w14:textId="77777777" w:rsidR="004A5DD1" w:rsidRPr="00905247" w:rsidRDefault="004A5DD1" w:rsidP="004A5DD1">
      <w:pPr>
        <w:spacing w:before="120" w:after="120" w:line="240" w:lineRule="auto"/>
        <w:ind w:left="709" w:right="709"/>
        <w:contextualSpacing/>
        <w:jc w:val="both"/>
        <w:rPr>
          <w:rFonts w:ascii="Verdana" w:eastAsia="Century Gothic" w:hAnsi="Verdana" w:cs="Century Gothic"/>
          <w:i/>
          <w:iCs/>
          <w:sz w:val="20"/>
          <w:szCs w:val="20"/>
          <w:lang w:val="es-ES"/>
        </w:rPr>
      </w:pPr>
      <w:r w:rsidRPr="00905247">
        <w:rPr>
          <w:rFonts w:ascii="Verdana" w:eastAsia="Century Gothic" w:hAnsi="Verdana" w:cs="Century Gothic"/>
          <w:i/>
          <w:iCs/>
          <w:sz w:val="20"/>
          <w:szCs w:val="20"/>
          <w:lang w:val="es-ES"/>
        </w:rPr>
        <w:t>desarrollar las mismas obligaciones?</w:t>
      </w:r>
      <w:r>
        <w:rPr>
          <w:rFonts w:ascii="Verdana" w:eastAsia="Century Gothic" w:hAnsi="Verdana" w:cs="Century Gothic"/>
          <w:i/>
          <w:iCs/>
          <w:sz w:val="20"/>
          <w:szCs w:val="20"/>
          <w:lang w:val="es-ES"/>
        </w:rPr>
        <w:t xml:space="preserve"> </w:t>
      </w:r>
      <w:r w:rsidRPr="00905247">
        <w:rPr>
          <w:rFonts w:ascii="Verdana" w:eastAsia="Century Gothic" w:hAnsi="Verdana" w:cs="Century Gothic"/>
          <w:i/>
          <w:iCs/>
          <w:sz w:val="20"/>
          <w:szCs w:val="20"/>
          <w:lang w:val="es-ES"/>
        </w:rPr>
        <w:t xml:space="preserve">¿Cuál es la norma que indica que la contratación de OPS año tras año se debe realizar solo en casos </w:t>
      </w:r>
      <w:r w:rsidRPr="00905247">
        <w:rPr>
          <w:rFonts w:ascii="Verdana" w:eastAsia="Century Gothic" w:hAnsi="Verdana" w:cs="Century Gothic"/>
          <w:i/>
          <w:iCs/>
          <w:sz w:val="20"/>
          <w:szCs w:val="20"/>
          <w:lang w:val="es-ES"/>
        </w:rPr>
        <w:lastRenderedPageBreak/>
        <w:t>excepcionales y si no se puede de esa forma, se debe ampliar la planta?</w:t>
      </w:r>
      <w:r>
        <w:rPr>
          <w:rFonts w:ascii="Verdana" w:eastAsia="Century Gothic" w:hAnsi="Verdana" w:cs="Century Gothic"/>
          <w:i/>
          <w:iCs/>
          <w:sz w:val="20"/>
          <w:szCs w:val="20"/>
          <w:lang w:val="es-ES"/>
        </w:rPr>
        <w:t>”</w:t>
      </w:r>
      <w:r w:rsidRPr="00905247">
        <w:rPr>
          <w:rFonts w:ascii="Verdana" w:eastAsia="Century Gothic" w:hAnsi="Verdana" w:cs="Century Gothic"/>
          <w:i/>
          <w:iCs/>
          <w:color w:val="EE0000"/>
          <w:sz w:val="20"/>
          <w:szCs w:val="20"/>
          <w:lang w:val="es-ES"/>
        </w:rPr>
        <w:cr/>
      </w:r>
    </w:p>
    <w:p w14:paraId="79C46D48" w14:textId="77777777" w:rsidR="004A5DD1" w:rsidRPr="00E55B80" w:rsidRDefault="004A5DD1" w:rsidP="004A5DD1">
      <w:pPr>
        <w:spacing w:after="120" w:line="276" w:lineRule="auto"/>
        <w:ind w:firstLine="708"/>
        <w:jc w:val="both"/>
        <w:rPr>
          <w:rFonts w:ascii="Verdana" w:eastAsia="Calibri" w:hAnsi="Verdana" w:cs="Arial"/>
          <w:lang w:val="es-ES" w:eastAsia="es-ES"/>
        </w:rPr>
      </w:pPr>
      <w:r w:rsidRPr="00E55B8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55B80">
        <w:rPr>
          <w:rFonts w:ascii="Verdana" w:hAnsi="Verdana"/>
          <w:lang w:val="es-ES"/>
        </w:rPr>
        <w:tab/>
      </w:r>
    </w:p>
    <w:p w14:paraId="7FA15E1C" w14:textId="77777777" w:rsidR="004A5DD1" w:rsidRPr="00E55B80" w:rsidRDefault="004A5DD1" w:rsidP="004A5DD1">
      <w:pPr>
        <w:spacing w:after="0" w:line="276" w:lineRule="auto"/>
        <w:ind w:firstLine="709"/>
        <w:jc w:val="both"/>
        <w:rPr>
          <w:rFonts w:ascii="Verdana" w:eastAsia="Calibri" w:hAnsi="Verdana" w:cs="Arial"/>
          <w:lang w:val="es-ES" w:eastAsia="es-ES"/>
        </w:rPr>
      </w:pPr>
      <w:r w:rsidRPr="00E55B80">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CA45B38" w14:textId="77777777" w:rsidR="004A5DD1" w:rsidRPr="00E55B80" w:rsidRDefault="004A5DD1" w:rsidP="004A5DD1">
      <w:pPr>
        <w:spacing w:after="0" w:line="276" w:lineRule="auto"/>
        <w:ind w:firstLine="709"/>
        <w:jc w:val="both"/>
        <w:rPr>
          <w:rFonts w:ascii="Verdana" w:eastAsia="Calibri" w:hAnsi="Verdana" w:cs="Arial"/>
          <w:lang w:val="es-ES" w:eastAsia="es-ES"/>
        </w:rPr>
      </w:pPr>
    </w:p>
    <w:p w14:paraId="784C67B4" w14:textId="77777777" w:rsidR="004A5DD1" w:rsidRPr="00E55B80" w:rsidRDefault="004A5DD1" w:rsidP="004A5DD1">
      <w:pPr>
        <w:tabs>
          <w:tab w:val="left" w:pos="142"/>
          <w:tab w:val="left" w:pos="284"/>
        </w:tabs>
        <w:spacing w:after="0" w:line="276" w:lineRule="auto"/>
        <w:contextualSpacing/>
        <w:jc w:val="both"/>
        <w:rPr>
          <w:rFonts w:ascii="Verdana" w:eastAsia="Century Gothic" w:hAnsi="Verdana" w:cs="Century Gothic"/>
          <w:b/>
          <w:lang w:val="es-ES"/>
        </w:rPr>
      </w:pPr>
      <w:r w:rsidRPr="00E55B80">
        <w:rPr>
          <w:rFonts w:ascii="Verdana" w:eastAsia="Century Gothic" w:hAnsi="Verdana" w:cs="Century Gothic"/>
          <w:b/>
          <w:lang w:val="es-ES"/>
        </w:rPr>
        <w:t>1. Problema planteado:</w:t>
      </w:r>
    </w:p>
    <w:p w14:paraId="2633680B" w14:textId="77777777" w:rsidR="004A5DD1" w:rsidRPr="009F4646" w:rsidRDefault="004A5DD1" w:rsidP="004A5DD1">
      <w:pPr>
        <w:tabs>
          <w:tab w:val="left" w:pos="426"/>
        </w:tabs>
        <w:spacing w:after="0" w:line="276" w:lineRule="auto"/>
        <w:jc w:val="both"/>
        <w:rPr>
          <w:rFonts w:ascii="Verdana" w:eastAsia="Century Gothic" w:hAnsi="Verdana" w:cs="Century Gothic"/>
          <w:color w:val="EE0000"/>
          <w:lang w:val="es-ES"/>
        </w:rPr>
      </w:pPr>
    </w:p>
    <w:p w14:paraId="1D2B2705" w14:textId="77777777" w:rsidR="004A5DD1" w:rsidRPr="009F4646" w:rsidRDefault="004A5DD1" w:rsidP="004A5DD1">
      <w:pPr>
        <w:spacing w:after="0" w:line="276" w:lineRule="auto"/>
        <w:jc w:val="both"/>
        <w:rPr>
          <w:rFonts w:ascii="Verdana" w:eastAsia="Century Gothic" w:hAnsi="Verdana" w:cs="Century Gothic"/>
          <w:i/>
          <w:iCs/>
          <w:color w:val="EE0000"/>
        </w:rPr>
      </w:pPr>
      <w:r w:rsidRPr="00FB5D18">
        <w:rPr>
          <w:rFonts w:ascii="Verdana" w:eastAsia="Century Gothic" w:hAnsi="Verdana" w:cs="Century Gothic"/>
          <w:lang w:val="es-ES"/>
        </w:rPr>
        <w:t>De acuerdo con el contenido de su solicitud, esta Agencia resolverá el siguiente problema jurídico:</w:t>
      </w:r>
      <w:r w:rsidRPr="00FB5D18">
        <w:rPr>
          <w:rFonts w:ascii="Verdana" w:eastAsia="Century Gothic" w:hAnsi="Verdana" w:cs="Century Gothic"/>
        </w:rPr>
        <w:t xml:space="preserve"> </w:t>
      </w:r>
      <w:r w:rsidRPr="00AF4F48">
        <w:rPr>
          <w:rFonts w:ascii="Verdana" w:eastAsia="Century Gothic" w:hAnsi="Verdana" w:cs="Century Gothic"/>
        </w:rPr>
        <w:t>¿Cuándo procede la contratación por prestación de servicios en una entidad pública</w:t>
      </w:r>
      <w:r>
        <w:rPr>
          <w:rFonts w:ascii="Verdana" w:eastAsia="Century Gothic" w:hAnsi="Verdana" w:cs="Century Gothic"/>
        </w:rPr>
        <w:t>?</w:t>
      </w:r>
    </w:p>
    <w:p w14:paraId="1B84A710" w14:textId="77777777" w:rsidR="004A5DD1" w:rsidRPr="009F4646" w:rsidRDefault="004A5DD1" w:rsidP="004A5DD1">
      <w:pPr>
        <w:spacing w:after="0" w:line="276" w:lineRule="auto"/>
        <w:jc w:val="both"/>
        <w:rPr>
          <w:rFonts w:ascii="Verdana" w:eastAsia="Century Gothic" w:hAnsi="Verdana" w:cs="Century Gothic"/>
          <w:color w:val="EE0000"/>
        </w:rPr>
      </w:pPr>
    </w:p>
    <w:p w14:paraId="4B09C5C9" w14:textId="77777777" w:rsidR="004A5DD1" w:rsidRPr="00FB6874" w:rsidRDefault="004A5DD1" w:rsidP="004A5DD1">
      <w:pPr>
        <w:tabs>
          <w:tab w:val="left" w:pos="142"/>
          <w:tab w:val="left" w:pos="284"/>
        </w:tabs>
        <w:spacing w:after="0" w:line="276" w:lineRule="auto"/>
        <w:jc w:val="both"/>
        <w:rPr>
          <w:rFonts w:ascii="Verdana" w:eastAsia="Century Gothic" w:hAnsi="Verdana" w:cs="Century Gothic"/>
          <w:b/>
          <w:lang w:val="es-ES"/>
        </w:rPr>
      </w:pPr>
      <w:r w:rsidRPr="00FB6874">
        <w:rPr>
          <w:rFonts w:ascii="Verdana" w:eastAsia="Century Gothic" w:hAnsi="Verdana" w:cs="Century Gothic"/>
          <w:b/>
          <w:lang w:val="es-ES"/>
        </w:rPr>
        <w:t>2. Respuesta:</w:t>
      </w:r>
    </w:p>
    <w:p w14:paraId="50F599F8" w14:textId="77777777" w:rsidR="004A5DD1" w:rsidRPr="009F4646" w:rsidRDefault="004A5DD1" w:rsidP="004A5DD1">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A5DD1" w:rsidRPr="009F4646" w14:paraId="4FD2E9B3" w14:textId="77777777" w:rsidTr="004C5339">
        <w:tc>
          <w:tcPr>
            <w:tcW w:w="8828" w:type="dxa"/>
          </w:tcPr>
          <w:p w14:paraId="792092C9" w14:textId="77777777" w:rsidR="004A5DD1" w:rsidRDefault="004A5DD1" w:rsidP="004C5339">
            <w:pPr>
              <w:spacing w:line="276" w:lineRule="auto"/>
              <w:jc w:val="both"/>
              <w:rPr>
                <w:rFonts w:ascii="Verdana" w:eastAsia="Calibri" w:hAnsi="Verdana" w:cs="Arial"/>
                <w:lang w:eastAsia="es-CO"/>
              </w:rPr>
            </w:pPr>
            <w:r w:rsidRPr="007F2E96">
              <w:rPr>
                <w:rFonts w:ascii="Verdana" w:eastAsia="Calibri" w:hAnsi="Verdana" w:cs="Arial"/>
                <w:lang w:eastAsia="es-CO"/>
              </w:rPr>
              <w:t>De conformidad con el numeral 3° del artículo 32 de la Ley 80 de 1993, el contrato de prestación de servicios es uno de los tipos contractuales previstos en el Estatuto General de Contratación de la Administración Pública – EGCAP</w:t>
            </w:r>
            <w:r>
              <w:rPr>
                <w:rFonts w:ascii="Verdana" w:eastAsia="Calibri" w:hAnsi="Verdana" w:cs="Arial"/>
                <w:lang w:eastAsia="es-CO"/>
              </w:rPr>
              <w:t xml:space="preserve">, </w:t>
            </w:r>
            <w:r w:rsidRPr="007F2E96">
              <w:rPr>
                <w:rFonts w:ascii="Verdana" w:eastAsia="Calibri" w:hAnsi="Verdana" w:cs="Arial"/>
                <w:lang w:eastAsia="es-CO"/>
              </w:rPr>
              <w:t xml:space="preserve">que puede ser celebrado por las entidades estatales para desarrollar actividades relacionadas con su administración o funcionamiento, </w:t>
            </w:r>
            <w:r w:rsidRPr="000E343E">
              <w:rPr>
                <w:rFonts w:ascii="Verdana" w:eastAsia="Calibri" w:hAnsi="Verdana" w:cs="Arial"/>
                <w:b/>
                <w:bCs/>
                <w:lang w:eastAsia="es-CO"/>
              </w:rPr>
              <w:t>siempre que, dichas actividades no puedan ser atendidas con personal de planta o requieran conocimientos especializados, en cuyo caso podrán contratarse personas naturales</w:t>
            </w:r>
            <w:r w:rsidRPr="007F2E96">
              <w:rPr>
                <w:rFonts w:ascii="Verdana" w:eastAsia="Calibri" w:hAnsi="Verdana" w:cs="Arial"/>
                <w:lang w:eastAsia="es-CO"/>
              </w:rPr>
              <w:t xml:space="preserve">, sin que estos contratos generen relación </w:t>
            </w:r>
            <w:r w:rsidRPr="007F2E96">
              <w:rPr>
                <w:rFonts w:ascii="Verdana" w:eastAsia="Calibri" w:hAnsi="Verdana" w:cs="Arial"/>
                <w:lang w:eastAsia="es-CO"/>
              </w:rPr>
              <w:lastRenderedPageBreak/>
              <w:t>laboral ni prestaciones sociales y debiendo celebrarse únicamente por el término estrictamente indispensable.</w:t>
            </w:r>
          </w:p>
          <w:p w14:paraId="32D69C37" w14:textId="77777777" w:rsidR="000E343E" w:rsidRPr="00D14454" w:rsidRDefault="000E343E" w:rsidP="004C5339">
            <w:pPr>
              <w:spacing w:line="276" w:lineRule="auto"/>
              <w:jc w:val="both"/>
              <w:rPr>
                <w:rFonts w:ascii="Verdana" w:eastAsia="Calibri" w:hAnsi="Verdana" w:cs="Arial"/>
                <w:lang w:eastAsia="es-CO"/>
              </w:rPr>
            </w:pPr>
          </w:p>
          <w:p w14:paraId="71AC2519" w14:textId="77777777" w:rsidR="004A5DD1" w:rsidRPr="00D14454" w:rsidRDefault="004A5DD1" w:rsidP="004C5339">
            <w:pPr>
              <w:spacing w:line="276" w:lineRule="auto"/>
              <w:ind w:firstLine="709"/>
              <w:jc w:val="both"/>
              <w:rPr>
                <w:rFonts w:ascii="Verdana" w:eastAsia="Calibri" w:hAnsi="Verdana" w:cs="Arial"/>
                <w:lang w:eastAsia="es-CO"/>
              </w:rPr>
            </w:pPr>
            <w:r w:rsidRPr="00D14454">
              <w:rPr>
                <w:rFonts w:ascii="Verdana" w:eastAsia="Calibri" w:hAnsi="Verdana" w:cs="Arial"/>
                <w:color w:val="000000" w:themeColor="text1"/>
              </w:rPr>
              <w:t>A partir de este enunciado normativo, así como de otros, de carácter legal y reglamentario, que complementan su regulación, y de los pronunciamientos judiciales, es posible señalar las siguientes características del contrato de prestación de servicios que comprenden el marco jurídico aplicable:</w:t>
            </w:r>
          </w:p>
          <w:p w14:paraId="7418287D" w14:textId="77777777" w:rsidR="004A5DD1" w:rsidRDefault="004A5DD1" w:rsidP="004C5339">
            <w:pPr>
              <w:spacing w:before="120" w:after="120" w:line="276" w:lineRule="auto"/>
              <w:ind w:firstLine="709"/>
              <w:jc w:val="both"/>
              <w:rPr>
                <w:rFonts w:ascii="Verdana" w:eastAsia="Calibri" w:hAnsi="Verdana" w:cs="Arial"/>
                <w:color w:val="000000"/>
              </w:rPr>
            </w:pPr>
            <w:r w:rsidRPr="00D14454">
              <w:rPr>
                <w:rFonts w:ascii="Verdana" w:eastAsia="Calibri" w:hAnsi="Verdana" w:cs="Arial"/>
                <w:color w:val="000000"/>
              </w:rPr>
              <w:t xml:space="preserve">a) Solo puede celebrarse para realizar “actividades relacionadas con la administración o funcionamiento de la entidad”; b) Admite que se suscriba tanto con personas naturales, 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w:t>
            </w:r>
            <w:r w:rsidRPr="00D14454">
              <w:rPr>
                <w:rFonts w:ascii="Verdana" w:eastAsia="Calibri" w:hAnsi="Verdana" w:cs="Arial"/>
                <w:iCs/>
                <w:color w:val="000000"/>
              </w:rPr>
              <w:t xml:space="preserve">prestación de servicios, se incluyen </w:t>
            </w:r>
            <w:r w:rsidRPr="00D14454">
              <w:rPr>
                <w:rFonts w:ascii="Verdana" w:eastAsia="Calibri" w:hAnsi="Verdana" w:cs="Arial"/>
                <w:iCs/>
                <w:color w:val="000000"/>
                <w:lang w:val="es-ES_tradnl"/>
              </w:rPr>
              <w:t xml:space="preserve">los contratos de prestación de servicios profesionales, los contratos de prestación de servicios apoyo a la gestión y los contratos de prestación de servicios artísticos que solo pueden encomendarse a determinadas personas naturales; </w:t>
            </w:r>
            <w:r w:rsidRPr="00D14454">
              <w:rPr>
                <w:rFonts w:ascii="Verdana" w:eastAsia="Calibri" w:hAnsi="Verdana" w:cs="Arial"/>
                <w:color w:val="000000"/>
              </w:rPr>
              <w:t xml:space="preserve">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  </w:t>
            </w:r>
          </w:p>
          <w:p w14:paraId="5DD63FB7" w14:textId="77777777" w:rsidR="004A5DD1" w:rsidRPr="00841859" w:rsidRDefault="004A5DD1" w:rsidP="004C5339">
            <w:pPr>
              <w:spacing w:before="120" w:after="120" w:line="276" w:lineRule="auto"/>
              <w:ind w:firstLine="709"/>
              <w:jc w:val="both"/>
              <w:rPr>
                <w:rFonts w:ascii="Verdana" w:hAnsi="Verdana"/>
              </w:rPr>
            </w:pPr>
            <w:r>
              <w:rPr>
                <w:rFonts w:ascii="Verdana" w:eastAsia="Calibri" w:hAnsi="Verdana" w:cs="Arial"/>
                <w:color w:val="000000"/>
              </w:rPr>
              <w:t>Ahora bien,</w:t>
            </w:r>
            <w:r w:rsidRPr="008D2E7A">
              <w:t xml:space="preserve"> </w:t>
            </w:r>
            <w:r>
              <w:rPr>
                <w:rFonts w:ascii="Verdana" w:hAnsi="Verdana"/>
              </w:rPr>
              <w:t xml:space="preserve">en </w:t>
            </w:r>
            <w:r w:rsidRPr="008D2E7A">
              <w:rPr>
                <w:rFonts w:ascii="Verdana" w:eastAsia="Calibri" w:hAnsi="Verdana" w:cs="Arial"/>
                <w:color w:val="000000"/>
              </w:rPr>
              <w:t xml:space="preserve">cuanto al plazo de los contratos de prestación de servicios, el inciso segundo del numeral 3 del artículo 32 de la Ley 80 de 1993 establece que estos deben celebrarse únicamente por el “término estrictamente indispensable”, sin que generen relación laboral ni prestaciones sociales, lo que confirma que la temporalidad es una característica esencial de esta modalidad contractual. De acuerdo con la Sentencia de Unificación Jurisprudencial SUJ-025-CE-S2-2021 de la Sección Segunda del Consejo de Estado, dicho término corresponde al plazo fijado expresamente en la minuta contractual y definido a partir de los estudios previos, los cuales determinan el tiempo durante el cual se espera que el contratista ejecute el objeto y </w:t>
            </w:r>
            <w:r w:rsidRPr="008D2E7A">
              <w:rPr>
                <w:rFonts w:ascii="Verdana" w:eastAsia="Calibri" w:hAnsi="Verdana" w:cs="Arial"/>
                <w:color w:val="000000"/>
              </w:rPr>
              <w:lastRenderedPageBreak/>
              <w:t>cumpla las obligaciones derivadas del contrato, admitiendo solo prórrogas excepcionales para garantizar su cumplimiento, de modo que la duración del contrato depende del tiempo necesario para desarrollar su objeto conforme al principio de planeación y a la autonomía de la voluntad de las partes.</w:t>
            </w:r>
          </w:p>
          <w:p w14:paraId="7F573681" w14:textId="77777777" w:rsidR="004A5DD1" w:rsidRPr="009F4646" w:rsidRDefault="004A5DD1" w:rsidP="004C5339">
            <w:pPr>
              <w:spacing w:after="120" w:line="276" w:lineRule="auto"/>
              <w:ind w:firstLine="709"/>
              <w:jc w:val="both"/>
              <w:rPr>
                <w:rFonts w:ascii="Verdana" w:eastAsia="Calibri" w:hAnsi="Verdana" w:cs="Arial"/>
                <w:color w:val="EE0000"/>
              </w:rPr>
            </w:pPr>
            <w:r>
              <w:rPr>
                <w:rFonts w:ascii="Verdana" w:eastAsia="Calibri" w:hAnsi="Verdana" w:cs="Arial"/>
                <w:bCs/>
                <w:color w:val="000000" w:themeColor="text1"/>
              </w:rPr>
              <w:t>Finalmente, a</w:t>
            </w:r>
            <w:r w:rsidRPr="00CA001D">
              <w:rPr>
                <w:rFonts w:ascii="Verdana" w:eastAsia="Calibri" w:hAnsi="Verdana" w:cs="Arial"/>
                <w:bCs/>
                <w:color w:val="000000" w:themeColor="text1"/>
              </w:rPr>
              <w:t xml:space="preserve">l margen de la explicación precedente debe advertirse que </w:t>
            </w:r>
            <w:r w:rsidRPr="00CA001D">
              <w:rPr>
                <w:rStyle w:val="s15"/>
                <w:rFonts w:ascii="Verdana" w:hAnsi="Verdana"/>
                <w:color w:val="000000" w:themeColor="text1"/>
              </w:rPr>
              <w:t>el análisis requerido para resolver problemas específicos en torno a la gestión contractual debe ser realizado por quienes tengan interés en ello, de acuerdo con lo explicado la aclaración preliminar del presente oficio.</w:t>
            </w:r>
            <w:r w:rsidRPr="00CA001D">
              <w:rPr>
                <w:rStyle w:val="apple-converted-space"/>
                <w:rFonts w:ascii="Verdana" w:hAnsi="Verdana"/>
                <w:color w:val="000000" w:themeColor="text1"/>
              </w:rPr>
              <w:t> </w:t>
            </w:r>
            <w:r w:rsidRPr="00CA001D">
              <w:rPr>
                <w:rStyle w:val="s15"/>
                <w:rFonts w:ascii="Verdana" w:hAnsi="Verdana"/>
                <w:color w:val="000000" w:themeColor="text1"/>
              </w:rPr>
              <w:t>Por lo anterior, previo</w:t>
            </w:r>
            <w:r w:rsidRPr="00CA001D">
              <w:rPr>
                <w:rStyle w:val="apple-converted-space"/>
                <w:rFonts w:ascii="Verdana" w:hAnsi="Verdana"/>
                <w:color w:val="000000" w:themeColor="text1"/>
              </w:rPr>
              <w:t> </w:t>
            </w:r>
            <w:r w:rsidRPr="00CA001D">
              <w:rPr>
                <w:rStyle w:val="s15"/>
                <w:rFonts w:ascii="Verdana" w:hAnsi="Verdana"/>
                <w:color w:val="000000" w:themeColor="text1"/>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95C5529" w14:textId="77777777" w:rsidR="004A5DD1" w:rsidRPr="009F4646" w:rsidRDefault="004A5DD1" w:rsidP="004A5DD1">
      <w:pPr>
        <w:tabs>
          <w:tab w:val="left" w:pos="142"/>
          <w:tab w:val="left" w:pos="284"/>
        </w:tabs>
        <w:spacing w:after="0" w:line="276" w:lineRule="auto"/>
        <w:jc w:val="both"/>
        <w:rPr>
          <w:rFonts w:ascii="Verdana" w:eastAsia="Century Gothic" w:hAnsi="Verdana" w:cs="Century Gothic"/>
          <w:b/>
          <w:bCs/>
          <w:color w:val="EE0000"/>
          <w:lang w:val="es-ES"/>
        </w:rPr>
      </w:pPr>
    </w:p>
    <w:p w14:paraId="163BFDA2" w14:textId="77777777" w:rsidR="004A5DD1" w:rsidRDefault="004A5DD1" w:rsidP="004A5DD1">
      <w:pPr>
        <w:tabs>
          <w:tab w:val="left" w:pos="142"/>
          <w:tab w:val="left" w:pos="284"/>
        </w:tabs>
        <w:spacing w:after="0" w:line="276" w:lineRule="auto"/>
        <w:jc w:val="both"/>
        <w:rPr>
          <w:rFonts w:ascii="Verdana" w:eastAsia="Century Gothic" w:hAnsi="Verdana" w:cs="Century Gothic"/>
          <w:b/>
          <w:lang w:val="es-ES"/>
        </w:rPr>
      </w:pPr>
      <w:r w:rsidRPr="00FB6874">
        <w:rPr>
          <w:rFonts w:ascii="Verdana" w:eastAsia="Century Gothic" w:hAnsi="Verdana" w:cs="Century Gothic"/>
          <w:b/>
          <w:lang w:val="es-ES"/>
        </w:rPr>
        <w:t>3. Razones de la respuesta:</w:t>
      </w:r>
    </w:p>
    <w:p w14:paraId="167DED5F" w14:textId="77777777" w:rsidR="004A5DD1" w:rsidRDefault="004A5DD1" w:rsidP="004A5DD1">
      <w:pPr>
        <w:tabs>
          <w:tab w:val="left" w:pos="142"/>
          <w:tab w:val="left" w:pos="284"/>
        </w:tabs>
        <w:spacing w:after="0" w:line="276" w:lineRule="auto"/>
        <w:jc w:val="both"/>
        <w:rPr>
          <w:rFonts w:ascii="Verdana" w:eastAsia="Century Gothic" w:hAnsi="Verdana" w:cs="Century Gothic"/>
          <w:b/>
          <w:lang w:val="es-ES"/>
        </w:rPr>
      </w:pPr>
    </w:p>
    <w:p w14:paraId="78080DDB" w14:textId="77777777" w:rsidR="004A5DD1" w:rsidRDefault="004A5DD1" w:rsidP="004A5DD1">
      <w:pPr>
        <w:spacing w:after="0" w:line="276" w:lineRule="auto"/>
        <w:jc w:val="both"/>
        <w:rPr>
          <w:rFonts w:ascii="Verdana" w:eastAsia="Calibri" w:hAnsi="Verdana" w:cs="Arial"/>
        </w:rPr>
      </w:pPr>
      <w:r w:rsidRPr="009C2CE9">
        <w:rPr>
          <w:rFonts w:ascii="Verdana" w:eastAsia="Calibri" w:hAnsi="Verdana" w:cs="Arial"/>
        </w:rPr>
        <w:t>Lo anterior se sustenta en las siguientes consideraciones:</w:t>
      </w:r>
    </w:p>
    <w:p w14:paraId="68087B2C" w14:textId="77777777" w:rsidR="004A5DD1" w:rsidRPr="002C6628" w:rsidRDefault="004A5DD1" w:rsidP="004A5DD1">
      <w:pPr>
        <w:spacing w:after="0" w:line="276" w:lineRule="auto"/>
        <w:jc w:val="both"/>
        <w:rPr>
          <w:rFonts w:ascii="Verdana" w:eastAsia="Calibri" w:hAnsi="Verdana" w:cs="Arial"/>
        </w:rPr>
      </w:pPr>
    </w:p>
    <w:p w14:paraId="286A477D" w14:textId="77777777" w:rsidR="004A5DD1" w:rsidRPr="009C2CE9" w:rsidRDefault="004A5DD1" w:rsidP="004A5DD1">
      <w:pPr>
        <w:spacing w:line="276" w:lineRule="auto"/>
        <w:jc w:val="both"/>
        <w:rPr>
          <w:rFonts w:ascii="Verdana" w:eastAsia="Calibri" w:hAnsi="Verdana" w:cs="Arial"/>
          <w:color w:val="000000"/>
        </w:rPr>
      </w:pPr>
      <w:bookmarkStart w:id="1" w:name="_Hlk102983874"/>
      <w:bookmarkStart w:id="2" w:name="_Hlk102388095"/>
      <w:r w:rsidRPr="00890A2D">
        <w:rPr>
          <w:rFonts w:ascii="Verdana" w:eastAsia="Calibri" w:hAnsi="Verdana" w:cs="Arial"/>
          <w:lang w:val="es-ES"/>
        </w:rPr>
        <w:t>i)</w:t>
      </w:r>
      <w:r w:rsidRPr="00890A2D">
        <w:rPr>
          <w:rFonts w:ascii="Verdana" w:eastAsia="Verdana" w:hAnsi="Verdana" w:cs="Verdana"/>
          <w:lang w:val="es-ES"/>
        </w:rPr>
        <w:t xml:space="preserve"> </w:t>
      </w:r>
      <w:bookmarkStart w:id="3" w:name="_Hlk218602419"/>
      <w:r w:rsidRPr="00890A2D">
        <w:rPr>
          <w:rFonts w:ascii="Verdana" w:eastAsia="Calibri" w:hAnsi="Verdana" w:cs="Arial"/>
        </w:rPr>
        <w:t>El</w:t>
      </w:r>
      <w:r w:rsidRPr="00053937">
        <w:rPr>
          <w:rFonts w:ascii="Verdana" w:eastAsia="Calibri" w:hAnsi="Verdana" w:cs="Arial"/>
        </w:rPr>
        <w:t xml:space="preserve"> </w:t>
      </w:r>
      <w:r w:rsidRPr="009C2CE9">
        <w:rPr>
          <w:rFonts w:ascii="Verdana" w:eastAsia="Calibri" w:hAnsi="Verdana" w:cs="Arial"/>
          <w:color w:val="000000"/>
        </w:rPr>
        <w:t>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10454D98" w14:textId="0BF7BFAD" w:rsidR="004A5DD1" w:rsidRPr="009C2CE9" w:rsidRDefault="009110BA" w:rsidP="004A5DD1">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004A5DD1" w:rsidRPr="009C2CE9">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4DBE8920" w14:textId="77777777" w:rsidR="004A5DD1" w:rsidRPr="009C2CE9" w:rsidRDefault="004A5DD1" w:rsidP="004A5DD1">
      <w:pPr>
        <w:spacing w:after="0" w:line="240" w:lineRule="auto"/>
        <w:ind w:left="709" w:right="709"/>
        <w:jc w:val="both"/>
        <w:rPr>
          <w:rFonts w:ascii="Verdana" w:eastAsia="Calibri" w:hAnsi="Verdana" w:cs="Arial"/>
          <w:color w:val="000000"/>
          <w:sz w:val="20"/>
          <w:szCs w:val="20"/>
        </w:rPr>
      </w:pPr>
    </w:p>
    <w:p w14:paraId="219F605A" w14:textId="7DED196E" w:rsidR="004A5DD1" w:rsidRDefault="004A5DD1" w:rsidP="004A5DD1">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t>En ningún caso estos contratos generan relación laboral ni prestaciones sociales y se celebrarán por el término estrictamente indispensable.</w:t>
      </w:r>
      <w:r w:rsidR="009110BA">
        <w:rPr>
          <w:rFonts w:ascii="Verdana" w:eastAsia="Calibri" w:hAnsi="Verdana" w:cs="Arial"/>
          <w:color w:val="000000"/>
          <w:sz w:val="20"/>
          <w:szCs w:val="20"/>
        </w:rPr>
        <w:t>”</w:t>
      </w:r>
    </w:p>
    <w:p w14:paraId="7A401A5C" w14:textId="77777777" w:rsidR="004A5DD1" w:rsidRDefault="004A5DD1" w:rsidP="004A5DD1">
      <w:pPr>
        <w:spacing w:after="0" w:line="240" w:lineRule="auto"/>
        <w:ind w:left="709" w:right="709"/>
        <w:jc w:val="both"/>
        <w:rPr>
          <w:rFonts w:ascii="Verdana" w:eastAsia="Calibri" w:hAnsi="Verdana" w:cs="Arial"/>
          <w:color w:val="000000"/>
          <w:sz w:val="20"/>
          <w:szCs w:val="20"/>
        </w:rPr>
      </w:pPr>
    </w:p>
    <w:p w14:paraId="08402812" w14:textId="77777777" w:rsidR="004A5DD1" w:rsidRDefault="004A5DD1" w:rsidP="004A5DD1">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t>De otro lado, la celebración de dicho contrato debe efectuarse mediante la modalidad de la contratación directa. Así lo prevé el artículo 2, numeral 4º, literal h) de la Ley 1150 de 2007, que dispone:</w:t>
      </w:r>
    </w:p>
    <w:p w14:paraId="204DFCB4" w14:textId="77777777" w:rsidR="004A5DD1" w:rsidRPr="009C2CE9" w:rsidRDefault="004A5DD1" w:rsidP="004A5DD1">
      <w:pPr>
        <w:spacing w:after="0" w:line="276" w:lineRule="auto"/>
        <w:ind w:firstLine="709"/>
        <w:jc w:val="both"/>
        <w:rPr>
          <w:rFonts w:ascii="Verdana" w:eastAsia="Calibri" w:hAnsi="Verdana" w:cs="Arial"/>
          <w:color w:val="000000"/>
        </w:rPr>
      </w:pPr>
    </w:p>
    <w:p w14:paraId="6AE447C6" w14:textId="085418E2" w:rsidR="004A5DD1" w:rsidRPr="009C2CE9" w:rsidRDefault="009110BA" w:rsidP="004A5DD1">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004A5DD1" w:rsidRPr="009C2CE9">
        <w:rPr>
          <w:rFonts w:ascii="Verdana" w:eastAsia="Calibri" w:hAnsi="Verdana" w:cs="Arial"/>
          <w:color w:val="000000"/>
          <w:sz w:val="20"/>
          <w:szCs w:val="20"/>
        </w:rPr>
        <w:t>[…]</w:t>
      </w:r>
    </w:p>
    <w:p w14:paraId="52A27495" w14:textId="77777777" w:rsidR="004A5DD1" w:rsidRPr="009C2CE9" w:rsidRDefault="004A5DD1" w:rsidP="004A5DD1">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lastRenderedPageBreak/>
        <w:t>Contratación directa. La modalidad de selección de contratación directa solamente procederá en los siguientes casos:</w:t>
      </w:r>
    </w:p>
    <w:p w14:paraId="3D5F697F" w14:textId="77777777" w:rsidR="004A5DD1" w:rsidRPr="009C2CE9" w:rsidRDefault="004A5DD1" w:rsidP="004A5DD1">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t>[…]</w:t>
      </w:r>
    </w:p>
    <w:p w14:paraId="105F0029" w14:textId="62AA2912" w:rsidR="004A5DD1" w:rsidRPr="009C2CE9" w:rsidRDefault="004A5DD1" w:rsidP="004A5DD1">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t>h) Para la prestación de servicios profesionales y de apoyo a la gestión, o para la ejecución de trabajos artísticos que sólo puedan encomendarse a determinadas personas naturales;</w:t>
      </w:r>
      <w:r w:rsidR="009110BA">
        <w:rPr>
          <w:rFonts w:ascii="Verdana" w:eastAsia="Calibri" w:hAnsi="Verdana" w:cs="Arial"/>
          <w:color w:val="000000"/>
          <w:sz w:val="20"/>
          <w:szCs w:val="20"/>
        </w:rPr>
        <w:t>”</w:t>
      </w:r>
    </w:p>
    <w:p w14:paraId="2795E243" w14:textId="77777777" w:rsidR="004A5DD1" w:rsidRPr="009C2CE9" w:rsidRDefault="004A5DD1" w:rsidP="004A5DD1">
      <w:pPr>
        <w:spacing w:after="0" w:line="240" w:lineRule="auto"/>
        <w:ind w:right="709"/>
        <w:jc w:val="both"/>
        <w:rPr>
          <w:rFonts w:ascii="Verdana" w:eastAsia="Calibri" w:hAnsi="Verdana" w:cs="Arial"/>
          <w:color w:val="000000"/>
          <w:sz w:val="20"/>
          <w:szCs w:val="20"/>
        </w:rPr>
      </w:pPr>
    </w:p>
    <w:p w14:paraId="3C15F51D" w14:textId="77777777" w:rsidR="004A5DD1" w:rsidRPr="00F9262C" w:rsidRDefault="004A5DD1" w:rsidP="004A5DD1">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31692C08" w14:textId="77777777" w:rsidR="004A5DD1" w:rsidRPr="009C2CE9" w:rsidRDefault="004A5DD1" w:rsidP="004A5DD1">
      <w:pPr>
        <w:spacing w:before="120" w:after="120" w:line="276" w:lineRule="auto"/>
        <w:ind w:firstLine="709"/>
        <w:jc w:val="both"/>
        <w:rPr>
          <w:rFonts w:ascii="Verdana" w:eastAsia="Calibri" w:hAnsi="Verdana" w:cs="Arial"/>
          <w:color w:val="000000"/>
        </w:rPr>
      </w:pPr>
      <w:r w:rsidRPr="009C2CE9">
        <w:rPr>
          <w:rFonts w:ascii="Verdana" w:eastAsia="Calibri" w:hAnsi="Verdana" w:cs="Arial"/>
          <w:color w:val="000000"/>
        </w:rPr>
        <w:t>a) Solo puede celebrarse para realizar “actividades relacionadas con la administración o funcionamiento de la entidad”, es decir, que hagan parte de su giro ordinario o quehacer cotidiano.</w:t>
      </w:r>
    </w:p>
    <w:p w14:paraId="2ACB0839" w14:textId="77777777" w:rsidR="004A5DD1" w:rsidRPr="009C2CE9" w:rsidRDefault="004A5DD1" w:rsidP="004A5DD1">
      <w:pPr>
        <w:spacing w:before="120" w:after="120" w:line="276" w:lineRule="auto"/>
        <w:ind w:firstLine="709"/>
        <w:jc w:val="both"/>
        <w:rPr>
          <w:rFonts w:ascii="Verdana" w:eastAsia="Calibri" w:hAnsi="Verdana" w:cs="Arial"/>
          <w:color w:val="000000"/>
        </w:rPr>
      </w:pPr>
      <w:r w:rsidRPr="009C2CE9">
        <w:rPr>
          <w:rFonts w:ascii="Verdana" w:eastAsia="Calibri" w:hAnsi="Verdana" w:cs="Arial"/>
          <w:color w:val="000000"/>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4A0739F7" w14:textId="77777777" w:rsidR="004A5DD1" w:rsidRDefault="004A5DD1" w:rsidP="004A5DD1">
      <w:pPr>
        <w:spacing w:before="120" w:after="120" w:line="276" w:lineRule="auto"/>
        <w:ind w:firstLine="709"/>
        <w:jc w:val="both"/>
        <w:rPr>
          <w:rFonts w:ascii="Verdana" w:eastAsia="Calibri" w:hAnsi="Verdana" w:cs="Arial"/>
          <w:color w:val="000000"/>
        </w:rPr>
      </w:pPr>
      <w:r w:rsidRPr="009C2CE9">
        <w:rPr>
          <w:rFonts w:ascii="Verdana" w:eastAsia="Calibri" w:hAnsi="Verdana" w:cs="Arial"/>
          <w:color w:val="000000"/>
        </w:rPr>
        <w:t>c) Si bien se celebran para obtener la prestación personal de un servicio, se diferencian del contrato de trabajo</w:t>
      </w:r>
      <w:r w:rsidRPr="009C2CE9">
        <w:rPr>
          <w:rFonts w:ascii="Verdana" w:eastAsia="Calibri" w:hAnsi="Verdana" w:cs="Arial"/>
          <w:color w:val="000000"/>
          <w:vertAlign w:val="superscript"/>
        </w:rPr>
        <w:footnoteReference w:id="1"/>
      </w:r>
      <w:r w:rsidRPr="009C2CE9">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009C2CE9">
        <w:rPr>
          <w:rFonts w:ascii="Verdana" w:eastAsia="Calibri" w:hAnsi="Verdana" w:cs="Arial"/>
          <w:i/>
          <w:color w:val="000000"/>
        </w:rPr>
        <w:t>subordinación y dependencia</w:t>
      </w:r>
      <w:r w:rsidRPr="009C2CE9">
        <w:rPr>
          <w:rFonts w:ascii="Verdana" w:eastAsia="Calibri" w:hAnsi="Verdana" w:cs="Arial"/>
          <w:iCs/>
          <w:color w:val="000000"/>
        </w:rPr>
        <w:t>,</w:t>
      </w:r>
      <w:r w:rsidRPr="009C2CE9">
        <w:rPr>
          <w:rFonts w:ascii="Verdana" w:eastAsia="Calibri" w:hAnsi="Verdana" w:cs="Arial"/>
          <w:color w:val="000000"/>
        </w:rPr>
        <w:t xml:space="preserve"> que es uno de los elementos constitutivos del vínculo laboral. Por ello el artículo 32, numeral 3º, de la Ley 80 de 1993 establece que “En </w:t>
      </w:r>
      <w:r w:rsidRPr="009C2CE9">
        <w:rPr>
          <w:rFonts w:ascii="Verdana" w:eastAsia="Calibri" w:hAnsi="Verdana" w:cs="Arial"/>
          <w:color w:val="000000"/>
        </w:rPr>
        <w:lastRenderedPageBreak/>
        <w:t xml:space="preserve">ningún caso estos contratos generan relación laboral ni prestaciones sociales”, inciso que más que un enunciado que aluda al “ser” se refiere al “deber ser”, pues debe interpretarse en el sentido de que los contratos de prestación de servicios profesionales </w:t>
      </w:r>
      <w:r w:rsidRPr="009C2CE9">
        <w:rPr>
          <w:rFonts w:ascii="Verdana" w:eastAsia="Calibri" w:hAnsi="Verdana" w:cs="Arial"/>
          <w:i/>
          <w:color w:val="000000"/>
        </w:rPr>
        <w:t>no pueden</w:t>
      </w:r>
      <w:r w:rsidRPr="009C2CE9">
        <w:rPr>
          <w:rFonts w:ascii="Verdana" w:eastAsia="Calibri" w:hAnsi="Verdana" w:cs="Arial"/>
          <w:color w:val="000000"/>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w:t>
      </w:r>
      <w:r w:rsidRPr="009C2CE9">
        <w:rPr>
          <w:rFonts w:ascii="Verdana" w:eastAsia="Calibri" w:hAnsi="Verdana" w:cs="Arial"/>
          <w:color w:val="000000"/>
          <w:vertAlign w:val="superscript"/>
        </w:rPr>
        <w:footnoteReference w:id="2"/>
      </w:r>
      <w:r w:rsidRPr="009C2CE9">
        <w:rPr>
          <w:rFonts w:ascii="Verdana" w:eastAsia="Calibri" w:hAnsi="Verdana" w:cs="Arial"/>
          <w:color w:val="000000"/>
        </w:rPr>
        <w:t xml:space="preserve">. Pero es posible que, a pesar de este mandato deontológico, en la práctica surja la relación laboral, pues, como se sabe, el contrato de trabajo es un </w:t>
      </w:r>
      <w:r w:rsidRPr="009C2CE9">
        <w:rPr>
          <w:rFonts w:ascii="Verdana" w:eastAsia="Calibri" w:hAnsi="Verdana" w:cs="Arial"/>
          <w:i/>
          <w:color w:val="000000"/>
        </w:rPr>
        <w:t>contrato realidad</w:t>
      </w:r>
      <w:r w:rsidRPr="009C2CE9">
        <w:rPr>
          <w:rFonts w:ascii="Verdana" w:eastAsia="Calibri" w:hAnsi="Verdana" w:cs="Arial"/>
          <w:color w:val="000000"/>
        </w:rPr>
        <w:t xml:space="preserve">, ya que para su perfeccionamiento rige el principio de la prevalencia de la realidad sobre las formalidades. </w:t>
      </w:r>
    </w:p>
    <w:p w14:paraId="1247889B" w14:textId="77777777" w:rsidR="004A5DD1" w:rsidRPr="009C2CE9" w:rsidRDefault="004A5DD1" w:rsidP="004A5DD1">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t>d) Deben ser temporales. Así lo señaló la Corte Constitucional en la misma providencia a la que se aludió previamente, expresando que:</w:t>
      </w:r>
    </w:p>
    <w:p w14:paraId="5D506DE9" w14:textId="77777777" w:rsidR="004A5DD1" w:rsidRPr="009C2CE9" w:rsidRDefault="004A5DD1" w:rsidP="004A5DD1">
      <w:pPr>
        <w:spacing w:after="0" w:line="276" w:lineRule="auto"/>
        <w:ind w:firstLine="709"/>
        <w:jc w:val="both"/>
        <w:rPr>
          <w:rFonts w:ascii="Verdana" w:eastAsia="Calibri" w:hAnsi="Verdana" w:cs="Arial"/>
          <w:color w:val="000000"/>
        </w:rPr>
      </w:pPr>
    </w:p>
    <w:p w14:paraId="7195680C" w14:textId="77777777" w:rsidR="004A5DD1" w:rsidRPr="009C2CE9" w:rsidRDefault="004A5DD1" w:rsidP="004A5DD1">
      <w:pPr>
        <w:spacing w:after="0" w:line="240" w:lineRule="auto"/>
        <w:ind w:left="709" w:right="709"/>
        <w:jc w:val="both"/>
        <w:rPr>
          <w:rFonts w:ascii="Verdana" w:eastAsia="Calibri" w:hAnsi="Verdana" w:cs="Arial"/>
          <w:color w:val="000000"/>
          <w:sz w:val="21"/>
          <w:szCs w:val="21"/>
        </w:rPr>
      </w:pPr>
      <w:r w:rsidRPr="009C2CE9">
        <w:rPr>
          <w:rFonts w:ascii="Verdana" w:eastAsia="Calibri" w:hAnsi="Verdana" w:cs="Arial"/>
          <w:color w:val="000000"/>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9C2CE9">
        <w:rPr>
          <w:rFonts w:ascii="Verdana" w:eastAsia="Calibri" w:hAnsi="Verdana" w:cs="Arial"/>
          <w:color w:val="000000"/>
          <w:sz w:val="21"/>
          <w:szCs w:val="21"/>
          <w:vertAlign w:val="superscript"/>
        </w:rPr>
        <w:footnoteReference w:id="3"/>
      </w:r>
      <w:r w:rsidRPr="009C2CE9">
        <w:rPr>
          <w:rFonts w:ascii="Verdana" w:eastAsia="Calibri" w:hAnsi="Verdana" w:cs="Arial"/>
          <w:color w:val="000000"/>
          <w:sz w:val="21"/>
          <w:szCs w:val="21"/>
        </w:rPr>
        <w:t>.</w:t>
      </w:r>
    </w:p>
    <w:p w14:paraId="0BC57D7D" w14:textId="77777777" w:rsidR="004A5DD1" w:rsidRPr="009C2CE9" w:rsidRDefault="004A5DD1" w:rsidP="004A5DD1">
      <w:pPr>
        <w:spacing w:after="0" w:line="276" w:lineRule="auto"/>
        <w:ind w:firstLine="709"/>
        <w:jc w:val="both"/>
        <w:rPr>
          <w:rFonts w:ascii="Verdana" w:eastAsia="Calibri" w:hAnsi="Verdana" w:cs="Arial"/>
          <w:color w:val="000000"/>
        </w:rPr>
      </w:pPr>
    </w:p>
    <w:p w14:paraId="326BD1E5" w14:textId="77777777" w:rsidR="004A5DD1" w:rsidRPr="009C2CE9" w:rsidRDefault="004A5DD1" w:rsidP="004A5DD1">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t xml:space="preserve">e) Los contratos de prestación de servicios profesionales hacen parte del género denominado </w:t>
      </w:r>
      <w:r w:rsidRPr="009C2CE9">
        <w:rPr>
          <w:rFonts w:ascii="Verdana" w:eastAsia="Calibri" w:hAnsi="Verdana" w:cs="Arial"/>
          <w:i/>
          <w:color w:val="000000"/>
        </w:rPr>
        <w:t>contratos de prestación de servicios</w:t>
      </w:r>
      <w:r w:rsidRPr="009C2CE9">
        <w:rPr>
          <w:rFonts w:ascii="Verdana" w:eastAsia="Calibri" w:hAnsi="Verdana" w:cs="Arial"/>
          <w:color w:val="000000"/>
        </w:rPr>
        <w:t>, dentro del cual también se ubican, como especies, los contratos de prestación de servicios de apoyo a la gestión y los contratos de prestación de servicios artísticos que solo pueden encomendarse a determinadas personas naturales, de acuerdo con lo reglamentado en el artículo 2.2.1.2.4.9. del Decreto 1082 de 2015</w:t>
      </w:r>
      <w:r w:rsidRPr="009C2CE9">
        <w:rPr>
          <w:rFonts w:ascii="Verdana" w:eastAsia="Calibri" w:hAnsi="Verdana" w:cs="Arial"/>
          <w:color w:val="000000"/>
          <w:vertAlign w:val="superscript"/>
        </w:rPr>
        <w:footnoteReference w:id="4"/>
      </w:r>
      <w:r w:rsidRPr="009C2CE9">
        <w:rPr>
          <w:rFonts w:ascii="Verdana" w:eastAsia="Calibri" w:hAnsi="Verdana" w:cs="Arial"/>
          <w:color w:val="000000"/>
        </w:rPr>
        <w:t xml:space="preserve">. La diferencia entre el contrato de prestación de servicios </w:t>
      </w:r>
      <w:r w:rsidRPr="009C2CE9">
        <w:rPr>
          <w:rFonts w:ascii="Verdana" w:eastAsia="Calibri" w:hAnsi="Verdana" w:cs="Arial"/>
          <w:i/>
          <w:color w:val="000000"/>
        </w:rPr>
        <w:t>profesionales</w:t>
      </w:r>
      <w:r w:rsidRPr="009C2CE9">
        <w:rPr>
          <w:rFonts w:ascii="Verdana" w:eastAsia="Calibri" w:hAnsi="Verdana" w:cs="Arial"/>
          <w:color w:val="000000"/>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indicar, respecto del contrato de prestación de servicios profesionales, que:</w:t>
      </w:r>
    </w:p>
    <w:p w14:paraId="6D5FFB7B" w14:textId="77777777" w:rsidR="004A5DD1" w:rsidRPr="009C2CE9" w:rsidRDefault="004A5DD1" w:rsidP="004A5DD1">
      <w:pPr>
        <w:spacing w:after="0" w:line="276" w:lineRule="auto"/>
        <w:ind w:firstLine="709"/>
        <w:jc w:val="both"/>
        <w:rPr>
          <w:rFonts w:ascii="Verdana" w:eastAsia="Calibri" w:hAnsi="Verdana" w:cs="Arial"/>
          <w:color w:val="000000"/>
        </w:rPr>
      </w:pPr>
    </w:p>
    <w:p w14:paraId="163F8DDB" w14:textId="77777777" w:rsidR="004A5DD1" w:rsidRPr="009C2CE9" w:rsidRDefault="004A5DD1" w:rsidP="004A5DD1">
      <w:pPr>
        <w:spacing w:after="0" w:line="240" w:lineRule="auto"/>
        <w:ind w:left="709" w:right="709"/>
        <w:jc w:val="both"/>
        <w:rPr>
          <w:rFonts w:ascii="Verdana" w:eastAsia="Calibri" w:hAnsi="Verdana" w:cs="Arial"/>
          <w:color w:val="000000"/>
          <w:sz w:val="21"/>
          <w:szCs w:val="21"/>
        </w:rPr>
      </w:pPr>
      <w:r w:rsidRPr="009C2CE9">
        <w:rPr>
          <w:rFonts w:ascii="Verdana" w:eastAsia="Calibri" w:hAnsi="Verdana" w:cs="Arial"/>
          <w:color w:val="000000"/>
          <w:sz w:val="20"/>
          <w:szCs w:val="20"/>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9C2CE9">
        <w:rPr>
          <w:rFonts w:ascii="Verdana" w:eastAsia="Calibri" w:hAnsi="Verdana" w:cs="Arial"/>
          <w:color w:val="000000"/>
          <w:sz w:val="21"/>
          <w:szCs w:val="21"/>
          <w:vertAlign w:val="superscript"/>
        </w:rPr>
        <w:footnoteReference w:id="5"/>
      </w:r>
      <w:r w:rsidRPr="009C2CE9">
        <w:rPr>
          <w:rFonts w:ascii="Verdana" w:eastAsia="Calibri" w:hAnsi="Verdana" w:cs="Arial"/>
          <w:color w:val="000000"/>
          <w:sz w:val="21"/>
          <w:szCs w:val="21"/>
        </w:rPr>
        <w:t>.</w:t>
      </w:r>
    </w:p>
    <w:p w14:paraId="1F31BAE4" w14:textId="77777777" w:rsidR="004A5DD1" w:rsidRPr="009C2CE9" w:rsidRDefault="004A5DD1" w:rsidP="004A5DD1">
      <w:pPr>
        <w:spacing w:after="0" w:line="276" w:lineRule="auto"/>
        <w:ind w:firstLine="709"/>
        <w:jc w:val="both"/>
        <w:rPr>
          <w:rFonts w:ascii="Verdana" w:eastAsia="Calibri" w:hAnsi="Verdana" w:cs="Arial"/>
          <w:color w:val="000000"/>
        </w:rPr>
      </w:pPr>
    </w:p>
    <w:p w14:paraId="51DB765F" w14:textId="77777777" w:rsidR="004A5DD1" w:rsidRPr="009C2CE9" w:rsidRDefault="004A5DD1" w:rsidP="004A5DD1">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t>Objeto que, según la sentencia que se cita, se diferencia del objeto del contrato de prestación de servicios de apoyo a la gestión, porque en este:</w:t>
      </w:r>
    </w:p>
    <w:p w14:paraId="6B590788" w14:textId="77777777" w:rsidR="004A5DD1" w:rsidRPr="009C2CE9" w:rsidRDefault="004A5DD1" w:rsidP="004A5DD1">
      <w:pPr>
        <w:spacing w:after="0" w:line="276" w:lineRule="auto"/>
        <w:ind w:firstLine="709"/>
        <w:jc w:val="both"/>
        <w:rPr>
          <w:rFonts w:ascii="Verdana" w:eastAsia="Calibri" w:hAnsi="Verdana" w:cs="Arial"/>
          <w:color w:val="000000"/>
        </w:rPr>
      </w:pPr>
    </w:p>
    <w:p w14:paraId="5182D142" w14:textId="77777777" w:rsidR="004A5DD1" w:rsidRPr="009C2CE9" w:rsidRDefault="004A5DD1" w:rsidP="004A5DD1">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22A2BDB3" w14:textId="77777777" w:rsidR="004A5DD1" w:rsidRPr="009C2CE9" w:rsidRDefault="004A5DD1" w:rsidP="004A5DD1">
      <w:pPr>
        <w:spacing w:after="0" w:line="240" w:lineRule="auto"/>
        <w:ind w:left="709" w:right="709"/>
        <w:jc w:val="both"/>
        <w:rPr>
          <w:rFonts w:ascii="Verdana" w:eastAsia="Calibri" w:hAnsi="Verdana" w:cs="Arial"/>
          <w:color w:val="000000"/>
          <w:sz w:val="20"/>
          <w:szCs w:val="20"/>
        </w:rPr>
      </w:pPr>
    </w:p>
    <w:p w14:paraId="58544502" w14:textId="77777777" w:rsidR="004A5DD1" w:rsidRPr="009C2CE9" w:rsidRDefault="004A5DD1" w:rsidP="004A5DD1">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lastRenderedPageBreak/>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33E8346B" w14:textId="77777777" w:rsidR="004A5DD1" w:rsidRPr="009C2CE9" w:rsidRDefault="004A5DD1" w:rsidP="004A5DD1">
      <w:pPr>
        <w:spacing w:after="0" w:line="240" w:lineRule="auto"/>
        <w:ind w:left="709" w:right="709"/>
        <w:jc w:val="both"/>
        <w:rPr>
          <w:rFonts w:ascii="Verdana" w:eastAsia="Calibri" w:hAnsi="Verdana" w:cs="Arial"/>
          <w:color w:val="000000"/>
          <w:sz w:val="20"/>
          <w:szCs w:val="20"/>
        </w:rPr>
      </w:pPr>
    </w:p>
    <w:p w14:paraId="6E2FCCC7" w14:textId="77777777" w:rsidR="004A5DD1" w:rsidRPr="009C2CE9" w:rsidRDefault="004A5DD1" w:rsidP="004A5DD1">
      <w:pPr>
        <w:spacing w:after="0" w:line="240" w:lineRule="auto"/>
        <w:ind w:left="709" w:right="709"/>
        <w:jc w:val="both"/>
        <w:rPr>
          <w:rFonts w:ascii="Verdana" w:eastAsia="Calibri" w:hAnsi="Verdana" w:cs="Arial"/>
          <w:color w:val="000000"/>
          <w:sz w:val="20"/>
          <w:szCs w:val="20"/>
        </w:rPr>
      </w:pPr>
      <w:r w:rsidRPr="009C2CE9">
        <w:rPr>
          <w:rFonts w:ascii="Verdana" w:eastAsia="Calibri" w:hAnsi="Verdana"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p>
    <w:p w14:paraId="3ACFDB50" w14:textId="77777777" w:rsidR="004A5DD1" w:rsidRPr="009C2CE9" w:rsidRDefault="004A5DD1" w:rsidP="004A5DD1">
      <w:pPr>
        <w:spacing w:after="0" w:line="240" w:lineRule="auto"/>
        <w:ind w:left="709" w:right="709"/>
        <w:jc w:val="both"/>
        <w:rPr>
          <w:rFonts w:ascii="Verdana" w:eastAsia="Calibri" w:hAnsi="Verdana" w:cs="Arial"/>
          <w:color w:val="000000"/>
          <w:sz w:val="20"/>
          <w:szCs w:val="20"/>
        </w:rPr>
      </w:pPr>
    </w:p>
    <w:p w14:paraId="531D70FD" w14:textId="77777777" w:rsidR="004A5DD1" w:rsidRPr="009C2CE9" w:rsidRDefault="004A5DD1" w:rsidP="004A5DD1">
      <w:pPr>
        <w:spacing w:after="0" w:line="240" w:lineRule="auto"/>
        <w:ind w:left="709" w:right="709"/>
        <w:jc w:val="both"/>
        <w:rPr>
          <w:rFonts w:ascii="Verdana" w:eastAsia="Calibri" w:hAnsi="Verdana" w:cs="Arial"/>
          <w:color w:val="000000"/>
          <w:sz w:val="21"/>
          <w:szCs w:val="21"/>
        </w:rPr>
      </w:pPr>
      <w:r w:rsidRPr="009C2CE9">
        <w:rPr>
          <w:rFonts w:ascii="Verdana" w:eastAsia="Calibri" w:hAnsi="Verdana" w:cs="Arial"/>
          <w:color w:val="000000"/>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r w:rsidRPr="009C2CE9">
        <w:rPr>
          <w:rFonts w:ascii="Verdana" w:eastAsia="Calibri" w:hAnsi="Verdana" w:cs="Arial"/>
          <w:color w:val="000000"/>
          <w:sz w:val="21"/>
          <w:szCs w:val="21"/>
          <w:vertAlign w:val="superscript"/>
        </w:rPr>
        <w:footnoteReference w:id="6"/>
      </w:r>
      <w:r w:rsidRPr="009C2CE9">
        <w:rPr>
          <w:rFonts w:ascii="Verdana" w:eastAsia="Calibri" w:hAnsi="Verdana" w:cs="Arial"/>
          <w:color w:val="000000"/>
          <w:sz w:val="21"/>
          <w:szCs w:val="21"/>
        </w:rPr>
        <w:t>.</w:t>
      </w:r>
    </w:p>
    <w:p w14:paraId="2B848D73" w14:textId="77777777" w:rsidR="004A5DD1" w:rsidRPr="009C2CE9" w:rsidRDefault="004A5DD1" w:rsidP="004A5DD1">
      <w:pPr>
        <w:spacing w:after="0" w:line="276" w:lineRule="auto"/>
        <w:ind w:firstLine="709"/>
        <w:jc w:val="both"/>
        <w:rPr>
          <w:rFonts w:ascii="Verdana" w:eastAsia="Calibri" w:hAnsi="Verdana" w:cs="Arial"/>
          <w:color w:val="000000"/>
        </w:rPr>
      </w:pPr>
    </w:p>
    <w:p w14:paraId="17335211" w14:textId="77777777" w:rsidR="004A5DD1" w:rsidRPr="009C2CE9" w:rsidRDefault="004A5DD1" w:rsidP="004A5DD1">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t>f) Su celebración debe realizarse a través de la modalidad de contratación directa, independientemente de la cuantía y del tipo de servicio profesional, siempre que este no ingrese dentro del objeto del contrato de consultoría, pues,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9C2CE9">
        <w:rPr>
          <w:rFonts w:ascii="Verdana" w:eastAsia="Calibri" w:hAnsi="Verdana" w:cs="Arial"/>
          <w:color w:val="000000"/>
          <w:vertAlign w:val="superscript"/>
        </w:rPr>
        <w:footnoteReference w:id="7"/>
      </w:r>
      <w:r w:rsidRPr="009C2CE9">
        <w:rPr>
          <w:rFonts w:ascii="Verdana" w:eastAsia="Calibri" w:hAnsi="Verdana" w:cs="Arial"/>
          <w:color w:val="000000"/>
        </w:rPr>
        <w:t>. Pero, tampoco puede 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p>
    <w:p w14:paraId="26E00F20" w14:textId="77777777" w:rsidR="004A5DD1" w:rsidRPr="009C2CE9" w:rsidRDefault="004A5DD1" w:rsidP="004A5DD1">
      <w:pPr>
        <w:spacing w:before="120" w:after="120" w:line="276" w:lineRule="auto"/>
        <w:ind w:firstLine="709"/>
        <w:jc w:val="both"/>
        <w:rPr>
          <w:rFonts w:ascii="Verdana" w:eastAsia="Calibri" w:hAnsi="Verdana" w:cs="Arial"/>
          <w:color w:val="000000"/>
        </w:rPr>
      </w:pPr>
      <w:r w:rsidRPr="009C2CE9">
        <w:rPr>
          <w:rFonts w:ascii="Verdana" w:eastAsia="Calibri" w:hAnsi="Verdana" w:cs="Arial"/>
          <w:color w:val="000000"/>
        </w:rPr>
        <w:t>g) Para su celebración no se requiere la expedición del acto administrativo de justificación de la contratación directa</w:t>
      </w:r>
      <w:r w:rsidRPr="009C2CE9">
        <w:rPr>
          <w:rFonts w:ascii="Verdana" w:eastAsia="Calibri" w:hAnsi="Verdana" w:cs="Arial"/>
          <w:color w:val="000000"/>
          <w:vertAlign w:val="superscript"/>
        </w:rPr>
        <w:footnoteReference w:id="8"/>
      </w:r>
      <w:r w:rsidRPr="009C2CE9">
        <w:rPr>
          <w:rFonts w:ascii="Verdana" w:eastAsia="Calibri" w:hAnsi="Verdana" w:cs="Arial"/>
          <w:color w:val="000000"/>
        </w:rPr>
        <w:t xml:space="preserve">. </w:t>
      </w:r>
    </w:p>
    <w:p w14:paraId="7CB0F3E5" w14:textId="77777777" w:rsidR="004A5DD1" w:rsidRPr="009C2CE9" w:rsidRDefault="004A5DD1" w:rsidP="004A5DD1">
      <w:pPr>
        <w:spacing w:before="120" w:after="120" w:line="276" w:lineRule="auto"/>
        <w:ind w:firstLine="709"/>
        <w:jc w:val="both"/>
        <w:rPr>
          <w:rFonts w:ascii="Verdana" w:eastAsia="Calibri" w:hAnsi="Verdana" w:cs="Arial"/>
          <w:color w:val="000000"/>
        </w:rPr>
      </w:pPr>
      <w:r w:rsidRPr="009C2CE9">
        <w:rPr>
          <w:rFonts w:ascii="Verdana" w:eastAsia="Calibri" w:hAnsi="Verdana" w:cs="Arial"/>
          <w:color w:val="000000"/>
        </w:rPr>
        <w:lastRenderedPageBreak/>
        <w:t>h) Admiten el pacto de cláusulas excepcionales. Es decir, en los contratos de prestación de servicios profesionales puede estipularse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9C2CE9">
        <w:rPr>
          <w:rFonts w:ascii="Verdana" w:eastAsia="Calibri" w:hAnsi="Verdana" w:cs="Arial"/>
          <w:color w:val="000000"/>
          <w:vertAlign w:val="superscript"/>
        </w:rPr>
        <w:footnoteReference w:id="9"/>
      </w:r>
      <w:r w:rsidRPr="009C2CE9">
        <w:rPr>
          <w:rFonts w:ascii="Verdana" w:eastAsia="Calibri" w:hAnsi="Verdana" w:cs="Arial"/>
          <w:color w:val="000000"/>
        </w:rPr>
        <w:t>.</w:t>
      </w:r>
    </w:p>
    <w:p w14:paraId="2B899E04" w14:textId="77777777" w:rsidR="004A5DD1" w:rsidRPr="009C2CE9" w:rsidRDefault="004A5DD1" w:rsidP="004A5DD1">
      <w:pPr>
        <w:spacing w:before="120" w:after="120" w:line="276" w:lineRule="auto"/>
        <w:ind w:firstLine="709"/>
        <w:jc w:val="both"/>
        <w:rPr>
          <w:rFonts w:ascii="Verdana" w:eastAsia="Calibri" w:hAnsi="Verdana" w:cs="Arial"/>
          <w:color w:val="000000"/>
        </w:rPr>
      </w:pPr>
      <w:r w:rsidRPr="009C2CE9">
        <w:rPr>
          <w:rFonts w:ascii="Verdana" w:eastAsia="Calibri" w:hAnsi="Verdana" w:cs="Arial"/>
          <w:color w:val="000000"/>
        </w:rPr>
        <w:t>i) En ellos no es obligatoria la liquidación, pues así lo estableció el artículo 217 del Decreto 019 de 2012, que modificó el artículo 60 de la Ley 80 de 1993</w:t>
      </w:r>
      <w:r w:rsidRPr="009C2CE9">
        <w:rPr>
          <w:rFonts w:ascii="Verdana" w:eastAsia="Calibri" w:hAnsi="Verdana" w:cs="Arial"/>
          <w:color w:val="000000"/>
          <w:vertAlign w:val="superscript"/>
        </w:rPr>
        <w:footnoteReference w:id="10"/>
      </w:r>
      <w:r w:rsidRPr="009C2CE9">
        <w:rPr>
          <w:rFonts w:ascii="Verdana" w:eastAsia="Calibri" w:hAnsi="Verdana" w:cs="Arial"/>
          <w:color w:val="000000"/>
        </w:rPr>
        <w:t xml:space="preserve">, </w:t>
      </w:r>
      <w:r w:rsidRPr="009C2CE9">
        <w:rPr>
          <w:rFonts w:ascii="Verdana" w:eastAsia="Calibri" w:hAnsi="Verdana" w:cs="Arial"/>
          <w:color w:val="000000"/>
          <w:lang w:val="es-ES" w:eastAsia="es-ES"/>
        </w:rPr>
        <w:t>refiriéndose expresamente a los contratos de prestación de servicios profesionales y de apoyo a la gestión.</w:t>
      </w:r>
    </w:p>
    <w:p w14:paraId="597FC2D0" w14:textId="77777777" w:rsidR="004A5DD1" w:rsidRPr="009C2CE9" w:rsidRDefault="004A5DD1" w:rsidP="004A5DD1">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t>j) Para su celebración no se requiere inscripción en el Registro Único de Proponentes (RUP), según lo prevé el artículo 6 de la Ley 1150 de 2007</w:t>
      </w:r>
      <w:r w:rsidRPr="009C2CE9">
        <w:rPr>
          <w:rFonts w:ascii="Verdana" w:eastAsia="Calibri" w:hAnsi="Verdana" w:cs="Arial"/>
          <w:color w:val="000000"/>
          <w:vertAlign w:val="superscript"/>
        </w:rPr>
        <w:footnoteReference w:id="11"/>
      </w:r>
      <w:r w:rsidRPr="009C2CE9">
        <w:rPr>
          <w:rFonts w:ascii="Verdana" w:eastAsia="Calibri" w:hAnsi="Verdana" w:cs="Arial"/>
          <w:color w:val="000000"/>
        </w:rPr>
        <w:t>.</w:t>
      </w:r>
    </w:p>
    <w:p w14:paraId="15618AB8" w14:textId="77777777" w:rsidR="004A5DD1" w:rsidRPr="009C2CE9" w:rsidRDefault="004A5DD1" w:rsidP="004A5DD1">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lastRenderedPageBreak/>
        <w:t>k) En ellos no son necesarias las garantías</w:t>
      </w:r>
      <w:r w:rsidRPr="009C2CE9">
        <w:rPr>
          <w:rFonts w:ascii="Verdana" w:eastAsia="Calibri" w:hAnsi="Verdana" w:cs="Arial"/>
          <w:color w:val="000000"/>
          <w:vertAlign w:val="superscript"/>
        </w:rPr>
        <w:footnoteReference w:id="12"/>
      </w:r>
      <w:r w:rsidRPr="009C2CE9">
        <w:rPr>
          <w:rFonts w:ascii="Verdana" w:eastAsia="Calibri" w:hAnsi="Verdana" w:cs="Arial"/>
          <w:color w:val="000000"/>
        </w:rPr>
        <w:t>.</w:t>
      </w:r>
    </w:p>
    <w:p w14:paraId="5A13708F" w14:textId="77777777" w:rsidR="004A5DD1" w:rsidRDefault="004A5DD1" w:rsidP="004A5DD1">
      <w:pPr>
        <w:spacing w:after="120" w:line="276" w:lineRule="auto"/>
        <w:ind w:firstLine="709"/>
        <w:jc w:val="both"/>
        <w:rPr>
          <w:rFonts w:ascii="Verdana" w:eastAsia="Calibri" w:hAnsi="Verdana" w:cs="Arial"/>
          <w:color w:val="000000"/>
          <w:lang w:val="es-ES_tradnl" w:eastAsia="es-ES_tradnl"/>
        </w:rPr>
      </w:pPr>
      <w:r w:rsidRPr="009C2CE9">
        <w:rPr>
          <w:rFonts w:ascii="Verdana" w:hAnsi="Verdana"/>
        </w:rPr>
        <w:t>Lo expuesto constituye</w:t>
      </w:r>
      <w:r w:rsidRPr="009C2CE9">
        <w:rPr>
          <w:rFonts w:ascii="Verdana" w:eastAsia="Calibri" w:hAnsi="Verdana" w:cs="Arial"/>
          <w:color w:val="000000"/>
        </w:rPr>
        <w:t xml:space="preserve"> el marco jurídico de los contratos de prestación de servicios y su aplicación es obligatoria para las entidades sometidas al Estatuto General de Contratación de la Administración Pública establecidas en el artículo 1 de la Ley 80 de 1993, como son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así como las entidades señaladas en el numeral b </w:t>
      </w:r>
      <w:r w:rsidRPr="009C2CE9">
        <w:rPr>
          <w:rFonts w:ascii="Verdana" w:eastAsia="Calibri" w:hAnsi="Verdana" w:cs="Arial"/>
          <w:i/>
          <w:iCs/>
          <w:color w:val="000000"/>
        </w:rPr>
        <w:t>ibidem.</w:t>
      </w:r>
    </w:p>
    <w:p w14:paraId="36D2153C" w14:textId="77777777" w:rsidR="004A5DD1" w:rsidRDefault="004A5DD1" w:rsidP="004A5DD1">
      <w:pPr>
        <w:autoSpaceDE w:val="0"/>
        <w:autoSpaceDN w:val="0"/>
        <w:adjustRightInd w:val="0"/>
        <w:spacing w:after="120" w:line="276" w:lineRule="auto"/>
        <w:jc w:val="both"/>
        <w:rPr>
          <w:rFonts w:ascii="Verdana" w:hAnsi="Verdana" w:cs="Arial"/>
          <w:i/>
          <w:iCs/>
        </w:rPr>
      </w:pPr>
      <w:r w:rsidRPr="00890A2D">
        <w:rPr>
          <w:rFonts w:ascii="Verdana" w:eastAsia="Calibri" w:hAnsi="Verdana" w:cs="Arial"/>
          <w:color w:val="000000"/>
          <w:lang w:val="es-ES_tradnl" w:eastAsia="es-ES_tradnl"/>
        </w:rPr>
        <w:t>ii)</w:t>
      </w:r>
      <w:r>
        <w:rPr>
          <w:rFonts w:ascii="Verdana" w:eastAsia="Calibri" w:hAnsi="Verdana" w:cs="Arial"/>
          <w:color w:val="000000"/>
          <w:lang w:val="es-ES_tradnl" w:eastAsia="es-ES_tradnl"/>
        </w:rPr>
        <w:t xml:space="preserve"> </w:t>
      </w:r>
      <w:r w:rsidRPr="00EA4DC1">
        <w:rPr>
          <w:rFonts w:ascii="Verdana" w:hAnsi="Verdana" w:cs="Arial"/>
        </w:rPr>
        <w:t xml:space="preserve">En lo relativo al plazo de los contratos de prestación de servicios debe destacarse lo señalado en el inciso segundo del numeral 3 del artículo 32 de la Ley 80 de 1993, el cual dispone que: “Estos contratos sólo podrán celebrarse con personas naturales cuando dichas actividades no puedan realizarse con personal de planta o requieran conocimientos especializados. </w:t>
      </w:r>
      <w:r w:rsidRPr="00EA4DC1">
        <w:rPr>
          <w:rFonts w:ascii="Verdana" w:hAnsi="Verdana" w:cs="Arial"/>
          <w:i/>
          <w:iCs/>
        </w:rPr>
        <w:t xml:space="preserve">En ningún caso estos contratos generan relación laboral ni prestaciones sociales y se celebrarán por el término estrictamente indispensable” </w:t>
      </w:r>
      <w:r w:rsidRPr="00EA4DC1">
        <w:rPr>
          <w:rFonts w:ascii="Verdana" w:hAnsi="Verdana" w:cs="Arial"/>
        </w:rPr>
        <w:t>[Énfasis fuera de texto]</w:t>
      </w:r>
      <w:r w:rsidRPr="00EA4DC1">
        <w:rPr>
          <w:rFonts w:ascii="Verdana" w:hAnsi="Verdana" w:cs="Arial"/>
          <w:i/>
          <w:iCs/>
        </w:rPr>
        <w:t>.</w:t>
      </w:r>
    </w:p>
    <w:p w14:paraId="34857F3B" w14:textId="77777777" w:rsidR="004A5DD1" w:rsidRPr="00CA001D" w:rsidRDefault="004A5DD1" w:rsidP="004A5DD1">
      <w:pPr>
        <w:autoSpaceDE w:val="0"/>
        <w:autoSpaceDN w:val="0"/>
        <w:adjustRightInd w:val="0"/>
        <w:spacing w:after="120" w:line="276" w:lineRule="auto"/>
        <w:ind w:firstLine="708"/>
        <w:jc w:val="both"/>
        <w:rPr>
          <w:rFonts w:ascii="Verdana" w:hAnsi="Verdana" w:cs="Arial"/>
          <w:i/>
          <w:iCs/>
        </w:rPr>
      </w:pPr>
      <w:r w:rsidRPr="004676D1">
        <w:rPr>
          <w:rFonts w:ascii="Verdana" w:hAnsi="Verdana" w:cs="Arial"/>
        </w:rPr>
        <w:t xml:space="preserve">En atención a lo establecido en esta norma, es claro que la temporalidad es una de las características fundamentales de los contratos de prestación de servicios, comoquiera que el plazo de los mismos deberá sujetarse al </w:t>
      </w:r>
      <w:r w:rsidRPr="004676D1">
        <w:rPr>
          <w:rFonts w:ascii="Verdana" w:hAnsi="Verdana" w:cs="Arial"/>
          <w:i/>
          <w:iCs/>
        </w:rPr>
        <w:t xml:space="preserve">“término estrictamente indispensable”, </w:t>
      </w:r>
      <w:r w:rsidRPr="004676D1">
        <w:rPr>
          <w:rFonts w:ascii="Verdana" w:hAnsi="Verdana" w:cs="Arial"/>
        </w:rPr>
        <w:t xml:space="preserve">el cual según lo manifestado en la Sentencia de Unificación Jurisprudencial SUJ-025-CE-S2-2021 de la Sección Segunda del Consejo de Estado es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w:t>
      </w:r>
      <w:r w:rsidRPr="004676D1">
        <w:rPr>
          <w:rFonts w:ascii="Verdana" w:hAnsi="Verdana" w:cs="Arial"/>
        </w:rPr>
        <w:lastRenderedPageBreak/>
        <w:t>acordarse para garantizar su cumplimiento”</w:t>
      </w:r>
      <w:r w:rsidRPr="004676D1">
        <w:rPr>
          <w:rStyle w:val="Refdenotaalpie"/>
          <w:rFonts w:ascii="Verdana" w:hAnsi="Verdana" w:cs="Arial"/>
        </w:rPr>
        <w:footnoteReference w:id="13"/>
      </w:r>
      <w:r w:rsidRPr="004676D1">
        <w:rPr>
          <w:rFonts w:ascii="Verdana" w:hAnsi="Verdana" w:cs="Arial"/>
        </w:rPr>
        <w:t>. En ese entendido, la temporalidad del contrato de prestación de servicios está determinada por el tiempo requerido para desarrollar el objeto para el que se celebra de acuerdo con lo establecido en los correspondientes estudios previos, en cumplimiento del principio de planeación, la autonomía y voluntad de las partes.</w:t>
      </w:r>
    </w:p>
    <w:p w14:paraId="006ECB83" w14:textId="77777777" w:rsidR="004A5DD1" w:rsidRDefault="004A5DD1" w:rsidP="004A5DD1">
      <w:pPr>
        <w:spacing w:after="120" w:line="276" w:lineRule="auto"/>
        <w:ind w:firstLine="708"/>
        <w:jc w:val="both"/>
        <w:rPr>
          <w:rFonts w:ascii="Verdana" w:hAnsi="Verdana" w:cs="Arial"/>
        </w:rPr>
      </w:pPr>
      <w:r w:rsidRPr="004676D1">
        <w:rPr>
          <w:rFonts w:ascii="Verdana" w:hAnsi="Verdana" w:cs="Arial"/>
        </w:rPr>
        <w:t xml:space="preserve">Por otra parte, debe advertirse que </w:t>
      </w:r>
      <w:r>
        <w:rPr>
          <w:rFonts w:ascii="Verdana" w:hAnsi="Verdana" w:cs="Arial"/>
        </w:rPr>
        <w:t xml:space="preserve">en virtud de </w:t>
      </w:r>
      <w:r w:rsidRPr="004676D1">
        <w:rPr>
          <w:rFonts w:ascii="Verdana" w:hAnsi="Verdana" w:cs="Arial"/>
        </w:rPr>
        <w:t>la autonomía con la que cuentan las entidades territoriales, en virtud del artículo 287 superior, para planear, programar y ejercer mediante la  actividad contractual el cumplimiento de sus funciones y la prestación de servicios públicos, quedan facultadas para suscribir contratos prestación de servicios profesionales y de apoyo a la gestión con personas naturales por plazos de ejecución superiores a los cuatro meses (4) señalados en el numeral 3 de la Circular Conjunta 100-005-2022, pues los lineamientos incorporados tiene como fin principal el invitar a las entidades para planear la contratación de estos servicios durante un “término estrictamente indispensable” que procure no ser superior a los cuatro meses (04), tiempo en el cual se espera que el contratista cumpla a cabalidad el objeto del contrato y las obligaciones que de él se derivan, a la par de las acciones necesarias que deberán desarrollar las Entidades Estatales para determinar, crear y proveer la planta de personal temporal necesaria y suficiente para suplir las necesidades misionales y administrativas que han sido provistas a través de contratos de prestación</w:t>
      </w:r>
      <w:r>
        <w:rPr>
          <w:rFonts w:ascii="Verdana" w:hAnsi="Verdana" w:cs="Arial"/>
        </w:rPr>
        <w:t xml:space="preserve"> </w:t>
      </w:r>
      <w:r w:rsidRPr="004676D1">
        <w:rPr>
          <w:rFonts w:ascii="Verdana" w:hAnsi="Verdana" w:cs="Arial"/>
        </w:rPr>
        <w:t>de servicios profesionales y de apoyo a la gestión con personas naturales.</w:t>
      </w:r>
    </w:p>
    <w:p w14:paraId="3582023C" w14:textId="77777777" w:rsidR="004A5DD1" w:rsidRPr="004676D1" w:rsidRDefault="004A5DD1" w:rsidP="004A5DD1">
      <w:pPr>
        <w:spacing w:after="120" w:line="276" w:lineRule="auto"/>
        <w:ind w:firstLine="708"/>
        <w:jc w:val="both"/>
        <w:rPr>
          <w:rFonts w:ascii="Verdana" w:hAnsi="Verdana" w:cs="Arial"/>
        </w:rPr>
      </w:pPr>
      <w:r w:rsidRPr="004676D1">
        <w:rPr>
          <w:rFonts w:ascii="Verdana" w:eastAsia="Arial" w:hAnsi="Verdana" w:cs="Arial"/>
          <w:lang w:val="es-ES"/>
        </w:rPr>
        <w:t>Sobre el alcance de las circulares,</w:t>
      </w:r>
      <w:r w:rsidRPr="004676D1">
        <w:rPr>
          <w:rFonts w:ascii="Verdana" w:hAnsi="Verdana" w:cs="Arial"/>
        </w:rPr>
        <w:t xml:space="preserve"> el Consejo de Estado, en sentencia del 19 de junio de 2008, precisó que estas deben entenderse de la siguiere forma: </w:t>
      </w:r>
      <w:r w:rsidRPr="004676D1">
        <w:rPr>
          <w:rFonts w:ascii="Verdana" w:eastAsia="Arial" w:hAnsi="Verdana" w:cs="Arial"/>
          <w:lang w:val="es-ES"/>
        </w:rPr>
        <w:t xml:space="preserve">“[…] </w:t>
      </w:r>
      <w:r w:rsidRPr="004676D1">
        <w:rPr>
          <w:rFonts w:ascii="Verdana" w:hAnsi="Verdana" w:cs="Arial"/>
        </w:rPr>
        <w:t xml:space="preserve">la Administración utiliza el vocablo “circular” en dos de sus acepciones: como orden que una autoridad superior dirige a todos o gran parte de sus subalternos, que también puede cobijar a los particulares, cuando desarrollan actividades sujetas a la inspección y vigilancia del Estado, que es la que </w:t>
      </w:r>
      <w:r w:rsidRPr="004676D1">
        <w:rPr>
          <w:rFonts w:ascii="Verdana" w:hAnsi="Verdana" w:cs="Arial"/>
        </w:rPr>
        <w:lastRenderedPageBreak/>
        <w:t>corresponde a circular de servicio. Y como cada una de las cartas o avisos iguales dirigidos a un determinado sector o grupo de personas públicas o privadas interesadas en el asunto informado, que es la que se denomina circular informativa</w:t>
      </w:r>
      <w:r w:rsidRPr="004676D1">
        <w:rPr>
          <w:rFonts w:ascii="Verdana" w:eastAsia="Arial" w:hAnsi="Verdana" w:cs="Arial"/>
          <w:lang w:val="es-ES"/>
        </w:rPr>
        <w:t xml:space="preserve"> […]”</w:t>
      </w:r>
      <w:r w:rsidRPr="004676D1">
        <w:rPr>
          <w:rStyle w:val="Refdenotaalpie"/>
          <w:rFonts w:ascii="Verdana" w:eastAsia="Arial" w:hAnsi="Verdana" w:cs="Arial"/>
          <w:lang w:val="es-ES"/>
        </w:rPr>
        <w:footnoteReference w:id="14"/>
      </w:r>
      <w:r w:rsidRPr="004676D1">
        <w:rPr>
          <w:rFonts w:ascii="Verdana" w:eastAsia="Arial" w:hAnsi="Verdana" w:cs="Arial"/>
          <w:lang w:val="es-ES"/>
        </w:rPr>
        <w:t>.</w:t>
      </w:r>
    </w:p>
    <w:p w14:paraId="579C80A1" w14:textId="77777777" w:rsidR="004A5DD1" w:rsidRPr="004676D1" w:rsidRDefault="004A5DD1" w:rsidP="004A5DD1">
      <w:pPr>
        <w:widowControl w:val="0"/>
        <w:autoSpaceDE w:val="0"/>
        <w:autoSpaceDN w:val="0"/>
        <w:spacing w:line="276" w:lineRule="auto"/>
        <w:ind w:firstLine="709"/>
        <w:jc w:val="both"/>
        <w:rPr>
          <w:rFonts w:ascii="Verdana" w:eastAsia="Arial" w:hAnsi="Verdana" w:cs="Arial"/>
          <w:lang w:val="es-ES"/>
        </w:rPr>
      </w:pPr>
      <w:r w:rsidRPr="004676D1">
        <w:rPr>
          <w:rFonts w:ascii="Verdana" w:eastAsia="Arial" w:hAnsi="Verdana" w:cs="Arial"/>
          <w:lang w:val="es-ES"/>
        </w:rPr>
        <w:t>De esta forma, el numeral</w:t>
      </w:r>
      <w:r>
        <w:rPr>
          <w:rFonts w:ascii="Verdana" w:eastAsia="Arial" w:hAnsi="Verdana" w:cs="Arial"/>
          <w:lang w:val="es-ES"/>
        </w:rPr>
        <w:t xml:space="preserve"> 3</w:t>
      </w:r>
      <w:r w:rsidRPr="004676D1">
        <w:rPr>
          <w:rFonts w:ascii="Verdana" w:eastAsia="Arial" w:hAnsi="Verdana" w:cs="Arial"/>
          <w:lang w:val="es-ES"/>
        </w:rPr>
        <w:t xml:space="preserve"> de la Circular Conjunta </w:t>
      </w:r>
      <w:r w:rsidRPr="007E2C5F">
        <w:rPr>
          <w:rFonts w:ascii="Verdana" w:eastAsia="Arial" w:hAnsi="Verdana" w:cs="Arial"/>
          <w:lang w:val="es-ES"/>
        </w:rPr>
        <w:t>100-005 - 2022</w:t>
      </w:r>
      <w:r w:rsidRPr="004676D1">
        <w:rPr>
          <w:rFonts w:ascii="Verdana" w:eastAsia="Arial" w:hAnsi="Verdana" w:cs="Arial"/>
          <w:lang w:val="es-ES"/>
        </w:rPr>
        <w:t xml:space="preserve"> dispone lo siguiente:</w:t>
      </w:r>
    </w:p>
    <w:p w14:paraId="29FF74B6" w14:textId="77777777" w:rsidR="004A5DD1" w:rsidRPr="00373AD7" w:rsidRDefault="004A5DD1" w:rsidP="004A5DD1">
      <w:pPr>
        <w:widowControl w:val="0"/>
        <w:autoSpaceDE w:val="0"/>
        <w:autoSpaceDN w:val="0"/>
        <w:spacing w:line="240" w:lineRule="auto"/>
        <w:ind w:left="709" w:right="709"/>
        <w:jc w:val="both"/>
        <w:rPr>
          <w:rFonts w:ascii="Verdana" w:eastAsia="Arial" w:hAnsi="Verdana" w:cs="Arial"/>
          <w:sz w:val="20"/>
          <w:szCs w:val="20"/>
          <w:shd w:val="clear" w:color="auto" w:fill="FFFFFF"/>
          <w:lang w:val="es-ES"/>
        </w:rPr>
      </w:pPr>
      <w:r w:rsidRPr="00373AD7">
        <w:rPr>
          <w:rFonts w:ascii="Verdana" w:eastAsia="Arial" w:hAnsi="Verdana" w:cs="Arial"/>
          <w:sz w:val="20"/>
          <w:szCs w:val="20"/>
          <w:shd w:val="clear" w:color="auto" w:fill="FFFFFF"/>
          <w:lang w:val="es-ES"/>
        </w:rPr>
        <w:t>“La contratación directa a través del contrato de prestación de servicios y de apoyo a la gestión deberá tener un término de duración de cuatro (04) meses, plazo este durante el cual los órganos, organismos y entidades de la rama ejecutiva del orden nacional y territorial deberán elaborar los estudios técnicos requeridos y establecer la planta temporal de personal necesaria y suficiente que supla las necesidades misionales y administrativas que se requieran.”</w:t>
      </w:r>
    </w:p>
    <w:p w14:paraId="482D23E3" w14:textId="77777777" w:rsidR="004A5DD1" w:rsidRPr="004676D1" w:rsidRDefault="004A5DD1" w:rsidP="004A5DD1">
      <w:pPr>
        <w:widowControl w:val="0"/>
        <w:autoSpaceDE w:val="0"/>
        <w:autoSpaceDN w:val="0"/>
        <w:spacing w:after="120" w:line="276" w:lineRule="auto"/>
        <w:jc w:val="both"/>
        <w:rPr>
          <w:rFonts w:ascii="Verdana" w:eastAsia="Arial" w:hAnsi="Verdana" w:cs="Arial"/>
          <w:lang w:val="es-ES"/>
        </w:rPr>
      </w:pPr>
      <w:r w:rsidRPr="004676D1">
        <w:rPr>
          <w:rFonts w:ascii="Verdana" w:eastAsia="Arial" w:hAnsi="Verdana" w:cs="Arial"/>
          <w:lang w:val="es-ES"/>
        </w:rPr>
        <w:tab/>
        <w:t>No obstante, la expresión destacada en el párrafo anterior fue objeto de medida cautelar de suspensión provisiona</w:t>
      </w:r>
      <w:r>
        <w:rPr>
          <w:rFonts w:ascii="Verdana" w:eastAsia="Arial" w:hAnsi="Verdana" w:cs="Arial"/>
          <w:lang w:val="es-ES"/>
        </w:rPr>
        <w:t>l</w:t>
      </w:r>
      <w:r w:rsidRPr="004676D1">
        <w:rPr>
          <w:rFonts w:ascii="Verdana" w:eastAsia="Arial" w:hAnsi="Verdana" w:cs="Arial"/>
          <w:lang w:val="es-ES"/>
        </w:rPr>
        <w:t xml:space="preserve"> decretada en </w:t>
      </w:r>
      <w:r>
        <w:rPr>
          <w:rFonts w:ascii="Verdana" w:eastAsia="Arial" w:hAnsi="Verdana" w:cs="Arial"/>
          <w:lang w:val="es-ES"/>
        </w:rPr>
        <w:t>providencias</w:t>
      </w:r>
      <w:r w:rsidRPr="004676D1">
        <w:rPr>
          <w:rFonts w:ascii="Verdana" w:eastAsia="Arial" w:hAnsi="Verdana" w:cs="Arial"/>
          <w:lang w:val="es-ES"/>
        </w:rPr>
        <w:t xml:space="preserve"> del </w:t>
      </w:r>
      <w:r w:rsidRPr="001A3A83">
        <w:rPr>
          <w:rFonts w:ascii="Verdana" w:eastAsia="Arial" w:hAnsi="Verdana" w:cs="Arial"/>
          <w:lang w:val="es-ES"/>
        </w:rPr>
        <w:t>23 de noviembre de 2023</w:t>
      </w:r>
      <w:r>
        <w:rPr>
          <w:rFonts w:ascii="Verdana" w:eastAsia="Arial" w:hAnsi="Verdana" w:cs="Arial"/>
          <w:lang w:val="es-ES"/>
        </w:rPr>
        <w:t xml:space="preserve"> y </w:t>
      </w:r>
      <w:r w:rsidRPr="001A3A83">
        <w:rPr>
          <w:rFonts w:ascii="Verdana" w:eastAsia="Arial" w:hAnsi="Verdana" w:cs="Arial"/>
          <w:lang w:val="es-ES"/>
        </w:rPr>
        <w:t>16 de septiembre de 2024</w:t>
      </w:r>
      <w:r w:rsidRPr="004676D1">
        <w:rPr>
          <w:rFonts w:ascii="Verdana" w:eastAsia="Arial" w:hAnsi="Verdana" w:cs="Arial"/>
          <w:lang w:val="es-ES"/>
        </w:rPr>
        <w:t xml:space="preserve"> por la Subsección </w:t>
      </w:r>
      <w:r>
        <w:rPr>
          <w:rFonts w:ascii="Verdana" w:eastAsia="Arial" w:hAnsi="Verdana" w:cs="Arial"/>
          <w:lang w:val="es-ES"/>
        </w:rPr>
        <w:t>B</w:t>
      </w:r>
      <w:r w:rsidRPr="004676D1">
        <w:rPr>
          <w:rFonts w:ascii="Verdana" w:eastAsia="Arial" w:hAnsi="Verdana" w:cs="Arial"/>
          <w:lang w:val="es-ES"/>
        </w:rPr>
        <w:t xml:space="preserve"> de la Sección Tercera del Consejo de Estado. En la </w:t>
      </w:r>
      <w:r>
        <w:rPr>
          <w:rFonts w:ascii="Verdana" w:eastAsia="Arial" w:hAnsi="Verdana" w:cs="Arial"/>
          <w:lang w:val="es-ES"/>
        </w:rPr>
        <w:t xml:space="preserve">última providencia, en la </w:t>
      </w:r>
      <w:r w:rsidRPr="004676D1">
        <w:rPr>
          <w:rFonts w:ascii="Verdana" w:eastAsia="Arial" w:hAnsi="Verdana" w:cs="Arial"/>
          <w:lang w:val="es-ES"/>
        </w:rPr>
        <w:t xml:space="preserve">motivación se alude a un vicio en la competencia comoquiera que: </w:t>
      </w:r>
    </w:p>
    <w:p w14:paraId="06C69708" w14:textId="77777777" w:rsidR="004A5DD1" w:rsidRPr="00373AD7" w:rsidRDefault="004A5DD1" w:rsidP="004A5DD1">
      <w:pPr>
        <w:widowControl w:val="0"/>
        <w:autoSpaceDE w:val="0"/>
        <w:autoSpaceDN w:val="0"/>
        <w:spacing w:line="240" w:lineRule="auto"/>
        <w:ind w:left="709" w:right="709"/>
        <w:jc w:val="both"/>
        <w:rPr>
          <w:rFonts w:ascii="Verdana" w:hAnsi="Verdana" w:cs="Arial"/>
          <w:color w:val="333333"/>
          <w:sz w:val="20"/>
          <w:szCs w:val="20"/>
          <w:shd w:val="clear" w:color="auto" w:fill="FFFFFF"/>
        </w:rPr>
      </w:pPr>
      <w:r w:rsidRPr="00373AD7">
        <w:rPr>
          <w:rFonts w:ascii="Verdana" w:eastAsia="Arial" w:hAnsi="Verdana" w:cs="Arial"/>
          <w:sz w:val="20"/>
          <w:szCs w:val="20"/>
        </w:rPr>
        <w:t>“</w:t>
      </w:r>
      <w:r w:rsidRPr="00373AD7">
        <w:rPr>
          <w:rFonts w:ascii="Verdana" w:hAnsi="Verdana" w:cs="Arial"/>
          <w:color w:val="333333"/>
          <w:sz w:val="20"/>
          <w:szCs w:val="20"/>
          <w:shd w:val="clear" w:color="auto" w:fill="FFFFFF"/>
        </w:rPr>
        <w:t xml:space="preserve">[…] Se hace necesario precisar si el Departamento Administrativo de la Función Pública y la Escuela Superior de Administración Pública transgredieron la competencia de legislador al establecer un término máximo de duración del contrato de prestación de servicios. En ese sentido, y conforme con el inciso final del artículo 150 de la Constitución Política, es competencia del Congreso de la República expedir el Estatuto General de Contratación de la “Administración Pública y en especial de la administración nacional”. Por su parte, la Ley 80 de 1993 que desarrolló ese mandato Constitucional, en su artículo 32 estableció “los contratos de prestación de servicios se deben celebrar por el término estrictamente indispensable para que el contratista cumpla a cabalidad el objeto del contrato y las obligaciones que de él se derivan, sin perjuicio de las prórrogas excepcionales que puedan acordarse para garantizar su cumplimiento, sin prescribir un periodo específico de duración máxima”. Adicionalmente, el Consejo de Estado ha analizado diferentes aspectos de la ley 80 de 1993. Específicamente en lo atinente a la temporalidad del contrato de prestación de servicio ha indicado que este debe ser el que se estipule en cada contrato según las características del mismo. Por lo </w:t>
      </w:r>
      <w:r w:rsidRPr="00373AD7">
        <w:rPr>
          <w:rFonts w:ascii="Verdana" w:hAnsi="Verdana" w:cs="Arial"/>
          <w:color w:val="333333"/>
          <w:sz w:val="20"/>
          <w:szCs w:val="20"/>
          <w:shd w:val="clear" w:color="auto" w:fill="FFFFFF"/>
        </w:rPr>
        <w:lastRenderedPageBreak/>
        <w:t>anterior, se observa que, mediante la Circular 100-005-2022, el Departamento Administrativo de la Función Pública y la Escuela Superior de Administración Pública pudieron obrar en desconocimiento de lo dispuesto en el inciso final del artículo 150 de la Constitución Política y de la Ley 80 de 1993. Lo anterior, porque por una vía que no es legal se ordenó cumplir con una limitación en el término de duración de los contratos de prestación de servicios, otorgándoles a estos 4 meses para la ejecución de la finalidad del contrato, término que, en principio, no está en la ley. Para el despacho, con la expedición de esta circular, las entidades demandadas podrían desconocer la realidad contractual comoquiera que deben adecuar siempre, sin importar las circunstancias, los contratos al término definido en la circular. Finalmente, se debe destacar que, aunque de forma preliminar, al pronunciarse sobre la medida cautelar, las entidades reconocieron que no les competía limitar el término de duración de los contratos de prestación de servicios y de apoyo a la gestión, en realidad ese es el efecto que produce la circular.”</w:t>
      </w:r>
      <w:r w:rsidRPr="00373AD7">
        <w:rPr>
          <w:rStyle w:val="Refdenotaalpie"/>
          <w:rFonts w:ascii="Verdana" w:hAnsi="Verdana" w:cs="Arial"/>
          <w:color w:val="333333"/>
          <w:sz w:val="20"/>
          <w:szCs w:val="20"/>
          <w:shd w:val="clear" w:color="auto" w:fill="FFFFFF"/>
        </w:rPr>
        <w:footnoteReference w:id="15"/>
      </w:r>
    </w:p>
    <w:p w14:paraId="0B9CC009" w14:textId="77777777" w:rsidR="004A5DD1" w:rsidRPr="008A301C" w:rsidRDefault="004A5DD1" w:rsidP="004A5DD1">
      <w:pPr>
        <w:widowControl w:val="0"/>
        <w:autoSpaceDE w:val="0"/>
        <w:autoSpaceDN w:val="0"/>
        <w:spacing w:after="120" w:line="276" w:lineRule="auto"/>
        <w:jc w:val="both"/>
        <w:rPr>
          <w:rFonts w:ascii="Verdana" w:eastAsia="Arial" w:hAnsi="Verdana" w:cs="Arial"/>
          <w:lang w:val="es-ES"/>
        </w:rPr>
      </w:pPr>
      <w:r w:rsidRPr="004676D1">
        <w:rPr>
          <w:rFonts w:ascii="Verdana" w:eastAsia="Arial" w:hAnsi="Verdana" w:cs="Arial"/>
          <w:lang w:val="es-ES"/>
        </w:rPr>
        <w:tab/>
      </w:r>
      <w:r w:rsidRPr="004676D1">
        <w:rPr>
          <w:rFonts w:ascii="Verdana" w:eastAsia="Calibri" w:hAnsi="Verdana" w:cs="Arial"/>
        </w:rPr>
        <w:t xml:space="preserve">En atención a lo anterior, resulta claro que </w:t>
      </w:r>
      <w:r>
        <w:rPr>
          <w:rFonts w:ascii="Verdana" w:eastAsia="Calibri" w:hAnsi="Verdana" w:cs="Arial"/>
        </w:rPr>
        <w:t>lo dispuesto</w:t>
      </w:r>
      <w:r w:rsidRPr="004676D1">
        <w:rPr>
          <w:rFonts w:ascii="Verdana" w:eastAsia="Calibri" w:hAnsi="Verdana" w:cs="Arial"/>
        </w:rPr>
        <w:t xml:space="preserve"> en el </w:t>
      </w:r>
      <w:r w:rsidRPr="000416C9">
        <w:rPr>
          <w:rFonts w:ascii="Verdana" w:eastAsia="Calibri" w:hAnsi="Verdana" w:cs="Arial"/>
        </w:rPr>
        <w:t xml:space="preserve">numeral 3 de la Circular Conjunta 100-005 - 2022 </w:t>
      </w:r>
      <w:r w:rsidRPr="004676D1">
        <w:rPr>
          <w:rFonts w:ascii="Verdana" w:eastAsia="Calibri" w:hAnsi="Verdana" w:cs="Arial"/>
        </w:rPr>
        <w:t>no se encuentra hoy vigente, al haber sido en principio suspendid</w:t>
      </w:r>
      <w:r>
        <w:rPr>
          <w:rFonts w:ascii="Verdana" w:eastAsia="Calibri" w:hAnsi="Verdana" w:cs="Arial"/>
        </w:rPr>
        <w:t>o</w:t>
      </w:r>
      <w:r w:rsidRPr="004676D1">
        <w:rPr>
          <w:rFonts w:ascii="Verdana" w:eastAsia="Calibri" w:hAnsi="Verdana" w:cs="Arial"/>
        </w:rPr>
        <w:t xml:space="preserve"> su vigencia en sede judicial. Esto necesariamente supone una pérdida de fuerza ejecutoria de lo dispuesto en el numeral </w:t>
      </w:r>
      <w:r>
        <w:rPr>
          <w:rFonts w:ascii="Verdana" w:eastAsia="Calibri" w:hAnsi="Verdana" w:cs="Arial"/>
        </w:rPr>
        <w:t>3</w:t>
      </w:r>
      <w:r w:rsidRPr="004676D1">
        <w:rPr>
          <w:rFonts w:ascii="Verdana" w:eastAsia="Calibri" w:hAnsi="Verdana" w:cs="Arial"/>
        </w:rPr>
        <w:t xml:space="preserve"> de la Circular Conjunta </w:t>
      </w:r>
      <w:r>
        <w:rPr>
          <w:rFonts w:ascii="Verdana" w:eastAsia="Calibri" w:hAnsi="Verdana" w:cs="Arial"/>
        </w:rPr>
        <w:t>citada</w:t>
      </w:r>
      <w:r w:rsidRPr="004676D1">
        <w:rPr>
          <w:rFonts w:ascii="Verdana" w:eastAsia="Calibri" w:hAnsi="Verdana" w:cs="Arial"/>
        </w:rPr>
        <w:t>, de acuerdo con lo dispuesto en los numeral 1 y 2 del artículo 91 del Código de Procedimiento Administrativo y de lo Contencioso Administrativo</w:t>
      </w:r>
      <w:r w:rsidRPr="004676D1">
        <w:rPr>
          <w:rStyle w:val="Refdenotaalpie"/>
          <w:rFonts w:ascii="Verdana" w:eastAsia="Calibri" w:hAnsi="Verdana" w:cs="Arial"/>
        </w:rPr>
        <w:footnoteReference w:id="16"/>
      </w:r>
      <w:r w:rsidRPr="004676D1">
        <w:rPr>
          <w:rFonts w:ascii="Verdana" w:eastAsia="Calibri" w:hAnsi="Verdana" w:cs="Arial"/>
        </w:rPr>
        <w:t xml:space="preserve">. </w:t>
      </w:r>
    </w:p>
    <w:bookmarkEnd w:id="3"/>
    <w:p w14:paraId="177FE09B" w14:textId="77777777" w:rsidR="004A5DD1" w:rsidRPr="008A301C" w:rsidRDefault="004A5DD1" w:rsidP="004A5DD1">
      <w:pPr>
        <w:tabs>
          <w:tab w:val="left" w:pos="709"/>
        </w:tabs>
        <w:spacing w:after="0" w:line="276" w:lineRule="auto"/>
        <w:jc w:val="both"/>
        <w:rPr>
          <w:rFonts w:ascii="Verdana" w:eastAsia="Calibri" w:hAnsi="Verdana" w:cs="Arial"/>
          <w:color w:val="000000" w:themeColor="text1"/>
          <w:lang w:val="es-ES" w:eastAsia="es-ES"/>
        </w:rPr>
      </w:pPr>
      <w:r w:rsidRPr="009F4646">
        <w:rPr>
          <w:rFonts w:ascii="Verdana" w:eastAsia="Calibri" w:hAnsi="Verdana" w:cs="Arial"/>
          <w:color w:val="EE0000"/>
          <w:lang w:eastAsia="es-ES"/>
        </w:rPr>
        <w:tab/>
      </w:r>
      <w:r w:rsidRPr="008A301C">
        <w:rPr>
          <w:rFonts w:ascii="Verdana" w:eastAsia="Calibri" w:hAnsi="Verdana" w:cs="Arial"/>
          <w:bCs/>
          <w:color w:val="000000" w:themeColor="text1"/>
        </w:rPr>
        <w:t xml:space="preserve">Al margen de la explicación precedente debe advertirse que </w:t>
      </w:r>
      <w:r w:rsidRPr="008A301C">
        <w:rPr>
          <w:rStyle w:val="s15"/>
          <w:rFonts w:ascii="Verdana" w:hAnsi="Verdana"/>
          <w:color w:val="000000" w:themeColor="text1"/>
        </w:rPr>
        <w:t>el análisis requerido para resolver problemas específicos en torno a la gestión contractual debe ser realizado por quienes tengan interés en ello, de acuerdo con lo explicado la aclaración preliminar del presente oficio</w:t>
      </w:r>
      <w:r w:rsidRPr="008A301C">
        <w:rPr>
          <w:rFonts w:ascii="Verdana" w:eastAsia="Calibri" w:hAnsi="Verdana" w:cs="Arial"/>
          <w:bCs/>
          <w:color w:val="000000" w:themeColor="text1"/>
        </w:rPr>
        <w:t xml:space="preserve">.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8A301C">
        <w:rPr>
          <w:rFonts w:ascii="Verdana" w:eastAsia="Calibri" w:hAnsi="Verdana" w:cs="Arial"/>
          <w:bCs/>
          <w:color w:val="000000" w:themeColor="text1"/>
        </w:rPr>
        <w:lastRenderedPageBreak/>
        <w:t>correspondiente y, en caso de conflicto, a las autoridades judiciales, fiscales y disciplinarias.</w:t>
      </w:r>
    </w:p>
    <w:p w14:paraId="1FD84ACA" w14:textId="77777777" w:rsidR="004A5DD1" w:rsidRPr="009F4646" w:rsidRDefault="004A5DD1" w:rsidP="004A5DD1">
      <w:pPr>
        <w:spacing w:after="0" w:line="276" w:lineRule="auto"/>
        <w:jc w:val="both"/>
        <w:rPr>
          <w:rFonts w:ascii="Verdana" w:eastAsia="Calibri" w:hAnsi="Verdana" w:cs="Arial"/>
          <w:bCs/>
          <w:color w:val="EE0000"/>
        </w:rPr>
      </w:pPr>
    </w:p>
    <w:bookmarkEnd w:id="1"/>
    <w:bookmarkEnd w:id="2"/>
    <w:p w14:paraId="47B9EEDD" w14:textId="77777777" w:rsidR="004A5DD1" w:rsidRPr="00B73E02" w:rsidRDefault="004A5DD1" w:rsidP="004A5DD1">
      <w:pPr>
        <w:spacing w:after="120" w:line="276" w:lineRule="auto"/>
        <w:jc w:val="both"/>
        <w:rPr>
          <w:rFonts w:ascii="Verdana" w:eastAsia="Century Gothic" w:hAnsi="Verdana" w:cs="Century Gothic"/>
          <w:b/>
          <w:lang w:val="es-ES"/>
        </w:rPr>
      </w:pPr>
      <w:r w:rsidRPr="00B73E02">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A5DD1" w:rsidRPr="009F4646" w14:paraId="44E965C3" w14:textId="77777777" w:rsidTr="004C5339">
        <w:trPr>
          <w:trHeight w:val="870"/>
        </w:trPr>
        <w:tc>
          <w:tcPr>
            <w:tcW w:w="8647" w:type="dxa"/>
          </w:tcPr>
          <w:p w14:paraId="430D7910" w14:textId="77777777" w:rsidR="004A5DD1" w:rsidRDefault="004A5DD1" w:rsidP="004C5339">
            <w:pPr>
              <w:pStyle w:val="Prrafodelista"/>
              <w:widowControl w:val="0"/>
              <w:numPr>
                <w:ilvl w:val="0"/>
                <w:numId w:val="16"/>
              </w:numPr>
              <w:autoSpaceDE w:val="0"/>
              <w:autoSpaceDN w:val="0"/>
              <w:spacing w:after="120" w:line="276" w:lineRule="auto"/>
              <w:jc w:val="both"/>
              <w:rPr>
                <w:rFonts w:ascii="Verdana" w:hAnsi="Verdana" w:cs="Arial"/>
              </w:rPr>
            </w:pPr>
            <w:r>
              <w:rPr>
                <w:rFonts w:ascii="Verdana" w:hAnsi="Verdana" w:cs="Arial"/>
              </w:rPr>
              <w:t>Ley 80 de 1993. Artículo 32 y 40.</w:t>
            </w:r>
          </w:p>
          <w:p w14:paraId="76EA406A" w14:textId="77777777" w:rsidR="004A5DD1" w:rsidRDefault="004A5DD1" w:rsidP="004C5339">
            <w:pPr>
              <w:pStyle w:val="Prrafodelista"/>
              <w:widowControl w:val="0"/>
              <w:numPr>
                <w:ilvl w:val="0"/>
                <w:numId w:val="16"/>
              </w:numPr>
              <w:autoSpaceDE w:val="0"/>
              <w:autoSpaceDN w:val="0"/>
              <w:spacing w:after="120" w:line="276" w:lineRule="auto"/>
              <w:jc w:val="both"/>
              <w:rPr>
                <w:rFonts w:ascii="Verdana" w:hAnsi="Verdana" w:cs="Arial"/>
              </w:rPr>
            </w:pPr>
            <w:r>
              <w:rPr>
                <w:rFonts w:ascii="Verdana" w:hAnsi="Verdana" w:cs="Arial"/>
              </w:rPr>
              <w:t>Ley 1150 de 2007. Artículo 2.</w:t>
            </w:r>
          </w:p>
          <w:p w14:paraId="13B6080A" w14:textId="77777777" w:rsidR="004A5DD1" w:rsidRPr="002935D8" w:rsidRDefault="004A5DD1" w:rsidP="004C5339">
            <w:pPr>
              <w:pStyle w:val="Prrafodelista"/>
              <w:widowControl w:val="0"/>
              <w:numPr>
                <w:ilvl w:val="0"/>
                <w:numId w:val="16"/>
              </w:numPr>
              <w:autoSpaceDE w:val="0"/>
              <w:autoSpaceDN w:val="0"/>
              <w:spacing w:after="120" w:line="276" w:lineRule="auto"/>
              <w:jc w:val="both"/>
              <w:rPr>
                <w:rFonts w:ascii="Verdana" w:hAnsi="Verdana" w:cs="Arial"/>
              </w:rPr>
            </w:pPr>
            <w:r>
              <w:rPr>
                <w:rFonts w:ascii="Verdana" w:hAnsi="Verdana" w:cs="Arial"/>
              </w:rPr>
              <w:t>Ley 1437 de 2011. Artículo 91.</w:t>
            </w:r>
          </w:p>
          <w:p w14:paraId="495F1FE7" w14:textId="77777777" w:rsidR="004A5DD1" w:rsidRDefault="004A5DD1" w:rsidP="004C5339">
            <w:pPr>
              <w:pStyle w:val="Prrafodelista"/>
              <w:widowControl w:val="0"/>
              <w:numPr>
                <w:ilvl w:val="0"/>
                <w:numId w:val="16"/>
              </w:numPr>
              <w:autoSpaceDE w:val="0"/>
              <w:autoSpaceDN w:val="0"/>
              <w:spacing w:after="120" w:line="276" w:lineRule="auto"/>
              <w:jc w:val="both"/>
              <w:rPr>
                <w:rFonts w:ascii="Verdana" w:hAnsi="Verdana" w:cs="Arial"/>
              </w:rPr>
            </w:pPr>
            <w:r>
              <w:rPr>
                <w:rFonts w:ascii="Verdana" w:hAnsi="Verdana" w:cs="Arial"/>
              </w:rPr>
              <w:t>Ley 1955 de 2015. Artículo 244.</w:t>
            </w:r>
          </w:p>
          <w:p w14:paraId="6157CA91" w14:textId="77777777" w:rsidR="004A5DD1" w:rsidRDefault="004A5DD1" w:rsidP="004C5339">
            <w:pPr>
              <w:pStyle w:val="Prrafodelista"/>
              <w:widowControl w:val="0"/>
              <w:numPr>
                <w:ilvl w:val="0"/>
                <w:numId w:val="16"/>
              </w:numPr>
              <w:autoSpaceDE w:val="0"/>
              <w:autoSpaceDN w:val="0"/>
              <w:spacing w:after="120" w:line="276" w:lineRule="auto"/>
              <w:jc w:val="both"/>
              <w:rPr>
                <w:rFonts w:ascii="Verdana" w:hAnsi="Verdana" w:cs="Arial"/>
              </w:rPr>
            </w:pPr>
            <w:r>
              <w:rPr>
                <w:rFonts w:ascii="Verdana" w:hAnsi="Verdana" w:cs="Arial"/>
              </w:rPr>
              <w:t>Decreto 1082 de 2015. Artículo 2.2.1.2.1.4.1, 2.2.1.2.1.4.5, 2.2.1.2.1.4.9.</w:t>
            </w:r>
          </w:p>
          <w:p w14:paraId="0002FADD" w14:textId="77777777" w:rsidR="004A5DD1" w:rsidRPr="005408F8" w:rsidRDefault="004A5DD1" w:rsidP="004C5339">
            <w:pPr>
              <w:pStyle w:val="Prrafodelista"/>
              <w:widowControl w:val="0"/>
              <w:numPr>
                <w:ilvl w:val="0"/>
                <w:numId w:val="16"/>
              </w:numPr>
              <w:autoSpaceDE w:val="0"/>
              <w:autoSpaceDN w:val="0"/>
              <w:spacing w:after="120" w:line="276" w:lineRule="auto"/>
              <w:jc w:val="both"/>
              <w:rPr>
                <w:rFonts w:ascii="Verdana" w:hAnsi="Verdana" w:cs="Arial"/>
                <w:sz w:val="32"/>
                <w:szCs w:val="32"/>
              </w:rPr>
            </w:pPr>
            <w:r w:rsidRPr="00373AD7">
              <w:rPr>
                <w:rFonts w:ascii="Verdana" w:hAnsi="Verdana" w:cs="Arial"/>
                <w:color w:val="000000"/>
              </w:rPr>
              <w:t>Corte Constitucional. Sentencia C-154 de 1997. Magistrado Ponente: Hernando Herrera Vergara.</w:t>
            </w:r>
          </w:p>
          <w:p w14:paraId="0D5EB021" w14:textId="77777777" w:rsidR="004A5DD1" w:rsidRPr="005408F8" w:rsidRDefault="004A5DD1" w:rsidP="004C5339">
            <w:pPr>
              <w:pStyle w:val="Prrafodelista"/>
              <w:widowControl w:val="0"/>
              <w:numPr>
                <w:ilvl w:val="0"/>
                <w:numId w:val="16"/>
              </w:numPr>
              <w:autoSpaceDE w:val="0"/>
              <w:autoSpaceDN w:val="0"/>
              <w:spacing w:after="120" w:line="276" w:lineRule="auto"/>
              <w:jc w:val="both"/>
              <w:rPr>
                <w:rFonts w:ascii="Verdana" w:hAnsi="Verdana" w:cs="Arial"/>
                <w:sz w:val="44"/>
                <w:szCs w:val="44"/>
              </w:rPr>
            </w:pPr>
            <w:r w:rsidRPr="005408F8">
              <w:rPr>
                <w:rFonts w:ascii="Verdana" w:hAnsi="Verdana" w:cs="Arial"/>
                <w:color w:val="000000"/>
              </w:rPr>
              <w:t>Consejo de Estado. Sección Tercera. Subsección C. Sentencia del 2 de diciembre de 2013. Exp. 41719. Consejero Ponente: Jaime Orlando Santofimio Gamboa.</w:t>
            </w:r>
          </w:p>
          <w:p w14:paraId="04978C2E" w14:textId="77777777" w:rsidR="004A5DD1" w:rsidRPr="001E2C05" w:rsidRDefault="004A5DD1" w:rsidP="004C5339">
            <w:pPr>
              <w:pStyle w:val="Prrafodelista"/>
              <w:widowControl w:val="0"/>
              <w:numPr>
                <w:ilvl w:val="0"/>
                <w:numId w:val="16"/>
              </w:numPr>
              <w:autoSpaceDE w:val="0"/>
              <w:autoSpaceDN w:val="0"/>
              <w:spacing w:after="120" w:line="276" w:lineRule="auto"/>
              <w:jc w:val="both"/>
              <w:rPr>
                <w:rFonts w:ascii="Verdana" w:hAnsi="Verdana" w:cs="Arial"/>
              </w:rPr>
            </w:pPr>
            <w:r w:rsidRPr="008C6D04">
              <w:rPr>
                <w:rFonts w:ascii="Verdana" w:hAnsi="Verdana" w:cs="Arial"/>
              </w:rPr>
              <w:t>Consejo de Estado. Sección Segunda. Sentencia de Unificación Jurisprudencial SUJ-025-CE-S2-2021. Radicado (1317-2016)</w:t>
            </w:r>
            <w:r>
              <w:rPr>
                <w:rFonts w:ascii="Verdana" w:hAnsi="Verdana" w:cs="Arial"/>
              </w:rPr>
              <w:t>.</w:t>
            </w:r>
          </w:p>
        </w:tc>
      </w:tr>
    </w:tbl>
    <w:p w14:paraId="48F1D001" w14:textId="77777777" w:rsidR="004A5DD1" w:rsidRPr="002B5409" w:rsidRDefault="004A5DD1" w:rsidP="004A5DD1">
      <w:pPr>
        <w:widowControl w:val="0"/>
        <w:autoSpaceDE w:val="0"/>
        <w:autoSpaceDN w:val="0"/>
        <w:spacing w:after="0" w:line="276" w:lineRule="auto"/>
        <w:jc w:val="both"/>
        <w:rPr>
          <w:rFonts w:ascii="Verdana" w:hAnsi="Verdana" w:cs="Arial"/>
          <w:lang w:val="es-ES"/>
        </w:rPr>
      </w:pPr>
    </w:p>
    <w:p w14:paraId="7FC59691" w14:textId="77777777" w:rsidR="004A5DD1" w:rsidRPr="002B5409" w:rsidRDefault="004A5DD1" w:rsidP="004A5DD1">
      <w:pPr>
        <w:tabs>
          <w:tab w:val="left" w:pos="142"/>
          <w:tab w:val="left" w:pos="284"/>
        </w:tabs>
        <w:spacing w:after="0" w:line="276" w:lineRule="auto"/>
        <w:jc w:val="both"/>
        <w:rPr>
          <w:rFonts w:ascii="Verdana" w:eastAsia="Century Gothic" w:hAnsi="Verdana" w:cs="Century Gothic"/>
          <w:b/>
          <w:lang w:val="es-ES"/>
        </w:rPr>
      </w:pPr>
      <w:r w:rsidRPr="002B5409">
        <w:rPr>
          <w:rFonts w:ascii="Verdana" w:eastAsia="Century Gothic" w:hAnsi="Verdana" w:cs="Century Gothic"/>
          <w:b/>
          <w:lang w:val="es-ES"/>
        </w:rPr>
        <w:t>5. Doctrina de la Agencia Nacional de Contratación Pública:</w:t>
      </w:r>
    </w:p>
    <w:p w14:paraId="5A2E4192" w14:textId="77777777" w:rsidR="004A5DD1" w:rsidRPr="009F4646" w:rsidRDefault="004A5DD1" w:rsidP="004A5DD1">
      <w:pPr>
        <w:widowControl w:val="0"/>
        <w:autoSpaceDE w:val="0"/>
        <w:autoSpaceDN w:val="0"/>
        <w:spacing w:after="0" w:line="276" w:lineRule="auto"/>
        <w:jc w:val="both"/>
        <w:rPr>
          <w:rFonts w:ascii="Verdana" w:hAnsi="Verdana" w:cs="Arial"/>
          <w:color w:val="EE0000"/>
          <w:lang w:val="es-ES"/>
        </w:rPr>
      </w:pPr>
    </w:p>
    <w:p w14:paraId="3B96527C" w14:textId="77777777" w:rsidR="004A5DD1" w:rsidRDefault="004A5DD1" w:rsidP="004A5DD1">
      <w:pPr>
        <w:spacing w:after="0" w:line="276" w:lineRule="auto"/>
        <w:jc w:val="both"/>
        <w:rPr>
          <w:rFonts w:ascii="Verdana" w:hAnsi="Verdana" w:cs="Arial"/>
          <w:color w:val="EE0000"/>
          <w:shd w:val="clear" w:color="auto" w:fill="FFFFFF"/>
          <w:lang w:val="es-ES"/>
        </w:rPr>
      </w:pPr>
      <w:r w:rsidRPr="006903C3">
        <w:rPr>
          <w:rFonts w:ascii="Verdana" w:eastAsia="Calibri" w:hAnsi="Verdana" w:cs="Arial"/>
          <w:lang w:val="es-ES"/>
        </w:rPr>
        <w:t xml:space="preserve">La Agencia Nacional de Contratación Pública – Colombia Compra Eficiente se ha referido </w:t>
      </w:r>
      <w:r w:rsidRPr="006903C3">
        <w:rPr>
          <w:rFonts w:ascii="Verdana" w:hAnsi="Verdana" w:cs="Arial"/>
          <w:shd w:val="clear" w:color="auto" w:fill="FFFFFF"/>
          <w:lang w:val="es-ES"/>
        </w:rPr>
        <w:t xml:space="preserve">sobre </w:t>
      </w:r>
      <w:r w:rsidRPr="009C2CE9">
        <w:rPr>
          <w:rFonts w:ascii="Verdana" w:hAnsi="Verdana" w:cs="Arial"/>
          <w:shd w:val="clear" w:color="auto" w:fill="FFFFFF"/>
          <w:lang w:val="es-ES"/>
        </w:rPr>
        <w:t xml:space="preserve">los contratos de prestación de servicios, así como los requisitos para su </w:t>
      </w:r>
      <w:r w:rsidRPr="004E5317">
        <w:rPr>
          <w:rFonts w:ascii="Verdana" w:hAnsi="Verdana" w:cs="Arial"/>
          <w:shd w:val="clear" w:color="auto" w:fill="FFFFFF"/>
          <w:lang w:val="es-ES"/>
        </w:rPr>
        <w:t xml:space="preserve">celebración en los conceptos con radicado C-414 </w:t>
      </w:r>
      <w:r w:rsidRPr="009C2CE9">
        <w:rPr>
          <w:rFonts w:ascii="Verdana" w:hAnsi="Verdana" w:cs="Arial"/>
          <w:shd w:val="clear" w:color="auto" w:fill="FFFFFF"/>
          <w:lang w:val="es-ES"/>
        </w:rPr>
        <w:t>del 30 de junio de 2020,C-661 del 17 de noviembre de 2020 C−685 del 18 de diciembre de 2020, C-004 del 12 de febrero de 2021, C</w:t>
      </w:r>
      <w:r>
        <w:rPr>
          <w:rFonts w:ascii="Verdana" w:hAnsi="Verdana" w:cs="Arial"/>
          <w:shd w:val="clear" w:color="auto" w:fill="FFFFFF"/>
          <w:lang w:val="es-ES"/>
        </w:rPr>
        <w:t>-</w:t>
      </w:r>
      <w:r w:rsidRPr="009C2CE9">
        <w:rPr>
          <w:rFonts w:ascii="Verdana" w:hAnsi="Verdana" w:cs="Arial"/>
          <w:shd w:val="clear" w:color="auto" w:fill="FFFFFF"/>
          <w:lang w:val="es-ES"/>
        </w:rPr>
        <w:t>106 del 7 de abril de 2021, C-181 del 07 de abril de 2022, C-214 del 22 de abril de 2022</w:t>
      </w:r>
      <w:r>
        <w:rPr>
          <w:rFonts w:ascii="Verdana" w:hAnsi="Verdana" w:cs="Arial"/>
          <w:shd w:val="clear" w:color="auto" w:fill="FFFFFF"/>
          <w:lang w:val="es-ES"/>
        </w:rPr>
        <w:t xml:space="preserve">, </w:t>
      </w:r>
      <w:r w:rsidRPr="009C2CE9">
        <w:rPr>
          <w:rFonts w:ascii="Verdana" w:hAnsi="Verdana" w:cs="Arial"/>
          <w:shd w:val="clear" w:color="auto" w:fill="FFFFFF"/>
          <w:lang w:val="es-ES"/>
        </w:rPr>
        <w:t>C-491 de 01 de agosto de 2022, C-008 del 20 de febrero de 2023, C-009 del 20 de febrero de 2023, C-286 del 2023, C-351 del 30 de agosto de 2024</w:t>
      </w:r>
      <w:r>
        <w:rPr>
          <w:rFonts w:ascii="Verdana" w:hAnsi="Verdana" w:cs="Arial"/>
          <w:shd w:val="clear" w:color="auto" w:fill="FFFFFF"/>
          <w:lang w:val="es-ES"/>
        </w:rPr>
        <w:t xml:space="preserve">, </w:t>
      </w:r>
      <w:r w:rsidRPr="009C2CE9">
        <w:rPr>
          <w:rFonts w:ascii="Verdana" w:hAnsi="Verdana" w:cs="Arial"/>
          <w:shd w:val="clear" w:color="auto" w:fill="FFFFFF"/>
          <w:lang w:val="es-ES"/>
        </w:rPr>
        <w:t xml:space="preserve">C-372 del 26 de Agosto 2024, C-904 del 9 de diciembre de 2024 </w:t>
      </w:r>
      <w:r>
        <w:rPr>
          <w:rFonts w:ascii="Verdana" w:hAnsi="Verdana" w:cs="Arial"/>
          <w:shd w:val="clear" w:color="auto" w:fill="FFFFFF"/>
          <w:lang w:val="es-ES"/>
        </w:rPr>
        <w:t xml:space="preserve">, </w:t>
      </w:r>
      <w:r w:rsidRPr="009C2CE9">
        <w:rPr>
          <w:rFonts w:ascii="Verdana" w:hAnsi="Verdana" w:cs="Arial"/>
          <w:shd w:val="clear" w:color="auto" w:fill="FFFFFF"/>
          <w:lang w:val="es-ES"/>
        </w:rPr>
        <w:t>C-363 del 15 de abril de 2025</w:t>
      </w:r>
      <w:r>
        <w:rPr>
          <w:rFonts w:ascii="Verdana" w:hAnsi="Verdana" w:cs="Arial"/>
          <w:shd w:val="clear" w:color="auto" w:fill="FFFFFF"/>
          <w:lang w:val="es-ES"/>
        </w:rPr>
        <w:t xml:space="preserve">, C-652 del 04 de julio de 2025 y C-706 del 15 de julio de 2025, </w:t>
      </w:r>
      <w:r w:rsidRPr="009C2CE9">
        <w:rPr>
          <w:rFonts w:ascii="Verdana" w:hAnsi="Verdana" w:cs="Arial"/>
          <w:shd w:val="clear" w:color="auto" w:fill="FFFFFF"/>
          <w:lang w:val="es-ES"/>
        </w:rPr>
        <w:t>entre otros</w:t>
      </w:r>
      <w:r w:rsidRPr="009C2CE9">
        <w:rPr>
          <w:rFonts w:ascii="Verdana" w:eastAsia="Aptos" w:hAnsi="Verdana" w:cs="Segoe UI"/>
          <w:kern w:val="2"/>
          <w14:ligatures w14:val="standardContextual"/>
        </w:rPr>
        <w:t>.</w:t>
      </w:r>
    </w:p>
    <w:p w14:paraId="10E72DBA" w14:textId="77777777" w:rsidR="004A5DD1" w:rsidRPr="002B5409" w:rsidRDefault="004A5DD1" w:rsidP="004A5DD1">
      <w:pPr>
        <w:spacing w:after="0" w:line="276" w:lineRule="auto"/>
        <w:jc w:val="both"/>
        <w:rPr>
          <w:rFonts w:ascii="Verdana" w:hAnsi="Verdana" w:cs="Arial"/>
          <w:shd w:val="clear" w:color="auto" w:fill="FFFFFF"/>
          <w:lang w:val="es-ES"/>
        </w:rPr>
      </w:pPr>
    </w:p>
    <w:p w14:paraId="0FD1E169" w14:textId="77777777" w:rsidR="004A5DD1" w:rsidRPr="002B5409" w:rsidRDefault="004A5DD1" w:rsidP="004A5DD1">
      <w:pPr>
        <w:spacing w:after="0"/>
        <w:jc w:val="both"/>
        <w:rPr>
          <w:rFonts w:ascii="Verdana" w:hAnsi="Verdana"/>
          <w:color w:val="0000FF"/>
          <w:lang w:val="es-ES"/>
        </w:rPr>
      </w:pPr>
      <w:r w:rsidRPr="002B5409">
        <w:rPr>
          <w:rFonts w:ascii="Verdana" w:hAnsi="Verdana" w:cs="Arial"/>
          <w:shd w:val="clear" w:color="auto" w:fill="FFFFFF"/>
          <w:lang w:val="es-ES"/>
        </w:rPr>
        <w:t>Estos</w:t>
      </w:r>
      <w:r w:rsidRPr="002B5409">
        <w:rPr>
          <w:rFonts w:ascii="Verdana" w:hAnsi="Verdana"/>
          <w:lang w:val="es-ES"/>
        </w:rPr>
        <w:t xml:space="preserve"> y otros se encuentran disponibles para consulta en el Sistema de relatoría de la Agencia, al cual se puede acceder a través del siguiente enlace:</w:t>
      </w:r>
      <w:r w:rsidRPr="002B5409">
        <w:rPr>
          <w:rFonts w:ascii="Verdana" w:hAnsi="Verdana" w:cs="Arial"/>
          <w:shd w:val="clear" w:color="auto" w:fill="FFFFFF"/>
          <w:lang w:val="es-ES"/>
        </w:rPr>
        <w:t xml:space="preserve"> </w:t>
      </w:r>
      <w:hyperlink r:id="rId12" w:history="1">
        <w:r w:rsidRPr="002B5409">
          <w:rPr>
            <w:rStyle w:val="Hipervnculo"/>
            <w:rFonts w:ascii="Verdana" w:hAnsi="Verdana" w:cs="Arial"/>
            <w:shd w:val="clear" w:color="auto" w:fill="FFFFFF"/>
            <w:lang w:val="es-ES"/>
          </w:rPr>
          <w:t>https://relatoria.colombiacompra.gov.co/busqueda/conceptos</w:t>
        </w:r>
      </w:hyperlink>
    </w:p>
    <w:p w14:paraId="01C12C66" w14:textId="77777777" w:rsidR="004A5DD1" w:rsidRPr="002B5409" w:rsidRDefault="004A5DD1" w:rsidP="004A5DD1">
      <w:pPr>
        <w:spacing w:after="0"/>
        <w:jc w:val="both"/>
        <w:rPr>
          <w:rFonts w:ascii="Verdana" w:hAnsi="Verdana" w:cs="Arial"/>
          <w:shd w:val="clear" w:color="auto" w:fill="FFFFFF"/>
          <w:lang w:val="es-ES"/>
        </w:rPr>
      </w:pPr>
    </w:p>
    <w:p w14:paraId="6F3FBB0B" w14:textId="77777777" w:rsidR="004A5DD1" w:rsidRPr="002B5409" w:rsidRDefault="004A5DD1" w:rsidP="004A5DD1">
      <w:pPr>
        <w:spacing w:after="0"/>
        <w:jc w:val="both"/>
        <w:rPr>
          <w:rFonts w:ascii="Verdana" w:hAnsi="Verdana" w:cs="Arial"/>
          <w:shd w:val="clear" w:color="auto" w:fill="FFFFFF"/>
        </w:rPr>
      </w:pPr>
    </w:p>
    <w:p w14:paraId="7AF7792C" w14:textId="77777777" w:rsidR="004A5DD1" w:rsidRPr="002B5409" w:rsidRDefault="004A5DD1" w:rsidP="004A5DD1">
      <w:pPr>
        <w:spacing w:after="0"/>
        <w:jc w:val="both"/>
        <w:rPr>
          <w:rFonts w:ascii="Verdana" w:hAnsi="Verdana" w:cs="Arial"/>
          <w:shd w:val="clear" w:color="auto" w:fill="FFFFFF"/>
        </w:rPr>
      </w:pPr>
      <w:r w:rsidRPr="002B5409">
        <w:rPr>
          <w:rFonts w:ascii="Verdana" w:hAnsi="Verdana" w:cs="Arial"/>
          <w:shd w:val="clear" w:color="auto" w:fill="FFFFFF"/>
        </w:rPr>
        <w:lastRenderedPageBreak/>
        <w:t xml:space="preserve">Por último, lo invitamos a seguirnos en las redes sociales en las cuales se difunde información institucional: </w:t>
      </w:r>
    </w:p>
    <w:p w14:paraId="02F087A5" w14:textId="77777777" w:rsidR="004A5DD1" w:rsidRPr="002B5409" w:rsidRDefault="004A5DD1" w:rsidP="004A5DD1">
      <w:pPr>
        <w:spacing w:after="0"/>
        <w:jc w:val="both"/>
        <w:rPr>
          <w:rFonts w:ascii="Verdana" w:hAnsi="Verdana" w:cs="Arial"/>
          <w:shd w:val="clear" w:color="auto" w:fill="FFFFFF"/>
        </w:rPr>
      </w:pPr>
    </w:p>
    <w:p w14:paraId="609085C1" w14:textId="77777777" w:rsidR="004A5DD1" w:rsidRPr="002B5409" w:rsidRDefault="004A5DD1" w:rsidP="004A5DD1">
      <w:pPr>
        <w:spacing w:after="0"/>
        <w:jc w:val="both"/>
        <w:rPr>
          <w:rFonts w:ascii="Verdana" w:hAnsi="Verdana" w:cs="Arial"/>
          <w:shd w:val="clear" w:color="auto" w:fill="FFFFFF"/>
        </w:rPr>
      </w:pPr>
      <w:r w:rsidRPr="002B5409">
        <w:rPr>
          <w:rFonts w:ascii="Verdana" w:hAnsi="Verdana" w:cs="Arial"/>
          <w:shd w:val="clear" w:color="auto" w:fill="FFFFFF"/>
        </w:rPr>
        <w:t xml:space="preserve">Twitter: </w:t>
      </w:r>
      <w:r w:rsidRPr="002B5409">
        <w:rPr>
          <w:rStyle w:val="Hipervnculo"/>
          <w:rFonts w:ascii="Verdana" w:hAnsi="Verdana"/>
          <w:lang w:val="es-ES"/>
        </w:rPr>
        <w:t xml:space="preserve">@colombiacompra </w:t>
      </w:r>
    </w:p>
    <w:p w14:paraId="23681B87" w14:textId="77777777" w:rsidR="004A5DD1" w:rsidRPr="002B5409" w:rsidRDefault="004A5DD1" w:rsidP="004A5DD1">
      <w:pPr>
        <w:spacing w:after="0"/>
        <w:jc w:val="both"/>
        <w:rPr>
          <w:rFonts w:ascii="Verdana" w:hAnsi="Verdana" w:cs="Arial"/>
          <w:shd w:val="clear" w:color="auto" w:fill="FFFFFF"/>
        </w:rPr>
      </w:pPr>
      <w:r w:rsidRPr="002B5409">
        <w:rPr>
          <w:rFonts w:ascii="Verdana" w:hAnsi="Verdana" w:cs="Arial"/>
          <w:shd w:val="clear" w:color="auto" w:fill="FFFFFF"/>
        </w:rPr>
        <w:t>Facebook:</w:t>
      </w:r>
      <w:r w:rsidRPr="002B5409">
        <w:rPr>
          <w:rStyle w:val="Hipervnculo"/>
          <w:rFonts w:ascii="Verdana" w:hAnsi="Verdana"/>
          <w:color w:val="auto"/>
          <w:lang w:val="es-ES"/>
        </w:rPr>
        <w:t xml:space="preserve"> </w:t>
      </w:r>
      <w:r w:rsidRPr="002B5409">
        <w:rPr>
          <w:rStyle w:val="Hipervnculo"/>
          <w:rFonts w:ascii="Verdana" w:hAnsi="Verdana"/>
          <w:lang w:val="es-ES"/>
        </w:rPr>
        <w:t>ColombiaCompraEficiente</w:t>
      </w:r>
    </w:p>
    <w:p w14:paraId="6BF4CF6D" w14:textId="77777777" w:rsidR="004A5DD1" w:rsidRPr="002B5409" w:rsidRDefault="004A5DD1" w:rsidP="004A5DD1">
      <w:pPr>
        <w:spacing w:after="0"/>
        <w:jc w:val="both"/>
        <w:rPr>
          <w:rFonts w:ascii="Verdana" w:hAnsi="Verdana" w:cs="Arial"/>
          <w:shd w:val="clear" w:color="auto" w:fill="FFFFFF"/>
        </w:rPr>
      </w:pPr>
      <w:r w:rsidRPr="002B5409">
        <w:rPr>
          <w:rFonts w:ascii="Verdana" w:hAnsi="Verdana" w:cs="Arial"/>
          <w:shd w:val="clear" w:color="auto" w:fill="FFFFFF"/>
        </w:rPr>
        <w:t xml:space="preserve">LinkedIn: </w:t>
      </w:r>
      <w:r w:rsidRPr="002B5409">
        <w:rPr>
          <w:rStyle w:val="Hipervnculo"/>
          <w:rFonts w:ascii="Verdana" w:hAnsi="Verdana"/>
          <w:lang w:val="es-ES"/>
        </w:rPr>
        <w:t>Agencia Nacional de Contratación Pública - Colombia Compra Eficiente</w:t>
      </w:r>
      <w:r w:rsidRPr="002B5409">
        <w:rPr>
          <w:rFonts w:ascii="Verdana" w:hAnsi="Verdana" w:cs="Arial"/>
          <w:color w:val="0000FF"/>
          <w:shd w:val="clear" w:color="auto" w:fill="FFFFFF"/>
        </w:rPr>
        <w:t xml:space="preserve"> </w:t>
      </w:r>
    </w:p>
    <w:p w14:paraId="29C66A15" w14:textId="77777777" w:rsidR="004A5DD1" w:rsidRPr="002B5409" w:rsidRDefault="004A5DD1" w:rsidP="004A5DD1">
      <w:pPr>
        <w:spacing w:after="0"/>
        <w:jc w:val="both"/>
        <w:rPr>
          <w:rFonts w:ascii="Verdana" w:hAnsi="Verdana" w:cs="Arial"/>
          <w:shd w:val="clear" w:color="auto" w:fill="FFFFFF"/>
        </w:rPr>
      </w:pPr>
      <w:r w:rsidRPr="002B5409">
        <w:rPr>
          <w:rFonts w:ascii="Verdana" w:hAnsi="Verdana" w:cs="Arial"/>
          <w:shd w:val="clear" w:color="auto" w:fill="FFFFFF"/>
        </w:rPr>
        <w:t xml:space="preserve">Instagram: </w:t>
      </w:r>
      <w:r w:rsidRPr="002B5409">
        <w:rPr>
          <w:rStyle w:val="Hipervnculo"/>
          <w:rFonts w:ascii="Verdana" w:hAnsi="Verdana"/>
          <w:lang w:val="es-ES"/>
        </w:rPr>
        <w:t>@colombiacompraeficiente_cce</w:t>
      </w:r>
    </w:p>
    <w:p w14:paraId="3BE0673E" w14:textId="77777777" w:rsidR="004A5DD1" w:rsidRPr="009F4646" w:rsidRDefault="004A5DD1" w:rsidP="004A5DD1">
      <w:pPr>
        <w:widowControl w:val="0"/>
        <w:autoSpaceDE w:val="0"/>
        <w:autoSpaceDN w:val="0"/>
        <w:spacing w:after="0" w:line="276" w:lineRule="auto"/>
        <w:jc w:val="both"/>
        <w:rPr>
          <w:rFonts w:ascii="Verdana" w:hAnsi="Verdana" w:cs="Arial"/>
          <w:color w:val="EE0000"/>
          <w:lang w:val="es-ES"/>
        </w:rPr>
      </w:pPr>
    </w:p>
    <w:p w14:paraId="2AE59788" w14:textId="77777777" w:rsidR="004A5DD1" w:rsidRPr="002B5409" w:rsidRDefault="004A5DD1" w:rsidP="004A5DD1">
      <w:pPr>
        <w:widowControl w:val="0"/>
        <w:autoSpaceDE w:val="0"/>
        <w:autoSpaceDN w:val="0"/>
        <w:spacing w:after="0" w:line="276" w:lineRule="auto"/>
        <w:jc w:val="both"/>
        <w:rPr>
          <w:rFonts w:ascii="Verdana" w:hAnsi="Verdana" w:cs="Arial"/>
          <w:lang w:val="es-ES"/>
        </w:rPr>
      </w:pPr>
      <w:r w:rsidRPr="002B5409">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4F3065C" w14:textId="77777777" w:rsidR="004A5DD1" w:rsidRPr="002B5409" w:rsidRDefault="004A5DD1" w:rsidP="004A5DD1">
      <w:pPr>
        <w:widowControl w:val="0"/>
        <w:autoSpaceDE w:val="0"/>
        <w:autoSpaceDN w:val="0"/>
        <w:spacing w:after="0" w:line="276" w:lineRule="auto"/>
        <w:jc w:val="both"/>
        <w:rPr>
          <w:rFonts w:ascii="Verdana" w:hAnsi="Verdana" w:cs="Arial"/>
          <w:lang w:val="es-ES"/>
        </w:rPr>
      </w:pPr>
    </w:p>
    <w:p w14:paraId="270877D9" w14:textId="059D77AA" w:rsidR="004A5DD1" w:rsidRPr="00D02915" w:rsidRDefault="004A5DD1" w:rsidP="00D02915">
      <w:pPr>
        <w:spacing w:after="0" w:line="276" w:lineRule="auto"/>
        <w:rPr>
          <w:rFonts w:ascii="Verdana" w:eastAsia="Calibri" w:hAnsi="Verdana" w:cs="Times New Roman"/>
          <w:noProof/>
          <w:color w:val="EE0000"/>
          <w14:ligatures w14:val="standardContextual"/>
        </w:rPr>
      </w:pPr>
      <w:r w:rsidRPr="002B5409">
        <w:rPr>
          <w:rFonts w:ascii="Verdana" w:eastAsia="Times New Roman" w:hAnsi="Verdana" w:cs="Arial"/>
          <w:lang w:val="es-ES" w:eastAsia="es-CO"/>
        </w:rPr>
        <w:t>Atentamente,</w:t>
      </w:r>
      <w:r w:rsidRPr="002B5409">
        <w:rPr>
          <w:rFonts w:ascii="Verdana" w:hAnsi="Verdana" w:cs="Arial"/>
          <w:lang w:val="es-ES" w:eastAsia="es-CO"/>
        </w:rPr>
        <w:t xml:space="preserve"> </w:t>
      </w:r>
    </w:p>
    <w:p w14:paraId="7262CC8A" w14:textId="6038C1DE" w:rsidR="004A5DD1" w:rsidRPr="00D02915" w:rsidRDefault="00FB1A22" w:rsidP="00D02915">
      <w:pPr>
        <w:spacing w:after="0" w:line="276" w:lineRule="auto"/>
        <w:jc w:val="center"/>
        <w:rPr>
          <w:rFonts w:ascii="Verdana" w:hAnsi="Verdana"/>
          <w:noProof/>
          <w:color w:val="EE0000"/>
        </w:rPr>
      </w:pPr>
      <w:r w:rsidRPr="00FB1A22">
        <w:rPr>
          <w:rFonts w:ascii="Verdana" w:hAnsi="Verdana"/>
          <w:noProof/>
          <w:color w:val="EE0000"/>
        </w:rPr>
        <w:drawing>
          <wp:inline distT="0" distB="0" distL="0" distR="0" wp14:anchorId="1B05EC8B" wp14:editId="1B60983A">
            <wp:extent cx="3067478" cy="1305107"/>
            <wp:effectExtent l="0" t="0" r="0" b="9525"/>
            <wp:docPr id="130229045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290451" name="Imagen 1" descr="Texto&#10;&#10;El contenido generado por IA puede ser incorrecto."/>
                    <pic:cNvPicPr/>
                  </pic:nvPicPr>
                  <pic:blipFill>
                    <a:blip r:embed="rId13"/>
                    <a:stretch>
                      <a:fillRect/>
                    </a:stretch>
                  </pic:blipFill>
                  <pic:spPr>
                    <a:xfrm>
                      <a:off x="0" y="0"/>
                      <a:ext cx="3067478" cy="130510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A5DD1" w:rsidRPr="009F79FE" w14:paraId="76EAE124" w14:textId="77777777" w:rsidTr="004C5339">
        <w:trPr>
          <w:trHeight w:val="315"/>
        </w:trPr>
        <w:tc>
          <w:tcPr>
            <w:tcW w:w="893" w:type="dxa"/>
            <w:vAlign w:val="center"/>
            <w:hideMark/>
          </w:tcPr>
          <w:p w14:paraId="2A578260" w14:textId="77777777" w:rsidR="004A5DD1" w:rsidRPr="009F79FE" w:rsidRDefault="004A5DD1" w:rsidP="004C5339">
            <w:pPr>
              <w:contextualSpacing/>
              <w:rPr>
                <w:rFonts w:ascii="Verdana" w:hAnsi="Verdana" w:cs="Arial"/>
                <w:sz w:val="16"/>
                <w:szCs w:val="16"/>
                <w:lang w:val="es-ES" w:eastAsia="es-ES"/>
              </w:rPr>
            </w:pPr>
            <w:r w:rsidRPr="009F79F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A317031" w14:textId="77777777" w:rsidR="004A5DD1" w:rsidRPr="009F79FE" w:rsidRDefault="004A5DD1" w:rsidP="004C5339">
            <w:pPr>
              <w:rPr>
                <w:rFonts w:ascii="Verdana" w:eastAsia="Times New Roman" w:hAnsi="Verdana" w:cs="Arial"/>
                <w:sz w:val="16"/>
                <w:szCs w:val="16"/>
                <w:lang w:eastAsia="es-ES"/>
              </w:rPr>
            </w:pPr>
            <w:r w:rsidRPr="009F79FE">
              <w:rPr>
                <w:rFonts w:ascii="Verdana" w:eastAsia="Times New Roman" w:hAnsi="Verdana" w:cs="Arial"/>
                <w:sz w:val="16"/>
                <w:szCs w:val="16"/>
                <w:lang w:eastAsia="es-ES"/>
              </w:rPr>
              <w:t>Camila Alejandra Naranjo Gómez</w:t>
            </w:r>
          </w:p>
          <w:p w14:paraId="55AA0767" w14:textId="77777777" w:rsidR="004A5DD1" w:rsidRPr="009F79FE" w:rsidRDefault="004A5DD1" w:rsidP="004C5339">
            <w:pPr>
              <w:contextualSpacing/>
              <w:rPr>
                <w:rFonts w:ascii="Verdana" w:eastAsia="Arial" w:hAnsi="Verdana" w:cs="Arial"/>
                <w:sz w:val="16"/>
                <w:szCs w:val="16"/>
                <w:lang w:val="es-ES"/>
              </w:rPr>
            </w:pPr>
            <w:r w:rsidRPr="009F79FE">
              <w:rPr>
                <w:rFonts w:ascii="Verdana" w:eastAsia="Times New Roman" w:hAnsi="Verdana" w:cs="Arial"/>
                <w:sz w:val="16"/>
                <w:szCs w:val="16"/>
                <w:lang w:eastAsia="es-ES"/>
              </w:rPr>
              <w:t>Analista T2-02 de la Subdirección de Gestión Contractual</w:t>
            </w:r>
          </w:p>
        </w:tc>
      </w:tr>
      <w:tr w:rsidR="004A5DD1" w:rsidRPr="009F79FE" w14:paraId="5B4FADD4" w14:textId="77777777" w:rsidTr="004C5339">
        <w:trPr>
          <w:trHeight w:val="330"/>
        </w:trPr>
        <w:tc>
          <w:tcPr>
            <w:tcW w:w="893" w:type="dxa"/>
            <w:vAlign w:val="center"/>
            <w:hideMark/>
          </w:tcPr>
          <w:p w14:paraId="2BCC2368" w14:textId="77777777" w:rsidR="004A5DD1" w:rsidRPr="009F79FE" w:rsidRDefault="004A5DD1" w:rsidP="004C5339">
            <w:pPr>
              <w:contextualSpacing/>
              <w:rPr>
                <w:rFonts w:ascii="Verdana" w:hAnsi="Verdana" w:cs="Arial"/>
                <w:sz w:val="16"/>
                <w:szCs w:val="16"/>
                <w:lang w:val="es-ES" w:eastAsia="es-ES"/>
              </w:rPr>
            </w:pPr>
            <w:r w:rsidRPr="009F79F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177140A" w14:textId="77777777" w:rsidR="004A5DD1" w:rsidRPr="009F79FE" w:rsidRDefault="004A5DD1" w:rsidP="004C5339">
            <w:pPr>
              <w:rPr>
                <w:rFonts w:ascii="Verdana" w:eastAsia="Times New Roman" w:hAnsi="Verdana" w:cs="Arial"/>
                <w:sz w:val="16"/>
                <w:szCs w:val="16"/>
                <w:lang w:eastAsia="es-ES"/>
              </w:rPr>
            </w:pPr>
            <w:r w:rsidRPr="009F79FE">
              <w:rPr>
                <w:rFonts w:ascii="Verdana" w:eastAsia="Times New Roman" w:hAnsi="Verdana" w:cs="Arial"/>
                <w:sz w:val="16"/>
                <w:szCs w:val="16"/>
                <w:lang w:eastAsia="es-ES"/>
              </w:rPr>
              <w:t>Martha Alicia Romero Vargas</w:t>
            </w:r>
          </w:p>
          <w:p w14:paraId="60489381" w14:textId="77777777" w:rsidR="004A5DD1" w:rsidRPr="009F79FE" w:rsidRDefault="004A5DD1" w:rsidP="004C5339">
            <w:pPr>
              <w:pStyle w:val="paragraph"/>
              <w:spacing w:before="0" w:beforeAutospacing="0" w:after="0" w:afterAutospacing="0"/>
              <w:contextualSpacing/>
              <w:textAlignment w:val="baseline"/>
              <w:rPr>
                <w:rFonts w:ascii="Verdana" w:hAnsi="Verdana" w:cs="Segoe UI"/>
                <w:sz w:val="16"/>
                <w:szCs w:val="16"/>
                <w:lang w:val="es-ES"/>
              </w:rPr>
            </w:pPr>
            <w:r w:rsidRPr="009F79FE">
              <w:rPr>
                <w:rFonts w:ascii="Verdana" w:hAnsi="Verdana" w:cs="Arial"/>
                <w:sz w:val="16"/>
                <w:szCs w:val="16"/>
                <w:lang w:eastAsia="es-ES"/>
              </w:rPr>
              <w:t>Gestor T1 ‒ 15 de la Subdirección de Gestión Contractual</w:t>
            </w:r>
          </w:p>
        </w:tc>
      </w:tr>
      <w:tr w:rsidR="004A5DD1" w:rsidRPr="009F79FE" w14:paraId="7857D777" w14:textId="77777777" w:rsidTr="004C5339">
        <w:trPr>
          <w:trHeight w:val="300"/>
        </w:trPr>
        <w:tc>
          <w:tcPr>
            <w:tcW w:w="893" w:type="dxa"/>
            <w:vAlign w:val="center"/>
          </w:tcPr>
          <w:p w14:paraId="1ACC826C" w14:textId="77777777" w:rsidR="004A5DD1" w:rsidRPr="009F79FE" w:rsidRDefault="004A5DD1" w:rsidP="004C5339">
            <w:pPr>
              <w:contextualSpacing/>
              <w:rPr>
                <w:rFonts w:ascii="Verdana" w:hAnsi="Verdana" w:cs="Arial"/>
                <w:sz w:val="16"/>
                <w:szCs w:val="16"/>
                <w:lang w:val="es-ES" w:eastAsia="es-ES"/>
              </w:rPr>
            </w:pPr>
            <w:r w:rsidRPr="009F79F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2B42BFF" w14:textId="77777777" w:rsidR="004A5DD1" w:rsidRPr="009F79FE" w:rsidRDefault="004A5DD1" w:rsidP="004C5339">
            <w:pPr>
              <w:contextualSpacing/>
              <w:rPr>
                <w:rFonts w:ascii="Verdana" w:eastAsia="Calibri" w:hAnsi="Verdana" w:cs="Arial"/>
                <w:sz w:val="16"/>
                <w:szCs w:val="16"/>
                <w:lang w:val="es-ES" w:eastAsia="es-ES"/>
              </w:rPr>
            </w:pPr>
            <w:r w:rsidRPr="009F79FE">
              <w:rPr>
                <w:rFonts w:ascii="Verdana" w:eastAsia="Calibri" w:hAnsi="Verdana" w:cs="Arial"/>
                <w:sz w:val="16"/>
                <w:szCs w:val="16"/>
                <w:lang w:val="es-ES" w:eastAsia="es-ES"/>
              </w:rPr>
              <w:t>Carolina Quintero Gacharná</w:t>
            </w:r>
          </w:p>
          <w:p w14:paraId="4508A968" w14:textId="77777777" w:rsidR="004A5DD1" w:rsidRPr="009F79FE" w:rsidRDefault="004A5DD1" w:rsidP="004C5339">
            <w:pPr>
              <w:contextualSpacing/>
              <w:rPr>
                <w:rFonts w:ascii="Verdana" w:eastAsia="Calibri" w:hAnsi="Verdana" w:cs="Arial"/>
                <w:sz w:val="16"/>
                <w:szCs w:val="16"/>
                <w:lang w:val="es-ES" w:eastAsia="es-ES"/>
              </w:rPr>
            </w:pPr>
            <w:r w:rsidRPr="009F79FE">
              <w:rPr>
                <w:rFonts w:ascii="Verdana" w:eastAsia="Calibri" w:hAnsi="Verdana" w:cs="Arial"/>
                <w:sz w:val="16"/>
                <w:szCs w:val="16"/>
                <w:lang w:val="es-ES" w:eastAsia="es-ES"/>
              </w:rPr>
              <w:t>Subdirectora de Gestión Contractual ANCP – CCE</w:t>
            </w:r>
          </w:p>
        </w:tc>
      </w:tr>
      <w:bookmarkEnd w:id="0"/>
    </w:tbl>
    <w:p w14:paraId="0F293BF4" w14:textId="538D1404" w:rsidR="00127233" w:rsidRPr="004A5DD1" w:rsidRDefault="00127233" w:rsidP="004A5DD1">
      <w:pPr>
        <w:rPr>
          <w:lang w:val="es-ES"/>
        </w:rPr>
      </w:pPr>
    </w:p>
    <w:sectPr w:rsidR="00127233" w:rsidRPr="004A5DD1"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3E8DA9" w14:textId="77777777" w:rsidR="002D020F" w:rsidRDefault="002D020F" w:rsidP="004A1847">
      <w:pPr>
        <w:spacing w:after="0" w:line="240" w:lineRule="auto"/>
      </w:pPr>
      <w:r>
        <w:separator/>
      </w:r>
    </w:p>
  </w:endnote>
  <w:endnote w:type="continuationSeparator" w:id="0">
    <w:p w14:paraId="5DE63CD2" w14:textId="77777777" w:rsidR="002D020F" w:rsidRDefault="002D020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82FA1" w14:textId="77777777" w:rsidR="002D020F" w:rsidRDefault="002D020F" w:rsidP="004A1847">
      <w:pPr>
        <w:spacing w:after="0" w:line="240" w:lineRule="auto"/>
      </w:pPr>
      <w:r>
        <w:separator/>
      </w:r>
    </w:p>
  </w:footnote>
  <w:footnote w:type="continuationSeparator" w:id="0">
    <w:p w14:paraId="2F7614E7" w14:textId="77777777" w:rsidR="002D020F" w:rsidRDefault="002D020F" w:rsidP="004A1847">
      <w:pPr>
        <w:spacing w:after="0" w:line="240" w:lineRule="auto"/>
      </w:pPr>
      <w:r>
        <w:continuationSeparator/>
      </w:r>
    </w:p>
  </w:footnote>
  <w:footnote w:id="1">
    <w:p w14:paraId="38DA6197" w14:textId="77777777" w:rsidR="004A5DD1" w:rsidRPr="00373AD7" w:rsidRDefault="004A5DD1" w:rsidP="004A5DD1">
      <w:pPr>
        <w:pStyle w:val="Textonotapie"/>
        <w:ind w:firstLine="709"/>
        <w:jc w:val="both"/>
        <w:rPr>
          <w:rFonts w:ascii="Verdana" w:hAnsi="Verdana" w:cs="Arial"/>
          <w:color w:val="000000"/>
          <w:sz w:val="16"/>
          <w:szCs w:val="16"/>
          <w:lang w:val="es-ES"/>
        </w:rPr>
      </w:pPr>
      <w:r w:rsidRPr="00373AD7">
        <w:rPr>
          <w:rStyle w:val="Refdenotaalpie"/>
          <w:rFonts w:ascii="Verdana" w:hAnsi="Verdana"/>
          <w:sz w:val="16"/>
          <w:szCs w:val="16"/>
        </w:rPr>
        <w:footnoteRef/>
      </w:r>
      <w:r w:rsidRPr="00373AD7">
        <w:rPr>
          <w:rFonts w:ascii="Verdana" w:hAnsi="Verdana"/>
          <w:sz w:val="16"/>
          <w:szCs w:val="16"/>
        </w:rPr>
        <w:t xml:space="preserve"> </w:t>
      </w:r>
      <w:r w:rsidRPr="00373AD7">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Quien presta el servicio se denomina trabajador, quien lo recibe y remunera, empleador, y la remuneración, cualquiera que sea su forma, salario”.</w:t>
      </w:r>
    </w:p>
  </w:footnote>
  <w:footnote w:id="2">
    <w:p w14:paraId="2CDEA44A" w14:textId="77777777" w:rsidR="004A5DD1" w:rsidRPr="00373AD7" w:rsidRDefault="004A5DD1" w:rsidP="004A5DD1">
      <w:pPr>
        <w:pStyle w:val="Textonotapie"/>
        <w:ind w:firstLine="709"/>
        <w:jc w:val="both"/>
        <w:rPr>
          <w:rFonts w:ascii="Verdana" w:hAnsi="Verdana" w:cs="Arial"/>
          <w:color w:val="000000"/>
          <w:sz w:val="16"/>
          <w:szCs w:val="16"/>
          <w:lang w:val="es-ES"/>
        </w:rPr>
      </w:pPr>
      <w:r w:rsidRPr="00373AD7">
        <w:rPr>
          <w:rStyle w:val="Refdenotaalpie"/>
          <w:rFonts w:ascii="Verdana" w:hAnsi="Verdana"/>
          <w:sz w:val="16"/>
          <w:szCs w:val="16"/>
        </w:rPr>
        <w:footnoteRef/>
      </w:r>
      <w:r w:rsidRPr="00373AD7">
        <w:rPr>
          <w:rFonts w:ascii="Verdana" w:hAnsi="Verdana"/>
          <w:sz w:val="16"/>
          <w:szCs w:val="16"/>
        </w:rPr>
        <w:t xml:space="preserve"> </w:t>
      </w:r>
      <w:r w:rsidRPr="00373AD7">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74517AD4"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373AD7">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w:t>
      </w:r>
      <w:r w:rsidRPr="00AD7D22">
        <w:rPr>
          <w:rFonts w:ascii="Verdana" w:hAnsi="Verdana" w:cs="Arial"/>
          <w:color w:val="000000"/>
          <w:sz w:val="16"/>
          <w:szCs w:val="16"/>
          <w:lang w:val="es-ES"/>
        </w:rPr>
        <w:t xml:space="preserve">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74E20FF2"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El Gobierno nacional reglamentará el mecanismo para realizar la mensualización de que trata el presente artículo.</w:t>
      </w:r>
    </w:p>
    <w:p w14:paraId="1F8ABDB6"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footnote>
  <w:footnote w:id="3">
    <w:p w14:paraId="289CC044" w14:textId="77777777" w:rsidR="004A5DD1" w:rsidRPr="004D29E2" w:rsidRDefault="004A5DD1" w:rsidP="004A5DD1">
      <w:pPr>
        <w:pStyle w:val="Textonotapie"/>
        <w:ind w:firstLine="708"/>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Corte Constitucional. Sentencia C-154 de 1997. Magistrado Ponente: Hernando Herrera Vergara.</w:t>
      </w:r>
    </w:p>
  </w:footnote>
  <w:footnote w:id="4">
    <w:p w14:paraId="2088BFAE" w14:textId="77777777" w:rsidR="004A5DD1" w:rsidRPr="003917D2" w:rsidRDefault="004A5DD1" w:rsidP="004A5DD1">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footnote>
  <w:footnote w:id="5">
    <w:p w14:paraId="392E3AEC" w14:textId="77777777" w:rsidR="004A5DD1" w:rsidRPr="00515310" w:rsidRDefault="004A5DD1" w:rsidP="004A5DD1">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Consejo de Estado. Sección Tercera. Subsección C. Sentencia del 2 de diciembre de 2013. Exp. 41719. Consejero Ponente: Jaime Orlando Santofimio Gamboa.</w:t>
      </w:r>
    </w:p>
  </w:footnote>
  <w:footnote w:id="6">
    <w:p w14:paraId="3D9738DD" w14:textId="77777777" w:rsidR="004A5DD1" w:rsidRPr="00AD7D22" w:rsidRDefault="004A5DD1" w:rsidP="004A5DD1">
      <w:pPr>
        <w:pStyle w:val="Textonotapie"/>
        <w:ind w:firstLine="708"/>
        <w:rPr>
          <w:rFonts w:ascii="Verdana" w:hAnsi="Verdana"/>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Ibid. </w:t>
      </w:r>
    </w:p>
  </w:footnote>
  <w:footnote w:id="7">
    <w:p w14:paraId="6D6D5AE9"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Ibid.</w:t>
      </w:r>
      <w:r>
        <w:rPr>
          <w:rFonts w:ascii="Verdana" w:hAnsi="Verdana" w:cs="Arial"/>
          <w:color w:val="000000"/>
          <w:sz w:val="16"/>
          <w:szCs w:val="16"/>
          <w:lang w:val="es-ES"/>
        </w:rPr>
        <w:t>-</w:t>
      </w:r>
      <w:r w:rsidRPr="00AD7D22">
        <w:rPr>
          <w:rFonts w:ascii="Verdana" w:hAnsi="Verdana" w:cs="Arial"/>
          <w:color w:val="000000"/>
          <w:sz w:val="16"/>
          <w:szCs w:val="16"/>
          <w:lang w:val="es-ES"/>
        </w:rPr>
        <w:t xml:space="preserve">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17459AAD"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644BA667" w14:textId="77777777" w:rsidR="004A5DD1" w:rsidRPr="00B356F2" w:rsidRDefault="004A5DD1" w:rsidP="004A5DD1">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footnote>
  <w:footnote w:id="8">
    <w:p w14:paraId="453BA92A"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1CD591BE"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1. La causal que invoca para contratar directamente.</w:t>
      </w:r>
    </w:p>
    <w:p w14:paraId="4844E590"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2. El objeto del contrato.</w:t>
      </w:r>
    </w:p>
    <w:p w14:paraId="1627A05A"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3. El presupuesto para la contratación y las condiciones que exigirá al contratista.</w:t>
      </w:r>
    </w:p>
    <w:p w14:paraId="093F6AC6"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4. El lugar en el cual los interesados pueden consultar los estudios y documentos previos.</w:t>
      </w:r>
    </w:p>
    <w:p w14:paraId="60EFEBBE" w14:textId="77777777" w:rsidR="004A5DD1" w:rsidRPr="00B31452" w:rsidRDefault="004A5DD1" w:rsidP="004A5DD1">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9">
    <w:p w14:paraId="6F33D29B"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Esta norma expresa: “</w:t>
      </w:r>
      <w:r w:rsidRPr="00AD7D22">
        <w:rPr>
          <w:rFonts w:ascii="Verdana" w:hAnsi="Verdana" w:cs="Arial"/>
          <w:color w:val="000000"/>
          <w:sz w:val="16"/>
          <w:szCs w:val="16"/>
        </w:rPr>
        <w:t>P</w:t>
      </w:r>
      <w:r w:rsidRPr="00AD7D22">
        <w:rPr>
          <w:rFonts w:ascii="Verdana" w:hAnsi="Verdana" w:cs="Arial"/>
          <w:color w:val="000000"/>
          <w:sz w:val="16"/>
          <w:szCs w:val="16"/>
          <w:lang w:val="es-ES"/>
        </w:rPr>
        <w:t>ara el cumplimiento de los fines de la contratación, las entidades estatales al celebrar un contrato:</w:t>
      </w:r>
    </w:p>
    <w:p w14:paraId="32236471"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p w14:paraId="12D11EB1"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7B932565"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Las entidades estatales podrán pactar estas cláusulas en los contratos de suministro y de prestación de servicios.</w:t>
      </w:r>
    </w:p>
    <w:p w14:paraId="570E7D44" w14:textId="77777777" w:rsidR="004A5DD1" w:rsidRPr="00B356F2" w:rsidRDefault="004A5DD1" w:rsidP="004A5DD1">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footnote>
  <w:footnote w:id="10">
    <w:p w14:paraId="61E870FE" w14:textId="77777777" w:rsidR="004A5DD1" w:rsidRPr="00B356F2" w:rsidRDefault="004A5DD1" w:rsidP="004A5DD1">
      <w:pPr>
        <w:pStyle w:val="Textonotapie"/>
        <w:ind w:firstLine="708"/>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footnote>
  <w:footnote w:id="11">
    <w:p w14:paraId="2D43B191" w14:textId="77777777" w:rsidR="004A5DD1" w:rsidRPr="00AD7D22" w:rsidRDefault="004A5DD1" w:rsidP="004A5DD1">
      <w:pPr>
        <w:pStyle w:val="Textonotapie"/>
        <w:ind w:firstLine="709"/>
        <w:jc w:val="both"/>
        <w:rPr>
          <w:rFonts w:ascii="Verdana" w:hAnsi="Verdana" w:cs="Arial"/>
          <w:color w:val="000000"/>
          <w:sz w:val="16"/>
          <w:szCs w:val="16"/>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8FFD3BB" w14:textId="77777777" w:rsidR="004A5DD1" w:rsidRPr="00AD7D22" w:rsidRDefault="004A5DD1" w:rsidP="004A5DD1">
      <w:pPr>
        <w:pStyle w:val="Textonotapie"/>
        <w:ind w:firstLine="709"/>
        <w:jc w:val="both"/>
        <w:rPr>
          <w:rFonts w:ascii="Verdana" w:hAnsi="Verdana" w:cs="Arial"/>
          <w:color w:val="000000"/>
          <w:sz w:val="16"/>
          <w:szCs w:val="16"/>
        </w:rPr>
      </w:pPr>
      <w:r w:rsidRPr="00AD7D22">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296A6E6C" w14:textId="77777777" w:rsidR="004A5DD1" w:rsidRPr="00B356F2" w:rsidRDefault="004A5DD1" w:rsidP="004A5DD1">
      <w:pPr>
        <w:pStyle w:val="Textonotapie"/>
        <w:ind w:firstLine="709"/>
        <w:jc w:val="both"/>
        <w:rPr>
          <w:rFonts w:ascii="Verdana" w:hAnsi="Verdana" w:cs="Arial"/>
          <w:color w:val="000000"/>
          <w:sz w:val="16"/>
          <w:szCs w:val="16"/>
        </w:rPr>
      </w:pPr>
      <w:r w:rsidRPr="00AD7D22">
        <w:rPr>
          <w:rFonts w:ascii="Verdana" w:hAnsi="Verdana" w:cs="Arial"/>
          <w:color w:val="000000"/>
          <w:sz w:val="16"/>
          <w:szCs w:val="16"/>
        </w:rPr>
        <w:t>[…]”.</w:t>
      </w:r>
    </w:p>
  </w:footnote>
  <w:footnote w:id="12">
    <w:p w14:paraId="731AF5A1" w14:textId="77777777" w:rsidR="004A5DD1" w:rsidRPr="00AD7D22" w:rsidRDefault="004A5DD1" w:rsidP="004A5DD1">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6C4E1DDE" w14:textId="77777777" w:rsidR="004A5DD1" w:rsidRPr="00AD7D22" w:rsidRDefault="004A5DD1" w:rsidP="004A5DD1">
      <w:pPr>
        <w:pStyle w:val="Textonotapie"/>
        <w:ind w:firstLine="708"/>
        <w:rPr>
          <w:rFonts w:ascii="Verdana" w:hAnsi="Verdana"/>
          <w:sz w:val="16"/>
          <w:szCs w:val="16"/>
          <w:lang w:val="es-ES"/>
        </w:rPr>
      </w:pPr>
    </w:p>
  </w:footnote>
  <w:footnote w:id="13">
    <w:p w14:paraId="0BDCBB92" w14:textId="77777777" w:rsidR="004A5DD1" w:rsidRPr="005114F2" w:rsidRDefault="004A5DD1" w:rsidP="004A5DD1">
      <w:pPr>
        <w:autoSpaceDE w:val="0"/>
        <w:autoSpaceDN w:val="0"/>
        <w:adjustRightInd w:val="0"/>
        <w:spacing w:line="240" w:lineRule="auto"/>
        <w:ind w:firstLine="708"/>
        <w:jc w:val="both"/>
        <w:rPr>
          <w:rFonts w:ascii="Verdana" w:hAnsi="Verdana" w:cs="Arial"/>
          <w:sz w:val="10"/>
          <w:szCs w:val="10"/>
        </w:rPr>
      </w:pPr>
      <w:r w:rsidRPr="00B31452">
        <w:rPr>
          <w:rStyle w:val="Refdenotaalpie"/>
          <w:rFonts w:ascii="Verdana" w:hAnsi="Verdana" w:cs="Arial"/>
          <w:sz w:val="16"/>
          <w:szCs w:val="16"/>
        </w:rPr>
        <w:footnoteRef/>
      </w:r>
      <w:r w:rsidRPr="00B31452">
        <w:rPr>
          <w:rFonts w:ascii="Verdana" w:hAnsi="Verdana" w:cs="Arial"/>
          <w:sz w:val="16"/>
          <w:szCs w:val="16"/>
        </w:rPr>
        <w:t xml:space="preserve"> Consejo De Estado</w:t>
      </w:r>
      <w:r>
        <w:rPr>
          <w:rFonts w:ascii="Verdana" w:hAnsi="Verdana" w:cs="Arial"/>
          <w:sz w:val="16"/>
          <w:szCs w:val="16"/>
        </w:rPr>
        <w:t>.</w:t>
      </w:r>
      <w:r w:rsidRPr="00B31452">
        <w:rPr>
          <w:rFonts w:ascii="Verdana" w:hAnsi="Verdana" w:cs="Arial"/>
          <w:sz w:val="16"/>
          <w:szCs w:val="16"/>
        </w:rPr>
        <w:t xml:space="preserve"> Sección Segunda. Sentencia de Unificación Jurisprudencial SUJ-025-CE-S2-2021. Radicado (1317-2016). En el mismo sentido, la Corte Constitucional expresa que: “La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 (Cfr. Corte Constitucional. Sentencia C-154 de 1997. Magistrado Ponente: Hernando Herrera Vergara).</w:t>
      </w:r>
    </w:p>
  </w:footnote>
  <w:footnote w:id="14">
    <w:p w14:paraId="2E149580" w14:textId="77777777" w:rsidR="004A5DD1" w:rsidRPr="005114F2" w:rsidRDefault="004A5DD1" w:rsidP="004A5DD1">
      <w:pPr>
        <w:pStyle w:val="Textonotapie"/>
        <w:ind w:firstLine="708"/>
        <w:jc w:val="both"/>
        <w:rPr>
          <w:rFonts w:ascii="Verdana" w:hAnsi="Verdana" w:cs="Arial"/>
          <w:sz w:val="10"/>
          <w:szCs w:val="10"/>
          <w:lang w:val="es-CO"/>
        </w:rPr>
      </w:pPr>
      <w:r w:rsidRPr="00373AD7">
        <w:rPr>
          <w:rStyle w:val="Refdenotaalpie"/>
          <w:rFonts w:ascii="Verdana" w:hAnsi="Verdana" w:cs="Arial"/>
          <w:sz w:val="16"/>
          <w:szCs w:val="16"/>
        </w:rPr>
        <w:footnoteRef/>
      </w:r>
      <w:r w:rsidRPr="00373AD7">
        <w:rPr>
          <w:rFonts w:ascii="Verdana" w:hAnsi="Verdana" w:cs="Arial"/>
          <w:sz w:val="16"/>
          <w:szCs w:val="16"/>
          <w:lang w:val="es-CO"/>
        </w:rPr>
        <w:t xml:space="preserve"> </w:t>
      </w:r>
      <w:r w:rsidRPr="00D4668D">
        <w:rPr>
          <w:rFonts w:ascii="Verdana" w:hAnsi="Verdana" w:cs="Arial"/>
          <w:sz w:val="16"/>
          <w:szCs w:val="16"/>
          <w:lang w:val="es-CO"/>
        </w:rPr>
        <w:t>Consejo De Estado</w:t>
      </w:r>
      <w:r>
        <w:rPr>
          <w:rFonts w:ascii="Verdana" w:hAnsi="Verdana" w:cs="Arial"/>
          <w:sz w:val="16"/>
          <w:szCs w:val="16"/>
          <w:lang w:val="es-CO"/>
        </w:rPr>
        <w:t xml:space="preserve">. </w:t>
      </w:r>
      <w:r w:rsidRPr="00D4668D">
        <w:rPr>
          <w:rFonts w:ascii="Verdana" w:hAnsi="Verdana" w:cs="Arial"/>
          <w:sz w:val="16"/>
          <w:szCs w:val="16"/>
          <w:lang w:val="es-CO"/>
        </w:rPr>
        <w:t>Sección Segunda, sentencia del 19 de junio 19 de 2008. Consejero Ponente: Gustavo Eduardo Gómez Aranguren Rad. 1502-03. Ver también sentencias de 7 de septiembre de 2000. Sección Primera. Expediente 6152. Consejero Ponente: Juan Alberto Polo Figueroa y de 10 de marzo de 2005. Sección Quinta. Expediente ACU 750. Consejera Ponente: María Nohemí Hernández Pinzón.</w:t>
      </w:r>
    </w:p>
  </w:footnote>
  <w:footnote w:id="15">
    <w:p w14:paraId="66B81196" w14:textId="77777777" w:rsidR="004A5DD1" w:rsidRPr="00D4668D" w:rsidRDefault="004A5DD1" w:rsidP="004A5DD1">
      <w:pPr>
        <w:pStyle w:val="Textonotapie"/>
        <w:ind w:firstLine="708"/>
        <w:jc w:val="both"/>
        <w:rPr>
          <w:rFonts w:ascii="Verdana" w:hAnsi="Verdana" w:cs="Arial"/>
          <w:sz w:val="14"/>
          <w:szCs w:val="14"/>
          <w:lang w:val="es-CO"/>
        </w:rPr>
      </w:pPr>
      <w:r w:rsidRPr="00D4668D">
        <w:rPr>
          <w:rStyle w:val="Refdenotaalpie"/>
          <w:rFonts w:ascii="Verdana" w:hAnsi="Verdana"/>
          <w:sz w:val="14"/>
          <w:szCs w:val="14"/>
        </w:rPr>
        <w:footnoteRef/>
      </w:r>
      <w:r w:rsidRPr="00D4668D">
        <w:rPr>
          <w:rFonts w:ascii="Verdana" w:hAnsi="Verdana"/>
          <w:sz w:val="14"/>
          <w:szCs w:val="14"/>
          <w:lang w:val="es-CO"/>
        </w:rPr>
        <w:t xml:space="preserve"> </w:t>
      </w:r>
      <w:r w:rsidRPr="00D4668D">
        <w:rPr>
          <w:rFonts w:ascii="Verdana" w:hAnsi="Verdana" w:cs="Arial"/>
          <w:sz w:val="14"/>
          <w:szCs w:val="14"/>
          <w:lang w:val="es-CO"/>
        </w:rPr>
        <w:t>Consejo De Estado</w:t>
      </w:r>
      <w:r>
        <w:rPr>
          <w:rFonts w:ascii="Verdana" w:hAnsi="Verdana" w:cs="Arial"/>
          <w:sz w:val="14"/>
          <w:szCs w:val="14"/>
          <w:lang w:val="es-CO"/>
        </w:rPr>
        <w:t>.</w:t>
      </w:r>
      <w:r w:rsidRPr="00D4668D">
        <w:rPr>
          <w:rFonts w:ascii="Verdana" w:hAnsi="Verdana" w:cs="Arial"/>
          <w:sz w:val="14"/>
          <w:szCs w:val="14"/>
          <w:lang w:val="es-CO"/>
        </w:rPr>
        <w:t xml:space="preserve"> Sección Tercera, Subsección A, auto del 22 de febrero de 2023. Exp. No. 69.23, C.P. José Roberto Sáchica Méndez.</w:t>
      </w:r>
    </w:p>
    <w:p w14:paraId="3E878946" w14:textId="77777777" w:rsidR="004A5DD1" w:rsidRPr="005114F2" w:rsidRDefault="004A5DD1" w:rsidP="004A5DD1">
      <w:pPr>
        <w:pStyle w:val="Textonotapie"/>
        <w:ind w:firstLine="708"/>
        <w:jc w:val="both"/>
        <w:rPr>
          <w:rFonts w:ascii="Verdana" w:hAnsi="Verdana"/>
          <w:sz w:val="10"/>
          <w:szCs w:val="10"/>
        </w:rPr>
      </w:pPr>
    </w:p>
  </w:footnote>
  <w:footnote w:id="16">
    <w:p w14:paraId="70AA1DD7" w14:textId="77777777" w:rsidR="004A5DD1" w:rsidRPr="00D853F0" w:rsidRDefault="004A5DD1" w:rsidP="004A5DD1">
      <w:pPr>
        <w:pStyle w:val="Textonotapie"/>
        <w:ind w:firstLine="708"/>
        <w:jc w:val="both"/>
        <w:rPr>
          <w:rFonts w:ascii="Verdana" w:hAnsi="Verdana" w:cs="Arial"/>
          <w:sz w:val="16"/>
          <w:szCs w:val="16"/>
          <w:lang w:val="es-CO"/>
        </w:rPr>
      </w:pPr>
      <w:r w:rsidRPr="00D853F0">
        <w:rPr>
          <w:rStyle w:val="Refdenotaalpie"/>
          <w:rFonts w:ascii="Verdana" w:hAnsi="Verdana" w:cs="Arial"/>
          <w:sz w:val="16"/>
          <w:szCs w:val="16"/>
        </w:rPr>
        <w:footnoteRef/>
      </w:r>
      <w:r w:rsidRPr="00D853F0">
        <w:rPr>
          <w:rFonts w:ascii="Verdana" w:hAnsi="Verdana" w:cs="Arial"/>
          <w:sz w:val="16"/>
          <w:szCs w:val="16"/>
          <w:lang w:val="es-CO"/>
        </w:rPr>
        <w:t xml:space="preserve"> Ley 1437 de 2011: “Artículo 91. Pérdida de ejecutoriedad del acto administrativo. Salvo norma expresa en contrario, los actos administrativos en firme serán obligatorios mientras no hayan sido anulados por la Jurisdicción de lo Contencioso Administrativo. Perderán obligatoriedad y, por lo tanto, no podrán ser ejecutados en los siguientes casos: </w:t>
      </w:r>
    </w:p>
    <w:p w14:paraId="4947B206" w14:textId="77777777" w:rsidR="004A5DD1" w:rsidRPr="00D853F0" w:rsidRDefault="004A5DD1" w:rsidP="004A5DD1">
      <w:pPr>
        <w:pStyle w:val="Textonotapie"/>
        <w:ind w:firstLine="708"/>
        <w:jc w:val="both"/>
        <w:rPr>
          <w:rFonts w:ascii="Verdana" w:hAnsi="Verdana" w:cs="Arial"/>
          <w:sz w:val="16"/>
          <w:szCs w:val="16"/>
          <w:lang w:val="es-CO"/>
        </w:rPr>
      </w:pPr>
      <w:r w:rsidRPr="00D853F0">
        <w:rPr>
          <w:rFonts w:ascii="Verdana" w:hAnsi="Verdana" w:cs="Arial"/>
          <w:sz w:val="16"/>
          <w:szCs w:val="16"/>
          <w:lang w:val="es-CO"/>
        </w:rPr>
        <w:t xml:space="preserve">1. Cuando sean suspendidos provisionalmente sus efectos por la Jurisdicción de lo Contencioso Administrativo. </w:t>
      </w:r>
    </w:p>
    <w:p w14:paraId="5E855FD4" w14:textId="77777777" w:rsidR="004A5DD1" w:rsidRPr="005114F2" w:rsidRDefault="004A5DD1" w:rsidP="004A5DD1">
      <w:pPr>
        <w:pStyle w:val="Textonotapie"/>
        <w:ind w:firstLine="708"/>
        <w:jc w:val="both"/>
        <w:rPr>
          <w:rFonts w:ascii="Verdana" w:hAnsi="Verdana"/>
          <w:sz w:val="10"/>
          <w:szCs w:val="10"/>
        </w:rPr>
      </w:pPr>
      <w:r w:rsidRPr="00D853F0">
        <w:rPr>
          <w:rFonts w:ascii="Verdana" w:hAnsi="Verdana" w:cs="Arial"/>
          <w:sz w:val="16"/>
          <w:szCs w:val="16"/>
          <w:lang w:val="es-CO"/>
        </w:rPr>
        <w:t>2. Cuando desaparezcan sus fundamentos de hecho o de derecho”.</w:t>
      </w:r>
      <w:r w:rsidRPr="00D853F0">
        <w:rPr>
          <w:rFonts w:ascii="Verdana" w:hAnsi="Verdana"/>
          <w:sz w:val="16"/>
          <w:szCs w:val="16"/>
          <w:lang w:val="es-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702A54A0"/>
    <w:lvl w:ilvl="0" w:tplc="040A0001">
      <w:start w:val="1"/>
      <w:numFmt w:val="bullet"/>
      <w:lvlText w:val=""/>
      <w:lvlJc w:val="left"/>
      <w:pPr>
        <w:ind w:left="720" w:hanging="360"/>
      </w:pPr>
      <w:rPr>
        <w:rFonts w:ascii="Symbol" w:hAnsi="Symbol" w:hint="default"/>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26B0"/>
    <w:rsid w:val="00082362"/>
    <w:rsid w:val="000A683E"/>
    <w:rsid w:val="000B0C5B"/>
    <w:rsid w:val="000B19B9"/>
    <w:rsid w:val="000D0334"/>
    <w:rsid w:val="000D5DA7"/>
    <w:rsid w:val="000E343E"/>
    <w:rsid w:val="000F6486"/>
    <w:rsid w:val="00116940"/>
    <w:rsid w:val="00125105"/>
    <w:rsid w:val="00127233"/>
    <w:rsid w:val="0013279A"/>
    <w:rsid w:val="0015699B"/>
    <w:rsid w:val="001715AD"/>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020F"/>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A5DD1"/>
    <w:rsid w:val="004F21C4"/>
    <w:rsid w:val="004F580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A6A24"/>
    <w:rsid w:val="006D2C8F"/>
    <w:rsid w:val="006E1528"/>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110BA"/>
    <w:rsid w:val="0091455D"/>
    <w:rsid w:val="00923EEF"/>
    <w:rsid w:val="009419F9"/>
    <w:rsid w:val="0095685E"/>
    <w:rsid w:val="00961B09"/>
    <w:rsid w:val="00965334"/>
    <w:rsid w:val="0097093E"/>
    <w:rsid w:val="009A0DFA"/>
    <w:rsid w:val="009A1C6F"/>
    <w:rsid w:val="009B2D26"/>
    <w:rsid w:val="009B7FC0"/>
    <w:rsid w:val="009C71FA"/>
    <w:rsid w:val="009C72E7"/>
    <w:rsid w:val="009C7F7E"/>
    <w:rsid w:val="009D3058"/>
    <w:rsid w:val="009F3A13"/>
    <w:rsid w:val="00A122D3"/>
    <w:rsid w:val="00A14468"/>
    <w:rsid w:val="00A17F13"/>
    <w:rsid w:val="00A20739"/>
    <w:rsid w:val="00A23AF9"/>
    <w:rsid w:val="00A33C78"/>
    <w:rsid w:val="00A92CFF"/>
    <w:rsid w:val="00AB0ADB"/>
    <w:rsid w:val="00B00C0E"/>
    <w:rsid w:val="00B01B1A"/>
    <w:rsid w:val="00B0381D"/>
    <w:rsid w:val="00B44A47"/>
    <w:rsid w:val="00B72CD3"/>
    <w:rsid w:val="00B72FFF"/>
    <w:rsid w:val="00B83E5B"/>
    <w:rsid w:val="00BC3D36"/>
    <w:rsid w:val="00BD54A6"/>
    <w:rsid w:val="00BD7F72"/>
    <w:rsid w:val="00BF7425"/>
    <w:rsid w:val="00C04FB3"/>
    <w:rsid w:val="00C11D8B"/>
    <w:rsid w:val="00C15139"/>
    <w:rsid w:val="00C246A6"/>
    <w:rsid w:val="00C330EB"/>
    <w:rsid w:val="00C50D69"/>
    <w:rsid w:val="00C5365C"/>
    <w:rsid w:val="00C754BE"/>
    <w:rsid w:val="00C76B1C"/>
    <w:rsid w:val="00C925AC"/>
    <w:rsid w:val="00CB6357"/>
    <w:rsid w:val="00CC1B26"/>
    <w:rsid w:val="00CC4410"/>
    <w:rsid w:val="00D02915"/>
    <w:rsid w:val="00D361FD"/>
    <w:rsid w:val="00D423A2"/>
    <w:rsid w:val="00D44E26"/>
    <w:rsid w:val="00D520D8"/>
    <w:rsid w:val="00D63AC2"/>
    <w:rsid w:val="00D71D38"/>
    <w:rsid w:val="00D7383B"/>
    <w:rsid w:val="00D7788A"/>
    <w:rsid w:val="00DA231B"/>
    <w:rsid w:val="00DC39FC"/>
    <w:rsid w:val="00DF5254"/>
    <w:rsid w:val="00E02524"/>
    <w:rsid w:val="00E16408"/>
    <w:rsid w:val="00E20894"/>
    <w:rsid w:val="00E245AB"/>
    <w:rsid w:val="00E2764C"/>
    <w:rsid w:val="00E27F2E"/>
    <w:rsid w:val="00E50AFE"/>
    <w:rsid w:val="00E75C92"/>
    <w:rsid w:val="00E76E65"/>
    <w:rsid w:val="00E771DC"/>
    <w:rsid w:val="00E8772A"/>
    <w:rsid w:val="00E90F6B"/>
    <w:rsid w:val="00E92C27"/>
    <w:rsid w:val="00EA0E3D"/>
    <w:rsid w:val="00EC38A7"/>
    <w:rsid w:val="00EE1AA8"/>
    <w:rsid w:val="00F07631"/>
    <w:rsid w:val="00F23FEA"/>
    <w:rsid w:val="00F31EDC"/>
    <w:rsid w:val="00F462B3"/>
    <w:rsid w:val="00F5664F"/>
    <w:rsid w:val="00F666C4"/>
    <w:rsid w:val="00F76AFC"/>
    <w:rsid w:val="00FA47C0"/>
    <w:rsid w:val="00FB1A22"/>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A5DD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A5DD1"/>
    <w:rPr>
      <w:rFonts w:ascii="Geomanist Light" w:hAnsi="Geomanist Light"/>
      <w:lang w:val="es-ES"/>
    </w:rPr>
  </w:style>
  <w:style w:type="character" w:customStyle="1" w:styleId="s15">
    <w:name w:val="s15"/>
    <w:basedOn w:val="Fuentedeprrafopredeter"/>
    <w:rsid w:val="004A5DD1"/>
  </w:style>
  <w:style w:type="character" w:customStyle="1" w:styleId="apple-converted-space">
    <w:name w:val="apple-converted-space"/>
    <w:basedOn w:val="Fuentedeprrafopredeter"/>
    <w:rsid w:val="004A5D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anliar.esap@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E710CF-D6A7-41ED-A2E9-75B4F1366163}"/>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17</Pages>
  <Words>5050</Words>
  <Characters>28032</Characters>
  <Application>Microsoft Office Word</Application>
  <DocSecurity>0</DocSecurity>
  <Lines>572</Lines>
  <Paragraphs>119</Paragraphs>
  <ScaleCrop>false</ScaleCrop>
  <Company/>
  <LinksUpToDate>false</LinksUpToDate>
  <CharactersWithSpaces>32963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9</cp:revision>
  <cp:lastPrinted>2023-01-10T21:18:00Z</cp:lastPrinted>
  <dcterms:created xsi:type="dcterms:W3CDTF">2026-01-23T20:30:00Z</dcterms:created>
  <dcterms:modified xsi:type="dcterms:W3CDTF">2026-01-23T21:12:00Z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