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C835CE" w14:textId="77777777" w:rsidR="008A66A7" w:rsidRPr="005852FE" w:rsidRDefault="008A66A7" w:rsidP="008A66A7">
      <w:pPr>
        <w:rPr>
          <w:rFonts w:ascii="Verdana" w:hAnsi="Verdana"/>
          <w:b/>
          <w:bCs/>
          <w:lang w:val="es-MX"/>
        </w:rPr>
      </w:pPr>
      <w:r w:rsidRPr="00D80902">
        <w:rPr>
          <w:rFonts w:ascii="Verdana" w:hAnsi="Verdana"/>
          <w:b/>
          <w:bCs/>
          <w:lang w:val="es-MX"/>
        </w:rPr>
        <w:t xml:space="preserve">REGISTRO MERCANTIL </w:t>
      </w:r>
      <w:r w:rsidRPr="00D80902">
        <w:rPr>
          <w:rFonts w:ascii="Verdana" w:hAnsi="Verdana"/>
          <w:b/>
          <w:lang w:val="es-MX"/>
        </w:rPr>
        <w:t xml:space="preserve">– </w:t>
      </w:r>
      <w:r w:rsidRPr="00D80902">
        <w:rPr>
          <w:rFonts w:ascii="Verdana" w:hAnsi="Verdana"/>
          <w:b/>
          <w:bCs/>
          <w:lang w:val="es-MX"/>
        </w:rPr>
        <w:t xml:space="preserve">Finalidad </w:t>
      </w:r>
      <w:r w:rsidRPr="00D80902">
        <w:rPr>
          <w:rFonts w:ascii="Verdana" w:hAnsi="Verdana"/>
          <w:b/>
          <w:lang w:val="es-MX"/>
        </w:rPr>
        <w:t xml:space="preserve">– </w:t>
      </w:r>
      <w:r w:rsidRPr="00D80902">
        <w:rPr>
          <w:rFonts w:ascii="Verdana" w:hAnsi="Verdana"/>
          <w:b/>
          <w:bCs/>
          <w:lang w:val="es-MX"/>
        </w:rPr>
        <w:t xml:space="preserve">Naturaleza jurídica </w:t>
      </w:r>
    </w:p>
    <w:p w14:paraId="4B2FEB67" w14:textId="0F43CA10" w:rsidR="0038261E" w:rsidRPr="0038261E" w:rsidRDefault="0038261E" w:rsidP="0038261E">
      <w:pPr>
        <w:jc w:val="both"/>
        <w:rPr>
          <w:rFonts w:ascii="Verdana" w:hAnsi="Verdana"/>
          <w:sz w:val="20"/>
          <w:szCs w:val="20"/>
          <w:lang w:val="es-MX"/>
        </w:rPr>
      </w:pPr>
      <w:r w:rsidRPr="0038261E">
        <w:rPr>
          <w:rFonts w:ascii="Verdana" w:hAnsi="Verdana"/>
          <w:sz w:val="20"/>
          <w:szCs w:val="20"/>
          <w:lang w:val="es-MX"/>
        </w:rPr>
        <w:t xml:space="preserve">El registro mercantil tiene “por objeto llevar la matrícula de los comerciantes y de los establecimientos de comercio, así como la inscripción de todos los actos, libros y documentos respecto de los cuales la ley exigiere esa formalidad”. Así, la matrícula mercantil es un medio de identificación que da publicidad a la condición de comerciante, la cual, de acuerdo con el artículo 10 del Código de Comercio, se establece para aquellas personas que se ocupan profesionalmente de una o varias de las actividades que el mismo código considera como comerciales o mercantiles, según el artículo 20 y 21. </w:t>
      </w:r>
    </w:p>
    <w:p w14:paraId="0B32BF6B" w14:textId="34E61EE6" w:rsidR="0038261E" w:rsidRDefault="0038261E" w:rsidP="0038261E">
      <w:pPr>
        <w:jc w:val="both"/>
        <w:rPr>
          <w:rFonts w:ascii="Verdana" w:hAnsi="Verdana"/>
          <w:sz w:val="20"/>
          <w:szCs w:val="20"/>
          <w:lang w:val="es-MX"/>
        </w:rPr>
      </w:pPr>
      <w:r w:rsidRPr="0038261E">
        <w:rPr>
          <w:rFonts w:ascii="Verdana" w:hAnsi="Verdana"/>
          <w:sz w:val="20"/>
          <w:szCs w:val="20"/>
          <w:lang w:val="es-MX"/>
        </w:rPr>
        <w:t xml:space="preserve">El artículo 20 del Código de Comercio, en el numeral 15, define como mercantil “Las empresas de obras o construcciones, reparaciones, montajes, instalaciones u ornamentaciones”. Por su parte, el artículo 11 del mismo estatuto dispone: “las personas que ejecuten ocasionalmente operaciones mercantiles no se considerarán comerciantes, pero estarán sujetas a las normas comerciales en cuanto a dichas operaciones”. Así mismo, el artículo 23 señala las actividades que no pueden considerarse mercantiles, y por lo tanto, no requiere que la persona se inscriba en el registro mercantil.  </w:t>
      </w:r>
    </w:p>
    <w:p w14:paraId="3BF30758" w14:textId="77777777" w:rsidR="008A66A7" w:rsidRPr="00D80902" w:rsidRDefault="008A66A7" w:rsidP="0038261E">
      <w:pPr>
        <w:jc w:val="both"/>
        <w:rPr>
          <w:rFonts w:ascii="Verdana" w:hAnsi="Verdana"/>
          <w:lang w:val="es-MX"/>
        </w:rPr>
      </w:pPr>
      <w:r w:rsidRPr="00D80902">
        <w:rPr>
          <w:rFonts w:ascii="Verdana" w:hAnsi="Verdana"/>
          <w:b/>
          <w:bCs/>
          <w:lang w:val="es-MX"/>
        </w:rPr>
        <w:t xml:space="preserve">REGISTRO MERCANTIL </w:t>
      </w:r>
      <w:r w:rsidRPr="00D80902">
        <w:rPr>
          <w:rFonts w:ascii="Verdana" w:hAnsi="Verdana"/>
          <w:b/>
          <w:lang w:val="es-MX"/>
        </w:rPr>
        <w:t xml:space="preserve">– Deber de inscripción – </w:t>
      </w:r>
      <w:r w:rsidRPr="00D80902">
        <w:rPr>
          <w:rFonts w:ascii="Verdana" w:hAnsi="Verdana"/>
          <w:b/>
          <w:bCs/>
          <w:lang w:val="es-MX"/>
        </w:rPr>
        <w:t xml:space="preserve">Sujetos obligados </w:t>
      </w:r>
      <w:r w:rsidRPr="00D80902">
        <w:rPr>
          <w:rFonts w:ascii="Verdana" w:hAnsi="Verdana"/>
          <w:b/>
          <w:lang w:val="es-MX"/>
        </w:rPr>
        <w:t xml:space="preserve">– </w:t>
      </w:r>
      <w:r w:rsidRPr="00D80902">
        <w:rPr>
          <w:rFonts w:ascii="Verdana" w:hAnsi="Verdana"/>
          <w:b/>
          <w:bCs/>
          <w:lang w:val="es-MX"/>
        </w:rPr>
        <w:t>Sanciones</w:t>
      </w:r>
    </w:p>
    <w:p w14:paraId="756D964E" w14:textId="77777777" w:rsidR="008A66A7" w:rsidRPr="00D80902" w:rsidRDefault="008A66A7" w:rsidP="008A66A7">
      <w:pPr>
        <w:jc w:val="both"/>
        <w:rPr>
          <w:rFonts w:ascii="Verdana" w:hAnsi="Verdana"/>
          <w:sz w:val="20"/>
          <w:szCs w:val="20"/>
          <w:lang w:val="es-MX"/>
        </w:rPr>
      </w:pPr>
      <w:r w:rsidRPr="00D80902">
        <w:rPr>
          <w:rFonts w:ascii="Verdana" w:hAnsi="Verdana"/>
          <w:sz w:val="20"/>
          <w:szCs w:val="20"/>
          <w:lang w:val="es-MX"/>
        </w:rPr>
        <w:t>Así las cosas, el artículo 28 del Código de Comercio señala que las personas que ejerzan profesionalmente el comercio y sus auxiliares, tales como los comisionistas, corredores, agentes, representantes de firmas nacionales o extranjeras, deben inscribirse en el registro mercantil, al mes siguiente de que inicien sus actividades. De tal forma, deberán inscribirse en el registro mercantil quienes realizan de manera habitual alguna actividad comercial de las definidas por el Código de Comercio, es decir, deben matricularse ante la Cámara de Comercio todas las personas naturales que realicen en forma permanente o habitual alguno de los actos u operaciones mercantiles, en caso contrario, a pesar de que sea un acto mercantil, la persona natural no debe estar inscrita en el registro. De otro lado, el artículo 37 del Código de Comercio dispone, como sanción aplicable al comerciante que ejerce el comercio sin registro mercantil, la imposición de una multa:</w:t>
      </w:r>
    </w:p>
    <w:p w14:paraId="082C184A" w14:textId="77777777" w:rsidR="008A66A7" w:rsidRPr="00D80902" w:rsidRDefault="008A66A7" w:rsidP="008A66A7">
      <w:pPr>
        <w:jc w:val="both"/>
        <w:rPr>
          <w:rFonts w:ascii="Verdana" w:hAnsi="Verdana"/>
          <w:sz w:val="20"/>
          <w:szCs w:val="20"/>
          <w:lang w:val="es-MX"/>
        </w:rPr>
      </w:pPr>
      <w:r w:rsidRPr="00D80902">
        <w:rPr>
          <w:rFonts w:ascii="Verdana" w:hAnsi="Verdana"/>
          <w:sz w:val="20"/>
          <w:szCs w:val="20"/>
          <w:lang w:val="es-MX"/>
        </w:rPr>
        <w:t>[…]</w:t>
      </w:r>
    </w:p>
    <w:p w14:paraId="1EAC7C5E" w14:textId="77777777" w:rsidR="008A66A7" w:rsidRDefault="008A66A7" w:rsidP="008A66A7">
      <w:pPr>
        <w:jc w:val="both"/>
        <w:rPr>
          <w:rFonts w:ascii="Verdana" w:hAnsi="Verdana"/>
          <w:sz w:val="20"/>
          <w:szCs w:val="20"/>
          <w:lang w:val="es-MX"/>
        </w:rPr>
      </w:pPr>
      <w:r w:rsidRPr="00D80902">
        <w:rPr>
          <w:rFonts w:ascii="Verdana" w:hAnsi="Verdana"/>
          <w:sz w:val="20"/>
          <w:szCs w:val="20"/>
          <w:lang w:val="es-MX"/>
        </w:rPr>
        <w:t>De la misma forma, el artículo 11 del Decreto 2153 de 1992, en el numeral 5, faculta al Superintendente Delegado para la Promoción de la Competencia para imponer multas de hasta diecisiete (17) salarios mínimos mensuales legales vigentes por ejercer profesionalmente el comercio sin estar matriculados en el registro; disposición que también sería aplicable ante la falta de renovación de</w:t>
      </w:r>
      <w:r w:rsidRPr="00D80902">
        <w:rPr>
          <w:rFonts w:ascii="Verdana" w:hAnsi="Verdana"/>
          <w:lang w:val="es-MX"/>
        </w:rPr>
        <w:t xml:space="preserve"> </w:t>
      </w:r>
      <w:r w:rsidRPr="00D80902">
        <w:rPr>
          <w:rFonts w:ascii="Verdana" w:hAnsi="Verdana"/>
          <w:sz w:val="20"/>
          <w:szCs w:val="20"/>
          <w:lang w:val="es-MX"/>
        </w:rPr>
        <w:t>este instrumento.</w:t>
      </w:r>
    </w:p>
    <w:p w14:paraId="5A2BDF70" w14:textId="77777777" w:rsidR="008A66A7" w:rsidRPr="00D57E44" w:rsidRDefault="008A66A7" w:rsidP="008A66A7">
      <w:pPr>
        <w:jc w:val="both"/>
        <w:rPr>
          <w:rFonts w:ascii="Verdana" w:hAnsi="Verdana" w:cs="Arial"/>
          <w:b/>
          <w:color w:val="000000"/>
          <w:kern w:val="2"/>
          <w:lang w:val="es-MX"/>
          <w14:ligatures w14:val="standardContextual"/>
        </w:rPr>
      </w:pPr>
      <w:r w:rsidRPr="00D57E44">
        <w:rPr>
          <w:rFonts w:ascii="Verdana" w:hAnsi="Verdana" w:cs="Arial"/>
          <w:b/>
          <w:color w:val="000000"/>
          <w:kern w:val="2"/>
          <w:lang w:val="es-MX"/>
          <w14:ligatures w14:val="standardContextual"/>
        </w:rPr>
        <w:t xml:space="preserve">REGISTRO MERCANTIL – Obligatoriedad – Articulo 33 del Código de Comercio – </w:t>
      </w:r>
      <w:r>
        <w:rPr>
          <w:rFonts w:ascii="Verdana" w:hAnsi="Verdana" w:cs="Arial"/>
          <w:b/>
          <w:color w:val="000000"/>
          <w:kern w:val="2"/>
          <w:lang w:val="es-MX"/>
          <w14:ligatures w14:val="standardContextual"/>
        </w:rPr>
        <w:t>Renovación</w:t>
      </w:r>
    </w:p>
    <w:p w14:paraId="1F5AD666" w14:textId="77777777" w:rsidR="001E263C" w:rsidRPr="006A5DEB" w:rsidRDefault="001E263C" w:rsidP="001E263C">
      <w:pPr>
        <w:shd w:val="clear" w:color="auto" w:fill="FFFFFF"/>
        <w:spacing w:after="120" w:line="240" w:lineRule="auto"/>
        <w:jc w:val="both"/>
        <w:rPr>
          <w:rFonts w:ascii="Verdana" w:eastAsia="Calibri" w:hAnsi="Verdana" w:cs="Arial"/>
          <w:bCs/>
          <w:color w:val="000000"/>
        </w:rPr>
      </w:pPr>
      <w:r w:rsidRPr="006A5DEB">
        <w:rPr>
          <w:rFonts w:ascii="Verdana" w:eastAsia="Calibri" w:hAnsi="Verdana" w:cs="Arial"/>
          <w:bCs/>
          <w:color w:val="000000"/>
        </w:rPr>
        <w:lastRenderedPageBreak/>
        <w:t xml:space="preserve">La </w:t>
      </w:r>
      <w:r w:rsidRPr="00952F14">
        <w:rPr>
          <w:rFonts w:ascii="Verdana" w:eastAsia="Calibri" w:hAnsi="Verdana" w:cs="Arial"/>
          <w:bCs/>
          <w:color w:val="000000"/>
        </w:rPr>
        <w:t>falta de inscripción o de renovación del registro mercantil no afecta, por sí misma, la capacidad jurídica ni contractual del oferente</w:t>
      </w:r>
      <w:r w:rsidRPr="006A5DEB">
        <w:rPr>
          <w:rFonts w:ascii="Verdana" w:eastAsia="Calibri" w:hAnsi="Verdana" w:cs="Arial"/>
          <w:bCs/>
          <w:color w:val="000000"/>
        </w:rPr>
        <w:t xml:space="preserve">, por lo que </w:t>
      </w:r>
      <w:r w:rsidRPr="00952F14">
        <w:rPr>
          <w:rFonts w:ascii="Verdana" w:eastAsia="Calibri" w:hAnsi="Verdana" w:cs="Arial"/>
          <w:bCs/>
          <w:color w:val="000000"/>
        </w:rPr>
        <w:t>no constituye una causa suficiente para que una entidad estatal se niegue a suscribir un contrato</w:t>
      </w:r>
      <w:r w:rsidRPr="006A5DEB">
        <w:rPr>
          <w:rFonts w:ascii="Verdana" w:eastAsia="Calibri" w:hAnsi="Verdana" w:cs="Arial"/>
          <w:bCs/>
          <w:color w:val="000000"/>
        </w:rPr>
        <w:t xml:space="preserve"> con un proponente ya seleccionado. Si bien</w:t>
      </w:r>
      <w:r>
        <w:rPr>
          <w:rFonts w:ascii="Verdana" w:eastAsia="Calibri" w:hAnsi="Verdana" w:cs="Arial"/>
          <w:bCs/>
          <w:color w:val="000000"/>
        </w:rPr>
        <w:t xml:space="preserve"> es cierto que, de acuerdo con el </w:t>
      </w:r>
      <w:r w:rsidRPr="006A5DEB">
        <w:rPr>
          <w:rFonts w:ascii="Verdana" w:eastAsia="Calibri" w:hAnsi="Verdana" w:cs="Arial"/>
          <w:bCs/>
          <w:color w:val="000000"/>
        </w:rPr>
        <w:t>art</w:t>
      </w:r>
      <w:r>
        <w:rPr>
          <w:rFonts w:ascii="Verdana" w:eastAsia="Calibri" w:hAnsi="Verdana" w:cs="Arial"/>
          <w:bCs/>
          <w:color w:val="000000"/>
        </w:rPr>
        <w:t>ículo</w:t>
      </w:r>
      <w:r w:rsidRPr="006A5DEB">
        <w:rPr>
          <w:rFonts w:ascii="Verdana" w:eastAsia="Calibri" w:hAnsi="Verdana" w:cs="Arial"/>
          <w:bCs/>
          <w:color w:val="000000"/>
        </w:rPr>
        <w:t xml:space="preserve"> 33 del Código de Comercio</w:t>
      </w:r>
      <w:r>
        <w:rPr>
          <w:rFonts w:ascii="Verdana" w:eastAsia="Calibri" w:hAnsi="Verdana" w:cs="Arial"/>
          <w:bCs/>
          <w:color w:val="000000"/>
        </w:rPr>
        <w:t>,</w:t>
      </w:r>
      <w:r w:rsidRPr="006A5DEB">
        <w:rPr>
          <w:rFonts w:ascii="Verdana" w:eastAsia="Calibri" w:hAnsi="Verdana" w:cs="Arial"/>
          <w:bCs/>
          <w:color w:val="000000"/>
        </w:rPr>
        <w:t xml:space="preserve"> el </w:t>
      </w:r>
      <w:r w:rsidRPr="00952F14">
        <w:rPr>
          <w:rFonts w:ascii="Verdana" w:eastAsia="Calibri" w:hAnsi="Verdana" w:cs="Arial"/>
          <w:bCs/>
          <w:color w:val="000000"/>
        </w:rPr>
        <w:t>registro mercantil es un deber legal de los comerciantes</w:t>
      </w:r>
      <w:r>
        <w:rPr>
          <w:rFonts w:ascii="Verdana" w:eastAsia="Calibri" w:hAnsi="Verdana" w:cs="Arial"/>
          <w:bCs/>
          <w:color w:val="000000"/>
        </w:rPr>
        <w:t>,</w:t>
      </w:r>
      <w:r w:rsidRPr="006A5DEB">
        <w:rPr>
          <w:rFonts w:ascii="Verdana" w:eastAsia="Calibri" w:hAnsi="Verdana" w:cs="Arial"/>
          <w:bCs/>
          <w:color w:val="000000"/>
        </w:rPr>
        <w:t xml:space="preserve"> este deber </w:t>
      </w:r>
      <w:r w:rsidRPr="00952F14">
        <w:rPr>
          <w:rFonts w:ascii="Verdana" w:eastAsia="Calibri" w:hAnsi="Verdana" w:cs="Arial"/>
          <w:bCs/>
          <w:color w:val="000000"/>
        </w:rPr>
        <w:t>no surge por la sola participación en un proceso de contratación</w:t>
      </w:r>
      <w:r w:rsidRPr="006A5DEB">
        <w:rPr>
          <w:rFonts w:ascii="Verdana" w:eastAsia="Calibri" w:hAnsi="Verdana" w:cs="Arial"/>
          <w:bCs/>
          <w:color w:val="000000"/>
        </w:rPr>
        <w:t xml:space="preserve">, sino cuando el sujeto ejerce actividades comerciales de manera profesional y habitual. En consecuencia, la ausencia de renovación </w:t>
      </w:r>
      <w:r w:rsidRPr="00952F14">
        <w:rPr>
          <w:rFonts w:ascii="Verdana" w:eastAsia="Calibri" w:hAnsi="Verdana" w:cs="Arial"/>
          <w:bCs/>
          <w:color w:val="000000"/>
        </w:rPr>
        <w:t>no implica pérdida de capacidad legal ni inhabilidad para contratar</w:t>
      </w:r>
      <w:r w:rsidRPr="006A5DEB">
        <w:rPr>
          <w:rFonts w:ascii="Verdana" w:eastAsia="Calibri" w:hAnsi="Verdana" w:cs="Arial"/>
          <w:bCs/>
          <w:color w:val="000000"/>
        </w:rPr>
        <w:t>.</w:t>
      </w:r>
    </w:p>
    <w:p w14:paraId="6F5E972C" w14:textId="77777777" w:rsidR="008A66A7" w:rsidRPr="001E263C" w:rsidRDefault="008A66A7" w:rsidP="008A66A7">
      <w:pPr>
        <w:spacing w:after="0" w:line="240" w:lineRule="auto"/>
        <w:contextualSpacing/>
        <w:jc w:val="both"/>
        <w:rPr>
          <w:rFonts w:ascii="Verdana" w:hAnsi="Verdana"/>
          <w:sz w:val="20"/>
          <w:szCs w:val="20"/>
        </w:rPr>
      </w:pPr>
    </w:p>
    <w:p w14:paraId="004B73CD" w14:textId="1080461A" w:rsidR="00F75ACB" w:rsidRDefault="008E6D0A" w:rsidP="00F75ACB">
      <w:pPr>
        <w:spacing w:after="0"/>
        <w:jc w:val="both"/>
        <w:rPr>
          <w:rFonts w:ascii="Verdana" w:eastAsia="Calibri" w:hAnsi="Verdana" w:cs="Arial"/>
          <w:b/>
          <w:bCs/>
          <w:lang w:val="es-MX"/>
        </w:rPr>
      </w:pPr>
      <w:r w:rsidRPr="008E6D0A">
        <w:rPr>
          <w:rFonts w:ascii="Verdana" w:eastAsia="Calibri" w:hAnsi="Verdana" w:cs="Arial"/>
          <w:b/>
          <w:bCs/>
          <w:lang w:val="es-MX"/>
        </w:rPr>
        <w:t>REGISTRO MERCANTIL – No afecta la capacidad jurídica</w:t>
      </w:r>
    </w:p>
    <w:p w14:paraId="47607219" w14:textId="77777777" w:rsidR="00F75ACB" w:rsidRPr="00F75ACB" w:rsidRDefault="00F75ACB" w:rsidP="00F75ACB">
      <w:pPr>
        <w:spacing w:after="0"/>
        <w:jc w:val="both"/>
        <w:rPr>
          <w:rFonts w:ascii="Verdana" w:eastAsia="Calibri" w:hAnsi="Verdana" w:cs="Arial"/>
          <w:b/>
          <w:bCs/>
          <w:lang w:val="es-MX"/>
        </w:rPr>
      </w:pPr>
    </w:p>
    <w:p w14:paraId="2B4F2D86" w14:textId="19D0F4C9" w:rsidR="00F75ACB" w:rsidRDefault="00F75ACB" w:rsidP="00F75ACB">
      <w:pPr>
        <w:shd w:val="clear" w:color="auto" w:fill="FFFFFF"/>
        <w:spacing w:after="120" w:line="240" w:lineRule="auto"/>
        <w:jc w:val="both"/>
        <w:rPr>
          <w:rFonts w:ascii="Verdana" w:eastAsia="Calibri" w:hAnsi="Verdana" w:cs="Arial"/>
          <w:bCs/>
          <w:color w:val="000000"/>
        </w:rPr>
      </w:pPr>
      <w:r w:rsidRPr="006A5DEB">
        <w:rPr>
          <w:rFonts w:ascii="Verdana" w:eastAsia="Calibri" w:hAnsi="Verdana" w:cs="Arial"/>
          <w:bCs/>
          <w:color w:val="000000"/>
        </w:rPr>
        <w:t xml:space="preserve">La </w:t>
      </w:r>
      <w:r w:rsidRPr="00952F14">
        <w:rPr>
          <w:rFonts w:ascii="Verdana" w:eastAsia="Calibri" w:hAnsi="Verdana" w:cs="Arial"/>
          <w:bCs/>
          <w:color w:val="000000"/>
        </w:rPr>
        <w:t>falta de inscripción o de renovación del registro mercantil no afecta, por sí misma, la capacidad jurídica ni contractual del oferente</w:t>
      </w:r>
      <w:r w:rsidRPr="006A5DEB">
        <w:rPr>
          <w:rFonts w:ascii="Verdana" w:eastAsia="Calibri" w:hAnsi="Verdana" w:cs="Arial"/>
          <w:bCs/>
          <w:color w:val="000000"/>
        </w:rPr>
        <w:t xml:space="preserve">, por lo que </w:t>
      </w:r>
      <w:r w:rsidRPr="00952F14">
        <w:rPr>
          <w:rFonts w:ascii="Verdana" w:eastAsia="Calibri" w:hAnsi="Verdana" w:cs="Arial"/>
          <w:bCs/>
          <w:color w:val="000000"/>
        </w:rPr>
        <w:t>no constituye una causa suficiente para que una entidad estatal se niegue a suscribir un contrato</w:t>
      </w:r>
      <w:r w:rsidRPr="006A5DEB">
        <w:rPr>
          <w:rFonts w:ascii="Verdana" w:eastAsia="Calibri" w:hAnsi="Verdana" w:cs="Arial"/>
          <w:bCs/>
          <w:color w:val="000000"/>
        </w:rPr>
        <w:t xml:space="preserve"> con un proponente ya seleccionado. Si bien</w:t>
      </w:r>
      <w:r>
        <w:rPr>
          <w:rFonts w:ascii="Verdana" w:eastAsia="Calibri" w:hAnsi="Verdana" w:cs="Arial"/>
          <w:bCs/>
          <w:color w:val="000000"/>
        </w:rPr>
        <w:t xml:space="preserve"> es cierto que, de acuerdo con el </w:t>
      </w:r>
      <w:r w:rsidRPr="006A5DEB">
        <w:rPr>
          <w:rFonts w:ascii="Verdana" w:eastAsia="Calibri" w:hAnsi="Verdana" w:cs="Arial"/>
          <w:bCs/>
          <w:color w:val="000000"/>
        </w:rPr>
        <w:t>art</w:t>
      </w:r>
      <w:r>
        <w:rPr>
          <w:rFonts w:ascii="Verdana" w:eastAsia="Calibri" w:hAnsi="Verdana" w:cs="Arial"/>
          <w:bCs/>
          <w:color w:val="000000"/>
        </w:rPr>
        <w:t>ículo</w:t>
      </w:r>
      <w:r w:rsidRPr="006A5DEB">
        <w:rPr>
          <w:rFonts w:ascii="Verdana" w:eastAsia="Calibri" w:hAnsi="Verdana" w:cs="Arial"/>
          <w:bCs/>
          <w:color w:val="000000"/>
        </w:rPr>
        <w:t xml:space="preserve"> 33 del Código de Comercio</w:t>
      </w:r>
      <w:r>
        <w:rPr>
          <w:rFonts w:ascii="Verdana" w:eastAsia="Calibri" w:hAnsi="Verdana" w:cs="Arial"/>
          <w:bCs/>
          <w:color w:val="000000"/>
        </w:rPr>
        <w:t>,</w:t>
      </w:r>
      <w:r w:rsidRPr="006A5DEB">
        <w:rPr>
          <w:rFonts w:ascii="Verdana" w:eastAsia="Calibri" w:hAnsi="Verdana" w:cs="Arial"/>
          <w:bCs/>
          <w:color w:val="000000"/>
        </w:rPr>
        <w:t xml:space="preserve"> el </w:t>
      </w:r>
      <w:r w:rsidRPr="00952F14">
        <w:rPr>
          <w:rFonts w:ascii="Verdana" w:eastAsia="Calibri" w:hAnsi="Verdana" w:cs="Arial"/>
          <w:bCs/>
          <w:color w:val="000000"/>
        </w:rPr>
        <w:t>registro mercantil es un deber legal de los comerciantes</w:t>
      </w:r>
      <w:r>
        <w:rPr>
          <w:rFonts w:ascii="Verdana" w:eastAsia="Calibri" w:hAnsi="Verdana" w:cs="Arial"/>
          <w:bCs/>
          <w:color w:val="000000"/>
        </w:rPr>
        <w:t>,</w:t>
      </w:r>
      <w:r w:rsidRPr="006A5DEB">
        <w:rPr>
          <w:rFonts w:ascii="Verdana" w:eastAsia="Calibri" w:hAnsi="Verdana" w:cs="Arial"/>
          <w:bCs/>
          <w:color w:val="000000"/>
        </w:rPr>
        <w:t xml:space="preserve"> este deber </w:t>
      </w:r>
      <w:r w:rsidRPr="00952F14">
        <w:rPr>
          <w:rFonts w:ascii="Verdana" w:eastAsia="Calibri" w:hAnsi="Verdana" w:cs="Arial"/>
          <w:bCs/>
          <w:color w:val="000000"/>
        </w:rPr>
        <w:t>no surge por la sola participación en un proceso de contratación</w:t>
      </w:r>
      <w:r w:rsidRPr="006A5DEB">
        <w:rPr>
          <w:rFonts w:ascii="Verdana" w:eastAsia="Calibri" w:hAnsi="Verdana" w:cs="Arial"/>
          <w:bCs/>
          <w:color w:val="000000"/>
        </w:rPr>
        <w:t xml:space="preserve">, sino cuando el sujeto ejerce actividades comerciales de manera profesional y habitual. En consecuencia, la ausencia de renovación </w:t>
      </w:r>
      <w:r w:rsidRPr="00952F14">
        <w:rPr>
          <w:rFonts w:ascii="Verdana" w:eastAsia="Calibri" w:hAnsi="Verdana" w:cs="Arial"/>
          <w:bCs/>
          <w:color w:val="000000"/>
        </w:rPr>
        <w:t>no implica pérdida de capacidad legal ni inhabilidad para contratar</w:t>
      </w:r>
      <w:r w:rsidRPr="006A5DEB">
        <w:rPr>
          <w:rFonts w:ascii="Verdana" w:eastAsia="Calibri" w:hAnsi="Verdana" w:cs="Arial"/>
          <w:bCs/>
          <w:color w:val="000000"/>
        </w:rPr>
        <w:t>.</w:t>
      </w:r>
    </w:p>
    <w:p w14:paraId="74B689CA" w14:textId="77777777" w:rsidR="00F75ACB" w:rsidRPr="006A5DEB" w:rsidRDefault="00F75ACB" w:rsidP="00F75ACB">
      <w:pPr>
        <w:shd w:val="clear" w:color="auto" w:fill="FFFFFF"/>
        <w:spacing w:after="120" w:line="276" w:lineRule="auto"/>
        <w:jc w:val="both"/>
        <w:rPr>
          <w:rFonts w:ascii="Verdana" w:eastAsia="Calibri" w:hAnsi="Verdana" w:cs="Arial"/>
          <w:bCs/>
          <w:color w:val="000000"/>
        </w:rPr>
      </w:pPr>
    </w:p>
    <w:p w14:paraId="22C6E0AA" w14:textId="6B60AB4D" w:rsidR="008A66A7" w:rsidRDefault="00B575F4" w:rsidP="00B575F4">
      <w:pPr>
        <w:spacing w:after="0"/>
        <w:jc w:val="both"/>
        <w:rPr>
          <w:rFonts w:ascii="Verdana" w:eastAsia="Calibri" w:hAnsi="Verdana" w:cs="Arial"/>
          <w:b/>
          <w:bCs/>
          <w:lang w:val="es-MX"/>
        </w:rPr>
      </w:pPr>
      <w:r w:rsidRPr="00B575F4">
        <w:rPr>
          <w:rFonts w:ascii="Verdana" w:eastAsia="Calibri" w:hAnsi="Verdana" w:cs="Arial"/>
          <w:b/>
          <w:bCs/>
          <w:lang w:val="es-MX"/>
        </w:rPr>
        <w:t>REGISTRO MERCANTIL – Razonabilidad – No es exigible a los no obligados</w:t>
      </w:r>
    </w:p>
    <w:p w14:paraId="5693F811" w14:textId="77777777" w:rsidR="00B575F4" w:rsidRDefault="00B575F4" w:rsidP="008A66A7">
      <w:pPr>
        <w:spacing w:after="0"/>
        <w:rPr>
          <w:rFonts w:ascii="Verdana" w:eastAsia="Calibri" w:hAnsi="Verdana" w:cs="Arial"/>
          <w:lang w:val="es-MX"/>
        </w:rPr>
      </w:pPr>
    </w:p>
    <w:p w14:paraId="376849BB" w14:textId="77777777" w:rsidR="004528AA" w:rsidRPr="004528AA" w:rsidRDefault="004528AA" w:rsidP="004528AA">
      <w:pPr>
        <w:shd w:val="clear" w:color="auto" w:fill="FFFFFF"/>
        <w:spacing w:after="120" w:line="240" w:lineRule="auto"/>
        <w:jc w:val="both"/>
        <w:rPr>
          <w:rFonts w:ascii="Verdana" w:eastAsia="Calibri" w:hAnsi="Verdana" w:cs="Arial"/>
          <w:bCs/>
          <w:color w:val="000000"/>
          <w:sz w:val="20"/>
          <w:szCs w:val="20"/>
        </w:rPr>
      </w:pPr>
      <w:r w:rsidRPr="004528AA">
        <w:rPr>
          <w:rFonts w:ascii="Verdana" w:eastAsia="Calibri" w:hAnsi="Verdana" w:cs="Arial"/>
          <w:bCs/>
          <w:color w:val="000000"/>
          <w:sz w:val="20"/>
          <w:szCs w:val="20"/>
        </w:rPr>
        <w:t xml:space="preserve">No obstante, es razonable que en procesos cuyo objeto implique el ejercicio de actos de comercio, las entidades exijan a los comerciantes tener vigente su matrícula mercantil. Sin embargo, </w:t>
      </w:r>
      <w:r w:rsidRPr="004528AA">
        <w:rPr>
          <w:rFonts w:ascii="Verdana" w:eastAsia="Calibri" w:hAnsi="Verdana" w:cs="Arial"/>
          <w:color w:val="000000"/>
          <w:sz w:val="20"/>
          <w:szCs w:val="20"/>
        </w:rPr>
        <w:t>al no tratarse de un requisito de ponderación de ofertas, su ausencia debe ser subsanable,</w:t>
      </w:r>
      <w:r w:rsidRPr="004528AA">
        <w:rPr>
          <w:rFonts w:ascii="Verdana" w:eastAsia="Calibri" w:hAnsi="Verdana" w:cs="Arial"/>
          <w:bCs/>
          <w:color w:val="000000"/>
          <w:sz w:val="20"/>
          <w:szCs w:val="20"/>
        </w:rPr>
        <w:t xml:space="preserve"> conforme al parágrafo 1 del artículo 5 de la Ley 1150 de 2007, especialmente cuando la no renovación ocurre con posterioridad al cierre del proceso o a la adjudicación, teniendo en cuenta que verificación debe hacerse con base en la información vigente a esa fecha. En todo caso, independientemente de lo exigido por la Entidad Estatal en el pliego de condiciones, </w:t>
      </w:r>
      <w:r w:rsidRPr="004528AA">
        <w:rPr>
          <w:rFonts w:ascii="Verdana" w:eastAsia="Calibri" w:hAnsi="Verdana" w:cs="Arial"/>
          <w:color w:val="000000"/>
          <w:sz w:val="20"/>
          <w:szCs w:val="20"/>
        </w:rPr>
        <w:t xml:space="preserve">si el proponente no está legalmente obligado a inscribirse en el registro mercantil, </w:t>
      </w:r>
      <w:r w:rsidRPr="004528AA">
        <w:rPr>
          <w:rFonts w:ascii="Verdana" w:eastAsia="Calibri" w:hAnsi="Verdana" w:cs="Arial"/>
          <w:bCs/>
          <w:color w:val="000000"/>
          <w:sz w:val="20"/>
          <w:szCs w:val="20"/>
        </w:rPr>
        <w:t xml:space="preserve">dicho requisito no le resulta exigible y </w:t>
      </w:r>
      <w:r w:rsidRPr="004528AA">
        <w:rPr>
          <w:rFonts w:ascii="Verdana" w:eastAsia="Calibri" w:hAnsi="Verdana" w:cs="Arial"/>
          <w:color w:val="000000"/>
          <w:sz w:val="20"/>
          <w:szCs w:val="20"/>
        </w:rPr>
        <w:t>no puede justificar el rechazo de la oferta ni la negativa a suscribir el contrato.</w:t>
      </w:r>
    </w:p>
    <w:p w14:paraId="3D86B9ED" w14:textId="77777777" w:rsidR="008A66A7" w:rsidRPr="004528AA" w:rsidRDefault="008A66A7" w:rsidP="008A66A7">
      <w:pPr>
        <w:spacing w:after="0" w:line="240" w:lineRule="auto"/>
        <w:contextualSpacing/>
        <w:jc w:val="both"/>
        <w:rPr>
          <w:rFonts w:ascii="Verdana" w:eastAsia="Calibri" w:hAnsi="Verdana" w:cs="Arial"/>
          <w:sz w:val="20"/>
          <w:szCs w:val="20"/>
        </w:rPr>
      </w:pPr>
    </w:p>
    <w:p w14:paraId="5D4D8039" w14:textId="77777777" w:rsidR="00B575F4" w:rsidRDefault="00B575F4" w:rsidP="008A66A7">
      <w:pPr>
        <w:spacing w:after="0" w:line="240" w:lineRule="auto"/>
        <w:contextualSpacing/>
        <w:jc w:val="both"/>
        <w:rPr>
          <w:rFonts w:ascii="Verdana" w:eastAsia="Calibri" w:hAnsi="Verdana" w:cs="Arial"/>
          <w:sz w:val="20"/>
          <w:szCs w:val="20"/>
          <w:lang w:val="es-ES"/>
        </w:rPr>
      </w:pPr>
    </w:p>
    <w:p w14:paraId="1AF2BFAF" w14:textId="77777777" w:rsidR="00B575F4" w:rsidRDefault="00B575F4" w:rsidP="008A66A7">
      <w:pPr>
        <w:spacing w:after="0" w:line="240" w:lineRule="auto"/>
        <w:contextualSpacing/>
        <w:jc w:val="both"/>
        <w:rPr>
          <w:rFonts w:ascii="Verdana" w:eastAsia="Calibri" w:hAnsi="Verdana" w:cs="Arial"/>
          <w:sz w:val="20"/>
          <w:szCs w:val="20"/>
          <w:lang w:val="es-ES"/>
        </w:rPr>
      </w:pPr>
    </w:p>
    <w:p w14:paraId="2406B157" w14:textId="77777777" w:rsidR="00B575F4" w:rsidRDefault="00B575F4" w:rsidP="008A66A7">
      <w:pPr>
        <w:spacing w:after="0" w:line="240" w:lineRule="auto"/>
        <w:contextualSpacing/>
        <w:jc w:val="both"/>
        <w:rPr>
          <w:rFonts w:ascii="Verdana" w:eastAsia="Calibri" w:hAnsi="Verdana" w:cs="Arial"/>
          <w:sz w:val="20"/>
          <w:szCs w:val="20"/>
          <w:lang w:val="es-ES"/>
        </w:rPr>
      </w:pPr>
    </w:p>
    <w:p w14:paraId="4D7F7178" w14:textId="77777777" w:rsidR="000E4F6A" w:rsidRDefault="000E4F6A" w:rsidP="008A66A7">
      <w:pPr>
        <w:spacing w:after="0"/>
        <w:rPr>
          <w:rFonts w:ascii="Verdana" w:eastAsia="Calibri" w:hAnsi="Verdana" w:cs="Arial"/>
          <w:sz w:val="20"/>
          <w:szCs w:val="20"/>
          <w:lang w:val="es-ES"/>
        </w:rPr>
      </w:pPr>
    </w:p>
    <w:p w14:paraId="325ACAA4" w14:textId="77777777" w:rsidR="00DB39FA" w:rsidRDefault="00DB39FA" w:rsidP="008A66A7">
      <w:pPr>
        <w:spacing w:after="0"/>
        <w:rPr>
          <w:rFonts w:ascii="Verdana" w:eastAsia="Calibri" w:hAnsi="Verdana" w:cs="Arial"/>
          <w:sz w:val="20"/>
          <w:szCs w:val="20"/>
          <w:lang w:val="es-ES"/>
        </w:rPr>
      </w:pPr>
    </w:p>
    <w:p w14:paraId="03E5F496" w14:textId="4156CE98" w:rsidR="008A66A7" w:rsidRPr="008720C8" w:rsidRDefault="008A66A7" w:rsidP="008A66A7">
      <w:pPr>
        <w:spacing w:after="0"/>
        <w:rPr>
          <w:rFonts w:ascii="Verdana" w:hAnsi="Verdana"/>
        </w:rPr>
      </w:pPr>
      <w:r w:rsidRPr="008720C8">
        <w:rPr>
          <w:rFonts w:ascii="Verdana" w:hAnsi="Verdana"/>
        </w:rPr>
        <w:lastRenderedPageBreak/>
        <w:t xml:space="preserve">Bogotá D.C., </w:t>
      </w:r>
      <w:r w:rsidR="00DB39FA">
        <w:rPr>
          <w:rFonts w:ascii="Verdana" w:hAnsi="Verdana"/>
        </w:rPr>
        <w:t>26 Enero 2026</w:t>
      </w:r>
    </w:p>
    <w:p w14:paraId="27E4D976" w14:textId="3EB428DF" w:rsidR="008A66A7" w:rsidRPr="008720C8" w:rsidRDefault="00705891" w:rsidP="008A66A7">
      <w:pPr>
        <w:spacing w:after="0"/>
        <w:rPr>
          <w:rFonts w:ascii="Verdana" w:hAnsi="Verdana"/>
          <w:lang w:val="es-ES"/>
        </w:rPr>
      </w:pPr>
      <w:r w:rsidRPr="00705891">
        <w:rPr>
          <w:rFonts w:ascii="Verdana" w:eastAsia="Calibri" w:hAnsi="Verdana" w:cs="Arial"/>
          <w:noProof/>
          <w:color w:val="EE0000"/>
          <w:lang w:val="es-ES" w:eastAsia="es-ES"/>
        </w:rPr>
        <w:drawing>
          <wp:anchor distT="0" distB="0" distL="114300" distR="114300" simplePos="0" relativeHeight="251658240" behindDoc="1" locked="0" layoutInCell="1" allowOverlap="1" wp14:anchorId="043A2C59" wp14:editId="0F0EAAD5">
            <wp:simplePos x="0" y="0"/>
            <wp:positionH relativeFrom="margin">
              <wp:posOffset>2868930</wp:posOffset>
            </wp:positionH>
            <wp:positionV relativeFrom="paragraph">
              <wp:posOffset>127000</wp:posOffset>
            </wp:positionV>
            <wp:extent cx="2828925" cy="852170"/>
            <wp:effectExtent l="0" t="0" r="0" b="5080"/>
            <wp:wrapNone/>
            <wp:docPr id="5455336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533698"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828925" cy="852170"/>
                    </a:xfrm>
                    <a:prstGeom prst="rect">
                      <a:avLst/>
                    </a:prstGeom>
                  </pic:spPr>
                </pic:pic>
              </a:graphicData>
            </a:graphic>
            <wp14:sizeRelH relativeFrom="margin">
              <wp14:pctWidth>0</wp14:pctWidth>
            </wp14:sizeRelH>
            <wp14:sizeRelV relativeFrom="margin">
              <wp14:pctHeight>0</wp14:pctHeight>
            </wp14:sizeRelV>
          </wp:anchor>
        </w:drawing>
      </w:r>
    </w:p>
    <w:p w14:paraId="11775BD6" w14:textId="34551284" w:rsidR="008A66A7" w:rsidRPr="00AE3B20" w:rsidRDefault="008A66A7" w:rsidP="008A66A7">
      <w:pPr>
        <w:spacing w:after="0" w:line="240" w:lineRule="auto"/>
        <w:rPr>
          <w:rFonts w:ascii="Verdana" w:hAnsi="Verdana"/>
          <w:lang w:val="es-ES"/>
        </w:rPr>
      </w:pPr>
      <w:bookmarkStart w:id="0" w:name="_Hlk143780582"/>
      <w:r w:rsidRPr="00AE3B20">
        <w:rPr>
          <w:rFonts w:ascii="Verdana" w:eastAsia="Calibri" w:hAnsi="Verdana" w:cs="Arial"/>
          <w:lang w:val="es-ES" w:eastAsia="es-ES"/>
        </w:rPr>
        <w:t>Señora</w:t>
      </w:r>
    </w:p>
    <w:p w14:paraId="2B0ADDA9" w14:textId="2F251609" w:rsidR="008A66A7" w:rsidRPr="00AE3B20" w:rsidRDefault="008A66A7" w:rsidP="008A66A7">
      <w:pPr>
        <w:spacing w:after="0"/>
        <w:rPr>
          <w:rFonts w:ascii="Verdana" w:eastAsia="Calibri" w:hAnsi="Verdana" w:cs="Arial"/>
          <w:b/>
          <w:bCs/>
          <w:lang w:val="es-ES" w:eastAsia="es-ES"/>
        </w:rPr>
      </w:pPr>
      <w:r w:rsidRPr="00AE3B20">
        <w:rPr>
          <w:rFonts w:ascii="Verdana" w:eastAsia="Calibri" w:hAnsi="Verdana" w:cs="Arial"/>
          <w:b/>
          <w:bCs/>
          <w:lang w:val="es-ES" w:eastAsia="es-ES"/>
        </w:rPr>
        <w:t>Gabriela Hernández Arévalo</w:t>
      </w:r>
    </w:p>
    <w:p w14:paraId="5AE669B8" w14:textId="6AE9FFC8" w:rsidR="008A66A7" w:rsidRPr="003D00E1" w:rsidRDefault="008A66A7" w:rsidP="008A66A7">
      <w:pPr>
        <w:spacing w:after="0"/>
        <w:rPr>
          <w:rStyle w:val="Hipervnculo"/>
          <w:rFonts w:ascii="Verdana" w:hAnsi="Verdana"/>
          <w:color w:val="EE0000"/>
        </w:rPr>
      </w:pPr>
      <w:hyperlink r:id="rId12" w:history="1">
        <w:r w:rsidRPr="00336764">
          <w:rPr>
            <w:rStyle w:val="Hipervnculo"/>
            <w:rFonts w:ascii="Verdana" w:hAnsi="Verdana"/>
          </w:rPr>
          <w:t>gaby86729@gmail.com</w:t>
        </w:r>
      </w:hyperlink>
      <w:r>
        <w:rPr>
          <w:rStyle w:val="Hipervnculo"/>
          <w:rFonts w:ascii="Verdana" w:hAnsi="Verdana"/>
          <w:color w:val="EE0000"/>
        </w:rPr>
        <w:t xml:space="preserve"> </w:t>
      </w:r>
    </w:p>
    <w:p w14:paraId="5472A311" w14:textId="77777777" w:rsidR="008A66A7" w:rsidRPr="00DF2240" w:rsidRDefault="008A66A7" w:rsidP="008A66A7">
      <w:pPr>
        <w:spacing w:after="0"/>
        <w:rPr>
          <w:rFonts w:ascii="Verdana" w:eastAsia="Calibri" w:hAnsi="Verdana" w:cs="Arial"/>
          <w:lang w:val="es-ES" w:eastAsia="es-ES"/>
        </w:rPr>
      </w:pPr>
      <w:r w:rsidRPr="00DF2240">
        <w:rPr>
          <w:rFonts w:ascii="Verdana" w:eastAsia="Calibri" w:hAnsi="Verdana" w:cs="Arial"/>
          <w:lang w:val="es-ES" w:eastAsia="es-ES"/>
        </w:rPr>
        <w:t>Bogotá D.C</w:t>
      </w:r>
    </w:p>
    <w:p w14:paraId="4CE69A3E" w14:textId="422F8D37" w:rsidR="008A66A7" w:rsidRPr="003D00E1" w:rsidRDefault="008A66A7" w:rsidP="008A66A7">
      <w:pPr>
        <w:spacing w:after="0"/>
        <w:rPr>
          <w:rFonts w:ascii="Verdana" w:eastAsia="Calibri" w:hAnsi="Verdana" w:cs="Arial"/>
          <w:color w:val="EE0000"/>
          <w:lang w:val="es-ES" w:eastAsia="es-ES"/>
        </w:rPr>
      </w:pPr>
    </w:p>
    <w:p w14:paraId="45B818E9" w14:textId="77777777" w:rsidR="008A66A7" w:rsidRPr="003D00E1" w:rsidRDefault="008A66A7" w:rsidP="008A66A7">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A66A7" w:rsidRPr="003D00E1" w14:paraId="301A962C" w14:textId="77777777" w:rsidTr="006E0969">
        <w:trPr>
          <w:trHeight w:val="300"/>
        </w:trPr>
        <w:tc>
          <w:tcPr>
            <w:tcW w:w="2410" w:type="dxa"/>
          </w:tcPr>
          <w:p w14:paraId="42A07B0F" w14:textId="77777777" w:rsidR="008A66A7" w:rsidRPr="0033390A" w:rsidRDefault="008A66A7" w:rsidP="006E0969">
            <w:pPr>
              <w:ind w:left="-142"/>
              <w:jc w:val="both"/>
              <w:rPr>
                <w:rFonts w:ascii="Verdana" w:eastAsia="Calibri" w:hAnsi="Verdana" w:cs="Arial"/>
                <w:b/>
                <w:bCs/>
                <w:lang w:val="es-ES" w:eastAsia="es-ES_tradnl"/>
              </w:rPr>
            </w:pPr>
          </w:p>
        </w:tc>
        <w:tc>
          <w:tcPr>
            <w:tcW w:w="6100" w:type="dxa"/>
          </w:tcPr>
          <w:p w14:paraId="219DD52E" w14:textId="77777777" w:rsidR="008A66A7" w:rsidRPr="0033390A" w:rsidRDefault="008A66A7" w:rsidP="006E0969">
            <w:pPr>
              <w:ind w:left="3"/>
              <w:jc w:val="both"/>
              <w:rPr>
                <w:rFonts w:ascii="Verdana" w:eastAsia="Calibri" w:hAnsi="Verdana" w:cs="Arial"/>
                <w:b/>
                <w:bCs/>
                <w:lang w:val="es-ES" w:eastAsia="es-ES"/>
              </w:rPr>
            </w:pPr>
            <w:r w:rsidRPr="0033390A">
              <w:rPr>
                <w:rFonts w:ascii="Verdana" w:eastAsia="Calibri" w:hAnsi="Verdana" w:cs="Arial"/>
                <w:b/>
                <w:bCs/>
                <w:lang w:val="es-ES" w:eastAsia="es-ES"/>
              </w:rPr>
              <w:t>Concepto C-1844 de 2025</w:t>
            </w:r>
          </w:p>
          <w:p w14:paraId="3F07FA50" w14:textId="77777777" w:rsidR="008A66A7" w:rsidRPr="0033390A" w:rsidRDefault="008A66A7" w:rsidP="006E0969">
            <w:pPr>
              <w:ind w:left="3"/>
              <w:jc w:val="both"/>
              <w:rPr>
                <w:rFonts w:ascii="Verdana" w:eastAsia="Calibri" w:hAnsi="Verdana" w:cs="Arial"/>
                <w:b/>
                <w:bCs/>
                <w:lang w:val="es-ES" w:eastAsia="es-ES"/>
              </w:rPr>
            </w:pPr>
          </w:p>
        </w:tc>
      </w:tr>
      <w:tr w:rsidR="008A66A7" w:rsidRPr="003D00E1" w14:paraId="5F5AD20A" w14:textId="77777777" w:rsidTr="006E0969">
        <w:trPr>
          <w:trHeight w:val="300"/>
        </w:trPr>
        <w:tc>
          <w:tcPr>
            <w:tcW w:w="2410" w:type="dxa"/>
          </w:tcPr>
          <w:p w14:paraId="06FFD7ED" w14:textId="77777777" w:rsidR="008A66A7" w:rsidRPr="003D00E1" w:rsidRDefault="008A66A7" w:rsidP="006E0969">
            <w:pPr>
              <w:ind w:left="424" w:firstLine="137"/>
              <w:jc w:val="both"/>
              <w:rPr>
                <w:rFonts w:ascii="Verdana" w:eastAsia="Calibri" w:hAnsi="Verdana" w:cs="Arial"/>
                <w:color w:val="EE0000"/>
                <w:lang w:val="es-ES" w:eastAsia="es-ES_tradnl"/>
              </w:rPr>
            </w:pPr>
            <w:r w:rsidRPr="0023629F">
              <w:rPr>
                <w:rFonts w:ascii="Verdana" w:eastAsia="Calibri" w:hAnsi="Verdana" w:cs="Arial"/>
                <w:b/>
                <w:lang w:val="es-ES" w:eastAsia="es-ES_tradnl"/>
              </w:rPr>
              <w:t>Temas:</w:t>
            </w:r>
            <w:r w:rsidRPr="0023629F">
              <w:rPr>
                <w:rFonts w:ascii="Verdana" w:eastAsia="Calibri" w:hAnsi="Verdana" w:cs="Arial"/>
                <w:lang w:val="es-ES" w:eastAsia="es-ES_tradnl"/>
              </w:rPr>
              <w:t xml:space="preserve">                  </w:t>
            </w:r>
          </w:p>
        </w:tc>
        <w:tc>
          <w:tcPr>
            <w:tcW w:w="6100" w:type="dxa"/>
          </w:tcPr>
          <w:p w14:paraId="200B4C95" w14:textId="5D6F2703" w:rsidR="008A66A7" w:rsidRDefault="008A66A7" w:rsidP="00952F14">
            <w:pPr>
              <w:spacing w:line="276" w:lineRule="auto"/>
              <w:jc w:val="both"/>
              <w:rPr>
                <w:rFonts w:ascii="Verdana" w:eastAsia="Calibri" w:hAnsi="Verdana" w:cs="Arial"/>
                <w:lang w:val="es-ES" w:eastAsia="es-ES"/>
              </w:rPr>
            </w:pPr>
            <w:r w:rsidRPr="0030581E">
              <w:rPr>
                <w:rFonts w:ascii="Verdana" w:eastAsia="Calibri" w:hAnsi="Verdana" w:cs="Arial"/>
                <w:lang w:val="es-ES" w:eastAsia="es-ES"/>
              </w:rPr>
              <w:t xml:space="preserve">REGISTRO MERCANTIL – Finalidad – Naturaleza jurídica / REGISTRO MERCANTIL – Deber de inscripción – Sujetos obligados – Sanciones / REGISTRO MERCANTIL – Obligatoriedad – Articulo 33 del Código de Comercio – Renovación / </w:t>
            </w:r>
            <w:r w:rsidR="0061217F" w:rsidRPr="0030581E">
              <w:rPr>
                <w:rFonts w:ascii="Verdana" w:eastAsia="Calibri" w:hAnsi="Verdana" w:cs="Arial"/>
                <w:lang w:val="es-ES" w:eastAsia="es-ES"/>
              </w:rPr>
              <w:t xml:space="preserve">REGISTRO MERCANTIL – </w:t>
            </w:r>
            <w:r w:rsidR="0061217F">
              <w:rPr>
                <w:rFonts w:ascii="Verdana" w:eastAsia="Calibri" w:hAnsi="Verdana" w:cs="Arial"/>
                <w:lang w:val="es-ES" w:eastAsia="es-ES"/>
              </w:rPr>
              <w:t xml:space="preserve">No afecta la capacidad jurídica / </w:t>
            </w:r>
            <w:r w:rsidR="0061217F" w:rsidRPr="0030581E">
              <w:rPr>
                <w:rFonts w:ascii="Verdana" w:eastAsia="Calibri" w:hAnsi="Verdana" w:cs="Arial"/>
                <w:lang w:val="es-ES" w:eastAsia="es-ES"/>
              </w:rPr>
              <w:t xml:space="preserve">REGISTRO MERCANTIL </w:t>
            </w:r>
            <w:r w:rsidR="0061217F">
              <w:rPr>
                <w:rFonts w:ascii="Verdana" w:eastAsia="Calibri" w:hAnsi="Verdana" w:cs="Arial"/>
                <w:lang w:val="es-ES" w:eastAsia="es-ES"/>
              </w:rPr>
              <w:t>– Razonabilidad – No es exigible a los no obligados</w:t>
            </w:r>
          </w:p>
          <w:p w14:paraId="6C85AD6B" w14:textId="77777777" w:rsidR="008A66A7" w:rsidRPr="003D00E1" w:rsidRDefault="008A66A7" w:rsidP="006E0969">
            <w:pPr>
              <w:jc w:val="both"/>
              <w:rPr>
                <w:rFonts w:ascii="Verdana" w:hAnsi="Verdana"/>
                <w:color w:val="EE0000"/>
              </w:rPr>
            </w:pPr>
          </w:p>
        </w:tc>
      </w:tr>
      <w:tr w:rsidR="008A66A7" w:rsidRPr="003D00E1" w14:paraId="19B6DC79" w14:textId="77777777" w:rsidTr="006E0969">
        <w:tc>
          <w:tcPr>
            <w:tcW w:w="2410" w:type="dxa"/>
          </w:tcPr>
          <w:p w14:paraId="3A38A053" w14:textId="77777777" w:rsidR="008A66A7" w:rsidRPr="0033390A" w:rsidRDefault="008A66A7" w:rsidP="006E0969">
            <w:pPr>
              <w:ind w:left="561"/>
              <w:jc w:val="both"/>
              <w:rPr>
                <w:rFonts w:ascii="Verdana" w:eastAsia="Calibri" w:hAnsi="Verdana" w:cs="Arial"/>
                <w:b/>
                <w:lang w:val="es-ES" w:eastAsia="es-ES_tradnl"/>
              </w:rPr>
            </w:pPr>
            <w:r w:rsidRPr="0033390A">
              <w:rPr>
                <w:rFonts w:ascii="Verdana" w:eastAsia="Calibri" w:hAnsi="Verdana" w:cs="Arial"/>
                <w:b/>
                <w:lang w:val="es-ES" w:eastAsia="es-ES_tradnl"/>
              </w:rPr>
              <w:t>Radicación:</w:t>
            </w:r>
            <w:r w:rsidRPr="0033390A">
              <w:rPr>
                <w:rFonts w:ascii="Verdana" w:eastAsia="Calibri" w:hAnsi="Verdana" w:cs="Arial"/>
                <w:lang w:val="es-ES" w:eastAsia="es-ES_tradnl"/>
              </w:rPr>
              <w:t xml:space="preserve">              </w:t>
            </w:r>
          </w:p>
        </w:tc>
        <w:tc>
          <w:tcPr>
            <w:tcW w:w="6100" w:type="dxa"/>
          </w:tcPr>
          <w:p w14:paraId="296B7010" w14:textId="77777777" w:rsidR="008A66A7" w:rsidRPr="0033390A" w:rsidRDefault="008A66A7" w:rsidP="006E0969">
            <w:pPr>
              <w:ind w:left="3"/>
              <w:jc w:val="both"/>
              <w:rPr>
                <w:rFonts w:ascii="Verdana" w:hAnsi="Verdana"/>
                <w:lang w:val="es-ES"/>
              </w:rPr>
            </w:pPr>
            <w:r w:rsidRPr="0033390A">
              <w:rPr>
                <w:rFonts w:ascii="Verdana" w:eastAsia="Calibri" w:hAnsi="Verdana" w:cs="Arial"/>
                <w:lang w:val="es-ES" w:eastAsia="es-ES"/>
              </w:rPr>
              <w:t>Respuesta a consulta con radicado No. 1_2025_12_18_014144</w:t>
            </w:r>
          </w:p>
        </w:tc>
      </w:tr>
    </w:tbl>
    <w:p w14:paraId="1734CC73" w14:textId="77777777" w:rsidR="008A66A7" w:rsidRPr="003D00E1" w:rsidRDefault="008A66A7" w:rsidP="008A66A7">
      <w:pPr>
        <w:spacing w:after="0" w:line="276" w:lineRule="auto"/>
        <w:jc w:val="both"/>
        <w:rPr>
          <w:rFonts w:ascii="Verdana" w:eastAsia="Calibri" w:hAnsi="Verdana" w:cs="Arial"/>
          <w:color w:val="EE0000"/>
          <w:lang w:val="es-ES" w:eastAsia="es-ES"/>
        </w:rPr>
      </w:pPr>
    </w:p>
    <w:p w14:paraId="5F941DFC" w14:textId="77777777" w:rsidR="008A66A7" w:rsidRPr="003D00E1" w:rsidRDefault="008A66A7" w:rsidP="008A66A7">
      <w:pPr>
        <w:spacing w:after="0" w:line="276" w:lineRule="auto"/>
        <w:jc w:val="both"/>
        <w:rPr>
          <w:rFonts w:ascii="Verdana" w:eastAsia="Calibri" w:hAnsi="Verdana" w:cs="Arial"/>
          <w:color w:val="EE0000"/>
          <w:lang w:val="es-ES" w:eastAsia="es-ES"/>
        </w:rPr>
      </w:pPr>
    </w:p>
    <w:p w14:paraId="504F2DF4" w14:textId="77777777" w:rsidR="008A66A7" w:rsidRPr="007F576C" w:rsidRDefault="008A66A7" w:rsidP="008A66A7">
      <w:pPr>
        <w:spacing w:after="0" w:line="276" w:lineRule="auto"/>
        <w:jc w:val="both"/>
        <w:rPr>
          <w:rFonts w:ascii="Verdana" w:eastAsia="Calibri" w:hAnsi="Verdana" w:cs="Arial"/>
          <w:lang w:val="es-ES" w:eastAsia="es-ES"/>
        </w:rPr>
      </w:pPr>
      <w:r w:rsidRPr="007F576C">
        <w:rPr>
          <w:rFonts w:ascii="Verdana" w:eastAsia="Calibri" w:hAnsi="Verdana" w:cs="Arial"/>
          <w:lang w:val="es-ES" w:eastAsia="es-ES"/>
        </w:rPr>
        <w:t>Estimada Señora Hernández,</w:t>
      </w:r>
    </w:p>
    <w:p w14:paraId="08A2C894" w14:textId="77777777" w:rsidR="008A66A7" w:rsidRPr="007F576C" w:rsidRDefault="008A66A7" w:rsidP="008A66A7">
      <w:pPr>
        <w:spacing w:after="0" w:line="276" w:lineRule="auto"/>
        <w:jc w:val="both"/>
        <w:rPr>
          <w:rFonts w:ascii="Verdana" w:eastAsia="Calibri" w:hAnsi="Verdana" w:cs="Arial"/>
          <w:lang w:val="es-ES" w:eastAsia="es-ES"/>
        </w:rPr>
      </w:pPr>
    </w:p>
    <w:p w14:paraId="56C0879F" w14:textId="3F02F536" w:rsidR="00B17DD9" w:rsidRDefault="008A66A7" w:rsidP="00B17DD9">
      <w:pPr>
        <w:spacing w:before="120" w:after="120" w:line="276" w:lineRule="auto"/>
        <w:jc w:val="both"/>
        <w:rPr>
          <w:rFonts w:ascii="Verdana" w:eastAsia="Century Gothic" w:hAnsi="Verdana" w:cs="Century Gothic"/>
          <w:i/>
          <w:iCs/>
          <w:lang w:val="es-ES"/>
        </w:rPr>
      </w:pPr>
      <w:r w:rsidRPr="007F576C">
        <w:rPr>
          <w:rFonts w:ascii="Verdana" w:eastAsia="Calibri" w:hAnsi="Verdana" w:cs="Arial"/>
          <w:lang w:val="es-ES" w:eastAsia="es-ES"/>
        </w:rPr>
        <w:t>En ejercicio de la competencia otorgada por los artículos 3, numeral 5º, y 11, numeral 8º, del Decreto Ley 4170 de 2011,</w:t>
      </w:r>
      <w:r w:rsidRPr="007F576C">
        <w:rPr>
          <w:rFonts w:ascii="Verdana" w:eastAsia="Arial MT" w:hAnsi="Verdana" w:cs="Arial MT"/>
          <w:lang w:val="es-ES" w:eastAsia="es-ES"/>
        </w:rPr>
        <w:t xml:space="preserve"> </w:t>
      </w:r>
      <w:r w:rsidRPr="007F576C">
        <w:rPr>
          <w:rFonts w:ascii="Verdana" w:hAnsi="Verdana" w:cs="Arial"/>
          <w:lang w:val="es-ES"/>
        </w:rPr>
        <w:t xml:space="preserve">así como lo establecido en el artículo 4 de la Resolución 1707 de 2018 expedida por esta Entidad, </w:t>
      </w:r>
      <w:r w:rsidRPr="007F576C">
        <w:rPr>
          <w:rFonts w:ascii="Verdana" w:eastAsia="Calibri" w:hAnsi="Verdana" w:cs="Arial"/>
          <w:lang w:val="es-ES" w:eastAsia="es-ES"/>
        </w:rPr>
        <w:t xml:space="preserve">la Agencia Nacional de Contratación Pública – Colombia Compra Eficiente– responde su solicitud de consulta de fecha 18 de diciembre de 2025, en la cual manifiesta lo siguiente: </w:t>
      </w:r>
      <w:r w:rsidRPr="00952F14">
        <w:rPr>
          <w:rFonts w:ascii="Verdana" w:eastAsia="Century Gothic" w:hAnsi="Verdana" w:cs="Century Gothic"/>
          <w:i/>
          <w:lang w:val="es-ES"/>
        </w:rPr>
        <w:t>“¿Puede una entidad pública negar la suscripción de un contrato estatal a un proponente seleccionado por el solo hecho de no tener renovada su matrícula mercantil al momento de la firma del contrato</w:t>
      </w:r>
      <w:r w:rsidRPr="00952F14">
        <w:rPr>
          <w:rFonts w:ascii="Verdana" w:eastAsia="Century Gothic" w:hAnsi="Verdana" w:cs="Century Gothic"/>
          <w:i/>
          <w:iCs/>
          <w:lang w:val="es-ES"/>
        </w:rPr>
        <w:t>?”</w:t>
      </w:r>
      <w:r w:rsidR="00843205">
        <w:rPr>
          <w:rFonts w:ascii="Verdana" w:eastAsia="Century Gothic" w:hAnsi="Verdana" w:cs="Century Gothic"/>
          <w:i/>
          <w:iCs/>
          <w:lang w:val="es-ES"/>
        </w:rPr>
        <w:t>.</w:t>
      </w:r>
    </w:p>
    <w:p w14:paraId="21759836" w14:textId="62B4468F" w:rsidR="008A66A7" w:rsidRPr="009F16E6" w:rsidRDefault="00B17DD9" w:rsidP="00952F14">
      <w:pPr>
        <w:spacing w:before="120" w:after="120" w:line="276" w:lineRule="auto"/>
        <w:jc w:val="both"/>
        <w:rPr>
          <w:rFonts w:ascii="Verdana" w:eastAsia="Calibri" w:hAnsi="Verdana" w:cs="Arial"/>
          <w:lang w:val="es-ES" w:eastAsia="es-ES"/>
        </w:rPr>
      </w:pPr>
      <w:r>
        <w:rPr>
          <w:rFonts w:ascii="Verdana" w:eastAsia="Century Gothic" w:hAnsi="Verdana" w:cs="Century Gothic"/>
          <w:i/>
          <w:iCs/>
          <w:color w:val="EE0000"/>
          <w:lang w:val="es-ES"/>
        </w:rPr>
        <w:tab/>
      </w:r>
      <w:r w:rsidR="008A66A7" w:rsidRPr="009F16E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008A66A7" w:rsidRPr="009F16E6">
        <w:rPr>
          <w:rFonts w:ascii="Verdana" w:eastAsia="Calibri" w:hAnsi="Verdana" w:cs="Arial"/>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008A66A7" w:rsidRPr="009F16E6">
        <w:rPr>
          <w:rFonts w:ascii="Verdana" w:hAnsi="Verdana"/>
          <w:lang w:val="es-ES"/>
        </w:rPr>
        <w:tab/>
      </w:r>
    </w:p>
    <w:p w14:paraId="375D0797" w14:textId="77777777" w:rsidR="008A66A7" w:rsidRPr="009F16E6" w:rsidRDefault="008A66A7" w:rsidP="008A66A7">
      <w:pPr>
        <w:spacing w:after="0" w:line="276" w:lineRule="auto"/>
        <w:ind w:firstLine="709"/>
        <w:jc w:val="both"/>
        <w:rPr>
          <w:rFonts w:ascii="Verdana" w:eastAsia="Calibri" w:hAnsi="Verdana" w:cs="Arial"/>
          <w:lang w:val="es-ES" w:eastAsia="es-ES"/>
        </w:rPr>
      </w:pPr>
      <w:r w:rsidRPr="009F16E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6F8F9A3" w14:textId="77777777" w:rsidR="008A66A7" w:rsidRPr="009F16E6" w:rsidRDefault="008A66A7" w:rsidP="008A66A7">
      <w:pPr>
        <w:spacing w:after="0" w:line="276" w:lineRule="auto"/>
        <w:ind w:firstLine="709"/>
        <w:jc w:val="both"/>
        <w:rPr>
          <w:rFonts w:ascii="Verdana" w:eastAsia="Calibri" w:hAnsi="Verdana" w:cs="Arial"/>
          <w:lang w:val="es-ES" w:eastAsia="es-ES"/>
        </w:rPr>
      </w:pPr>
    </w:p>
    <w:p w14:paraId="188D8429" w14:textId="77777777" w:rsidR="008A66A7" w:rsidRPr="009F16E6" w:rsidRDefault="008A66A7" w:rsidP="008A66A7">
      <w:pPr>
        <w:tabs>
          <w:tab w:val="left" w:pos="142"/>
          <w:tab w:val="left" w:pos="284"/>
        </w:tabs>
        <w:spacing w:after="0" w:line="276" w:lineRule="auto"/>
        <w:contextualSpacing/>
        <w:jc w:val="both"/>
        <w:rPr>
          <w:rFonts w:ascii="Verdana" w:eastAsia="Century Gothic" w:hAnsi="Verdana" w:cs="Century Gothic"/>
          <w:b/>
          <w:lang w:val="es-ES"/>
        </w:rPr>
      </w:pPr>
      <w:r w:rsidRPr="009F16E6">
        <w:rPr>
          <w:rFonts w:ascii="Verdana" w:eastAsia="Century Gothic" w:hAnsi="Verdana" w:cs="Century Gothic"/>
          <w:b/>
          <w:lang w:val="es-ES"/>
        </w:rPr>
        <w:t>1. Problema planteado:</w:t>
      </w:r>
    </w:p>
    <w:p w14:paraId="0813D73D" w14:textId="77777777" w:rsidR="008A66A7" w:rsidRPr="003D00E1" w:rsidRDefault="008A66A7" w:rsidP="008A66A7">
      <w:pPr>
        <w:tabs>
          <w:tab w:val="left" w:pos="426"/>
        </w:tabs>
        <w:spacing w:after="0" w:line="276" w:lineRule="auto"/>
        <w:jc w:val="both"/>
        <w:rPr>
          <w:rFonts w:ascii="Verdana" w:eastAsia="Century Gothic" w:hAnsi="Verdana" w:cs="Century Gothic"/>
          <w:color w:val="EE0000"/>
          <w:lang w:val="es-ES"/>
        </w:rPr>
      </w:pPr>
    </w:p>
    <w:p w14:paraId="7C34F76E" w14:textId="77777777" w:rsidR="008A66A7" w:rsidRPr="003B40AB" w:rsidRDefault="008A66A7" w:rsidP="008A66A7">
      <w:pPr>
        <w:spacing w:after="0" w:line="276" w:lineRule="auto"/>
        <w:jc w:val="both"/>
        <w:rPr>
          <w:rFonts w:ascii="Verdana" w:eastAsia="Century Gothic" w:hAnsi="Verdana" w:cs="Century Gothic"/>
        </w:rPr>
      </w:pPr>
      <w:r w:rsidRPr="00EC5BE3">
        <w:rPr>
          <w:rFonts w:ascii="Verdana" w:eastAsia="Century Gothic" w:hAnsi="Verdana" w:cs="Century Gothic"/>
          <w:lang w:val="es-ES"/>
        </w:rPr>
        <w:t xml:space="preserve">De acuerdo con el contenido de su solicitud, esta Agencia resolverá el siguiente problema jurídico: </w:t>
      </w:r>
      <w:r w:rsidRPr="003B40AB">
        <w:rPr>
          <w:rFonts w:ascii="Verdana" w:eastAsia="Century Gothic" w:hAnsi="Verdana" w:cs="Century Gothic"/>
        </w:rPr>
        <w:t>¿Puede una entidad pública abstenerse de suscribir un contrato estatal con un proponente ya seleccionado</w:t>
      </w:r>
      <w:r>
        <w:rPr>
          <w:rFonts w:ascii="Verdana" w:eastAsia="Century Gothic" w:hAnsi="Verdana" w:cs="Century Gothic"/>
        </w:rPr>
        <w:t xml:space="preserve">, </w:t>
      </w:r>
      <w:r w:rsidRPr="003B40AB">
        <w:rPr>
          <w:rFonts w:ascii="Verdana" w:eastAsia="Century Gothic" w:hAnsi="Verdana" w:cs="Century Gothic"/>
        </w:rPr>
        <w:t>por no tener renovada su matrícula mercantil?</w:t>
      </w:r>
    </w:p>
    <w:p w14:paraId="1705209D" w14:textId="77777777" w:rsidR="008A66A7" w:rsidRPr="003D00E1" w:rsidRDefault="008A66A7" w:rsidP="008A66A7">
      <w:pPr>
        <w:spacing w:after="0" w:line="276" w:lineRule="auto"/>
        <w:jc w:val="both"/>
        <w:rPr>
          <w:rFonts w:ascii="Verdana" w:eastAsia="Century Gothic" w:hAnsi="Verdana" w:cs="Century Gothic"/>
          <w:color w:val="EE0000"/>
        </w:rPr>
      </w:pPr>
    </w:p>
    <w:p w14:paraId="3AC0DF02" w14:textId="77777777" w:rsidR="008A66A7" w:rsidRPr="00EC5BE3" w:rsidRDefault="008A66A7" w:rsidP="008A66A7">
      <w:pPr>
        <w:tabs>
          <w:tab w:val="left" w:pos="142"/>
          <w:tab w:val="left" w:pos="284"/>
        </w:tabs>
        <w:spacing w:after="0" w:line="276" w:lineRule="auto"/>
        <w:jc w:val="both"/>
        <w:rPr>
          <w:rFonts w:ascii="Verdana" w:eastAsia="Century Gothic" w:hAnsi="Verdana" w:cs="Century Gothic"/>
          <w:b/>
          <w:lang w:val="es-ES"/>
        </w:rPr>
      </w:pPr>
      <w:r w:rsidRPr="00EC5BE3">
        <w:rPr>
          <w:rFonts w:ascii="Verdana" w:eastAsia="Century Gothic" w:hAnsi="Verdana" w:cs="Century Gothic"/>
          <w:b/>
          <w:lang w:val="es-ES"/>
        </w:rPr>
        <w:t>2. Respuesta:</w:t>
      </w:r>
    </w:p>
    <w:p w14:paraId="14381D81" w14:textId="77777777" w:rsidR="008A66A7" w:rsidRPr="003D00E1" w:rsidRDefault="008A66A7" w:rsidP="008A66A7">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A66A7" w:rsidRPr="003D00E1" w14:paraId="240394AF" w14:textId="77777777">
        <w:tc>
          <w:tcPr>
            <w:tcW w:w="8828" w:type="dxa"/>
          </w:tcPr>
          <w:p w14:paraId="19863465" w14:textId="2E046F9F" w:rsidR="006A5DEB" w:rsidRPr="006A5DEB" w:rsidRDefault="006A5DEB" w:rsidP="006A5DEB">
            <w:pPr>
              <w:shd w:val="clear" w:color="auto" w:fill="FFFFFF"/>
              <w:spacing w:after="120" w:line="276" w:lineRule="auto"/>
              <w:jc w:val="both"/>
              <w:rPr>
                <w:rFonts w:ascii="Verdana" w:eastAsia="Calibri" w:hAnsi="Verdana" w:cs="Arial"/>
                <w:bCs/>
                <w:color w:val="000000"/>
              </w:rPr>
            </w:pPr>
            <w:r w:rsidRPr="006A5DEB">
              <w:rPr>
                <w:rFonts w:ascii="Verdana" w:eastAsia="Calibri" w:hAnsi="Verdana" w:cs="Arial"/>
                <w:bCs/>
                <w:color w:val="000000"/>
              </w:rPr>
              <w:t xml:space="preserve">La </w:t>
            </w:r>
            <w:r w:rsidRPr="00952F14">
              <w:rPr>
                <w:rFonts w:ascii="Verdana" w:eastAsia="Calibri" w:hAnsi="Verdana" w:cs="Arial"/>
                <w:bCs/>
                <w:color w:val="000000"/>
              </w:rPr>
              <w:t>falta de inscripción o de renovación del registro mercantil no afecta, por sí misma, la capacidad jurídica ni contractual del oferente</w:t>
            </w:r>
            <w:r w:rsidRPr="006A5DEB">
              <w:rPr>
                <w:rFonts w:ascii="Verdana" w:eastAsia="Calibri" w:hAnsi="Verdana" w:cs="Arial"/>
                <w:bCs/>
                <w:color w:val="000000"/>
              </w:rPr>
              <w:t xml:space="preserve">, por lo que </w:t>
            </w:r>
            <w:r w:rsidRPr="00952F14">
              <w:rPr>
                <w:rFonts w:ascii="Verdana" w:eastAsia="Calibri" w:hAnsi="Verdana" w:cs="Arial"/>
                <w:bCs/>
                <w:color w:val="000000"/>
              </w:rPr>
              <w:t>no constituye una causa suficiente para que una entidad estatal se niegue a suscribir un contrato</w:t>
            </w:r>
            <w:r w:rsidRPr="006A5DEB">
              <w:rPr>
                <w:rFonts w:ascii="Verdana" w:eastAsia="Calibri" w:hAnsi="Verdana" w:cs="Arial"/>
                <w:bCs/>
                <w:color w:val="000000"/>
              </w:rPr>
              <w:t xml:space="preserve"> con un proponente ya seleccionado. Si bien</w:t>
            </w:r>
            <w:r w:rsidR="00A065D6">
              <w:rPr>
                <w:rFonts w:ascii="Verdana" w:eastAsia="Calibri" w:hAnsi="Verdana" w:cs="Arial"/>
                <w:bCs/>
                <w:color w:val="000000"/>
              </w:rPr>
              <w:t xml:space="preserve"> es cierto que, de acuerdo con el </w:t>
            </w:r>
            <w:r w:rsidR="00A065D6" w:rsidRPr="006A5DEB">
              <w:rPr>
                <w:rFonts w:ascii="Verdana" w:eastAsia="Calibri" w:hAnsi="Verdana" w:cs="Arial"/>
                <w:bCs/>
                <w:color w:val="000000"/>
              </w:rPr>
              <w:t>art</w:t>
            </w:r>
            <w:r w:rsidR="00A065D6">
              <w:rPr>
                <w:rFonts w:ascii="Verdana" w:eastAsia="Calibri" w:hAnsi="Verdana" w:cs="Arial"/>
                <w:bCs/>
                <w:color w:val="000000"/>
              </w:rPr>
              <w:t>ículo</w:t>
            </w:r>
            <w:r w:rsidR="00A065D6" w:rsidRPr="006A5DEB">
              <w:rPr>
                <w:rFonts w:ascii="Verdana" w:eastAsia="Calibri" w:hAnsi="Verdana" w:cs="Arial"/>
                <w:bCs/>
                <w:color w:val="000000"/>
              </w:rPr>
              <w:t xml:space="preserve"> 33 del Código de Comercio</w:t>
            </w:r>
            <w:r w:rsidR="00A065D6">
              <w:rPr>
                <w:rFonts w:ascii="Verdana" w:eastAsia="Calibri" w:hAnsi="Verdana" w:cs="Arial"/>
                <w:bCs/>
                <w:color w:val="000000"/>
              </w:rPr>
              <w:t>,</w:t>
            </w:r>
            <w:r w:rsidRPr="006A5DEB">
              <w:rPr>
                <w:rFonts w:ascii="Verdana" w:eastAsia="Calibri" w:hAnsi="Verdana" w:cs="Arial"/>
                <w:bCs/>
                <w:color w:val="000000"/>
              </w:rPr>
              <w:t xml:space="preserve"> el </w:t>
            </w:r>
            <w:r w:rsidRPr="00952F14">
              <w:rPr>
                <w:rFonts w:ascii="Verdana" w:eastAsia="Calibri" w:hAnsi="Verdana" w:cs="Arial"/>
                <w:bCs/>
                <w:color w:val="000000"/>
              </w:rPr>
              <w:t>registro mercantil es un deber legal de los comerciantes</w:t>
            </w:r>
            <w:r w:rsidR="00A065D6">
              <w:rPr>
                <w:rFonts w:ascii="Verdana" w:eastAsia="Calibri" w:hAnsi="Verdana" w:cs="Arial"/>
                <w:bCs/>
                <w:color w:val="000000"/>
              </w:rPr>
              <w:t>,</w:t>
            </w:r>
            <w:r w:rsidRPr="006A5DEB">
              <w:rPr>
                <w:rFonts w:ascii="Verdana" w:eastAsia="Calibri" w:hAnsi="Verdana" w:cs="Arial"/>
                <w:bCs/>
                <w:color w:val="000000"/>
              </w:rPr>
              <w:t xml:space="preserve"> este deber </w:t>
            </w:r>
            <w:r w:rsidRPr="00952F14">
              <w:rPr>
                <w:rFonts w:ascii="Verdana" w:eastAsia="Calibri" w:hAnsi="Verdana" w:cs="Arial"/>
                <w:bCs/>
                <w:color w:val="000000"/>
              </w:rPr>
              <w:t>no surge por la sola participación en un proceso de contratación</w:t>
            </w:r>
            <w:r w:rsidRPr="006A5DEB">
              <w:rPr>
                <w:rFonts w:ascii="Verdana" w:eastAsia="Calibri" w:hAnsi="Verdana" w:cs="Arial"/>
                <w:bCs/>
                <w:color w:val="000000"/>
              </w:rPr>
              <w:t xml:space="preserve">, sino cuando el sujeto ejerce actividades comerciales de manera profesional y habitual. En consecuencia, la ausencia de renovación </w:t>
            </w:r>
            <w:r w:rsidRPr="00952F14">
              <w:rPr>
                <w:rFonts w:ascii="Verdana" w:eastAsia="Calibri" w:hAnsi="Verdana" w:cs="Arial"/>
                <w:bCs/>
                <w:color w:val="000000"/>
              </w:rPr>
              <w:t>no implica pérdida de capacidad legal ni inhabilidad para contratar</w:t>
            </w:r>
            <w:r w:rsidRPr="006A5DEB">
              <w:rPr>
                <w:rFonts w:ascii="Verdana" w:eastAsia="Calibri" w:hAnsi="Verdana" w:cs="Arial"/>
                <w:bCs/>
                <w:color w:val="000000"/>
              </w:rPr>
              <w:t>.</w:t>
            </w:r>
          </w:p>
          <w:p w14:paraId="0268E1C5" w14:textId="7145AC4D" w:rsidR="006A5DEB" w:rsidRPr="006A5DEB" w:rsidRDefault="006A5DEB" w:rsidP="00952F14">
            <w:pPr>
              <w:shd w:val="clear" w:color="auto" w:fill="FFFFFF"/>
              <w:spacing w:after="120" w:line="276" w:lineRule="auto"/>
              <w:ind w:firstLine="709"/>
              <w:jc w:val="both"/>
              <w:rPr>
                <w:rFonts w:ascii="Verdana" w:eastAsia="Calibri" w:hAnsi="Verdana" w:cs="Arial"/>
                <w:bCs/>
                <w:color w:val="000000"/>
              </w:rPr>
            </w:pPr>
            <w:r w:rsidRPr="006A5DEB">
              <w:rPr>
                <w:rFonts w:ascii="Verdana" w:eastAsia="Calibri" w:hAnsi="Verdana" w:cs="Arial"/>
                <w:bCs/>
                <w:color w:val="000000"/>
              </w:rPr>
              <w:t xml:space="preserve">No obstante, es razonable que en procesos cuyo objeto implique el ejercicio de actos de comercio, las entidades exijan a los comerciantes tener vigente su matrícula mercantil. Sin embargo, </w:t>
            </w:r>
            <w:r w:rsidRPr="00952F14">
              <w:rPr>
                <w:rFonts w:ascii="Verdana" w:eastAsia="Calibri" w:hAnsi="Verdana" w:cs="Arial"/>
                <w:color w:val="000000"/>
              </w:rPr>
              <w:t xml:space="preserve">al no tratarse de un requisito de </w:t>
            </w:r>
            <w:r w:rsidRPr="00952F14">
              <w:rPr>
                <w:rFonts w:ascii="Verdana" w:eastAsia="Calibri" w:hAnsi="Verdana" w:cs="Arial"/>
                <w:color w:val="000000"/>
              </w:rPr>
              <w:lastRenderedPageBreak/>
              <w:t>ponderación de ofertas</w:t>
            </w:r>
            <w:r w:rsidRPr="00F53D5E">
              <w:rPr>
                <w:rFonts w:ascii="Verdana" w:eastAsia="Calibri" w:hAnsi="Verdana" w:cs="Arial"/>
                <w:color w:val="000000"/>
              </w:rPr>
              <w:t xml:space="preserve">, su </w:t>
            </w:r>
            <w:r w:rsidR="00A035EC" w:rsidRPr="00F53D5E">
              <w:rPr>
                <w:rFonts w:ascii="Verdana" w:eastAsia="Calibri" w:hAnsi="Verdana" w:cs="Arial"/>
                <w:color w:val="000000"/>
              </w:rPr>
              <w:t>ausencia</w:t>
            </w:r>
            <w:r w:rsidRPr="00F53D5E">
              <w:rPr>
                <w:rFonts w:ascii="Verdana" w:eastAsia="Calibri" w:hAnsi="Verdana" w:cs="Arial"/>
                <w:color w:val="000000"/>
              </w:rPr>
              <w:t xml:space="preserve"> </w:t>
            </w:r>
            <w:r w:rsidRPr="00952F14">
              <w:rPr>
                <w:rFonts w:ascii="Verdana" w:eastAsia="Calibri" w:hAnsi="Verdana" w:cs="Arial"/>
                <w:color w:val="000000"/>
              </w:rPr>
              <w:t>debe ser subsanable</w:t>
            </w:r>
            <w:r w:rsidRPr="00F53D5E">
              <w:rPr>
                <w:rFonts w:ascii="Verdana" w:eastAsia="Calibri" w:hAnsi="Verdana" w:cs="Arial"/>
                <w:color w:val="000000"/>
              </w:rPr>
              <w:t>,</w:t>
            </w:r>
            <w:r w:rsidRPr="006A5DEB">
              <w:rPr>
                <w:rFonts w:ascii="Verdana" w:eastAsia="Calibri" w:hAnsi="Verdana" w:cs="Arial"/>
                <w:bCs/>
                <w:color w:val="000000"/>
              </w:rPr>
              <w:t xml:space="preserve"> conforme al parágrafo 1 del artículo 5 de la Ley 1150 de 2007, especialmente cuando la no renovación ocurre con posterioridad al cierre del proceso o a la adjudicación, </w:t>
            </w:r>
            <w:r w:rsidR="00F53D5E">
              <w:rPr>
                <w:rFonts w:ascii="Verdana" w:eastAsia="Calibri" w:hAnsi="Verdana" w:cs="Arial"/>
                <w:bCs/>
                <w:color w:val="000000"/>
              </w:rPr>
              <w:t xml:space="preserve">teniendo en cuenta que </w:t>
            </w:r>
            <w:r w:rsidRPr="006A5DEB">
              <w:rPr>
                <w:rFonts w:ascii="Verdana" w:eastAsia="Calibri" w:hAnsi="Verdana" w:cs="Arial"/>
                <w:bCs/>
                <w:color w:val="000000"/>
              </w:rPr>
              <w:t>verificación debe hacerse con base en la información vigente a esa fecha.</w:t>
            </w:r>
            <w:r w:rsidR="00F53D5E">
              <w:rPr>
                <w:rFonts w:ascii="Verdana" w:eastAsia="Calibri" w:hAnsi="Verdana" w:cs="Arial"/>
                <w:bCs/>
                <w:color w:val="000000"/>
              </w:rPr>
              <w:t xml:space="preserve"> En todo caso, independientemente de lo exigido por la Entidad Estatal en el pliego de condiciones</w:t>
            </w:r>
            <w:r w:rsidR="00561AE1">
              <w:rPr>
                <w:rFonts w:ascii="Verdana" w:eastAsia="Calibri" w:hAnsi="Verdana" w:cs="Arial"/>
                <w:bCs/>
                <w:color w:val="000000"/>
              </w:rPr>
              <w:t>,</w:t>
            </w:r>
            <w:r w:rsidRPr="006A5DEB">
              <w:rPr>
                <w:rFonts w:ascii="Verdana" w:eastAsia="Calibri" w:hAnsi="Verdana" w:cs="Arial"/>
                <w:bCs/>
                <w:color w:val="000000"/>
              </w:rPr>
              <w:t xml:space="preserve"> </w:t>
            </w:r>
            <w:r w:rsidRPr="00952F14">
              <w:rPr>
                <w:rFonts w:ascii="Verdana" w:eastAsia="Calibri" w:hAnsi="Verdana" w:cs="Arial"/>
                <w:color w:val="000000"/>
              </w:rPr>
              <w:t>si el proponente no está legalmente obligado a inscribirse en el registro mercantil</w:t>
            </w:r>
            <w:r w:rsidRPr="00F53D5E">
              <w:rPr>
                <w:rFonts w:ascii="Verdana" w:eastAsia="Calibri" w:hAnsi="Verdana" w:cs="Arial"/>
                <w:color w:val="000000"/>
              </w:rPr>
              <w:t xml:space="preserve">, </w:t>
            </w:r>
            <w:r w:rsidRPr="006A5DEB">
              <w:rPr>
                <w:rFonts w:ascii="Verdana" w:eastAsia="Calibri" w:hAnsi="Verdana" w:cs="Arial"/>
                <w:bCs/>
                <w:color w:val="000000"/>
              </w:rPr>
              <w:t xml:space="preserve">dicho requisito no le resulta exigible y </w:t>
            </w:r>
            <w:r w:rsidRPr="00952F14">
              <w:rPr>
                <w:rFonts w:ascii="Verdana" w:eastAsia="Calibri" w:hAnsi="Verdana" w:cs="Arial"/>
                <w:color w:val="000000"/>
              </w:rPr>
              <w:t>no puede justificar el rechazo de la oferta ni la negativa a suscribir el contrato</w:t>
            </w:r>
            <w:r w:rsidRPr="00F53D5E">
              <w:rPr>
                <w:rFonts w:ascii="Verdana" w:eastAsia="Calibri" w:hAnsi="Verdana" w:cs="Arial"/>
                <w:color w:val="000000"/>
              </w:rPr>
              <w:t>.</w:t>
            </w:r>
          </w:p>
          <w:p w14:paraId="6DFAC50F" w14:textId="023B2F96" w:rsidR="006A5DEB" w:rsidRDefault="006A5DEB" w:rsidP="00952F14">
            <w:pPr>
              <w:shd w:val="clear" w:color="auto" w:fill="FFFFFF"/>
              <w:spacing w:after="120" w:line="276" w:lineRule="auto"/>
              <w:ind w:firstLine="709"/>
              <w:jc w:val="both"/>
              <w:rPr>
                <w:rFonts w:ascii="Verdana" w:eastAsia="Calibri" w:hAnsi="Verdana" w:cs="Arial"/>
                <w:bCs/>
                <w:color w:val="000000"/>
              </w:rPr>
            </w:pPr>
            <w:r w:rsidRPr="006A5DEB">
              <w:rPr>
                <w:rFonts w:ascii="Verdana" w:eastAsia="Calibri" w:hAnsi="Verdana" w:cs="Arial"/>
                <w:bCs/>
                <w:color w:val="000000"/>
              </w:rPr>
              <w:t xml:space="preserve">Finalmente, el análisis debe realizarse </w:t>
            </w:r>
            <w:r w:rsidR="00561AE1" w:rsidRPr="00952F14">
              <w:rPr>
                <w:rFonts w:ascii="Verdana" w:eastAsia="Calibri" w:hAnsi="Verdana" w:cs="Arial"/>
                <w:color w:val="000000"/>
              </w:rPr>
              <w:t>en cada caso concreto</w:t>
            </w:r>
            <w:r w:rsidRPr="003456BC">
              <w:rPr>
                <w:rFonts w:ascii="Verdana" w:eastAsia="Calibri" w:hAnsi="Verdana" w:cs="Arial"/>
                <w:color w:val="000000"/>
              </w:rPr>
              <w:t>,</w:t>
            </w:r>
            <w:r w:rsidRPr="006A5DEB">
              <w:rPr>
                <w:rFonts w:ascii="Verdana" w:eastAsia="Calibri" w:hAnsi="Verdana" w:cs="Arial"/>
                <w:bCs/>
                <w:color w:val="000000"/>
              </w:rPr>
              <w:t xml:space="preserve"> dentro del marco de cada procedimiento contractual. Por ello, esta interpretación tiene carácter general y orientador, sin constituir un criterio absoluto ni una validación de actuaciones concretas, en atención al principio de juridicidad y a la autonomía de las entidades estatales en su gestión contractual.</w:t>
            </w:r>
            <w:r w:rsidR="003456BC">
              <w:rPr>
                <w:rFonts w:ascii="Verdana" w:eastAsia="Calibri" w:hAnsi="Verdana" w:cs="Arial"/>
                <w:bCs/>
                <w:color w:val="000000"/>
              </w:rPr>
              <w:t xml:space="preserve"> </w:t>
            </w:r>
            <w:r w:rsidRPr="006A5DEB">
              <w:rPr>
                <w:rFonts w:ascii="Verdana" w:eastAsia="Calibri" w:hAnsi="Verdana" w:cs="Arial"/>
                <w:bCs/>
                <w:vanish/>
                <w:color w:val="000000"/>
              </w:rPr>
              <w:t>Principio del formulario</w:t>
            </w:r>
          </w:p>
          <w:p w14:paraId="0B9C467B" w14:textId="77777777" w:rsidR="00760B11" w:rsidRPr="006A5DEB" w:rsidRDefault="00760B11" w:rsidP="00952F14">
            <w:pPr>
              <w:shd w:val="clear" w:color="auto" w:fill="FFFFFF"/>
              <w:spacing w:after="120" w:line="276" w:lineRule="auto"/>
              <w:ind w:firstLine="709"/>
              <w:jc w:val="both"/>
              <w:rPr>
                <w:rFonts w:ascii="Verdana" w:eastAsia="Calibri" w:hAnsi="Verdana" w:cs="Arial"/>
                <w:bCs/>
                <w:vanish/>
                <w:color w:val="000000"/>
              </w:rPr>
            </w:pPr>
          </w:p>
          <w:p w14:paraId="035D0E8B" w14:textId="155442F5" w:rsidR="008A66A7" w:rsidRPr="003D00E1" w:rsidRDefault="006A6D64" w:rsidP="006E0969">
            <w:pPr>
              <w:spacing w:before="120" w:after="120" w:line="276" w:lineRule="auto"/>
              <w:ind w:firstLine="709"/>
              <w:jc w:val="both"/>
              <w:rPr>
                <w:rFonts w:ascii="Verdana" w:eastAsia="Calibri" w:hAnsi="Verdana" w:cs="Arial"/>
                <w:color w:val="EE0000"/>
              </w:rPr>
            </w:pPr>
            <w:r w:rsidRPr="008A4B4D">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386BBB2B" w14:textId="77777777" w:rsidR="008A66A7" w:rsidRPr="003B40AB" w:rsidRDefault="008A66A7" w:rsidP="008A66A7">
      <w:pPr>
        <w:tabs>
          <w:tab w:val="left" w:pos="142"/>
          <w:tab w:val="left" w:pos="284"/>
        </w:tabs>
        <w:spacing w:after="0" w:line="276" w:lineRule="auto"/>
        <w:jc w:val="both"/>
        <w:rPr>
          <w:rFonts w:ascii="Verdana" w:eastAsia="Century Gothic" w:hAnsi="Verdana" w:cs="Century Gothic"/>
          <w:b/>
          <w:bCs/>
          <w:lang w:val="es-ES"/>
        </w:rPr>
      </w:pPr>
    </w:p>
    <w:p w14:paraId="17F81FF0" w14:textId="77777777" w:rsidR="008A66A7" w:rsidRPr="003B40AB" w:rsidRDefault="008A66A7" w:rsidP="008A66A7">
      <w:pPr>
        <w:tabs>
          <w:tab w:val="left" w:pos="142"/>
          <w:tab w:val="left" w:pos="284"/>
        </w:tabs>
        <w:spacing w:after="0" w:line="276" w:lineRule="auto"/>
        <w:jc w:val="both"/>
        <w:rPr>
          <w:rFonts w:ascii="Verdana" w:eastAsia="Century Gothic" w:hAnsi="Verdana" w:cs="Century Gothic"/>
          <w:b/>
          <w:lang w:val="es-ES"/>
        </w:rPr>
      </w:pPr>
      <w:r w:rsidRPr="003B40AB">
        <w:rPr>
          <w:rFonts w:ascii="Verdana" w:eastAsia="Century Gothic" w:hAnsi="Verdana" w:cs="Century Gothic"/>
          <w:b/>
          <w:lang w:val="es-ES"/>
        </w:rPr>
        <w:t>3. Razones de la respuesta:</w:t>
      </w:r>
    </w:p>
    <w:p w14:paraId="24EE0053" w14:textId="77777777" w:rsidR="008A66A7" w:rsidRPr="003D00E1" w:rsidRDefault="008A66A7" w:rsidP="008A66A7">
      <w:pPr>
        <w:tabs>
          <w:tab w:val="left" w:pos="142"/>
          <w:tab w:val="left" w:pos="284"/>
        </w:tabs>
        <w:spacing w:after="0" w:line="276" w:lineRule="auto"/>
        <w:jc w:val="both"/>
        <w:rPr>
          <w:rFonts w:ascii="Verdana" w:eastAsia="Century Gothic" w:hAnsi="Verdana" w:cs="Century Gothic"/>
          <w:b/>
          <w:color w:val="EE0000"/>
          <w:lang w:val="es-ES"/>
        </w:rPr>
      </w:pPr>
    </w:p>
    <w:p w14:paraId="598F243A" w14:textId="77777777" w:rsidR="008A66A7" w:rsidRPr="00B279F9" w:rsidRDefault="008A66A7" w:rsidP="008A66A7">
      <w:pPr>
        <w:spacing w:after="0" w:line="276" w:lineRule="auto"/>
        <w:jc w:val="both"/>
        <w:rPr>
          <w:rFonts w:ascii="Verdana" w:eastAsia="Calibri" w:hAnsi="Verdana" w:cs="Arial"/>
          <w:lang w:val="es-ES"/>
        </w:rPr>
      </w:pPr>
      <w:r w:rsidRPr="00B279F9">
        <w:rPr>
          <w:rFonts w:ascii="Verdana" w:eastAsia="Calibri" w:hAnsi="Verdana" w:cs="Arial"/>
          <w:lang w:val="es-ES"/>
        </w:rPr>
        <w:t>Lo anterior se sustenta en las siguientes consideraciones:</w:t>
      </w:r>
    </w:p>
    <w:p w14:paraId="636DA820" w14:textId="77777777" w:rsidR="008A66A7" w:rsidRPr="003D00E1" w:rsidRDefault="008A66A7" w:rsidP="008A66A7">
      <w:pPr>
        <w:spacing w:after="0" w:line="276" w:lineRule="auto"/>
        <w:jc w:val="both"/>
        <w:rPr>
          <w:rFonts w:ascii="Verdana" w:eastAsia="Calibri" w:hAnsi="Verdana" w:cs="Arial"/>
          <w:color w:val="EE0000"/>
          <w:lang w:val="es-ES"/>
        </w:rPr>
      </w:pPr>
    </w:p>
    <w:p w14:paraId="00D7B26A" w14:textId="4DFA9696" w:rsidR="008A66A7" w:rsidRPr="00003C87" w:rsidRDefault="000961CD" w:rsidP="008A66A7">
      <w:pPr>
        <w:spacing w:after="120" w:line="276" w:lineRule="auto"/>
        <w:jc w:val="both"/>
        <w:rPr>
          <w:rFonts w:ascii="Verdana" w:eastAsia="Calibri" w:hAnsi="Verdana" w:cs="Arial"/>
          <w:bCs/>
          <w:color w:val="000000"/>
          <w:lang w:val="es-MX"/>
        </w:rPr>
      </w:pPr>
      <w:bookmarkStart w:id="1" w:name="_Hlk102983874"/>
      <w:bookmarkStart w:id="2" w:name="_Hlk102388095"/>
      <w:r w:rsidRPr="00737B66">
        <w:rPr>
          <w:rFonts w:ascii="Verdana" w:eastAsia="Calibri" w:hAnsi="Verdana" w:cs="Arial"/>
          <w:lang w:val="es-ES"/>
        </w:rPr>
        <w:t>i. E</w:t>
      </w:r>
      <w:bookmarkStart w:id="3" w:name="_Hlk35535746"/>
      <w:r w:rsidR="008A66A7" w:rsidRPr="00003C87">
        <w:rPr>
          <w:rFonts w:ascii="Verdana" w:eastAsia="Calibri" w:hAnsi="Verdana" w:cs="Arial"/>
          <w:bCs/>
          <w:color w:val="000000"/>
          <w:lang w:val="es-MX"/>
        </w:rPr>
        <w:t xml:space="preserve">l registro mercantil tiene </w:t>
      </w:r>
      <w:r w:rsidR="008A66A7">
        <w:rPr>
          <w:rFonts w:ascii="Verdana" w:eastAsia="Calibri" w:hAnsi="Verdana" w:cs="Arial"/>
          <w:bCs/>
          <w:color w:val="000000"/>
          <w:lang w:val="es-MX"/>
        </w:rPr>
        <w:t>“</w:t>
      </w:r>
      <w:r w:rsidR="008A66A7" w:rsidRPr="00003C87">
        <w:rPr>
          <w:rFonts w:ascii="Verdana" w:eastAsia="Calibri" w:hAnsi="Verdana" w:cs="Arial"/>
          <w:bCs/>
          <w:color w:val="000000"/>
          <w:lang w:val="es-MX"/>
        </w:rPr>
        <w:t>por objeto llevar la matrícula de los comerciantes y de los establecimientos de comercio, así como la inscripción de todos los actos, libros y documentos respecto de los cuales la ley exigiere esa formalidad</w:t>
      </w:r>
      <w:r w:rsidR="008A66A7">
        <w:rPr>
          <w:rFonts w:ascii="Verdana" w:eastAsia="Calibri" w:hAnsi="Verdana" w:cs="Arial"/>
          <w:bCs/>
          <w:color w:val="000000"/>
          <w:lang w:val="es-MX"/>
        </w:rPr>
        <w:t>”</w:t>
      </w:r>
      <w:r w:rsidR="008A66A7" w:rsidRPr="00003C87">
        <w:rPr>
          <w:rFonts w:ascii="Verdana" w:eastAsia="Calibri" w:hAnsi="Verdana" w:cs="Arial"/>
          <w:bCs/>
          <w:color w:val="000000"/>
          <w:vertAlign w:val="superscript"/>
        </w:rPr>
        <w:footnoteReference w:id="1"/>
      </w:r>
      <w:r w:rsidR="008A66A7" w:rsidRPr="00003C87">
        <w:rPr>
          <w:rFonts w:ascii="Verdana" w:eastAsia="Calibri" w:hAnsi="Verdana" w:cs="Arial"/>
          <w:bCs/>
          <w:color w:val="000000"/>
          <w:lang w:val="es-MX"/>
        </w:rPr>
        <w:t xml:space="preserve">. Así, la matrícula mercantil es un medio de identificación que da publicidad a la condición de comerciante, la cual, de acuerdo con el artículo 10 del Código de </w:t>
      </w:r>
      <w:r w:rsidR="008A66A7" w:rsidRPr="00003C87">
        <w:rPr>
          <w:rFonts w:ascii="Verdana" w:eastAsia="Calibri" w:hAnsi="Verdana" w:cs="Arial"/>
          <w:bCs/>
          <w:color w:val="000000"/>
          <w:lang w:val="es-MX"/>
        </w:rPr>
        <w:lastRenderedPageBreak/>
        <w:t>Comercio, se establece para aquellas personas que se ocupan profesionalmente de una o varias de las actividades que el mismo código considera como comerciales o mercantiles, según el artículo 20 y 21</w:t>
      </w:r>
      <w:r w:rsidR="008A66A7" w:rsidRPr="00003C87">
        <w:rPr>
          <w:rFonts w:ascii="Verdana" w:eastAsia="Calibri" w:hAnsi="Verdana" w:cs="Arial"/>
          <w:bCs/>
          <w:color w:val="000000"/>
          <w:vertAlign w:val="superscript"/>
        </w:rPr>
        <w:footnoteReference w:id="2"/>
      </w:r>
      <w:r w:rsidR="008A66A7" w:rsidRPr="00003C87">
        <w:rPr>
          <w:rFonts w:ascii="Verdana" w:eastAsia="Calibri" w:hAnsi="Verdana" w:cs="Arial"/>
          <w:bCs/>
          <w:color w:val="000000"/>
          <w:lang w:val="es-MX"/>
        </w:rPr>
        <w:t xml:space="preserve">. </w:t>
      </w:r>
    </w:p>
    <w:p w14:paraId="6DE4375D" w14:textId="77777777" w:rsidR="008A66A7" w:rsidRPr="00003C87" w:rsidRDefault="008A66A7" w:rsidP="008A66A7">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El artículo 20 del Código de Comercio, en el numeral 15, define como mercantil </w:t>
      </w:r>
      <w:r>
        <w:rPr>
          <w:rFonts w:ascii="Verdana" w:eastAsia="Calibri" w:hAnsi="Verdana" w:cs="Arial"/>
          <w:bCs/>
          <w:color w:val="000000"/>
          <w:lang w:val="es-MX"/>
        </w:rPr>
        <w:t>“</w:t>
      </w:r>
      <w:r w:rsidRPr="00003C87">
        <w:rPr>
          <w:rFonts w:ascii="Verdana" w:eastAsia="Calibri" w:hAnsi="Verdana" w:cs="Arial"/>
          <w:bCs/>
          <w:color w:val="000000"/>
          <w:lang w:val="es-MX"/>
        </w:rPr>
        <w:t>Las empresas de obras o construcciones, reparaciones, montajes, instalaciones u ornamentaciones</w:t>
      </w:r>
      <w:r>
        <w:rPr>
          <w:rFonts w:ascii="Verdana" w:eastAsia="Calibri" w:hAnsi="Verdana" w:cs="Arial"/>
          <w:bCs/>
          <w:color w:val="000000"/>
          <w:lang w:val="es-MX"/>
        </w:rPr>
        <w:t>”</w:t>
      </w:r>
      <w:r w:rsidRPr="00003C87">
        <w:rPr>
          <w:rFonts w:ascii="Verdana" w:eastAsia="Calibri" w:hAnsi="Verdana" w:cs="Arial"/>
          <w:bCs/>
          <w:color w:val="000000"/>
          <w:lang w:val="es-MX"/>
        </w:rPr>
        <w:t xml:space="preserve">. Por su parte, el artículo 11 del mismo estatuto dispone: </w:t>
      </w:r>
      <w:r>
        <w:rPr>
          <w:rFonts w:ascii="Verdana" w:eastAsia="Calibri" w:hAnsi="Verdana" w:cs="Arial"/>
          <w:bCs/>
          <w:color w:val="000000"/>
          <w:lang w:val="es-MX"/>
        </w:rPr>
        <w:t>“</w:t>
      </w:r>
      <w:r w:rsidRPr="00003C87">
        <w:rPr>
          <w:rFonts w:ascii="Verdana" w:eastAsia="Calibri" w:hAnsi="Verdana" w:cs="Arial"/>
          <w:bCs/>
          <w:color w:val="000000"/>
          <w:lang w:val="es-MX"/>
        </w:rPr>
        <w:t>las personas que ejecuten ocasionalmente operaciones mercantiles no se considerarán comerciantes, pero estarán sujetas a las normas comerciales en cuanto a dichas operaciones</w:t>
      </w:r>
      <w:r>
        <w:rPr>
          <w:rFonts w:ascii="Verdana" w:eastAsia="Calibri" w:hAnsi="Verdana" w:cs="Arial"/>
          <w:bCs/>
          <w:color w:val="000000"/>
          <w:lang w:val="es-MX"/>
        </w:rPr>
        <w:t>”</w:t>
      </w:r>
      <w:r w:rsidRPr="00003C87">
        <w:rPr>
          <w:rFonts w:ascii="Verdana" w:eastAsia="Calibri" w:hAnsi="Verdana" w:cs="Arial"/>
          <w:bCs/>
          <w:color w:val="000000"/>
          <w:lang w:val="es-MX"/>
        </w:rPr>
        <w:t>. Así mismo, el artículo 23 señala las actividades que no pueden considerarse mercantiles, y por lo tanto, no requiere que la persona se inscriba en el registro mercantil</w:t>
      </w:r>
      <w:r w:rsidRPr="00003C87">
        <w:rPr>
          <w:rFonts w:ascii="Verdana" w:eastAsia="Calibri" w:hAnsi="Verdana" w:cs="Arial"/>
          <w:bCs/>
          <w:color w:val="000000"/>
          <w:vertAlign w:val="superscript"/>
        </w:rPr>
        <w:footnoteReference w:id="3"/>
      </w:r>
      <w:r w:rsidRPr="00003C87">
        <w:rPr>
          <w:rFonts w:ascii="Verdana" w:eastAsia="Calibri" w:hAnsi="Verdana" w:cs="Arial"/>
          <w:bCs/>
          <w:color w:val="000000"/>
          <w:lang w:val="es-MX"/>
        </w:rPr>
        <w:t xml:space="preserve">.  </w:t>
      </w:r>
    </w:p>
    <w:p w14:paraId="6E571C9F" w14:textId="77777777" w:rsidR="002C26E2" w:rsidRPr="00952F14" w:rsidRDefault="008A66A7" w:rsidP="002C26E2">
      <w:pPr>
        <w:spacing w:before="120" w:line="276" w:lineRule="auto"/>
        <w:ind w:firstLine="709"/>
        <w:jc w:val="both"/>
        <w:rPr>
          <w:rFonts w:ascii="Verdana" w:eastAsia="Calibri" w:hAnsi="Verdana" w:cs="Arial"/>
          <w:color w:val="000000" w:themeColor="text1"/>
          <w:szCs w:val="21"/>
          <w:lang w:val="es-MX"/>
        </w:rPr>
      </w:pPr>
      <w:r w:rsidRPr="39FF496C">
        <w:rPr>
          <w:rFonts w:ascii="Verdana" w:eastAsia="Calibri" w:hAnsi="Verdana" w:cs="Arial"/>
          <w:color w:val="000000" w:themeColor="text1"/>
          <w:lang w:val="es-MX"/>
        </w:rPr>
        <w:t xml:space="preserve">Con relación al registro mercantil, </w:t>
      </w:r>
      <w:r w:rsidR="002C26E2" w:rsidRPr="00952F14">
        <w:rPr>
          <w:rFonts w:ascii="Verdana" w:eastAsia="Calibri" w:hAnsi="Verdana" w:cs="Arial"/>
          <w:color w:val="000000" w:themeColor="text1"/>
          <w:szCs w:val="21"/>
          <w:lang w:val="es-MX"/>
        </w:rPr>
        <w:t>el Consejo de Estado se ha pronunciado, estableciendo que la finalidad del registro es ser un instrumento que cuente con la información de las personas consideradas comerciantes:</w:t>
      </w:r>
    </w:p>
    <w:p w14:paraId="3E7C5FD6" w14:textId="16791BB5" w:rsidR="00863E64" w:rsidRPr="00952F14" w:rsidRDefault="004B0F83" w:rsidP="00952F14">
      <w:pPr>
        <w:shd w:val="clear" w:color="auto" w:fill="FFFFFF" w:themeFill="background1"/>
        <w:spacing w:after="0" w:line="240" w:lineRule="auto"/>
        <w:ind w:left="709" w:right="709"/>
        <w:jc w:val="both"/>
        <w:rPr>
          <w:rFonts w:ascii="Verdana" w:eastAsia="Calibri" w:hAnsi="Verdana" w:cs="Arial"/>
          <w:color w:val="000000" w:themeColor="text1"/>
          <w:sz w:val="20"/>
          <w:szCs w:val="20"/>
          <w:lang w:val="es-MX"/>
        </w:rPr>
      </w:pPr>
      <w:r w:rsidRPr="00952F14">
        <w:rPr>
          <w:rFonts w:ascii="Verdana" w:eastAsia="Calibri" w:hAnsi="Verdana" w:cs="Arial"/>
          <w:color w:val="000000" w:themeColor="text1"/>
          <w:sz w:val="20"/>
          <w:szCs w:val="20"/>
          <w:lang w:val="es-MX"/>
        </w:rPr>
        <w:t>“</w:t>
      </w:r>
      <w:r w:rsidR="002C26E2" w:rsidRPr="00952F14">
        <w:rPr>
          <w:rFonts w:ascii="Verdana" w:eastAsia="Calibri" w:hAnsi="Verdana" w:cs="Arial"/>
          <w:color w:val="000000" w:themeColor="text1"/>
          <w:sz w:val="20"/>
          <w:szCs w:val="20"/>
          <w:lang w:val="es-MX"/>
        </w:rPr>
        <w:t>Regulado por el artículo 26 del Código de Comercio, se encuentra que tiene por objeto hacer la matrícula de los comerciantes y de los establecimientos de comercio, así como la inscripción de los actos, libros y documentos, de acuerdo con las disposiciones legales. De lo anterior se deduce que la matrícula es el registro a que están obligadas todas las personas que ejercen regularmente el comercio, lo mismo que en relación con sus establecimientos de comercio</w:t>
      </w:r>
      <w:r w:rsidRPr="00952F14">
        <w:rPr>
          <w:rFonts w:ascii="Verdana" w:eastAsia="Calibri" w:hAnsi="Verdana" w:cs="Arial"/>
          <w:color w:val="000000" w:themeColor="text1"/>
          <w:sz w:val="20"/>
          <w:szCs w:val="20"/>
          <w:lang w:val="es-MX"/>
        </w:rPr>
        <w:t>”</w:t>
      </w:r>
      <w:r w:rsidRPr="00952F14">
        <w:rPr>
          <w:rFonts w:ascii="Verdana" w:eastAsia="Calibri" w:hAnsi="Verdana" w:cs="Arial"/>
          <w:color w:val="000000" w:themeColor="text1"/>
          <w:sz w:val="20"/>
          <w:szCs w:val="20"/>
          <w:vertAlign w:val="superscript"/>
          <w:lang w:val="es-MX"/>
        </w:rPr>
        <w:footnoteReference w:id="4"/>
      </w:r>
    </w:p>
    <w:bookmarkEnd w:id="3"/>
    <w:p w14:paraId="2BC33652" w14:textId="77777777" w:rsidR="00737B66" w:rsidRPr="00003C87" w:rsidRDefault="00737B66" w:rsidP="00952F14">
      <w:pPr>
        <w:shd w:val="clear" w:color="auto" w:fill="FFFFFF" w:themeFill="background1"/>
        <w:spacing w:after="0" w:line="276" w:lineRule="auto"/>
        <w:ind w:firstLine="708"/>
        <w:jc w:val="both"/>
        <w:rPr>
          <w:rFonts w:ascii="Verdana" w:eastAsia="Calibri" w:hAnsi="Verdana" w:cs="Arial"/>
          <w:bCs/>
          <w:color w:val="000000"/>
          <w:lang w:val="es-MX"/>
        </w:rPr>
      </w:pPr>
    </w:p>
    <w:p w14:paraId="60C8E028" w14:textId="5EE31E35" w:rsidR="008A66A7" w:rsidRDefault="008A66A7" w:rsidP="00952F14">
      <w:pPr>
        <w:shd w:val="clear" w:color="auto" w:fill="FFFFFF" w:themeFill="background1"/>
        <w:spacing w:after="0" w:line="276" w:lineRule="auto"/>
        <w:ind w:firstLine="708"/>
        <w:jc w:val="both"/>
        <w:rPr>
          <w:rFonts w:ascii="Verdana" w:eastAsia="Calibri" w:hAnsi="Verdana" w:cs="Arial"/>
          <w:color w:val="000000" w:themeColor="text1"/>
          <w:lang w:val="es-MX"/>
        </w:rPr>
      </w:pPr>
      <w:bookmarkStart w:id="4" w:name="_Hlk35535931"/>
      <w:r w:rsidRPr="39FF496C">
        <w:rPr>
          <w:rFonts w:ascii="Verdana" w:eastAsia="Calibri" w:hAnsi="Verdana" w:cs="Arial"/>
          <w:color w:val="000000" w:themeColor="text1"/>
          <w:lang w:val="es-MX"/>
        </w:rPr>
        <w:t>Por su parte, la Corte Constitucional</w:t>
      </w:r>
      <w:r>
        <w:rPr>
          <w:rFonts w:ascii="Verdana" w:eastAsia="Calibri" w:hAnsi="Verdana" w:cs="Arial"/>
          <w:color w:val="000000" w:themeColor="text1"/>
          <w:lang w:val="es-MX"/>
        </w:rPr>
        <w:t xml:space="preserve"> </w:t>
      </w:r>
      <w:r w:rsidR="002F2224" w:rsidRPr="00952F14">
        <w:rPr>
          <w:rFonts w:ascii="Verdana" w:eastAsia="Calibri" w:hAnsi="Verdana" w:cs="Arial"/>
          <w:color w:val="000000" w:themeColor="text1"/>
          <w:lang w:val="es-MX"/>
        </w:rPr>
        <w:t xml:space="preserve">se pronunció sobre la naturaleza jurídica del registro mercantil, señalando que este es un instrumento que le permite al público el conocimiento de datos relevantes del tráfico mercantil, la </w:t>
      </w:r>
      <w:r w:rsidR="002F2224" w:rsidRPr="00952F14">
        <w:rPr>
          <w:rFonts w:ascii="Verdana" w:eastAsia="Calibri" w:hAnsi="Verdana" w:cs="Arial"/>
          <w:color w:val="000000" w:themeColor="text1"/>
          <w:lang w:val="es-MX"/>
        </w:rPr>
        <w:lastRenderedPageBreak/>
        <w:t xml:space="preserve">calidad de comerciante de una persona y las actividades propias. Así mismo, para la Corte el registro mercantil no es un requisito para la validez y existencia de los actos jurídicos, sino una herramienta de publicidad de estos y, </w:t>
      </w:r>
      <w:r w:rsidRPr="39FF496C">
        <w:rPr>
          <w:rFonts w:ascii="Verdana" w:eastAsia="Calibri" w:hAnsi="Verdana" w:cs="Arial"/>
          <w:color w:val="000000" w:themeColor="text1"/>
          <w:lang w:val="es-MX"/>
        </w:rPr>
        <w:t xml:space="preserve">por lo tanto, oponibles a terceros:  </w:t>
      </w:r>
      <w:bookmarkEnd w:id="4"/>
    </w:p>
    <w:p w14:paraId="4A4EED36" w14:textId="77777777" w:rsidR="00A862B4" w:rsidRPr="00003C87" w:rsidRDefault="00A862B4" w:rsidP="00952F14">
      <w:pPr>
        <w:shd w:val="clear" w:color="auto" w:fill="FFFFFF" w:themeFill="background1"/>
        <w:spacing w:after="0" w:line="276" w:lineRule="auto"/>
        <w:ind w:firstLine="708"/>
        <w:jc w:val="both"/>
        <w:rPr>
          <w:rFonts w:ascii="Verdana" w:eastAsia="Calibri" w:hAnsi="Verdana" w:cs="Arial"/>
          <w:color w:val="000000"/>
          <w:lang w:val="es-MX"/>
        </w:rPr>
      </w:pPr>
    </w:p>
    <w:p w14:paraId="154C4D0E" w14:textId="77777777" w:rsidR="008A66A7" w:rsidRPr="009E19E9" w:rsidRDefault="008A66A7">
      <w:pPr>
        <w:shd w:val="clear" w:color="auto" w:fill="FFFFFF"/>
        <w:spacing w:after="0" w:line="240" w:lineRule="auto"/>
        <w:ind w:left="709" w:right="709"/>
        <w:jc w:val="both"/>
        <w:rPr>
          <w:rFonts w:ascii="Verdana" w:eastAsia="Calibri" w:hAnsi="Verdana" w:cs="Arial"/>
          <w:bCs/>
          <w:color w:val="000000"/>
          <w:sz w:val="20"/>
          <w:szCs w:val="20"/>
          <w:lang w:val="es-MX"/>
        </w:rPr>
      </w:pPr>
      <w:r w:rsidRPr="00A932ED">
        <w:rPr>
          <w:rFonts w:ascii="Verdana" w:eastAsia="Calibri" w:hAnsi="Verdana" w:cs="Arial"/>
          <w:bCs/>
          <w:color w:val="000000"/>
          <w:sz w:val="20"/>
          <w:szCs w:val="20"/>
          <w:lang w:val="es-MX"/>
        </w:rPr>
        <w:t>“A diferencia de otros registros que son de naturaleza real, como el registro inmobiliario, el registro mercantil es de naturaleza personal porque lo inscrito es la persona misma en su condición de comerciante y los hechos y actos que a él lo afectan frente a terceros. Usualmente se le reconoce un carácter meramente declarativo, en cuanto es simplemente un mecanismo de publicidad de ciertos hechos o actos relevantes en el tráfico mercantil. Es decir, la inscripción en el registro no es un requisito de aquellos que son necesarios para la existencia o para la validez de los actos jurídicos inscritos, sino que únicamente los hace conocidos y por lo tanto “oponibles” a los terceros. Así, una vez hecho el correspondiente registro, el acto tendrá efectos no sólo entre quienes participaron en él, sino erga omnes, por lo cual en adelante nadie podrá alegar su desconocimiento. Este es el principio que se conoce como de “publicidad material del registro”, en virtud del cual, una vez inscrito, el acto se supone conocido de todos. Por lo anterior, la doctrina señala que la finalidad inmediata del registro es dar seguridad a las relaciones que implican la responsabilidad jurídica del comerciante</w:t>
      </w:r>
      <w:r w:rsidRPr="00FD503A">
        <w:rPr>
          <w:rFonts w:ascii="Verdana" w:eastAsia="Calibri" w:hAnsi="Verdana" w:cs="Arial"/>
          <w:bCs/>
          <w:i/>
          <w:iCs/>
          <w:color w:val="000000"/>
          <w:sz w:val="20"/>
          <w:szCs w:val="20"/>
          <w:lang w:val="es-MX"/>
        </w:rPr>
        <w:t>”</w:t>
      </w:r>
      <w:r w:rsidRPr="00FD503A">
        <w:rPr>
          <w:rFonts w:ascii="Verdana" w:eastAsia="Calibri" w:hAnsi="Verdana" w:cs="Arial"/>
          <w:bCs/>
          <w:color w:val="000000"/>
          <w:sz w:val="20"/>
          <w:szCs w:val="20"/>
          <w:vertAlign w:val="superscript"/>
          <w:lang w:val="es-MX"/>
        </w:rPr>
        <w:footnoteReference w:id="5"/>
      </w:r>
      <w:r w:rsidRPr="00FD503A">
        <w:rPr>
          <w:rFonts w:ascii="Verdana" w:eastAsia="Calibri" w:hAnsi="Verdana" w:cs="Arial"/>
          <w:bCs/>
          <w:color w:val="000000"/>
          <w:sz w:val="20"/>
          <w:szCs w:val="20"/>
          <w:lang w:val="es-MX"/>
        </w:rPr>
        <w:t>.</w:t>
      </w:r>
    </w:p>
    <w:p w14:paraId="25D0FDFE" w14:textId="77777777" w:rsidR="0061217F" w:rsidRPr="00737B66" w:rsidRDefault="0061217F" w:rsidP="00952F14">
      <w:pPr>
        <w:shd w:val="clear" w:color="auto" w:fill="FFFFFF"/>
        <w:spacing w:after="0" w:line="240" w:lineRule="auto"/>
        <w:ind w:left="709" w:right="709"/>
        <w:jc w:val="both"/>
        <w:rPr>
          <w:rFonts w:ascii="Verdana" w:eastAsia="Calibri" w:hAnsi="Verdana" w:cs="Arial"/>
          <w:bCs/>
          <w:color w:val="000000"/>
          <w:sz w:val="20"/>
          <w:szCs w:val="20"/>
          <w:lang w:val="es-MX"/>
        </w:rPr>
      </w:pPr>
    </w:p>
    <w:p w14:paraId="523AFB5D" w14:textId="5C38039F" w:rsidR="000C2D73" w:rsidRPr="00952F14" w:rsidRDefault="00737B66" w:rsidP="000C2D73">
      <w:pPr>
        <w:spacing w:after="120" w:line="276" w:lineRule="auto"/>
        <w:ind w:firstLine="709"/>
        <w:jc w:val="both"/>
        <w:rPr>
          <w:rFonts w:ascii="Verdana" w:eastAsia="Calibri" w:hAnsi="Verdana" w:cs="Arial"/>
          <w:color w:val="000000" w:themeColor="text1"/>
          <w:lang w:val="es-MX"/>
        </w:rPr>
      </w:pPr>
      <w:r>
        <w:rPr>
          <w:rFonts w:ascii="Verdana" w:eastAsia="Calibri" w:hAnsi="Verdana" w:cs="Arial"/>
          <w:color w:val="000000" w:themeColor="text1"/>
          <w:lang w:val="es-MX"/>
        </w:rPr>
        <w:t>Conforme a lo anterior</w:t>
      </w:r>
      <w:r w:rsidR="000C2D73" w:rsidRPr="00952F14">
        <w:rPr>
          <w:rFonts w:ascii="Verdana" w:eastAsia="Calibri" w:hAnsi="Verdana" w:cs="Arial"/>
          <w:color w:val="000000" w:themeColor="text1"/>
          <w:lang w:val="es-MX"/>
        </w:rPr>
        <w:t xml:space="preserve">, el artículo 28 del Código de Comercio señala que las personas que ejerzan profesionalmente el comercio y sus auxiliares, tales como los comisionistas, corredores, agentes, representantes de firmas nacionales o extranjeras, deben inscribirse en el registro mercantil, al mes siguiente de que inicien sus actividades. De tal forma, deberán inscribirse en el registro mercantil, quienes realizan de manera habitual alguna actividad comercial de las definidas por el Código de Comercio, es decir, deben matricularse ante la Cámara de Comercio todas las personas naturales que realicen en forma permanente o habitual alguno de los actos u operaciones mercantiles, en caso contrario, a pesar de que sea un acto mercantil, la persona natural no debe estar inscrita en el registro. </w:t>
      </w:r>
    </w:p>
    <w:p w14:paraId="2B34C27E" w14:textId="19078292" w:rsidR="008A66A7" w:rsidRPr="009E19E9" w:rsidRDefault="008A66A7" w:rsidP="008A66A7">
      <w:pPr>
        <w:shd w:val="clear" w:color="auto" w:fill="FFFFFF"/>
        <w:spacing w:after="120" w:line="276" w:lineRule="auto"/>
        <w:jc w:val="both"/>
        <w:rPr>
          <w:rFonts w:ascii="Verdana" w:eastAsia="Calibri" w:hAnsi="Verdana" w:cs="Arial"/>
          <w:bCs/>
          <w:lang w:val="es-MX"/>
        </w:rPr>
      </w:pPr>
      <w:proofErr w:type="spellStart"/>
      <w:r>
        <w:rPr>
          <w:rFonts w:ascii="Verdana" w:eastAsia="Calibri" w:hAnsi="Verdana" w:cs="Arial"/>
          <w:bCs/>
          <w:lang w:val="es-MX"/>
        </w:rPr>
        <w:t>ii</w:t>
      </w:r>
      <w:proofErr w:type="spellEnd"/>
      <w:r w:rsidR="000C2D73">
        <w:rPr>
          <w:rFonts w:ascii="Verdana" w:eastAsia="Calibri" w:hAnsi="Verdana" w:cs="Arial"/>
          <w:bCs/>
          <w:lang w:val="es-MX"/>
        </w:rPr>
        <w:t>. De otra parte</w:t>
      </w:r>
      <w:r w:rsidRPr="009E19E9">
        <w:rPr>
          <w:rFonts w:ascii="Verdana" w:eastAsia="Calibri" w:hAnsi="Verdana" w:cs="Arial"/>
          <w:bCs/>
          <w:lang w:val="es-MX"/>
        </w:rPr>
        <w:t>, el artículo 37 del Código de Comercio dispone, como sanción aplicable al comerciante que ejerce el comercio sin registro mercantil, la imposición de una multa:</w:t>
      </w:r>
    </w:p>
    <w:p w14:paraId="22161C4A" w14:textId="6859CC12" w:rsidR="008A66A7" w:rsidRPr="009E19E9" w:rsidRDefault="000C2D73" w:rsidP="008A66A7">
      <w:pPr>
        <w:shd w:val="clear" w:color="auto" w:fill="FFFFFF"/>
        <w:spacing w:after="120" w:line="276" w:lineRule="auto"/>
        <w:ind w:left="709" w:right="758"/>
        <w:jc w:val="both"/>
        <w:rPr>
          <w:rFonts w:ascii="Verdana" w:eastAsia="Calibri" w:hAnsi="Verdana" w:cs="Arial"/>
          <w:bCs/>
          <w:sz w:val="20"/>
          <w:szCs w:val="20"/>
          <w:lang w:val="es-MX"/>
        </w:rPr>
      </w:pPr>
      <w:r>
        <w:rPr>
          <w:rFonts w:ascii="Verdana" w:eastAsia="Calibri" w:hAnsi="Verdana" w:cs="Arial"/>
          <w:bCs/>
          <w:sz w:val="20"/>
          <w:szCs w:val="20"/>
          <w:lang w:val="es-MX"/>
        </w:rPr>
        <w:lastRenderedPageBreak/>
        <w:t>“</w:t>
      </w:r>
      <w:r w:rsidR="008A66A7" w:rsidRPr="009E19E9">
        <w:rPr>
          <w:rFonts w:ascii="Verdana" w:eastAsia="Calibri" w:hAnsi="Verdana" w:cs="Arial"/>
          <w:bCs/>
          <w:sz w:val="20"/>
          <w:szCs w:val="20"/>
          <w:lang w:val="es-MX"/>
        </w:rPr>
        <w:t>Artículo 37. La persona que ejerza profesionalmente el comercio sin estar inscrita en el registro mercantil incurrirá en multa hasta de diez mil pesos, que impondrá la Superintendencia de Industria y Comercio, sin perjuicio de las demás sanciones legales. La misma sanción se aplicará cuando se omita la inscripción o matrícula de un establecimiento de comercio</w:t>
      </w:r>
      <w:r>
        <w:rPr>
          <w:rFonts w:ascii="Verdana" w:eastAsia="Calibri" w:hAnsi="Verdana" w:cs="Arial"/>
          <w:bCs/>
          <w:sz w:val="20"/>
          <w:szCs w:val="20"/>
          <w:lang w:val="es-MX"/>
        </w:rPr>
        <w:t>”</w:t>
      </w:r>
      <w:r w:rsidR="008A66A7" w:rsidRPr="009E19E9">
        <w:rPr>
          <w:rFonts w:ascii="Verdana" w:eastAsia="Calibri" w:hAnsi="Verdana" w:cs="Arial"/>
          <w:bCs/>
          <w:sz w:val="20"/>
          <w:szCs w:val="20"/>
          <w:lang w:val="es-MX"/>
        </w:rPr>
        <w:t>.</w:t>
      </w:r>
    </w:p>
    <w:p w14:paraId="4548056B" w14:textId="77777777" w:rsidR="008A66A7" w:rsidRPr="00003C87" w:rsidRDefault="008A66A7" w:rsidP="008A66A7">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De la misma forma, el artículo 11 del Decreto 2153 de 1992, en el numeral 5, faculta al Superintendente Delegado para la Promoción de la Competencia para imponer multas de hasta diecisiete (17) salarios mínimos mensuales legales vigentes por ejercer profesionalmente el comercio sin estar matriculados en el registro</w:t>
      </w:r>
      <w:r w:rsidRPr="00003C87">
        <w:rPr>
          <w:rFonts w:ascii="Verdana" w:eastAsia="Calibri" w:hAnsi="Verdana" w:cs="Arial"/>
          <w:bCs/>
          <w:color w:val="000000"/>
          <w:vertAlign w:val="superscript"/>
        </w:rPr>
        <w:footnoteReference w:id="6"/>
      </w:r>
      <w:r w:rsidRPr="00003C87">
        <w:rPr>
          <w:rFonts w:ascii="Verdana" w:eastAsia="Calibri" w:hAnsi="Verdana" w:cs="Arial"/>
          <w:bCs/>
          <w:color w:val="000000"/>
          <w:lang w:val="es-MX"/>
        </w:rPr>
        <w:t>; disposición que también sería aplicable ante la falta de renovación de este instrumento.</w:t>
      </w:r>
    </w:p>
    <w:p w14:paraId="7704BF19" w14:textId="77777777" w:rsidR="008A66A7" w:rsidRPr="00003C87" w:rsidRDefault="008A66A7" w:rsidP="008A66A7">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Por otro lado, debe tenerse en cuenta que la </w:t>
      </w:r>
      <w:r w:rsidRPr="00952F14">
        <w:rPr>
          <w:rFonts w:ascii="Verdana" w:eastAsia="Calibri" w:hAnsi="Verdana" w:cs="Arial"/>
          <w:i/>
          <w:color w:val="000000"/>
          <w:lang w:val="es-MX"/>
        </w:rPr>
        <w:t>capacidad jurídica</w:t>
      </w:r>
      <w:r w:rsidRPr="00003C87">
        <w:rPr>
          <w:rFonts w:ascii="Verdana" w:eastAsia="Calibri" w:hAnsi="Verdana" w:cs="Arial"/>
          <w:bCs/>
          <w:color w:val="000000"/>
          <w:lang w:val="es-MX"/>
        </w:rPr>
        <w:t xml:space="preserve"> en la contratación estatal es la facultad legal que tiene una persona –natural o jurídica– para celebrar contratos con una entidad pública, sin perjuicio de que el legislador habilite a otros sujetos, como sucede con los consorcios u uniones temporales, a quienes les asigna capacidad contractual</w:t>
      </w:r>
      <w:r w:rsidRPr="00003C87">
        <w:rPr>
          <w:rFonts w:ascii="Verdana" w:eastAsia="Calibri" w:hAnsi="Verdana" w:cs="Arial"/>
          <w:bCs/>
          <w:color w:val="000000"/>
          <w:vertAlign w:val="superscript"/>
          <w:lang w:val="es-MX"/>
        </w:rPr>
        <w:footnoteReference w:id="7"/>
      </w:r>
      <w:r w:rsidRPr="00003C87">
        <w:rPr>
          <w:rFonts w:ascii="Verdana" w:eastAsia="Calibri" w:hAnsi="Verdana" w:cs="Arial"/>
          <w:bCs/>
          <w:color w:val="000000"/>
          <w:lang w:val="es-MX"/>
        </w:rPr>
        <w:t xml:space="preserve">. En el caso de las personas naturales, son capaces jurídicamente a menos que estén expresamente inhabilitadas por decisión judicial o administrativa, como la interdicción judicial, y que no estén incursas en inhabilidades, incompatibilidades o prohibiciones para contratar derivadas de la ley. En referencia a la capacidad jurídica, la doctrina ha señalado: </w:t>
      </w:r>
    </w:p>
    <w:p w14:paraId="0C240B23" w14:textId="2F430786" w:rsidR="008A66A7" w:rsidRPr="00952F14" w:rsidRDefault="002D2E75" w:rsidP="00952F14">
      <w:pPr>
        <w:shd w:val="clear" w:color="auto" w:fill="FFFFFF"/>
        <w:spacing w:after="120" w:line="240" w:lineRule="auto"/>
        <w:ind w:left="709" w:right="709"/>
        <w:jc w:val="both"/>
        <w:rPr>
          <w:rFonts w:ascii="Verdana" w:eastAsia="Calibri" w:hAnsi="Verdana" w:cs="Arial"/>
          <w:color w:val="000000"/>
          <w:sz w:val="20"/>
          <w:szCs w:val="20"/>
          <w:lang w:val="es-MX"/>
        </w:rPr>
      </w:pPr>
      <w:r w:rsidRPr="00952F14">
        <w:rPr>
          <w:rFonts w:ascii="Verdana" w:eastAsia="Calibri" w:hAnsi="Verdana" w:cs="Arial"/>
          <w:bCs/>
          <w:color w:val="000000"/>
          <w:sz w:val="20"/>
          <w:szCs w:val="20"/>
          <w:lang w:val="es-MX"/>
        </w:rPr>
        <w:t>“</w:t>
      </w:r>
      <w:r w:rsidR="008A66A7" w:rsidRPr="00952F14">
        <w:rPr>
          <w:rFonts w:ascii="Verdana" w:eastAsia="Calibri" w:hAnsi="Verdana" w:cs="Arial"/>
          <w:color w:val="000000"/>
          <w:sz w:val="20"/>
          <w:szCs w:val="20"/>
          <w:lang w:val="es-MX"/>
        </w:rPr>
        <w:t xml:space="preserve">La capacidad, de acuerdo con lo establecido por el Código Civil, se refiere a la facultad que legalmente se le confiere a la persona para poder ejercer sus derechos y contraer obligaciones, partiendo del supuesto de que todas las personas naturales son capaces, con excepción de aquellas que la ley expresamente excluye de tal presunción (arts. 1503 y 1504), y de que la </w:t>
      </w:r>
      <w:r w:rsidR="008A66A7" w:rsidRPr="00952F14">
        <w:rPr>
          <w:rFonts w:ascii="Verdana" w:eastAsia="Calibri" w:hAnsi="Verdana" w:cs="Arial"/>
          <w:color w:val="000000"/>
          <w:sz w:val="20"/>
          <w:szCs w:val="20"/>
          <w:lang w:val="es-MX"/>
        </w:rPr>
        <w:lastRenderedPageBreak/>
        <w:t>capacidad de las personas jurídicas se circunscribe a lo expresado en su objeto social y su forma de creación</w:t>
      </w:r>
      <w:r w:rsidRPr="00952F14">
        <w:rPr>
          <w:rFonts w:ascii="Verdana" w:eastAsia="Calibri" w:hAnsi="Verdana" w:cs="Arial"/>
          <w:bCs/>
          <w:color w:val="000000"/>
          <w:sz w:val="20"/>
          <w:szCs w:val="20"/>
          <w:lang w:val="es-MX"/>
        </w:rPr>
        <w:t>”</w:t>
      </w:r>
      <w:r w:rsidR="008A66A7" w:rsidRPr="00952F14">
        <w:rPr>
          <w:rFonts w:ascii="Verdana" w:eastAsia="Calibri" w:hAnsi="Verdana" w:cs="Arial"/>
          <w:bCs/>
          <w:color w:val="000000"/>
          <w:sz w:val="20"/>
          <w:szCs w:val="20"/>
          <w:lang w:val="es-MX"/>
        </w:rPr>
        <w:t>.</w:t>
      </w:r>
      <w:r w:rsidR="0058785E" w:rsidRPr="0058785E">
        <w:rPr>
          <w:rFonts w:ascii="Arial" w:eastAsia="Calibri" w:hAnsi="Arial" w:cs="Arial"/>
          <w:color w:val="000000" w:themeColor="text1"/>
          <w:sz w:val="21"/>
          <w:szCs w:val="21"/>
          <w:lang w:val="es-MX"/>
        </w:rPr>
        <w:t xml:space="preserve"> </w:t>
      </w:r>
      <w:r w:rsidR="0058785E">
        <w:rPr>
          <w:rStyle w:val="Refdenotaalpie"/>
          <w:rFonts w:ascii="Arial" w:eastAsia="Calibri" w:hAnsi="Arial" w:cs="Arial"/>
          <w:color w:val="000000" w:themeColor="text1"/>
          <w:sz w:val="21"/>
          <w:szCs w:val="21"/>
          <w:lang w:val="es-MX"/>
        </w:rPr>
        <w:footnoteReference w:id="8"/>
      </w:r>
      <w:r w:rsidR="008A66A7" w:rsidRPr="00952F14">
        <w:rPr>
          <w:rFonts w:ascii="Verdana" w:eastAsia="Calibri" w:hAnsi="Verdana" w:cs="Arial"/>
          <w:color w:val="000000"/>
          <w:sz w:val="20"/>
          <w:szCs w:val="20"/>
          <w:lang w:val="es-MX"/>
        </w:rPr>
        <w:t xml:space="preserve"> </w:t>
      </w:r>
    </w:p>
    <w:p w14:paraId="18626B9B" w14:textId="5255BCDD" w:rsidR="008A3E79" w:rsidRDefault="00CB7EF1" w:rsidP="008A66A7">
      <w:pPr>
        <w:shd w:val="clear" w:color="auto" w:fill="FFFFFF" w:themeFill="background1"/>
        <w:spacing w:after="120" w:line="276" w:lineRule="auto"/>
        <w:ind w:firstLine="708"/>
        <w:jc w:val="both"/>
        <w:rPr>
          <w:rFonts w:ascii="Verdana" w:eastAsia="Calibri" w:hAnsi="Verdana" w:cs="Arial"/>
          <w:color w:val="000000" w:themeColor="text1"/>
          <w:lang w:val="es-MX"/>
        </w:rPr>
      </w:pPr>
      <w:r>
        <w:rPr>
          <w:rFonts w:ascii="Verdana" w:eastAsia="Calibri" w:hAnsi="Verdana" w:cs="Arial"/>
          <w:color w:val="000000" w:themeColor="text1"/>
          <w:lang w:val="es-MX"/>
        </w:rPr>
        <w:t>De acuerdo con lo anterior</w:t>
      </w:r>
      <w:r w:rsidR="008A66A7" w:rsidRPr="00A616BD">
        <w:rPr>
          <w:rFonts w:ascii="Verdana" w:eastAsia="Calibri" w:hAnsi="Verdana" w:cs="Arial"/>
          <w:color w:val="000000" w:themeColor="text1"/>
          <w:lang w:val="es-MX"/>
        </w:rPr>
        <w:t xml:space="preserve">, </w:t>
      </w:r>
      <w:r>
        <w:rPr>
          <w:rFonts w:ascii="Verdana" w:eastAsia="Calibri" w:hAnsi="Verdana" w:cs="Arial"/>
          <w:color w:val="000000" w:themeColor="text1"/>
          <w:lang w:val="es-MX"/>
        </w:rPr>
        <w:t xml:space="preserve">tanto inscripción en </w:t>
      </w:r>
      <w:r w:rsidR="008A66A7" w:rsidRPr="00A616BD">
        <w:rPr>
          <w:rFonts w:ascii="Verdana" w:eastAsia="Calibri" w:hAnsi="Verdana" w:cs="Arial"/>
          <w:color w:val="000000" w:themeColor="text1"/>
          <w:lang w:val="es-MX"/>
        </w:rPr>
        <w:t>el registro mercantil</w:t>
      </w:r>
      <w:r w:rsidR="008A66A7" w:rsidRPr="39FF496C">
        <w:rPr>
          <w:rFonts w:ascii="Verdana" w:eastAsia="Calibri" w:hAnsi="Verdana" w:cs="Arial"/>
          <w:color w:val="000000" w:themeColor="text1"/>
          <w:lang w:val="es-MX"/>
        </w:rPr>
        <w:t xml:space="preserve"> </w:t>
      </w:r>
      <w:r>
        <w:rPr>
          <w:rFonts w:ascii="Verdana" w:eastAsia="Calibri" w:hAnsi="Verdana" w:cs="Arial"/>
          <w:color w:val="000000" w:themeColor="text1"/>
          <w:lang w:val="es-MX"/>
        </w:rPr>
        <w:t>como su renovación anual</w:t>
      </w:r>
      <w:r w:rsidR="008A66A7" w:rsidRPr="39FF496C">
        <w:rPr>
          <w:rFonts w:ascii="Verdana" w:eastAsia="Calibri" w:hAnsi="Verdana" w:cs="Arial"/>
          <w:color w:val="000000" w:themeColor="text1"/>
          <w:lang w:val="es-MX"/>
        </w:rPr>
        <w:t xml:space="preserve"> </w:t>
      </w:r>
      <w:r>
        <w:rPr>
          <w:rFonts w:ascii="Verdana" w:eastAsia="Calibri" w:hAnsi="Verdana" w:cs="Arial"/>
          <w:color w:val="000000" w:themeColor="text1"/>
          <w:lang w:val="es-MX"/>
        </w:rPr>
        <w:t>son</w:t>
      </w:r>
      <w:r w:rsidR="008A66A7" w:rsidRPr="39FF496C">
        <w:rPr>
          <w:rFonts w:ascii="Verdana" w:eastAsia="Calibri" w:hAnsi="Verdana" w:cs="Arial"/>
          <w:color w:val="000000" w:themeColor="text1"/>
          <w:lang w:val="es-MX"/>
        </w:rPr>
        <w:t xml:space="preserve"> deber</w:t>
      </w:r>
      <w:r>
        <w:rPr>
          <w:rFonts w:ascii="Verdana" w:eastAsia="Calibri" w:hAnsi="Verdana" w:cs="Arial"/>
          <w:color w:val="000000" w:themeColor="text1"/>
          <w:lang w:val="es-MX"/>
        </w:rPr>
        <w:t>es</w:t>
      </w:r>
      <w:r w:rsidR="008A66A7" w:rsidRPr="39FF496C">
        <w:rPr>
          <w:rFonts w:ascii="Verdana" w:eastAsia="Calibri" w:hAnsi="Verdana" w:cs="Arial"/>
          <w:color w:val="000000" w:themeColor="text1"/>
          <w:lang w:val="es-MX"/>
        </w:rPr>
        <w:t xml:space="preserve"> legal</w:t>
      </w:r>
      <w:r>
        <w:rPr>
          <w:rFonts w:ascii="Verdana" w:eastAsia="Calibri" w:hAnsi="Verdana" w:cs="Arial"/>
          <w:color w:val="000000" w:themeColor="text1"/>
          <w:lang w:val="es-MX"/>
        </w:rPr>
        <w:t>es</w:t>
      </w:r>
      <w:r w:rsidR="008A66A7" w:rsidRPr="39FF496C">
        <w:rPr>
          <w:rFonts w:ascii="Verdana" w:eastAsia="Calibri" w:hAnsi="Verdana" w:cs="Arial"/>
          <w:color w:val="000000" w:themeColor="text1"/>
          <w:lang w:val="es-MX"/>
        </w:rPr>
        <w:t xml:space="preserve"> de los comerciantes, </w:t>
      </w:r>
      <w:r w:rsidR="008351A0">
        <w:rPr>
          <w:rFonts w:ascii="Verdana" w:eastAsia="Calibri" w:hAnsi="Verdana" w:cs="Arial"/>
          <w:color w:val="000000" w:themeColor="text1"/>
          <w:lang w:val="es-MX"/>
        </w:rPr>
        <w:t>que en principio</w:t>
      </w:r>
      <w:r w:rsidR="008351A0" w:rsidRPr="39FF496C">
        <w:rPr>
          <w:rFonts w:ascii="Verdana" w:eastAsia="Calibri" w:hAnsi="Verdana" w:cs="Arial"/>
          <w:color w:val="000000" w:themeColor="text1"/>
          <w:lang w:val="es-MX"/>
        </w:rPr>
        <w:t xml:space="preserve"> </w:t>
      </w:r>
      <w:r w:rsidR="008A66A7" w:rsidRPr="39FF496C">
        <w:rPr>
          <w:rFonts w:ascii="Verdana" w:eastAsia="Calibri" w:hAnsi="Verdana" w:cs="Arial"/>
          <w:color w:val="000000" w:themeColor="text1"/>
          <w:lang w:val="es-MX"/>
        </w:rPr>
        <w:t>no afecta</w:t>
      </w:r>
      <w:r w:rsidR="008351A0">
        <w:rPr>
          <w:rFonts w:ascii="Verdana" w:eastAsia="Calibri" w:hAnsi="Verdana" w:cs="Arial"/>
          <w:color w:val="000000" w:themeColor="text1"/>
          <w:lang w:val="es-MX"/>
        </w:rPr>
        <w:t>n</w:t>
      </w:r>
      <w:r w:rsidR="008A66A7" w:rsidRPr="39FF496C">
        <w:rPr>
          <w:rFonts w:ascii="Verdana" w:eastAsia="Calibri" w:hAnsi="Verdana" w:cs="Arial"/>
          <w:color w:val="000000" w:themeColor="text1"/>
          <w:lang w:val="es-MX"/>
        </w:rPr>
        <w:t xml:space="preserve"> la capacidad jurídica o contractual, aunque su ausencia, cuando se desarrollan actividades mercantiles de manera habitual y permanente, </w:t>
      </w:r>
      <w:r w:rsidR="00AD2CD5">
        <w:rPr>
          <w:rFonts w:ascii="Verdana" w:eastAsia="Calibri" w:hAnsi="Verdana" w:cs="Arial"/>
          <w:color w:val="000000" w:themeColor="text1"/>
          <w:lang w:val="es-MX"/>
        </w:rPr>
        <w:t>pued</w:t>
      </w:r>
      <w:r w:rsidR="008A3E79">
        <w:rPr>
          <w:rFonts w:ascii="Verdana" w:eastAsia="Calibri" w:hAnsi="Verdana" w:cs="Arial"/>
          <w:color w:val="000000" w:themeColor="text1"/>
          <w:lang w:val="es-MX"/>
        </w:rPr>
        <w:t>e</w:t>
      </w:r>
      <w:r w:rsidR="008A66A7" w:rsidRPr="39FF496C">
        <w:rPr>
          <w:rFonts w:ascii="Verdana" w:eastAsia="Calibri" w:hAnsi="Verdana" w:cs="Arial"/>
          <w:color w:val="000000" w:themeColor="text1"/>
          <w:lang w:val="es-MX"/>
        </w:rPr>
        <w:t xml:space="preserve"> ocasiona</w:t>
      </w:r>
      <w:r w:rsidR="008A3E79">
        <w:rPr>
          <w:rFonts w:ascii="Verdana" w:eastAsia="Calibri" w:hAnsi="Verdana" w:cs="Arial"/>
          <w:color w:val="000000" w:themeColor="text1"/>
          <w:lang w:val="es-MX"/>
        </w:rPr>
        <w:t>r</w:t>
      </w:r>
      <w:r w:rsidR="008A66A7" w:rsidRPr="39FF496C">
        <w:rPr>
          <w:rFonts w:ascii="Verdana" w:eastAsia="Calibri" w:hAnsi="Verdana" w:cs="Arial"/>
          <w:color w:val="000000" w:themeColor="text1"/>
          <w:lang w:val="es-MX"/>
        </w:rPr>
        <w:t xml:space="preserve"> la imposición de multas por el incumplimiento de un deber legal. </w:t>
      </w:r>
    </w:p>
    <w:p w14:paraId="5DCBE44D" w14:textId="3E3B53DC" w:rsidR="008A66A7" w:rsidRDefault="008A3E79" w:rsidP="008A66A7">
      <w:pPr>
        <w:shd w:val="clear" w:color="auto" w:fill="FFFFFF" w:themeFill="background1"/>
        <w:spacing w:after="120" w:line="276" w:lineRule="auto"/>
        <w:ind w:firstLine="708"/>
        <w:jc w:val="both"/>
        <w:rPr>
          <w:rFonts w:ascii="Verdana" w:eastAsia="Calibri" w:hAnsi="Verdana" w:cs="Arial"/>
          <w:color w:val="000000" w:themeColor="text1"/>
          <w:lang w:val="es-MX"/>
        </w:rPr>
      </w:pPr>
      <w:r>
        <w:rPr>
          <w:rFonts w:ascii="Verdana" w:eastAsia="Calibri" w:hAnsi="Verdana" w:cs="Arial"/>
          <w:color w:val="000000" w:themeColor="text1"/>
          <w:lang w:val="es-MX"/>
        </w:rPr>
        <w:t xml:space="preserve">Sin </w:t>
      </w:r>
      <w:r w:rsidR="00BB2A2C">
        <w:rPr>
          <w:rFonts w:ascii="Verdana" w:eastAsia="Calibri" w:hAnsi="Verdana" w:cs="Arial"/>
          <w:color w:val="000000" w:themeColor="text1"/>
          <w:lang w:val="es-MX"/>
        </w:rPr>
        <w:t>perjuicio de lo anterior</w:t>
      </w:r>
      <w:r>
        <w:rPr>
          <w:rFonts w:ascii="Verdana" w:eastAsia="Calibri" w:hAnsi="Verdana" w:cs="Arial"/>
          <w:color w:val="000000" w:themeColor="text1"/>
          <w:lang w:val="es-MX"/>
        </w:rPr>
        <w:t xml:space="preserve">, de conformidad con lo establecido en el artículo </w:t>
      </w:r>
      <w:r w:rsidR="00F95BB4">
        <w:rPr>
          <w:rFonts w:ascii="Verdana" w:eastAsia="Calibri" w:hAnsi="Verdana" w:cs="Arial"/>
          <w:color w:val="000000" w:themeColor="text1"/>
          <w:lang w:val="es-MX"/>
        </w:rPr>
        <w:t>144 de la Ley 1955 de 2019</w:t>
      </w:r>
      <w:r w:rsidR="00BB2A2C">
        <w:rPr>
          <w:rStyle w:val="Refdenotaalpie"/>
          <w:rFonts w:ascii="Verdana" w:eastAsia="Calibri" w:hAnsi="Verdana" w:cs="Arial"/>
          <w:color w:val="000000" w:themeColor="text1"/>
          <w:lang w:val="es-MX"/>
        </w:rPr>
        <w:footnoteReference w:id="9"/>
      </w:r>
      <w:r w:rsidR="00F95BB4">
        <w:rPr>
          <w:rFonts w:ascii="Verdana" w:eastAsia="Calibri" w:hAnsi="Verdana" w:cs="Arial"/>
          <w:color w:val="000000" w:themeColor="text1"/>
          <w:lang w:val="es-MX"/>
        </w:rPr>
        <w:t xml:space="preserve">, reglamentado en </w:t>
      </w:r>
      <w:r w:rsidR="00893EA9">
        <w:rPr>
          <w:rFonts w:ascii="Verdana" w:eastAsia="Calibri" w:hAnsi="Verdana" w:cs="Arial"/>
          <w:color w:val="000000" w:themeColor="text1"/>
          <w:lang w:val="es-MX"/>
        </w:rPr>
        <w:t xml:space="preserve">los </w:t>
      </w:r>
      <w:r w:rsidR="00F95BB4">
        <w:rPr>
          <w:rFonts w:ascii="Verdana" w:eastAsia="Calibri" w:hAnsi="Verdana" w:cs="Arial"/>
          <w:color w:val="000000" w:themeColor="text1"/>
          <w:lang w:val="es-MX"/>
        </w:rPr>
        <w:t>artículo</w:t>
      </w:r>
      <w:r w:rsidR="00893EA9">
        <w:rPr>
          <w:rFonts w:ascii="Verdana" w:eastAsia="Calibri" w:hAnsi="Verdana" w:cs="Arial"/>
          <w:color w:val="000000" w:themeColor="text1"/>
          <w:lang w:val="es-MX"/>
        </w:rPr>
        <w:t xml:space="preserve">s </w:t>
      </w:r>
      <w:r w:rsidR="00893EA9" w:rsidRPr="00952F14">
        <w:rPr>
          <w:rFonts w:ascii="Verdana" w:eastAsia="Calibri" w:hAnsi="Verdana" w:cs="Arial"/>
          <w:color w:val="000000" w:themeColor="text1"/>
        </w:rPr>
        <w:t>2.2.2.1.4.1 a</w:t>
      </w:r>
      <w:r w:rsidR="00F95BB4" w:rsidRPr="006D5361">
        <w:rPr>
          <w:rFonts w:ascii="Verdana" w:eastAsia="Calibri" w:hAnsi="Verdana" w:cs="Arial"/>
          <w:color w:val="000000" w:themeColor="text1"/>
          <w:lang w:val="es-MX"/>
        </w:rPr>
        <w:t xml:space="preserve"> </w:t>
      </w:r>
      <w:r w:rsidR="00893EA9" w:rsidRPr="00952F14">
        <w:rPr>
          <w:rFonts w:ascii="Verdana" w:eastAsia="Calibri" w:hAnsi="Verdana" w:cs="Arial"/>
          <w:color w:val="000000" w:themeColor="text1"/>
        </w:rPr>
        <w:t>2.2.2.1.4.9 del Decreto 1074 de 2015, adicionados p</w:t>
      </w:r>
      <w:r w:rsidR="006D5361" w:rsidRPr="00952F14">
        <w:rPr>
          <w:rFonts w:ascii="Verdana" w:eastAsia="Calibri" w:hAnsi="Verdana" w:cs="Arial"/>
          <w:color w:val="000000" w:themeColor="text1"/>
        </w:rPr>
        <w:t>or el Decreto 1068 de 2020,</w:t>
      </w:r>
      <w:r w:rsidR="00714C4C">
        <w:rPr>
          <w:rFonts w:ascii="Verdana" w:eastAsia="Calibri" w:hAnsi="Verdana" w:cs="Arial"/>
          <w:color w:val="000000" w:themeColor="text1"/>
        </w:rPr>
        <w:t xml:space="preserve"> </w:t>
      </w:r>
      <w:r w:rsidR="00C57011">
        <w:rPr>
          <w:rFonts w:ascii="Verdana" w:eastAsia="Calibri" w:hAnsi="Verdana" w:cs="Arial"/>
          <w:color w:val="000000" w:themeColor="text1"/>
        </w:rPr>
        <w:t xml:space="preserve">las sociedades que </w:t>
      </w:r>
      <w:r w:rsidR="0092397A">
        <w:rPr>
          <w:rFonts w:ascii="Verdana" w:eastAsia="Calibri" w:hAnsi="Verdana" w:cs="Arial"/>
          <w:color w:val="000000" w:themeColor="text1"/>
        </w:rPr>
        <w:t xml:space="preserve">no renueven su matrícula mercantil </w:t>
      </w:r>
      <w:r w:rsidR="00C57011" w:rsidRPr="00C57011">
        <w:rPr>
          <w:rFonts w:ascii="Verdana" w:eastAsia="Calibri" w:hAnsi="Verdana" w:cs="Arial"/>
          <w:color w:val="000000" w:themeColor="text1"/>
        </w:rPr>
        <w:t>durante tres (3) años consecutivos</w:t>
      </w:r>
      <w:r w:rsidR="0092397A">
        <w:rPr>
          <w:rFonts w:ascii="Verdana" w:eastAsia="Calibri" w:hAnsi="Verdana" w:cs="Arial"/>
          <w:color w:val="000000" w:themeColor="text1"/>
        </w:rPr>
        <w:t>,</w:t>
      </w:r>
      <w:r w:rsidR="00E60569">
        <w:rPr>
          <w:rFonts w:ascii="Verdana" w:eastAsia="Calibri" w:hAnsi="Verdana" w:cs="Arial"/>
          <w:color w:val="000000" w:themeColor="text1"/>
        </w:rPr>
        <w:t xml:space="preserve"> se presumen </w:t>
      </w:r>
      <w:r w:rsidR="00E60569" w:rsidRPr="00952F14">
        <w:rPr>
          <w:rFonts w:ascii="Verdana" w:eastAsia="Calibri" w:hAnsi="Verdana" w:cs="Arial"/>
          <w:i/>
          <w:iCs/>
          <w:color w:val="000000" w:themeColor="text1"/>
        </w:rPr>
        <w:t>no operativas</w:t>
      </w:r>
      <w:r w:rsidR="00E60569">
        <w:rPr>
          <w:rFonts w:ascii="Verdana" w:eastAsia="Calibri" w:hAnsi="Verdana" w:cs="Arial"/>
          <w:color w:val="000000" w:themeColor="text1"/>
        </w:rPr>
        <w:t xml:space="preserve">, supuesto de hecho que </w:t>
      </w:r>
      <w:r w:rsidR="00744998">
        <w:rPr>
          <w:rFonts w:ascii="Verdana" w:eastAsia="Calibri" w:hAnsi="Verdana" w:cs="Arial"/>
          <w:color w:val="000000" w:themeColor="text1"/>
        </w:rPr>
        <w:t>pue</w:t>
      </w:r>
      <w:r w:rsidR="001B7D7F">
        <w:rPr>
          <w:rFonts w:ascii="Verdana" w:eastAsia="Calibri" w:hAnsi="Verdana" w:cs="Arial"/>
          <w:color w:val="000000" w:themeColor="text1"/>
        </w:rPr>
        <w:t>de acarrear la disolución de la sociedad. En todo cas</w:t>
      </w:r>
      <w:r w:rsidR="001B7A64">
        <w:rPr>
          <w:rFonts w:ascii="Verdana" w:eastAsia="Calibri" w:hAnsi="Verdana" w:cs="Arial"/>
          <w:color w:val="000000" w:themeColor="text1"/>
        </w:rPr>
        <w:t>o, tal disolución solo en</w:t>
      </w:r>
      <w:r w:rsidR="000A5C73">
        <w:rPr>
          <w:rFonts w:ascii="Verdana" w:eastAsia="Calibri" w:hAnsi="Verdana" w:cs="Arial"/>
          <w:color w:val="000000" w:themeColor="text1"/>
        </w:rPr>
        <w:t xml:space="preserve"> se consolida en</w:t>
      </w:r>
      <w:r w:rsidR="001B7A64">
        <w:rPr>
          <w:rFonts w:ascii="Verdana" w:eastAsia="Calibri" w:hAnsi="Verdana" w:cs="Arial"/>
          <w:color w:val="000000" w:themeColor="text1"/>
        </w:rPr>
        <w:t xml:space="preserve"> los casos en los que, </w:t>
      </w:r>
      <w:r w:rsidR="00265EAE">
        <w:rPr>
          <w:rFonts w:ascii="Verdana" w:eastAsia="Calibri" w:hAnsi="Verdana" w:cs="Arial"/>
          <w:color w:val="000000" w:themeColor="text1"/>
        </w:rPr>
        <w:t>en el marco</w:t>
      </w:r>
      <w:r w:rsidR="001B7A64">
        <w:rPr>
          <w:rFonts w:ascii="Verdana" w:eastAsia="Calibri" w:hAnsi="Verdana" w:cs="Arial"/>
          <w:color w:val="000000" w:themeColor="text1"/>
        </w:rPr>
        <w:t xml:space="preserve"> </w:t>
      </w:r>
      <w:r w:rsidR="00265EAE">
        <w:rPr>
          <w:rFonts w:ascii="Verdana" w:eastAsia="Calibri" w:hAnsi="Verdana" w:cs="Arial"/>
          <w:color w:val="000000" w:themeColor="text1"/>
        </w:rPr>
        <w:t>d</w:t>
      </w:r>
      <w:r w:rsidR="001B7A64">
        <w:rPr>
          <w:rFonts w:ascii="Verdana" w:eastAsia="Calibri" w:hAnsi="Verdana" w:cs="Arial"/>
          <w:color w:val="000000" w:themeColor="text1"/>
        </w:rPr>
        <w:t>el</w:t>
      </w:r>
      <w:r w:rsidR="00265EAE">
        <w:rPr>
          <w:rFonts w:ascii="Verdana" w:eastAsia="Calibri" w:hAnsi="Verdana" w:cs="Arial"/>
          <w:color w:val="000000" w:themeColor="text1"/>
        </w:rPr>
        <w:t xml:space="preserve"> </w:t>
      </w:r>
      <w:r w:rsidR="002C0C53">
        <w:rPr>
          <w:rFonts w:ascii="Verdana" w:eastAsia="Calibri" w:hAnsi="Verdana" w:cs="Arial"/>
          <w:color w:val="000000" w:themeColor="text1"/>
        </w:rPr>
        <w:t>correspondiente procedimiento</w:t>
      </w:r>
      <w:r w:rsidR="001B7A64">
        <w:rPr>
          <w:rFonts w:ascii="Verdana" w:eastAsia="Calibri" w:hAnsi="Verdana" w:cs="Arial"/>
          <w:color w:val="000000" w:themeColor="text1"/>
        </w:rPr>
        <w:t xml:space="preserve"> administrativo</w:t>
      </w:r>
      <w:r w:rsidR="00265EAE">
        <w:rPr>
          <w:rFonts w:ascii="Verdana" w:eastAsia="Calibri" w:hAnsi="Verdana" w:cs="Arial"/>
          <w:color w:val="000000" w:themeColor="text1"/>
        </w:rPr>
        <w:t xml:space="preserve"> no se logra desvirtuar la </w:t>
      </w:r>
      <w:r w:rsidR="00FF6295">
        <w:rPr>
          <w:rFonts w:ascii="Verdana" w:eastAsia="Calibri" w:hAnsi="Verdana" w:cs="Arial"/>
          <w:color w:val="000000" w:themeColor="text1"/>
        </w:rPr>
        <w:t xml:space="preserve">presunción de </w:t>
      </w:r>
      <w:r w:rsidR="002C0C53">
        <w:rPr>
          <w:rFonts w:ascii="Verdana" w:eastAsia="Calibri" w:hAnsi="Verdana" w:cs="Arial"/>
          <w:color w:val="000000" w:themeColor="text1"/>
        </w:rPr>
        <w:t xml:space="preserve">no </w:t>
      </w:r>
      <w:r w:rsidR="00FF6295">
        <w:rPr>
          <w:rFonts w:ascii="Verdana" w:eastAsia="Calibri" w:hAnsi="Verdana" w:cs="Arial"/>
          <w:color w:val="000000" w:themeColor="text1"/>
        </w:rPr>
        <w:t xml:space="preserve">operatividad, de manera que </w:t>
      </w:r>
      <w:r w:rsidR="000A5C73">
        <w:rPr>
          <w:rFonts w:ascii="Verdana" w:eastAsia="Calibri" w:hAnsi="Verdana" w:cs="Arial"/>
          <w:color w:val="000000" w:themeColor="text1"/>
        </w:rPr>
        <w:t xml:space="preserve">la </w:t>
      </w:r>
      <w:r w:rsidR="00265EAE">
        <w:rPr>
          <w:rFonts w:ascii="Verdana" w:eastAsia="Calibri" w:hAnsi="Verdana" w:cs="Arial"/>
          <w:color w:val="000000" w:themeColor="text1"/>
        </w:rPr>
        <w:t>Superintendencia</w:t>
      </w:r>
      <w:r w:rsidR="000A5C73">
        <w:rPr>
          <w:rFonts w:ascii="Verdana" w:eastAsia="Calibri" w:hAnsi="Verdana" w:cs="Arial"/>
          <w:color w:val="000000" w:themeColor="text1"/>
        </w:rPr>
        <w:t xml:space="preserve"> de Sociedades </w:t>
      </w:r>
      <w:r w:rsidR="00FF6295">
        <w:rPr>
          <w:rFonts w:ascii="Verdana" w:eastAsia="Calibri" w:hAnsi="Verdana" w:cs="Arial"/>
          <w:color w:val="000000" w:themeColor="text1"/>
        </w:rPr>
        <w:t>se ve obligada a expedir un acto administrativo</w:t>
      </w:r>
      <w:r w:rsidR="008747C0">
        <w:rPr>
          <w:rFonts w:ascii="Verdana" w:eastAsia="Calibri" w:hAnsi="Verdana" w:cs="Arial"/>
          <w:color w:val="000000" w:themeColor="text1"/>
        </w:rPr>
        <w:t xml:space="preserve"> declarando</w:t>
      </w:r>
      <w:r w:rsidR="008747C0" w:rsidRPr="008747C0">
        <w:rPr>
          <w:rFonts w:ascii="Verdana" w:eastAsia="Calibri" w:hAnsi="Verdana" w:cs="Arial"/>
          <w:color w:val="000000" w:themeColor="text1"/>
        </w:rPr>
        <w:t xml:space="preserve"> a la sociedad disuelta y en estado de liquidación</w:t>
      </w:r>
      <w:r w:rsidR="008747C0">
        <w:rPr>
          <w:rFonts w:ascii="Verdana" w:eastAsia="Calibri" w:hAnsi="Verdana" w:cs="Arial"/>
          <w:color w:val="000000" w:themeColor="text1"/>
        </w:rPr>
        <w:t xml:space="preserve">, de acuerdo con lo establecido en el artículo </w:t>
      </w:r>
      <w:r w:rsidR="002C0C53" w:rsidRPr="002C0C53">
        <w:rPr>
          <w:rFonts w:ascii="Verdana" w:eastAsia="Calibri" w:hAnsi="Verdana" w:cs="Arial"/>
          <w:color w:val="000000" w:themeColor="text1"/>
        </w:rPr>
        <w:t>2.2.2.1.4.6</w:t>
      </w:r>
      <w:r w:rsidR="002C0C53">
        <w:rPr>
          <w:rFonts w:ascii="Verdana" w:eastAsia="Calibri" w:hAnsi="Verdana" w:cs="Arial"/>
          <w:color w:val="000000" w:themeColor="text1"/>
        </w:rPr>
        <w:t xml:space="preserve"> del Decreto 1074 de 2015</w:t>
      </w:r>
      <w:r w:rsidR="00296BFB">
        <w:rPr>
          <w:rStyle w:val="Refdenotaalpie"/>
          <w:rFonts w:ascii="Verdana" w:eastAsia="Calibri" w:hAnsi="Verdana" w:cs="Arial"/>
          <w:color w:val="000000" w:themeColor="text1"/>
        </w:rPr>
        <w:footnoteReference w:id="10"/>
      </w:r>
      <w:r w:rsidR="002C0C53">
        <w:rPr>
          <w:rFonts w:ascii="Verdana" w:eastAsia="Calibri" w:hAnsi="Verdana" w:cs="Arial"/>
          <w:color w:val="000000" w:themeColor="text1"/>
        </w:rPr>
        <w:t xml:space="preserve">. </w:t>
      </w:r>
      <w:r w:rsidR="008F2195">
        <w:rPr>
          <w:rFonts w:ascii="Verdana" w:eastAsia="Calibri" w:hAnsi="Verdana" w:cs="Arial"/>
          <w:color w:val="000000" w:themeColor="text1"/>
        </w:rPr>
        <w:t xml:space="preserve"> </w:t>
      </w:r>
    </w:p>
    <w:p w14:paraId="39F96039" w14:textId="467E295D" w:rsidR="00C4513D" w:rsidRDefault="008A66A7" w:rsidP="007C5577">
      <w:pPr>
        <w:shd w:val="clear" w:color="auto" w:fill="FFFFFF"/>
        <w:spacing w:after="120" w:line="276" w:lineRule="auto"/>
        <w:jc w:val="both"/>
        <w:rPr>
          <w:rFonts w:ascii="Verdana" w:eastAsia="Calibri" w:hAnsi="Verdana" w:cs="Arial"/>
          <w:bCs/>
          <w:color w:val="000000"/>
          <w:lang w:val="es-MX"/>
        </w:rPr>
      </w:pPr>
      <w:proofErr w:type="spellStart"/>
      <w:r>
        <w:rPr>
          <w:rFonts w:ascii="Verdana" w:eastAsia="Calibri" w:hAnsi="Verdana" w:cs="Arial"/>
          <w:color w:val="000000"/>
          <w:lang w:val="es-MX"/>
        </w:rPr>
        <w:t>iii</w:t>
      </w:r>
      <w:proofErr w:type="spellEnd"/>
      <w:r w:rsidR="009860EE">
        <w:rPr>
          <w:rFonts w:ascii="Verdana" w:eastAsia="Calibri" w:hAnsi="Verdana" w:cs="Arial"/>
          <w:color w:val="000000"/>
          <w:lang w:val="es-MX"/>
        </w:rPr>
        <w:t xml:space="preserve">. </w:t>
      </w:r>
      <w:r w:rsidR="000203D0">
        <w:rPr>
          <w:rFonts w:ascii="Verdana" w:eastAsia="Calibri" w:hAnsi="Verdana" w:cs="Arial"/>
          <w:bCs/>
          <w:color w:val="000000"/>
          <w:lang w:val="es-MX"/>
        </w:rPr>
        <w:t>Conforme a lo anterior</w:t>
      </w:r>
      <w:r w:rsidR="007C5577" w:rsidRPr="00003C87">
        <w:rPr>
          <w:rFonts w:ascii="Verdana" w:eastAsia="Calibri" w:hAnsi="Verdana" w:cs="Arial"/>
          <w:bCs/>
          <w:color w:val="000000"/>
          <w:lang w:val="es-MX"/>
        </w:rPr>
        <w:t xml:space="preserve">, </w:t>
      </w:r>
      <w:r w:rsidR="000203D0">
        <w:rPr>
          <w:rFonts w:ascii="Verdana" w:eastAsia="Calibri" w:hAnsi="Verdana" w:cs="Arial"/>
          <w:bCs/>
          <w:color w:val="000000"/>
          <w:lang w:val="es-MX"/>
        </w:rPr>
        <w:t xml:space="preserve">es posible concluir que, si bien </w:t>
      </w:r>
      <w:r w:rsidR="003C1A89">
        <w:rPr>
          <w:rFonts w:ascii="Verdana" w:eastAsia="Calibri" w:hAnsi="Verdana" w:cs="Arial"/>
          <w:bCs/>
          <w:i/>
          <w:iCs/>
          <w:color w:val="000000"/>
          <w:lang w:val="es-MX"/>
        </w:rPr>
        <w:t>el registro</w:t>
      </w:r>
      <w:r w:rsidR="000203D0" w:rsidRPr="00952F14">
        <w:rPr>
          <w:rFonts w:ascii="Verdana" w:eastAsia="Calibri" w:hAnsi="Verdana" w:cs="Arial"/>
          <w:bCs/>
          <w:i/>
          <w:iCs/>
          <w:color w:val="000000"/>
          <w:lang w:val="es-MX"/>
        </w:rPr>
        <w:t xml:space="preserve"> mercantil</w:t>
      </w:r>
      <w:r w:rsidR="007C5577" w:rsidRPr="00003C87">
        <w:rPr>
          <w:rFonts w:ascii="Verdana" w:eastAsia="Calibri" w:hAnsi="Verdana" w:cs="Arial"/>
          <w:bCs/>
          <w:color w:val="000000"/>
          <w:lang w:val="es-MX"/>
        </w:rPr>
        <w:t xml:space="preserve"> es un deber legal de los comerciantes, </w:t>
      </w:r>
      <w:r w:rsidR="00F325A6">
        <w:rPr>
          <w:rFonts w:ascii="Verdana" w:eastAsia="Calibri" w:hAnsi="Verdana" w:cs="Arial"/>
          <w:bCs/>
          <w:color w:val="000000"/>
          <w:lang w:val="es-MX"/>
        </w:rPr>
        <w:t xml:space="preserve">su existencia o su renovación, </w:t>
      </w:r>
      <w:r w:rsidR="007C5577" w:rsidRPr="00003C87">
        <w:rPr>
          <w:rFonts w:ascii="Verdana" w:eastAsia="Calibri" w:hAnsi="Verdana" w:cs="Arial"/>
          <w:bCs/>
          <w:color w:val="000000"/>
          <w:lang w:val="es-MX"/>
        </w:rPr>
        <w:t>no otorga o afecta la capacidad jurídica o contractual</w:t>
      </w:r>
      <w:r w:rsidR="00C36C9B">
        <w:rPr>
          <w:rFonts w:ascii="Verdana" w:eastAsia="Calibri" w:hAnsi="Verdana" w:cs="Arial"/>
          <w:bCs/>
          <w:color w:val="000000"/>
          <w:lang w:val="es-MX"/>
        </w:rPr>
        <w:t>.</w:t>
      </w:r>
      <w:r w:rsidR="00784DD6" w:rsidRPr="00003C87">
        <w:rPr>
          <w:rFonts w:ascii="Verdana" w:eastAsia="Calibri" w:hAnsi="Verdana" w:cs="Arial"/>
          <w:bCs/>
          <w:color w:val="000000"/>
          <w:lang w:val="es-MX"/>
        </w:rPr>
        <w:t xml:space="preserve"> En este sentido, </w:t>
      </w:r>
      <w:r w:rsidR="00784DD6">
        <w:rPr>
          <w:rFonts w:ascii="Verdana" w:eastAsia="Calibri" w:hAnsi="Verdana" w:cs="Arial"/>
          <w:bCs/>
          <w:color w:val="000000"/>
          <w:lang w:val="es-MX"/>
        </w:rPr>
        <w:t>un oferente</w:t>
      </w:r>
      <w:r w:rsidR="00784DD6" w:rsidRPr="00003C87">
        <w:rPr>
          <w:rFonts w:ascii="Verdana" w:eastAsia="Calibri" w:hAnsi="Verdana" w:cs="Arial"/>
          <w:bCs/>
          <w:color w:val="000000"/>
          <w:lang w:val="es-MX"/>
        </w:rPr>
        <w:t xml:space="preserve"> solo deberá estar inscrita en el registro mercantil, en cumplimiento de un deber comercial, cuando realice alguna actividad comercial profesional de manera habitual, y no por el hecho de participar en un proceso de contratación. </w:t>
      </w:r>
      <w:r w:rsidR="00C36C9B">
        <w:rPr>
          <w:rFonts w:ascii="Verdana" w:eastAsia="Calibri" w:hAnsi="Verdana" w:cs="Arial"/>
          <w:bCs/>
          <w:color w:val="000000"/>
          <w:lang w:val="es-MX"/>
        </w:rPr>
        <w:t xml:space="preserve">No obstante, este es un requisito que, de manera frecuente se exige </w:t>
      </w:r>
      <w:r w:rsidR="00B5261E">
        <w:rPr>
          <w:rFonts w:ascii="Verdana" w:eastAsia="Calibri" w:hAnsi="Verdana" w:cs="Arial"/>
          <w:bCs/>
          <w:color w:val="000000"/>
          <w:lang w:val="es-MX"/>
        </w:rPr>
        <w:t xml:space="preserve">para la celebración de contratos estatales, lo cual resulta apenas razonable </w:t>
      </w:r>
      <w:r w:rsidR="00DE7B09">
        <w:rPr>
          <w:rFonts w:ascii="Verdana" w:eastAsia="Calibri" w:hAnsi="Verdana" w:cs="Arial"/>
          <w:bCs/>
          <w:color w:val="000000"/>
          <w:lang w:val="es-MX"/>
        </w:rPr>
        <w:t xml:space="preserve">tratándose de objetos contractuales cuya ejecución implique el ejercicio de actos de </w:t>
      </w:r>
      <w:r w:rsidR="00DE7B09">
        <w:rPr>
          <w:rFonts w:ascii="Verdana" w:eastAsia="Calibri" w:hAnsi="Verdana" w:cs="Arial"/>
          <w:bCs/>
          <w:color w:val="000000"/>
          <w:lang w:val="es-MX"/>
        </w:rPr>
        <w:lastRenderedPageBreak/>
        <w:t>comercio</w:t>
      </w:r>
      <w:r w:rsidR="007706FF">
        <w:rPr>
          <w:rFonts w:ascii="Verdana" w:eastAsia="Calibri" w:hAnsi="Verdana" w:cs="Arial"/>
          <w:bCs/>
          <w:color w:val="000000"/>
          <w:lang w:val="es-MX"/>
        </w:rPr>
        <w:t xml:space="preserve">, </w:t>
      </w:r>
      <w:r w:rsidR="003461D3">
        <w:rPr>
          <w:rFonts w:ascii="Verdana" w:eastAsia="Calibri" w:hAnsi="Verdana" w:cs="Arial"/>
          <w:bCs/>
          <w:color w:val="000000"/>
          <w:lang w:val="es-MX"/>
        </w:rPr>
        <w:t xml:space="preserve">contexto en el cual, </w:t>
      </w:r>
      <w:r w:rsidR="00C4513D">
        <w:rPr>
          <w:rFonts w:ascii="Verdana" w:eastAsia="Calibri" w:hAnsi="Verdana" w:cs="Arial"/>
          <w:bCs/>
          <w:color w:val="000000"/>
          <w:lang w:val="es-MX"/>
        </w:rPr>
        <w:t>el llamado a ser contratista</w:t>
      </w:r>
      <w:r w:rsidR="00A60E5C">
        <w:rPr>
          <w:rFonts w:ascii="Verdana" w:eastAsia="Calibri" w:hAnsi="Verdana" w:cs="Arial"/>
          <w:bCs/>
          <w:color w:val="000000"/>
          <w:lang w:val="es-MX"/>
        </w:rPr>
        <w:t>, en principio,</w:t>
      </w:r>
      <w:r w:rsidR="00C4513D">
        <w:rPr>
          <w:rFonts w:ascii="Verdana" w:eastAsia="Calibri" w:hAnsi="Verdana" w:cs="Arial"/>
          <w:bCs/>
          <w:color w:val="000000"/>
          <w:lang w:val="es-MX"/>
        </w:rPr>
        <w:t xml:space="preserve"> es un comerciante, obligado a cumplir lo establecido en el artículo 33 del Código de Comercio. </w:t>
      </w:r>
    </w:p>
    <w:p w14:paraId="69DEF3F7" w14:textId="5E51BFA5" w:rsidR="003C3164" w:rsidRDefault="00EF6DC9" w:rsidP="007C5577">
      <w:pPr>
        <w:shd w:val="clear" w:color="auto" w:fill="FFFFFF"/>
        <w:spacing w:after="120" w:line="276" w:lineRule="auto"/>
        <w:jc w:val="both"/>
        <w:rPr>
          <w:rFonts w:ascii="Verdana" w:eastAsia="Calibri" w:hAnsi="Verdana" w:cs="Arial"/>
          <w:bCs/>
          <w:color w:val="000000"/>
          <w:lang w:val="es-MX"/>
        </w:rPr>
      </w:pPr>
      <w:r>
        <w:rPr>
          <w:rFonts w:ascii="Verdana" w:eastAsia="Calibri" w:hAnsi="Verdana" w:cs="Arial"/>
          <w:bCs/>
          <w:color w:val="000000"/>
          <w:lang w:val="es-MX"/>
        </w:rPr>
        <w:tab/>
      </w:r>
      <w:r w:rsidR="009F61C2">
        <w:rPr>
          <w:rFonts w:ascii="Verdana" w:eastAsia="Calibri" w:hAnsi="Verdana" w:cs="Arial"/>
          <w:bCs/>
          <w:color w:val="000000"/>
          <w:lang w:val="es-MX"/>
        </w:rPr>
        <w:t xml:space="preserve">No obstante, en la medida en que </w:t>
      </w:r>
      <w:r w:rsidR="00856C33">
        <w:rPr>
          <w:rFonts w:ascii="Verdana" w:eastAsia="Calibri" w:hAnsi="Verdana" w:cs="Arial"/>
          <w:bCs/>
          <w:color w:val="000000"/>
          <w:lang w:val="es-MX"/>
        </w:rPr>
        <w:t>la ausencia de</w:t>
      </w:r>
      <w:r w:rsidR="00D60E23">
        <w:rPr>
          <w:rFonts w:ascii="Verdana" w:eastAsia="Calibri" w:hAnsi="Verdana" w:cs="Arial"/>
          <w:bCs/>
          <w:color w:val="000000"/>
          <w:lang w:val="es-MX"/>
        </w:rPr>
        <w:t>l</w:t>
      </w:r>
      <w:r w:rsidR="00856C33">
        <w:rPr>
          <w:rFonts w:ascii="Verdana" w:eastAsia="Calibri" w:hAnsi="Verdana" w:cs="Arial"/>
          <w:bCs/>
          <w:color w:val="000000"/>
          <w:lang w:val="es-MX"/>
        </w:rPr>
        <w:t xml:space="preserve"> </w:t>
      </w:r>
      <w:r w:rsidR="00856C33" w:rsidRPr="00952F14">
        <w:rPr>
          <w:rFonts w:ascii="Verdana" w:eastAsia="Calibri" w:hAnsi="Verdana" w:cs="Arial"/>
          <w:bCs/>
          <w:i/>
          <w:iCs/>
          <w:color w:val="000000"/>
          <w:lang w:val="es-MX"/>
        </w:rPr>
        <w:t>registro mercantil</w:t>
      </w:r>
      <w:r w:rsidR="00856C33">
        <w:rPr>
          <w:rFonts w:ascii="Verdana" w:eastAsia="Calibri" w:hAnsi="Verdana" w:cs="Arial"/>
          <w:bCs/>
          <w:color w:val="000000"/>
          <w:lang w:val="es-MX"/>
        </w:rPr>
        <w:t xml:space="preserve"> o su falta de renovación no tienen como</w:t>
      </w:r>
      <w:r w:rsidR="00E53E1C">
        <w:rPr>
          <w:rFonts w:ascii="Verdana" w:eastAsia="Calibri" w:hAnsi="Verdana" w:cs="Arial"/>
          <w:bCs/>
          <w:color w:val="000000"/>
          <w:lang w:val="es-MX"/>
        </w:rPr>
        <w:t xml:space="preserve"> consecuencia</w:t>
      </w:r>
      <w:r w:rsidR="004B6662">
        <w:rPr>
          <w:rFonts w:ascii="Verdana" w:eastAsia="Calibri" w:hAnsi="Verdana" w:cs="Arial"/>
          <w:bCs/>
          <w:color w:val="000000"/>
          <w:lang w:val="es-MX"/>
        </w:rPr>
        <w:t xml:space="preserve"> directa</w:t>
      </w:r>
      <w:r w:rsidR="00856C33">
        <w:rPr>
          <w:rFonts w:ascii="Verdana" w:eastAsia="Calibri" w:hAnsi="Verdana" w:cs="Arial"/>
          <w:bCs/>
          <w:color w:val="000000"/>
          <w:lang w:val="es-MX"/>
        </w:rPr>
        <w:t xml:space="preserve"> la </w:t>
      </w:r>
      <w:r w:rsidR="00AB11FB">
        <w:rPr>
          <w:rFonts w:ascii="Verdana" w:eastAsia="Calibri" w:hAnsi="Verdana" w:cs="Arial"/>
          <w:bCs/>
          <w:color w:val="000000"/>
          <w:lang w:val="es-MX"/>
        </w:rPr>
        <w:t>pérdida</w:t>
      </w:r>
      <w:r w:rsidR="00856C33">
        <w:rPr>
          <w:rFonts w:ascii="Verdana" w:eastAsia="Calibri" w:hAnsi="Verdana" w:cs="Arial"/>
          <w:bCs/>
          <w:color w:val="000000"/>
          <w:lang w:val="es-MX"/>
        </w:rPr>
        <w:t xml:space="preserve"> de capacidad </w:t>
      </w:r>
      <w:r w:rsidR="00AB11FB">
        <w:rPr>
          <w:rFonts w:ascii="Verdana" w:eastAsia="Calibri" w:hAnsi="Verdana" w:cs="Arial"/>
          <w:bCs/>
          <w:color w:val="000000"/>
          <w:lang w:val="es-MX"/>
        </w:rPr>
        <w:t>lega</w:t>
      </w:r>
      <w:r w:rsidR="00E53E1C">
        <w:rPr>
          <w:rFonts w:ascii="Verdana" w:eastAsia="Calibri" w:hAnsi="Verdana" w:cs="Arial"/>
          <w:bCs/>
          <w:color w:val="000000"/>
          <w:lang w:val="es-MX"/>
        </w:rPr>
        <w:t>l</w:t>
      </w:r>
      <w:r w:rsidR="00AB11FB">
        <w:rPr>
          <w:rFonts w:ascii="Verdana" w:eastAsia="Calibri" w:hAnsi="Verdana" w:cs="Arial"/>
          <w:bCs/>
          <w:color w:val="000000"/>
          <w:lang w:val="es-MX"/>
        </w:rPr>
        <w:t>, ni</w:t>
      </w:r>
      <w:r w:rsidR="00116908">
        <w:rPr>
          <w:rFonts w:ascii="Verdana" w:eastAsia="Calibri" w:hAnsi="Verdana" w:cs="Arial"/>
          <w:bCs/>
          <w:color w:val="000000"/>
          <w:lang w:val="es-MX"/>
        </w:rPr>
        <w:t xml:space="preserve"> inciden en</w:t>
      </w:r>
      <w:r w:rsidR="00AB11FB">
        <w:rPr>
          <w:rFonts w:ascii="Verdana" w:eastAsia="Calibri" w:hAnsi="Verdana" w:cs="Arial"/>
          <w:bCs/>
          <w:color w:val="000000"/>
          <w:lang w:val="es-MX"/>
        </w:rPr>
        <w:t xml:space="preserve"> </w:t>
      </w:r>
      <w:r w:rsidR="004B6662">
        <w:rPr>
          <w:rFonts w:ascii="Verdana" w:eastAsia="Calibri" w:hAnsi="Verdana" w:cs="Arial"/>
          <w:bCs/>
          <w:color w:val="000000"/>
          <w:lang w:val="es-MX"/>
        </w:rPr>
        <w:t xml:space="preserve">la </w:t>
      </w:r>
      <w:r w:rsidR="00AB11FB">
        <w:rPr>
          <w:rFonts w:ascii="Verdana" w:eastAsia="Calibri" w:hAnsi="Verdana" w:cs="Arial"/>
          <w:bCs/>
          <w:color w:val="000000"/>
          <w:lang w:val="es-MX"/>
        </w:rPr>
        <w:t>aptitud</w:t>
      </w:r>
      <w:r w:rsidR="00116908">
        <w:rPr>
          <w:rFonts w:ascii="Verdana" w:eastAsia="Calibri" w:hAnsi="Verdana" w:cs="Arial"/>
          <w:bCs/>
          <w:color w:val="000000"/>
          <w:lang w:val="es-MX"/>
        </w:rPr>
        <w:t xml:space="preserve"> jurídica</w:t>
      </w:r>
      <w:r w:rsidR="00AB11FB">
        <w:rPr>
          <w:rFonts w:ascii="Verdana" w:eastAsia="Calibri" w:hAnsi="Verdana" w:cs="Arial"/>
          <w:bCs/>
          <w:color w:val="000000"/>
          <w:lang w:val="es-MX"/>
        </w:rPr>
        <w:t xml:space="preserve"> </w:t>
      </w:r>
      <w:r w:rsidR="00E53E1C">
        <w:rPr>
          <w:rFonts w:ascii="Verdana" w:eastAsia="Calibri" w:hAnsi="Verdana" w:cs="Arial"/>
          <w:bCs/>
          <w:color w:val="000000"/>
          <w:lang w:val="es-MX"/>
        </w:rPr>
        <w:t>para contraer obligaciones</w:t>
      </w:r>
      <w:r w:rsidR="004B6662">
        <w:rPr>
          <w:rFonts w:ascii="Verdana" w:eastAsia="Calibri" w:hAnsi="Verdana" w:cs="Arial"/>
          <w:bCs/>
          <w:color w:val="000000"/>
          <w:lang w:val="es-MX"/>
        </w:rPr>
        <w:t xml:space="preserve"> del oferente</w:t>
      </w:r>
      <w:r w:rsidR="00116908">
        <w:rPr>
          <w:rFonts w:ascii="Verdana" w:eastAsia="Calibri" w:hAnsi="Verdana" w:cs="Arial"/>
          <w:bCs/>
          <w:color w:val="000000"/>
          <w:lang w:val="es-MX"/>
        </w:rPr>
        <w:t>,</w:t>
      </w:r>
      <w:r w:rsidR="005E38AF">
        <w:rPr>
          <w:rFonts w:ascii="Verdana" w:eastAsia="Calibri" w:hAnsi="Verdana" w:cs="Arial"/>
          <w:bCs/>
          <w:color w:val="000000"/>
          <w:lang w:val="es-MX"/>
        </w:rPr>
        <w:t xml:space="preserve"> tales circunstancias</w:t>
      </w:r>
      <w:r w:rsidR="004B6662">
        <w:rPr>
          <w:rFonts w:ascii="Verdana" w:eastAsia="Calibri" w:hAnsi="Verdana" w:cs="Arial"/>
          <w:bCs/>
          <w:color w:val="000000"/>
          <w:lang w:val="es-MX"/>
        </w:rPr>
        <w:t xml:space="preserve">, </w:t>
      </w:r>
      <w:r w:rsidR="004B6662" w:rsidRPr="00952F14">
        <w:rPr>
          <w:rFonts w:ascii="Verdana" w:eastAsia="Calibri" w:hAnsi="Verdana" w:cs="Arial"/>
          <w:bCs/>
          <w:i/>
          <w:iCs/>
          <w:color w:val="000000"/>
          <w:lang w:val="es-MX"/>
        </w:rPr>
        <w:t>per se</w:t>
      </w:r>
      <w:r w:rsidR="004B6662">
        <w:rPr>
          <w:rFonts w:ascii="Verdana" w:eastAsia="Calibri" w:hAnsi="Verdana" w:cs="Arial"/>
          <w:bCs/>
          <w:color w:val="000000"/>
          <w:lang w:val="es-MX"/>
        </w:rPr>
        <w:t>,</w:t>
      </w:r>
      <w:r w:rsidR="005E38AF">
        <w:rPr>
          <w:rFonts w:ascii="Verdana" w:eastAsia="Calibri" w:hAnsi="Verdana" w:cs="Arial"/>
          <w:bCs/>
          <w:color w:val="000000"/>
          <w:lang w:val="es-MX"/>
        </w:rPr>
        <w:t xml:space="preserve"> no constituyen motivo</w:t>
      </w:r>
      <w:r w:rsidR="004B6662">
        <w:rPr>
          <w:rFonts w:ascii="Verdana" w:eastAsia="Calibri" w:hAnsi="Verdana" w:cs="Arial"/>
          <w:bCs/>
          <w:color w:val="000000"/>
          <w:lang w:val="es-MX"/>
        </w:rPr>
        <w:t>s</w:t>
      </w:r>
      <w:r w:rsidR="005E38AF">
        <w:rPr>
          <w:rFonts w:ascii="Verdana" w:eastAsia="Calibri" w:hAnsi="Verdana" w:cs="Arial"/>
          <w:bCs/>
          <w:color w:val="000000"/>
          <w:lang w:val="es-MX"/>
        </w:rPr>
        <w:t xml:space="preserve"> suficiente</w:t>
      </w:r>
      <w:r w:rsidR="004B6662">
        <w:rPr>
          <w:rFonts w:ascii="Verdana" w:eastAsia="Calibri" w:hAnsi="Verdana" w:cs="Arial"/>
          <w:bCs/>
          <w:color w:val="000000"/>
          <w:lang w:val="es-MX"/>
        </w:rPr>
        <w:t>s</w:t>
      </w:r>
      <w:r w:rsidR="005E38AF">
        <w:rPr>
          <w:rFonts w:ascii="Verdana" w:eastAsia="Calibri" w:hAnsi="Verdana" w:cs="Arial"/>
          <w:bCs/>
          <w:color w:val="000000"/>
          <w:lang w:val="es-MX"/>
        </w:rPr>
        <w:t xml:space="preserve"> </w:t>
      </w:r>
      <w:r w:rsidR="004B6662">
        <w:rPr>
          <w:rFonts w:ascii="Verdana" w:eastAsia="Calibri" w:hAnsi="Verdana" w:cs="Arial"/>
          <w:bCs/>
          <w:color w:val="000000"/>
          <w:lang w:val="es-MX"/>
        </w:rPr>
        <w:t>p</w:t>
      </w:r>
      <w:r w:rsidR="005E38AF">
        <w:rPr>
          <w:rFonts w:ascii="Verdana" w:eastAsia="Calibri" w:hAnsi="Verdana" w:cs="Arial"/>
          <w:bCs/>
          <w:color w:val="000000"/>
          <w:lang w:val="es-MX"/>
        </w:rPr>
        <w:t>ara que una entidad estatal se niegue a celebrar un contrato estatal</w:t>
      </w:r>
      <w:r w:rsidR="004B6662">
        <w:rPr>
          <w:rFonts w:ascii="Verdana" w:eastAsia="Calibri" w:hAnsi="Verdana" w:cs="Arial"/>
          <w:bCs/>
          <w:color w:val="000000"/>
          <w:lang w:val="es-MX"/>
        </w:rPr>
        <w:t>.</w:t>
      </w:r>
      <w:r w:rsidR="0087716A">
        <w:rPr>
          <w:rFonts w:ascii="Verdana" w:eastAsia="Calibri" w:hAnsi="Verdana" w:cs="Arial"/>
          <w:bCs/>
          <w:color w:val="000000"/>
          <w:lang w:val="es-MX"/>
        </w:rPr>
        <w:t xml:space="preserve"> </w:t>
      </w:r>
      <w:r w:rsidR="00D21FE0">
        <w:rPr>
          <w:rFonts w:ascii="Verdana" w:eastAsia="Calibri" w:hAnsi="Verdana" w:cs="Arial"/>
          <w:bCs/>
          <w:color w:val="000000"/>
          <w:lang w:val="es-MX"/>
        </w:rPr>
        <w:t xml:space="preserve">Esto sobre todo cuando la falta de renovación del </w:t>
      </w:r>
      <w:r w:rsidR="000604AA">
        <w:rPr>
          <w:rFonts w:ascii="Verdana" w:eastAsia="Calibri" w:hAnsi="Verdana" w:cs="Arial"/>
          <w:bCs/>
          <w:color w:val="000000"/>
          <w:lang w:val="es-MX"/>
        </w:rPr>
        <w:t xml:space="preserve">registro mercantil sobreviene a la suscripción del contrato, </w:t>
      </w:r>
      <w:r w:rsidR="002C11D1">
        <w:rPr>
          <w:rFonts w:ascii="Verdana" w:eastAsia="Calibri" w:hAnsi="Verdana" w:cs="Arial"/>
          <w:bCs/>
          <w:color w:val="000000"/>
          <w:lang w:val="es-MX"/>
        </w:rPr>
        <w:t>en los casos en los que un comerciante ha sido</w:t>
      </w:r>
      <w:r w:rsidR="0080717E">
        <w:rPr>
          <w:rFonts w:ascii="Verdana" w:eastAsia="Calibri" w:hAnsi="Verdana" w:cs="Arial"/>
          <w:bCs/>
          <w:color w:val="000000"/>
          <w:lang w:val="es-MX"/>
        </w:rPr>
        <w:t xml:space="preserve"> escogido como adjudicatario en</w:t>
      </w:r>
      <w:r w:rsidR="002C11D1">
        <w:rPr>
          <w:rFonts w:ascii="Verdana" w:eastAsia="Calibri" w:hAnsi="Verdana" w:cs="Arial"/>
          <w:bCs/>
          <w:color w:val="000000"/>
          <w:lang w:val="es-MX"/>
        </w:rPr>
        <w:t xml:space="preserve"> como resultado de un</w:t>
      </w:r>
      <w:r w:rsidR="0080717E">
        <w:rPr>
          <w:rFonts w:ascii="Verdana" w:eastAsia="Calibri" w:hAnsi="Verdana" w:cs="Arial"/>
          <w:bCs/>
          <w:color w:val="000000"/>
          <w:lang w:val="es-MX"/>
        </w:rPr>
        <w:t xml:space="preserve"> proceso </w:t>
      </w:r>
      <w:r w:rsidR="00D60E23">
        <w:rPr>
          <w:rFonts w:ascii="Verdana" w:eastAsia="Calibri" w:hAnsi="Verdana" w:cs="Arial"/>
          <w:bCs/>
          <w:color w:val="000000"/>
          <w:lang w:val="es-MX"/>
        </w:rPr>
        <w:t xml:space="preserve">competitivo, </w:t>
      </w:r>
      <w:r w:rsidR="002C11D1">
        <w:rPr>
          <w:rFonts w:ascii="Verdana" w:eastAsia="Calibri" w:hAnsi="Verdana" w:cs="Arial"/>
          <w:bCs/>
          <w:color w:val="000000"/>
          <w:lang w:val="es-MX"/>
        </w:rPr>
        <w:t xml:space="preserve">en el que </w:t>
      </w:r>
      <w:r w:rsidR="00CB0F14">
        <w:rPr>
          <w:rFonts w:ascii="Verdana" w:eastAsia="Calibri" w:hAnsi="Verdana" w:cs="Arial"/>
          <w:bCs/>
          <w:color w:val="000000"/>
          <w:lang w:val="es-MX"/>
        </w:rPr>
        <w:t xml:space="preserve">la viabilidad de su participación </w:t>
      </w:r>
      <w:r w:rsidR="008B789F">
        <w:rPr>
          <w:rFonts w:ascii="Verdana" w:eastAsia="Calibri" w:hAnsi="Verdana" w:cs="Arial"/>
          <w:bCs/>
          <w:color w:val="000000"/>
          <w:lang w:val="es-MX"/>
        </w:rPr>
        <w:t>se ha debido definir a partir de la información vigente a la fecha de cierre</w:t>
      </w:r>
      <w:r w:rsidR="00FF5F2C">
        <w:rPr>
          <w:rFonts w:ascii="Verdana" w:eastAsia="Calibri" w:hAnsi="Verdana" w:cs="Arial"/>
          <w:bCs/>
          <w:color w:val="000000"/>
          <w:lang w:val="es-MX"/>
        </w:rPr>
        <w:t xml:space="preserve">, de acuerdo con lo establecido en el parágrafo 1 del artículo 5 de la Ley 1150 de 2007. </w:t>
      </w:r>
      <w:r w:rsidR="00D21FE0">
        <w:rPr>
          <w:rFonts w:ascii="Verdana" w:eastAsia="Calibri" w:hAnsi="Verdana" w:cs="Arial"/>
          <w:bCs/>
          <w:color w:val="000000"/>
          <w:lang w:val="es-MX"/>
        </w:rPr>
        <w:t xml:space="preserve">  </w:t>
      </w:r>
    </w:p>
    <w:p w14:paraId="653DFED2" w14:textId="655B6515" w:rsidR="003C3164" w:rsidRDefault="00DA00C1" w:rsidP="007C5577">
      <w:pPr>
        <w:shd w:val="clear" w:color="auto" w:fill="FFFFFF"/>
        <w:spacing w:after="120" w:line="276" w:lineRule="auto"/>
        <w:jc w:val="both"/>
        <w:rPr>
          <w:rFonts w:ascii="Verdana" w:eastAsia="Calibri" w:hAnsi="Verdana" w:cs="Arial"/>
          <w:bCs/>
          <w:color w:val="000000"/>
          <w:lang w:val="es-MX"/>
        </w:rPr>
      </w:pPr>
      <w:r>
        <w:rPr>
          <w:rFonts w:ascii="Verdana" w:eastAsia="Calibri" w:hAnsi="Verdana" w:cs="Arial"/>
          <w:bCs/>
          <w:color w:val="000000"/>
          <w:lang w:val="es-MX"/>
        </w:rPr>
        <w:tab/>
        <w:t xml:space="preserve">Sin perjuicio de lo anterior, las entidades estatales son autónomas </w:t>
      </w:r>
      <w:r w:rsidR="005806B3">
        <w:rPr>
          <w:rFonts w:ascii="Verdana" w:eastAsia="Calibri" w:hAnsi="Verdana" w:cs="Arial"/>
          <w:bCs/>
          <w:color w:val="000000"/>
          <w:lang w:val="es-MX"/>
        </w:rPr>
        <w:t xml:space="preserve">en la configuración de los requisitos </w:t>
      </w:r>
      <w:r w:rsidR="00D8743B">
        <w:rPr>
          <w:rFonts w:ascii="Verdana" w:eastAsia="Calibri" w:hAnsi="Verdana" w:cs="Arial"/>
          <w:bCs/>
          <w:color w:val="000000"/>
          <w:lang w:val="es-MX"/>
        </w:rPr>
        <w:t xml:space="preserve">y documentación exigida para participar en los procesos de contratación, </w:t>
      </w:r>
      <w:r w:rsidR="009D6C73">
        <w:rPr>
          <w:rFonts w:ascii="Verdana" w:eastAsia="Calibri" w:hAnsi="Verdana" w:cs="Arial"/>
          <w:bCs/>
          <w:color w:val="000000"/>
          <w:lang w:val="es-MX"/>
        </w:rPr>
        <w:t xml:space="preserve">por lo que tienen la discrecionalidad de establecer las condiciones que estimen adecuadas y proporcionales al objeto de contratación, </w:t>
      </w:r>
      <w:r w:rsidR="001073A6">
        <w:rPr>
          <w:rFonts w:ascii="Verdana" w:eastAsia="Calibri" w:hAnsi="Verdana" w:cs="Arial"/>
          <w:bCs/>
          <w:color w:val="000000"/>
          <w:lang w:val="es-MX"/>
        </w:rPr>
        <w:t xml:space="preserve">siempre que no vayan en contravía de la ley. En ese sentido, en los procesos de contratación, cuyo desarrollo </w:t>
      </w:r>
      <w:r w:rsidR="00354829">
        <w:rPr>
          <w:rFonts w:ascii="Verdana" w:eastAsia="Calibri" w:hAnsi="Verdana" w:cs="Arial"/>
          <w:bCs/>
          <w:color w:val="000000"/>
          <w:lang w:val="es-MX"/>
        </w:rPr>
        <w:t>implique el ejercicio de actos de comercio, puede considerarse razonable</w:t>
      </w:r>
      <w:r w:rsidR="00D952D4">
        <w:rPr>
          <w:rFonts w:ascii="Verdana" w:eastAsia="Calibri" w:hAnsi="Verdana" w:cs="Arial"/>
          <w:bCs/>
          <w:color w:val="000000"/>
          <w:lang w:val="es-MX"/>
        </w:rPr>
        <w:t xml:space="preserve">, que se exija a los comerciantes, obligados a estar inscritos en el registro mercantil, </w:t>
      </w:r>
      <w:r w:rsidR="003853BC">
        <w:rPr>
          <w:rFonts w:ascii="Verdana" w:eastAsia="Calibri" w:hAnsi="Verdana" w:cs="Arial"/>
          <w:bCs/>
          <w:color w:val="000000"/>
          <w:lang w:val="es-MX"/>
        </w:rPr>
        <w:t>tener el mismo act</w:t>
      </w:r>
      <w:r w:rsidR="00636C2C">
        <w:rPr>
          <w:rFonts w:ascii="Verdana" w:eastAsia="Calibri" w:hAnsi="Verdana" w:cs="Arial"/>
          <w:bCs/>
          <w:color w:val="000000"/>
          <w:lang w:val="es-MX"/>
        </w:rPr>
        <w:t xml:space="preserve">ualizado. Sin embargo, al no ser un </w:t>
      </w:r>
      <w:r w:rsidR="004A53FA">
        <w:rPr>
          <w:rFonts w:ascii="Verdana" w:eastAsia="Calibri" w:hAnsi="Verdana" w:cs="Arial"/>
          <w:bCs/>
          <w:color w:val="000000"/>
          <w:lang w:val="es-MX"/>
        </w:rPr>
        <w:t xml:space="preserve">factor para la ponderación de ofertas, debe permitirse su subsanación, con arreglo a lo dispuesto en el artículo </w:t>
      </w:r>
      <w:r w:rsidR="009B255B">
        <w:rPr>
          <w:rFonts w:ascii="Verdana" w:eastAsia="Calibri" w:hAnsi="Verdana" w:cs="Arial"/>
          <w:bCs/>
          <w:color w:val="000000"/>
          <w:lang w:val="es-MX"/>
        </w:rPr>
        <w:t>5, parágrafo 1 de la Ley 1150 de 2007. No obstante, si de acuerdo con lo establecido en las normas que rigen el ejercicio de</w:t>
      </w:r>
      <w:r w:rsidR="000A09E8">
        <w:rPr>
          <w:rFonts w:ascii="Verdana" w:eastAsia="Calibri" w:hAnsi="Verdana" w:cs="Arial"/>
          <w:bCs/>
          <w:color w:val="000000"/>
          <w:lang w:val="es-MX"/>
        </w:rPr>
        <w:t xml:space="preserve">l comercio, el proponente no está obligado a inscribirse en el registro mercantil, </w:t>
      </w:r>
      <w:r w:rsidR="00AE6883">
        <w:rPr>
          <w:rFonts w:ascii="Verdana" w:eastAsia="Calibri" w:hAnsi="Verdana" w:cs="Arial"/>
          <w:bCs/>
          <w:color w:val="000000"/>
          <w:lang w:val="es-MX"/>
        </w:rPr>
        <w:t xml:space="preserve">tal requisito no le resultará exigible, por lo que no puede ser una justificación para el rechazo de la oferta </w:t>
      </w:r>
      <w:r w:rsidR="00601156">
        <w:rPr>
          <w:rFonts w:ascii="Verdana" w:eastAsia="Calibri" w:hAnsi="Verdana" w:cs="Arial"/>
          <w:bCs/>
          <w:color w:val="000000"/>
          <w:lang w:val="es-MX"/>
        </w:rPr>
        <w:t xml:space="preserve">o la no suscripción del contrato. </w:t>
      </w:r>
      <w:r w:rsidR="00636C2C">
        <w:rPr>
          <w:rFonts w:ascii="Verdana" w:eastAsia="Calibri" w:hAnsi="Verdana" w:cs="Arial"/>
          <w:bCs/>
          <w:color w:val="000000"/>
          <w:lang w:val="es-MX"/>
        </w:rPr>
        <w:t xml:space="preserve"> </w:t>
      </w:r>
      <w:r w:rsidR="00D952D4">
        <w:rPr>
          <w:rFonts w:ascii="Verdana" w:eastAsia="Calibri" w:hAnsi="Verdana" w:cs="Arial"/>
          <w:bCs/>
          <w:color w:val="000000"/>
          <w:lang w:val="es-MX"/>
        </w:rPr>
        <w:t xml:space="preserve"> </w:t>
      </w:r>
      <w:r>
        <w:rPr>
          <w:rFonts w:ascii="Verdana" w:eastAsia="Calibri" w:hAnsi="Verdana" w:cs="Arial"/>
          <w:bCs/>
          <w:color w:val="000000"/>
          <w:lang w:val="es-MX"/>
        </w:rPr>
        <w:t xml:space="preserve"> </w:t>
      </w:r>
    </w:p>
    <w:p w14:paraId="0B309005" w14:textId="77777777" w:rsidR="00601156" w:rsidRPr="008A4B4D" w:rsidRDefault="00601156" w:rsidP="00601156">
      <w:pPr>
        <w:spacing w:after="120" w:line="276" w:lineRule="auto"/>
        <w:ind w:firstLine="709"/>
        <w:jc w:val="both"/>
        <w:rPr>
          <w:rFonts w:ascii="Verdana" w:eastAsia="Calibri" w:hAnsi="Verdana" w:cs="Times New Roman"/>
          <w:lang w:val="es-ES"/>
        </w:rPr>
      </w:pPr>
      <w:r w:rsidRPr="008A4B4D">
        <w:rPr>
          <w:rFonts w:ascii="Verdana" w:eastAsia="Calibri" w:hAnsi="Verdana" w:cs="Arial"/>
          <w:bCs/>
        </w:rPr>
        <w:t>Finalmente</w:t>
      </w:r>
      <w:r w:rsidRPr="008A4B4D">
        <w:rPr>
          <w:rFonts w:ascii="Verdana" w:eastAsia="Calibri" w:hAnsi="Verdana" w:cs="Times New Roman"/>
          <w:lang w:val="es-ES"/>
        </w:rPr>
        <w:t xml:space="preserv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w:t>
      </w:r>
      <w:r w:rsidRPr="008A4B4D">
        <w:rPr>
          <w:rFonts w:ascii="Verdana" w:eastAsia="Calibri" w:hAnsi="Verdana" w:cs="Times New Roman"/>
          <w:lang w:val="es-ES"/>
        </w:rPr>
        <w:lastRenderedPageBreak/>
        <w:t>decisión y, en caso de conflicto, a las autoridades judiciales, fiscales y disciplinarias.</w:t>
      </w:r>
      <w:r w:rsidRPr="008A4B4D">
        <w:rPr>
          <w:rFonts w:ascii="Verdana" w:hAnsi="Verdana"/>
        </w:rPr>
        <w:t xml:space="preserve"> </w:t>
      </w:r>
    </w:p>
    <w:p w14:paraId="2B98F4D0" w14:textId="59719C12" w:rsidR="008A66A7" w:rsidRPr="00F62DED" w:rsidRDefault="00601156" w:rsidP="00952F14">
      <w:pPr>
        <w:spacing w:after="120" w:line="276" w:lineRule="auto"/>
        <w:ind w:firstLine="708"/>
        <w:jc w:val="both"/>
        <w:rPr>
          <w:rFonts w:ascii="Verdana" w:eastAsia="Times New Roman" w:hAnsi="Verdana" w:cs="Times New Roman"/>
          <w:lang w:eastAsia="es-ES"/>
        </w:rPr>
      </w:pPr>
      <w:r w:rsidRPr="008A4B4D">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bookmarkEnd w:id="1"/>
      <w:bookmarkEnd w:id="2"/>
    </w:p>
    <w:p w14:paraId="25F4A8A7" w14:textId="77777777" w:rsidR="008A66A7" w:rsidRPr="003B40AB" w:rsidRDefault="008A66A7" w:rsidP="008A66A7">
      <w:pPr>
        <w:spacing w:after="0" w:line="276" w:lineRule="auto"/>
        <w:ind w:firstLine="709"/>
        <w:jc w:val="both"/>
        <w:rPr>
          <w:rFonts w:ascii="Verdana" w:eastAsia="Times New Roman" w:hAnsi="Verdana" w:cs="Times New Roman"/>
          <w:lang w:eastAsia="es-ES"/>
        </w:rPr>
      </w:pPr>
    </w:p>
    <w:p w14:paraId="35F6E762" w14:textId="77777777" w:rsidR="008A66A7" w:rsidRPr="003B40AB" w:rsidRDefault="008A66A7" w:rsidP="008A66A7">
      <w:pPr>
        <w:spacing w:after="120" w:line="276" w:lineRule="auto"/>
        <w:jc w:val="both"/>
        <w:rPr>
          <w:rFonts w:ascii="Verdana" w:eastAsia="Century Gothic" w:hAnsi="Verdana" w:cs="Century Gothic"/>
          <w:b/>
          <w:lang w:val="es-ES"/>
        </w:rPr>
      </w:pPr>
      <w:r w:rsidRPr="003B40AB">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A66A7" w:rsidRPr="003D00E1" w14:paraId="3B2C1AA0" w14:textId="77777777" w:rsidTr="006E0969">
        <w:trPr>
          <w:trHeight w:val="1689"/>
        </w:trPr>
        <w:tc>
          <w:tcPr>
            <w:tcW w:w="8647" w:type="dxa"/>
          </w:tcPr>
          <w:p w14:paraId="5C1776D6" w14:textId="77777777" w:rsidR="008A66A7" w:rsidRPr="003427DA" w:rsidRDefault="008A66A7" w:rsidP="006E096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D83698">
              <w:rPr>
                <w:rFonts w:ascii="Verdana" w:eastAsia="Arial MT" w:hAnsi="Verdana" w:cs="Arial"/>
                <w:bCs/>
                <w:lang w:val="es-ES" w:eastAsia="es-ES" w:bidi="es-ES"/>
              </w:rPr>
              <w:t>Ley 80 de 1993. Artículo 6.</w:t>
            </w:r>
          </w:p>
          <w:p w14:paraId="0B36E096" w14:textId="77777777" w:rsidR="008A66A7" w:rsidRPr="003427DA" w:rsidRDefault="008A66A7" w:rsidP="006E096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sidRPr="00910981">
              <w:rPr>
                <w:rFonts w:ascii="Verdana" w:eastAsia="Times New Roman" w:hAnsi="Verdana" w:cs="Times New Roman"/>
                <w:lang w:eastAsia="es-ES"/>
              </w:rPr>
              <w:t>Código de Comercio. Artículos 10,23,26 y 37.</w:t>
            </w:r>
          </w:p>
          <w:p w14:paraId="5352A319" w14:textId="77777777" w:rsidR="008A66A7" w:rsidRPr="00910981" w:rsidRDefault="008A66A7" w:rsidP="006E0969">
            <w:pPr>
              <w:widowControl w:val="0"/>
              <w:numPr>
                <w:ilvl w:val="0"/>
                <w:numId w:val="16"/>
              </w:numPr>
              <w:autoSpaceDE w:val="0"/>
              <w:autoSpaceDN w:val="0"/>
              <w:spacing w:line="276" w:lineRule="auto"/>
              <w:ind w:left="714" w:hanging="357"/>
              <w:jc w:val="both"/>
              <w:rPr>
                <w:rFonts w:ascii="Verdana" w:eastAsia="Arial MT" w:hAnsi="Verdana" w:cs="Arial"/>
                <w:lang w:val="es-ES" w:eastAsia="es-ES" w:bidi="es-ES"/>
              </w:rPr>
            </w:pPr>
            <w:r>
              <w:rPr>
                <w:rFonts w:ascii="Verdana" w:eastAsia="Times New Roman" w:hAnsi="Verdana" w:cs="Times New Roman"/>
                <w:lang w:eastAsia="es-ES"/>
              </w:rPr>
              <w:t>Decreto 2153 de 1992. Artículo 11.</w:t>
            </w:r>
          </w:p>
          <w:p w14:paraId="2447D04C" w14:textId="2560DC8E" w:rsidR="008A66A7" w:rsidRPr="00A932ED" w:rsidRDefault="00720C90" w:rsidP="006E0969">
            <w:pPr>
              <w:widowControl w:val="0"/>
              <w:numPr>
                <w:ilvl w:val="0"/>
                <w:numId w:val="16"/>
              </w:numPr>
              <w:autoSpaceDE w:val="0"/>
              <w:autoSpaceDN w:val="0"/>
              <w:spacing w:line="276" w:lineRule="auto"/>
              <w:ind w:left="714" w:hanging="357"/>
              <w:jc w:val="both"/>
              <w:rPr>
                <w:rFonts w:ascii="Verdana" w:eastAsia="Arial MT" w:hAnsi="Verdana" w:cs="Arial"/>
                <w:color w:val="EE0000"/>
                <w:lang w:val="es-ES" w:eastAsia="es-ES" w:bidi="es-ES"/>
              </w:rPr>
            </w:pPr>
            <w:r w:rsidRPr="00D83698">
              <w:rPr>
                <w:rFonts w:ascii="Verdana" w:eastAsia="Arial MT" w:hAnsi="Verdana" w:cs="Arial"/>
                <w:lang w:val="es-ES" w:eastAsia="es-ES" w:bidi="es-ES"/>
              </w:rPr>
              <w:t>CORTE CONSTITUCIONAL.</w:t>
            </w:r>
            <w:r w:rsidR="008A66A7" w:rsidRPr="00D83698">
              <w:rPr>
                <w:rFonts w:ascii="Verdana" w:eastAsia="Arial MT" w:hAnsi="Verdana" w:cs="Arial"/>
                <w:lang w:val="es-ES" w:eastAsia="es-ES" w:bidi="es-ES"/>
              </w:rPr>
              <w:t xml:space="preserve"> Sentencia C-621 de 2003. M.P. Marco Gerardo Monroy Cabra.</w:t>
            </w:r>
          </w:p>
          <w:p w14:paraId="47B0E6FD" w14:textId="4E87C730" w:rsidR="008A66A7" w:rsidRPr="00952F14" w:rsidRDefault="00720C90" w:rsidP="006E0969">
            <w:pPr>
              <w:widowControl w:val="0"/>
              <w:numPr>
                <w:ilvl w:val="0"/>
                <w:numId w:val="16"/>
              </w:numPr>
              <w:autoSpaceDE w:val="0"/>
              <w:autoSpaceDN w:val="0"/>
              <w:spacing w:line="276" w:lineRule="auto"/>
              <w:ind w:left="714" w:hanging="357"/>
              <w:jc w:val="both"/>
              <w:rPr>
                <w:rFonts w:ascii="Verdana" w:eastAsia="Arial MT" w:hAnsi="Verdana" w:cs="Arial"/>
                <w:color w:val="EE0000"/>
                <w:sz w:val="32"/>
                <w:szCs w:val="32"/>
                <w:lang w:val="es-ES" w:eastAsia="es-ES" w:bidi="es-ES"/>
              </w:rPr>
            </w:pPr>
            <w:r w:rsidRPr="00A932ED">
              <w:rPr>
                <w:rFonts w:ascii="Verdana" w:hAnsi="Verdana" w:cs="Arial"/>
                <w:color w:val="000000" w:themeColor="text1"/>
              </w:rPr>
              <w:t>CONSEJO DE ESTADO</w:t>
            </w:r>
            <w:r w:rsidR="008A66A7" w:rsidRPr="00A932ED">
              <w:rPr>
                <w:rFonts w:ascii="Verdana" w:hAnsi="Verdana" w:cs="Arial"/>
                <w:color w:val="000000" w:themeColor="text1"/>
              </w:rPr>
              <w:t xml:space="preserve">. Sección Tercera. Subsección B. Sentencia del 10 de mayo de 2018. </w:t>
            </w:r>
            <w:proofErr w:type="spellStart"/>
            <w:r w:rsidR="008A66A7" w:rsidRPr="00A932ED">
              <w:rPr>
                <w:rFonts w:ascii="Verdana" w:hAnsi="Verdana" w:cs="Arial"/>
                <w:color w:val="000000" w:themeColor="text1"/>
              </w:rPr>
              <w:t>Exp</w:t>
            </w:r>
            <w:proofErr w:type="spellEnd"/>
            <w:r w:rsidR="008A66A7" w:rsidRPr="00A932ED">
              <w:rPr>
                <w:rFonts w:ascii="Verdana" w:hAnsi="Verdana" w:cs="Arial"/>
                <w:color w:val="000000" w:themeColor="text1"/>
              </w:rPr>
              <w:t>. 41.186. C.P. Stella Conto Díaz del Castillo.</w:t>
            </w:r>
          </w:p>
          <w:p w14:paraId="720EC1C2" w14:textId="39711F5D" w:rsidR="008A66A7" w:rsidRPr="006444BF" w:rsidRDefault="0058785E" w:rsidP="006E0969">
            <w:pPr>
              <w:widowControl w:val="0"/>
              <w:numPr>
                <w:ilvl w:val="0"/>
                <w:numId w:val="16"/>
              </w:numPr>
              <w:autoSpaceDE w:val="0"/>
              <w:autoSpaceDN w:val="0"/>
              <w:spacing w:line="276" w:lineRule="auto"/>
              <w:ind w:left="714" w:hanging="357"/>
              <w:jc w:val="both"/>
              <w:rPr>
                <w:rFonts w:ascii="Verdana" w:eastAsia="Arial MT" w:hAnsi="Verdana" w:cs="Arial"/>
                <w:color w:val="EE0000"/>
                <w:sz w:val="32"/>
                <w:szCs w:val="32"/>
                <w:lang w:val="es-ES" w:eastAsia="es-ES" w:bidi="es-ES"/>
              </w:rPr>
            </w:pPr>
            <w:r w:rsidRPr="00952F14">
              <w:rPr>
                <w:rFonts w:ascii="Verdana" w:eastAsia="Times New Roman" w:hAnsi="Verdana" w:cs="Times New Roman"/>
                <w:lang w:eastAsia="es-ES"/>
              </w:rPr>
              <w:t>EXPÓSITO VÉLEZ, Juan Carlos. Forma y contenido del contrato estatal. Bogotá: Universidad Externado de Colombia, 2013</w:t>
            </w:r>
            <w:r>
              <w:rPr>
                <w:rFonts w:ascii="Verdana" w:eastAsia="Times New Roman" w:hAnsi="Verdana" w:cs="Times New Roman"/>
                <w:lang w:eastAsia="es-ES"/>
              </w:rPr>
              <w:t>.</w:t>
            </w:r>
          </w:p>
        </w:tc>
      </w:tr>
    </w:tbl>
    <w:p w14:paraId="26063C60" w14:textId="77777777" w:rsidR="008A66A7" w:rsidRPr="003D00E1" w:rsidRDefault="008A66A7" w:rsidP="008A66A7">
      <w:pPr>
        <w:widowControl w:val="0"/>
        <w:autoSpaceDE w:val="0"/>
        <w:autoSpaceDN w:val="0"/>
        <w:spacing w:after="0" w:line="276" w:lineRule="auto"/>
        <w:jc w:val="both"/>
        <w:rPr>
          <w:rFonts w:ascii="Verdana" w:hAnsi="Verdana" w:cs="Arial"/>
          <w:color w:val="EE0000"/>
          <w:lang w:val="es-ES"/>
        </w:rPr>
      </w:pPr>
    </w:p>
    <w:p w14:paraId="5846F6F4" w14:textId="77777777" w:rsidR="008A66A7" w:rsidRPr="003B40AB" w:rsidRDefault="008A66A7" w:rsidP="008A66A7">
      <w:pPr>
        <w:tabs>
          <w:tab w:val="left" w:pos="142"/>
          <w:tab w:val="left" w:pos="284"/>
        </w:tabs>
        <w:spacing w:after="0" w:line="276" w:lineRule="auto"/>
        <w:jc w:val="both"/>
        <w:rPr>
          <w:rFonts w:ascii="Verdana" w:eastAsia="Century Gothic" w:hAnsi="Verdana" w:cs="Century Gothic"/>
          <w:b/>
          <w:lang w:val="es-ES"/>
        </w:rPr>
      </w:pPr>
      <w:r w:rsidRPr="003B40AB">
        <w:rPr>
          <w:rFonts w:ascii="Verdana" w:eastAsia="Century Gothic" w:hAnsi="Verdana" w:cs="Century Gothic"/>
          <w:b/>
          <w:lang w:val="es-ES"/>
        </w:rPr>
        <w:t>5. Doctrina de la Agencia Nacional de Contratación Pública:</w:t>
      </w:r>
    </w:p>
    <w:p w14:paraId="357CE4CE" w14:textId="77777777" w:rsidR="008A66A7" w:rsidRPr="003D00E1" w:rsidRDefault="008A66A7" w:rsidP="008A66A7">
      <w:pPr>
        <w:widowControl w:val="0"/>
        <w:autoSpaceDE w:val="0"/>
        <w:autoSpaceDN w:val="0"/>
        <w:spacing w:after="0" w:line="276" w:lineRule="auto"/>
        <w:jc w:val="both"/>
        <w:rPr>
          <w:rFonts w:ascii="Verdana" w:hAnsi="Verdana" w:cs="Arial"/>
          <w:color w:val="EE0000"/>
          <w:lang w:val="es-ES"/>
        </w:rPr>
      </w:pPr>
    </w:p>
    <w:p w14:paraId="438E1F1E" w14:textId="67F38B7D" w:rsidR="008A66A7" w:rsidRPr="009233BB" w:rsidRDefault="008A66A7" w:rsidP="008A66A7">
      <w:pPr>
        <w:spacing w:after="0" w:line="276" w:lineRule="auto"/>
        <w:jc w:val="both"/>
        <w:rPr>
          <w:rFonts w:ascii="Verdana" w:hAnsi="Verdana"/>
          <w:color w:val="ED7D31" w:themeColor="accent2"/>
          <w:lang w:val="es-ES"/>
        </w:rPr>
      </w:pPr>
      <w:r w:rsidRPr="00D00E24">
        <w:rPr>
          <w:rFonts w:ascii="Verdana" w:eastAsia="Calibri" w:hAnsi="Verdana" w:cs="Arial"/>
          <w:lang w:val="es-ES"/>
        </w:rPr>
        <w:t xml:space="preserve">La Agencia Nacional de Contratación Pública – Colombia Compra Eficiente se ha referido </w:t>
      </w:r>
      <w:r w:rsidRPr="00930D1A">
        <w:rPr>
          <w:rFonts w:ascii="Verdana" w:hAnsi="Verdana" w:cs="Arial"/>
          <w:shd w:val="clear" w:color="auto" w:fill="FFFFFF"/>
          <w:lang w:val="es-ES"/>
        </w:rPr>
        <w:t xml:space="preserve">sobre la matrícula mercantil en los conceptos con </w:t>
      </w:r>
      <w:r w:rsidRPr="003C4828">
        <w:rPr>
          <w:rFonts w:ascii="Verdana" w:hAnsi="Verdana" w:cs="Arial"/>
          <w:shd w:val="clear" w:color="auto" w:fill="FFFFFF"/>
          <w:lang w:val="es-ES"/>
        </w:rPr>
        <w:t xml:space="preserve">radicado </w:t>
      </w:r>
      <w:r w:rsidRPr="003C4828">
        <w:rPr>
          <w:rFonts w:ascii="Verdana" w:eastAsia="Calibri" w:hAnsi="Verdana" w:cs="Arial"/>
          <w:lang w:val="es-ES_tradnl" w:eastAsia="es-ES_tradnl"/>
        </w:rPr>
        <w:t xml:space="preserve">número </w:t>
      </w:r>
      <w:r w:rsidRPr="000B3E8C">
        <w:rPr>
          <w:rFonts w:ascii="Verdana" w:eastAsia="Calibri" w:hAnsi="Verdana" w:cs="Arial"/>
          <w:color w:val="000000"/>
          <w:lang w:val="es-MX"/>
        </w:rPr>
        <w:t>C-054 de 2020</w:t>
      </w:r>
      <w:r>
        <w:rPr>
          <w:rFonts w:ascii="Verdana" w:eastAsia="Calibri" w:hAnsi="Verdana" w:cs="Arial"/>
          <w:color w:val="000000"/>
          <w:lang w:val="es-MX"/>
        </w:rPr>
        <w:t>,</w:t>
      </w:r>
      <w:r w:rsidRPr="000B3E8C">
        <w:rPr>
          <w:rFonts w:ascii="Verdana" w:eastAsia="Calibri" w:hAnsi="Verdana" w:cs="Arial"/>
          <w:color w:val="000000"/>
          <w:lang w:val="es-MX"/>
        </w:rPr>
        <w:t xml:space="preserve"> C-184 de 2020</w:t>
      </w:r>
      <w:r>
        <w:rPr>
          <w:rStyle w:val="normaltextrun"/>
          <w:rFonts w:ascii="Verdana" w:hAnsi="Verdana" w:cs="Arial"/>
          <w:shd w:val="clear" w:color="auto" w:fill="FFFFFF"/>
          <w:lang w:val="es-ES"/>
        </w:rPr>
        <w:t>, C-520 del 27 de septiembre de 2021, C-752 del 21 de diciembre de 2022, C- 685 del 19 de diciembre de 2022, C -474 del 22 de mayo de 2025, C-</w:t>
      </w:r>
      <w:r w:rsidRPr="00EF6ED2">
        <w:rPr>
          <w:rStyle w:val="normaltextrun"/>
          <w:rFonts w:ascii="Verdana" w:hAnsi="Verdana" w:cs="Arial"/>
          <w:shd w:val="clear" w:color="auto" w:fill="FFFFFF"/>
          <w:lang w:val="es-ES"/>
        </w:rPr>
        <w:t>563 del 19 de junio de 2025, C-1308 del 20 de octubre de 2025, C-1268 del 10 de octubre de 2025</w:t>
      </w:r>
      <w:r w:rsidRPr="00EF6ED2">
        <w:rPr>
          <w:rFonts w:ascii="Verdana" w:eastAsia="Calibri" w:hAnsi="Verdana" w:cs="Arial"/>
          <w:lang w:val="es-ES_tradnl" w:eastAsia="es-ES"/>
        </w:rPr>
        <w:t>, entre otros.</w:t>
      </w:r>
      <w:r w:rsidR="0061217F">
        <w:rPr>
          <w:rFonts w:ascii="Verdana" w:eastAsia="Calibri" w:hAnsi="Verdana" w:cs="Arial"/>
          <w:lang w:val="es-ES_tradnl" w:eastAsia="es-ES"/>
        </w:rPr>
        <w:t xml:space="preserve"> </w:t>
      </w:r>
      <w:r w:rsidRPr="00B8716D">
        <w:rPr>
          <w:rFonts w:ascii="Verdana" w:hAnsi="Verdana" w:cs="Arial"/>
          <w:shd w:val="clear" w:color="auto" w:fill="FFFFFF"/>
          <w:lang w:val="es-ES"/>
        </w:rPr>
        <w:t>Estos</w:t>
      </w:r>
      <w:r w:rsidRPr="00B8716D">
        <w:rPr>
          <w:rFonts w:ascii="Verdana" w:hAnsi="Verdana"/>
          <w:lang w:val="es-ES"/>
        </w:rPr>
        <w:t xml:space="preserve"> y otros se encuentran disponibles para consulta en el Sistema de relatoría de la Agencia, al cual se puede acceder a través del siguiente enlace:</w:t>
      </w:r>
      <w:r w:rsidRPr="00B8716D">
        <w:rPr>
          <w:rFonts w:ascii="Verdana" w:hAnsi="Verdana" w:cs="Arial"/>
          <w:shd w:val="clear" w:color="auto" w:fill="FFFFFF"/>
          <w:lang w:val="es-ES"/>
        </w:rPr>
        <w:t xml:space="preserve"> </w:t>
      </w:r>
      <w:hyperlink r:id="rId13" w:history="1">
        <w:r w:rsidRPr="00336764">
          <w:rPr>
            <w:rStyle w:val="Hipervnculo"/>
            <w:rFonts w:ascii="Verdana" w:hAnsi="Verdana" w:cs="Arial"/>
            <w:shd w:val="clear" w:color="auto" w:fill="FFFFFF"/>
            <w:lang w:val="es-ES"/>
          </w:rPr>
          <w:t>https://relatoria.colombiacompra.gov.co/busqueda/conceptos</w:t>
        </w:r>
      </w:hyperlink>
    </w:p>
    <w:p w14:paraId="3E4CAAA6" w14:textId="77777777" w:rsidR="008A66A7" w:rsidRPr="009233BB" w:rsidRDefault="008A66A7" w:rsidP="008A66A7">
      <w:pPr>
        <w:spacing w:after="0"/>
        <w:jc w:val="both"/>
        <w:rPr>
          <w:rFonts w:ascii="Verdana" w:hAnsi="Verdana" w:cs="Arial"/>
          <w:color w:val="ED7D31" w:themeColor="accent2"/>
          <w:shd w:val="clear" w:color="auto" w:fill="FFFFFF"/>
          <w:lang w:val="es-ES"/>
        </w:rPr>
      </w:pPr>
    </w:p>
    <w:p w14:paraId="1E3B7999" w14:textId="77777777" w:rsidR="008A66A7" w:rsidRPr="009233BB" w:rsidRDefault="008A66A7" w:rsidP="008A66A7">
      <w:pPr>
        <w:spacing w:after="0"/>
        <w:jc w:val="both"/>
        <w:rPr>
          <w:rFonts w:ascii="Verdana" w:hAnsi="Verdana" w:cs="Arial"/>
          <w:color w:val="ED7D31" w:themeColor="accent2"/>
          <w:shd w:val="clear" w:color="auto" w:fill="FFFFFF"/>
        </w:rPr>
      </w:pPr>
      <w:r w:rsidRPr="00B8716D">
        <w:rPr>
          <w:rFonts w:ascii="Verdana" w:hAnsi="Verdana" w:cs="Arial"/>
          <w:shd w:val="clear" w:color="auto" w:fill="FFFFFF"/>
        </w:rPr>
        <w:lastRenderedPageBreak/>
        <w:t>También le contamos que ya se encuentra disponible la </w:t>
      </w:r>
      <w:r w:rsidRPr="00B8716D">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B8716D">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8716D">
        <w:rPr>
          <w:rFonts w:ascii="Verdana" w:hAnsi="Verdana" w:cs="Arial"/>
          <w:shd w:val="clear" w:color="auto" w:fill="FFFFFF"/>
        </w:rPr>
        <w:t>Wayúu</w:t>
      </w:r>
      <w:proofErr w:type="spellEnd"/>
      <w:r w:rsidRPr="00B8716D">
        <w:rPr>
          <w:rFonts w:ascii="Verdana" w:hAnsi="Verdana" w:cs="Arial"/>
          <w:shd w:val="clear" w:color="auto" w:fill="FFFFFF"/>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B8716D">
          <w:rPr>
            <w:rStyle w:val="Hipervnculo"/>
            <w:rFonts w:ascii="Verdana" w:hAnsi="Verdana"/>
          </w:rPr>
          <w:t>Guía de lineamientos de transparencia y selección objetiva para el departamento de La Guajira – Objetivo sexto constitucional de la Sentencia T-302 del 2017</w:t>
        </w:r>
      </w:hyperlink>
    </w:p>
    <w:p w14:paraId="6AB4AD82" w14:textId="77777777" w:rsidR="008A66A7" w:rsidRPr="009233BB" w:rsidRDefault="008A66A7" w:rsidP="008A66A7">
      <w:pPr>
        <w:spacing w:after="0"/>
        <w:jc w:val="both"/>
        <w:rPr>
          <w:rFonts w:ascii="Verdana" w:hAnsi="Verdana" w:cs="Arial"/>
          <w:color w:val="ED7D31" w:themeColor="accent2"/>
          <w:shd w:val="clear" w:color="auto" w:fill="FFFFFF"/>
        </w:rPr>
      </w:pPr>
    </w:p>
    <w:p w14:paraId="307146A5" w14:textId="77777777" w:rsidR="008A66A7" w:rsidRPr="00C35C95" w:rsidRDefault="008A66A7" w:rsidP="008A66A7">
      <w:pPr>
        <w:spacing w:after="0"/>
        <w:jc w:val="both"/>
        <w:rPr>
          <w:rFonts w:ascii="Verdana" w:hAnsi="Verdana" w:cs="Arial"/>
          <w:shd w:val="clear" w:color="auto" w:fill="FFFFFF"/>
        </w:rPr>
      </w:pPr>
      <w:r w:rsidRPr="00C35C95">
        <w:rPr>
          <w:rFonts w:ascii="Verdana" w:hAnsi="Verdana" w:cs="Arial"/>
          <w:shd w:val="clear" w:color="auto" w:fill="FFFFFF"/>
        </w:rPr>
        <w:t xml:space="preserve">Por último, lo invitamos a seguirnos en las redes sociales en las cuales se difunde información institucional: </w:t>
      </w:r>
    </w:p>
    <w:p w14:paraId="04AFE96F" w14:textId="77777777" w:rsidR="008A66A7" w:rsidRPr="00C35C95" w:rsidRDefault="008A66A7" w:rsidP="008A66A7">
      <w:pPr>
        <w:spacing w:after="0"/>
        <w:jc w:val="both"/>
        <w:rPr>
          <w:rFonts w:ascii="Verdana" w:hAnsi="Verdana" w:cs="Arial"/>
          <w:shd w:val="clear" w:color="auto" w:fill="FFFFFF"/>
        </w:rPr>
      </w:pPr>
    </w:p>
    <w:p w14:paraId="6B9AF15B" w14:textId="77777777" w:rsidR="008A66A7" w:rsidRPr="00C35C95" w:rsidRDefault="008A66A7" w:rsidP="008A66A7">
      <w:pPr>
        <w:spacing w:after="0"/>
        <w:jc w:val="both"/>
        <w:rPr>
          <w:rFonts w:ascii="Verdana" w:hAnsi="Verdana" w:cs="Arial"/>
          <w:shd w:val="clear" w:color="auto" w:fill="FFFFFF"/>
        </w:rPr>
      </w:pPr>
      <w:r w:rsidRPr="00C35C95">
        <w:rPr>
          <w:rFonts w:ascii="Verdana" w:hAnsi="Verdana" w:cs="Arial"/>
          <w:shd w:val="clear" w:color="auto" w:fill="FFFFFF"/>
        </w:rPr>
        <w:t xml:space="preserve">Twitter: </w:t>
      </w:r>
      <w:r w:rsidRPr="00C35C95">
        <w:rPr>
          <w:rStyle w:val="Hipervnculo"/>
          <w:rFonts w:ascii="Verdana" w:hAnsi="Verdana"/>
          <w:lang w:val="es-ES"/>
        </w:rPr>
        <w:t>@colombiacompra</w:t>
      </w:r>
      <w:r w:rsidRPr="00C35C95">
        <w:rPr>
          <w:rStyle w:val="Hipervnculo"/>
          <w:rFonts w:ascii="Verdana" w:hAnsi="Verdana"/>
          <w:color w:val="auto"/>
          <w:lang w:val="es-ES"/>
        </w:rPr>
        <w:t xml:space="preserve"> </w:t>
      </w:r>
    </w:p>
    <w:p w14:paraId="322A2C71" w14:textId="77777777" w:rsidR="008A66A7" w:rsidRPr="00C35C95" w:rsidRDefault="008A66A7" w:rsidP="008A66A7">
      <w:pPr>
        <w:spacing w:after="0"/>
        <w:jc w:val="both"/>
        <w:rPr>
          <w:rFonts w:ascii="Verdana" w:hAnsi="Verdana" w:cs="Arial"/>
          <w:shd w:val="clear" w:color="auto" w:fill="FFFFFF"/>
        </w:rPr>
      </w:pPr>
      <w:r w:rsidRPr="00C35C95">
        <w:rPr>
          <w:rFonts w:ascii="Verdana" w:hAnsi="Verdana" w:cs="Arial"/>
          <w:shd w:val="clear" w:color="auto" w:fill="FFFFFF"/>
        </w:rPr>
        <w:t>Facebook:</w:t>
      </w:r>
      <w:r w:rsidRPr="00C35C95">
        <w:rPr>
          <w:rStyle w:val="Hipervnculo"/>
          <w:rFonts w:ascii="Verdana" w:hAnsi="Verdana"/>
          <w:lang w:val="es-ES"/>
        </w:rPr>
        <w:t xml:space="preserve"> </w:t>
      </w:r>
      <w:proofErr w:type="spellStart"/>
      <w:r w:rsidRPr="00C35C95">
        <w:rPr>
          <w:rStyle w:val="Hipervnculo"/>
          <w:rFonts w:ascii="Verdana" w:hAnsi="Verdana"/>
          <w:lang w:val="es-ES"/>
        </w:rPr>
        <w:t>ColombiaCompraEficiente</w:t>
      </w:r>
      <w:proofErr w:type="spellEnd"/>
    </w:p>
    <w:p w14:paraId="16F7B29C" w14:textId="77777777" w:rsidR="008A66A7" w:rsidRPr="00C35C95" w:rsidRDefault="008A66A7" w:rsidP="008A66A7">
      <w:pPr>
        <w:spacing w:after="0"/>
        <w:jc w:val="both"/>
        <w:rPr>
          <w:rFonts w:ascii="Verdana" w:hAnsi="Verdana" w:cs="Arial"/>
          <w:shd w:val="clear" w:color="auto" w:fill="FFFFFF"/>
        </w:rPr>
      </w:pPr>
      <w:r w:rsidRPr="00C35C95">
        <w:rPr>
          <w:rFonts w:ascii="Verdana" w:hAnsi="Verdana" w:cs="Arial"/>
          <w:shd w:val="clear" w:color="auto" w:fill="FFFFFF"/>
        </w:rPr>
        <w:t xml:space="preserve">LinkedIn: </w:t>
      </w:r>
      <w:r w:rsidRPr="00B8716D">
        <w:rPr>
          <w:rStyle w:val="Hipervnculo"/>
          <w:rFonts w:ascii="Verdana" w:hAnsi="Verdana"/>
          <w:lang w:val="es-ES"/>
        </w:rPr>
        <w:t>Agencia Nacional de Contratación Pública - Colombia Compra Eficiente</w:t>
      </w:r>
      <w:r w:rsidRPr="00B8716D">
        <w:rPr>
          <w:rFonts w:ascii="Verdana" w:hAnsi="Verdana" w:cs="Arial"/>
          <w:color w:val="0000FF"/>
          <w:shd w:val="clear" w:color="auto" w:fill="FFFFFF"/>
        </w:rPr>
        <w:t xml:space="preserve"> </w:t>
      </w:r>
    </w:p>
    <w:p w14:paraId="378BD00E" w14:textId="77777777" w:rsidR="008A66A7" w:rsidRPr="00C35C95" w:rsidRDefault="008A66A7" w:rsidP="008A66A7">
      <w:pPr>
        <w:spacing w:after="0"/>
        <w:jc w:val="both"/>
        <w:rPr>
          <w:rFonts w:ascii="Verdana" w:hAnsi="Verdana" w:cs="Arial"/>
          <w:shd w:val="clear" w:color="auto" w:fill="FFFFFF"/>
        </w:rPr>
      </w:pPr>
      <w:r w:rsidRPr="00C35C95">
        <w:rPr>
          <w:rFonts w:ascii="Verdana" w:hAnsi="Verdana" w:cs="Arial"/>
          <w:shd w:val="clear" w:color="auto" w:fill="FFFFFF"/>
        </w:rPr>
        <w:t xml:space="preserve">Instagram: </w:t>
      </w:r>
      <w:r w:rsidRPr="00B8716D">
        <w:rPr>
          <w:rStyle w:val="Hipervnculo"/>
          <w:rFonts w:ascii="Verdana" w:hAnsi="Verdana"/>
          <w:lang w:val="es-ES"/>
        </w:rPr>
        <w:t>@colombiacompraeficiente_cce</w:t>
      </w:r>
    </w:p>
    <w:p w14:paraId="09B98A92" w14:textId="77777777" w:rsidR="008A66A7" w:rsidRPr="009233BB" w:rsidRDefault="008A66A7" w:rsidP="008A66A7">
      <w:pPr>
        <w:widowControl w:val="0"/>
        <w:autoSpaceDE w:val="0"/>
        <w:autoSpaceDN w:val="0"/>
        <w:spacing w:after="0" w:line="276" w:lineRule="auto"/>
        <w:jc w:val="both"/>
        <w:rPr>
          <w:rFonts w:ascii="Verdana" w:hAnsi="Verdana" w:cs="Arial"/>
          <w:color w:val="ED7D31" w:themeColor="accent2"/>
          <w:lang w:val="es-ES"/>
        </w:rPr>
      </w:pPr>
    </w:p>
    <w:p w14:paraId="2E05C294" w14:textId="77777777" w:rsidR="008A66A7" w:rsidRPr="00C35C95" w:rsidRDefault="008A66A7" w:rsidP="008A66A7">
      <w:pPr>
        <w:widowControl w:val="0"/>
        <w:autoSpaceDE w:val="0"/>
        <w:autoSpaceDN w:val="0"/>
        <w:spacing w:after="0" w:line="276" w:lineRule="auto"/>
        <w:jc w:val="both"/>
        <w:rPr>
          <w:rFonts w:ascii="Verdana" w:hAnsi="Verdana" w:cs="Arial"/>
          <w:lang w:val="es-ES"/>
        </w:rPr>
      </w:pPr>
      <w:r w:rsidRPr="00C35C95">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E0682CE" w14:textId="77777777" w:rsidR="008A66A7" w:rsidRPr="00C35C95" w:rsidRDefault="008A66A7" w:rsidP="008A66A7">
      <w:pPr>
        <w:widowControl w:val="0"/>
        <w:autoSpaceDE w:val="0"/>
        <w:autoSpaceDN w:val="0"/>
        <w:spacing w:after="0" w:line="276" w:lineRule="auto"/>
        <w:jc w:val="both"/>
        <w:rPr>
          <w:rFonts w:ascii="Verdana" w:hAnsi="Verdana" w:cs="Arial"/>
          <w:lang w:val="es-ES"/>
        </w:rPr>
      </w:pPr>
    </w:p>
    <w:p w14:paraId="64AB5CD2" w14:textId="5ADC0170" w:rsidR="008A66A7" w:rsidRPr="008410EA" w:rsidRDefault="008A66A7" w:rsidP="008410EA">
      <w:pPr>
        <w:spacing w:after="0" w:line="276" w:lineRule="auto"/>
        <w:rPr>
          <w:rFonts w:ascii="Verdana" w:hAnsi="Verdana" w:cs="Arial"/>
          <w:lang w:val="es-ES" w:eastAsia="es-CO"/>
        </w:rPr>
      </w:pPr>
      <w:r w:rsidRPr="00C35C95">
        <w:rPr>
          <w:rFonts w:ascii="Verdana" w:eastAsia="Times New Roman" w:hAnsi="Verdana" w:cs="Arial"/>
          <w:lang w:val="es-ES" w:eastAsia="es-CO"/>
        </w:rPr>
        <w:t>Atentamente,</w:t>
      </w:r>
    </w:p>
    <w:p w14:paraId="73F272E3" w14:textId="2F211D7C" w:rsidR="008A66A7" w:rsidRPr="00651501" w:rsidRDefault="00651501" w:rsidP="00651501">
      <w:pPr>
        <w:spacing w:after="0" w:line="276" w:lineRule="auto"/>
        <w:jc w:val="center"/>
        <w:rPr>
          <w:rFonts w:ascii="Verdana" w:hAnsi="Verdana"/>
          <w:noProof/>
          <w:color w:val="ED7D31" w:themeColor="accent2"/>
        </w:rPr>
      </w:pPr>
      <w:r w:rsidRPr="00651501">
        <w:rPr>
          <w:rFonts w:ascii="Verdana" w:hAnsi="Verdana" w:cs="Arial"/>
          <w:noProof/>
          <w:lang w:val="es-ES" w:eastAsia="es-CO"/>
        </w:rPr>
        <w:drawing>
          <wp:inline distT="0" distB="0" distL="0" distR="0" wp14:anchorId="1C167EFA" wp14:editId="261206A0">
            <wp:extent cx="2486025" cy="1055937"/>
            <wp:effectExtent l="0" t="0" r="0" b="0"/>
            <wp:docPr id="90621964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219643" name="Imagen 1" descr="Texto&#10;&#10;El contenido generado por IA puede ser incorrecto."/>
                    <pic:cNvPicPr/>
                  </pic:nvPicPr>
                  <pic:blipFill>
                    <a:blip r:embed="rId15"/>
                    <a:stretch>
                      <a:fillRect/>
                    </a:stretch>
                  </pic:blipFill>
                  <pic:spPr>
                    <a:xfrm>
                      <a:off x="0" y="0"/>
                      <a:ext cx="2490176" cy="1057700"/>
                    </a:xfrm>
                    <a:prstGeom prst="rect">
                      <a:avLst/>
                    </a:prstGeom>
                  </pic:spPr>
                </pic:pic>
              </a:graphicData>
            </a:graphic>
          </wp:inline>
        </w:drawing>
      </w:r>
    </w:p>
    <w:p w14:paraId="3092116A" w14:textId="2E04D4C6" w:rsidR="008410EA" w:rsidRPr="00F92962" w:rsidRDefault="008410EA" w:rsidP="008410EA">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A66A7" w:rsidRPr="00F92962" w14:paraId="667E606C" w14:textId="77777777" w:rsidTr="006E0969">
        <w:trPr>
          <w:trHeight w:val="315"/>
        </w:trPr>
        <w:tc>
          <w:tcPr>
            <w:tcW w:w="893" w:type="dxa"/>
            <w:vAlign w:val="center"/>
            <w:hideMark/>
          </w:tcPr>
          <w:p w14:paraId="1E950462" w14:textId="77777777" w:rsidR="008A66A7" w:rsidRPr="00F92962" w:rsidRDefault="008A66A7" w:rsidP="006E0969">
            <w:pPr>
              <w:contextualSpacing/>
              <w:rPr>
                <w:rFonts w:ascii="Verdana" w:hAnsi="Verdana" w:cs="Arial"/>
                <w:sz w:val="16"/>
                <w:szCs w:val="16"/>
                <w:lang w:val="es-ES" w:eastAsia="es-ES"/>
              </w:rPr>
            </w:pPr>
            <w:r w:rsidRPr="00F9296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5D5DEB8" w14:textId="77777777" w:rsidR="008A66A7" w:rsidRPr="00F92962" w:rsidRDefault="008A66A7" w:rsidP="006E0969">
            <w:pPr>
              <w:rPr>
                <w:rFonts w:ascii="Verdana" w:eastAsia="Times New Roman" w:hAnsi="Verdana" w:cs="Arial"/>
                <w:sz w:val="16"/>
                <w:szCs w:val="16"/>
                <w:lang w:eastAsia="es-ES"/>
              </w:rPr>
            </w:pPr>
            <w:r w:rsidRPr="00F92962">
              <w:rPr>
                <w:rFonts w:ascii="Verdana" w:eastAsia="Times New Roman" w:hAnsi="Verdana" w:cs="Arial"/>
                <w:sz w:val="16"/>
                <w:szCs w:val="16"/>
                <w:lang w:eastAsia="es-ES"/>
              </w:rPr>
              <w:t>Camila Alejandra Naranjo Gómez</w:t>
            </w:r>
          </w:p>
          <w:p w14:paraId="08CE1EC0" w14:textId="77777777" w:rsidR="008A66A7" w:rsidRPr="00F92962" w:rsidRDefault="008A66A7" w:rsidP="006E0969">
            <w:pPr>
              <w:contextualSpacing/>
              <w:rPr>
                <w:rFonts w:ascii="Verdana" w:eastAsia="Arial" w:hAnsi="Verdana" w:cs="Arial"/>
                <w:sz w:val="16"/>
                <w:szCs w:val="16"/>
                <w:lang w:val="es-ES"/>
              </w:rPr>
            </w:pPr>
            <w:r w:rsidRPr="00F92962">
              <w:rPr>
                <w:rFonts w:ascii="Verdana" w:eastAsia="Times New Roman" w:hAnsi="Verdana" w:cs="Arial"/>
                <w:sz w:val="16"/>
                <w:szCs w:val="16"/>
                <w:lang w:eastAsia="es-ES"/>
              </w:rPr>
              <w:t>Analista T2-</w:t>
            </w:r>
            <w:r>
              <w:rPr>
                <w:rFonts w:ascii="Verdana" w:eastAsia="Times New Roman" w:hAnsi="Verdana" w:cs="Arial"/>
                <w:sz w:val="16"/>
                <w:szCs w:val="16"/>
                <w:lang w:eastAsia="es-ES"/>
              </w:rPr>
              <w:t>02</w:t>
            </w:r>
            <w:r w:rsidRPr="00F92962">
              <w:rPr>
                <w:rFonts w:ascii="Verdana" w:eastAsia="Times New Roman" w:hAnsi="Verdana" w:cs="Arial"/>
                <w:sz w:val="16"/>
                <w:szCs w:val="16"/>
                <w:lang w:eastAsia="es-ES"/>
              </w:rPr>
              <w:t xml:space="preserve"> de la Subdirección de Gestión Contractual</w:t>
            </w:r>
          </w:p>
        </w:tc>
      </w:tr>
      <w:tr w:rsidR="008A66A7" w:rsidRPr="00F92962" w14:paraId="041DD8F5" w14:textId="77777777" w:rsidTr="006E0969">
        <w:trPr>
          <w:trHeight w:val="330"/>
        </w:trPr>
        <w:tc>
          <w:tcPr>
            <w:tcW w:w="893" w:type="dxa"/>
            <w:vAlign w:val="center"/>
            <w:hideMark/>
          </w:tcPr>
          <w:p w14:paraId="194603AD" w14:textId="77777777" w:rsidR="008A66A7" w:rsidRPr="00F92962" w:rsidRDefault="008A66A7" w:rsidP="006E0969">
            <w:pPr>
              <w:contextualSpacing/>
              <w:rPr>
                <w:rFonts w:ascii="Verdana" w:hAnsi="Verdana" w:cs="Arial"/>
                <w:sz w:val="16"/>
                <w:szCs w:val="16"/>
                <w:lang w:val="es-ES" w:eastAsia="es-ES"/>
              </w:rPr>
            </w:pPr>
            <w:r w:rsidRPr="00F9296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07C1AA" w14:textId="77777777" w:rsidR="008A66A7" w:rsidRPr="00F92962" w:rsidRDefault="008A66A7" w:rsidP="006E0969">
            <w:pPr>
              <w:rPr>
                <w:rFonts w:ascii="Verdana" w:eastAsia="Times New Roman" w:hAnsi="Verdana" w:cs="Arial"/>
                <w:sz w:val="16"/>
                <w:szCs w:val="16"/>
                <w:lang w:eastAsia="es-ES"/>
              </w:rPr>
            </w:pPr>
            <w:r w:rsidRPr="00F92962">
              <w:rPr>
                <w:rFonts w:ascii="Verdana" w:eastAsia="Times New Roman" w:hAnsi="Verdana" w:cs="Arial"/>
                <w:sz w:val="16"/>
                <w:szCs w:val="16"/>
                <w:lang w:eastAsia="es-ES"/>
              </w:rPr>
              <w:t>Alejandro Sarmiento Cantillo</w:t>
            </w:r>
          </w:p>
          <w:p w14:paraId="7A9D6AF9" w14:textId="77777777" w:rsidR="008A66A7" w:rsidRPr="00F92962" w:rsidRDefault="008A66A7" w:rsidP="006E0969">
            <w:pPr>
              <w:pStyle w:val="paragraph"/>
              <w:spacing w:before="0" w:beforeAutospacing="0" w:after="0" w:afterAutospacing="0"/>
              <w:contextualSpacing/>
              <w:textAlignment w:val="baseline"/>
              <w:rPr>
                <w:rFonts w:ascii="Verdana" w:hAnsi="Verdana" w:cs="Segoe UI"/>
                <w:sz w:val="16"/>
                <w:szCs w:val="16"/>
                <w:lang w:val="es-ES"/>
              </w:rPr>
            </w:pPr>
            <w:r w:rsidRPr="00F92962">
              <w:rPr>
                <w:rFonts w:ascii="Verdana" w:hAnsi="Verdana" w:cs="Arial"/>
                <w:sz w:val="16"/>
                <w:szCs w:val="16"/>
                <w:lang w:eastAsia="es-ES"/>
              </w:rPr>
              <w:t>Gestor T1 ‒ 15 de la Subdirección de Gestión Contractual</w:t>
            </w:r>
          </w:p>
        </w:tc>
      </w:tr>
      <w:tr w:rsidR="008A66A7" w:rsidRPr="00F92962" w14:paraId="2E2244DF" w14:textId="77777777" w:rsidTr="006E0969">
        <w:trPr>
          <w:trHeight w:val="300"/>
        </w:trPr>
        <w:tc>
          <w:tcPr>
            <w:tcW w:w="893" w:type="dxa"/>
            <w:vAlign w:val="center"/>
          </w:tcPr>
          <w:p w14:paraId="0818E448" w14:textId="77777777" w:rsidR="008A66A7" w:rsidRPr="00F92962" w:rsidRDefault="008A66A7" w:rsidP="006E0969">
            <w:pPr>
              <w:contextualSpacing/>
              <w:rPr>
                <w:rFonts w:ascii="Verdana" w:hAnsi="Verdana" w:cs="Arial"/>
                <w:sz w:val="16"/>
                <w:szCs w:val="16"/>
                <w:lang w:val="es-ES" w:eastAsia="es-ES"/>
              </w:rPr>
            </w:pPr>
            <w:r w:rsidRPr="00F9296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FA5741" w14:textId="77777777" w:rsidR="008A66A7" w:rsidRPr="00F92962" w:rsidRDefault="008A66A7" w:rsidP="006E0969">
            <w:pPr>
              <w:contextualSpacing/>
              <w:rPr>
                <w:rFonts w:ascii="Verdana" w:eastAsia="Calibri" w:hAnsi="Verdana" w:cs="Arial"/>
                <w:sz w:val="16"/>
                <w:szCs w:val="16"/>
                <w:lang w:val="es-ES" w:eastAsia="es-ES"/>
              </w:rPr>
            </w:pPr>
            <w:r w:rsidRPr="00F92962">
              <w:rPr>
                <w:rFonts w:ascii="Verdana" w:eastAsia="Calibri" w:hAnsi="Verdana" w:cs="Arial"/>
                <w:sz w:val="16"/>
                <w:szCs w:val="16"/>
                <w:lang w:val="es-ES" w:eastAsia="es-ES"/>
              </w:rPr>
              <w:t>Carolina Quintero Gacharná</w:t>
            </w:r>
          </w:p>
          <w:p w14:paraId="47F21BD3" w14:textId="77777777" w:rsidR="008A66A7" w:rsidRPr="00F92962" w:rsidRDefault="008A66A7" w:rsidP="006E0969">
            <w:pPr>
              <w:contextualSpacing/>
              <w:rPr>
                <w:rFonts w:ascii="Verdana" w:eastAsia="Calibri" w:hAnsi="Verdana" w:cs="Arial"/>
                <w:sz w:val="16"/>
                <w:szCs w:val="16"/>
                <w:lang w:val="es-ES" w:eastAsia="es-ES"/>
              </w:rPr>
            </w:pPr>
            <w:r w:rsidRPr="00F92962">
              <w:rPr>
                <w:rFonts w:ascii="Verdana" w:eastAsia="Calibri" w:hAnsi="Verdana" w:cs="Arial"/>
                <w:sz w:val="16"/>
                <w:szCs w:val="16"/>
                <w:lang w:val="es-ES" w:eastAsia="es-ES"/>
              </w:rPr>
              <w:t>Subdirectora de Gestión Contractual ANCP – CCE</w:t>
            </w:r>
          </w:p>
        </w:tc>
      </w:tr>
      <w:bookmarkEnd w:id="0"/>
    </w:tbl>
    <w:p w14:paraId="0F293BF4" w14:textId="3482394E" w:rsidR="00127233" w:rsidRPr="008A66A7" w:rsidRDefault="00127233" w:rsidP="00DB39FA">
      <w:pPr>
        <w:rPr>
          <w:lang w:val="es-ES"/>
        </w:rPr>
      </w:pPr>
    </w:p>
    <w:sectPr w:rsidR="00127233" w:rsidRPr="008A66A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914F4" w14:textId="77777777" w:rsidR="00DC7D43" w:rsidRDefault="00DC7D43" w:rsidP="004A1847">
      <w:pPr>
        <w:spacing w:after="0" w:line="240" w:lineRule="auto"/>
      </w:pPr>
      <w:r>
        <w:separator/>
      </w:r>
    </w:p>
  </w:endnote>
  <w:endnote w:type="continuationSeparator" w:id="0">
    <w:p w14:paraId="2A272DE1" w14:textId="77777777" w:rsidR="00DC7D43" w:rsidRDefault="00DC7D4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59C87" w14:textId="77777777" w:rsidR="00DC7D43" w:rsidRDefault="00DC7D43" w:rsidP="004A1847">
      <w:pPr>
        <w:spacing w:after="0" w:line="240" w:lineRule="auto"/>
      </w:pPr>
      <w:r>
        <w:separator/>
      </w:r>
    </w:p>
  </w:footnote>
  <w:footnote w:type="continuationSeparator" w:id="0">
    <w:p w14:paraId="6C136CAB" w14:textId="77777777" w:rsidR="00DC7D43" w:rsidRDefault="00DC7D43" w:rsidP="004A1847">
      <w:pPr>
        <w:spacing w:after="0" w:line="240" w:lineRule="auto"/>
      </w:pPr>
      <w:r>
        <w:continuationSeparator/>
      </w:r>
    </w:p>
  </w:footnote>
  <w:footnote w:id="1">
    <w:p w14:paraId="5D549904" w14:textId="77777777" w:rsidR="008A66A7" w:rsidRPr="00837922" w:rsidRDefault="008A66A7" w:rsidP="008A66A7">
      <w:pPr>
        <w:pStyle w:val="Textonotapie"/>
        <w:ind w:firstLine="708"/>
        <w:jc w:val="both"/>
        <w:rPr>
          <w:rFonts w:ascii="Verdana" w:eastAsia="Calibri" w:hAnsi="Verdana" w:cs="Arial"/>
          <w:color w:val="000000" w:themeColor="text1"/>
          <w:sz w:val="16"/>
          <w:szCs w:val="16"/>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Código de Comercio. “Artículo 26. El registro mercantil tendrá por objeto llevar la matrícula de los comerciantes y de los establecimientos de comercio, así como la inscripción de todos los actos, libros y documentos respecto de los cuales la ley exigiere esa formalidad”.</w:t>
      </w:r>
    </w:p>
  </w:footnote>
  <w:footnote w:id="2">
    <w:p w14:paraId="117F25E4" w14:textId="77777777" w:rsidR="008A66A7" w:rsidRPr="00837922" w:rsidRDefault="008A66A7" w:rsidP="008A66A7">
      <w:pPr>
        <w:pStyle w:val="Textonotapie"/>
        <w:ind w:firstLine="708"/>
        <w:jc w:val="both"/>
        <w:rPr>
          <w:rFonts w:ascii="Verdana" w:eastAsia="Calibri" w:hAnsi="Verdana" w:cs="Arial"/>
          <w:color w:val="000000" w:themeColor="text1"/>
          <w:sz w:val="16"/>
          <w:szCs w:val="16"/>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Código de Comercio: “Artículo 10. Son comerciantes las personas que profesionalmente se ocupan en alguna de las actividades que la ley considera mercantiles.</w:t>
      </w:r>
    </w:p>
    <w:p w14:paraId="55DD63D5" w14:textId="77777777" w:rsidR="008A66A7" w:rsidRPr="00F51633" w:rsidRDefault="008A66A7" w:rsidP="008A66A7">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La calidad de comerciante se adquiere, aunque la actividad mercantil se ejerza por medio de apoderado, intermediario o interpuesta persona.</w:t>
      </w:r>
    </w:p>
  </w:footnote>
  <w:footnote w:id="3">
    <w:p w14:paraId="294BD193" w14:textId="77777777" w:rsidR="008A66A7" w:rsidRPr="00837922" w:rsidRDefault="008A66A7" w:rsidP="008A66A7">
      <w:pPr>
        <w:pStyle w:val="Textonotapie"/>
        <w:ind w:firstLine="708"/>
        <w:jc w:val="both"/>
        <w:rPr>
          <w:rFonts w:ascii="Verdana" w:eastAsia="Calibri" w:hAnsi="Verdana" w:cs="Arial"/>
          <w:color w:val="000000" w:themeColor="text1"/>
          <w:sz w:val="16"/>
          <w:szCs w:val="16"/>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Código de Comercio: Artículo 23: No son mercantiles:</w:t>
      </w:r>
    </w:p>
    <w:p w14:paraId="5CB3BD28" w14:textId="77777777" w:rsidR="008A66A7" w:rsidRPr="00837922" w:rsidRDefault="008A66A7" w:rsidP="008A66A7">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1) La adquisición de bienes con destino al consumo doméstico o al uso del adquirente, y la enajenación de los mismos o de los sobrantes;</w:t>
      </w:r>
    </w:p>
    <w:p w14:paraId="766C8FAE" w14:textId="77777777" w:rsidR="008A66A7" w:rsidRPr="00837922" w:rsidRDefault="008A66A7" w:rsidP="008A66A7">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2) La adquisición de bienes para producir obras artísticas y la enajenación de éstas por su autor;</w:t>
      </w:r>
    </w:p>
    <w:p w14:paraId="3DD0F27C" w14:textId="77777777" w:rsidR="008A66A7" w:rsidRPr="00837922" w:rsidRDefault="008A66A7" w:rsidP="008A66A7">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3) Las adquisiciones hechas por funcionarios o empleados para fines de servicio público;</w:t>
      </w:r>
    </w:p>
    <w:p w14:paraId="13F344A9" w14:textId="77777777" w:rsidR="008A66A7" w:rsidRPr="00837922" w:rsidRDefault="008A66A7" w:rsidP="008A66A7">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4) Las enajenaciones que hagan directamente los agricultores o ganaderos de los frutos de sus cosechas o ganados, en su estado natural. Tampoco serán mercantiles las actividades de transformación de tales frutos que efectúen los agricultores o ganaderos, siempre y cuando que dicha transformación no constituya por sí misma una empresa, y</w:t>
      </w:r>
    </w:p>
    <w:p w14:paraId="769DB10D" w14:textId="795FE8BD" w:rsidR="008A66A7" w:rsidRPr="00837922" w:rsidRDefault="008A66A7" w:rsidP="008A66A7">
      <w:pPr>
        <w:pStyle w:val="Textonotapie"/>
        <w:ind w:firstLine="708"/>
        <w:jc w:val="both"/>
        <w:rPr>
          <w:rFonts w:ascii="Verdana" w:hAnsi="Verdana" w:cs="Arial"/>
          <w:color w:val="000000" w:themeColor="text1"/>
          <w:sz w:val="16"/>
          <w:szCs w:val="16"/>
        </w:rPr>
      </w:pPr>
      <w:r w:rsidRPr="00837922">
        <w:rPr>
          <w:rFonts w:ascii="Verdana" w:eastAsia="Calibri" w:hAnsi="Verdana" w:cs="Arial"/>
          <w:color w:val="000000" w:themeColor="text1"/>
          <w:sz w:val="16"/>
          <w:szCs w:val="16"/>
        </w:rPr>
        <w:t>5) La prestación de servicios inherentes a las profesiones liberales</w:t>
      </w:r>
      <w:r w:rsidR="00737B66" w:rsidRPr="0061217F">
        <w:rPr>
          <w:rFonts w:ascii="Verdana" w:eastAsia="Calibri" w:hAnsi="Verdana" w:cs="Arial"/>
          <w:color w:val="000000" w:themeColor="text1"/>
          <w:sz w:val="16"/>
          <w:szCs w:val="16"/>
        </w:rPr>
        <w:t>”</w:t>
      </w:r>
      <w:r w:rsidRPr="0061217F">
        <w:rPr>
          <w:rFonts w:ascii="Verdana" w:eastAsia="Calibri" w:hAnsi="Verdana" w:cs="Arial"/>
          <w:color w:val="000000" w:themeColor="text1"/>
          <w:sz w:val="16"/>
          <w:szCs w:val="16"/>
        </w:rPr>
        <w:t>.</w:t>
      </w:r>
    </w:p>
  </w:footnote>
  <w:footnote w:id="4">
    <w:p w14:paraId="5B42DDA3" w14:textId="479F5657" w:rsidR="004B0F83" w:rsidRPr="00952F14" w:rsidRDefault="004B0F83" w:rsidP="004B0F83">
      <w:pPr>
        <w:pStyle w:val="Textonotapie"/>
        <w:ind w:firstLine="708"/>
        <w:jc w:val="both"/>
        <w:rPr>
          <w:rFonts w:ascii="Verdana" w:hAnsi="Verdana" w:cs="Arial"/>
          <w:color w:val="000000" w:themeColor="text1"/>
          <w:sz w:val="16"/>
          <w:szCs w:val="16"/>
          <w:lang w:val="es-ES"/>
        </w:rPr>
      </w:pPr>
      <w:r w:rsidRPr="00952F14">
        <w:rPr>
          <w:rStyle w:val="Refdenotaalpie"/>
          <w:rFonts w:ascii="Verdana" w:hAnsi="Verdana" w:cs="Arial"/>
          <w:color w:val="000000" w:themeColor="text1"/>
          <w:sz w:val="16"/>
          <w:szCs w:val="16"/>
        </w:rPr>
        <w:footnoteRef/>
      </w:r>
      <w:r w:rsidRPr="00952F14">
        <w:rPr>
          <w:rFonts w:ascii="Verdana" w:hAnsi="Verdana" w:cs="Arial"/>
          <w:color w:val="000000" w:themeColor="text1"/>
          <w:sz w:val="16"/>
          <w:szCs w:val="16"/>
        </w:rPr>
        <w:t xml:space="preserve"> </w:t>
      </w:r>
      <w:r w:rsidR="00737B66" w:rsidRPr="00952F14">
        <w:rPr>
          <w:rFonts w:ascii="Verdana" w:eastAsia="Calibri" w:hAnsi="Verdana" w:cs="Arial"/>
          <w:color w:val="000000" w:themeColor="text1"/>
          <w:sz w:val="16"/>
          <w:szCs w:val="16"/>
        </w:rPr>
        <w:t>CONSEJO DE ESTADO</w:t>
      </w:r>
      <w:r w:rsidRPr="00952F14">
        <w:rPr>
          <w:rFonts w:ascii="Verdana" w:eastAsia="Calibri" w:hAnsi="Verdana" w:cs="Arial"/>
          <w:color w:val="000000" w:themeColor="text1"/>
          <w:sz w:val="16"/>
          <w:szCs w:val="16"/>
        </w:rPr>
        <w:t>. Sección Cuarta. Sentencia del 2 de agosto de 2012. C. P. William Giraldo Giraldo. Exp. 18578.</w:t>
      </w:r>
    </w:p>
  </w:footnote>
  <w:footnote w:id="5">
    <w:p w14:paraId="1A9E3FA1" w14:textId="77777777" w:rsidR="008A66A7" w:rsidRPr="00837922" w:rsidRDefault="008A66A7" w:rsidP="008A66A7">
      <w:pPr>
        <w:pStyle w:val="Textonotapie"/>
        <w:ind w:firstLine="708"/>
        <w:jc w:val="both"/>
        <w:rPr>
          <w:rFonts w:ascii="Verdana" w:hAnsi="Verdana" w:cs="Arial"/>
          <w:color w:val="000000" w:themeColor="text1"/>
          <w:sz w:val="16"/>
          <w:szCs w:val="16"/>
          <w:lang w:val="es-ES"/>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Corte Constitucional. Sentencia C-621 de 2003. M.P. Marco Gerardo Monroy Cabra.</w:t>
      </w:r>
    </w:p>
  </w:footnote>
  <w:footnote w:id="6">
    <w:p w14:paraId="43FBB95D" w14:textId="77777777" w:rsidR="008A66A7" w:rsidRPr="00837922" w:rsidRDefault="008A66A7" w:rsidP="008A66A7">
      <w:pPr>
        <w:pStyle w:val="Textonotapie"/>
        <w:ind w:firstLine="708"/>
        <w:jc w:val="both"/>
        <w:rPr>
          <w:rFonts w:ascii="Verdana" w:hAnsi="Verdana" w:cs="Arial"/>
          <w:color w:val="000000" w:themeColor="text1"/>
          <w:sz w:val="16"/>
          <w:szCs w:val="16"/>
          <w:lang w:val="es-ES"/>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Decreto 2153 de 1992, “Artículo 11. […] 5. Imponer a las personas que ejerzan profesionalmente el comercio, sin estar matriculadas en el registro mercantil, multas hasta el equivalente de diecisiete (17) salarios mínimos mensuales legales vigentes al momento de la imposición de la sanción”.</w:t>
      </w:r>
    </w:p>
  </w:footnote>
  <w:footnote w:id="7">
    <w:p w14:paraId="7CC508A3" w14:textId="4E4F147B" w:rsidR="00E7590C" w:rsidRPr="0061217F" w:rsidRDefault="008A66A7" w:rsidP="00E7590C">
      <w:pPr>
        <w:pStyle w:val="Textonotapie"/>
        <w:ind w:firstLine="708"/>
        <w:jc w:val="both"/>
        <w:rPr>
          <w:rFonts w:ascii="Verdana" w:hAnsi="Verdana" w:cs="Arial"/>
          <w:color w:val="000000" w:themeColor="text1"/>
          <w:sz w:val="16"/>
          <w:szCs w:val="16"/>
          <w:lang w:val="es-CO"/>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 xml:space="preserve">Ley </w:t>
      </w:r>
      <w:r w:rsidR="00CD310F">
        <w:rPr>
          <w:rFonts w:ascii="Verdana" w:eastAsia="Calibri" w:hAnsi="Verdana" w:cs="Arial"/>
          <w:color w:val="000000" w:themeColor="text1"/>
          <w:sz w:val="16"/>
          <w:szCs w:val="16"/>
        </w:rPr>
        <w:t>2160 de 2021</w:t>
      </w:r>
      <w:r w:rsidRPr="00837922">
        <w:rPr>
          <w:rFonts w:ascii="Verdana" w:eastAsia="Calibri" w:hAnsi="Verdana" w:cs="Arial"/>
          <w:color w:val="000000" w:themeColor="text1"/>
          <w:sz w:val="16"/>
          <w:szCs w:val="16"/>
        </w:rPr>
        <w:t xml:space="preserve">. </w:t>
      </w:r>
      <w:r w:rsidRPr="00837922">
        <w:rPr>
          <w:rFonts w:ascii="Verdana" w:hAnsi="Verdana" w:cs="Arial"/>
          <w:color w:val="000000" w:themeColor="text1"/>
          <w:sz w:val="16"/>
          <w:szCs w:val="16"/>
        </w:rPr>
        <w:t>“</w:t>
      </w:r>
      <w:r w:rsidRPr="00952F14">
        <w:rPr>
          <w:rFonts w:ascii="Verdana" w:hAnsi="Verdana" w:cs="Arial"/>
          <w:color w:val="000000" w:themeColor="text1"/>
          <w:sz w:val="16"/>
          <w:szCs w:val="16"/>
          <w:lang w:val="es-CO"/>
        </w:rPr>
        <w:t>Artículo</w:t>
      </w:r>
      <w:r w:rsidR="00E7590C" w:rsidRPr="00952F14">
        <w:rPr>
          <w:rFonts w:ascii="Verdana" w:hAnsi="Verdana" w:cs="Arial"/>
          <w:color w:val="000000" w:themeColor="text1"/>
          <w:sz w:val="16"/>
          <w:szCs w:val="16"/>
          <w:lang w:val="es-CO"/>
        </w:rPr>
        <w:t> </w:t>
      </w:r>
      <w:bookmarkStart w:id="5" w:name="BM6"/>
      <w:bookmarkEnd w:id="5"/>
      <w:r w:rsidRPr="00952F14">
        <w:rPr>
          <w:rFonts w:ascii="Verdana" w:hAnsi="Verdana" w:cs="Arial"/>
          <w:color w:val="000000" w:themeColor="text1"/>
          <w:sz w:val="16"/>
          <w:szCs w:val="16"/>
          <w:lang w:val="es-CO"/>
        </w:rPr>
        <w:t>6</w:t>
      </w:r>
      <w:r w:rsidR="00E7590C" w:rsidRPr="00952F14">
        <w:rPr>
          <w:rFonts w:ascii="Verdana" w:hAnsi="Verdana" w:cs="Arial"/>
          <w:color w:val="000000" w:themeColor="text1"/>
          <w:sz w:val="16"/>
          <w:szCs w:val="16"/>
          <w:lang w:val="es-CO"/>
        </w:rPr>
        <w:t>.- </w:t>
      </w:r>
      <w:r w:rsidR="00E7590C" w:rsidRPr="00952F14">
        <w:rPr>
          <w:rFonts w:ascii="Verdana" w:hAnsi="Verdana" w:cs="Arial"/>
          <w:i/>
          <w:iCs/>
          <w:color w:val="000000" w:themeColor="text1"/>
          <w:sz w:val="16"/>
          <w:szCs w:val="16"/>
          <w:lang w:val="es-CO"/>
        </w:rPr>
        <w:t>De la Capacidad para Contratar</w:t>
      </w:r>
      <w:r w:rsidR="00E7590C" w:rsidRPr="00952F14">
        <w:rPr>
          <w:rFonts w:ascii="Verdana" w:hAnsi="Verdana" w:cs="Arial"/>
          <w:color w:val="000000" w:themeColor="text1"/>
          <w:sz w:val="16"/>
          <w:szCs w:val="16"/>
          <w:lang w:val="es-CO"/>
        </w:rPr>
        <w:t>.</w:t>
      </w:r>
      <w:r w:rsidR="00E7590C" w:rsidRPr="0061217F">
        <w:rPr>
          <w:rFonts w:ascii="Verdana" w:hAnsi="Verdana" w:cs="Arial"/>
          <w:color w:val="000000" w:themeColor="text1"/>
          <w:sz w:val="16"/>
          <w:szCs w:val="16"/>
          <w:lang w:val="es-CO"/>
        </w:rPr>
        <w:t> </w:t>
      </w:r>
      <w:r w:rsidR="00CD310F" w:rsidRPr="00CD310F">
        <w:rPr>
          <w:rFonts w:ascii="Verdana" w:hAnsi="Verdana" w:cs="Arial"/>
          <w:color w:val="000000" w:themeColor="text1"/>
          <w:sz w:val="16"/>
          <w:szCs w:val="16"/>
          <w:lang w:val="es-CO"/>
        </w:rPr>
        <w:t>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r w:rsidR="00CD310F">
        <w:rPr>
          <w:rFonts w:ascii="Verdana" w:hAnsi="Verdana" w:cs="Arial"/>
          <w:color w:val="000000" w:themeColor="text1"/>
          <w:sz w:val="16"/>
          <w:szCs w:val="16"/>
          <w:lang w:val="es-CO"/>
        </w:rPr>
        <w:t>”</w:t>
      </w:r>
    </w:p>
    <w:p w14:paraId="2DE948E8" w14:textId="77777777" w:rsidR="00E7590C" w:rsidRPr="0061217F" w:rsidRDefault="00E7590C" w:rsidP="00E7590C">
      <w:pPr>
        <w:pStyle w:val="Textonotapie"/>
        <w:ind w:firstLine="708"/>
        <w:jc w:val="both"/>
        <w:rPr>
          <w:rFonts w:ascii="Verdana" w:hAnsi="Verdana" w:cs="Arial"/>
          <w:color w:val="000000" w:themeColor="text1"/>
          <w:sz w:val="16"/>
          <w:szCs w:val="16"/>
          <w:lang w:val="es-CO"/>
        </w:rPr>
      </w:pPr>
      <w:r w:rsidRPr="0061217F">
        <w:rPr>
          <w:rFonts w:ascii="Verdana" w:hAnsi="Verdana" w:cs="Arial"/>
          <w:color w:val="000000" w:themeColor="text1"/>
          <w:sz w:val="16"/>
          <w:szCs w:val="16"/>
          <w:lang w:val="es-CO"/>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2B02EF44" w14:textId="34C507F1" w:rsidR="008A66A7" w:rsidRPr="00837922" w:rsidRDefault="00E7590C" w:rsidP="008A66A7">
      <w:pPr>
        <w:pStyle w:val="Textonotapie"/>
        <w:ind w:firstLine="708"/>
        <w:jc w:val="both"/>
        <w:rPr>
          <w:rFonts w:ascii="Verdana" w:hAnsi="Verdana" w:cs="Arial"/>
          <w:color w:val="000000" w:themeColor="text1"/>
          <w:sz w:val="16"/>
          <w:szCs w:val="16"/>
        </w:rPr>
      </w:pPr>
      <w:r w:rsidRPr="0061217F">
        <w:rPr>
          <w:rFonts w:ascii="Verdana" w:hAnsi="Verdana" w:cs="Arial"/>
          <w:color w:val="000000" w:themeColor="text1"/>
          <w:sz w:val="16"/>
          <w:szCs w:val="16"/>
          <w:lang w:val="es-CO"/>
        </w:rPr>
        <w:t>Las personas jurídicas nacionales y extranjeras deberán acreditar que su duración no será inferior a la del plazo del contrato y un año más</w:t>
      </w:r>
      <w:r w:rsidR="008A66A7" w:rsidRPr="00837922">
        <w:rPr>
          <w:rFonts w:ascii="Verdana" w:eastAsia="Calibri" w:hAnsi="Verdana" w:cs="Arial"/>
          <w:color w:val="000000" w:themeColor="text1"/>
          <w:sz w:val="16"/>
          <w:szCs w:val="16"/>
        </w:rPr>
        <w:t>”.</w:t>
      </w:r>
    </w:p>
  </w:footnote>
  <w:footnote w:id="8">
    <w:p w14:paraId="06BDD830" w14:textId="77777777" w:rsidR="0058785E" w:rsidRPr="00952F14" w:rsidRDefault="0058785E" w:rsidP="0058785E">
      <w:pPr>
        <w:pStyle w:val="Textonotapie"/>
        <w:ind w:firstLine="708"/>
        <w:jc w:val="both"/>
        <w:rPr>
          <w:rFonts w:ascii="Verdana" w:hAnsi="Verdana" w:cs="Arial"/>
          <w:sz w:val="16"/>
          <w:szCs w:val="16"/>
          <w:lang w:val="es-CO"/>
        </w:rPr>
      </w:pPr>
      <w:r w:rsidRPr="00952F14">
        <w:rPr>
          <w:rStyle w:val="Refdenotaalpie"/>
          <w:rFonts w:ascii="Verdana" w:hAnsi="Verdana" w:cs="Arial"/>
          <w:sz w:val="16"/>
          <w:szCs w:val="16"/>
        </w:rPr>
        <w:footnoteRef/>
      </w:r>
      <w:r w:rsidRPr="00952F14">
        <w:rPr>
          <w:rFonts w:ascii="Verdana" w:hAnsi="Verdana" w:cs="Arial"/>
          <w:sz w:val="16"/>
          <w:szCs w:val="16"/>
        </w:rPr>
        <w:t xml:space="preserve"> </w:t>
      </w:r>
      <w:r w:rsidRPr="00952F14">
        <w:rPr>
          <w:rFonts w:ascii="Verdana" w:hAnsi="Verdana" w:cs="Arial"/>
          <w:sz w:val="16"/>
          <w:szCs w:val="16"/>
          <w:lang w:val="es-CO"/>
        </w:rPr>
        <w:t xml:space="preserve">EXPÓSITO VÉLEZ, Juan Carlos. Forma y contenido del contrato estatal. Bogotá: Universidad Externado de Colombia, 2013. p. 112. </w:t>
      </w:r>
    </w:p>
  </w:footnote>
  <w:footnote w:id="9">
    <w:p w14:paraId="599E74BE" w14:textId="3F8ECE4A" w:rsidR="00BB2A2C" w:rsidRPr="00952F14" w:rsidRDefault="00BB2A2C" w:rsidP="00952F14">
      <w:pPr>
        <w:pStyle w:val="Textonotapie"/>
        <w:ind w:firstLine="708"/>
        <w:jc w:val="both"/>
        <w:rPr>
          <w:rFonts w:ascii="Verdana" w:hAnsi="Verdana"/>
          <w:sz w:val="16"/>
          <w:szCs w:val="16"/>
        </w:rPr>
      </w:pPr>
      <w:r w:rsidRPr="00952F14">
        <w:rPr>
          <w:rStyle w:val="Refdenotaalpie"/>
          <w:rFonts w:ascii="Verdana" w:hAnsi="Verdana"/>
          <w:sz w:val="16"/>
          <w:szCs w:val="16"/>
        </w:rPr>
        <w:footnoteRef/>
      </w:r>
      <w:r w:rsidRPr="00952F14">
        <w:rPr>
          <w:rFonts w:ascii="Verdana" w:hAnsi="Verdana"/>
          <w:sz w:val="16"/>
          <w:szCs w:val="16"/>
        </w:rPr>
        <w:t xml:space="preserve"> </w:t>
      </w:r>
      <w:r w:rsidR="00296BFB" w:rsidRPr="0061217F">
        <w:rPr>
          <w:rFonts w:ascii="Verdana" w:hAnsi="Verdana"/>
          <w:sz w:val="16"/>
          <w:szCs w:val="16"/>
        </w:rPr>
        <w:t>Ley 1955 de 2019: “</w:t>
      </w:r>
      <w:r w:rsidRPr="00952F14">
        <w:rPr>
          <w:rFonts w:ascii="Verdana" w:hAnsi="Verdana"/>
          <w:sz w:val="16"/>
          <w:szCs w:val="16"/>
          <w:lang w:val="es-CO"/>
        </w:rPr>
        <w:t>Artículo</w:t>
      </w:r>
      <w:bookmarkStart w:id="6" w:name="144"/>
      <w:bookmarkEnd w:id="6"/>
      <w:r w:rsidRPr="00952F14">
        <w:rPr>
          <w:rFonts w:ascii="Verdana" w:hAnsi="Verdana"/>
          <w:sz w:val="16"/>
          <w:szCs w:val="16"/>
          <w:lang w:val="es-CO"/>
        </w:rPr>
        <w:t> 144. Liquidación de sociedades no operativas sujetas a la inspección, vigilancia y control de la Superintendencia de Sociedades. Las sociedades mercantiles sujetas a la supervisión de la Superintendencia de Sociedades, que no renueven su matrícula mercantil por un término de tres (3) años o que no envíen la información requerida por dicha Superintendencia durante el mismo término, se presumirán como no operativas y, podrán ser declaradas de oficio como disueltas por la Superintendencia de Sociedades, salvo demostración en contrario de su parte”.</w:t>
      </w:r>
      <w:r w:rsidRPr="00952F14">
        <w:rPr>
          <w:rFonts w:ascii="Verdana" w:hAnsi="Verdana"/>
          <w:sz w:val="16"/>
          <w:szCs w:val="16"/>
        </w:rPr>
        <w:t xml:space="preserve"> </w:t>
      </w:r>
    </w:p>
  </w:footnote>
  <w:footnote w:id="10">
    <w:p w14:paraId="56B31713" w14:textId="67D89C17" w:rsidR="00296BFB" w:rsidRPr="00952F14" w:rsidRDefault="00296BFB" w:rsidP="00952F14">
      <w:pPr>
        <w:pStyle w:val="Textonotapie"/>
        <w:ind w:firstLine="708"/>
        <w:jc w:val="both"/>
        <w:rPr>
          <w:rFonts w:ascii="Verdana" w:hAnsi="Verdana"/>
          <w:sz w:val="16"/>
          <w:szCs w:val="16"/>
        </w:rPr>
      </w:pPr>
      <w:r w:rsidRPr="00952F14">
        <w:rPr>
          <w:rStyle w:val="Refdenotaalpie"/>
          <w:rFonts w:ascii="Verdana" w:hAnsi="Verdana"/>
          <w:sz w:val="16"/>
          <w:szCs w:val="16"/>
        </w:rPr>
        <w:footnoteRef/>
      </w:r>
      <w:r w:rsidRPr="00952F14">
        <w:rPr>
          <w:rFonts w:ascii="Verdana" w:hAnsi="Verdana"/>
          <w:sz w:val="16"/>
          <w:szCs w:val="16"/>
        </w:rPr>
        <w:t>Decreto 1074 de 2015: “</w:t>
      </w:r>
      <w:r w:rsidRPr="00952F14">
        <w:rPr>
          <w:rFonts w:ascii="Verdana" w:hAnsi="Verdana"/>
          <w:sz w:val="16"/>
          <w:szCs w:val="16"/>
          <w:lang w:val="es-CO"/>
        </w:rPr>
        <w:t>Artículo 2.2.2.1.4.6. Declaración de la Superintendencia de Sociedades</w:t>
      </w:r>
      <w:r w:rsidRPr="00952F14">
        <w:rPr>
          <w:rFonts w:ascii="Verdana" w:hAnsi="Verdana"/>
          <w:b/>
          <w:bCs/>
          <w:sz w:val="16"/>
          <w:szCs w:val="16"/>
          <w:lang w:val="es-CO"/>
        </w:rPr>
        <w:t>.</w:t>
      </w:r>
      <w:r w:rsidRPr="00952F14">
        <w:rPr>
          <w:rFonts w:ascii="Verdana" w:hAnsi="Verdana"/>
          <w:sz w:val="16"/>
          <w:szCs w:val="16"/>
          <w:lang w:val="es-CO"/>
        </w:rPr>
        <w:t> Si la Superintendencia de Sociedades, luego de revisado el expediente, encuentra que, dentro del plazo establecido, no se recibió respuesta o no se desvirtuó la presunción de sociedad no operativa, declarará a la sociedad disuelta y en estado de liquidación”.</w:t>
      </w:r>
      <w:r w:rsidRPr="00952F14">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3D0"/>
    <w:rsid w:val="00034788"/>
    <w:rsid w:val="00046945"/>
    <w:rsid w:val="000604AA"/>
    <w:rsid w:val="00061B2A"/>
    <w:rsid w:val="00063615"/>
    <w:rsid w:val="000778B1"/>
    <w:rsid w:val="00082362"/>
    <w:rsid w:val="000961CD"/>
    <w:rsid w:val="000A09E8"/>
    <w:rsid w:val="000A5C73"/>
    <w:rsid w:val="000A683E"/>
    <w:rsid w:val="000B19B9"/>
    <w:rsid w:val="000C2D73"/>
    <w:rsid w:val="000D0334"/>
    <w:rsid w:val="000D195B"/>
    <w:rsid w:val="000D5DA7"/>
    <w:rsid w:val="000E0AE2"/>
    <w:rsid w:val="000E4F6A"/>
    <w:rsid w:val="000F6486"/>
    <w:rsid w:val="001073A6"/>
    <w:rsid w:val="00116908"/>
    <w:rsid w:val="00116940"/>
    <w:rsid w:val="00125105"/>
    <w:rsid w:val="00127233"/>
    <w:rsid w:val="0015699B"/>
    <w:rsid w:val="001A33BF"/>
    <w:rsid w:val="001B7A64"/>
    <w:rsid w:val="001B7D7F"/>
    <w:rsid w:val="001E263C"/>
    <w:rsid w:val="001E4177"/>
    <w:rsid w:val="001F0B24"/>
    <w:rsid w:val="001F3D5B"/>
    <w:rsid w:val="001F7DC6"/>
    <w:rsid w:val="0022400B"/>
    <w:rsid w:val="002421BB"/>
    <w:rsid w:val="00255304"/>
    <w:rsid w:val="0025796E"/>
    <w:rsid w:val="00265EAE"/>
    <w:rsid w:val="002707A2"/>
    <w:rsid w:val="002762D3"/>
    <w:rsid w:val="00277C43"/>
    <w:rsid w:val="002951A0"/>
    <w:rsid w:val="002962BC"/>
    <w:rsid w:val="00296BFB"/>
    <w:rsid w:val="002A093D"/>
    <w:rsid w:val="002A0DD0"/>
    <w:rsid w:val="002A49AC"/>
    <w:rsid w:val="002A64FD"/>
    <w:rsid w:val="002C0C53"/>
    <w:rsid w:val="002C11D1"/>
    <w:rsid w:val="002C26E2"/>
    <w:rsid w:val="002C7A84"/>
    <w:rsid w:val="002D2E75"/>
    <w:rsid w:val="002E2BF8"/>
    <w:rsid w:val="002E4FD9"/>
    <w:rsid w:val="002F2224"/>
    <w:rsid w:val="0030657A"/>
    <w:rsid w:val="00322A85"/>
    <w:rsid w:val="00324168"/>
    <w:rsid w:val="00330834"/>
    <w:rsid w:val="003448F4"/>
    <w:rsid w:val="003456BC"/>
    <w:rsid w:val="003461D3"/>
    <w:rsid w:val="00354829"/>
    <w:rsid w:val="00354875"/>
    <w:rsid w:val="00374F5E"/>
    <w:rsid w:val="00377E3E"/>
    <w:rsid w:val="0038261E"/>
    <w:rsid w:val="003853BC"/>
    <w:rsid w:val="003866F5"/>
    <w:rsid w:val="00391D62"/>
    <w:rsid w:val="003A779E"/>
    <w:rsid w:val="003B09AC"/>
    <w:rsid w:val="003C1A89"/>
    <w:rsid w:val="003C3164"/>
    <w:rsid w:val="003C5C41"/>
    <w:rsid w:val="003D0F4D"/>
    <w:rsid w:val="003D5B0D"/>
    <w:rsid w:val="003E0499"/>
    <w:rsid w:val="003E4F80"/>
    <w:rsid w:val="003E6439"/>
    <w:rsid w:val="003F3941"/>
    <w:rsid w:val="00406575"/>
    <w:rsid w:val="00414C74"/>
    <w:rsid w:val="0042722E"/>
    <w:rsid w:val="0044528D"/>
    <w:rsid w:val="004528AA"/>
    <w:rsid w:val="00463D90"/>
    <w:rsid w:val="0046463A"/>
    <w:rsid w:val="00466E39"/>
    <w:rsid w:val="004843A1"/>
    <w:rsid w:val="004A1847"/>
    <w:rsid w:val="004A305D"/>
    <w:rsid w:val="004A334B"/>
    <w:rsid w:val="004A53FA"/>
    <w:rsid w:val="004B0F83"/>
    <w:rsid w:val="004B6662"/>
    <w:rsid w:val="004F21C4"/>
    <w:rsid w:val="004F685F"/>
    <w:rsid w:val="00530C2D"/>
    <w:rsid w:val="00534F48"/>
    <w:rsid w:val="005566E8"/>
    <w:rsid w:val="00561AE1"/>
    <w:rsid w:val="00574867"/>
    <w:rsid w:val="005806B3"/>
    <w:rsid w:val="0058785E"/>
    <w:rsid w:val="00590F7A"/>
    <w:rsid w:val="00591460"/>
    <w:rsid w:val="005A65E0"/>
    <w:rsid w:val="005C3777"/>
    <w:rsid w:val="005C5CDC"/>
    <w:rsid w:val="005D476C"/>
    <w:rsid w:val="005E38AF"/>
    <w:rsid w:val="005E6481"/>
    <w:rsid w:val="00601156"/>
    <w:rsid w:val="006036A8"/>
    <w:rsid w:val="006063C0"/>
    <w:rsid w:val="00607059"/>
    <w:rsid w:val="0061217F"/>
    <w:rsid w:val="00614375"/>
    <w:rsid w:val="006200BF"/>
    <w:rsid w:val="0062095D"/>
    <w:rsid w:val="006219F8"/>
    <w:rsid w:val="006302F7"/>
    <w:rsid w:val="00636C2C"/>
    <w:rsid w:val="00646B9F"/>
    <w:rsid w:val="00651501"/>
    <w:rsid w:val="00665D70"/>
    <w:rsid w:val="006900D9"/>
    <w:rsid w:val="006A5DEB"/>
    <w:rsid w:val="006A6D64"/>
    <w:rsid w:val="006B5E74"/>
    <w:rsid w:val="006C6FB1"/>
    <w:rsid w:val="006D143C"/>
    <w:rsid w:val="006D5361"/>
    <w:rsid w:val="00705891"/>
    <w:rsid w:val="00706C16"/>
    <w:rsid w:val="00714C4C"/>
    <w:rsid w:val="00720C90"/>
    <w:rsid w:val="007340C3"/>
    <w:rsid w:val="00737A45"/>
    <w:rsid w:val="00737B66"/>
    <w:rsid w:val="007432BE"/>
    <w:rsid w:val="00744998"/>
    <w:rsid w:val="0075235A"/>
    <w:rsid w:val="00756841"/>
    <w:rsid w:val="00760B11"/>
    <w:rsid w:val="007649AB"/>
    <w:rsid w:val="007706FF"/>
    <w:rsid w:val="00771D0C"/>
    <w:rsid w:val="007833AC"/>
    <w:rsid w:val="00784DD6"/>
    <w:rsid w:val="007B268C"/>
    <w:rsid w:val="007B7171"/>
    <w:rsid w:val="007C0C0F"/>
    <w:rsid w:val="007C3DC2"/>
    <w:rsid w:val="007C5577"/>
    <w:rsid w:val="007E5497"/>
    <w:rsid w:val="007F331A"/>
    <w:rsid w:val="00806F5F"/>
    <w:rsid w:val="0080717E"/>
    <w:rsid w:val="00820278"/>
    <w:rsid w:val="008258C9"/>
    <w:rsid w:val="008268C3"/>
    <w:rsid w:val="008351A0"/>
    <w:rsid w:val="008410EA"/>
    <w:rsid w:val="00843205"/>
    <w:rsid w:val="00844AE9"/>
    <w:rsid w:val="00856C33"/>
    <w:rsid w:val="00863E64"/>
    <w:rsid w:val="00867F95"/>
    <w:rsid w:val="008747C0"/>
    <w:rsid w:val="0087716A"/>
    <w:rsid w:val="008843B6"/>
    <w:rsid w:val="00891928"/>
    <w:rsid w:val="00893EA9"/>
    <w:rsid w:val="008A3E79"/>
    <w:rsid w:val="008A446D"/>
    <w:rsid w:val="008A66A7"/>
    <w:rsid w:val="008B25F1"/>
    <w:rsid w:val="008B789F"/>
    <w:rsid w:val="008D180B"/>
    <w:rsid w:val="008D6B27"/>
    <w:rsid w:val="008D789C"/>
    <w:rsid w:val="008E6D0A"/>
    <w:rsid w:val="008F0EA7"/>
    <w:rsid w:val="008F2195"/>
    <w:rsid w:val="008F50AA"/>
    <w:rsid w:val="0092397A"/>
    <w:rsid w:val="00923EEF"/>
    <w:rsid w:val="009419F9"/>
    <w:rsid w:val="00952F14"/>
    <w:rsid w:val="0095685E"/>
    <w:rsid w:val="00961B09"/>
    <w:rsid w:val="0096308E"/>
    <w:rsid w:val="00965334"/>
    <w:rsid w:val="0097093E"/>
    <w:rsid w:val="009860EE"/>
    <w:rsid w:val="009A0DFA"/>
    <w:rsid w:val="009A1C6F"/>
    <w:rsid w:val="009B255B"/>
    <w:rsid w:val="009B2D26"/>
    <w:rsid w:val="009C3EF7"/>
    <w:rsid w:val="009C71FA"/>
    <w:rsid w:val="009C72E7"/>
    <w:rsid w:val="009C7F7E"/>
    <w:rsid w:val="009D02F3"/>
    <w:rsid w:val="009D3058"/>
    <w:rsid w:val="009D6C73"/>
    <w:rsid w:val="009E4454"/>
    <w:rsid w:val="009F3A13"/>
    <w:rsid w:val="009F61C2"/>
    <w:rsid w:val="00A01E29"/>
    <w:rsid w:val="00A035EC"/>
    <w:rsid w:val="00A065D6"/>
    <w:rsid w:val="00A122D3"/>
    <w:rsid w:val="00A14468"/>
    <w:rsid w:val="00A17F13"/>
    <w:rsid w:val="00A20739"/>
    <w:rsid w:val="00A23AF9"/>
    <w:rsid w:val="00A33C78"/>
    <w:rsid w:val="00A41C79"/>
    <w:rsid w:val="00A60E5C"/>
    <w:rsid w:val="00A862B4"/>
    <w:rsid w:val="00AB0ADB"/>
    <w:rsid w:val="00AB11FB"/>
    <w:rsid w:val="00AD2CD5"/>
    <w:rsid w:val="00AE2560"/>
    <w:rsid w:val="00AE5D68"/>
    <w:rsid w:val="00AE6883"/>
    <w:rsid w:val="00AF0560"/>
    <w:rsid w:val="00B00B02"/>
    <w:rsid w:val="00B00C0E"/>
    <w:rsid w:val="00B01B1A"/>
    <w:rsid w:val="00B032FA"/>
    <w:rsid w:val="00B0381D"/>
    <w:rsid w:val="00B17DD9"/>
    <w:rsid w:val="00B27564"/>
    <w:rsid w:val="00B323C1"/>
    <w:rsid w:val="00B348B8"/>
    <w:rsid w:val="00B44A47"/>
    <w:rsid w:val="00B52191"/>
    <w:rsid w:val="00B5261E"/>
    <w:rsid w:val="00B575F4"/>
    <w:rsid w:val="00B60247"/>
    <w:rsid w:val="00B63083"/>
    <w:rsid w:val="00B63238"/>
    <w:rsid w:val="00B72CD3"/>
    <w:rsid w:val="00B72FFF"/>
    <w:rsid w:val="00B82655"/>
    <w:rsid w:val="00BB2A2C"/>
    <w:rsid w:val="00BC3D36"/>
    <w:rsid w:val="00BD54A6"/>
    <w:rsid w:val="00BD7F72"/>
    <w:rsid w:val="00BF7425"/>
    <w:rsid w:val="00C04FB3"/>
    <w:rsid w:val="00C11D8B"/>
    <w:rsid w:val="00C15139"/>
    <w:rsid w:val="00C330EB"/>
    <w:rsid w:val="00C36C9B"/>
    <w:rsid w:val="00C4513D"/>
    <w:rsid w:val="00C50D69"/>
    <w:rsid w:val="00C5365C"/>
    <w:rsid w:val="00C57011"/>
    <w:rsid w:val="00C754BE"/>
    <w:rsid w:val="00C76B1C"/>
    <w:rsid w:val="00C925AC"/>
    <w:rsid w:val="00CB0F14"/>
    <w:rsid w:val="00CB6357"/>
    <w:rsid w:val="00CB7EF1"/>
    <w:rsid w:val="00CC1B26"/>
    <w:rsid w:val="00CD310F"/>
    <w:rsid w:val="00D21FE0"/>
    <w:rsid w:val="00D329B2"/>
    <w:rsid w:val="00D361FD"/>
    <w:rsid w:val="00D423A2"/>
    <w:rsid w:val="00D44E26"/>
    <w:rsid w:val="00D46EB7"/>
    <w:rsid w:val="00D520D8"/>
    <w:rsid w:val="00D60E23"/>
    <w:rsid w:val="00D63AC2"/>
    <w:rsid w:val="00D7383B"/>
    <w:rsid w:val="00D7788A"/>
    <w:rsid w:val="00D8743B"/>
    <w:rsid w:val="00D952D4"/>
    <w:rsid w:val="00DA00C1"/>
    <w:rsid w:val="00DA231B"/>
    <w:rsid w:val="00DB39FA"/>
    <w:rsid w:val="00DB7616"/>
    <w:rsid w:val="00DC39FC"/>
    <w:rsid w:val="00DC5C7F"/>
    <w:rsid w:val="00DC7D43"/>
    <w:rsid w:val="00DE7B09"/>
    <w:rsid w:val="00DF5254"/>
    <w:rsid w:val="00E02524"/>
    <w:rsid w:val="00E16408"/>
    <w:rsid w:val="00E20894"/>
    <w:rsid w:val="00E245AB"/>
    <w:rsid w:val="00E2764C"/>
    <w:rsid w:val="00E27F2E"/>
    <w:rsid w:val="00E33EF7"/>
    <w:rsid w:val="00E3408B"/>
    <w:rsid w:val="00E47495"/>
    <w:rsid w:val="00E50AFE"/>
    <w:rsid w:val="00E53E1C"/>
    <w:rsid w:val="00E60569"/>
    <w:rsid w:val="00E72E51"/>
    <w:rsid w:val="00E7590C"/>
    <w:rsid w:val="00E75C92"/>
    <w:rsid w:val="00E771DC"/>
    <w:rsid w:val="00E8772A"/>
    <w:rsid w:val="00E90F6B"/>
    <w:rsid w:val="00E92C27"/>
    <w:rsid w:val="00EA0E3D"/>
    <w:rsid w:val="00EB6E0A"/>
    <w:rsid w:val="00EC38A7"/>
    <w:rsid w:val="00EE1AA8"/>
    <w:rsid w:val="00EF6DC9"/>
    <w:rsid w:val="00F23FEA"/>
    <w:rsid w:val="00F25030"/>
    <w:rsid w:val="00F31EDC"/>
    <w:rsid w:val="00F325A6"/>
    <w:rsid w:val="00F462B3"/>
    <w:rsid w:val="00F46CA8"/>
    <w:rsid w:val="00F53D5E"/>
    <w:rsid w:val="00F5664F"/>
    <w:rsid w:val="00F666C4"/>
    <w:rsid w:val="00F75ACB"/>
    <w:rsid w:val="00F76AFC"/>
    <w:rsid w:val="00F957BC"/>
    <w:rsid w:val="00F95BB4"/>
    <w:rsid w:val="00FA47C0"/>
    <w:rsid w:val="00FB5DD1"/>
    <w:rsid w:val="00FC1683"/>
    <w:rsid w:val="00FC2B5D"/>
    <w:rsid w:val="00FF1449"/>
    <w:rsid w:val="00FF5F2C"/>
    <w:rsid w:val="00FF6295"/>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8A66A7"/>
    <w:pPr>
      <w:spacing w:line="240" w:lineRule="exact"/>
    </w:pPr>
    <w:rPr>
      <w:vertAlign w:val="superscript"/>
    </w:rPr>
  </w:style>
  <w:style w:type="character" w:styleId="Refdecomentario">
    <w:name w:val="annotation reference"/>
    <w:basedOn w:val="Fuentedeprrafopredeter"/>
    <w:uiPriority w:val="99"/>
    <w:semiHidden/>
    <w:unhideWhenUsed/>
    <w:rsid w:val="00B82655"/>
    <w:rPr>
      <w:sz w:val="16"/>
      <w:szCs w:val="16"/>
    </w:rPr>
  </w:style>
  <w:style w:type="paragraph" w:styleId="Textocomentario">
    <w:name w:val="annotation text"/>
    <w:basedOn w:val="Normal"/>
    <w:link w:val="TextocomentarioCar"/>
    <w:uiPriority w:val="99"/>
    <w:unhideWhenUsed/>
    <w:rsid w:val="00B82655"/>
    <w:pPr>
      <w:spacing w:line="240" w:lineRule="auto"/>
    </w:pPr>
    <w:rPr>
      <w:sz w:val="20"/>
      <w:szCs w:val="20"/>
    </w:rPr>
  </w:style>
  <w:style w:type="character" w:customStyle="1" w:styleId="TextocomentarioCar">
    <w:name w:val="Texto comentario Car"/>
    <w:basedOn w:val="Fuentedeprrafopredeter"/>
    <w:link w:val="Textocomentario"/>
    <w:uiPriority w:val="99"/>
    <w:rsid w:val="00B82655"/>
    <w:rPr>
      <w:sz w:val="20"/>
      <w:szCs w:val="20"/>
    </w:rPr>
  </w:style>
  <w:style w:type="paragraph" w:styleId="Asuntodelcomentario">
    <w:name w:val="annotation subject"/>
    <w:basedOn w:val="Textocomentario"/>
    <w:next w:val="Textocomentario"/>
    <w:link w:val="AsuntodelcomentarioCar"/>
    <w:uiPriority w:val="99"/>
    <w:semiHidden/>
    <w:unhideWhenUsed/>
    <w:rsid w:val="00B82655"/>
    <w:rPr>
      <w:b/>
      <w:bCs/>
    </w:rPr>
  </w:style>
  <w:style w:type="character" w:customStyle="1" w:styleId="AsuntodelcomentarioCar">
    <w:name w:val="Asunto del comentario Car"/>
    <w:basedOn w:val="TextocomentarioCar"/>
    <w:link w:val="Asuntodelcomentario"/>
    <w:uiPriority w:val="99"/>
    <w:semiHidden/>
    <w:rsid w:val="00B8265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aby86729@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purl.org/dc/terms/"/>
    <ds:schemaRef ds:uri="http://schemas.microsoft.com/office/2006/documentManagement/types"/>
    <ds:schemaRef ds:uri="http://purl.org/dc/dcmitype/"/>
    <ds:schemaRef ds:uri="http://schemas.openxmlformats.org/package/2006/metadata/core-properties"/>
    <ds:schemaRef ds:uri="http://schemas.microsoft.com/office/infopath/2007/PartnerControl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FD58AB8A-329B-4CCC-9542-0DFBE92042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B205F5-B76B-462A-88EC-BC0374B468C4}">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12</Pages>
  <Words>4014</Words>
  <Characters>22080</Characters>
  <Application>Microsoft Office Word</Application>
  <DocSecurity>0</DocSecurity>
  <Lines>184</Lines>
  <Paragraphs>52</Paragraphs>
  <ScaleCrop>false</ScaleCrop>
  <Company/>
  <LinksUpToDate>false</LinksUpToDate>
  <CharactersWithSpaces>26042</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3473491</vt:i4>
      </vt:variant>
      <vt:variant>
        <vt:i4>0</vt:i4>
      </vt:variant>
      <vt:variant>
        <vt:i4>0</vt:i4>
      </vt:variant>
      <vt:variant>
        <vt:i4>5</vt:i4>
      </vt:variant>
      <vt:variant>
        <vt:lpwstr>mailto:gaby86729@gmail.com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2026-01-30T16:29:00Z</dcterms:created>
  <dcterms:modified xsi:type="dcterms:W3CDTF">2026-01-30T16:29:00Z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