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EF30EE" w14:textId="77777777" w:rsidR="00352E13" w:rsidRPr="004E7E1E" w:rsidRDefault="00352E13" w:rsidP="00352E13">
      <w:pPr>
        <w:spacing w:after="0" w:line="240" w:lineRule="auto"/>
        <w:jc w:val="both"/>
        <w:rPr>
          <w:rFonts w:ascii="Verdana" w:eastAsia="Arial MT" w:hAnsi="Verdana" w:cs="Arial MT"/>
          <w:b/>
          <w:bCs/>
          <w:lang w:val="es-ES_tradnl"/>
        </w:rPr>
      </w:pPr>
      <w:bookmarkStart w:id="0" w:name="_Hlk143780582"/>
      <w:r w:rsidRPr="004E7E1E">
        <w:rPr>
          <w:rFonts w:ascii="Verdana" w:eastAsia="Arial MT" w:hAnsi="Verdana" w:cs="Arial MT"/>
          <w:b/>
          <w:bCs/>
          <w:lang w:val="es-ES_tradnl"/>
        </w:rPr>
        <w:t>PRECIOS ARTIFICIALMENTE BAJOS – Noción –</w:t>
      </w:r>
      <w:r>
        <w:rPr>
          <w:rFonts w:ascii="Verdana" w:eastAsia="Arial MT" w:hAnsi="Verdana" w:cs="Arial MT"/>
          <w:b/>
          <w:bCs/>
          <w:lang w:val="es-ES_tradnl"/>
        </w:rPr>
        <w:t xml:space="preserve"> </w:t>
      </w:r>
      <w:r w:rsidRPr="004E7E1E">
        <w:rPr>
          <w:rFonts w:ascii="Verdana" w:eastAsia="Arial MT" w:hAnsi="Verdana" w:cs="Arial MT"/>
          <w:b/>
          <w:bCs/>
          <w:lang w:val="es-ES_tradnl"/>
        </w:rPr>
        <w:t xml:space="preserve">Deber de las entidades estatales </w:t>
      </w:r>
    </w:p>
    <w:p w14:paraId="0634D881" w14:textId="77777777" w:rsidR="00352E13" w:rsidRPr="004E7E1E" w:rsidRDefault="00352E13" w:rsidP="00352E13">
      <w:pPr>
        <w:spacing w:after="0" w:line="240" w:lineRule="auto"/>
        <w:jc w:val="both"/>
        <w:rPr>
          <w:rFonts w:ascii="Verdana" w:eastAsia="Arial MT" w:hAnsi="Verdana" w:cs="Arial MT"/>
          <w:b/>
          <w:bCs/>
          <w:sz w:val="20"/>
          <w:szCs w:val="20"/>
          <w:lang w:val="es-ES_tradnl"/>
        </w:rPr>
      </w:pPr>
    </w:p>
    <w:p w14:paraId="34628FA0" w14:textId="77777777" w:rsidR="00352E13" w:rsidRPr="004E7E1E" w:rsidRDefault="00352E13" w:rsidP="00352E13">
      <w:pPr>
        <w:spacing w:after="0" w:line="240" w:lineRule="auto"/>
        <w:jc w:val="both"/>
        <w:rPr>
          <w:rFonts w:ascii="Verdana" w:eastAsia="Arial" w:hAnsi="Verdana" w:cs="Arial"/>
          <w:sz w:val="20"/>
          <w:szCs w:val="20"/>
          <w:lang w:val="es-ES" w:eastAsia="es-ES" w:bidi="es-ES"/>
        </w:rPr>
      </w:pPr>
      <w:r w:rsidRPr="004E7E1E">
        <w:rPr>
          <w:rFonts w:ascii="Verdana" w:eastAsia="Arial" w:hAnsi="Verdana" w:cs="Arial"/>
          <w:sz w:val="20"/>
          <w:szCs w:val="20"/>
          <w:lang w:val="es-ES" w:eastAsia="es-ES" w:bidi="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p>
    <w:p w14:paraId="442CC0E5" w14:textId="77777777" w:rsidR="00352E13" w:rsidRPr="004E7E1E" w:rsidRDefault="00352E13" w:rsidP="00352E13">
      <w:pPr>
        <w:spacing w:after="0" w:line="240" w:lineRule="auto"/>
        <w:jc w:val="both"/>
        <w:rPr>
          <w:rFonts w:ascii="Verdana" w:eastAsia="Arial MT" w:hAnsi="Verdana" w:cs="Arial MT"/>
          <w:bCs/>
          <w:sz w:val="20"/>
          <w:szCs w:val="20"/>
          <w:lang w:val="es-ES"/>
        </w:rPr>
      </w:pPr>
      <w:r w:rsidRPr="004E7E1E">
        <w:rPr>
          <w:rFonts w:ascii="Verdana" w:eastAsia="Arial MT" w:hAnsi="Verdana" w:cs="Arial MT"/>
          <w:bCs/>
          <w:sz w:val="20"/>
          <w:szCs w:val="20"/>
          <w:lang w:val="es-ES"/>
        </w:rPr>
        <w:t>[…]</w:t>
      </w:r>
    </w:p>
    <w:p w14:paraId="03F0EDE2" w14:textId="77777777" w:rsidR="00352E13" w:rsidRPr="004E7E1E" w:rsidRDefault="00352E13" w:rsidP="00352E13">
      <w:pPr>
        <w:spacing w:after="0" w:line="240" w:lineRule="auto"/>
        <w:jc w:val="both"/>
        <w:rPr>
          <w:rFonts w:ascii="Verdana" w:eastAsia="Calibri" w:hAnsi="Verdana" w:cs="Arial"/>
          <w:sz w:val="20"/>
          <w:szCs w:val="20"/>
          <w:lang w:val="es-ES"/>
        </w:rPr>
      </w:pPr>
      <w:r w:rsidRPr="004E7E1E">
        <w:rPr>
          <w:rFonts w:ascii="Verdana" w:eastAsia="Calibri" w:hAnsi="Verdana" w:cs="Arial"/>
          <w:sz w:val="20"/>
          <w:szCs w:val="20"/>
          <w:lang w:val="es-MX"/>
        </w:rPr>
        <w:t xml:space="preserve">Así pues, el artículo 2.2.1.1.2.2.4 ibidem, establece lo que debe hacer la entidad cuando el precio de una oferta parece artificialmente bajo, esto es: i) solicitar explicación al oferente, </w:t>
      </w:r>
      <w:proofErr w:type="spellStart"/>
      <w:r w:rsidRPr="004E7E1E">
        <w:rPr>
          <w:rFonts w:ascii="Verdana" w:eastAsia="Calibri" w:hAnsi="Verdana" w:cs="Arial"/>
          <w:sz w:val="20"/>
          <w:szCs w:val="20"/>
          <w:lang w:val="es-MX"/>
        </w:rPr>
        <w:t>ii</w:t>
      </w:r>
      <w:proofErr w:type="spellEnd"/>
      <w:r w:rsidRPr="004E7E1E">
        <w:rPr>
          <w:rFonts w:ascii="Verdana" w:eastAsia="Calibri" w:hAnsi="Verdana" w:cs="Arial"/>
          <w:sz w:val="20"/>
          <w:szCs w:val="20"/>
          <w:lang w:val="es-MX"/>
        </w:rPr>
        <w:t xml:space="preserve">) analizar las explicaciones del oferente, </w:t>
      </w:r>
      <w:proofErr w:type="spellStart"/>
      <w:r w:rsidRPr="004E7E1E">
        <w:rPr>
          <w:rFonts w:ascii="Verdana" w:eastAsia="Calibri" w:hAnsi="Verdana" w:cs="Arial"/>
          <w:sz w:val="20"/>
          <w:szCs w:val="20"/>
          <w:lang w:val="es-MX"/>
        </w:rPr>
        <w:t>iii</w:t>
      </w:r>
      <w:proofErr w:type="spellEnd"/>
      <w:r w:rsidRPr="004E7E1E">
        <w:rPr>
          <w:rFonts w:ascii="Verdana" w:eastAsia="Calibri" w:hAnsi="Verdana" w:cs="Arial"/>
          <w:sz w:val="20"/>
          <w:szCs w:val="20"/>
          <w:lang w:val="es-MX"/>
        </w:rPr>
        <w:t xml:space="preserve">) el responsable de la evaluación de las ofertas debe recomendar rechazar o continuar la evaluación de la oferta, y </w:t>
      </w:r>
      <w:proofErr w:type="spellStart"/>
      <w:r w:rsidRPr="004E7E1E">
        <w:rPr>
          <w:rFonts w:ascii="Verdana" w:eastAsia="Calibri" w:hAnsi="Verdana" w:cs="Arial"/>
          <w:sz w:val="20"/>
          <w:szCs w:val="20"/>
          <w:lang w:val="es-MX"/>
        </w:rPr>
        <w:t>iv</w:t>
      </w:r>
      <w:proofErr w:type="spellEnd"/>
      <w:r w:rsidRPr="004E7E1E">
        <w:rPr>
          <w:rFonts w:ascii="Verdana" w:eastAsia="Calibri" w:hAnsi="Verdana" w:cs="Arial"/>
          <w:sz w:val="20"/>
          <w:szCs w:val="20"/>
          <w:lang w:val="es-MX"/>
        </w:rPr>
        <w:t>) para la subasta inversa, lo anterior se debe hacer al finalizar el evento.</w:t>
      </w:r>
    </w:p>
    <w:p w14:paraId="4CE29EAA" w14:textId="77777777" w:rsidR="00352E13" w:rsidRPr="004E7E1E" w:rsidRDefault="00352E13" w:rsidP="00352E13">
      <w:pPr>
        <w:spacing w:after="0" w:line="240" w:lineRule="auto"/>
        <w:jc w:val="both"/>
        <w:rPr>
          <w:rFonts w:ascii="Verdana" w:eastAsia="Arial MT" w:hAnsi="Verdana" w:cs="Arial MT"/>
          <w:b/>
          <w:bCs/>
          <w:lang w:val="es-ES"/>
        </w:rPr>
      </w:pPr>
    </w:p>
    <w:p w14:paraId="2CEDB600" w14:textId="77777777" w:rsidR="00352E13" w:rsidRPr="004E7E1E" w:rsidRDefault="00352E13" w:rsidP="00352E13">
      <w:pPr>
        <w:spacing w:after="0" w:line="240" w:lineRule="auto"/>
        <w:jc w:val="both"/>
        <w:rPr>
          <w:rFonts w:ascii="Verdana" w:eastAsia="Arial MT" w:hAnsi="Verdana" w:cs="Arial MT"/>
          <w:b/>
          <w:bCs/>
          <w:lang w:val="es-ES_tradnl"/>
        </w:rPr>
      </w:pPr>
      <w:r w:rsidRPr="004E7E1E">
        <w:rPr>
          <w:rFonts w:ascii="Verdana" w:eastAsia="Arial MT" w:hAnsi="Verdana" w:cs="Arial MT"/>
          <w:b/>
          <w:bCs/>
          <w:lang w:val="es-ES_tradnl"/>
        </w:rPr>
        <w:t xml:space="preserve">EVALUACIÓN DE LAS OFERTAS – Finalidad – Oportunidad </w:t>
      </w:r>
    </w:p>
    <w:p w14:paraId="366BFA76" w14:textId="77777777" w:rsidR="00352E13" w:rsidRDefault="00352E13" w:rsidP="00352E13">
      <w:pPr>
        <w:spacing w:after="0" w:line="240" w:lineRule="auto"/>
        <w:jc w:val="both"/>
        <w:rPr>
          <w:rFonts w:ascii="Verdana" w:eastAsia="Calibri" w:hAnsi="Verdana" w:cs="Arial"/>
          <w:lang w:val="es-ES"/>
        </w:rPr>
      </w:pPr>
    </w:p>
    <w:p w14:paraId="67746040" w14:textId="77777777" w:rsidR="00352E13" w:rsidRPr="004E7E1E" w:rsidRDefault="00352E13" w:rsidP="00352E13">
      <w:pPr>
        <w:spacing w:after="0" w:line="240" w:lineRule="auto"/>
        <w:jc w:val="both"/>
        <w:rPr>
          <w:rFonts w:ascii="Verdana" w:eastAsia="Arial MT" w:hAnsi="Verdana" w:cs="Arial MT"/>
          <w:bCs/>
          <w:sz w:val="20"/>
          <w:lang w:val="es-MX"/>
        </w:rPr>
      </w:pPr>
      <w:r w:rsidRPr="004E7E1E">
        <w:rPr>
          <w:rFonts w:ascii="Verdana" w:eastAsia="Arial MT" w:hAnsi="Verdana" w:cs="Arial MT"/>
          <w:bCs/>
          <w:sz w:val="20"/>
          <w:lang w:val="es-ES"/>
        </w:rPr>
        <w:t>Sin embargo, debe precisarse que el análisis de los precios de una oferta se hace en la fase de evaluación del procedimiento de selección, que es la oportunidad para verificar, a través del comité evaluador</w:t>
      </w:r>
      <w:r w:rsidRPr="004E7E1E">
        <w:rPr>
          <w:rFonts w:ascii="Verdana" w:eastAsia="Arial MT" w:hAnsi="Verdana" w:cs="Arial MT"/>
          <w:bCs/>
          <w:sz w:val="20"/>
          <w:lang w:val="es-MX"/>
        </w:rPr>
        <w:t xml:space="preserve"> si se cumplen o no las reglas de los pliegos de condiciones. En efecto, el objeto de la evaluación de las 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14:paraId="769D59DA" w14:textId="77777777" w:rsidR="00352E13" w:rsidRPr="004E7E1E" w:rsidRDefault="00352E13" w:rsidP="00352E13">
      <w:pPr>
        <w:spacing w:after="0" w:line="240" w:lineRule="auto"/>
        <w:jc w:val="both"/>
        <w:rPr>
          <w:rFonts w:ascii="Verdana" w:eastAsia="Arial MT" w:hAnsi="Verdana" w:cs="Arial MT"/>
          <w:bCs/>
          <w:sz w:val="20"/>
        </w:rPr>
      </w:pPr>
    </w:p>
    <w:p w14:paraId="0D8D01E6" w14:textId="77777777" w:rsidR="00352E13" w:rsidRPr="004E7E1E" w:rsidRDefault="00352E13" w:rsidP="00352E13">
      <w:pPr>
        <w:spacing w:after="0" w:line="240" w:lineRule="auto"/>
        <w:jc w:val="both"/>
        <w:rPr>
          <w:rFonts w:ascii="Verdana" w:eastAsia="Arial MT" w:hAnsi="Verdana" w:cs="Arial MT"/>
          <w:bCs/>
          <w:sz w:val="20"/>
          <w:lang w:val="es-ES"/>
        </w:rPr>
      </w:pPr>
      <w:r w:rsidRPr="004E7E1E">
        <w:rPr>
          <w:rFonts w:ascii="Verdana" w:eastAsia="Arial MT" w:hAnsi="Verdana" w:cs="Arial MT"/>
          <w:bCs/>
          <w:sz w:val="20"/>
          <w:lang w:val="es-ES"/>
        </w:rPr>
        <w:t xml:space="preserve">En ese sentido, en la evaluación que se realiza antes de la adjudicación del contrato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del bien, obra o servicio que pretende contratarse. En ese caso, la entidad podrá identificar las ofertas con precios que parecen artificialmente bajos, y seguir el procedimiento del Decreto 1082 de 2015. </w:t>
      </w:r>
    </w:p>
    <w:p w14:paraId="758E9836" w14:textId="77777777" w:rsidR="00352E13" w:rsidRPr="004E7E1E" w:rsidRDefault="00352E13" w:rsidP="00352E13">
      <w:pPr>
        <w:spacing w:after="0" w:line="240" w:lineRule="auto"/>
        <w:jc w:val="both"/>
        <w:rPr>
          <w:rFonts w:ascii="Verdana" w:eastAsia="Arial MT" w:hAnsi="Verdana" w:cs="Arial MT"/>
          <w:b/>
          <w:bCs/>
          <w:lang w:val="es-ES"/>
        </w:rPr>
      </w:pPr>
    </w:p>
    <w:p w14:paraId="7A7250A4" w14:textId="77777777" w:rsidR="00352E13" w:rsidRPr="004E7E1E" w:rsidRDefault="00352E13" w:rsidP="00352E13">
      <w:pPr>
        <w:spacing w:after="0" w:line="240" w:lineRule="auto"/>
        <w:jc w:val="both"/>
        <w:rPr>
          <w:rFonts w:ascii="Verdana" w:eastAsia="Arial MT" w:hAnsi="Verdana" w:cs="Arial MT"/>
          <w:b/>
          <w:bCs/>
          <w:lang w:val="es-ES_tradnl"/>
        </w:rPr>
      </w:pPr>
      <w:r w:rsidRPr="004E7E1E">
        <w:rPr>
          <w:rFonts w:ascii="Verdana" w:eastAsia="Arial MT" w:hAnsi="Verdana" w:cs="Arial MT"/>
          <w:b/>
          <w:bCs/>
          <w:lang w:val="es-ES_tradnl"/>
        </w:rPr>
        <w:t xml:space="preserve">GUÍA DE OFERTAS ARTIFICIALMENTE BAJAS – Manejo </w:t>
      </w:r>
    </w:p>
    <w:p w14:paraId="0E8C9BB1" w14:textId="77777777" w:rsidR="00352E13" w:rsidRPr="004E7E1E" w:rsidRDefault="00352E13" w:rsidP="00352E13">
      <w:pPr>
        <w:spacing w:after="0" w:line="240" w:lineRule="auto"/>
        <w:jc w:val="both"/>
        <w:rPr>
          <w:rFonts w:ascii="Verdana" w:eastAsia="Arial MT" w:hAnsi="Verdana" w:cs="Arial MT"/>
          <w:bCs/>
          <w:sz w:val="20"/>
          <w:lang w:val="es-ES_tradnl"/>
        </w:rPr>
      </w:pPr>
    </w:p>
    <w:p w14:paraId="433D8F5F" w14:textId="77777777" w:rsidR="00352E13" w:rsidRPr="004E7E1E" w:rsidRDefault="00352E13" w:rsidP="00352E13">
      <w:pPr>
        <w:spacing w:after="0" w:line="240" w:lineRule="auto"/>
        <w:jc w:val="both"/>
        <w:rPr>
          <w:rFonts w:ascii="Verdana" w:eastAsia="Arial MT" w:hAnsi="Verdana" w:cs="Arial MT"/>
          <w:bCs/>
          <w:sz w:val="20"/>
          <w:lang w:val="es-ES"/>
        </w:rPr>
      </w:pPr>
      <w:r w:rsidRPr="004E7E1E">
        <w:rPr>
          <w:rFonts w:ascii="Verdana" w:eastAsia="Arial MT" w:hAnsi="Verdana" w:cs="Arial MT"/>
          <w:bCs/>
          <w:sz w:val="20"/>
          <w:lang w:val="es-ES"/>
        </w:rPr>
        <w:t xml:space="preserve">De esta forma, y con el objetivo de brindar herramientas que orienten a las Entidades Estatales en este asunto, la Agencia Nacional de Contratación Pública – Colombia Compra Eficiente el 16 de diciembre de 2024, actualizó la “Guía para el manejo de ofertas artificialmente bajas en Procesos de Contratación”, en la que se señalan no sólo las posibles causas y consecuencias de ofertas artificialmente bajas, sino que también se relaciona a modo de sugerencia dos </w:t>
      </w:r>
      <w:r>
        <w:rPr>
          <w:rFonts w:ascii="Verdana" w:eastAsia="Arial MT" w:hAnsi="Verdana" w:cs="Arial MT"/>
          <w:bCs/>
          <w:sz w:val="20"/>
          <w:lang w:val="es-ES"/>
        </w:rPr>
        <w:t>herramientas</w:t>
      </w:r>
      <w:r w:rsidRPr="004E7E1E">
        <w:rPr>
          <w:rFonts w:ascii="Verdana" w:eastAsia="Arial MT" w:hAnsi="Verdana" w:cs="Arial MT"/>
          <w:bCs/>
          <w:sz w:val="20"/>
          <w:lang w:val="es-ES"/>
        </w:rPr>
        <w:t xml:space="preserve"> que podrían aplicar las entidades para identificarlas y manejarlas. Estas son: i) la comparación absoluta y; </w:t>
      </w:r>
      <w:proofErr w:type="spellStart"/>
      <w:r w:rsidRPr="004E7E1E">
        <w:rPr>
          <w:rFonts w:ascii="Verdana" w:eastAsia="Arial MT" w:hAnsi="Verdana" w:cs="Arial MT"/>
          <w:bCs/>
          <w:sz w:val="20"/>
          <w:lang w:val="es-ES"/>
        </w:rPr>
        <w:t>ii</w:t>
      </w:r>
      <w:proofErr w:type="spellEnd"/>
      <w:r w:rsidRPr="004E7E1E">
        <w:rPr>
          <w:rFonts w:ascii="Verdana" w:eastAsia="Arial MT" w:hAnsi="Verdana" w:cs="Arial MT"/>
          <w:bCs/>
          <w:sz w:val="20"/>
          <w:lang w:val="es-ES"/>
        </w:rPr>
        <w:t xml:space="preserve">) la comparación relativa. </w:t>
      </w:r>
    </w:p>
    <w:p w14:paraId="2BB20096" w14:textId="77777777" w:rsidR="00352E13" w:rsidRDefault="00352E13" w:rsidP="00352E13">
      <w:pPr>
        <w:spacing w:after="0"/>
        <w:rPr>
          <w:rFonts w:ascii="Verdana" w:eastAsia="Arial MT" w:hAnsi="Verdana" w:cs="Arial MT"/>
          <w:bCs/>
          <w:sz w:val="20"/>
          <w:lang w:val="es-ES"/>
        </w:rPr>
      </w:pPr>
      <w:r>
        <w:rPr>
          <w:rFonts w:ascii="Verdana" w:eastAsia="Arial MT" w:hAnsi="Verdana" w:cs="Arial MT"/>
          <w:bCs/>
          <w:sz w:val="20"/>
          <w:lang w:val="es-ES"/>
        </w:rPr>
        <w:t>(…)</w:t>
      </w:r>
    </w:p>
    <w:p w14:paraId="66CD427F" w14:textId="77777777" w:rsidR="00352E13" w:rsidRDefault="00352E13" w:rsidP="00352E13">
      <w:pPr>
        <w:spacing w:after="0" w:line="240" w:lineRule="auto"/>
        <w:jc w:val="both"/>
        <w:rPr>
          <w:rFonts w:ascii="Verdana" w:eastAsia="Arial MT" w:hAnsi="Verdana" w:cs="Arial MT"/>
          <w:bCs/>
          <w:sz w:val="20"/>
          <w:lang w:val="es-ES"/>
        </w:rPr>
      </w:pPr>
      <w:r w:rsidRPr="00462F0B">
        <w:rPr>
          <w:rFonts w:ascii="Verdana" w:eastAsia="Arial MT" w:hAnsi="Verdana" w:cs="Arial MT"/>
          <w:bCs/>
          <w:sz w:val="20"/>
          <w:lang w:val="es-ES"/>
        </w:rPr>
        <w:t xml:space="preserve">En la Guía de Colombia Compra Eficiente, existen dos (2) “herramientas” que se deben aplicar a todas las ofertas a evaluar, ya que así lo establece la Guía, sin excepciones. </w:t>
      </w:r>
      <w:r w:rsidRPr="00462F0B">
        <w:rPr>
          <w:rFonts w:ascii="Verdana" w:eastAsia="Arial MT" w:hAnsi="Verdana" w:cs="Arial MT"/>
          <w:bCs/>
          <w:sz w:val="20"/>
          <w:lang w:val="es-ES"/>
        </w:rPr>
        <w:lastRenderedPageBreak/>
        <w:t>Pero para identificar la oferta con precios artificialmente bajos no siempre se requieren las demás ofertas, como en la comparación absoluta, donde cada oferta se analiza respecto del valor señalado en el estudio del sector, sin incluir las otras ofertas del procedimiento. Por otra parte, en la comparación relativa, que se sugiere utilizarla cuando se reciben 5 o más ofertas, la Guía dispone que: “Con el fin de identificar ofertas que puedan ser consideradas cómo artificialmente bajas, la Entidad utilizará la siguiente metodología para establecer un valor mínimo aceptable: a. Primero deberá tomar el conjunto de ofertas a evaluar (…)”</w:t>
      </w:r>
      <w:r w:rsidRPr="00456021">
        <w:rPr>
          <w:rFonts w:ascii="Verdana" w:eastAsia="Arial MT" w:hAnsi="Verdana" w:cs="Arial MT"/>
          <w:bCs/>
          <w:sz w:val="20"/>
          <w:lang w:val="es-ES"/>
        </w:rPr>
        <w:t>.</w:t>
      </w:r>
    </w:p>
    <w:p w14:paraId="6B7CF154" w14:textId="77777777" w:rsidR="00352E13" w:rsidRPr="00456021" w:rsidRDefault="00352E13" w:rsidP="00352E13">
      <w:pPr>
        <w:spacing w:after="0" w:line="240" w:lineRule="auto"/>
        <w:jc w:val="both"/>
        <w:rPr>
          <w:rFonts w:ascii="Verdana" w:eastAsia="Arial MT" w:hAnsi="Verdana" w:cs="Arial MT"/>
          <w:bCs/>
          <w:sz w:val="20"/>
          <w:lang w:val="es-ES"/>
        </w:rPr>
      </w:pPr>
    </w:p>
    <w:p w14:paraId="5CE32BA1" w14:textId="77777777" w:rsidR="00C2627C" w:rsidRDefault="00C2627C" w:rsidP="00C2627C">
      <w:pPr>
        <w:spacing w:after="0" w:line="240" w:lineRule="auto"/>
        <w:jc w:val="both"/>
        <w:rPr>
          <w:rFonts w:ascii="Verdana" w:eastAsia="Arial MT" w:hAnsi="Verdana" w:cs="Arial MT"/>
          <w:b/>
          <w:bCs/>
          <w:lang w:val="es-ES_tradnl"/>
        </w:rPr>
      </w:pPr>
      <w:r w:rsidRPr="00692094">
        <w:rPr>
          <w:rFonts w:ascii="Verdana" w:eastAsia="Arial MT" w:hAnsi="Verdana" w:cs="Arial MT"/>
          <w:b/>
          <w:bCs/>
          <w:lang w:val="es-ES_tradnl"/>
        </w:rPr>
        <w:t>DOCUMENTOS TIPO – Generalidades – Obligatoriedad</w:t>
      </w:r>
    </w:p>
    <w:p w14:paraId="3B07FD1A" w14:textId="77777777" w:rsidR="00C2627C" w:rsidRPr="00692094" w:rsidRDefault="00C2627C" w:rsidP="00692094">
      <w:pPr>
        <w:spacing w:after="0" w:line="240" w:lineRule="auto"/>
        <w:jc w:val="both"/>
        <w:rPr>
          <w:rFonts w:ascii="Verdana" w:eastAsia="Arial MT" w:hAnsi="Verdana" w:cs="Arial MT"/>
          <w:b/>
          <w:bCs/>
          <w:lang w:val="es-ES_tradnl"/>
        </w:rPr>
      </w:pPr>
    </w:p>
    <w:p w14:paraId="120DAEAF" w14:textId="77777777" w:rsidR="00C2627C" w:rsidRPr="00692094" w:rsidRDefault="00C2627C" w:rsidP="00692094">
      <w:pPr>
        <w:spacing w:after="0" w:line="240" w:lineRule="auto"/>
        <w:jc w:val="both"/>
        <w:rPr>
          <w:rFonts w:ascii="Verdana" w:eastAsia="Arial MT" w:hAnsi="Verdana" w:cs="Arial MT"/>
          <w:bCs/>
          <w:sz w:val="20"/>
          <w:lang w:val="es-ES"/>
        </w:rPr>
      </w:pPr>
      <w:r w:rsidRPr="00692094">
        <w:rPr>
          <w:rFonts w:ascii="Verdana" w:eastAsia="Arial MT" w:hAnsi="Verdana" w:cs="Arial MT"/>
          <w:bCs/>
          <w:sz w:val="20"/>
          <w:lang w:val="es-ES"/>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21050705" w14:textId="77777777" w:rsidR="00C2627C" w:rsidRPr="00C2627C" w:rsidRDefault="00C2627C" w:rsidP="00C2627C">
      <w:pPr>
        <w:spacing w:after="0"/>
        <w:rPr>
          <w:rFonts w:ascii="Verdana" w:hAnsi="Verdana"/>
        </w:rPr>
      </w:pPr>
    </w:p>
    <w:p w14:paraId="3FDA0929" w14:textId="77777777" w:rsidR="00C2627C" w:rsidRPr="00692094" w:rsidRDefault="00C2627C" w:rsidP="00692094">
      <w:pPr>
        <w:spacing w:after="0" w:line="240" w:lineRule="auto"/>
        <w:jc w:val="both"/>
        <w:rPr>
          <w:rFonts w:ascii="Verdana" w:eastAsia="Arial MT" w:hAnsi="Verdana" w:cs="Arial MT"/>
          <w:b/>
          <w:bCs/>
          <w:lang w:val="es-ES_tradnl"/>
        </w:rPr>
      </w:pPr>
      <w:r w:rsidRPr="00692094">
        <w:rPr>
          <w:rFonts w:ascii="Verdana" w:eastAsia="Arial MT" w:hAnsi="Verdana" w:cs="Arial MT"/>
          <w:b/>
          <w:bCs/>
          <w:lang w:val="es-ES_tradnl"/>
        </w:rPr>
        <w:t xml:space="preserve">DOCUMENTOS TIPO – Infraestructura de transporte </w:t>
      </w:r>
    </w:p>
    <w:p w14:paraId="31F33855" w14:textId="58A4A851" w:rsidR="00C2627C" w:rsidRPr="00692094" w:rsidRDefault="00C2627C" w:rsidP="00692094">
      <w:pPr>
        <w:spacing w:after="0" w:line="240" w:lineRule="auto"/>
        <w:jc w:val="both"/>
        <w:rPr>
          <w:rFonts w:ascii="Verdana" w:eastAsia="Arial MT" w:hAnsi="Verdana" w:cs="Arial MT"/>
          <w:b/>
          <w:bCs/>
          <w:lang w:val="es-ES_tradnl"/>
        </w:rPr>
      </w:pPr>
      <w:r w:rsidRPr="00692094">
        <w:rPr>
          <w:rFonts w:ascii="Verdana" w:eastAsia="Arial MT" w:hAnsi="Verdana" w:cs="Arial MT"/>
          <w:b/>
          <w:bCs/>
          <w:lang w:val="es-ES_tradnl"/>
        </w:rPr>
        <w:t>– DETERMINACIÓN DEL MÉTODO PARA LA PONDERACIÓN DE LA PROPUESTA ECONÓMICA</w:t>
      </w:r>
    </w:p>
    <w:p w14:paraId="610AE2CA" w14:textId="77777777" w:rsidR="00C2627C" w:rsidRPr="00C2627C" w:rsidRDefault="00C2627C" w:rsidP="00C2627C">
      <w:pPr>
        <w:spacing w:after="0"/>
        <w:rPr>
          <w:rFonts w:ascii="Verdana" w:hAnsi="Verdana"/>
        </w:rPr>
      </w:pPr>
    </w:p>
    <w:p w14:paraId="5AC4D6AA" w14:textId="77777777" w:rsidR="00C2627C" w:rsidRPr="00692094" w:rsidRDefault="00C2627C" w:rsidP="00692094">
      <w:pPr>
        <w:spacing w:after="0" w:line="240" w:lineRule="auto"/>
        <w:jc w:val="both"/>
        <w:rPr>
          <w:rFonts w:ascii="Verdana" w:eastAsia="Arial MT" w:hAnsi="Verdana" w:cs="Arial MT"/>
          <w:bCs/>
          <w:sz w:val="20"/>
          <w:lang w:val="es-ES"/>
        </w:rPr>
      </w:pPr>
      <w:r w:rsidRPr="00692094">
        <w:rPr>
          <w:rFonts w:ascii="Verdana" w:eastAsia="Arial MT" w:hAnsi="Verdana" w:cs="Arial MT"/>
          <w:bCs/>
          <w:sz w:val="20"/>
          <w:lang w:val="es-ES"/>
        </w:rPr>
        <w:t>Para determinar el método de ponderación, la entidad tomará los centavos de la Tasa de Cambio Representativa del Mercado (TRM), certificada por la Superintendencia Financiera de Colombia (en su sitio web: </w:t>
      </w:r>
      <w:hyperlink r:id="rId10" w:history="1">
        <w:r w:rsidRPr="00692094">
          <w:rPr>
            <w:rFonts w:eastAsia="Arial MT" w:cs="Arial MT"/>
            <w:sz w:val="20"/>
            <w:lang w:val="es-ES"/>
          </w:rPr>
          <w:t>https://www.superfinanciera.gov.co/publicacion/60819</w:t>
        </w:r>
      </w:hyperlink>
      <w:r w:rsidRPr="00692094">
        <w:rPr>
          <w:rFonts w:ascii="Verdana" w:eastAsia="Arial MT" w:hAnsi="Verdana" w:cs="Arial MT"/>
          <w:bCs/>
          <w:sz w:val="20"/>
          <w:lang w:val="es-ES"/>
        </w:rPr>
        <w:t>). La TRM que la entidad utilizará para determinar el método de ponderación será la que rija el segundo día hábil después de finalizado el periodo de traslado del informe de evaluación. Esto es, la que la Superintendencia publique en horas de la tarde del día hábil siguiente a la fecha efectiva de finalizado el periodo de traslado del informe de evaluación.</w:t>
      </w:r>
    </w:p>
    <w:p w14:paraId="334312A3" w14:textId="77777777" w:rsidR="00352E13" w:rsidRDefault="00352E13" w:rsidP="00352E13">
      <w:pPr>
        <w:spacing w:after="0"/>
        <w:rPr>
          <w:rFonts w:ascii="Verdana" w:hAnsi="Verdana"/>
        </w:rPr>
      </w:pPr>
    </w:p>
    <w:p w14:paraId="2F2EB914" w14:textId="77777777" w:rsidR="00352E13" w:rsidRDefault="00352E13" w:rsidP="00352E13">
      <w:pPr>
        <w:spacing w:after="0"/>
        <w:rPr>
          <w:rFonts w:ascii="Verdana" w:hAnsi="Verdana"/>
        </w:rPr>
      </w:pPr>
    </w:p>
    <w:p w14:paraId="2E7F0125" w14:textId="77777777" w:rsidR="00352E13" w:rsidRDefault="00352E13" w:rsidP="00352E13">
      <w:pPr>
        <w:spacing w:after="0"/>
        <w:rPr>
          <w:rFonts w:ascii="Verdana" w:hAnsi="Verdana"/>
        </w:rPr>
      </w:pPr>
    </w:p>
    <w:p w14:paraId="595BA9DA" w14:textId="77777777" w:rsidR="00352E13" w:rsidRDefault="00352E13" w:rsidP="00352E13">
      <w:pPr>
        <w:spacing w:after="0"/>
        <w:rPr>
          <w:rFonts w:ascii="Verdana" w:hAnsi="Verdana"/>
        </w:rPr>
      </w:pPr>
    </w:p>
    <w:p w14:paraId="2C8FFFFD" w14:textId="77777777" w:rsidR="00352E13" w:rsidRDefault="00352E13" w:rsidP="00352E13">
      <w:pPr>
        <w:spacing w:after="0"/>
        <w:rPr>
          <w:rFonts w:ascii="Verdana" w:hAnsi="Verdana"/>
        </w:rPr>
      </w:pPr>
    </w:p>
    <w:p w14:paraId="2B5C670D" w14:textId="77777777" w:rsidR="00352E13" w:rsidRDefault="00352E13" w:rsidP="00352E13">
      <w:pPr>
        <w:spacing w:after="0"/>
        <w:rPr>
          <w:rFonts w:ascii="Verdana" w:hAnsi="Verdana"/>
        </w:rPr>
      </w:pPr>
    </w:p>
    <w:p w14:paraId="12EA24E8" w14:textId="77777777" w:rsidR="00352E13" w:rsidRDefault="00352E13" w:rsidP="00352E13">
      <w:pPr>
        <w:spacing w:after="0"/>
        <w:rPr>
          <w:rFonts w:ascii="Verdana" w:hAnsi="Verdana"/>
        </w:rPr>
      </w:pPr>
    </w:p>
    <w:p w14:paraId="3B96A130" w14:textId="77777777" w:rsidR="00352E13" w:rsidRDefault="00352E13" w:rsidP="00352E13">
      <w:pPr>
        <w:spacing w:after="0"/>
        <w:rPr>
          <w:rFonts w:ascii="Verdana" w:hAnsi="Verdana"/>
        </w:rPr>
      </w:pPr>
    </w:p>
    <w:p w14:paraId="1CB27E2A" w14:textId="77777777" w:rsidR="00352E13" w:rsidRDefault="00352E13" w:rsidP="00352E13">
      <w:pPr>
        <w:spacing w:after="0"/>
        <w:rPr>
          <w:rFonts w:ascii="Verdana" w:hAnsi="Verdana"/>
        </w:rPr>
      </w:pPr>
    </w:p>
    <w:p w14:paraId="069ECEED" w14:textId="77777777" w:rsidR="00352E13" w:rsidRDefault="00352E13" w:rsidP="00352E13">
      <w:pPr>
        <w:spacing w:after="0"/>
        <w:rPr>
          <w:rFonts w:ascii="Verdana" w:hAnsi="Verdana"/>
        </w:rPr>
      </w:pPr>
    </w:p>
    <w:p w14:paraId="5AD68C2C" w14:textId="77777777" w:rsidR="00472B43" w:rsidRDefault="00472B43" w:rsidP="00352E13">
      <w:pPr>
        <w:spacing w:after="0" w:line="240" w:lineRule="auto"/>
        <w:jc w:val="both"/>
        <w:rPr>
          <w:rFonts w:ascii="Verdana" w:eastAsia="Geomanist Light" w:hAnsi="Verdana" w:cs="Arial"/>
          <w:color w:val="000000" w:themeColor="text1"/>
        </w:rPr>
      </w:pPr>
    </w:p>
    <w:p w14:paraId="0F5B5A8C" w14:textId="77777777" w:rsidR="00472B43" w:rsidRDefault="00472B43" w:rsidP="00352E13">
      <w:pPr>
        <w:spacing w:after="0" w:line="240" w:lineRule="auto"/>
        <w:jc w:val="both"/>
        <w:rPr>
          <w:rFonts w:ascii="Verdana" w:eastAsia="Geomanist Light" w:hAnsi="Verdana" w:cs="Arial"/>
          <w:color w:val="000000" w:themeColor="text1"/>
        </w:rPr>
      </w:pPr>
    </w:p>
    <w:p w14:paraId="32F7E51F" w14:textId="77777777" w:rsidR="00472B43" w:rsidRDefault="00472B43" w:rsidP="00352E13">
      <w:pPr>
        <w:spacing w:after="0" w:line="240" w:lineRule="auto"/>
        <w:jc w:val="both"/>
        <w:rPr>
          <w:rFonts w:ascii="Verdana" w:eastAsia="Geomanist Light" w:hAnsi="Verdana" w:cs="Arial"/>
          <w:color w:val="000000" w:themeColor="text1"/>
        </w:rPr>
      </w:pPr>
    </w:p>
    <w:p w14:paraId="6D45B37C" w14:textId="4DFFAC5C" w:rsidR="00352E13" w:rsidRDefault="00352E13" w:rsidP="00352E13">
      <w:pPr>
        <w:spacing w:after="0" w:line="240" w:lineRule="auto"/>
        <w:jc w:val="both"/>
        <w:rPr>
          <w:rFonts w:ascii="Verdana" w:eastAsia="Geomanist Light" w:hAnsi="Verdana" w:cs="Arial"/>
          <w:color w:val="000000" w:themeColor="text1"/>
        </w:rPr>
      </w:pPr>
      <w:r w:rsidRPr="00470DD3">
        <w:rPr>
          <w:rFonts w:ascii="Verdana" w:eastAsia="Geomanist Light" w:hAnsi="Verdana" w:cs="Arial"/>
          <w:color w:val="000000" w:themeColor="text1"/>
        </w:rPr>
        <w:lastRenderedPageBreak/>
        <w:t xml:space="preserve">Bogotá D.C., </w:t>
      </w:r>
      <w:r w:rsidR="00F9094D">
        <w:rPr>
          <w:rFonts w:ascii="Verdana" w:eastAsia="Geomanist Light" w:hAnsi="Verdana" w:cs="Arial"/>
          <w:color w:val="000000" w:themeColor="text1"/>
        </w:rPr>
        <w:t>21 de enero de 2026</w:t>
      </w:r>
    </w:p>
    <w:p w14:paraId="502DC134" w14:textId="47942858" w:rsidR="00F9094D" w:rsidRPr="00470DD3" w:rsidRDefault="00F9094D" w:rsidP="00F9094D">
      <w:pPr>
        <w:spacing w:after="0" w:line="240" w:lineRule="auto"/>
        <w:jc w:val="right"/>
        <w:rPr>
          <w:rFonts w:ascii="Verdana" w:eastAsia="Calibri" w:hAnsi="Verdana" w:cs="Arial"/>
          <w:color w:val="000000"/>
        </w:rPr>
      </w:pPr>
    </w:p>
    <w:p w14:paraId="26039CA0" w14:textId="32AD6F6B" w:rsidR="00352E13" w:rsidRPr="00470DD3" w:rsidRDefault="00352E13" w:rsidP="00352E13">
      <w:pPr>
        <w:spacing w:after="0" w:line="240" w:lineRule="auto"/>
        <w:jc w:val="both"/>
        <w:rPr>
          <w:rFonts w:ascii="Verdana" w:eastAsia="Times New Roman" w:hAnsi="Verdana" w:cs="Arial"/>
          <w:noProof/>
          <w:lang w:eastAsia="es-ES_tradnl"/>
        </w:rPr>
      </w:pPr>
    </w:p>
    <w:p w14:paraId="739C7446" w14:textId="19DC9C27" w:rsidR="00352E13" w:rsidRPr="00955976" w:rsidRDefault="006A24A7" w:rsidP="00352E13">
      <w:pPr>
        <w:spacing w:after="0"/>
        <w:rPr>
          <w:rFonts w:ascii="Verdana" w:hAnsi="Verdana"/>
          <w:lang w:val="es-ES_tradnl"/>
        </w:rPr>
      </w:pPr>
      <w:r w:rsidRPr="00F9094D">
        <w:rPr>
          <w:rFonts w:ascii="Verdana" w:eastAsia="Calibri" w:hAnsi="Verdana" w:cs="Arial"/>
          <w:noProof/>
          <w:color w:val="000000"/>
        </w:rPr>
        <w:drawing>
          <wp:anchor distT="0" distB="0" distL="114300" distR="114300" simplePos="0" relativeHeight="251658240" behindDoc="0" locked="0" layoutInCell="1" allowOverlap="1" wp14:anchorId="7D6BC166" wp14:editId="667C9A5A">
            <wp:simplePos x="0" y="0"/>
            <wp:positionH relativeFrom="column">
              <wp:posOffset>3149600</wp:posOffset>
            </wp:positionH>
            <wp:positionV relativeFrom="paragraph">
              <wp:posOffset>56515</wp:posOffset>
            </wp:positionV>
            <wp:extent cx="2455545" cy="821690"/>
            <wp:effectExtent l="0" t="0" r="1905" b="0"/>
            <wp:wrapSquare wrapText="bothSides"/>
            <wp:docPr id="7737090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70900"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455545" cy="821690"/>
                    </a:xfrm>
                    <a:prstGeom prst="rect">
                      <a:avLst/>
                    </a:prstGeom>
                  </pic:spPr>
                </pic:pic>
              </a:graphicData>
            </a:graphic>
            <wp14:sizeRelH relativeFrom="margin">
              <wp14:pctWidth>0</wp14:pctWidth>
            </wp14:sizeRelH>
            <wp14:sizeRelV relativeFrom="margin">
              <wp14:pctHeight>0</wp14:pctHeight>
            </wp14:sizeRelV>
          </wp:anchor>
        </w:drawing>
      </w:r>
    </w:p>
    <w:p w14:paraId="54258C94" w14:textId="77777777" w:rsidR="00352E13" w:rsidRPr="005E5B81" w:rsidRDefault="00352E13" w:rsidP="00352E13">
      <w:pPr>
        <w:spacing w:after="0" w:line="240" w:lineRule="auto"/>
        <w:jc w:val="both"/>
        <w:rPr>
          <w:rFonts w:ascii="Verdana" w:hAnsi="Verdana" w:cs="Arial"/>
          <w:bCs/>
          <w:lang w:val="es-ES" w:eastAsia="es-ES" w:bidi="es-ES"/>
        </w:rPr>
      </w:pPr>
    </w:p>
    <w:p w14:paraId="3F8EDA04" w14:textId="77777777" w:rsidR="00352E13" w:rsidRPr="005E5B81" w:rsidRDefault="00352E13" w:rsidP="00352E13">
      <w:pPr>
        <w:widowControl w:val="0"/>
        <w:autoSpaceDE w:val="0"/>
        <w:autoSpaceDN w:val="0"/>
        <w:spacing w:after="0" w:line="266" w:lineRule="exact"/>
        <w:rPr>
          <w:rFonts w:ascii="Verdana" w:eastAsia="Verdana" w:hAnsi="Verdana" w:cs="Verdana"/>
          <w:lang w:val="es-ES"/>
        </w:rPr>
      </w:pPr>
      <w:r w:rsidRPr="005E5B81">
        <w:rPr>
          <w:rFonts w:ascii="Verdana" w:eastAsia="Verdana" w:hAnsi="Verdana" w:cs="Verdana"/>
          <w:spacing w:val="-2"/>
          <w:lang w:val="es-ES"/>
        </w:rPr>
        <w:t>Señor</w:t>
      </w:r>
    </w:p>
    <w:p w14:paraId="664E9388" w14:textId="77777777" w:rsidR="00352E13" w:rsidRPr="00A4183D" w:rsidRDefault="00352E13" w:rsidP="00352E13">
      <w:pPr>
        <w:spacing w:after="0" w:line="240" w:lineRule="auto"/>
        <w:jc w:val="both"/>
        <w:rPr>
          <w:rFonts w:ascii="Verdana" w:hAnsi="Verdana" w:cs="Arial"/>
          <w:b/>
          <w:bCs/>
          <w:lang w:val="es-MX" w:eastAsia="es-ES" w:bidi="es-ES"/>
        </w:rPr>
      </w:pPr>
      <w:r w:rsidRPr="00A4183D">
        <w:rPr>
          <w:rFonts w:ascii="Verdana" w:hAnsi="Verdana" w:cs="Arial"/>
          <w:b/>
          <w:bCs/>
          <w:lang w:val="es-MX" w:eastAsia="es-ES" w:bidi="es-ES"/>
        </w:rPr>
        <w:t>Gabriel Camilo Benavides Pantoja</w:t>
      </w:r>
    </w:p>
    <w:p w14:paraId="6F7EBE91" w14:textId="77777777" w:rsidR="00352E13" w:rsidRPr="00A4183D" w:rsidRDefault="00352E13" w:rsidP="00352E13">
      <w:pPr>
        <w:widowControl w:val="0"/>
        <w:autoSpaceDE w:val="0"/>
        <w:autoSpaceDN w:val="0"/>
        <w:spacing w:before="5" w:after="0" w:line="237" w:lineRule="auto"/>
        <w:ind w:right="5055"/>
        <w:rPr>
          <w:rFonts w:ascii="Verdana" w:hAnsi="Verdana"/>
          <w:bCs/>
        </w:rPr>
      </w:pPr>
      <w:hyperlink r:id="rId12" w:history="1">
        <w:r w:rsidRPr="00A4183D">
          <w:rPr>
            <w:rStyle w:val="Hipervnculo"/>
            <w:rFonts w:ascii="Verdana" w:hAnsi="Verdana"/>
            <w:bCs/>
          </w:rPr>
          <w:t>gabriel-1578@hotmail.com</w:t>
        </w:r>
      </w:hyperlink>
    </w:p>
    <w:p w14:paraId="6C61ABAC" w14:textId="77777777" w:rsidR="00352E13" w:rsidRPr="005E5B81" w:rsidRDefault="00352E13" w:rsidP="00352E13">
      <w:pPr>
        <w:widowControl w:val="0"/>
        <w:autoSpaceDE w:val="0"/>
        <w:autoSpaceDN w:val="0"/>
        <w:spacing w:before="5" w:after="0" w:line="237" w:lineRule="auto"/>
        <w:ind w:right="5055"/>
        <w:rPr>
          <w:rFonts w:ascii="Verdana" w:eastAsia="Verdana" w:hAnsi="Verdana" w:cs="Verdana"/>
          <w:lang w:val="es-ES"/>
        </w:rPr>
      </w:pPr>
      <w:r>
        <w:rPr>
          <w:rFonts w:ascii="Verdana" w:eastAsia="Verdana" w:hAnsi="Verdana" w:cs="Verdana"/>
          <w:lang w:val="es-ES"/>
        </w:rPr>
        <w:t>Ciudad</w:t>
      </w:r>
    </w:p>
    <w:p w14:paraId="7A03CE02" w14:textId="77777777" w:rsidR="00352E13" w:rsidRPr="005E5B81" w:rsidRDefault="00352E13" w:rsidP="00352E13">
      <w:pPr>
        <w:spacing w:after="0" w:line="240" w:lineRule="auto"/>
        <w:jc w:val="both"/>
        <w:rPr>
          <w:rFonts w:ascii="Verdana" w:hAnsi="Verdana" w:cs="Arial"/>
          <w:b/>
          <w:bCs/>
          <w:lang w:val="es-ES_tradnl" w:eastAsia="es-ES" w:bidi="es-ES"/>
        </w:rPr>
      </w:pPr>
    </w:p>
    <w:p w14:paraId="7F030B8C" w14:textId="77777777" w:rsidR="00352E13" w:rsidRPr="005E5B81" w:rsidRDefault="00352E13" w:rsidP="00352E13">
      <w:pPr>
        <w:spacing w:after="0" w:line="240" w:lineRule="auto"/>
        <w:jc w:val="both"/>
        <w:rPr>
          <w:rFonts w:ascii="Verdana" w:hAnsi="Verdana" w:cs="Arial"/>
          <w:b/>
          <w:bCs/>
          <w:lang w:val="es-ES_tradnl" w:eastAsia="es-ES" w:bidi="es-ES"/>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352E13" w:rsidRPr="005E5B81" w14:paraId="1FF864C0" w14:textId="77777777" w:rsidTr="00472B43">
        <w:trPr>
          <w:trHeight w:val="463"/>
        </w:trPr>
        <w:tc>
          <w:tcPr>
            <w:tcW w:w="2689" w:type="dxa"/>
          </w:tcPr>
          <w:p w14:paraId="32DEFE8F" w14:textId="77777777" w:rsidR="00352E13" w:rsidRPr="005E5B81" w:rsidRDefault="00352E13" w:rsidP="00472B43">
            <w:pPr>
              <w:jc w:val="both"/>
              <w:rPr>
                <w:rFonts w:ascii="Verdana" w:hAnsi="Verdana" w:cs="Arial"/>
                <w:b/>
                <w:bCs/>
                <w:lang w:val="es-ES_tradnl" w:eastAsia="es-ES" w:bidi="es-ES"/>
              </w:rPr>
            </w:pPr>
          </w:p>
        </w:tc>
        <w:tc>
          <w:tcPr>
            <w:tcW w:w="6242" w:type="dxa"/>
          </w:tcPr>
          <w:p w14:paraId="2FD881CD" w14:textId="77777777" w:rsidR="00352E13" w:rsidRPr="005E5B81" w:rsidRDefault="00352E13" w:rsidP="00472B43">
            <w:pPr>
              <w:jc w:val="both"/>
              <w:rPr>
                <w:rFonts w:ascii="Verdana" w:hAnsi="Verdana" w:cs="Arial"/>
                <w:b/>
                <w:bCs/>
                <w:lang w:val="es-MX" w:eastAsia="es-ES" w:bidi="es-ES"/>
              </w:rPr>
            </w:pPr>
            <w:r w:rsidRPr="005E5B81">
              <w:rPr>
                <w:rFonts w:ascii="Verdana" w:hAnsi="Verdana" w:cs="Arial"/>
                <w:b/>
                <w:bCs/>
                <w:lang w:val="es-MX" w:eastAsia="es-ES" w:bidi="es-ES"/>
              </w:rPr>
              <w:t>Concepto C- 1</w:t>
            </w:r>
            <w:r>
              <w:rPr>
                <w:rFonts w:ascii="Verdana" w:hAnsi="Verdana" w:cs="Arial"/>
                <w:b/>
                <w:bCs/>
                <w:lang w:val="es-MX" w:eastAsia="es-ES" w:bidi="es-ES"/>
              </w:rPr>
              <w:t>846</w:t>
            </w:r>
            <w:r w:rsidRPr="005E5B81">
              <w:rPr>
                <w:rFonts w:ascii="Verdana" w:hAnsi="Verdana" w:cs="Arial"/>
                <w:b/>
                <w:bCs/>
                <w:lang w:val="es-MX" w:eastAsia="es-ES" w:bidi="es-ES"/>
              </w:rPr>
              <w:t xml:space="preserve"> de 2025</w:t>
            </w:r>
          </w:p>
        </w:tc>
      </w:tr>
      <w:tr w:rsidR="00352E13" w:rsidRPr="005E5B81" w14:paraId="3AE5BB93" w14:textId="77777777" w:rsidTr="00472B43">
        <w:trPr>
          <w:trHeight w:val="884"/>
        </w:trPr>
        <w:tc>
          <w:tcPr>
            <w:tcW w:w="2689" w:type="dxa"/>
          </w:tcPr>
          <w:p w14:paraId="173DD3F9" w14:textId="77777777" w:rsidR="00352E13" w:rsidRPr="005E5B81" w:rsidRDefault="00352E13" w:rsidP="00472B43">
            <w:pPr>
              <w:spacing w:line="276" w:lineRule="auto"/>
              <w:jc w:val="both"/>
              <w:rPr>
                <w:rFonts w:ascii="Verdana" w:hAnsi="Verdana" w:cs="Arial"/>
                <w:b/>
                <w:bCs/>
                <w:lang w:val="es-MX" w:eastAsia="es-ES" w:bidi="es-ES"/>
              </w:rPr>
            </w:pPr>
            <w:r w:rsidRPr="005E5B81">
              <w:rPr>
                <w:rFonts w:ascii="Verdana" w:hAnsi="Verdana" w:cs="Arial"/>
                <w:b/>
                <w:bCs/>
                <w:lang w:val="es-MX" w:eastAsia="es-ES" w:bidi="es-ES"/>
              </w:rPr>
              <w:t xml:space="preserve">Temas:                   </w:t>
            </w:r>
          </w:p>
        </w:tc>
        <w:tc>
          <w:tcPr>
            <w:tcW w:w="6242" w:type="dxa"/>
          </w:tcPr>
          <w:p w14:paraId="64355B9D" w14:textId="77777777" w:rsidR="00C2627C" w:rsidRPr="00C2627C" w:rsidRDefault="00352E13" w:rsidP="00C2627C">
            <w:pPr>
              <w:spacing w:line="276" w:lineRule="auto"/>
              <w:jc w:val="both"/>
              <w:rPr>
                <w:rFonts w:ascii="Verdana" w:eastAsia="Arial MT" w:hAnsi="Verdana" w:cs="Arial MT"/>
                <w:bCs/>
                <w:lang w:val="es-ES_tradnl"/>
              </w:rPr>
            </w:pPr>
            <w:r w:rsidRPr="00FF383E">
              <w:rPr>
                <w:rFonts w:ascii="Verdana" w:eastAsia="Arial MT" w:hAnsi="Verdana" w:cs="Arial MT"/>
                <w:bCs/>
                <w:lang w:val="es-ES_tradnl"/>
              </w:rPr>
              <w:t xml:space="preserve">PRECIOS ARTIFICIALMENTE BAJOS – Noción – Deber de las entidades estatales / EVALUACIÓN DE LAS OFERTAS – Finalidad – Oportunidad / GUÍA DE OFERTAS ARTIFICIALMENTE BAJAS – Manejo </w:t>
            </w:r>
            <w:r w:rsidR="00C2627C">
              <w:rPr>
                <w:rFonts w:ascii="Verdana" w:eastAsia="Arial MT" w:hAnsi="Verdana" w:cs="Arial MT"/>
                <w:bCs/>
                <w:lang w:val="es-ES_tradnl"/>
              </w:rPr>
              <w:t xml:space="preserve">/ </w:t>
            </w:r>
            <w:r w:rsidR="00C2627C" w:rsidRPr="00C2627C">
              <w:rPr>
                <w:rFonts w:ascii="Verdana" w:eastAsia="Arial MT" w:hAnsi="Verdana" w:cs="Arial MT"/>
                <w:bCs/>
                <w:lang w:val="es-ES_tradnl"/>
              </w:rPr>
              <w:t>DOCUMENTOS TIPO – Generalidades – Obligatoriedad</w:t>
            </w:r>
            <w:r w:rsidR="00C2627C">
              <w:rPr>
                <w:rFonts w:ascii="Verdana" w:eastAsia="Arial MT" w:hAnsi="Verdana" w:cs="Arial MT"/>
                <w:bCs/>
                <w:lang w:val="es-ES_tradnl"/>
              </w:rPr>
              <w:t xml:space="preserve"> / </w:t>
            </w:r>
            <w:r w:rsidR="00C2627C" w:rsidRPr="00C2627C">
              <w:rPr>
                <w:rFonts w:ascii="Verdana" w:eastAsia="Arial MT" w:hAnsi="Verdana" w:cs="Arial MT"/>
                <w:bCs/>
                <w:lang w:val="es-ES_tradnl"/>
              </w:rPr>
              <w:t xml:space="preserve">DOCUMENTOS TIPO – Infraestructura de transporte </w:t>
            </w:r>
          </w:p>
          <w:p w14:paraId="39F9B01B" w14:textId="6E0882C1" w:rsidR="00352E13" w:rsidRPr="001D1EE1" w:rsidRDefault="00C2627C" w:rsidP="00C2627C">
            <w:pPr>
              <w:spacing w:line="276" w:lineRule="auto"/>
              <w:jc w:val="both"/>
              <w:rPr>
                <w:rFonts w:ascii="Verdana" w:hAnsi="Verdana" w:cs="Arial"/>
                <w:bCs/>
                <w:lang w:val="es-ES_tradnl" w:eastAsia="es-ES" w:bidi="es-ES"/>
              </w:rPr>
            </w:pPr>
            <w:r w:rsidRPr="00C2627C">
              <w:rPr>
                <w:rFonts w:ascii="Verdana" w:eastAsia="Arial MT" w:hAnsi="Verdana" w:cs="Arial MT"/>
                <w:bCs/>
                <w:lang w:val="es-ES_tradnl"/>
              </w:rPr>
              <w:t>– DETERMINACIÓN DEL MÉTODO PARA LA PONDERACIÓN DE LA PROPUESTA ECONÓMICA</w:t>
            </w:r>
          </w:p>
        </w:tc>
      </w:tr>
      <w:tr w:rsidR="00352E13" w:rsidRPr="005E5B81" w14:paraId="6FA91147" w14:textId="77777777" w:rsidTr="00472B43">
        <w:tc>
          <w:tcPr>
            <w:tcW w:w="2689" w:type="dxa"/>
          </w:tcPr>
          <w:p w14:paraId="1A59BFFC" w14:textId="77777777" w:rsidR="00352E13" w:rsidRPr="005E5B81" w:rsidRDefault="00352E13" w:rsidP="00472B43">
            <w:pPr>
              <w:jc w:val="both"/>
              <w:rPr>
                <w:rFonts w:ascii="Verdana" w:hAnsi="Verdana" w:cs="Arial"/>
                <w:b/>
                <w:bCs/>
                <w:lang w:val="es-MX" w:eastAsia="es-ES" w:bidi="es-ES"/>
              </w:rPr>
            </w:pPr>
            <w:r w:rsidRPr="005E5B81">
              <w:rPr>
                <w:rFonts w:ascii="Verdana" w:hAnsi="Verdana" w:cs="Arial"/>
                <w:b/>
                <w:bCs/>
                <w:lang w:val="es-MX" w:eastAsia="es-ES" w:bidi="es-ES"/>
              </w:rPr>
              <w:t xml:space="preserve">Radicación:               </w:t>
            </w:r>
          </w:p>
        </w:tc>
        <w:tc>
          <w:tcPr>
            <w:tcW w:w="6242" w:type="dxa"/>
          </w:tcPr>
          <w:p w14:paraId="0026E843" w14:textId="77777777" w:rsidR="00352E13" w:rsidRPr="005E5B81" w:rsidRDefault="00352E13" w:rsidP="00472B43">
            <w:pPr>
              <w:jc w:val="both"/>
              <w:rPr>
                <w:rFonts w:ascii="Verdana" w:hAnsi="Verdana" w:cs="Arial"/>
                <w:bCs/>
                <w:lang w:val="es-MX" w:eastAsia="es-ES" w:bidi="es-ES"/>
              </w:rPr>
            </w:pPr>
            <w:r w:rsidRPr="005E5B81">
              <w:rPr>
                <w:rFonts w:ascii="Verdana" w:hAnsi="Verdana" w:cs="Arial"/>
                <w:bCs/>
                <w:lang w:val="es-MX" w:eastAsia="es-ES" w:bidi="es-ES"/>
              </w:rPr>
              <w:t xml:space="preserve">Respuesta a consulta con radicado No. </w:t>
            </w:r>
            <w:r w:rsidRPr="004779A1">
              <w:rPr>
                <w:rFonts w:ascii="Verdana" w:hAnsi="Verdana" w:cs="Arial"/>
                <w:bCs/>
                <w:lang w:eastAsia="es-ES" w:bidi="es-ES"/>
              </w:rPr>
              <w:t>1_2025_12_18_014163</w:t>
            </w:r>
          </w:p>
        </w:tc>
      </w:tr>
    </w:tbl>
    <w:p w14:paraId="4408C0D0" w14:textId="77777777" w:rsidR="00352E13" w:rsidRPr="005E5B81" w:rsidRDefault="00352E13" w:rsidP="00352E13">
      <w:pPr>
        <w:spacing w:after="0" w:line="240" w:lineRule="auto"/>
        <w:jc w:val="both"/>
        <w:rPr>
          <w:rFonts w:ascii="Verdana" w:hAnsi="Verdana" w:cs="Arial"/>
          <w:bCs/>
          <w:lang w:val="es-ES_tradnl" w:eastAsia="es-ES" w:bidi="es-ES"/>
        </w:rPr>
      </w:pPr>
    </w:p>
    <w:p w14:paraId="1ED9C2B5" w14:textId="77777777" w:rsidR="00352E13" w:rsidRPr="0094448B" w:rsidRDefault="00352E13" w:rsidP="00352E13">
      <w:pPr>
        <w:spacing w:after="0" w:line="240" w:lineRule="auto"/>
        <w:jc w:val="both"/>
        <w:rPr>
          <w:rFonts w:ascii="Verdana" w:hAnsi="Verdana" w:cs="Arial"/>
          <w:bCs/>
          <w:lang w:val="es-ES_tradnl" w:eastAsia="es-ES" w:bidi="es-ES"/>
        </w:rPr>
      </w:pPr>
    </w:p>
    <w:p w14:paraId="230F56BF" w14:textId="77777777" w:rsidR="00352E13" w:rsidRPr="0094448B" w:rsidRDefault="00352E13" w:rsidP="00352E13">
      <w:pPr>
        <w:spacing w:after="0" w:line="240" w:lineRule="auto"/>
        <w:jc w:val="both"/>
        <w:rPr>
          <w:rFonts w:ascii="Verdana" w:hAnsi="Verdana" w:cs="Arial"/>
          <w:bCs/>
          <w:lang w:val="es-MX" w:eastAsia="es-ES" w:bidi="es-ES"/>
        </w:rPr>
      </w:pPr>
      <w:r>
        <w:rPr>
          <w:rFonts w:ascii="Verdana" w:hAnsi="Verdana" w:cs="Arial"/>
          <w:bCs/>
          <w:lang w:val="es-MX" w:eastAsia="es-ES" w:bidi="es-ES"/>
        </w:rPr>
        <w:t>Estimado señor Benavides</w:t>
      </w:r>
      <w:r w:rsidRPr="0094448B">
        <w:rPr>
          <w:rFonts w:ascii="Verdana" w:hAnsi="Verdana" w:cs="Arial"/>
          <w:bCs/>
          <w:lang w:val="es-MX" w:eastAsia="es-ES" w:bidi="es-ES"/>
        </w:rPr>
        <w:t xml:space="preserve">: </w:t>
      </w:r>
    </w:p>
    <w:p w14:paraId="1E7FB1AF" w14:textId="77777777" w:rsidR="00352E13" w:rsidRPr="0094448B" w:rsidRDefault="00352E13" w:rsidP="00352E13">
      <w:pPr>
        <w:spacing w:after="0" w:line="240" w:lineRule="auto"/>
        <w:jc w:val="both"/>
        <w:rPr>
          <w:rFonts w:ascii="Verdana" w:hAnsi="Verdana" w:cs="Arial"/>
          <w:bCs/>
          <w:lang w:val="es-ES" w:eastAsia="es-ES" w:bidi="es-ES"/>
        </w:rPr>
      </w:pPr>
      <w:r w:rsidRPr="0094448B">
        <w:rPr>
          <w:rFonts w:ascii="Verdana" w:hAnsi="Verdana" w:cs="Arial"/>
          <w:bCs/>
          <w:lang w:val="es-ES" w:eastAsia="es-ES" w:bidi="es-ES"/>
        </w:rPr>
        <w:tab/>
      </w:r>
    </w:p>
    <w:p w14:paraId="23D04750" w14:textId="77777777" w:rsidR="00352E13" w:rsidRPr="0094448B" w:rsidRDefault="00352E13" w:rsidP="00352E13">
      <w:pPr>
        <w:spacing w:after="0" w:line="276" w:lineRule="auto"/>
        <w:jc w:val="both"/>
        <w:rPr>
          <w:rFonts w:ascii="Verdana" w:hAnsi="Verdana" w:cs="Arial"/>
          <w:bCs/>
          <w:lang w:val="es-ES" w:eastAsia="es-ES" w:bidi="es-ES"/>
        </w:rPr>
      </w:pPr>
      <w:r w:rsidRPr="0094448B">
        <w:rPr>
          <w:rFonts w:ascii="Verdana" w:hAnsi="Verdana" w:cs="Arial"/>
          <w:bCs/>
          <w:lang w:val="es-ES" w:eastAsia="es-ES" w:bidi="es-ES"/>
        </w:rPr>
        <w:t xml:space="preserve">En ejercicio de la competencia otorgada por los artículos 3, numeral 5º, y 11, numeral 8º, del Decreto Ley 4170 de 2011, </w:t>
      </w:r>
      <w:r w:rsidRPr="0094448B">
        <w:rPr>
          <w:rFonts w:ascii="Verdana" w:hAnsi="Verdana" w:cs="Arial"/>
          <w:bCs/>
          <w:lang w:eastAsia="es-ES" w:bidi="es-ES"/>
        </w:rPr>
        <w:t xml:space="preserve">así como lo establecido por la Resolución 469 de 2025 expedida por esta Entidad, </w:t>
      </w:r>
      <w:r w:rsidRPr="0094448B">
        <w:rPr>
          <w:rFonts w:ascii="Verdana" w:hAnsi="Verdana" w:cs="Arial"/>
          <w:bCs/>
          <w:lang w:val="es-ES" w:eastAsia="es-ES" w:bidi="es-ES"/>
        </w:rPr>
        <w:t>la Agencia Nacional de Contratación Pública – Colombia Compra Eficiente– responde su solicitud de consulta del</w:t>
      </w:r>
      <w:r>
        <w:rPr>
          <w:rFonts w:ascii="Verdana" w:hAnsi="Verdana" w:cs="Arial"/>
          <w:bCs/>
          <w:lang w:val="es-ES" w:eastAsia="es-ES" w:bidi="es-ES"/>
        </w:rPr>
        <w:t xml:space="preserve"> 18 de diciembre de 2025</w:t>
      </w:r>
      <w:r w:rsidRPr="0094448B">
        <w:rPr>
          <w:rFonts w:ascii="Verdana" w:hAnsi="Verdana" w:cs="Arial"/>
          <w:bCs/>
          <w:lang w:val="es-ES" w:eastAsia="es-ES" w:bidi="es-ES"/>
        </w:rPr>
        <w:t xml:space="preserve">, en la cual manifiesta: </w:t>
      </w:r>
    </w:p>
    <w:p w14:paraId="084C9F82" w14:textId="77777777" w:rsidR="00352E13" w:rsidRDefault="00352E13" w:rsidP="00352E13">
      <w:pPr>
        <w:spacing w:after="0" w:line="240" w:lineRule="auto"/>
        <w:jc w:val="both"/>
        <w:rPr>
          <w:rFonts w:ascii="Verdana" w:hAnsi="Verdana" w:cs="Arial"/>
          <w:b/>
          <w:bCs/>
          <w:lang w:val="es-ES" w:eastAsia="es-ES" w:bidi="es-ES"/>
        </w:rPr>
      </w:pPr>
    </w:p>
    <w:p w14:paraId="7E8FF0BA" w14:textId="77777777" w:rsidR="00352E13" w:rsidRPr="002E2C01" w:rsidRDefault="00352E13" w:rsidP="00352E13">
      <w:pPr>
        <w:spacing w:after="0" w:line="240" w:lineRule="auto"/>
        <w:ind w:left="709" w:right="709"/>
        <w:jc w:val="both"/>
        <w:rPr>
          <w:rFonts w:ascii="Verdana" w:hAnsi="Verdana" w:cs="Arial"/>
          <w:bCs/>
          <w:sz w:val="20"/>
          <w:szCs w:val="20"/>
          <w:lang w:eastAsia="es-ES" w:bidi="es-ES"/>
        </w:rPr>
      </w:pPr>
      <w:r>
        <w:rPr>
          <w:rFonts w:ascii="Verdana" w:hAnsi="Verdana" w:cs="Arial"/>
          <w:bCs/>
          <w:sz w:val="20"/>
          <w:szCs w:val="20"/>
          <w:lang w:eastAsia="es-ES" w:bidi="es-ES"/>
        </w:rPr>
        <w:t>“</w:t>
      </w:r>
      <w:r w:rsidRPr="002E2C01">
        <w:rPr>
          <w:rFonts w:ascii="Verdana" w:hAnsi="Verdana" w:cs="Arial"/>
          <w:bCs/>
          <w:sz w:val="20"/>
          <w:szCs w:val="20"/>
          <w:lang w:eastAsia="es-ES" w:bidi="es-ES"/>
        </w:rPr>
        <w:t>La consulta es la siguiente:</w:t>
      </w:r>
      <w:r>
        <w:rPr>
          <w:rFonts w:ascii="Verdana" w:hAnsi="Verdana" w:cs="Arial"/>
          <w:bCs/>
          <w:sz w:val="20"/>
          <w:szCs w:val="20"/>
          <w:lang w:eastAsia="es-ES" w:bidi="es-ES"/>
        </w:rPr>
        <w:t xml:space="preserve"> </w:t>
      </w:r>
      <w:r w:rsidRPr="002E2C01">
        <w:rPr>
          <w:rFonts w:ascii="Verdana" w:hAnsi="Verdana" w:cs="Arial"/>
          <w:bCs/>
          <w:sz w:val="20"/>
          <w:szCs w:val="20"/>
          <w:lang w:eastAsia="es-ES" w:bidi="es-ES"/>
        </w:rPr>
        <w:t>En los procesos de menor cuantía donde se estableció</w:t>
      </w:r>
      <w:r>
        <w:rPr>
          <w:rFonts w:ascii="Verdana" w:hAnsi="Verdana" w:cs="Arial"/>
          <w:bCs/>
          <w:sz w:val="20"/>
          <w:szCs w:val="20"/>
          <w:lang w:eastAsia="es-ES" w:bidi="es-ES"/>
        </w:rPr>
        <w:t xml:space="preserve"> </w:t>
      </w:r>
      <w:r w:rsidRPr="002E2C01">
        <w:rPr>
          <w:rFonts w:ascii="Verdana" w:hAnsi="Verdana" w:cs="Arial"/>
          <w:bCs/>
          <w:sz w:val="20"/>
          <w:szCs w:val="20"/>
          <w:lang w:eastAsia="es-ES" w:bidi="es-ES"/>
        </w:rPr>
        <w:t>la aplicación de la TRM el segundo día hábil siguiente a la terminación del traslado</w:t>
      </w:r>
      <w:r>
        <w:rPr>
          <w:rFonts w:ascii="Verdana" w:hAnsi="Verdana" w:cs="Arial"/>
          <w:bCs/>
          <w:sz w:val="20"/>
          <w:szCs w:val="20"/>
          <w:lang w:eastAsia="es-ES" w:bidi="es-ES"/>
        </w:rPr>
        <w:t xml:space="preserve"> </w:t>
      </w:r>
      <w:r w:rsidRPr="002E2C01">
        <w:rPr>
          <w:rFonts w:ascii="Verdana" w:hAnsi="Verdana" w:cs="Arial"/>
          <w:bCs/>
          <w:sz w:val="20"/>
          <w:szCs w:val="20"/>
          <w:lang w:eastAsia="es-ES" w:bidi="es-ES"/>
        </w:rPr>
        <w:t>del informe de evaluación, se solicitó justificación de precios artificialmente en el</w:t>
      </w:r>
      <w:r>
        <w:rPr>
          <w:rFonts w:ascii="Verdana" w:hAnsi="Verdana" w:cs="Arial"/>
          <w:bCs/>
          <w:sz w:val="20"/>
          <w:szCs w:val="20"/>
          <w:lang w:eastAsia="es-ES" w:bidi="es-ES"/>
        </w:rPr>
        <w:t xml:space="preserve"> </w:t>
      </w:r>
      <w:r w:rsidRPr="002E2C01">
        <w:rPr>
          <w:rFonts w:ascii="Verdana" w:hAnsi="Verdana" w:cs="Arial"/>
          <w:bCs/>
          <w:sz w:val="20"/>
          <w:szCs w:val="20"/>
          <w:lang w:eastAsia="es-ES" w:bidi="es-ES"/>
        </w:rPr>
        <w:t>traslado del informe de evaluación inicial, la aplicación de la guía de precios</w:t>
      </w:r>
      <w:r>
        <w:rPr>
          <w:rFonts w:ascii="Verdana" w:hAnsi="Verdana" w:cs="Arial"/>
          <w:bCs/>
          <w:sz w:val="20"/>
          <w:szCs w:val="20"/>
          <w:lang w:eastAsia="es-ES" w:bidi="es-ES"/>
        </w:rPr>
        <w:t xml:space="preserve"> </w:t>
      </w:r>
      <w:r w:rsidRPr="002E2C01">
        <w:rPr>
          <w:rFonts w:ascii="Verdana" w:hAnsi="Verdana" w:cs="Arial"/>
          <w:bCs/>
          <w:sz w:val="20"/>
          <w:szCs w:val="20"/>
          <w:lang w:eastAsia="es-ES" w:bidi="es-ES"/>
        </w:rPr>
        <w:t>artificialmente bajos ya sea la comparación absoluta o relativa, se realiza con las</w:t>
      </w:r>
      <w:r>
        <w:rPr>
          <w:rFonts w:ascii="Verdana" w:hAnsi="Verdana" w:cs="Arial"/>
          <w:bCs/>
          <w:sz w:val="20"/>
          <w:szCs w:val="20"/>
          <w:lang w:eastAsia="es-ES" w:bidi="es-ES"/>
        </w:rPr>
        <w:t xml:space="preserve"> </w:t>
      </w:r>
      <w:r w:rsidRPr="002E2C01">
        <w:rPr>
          <w:rFonts w:ascii="Verdana" w:hAnsi="Verdana" w:cs="Arial"/>
          <w:bCs/>
          <w:sz w:val="20"/>
          <w:szCs w:val="20"/>
          <w:lang w:eastAsia="es-ES" w:bidi="es-ES"/>
        </w:rPr>
        <w:t>propuestas habilitadas en la parte técnica, jurídica y económica o con las propuesta</w:t>
      </w:r>
      <w:r>
        <w:rPr>
          <w:rFonts w:ascii="Verdana" w:hAnsi="Verdana" w:cs="Arial"/>
          <w:bCs/>
          <w:sz w:val="20"/>
          <w:szCs w:val="20"/>
          <w:lang w:eastAsia="es-ES" w:bidi="es-ES"/>
        </w:rPr>
        <w:t xml:space="preserve"> </w:t>
      </w:r>
      <w:r w:rsidRPr="002E2C01">
        <w:rPr>
          <w:rFonts w:ascii="Verdana" w:hAnsi="Verdana" w:cs="Arial"/>
          <w:bCs/>
          <w:sz w:val="20"/>
          <w:szCs w:val="20"/>
          <w:lang w:eastAsia="es-ES" w:bidi="es-ES"/>
        </w:rPr>
        <w:t>habilitadas en el informe preliminar y las que a pesar que no están habilitadas tienen</w:t>
      </w:r>
    </w:p>
    <w:p w14:paraId="7312F9BE" w14:textId="77777777" w:rsidR="00352E13" w:rsidRPr="00A8203D" w:rsidRDefault="00352E13" w:rsidP="00352E13">
      <w:pPr>
        <w:spacing w:after="0" w:line="240" w:lineRule="auto"/>
        <w:ind w:left="709" w:right="709"/>
        <w:jc w:val="both"/>
        <w:rPr>
          <w:rFonts w:ascii="Verdana" w:hAnsi="Verdana" w:cs="Arial"/>
          <w:bCs/>
          <w:sz w:val="20"/>
          <w:szCs w:val="20"/>
          <w:lang w:eastAsia="es-ES" w:bidi="es-ES"/>
        </w:rPr>
      </w:pPr>
      <w:r w:rsidRPr="002E2C01">
        <w:rPr>
          <w:rFonts w:ascii="Verdana" w:hAnsi="Verdana" w:cs="Arial"/>
          <w:bCs/>
          <w:sz w:val="20"/>
          <w:szCs w:val="20"/>
          <w:lang w:eastAsia="es-ES" w:bidi="es-ES"/>
        </w:rPr>
        <w:lastRenderedPageBreak/>
        <w:t>derecho a subsanar su propuesta en los requisitos técnicos y jurídicos?</w:t>
      </w:r>
      <w:r>
        <w:rPr>
          <w:rFonts w:ascii="Verdana" w:hAnsi="Verdana" w:cs="Arial"/>
          <w:bCs/>
          <w:sz w:val="20"/>
          <w:szCs w:val="20"/>
          <w:lang w:eastAsia="es-ES" w:bidi="es-ES"/>
        </w:rPr>
        <w:t>”</w:t>
      </w:r>
    </w:p>
    <w:p w14:paraId="3A03D6B3" w14:textId="77777777" w:rsidR="00352E13" w:rsidRPr="0094448B" w:rsidRDefault="00352E13" w:rsidP="00352E13">
      <w:pPr>
        <w:spacing w:after="0" w:line="240" w:lineRule="auto"/>
        <w:jc w:val="both"/>
        <w:rPr>
          <w:rFonts w:ascii="Verdana" w:hAnsi="Verdana" w:cs="Arial"/>
          <w:b/>
          <w:bCs/>
          <w:lang w:val="es-ES" w:eastAsia="es-ES" w:bidi="es-ES"/>
        </w:rPr>
      </w:pPr>
    </w:p>
    <w:p w14:paraId="4050616D" w14:textId="77777777" w:rsidR="00352E13" w:rsidRPr="0094448B" w:rsidRDefault="00352E13" w:rsidP="00352E13">
      <w:pPr>
        <w:spacing w:after="120" w:line="276" w:lineRule="auto"/>
        <w:ind w:firstLine="709"/>
        <w:jc w:val="both"/>
        <w:rPr>
          <w:rFonts w:ascii="Verdana" w:eastAsia="Calibri" w:hAnsi="Verdana" w:cs="Times New Roman"/>
          <w:lang w:val="es-ES"/>
        </w:rPr>
      </w:pPr>
      <w:r w:rsidRPr="0094448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6B6689D" w14:textId="77777777" w:rsidR="00352E13" w:rsidRPr="0094448B" w:rsidRDefault="00352E13" w:rsidP="00352E13">
      <w:pPr>
        <w:spacing w:after="0" w:line="276" w:lineRule="auto"/>
        <w:ind w:firstLine="708"/>
        <w:jc w:val="both"/>
        <w:rPr>
          <w:rFonts w:ascii="Verdana" w:eastAsia="Calibri" w:hAnsi="Verdana" w:cs="Times New Roman"/>
          <w:lang w:val="es-ES"/>
        </w:rPr>
      </w:pPr>
      <w:r w:rsidRPr="0094448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el</w:t>
      </w:r>
      <w:r w:rsidRPr="0094448B">
        <w:rPr>
          <w:rFonts w:ascii="Verdana" w:eastAsia="Calibri" w:hAnsi="Verdana" w:cs="Times New Roman"/>
          <w:lang w:val="es-ES"/>
        </w:rPr>
        <w:t xml:space="preserve"> problema jurídico</w:t>
      </w:r>
      <w:r>
        <w:rPr>
          <w:rFonts w:ascii="Verdana" w:eastAsia="Calibri" w:hAnsi="Verdana" w:cs="Times New Roman"/>
          <w:lang w:val="es-ES"/>
        </w:rPr>
        <w:t xml:space="preserve"> </w:t>
      </w:r>
      <w:r w:rsidRPr="0094448B">
        <w:rPr>
          <w:rFonts w:ascii="Verdana" w:eastAsia="Calibri" w:hAnsi="Verdana" w:cs="Times New Roman"/>
          <w:lang w:val="es-ES"/>
        </w:rPr>
        <w:t>de su consulta.</w:t>
      </w:r>
    </w:p>
    <w:p w14:paraId="7ED83CF4" w14:textId="77777777" w:rsidR="00352E13" w:rsidRPr="0094448B" w:rsidRDefault="00352E13" w:rsidP="00352E13">
      <w:pPr>
        <w:spacing w:after="0" w:line="256" w:lineRule="auto"/>
        <w:rPr>
          <w:rFonts w:ascii="Verdana" w:eastAsia="Calibri" w:hAnsi="Verdana" w:cs="Times New Roman"/>
          <w:lang w:val="es-ES"/>
        </w:rPr>
      </w:pPr>
    </w:p>
    <w:p w14:paraId="48A74863" w14:textId="77777777" w:rsidR="00352E13" w:rsidRPr="0094448B" w:rsidRDefault="00352E13" w:rsidP="00352E13">
      <w:pPr>
        <w:numPr>
          <w:ilvl w:val="0"/>
          <w:numId w:val="16"/>
        </w:numPr>
        <w:spacing w:after="0" w:line="256" w:lineRule="auto"/>
        <w:contextualSpacing/>
        <w:rPr>
          <w:rFonts w:ascii="Verdana" w:eastAsia="Calibri" w:hAnsi="Verdana" w:cs="Times New Roman"/>
          <w:b/>
          <w:bCs/>
          <w:lang w:val="es-ES"/>
        </w:rPr>
      </w:pPr>
      <w:r w:rsidRPr="0094448B">
        <w:rPr>
          <w:rFonts w:ascii="Verdana" w:eastAsia="Calibri" w:hAnsi="Verdana" w:cs="Times New Roman"/>
          <w:b/>
          <w:bCs/>
          <w:lang w:val="es-ES"/>
        </w:rPr>
        <w:t>Problema planteado:</w:t>
      </w:r>
    </w:p>
    <w:p w14:paraId="5490DF98" w14:textId="77777777" w:rsidR="00352E13" w:rsidRPr="0094448B" w:rsidRDefault="00352E13" w:rsidP="00352E13">
      <w:pPr>
        <w:spacing w:after="0" w:line="256" w:lineRule="auto"/>
        <w:rPr>
          <w:rFonts w:ascii="Verdana" w:eastAsia="Calibri" w:hAnsi="Verdana" w:cs="Times New Roman"/>
        </w:rPr>
      </w:pPr>
    </w:p>
    <w:p w14:paraId="54DEBE0F" w14:textId="005D1238" w:rsidR="00352E13" w:rsidRPr="00DA1125" w:rsidRDefault="00352E13" w:rsidP="00352E13">
      <w:pPr>
        <w:spacing w:after="0" w:line="276" w:lineRule="auto"/>
        <w:jc w:val="both"/>
        <w:rPr>
          <w:rFonts w:ascii="Verdana" w:eastAsia="Calibri" w:hAnsi="Verdana" w:cs="Times New Roman"/>
        </w:rPr>
      </w:pPr>
      <w:r w:rsidRPr="0094448B">
        <w:rPr>
          <w:rFonts w:ascii="Verdana" w:eastAsia="Calibri" w:hAnsi="Verdana" w:cs="Times New Roman"/>
        </w:rPr>
        <w:t xml:space="preserve">De acuerdo con el contenido de su solicitud, esta Agencia procede a </w:t>
      </w:r>
      <w:r>
        <w:rPr>
          <w:rFonts w:ascii="Verdana" w:eastAsia="Calibri" w:hAnsi="Verdana" w:cs="Times New Roman"/>
        </w:rPr>
        <w:t xml:space="preserve">responder el siguiente problema jurídico: </w:t>
      </w:r>
      <w:r w:rsidRPr="00DB649C">
        <w:t xml:space="preserve"> </w:t>
      </w:r>
      <w:r w:rsidR="00DB649C" w:rsidRPr="00DB649C">
        <w:rPr>
          <w:rFonts w:ascii="Verdana" w:eastAsia="Calibri" w:hAnsi="Verdana" w:cs="Times New Roman"/>
        </w:rPr>
        <w:t xml:space="preserve">De conformidad con la </w:t>
      </w:r>
      <w:r w:rsidR="00DB649C">
        <w:rPr>
          <w:rFonts w:ascii="Verdana" w:eastAsia="Calibri" w:hAnsi="Verdana" w:cs="Times New Roman"/>
        </w:rPr>
        <w:t>“</w:t>
      </w:r>
      <w:r w:rsidR="00DB649C" w:rsidRPr="00DB649C">
        <w:rPr>
          <w:rFonts w:ascii="Verdana" w:eastAsia="Calibri" w:hAnsi="Verdana" w:cs="Times New Roman"/>
          <w:i/>
          <w:iCs/>
        </w:rPr>
        <w:t>Guía para el manejo de ofertas artificialmente bajas en procesos de contratación</w:t>
      </w:r>
      <w:r w:rsidR="00DB649C">
        <w:rPr>
          <w:rFonts w:ascii="Verdana" w:eastAsia="Calibri" w:hAnsi="Verdana" w:cs="Times New Roman"/>
        </w:rPr>
        <w:t xml:space="preserve">” </w:t>
      </w:r>
      <w:r w:rsidR="00DB649C" w:rsidRPr="00DB649C">
        <w:rPr>
          <w:rFonts w:ascii="Verdana" w:eastAsia="Calibri" w:hAnsi="Verdana" w:cs="Times New Roman"/>
        </w:rPr>
        <w:t>y con la Versión 3 de los Documentos Tipo del sector de infraestructura de transporte, en la modalidad de Selección Abreviada de Menor Cuantía, expedidos por Colombia Compra Eficiente, ¿cuáles son las ofertas que deben tenerse en cuenta para determinar la existencia de un precio artificialmente bajo?</w:t>
      </w:r>
    </w:p>
    <w:p w14:paraId="002E1840" w14:textId="60D93D9E" w:rsidR="00352E13" w:rsidRPr="0094448B" w:rsidRDefault="00352E13" w:rsidP="00352E13">
      <w:pPr>
        <w:spacing w:after="0" w:line="276" w:lineRule="auto"/>
        <w:jc w:val="both"/>
        <w:rPr>
          <w:rFonts w:ascii="Verdana" w:eastAsia="Calibri" w:hAnsi="Verdana" w:cs="Times New Roman"/>
          <w:bCs/>
        </w:rPr>
      </w:pPr>
    </w:p>
    <w:p w14:paraId="0364F7B7" w14:textId="77777777" w:rsidR="00352E13" w:rsidRPr="0094448B" w:rsidRDefault="00352E13" w:rsidP="00352E13">
      <w:pPr>
        <w:numPr>
          <w:ilvl w:val="0"/>
          <w:numId w:val="16"/>
        </w:numPr>
        <w:spacing w:after="0" w:line="256" w:lineRule="auto"/>
        <w:contextualSpacing/>
        <w:rPr>
          <w:rFonts w:ascii="Verdana" w:eastAsia="Calibri" w:hAnsi="Verdana" w:cs="Times New Roman"/>
          <w:b/>
          <w:bCs/>
          <w:lang w:val="es-ES"/>
        </w:rPr>
      </w:pPr>
      <w:r w:rsidRPr="0094448B">
        <w:rPr>
          <w:rFonts w:ascii="Verdana" w:eastAsia="Calibri" w:hAnsi="Verdana" w:cs="Times New Roman"/>
          <w:b/>
          <w:bCs/>
          <w:lang w:val="es-ES"/>
        </w:rPr>
        <w:t>Respuesta:</w:t>
      </w:r>
    </w:p>
    <w:p w14:paraId="537FDE41" w14:textId="77777777" w:rsidR="00352E13" w:rsidRPr="0094448B" w:rsidRDefault="00352E13" w:rsidP="00352E13">
      <w:pPr>
        <w:spacing w:after="0" w:line="240" w:lineRule="auto"/>
        <w:jc w:val="both"/>
        <w:rPr>
          <w:rFonts w:ascii="Verdana" w:hAnsi="Verdana" w:cs="Arial"/>
          <w:bCs/>
          <w:lang w:val="es-ES" w:eastAsia="es-ES" w:bidi="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52E13" w:rsidRPr="0094448B" w14:paraId="7FEC2C66" w14:textId="77777777" w:rsidTr="00472B43">
        <w:trPr>
          <w:trHeight w:val="70"/>
          <w:jc w:val="center"/>
        </w:trPr>
        <w:tc>
          <w:tcPr>
            <w:tcW w:w="8647" w:type="dxa"/>
          </w:tcPr>
          <w:p w14:paraId="6B7E435B" w14:textId="77777777" w:rsidR="00352E13" w:rsidRDefault="00352E13" w:rsidP="00472B43">
            <w:pPr>
              <w:spacing w:before="120" w:after="120" w:line="276" w:lineRule="auto"/>
              <w:jc w:val="both"/>
              <w:rPr>
                <w:rFonts w:ascii="Verdana" w:hAnsi="Verdana" w:cs="Arial"/>
                <w:bCs/>
                <w:lang w:eastAsia="es-ES"/>
              </w:rPr>
            </w:pPr>
            <w:r w:rsidRPr="001355E4">
              <w:rPr>
                <w:rFonts w:ascii="Verdana" w:hAnsi="Verdana" w:cs="Arial"/>
                <w:bCs/>
                <w:lang w:eastAsia="es-ES"/>
              </w:rPr>
              <w:t xml:space="preserve">En la Guía de Colombia Compra Eficiente, existen dos (2) </w:t>
            </w:r>
            <w:r>
              <w:rPr>
                <w:rFonts w:ascii="Verdana" w:hAnsi="Verdana" w:cs="Arial"/>
                <w:bCs/>
                <w:lang w:eastAsia="es-ES"/>
              </w:rPr>
              <w:t>“</w:t>
            </w:r>
            <w:r w:rsidRPr="001355E4">
              <w:rPr>
                <w:rFonts w:ascii="Verdana" w:hAnsi="Verdana" w:cs="Arial"/>
                <w:bCs/>
                <w:lang w:eastAsia="es-ES"/>
              </w:rPr>
              <w:t>herramientas</w:t>
            </w:r>
            <w:r>
              <w:rPr>
                <w:rFonts w:ascii="Verdana" w:hAnsi="Verdana" w:cs="Arial"/>
                <w:bCs/>
                <w:lang w:eastAsia="es-ES"/>
              </w:rPr>
              <w:t>”</w:t>
            </w:r>
            <w:r w:rsidRPr="001355E4">
              <w:rPr>
                <w:rFonts w:ascii="Verdana" w:hAnsi="Verdana" w:cs="Arial"/>
                <w:bCs/>
                <w:lang w:eastAsia="es-ES"/>
              </w:rPr>
              <w:t xml:space="preserve"> que se deben aplicar a todas las ofertas</w:t>
            </w:r>
            <w:r>
              <w:rPr>
                <w:rFonts w:ascii="Verdana" w:hAnsi="Verdana" w:cs="Arial"/>
                <w:bCs/>
                <w:lang w:eastAsia="es-ES"/>
              </w:rPr>
              <w:t xml:space="preserve"> a evaluar</w:t>
            </w:r>
            <w:r w:rsidRPr="001355E4">
              <w:rPr>
                <w:rFonts w:ascii="Verdana" w:hAnsi="Verdana" w:cs="Arial"/>
                <w:bCs/>
                <w:lang w:eastAsia="es-ES"/>
              </w:rPr>
              <w:t xml:space="preserve">, ya que así lo establece la Guía, </w:t>
            </w:r>
            <w:r w:rsidRPr="001355E4">
              <w:rPr>
                <w:rFonts w:ascii="Verdana" w:hAnsi="Verdana" w:cs="Arial"/>
                <w:bCs/>
                <w:lang w:eastAsia="es-ES"/>
              </w:rPr>
              <w:lastRenderedPageBreak/>
              <w:t>sin excepciones. Pero para identificar la oferta con precios artificialmente bajos no siempre se requieren las demás ofertas, como en la comparación absoluta, donde cada oferta se analiza respecto del valor señalado en el estudio del sector, sin incluir las otras ofertas del procedimiento.</w:t>
            </w:r>
            <w:r>
              <w:rPr>
                <w:rFonts w:ascii="Verdana" w:hAnsi="Verdana" w:cs="Arial"/>
                <w:bCs/>
                <w:lang w:eastAsia="es-ES"/>
              </w:rPr>
              <w:t xml:space="preserve"> Por otra parte, en la comparación relativa, que se sugiere utilizarla cuando se reciben 5 o más ofertas, la Guía dispone que: “</w:t>
            </w:r>
            <w:r w:rsidRPr="00654662">
              <w:rPr>
                <w:rFonts w:ascii="Verdana" w:hAnsi="Verdana" w:cs="Arial"/>
                <w:bCs/>
                <w:i/>
                <w:iCs/>
                <w:lang w:eastAsia="es-ES"/>
              </w:rPr>
              <w:t>Con el fin de identificar ofertas que puedan ser consideradas cómo artificialmente bajas, la Entidad utilizará la siguiente metodología para establecer un valor mínimo aceptable: a. Primero deberá tomar el conjunto de ofertas a evaluar</w:t>
            </w:r>
            <w:r>
              <w:rPr>
                <w:rFonts w:ascii="Verdana" w:hAnsi="Verdana" w:cs="Arial"/>
                <w:bCs/>
                <w:lang w:eastAsia="es-ES"/>
              </w:rPr>
              <w:t xml:space="preserve"> (…)”</w:t>
            </w:r>
            <w:r w:rsidRPr="00654662">
              <w:rPr>
                <w:rFonts w:ascii="Verdana" w:hAnsi="Verdana" w:cs="Arial"/>
                <w:bCs/>
                <w:lang w:eastAsia="es-ES"/>
              </w:rPr>
              <w:t>.</w:t>
            </w:r>
          </w:p>
          <w:p w14:paraId="2070FB5E" w14:textId="0B71D229" w:rsidR="006209AF" w:rsidRDefault="006209AF" w:rsidP="006209AF">
            <w:pPr>
              <w:spacing w:before="120" w:after="120" w:line="276" w:lineRule="auto"/>
              <w:ind w:firstLine="708"/>
              <w:jc w:val="both"/>
              <w:rPr>
                <w:rFonts w:ascii="Verdana" w:hAnsi="Verdana" w:cs="Arial"/>
                <w:bCs/>
                <w:lang w:eastAsia="es-ES"/>
              </w:rPr>
            </w:pPr>
            <w:r>
              <w:rPr>
                <w:rFonts w:ascii="Verdana" w:hAnsi="Verdana" w:cs="Arial"/>
                <w:bCs/>
                <w:lang w:eastAsia="es-ES"/>
              </w:rPr>
              <w:t xml:space="preserve">A lo </w:t>
            </w:r>
            <w:r w:rsidRPr="00692094">
              <w:rPr>
                <w:rFonts w:ascii="Verdana" w:hAnsi="Verdana" w:cs="Arial"/>
                <w:bCs/>
                <w:lang w:val="es-ES_tradnl" w:eastAsia="es-ES"/>
              </w:rPr>
              <w:t>anterior</w:t>
            </w:r>
            <w:r>
              <w:rPr>
                <w:rFonts w:ascii="Verdana" w:hAnsi="Verdana" w:cs="Arial"/>
                <w:bCs/>
                <w:lang w:eastAsia="es-ES"/>
              </w:rPr>
              <w:t xml:space="preserve"> debe agregarse</w:t>
            </w:r>
            <w:r w:rsidR="00DA5CA6">
              <w:rPr>
                <w:rFonts w:ascii="Verdana" w:hAnsi="Verdana" w:cs="Arial"/>
                <w:bCs/>
                <w:lang w:eastAsia="es-ES"/>
              </w:rPr>
              <w:t xml:space="preserve">, lo relacionado con </w:t>
            </w:r>
            <w:r w:rsidR="00917DF8">
              <w:rPr>
                <w:rFonts w:ascii="Verdana" w:hAnsi="Verdana" w:cs="Arial"/>
                <w:bCs/>
                <w:lang w:eastAsia="es-ES"/>
              </w:rPr>
              <w:t>l</w:t>
            </w:r>
            <w:r w:rsidR="00917DF8" w:rsidRPr="00917DF8">
              <w:rPr>
                <w:rFonts w:ascii="Verdana" w:hAnsi="Verdana" w:cs="Arial"/>
                <w:bCs/>
                <w:lang w:eastAsia="es-ES"/>
              </w:rPr>
              <w:t>a versión 3 de los documentos tipo de infraestructura de transporte en la modalidad de Selección Abreviada de Menor Cuantía</w:t>
            </w:r>
            <w:r w:rsidR="008B7432">
              <w:rPr>
                <w:rFonts w:ascii="Verdana" w:hAnsi="Verdana" w:cs="Arial"/>
                <w:bCs/>
                <w:lang w:eastAsia="es-ES"/>
              </w:rPr>
              <w:t xml:space="preserve">, debido a que usted los cita en su consulta y además </w:t>
            </w:r>
            <w:r w:rsidR="003145E1">
              <w:rPr>
                <w:rFonts w:ascii="Verdana" w:hAnsi="Verdana" w:cs="Arial"/>
                <w:bCs/>
                <w:lang w:eastAsia="es-ES"/>
              </w:rPr>
              <w:t xml:space="preserve">de </w:t>
            </w:r>
            <w:proofErr w:type="spellStart"/>
            <w:r w:rsidR="003145E1">
              <w:rPr>
                <w:rFonts w:ascii="Verdana" w:hAnsi="Verdana" w:cs="Arial"/>
                <w:bCs/>
                <w:lang w:eastAsia="es-ES"/>
              </w:rPr>
              <w:t>lo</w:t>
            </w:r>
            <w:proofErr w:type="spellEnd"/>
            <w:r w:rsidR="003145E1">
              <w:rPr>
                <w:rFonts w:ascii="Verdana" w:hAnsi="Verdana" w:cs="Arial"/>
                <w:bCs/>
                <w:lang w:eastAsia="es-ES"/>
              </w:rPr>
              <w:t xml:space="preserve"> cambios incorporados en esta versión, </w:t>
            </w:r>
            <w:r w:rsidR="007444C5">
              <w:rPr>
                <w:rFonts w:ascii="Verdana" w:hAnsi="Verdana" w:cs="Arial"/>
                <w:bCs/>
                <w:lang w:eastAsia="es-ES"/>
              </w:rPr>
              <w:t xml:space="preserve">donde </w:t>
            </w:r>
            <w:r w:rsidR="00F1791B">
              <w:rPr>
                <w:rFonts w:ascii="Verdana" w:hAnsi="Verdana" w:cs="Arial"/>
                <w:bCs/>
                <w:lang w:eastAsia="es-ES"/>
              </w:rPr>
              <w:t>se incluyen varias precisiones en los numerales 4.1.3 y 4.1.4 de</w:t>
            </w:r>
            <w:r w:rsidR="00364E44">
              <w:rPr>
                <w:rFonts w:ascii="Verdana" w:hAnsi="Verdana" w:cs="Arial"/>
                <w:bCs/>
                <w:lang w:eastAsia="es-ES"/>
              </w:rPr>
              <w:t>l documento base.</w:t>
            </w:r>
          </w:p>
          <w:p w14:paraId="39C55300" w14:textId="4355C577" w:rsidR="00F27235" w:rsidRDefault="00F27235" w:rsidP="006209AF">
            <w:pPr>
              <w:spacing w:before="120" w:after="120" w:line="276" w:lineRule="auto"/>
              <w:ind w:firstLine="708"/>
              <w:jc w:val="both"/>
              <w:rPr>
                <w:rFonts w:ascii="Verdana" w:hAnsi="Verdana" w:cs="Arial"/>
                <w:bCs/>
                <w:lang w:eastAsia="es-ES"/>
              </w:rPr>
            </w:pPr>
            <w:r>
              <w:rPr>
                <w:rFonts w:ascii="Verdana" w:hAnsi="Verdana" w:cs="Arial"/>
                <w:bCs/>
                <w:lang w:eastAsia="es-ES"/>
              </w:rPr>
              <w:t>En particular, el numeral 4.1.3</w:t>
            </w:r>
            <w:r w:rsidR="00060782">
              <w:rPr>
                <w:rFonts w:ascii="Verdana" w:hAnsi="Verdana" w:cs="Arial"/>
                <w:bCs/>
                <w:lang w:eastAsia="es-ES"/>
              </w:rPr>
              <w:t xml:space="preserve"> </w:t>
            </w:r>
            <w:r w:rsidR="007D6550" w:rsidRPr="007D6550">
              <w:rPr>
                <w:rFonts w:ascii="Verdana" w:hAnsi="Verdana" w:cs="Arial"/>
                <w:bCs/>
                <w:lang w:eastAsia="es-ES"/>
              </w:rPr>
              <w:t>PRECIO ARTIFICIALMENTE BAJO</w:t>
            </w:r>
            <w:r w:rsidR="00060782">
              <w:rPr>
                <w:rFonts w:ascii="Verdana" w:hAnsi="Verdana" w:cs="Arial"/>
                <w:bCs/>
                <w:lang w:eastAsia="es-ES"/>
              </w:rPr>
              <w:t>, señala, tal y como se puede evidenciar a continuación:</w:t>
            </w:r>
          </w:p>
          <w:p w14:paraId="3DCF384F" w14:textId="77777777" w:rsidR="00D46A64" w:rsidRDefault="00D46A64" w:rsidP="00D46A64">
            <w:pPr>
              <w:ind w:left="709" w:right="709"/>
              <w:jc w:val="both"/>
              <w:rPr>
                <w:rFonts w:ascii="Verdana" w:eastAsia="Aptos" w:hAnsi="Verdana" w:cs="Times New Roman"/>
                <w:kern w:val="2"/>
                <w:sz w:val="20"/>
                <w:szCs w:val="20"/>
                <w14:ligatures w14:val="standardContextual"/>
              </w:rPr>
            </w:pPr>
            <w:r w:rsidRPr="00692094">
              <w:rPr>
                <w:rFonts w:ascii="Verdana" w:eastAsia="Aptos" w:hAnsi="Verdana" w:cs="Times New Roman"/>
                <w:kern w:val="2"/>
                <w:sz w:val="20"/>
                <w:szCs w:val="20"/>
                <w14:ligatures w14:val="standardContextual"/>
              </w:rPr>
              <w:t>“En el evento en el que el precio de una oferta no parezca suficiente para garantizar una correcta ejecución del contrato, de acuerdo con la información recogida durante la etapa de planeación y particularmente durante el estudio del sector, la entidad aplicará el proceso descrito en el artículo 2.2.1.1.2.2.4. del Decreto 1082 de 2015, además podrá acudir a los parámetros definidos en la Guía para el manejo de ofertas artificialmente bajas en procesos de Contratación de Colombia Compra Eficiente, como un criterio metodológico.</w:t>
            </w:r>
          </w:p>
          <w:p w14:paraId="7150336C" w14:textId="77777777" w:rsidR="00D46A64" w:rsidRPr="00692094" w:rsidRDefault="00D46A64" w:rsidP="00692094">
            <w:pPr>
              <w:ind w:left="709" w:right="709"/>
              <w:jc w:val="both"/>
              <w:rPr>
                <w:rFonts w:ascii="Verdana" w:eastAsia="Aptos" w:hAnsi="Verdana" w:cs="Times New Roman"/>
                <w:kern w:val="2"/>
                <w:sz w:val="20"/>
                <w:szCs w:val="20"/>
                <w14:ligatures w14:val="standardContextual"/>
              </w:rPr>
            </w:pPr>
          </w:p>
          <w:p w14:paraId="1532CB5B" w14:textId="68AEAE09" w:rsidR="00060782" w:rsidRPr="00692094" w:rsidRDefault="00D46A64" w:rsidP="00692094">
            <w:pPr>
              <w:ind w:left="709" w:right="709"/>
              <w:jc w:val="both"/>
              <w:rPr>
                <w:rFonts w:ascii="Verdana" w:eastAsia="Aptos" w:hAnsi="Verdana" w:cs="Times New Roman"/>
                <w:kern w:val="2"/>
                <w:sz w:val="20"/>
                <w:szCs w:val="20"/>
                <w14:ligatures w14:val="standardContextual"/>
              </w:rPr>
            </w:pPr>
            <w:r w:rsidRPr="00692094">
              <w:rPr>
                <w:rFonts w:ascii="Verdana" w:eastAsia="Aptos" w:hAnsi="Verdana" w:cs="Times New Roman"/>
                <w:kern w:val="2"/>
                <w:sz w:val="20"/>
                <w:szCs w:val="20"/>
                <w14:ligatures w14:val="standardContextual"/>
              </w:rPr>
              <w:t>Nota: La solicitud de justificación de precios artificialmente bajos deberá surtirse una vez la entidad realice la apertura del sobre económico y con anterioridad a la definición del orden de elegibilidad. Por lo anterior, para la revisión del aspecto económico y definición el orden de elegibilidad, no se considerarán aquellas propuestas que, con posterioridad al análisis realizado, la Entidad defina se configuran como artificialmente bajas, lo anterior, conforme con lo definido en el numeral 1.15. Causales de rechazo literal V”.</w:t>
            </w:r>
          </w:p>
          <w:p w14:paraId="7E8FB659" w14:textId="77777777" w:rsidR="00672E6D" w:rsidRDefault="00672E6D" w:rsidP="00472B43">
            <w:pPr>
              <w:spacing w:before="120" w:after="120" w:line="276" w:lineRule="auto"/>
              <w:ind w:firstLine="708"/>
              <w:jc w:val="both"/>
              <w:rPr>
                <w:rFonts w:ascii="Verdana" w:hAnsi="Verdana" w:cs="Arial"/>
                <w:bCs/>
                <w:lang w:val="es-ES_tradnl" w:eastAsia="es-ES"/>
              </w:rPr>
            </w:pPr>
          </w:p>
          <w:p w14:paraId="778BA4B4" w14:textId="5362C274" w:rsidR="00CE00CD" w:rsidRPr="00CE00CD" w:rsidRDefault="00672E6D" w:rsidP="00CE00CD">
            <w:pPr>
              <w:spacing w:before="120" w:after="120" w:line="276" w:lineRule="auto"/>
              <w:ind w:firstLine="708"/>
              <w:jc w:val="both"/>
              <w:rPr>
                <w:rFonts w:ascii="Verdana" w:hAnsi="Verdana" w:cs="Arial"/>
                <w:bCs/>
                <w:lang w:val="es-ES_tradnl" w:eastAsia="es-ES"/>
              </w:rPr>
            </w:pPr>
            <w:r>
              <w:rPr>
                <w:rFonts w:ascii="Verdana" w:hAnsi="Verdana" w:cs="Arial"/>
                <w:bCs/>
                <w:lang w:val="es-ES_tradnl" w:eastAsia="es-ES"/>
              </w:rPr>
              <w:t xml:space="preserve">En ese sentido, </w:t>
            </w:r>
            <w:r w:rsidR="00CE00CD">
              <w:rPr>
                <w:rFonts w:ascii="Verdana" w:hAnsi="Verdana" w:cs="Arial"/>
                <w:bCs/>
                <w:lang w:val="es-ES_tradnl" w:eastAsia="es-ES"/>
              </w:rPr>
              <w:t>l</w:t>
            </w:r>
            <w:r w:rsidR="00CE00CD" w:rsidRPr="00CE00CD">
              <w:rPr>
                <w:rFonts w:ascii="Verdana" w:hAnsi="Verdana" w:cs="Arial"/>
                <w:bCs/>
                <w:lang w:val="es-ES_tradnl" w:eastAsia="es-ES"/>
              </w:rPr>
              <w:t>as entidades estatales tienen la potestad de solicitar la justificación de precios artificialmente bajos cuando considere</w:t>
            </w:r>
            <w:r w:rsidR="00DA3A07">
              <w:rPr>
                <w:rFonts w:ascii="Verdana" w:hAnsi="Verdana" w:cs="Arial"/>
                <w:bCs/>
                <w:lang w:val="es-ES_tradnl" w:eastAsia="es-ES"/>
              </w:rPr>
              <w:t>n</w:t>
            </w:r>
            <w:r w:rsidR="00CE00CD" w:rsidRPr="00CE00CD">
              <w:rPr>
                <w:rFonts w:ascii="Verdana" w:hAnsi="Verdana" w:cs="Arial"/>
                <w:bCs/>
                <w:lang w:val="es-ES_tradnl" w:eastAsia="es-ES"/>
              </w:rPr>
              <w:t xml:space="preserve"> que la oferta no parezca suficiente para garantizar una correcta ejecución del </w:t>
            </w:r>
            <w:r w:rsidR="00CE00CD" w:rsidRPr="00CE00CD">
              <w:rPr>
                <w:rFonts w:ascii="Verdana" w:hAnsi="Verdana" w:cs="Arial"/>
                <w:bCs/>
                <w:lang w:val="es-ES_tradnl" w:eastAsia="es-ES"/>
              </w:rPr>
              <w:lastRenderedPageBreak/>
              <w:t xml:space="preserve">contrato, esto, conforme a la información recogida durante la etapa de planeación y particularmente durante el estudio del sector. </w:t>
            </w:r>
          </w:p>
          <w:p w14:paraId="433A9563" w14:textId="77777777" w:rsidR="00CE00CD" w:rsidRPr="00CE00CD" w:rsidRDefault="00CE00CD" w:rsidP="00CE00CD">
            <w:pPr>
              <w:spacing w:before="120" w:after="120" w:line="276" w:lineRule="auto"/>
              <w:ind w:firstLine="708"/>
              <w:jc w:val="both"/>
              <w:rPr>
                <w:rFonts w:ascii="Verdana" w:hAnsi="Verdana" w:cs="Arial"/>
                <w:lang w:val="es-ES" w:eastAsia="es-ES"/>
              </w:rPr>
            </w:pPr>
            <w:r w:rsidRPr="1B855655">
              <w:rPr>
                <w:rFonts w:ascii="Verdana" w:hAnsi="Verdana" w:cs="Arial"/>
                <w:lang w:val="es-ES" w:eastAsia="es-ES"/>
              </w:rPr>
              <w:t xml:space="preserve">La solicitud que se realice debe surtirse una vez la entidad realice la apertura del sobre económico y con anterioridad a la definición del orden de elegibilidad. Por lo anterior, para la revisión del aspecto económico y definición del orden de elegibilidad, no se considerarán aquellas propuestas que, con posterioridad al análisis realizado por la entidad se configuran como artificialmente bajas. </w:t>
            </w:r>
          </w:p>
          <w:p w14:paraId="425CD5B8" w14:textId="77E30F81" w:rsidR="00CE00CD" w:rsidRPr="00CE00CD" w:rsidRDefault="00CE00CD" w:rsidP="00CE00CD">
            <w:pPr>
              <w:spacing w:before="120" w:after="120" w:line="276" w:lineRule="auto"/>
              <w:ind w:firstLine="708"/>
              <w:jc w:val="both"/>
              <w:rPr>
                <w:rFonts w:ascii="Verdana" w:hAnsi="Verdana" w:cs="Arial"/>
                <w:lang w:val="es-ES" w:eastAsia="es-ES"/>
              </w:rPr>
            </w:pPr>
            <w:r w:rsidRPr="1B855655">
              <w:rPr>
                <w:rFonts w:ascii="Verdana" w:hAnsi="Verdana" w:cs="Arial"/>
                <w:lang w:val="es-ES" w:eastAsia="es-ES"/>
              </w:rPr>
              <w:t xml:space="preserve">Es importante resaltar conforme al objeto y  caso situacional planteado en su escrito, que, lo que requiere la entidad estatal es una justificación de los precios planteados en la oferta y por consiguiente lo que procede es una aclaración y/o explicación el cual no mejorará la oferta y  los cuales se deben presentar en el momento solicitado por la entidad y /o  durante la etapa de evaluación, y a más tardar hasta el término de traslado del informe de evaluación, es decir, dentro de los tres (3) días hábiles siguientes  contados a partir del día hábil siguiente a la expedición del informe de evaluación. </w:t>
            </w:r>
          </w:p>
          <w:p w14:paraId="1654835A" w14:textId="0DC4A7A2" w:rsidR="00672E6D" w:rsidRPr="00692094" w:rsidRDefault="00CE00CD" w:rsidP="00CE00CD">
            <w:pPr>
              <w:spacing w:before="120" w:after="120" w:line="276" w:lineRule="auto"/>
              <w:ind w:firstLine="708"/>
              <w:jc w:val="both"/>
              <w:rPr>
                <w:rFonts w:ascii="Verdana" w:hAnsi="Verdana" w:cs="Arial"/>
                <w:bCs/>
                <w:lang w:eastAsia="es-ES"/>
              </w:rPr>
            </w:pPr>
            <w:r w:rsidRPr="00CE00CD">
              <w:rPr>
                <w:rFonts w:ascii="Verdana" w:hAnsi="Verdana" w:cs="Arial"/>
                <w:bCs/>
                <w:lang w:val="es-ES_tradnl" w:eastAsia="es-ES"/>
              </w:rPr>
              <w:t xml:space="preserve">Así las cosas y para complementar, se reitera que el plazo para presentar las explicaciones sobre una oferta con posibles precios artificialmente bajos es hasta el término del traslado del informe de evaluación y la TRM que la entidad utilizará para determinar el método de ponderación será la que rija el segundo día hábil después de finalizado el periodo de traslado del informe de evaluación. Para cuando finalice el traslado del informe de evaluación la entidad estatal ya debe haber recepcionado los argumentos del respectivo oferente y conforme al análisis </w:t>
            </w:r>
            <w:r w:rsidR="00C90DCE" w:rsidRPr="00CE00CD">
              <w:rPr>
                <w:rFonts w:ascii="Verdana" w:hAnsi="Verdana" w:cs="Arial"/>
                <w:bCs/>
                <w:lang w:val="es-ES_tradnl" w:eastAsia="es-ES"/>
              </w:rPr>
              <w:t>de este</w:t>
            </w:r>
            <w:r w:rsidRPr="00CE00CD">
              <w:rPr>
                <w:rFonts w:ascii="Verdana" w:hAnsi="Verdana" w:cs="Arial"/>
                <w:bCs/>
                <w:lang w:val="es-ES_tradnl" w:eastAsia="es-ES"/>
              </w:rPr>
              <w:t xml:space="preserve"> ya debe tener respuesta si la oferta es o no artificialmente baja.</w:t>
            </w:r>
          </w:p>
          <w:p w14:paraId="65EAE8A7" w14:textId="1CF8F826" w:rsidR="00352E13" w:rsidRPr="0094448B" w:rsidRDefault="00352E13" w:rsidP="00472B43">
            <w:pPr>
              <w:spacing w:before="120" w:after="120" w:line="276" w:lineRule="auto"/>
              <w:ind w:firstLine="708"/>
              <w:jc w:val="both"/>
              <w:rPr>
                <w:rFonts w:ascii="Verdana" w:eastAsia="Calibri" w:hAnsi="Verdana" w:cs="Arial"/>
                <w:bCs/>
                <w:color w:val="000000" w:themeColor="text1"/>
              </w:rPr>
            </w:pPr>
            <w:r w:rsidRPr="0094448B">
              <w:rPr>
                <w:rFonts w:ascii="Verdana" w:hAnsi="Verdana" w:cs="Arial"/>
                <w:bCs/>
                <w:lang w:val="es-ES_tradnl" w:eastAsia="es-ES"/>
              </w:rPr>
              <w:t>E</w:t>
            </w:r>
            <w:r>
              <w:rPr>
                <w:rFonts w:ascii="Verdana" w:hAnsi="Verdana" w:cs="Arial"/>
                <w:bCs/>
                <w:lang w:val="es-ES_tradnl" w:eastAsia="es-ES"/>
              </w:rPr>
              <w:t>n todo caso</w:t>
            </w:r>
            <w:r w:rsidRPr="0094448B">
              <w:rPr>
                <w:rFonts w:ascii="Verdana" w:hAnsi="Verdana" w:cs="Arial"/>
                <w:bCs/>
                <w:lang w:val="es-ES_tradnl" w:eastAsia="es-ES"/>
              </w:rPr>
              <w:t xml:space="preserve">, </w:t>
            </w:r>
            <w:r w:rsidRPr="0094448B">
              <w:rPr>
                <w:rFonts w:ascii="Verdana" w:hAnsi="Verdana" w:cs="Arial"/>
                <w:bCs/>
                <w:lang w:eastAsia="es-ES"/>
              </w:rPr>
              <w:t xml:space="preserve">la entidad pública definirá en cada </w:t>
            </w:r>
            <w:r>
              <w:rPr>
                <w:rFonts w:ascii="Verdana" w:hAnsi="Verdana" w:cs="Arial"/>
                <w:bCs/>
                <w:lang w:eastAsia="es-ES"/>
              </w:rPr>
              <w:t xml:space="preserve">supuesto </w:t>
            </w:r>
            <w:r w:rsidRPr="0094448B">
              <w:rPr>
                <w:rFonts w:ascii="Verdana" w:hAnsi="Verdana" w:cs="Arial"/>
                <w:bCs/>
                <w:lang w:eastAsia="es-ES"/>
              </w:rPr>
              <w:t>lo relacionado con el tema objeto de consulta y teniendo en cuenta lo dispuesto en las normas previamente citadas. Al tratarse de un análisis que debe realizarse en el procedimiento contractual específico, la Agencia no puede definir un criterio universal y absoluto por vía consultiva, sino que brinda elementos de carácter general para que los partícipes del sistema de contratación pública adopten la decisión que corresponda, que sea acorde con el principio de juridicidad, sin que sea atribución de esta Agencia validar su gestión contractual.</w:t>
            </w:r>
          </w:p>
        </w:tc>
      </w:tr>
    </w:tbl>
    <w:p w14:paraId="22704E2D" w14:textId="77777777" w:rsidR="00352E13" w:rsidRDefault="00352E13" w:rsidP="00352E13">
      <w:pPr>
        <w:spacing w:after="0" w:line="276" w:lineRule="auto"/>
        <w:jc w:val="both"/>
        <w:rPr>
          <w:rFonts w:ascii="Verdana" w:eastAsia="Calibri" w:hAnsi="Verdana" w:cs="Arial"/>
          <w:bCs/>
          <w:color w:val="000000" w:themeColor="text1"/>
        </w:rPr>
      </w:pPr>
    </w:p>
    <w:p w14:paraId="4973D769" w14:textId="77777777" w:rsidR="00352E13" w:rsidRPr="0094448B" w:rsidRDefault="00352E13" w:rsidP="00352E13">
      <w:pPr>
        <w:numPr>
          <w:ilvl w:val="0"/>
          <w:numId w:val="16"/>
        </w:numPr>
        <w:spacing w:after="0" w:line="256" w:lineRule="auto"/>
        <w:rPr>
          <w:rFonts w:ascii="Verdana" w:eastAsia="Calibri" w:hAnsi="Verdana" w:cs="Times New Roman"/>
          <w:b/>
          <w:bCs/>
          <w:lang w:val="es-ES"/>
        </w:rPr>
      </w:pPr>
      <w:r w:rsidRPr="0094448B">
        <w:rPr>
          <w:rFonts w:ascii="Verdana" w:eastAsia="Calibri" w:hAnsi="Verdana" w:cs="Times New Roman"/>
          <w:b/>
          <w:bCs/>
          <w:lang w:val="es-ES"/>
        </w:rPr>
        <w:t>Razones de la respuesta:</w:t>
      </w:r>
    </w:p>
    <w:p w14:paraId="7C1BA06C" w14:textId="77777777" w:rsidR="00352E13" w:rsidRPr="0094448B" w:rsidRDefault="00352E13" w:rsidP="00352E13">
      <w:pPr>
        <w:spacing w:after="0" w:line="256" w:lineRule="auto"/>
        <w:rPr>
          <w:rFonts w:ascii="Verdana" w:eastAsia="Calibri" w:hAnsi="Verdana" w:cs="Times New Roman"/>
          <w:b/>
          <w:bCs/>
          <w:lang w:val="es-ES"/>
        </w:rPr>
      </w:pPr>
    </w:p>
    <w:p w14:paraId="4AE641CD" w14:textId="77777777" w:rsidR="00352E13" w:rsidRPr="0094448B" w:rsidRDefault="00352E13" w:rsidP="00352E13">
      <w:pPr>
        <w:spacing w:after="0" w:line="276" w:lineRule="auto"/>
        <w:jc w:val="both"/>
        <w:rPr>
          <w:rFonts w:ascii="Verdana" w:eastAsia="Calibri" w:hAnsi="Verdana" w:cs="Arial"/>
          <w:lang w:val="es-ES"/>
        </w:rPr>
      </w:pPr>
      <w:r w:rsidRPr="0094448B">
        <w:rPr>
          <w:rFonts w:ascii="Verdana" w:eastAsia="Calibri" w:hAnsi="Verdana" w:cs="Arial"/>
          <w:lang w:val="es-ES"/>
        </w:rPr>
        <w:t xml:space="preserve">Lo anterior se sustenta en las siguientes consideraciones: </w:t>
      </w:r>
    </w:p>
    <w:p w14:paraId="7E7724F8" w14:textId="77777777" w:rsidR="00352E13" w:rsidRPr="0094448B" w:rsidRDefault="00352E13" w:rsidP="00352E13">
      <w:pPr>
        <w:spacing w:after="0" w:line="276" w:lineRule="auto"/>
        <w:jc w:val="both"/>
        <w:rPr>
          <w:rFonts w:ascii="Verdana" w:eastAsia="Calibri" w:hAnsi="Verdana" w:cs="Arial"/>
          <w:lang w:val="es-ES"/>
        </w:rPr>
      </w:pPr>
    </w:p>
    <w:p w14:paraId="3BD23395" w14:textId="77777777" w:rsidR="00352E13" w:rsidRPr="00910028" w:rsidRDefault="00352E13" w:rsidP="00352E13">
      <w:pPr>
        <w:widowControl w:val="0"/>
        <w:autoSpaceDE w:val="0"/>
        <w:autoSpaceDN w:val="0"/>
        <w:snapToGrid w:val="0"/>
        <w:spacing w:after="0" w:line="276" w:lineRule="auto"/>
        <w:jc w:val="both"/>
        <w:rPr>
          <w:rFonts w:ascii="Verdana" w:eastAsia="Arial" w:hAnsi="Verdana" w:cs="Arial"/>
          <w:lang w:val="es-ES" w:eastAsia="es-ES" w:bidi="es-ES"/>
        </w:rPr>
      </w:pPr>
      <w:r w:rsidRPr="0094448B">
        <w:rPr>
          <w:rFonts w:ascii="Verdana" w:eastAsia="Calibri" w:hAnsi="Verdana" w:cs="Arial"/>
          <w:bCs/>
          <w:lang w:val="es-ES_tradnl"/>
        </w:rPr>
        <w:t xml:space="preserve">i. </w:t>
      </w:r>
      <w:r w:rsidRPr="00910028">
        <w:rPr>
          <w:rFonts w:ascii="Verdana" w:eastAsia="Arial" w:hAnsi="Verdana" w:cs="Arial"/>
          <w:lang w:val="es-ES" w:eastAsia="es-ES" w:bidi="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r w:rsidRPr="00910028">
        <w:rPr>
          <w:rFonts w:ascii="Verdana" w:eastAsia="Arial" w:hAnsi="Verdana" w:cs="Arial"/>
          <w:vertAlign w:val="superscript"/>
          <w:lang w:val="es-ES" w:eastAsia="es-ES" w:bidi="es-ES"/>
        </w:rPr>
        <w:footnoteReference w:id="1"/>
      </w:r>
      <w:r w:rsidRPr="00910028">
        <w:rPr>
          <w:rFonts w:ascii="Verdana" w:eastAsia="Arial" w:hAnsi="Verdana" w:cs="Arial"/>
          <w:lang w:val="es-ES" w:eastAsia="es-ES" w:bidi="es-ES"/>
        </w:rPr>
        <w:t>.</w:t>
      </w:r>
      <w:r>
        <w:rPr>
          <w:rFonts w:ascii="Verdana" w:eastAsia="Arial" w:hAnsi="Verdana" w:cs="Arial"/>
          <w:lang w:val="es-ES" w:eastAsia="es-ES" w:bidi="es-ES"/>
        </w:rPr>
        <w:t xml:space="preserve"> Al respecto, e</w:t>
      </w:r>
      <w:r w:rsidRPr="00910028">
        <w:rPr>
          <w:rFonts w:ascii="Verdana" w:eastAsia="Arial" w:hAnsi="Verdana" w:cs="Arial"/>
          <w:lang w:val="es-ES" w:eastAsia="es-ES" w:bidi="es-ES"/>
        </w:rPr>
        <w:t>l Consejo de Estado, Sección Tercera, sentencia 4 de junio de 2008, radicado No. 17.783, M.P. Myriam Guerrero de Escobar, define el precio artificialmente bajo como aquel que no tiene sustento o fundamento en su</w:t>
      </w:r>
      <w:r w:rsidRPr="00910028">
        <w:rPr>
          <w:rFonts w:ascii="Verdana" w:eastAsia="Arial" w:hAnsi="Verdana" w:cs="Arial"/>
          <w:spacing w:val="-45"/>
          <w:lang w:val="es-ES" w:eastAsia="es-ES" w:bidi="es-ES"/>
        </w:rPr>
        <w:t xml:space="preserve"> </w:t>
      </w:r>
      <w:r w:rsidRPr="00910028">
        <w:rPr>
          <w:rFonts w:ascii="Verdana" w:eastAsia="Arial" w:hAnsi="Verdana" w:cs="Arial"/>
          <w:lang w:val="es-ES" w:eastAsia="es-ES" w:bidi="es-ES"/>
        </w:rPr>
        <w:t>estructuración dentro del tráfico comercial:</w:t>
      </w:r>
    </w:p>
    <w:p w14:paraId="0A11ADC7" w14:textId="77777777" w:rsidR="00352E13" w:rsidRPr="00910028" w:rsidRDefault="00352E13" w:rsidP="00352E13">
      <w:pPr>
        <w:widowControl w:val="0"/>
        <w:autoSpaceDE w:val="0"/>
        <w:autoSpaceDN w:val="0"/>
        <w:spacing w:after="0" w:line="276" w:lineRule="auto"/>
        <w:ind w:left="720"/>
        <w:rPr>
          <w:rFonts w:ascii="Verdana" w:eastAsia="Arial" w:hAnsi="Verdana" w:cs="Arial"/>
          <w:lang w:val="es-ES" w:eastAsia="es-ES" w:bidi="es-ES"/>
        </w:rPr>
      </w:pPr>
    </w:p>
    <w:p w14:paraId="63446C2E" w14:textId="77777777" w:rsidR="00352E13" w:rsidRPr="00666BAC" w:rsidRDefault="00352E13" w:rsidP="00352E13">
      <w:pPr>
        <w:spacing w:after="0" w:line="240" w:lineRule="auto"/>
        <w:ind w:left="709" w:right="709"/>
        <w:jc w:val="both"/>
        <w:rPr>
          <w:rFonts w:ascii="Verdana" w:eastAsia="Aptos" w:hAnsi="Verdana" w:cs="Times New Roman"/>
          <w:kern w:val="2"/>
          <w:sz w:val="20"/>
          <w:szCs w:val="20"/>
          <w14:ligatures w14:val="standardContextual"/>
        </w:rPr>
      </w:pPr>
      <w:r w:rsidRPr="00666BAC">
        <w:rPr>
          <w:rFonts w:ascii="Verdana" w:eastAsia="Aptos" w:hAnsi="Verdana" w:cs="Times New Roman"/>
          <w:kern w:val="2"/>
          <w:sz w:val="20"/>
          <w:szCs w:val="20"/>
          <w14:ligatures w14:val="standardContextual"/>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w:t>
      </w:r>
      <w:r w:rsidRPr="00666BAC">
        <w:rPr>
          <w:rFonts w:ascii="Verdana" w:eastAsia="Aptos" w:hAnsi="Verdana" w:cs="Times New Roman"/>
          <w:spacing w:val="-8"/>
          <w:kern w:val="2"/>
          <w:sz w:val="20"/>
          <w:szCs w:val="20"/>
          <w14:ligatures w14:val="standardContextual"/>
        </w:rPr>
        <w:t xml:space="preserve"> </w:t>
      </w:r>
      <w:r w:rsidRPr="00666BAC">
        <w:rPr>
          <w:rFonts w:ascii="Verdana" w:eastAsia="Aptos" w:hAnsi="Verdana" w:cs="Times New Roman"/>
          <w:kern w:val="2"/>
          <w:sz w:val="20"/>
          <w:szCs w:val="20"/>
          <w14:ligatures w14:val="standardContextual"/>
        </w:rPr>
        <w:t>[…]”.</w:t>
      </w:r>
    </w:p>
    <w:p w14:paraId="52F70617" w14:textId="77777777" w:rsidR="00352E13" w:rsidRPr="00910028" w:rsidRDefault="00352E13" w:rsidP="00352E13">
      <w:pPr>
        <w:widowControl w:val="0"/>
        <w:autoSpaceDE w:val="0"/>
        <w:autoSpaceDN w:val="0"/>
        <w:spacing w:after="0" w:line="276" w:lineRule="auto"/>
        <w:ind w:left="720"/>
        <w:jc w:val="both"/>
        <w:rPr>
          <w:rFonts w:ascii="Verdana" w:eastAsia="Arial" w:hAnsi="Verdana" w:cs="Arial"/>
          <w:lang w:val="es-ES" w:eastAsia="es-ES" w:bidi="es-ES"/>
        </w:rPr>
      </w:pPr>
    </w:p>
    <w:p w14:paraId="69B170FA" w14:textId="77777777" w:rsidR="00352E13" w:rsidRDefault="00352E13" w:rsidP="00352E13">
      <w:pPr>
        <w:widowControl w:val="0"/>
        <w:autoSpaceDE w:val="0"/>
        <w:autoSpaceDN w:val="0"/>
        <w:spacing w:after="0" w:line="276" w:lineRule="auto"/>
        <w:ind w:firstLine="709"/>
        <w:jc w:val="both"/>
        <w:rPr>
          <w:rFonts w:ascii="Verdana" w:eastAsia="Arial" w:hAnsi="Verdana" w:cs="Arial"/>
          <w:lang w:val="es-ES" w:eastAsia="es-ES" w:bidi="es-ES"/>
        </w:rPr>
      </w:pPr>
      <w:r w:rsidRPr="00910028">
        <w:rPr>
          <w:rFonts w:ascii="Verdana" w:eastAsia="Arial" w:hAnsi="Verdana" w:cs="Arial"/>
          <w:lang w:val="es-ES" w:eastAsia="es-ES" w:bidi="es-ES"/>
        </w:rPr>
        <w:t xml:space="preserve">Por su parte, el artículo 2.2.1.1.2.2.4. del Decreto 1082 de 2015 establece que cuando el valor de una oferta parezca artificialmente bajo, la entidad debe requerir al oferente para que explique las razones que sustentan el valor ofrecido. Frente a estas explicaciones le corresponde al comité evaluador </w:t>
      </w:r>
      <w:r>
        <w:rPr>
          <w:rFonts w:ascii="Verdana" w:eastAsia="Arial" w:hAnsi="Verdana" w:cs="Arial"/>
          <w:lang w:val="es-ES" w:eastAsia="es-ES" w:bidi="es-ES"/>
        </w:rPr>
        <w:t>analizarlas y recomendar si d</w:t>
      </w:r>
      <w:r w:rsidRPr="00910028">
        <w:rPr>
          <w:rFonts w:ascii="Verdana" w:eastAsia="Arial" w:hAnsi="Verdana" w:cs="Arial"/>
          <w:lang w:val="es-ES" w:eastAsia="es-ES" w:bidi="es-ES"/>
        </w:rPr>
        <w:t>ebe rechazar la oferta o continuar con el análisis de la oferta durante la evaluación de las ofertas</w:t>
      </w:r>
      <w:r>
        <w:rPr>
          <w:rFonts w:ascii="Verdana" w:eastAsia="Arial" w:hAnsi="Verdana" w:cs="Arial"/>
          <w:lang w:val="es-ES" w:eastAsia="es-ES" w:bidi="es-ES"/>
        </w:rPr>
        <w:t>:</w:t>
      </w:r>
    </w:p>
    <w:p w14:paraId="574811BE" w14:textId="77777777" w:rsidR="00352E13" w:rsidRPr="001F4545" w:rsidRDefault="00352E13" w:rsidP="00352E13">
      <w:pPr>
        <w:spacing w:after="0" w:line="240" w:lineRule="auto"/>
        <w:ind w:left="708" w:right="616" w:firstLine="1"/>
        <w:jc w:val="both"/>
        <w:rPr>
          <w:rFonts w:ascii="Verdana" w:hAnsi="Verdana"/>
          <w:sz w:val="21"/>
          <w:szCs w:val="21"/>
        </w:rPr>
      </w:pPr>
    </w:p>
    <w:p w14:paraId="02DD8796" w14:textId="77777777" w:rsidR="00352E13" w:rsidRPr="00666BAC" w:rsidRDefault="00352E13" w:rsidP="00352E13">
      <w:pPr>
        <w:spacing w:after="0" w:line="240" w:lineRule="auto"/>
        <w:ind w:left="708" w:right="616" w:firstLine="1"/>
        <w:jc w:val="both"/>
        <w:rPr>
          <w:rFonts w:ascii="Verdana" w:hAnsi="Verdana"/>
          <w:sz w:val="20"/>
          <w:szCs w:val="20"/>
        </w:rPr>
      </w:pPr>
      <w:r w:rsidRPr="00666BAC">
        <w:rPr>
          <w:rFonts w:ascii="Verdana" w:hAnsi="Verdana"/>
          <w:bCs/>
          <w:sz w:val="20"/>
          <w:szCs w:val="20"/>
        </w:rPr>
        <w:t>“Artículo 2.2.1.1.2.2.4. </w:t>
      </w:r>
      <w:r w:rsidRPr="00666BAC">
        <w:rPr>
          <w:rFonts w:ascii="Verdana" w:hAnsi="Verdana"/>
          <w:bCs/>
          <w:i/>
          <w:iCs/>
          <w:sz w:val="20"/>
          <w:szCs w:val="20"/>
        </w:rPr>
        <w:t>Oferta con valor artificialmente bajo.</w:t>
      </w:r>
      <w:r w:rsidRPr="00666BAC">
        <w:rPr>
          <w:rFonts w:ascii="Verdana" w:hAnsi="Verdana"/>
          <w:i/>
          <w:iCs/>
          <w:sz w:val="20"/>
          <w:szCs w:val="20"/>
        </w:rPr>
        <w:t> </w:t>
      </w:r>
      <w:r w:rsidRPr="00666BAC">
        <w:rPr>
          <w:rFonts w:ascii="Verdana" w:hAnsi="Verdana"/>
          <w:sz w:val="20"/>
          <w:szCs w:val="20"/>
        </w:rPr>
        <w:t xml:space="preserve">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w:t>
      </w:r>
      <w:r w:rsidRPr="00666BAC">
        <w:rPr>
          <w:rFonts w:ascii="Verdana" w:hAnsi="Verdana"/>
          <w:sz w:val="20"/>
          <w:szCs w:val="20"/>
        </w:rPr>
        <w:lastRenderedPageBreak/>
        <w:t xml:space="preserve">Analizadas las explicaciones, el comité evaluador de que trata el artículo anterior, o quien haga la evaluación de las ofertas, debe recomendar rechazar la oferta o continuar con el análisis de </w:t>
      </w:r>
      <w:proofErr w:type="gramStart"/>
      <w:r w:rsidRPr="00666BAC">
        <w:rPr>
          <w:rFonts w:ascii="Verdana" w:hAnsi="Verdana"/>
          <w:sz w:val="20"/>
          <w:szCs w:val="20"/>
        </w:rPr>
        <w:t>la misma</w:t>
      </w:r>
      <w:proofErr w:type="gramEnd"/>
      <w:r w:rsidRPr="00666BAC">
        <w:rPr>
          <w:rFonts w:ascii="Verdana" w:hAnsi="Verdana"/>
          <w:sz w:val="20"/>
          <w:szCs w:val="20"/>
        </w:rPr>
        <w:t xml:space="preserve"> en la evaluación de las ofertas.</w:t>
      </w:r>
    </w:p>
    <w:p w14:paraId="07A725A4" w14:textId="77777777" w:rsidR="00352E13" w:rsidRDefault="00352E13" w:rsidP="00352E13">
      <w:pPr>
        <w:spacing w:after="0" w:line="240" w:lineRule="auto"/>
        <w:ind w:left="708" w:right="616" w:firstLine="1"/>
        <w:jc w:val="both"/>
        <w:rPr>
          <w:rFonts w:ascii="Verdana" w:hAnsi="Verdana"/>
          <w:sz w:val="20"/>
          <w:szCs w:val="20"/>
        </w:rPr>
      </w:pPr>
    </w:p>
    <w:p w14:paraId="325BB523" w14:textId="77777777" w:rsidR="00352E13" w:rsidRDefault="00352E13" w:rsidP="00352E13">
      <w:pPr>
        <w:spacing w:after="0" w:line="240" w:lineRule="auto"/>
        <w:ind w:left="708" w:right="616" w:firstLine="1"/>
        <w:jc w:val="both"/>
        <w:rPr>
          <w:rFonts w:ascii="Verdana" w:hAnsi="Verdana"/>
          <w:sz w:val="20"/>
          <w:szCs w:val="20"/>
        </w:rPr>
      </w:pPr>
      <w:r w:rsidRPr="00666BAC">
        <w:rPr>
          <w:rFonts w:ascii="Verdana" w:hAnsi="Verdana"/>
          <w:sz w:val="20"/>
          <w:szCs w:val="20"/>
        </w:rPr>
        <w:t>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14:paraId="0340BECD" w14:textId="77777777" w:rsidR="00352E13" w:rsidRPr="00666BAC" w:rsidRDefault="00352E13" w:rsidP="00352E13">
      <w:pPr>
        <w:spacing w:after="0" w:line="240" w:lineRule="auto"/>
        <w:ind w:left="708" w:right="616" w:firstLine="1"/>
        <w:jc w:val="both"/>
        <w:rPr>
          <w:rFonts w:ascii="Verdana" w:hAnsi="Verdana"/>
          <w:sz w:val="20"/>
          <w:szCs w:val="20"/>
        </w:rPr>
      </w:pPr>
    </w:p>
    <w:p w14:paraId="65E46073" w14:textId="77777777" w:rsidR="00352E13" w:rsidRPr="00666BAC" w:rsidRDefault="00352E13" w:rsidP="00352E13">
      <w:pPr>
        <w:spacing w:after="0" w:line="240" w:lineRule="auto"/>
        <w:ind w:left="708" w:right="616" w:firstLine="1"/>
        <w:jc w:val="both"/>
        <w:rPr>
          <w:rFonts w:ascii="Verdana" w:hAnsi="Verdana"/>
          <w:sz w:val="20"/>
          <w:szCs w:val="20"/>
        </w:rPr>
      </w:pPr>
      <w:r w:rsidRPr="00666BAC">
        <w:rPr>
          <w:rFonts w:ascii="Verdana" w:hAnsi="Verdana"/>
          <w:sz w:val="20"/>
          <w:szCs w:val="20"/>
        </w:rPr>
        <w:t xml:space="preserve">En la subasta inversa esta disposición es aplicable sobre el precio obtenido al final de </w:t>
      </w:r>
      <w:proofErr w:type="gramStart"/>
      <w:r w:rsidRPr="00666BAC">
        <w:rPr>
          <w:rFonts w:ascii="Verdana" w:hAnsi="Verdana"/>
          <w:sz w:val="20"/>
          <w:szCs w:val="20"/>
        </w:rPr>
        <w:t>la misma</w:t>
      </w:r>
      <w:proofErr w:type="gramEnd"/>
      <w:r w:rsidRPr="00666BAC">
        <w:rPr>
          <w:rFonts w:ascii="Verdana" w:hAnsi="Verdana"/>
          <w:sz w:val="20"/>
          <w:szCs w:val="20"/>
        </w:rPr>
        <w:t>”.</w:t>
      </w:r>
    </w:p>
    <w:p w14:paraId="05551727" w14:textId="77777777" w:rsidR="00352E13" w:rsidRPr="00C71D70" w:rsidRDefault="00352E13" w:rsidP="00352E13">
      <w:pPr>
        <w:spacing w:after="0" w:line="240" w:lineRule="auto"/>
        <w:ind w:left="708" w:right="616" w:firstLine="1"/>
        <w:jc w:val="both"/>
        <w:rPr>
          <w:rFonts w:ascii="Verdana" w:hAnsi="Verdana"/>
          <w:sz w:val="21"/>
          <w:szCs w:val="21"/>
        </w:rPr>
      </w:pPr>
    </w:p>
    <w:p w14:paraId="2C65ED2A" w14:textId="77777777" w:rsidR="00352E13" w:rsidRPr="00AC1339" w:rsidRDefault="00352E13" w:rsidP="00352E13">
      <w:pPr>
        <w:spacing w:after="120" w:line="276" w:lineRule="auto"/>
        <w:ind w:firstLine="708"/>
        <w:jc w:val="both"/>
        <w:rPr>
          <w:rFonts w:ascii="Verdana" w:eastAsia="Calibri" w:hAnsi="Verdana" w:cs="Arial"/>
          <w:lang w:val="es-ES"/>
        </w:rPr>
      </w:pPr>
      <w:r w:rsidRPr="00AC1339">
        <w:rPr>
          <w:rFonts w:ascii="Verdana" w:eastAsia="Calibri" w:hAnsi="Verdana" w:cs="Arial"/>
          <w:lang w:val="es-MX"/>
        </w:rPr>
        <w:t xml:space="preserve">Así pues, el artículo 2.2.1.1.2.2.4 ibidem, establece lo que debe hacer la entidad cuando el precio de una oferta parece artificialmente bajo, esto es: i) solicitar explicación al oferente, </w:t>
      </w:r>
      <w:proofErr w:type="spellStart"/>
      <w:r w:rsidRPr="00AC1339">
        <w:rPr>
          <w:rFonts w:ascii="Verdana" w:eastAsia="Calibri" w:hAnsi="Verdana" w:cs="Arial"/>
          <w:lang w:val="es-MX"/>
        </w:rPr>
        <w:t>ii</w:t>
      </w:r>
      <w:proofErr w:type="spellEnd"/>
      <w:r w:rsidRPr="00AC1339">
        <w:rPr>
          <w:rFonts w:ascii="Verdana" w:eastAsia="Calibri" w:hAnsi="Verdana" w:cs="Arial"/>
          <w:lang w:val="es-MX"/>
        </w:rPr>
        <w:t xml:space="preserve">) analizar las explicaciones del oferente, </w:t>
      </w:r>
      <w:proofErr w:type="spellStart"/>
      <w:r w:rsidRPr="00AC1339">
        <w:rPr>
          <w:rFonts w:ascii="Verdana" w:eastAsia="Calibri" w:hAnsi="Verdana" w:cs="Arial"/>
          <w:lang w:val="es-MX"/>
        </w:rPr>
        <w:t>iii</w:t>
      </w:r>
      <w:proofErr w:type="spellEnd"/>
      <w:r w:rsidRPr="00AC1339">
        <w:rPr>
          <w:rFonts w:ascii="Verdana" w:eastAsia="Calibri" w:hAnsi="Verdana" w:cs="Arial"/>
          <w:lang w:val="es-MX"/>
        </w:rPr>
        <w:t xml:space="preserve">) el responsable de la evaluación de las ofertas debe recomendar rechazar o continuar la evaluación de la oferta, y </w:t>
      </w:r>
      <w:proofErr w:type="spellStart"/>
      <w:r w:rsidRPr="00AC1339">
        <w:rPr>
          <w:rFonts w:ascii="Verdana" w:eastAsia="Calibri" w:hAnsi="Verdana" w:cs="Arial"/>
          <w:lang w:val="es-MX"/>
        </w:rPr>
        <w:t>iv</w:t>
      </w:r>
      <w:proofErr w:type="spellEnd"/>
      <w:r w:rsidRPr="00AC1339">
        <w:rPr>
          <w:rFonts w:ascii="Verdana" w:eastAsia="Calibri" w:hAnsi="Verdana" w:cs="Arial"/>
          <w:lang w:val="es-MX"/>
        </w:rPr>
        <w:t>) para la subasta inversa, lo anterior se debe hacer al finalizar el evento.</w:t>
      </w:r>
    </w:p>
    <w:p w14:paraId="5D482E5C" w14:textId="77777777" w:rsidR="00352E13" w:rsidRPr="00AC1339" w:rsidRDefault="00352E13" w:rsidP="00352E13">
      <w:pPr>
        <w:spacing w:before="120" w:line="276" w:lineRule="auto"/>
        <w:ind w:firstLine="708"/>
        <w:jc w:val="both"/>
        <w:rPr>
          <w:rFonts w:ascii="Verdana" w:eastAsia="Calibri" w:hAnsi="Verdana" w:cs="Arial"/>
        </w:rPr>
      </w:pPr>
      <w:r w:rsidRPr="00AC1339">
        <w:rPr>
          <w:rFonts w:ascii="Verdana" w:eastAsia="Calibri" w:hAnsi="Verdana" w:cs="Arial"/>
          <w:lang w:val="es-ES"/>
        </w:rPr>
        <w:t>Sin embargo, debe precisarse que el análisis de los precios de una oferta se hace en la fase de evaluación del procedimiento</w:t>
      </w:r>
      <w:r>
        <w:rPr>
          <w:rFonts w:ascii="Verdana" w:eastAsia="Calibri" w:hAnsi="Verdana" w:cs="Arial"/>
          <w:lang w:val="es-ES"/>
        </w:rPr>
        <w:t xml:space="preserve"> de selección</w:t>
      </w:r>
      <w:r w:rsidRPr="00AC1339">
        <w:rPr>
          <w:rFonts w:ascii="Verdana" w:eastAsia="Calibri" w:hAnsi="Verdana" w:cs="Arial"/>
          <w:lang w:val="es-ES"/>
        </w:rPr>
        <w:t>, que es la oportunidad para verificar, a través del comité evaluador</w:t>
      </w:r>
      <w:r w:rsidRPr="00AC1339">
        <w:rPr>
          <w:rFonts w:ascii="Verdana" w:eastAsia="Aptos" w:hAnsi="Verdana" w:cs="Times New Roman"/>
          <w:kern w:val="2"/>
          <w:vertAlign w:val="superscript"/>
          <w:lang w:val="es-MX"/>
          <w14:ligatures w14:val="standardContextual"/>
        </w:rPr>
        <w:footnoteReference w:id="2"/>
      </w:r>
      <w:r>
        <w:rPr>
          <w:rFonts w:ascii="Verdana" w:eastAsia="Calibri" w:hAnsi="Verdana" w:cs="Arial"/>
          <w:lang w:val="es-MX"/>
        </w:rPr>
        <w:t xml:space="preserve"> si se cumplen o no</w:t>
      </w:r>
      <w:r w:rsidRPr="00AC1339">
        <w:rPr>
          <w:rFonts w:ascii="Verdana" w:eastAsia="Calibri" w:hAnsi="Verdana" w:cs="Arial"/>
          <w:lang w:val="es-MX"/>
        </w:rPr>
        <w:t xml:space="preserve"> las reglas </w:t>
      </w:r>
      <w:r>
        <w:rPr>
          <w:rFonts w:ascii="Verdana" w:eastAsia="Calibri" w:hAnsi="Verdana" w:cs="Arial"/>
          <w:lang w:val="es-MX"/>
        </w:rPr>
        <w:t>de</w:t>
      </w:r>
      <w:r w:rsidRPr="00AC1339">
        <w:rPr>
          <w:rFonts w:ascii="Verdana" w:eastAsia="Calibri" w:hAnsi="Verdana" w:cs="Arial"/>
          <w:lang w:val="es-MX"/>
        </w:rPr>
        <w:t xml:space="preserve"> los pliegos de condiciones. En efecto, el objeto de la evaluación de las 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14:paraId="352771EA" w14:textId="77777777" w:rsidR="00352E13" w:rsidRPr="00AC1339" w:rsidRDefault="00352E13" w:rsidP="00352E13">
      <w:pPr>
        <w:spacing w:after="120" w:line="276" w:lineRule="auto"/>
        <w:ind w:firstLine="708"/>
        <w:jc w:val="both"/>
        <w:rPr>
          <w:rFonts w:ascii="Verdana" w:eastAsia="Calibri" w:hAnsi="Verdana" w:cs="Arial"/>
          <w:highlight w:val="yellow"/>
          <w:lang w:val="es-ES"/>
        </w:rPr>
      </w:pPr>
      <w:r w:rsidRPr="00AC1339">
        <w:rPr>
          <w:rFonts w:ascii="Verdana" w:eastAsia="Calibri" w:hAnsi="Verdana" w:cs="Arial"/>
          <w:lang w:val="es-ES"/>
        </w:rPr>
        <w:t>En ese sentid</w:t>
      </w:r>
      <w:r>
        <w:rPr>
          <w:rFonts w:ascii="Verdana" w:eastAsia="Calibri" w:hAnsi="Verdana" w:cs="Arial"/>
          <w:lang w:val="es-ES"/>
        </w:rPr>
        <w:t xml:space="preserve">o, </w:t>
      </w:r>
      <w:r w:rsidRPr="00AC1339">
        <w:rPr>
          <w:rFonts w:ascii="Verdana" w:eastAsia="Calibri" w:hAnsi="Verdana" w:cs="Arial"/>
          <w:lang w:val="es-ES"/>
        </w:rPr>
        <w:t>en la evaluación</w:t>
      </w:r>
      <w:r>
        <w:rPr>
          <w:rFonts w:ascii="Verdana" w:eastAsia="Calibri" w:hAnsi="Verdana" w:cs="Arial"/>
          <w:lang w:val="es-ES"/>
        </w:rPr>
        <w:t xml:space="preserve"> que se realiza antes de la adjudicación del contrato</w:t>
      </w:r>
      <w:r w:rsidRPr="00AC1339">
        <w:rPr>
          <w:rFonts w:ascii="Verdana" w:eastAsia="Calibri" w:hAnsi="Verdana" w:cs="Arial"/>
          <w:lang w:val="es-ES"/>
        </w:rPr>
        <w:t xml:space="preserve"> la entidad debe verificar la oferta y su componente económico, para </w:t>
      </w:r>
      <w:r w:rsidRPr="00AC1339">
        <w:rPr>
          <w:rFonts w:ascii="Verdana" w:eastAsia="Calibri" w:hAnsi="Verdana" w:cs="Arial"/>
          <w:lang w:val="es-ES"/>
        </w:rPr>
        <w:lastRenderedPageBreak/>
        <w:t>determinar si corresponde con el resultado del análisis de la oferta en el estudio de mercado, o si los precios tienen un componente atípico que no se identificó al observar el comportamiento de los proveedores d</w:t>
      </w:r>
      <w:r>
        <w:rPr>
          <w:rFonts w:ascii="Verdana" w:eastAsia="Calibri" w:hAnsi="Verdana" w:cs="Arial"/>
          <w:lang w:val="es-ES"/>
        </w:rPr>
        <w:t xml:space="preserve">el bien, obra o servicio que </w:t>
      </w:r>
      <w:r w:rsidRPr="00AC1339">
        <w:rPr>
          <w:rFonts w:ascii="Verdana" w:eastAsia="Calibri" w:hAnsi="Verdana" w:cs="Arial"/>
          <w:lang w:val="es-ES"/>
        </w:rPr>
        <w:t>pretende contratar</w:t>
      </w:r>
      <w:r>
        <w:rPr>
          <w:rFonts w:ascii="Verdana" w:eastAsia="Calibri" w:hAnsi="Verdana" w:cs="Arial"/>
          <w:lang w:val="es-ES"/>
        </w:rPr>
        <w:t>se</w:t>
      </w:r>
      <w:r w:rsidRPr="00AC1339">
        <w:rPr>
          <w:rFonts w:ascii="Verdana" w:eastAsia="Calibri" w:hAnsi="Verdana" w:cs="Arial"/>
          <w:lang w:val="es-ES"/>
        </w:rPr>
        <w:t>. En ese caso, la entidad podrá identificar las ofertas con precios que parecen artificialmente bajos, y seguir el procedimiento del Decreto 1082 de 2015. Concluido dicho análisis, es posible que a partir de las explicaciones ofrecidas por el proponente se determine que el valor responde a circunstancias objetivas que le permiten cumplir el contrato, sin que con ello termine la evaluación, porque el Decreto 1082 de 2015 señala que la entidad puede continuar el análisis en esta fase de evaluación.</w:t>
      </w:r>
    </w:p>
    <w:p w14:paraId="4549E677" w14:textId="77777777" w:rsidR="00352E13" w:rsidRDefault="00352E13" w:rsidP="00352E13">
      <w:pPr>
        <w:spacing w:after="120" w:line="276" w:lineRule="auto"/>
        <w:ind w:firstLine="708"/>
        <w:jc w:val="both"/>
        <w:rPr>
          <w:rFonts w:ascii="Verdana" w:eastAsia="Times New Roman" w:hAnsi="Verdana" w:cs="Arial"/>
          <w:lang w:val="es-ES"/>
        </w:rPr>
      </w:pPr>
      <w:r w:rsidRPr="00AC1339">
        <w:rPr>
          <w:rFonts w:ascii="Verdana" w:eastAsia="Times New Roman" w:hAnsi="Verdana" w:cs="Arial"/>
          <w:lang w:val="es-ES"/>
        </w:rPr>
        <w:t xml:space="preserve">De esta forma, y con el objetivo de brindar herramientas que orienten a las Entidades Estatales en este asunto, la Agencia Nacional de Contratación Pública – Colombia Compra Eficiente el 16 de diciembre de 2024, actualizó la “Guía para el manejo de ofertas artificialmente bajas en Procesos de Contratación”, en la que se señalan no sólo las posibles causas y consecuencias de ofertas artificialmente bajas, sino que también se relaciona a modo de sugerencia dos </w:t>
      </w:r>
      <w:r>
        <w:rPr>
          <w:rFonts w:ascii="Verdana" w:eastAsia="Times New Roman" w:hAnsi="Verdana" w:cs="Arial"/>
          <w:lang w:val="es-ES"/>
        </w:rPr>
        <w:t>herramientas</w:t>
      </w:r>
      <w:r w:rsidRPr="00AC1339">
        <w:rPr>
          <w:rFonts w:ascii="Verdana" w:eastAsia="Times New Roman" w:hAnsi="Verdana" w:cs="Arial"/>
          <w:lang w:val="es-ES"/>
        </w:rPr>
        <w:t xml:space="preserve"> que podrían aplicar las entidades para identificarlas y manejarlas. Estas son: i) la comparación absoluta y; </w:t>
      </w:r>
      <w:proofErr w:type="spellStart"/>
      <w:r w:rsidRPr="00AC1339">
        <w:rPr>
          <w:rFonts w:ascii="Verdana" w:eastAsia="Times New Roman" w:hAnsi="Verdana" w:cs="Arial"/>
          <w:lang w:val="es-ES"/>
        </w:rPr>
        <w:t>ii</w:t>
      </w:r>
      <w:proofErr w:type="spellEnd"/>
      <w:r w:rsidRPr="00AC1339">
        <w:rPr>
          <w:rFonts w:ascii="Verdana" w:eastAsia="Times New Roman" w:hAnsi="Verdana" w:cs="Arial"/>
          <w:lang w:val="es-ES"/>
        </w:rPr>
        <w:t>) la comparación relativa.</w:t>
      </w:r>
      <w:r>
        <w:rPr>
          <w:rFonts w:ascii="Verdana" w:eastAsia="Times New Roman" w:hAnsi="Verdana" w:cs="Arial"/>
          <w:lang w:val="es-ES"/>
        </w:rPr>
        <w:t xml:space="preserve"> </w:t>
      </w:r>
    </w:p>
    <w:p w14:paraId="3F1B2F82" w14:textId="77777777" w:rsidR="00352E13" w:rsidRPr="00527F01" w:rsidRDefault="00352E13" w:rsidP="00352E13">
      <w:pPr>
        <w:spacing w:after="120" w:line="276" w:lineRule="auto"/>
        <w:ind w:firstLine="708"/>
        <w:jc w:val="both"/>
        <w:rPr>
          <w:rFonts w:ascii="Verdana" w:hAnsi="Verdana"/>
        </w:rPr>
      </w:pPr>
      <w:r>
        <w:rPr>
          <w:rFonts w:ascii="Verdana" w:eastAsia="Times New Roman" w:hAnsi="Verdana" w:cs="Arial"/>
          <w:lang w:val="es-ES"/>
        </w:rPr>
        <w:t xml:space="preserve">Es importante precisar que respecto de esas dos herramientas, la Guía señala que </w:t>
      </w:r>
      <w:r w:rsidRPr="00740FB0">
        <w:rPr>
          <w:rFonts w:ascii="Verdana" w:eastAsia="Times New Roman" w:hAnsi="Verdana" w:cs="Arial"/>
          <w:lang w:val="es-ES"/>
        </w:rPr>
        <w:t>se deben aplicar a todas las ofertas a evaluar, sin excepciones. Pero para identificar la oferta con precios artificialmente bajos no siempre se requieren las demás ofertas, como en la comparación absoluta, donde cada oferta se analiza respecto del valor señalado en el estudio del sector, sin incluir las otras ofertas del procedimiento. Por otra parte, en la comparación relativa, que se sugiere utilizarla cuando se reciben 5 o más ofertas, la Guía dispone que: “</w:t>
      </w:r>
      <w:r w:rsidRPr="0054775C">
        <w:rPr>
          <w:rFonts w:ascii="Verdana" w:eastAsia="Times New Roman" w:hAnsi="Verdana" w:cs="Arial"/>
          <w:i/>
          <w:iCs/>
          <w:lang w:val="es-ES"/>
        </w:rPr>
        <w:t>Con el fin de identificar ofertas que puedan ser consideradas cómo artificialmente bajas, la Entidad utilizará la siguiente metodología para establecer un valor mínimo aceptable: a. Primero deberá tomar el conjunto de ofertas a evaluar (…)</w:t>
      </w:r>
      <w:r w:rsidRPr="00740FB0">
        <w:rPr>
          <w:rFonts w:ascii="Verdana" w:eastAsia="Times New Roman" w:hAnsi="Verdana" w:cs="Arial"/>
          <w:lang w:val="es-ES"/>
        </w:rPr>
        <w:t>”.</w:t>
      </w:r>
    </w:p>
    <w:p w14:paraId="7C373C9D" w14:textId="4B656633" w:rsidR="00C1181B" w:rsidRPr="003A6E04" w:rsidRDefault="00C1181B" w:rsidP="00692094">
      <w:pPr>
        <w:widowControl w:val="0"/>
        <w:autoSpaceDE w:val="0"/>
        <w:autoSpaceDN w:val="0"/>
        <w:spacing w:after="120" w:line="276" w:lineRule="auto"/>
        <w:ind w:right="176" w:firstLine="709"/>
        <w:jc w:val="both"/>
        <w:rPr>
          <w:rFonts w:ascii="Verdana" w:eastAsia="Calibri" w:hAnsi="Verdana" w:cs="Arial"/>
          <w:lang w:val="es-ES_tradnl"/>
        </w:rPr>
      </w:pPr>
      <w:r>
        <w:rPr>
          <w:rFonts w:ascii="Verdana" w:hAnsi="Verdana"/>
        </w:rPr>
        <w:t xml:space="preserve">Por otra parte, </w:t>
      </w:r>
      <w:r w:rsidR="00506159">
        <w:rPr>
          <w:rFonts w:ascii="Verdana" w:eastAsia="Calibri" w:hAnsi="Verdana" w:cs="Arial"/>
          <w:lang w:val="es-ES_tradnl"/>
        </w:rPr>
        <w:t>l</w:t>
      </w:r>
      <w:r w:rsidRPr="003A6E04">
        <w:rPr>
          <w:rFonts w:ascii="Verdana" w:eastAsia="Calibri" w:hAnsi="Verdana" w:cs="Arial"/>
          <w:lang w:val="es-ES_tradnl"/>
        </w:rPr>
        <w:t xml:space="preserve">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w:t>
      </w:r>
      <w:r w:rsidRPr="003A6E04">
        <w:rPr>
          <w:rFonts w:ascii="Verdana" w:eastAsia="Calibri" w:hAnsi="Verdana" w:cs="Arial"/>
          <w:lang w:val="es-ES_tradnl"/>
        </w:rPr>
        <w:lastRenderedPageBreak/>
        <w:t xml:space="preserve">desarrollar los Procesos de Contratación en los objetos y modalidades cobijadas por los </w:t>
      </w:r>
      <w:r w:rsidRPr="00692094">
        <w:rPr>
          <w:rFonts w:ascii="Verdana" w:hAnsi="Verdana"/>
        </w:rPr>
        <w:t>Documentos</w:t>
      </w:r>
      <w:r w:rsidRPr="003A6E04">
        <w:rPr>
          <w:rFonts w:ascii="Verdana" w:eastAsia="Calibri" w:hAnsi="Verdana" w:cs="Arial"/>
          <w:lang w:val="es-ES_tradnl"/>
        </w:rPr>
        <w:t xml:space="preserve"> Tipo. </w:t>
      </w:r>
    </w:p>
    <w:p w14:paraId="36A3B018" w14:textId="77777777" w:rsidR="00C1181B" w:rsidRPr="003A6E04" w:rsidRDefault="00C1181B" w:rsidP="00692094">
      <w:pPr>
        <w:widowControl w:val="0"/>
        <w:autoSpaceDE w:val="0"/>
        <w:autoSpaceDN w:val="0"/>
        <w:spacing w:after="120" w:line="276" w:lineRule="auto"/>
        <w:ind w:right="176" w:firstLine="709"/>
        <w:jc w:val="both"/>
        <w:rPr>
          <w:rFonts w:ascii="Verdana" w:eastAsia="Calibri" w:hAnsi="Verdana" w:cs="Arial"/>
          <w:lang w:val="es-ES_tradnl"/>
        </w:rPr>
      </w:pPr>
      <w:r w:rsidRPr="003A6E04">
        <w:rPr>
          <w:rFonts w:ascii="Verdana" w:eastAsia="Calibri" w:hAnsi="Verdana" w:cs="Times New Roman"/>
          <w:lang w:val="es-ES_tradnl"/>
        </w:rPr>
        <w:t>Para el sector de infraestructura de transporte, la Agencia Nacional de Contratación Pública – Colombia Compra Eficiente ha expedido Documentos Tipo</w:t>
      </w:r>
      <w:r w:rsidRPr="003A6E04">
        <w:rPr>
          <w:rFonts w:ascii="Verdana" w:eastAsia="Calibri" w:hAnsi="Verdana" w:cs="Times New Roman"/>
          <w:vertAlign w:val="superscript"/>
          <w:lang w:val="es-ES_tradnl"/>
        </w:rPr>
        <w:footnoteReference w:id="3"/>
      </w:r>
      <w:r w:rsidRPr="003A6E04">
        <w:rPr>
          <w:rFonts w:ascii="Verdana" w:eastAsia="Calibri" w:hAnsi="Verdana" w:cs="Times New Roman"/>
          <w:lang w:val="es-ES_tradnl"/>
        </w:rPr>
        <w:t xml:space="preserve"> para contratar obras públicas de infraestructura de transporte bajo las modalidades de selección de licitación pública, selección abreviada de menor cuantía y mínima cuantía. Así mismo, esta Agencia ha expedido documentos tipo de concurso de méritos para contratar la interventoría y la consultoría de estudios de ingeniería de infraestructura de transporte. </w:t>
      </w:r>
    </w:p>
    <w:p w14:paraId="71F8488C" w14:textId="77777777" w:rsidR="00C1181B" w:rsidRDefault="00C1181B" w:rsidP="00692094">
      <w:pPr>
        <w:widowControl w:val="0"/>
        <w:autoSpaceDE w:val="0"/>
        <w:autoSpaceDN w:val="0"/>
        <w:spacing w:after="120" w:line="276" w:lineRule="auto"/>
        <w:ind w:right="176" w:firstLine="709"/>
        <w:jc w:val="both"/>
        <w:rPr>
          <w:rFonts w:ascii="Verdana" w:eastAsia="Calibri" w:hAnsi="Verdana" w:cs="Arial"/>
          <w:lang w:val="es-ES"/>
        </w:rPr>
      </w:pPr>
      <w:r w:rsidRPr="28A3C0C6">
        <w:rPr>
          <w:rFonts w:ascii="Verdana" w:eastAsia="Calibri" w:hAnsi="Verdana" w:cs="Arial"/>
          <w:lang w:val="es-ES"/>
        </w:rPr>
        <w:t>Esta Agencia expidió (i) la Resolución No. 465 de 2024 “Por la cual se adopta la versión -4- de los Documentos Tipo para los procesos de selección de licitación de obra pública del sector de infraestructura de transporte y se deroga la Resolución 240 de 2020”; (</w:t>
      </w:r>
      <w:proofErr w:type="spellStart"/>
      <w:r w:rsidRPr="28A3C0C6">
        <w:rPr>
          <w:rFonts w:ascii="Verdana" w:eastAsia="Calibri" w:hAnsi="Verdana" w:cs="Arial"/>
          <w:lang w:val="es-ES"/>
        </w:rPr>
        <w:t>ii</w:t>
      </w:r>
      <w:proofErr w:type="spellEnd"/>
      <w:r w:rsidRPr="28A3C0C6">
        <w:rPr>
          <w:rFonts w:ascii="Verdana" w:eastAsia="Calibri" w:hAnsi="Verdana" w:cs="Arial"/>
          <w:lang w:val="es-ES"/>
        </w:rPr>
        <w:t xml:space="preserve">) la Resolución No. 463 de 2024 “Por la cual se adopta la versión -3- de los Documentos Tipo para los procesos de selección abreviada de </w:t>
      </w:r>
      <w:r w:rsidRPr="00692094">
        <w:rPr>
          <w:rFonts w:ascii="Verdana" w:eastAsia="Calibri" w:hAnsi="Verdana" w:cs="Times New Roman"/>
          <w:lang w:val="es-ES_tradnl"/>
        </w:rPr>
        <w:t>menor</w:t>
      </w:r>
      <w:r w:rsidRPr="28A3C0C6">
        <w:rPr>
          <w:rFonts w:ascii="Verdana" w:eastAsia="Calibri" w:hAnsi="Verdana" w:cs="Arial"/>
          <w:lang w:val="es-ES"/>
        </w:rPr>
        <w:t xml:space="preserve"> cuantía de obra pública de infraestructura de transporte y se deroga la Resolución 241 de 2020”, y (</w:t>
      </w:r>
      <w:proofErr w:type="spellStart"/>
      <w:r w:rsidRPr="28A3C0C6">
        <w:rPr>
          <w:rFonts w:ascii="Verdana" w:eastAsia="Calibri" w:hAnsi="Verdana" w:cs="Arial"/>
          <w:lang w:val="es-ES"/>
        </w:rPr>
        <w:t>iii</w:t>
      </w:r>
      <w:proofErr w:type="spellEnd"/>
      <w:r w:rsidRPr="28A3C0C6">
        <w:rPr>
          <w:rFonts w:ascii="Verdana" w:eastAsia="Calibri" w:hAnsi="Verdana" w:cs="Arial"/>
          <w:lang w:val="es-ES"/>
        </w:rPr>
        <w:t>) la Resolución No. 464 de 2024 “Por la cual se actualizan los Documentos Tipo para los procesos de obra pública de infraestructura de transporte adelantados bajo la modalidad de mínima cuantía”. Estos documentos aplican a los procesos de selección cuyo aviso de convocatoria o invitación –según corresponda– se publique a partir del 3 de febrero de 2025.</w:t>
      </w:r>
    </w:p>
    <w:p w14:paraId="1569B6F9" w14:textId="77777777" w:rsidR="00C1181B" w:rsidRPr="00692094" w:rsidRDefault="00C1181B" w:rsidP="00692094">
      <w:pPr>
        <w:ind w:firstLine="708"/>
        <w:jc w:val="both"/>
        <w:rPr>
          <w:rFonts w:ascii="Verdana" w:hAnsi="Verdana"/>
        </w:rPr>
      </w:pPr>
      <w:r w:rsidRPr="00692094">
        <w:rPr>
          <w:rFonts w:ascii="Verdana" w:hAnsi="Verdana"/>
        </w:rPr>
        <w:t>La versión 3 de los documentos tipo de infraestructura de transporte en la modalidad de Selección Abreviada de Menor Cuantía, la cual fue adoptada mediante la resolución 463 de 2024, incluye varias precisiones en el numeral 4.1.4 DETERMINACIÓN DEL MÉTODO PARA LA PONDERACIÓN DE LA PROPUESTA ECONÓMICA, tal y como se puede evidenciar a continuación:</w:t>
      </w:r>
    </w:p>
    <w:p w14:paraId="2DF53B06" w14:textId="77777777" w:rsidR="00C1181B" w:rsidRPr="00DE6472" w:rsidRDefault="00C1181B" w:rsidP="00C1181B">
      <w:pPr>
        <w:pStyle w:val="Prrafodelista"/>
        <w:jc w:val="both"/>
        <w:rPr>
          <w:rFonts w:ascii="Verdana" w:hAnsi="Verdana"/>
        </w:rPr>
      </w:pPr>
    </w:p>
    <w:p w14:paraId="33E620EF" w14:textId="77777777" w:rsidR="00C1181B" w:rsidRPr="00DE6472" w:rsidRDefault="00C1181B" w:rsidP="00C1181B">
      <w:pPr>
        <w:pStyle w:val="Prrafodelista"/>
        <w:jc w:val="both"/>
        <w:rPr>
          <w:rFonts w:ascii="Verdana" w:eastAsia="Arial,Calibri" w:hAnsi="Verdana" w:cs="Arial"/>
          <w:szCs w:val="20"/>
        </w:rPr>
      </w:pPr>
      <w:r w:rsidRPr="00DE6472">
        <w:rPr>
          <w:rFonts w:ascii="Verdana" w:hAnsi="Verdana" w:cs="Arial"/>
          <w:szCs w:val="20"/>
        </w:rPr>
        <w:t>“La</w:t>
      </w:r>
      <w:r w:rsidRPr="00DE6472">
        <w:rPr>
          <w:rFonts w:ascii="Verdana" w:eastAsia="Arial,Calibri" w:hAnsi="Verdana" w:cs="Arial"/>
          <w:szCs w:val="20"/>
        </w:rPr>
        <w:t xml:space="preserve"> </w:t>
      </w:r>
      <w:r w:rsidRPr="00DE6472">
        <w:rPr>
          <w:rFonts w:ascii="Verdana" w:hAnsi="Verdana" w:cs="Arial"/>
          <w:szCs w:val="20"/>
        </w:rPr>
        <w:t>entidad</w:t>
      </w:r>
      <w:r w:rsidRPr="00DE6472">
        <w:rPr>
          <w:rFonts w:ascii="Verdana" w:eastAsia="Arial,Calibri" w:hAnsi="Verdana" w:cs="Arial"/>
          <w:szCs w:val="20"/>
        </w:rPr>
        <w:t xml:space="preserve"> </w:t>
      </w:r>
      <w:r w:rsidRPr="00DE6472">
        <w:rPr>
          <w:rFonts w:ascii="Verdana" w:hAnsi="Verdana" w:cs="Arial"/>
          <w:szCs w:val="20"/>
        </w:rPr>
        <w:t>seleccionará</w:t>
      </w:r>
      <w:r w:rsidRPr="00DE6472">
        <w:rPr>
          <w:rFonts w:ascii="Verdana" w:eastAsia="Arial,Calibri" w:hAnsi="Verdana" w:cs="Arial"/>
          <w:szCs w:val="20"/>
        </w:rPr>
        <w:t xml:space="preserve"> </w:t>
      </w:r>
      <w:r w:rsidRPr="00DE6472">
        <w:rPr>
          <w:rFonts w:ascii="Verdana" w:hAnsi="Verdana" w:cs="Arial"/>
          <w:szCs w:val="20"/>
        </w:rPr>
        <w:t>el</w:t>
      </w:r>
      <w:r w:rsidRPr="00DE6472">
        <w:rPr>
          <w:rFonts w:ascii="Verdana" w:eastAsia="Arial,Calibri" w:hAnsi="Verdana" w:cs="Arial"/>
          <w:szCs w:val="20"/>
        </w:rPr>
        <w:t xml:space="preserve"> </w:t>
      </w:r>
      <w:r w:rsidRPr="00DE6472">
        <w:rPr>
          <w:rFonts w:ascii="Verdana" w:hAnsi="Verdana" w:cs="Arial"/>
          <w:szCs w:val="20"/>
        </w:rPr>
        <w:t>método</w:t>
      </w:r>
      <w:r w:rsidRPr="00DE6472">
        <w:rPr>
          <w:rFonts w:ascii="Verdana" w:eastAsia="Arial,Calibri" w:hAnsi="Verdana" w:cs="Arial"/>
          <w:szCs w:val="20"/>
        </w:rPr>
        <w:t xml:space="preserve"> </w:t>
      </w:r>
      <w:r w:rsidRPr="00DE6472">
        <w:rPr>
          <w:rFonts w:ascii="Verdana" w:hAnsi="Verdana" w:cs="Arial"/>
          <w:szCs w:val="20"/>
        </w:rPr>
        <w:t>de</w:t>
      </w:r>
      <w:r w:rsidRPr="00DE6472">
        <w:rPr>
          <w:rFonts w:ascii="Verdana" w:eastAsia="Arial,Calibri" w:hAnsi="Verdana" w:cs="Arial"/>
          <w:szCs w:val="20"/>
        </w:rPr>
        <w:t xml:space="preserve"> </w:t>
      </w:r>
      <w:r w:rsidRPr="00DE6472">
        <w:rPr>
          <w:rFonts w:ascii="Verdana" w:hAnsi="Verdana" w:cs="Arial"/>
          <w:szCs w:val="20"/>
        </w:rPr>
        <w:t>ponderación</w:t>
      </w:r>
      <w:r w:rsidRPr="00DE6472">
        <w:rPr>
          <w:rFonts w:ascii="Verdana" w:eastAsia="Arial,Calibri" w:hAnsi="Verdana" w:cs="Arial"/>
          <w:szCs w:val="20"/>
        </w:rPr>
        <w:t xml:space="preserve"> </w:t>
      </w:r>
      <w:r w:rsidRPr="00DE6472">
        <w:rPr>
          <w:rFonts w:ascii="Verdana" w:hAnsi="Verdana" w:cs="Arial"/>
          <w:szCs w:val="20"/>
        </w:rPr>
        <w:t>de</w:t>
      </w:r>
      <w:r w:rsidRPr="00DE6472">
        <w:rPr>
          <w:rFonts w:ascii="Verdana" w:eastAsia="Arial,Calibri" w:hAnsi="Verdana" w:cs="Arial"/>
          <w:szCs w:val="20"/>
        </w:rPr>
        <w:t xml:space="preserve"> </w:t>
      </w:r>
      <w:r w:rsidRPr="00DE6472">
        <w:rPr>
          <w:rFonts w:ascii="Verdana" w:hAnsi="Verdana" w:cs="Arial"/>
          <w:szCs w:val="20"/>
        </w:rPr>
        <w:t>la</w:t>
      </w:r>
      <w:r w:rsidRPr="00DE6472">
        <w:rPr>
          <w:rFonts w:ascii="Verdana" w:eastAsia="Arial,Calibri" w:hAnsi="Verdana" w:cs="Arial"/>
          <w:szCs w:val="20"/>
        </w:rPr>
        <w:t xml:space="preserve"> </w:t>
      </w:r>
      <w:r w:rsidRPr="00DE6472">
        <w:rPr>
          <w:rFonts w:ascii="Verdana" w:hAnsi="Verdana" w:cs="Arial"/>
          <w:szCs w:val="20"/>
        </w:rPr>
        <w:t>propuesta</w:t>
      </w:r>
      <w:r w:rsidRPr="00DE6472">
        <w:rPr>
          <w:rFonts w:ascii="Verdana" w:eastAsia="Arial,Calibri" w:hAnsi="Verdana" w:cs="Arial"/>
          <w:szCs w:val="20"/>
        </w:rPr>
        <w:t xml:space="preserve"> </w:t>
      </w:r>
      <w:r w:rsidRPr="00DE6472">
        <w:rPr>
          <w:rFonts w:ascii="Verdana" w:hAnsi="Verdana" w:cs="Arial"/>
          <w:szCs w:val="20"/>
        </w:rPr>
        <w:t>económica,</w:t>
      </w:r>
      <w:r w:rsidRPr="00DE6472">
        <w:rPr>
          <w:rFonts w:ascii="Verdana" w:eastAsia="Arial,Calibri" w:hAnsi="Verdana" w:cs="Arial"/>
          <w:szCs w:val="20"/>
        </w:rPr>
        <w:t xml:space="preserve"> </w:t>
      </w:r>
      <w:r w:rsidRPr="00DE6472">
        <w:rPr>
          <w:rFonts w:ascii="Verdana" w:hAnsi="Verdana" w:cs="Arial"/>
          <w:szCs w:val="20"/>
        </w:rPr>
        <w:t>de</w:t>
      </w:r>
      <w:r w:rsidRPr="00DE6472">
        <w:rPr>
          <w:rFonts w:ascii="Verdana" w:eastAsia="Arial,Calibri" w:hAnsi="Verdana" w:cs="Arial"/>
          <w:szCs w:val="20"/>
        </w:rPr>
        <w:t xml:space="preserve"> </w:t>
      </w:r>
      <w:r w:rsidRPr="00DE6472">
        <w:rPr>
          <w:rFonts w:ascii="Verdana" w:hAnsi="Verdana" w:cs="Arial"/>
          <w:szCs w:val="20"/>
        </w:rPr>
        <w:t>acuerdo</w:t>
      </w:r>
      <w:r w:rsidRPr="00DE6472">
        <w:rPr>
          <w:rFonts w:ascii="Verdana" w:eastAsia="Arial,Calibri" w:hAnsi="Verdana" w:cs="Arial"/>
          <w:szCs w:val="20"/>
        </w:rPr>
        <w:t xml:space="preserve"> </w:t>
      </w:r>
      <w:r w:rsidRPr="00DE6472">
        <w:rPr>
          <w:rFonts w:ascii="Verdana" w:hAnsi="Verdana" w:cs="Arial"/>
          <w:szCs w:val="20"/>
        </w:rPr>
        <w:t>con</w:t>
      </w:r>
      <w:r w:rsidRPr="00DE6472">
        <w:rPr>
          <w:rFonts w:ascii="Verdana" w:eastAsia="Arial,Calibri" w:hAnsi="Verdana" w:cs="Arial"/>
          <w:szCs w:val="20"/>
        </w:rPr>
        <w:t xml:space="preserve"> </w:t>
      </w:r>
      <w:r w:rsidRPr="00DE6472">
        <w:rPr>
          <w:rFonts w:ascii="Verdana" w:hAnsi="Verdana" w:cs="Arial"/>
          <w:szCs w:val="20"/>
        </w:rPr>
        <w:t>las</w:t>
      </w:r>
      <w:r w:rsidRPr="00DE6472">
        <w:rPr>
          <w:rFonts w:ascii="Verdana" w:eastAsia="Arial,Calibri" w:hAnsi="Verdana" w:cs="Arial"/>
          <w:szCs w:val="20"/>
        </w:rPr>
        <w:t xml:space="preserve"> </w:t>
      </w:r>
      <w:r w:rsidRPr="00DE6472">
        <w:rPr>
          <w:rFonts w:ascii="Verdana" w:hAnsi="Verdana" w:cs="Arial"/>
          <w:szCs w:val="20"/>
        </w:rPr>
        <w:t>siguientes alternativas:</w:t>
      </w:r>
      <w:r w:rsidRPr="00DE6472">
        <w:rPr>
          <w:rFonts w:ascii="Verdana" w:eastAsia="Arial,Calibri" w:hAnsi="Verdana" w:cs="Arial"/>
          <w:szCs w:val="20"/>
        </w:rPr>
        <w:t xml:space="preserve"> </w:t>
      </w:r>
    </w:p>
    <w:tbl>
      <w:tblPr>
        <w:tblStyle w:val="Tablaconcuadrcula"/>
        <w:tblW w:w="0" w:type="auto"/>
        <w:jc w:val="center"/>
        <w:tblLook w:val="04A0" w:firstRow="1" w:lastRow="0" w:firstColumn="1" w:lastColumn="0" w:noHBand="0" w:noVBand="1"/>
      </w:tblPr>
      <w:tblGrid>
        <w:gridCol w:w="1560"/>
        <w:gridCol w:w="2820"/>
      </w:tblGrid>
      <w:tr w:rsidR="00C1181B" w:rsidRPr="00513756" w14:paraId="5EB4A6CB" w14:textId="77777777" w:rsidTr="00472B43">
        <w:trPr>
          <w:trHeight w:val="20"/>
          <w:tblHeader/>
          <w:jc w:val="center"/>
        </w:trPr>
        <w:tc>
          <w:tcPr>
            <w:tcW w:w="1560"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1E8A484E" w14:textId="77777777" w:rsidR="00C1181B" w:rsidRPr="00513756" w:rsidRDefault="00C1181B" w:rsidP="00472B43">
            <w:pPr>
              <w:spacing w:line="276" w:lineRule="auto"/>
              <w:jc w:val="center"/>
              <w:rPr>
                <w:rFonts w:ascii="Verdana" w:hAnsi="Verdana" w:cs="Arial"/>
                <w:b/>
                <w:color w:val="FFFFFF" w:themeColor="background1"/>
                <w:szCs w:val="20"/>
              </w:rPr>
            </w:pPr>
            <w:r w:rsidRPr="00513756">
              <w:rPr>
                <w:rFonts w:ascii="Verdana" w:hAnsi="Verdana" w:cs="Arial"/>
                <w:b/>
                <w:color w:val="FFFFFF" w:themeColor="background1"/>
                <w:szCs w:val="20"/>
              </w:rPr>
              <w:lastRenderedPageBreak/>
              <w:t>Concepto</w:t>
            </w:r>
          </w:p>
        </w:tc>
        <w:tc>
          <w:tcPr>
            <w:tcW w:w="2820"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3A04A181" w14:textId="77777777" w:rsidR="00C1181B" w:rsidRPr="00513756" w:rsidRDefault="00C1181B" w:rsidP="00472B43">
            <w:pPr>
              <w:spacing w:line="276" w:lineRule="auto"/>
              <w:jc w:val="center"/>
              <w:rPr>
                <w:rFonts w:ascii="Verdana" w:hAnsi="Verdana" w:cs="Arial"/>
                <w:b/>
                <w:color w:val="FFFFFF" w:themeColor="background1"/>
                <w:szCs w:val="20"/>
              </w:rPr>
            </w:pPr>
            <w:r w:rsidRPr="00513756">
              <w:rPr>
                <w:rFonts w:ascii="Verdana" w:hAnsi="Verdana" w:cs="Arial"/>
                <w:b/>
                <w:color w:val="FFFFFF" w:themeColor="background1"/>
                <w:szCs w:val="20"/>
              </w:rPr>
              <w:t>Método</w:t>
            </w:r>
          </w:p>
        </w:tc>
      </w:tr>
      <w:tr w:rsidR="00C1181B" w:rsidRPr="00513756" w14:paraId="7C0B7BE3" w14:textId="77777777" w:rsidTr="00472B43">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tcPr>
          <w:p w14:paraId="536FA27F" w14:textId="77777777" w:rsidR="00C1181B" w:rsidRPr="00513756" w:rsidRDefault="00C1181B" w:rsidP="00472B43">
            <w:pPr>
              <w:spacing w:line="276" w:lineRule="auto"/>
              <w:jc w:val="center"/>
              <w:rPr>
                <w:rFonts w:ascii="Verdana" w:hAnsi="Verdana" w:cs="Arial"/>
                <w:szCs w:val="20"/>
                <w:lang w:val="es-ES"/>
              </w:rPr>
            </w:pPr>
            <w:r w:rsidRPr="00513756">
              <w:rPr>
                <w:rFonts w:ascii="Verdana" w:hAnsi="Verdana" w:cs="Arial"/>
                <w:szCs w:val="20"/>
                <w:lang w:val="es-ES"/>
              </w:rPr>
              <w:t>1</w:t>
            </w:r>
          </w:p>
        </w:tc>
        <w:tc>
          <w:tcPr>
            <w:tcW w:w="2820" w:type="dxa"/>
            <w:tcBorders>
              <w:top w:val="single" w:sz="4" w:space="0" w:color="auto"/>
              <w:left w:val="single" w:sz="4" w:space="0" w:color="auto"/>
              <w:bottom w:val="single" w:sz="4" w:space="0" w:color="auto"/>
              <w:right w:val="double" w:sz="4" w:space="0" w:color="auto"/>
            </w:tcBorders>
            <w:vAlign w:val="center"/>
          </w:tcPr>
          <w:p w14:paraId="7CB9B96D" w14:textId="77777777" w:rsidR="00C1181B" w:rsidRPr="00513756" w:rsidRDefault="00C1181B" w:rsidP="00472B43">
            <w:pPr>
              <w:spacing w:line="276" w:lineRule="auto"/>
              <w:jc w:val="center"/>
              <w:rPr>
                <w:rFonts w:ascii="Verdana" w:hAnsi="Verdana" w:cs="Arial"/>
                <w:szCs w:val="20"/>
                <w:lang w:val="es-ES"/>
              </w:rPr>
            </w:pPr>
            <w:r w:rsidRPr="00513756">
              <w:rPr>
                <w:rFonts w:ascii="Verdana" w:hAnsi="Verdana" w:cs="Arial"/>
                <w:szCs w:val="20"/>
                <w:lang w:val="es-ES"/>
              </w:rPr>
              <w:t>Mediana con valor absoluto</w:t>
            </w:r>
          </w:p>
        </w:tc>
      </w:tr>
      <w:tr w:rsidR="00C1181B" w:rsidRPr="00513756" w14:paraId="397EA120" w14:textId="77777777" w:rsidTr="00472B43">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tcPr>
          <w:p w14:paraId="5F9CA5E1" w14:textId="77777777" w:rsidR="00C1181B" w:rsidRPr="00513756" w:rsidRDefault="00C1181B" w:rsidP="00472B43">
            <w:pPr>
              <w:spacing w:line="276" w:lineRule="auto"/>
              <w:jc w:val="center"/>
              <w:rPr>
                <w:rFonts w:ascii="Verdana" w:hAnsi="Verdana" w:cs="Arial"/>
                <w:szCs w:val="20"/>
                <w:lang w:val="es-ES"/>
              </w:rPr>
            </w:pPr>
            <w:r w:rsidRPr="00513756">
              <w:rPr>
                <w:rFonts w:ascii="Verdana" w:hAnsi="Verdana" w:cs="Arial"/>
                <w:szCs w:val="20"/>
                <w:lang w:val="es-ES"/>
              </w:rPr>
              <w:t>2</w:t>
            </w:r>
          </w:p>
        </w:tc>
        <w:tc>
          <w:tcPr>
            <w:tcW w:w="2820" w:type="dxa"/>
            <w:tcBorders>
              <w:top w:val="single" w:sz="4" w:space="0" w:color="auto"/>
              <w:left w:val="single" w:sz="4" w:space="0" w:color="auto"/>
              <w:bottom w:val="single" w:sz="4" w:space="0" w:color="auto"/>
              <w:right w:val="double" w:sz="4" w:space="0" w:color="auto"/>
            </w:tcBorders>
            <w:vAlign w:val="center"/>
          </w:tcPr>
          <w:p w14:paraId="179490AB" w14:textId="77777777" w:rsidR="00C1181B" w:rsidRPr="00513756" w:rsidRDefault="00C1181B" w:rsidP="00472B43">
            <w:pPr>
              <w:spacing w:line="276" w:lineRule="auto"/>
              <w:jc w:val="center"/>
              <w:rPr>
                <w:rFonts w:ascii="Verdana" w:hAnsi="Verdana" w:cs="Arial"/>
                <w:szCs w:val="20"/>
                <w:lang w:val="es-ES"/>
              </w:rPr>
            </w:pPr>
            <w:r w:rsidRPr="00513756">
              <w:rPr>
                <w:rFonts w:ascii="Verdana" w:hAnsi="Verdana" w:cs="Arial"/>
                <w:szCs w:val="20"/>
                <w:lang w:val="es-ES"/>
              </w:rPr>
              <w:t>Media geométrica</w:t>
            </w:r>
          </w:p>
        </w:tc>
      </w:tr>
      <w:tr w:rsidR="00C1181B" w:rsidRPr="00513756" w14:paraId="7BBA9EE5" w14:textId="77777777" w:rsidTr="00472B43">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hideMark/>
          </w:tcPr>
          <w:p w14:paraId="49F81A85" w14:textId="77777777" w:rsidR="00C1181B" w:rsidRPr="00513756" w:rsidRDefault="00C1181B" w:rsidP="00472B43">
            <w:pPr>
              <w:spacing w:line="276" w:lineRule="auto"/>
              <w:jc w:val="center"/>
              <w:rPr>
                <w:rFonts w:ascii="Verdana" w:hAnsi="Verdana" w:cs="Arial"/>
                <w:szCs w:val="20"/>
                <w:lang w:val="es-ES"/>
              </w:rPr>
            </w:pPr>
            <w:r w:rsidRPr="00513756">
              <w:rPr>
                <w:rFonts w:ascii="Verdana" w:hAnsi="Verdana" w:cs="Arial"/>
                <w:szCs w:val="20"/>
                <w:lang w:val="es-ES"/>
              </w:rPr>
              <w:t>3</w:t>
            </w:r>
          </w:p>
        </w:tc>
        <w:tc>
          <w:tcPr>
            <w:tcW w:w="2820" w:type="dxa"/>
            <w:tcBorders>
              <w:top w:val="single" w:sz="4" w:space="0" w:color="auto"/>
              <w:left w:val="single" w:sz="4" w:space="0" w:color="auto"/>
              <w:bottom w:val="single" w:sz="4" w:space="0" w:color="auto"/>
              <w:right w:val="double" w:sz="4" w:space="0" w:color="auto"/>
            </w:tcBorders>
            <w:vAlign w:val="center"/>
            <w:hideMark/>
          </w:tcPr>
          <w:p w14:paraId="4E1E4E9C" w14:textId="77777777" w:rsidR="00C1181B" w:rsidRPr="00513756" w:rsidRDefault="00C1181B" w:rsidP="00472B43">
            <w:pPr>
              <w:spacing w:line="276" w:lineRule="auto"/>
              <w:jc w:val="center"/>
              <w:rPr>
                <w:rFonts w:ascii="Verdana" w:hAnsi="Verdana" w:cs="Arial"/>
                <w:szCs w:val="20"/>
                <w:lang w:val="es-ES"/>
              </w:rPr>
            </w:pPr>
            <w:r w:rsidRPr="00513756">
              <w:rPr>
                <w:rFonts w:ascii="Verdana" w:hAnsi="Verdana" w:cs="Arial"/>
                <w:szCs w:val="20"/>
                <w:lang w:val="es-ES"/>
              </w:rPr>
              <w:t>Media aritmética baja</w:t>
            </w:r>
          </w:p>
        </w:tc>
      </w:tr>
      <w:tr w:rsidR="00C1181B" w:rsidRPr="00513756" w14:paraId="3AF34CD5" w14:textId="77777777" w:rsidTr="00472B43">
        <w:trPr>
          <w:trHeight w:val="20"/>
          <w:jc w:val="center"/>
        </w:trPr>
        <w:tc>
          <w:tcPr>
            <w:tcW w:w="1560" w:type="dxa"/>
            <w:tcBorders>
              <w:top w:val="single" w:sz="4" w:space="0" w:color="auto"/>
              <w:left w:val="double" w:sz="4" w:space="0" w:color="auto"/>
              <w:bottom w:val="double" w:sz="4" w:space="0" w:color="auto"/>
              <w:right w:val="single" w:sz="4" w:space="0" w:color="auto"/>
            </w:tcBorders>
            <w:vAlign w:val="center"/>
            <w:hideMark/>
          </w:tcPr>
          <w:p w14:paraId="416EAA6E" w14:textId="77777777" w:rsidR="00C1181B" w:rsidRPr="00513756" w:rsidRDefault="00C1181B" w:rsidP="00472B43">
            <w:pPr>
              <w:spacing w:line="276" w:lineRule="auto"/>
              <w:jc w:val="center"/>
              <w:rPr>
                <w:rFonts w:ascii="Verdana" w:hAnsi="Verdana" w:cs="Arial"/>
                <w:szCs w:val="20"/>
                <w:lang w:val="es-ES"/>
              </w:rPr>
            </w:pPr>
            <w:r w:rsidRPr="00513756">
              <w:rPr>
                <w:rFonts w:ascii="Verdana" w:hAnsi="Verdana" w:cs="Arial"/>
                <w:szCs w:val="20"/>
                <w:lang w:val="es-ES"/>
              </w:rPr>
              <w:t>4</w:t>
            </w:r>
          </w:p>
        </w:tc>
        <w:tc>
          <w:tcPr>
            <w:tcW w:w="2820" w:type="dxa"/>
            <w:tcBorders>
              <w:top w:val="single" w:sz="4" w:space="0" w:color="auto"/>
              <w:left w:val="single" w:sz="4" w:space="0" w:color="auto"/>
              <w:bottom w:val="double" w:sz="4" w:space="0" w:color="auto"/>
              <w:right w:val="double" w:sz="4" w:space="0" w:color="auto"/>
            </w:tcBorders>
            <w:vAlign w:val="center"/>
            <w:hideMark/>
          </w:tcPr>
          <w:p w14:paraId="4D8D25E3" w14:textId="77777777" w:rsidR="00C1181B" w:rsidRPr="00513756" w:rsidRDefault="00C1181B" w:rsidP="00472B43">
            <w:pPr>
              <w:spacing w:line="276" w:lineRule="auto"/>
              <w:jc w:val="center"/>
              <w:rPr>
                <w:rFonts w:ascii="Verdana" w:hAnsi="Verdana" w:cs="Arial"/>
                <w:szCs w:val="20"/>
                <w:lang w:val="es-ES"/>
              </w:rPr>
            </w:pPr>
            <w:r w:rsidRPr="00513756">
              <w:rPr>
                <w:rFonts w:ascii="Verdana" w:hAnsi="Verdana" w:cs="Arial"/>
                <w:szCs w:val="20"/>
                <w:lang w:val="es-ES"/>
              </w:rPr>
              <w:t>Menor Valor</w:t>
            </w:r>
          </w:p>
        </w:tc>
      </w:tr>
    </w:tbl>
    <w:p w14:paraId="22D75947" w14:textId="77777777" w:rsidR="00C1181B" w:rsidRPr="00DE6472" w:rsidRDefault="00C1181B" w:rsidP="00C1181B">
      <w:pPr>
        <w:pStyle w:val="Prrafodelista"/>
        <w:tabs>
          <w:tab w:val="left" w:pos="1860"/>
        </w:tabs>
        <w:spacing w:after="200" w:line="276" w:lineRule="auto"/>
        <w:jc w:val="both"/>
        <w:rPr>
          <w:rFonts w:ascii="Verdana" w:hAnsi="Verdana" w:cs="Arial"/>
          <w:szCs w:val="20"/>
        </w:rPr>
      </w:pPr>
    </w:p>
    <w:p w14:paraId="3A88C0BA" w14:textId="77777777" w:rsidR="00C1181B" w:rsidRPr="00DE6472" w:rsidRDefault="00C1181B" w:rsidP="00C1181B">
      <w:pPr>
        <w:pStyle w:val="Prrafodelista"/>
        <w:tabs>
          <w:tab w:val="left" w:pos="1860"/>
        </w:tabs>
        <w:spacing w:after="200" w:line="276" w:lineRule="auto"/>
        <w:jc w:val="both"/>
        <w:rPr>
          <w:rFonts w:ascii="Verdana" w:hAnsi="Verdana" w:cs="Arial"/>
          <w:szCs w:val="20"/>
        </w:rPr>
      </w:pPr>
      <w:r w:rsidRPr="00DE6472">
        <w:rPr>
          <w:rFonts w:ascii="Verdana" w:hAnsi="Verdana" w:cs="Arial"/>
          <w:szCs w:val="20"/>
        </w:rPr>
        <w:t>Para</w:t>
      </w:r>
      <w:r w:rsidRPr="00DE6472">
        <w:rPr>
          <w:rFonts w:ascii="Verdana" w:eastAsia="Arial,Calibri" w:hAnsi="Verdana" w:cs="Arial"/>
          <w:szCs w:val="20"/>
        </w:rPr>
        <w:t xml:space="preserve"> </w:t>
      </w:r>
      <w:r w:rsidRPr="00DE6472">
        <w:rPr>
          <w:rFonts w:ascii="Verdana" w:hAnsi="Verdana" w:cs="Arial"/>
          <w:szCs w:val="20"/>
        </w:rPr>
        <w:t>determinar</w:t>
      </w:r>
      <w:r w:rsidRPr="00DE6472">
        <w:rPr>
          <w:rFonts w:ascii="Verdana" w:eastAsia="Arial,Calibri" w:hAnsi="Verdana" w:cs="Arial"/>
          <w:szCs w:val="20"/>
        </w:rPr>
        <w:t xml:space="preserve"> </w:t>
      </w:r>
      <w:r w:rsidRPr="00DE6472">
        <w:rPr>
          <w:rFonts w:ascii="Verdana" w:hAnsi="Verdana" w:cs="Arial"/>
          <w:szCs w:val="20"/>
        </w:rPr>
        <w:t>el</w:t>
      </w:r>
      <w:r w:rsidRPr="00DE6472">
        <w:rPr>
          <w:rFonts w:ascii="Verdana" w:eastAsia="Arial,Calibri" w:hAnsi="Verdana" w:cs="Arial"/>
          <w:szCs w:val="20"/>
        </w:rPr>
        <w:t xml:space="preserve"> </w:t>
      </w:r>
      <w:r w:rsidRPr="00DE6472">
        <w:rPr>
          <w:rFonts w:ascii="Verdana" w:hAnsi="Verdana" w:cs="Arial"/>
          <w:szCs w:val="20"/>
        </w:rPr>
        <w:t>método</w:t>
      </w:r>
      <w:r w:rsidRPr="00DE6472">
        <w:rPr>
          <w:rFonts w:ascii="Verdana" w:eastAsia="Arial,Calibri" w:hAnsi="Verdana" w:cs="Arial"/>
          <w:szCs w:val="20"/>
        </w:rPr>
        <w:t xml:space="preserve"> </w:t>
      </w:r>
      <w:r w:rsidRPr="00DE6472">
        <w:rPr>
          <w:rFonts w:ascii="Verdana" w:hAnsi="Verdana" w:cs="Arial"/>
          <w:szCs w:val="20"/>
        </w:rPr>
        <w:t>de</w:t>
      </w:r>
      <w:r w:rsidRPr="00DE6472">
        <w:rPr>
          <w:rFonts w:ascii="Verdana" w:eastAsia="Arial,Calibri" w:hAnsi="Verdana" w:cs="Arial"/>
          <w:szCs w:val="20"/>
        </w:rPr>
        <w:t xml:space="preserve"> </w:t>
      </w:r>
      <w:r w:rsidRPr="00DE6472">
        <w:rPr>
          <w:rFonts w:ascii="Verdana" w:hAnsi="Verdana" w:cs="Arial"/>
          <w:szCs w:val="20"/>
        </w:rPr>
        <w:t>ponderación,</w:t>
      </w:r>
      <w:r w:rsidRPr="00DE6472">
        <w:rPr>
          <w:rFonts w:ascii="Verdana" w:eastAsia="Arial,Calibri" w:hAnsi="Verdana" w:cs="Arial"/>
          <w:szCs w:val="20"/>
        </w:rPr>
        <w:t xml:space="preserve"> </w:t>
      </w:r>
      <w:r w:rsidRPr="00DE6472">
        <w:rPr>
          <w:rFonts w:ascii="Verdana" w:hAnsi="Verdana" w:cs="Arial"/>
          <w:szCs w:val="20"/>
        </w:rPr>
        <w:t>la</w:t>
      </w:r>
      <w:r w:rsidRPr="00DE6472">
        <w:rPr>
          <w:rFonts w:ascii="Verdana" w:eastAsia="Arial,Calibri" w:hAnsi="Verdana" w:cs="Arial"/>
          <w:szCs w:val="20"/>
        </w:rPr>
        <w:t xml:space="preserve"> </w:t>
      </w:r>
      <w:r w:rsidRPr="00DE6472">
        <w:rPr>
          <w:rFonts w:ascii="Verdana" w:hAnsi="Verdana" w:cs="Arial"/>
          <w:szCs w:val="20"/>
        </w:rPr>
        <w:t>entidad</w:t>
      </w:r>
      <w:r w:rsidRPr="00DE6472">
        <w:rPr>
          <w:rFonts w:ascii="Verdana" w:eastAsia="Arial,Calibri" w:hAnsi="Verdana" w:cs="Arial"/>
          <w:szCs w:val="20"/>
        </w:rPr>
        <w:t xml:space="preserve"> </w:t>
      </w:r>
      <w:r w:rsidRPr="00DE6472">
        <w:rPr>
          <w:rFonts w:ascii="Verdana" w:hAnsi="Verdana" w:cs="Arial"/>
          <w:szCs w:val="20"/>
        </w:rPr>
        <w:t>tomará</w:t>
      </w:r>
      <w:r w:rsidRPr="00DE6472">
        <w:rPr>
          <w:rFonts w:ascii="Verdana" w:eastAsia="Arial,Calibri" w:hAnsi="Verdana" w:cs="Arial"/>
          <w:szCs w:val="20"/>
        </w:rPr>
        <w:t xml:space="preserve"> </w:t>
      </w:r>
      <w:r w:rsidRPr="00DE6472">
        <w:rPr>
          <w:rFonts w:ascii="Verdana" w:hAnsi="Verdana" w:cs="Arial"/>
          <w:szCs w:val="20"/>
        </w:rPr>
        <w:t>los centavos</w:t>
      </w:r>
      <w:r w:rsidRPr="00DE6472">
        <w:rPr>
          <w:rFonts w:ascii="Verdana" w:eastAsia="Arial,Calibri" w:hAnsi="Verdana" w:cs="Arial"/>
          <w:szCs w:val="20"/>
        </w:rPr>
        <w:t xml:space="preserve"> </w:t>
      </w:r>
      <w:r w:rsidRPr="00DE6472">
        <w:rPr>
          <w:rFonts w:ascii="Verdana" w:hAnsi="Verdana" w:cs="Arial"/>
          <w:szCs w:val="20"/>
        </w:rPr>
        <w:t>de</w:t>
      </w:r>
      <w:r w:rsidRPr="00DE6472">
        <w:rPr>
          <w:rFonts w:ascii="Verdana" w:eastAsia="Arial,Calibri" w:hAnsi="Verdana" w:cs="Arial"/>
          <w:szCs w:val="20"/>
        </w:rPr>
        <w:t xml:space="preserve"> </w:t>
      </w:r>
      <w:r w:rsidRPr="00DE6472">
        <w:rPr>
          <w:rFonts w:ascii="Verdana" w:hAnsi="Verdana" w:cs="Arial"/>
          <w:szCs w:val="20"/>
        </w:rPr>
        <w:t>la</w:t>
      </w:r>
      <w:r w:rsidRPr="00DE6472">
        <w:rPr>
          <w:rFonts w:ascii="Verdana" w:eastAsia="Arial,Calibri" w:hAnsi="Verdana" w:cs="Arial"/>
          <w:szCs w:val="20"/>
        </w:rPr>
        <w:t xml:space="preserve"> </w:t>
      </w:r>
      <w:r w:rsidRPr="00DE6472">
        <w:rPr>
          <w:rFonts w:ascii="Verdana" w:hAnsi="Verdana" w:cs="Arial"/>
          <w:szCs w:val="20"/>
        </w:rPr>
        <w:t>Tasa</w:t>
      </w:r>
      <w:r w:rsidRPr="00DE6472">
        <w:rPr>
          <w:rFonts w:ascii="Verdana" w:eastAsia="Arial,Calibri" w:hAnsi="Verdana" w:cs="Arial"/>
          <w:szCs w:val="20"/>
        </w:rPr>
        <w:t xml:space="preserve"> </w:t>
      </w:r>
      <w:r w:rsidRPr="00DE6472">
        <w:rPr>
          <w:rFonts w:ascii="Verdana" w:hAnsi="Verdana" w:cs="Arial"/>
          <w:szCs w:val="20"/>
        </w:rPr>
        <w:t>de</w:t>
      </w:r>
      <w:r w:rsidRPr="00DE6472">
        <w:rPr>
          <w:rFonts w:ascii="Verdana" w:eastAsia="Arial,Calibri" w:hAnsi="Verdana" w:cs="Arial"/>
          <w:szCs w:val="20"/>
        </w:rPr>
        <w:t xml:space="preserve"> </w:t>
      </w:r>
      <w:r w:rsidRPr="00DE6472">
        <w:rPr>
          <w:rFonts w:ascii="Verdana" w:hAnsi="Verdana" w:cs="Arial"/>
          <w:szCs w:val="20"/>
        </w:rPr>
        <w:t>Cambio</w:t>
      </w:r>
      <w:r w:rsidRPr="00DE6472">
        <w:rPr>
          <w:rFonts w:ascii="Verdana" w:eastAsia="Arial,Calibri" w:hAnsi="Verdana" w:cs="Arial"/>
          <w:szCs w:val="20"/>
        </w:rPr>
        <w:t xml:space="preserve"> </w:t>
      </w:r>
      <w:r w:rsidRPr="00DE6472">
        <w:rPr>
          <w:rFonts w:ascii="Verdana" w:hAnsi="Verdana" w:cs="Arial"/>
          <w:szCs w:val="20"/>
        </w:rPr>
        <w:t>Representativa</w:t>
      </w:r>
      <w:r w:rsidRPr="00DE6472">
        <w:rPr>
          <w:rFonts w:ascii="Verdana" w:eastAsia="Arial,Calibri" w:hAnsi="Verdana" w:cs="Arial"/>
          <w:szCs w:val="20"/>
        </w:rPr>
        <w:t xml:space="preserve"> </w:t>
      </w:r>
      <w:r w:rsidRPr="00DE6472">
        <w:rPr>
          <w:rFonts w:ascii="Verdana" w:hAnsi="Verdana" w:cs="Arial"/>
          <w:szCs w:val="20"/>
        </w:rPr>
        <w:t>del</w:t>
      </w:r>
      <w:r w:rsidRPr="00DE6472">
        <w:rPr>
          <w:rFonts w:ascii="Verdana" w:eastAsia="Arial,Calibri" w:hAnsi="Verdana" w:cs="Arial"/>
          <w:szCs w:val="20"/>
        </w:rPr>
        <w:t xml:space="preserve"> </w:t>
      </w:r>
      <w:r w:rsidRPr="00DE6472">
        <w:rPr>
          <w:rFonts w:ascii="Verdana" w:hAnsi="Verdana" w:cs="Arial"/>
          <w:szCs w:val="20"/>
        </w:rPr>
        <w:t>Mercado</w:t>
      </w:r>
      <w:r w:rsidRPr="00DE6472">
        <w:rPr>
          <w:rFonts w:ascii="Verdana" w:eastAsia="Arial,Calibri" w:hAnsi="Verdana" w:cs="Arial"/>
          <w:szCs w:val="20"/>
        </w:rPr>
        <w:t xml:space="preserve"> (</w:t>
      </w:r>
      <w:r w:rsidRPr="00DE6472">
        <w:rPr>
          <w:rFonts w:ascii="Verdana" w:hAnsi="Verdana" w:cs="Arial"/>
          <w:szCs w:val="20"/>
        </w:rPr>
        <w:t>TRM), certificada</w:t>
      </w:r>
      <w:r w:rsidRPr="00DE6472">
        <w:rPr>
          <w:rFonts w:ascii="Verdana" w:eastAsia="Arial,Calibri" w:hAnsi="Verdana" w:cs="Arial"/>
          <w:szCs w:val="20"/>
        </w:rPr>
        <w:t xml:space="preserve"> </w:t>
      </w:r>
      <w:r w:rsidRPr="00DE6472">
        <w:rPr>
          <w:rFonts w:ascii="Verdana" w:hAnsi="Verdana" w:cs="Arial"/>
          <w:szCs w:val="20"/>
        </w:rPr>
        <w:t>por</w:t>
      </w:r>
      <w:r w:rsidRPr="00DE6472">
        <w:rPr>
          <w:rFonts w:ascii="Verdana" w:eastAsia="Arial,Calibri" w:hAnsi="Verdana" w:cs="Arial"/>
          <w:szCs w:val="20"/>
        </w:rPr>
        <w:t xml:space="preserve"> </w:t>
      </w:r>
      <w:r w:rsidRPr="00DE6472">
        <w:rPr>
          <w:rFonts w:ascii="Verdana" w:hAnsi="Verdana" w:cs="Arial"/>
          <w:szCs w:val="20"/>
        </w:rPr>
        <w:t>la Superintendencia Financiera de Colombia (en</w:t>
      </w:r>
      <w:r w:rsidRPr="00DE6472">
        <w:rPr>
          <w:rFonts w:ascii="Verdana" w:eastAsia="Arial,Calibri" w:hAnsi="Verdana" w:cs="Arial"/>
          <w:szCs w:val="20"/>
        </w:rPr>
        <w:t xml:space="preserve"> </w:t>
      </w:r>
      <w:r w:rsidRPr="00DE6472">
        <w:rPr>
          <w:rFonts w:ascii="Verdana" w:hAnsi="Verdana" w:cs="Arial"/>
          <w:szCs w:val="20"/>
        </w:rPr>
        <w:t>su</w:t>
      </w:r>
      <w:r w:rsidRPr="00DE6472">
        <w:rPr>
          <w:rFonts w:ascii="Verdana" w:eastAsia="Arial,Calibri" w:hAnsi="Verdana" w:cs="Arial"/>
          <w:szCs w:val="20"/>
        </w:rPr>
        <w:t xml:space="preserve"> </w:t>
      </w:r>
      <w:r w:rsidRPr="00DE6472">
        <w:rPr>
          <w:rFonts w:ascii="Verdana" w:hAnsi="Verdana" w:cs="Arial"/>
          <w:szCs w:val="20"/>
        </w:rPr>
        <w:t>sitio web: https://www.superfinanciera.gov.co/publicacion/60819).</w:t>
      </w:r>
    </w:p>
    <w:p w14:paraId="2B56616F" w14:textId="77777777" w:rsidR="00C1181B" w:rsidRDefault="00C1181B" w:rsidP="00C1181B">
      <w:pPr>
        <w:pStyle w:val="Prrafodelista"/>
        <w:tabs>
          <w:tab w:val="left" w:pos="1860"/>
        </w:tabs>
        <w:spacing w:after="200" w:line="276" w:lineRule="auto"/>
        <w:jc w:val="both"/>
        <w:rPr>
          <w:rFonts w:ascii="Verdana" w:hAnsi="Verdana" w:cs="Arial"/>
          <w:szCs w:val="20"/>
        </w:rPr>
      </w:pPr>
    </w:p>
    <w:p w14:paraId="2BE4AC34" w14:textId="77777777" w:rsidR="00C1181B" w:rsidRPr="00DE6472" w:rsidRDefault="00C1181B" w:rsidP="00C1181B">
      <w:pPr>
        <w:pStyle w:val="Prrafodelista"/>
        <w:tabs>
          <w:tab w:val="left" w:pos="1860"/>
        </w:tabs>
        <w:spacing w:after="200" w:line="276" w:lineRule="auto"/>
        <w:jc w:val="both"/>
        <w:rPr>
          <w:rFonts w:ascii="Verdana" w:hAnsi="Verdana" w:cs="Arial"/>
          <w:szCs w:val="20"/>
        </w:rPr>
      </w:pPr>
      <w:r w:rsidRPr="00DE6472">
        <w:rPr>
          <w:rFonts w:ascii="Verdana" w:hAnsi="Verdana" w:cs="Arial"/>
          <w:szCs w:val="20"/>
        </w:rPr>
        <w:t xml:space="preserve">La TRM que la entidad utilizará para determinar el método de ponderación será la que </w:t>
      </w:r>
      <w:r w:rsidRPr="00DE6472">
        <w:rPr>
          <w:rFonts w:ascii="Verdana" w:hAnsi="Verdana" w:cs="Arial"/>
          <w:b/>
          <w:bCs/>
          <w:i/>
          <w:szCs w:val="20"/>
        </w:rPr>
        <w:t xml:space="preserve">rija el segundo día hábil </w:t>
      </w:r>
      <w:r w:rsidRPr="00DE6472">
        <w:rPr>
          <w:rFonts w:ascii="Verdana" w:hAnsi="Verdana" w:cs="Arial"/>
          <w:b/>
          <w:bCs/>
          <w:i/>
          <w:color w:val="000000" w:themeColor="text1"/>
          <w:szCs w:val="20"/>
        </w:rPr>
        <w:t>después de finalizado el periodo de traslado del informe de evaluación</w:t>
      </w:r>
      <w:r w:rsidRPr="00DE6472">
        <w:rPr>
          <w:rFonts w:ascii="Verdana" w:hAnsi="Verdana" w:cs="Arial"/>
          <w:szCs w:val="20"/>
        </w:rPr>
        <w:t xml:space="preserve">. Esto es, la que la Superintendencia publique en horas de la tarde del día hábil siguiente a la fecha </w:t>
      </w:r>
      <w:r w:rsidRPr="00DE6472">
        <w:rPr>
          <w:rFonts w:ascii="Verdana" w:hAnsi="Verdana" w:cs="Arial"/>
          <w:color w:val="000000" w:themeColor="text1"/>
          <w:szCs w:val="20"/>
        </w:rPr>
        <w:t xml:space="preserve">efectiva de </w:t>
      </w:r>
      <w:r w:rsidRPr="00DE6472">
        <w:rPr>
          <w:rFonts w:ascii="Verdana" w:hAnsi="Verdana" w:cs="Arial"/>
          <w:i/>
          <w:color w:val="000000" w:themeColor="text1"/>
          <w:szCs w:val="20"/>
        </w:rPr>
        <w:t>finalizado el periodo de traslado del informe de evaluación</w:t>
      </w:r>
      <w:r w:rsidRPr="00DE6472">
        <w:rPr>
          <w:rFonts w:ascii="Verdana" w:hAnsi="Verdana" w:cs="Arial"/>
          <w:szCs w:val="20"/>
        </w:rPr>
        <w:t xml:space="preserve">. </w:t>
      </w:r>
      <w:r w:rsidRPr="00DE6472">
        <w:rPr>
          <w:rFonts w:ascii="Verdana" w:hAnsi="Verdana" w:cs="Arial"/>
          <w:szCs w:val="20"/>
          <w:highlight w:val="lightGray"/>
        </w:rPr>
        <w:t xml:space="preserve">[Por ejemplo, si el </w:t>
      </w:r>
      <w:r w:rsidRPr="00DE6472">
        <w:rPr>
          <w:rFonts w:ascii="Verdana" w:hAnsi="Verdana" w:cs="Arial"/>
          <w:color w:val="000000" w:themeColor="text1"/>
          <w:szCs w:val="20"/>
          <w:highlight w:val="lightGray"/>
        </w:rPr>
        <w:t xml:space="preserve">término de traslado del informe de evaluación finaliza </w:t>
      </w:r>
      <w:r w:rsidRPr="00DE6472">
        <w:rPr>
          <w:rFonts w:ascii="Verdana" w:hAnsi="Verdana" w:cs="Arial"/>
          <w:szCs w:val="20"/>
          <w:highlight w:val="lightGray"/>
        </w:rPr>
        <w:t>el 10 de febrero, la TRM que se usará para determinar el método de evaluación será la del 12 de febrero, que se publica en la tarde del 11 de febrero]</w:t>
      </w:r>
      <w:r w:rsidRPr="00DE6472">
        <w:rPr>
          <w:rFonts w:ascii="Verdana" w:hAnsi="Verdana" w:cs="Arial"/>
          <w:szCs w:val="20"/>
        </w:rPr>
        <w:t xml:space="preserve"> </w:t>
      </w:r>
    </w:p>
    <w:p w14:paraId="7EAF084D" w14:textId="77777777" w:rsidR="00C1181B" w:rsidRDefault="00C1181B" w:rsidP="00C1181B">
      <w:pPr>
        <w:pStyle w:val="Prrafodelista"/>
        <w:tabs>
          <w:tab w:val="left" w:pos="1860"/>
        </w:tabs>
        <w:spacing w:after="200" w:line="276" w:lineRule="auto"/>
        <w:jc w:val="both"/>
        <w:rPr>
          <w:rFonts w:ascii="Verdana" w:hAnsi="Verdana" w:cs="Arial"/>
          <w:color w:val="000000" w:themeColor="text1"/>
          <w:szCs w:val="20"/>
          <w:highlight w:val="lightGray"/>
        </w:rPr>
      </w:pPr>
    </w:p>
    <w:p w14:paraId="1BDE61C5" w14:textId="77777777" w:rsidR="00C1181B" w:rsidRDefault="00C1181B" w:rsidP="00C1181B">
      <w:pPr>
        <w:pStyle w:val="Prrafodelista"/>
        <w:tabs>
          <w:tab w:val="left" w:pos="1860"/>
        </w:tabs>
        <w:spacing w:after="200" w:line="276" w:lineRule="auto"/>
        <w:jc w:val="both"/>
        <w:rPr>
          <w:rFonts w:ascii="Verdana" w:hAnsi="Verdana" w:cs="Arial"/>
          <w:color w:val="000000" w:themeColor="text1"/>
          <w:szCs w:val="20"/>
          <w:highlight w:val="lightGray"/>
        </w:rPr>
      </w:pPr>
      <w:r w:rsidRPr="00DE6472">
        <w:rPr>
          <w:rFonts w:ascii="Verdana" w:hAnsi="Verdana" w:cs="Arial"/>
          <w:color w:val="000000" w:themeColor="text1"/>
          <w:szCs w:val="20"/>
          <w:highlight w:val="lightGray"/>
        </w:rPr>
        <w:t>[Al momento de definir o modificar el cronograma del proceso la entidad deberá verificar que el segundo día hábil siguiente a la finalización del periodo de traslado del informe de evaluación, no corresponda a un día festivo en Estados Unidos, con el objetivo de no afectar el proceso de definición del método de ponderación de las propuestas.]”</w:t>
      </w:r>
    </w:p>
    <w:p w14:paraId="3D597658" w14:textId="77777777" w:rsidR="00C1181B" w:rsidRDefault="00C1181B" w:rsidP="00C1181B">
      <w:pPr>
        <w:pStyle w:val="Prrafodelista"/>
        <w:tabs>
          <w:tab w:val="left" w:pos="1860"/>
        </w:tabs>
        <w:spacing w:after="200" w:line="276" w:lineRule="auto"/>
        <w:jc w:val="both"/>
        <w:rPr>
          <w:rFonts w:ascii="Verdana" w:hAnsi="Verdana" w:cs="Arial"/>
          <w:color w:val="000000" w:themeColor="text1"/>
          <w:szCs w:val="20"/>
          <w:highlight w:val="lightGray"/>
        </w:rPr>
      </w:pPr>
    </w:p>
    <w:p w14:paraId="4CC71819" w14:textId="77777777" w:rsidR="00DE5679" w:rsidRPr="00527F01" w:rsidRDefault="00DE5679" w:rsidP="00DE5679">
      <w:pPr>
        <w:spacing w:after="120" w:line="276" w:lineRule="auto"/>
        <w:ind w:firstLine="708"/>
        <w:jc w:val="both"/>
        <w:rPr>
          <w:rFonts w:ascii="Verdana" w:eastAsia="Calibri" w:hAnsi="Verdana" w:cs="Arial"/>
        </w:rPr>
      </w:pPr>
      <w:r w:rsidRPr="00527F01">
        <w:rPr>
          <w:rFonts w:ascii="Verdana" w:eastAsia="Calibri" w:hAnsi="Verdana" w:cs="Arial"/>
        </w:rPr>
        <w:t xml:space="preserve">Finalmente, debe advertirse que el análisis requerido para resolver problemas específicos en torno a la verificación de ofertas que puedan resultar artificialmente bajas debe ser realizado por las Entidades. De esta manera, las afirmaciones aquí realizadas no pueden ser interpretadas como juicios de valor sobre circunstancias concretas relacionadas con los hechos que motivan la consulta. Por lo anterior, previo concepto de sus asesores, la solución de </w:t>
      </w:r>
      <w:r w:rsidRPr="00527F01">
        <w:rPr>
          <w:rFonts w:ascii="Verdana" w:eastAsia="Calibri" w:hAnsi="Verdana" w:cs="Arial"/>
        </w:rPr>
        <w:lastRenderedPageBreak/>
        <w:t xml:space="preserve">situaciones particulares corresponde a los interesados de adoptar la decisión y, en caso de conflicto, a las autoridades judiciales, fiscales y disciplinarias.  </w:t>
      </w:r>
    </w:p>
    <w:p w14:paraId="0CF45F76" w14:textId="77777777" w:rsidR="00DE5679" w:rsidRDefault="00DE5679" w:rsidP="00692094">
      <w:pPr>
        <w:spacing w:after="120" w:line="276" w:lineRule="auto"/>
        <w:ind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en la fase de evaluación analizar los precios de las ofertas recibidas.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24CC841" w14:textId="77777777" w:rsidR="00352E13" w:rsidRDefault="00352E13" w:rsidP="00352E13">
      <w:pPr>
        <w:spacing w:after="120" w:line="276" w:lineRule="auto"/>
        <w:jc w:val="both"/>
        <w:rPr>
          <w:rFonts w:ascii="Verdana" w:eastAsia="Calibri" w:hAnsi="Verdana" w:cs="Arial"/>
          <w:bCs/>
          <w:lang w:val="es-ES_tradnl"/>
        </w:rPr>
      </w:pPr>
    </w:p>
    <w:p w14:paraId="46AB22AE" w14:textId="77777777" w:rsidR="00352E13" w:rsidRPr="006B4516" w:rsidRDefault="00352E13" w:rsidP="00352E13">
      <w:pPr>
        <w:pStyle w:val="Prrafodelista"/>
        <w:numPr>
          <w:ilvl w:val="0"/>
          <w:numId w:val="16"/>
        </w:numPr>
        <w:spacing w:after="120" w:line="276" w:lineRule="auto"/>
        <w:jc w:val="both"/>
        <w:rPr>
          <w:rFonts w:ascii="Verdana" w:eastAsia="Century Gothic" w:hAnsi="Verdana" w:cs="Century Gothic"/>
          <w:b/>
          <w:bCs/>
        </w:rPr>
      </w:pPr>
      <w:r w:rsidRPr="006B4516">
        <w:rPr>
          <w:rFonts w:ascii="Verdana" w:eastAsia="Century Gothic" w:hAnsi="Verdana" w:cs="Century Gothic"/>
          <w:b/>
          <w:bCs/>
        </w:rPr>
        <w:t>Referencias normativas, jurisprudenciales y otras fuentes:</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52E13" w:rsidRPr="0094448B" w14:paraId="6D42DA02" w14:textId="77777777" w:rsidTr="00472B43">
        <w:trPr>
          <w:trHeight w:val="501"/>
          <w:jc w:val="center"/>
        </w:trPr>
        <w:tc>
          <w:tcPr>
            <w:tcW w:w="8647" w:type="dxa"/>
          </w:tcPr>
          <w:p w14:paraId="2E5E487A" w14:textId="77777777" w:rsidR="00352E13" w:rsidRDefault="00352E13" w:rsidP="00352E13">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Ley 80 de 1993. Artículo 26</w:t>
            </w:r>
          </w:p>
          <w:p w14:paraId="720F2CEF" w14:textId="77777777" w:rsidR="00352E13" w:rsidRDefault="00352E13" w:rsidP="00352E13">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Ley 1150 de 2007, artículo</w:t>
            </w:r>
            <w:r>
              <w:rPr>
                <w:rFonts w:ascii="Verdana" w:hAnsi="Verdana"/>
              </w:rPr>
              <w:t>s</w:t>
            </w:r>
            <w:r w:rsidRPr="005E5B81">
              <w:rPr>
                <w:rFonts w:ascii="Verdana" w:hAnsi="Verdana"/>
              </w:rPr>
              <w:t xml:space="preserve"> 4,</w:t>
            </w:r>
            <w:r>
              <w:rPr>
                <w:rFonts w:ascii="Verdana" w:hAnsi="Verdana"/>
              </w:rPr>
              <w:t xml:space="preserve"> 5 y 7. </w:t>
            </w:r>
          </w:p>
          <w:p w14:paraId="1B158347" w14:textId="77777777" w:rsidR="00573236" w:rsidRPr="003A6E04" w:rsidRDefault="00573236" w:rsidP="00573236">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3A6E04">
              <w:rPr>
                <w:rFonts w:ascii="Verdana" w:eastAsia="Calibri" w:hAnsi="Verdana" w:cs="Arial"/>
                <w:lang w:val="es-ES_tradnl"/>
              </w:rPr>
              <w:t xml:space="preserve">Ley 2022 de 2020, artículo 1. </w:t>
            </w:r>
          </w:p>
          <w:p w14:paraId="4B3BCB01" w14:textId="77777777" w:rsidR="00352E13" w:rsidRPr="00156132" w:rsidRDefault="00352E13" w:rsidP="00352E13">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Decreto 1082 de 2015, artículo 2.2.1.1.2.1.3. numeral 8 y 9 artículo 2.2.1.2.3.1.6 y 2.2.1.2.3.1.9., 2.2.1.2.3.1.13., 2.2.1.2.3.1.14</w:t>
            </w:r>
            <w:r>
              <w:rPr>
                <w:rFonts w:ascii="Verdana" w:hAnsi="Verdana"/>
              </w:rPr>
              <w:t xml:space="preserve"> 2.2.1.2.3.2.8. y 2.2.1.2.1.5.5, </w:t>
            </w:r>
            <w:r w:rsidRPr="00156132">
              <w:rPr>
                <w:rFonts w:ascii="Verdana" w:hAnsi="Verdana"/>
                <w:lang w:val="es-ES"/>
              </w:rPr>
              <w:t>2.2.1.1.1.6.1</w:t>
            </w:r>
            <w:r>
              <w:rPr>
                <w:rFonts w:ascii="Verdana" w:hAnsi="Verdana"/>
                <w:lang w:val="es-ES"/>
              </w:rPr>
              <w:t xml:space="preserve">, 2.2.1.1.2.2.3 y 2.2.1.1.2.2.4. </w:t>
            </w:r>
          </w:p>
          <w:p w14:paraId="4FE7BAB5" w14:textId="77777777" w:rsidR="00352E13" w:rsidRPr="005E5B81" w:rsidRDefault="00352E13" w:rsidP="00352E13">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 xml:space="preserve">Código de Comercio, artículos 846, 847 y 1068 </w:t>
            </w:r>
          </w:p>
          <w:p w14:paraId="07F28753" w14:textId="77777777" w:rsidR="00352E13" w:rsidRPr="005E5B81" w:rsidRDefault="00352E13" w:rsidP="00352E13">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CORTE CONSTITUCIONAL. Sentencia C-452 de 1999. M.P. Eduardo Cifuentes Muñoz.</w:t>
            </w:r>
          </w:p>
          <w:p w14:paraId="7E3E3F42" w14:textId="77777777" w:rsidR="00352E13" w:rsidRPr="005E5B81" w:rsidRDefault="00352E13" w:rsidP="00352E13">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 xml:space="preserve">CONSEJO DE ESTADO. Sección Tercera. Sentencia del 4 de junio de 2008. </w:t>
            </w:r>
            <w:proofErr w:type="spellStart"/>
            <w:r w:rsidRPr="005E5B81">
              <w:rPr>
                <w:rFonts w:ascii="Verdana" w:hAnsi="Verdana"/>
              </w:rPr>
              <w:t>Exp</w:t>
            </w:r>
            <w:proofErr w:type="spellEnd"/>
            <w:r w:rsidRPr="005E5B81">
              <w:rPr>
                <w:rFonts w:ascii="Verdana" w:hAnsi="Verdana"/>
              </w:rPr>
              <w:t>. No. 17.783. C.P. Myriam Guerrero de Escobar.</w:t>
            </w:r>
          </w:p>
          <w:p w14:paraId="7785600F" w14:textId="44908B33" w:rsidR="00352E13" w:rsidRDefault="00352E13" w:rsidP="00352E13">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156132">
              <w:rPr>
                <w:rFonts w:ascii="Verdana" w:hAnsi="Verdana"/>
              </w:rPr>
              <w:t xml:space="preserve">AGENCIA NACIONAL DE CONTRATACIÓN PÚBLICA –COLOMBIA COMPRA EFICIENTE. Guía para el manejo de ofertas artificialmente bajas en procesos de contratación. Disponible en línea: </w:t>
            </w:r>
            <w:r w:rsidR="003B06F9" w:rsidRPr="00692094">
              <w:rPr>
                <w:rFonts w:ascii="Verdana" w:eastAsia="Calibri" w:hAnsi="Verdana" w:cs="Arial"/>
                <w:color w:val="0000FF"/>
                <w:u w:val="single"/>
                <w:lang w:val="es-ES_tradnl"/>
              </w:rPr>
              <w:t>chrome-extension://efaidnbmnnnibpcajpcglclefindmkaj/https://www.colombi</w:t>
            </w:r>
            <w:r w:rsidR="003B06F9" w:rsidRPr="00692094">
              <w:rPr>
                <w:rFonts w:ascii="Verdana" w:eastAsia="Calibri" w:hAnsi="Verdana" w:cs="Arial"/>
                <w:color w:val="0000FF"/>
                <w:u w:val="single"/>
                <w:lang w:val="es-ES_tradnl"/>
              </w:rPr>
              <w:lastRenderedPageBreak/>
              <w:t xml:space="preserve">acompra.gov.co/wp-content/uploads/2025/04/guia_para_el_manejo_de_ofertas_artifialmente_bajas.pdf </w:t>
            </w:r>
          </w:p>
          <w:p w14:paraId="350DCB73" w14:textId="680410CB" w:rsidR="00573236" w:rsidRPr="00573236" w:rsidRDefault="00573236" w:rsidP="00573236">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3A6E04">
              <w:rPr>
                <w:rFonts w:ascii="Verdana" w:eastAsia="Calibri" w:hAnsi="Verdana" w:cs="Arial"/>
                <w:lang w:val="es-ES_tradnl"/>
              </w:rPr>
              <w:t xml:space="preserve">Documentos Tipo de infraestructura de transporte. Disponibles en: </w:t>
            </w:r>
            <w:hyperlink r:id="rId13" w:history="1">
              <w:r w:rsidRPr="003A6E04">
                <w:rPr>
                  <w:rFonts w:ascii="Verdana" w:eastAsia="Calibri" w:hAnsi="Verdana" w:cs="Arial"/>
                  <w:color w:val="0000FF"/>
                  <w:u w:val="single"/>
                  <w:lang w:val="es-ES_tradnl"/>
                </w:rPr>
                <w:t>https://www.colombiacompra.gov.co/content/documentos-tipo-de-infraestructura-de-transporte</w:t>
              </w:r>
            </w:hyperlink>
          </w:p>
        </w:tc>
      </w:tr>
    </w:tbl>
    <w:p w14:paraId="38B279C2" w14:textId="77777777" w:rsidR="00352E13" w:rsidRPr="0094448B" w:rsidRDefault="00352E13" w:rsidP="00352E13">
      <w:pPr>
        <w:spacing w:after="0" w:line="276" w:lineRule="auto"/>
        <w:ind w:right="709"/>
        <w:jc w:val="both"/>
        <w:rPr>
          <w:rFonts w:ascii="Verdana" w:hAnsi="Verdana" w:cs="Arial"/>
          <w:color w:val="000000" w:themeColor="text1"/>
        </w:rPr>
      </w:pPr>
    </w:p>
    <w:p w14:paraId="31F5EB35" w14:textId="77777777" w:rsidR="00352E13" w:rsidRPr="006B4516" w:rsidRDefault="00352E13" w:rsidP="00352E13">
      <w:pPr>
        <w:pStyle w:val="Prrafodelista"/>
        <w:numPr>
          <w:ilvl w:val="0"/>
          <w:numId w:val="16"/>
        </w:numPr>
        <w:spacing w:after="0" w:line="256" w:lineRule="auto"/>
        <w:rPr>
          <w:rFonts w:ascii="Verdana" w:eastAsia="Calibri" w:hAnsi="Verdana" w:cs="Times New Roman"/>
          <w:b/>
          <w:bCs/>
        </w:rPr>
      </w:pPr>
      <w:r w:rsidRPr="006B4516">
        <w:rPr>
          <w:rFonts w:ascii="Verdana" w:eastAsia="Calibri" w:hAnsi="Verdana" w:cs="Times New Roman"/>
          <w:b/>
          <w:bCs/>
        </w:rPr>
        <w:t>Doctrina de la Agencia Nacional de Contratación Pública:</w:t>
      </w:r>
    </w:p>
    <w:p w14:paraId="424D2107" w14:textId="77777777" w:rsidR="00352E13" w:rsidRPr="0094448B" w:rsidRDefault="00352E13" w:rsidP="00352E13">
      <w:pPr>
        <w:widowControl w:val="0"/>
        <w:autoSpaceDE w:val="0"/>
        <w:autoSpaceDN w:val="0"/>
        <w:spacing w:after="0" w:line="276" w:lineRule="auto"/>
        <w:jc w:val="both"/>
        <w:rPr>
          <w:rFonts w:ascii="Verdana" w:hAnsi="Verdana" w:cs="Arial"/>
          <w:bCs/>
          <w:shd w:val="clear" w:color="auto" w:fill="FFFFFF"/>
        </w:rPr>
      </w:pPr>
    </w:p>
    <w:p w14:paraId="23F8DC0B" w14:textId="7838FE30" w:rsidR="00352E13" w:rsidRPr="005E5B81" w:rsidRDefault="00352E13" w:rsidP="00352E13">
      <w:pPr>
        <w:widowControl w:val="0"/>
        <w:autoSpaceDE w:val="0"/>
        <w:autoSpaceDN w:val="0"/>
        <w:spacing w:after="0" w:line="276" w:lineRule="auto"/>
        <w:jc w:val="both"/>
        <w:rPr>
          <w:rFonts w:ascii="Verdana" w:hAnsi="Verdana" w:cs="Arial"/>
          <w:bCs/>
          <w:shd w:val="clear" w:color="auto" w:fill="FFFFFF"/>
        </w:rPr>
      </w:pPr>
      <w:r w:rsidRPr="0094448B">
        <w:rPr>
          <w:rFonts w:ascii="Verdana" w:hAnsi="Verdana" w:cs="Arial"/>
          <w:bCs/>
          <w:shd w:val="clear" w:color="auto" w:fill="FFFFFF"/>
        </w:rPr>
        <w:t>La Agencia Nacional de Contratación Pública – Colombia Compra Eficiente ha expedido los siguientes conceptos</w:t>
      </w:r>
      <w:r>
        <w:rPr>
          <w:rFonts w:ascii="Verdana" w:hAnsi="Verdana" w:cs="Arial"/>
          <w:bCs/>
          <w:shd w:val="clear" w:color="auto" w:fill="FFFFFF"/>
        </w:rPr>
        <w:t xml:space="preserve"> sobre precios artificialmente bajos:</w:t>
      </w:r>
      <w:r w:rsidRPr="0094448B">
        <w:rPr>
          <w:rFonts w:ascii="Verdana" w:hAnsi="Verdana" w:cs="Arial"/>
          <w:bCs/>
          <w:shd w:val="clear" w:color="auto" w:fill="FFFFFF"/>
        </w:rPr>
        <w:t xml:space="preserve"> </w:t>
      </w:r>
      <w:r w:rsidRPr="005E5B81">
        <w:rPr>
          <w:rFonts w:ascii="Verdana" w:hAnsi="Verdana" w:cs="Arial"/>
          <w:bCs/>
          <w:shd w:val="clear" w:color="auto" w:fill="FFFFFF"/>
          <w:lang w:val="es-ES"/>
        </w:rPr>
        <w:t xml:space="preserve">C–163 del 31 de marzo de 2020, C–200 del 14 de abril de 2020, C–767 del 7 de enero de 2021, C-205 del 7 de mayo de 2021, C-299 del 14 de mayo de 2022, C-484 de 2022, C-952 del 20 de enero de 2023, C-860 del 27 de diciembre de 2024, C-329 del 25 de abril de 2025, C-573 del 16 de junio de 2025, C-769 de 25 de julio de 2025, </w:t>
      </w:r>
      <w:r>
        <w:rPr>
          <w:rFonts w:ascii="Verdana" w:hAnsi="Verdana" w:cs="Arial"/>
          <w:bCs/>
          <w:shd w:val="clear" w:color="auto" w:fill="FFFFFF"/>
          <w:lang w:val="es-ES"/>
        </w:rPr>
        <w:t xml:space="preserve">C-1042 del 5 de septiembre de 2025, C-1069 del 12 de septiembre de 2025, C-1237 del 24 de septiembre de 2025, </w:t>
      </w:r>
      <w:r w:rsidRPr="005E5B81">
        <w:rPr>
          <w:rFonts w:ascii="Verdana" w:hAnsi="Verdana" w:cs="Arial"/>
          <w:bCs/>
          <w:shd w:val="clear" w:color="auto" w:fill="FFFFFF"/>
          <w:lang w:val="es-ES"/>
        </w:rPr>
        <w:t>entre otros</w:t>
      </w:r>
      <w:r>
        <w:rPr>
          <w:rFonts w:ascii="Verdana" w:hAnsi="Verdana" w:cs="Arial"/>
          <w:bCs/>
          <w:shd w:val="clear" w:color="auto" w:fill="FFFFFF"/>
          <w:lang w:val="es-ES"/>
        </w:rPr>
        <w:t>.</w:t>
      </w:r>
      <w:r w:rsidR="007650BA">
        <w:rPr>
          <w:rFonts w:ascii="Verdana" w:hAnsi="Verdana" w:cs="Arial"/>
          <w:bCs/>
          <w:shd w:val="clear" w:color="auto" w:fill="FFFFFF"/>
          <w:lang w:val="es-ES"/>
        </w:rPr>
        <w:t xml:space="preserve"> Respecto de los precios artificialmente bajos en </w:t>
      </w:r>
      <w:r w:rsidR="007650BA" w:rsidRPr="007650BA">
        <w:rPr>
          <w:rFonts w:ascii="Verdana" w:hAnsi="Verdana" w:cs="Arial"/>
          <w:bCs/>
          <w:shd w:val="clear" w:color="auto" w:fill="FFFFFF"/>
          <w:lang w:val="es-ES"/>
        </w:rPr>
        <w:t>la versión 3 de los documentos tipo de infraestructura de transporte en la modalidad de Selección Abreviada de Menor Cuantía</w:t>
      </w:r>
      <w:r w:rsidR="007650BA">
        <w:rPr>
          <w:rFonts w:ascii="Verdana" w:hAnsi="Verdana" w:cs="Arial"/>
          <w:bCs/>
          <w:shd w:val="clear" w:color="auto" w:fill="FFFFFF"/>
          <w:lang w:val="es-ES"/>
        </w:rPr>
        <w:t xml:space="preserve">, se han expedido los conceptos: </w:t>
      </w:r>
      <w:r w:rsidR="0032104F">
        <w:rPr>
          <w:rFonts w:ascii="Verdana" w:eastAsia="Calibri" w:hAnsi="Verdana" w:cs="Arial"/>
          <w:kern w:val="2"/>
          <w:shd w:val="clear" w:color="auto" w:fill="FFFFFF"/>
          <w:lang w:val="es-ES"/>
          <w14:ligatures w14:val="standardContextual"/>
        </w:rPr>
        <w:t>C- 1395 del 25 de septiembre de 2025, C- 1299 del 10 de septiembre de 2025, C- 1378 del 22 de septiembre de 2025, C- 1235 del 07 de octubre de 2025, C- 1237 del 01 de septiembre de 2025, C- 1069 del 12 de septiembre de 2025, C- 1042 del 28 de julio de 2025, C- 1001 del 22 de julio de 2025, C- 982 del 18 de julio de 2025, C- 850 del 26 de junio de 2025, C- 769 del 25 de julio de 2025, C- 573 del 19 de junio de 2025, C- 409 del 17 de junio de 2025, C- 594 del 16 de mayo de 2025, C- 408 del 13 de mayo de 2025, C- 329 del 25 de abril de 2025, C- 860 del 27 de diciembre de 2024, C- 1031 del 18 de diciembre de 2024, C- 716 del 21 de noviembre de 2024, C- 669 del 13 de noviembre de 2024, C- 268 del 02 de octubre de 2024, C- 507 del 23 de agosto de 2024, C- 220 del 25 de junio de 2024, C- 952 del 20 de enero de 2023</w:t>
      </w:r>
      <w:r w:rsidR="00546424">
        <w:rPr>
          <w:rFonts w:ascii="Verdana" w:eastAsia="Calibri" w:hAnsi="Verdana" w:cs="Arial"/>
          <w:kern w:val="2"/>
          <w:shd w:val="clear" w:color="auto" w:fill="FFFFFF"/>
          <w:lang w:val="es-ES"/>
          <w14:ligatures w14:val="standardContextual"/>
        </w:rPr>
        <w:t>, C-982 del 29 de agosto de 2025</w:t>
      </w:r>
      <w:r w:rsidR="003F5F77">
        <w:rPr>
          <w:rFonts w:ascii="Verdana" w:eastAsia="Calibri" w:hAnsi="Verdana" w:cs="Arial"/>
          <w:kern w:val="2"/>
          <w:shd w:val="clear" w:color="auto" w:fill="FFFFFF"/>
          <w:lang w:val="es-ES"/>
          <w14:ligatures w14:val="standardContextual"/>
        </w:rPr>
        <w:t xml:space="preserve"> y</w:t>
      </w:r>
      <w:r w:rsidR="0032104F">
        <w:rPr>
          <w:rFonts w:ascii="Verdana" w:eastAsia="Calibri" w:hAnsi="Verdana" w:cs="Arial"/>
          <w:kern w:val="2"/>
          <w:shd w:val="clear" w:color="auto" w:fill="FFFFFF"/>
          <w:lang w:val="es-ES"/>
          <w14:ligatures w14:val="standardContextual"/>
        </w:rPr>
        <w:t xml:space="preserve"> C-1528 del 28 de noviembre de 2025. </w:t>
      </w:r>
      <w:r w:rsidRPr="0094448B">
        <w:rPr>
          <w:rFonts w:ascii="Verdana" w:eastAsia="Calibri" w:hAnsi="Verdana" w:cs="Times New Roman"/>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w:t>
      </w:r>
      <w:r w:rsidRPr="0094448B">
        <w:rPr>
          <w:rFonts w:ascii="Verdana" w:eastAsia="Calibri" w:hAnsi="Verdana" w:cs="Times New Roman"/>
        </w:rPr>
        <w:lastRenderedPageBreak/>
        <w:t>Contractual, accede a través del siguiente enlace:</w:t>
      </w:r>
    </w:p>
    <w:p w14:paraId="1D1E44F3" w14:textId="77777777" w:rsidR="00352E13" w:rsidRPr="0094448B" w:rsidRDefault="00352E13" w:rsidP="00352E13">
      <w:pPr>
        <w:spacing w:after="0" w:line="256" w:lineRule="auto"/>
        <w:jc w:val="both"/>
        <w:rPr>
          <w:rFonts w:ascii="Verdana" w:eastAsia="Calibri" w:hAnsi="Verdana" w:cs="Times New Roman"/>
        </w:rPr>
      </w:pPr>
      <w:hyperlink r:id="rId14" w:history="1">
        <w:r w:rsidRPr="0094448B">
          <w:rPr>
            <w:rFonts w:ascii="Verdana" w:eastAsia="Calibri" w:hAnsi="Verdana" w:cs="Times New Roman"/>
            <w:color w:val="0000FF"/>
            <w:u w:val="single"/>
            <w:lang w:val="es-ES"/>
          </w:rPr>
          <w:t>https://relatoria.colombiacompra.gov.co/busqueda/conceptos</w:t>
        </w:r>
      </w:hyperlink>
    </w:p>
    <w:p w14:paraId="2D47E589" w14:textId="77777777" w:rsidR="00352E13" w:rsidRPr="0094448B" w:rsidRDefault="00352E13" w:rsidP="00352E13">
      <w:pPr>
        <w:spacing w:after="0" w:line="256" w:lineRule="auto"/>
        <w:jc w:val="both"/>
        <w:rPr>
          <w:rFonts w:ascii="Verdana" w:eastAsia="Calibri" w:hAnsi="Verdana" w:cs="Times New Roman"/>
        </w:rPr>
      </w:pPr>
    </w:p>
    <w:bookmarkEnd w:id="0"/>
    <w:p w14:paraId="3A3D88A5" w14:textId="77777777" w:rsidR="00352E13" w:rsidRDefault="00352E13" w:rsidP="00352E13">
      <w:pPr>
        <w:spacing w:after="0" w:line="276" w:lineRule="auto"/>
        <w:jc w:val="both"/>
      </w:pPr>
      <w:r w:rsidRPr="00243248">
        <w:rPr>
          <w:rFonts w:ascii="Verdana" w:eastAsia="Calibri" w:hAnsi="Verdana" w:cs="Arial"/>
          <w:color w:val="000000" w:themeColor="text1"/>
          <w:shd w:val="clear" w:color="auto" w:fill="FFFFFF"/>
        </w:rPr>
        <w:t>También le contamos que ya se encuentra disponible la </w:t>
      </w:r>
      <w:r w:rsidRPr="00243248">
        <w:rPr>
          <w:rFonts w:ascii="Verdana" w:eastAsia="Calibri"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243248">
        <w:rPr>
          <w:rFonts w:ascii="Verdana" w:eastAsia="Calibri" w:hAnsi="Verdana" w:cs="Arial"/>
          <w:color w:val="000000" w:themeColor="text1"/>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243248">
        <w:rPr>
          <w:rFonts w:ascii="Verdana" w:eastAsia="Calibri" w:hAnsi="Verdana" w:cs="Arial"/>
          <w:color w:val="000000" w:themeColor="text1"/>
          <w:shd w:val="clear" w:color="auto" w:fill="FFFFFF"/>
        </w:rPr>
        <w:t>Wayúu</w:t>
      </w:r>
      <w:proofErr w:type="spellEnd"/>
      <w:r w:rsidRPr="00243248">
        <w:rPr>
          <w:rFonts w:ascii="Verdana" w:eastAsia="Calibri" w:hAnsi="Verdana" w:cs="Arial"/>
          <w:color w:val="000000" w:themeColor="text1"/>
          <w:shd w:val="clear" w:color="auto" w:fill="FFFFFF"/>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243248">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p>
    <w:p w14:paraId="5E215257" w14:textId="77777777" w:rsidR="00EC52F8" w:rsidRPr="00243248" w:rsidRDefault="00EC52F8" w:rsidP="00352E13">
      <w:pPr>
        <w:spacing w:after="0" w:line="276" w:lineRule="auto"/>
        <w:jc w:val="both"/>
        <w:rPr>
          <w:rFonts w:ascii="Verdana" w:eastAsia="Calibri" w:hAnsi="Verdana" w:cs="Arial"/>
          <w:color w:val="000000" w:themeColor="text1"/>
          <w:shd w:val="clear" w:color="auto" w:fill="FFFFFF"/>
          <w:lang w:val="es-ES"/>
        </w:rPr>
      </w:pPr>
    </w:p>
    <w:p w14:paraId="65AFED8B" w14:textId="77777777" w:rsidR="00352E13" w:rsidRPr="00243248" w:rsidRDefault="00352E13" w:rsidP="00352E13">
      <w:pPr>
        <w:spacing w:after="0" w:line="276" w:lineRule="auto"/>
        <w:jc w:val="both"/>
        <w:rPr>
          <w:rFonts w:ascii="Calibri" w:eastAsia="Calibri" w:hAnsi="Calibri" w:cs="Times New Roman"/>
        </w:rPr>
      </w:pPr>
      <w:r w:rsidRPr="00243248">
        <w:rPr>
          <w:rFonts w:ascii="Verdana" w:eastAsia="Calibri" w:hAnsi="Verdana" w:cs="Times New Roman"/>
        </w:rPr>
        <w:t xml:space="preserve">Por último, lo invitamos a seguirnos en las redes sociales en las cuales se difunde información institucional: </w:t>
      </w:r>
    </w:p>
    <w:p w14:paraId="2938D1E7" w14:textId="77777777" w:rsidR="00352E13" w:rsidRPr="00243248" w:rsidRDefault="00352E13" w:rsidP="00352E13">
      <w:pPr>
        <w:spacing w:after="0" w:line="276" w:lineRule="auto"/>
        <w:jc w:val="both"/>
        <w:rPr>
          <w:rFonts w:ascii="Verdana" w:eastAsia="Calibri" w:hAnsi="Verdana" w:cs="Times New Roman"/>
        </w:rPr>
      </w:pPr>
    </w:p>
    <w:p w14:paraId="03D94DAF" w14:textId="77777777" w:rsidR="00352E13" w:rsidRPr="00243248" w:rsidRDefault="00352E13" w:rsidP="00352E13">
      <w:pPr>
        <w:spacing w:after="0" w:line="276" w:lineRule="auto"/>
        <w:jc w:val="both"/>
        <w:rPr>
          <w:rFonts w:ascii="Verdana" w:eastAsia="Calibri" w:hAnsi="Verdana" w:cs="Times New Roman"/>
        </w:rPr>
      </w:pPr>
      <w:r w:rsidRPr="00243248">
        <w:rPr>
          <w:rFonts w:ascii="Verdana" w:eastAsia="Calibri" w:hAnsi="Verdana" w:cs="Times New Roman"/>
        </w:rPr>
        <w:t xml:space="preserve">Twitter: </w:t>
      </w:r>
      <w:r w:rsidRPr="00243248">
        <w:rPr>
          <w:rFonts w:ascii="Verdana" w:eastAsia="Calibri" w:hAnsi="Verdana" w:cs="Times New Roman"/>
          <w:color w:val="4472C4" w:themeColor="accent1"/>
          <w:u w:val="single"/>
        </w:rPr>
        <w:t>@colombiacompra</w:t>
      </w:r>
      <w:r w:rsidRPr="00243248">
        <w:rPr>
          <w:rFonts w:ascii="Verdana" w:eastAsia="Calibri" w:hAnsi="Verdana" w:cs="Times New Roman"/>
          <w:color w:val="4472C4" w:themeColor="accent1"/>
        </w:rPr>
        <w:t xml:space="preserve"> </w:t>
      </w:r>
    </w:p>
    <w:p w14:paraId="4285DFFB" w14:textId="77777777" w:rsidR="00352E13" w:rsidRPr="00243248" w:rsidRDefault="00352E13" w:rsidP="00352E13">
      <w:pPr>
        <w:spacing w:after="0" w:line="276" w:lineRule="auto"/>
        <w:jc w:val="both"/>
        <w:rPr>
          <w:rFonts w:ascii="Verdana" w:eastAsia="Calibri" w:hAnsi="Verdana" w:cs="Times New Roman"/>
        </w:rPr>
      </w:pPr>
      <w:r w:rsidRPr="00243248">
        <w:rPr>
          <w:rFonts w:ascii="Verdana" w:eastAsia="Calibri" w:hAnsi="Verdana" w:cs="Times New Roman"/>
        </w:rPr>
        <w:t xml:space="preserve">Facebook: </w:t>
      </w:r>
      <w:proofErr w:type="spellStart"/>
      <w:r w:rsidRPr="00243248">
        <w:rPr>
          <w:rFonts w:ascii="Verdana" w:eastAsia="Calibri" w:hAnsi="Verdana" w:cs="Times New Roman"/>
          <w:color w:val="4472C4" w:themeColor="accent1"/>
          <w:u w:val="single"/>
        </w:rPr>
        <w:t>ColombiaCompraEficiente</w:t>
      </w:r>
      <w:proofErr w:type="spellEnd"/>
    </w:p>
    <w:p w14:paraId="24EE7CDF" w14:textId="77777777" w:rsidR="00352E13" w:rsidRPr="00243248" w:rsidRDefault="00352E13" w:rsidP="00352E13">
      <w:pPr>
        <w:spacing w:after="0" w:line="276" w:lineRule="auto"/>
        <w:jc w:val="both"/>
        <w:rPr>
          <w:rFonts w:ascii="Verdana" w:eastAsia="Calibri" w:hAnsi="Verdana" w:cs="Times New Roman"/>
        </w:rPr>
      </w:pPr>
      <w:r w:rsidRPr="00243248">
        <w:rPr>
          <w:rFonts w:ascii="Verdana" w:eastAsia="Calibri" w:hAnsi="Verdana" w:cs="Times New Roman"/>
        </w:rPr>
        <w:t xml:space="preserve">LinkedIn: </w:t>
      </w:r>
      <w:r w:rsidRPr="00243248">
        <w:rPr>
          <w:rFonts w:ascii="Verdana" w:eastAsia="Calibri" w:hAnsi="Verdana" w:cs="Times New Roman"/>
          <w:color w:val="4472C4" w:themeColor="accent1"/>
          <w:u w:val="single"/>
        </w:rPr>
        <w:t>Agencia Nacional de Contratación Pública - Colombia Compra Eficiente</w:t>
      </w:r>
      <w:r w:rsidRPr="00243248">
        <w:rPr>
          <w:rFonts w:ascii="Verdana" w:eastAsia="Calibri" w:hAnsi="Verdana" w:cs="Times New Roman"/>
          <w:color w:val="4472C4" w:themeColor="accent1"/>
        </w:rPr>
        <w:t xml:space="preserve"> </w:t>
      </w:r>
      <w:r w:rsidRPr="00243248">
        <w:rPr>
          <w:rFonts w:ascii="Verdana" w:eastAsia="Calibri" w:hAnsi="Verdana" w:cs="Times New Roman"/>
        </w:rPr>
        <w:t xml:space="preserve">Instagram: </w:t>
      </w:r>
      <w:r w:rsidRPr="00243248">
        <w:rPr>
          <w:rFonts w:ascii="Verdana" w:eastAsia="Calibri" w:hAnsi="Verdana" w:cs="Times New Roman"/>
          <w:color w:val="4472C4" w:themeColor="accent1"/>
          <w:u w:val="single"/>
        </w:rPr>
        <w:t>@colombiacompraeficiente_cce</w:t>
      </w:r>
    </w:p>
    <w:p w14:paraId="6C3944EF" w14:textId="77777777" w:rsidR="00352E13" w:rsidRPr="00243248" w:rsidRDefault="00352E13" w:rsidP="00352E13">
      <w:pPr>
        <w:widowControl w:val="0"/>
        <w:autoSpaceDE w:val="0"/>
        <w:autoSpaceDN w:val="0"/>
        <w:spacing w:after="0" w:line="276" w:lineRule="auto"/>
        <w:jc w:val="both"/>
        <w:rPr>
          <w:rFonts w:ascii="Verdana" w:eastAsia="Calibri" w:hAnsi="Verdana" w:cs="Arial"/>
        </w:rPr>
      </w:pPr>
    </w:p>
    <w:p w14:paraId="6C16816D" w14:textId="77777777" w:rsidR="00352E13" w:rsidRPr="00243248" w:rsidRDefault="00352E13" w:rsidP="00352E13">
      <w:pPr>
        <w:widowControl w:val="0"/>
        <w:autoSpaceDE w:val="0"/>
        <w:autoSpaceDN w:val="0"/>
        <w:spacing w:after="0" w:line="276" w:lineRule="auto"/>
        <w:jc w:val="both"/>
        <w:rPr>
          <w:rFonts w:ascii="Verdana" w:eastAsia="Calibri" w:hAnsi="Verdana" w:cs="Arial"/>
          <w:lang w:val="es-ES_tradnl"/>
        </w:rPr>
      </w:pPr>
      <w:r w:rsidRPr="00243248">
        <w:rPr>
          <w:rFonts w:ascii="Verdana" w:eastAsia="Calibri" w:hAnsi="Verdana" w:cs="Arial"/>
        </w:rPr>
        <w:t xml:space="preserve">Este concepto tiene el alcance previsto en el artículo 28 del Código de Procedimiento Administrativo y de lo Contencioso Administrativo </w:t>
      </w:r>
      <w:r w:rsidRPr="00243248">
        <w:rPr>
          <w:rFonts w:ascii="Verdana" w:eastAsia="Calibri" w:hAnsi="Verdana" w:cs="Arial"/>
          <w:lang w:val="es-ES_tradnl"/>
        </w:rPr>
        <w:t>y las expresiones aquí utilizadas con mayúscula inicial deben ser entendidas con el significado que les otorga el artículo 2.2.1.1.1.3.1. del Decreto 1082 de 2015.</w:t>
      </w:r>
    </w:p>
    <w:p w14:paraId="36703580" w14:textId="77777777" w:rsidR="00352E13" w:rsidRPr="00243248" w:rsidRDefault="00352E13" w:rsidP="00352E13">
      <w:pPr>
        <w:widowControl w:val="0"/>
        <w:autoSpaceDE w:val="0"/>
        <w:autoSpaceDN w:val="0"/>
        <w:spacing w:after="0" w:line="276" w:lineRule="auto"/>
        <w:jc w:val="both"/>
        <w:rPr>
          <w:rFonts w:ascii="Verdana" w:eastAsia="Calibri" w:hAnsi="Verdana" w:cs="Arial"/>
        </w:rPr>
      </w:pPr>
    </w:p>
    <w:p w14:paraId="09C12F91" w14:textId="77777777" w:rsidR="00352E13" w:rsidRPr="00243248" w:rsidRDefault="00352E13" w:rsidP="00352E13">
      <w:pPr>
        <w:spacing w:after="0" w:line="276" w:lineRule="auto"/>
        <w:rPr>
          <w:rFonts w:ascii="Verdana" w:eastAsia="Calibri" w:hAnsi="Verdana" w:cs="Arial"/>
          <w:lang w:eastAsia="es-CO"/>
        </w:rPr>
      </w:pPr>
      <w:r w:rsidRPr="00243248">
        <w:rPr>
          <w:rFonts w:ascii="Verdana" w:eastAsia="Times New Roman" w:hAnsi="Verdana" w:cs="Arial"/>
          <w:lang w:eastAsia="es-CO"/>
        </w:rPr>
        <w:t>Atentamente,</w:t>
      </w:r>
      <w:r w:rsidRPr="00243248">
        <w:rPr>
          <w:rFonts w:ascii="Verdana" w:eastAsia="Calibri" w:hAnsi="Verdana" w:cs="Arial"/>
          <w:lang w:eastAsia="es-CO"/>
        </w:rPr>
        <w:t xml:space="preserve"> </w:t>
      </w:r>
    </w:p>
    <w:p w14:paraId="534A8CC4" w14:textId="0955783D" w:rsidR="00352E13" w:rsidRPr="00243248" w:rsidRDefault="003F6FA6" w:rsidP="00352E13">
      <w:pPr>
        <w:spacing w:line="276" w:lineRule="auto"/>
        <w:jc w:val="center"/>
        <w:rPr>
          <w:rFonts w:ascii="Verdana" w:eastAsia="Times New Roman" w:hAnsi="Verdana" w:cs="Arial"/>
          <w:sz w:val="24"/>
          <w:szCs w:val="24"/>
          <w:lang w:eastAsia="es-ES"/>
        </w:rPr>
      </w:pPr>
      <w:r>
        <w:rPr>
          <w:noProof/>
        </w:rPr>
        <w:drawing>
          <wp:inline distT="0" distB="0" distL="0" distR="0" wp14:anchorId="2EF279AD" wp14:editId="2732C08F">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00352E13" w:rsidRPr="00243248" w14:paraId="7DE0D6BB" w14:textId="77777777" w:rsidTr="00472B43">
        <w:trPr>
          <w:trHeight w:val="315"/>
        </w:trPr>
        <w:tc>
          <w:tcPr>
            <w:tcW w:w="993" w:type="dxa"/>
            <w:vAlign w:val="center"/>
            <w:hideMark/>
          </w:tcPr>
          <w:p w14:paraId="6E0712CB" w14:textId="77777777" w:rsidR="00352E13" w:rsidRPr="00243248" w:rsidRDefault="00352E13" w:rsidP="00472B43">
            <w:pPr>
              <w:spacing w:after="0" w:line="276" w:lineRule="auto"/>
              <w:rPr>
                <w:rFonts w:ascii="Verdana" w:eastAsia="Calibri" w:hAnsi="Verdana" w:cs="Arial"/>
                <w:bCs/>
                <w:sz w:val="16"/>
                <w:szCs w:val="16"/>
                <w:lang w:eastAsia="es-CO"/>
              </w:rPr>
            </w:pPr>
            <w:r w:rsidRPr="00243248">
              <w:rPr>
                <w:rFonts w:ascii="Verdana" w:eastAsia="Calibri" w:hAnsi="Verdana" w:cs="Arial"/>
                <w:bCs/>
                <w:sz w:val="16"/>
                <w:szCs w:val="16"/>
                <w:lang w:eastAsia="es-CO"/>
              </w:rPr>
              <w:lastRenderedPageBreak/>
              <w:t>Elaboró:</w:t>
            </w:r>
          </w:p>
        </w:tc>
        <w:tc>
          <w:tcPr>
            <w:tcW w:w="4677" w:type="dxa"/>
            <w:tcBorders>
              <w:top w:val="nil"/>
              <w:left w:val="nil"/>
              <w:bottom w:val="dotted" w:sz="4" w:space="0" w:color="7F7F7F"/>
              <w:right w:val="nil"/>
            </w:tcBorders>
            <w:vAlign w:val="center"/>
            <w:hideMark/>
          </w:tcPr>
          <w:p w14:paraId="2068DC8D" w14:textId="77777777" w:rsidR="00352E13" w:rsidRPr="00243248" w:rsidRDefault="00352E13" w:rsidP="00472B43">
            <w:pPr>
              <w:spacing w:after="0" w:line="240" w:lineRule="auto"/>
              <w:rPr>
                <w:rFonts w:ascii="Verdana" w:eastAsia="Calibri" w:hAnsi="Verdana" w:cs="Arial"/>
                <w:sz w:val="16"/>
                <w:szCs w:val="16"/>
                <w:lang w:eastAsia="es-CO"/>
              </w:rPr>
            </w:pPr>
            <w:r w:rsidRPr="00243248">
              <w:rPr>
                <w:rFonts w:ascii="Verdana" w:eastAsia="Calibri" w:hAnsi="Verdana" w:cs="Arial"/>
                <w:sz w:val="16"/>
                <w:szCs w:val="16"/>
                <w:lang w:eastAsia="es-CO"/>
              </w:rPr>
              <w:t>Ximena Ríos López</w:t>
            </w:r>
          </w:p>
          <w:p w14:paraId="71E1C8CA" w14:textId="77777777" w:rsidR="00352E13" w:rsidRPr="00243248" w:rsidRDefault="00352E13" w:rsidP="00472B43">
            <w:pPr>
              <w:spacing w:after="0" w:line="240" w:lineRule="auto"/>
              <w:rPr>
                <w:rFonts w:ascii="Verdana" w:eastAsia="Calibri" w:hAnsi="Verdana" w:cs="Arial"/>
                <w:sz w:val="16"/>
                <w:szCs w:val="16"/>
                <w:lang w:eastAsia="es-CO"/>
              </w:rPr>
            </w:pPr>
            <w:r w:rsidRPr="00243248">
              <w:rPr>
                <w:rFonts w:ascii="Verdana" w:eastAsia="Calibri" w:hAnsi="Verdana" w:cs="Arial"/>
                <w:sz w:val="16"/>
                <w:szCs w:val="16"/>
                <w:lang w:eastAsia="es-CO"/>
              </w:rPr>
              <w:t>Gestor T1 -11 Subdirección de Gestión Contractual</w:t>
            </w:r>
          </w:p>
        </w:tc>
      </w:tr>
      <w:tr w:rsidR="00352E13" w:rsidRPr="00243248" w14:paraId="018C12EA" w14:textId="77777777" w:rsidTr="00472B43">
        <w:trPr>
          <w:trHeight w:val="330"/>
        </w:trPr>
        <w:tc>
          <w:tcPr>
            <w:tcW w:w="993" w:type="dxa"/>
            <w:vAlign w:val="center"/>
            <w:hideMark/>
          </w:tcPr>
          <w:p w14:paraId="359AACC2" w14:textId="77777777" w:rsidR="00352E13" w:rsidRPr="00243248" w:rsidRDefault="00352E13" w:rsidP="00472B43">
            <w:pPr>
              <w:spacing w:after="0" w:line="276" w:lineRule="auto"/>
              <w:rPr>
                <w:rFonts w:ascii="Verdana" w:eastAsia="Calibri" w:hAnsi="Verdana" w:cs="Arial"/>
                <w:bCs/>
                <w:sz w:val="16"/>
                <w:szCs w:val="16"/>
                <w:lang w:eastAsia="es-CO"/>
              </w:rPr>
            </w:pPr>
            <w:r w:rsidRPr="00243248">
              <w:rPr>
                <w:rFonts w:ascii="Verdana" w:eastAsia="Calibri"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hideMark/>
          </w:tcPr>
          <w:p w14:paraId="09E26CD1" w14:textId="77777777" w:rsidR="00352E13" w:rsidRPr="00243248" w:rsidRDefault="00352E13" w:rsidP="00472B43">
            <w:pPr>
              <w:spacing w:after="0" w:line="240" w:lineRule="auto"/>
              <w:rPr>
                <w:rFonts w:ascii="Verdana" w:eastAsia="Calibri" w:hAnsi="Verdana" w:cs="Arial"/>
                <w:sz w:val="16"/>
                <w:szCs w:val="16"/>
                <w:lang w:eastAsia="es-CO"/>
              </w:rPr>
            </w:pPr>
            <w:r w:rsidRPr="00243248">
              <w:rPr>
                <w:rFonts w:ascii="Verdana" w:eastAsia="Calibri" w:hAnsi="Verdana" w:cs="Arial"/>
                <w:sz w:val="16"/>
                <w:szCs w:val="16"/>
                <w:lang w:eastAsia="es-CO"/>
              </w:rPr>
              <w:t>Martha Romero</w:t>
            </w:r>
          </w:p>
          <w:p w14:paraId="4E753556" w14:textId="77777777" w:rsidR="00352E13" w:rsidRPr="00243248" w:rsidRDefault="00352E13" w:rsidP="00472B43">
            <w:pPr>
              <w:spacing w:after="0" w:line="240" w:lineRule="auto"/>
              <w:rPr>
                <w:rFonts w:ascii="Verdana" w:eastAsia="Calibri" w:hAnsi="Verdana" w:cs="Arial"/>
                <w:sz w:val="16"/>
                <w:szCs w:val="16"/>
                <w:lang w:eastAsia="es-CO"/>
              </w:rPr>
            </w:pPr>
            <w:r w:rsidRPr="00243248">
              <w:rPr>
                <w:rFonts w:ascii="Verdana" w:eastAsia="Calibri" w:hAnsi="Verdana" w:cs="Arial"/>
                <w:sz w:val="16"/>
                <w:szCs w:val="16"/>
                <w:lang w:eastAsia="es-CO"/>
              </w:rPr>
              <w:t>Gestor T1 -15 Subdirección de Gestión Contractual</w:t>
            </w:r>
          </w:p>
        </w:tc>
      </w:tr>
      <w:tr w:rsidR="00352E13" w:rsidRPr="00243248" w14:paraId="30609D61" w14:textId="77777777" w:rsidTr="00472B43">
        <w:trPr>
          <w:trHeight w:val="300"/>
        </w:trPr>
        <w:tc>
          <w:tcPr>
            <w:tcW w:w="993" w:type="dxa"/>
            <w:vAlign w:val="center"/>
            <w:hideMark/>
          </w:tcPr>
          <w:p w14:paraId="75BE5958" w14:textId="77777777" w:rsidR="00352E13" w:rsidRPr="00243248" w:rsidRDefault="00352E13" w:rsidP="00472B43">
            <w:pPr>
              <w:spacing w:after="0" w:line="276" w:lineRule="auto"/>
              <w:rPr>
                <w:rFonts w:ascii="Verdana" w:eastAsia="Calibri" w:hAnsi="Verdana" w:cs="Arial"/>
                <w:bCs/>
                <w:sz w:val="16"/>
                <w:szCs w:val="16"/>
                <w:lang w:eastAsia="es-CO"/>
              </w:rPr>
            </w:pPr>
            <w:r w:rsidRPr="00243248">
              <w:rPr>
                <w:rFonts w:ascii="Verdana" w:eastAsia="Calibri"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hideMark/>
          </w:tcPr>
          <w:p w14:paraId="227689F8" w14:textId="77777777" w:rsidR="00352E13" w:rsidRPr="00243248" w:rsidRDefault="00352E13" w:rsidP="00472B43">
            <w:pPr>
              <w:spacing w:after="0" w:line="240" w:lineRule="auto"/>
              <w:rPr>
                <w:rFonts w:ascii="Verdana" w:eastAsia="Calibri" w:hAnsi="Verdana" w:cs="Arial"/>
                <w:sz w:val="16"/>
                <w:szCs w:val="16"/>
                <w:lang w:eastAsia="es-CO"/>
              </w:rPr>
            </w:pPr>
            <w:r w:rsidRPr="00243248">
              <w:rPr>
                <w:rFonts w:ascii="Verdana" w:eastAsia="Calibri" w:hAnsi="Verdana" w:cs="Arial"/>
                <w:sz w:val="16"/>
                <w:szCs w:val="16"/>
                <w:lang w:eastAsia="es-CO"/>
              </w:rPr>
              <w:t>Carolina Quintero Gacharná</w:t>
            </w:r>
          </w:p>
          <w:p w14:paraId="3897BDFE" w14:textId="77777777" w:rsidR="00352E13" w:rsidRPr="00243248" w:rsidRDefault="00352E13" w:rsidP="00472B43">
            <w:pPr>
              <w:spacing w:after="0" w:line="240" w:lineRule="auto"/>
              <w:rPr>
                <w:rFonts w:ascii="Verdana" w:eastAsia="Calibri" w:hAnsi="Verdana" w:cs="Arial"/>
                <w:sz w:val="16"/>
                <w:szCs w:val="16"/>
                <w:lang w:eastAsia="es-CO"/>
              </w:rPr>
            </w:pPr>
            <w:r w:rsidRPr="00243248">
              <w:rPr>
                <w:rFonts w:ascii="Verdana" w:eastAsia="Calibri" w:hAnsi="Verdana" w:cs="Arial"/>
                <w:sz w:val="16"/>
                <w:szCs w:val="16"/>
                <w:lang w:eastAsia="es-CO"/>
              </w:rPr>
              <w:t>Subdirectora de Gestión Contractual ANCP – CCE</w:t>
            </w:r>
          </w:p>
        </w:tc>
      </w:tr>
    </w:tbl>
    <w:p w14:paraId="05825F7E" w14:textId="77777777" w:rsidR="00352E13" w:rsidRPr="003937AF" w:rsidRDefault="00352E13" w:rsidP="00352E13">
      <w:pPr>
        <w:spacing w:after="0" w:line="276" w:lineRule="auto"/>
        <w:jc w:val="both"/>
      </w:pPr>
    </w:p>
    <w:p w14:paraId="0F293BF4" w14:textId="1D4116DB" w:rsidR="00127233" w:rsidRPr="00352E13" w:rsidRDefault="00127233" w:rsidP="00352E13"/>
    <w:sectPr w:rsidR="00127233" w:rsidRPr="00352E1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9F0FE" w14:textId="77777777" w:rsidR="001D5988" w:rsidRDefault="001D5988" w:rsidP="004A1847">
      <w:pPr>
        <w:spacing w:after="0" w:line="240" w:lineRule="auto"/>
      </w:pPr>
      <w:r>
        <w:separator/>
      </w:r>
    </w:p>
  </w:endnote>
  <w:endnote w:type="continuationSeparator" w:id="0">
    <w:p w14:paraId="7C456227" w14:textId="77777777" w:rsidR="001D5988" w:rsidRDefault="001D598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sig w:usb0="00000001" w:usb1="00000000" w:usb2="00000000" w:usb3="00000000" w:csb0="00000001" w:csb1="00000000"/>
  </w:font>
  <w:font w:name="Aptos">
    <w:charset w:val="00"/>
    <w:family w:val="swiss"/>
    <w:pitch w:val="variable"/>
    <w:sig w:usb0="20000287" w:usb1="00000003" w:usb2="00000000" w:usb3="00000000" w:csb0="0000019F" w:csb1="00000000"/>
  </w:font>
  <w:font w:name="Arial,Calibri">
    <w:altName w:val="Times New Roman"/>
    <w:charset w:val="00"/>
    <w:family w:val="roman"/>
    <w:pitch w:val="default"/>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D68F5C" w14:textId="77777777" w:rsidR="001D5988" w:rsidRDefault="001D5988" w:rsidP="004A1847">
      <w:pPr>
        <w:spacing w:after="0" w:line="240" w:lineRule="auto"/>
      </w:pPr>
      <w:r>
        <w:separator/>
      </w:r>
    </w:p>
  </w:footnote>
  <w:footnote w:type="continuationSeparator" w:id="0">
    <w:p w14:paraId="7AE9B71F" w14:textId="77777777" w:rsidR="001D5988" w:rsidRDefault="001D5988" w:rsidP="004A1847">
      <w:pPr>
        <w:spacing w:after="0" w:line="240" w:lineRule="auto"/>
      </w:pPr>
      <w:r>
        <w:continuationSeparator/>
      </w:r>
    </w:p>
  </w:footnote>
  <w:footnote w:id="1">
    <w:p w14:paraId="30905601" w14:textId="77777777" w:rsidR="00352E13" w:rsidRPr="00666BAC" w:rsidRDefault="00352E13" w:rsidP="00352E13">
      <w:pPr>
        <w:spacing w:after="0" w:line="240" w:lineRule="auto"/>
        <w:ind w:firstLine="709"/>
        <w:jc w:val="both"/>
        <w:rPr>
          <w:rFonts w:ascii="Verdana" w:hAnsi="Verdana"/>
          <w:sz w:val="16"/>
          <w:szCs w:val="16"/>
        </w:rPr>
      </w:pPr>
      <w:r w:rsidRPr="00666BAC">
        <w:rPr>
          <w:rStyle w:val="Refdenotaalpie"/>
          <w:rFonts w:ascii="Verdana" w:hAnsi="Verdana"/>
          <w:sz w:val="16"/>
          <w:szCs w:val="16"/>
        </w:rPr>
        <w:footnoteRef/>
      </w:r>
      <w:r w:rsidRPr="00666BAC">
        <w:rPr>
          <w:rFonts w:ascii="Verdana" w:hAnsi="Verdana"/>
          <w:sz w:val="16"/>
          <w:szCs w:val="16"/>
        </w:rPr>
        <w:t xml:space="preserve"> Ley 80 de 1993: “Artículo 26. Del Principio de Responsabilidad. En virtud de este principio:</w:t>
      </w:r>
    </w:p>
    <w:p w14:paraId="2C4020E8" w14:textId="77777777" w:rsidR="00352E13" w:rsidRPr="00666BAC" w:rsidRDefault="00352E13" w:rsidP="00352E13">
      <w:pPr>
        <w:spacing w:after="0" w:line="240" w:lineRule="auto"/>
        <w:ind w:firstLine="709"/>
        <w:jc w:val="both"/>
        <w:rPr>
          <w:rFonts w:ascii="Verdana" w:hAnsi="Verdana"/>
          <w:sz w:val="16"/>
          <w:szCs w:val="16"/>
        </w:rPr>
      </w:pPr>
      <w:r w:rsidRPr="00666BAC">
        <w:rPr>
          <w:rFonts w:ascii="Verdana" w:hAnsi="Verdana"/>
          <w:sz w:val="16"/>
          <w:szCs w:val="16"/>
        </w:rPr>
        <w:t>[…]</w:t>
      </w:r>
    </w:p>
    <w:p w14:paraId="333B3521" w14:textId="77777777" w:rsidR="00352E13" w:rsidRPr="00666BAC" w:rsidRDefault="00352E13" w:rsidP="00352E13">
      <w:pPr>
        <w:spacing w:after="0" w:line="240" w:lineRule="auto"/>
        <w:ind w:firstLine="709"/>
        <w:jc w:val="both"/>
        <w:rPr>
          <w:rFonts w:ascii="Verdana" w:hAnsi="Verdana"/>
          <w:sz w:val="16"/>
          <w:szCs w:val="16"/>
        </w:rPr>
      </w:pPr>
      <w:r w:rsidRPr="00666BAC">
        <w:rPr>
          <w:rFonts w:ascii="Verdana" w:hAnsi="Verdana"/>
          <w:sz w:val="16"/>
          <w:szCs w:val="16"/>
        </w:rPr>
        <w:t>6o. Los contratistas responderán cuando formulen propuestas en las que se fijen condiciones económicas y de contratación artificialmente bajas con el propósito de obtener la adjudicación del contrato”.</w:t>
      </w:r>
    </w:p>
  </w:footnote>
  <w:footnote w:id="2">
    <w:p w14:paraId="01720C75" w14:textId="77777777" w:rsidR="00352E13" w:rsidRPr="00666BAC" w:rsidRDefault="00352E13" w:rsidP="00352E13">
      <w:pPr>
        <w:pStyle w:val="Textonotapie"/>
        <w:ind w:firstLine="709"/>
        <w:jc w:val="both"/>
        <w:rPr>
          <w:rFonts w:ascii="Verdana" w:hAnsi="Verdana" w:cs="Arial"/>
          <w:sz w:val="16"/>
          <w:szCs w:val="16"/>
        </w:rPr>
      </w:pPr>
      <w:r w:rsidRPr="00666BAC">
        <w:rPr>
          <w:rStyle w:val="Refdenotaalpie"/>
          <w:rFonts w:ascii="Verdana" w:hAnsi="Verdana" w:cs="Arial"/>
          <w:sz w:val="16"/>
          <w:szCs w:val="16"/>
        </w:rPr>
        <w:footnoteRef/>
      </w:r>
      <w:r w:rsidRPr="00666BAC">
        <w:rPr>
          <w:rFonts w:ascii="Verdana" w:hAnsi="Verdana" w:cs="Arial"/>
          <w:sz w:val="16"/>
          <w:szCs w:val="16"/>
        </w:rPr>
        <w:t xml:space="preserve"> Decreto 1082 de 2015: </w:t>
      </w:r>
      <w:r w:rsidRPr="00666BAC">
        <w:rPr>
          <w:rFonts w:ascii="Verdana" w:eastAsia="Times New Roman" w:hAnsi="Verdana" w:cs="Arial"/>
          <w:sz w:val="16"/>
          <w:szCs w:val="16"/>
          <w:lang w:val="es-CO"/>
        </w:rPr>
        <w:t>“</w:t>
      </w:r>
      <w:r w:rsidRPr="00666BAC">
        <w:rPr>
          <w:rFonts w:ascii="Verdana" w:hAnsi="Verdana" w:cs="Arial"/>
          <w:sz w:val="16"/>
          <w:szCs w:val="16"/>
        </w:rPr>
        <w:t>Artículo 2.2.1.1.2.2.3. Comité evaluador.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El comité evaluador debe realizar su labor de manera objetiva, ciñéndose exclusivamente a las reglas contenidas en los pliegos de condiciones. El carácter asesor del comité no lo exime de la responsabilidad del ejercicio de la labor encomendada. En el evento en el cual la Entidad Estatal no acoja la recomendación efectuada por el comité evaluador, debe justificar su decisión.</w:t>
      </w:r>
    </w:p>
    <w:p w14:paraId="0F549356" w14:textId="77777777" w:rsidR="00352E13" w:rsidRPr="00666BAC" w:rsidRDefault="00352E13" w:rsidP="00352E13">
      <w:pPr>
        <w:pStyle w:val="Textonotapie"/>
        <w:ind w:firstLine="709"/>
        <w:jc w:val="both"/>
        <w:rPr>
          <w:rFonts w:ascii="Verdana" w:hAnsi="Verdana" w:cs="Arial"/>
          <w:sz w:val="16"/>
          <w:szCs w:val="16"/>
        </w:rPr>
      </w:pPr>
      <w:r w:rsidRPr="00666BAC">
        <w:rPr>
          <w:rFonts w:ascii="Verdana" w:hAnsi="Verdana" w:cs="Arial"/>
          <w:sz w:val="16"/>
          <w:szCs w:val="16"/>
        </w:rPr>
        <w:t>Los miembros del comité evaluador están sujetos al régimen de inhabilidades e incompatibilidades y conflicto de interés previstos en la Constitución y la ley.</w:t>
      </w:r>
    </w:p>
    <w:p w14:paraId="3AA511E0" w14:textId="77777777" w:rsidR="00352E13" w:rsidRPr="00666BAC" w:rsidRDefault="00352E13" w:rsidP="00352E13">
      <w:pPr>
        <w:pStyle w:val="Textonotapie"/>
        <w:ind w:firstLine="709"/>
        <w:jc w:val="both"/>
        <w:rPr>
          <w:rFonts w:ascii="Verdana" w:hAnsi="Verdana" w:cs="Arial"/>
          <w:sz w:val="16"/>
          <w:szCs w:val="16"/>
          <w:lang w:val="es-ES"/>
        </w:rPr>
      </w:pPr>
      <w:r w:rsidRPr="00666BAC">
        <w:rPr>
          <w:rFonts w:ascii="Verdana" w:hAnsi="Verdana" w:cs="Arial"/>
          <w:sz w:val="16"/>
          <w:szCs w:val="16"/>
        </w:rPr>
        <w:t>La verificación y la evaluación de las ofertas para la mínima cuantía será adelantada por quien sea designado por el ordenador del gasto sin que se requiera un comité plural”.</w:t>
      </w:r>
    </w:p>
  </w:footnote>
  <w:footnote w:id="3">
    <w:p w14:paraId="07909765" w14:textId="77777777" w:rsidR="00C1181B" w:rsidRPr="00590BB7" w:rsidRDefault="00C1181B" w:rsidP="00C1181B">
      <w:pPr>
        <w:pStyle w:val="Textonotapie"/>
        <w:ind w:firstLine="709"/>
        <w:jc w:val="both"/>
        <w:rPr>
          <w:rFonts w:ascii="Verdana" w:hAnsi="Verdana"/>
          <w:sz w:val="18"/>
          <w:szCs w:val="18"/>
        </w:rPr>
      </w:pPr>
      <w:r w:rsidRPr="00590BB7">
        <w:rPr>
          <w:rStyle w:val="Refdenotaalpie"/>
          <w:rFonts w:ascii="Verdana" w:hAnsi="Verdana"/>
          <w:sz w:val="18"/>
          <w:szCs w:val="18"/>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
            <w:rFonts w:ascii="Verdana" w:hAnsi="Verdana"/>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8E5EF0"/>
    <w:multiLevelType w:val="hybridMultilevel"/>
    <w:tmpl w:val="5C802C4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1"/>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0"/>
  </w:num>
  <w:num w:numId="13" w16cid:durableId="1512908409">
    <w:abstractNumId w:val="2"/>
  </w:num>
  <w:num w:numId="14" w16cid:durableId="895897244">
    <w:abstractNumId w:val="15"/>
  </w:num>
  <w:num w:numId="15" w16cid:durableId="390349800">
    <w:abstractNumId w:val="11"/>
  </w:num>
  <w:num w:numId="16" w16cid:durableId="685055289">
    <w:abstractNumId w:val="3"/>
  </w:num>
  <w:num w:numId="17" w16cid:durableId="468135061">
    <w:abstractNumId w:val="10"/>
  </w:num>
  <w:num w:numId="18" w16cid:durableId="149220949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C07"/>
    <w:rsid w:val="00002C46"/>
    <w:rsid w:val="0000313C"/>
    <w:rsid w:val="00016F78"/>
    <w:rsid w:val="00046945"/>
    <w:rsid w:val="00060782"/>
    <w:rsid w:val="00061B2A"/>
    <w:rsid w:val="00082362"/>
    <w:rsid w:val="00087E99"/>
    <w:rsid w:val="000A683E"/>
    <w:rsid w:val="000B19B9"/>
    <w:rsid w:val="000D0334"/>
    <w:rsid w:val="000D5DA7"/>
    <w:rsid w:val="000F6486"/>
    <w:rsid w:val="00102131"/>
    <w:rsid w:val="00116940"/>
    <w:rsid w:val="00125105"/>
    <w:rsid w:val="00127233"/>
    <w:rsid w:val="00133D7B"/>
    <w:rsid w:val="0014470B"/>
    <w:rsid w:val="00155822"/>
    <w:rsid w:val="0015699B"/>
    <w:rsid w:val="00186EEB"/>
    <w:rsid w:val="001A33BF"/>
    <w:rsid w:val="001D5988"/>
    <w:rsid w:val="001E4177"/>
    <w:rsid w:val="001F0B24"/>
    <w:rsid w:val="001F7DC6"/>
    <w:rsid w:val="0022400B"/>
    <w:rsid w:val="002421BB"/>
    <w:rsid w:val="0025796E"/>
    <w:rsid w:val="002707A2"/>
    <w:rsid w:val="00291A83"/>
    <w:rsid w:val="002951A0"/>
    <w:rsid w:val="002962BC"/>
    <w:rsid w:val="002A093D"/>
    <w:rsid w:val="002A0DD0"/>
    <w:rsid w:val="002A49AC"/>
    <w:rsid w:val="002A64FD"/>
    <w:rsid w:val="002B671B"/>
    <w:rsid w:val="002C7A84"/>
    <w:rsid w:val="002E2BF8"/>
    <w:rsid w:val="002E4FD9"/>
    <w:rsid w:val="002E75E3"/>
    <w:rsid w:val="002F1B72"/>
    <w:rsid w:val="0030657A"/>
    <w:rsid w:val="003145E1"/>
    <w:rsid w:val="0032104F"/>
    <w:rsid w:val="00322A85"/>
    <w:rsid w:val="00324168"/>
    <w:rsid w:val="00330834"/>
    <w:rsid w:val="0033287D"/>
    <w:rsid w:val="003448F4"/>
    <w:rsid w:val="00352E13"/>
    <w:rsid w:val="00364E44"/>
    <w:rsid w:val="00374F5E"/>
    <w:rsid w:val="00377E3E"/>
    <w:rsid w:val="003A779E"/>
    <w:rsid w:val="003B06F9"/>
    <w:rsid w:val="003C57CD"/>
    <w:rsid w:val="003D0F4D"/>
    <w:rsid w:val="003D5B0D"/>
    <w:rsid w:val="003E0499"/>
    <w:rsid w:val="003E4F80"/>
    <w:rsid w:val="003E6439"/>
    <w:rsid w:val="003F3941"/>
    <w:rsid w:val="003F5F77"/>
    <w:rsid w:val="003F6FA6"/>
    <w:rsid w:val="00406575"/>
    <w:rsid w:val="00414C74"/>
    <w:rsid w:val="0042722E"/>
    <w:rsid w:val="0044528D"/>
    <w:rsid w:val="00466E39"/>
    <w:rsid w:val="00472B43"/>
    <w:rsid w:val="00481CBF"/>
    <w:rsid w:val="00485A7B"/>
    <w:rsid w:val="004A1847"/>
    <w:rsid w:val="004A305D"/>
    <w:rsid w:val="004F21C4"/>
    <w:rsid w:val="004F685F"/>
    <w:rsid w:val="00506159"/>
    <w:rsid w:val="00513E7B"/>
    <w:rsid w:val="00540CC1"/>
    <w:rsid w:val="00546424"/>
    <w:rsid w:val="005566E8"/>
    <w:rsid w:val="00573236"/>
    <w:rsid w:val="00574867"/>
    <w:rsid w:val="00580357"/>
    <w:rsid w:val="00591460"/>
    <w:rsid w:val="005A65E0"/>
    <w:rsid w:val="005C1EF4"/>
    <w:rsid w:val="005C3777"/>
    <w:rsid w:val="005C386C"/>
    <w:rsid w:val="005C5CDC"/>
    <w:rsid w:val="005D476C"/>
    <w:rsid w:val="006200BF"/>
    <w:rsid w:val="006209AF"/>
    <w:rsid w:val="006219F8"/>
    <w:rsid w:val="006302F7"/>
    <w:rsid w:val="00646B9F"/>
    <w:rsid w:val="00665D70"/>
    <w:rsid w:val="00672E6D"/>
    <w:rsid w:val="006863DE"/>
    <w:rsid w:val="006900D9"/>
    <w:rsid w:val="00692094"/>
    <w:rsid w:val="006A24A7"/>
    <w:rsid w:val="006F5218"/>
    <w:rsid w:val="00706C16"/>
    <w:rsid w:val="007340C3"/>
    <w:rsid w:val="007444C5"/>
    <w:rsid w:val="0075235A"/>
    <w:rsid w:val="00752E59"/>
    <w:rsid w:val="00756841"/>
    <w:rsid w:val="007649AB"/>
    <w:rsid w:val="007650BA"/>
    <w:rsid w:val="00771D0C"/>
    <w:rsid w:val="007833AC"/>
    <w:rsid w:val="007B268C"/>
    <w:rsid w:val="007B7171"/>
    <w:rsid w:val="007C0C0F"/>
    <w:rsid w:val="007C3DC2"/>
    <w:rsid w:val="007D6550"/>
    <w:rsid w:val="007E5497"/>
    <w:rsid w:val="00806F5F"/>
    <w:rsid w:val="00820278"/>
    <w:rsid w:val="008258C9"/>
    <w:rsid w:val="00844AE9"/>
    <w:rsid w:val="00867F95"/>
    <w:rsid w:val="00871D36"/>
    <w:rsid w:val="008772FF"/>
    <w:rsid w:val="008843B6"/>
    <w:rsid w:val="00891928"/>
    <w:rsid w:val="008A446D"/>
    <w:rsid w:val="008A56FA"/>
    <w:rsid w:val="008B25F1"/>
    <w:rsid w:val="008B7432"/>
    <w:rsid w:val="008D180B"/>
    <w:rsid w:val="008F0EA7"/>
    <w:rsid w:val="00913E3A"/>
    <w:rsid w:val="00917DF8"/>
    <w:rsid w:val="00923EEF"/>
    <w:rsid w:val="009419F9"/>
    <w:rsid w:val="0095685E"/>
    <w:rsid w:val="00961B09"/>
    <w:rsid w:val="00965334"/>
    <w:rsid w:val="0097093E"/>
    <w:rsid w:val="009A0DFA"/>
    <w:rsid w:val="009A1C6F"/>
    <w:rsid w:val="009B2D26"/>
    <w:rsid w:val="009C71FA"/>
    <w:rsid w:val="009C72E7"/>
    <w:rsid w:val="009C7F7E"/>
    <w:rsid w:val="009D3058"/>
    <w:rsid w:val="009D7A9E"/>
    <w:rsid w:val="009F3A13"/>
    <w:rsid w:val="00A122D3"/>
    <w:rsid w:val="00A14468"/>
    <w:rsid w:val="00A17F13"/>
    <w:rsid w:val="00A20739"/>
    <w:rsid w:val="00A23AF9"/>
    <w:rsid w:val="00A33C78"/>
    <w:rsid w:val="00AB0ADB"/>
    <w:rsid w:val="00B00C0E"/>
    <w:rsid w:val="00B01B1A"/>
    <w:rsid w:val="00B0381D"/>
    <w:rsid w:val="00B265F3"/>
    <w:rsid w:val="00B432ED"/>
    <w:rsid w:val="00B44A47"/>
    <w:rsid w:val="00B72CD3"/>
    <w:rsid w:val="00B72FFF"/>
    <w:rsid w:val="00BB6966"/>
    <w:rsid w:val="00BC3D36"/>
    <w:rsid w:val="00BD54A6"/>
    <w:rsid w:val="00BD7F72"/>
    <w:rsid w:val="00BF222B"/>
    <w:rsid w:val="00BF33A7"/>
    <w:rsid w:val="00BF62C9"/>
    <w:rsid w:val="00BF7425"/>
    <w:rsid w:val="00C04FB3"/>
    <w:rsid w:val="00C1181B"/>
    <w:rsid w:val="00C11D8B"/>
    <w:rsid w:val="00C15139"/>
    <w:rsid w:val="00C2627C"/>
    <w:rsid w:val="00C330EB"/>
    <w:rsid w:val="00C37408"/>
    <w:rsid w:val="00C476FE"/>
    <w:rsid w:val="00C50D69"/>
    <w:rsid w:val="00C5365C"/>
    <w:rsid w:val="00C63B4A"/>
    <w:rsid w:val="00C754BE"/>
    <w:rsid w:val="00C75B50"/>
    <w:rsid w:val="00C76B1C"/>
    <w:rsid w:val="00C90DCE"/>
    <w:rsid w:val="00C925AC"/>
    <w:rsid w:val="00CA230F"/>
    <w:rsid w:val="00CB6357"/>
    <w:rsid w:val="00CC1B26"/>
    <w:rsid w:val="00CD120B"/>
    <w:rsid w:val="00CE00CD"/>
    <w:rsid w:val="00D15A8E"/>
    <w:rsid w:val="00D361FD"/>
    <w:rsid w:val="00D423A2"/>
    <w:rsid w:val="00D44E26"/>
    <w:rsid w:val="00D46A64"/>
    <w:rsid w:val="00D520D8"/>
    <w:rsid w:val="00D63AC2"/>
    <w:rsid w:val="00D7383B"/>
    <w:rsid w:val="00D7640B"/>
    <w:rsid w:val="00D7788A"/>
    <w:rsid w:val="00DA1E12"/>
    <w:rsid w:val="00DA231B"/>
    <w:rsid w:val="00DA37A4"/>
    <w:rsid w:val="00DA3A07"/>
    <w:rsid w:val="00DA5CA6"/>
    <w:rsid w:val="00DB649C"/>
    <w:rsid w:val="00DC39FC"/>
    <w:rsid w:val="00DE5679"/>
    <w:rsid w:val="00DF5254"/>
    <w:rsid w:val="00E02524"/>
    <w:rsid w:val="00E16408"/>
    <w:rsid w:val="00E20894"/>
    <w:rsid w:val="00E245AB"/>
    <w:rsid w:val="00E2764C"/>
    <w:rsid w:val="00E27F2E"/>
    <w:rsid w:val="00E321D4"/>
    <w:rsid w:val="00E50AFE"/>
    <w:rsid w:val="00E5757F"/>
    <w:rsid w:val="00E75C92"/>
    <w:rsid w:val="00E771DC"/>
    <w:rsid w:val="00E8772A"/>
    <w:rsid w:val="00E90F6B"/>
    <w:rsid w:val="00E92C27"/>
    <w:rsid w:val="00EA0E3D"/>
    <w:rsid w:val="00EC38A7"/>
    <w:rsid w:val="00EC52F8"/>
    <w:rsid w:val="00ED4A0B"/>
    <w:rsid w:val="00EE1AA8"/>
    <w:rsid w:val="00EE3F37"/>
    <w:rsid w:val="00F1791B"/>
    <w:rsid w:val="00F23FEA"/>
    <w:rsid w:val="00F27235"/>
    <w:rsid w:val="00F31EDC"/>
    <w:rsid w:val="00F462B3"/>
    <w:rsid w:val="00F5664F"/>
    <w:rsid w:val="00F666C4"/>
    <w:rsid w:val="00F726D0"/>
    <w:rsid w:val="00F76AFC"/>
    <w:rsid w:val="00F877FF"/>
    <w:rsid w:val="00F9094D"/>
    <w:rsid w:val="00FA47C0"/>
    <w:rsid w:val="00FB5DD1"/>
    <w:rsid w:val="00FC2B5D"/>
    <w:rsid w:val="00FF1449"/>
    <w:rsid w:val="00FF7963"/>
    <w:rsid w:val="071B8F93"/>
    <w:rsid w:val="09908A09"/>
    <w:rsid w:val="0FF4CCA8"/>
    <w:rsid w:val="13CFC91B"/>
    <w:rsid w:val="19A2EC2C"/>
    <w:rsid w:val="1B855655"/>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0359A2C-139B-4C12-B8F7-175971D12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52E1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352E13"/>
    <w:rPr>
      <w:rFonts w:ascii="Geomanist Light" w:hAnsi="Geomanist Light"/>
      <w:lang w:val="es-ES"/>
    </w:rPr>
  </w:style>
  <w:style w:type="character" w:styleId="Refdecomentario">
    <w:name w:val="annotation reference"/>
    <w:basedOn w:val="Fuentedeprrafopredeter"/>
    <w:uiPriority w:val="99"/>
    <w:semiHidden/>
    <w:unhideWhenUsed/>
    <w:rsid w:val="00BF62C9"/>
    <w:rPr>
      <w:sz w:val="16"/>
      <w:szCs w:val="16"/>
    </w:rPr>
  </w:style>
  <w:style w:type="paragraph" w:styleId="Textocomentario">
    <w:name w:val="annotation text"/>
    <w:basedOn w:val="Normal"/>
    <w:link w:val="TextocomentarioCar"/>
    <w:uiPriority w:val="99"/>
    <w:unhideWhenUsed/>
    <w:rsid w:val="00BF62C9"/>
    <w:pPr>
      <w:spacing w:line="240" w:lineRule="auto"/>
    </w:pPr>
    <w:rPr>
      <w:sz w:val="20"/>
      <w:szCs w:val="20"/>
    </w:rPr>
  </w:style>
  <w:style w:type="character" w:customStyle="1" w:styleId="TextocomentarioCar">
    <w:name w:val="Texto comentario Car"/>
    <w:basedOn w:val="Fuentedeprrafopredeter"/>
    <w:link w:val="Textocomentario"/>
    <w:uiPriority w:val="99"/>
    <w:rsid w:val="00BF62C9"/>
    <w:rPr>
      <w:sz w:val="20"/>
      <w:szCs w:val="20"/>
    </w:rPr>
  </w:style>
  <w:style w:type="paragraph" w:styleId="Asuntodelcomentario">
    <w:name w:val="annotation subject"/>
    <w:basedOn w:val="Textocomentario"/>
    <w:next w:val="Textocomentario"/>
    <w:link w:val="AsuntodelcomentarioCar"/>
    <w:uiPriority w:val="99"/>
    <w:semiHidden/>
    <w:unhideWhenUsed/>
    <w:rsid w:val="00BF62C9"/>
    <w:rPr>
      <w:b/>
      <w:bCs/>
    </w:rPr>
  </w:style>
  <w:style w:type="character" w:customStyle="1" w:styleId="AsuntodelcomentarioCar">
    <w:name w:val="Asunto del comentario Car"/>
    <w:basedOn w:val="TextocomentarioCar"/>
    <w:link w:val="Asuntodelcomentario"/>
    <w:uiPriority w:val="99"/>
    <w:semiHidden/>
    <w:rsid w:val="00BF62C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content/documentos-tipo-de-infraestructura-de-transporte"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gabriel-1578@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0" Type="http://schemas.openxmlformats.org/officeDocument/2006/relationships/hyperlink" Target="https://www.superfinanciera.gov.co/publicacion/60819"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C539296-7DCB-4D07-BCB8-E12B630FDF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15</Pages>
  <Words>4790</Words>
  <Characters>25774</Characters>
  <Application>Microsoft Office Word</Application>
  <DocSecurity>0</DocSecurity>
  <Lines>536</Lines>
  <Paragraphs>132</Paragraphs>
  <ScaleCrop>false</ScaleCrop>
  <Company/>
  <LinksUpToDate>false</LinksUpToDate>
  <CharactersWithSpaces>30432</CharactersWithSpaces>
  <SharedDoc>false</SharedDoc>
  <HLinks>
    <vt:vector size="36" baseType="variant">
      <vt:variant>
        <vt:i4>3276900</vt:i4>
      </vt:variant>
      <vt:variant>
        <vt:i4>15</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2883689</vt:i4>
      </vt:variant>
      <vt:variant>
        <vt:i4>9</vt:i4>
      </vt:variant>
      <vt:variant>
        <vt:i4>0</vt:i4>
      </vt:variant>
      <vt:variant>
        <vt:i4>5</vt:i4>
      </vt:variant>
      <vt:variant>
        <vt:lpwstr>https://www.colombiacompra.gov.co/content/documentos-tipo-de-infraestructura-de-transporte</vt:lpwstr>
      </vt:variant>
      <vt:variant>
        <vt:lpwstr/>
      </vt:variant>
      <vt:variant>
        <vt:i4>917614</vt:i4>
      </vt:variant>
      <vt:variant>
        <vt:i4>3</vt:i4>
      </vt:variant>
      <vt:variant>
        <vt:i4>0</vt:i4>
      </vt:variant>
      <vt:variant>
        <vt:i4>5</vt:i4>
      </vt:variant>
      <vt:variant>
        <vt:lpwstr>mailto:gabriel-1578@hotmail.com</vt:lpwstr>
      </vt:variant>
      <vt:variant>
        <vt:lpwstr/>
      </vt:variant>
      <vt:variant>
        <vt:i4>983131</vt:i4>
      </vt:variant>
      <vt:variant>
        <vt:i4>0</vt:i4>
      </vt:variant>
      <vt:variant>
        <vt:i4>0</vt:i4>
      </vt:variant>
      <vt:variant>
        <vt:i4>5</vt:i4>
      </vt:variant>
      <vt:variant>
        <vt:lpwstr>https://www.superfinanciera.gov.co/publicacion/60819</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2026-01-20T20:42:00Z</dcterms:created>
  <dcterms:modified xsi:type="dcterms:W3CDTF">2026-01-27T17:14:00Z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