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C100B"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2"/>
          <w:szCs w:val="22"/>
        </w:rPr>
      </w:pPr>
      <w:bookmarkStart w:id="0" w:name="_Hlk143780582"/>
      <w:r>
        <w:rPr>
          <w:rStyle w:val="normaltextrun"/>
          <w:rFonts w:ascii="Verdana" w:hAnsi="Verdana" w:cs="Segoe UI"/>
          <w:b/>
          <w:bCs/>
          <w:color w:val="000000"/>
          <w:sz w:val="22"/>
          <w:szCs w:val="22"/>
          <w:lang w:val="es-ES"/>
        </w:rPr>
        <w:t>CONTRATACIÓN DE PRESTACIÓN DE SERVICIOS – Tipologías – Contrato para la ejecución de trabajos artísticos </w:t>
      </w:r>
      <w:r>
        <w:rPr>
          <w:rStyle w:val="eop"/>
          <w:rFonts w:ascii="Verdana" w:hAnsi="Verdana" w:cs="Segoe UI"/>
          <w:color w:val="000000"/>
          <w:sz w:val="22"/>
          <w:szCs w:val="22"/>
        </w:rPr>
        <w:t> </w:t>
      </w:r>
    </w:p>
    <w:p w14:paraId="5CE38DA6" w14:textId="77777777" w:rsidR="00EB283C" w:rsidRDefault="00EB283C" w:rsidP="00EB283C">
      <w:pPr>
        <w:pStyle w:val="paragraph"/>
        <w:spacing w:before="0" w:beforeAutospacing="0" w:after="0" w:afterAutospacing="0"/>
        <w:jc w:val="both"/>
        <w:textAlignment w:val="baseline"/>
        <w:rPr>
          <w:rFonts w:ascii="Segoe UI" w:hAnsi="Segoe UI" w:cs="Segoe UI"/>
          <w:sz w:val="18"/>
          <w:szCs w:val="18"/>
        </w:rPr>
      </w:pPr>
    </w:p>
    <w:p w14:paraId="31402A99"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r>
        <w:rPr>
          <w:rStyle w:val="normaltextrun"/>
          <w:rFonts w:ascii="Verdana" w:hAnsi="Verdana" w:cs="Segoe UI"/>
          <w:color w:val="000000"/>
          <w:sz w:val="20"/>
          <w:szCs w:val="20"/>
        </w:rPr>
        <w:t>En el marco del Estatuto General de Contratación de la Administración Pública–EGCAP–, la principal tipología aplicable para provisión de actividades artísticas es el contrato de prestación de servicios. Este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Style w:val="normaltextrun"/>
          <w:rFonts w:ascii="Verdana" w:hAnsi="Verdana" w:cs="Segoe UI"/>
          <w:color w:val="000000"/>
          <w:sz w:val="20"/>
          <w:szCs w:val="20"/>
          <w:lang w:val="es-ES"/>
        </w:rPr>
        <w:t> La celebración de dicho contrato debe efectuarse a través de la modalidad de contratación directa. </w:t>
      </w:r>
      <w:r>
        <w:rPr>
          <w:rStyle w:val="eop"/>
          <w:rFonts w:ascii="Verdana" w:hAnsi="Verdana" w:cs="Segoe UI"/>
          <w:color w:val="000000"/>
          <w:sz w:val="20"/>
          <w:szCs w:val="20"/>
        </w:rPr>
        <w:t> </w:t>
      </w:r>
    </w:p>
    <w:p w14:paraId="32DD9BD6" w14:textId="77777777" w:rsidR="00EB283C" w:rsidRDefault="00EB283C" w:rsidP="00EB283C">
      <w:pPr>
        <w:pStyle w:val="paragraph"/>
        <w:spacing w:before="0" w:beforeAutospacing="0" w:after="0" w:afterAutospacing="0"/>
        <w:jc w:val="both"/>
        <w:textAlignment w:val="baseline"/>
        <w:rPr>
          <w:rFonts w:ascii="Segoe UI" w:hAnsi="Segoe UI" w:cs="Segoe UI"/>
          <w:sz w:val="18"/>
          <w:szCs w:val="18"/>
        </w:rPr>
      </w:pPr>
    </w:p>
    <w:p w14:paraId="05AEF6B1"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2"/>
          <w:szCs w:val="22"/>
        </w:rPr>
      </w:pPr>
      <w:r>
        <w:rPr>
          <w:rStyle w:val="normaltextrun"/>
          <w:rFonts w:ascii="Verdana" w:hAnsi="Verdana" w:cs="Segoe UI"/>
          <w:b/>
          <w:bCs/>
          <w:color w:val="000000"/>
          <w:sz w:val="22"/>
          <w:szCs w:val="22"/>
          <w:lang w:val="es-ES"/>
        </w:rPr>
        <w:t>CONTRATACIÓN DIRECTA – Procedencia – Normativa</w:t>
      </w:r>
      <w:r>
        <w:rPr>
          <w:rStyle w:val="eop"/>
          <w:rFonts w:ascii="Verdana" w:hAnsi="Verdana" w:cs="Segoe UI"/>
          <w:color w:val="000000"/>
          <w:sz w:val="22"/>
          <w:szCs w:val="22"/>
        </w:rPr>
        <w:t> </w:t>
      </w:r>
    </w:p>
    <w:p w14:paraId="566AF04C" w14:textId="77777777" w:rsidR="00EB283C" w:rsidRDefault="00EB283C" w:rsidP="00EB283C">
      <w:pPr>
        <w:pStyle w:val="paragraph"/>
        <w:spacing w:before="0" w:beforeAutospacing="0" w:after="0" w:afterAutospacing="0"/>
        <w:jc w:val="both"/>
        <w:textAlignment w:val="baseline"/>
        <w:rPr>
          <w:rFonts w:ascii="Segoe UI" w:hAnsi="Segoe UI" w:cs="Segoe UI"/>
          <w:sz w:val="18"/>
          <w:szCs w:val="18"/>
        </w:rPr>
      </w:pPr>
    </w:p>
    <w:p w14:paraId="243AA63D"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r>
        <w:rPr>
          <w:rStyle w:val="normaltextrun"/>
          <w:rFonts w:ascii="Verdana" w:hAnsi="Verdana" w:cs="Segoe UI"/>
          <w:color w:val="000000"/>
          <w:sz w:val="20"/>
          <w:szCs w:val="20"/>
          <w:lang w:val="es-ES"/>
        </w:rPr>
        <w:t>Así, la causal en estudio, para acudir a la contratación directa, tiene lugar cuando se va a encomendar la ejecución de un trabajo artístico a una persona natural y no cuando el objeto convencional perseguido, lejos de ser la prestación de un servicio para la elaboración de una obra artística, es la adquisición o compra de un bien calificado como obra de arte. Conforme a lo establecido en</w:t>
      </w:r>
      <w:r>
        <w:rPr>
          <w:rStyle w:val="normaltextrun"/>
          <w:rFonts w:ascii="Verdana" w:hAnsi="Verdana" w:cs="Segoe UI"/>
          <w:color w:val="000000"/>
          <w:sz w:val="20"/>
          <w:szCs w:val="20"/>
        </w:rPr>
        <w:t> el inciso final del antecitado artículo 2.2.1.2.1.4.9 del Decreto 1082 de 2015–, la aplicación de la causal de contratación directa deberá quedar plenamente justificada en los estudios y documentos </w:t>
      </w:r>
      <w:proofErr w:type="spellStart"/>
      <w:r>
        <w:rPr>
          <w:rStyle w:val="normaltextrun"/>
          <w:rFonts w:ascii="Verdana" w:hAnsi="Verdana" w:cs="Segoe UI"/>
          <w:color w:val="000000"/>
          <w:sz w:val="20"/>
          <w:szCs w:val="20"/>
        </w:rPr>
        <w:t>previosy</w:t>
      </w:r>
      <w:proofErr w:type="spellEnd"/>
      <w:r>
        <w:rPr>
          <w:rStyle w:val="normaltextrun"/>
          <w:rFonts w:ascii="Verdana" w:hAnsi="Verdana" w:cs="Segoe UI"/>
          <w:color w:val="000000"/>
          <w:sz w:val="20"/>
          <w:szCs w:val="20"/>
        </w:rPr>
        <w:t> está deberá sustentarse en el ejercicio de planeación realizado por la Entidad Estatal, el cual debe dar cuenta de una de necesidad que deba satisfacerse a través del respectivo objeto contractual. </w:t>
      </w:r>
      <w:r>
        <w:rPr>
          <w:rStyle w:val="eop"/>
          <w:rFonts w:ascii="Verdana" w:hAnsi="Verdana" w:cs="Segoe UI"/>
          <w:color w:val="000000"/>
          <w:sz w:val="20"/>
          <w:szCs w:val="20"/>
        </w:rPr>
        <w:t> </w:t>
      </w:r>
    </w:p>
    <w:p w14:paraId="6D7BF445" w14:textId="77777777" w:rsidR="00EB283C" w:rsidRDefault="00EB283C" w:rsidP="00EB283C">
      <w:pPr>
        <w:pStyle w:val="paragraph"/>
        <w:spacing w:before="0" w:beforeAutospacing="0" w:after="0" w:afterAutospacing="0"/>
        <w:jc w:val="both"/>
        <w:textAlignment w:val="baseline"/>
        <w:rPr>
          <w:rFonts w:ascii="Segoe UI" w:hAnsi="Segoe UI" w:cs="Segoe UI"/>
          <w:sz w:val="18"/>
          <w:szCs w:val="18"/>
        </w:rPr>
      </w:pPr>
    </w:p>
    <w:p w14:paraId="6AF8C598" w14:textId="77777777" w:rsidR="00EB283C" w:rsidRDefault="00EB283C" w:rsidP="00EB283C">
      <w:pPr>
        <w:pStyle w:val="paragraph"/>
        <w:spacing w:before="0" w:beforeAutospacing="0" w:after="0" w:afterAutospacing="0"/>
        <w:jc w:val="both"/>
        <w:textAlignment w:val="baseline"/>
        <w:rPr>
          <w:rStyle w:val="normaltextrun"/>
          <w:rFonts w:ascii="Verdana" w:hAnsi="Verdana" w:cs="Segoe UI"/>
          <w:b/>
          <w:bCs/>
          <w:color w:val="000000"/>
          <w:sz w:val="22"/>
          <w:szCs w:val="22"/>
          <w:lang w:val="es-ES"/>
        </w:rPr>
      </w:pPr>
      <w:r>
        <w:rPr>
          <w:rStyle w:val="normaltextrun"/>
          <w:rFonts w:ascii="Verdana" w:hAnsi="Verdana" w:cs="Segoe UI"/>
          <w:b/>
          <w:bCs/>
          <w:color w:val="000000"/>
          <w:sz w:val="22"/>
          <w:szCs w:val="22"/>
          <w:lang w:val="es-ES"/>
        </w:rPr>
        <w:t>TRABAJOS ARTÍSTICOS – Definición – Ejecución de trabajos artísticos </w:t>
      </w:r>
    </w:p>
    <w:p w14:paraId="79084600" w14:textId="4756E0BE" w:rsidR="00EB283C" w:rsidRDefault="00EB283C" w:rsidP="00EB283C">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color w:val="000000"/>
          <w:sz w:val="22"/>
          <w:szCs w:val="22"/>
        </w:rPr>
        <w:t> </w:t>
      </w:r>
    </w:p>
    <w:p w14:paraId="4D727804" w14:textId="77777777" w:rsidR="00EB283C" w:rsidRDefault="00EB283C" w:rsidP="00EB283C">
      <w:pPr>
        <w:pStyle w:val="paragraph"/>
        <w:spacing w:before="0" w:beforeAutospacing="0" w:after="0" w:afterAutospacing="0"/>
        <w:ind w:right="90"/>
        <w:jc w:val="both"/>
        <w:textAlignment w:val="baseline"/>
        <w:rPr>
          <w:rFonts w:ascii="Segoe UI" w:hAnsi="Segoe UI" w:cs="Segoe UI"/>
          <w:sz w:val="18"/>
          <w:szCs w:val="18"/>
        </w:rPr>
      </w:pPr>
      <w:r>
        <w:rPr>
          <w:rStyle w:val="normaltextrun"/>
          <w:rFonts w:ascii="Verdana" w:hAnsi="Verdana" w:cs="Segoe UI"/>
          <w:color w:val="000000"/>
          <w:sz w:val="20"/>
          <w:szCs w:val="20"/>
        </w:rPr>
        <w:t>Sobre la ejecución de trabajos artísticos que sólo pueden encomendarse a determinadas personas naturales, conviene citar </w:t>
      </w:r>
      <w:proofErr w:type="gramStart"/>
      <w:r>
        <w:rPr>
          <w:rStyle w:val="normaltextrun"/>
          <w:rFonts w:ascii="Verdana" w:hAnsi="Verdana" w:cs="Segoe UI"/>
          <w:i/>
          <w:iCs/>
          <w:color w:val="000000"/>
          <w:sz w:val="20"/>
          <w:szCs w:val="20"/>
        </w:rPr>
        <w:t>in extenso</w:t>
      </w:r>
      <w:proofErr w:type="gramEnd"/>
      <w:r>
        <w:rPr>
          <w:rStyle w:val="normaltextrun"/>
          <w:rFonts w:ascii="Verdana" w:hAnsi="Verdana" w:cs="Segoe UI"/>
          <w:color w:val="000000"/>
          <w:sz w:val="20"/>
          <w:szCs w:val="20"/>
        </w:rPr>
        <w:t> lo expuesto por la Sección Tercera de la Sala de lo Contencioso Administrativo del Consejo de Estado, en Sentencia del 2 de diciembre de 2013, expediente 41.719. Al respecto señaló que: </w:t>
      </w:r>
      <w:r>
        <w:rPr>
          <w:rStyle w:val="normaltextrun"/>
          <w:rFonts w:ascii="Verdana" w:hAnsi="Verdana" w:cs="Segoe UI"/>
          <w:color w:val="000000"/>
          <w:sz w:val="20"/>
          <w:szCs w:val="20"/>
          <w:lang w:val="es-ES"/>
        </w:rPr>
        <w:t>“El segundo de los elementos normativos que el legislador ha considerado determinante para la configuración de la causal de contratación directa que ocupa la atención de la Sala, es el que se refiere a otra especie de contratos, que en esencia son de prestación de servicios, pero de un contenido prestacional diferente porque corresponden a una modalidad tipificada de negocios cuyo objeto es de por sí especialísimo ya que tienen por objeto la generación de </w:t>
      </w:r>
      <w:r>
        <w:rPr>
          <w:rStyle w:val="normaltextrun"/>
          <w:rFonts w:ascii="Verdana" w:hAnsi="Verdana" w:cs="Segoe UI"/>
          <w:i/>
          <w:iCs/>
          <w:color w:val="000000"/>
          <w:sz w:val="20"/>
          <w:szCs w:val="20"/>
          <w:lang w:val="es-ES"/>
        </w:rPr>
        <w:t>patrimonio artístico</w:t>
      </w:r>
      <w:r>
        <w:rPr>
          <w:rStyle w:val="normaltextrun"/>
          <w:rFonts w:ascii="Verdana" w:hAnsi="Verdana" w:cs="Segoe UI"/>
          <w:color w:val="000000"/>
          <w:sz w:val="20"/>
          <w:szCs w:val="20"/>
          <w:lang w:val="es-ES"/>
        </w:rPr>
        <w:t> para la entidad estatal o bien beneficiarla de manifestaciones artísticas, para cuyo efecto se encarga a personas que por sus características, dotes, capacidades o aptitudes resultan ser únicas o especiales en el arte que manejan y que en virtud de esta circunstancia se individualizan en el medio nacional o internacional, mediante el reconocimiento como verdaderos y únicos en las técnicas o el arte que desarrollan.</w:t>
      </w:r>
      <w:r>
        <w:rPr>
          <w:rStyle w:val="eop"/>
          <w:rFonts w:ascii="Verdana" w:hAnsi="Verdana" w:cs="Segoe UI"/>
          <w:color w:val="000000"/>
          <w:sz w:val="20"/>
          <w:szCs w:val="20"/>
        </w:rPr>
        <w:t> </w:t>
      </w:r>
    </w:p>
    <w:p w14:paraId="3B7321C5" w14:textId="77777777" w:rsidR="00EB283C" w:rsidRDefault="00EB283C" w:rsidP="00EB283C">
      <w:pPr>
        <w:pStyle w:val="paragraph"/>
        <w:spacing w:before="0" w:beforeAutospacing="0" w:after="0" w:afterAutospacing="0"/>
        <w:ind w:right="90"/>
        <w:jc w:val="both"/>
        <w:textAlignment w:val="baseline"/>
        <w:rPr>
          <w:rFonts w:ascii="Segoe UI" w:hAnsi="Segoe UI" w:cs="Segoe UI"/>
          <w:sz w:val="18"/>
          <w:szCs w:val="18"/>
        </w:rPr>
      </w:pPr>
      <w:r>
        <w:rPr>
          <w:rStyle w:val="eop"/>
          <w:rFonts w:ascii="Verdana" w:hAnsi="Verdana" w:cs="Segoe UI"/>
          <w:color w:val="000000"/>
          <w:sz w:val="20"/>
          <w:szCs w:val="20"/>
        </w:rPr>
        <w:t> </w:t>
      </w:r>
    </w:p>
    <w:p w14:paraId="4AE3671F"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2"/>
          <w:szCs w:val="22"/>
        </w:rPr>
      </w:pPr>
      <w:r>
        <w:rPr>
          <w:rStyle w:val="normaltextrun"/>
          <w:rFonts w:ascii="Verdana" w:hAnsi="Verdana" w:cs="Segoe UI"/>
          <w:b/>
          <w:bCs/>
          <w:color w:val="000000"/>
          <w:sz w:val="22"/>
          <w:szCs w:val="22"/>
        </w:rPr>
        <w:lastRenderedPageBreak/>
        <w:t>CONTRATACIÓN CON ESAL – Contrato de colaboración – Convenio de asociación – Características </w:t>
      </w:r>
      <w:r>
        <w:rPr>
          <w:rStyle w:val="eop"/>
          <w:rFonts w:ascii="Verdana" w:hAnsi="Verdana" w:cs="Segoe UI"/>
          <w:color w:val="000000"/>
          <w:sz w:val="22"/>
          <w:szCs w:val="22"/>
        </w:rPr>
        <w:t> </w:t>
      </w:r>
    </w:p>
    <w:p w14:paraId="63CC8E0F" w14:textId="77777777" w:rsidR="00EB283C" w:rsidRDefault="00EB283C" w:rsidP="00EB283C">
      <w:pPr>
        <w:pStyle w:val="paragraph"/>
        <w:spacing w:before="0" w:beforeAutospacing="0" w:after="0" w:afterAutospacing="0"/>
        <w:jc w:val="both"/>
        <w:textAlignment w:val="baseline"/>
        <w:rPr>
          <w:rFonts w:ascii="Segoe UI" w:hAnsi="Segoe UI" w:cs="Segoe UI"/>
          <w:sz w:val="18"/>
          <w:szCs w:val="18"/>
        </w:rPr>
      </w:pPr>
    </w:p>
    <w:p w14:paraId="10F7E0F6"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r>
        <w:rPr>
          <w:rStyle w:val="normaltextrun"/>
          <w:rFonts w:ascii="Verdana" w:hAnsi="Verdana" w:cs="Segoe UI"/>
          <w:color w:val="000000"/>
          <w:sz w:val="20"/>
          <w:szCs w:val="20"/>
        </w:rPr>
        <w:t>De otra parte, para determinar la posibilidad de que los servicios artísticos sean provistos por una entidad privada sin ánimo de lucro, es necesario remitirnos al régimen aplicable para contratación con este tipo de entidades. Para estos efectos, conviene recordar que, </w:t>
      </w:r>
      <w:r>
        <w:rPr>
          <w:rStyle w:val="normaltextrun"/>
          <w:rFonts w:ascii="Verdana" w:hAnsi="Verdana" w:cs="Segoe UI"/>
          <w:color w:val="000000"/>
          <w:sz w:val="20"/>
          <w:szCs w:val="20"/>
          <w:lang w:val="es-MX"/>
        </w:rPr>
        <w:t>el Gobierno Nacional, en desarrollo del artículo 355 de la Constitución Política, expidió el Decreto 092 de 2017, el cual dispone </w:t>
      </w:r>
      <w:r>
        <w:rPr>
          <w:rStyle w:val="normaltextrun"/>
          <w:rFonts w:ascii="Verdana" w:hAnsi="Verdana" w:cs="Segoe UI"/>
          <w:sz w:val="20"/>
          <w:szCs w:val="20"/>
          <w:lang w:val="es-MX"/>
        </w:rPr>
        <w:t>reglas para las contrataciones que realizan las Entidades Estatales con las ESAL. </w:t>
      </w:r>
      <w:r>
        <w:rPr>
          <w:rStyle w:val="normaltextrun"/>
          <w:rFonts w:ascii="Verdana" w:hAnsi="Verdana" w:cs="Segoe UI"/>
          <w:color w:val="000000"/>
          <w:sz w:val="20"/>
          <w:szCs w:val="20"/>
          <w:lang w:val="es-ES"/>
        </w:rPr>
        <w:t>El Decreto regula dos (2) eventos: i) </w:t>
      </w:r>
      <w:r>
        <w:rPr>
          <w:rStyle w:val="normaltextrun"/>
          <w:rFonts w:ascii="Verdana" w:hAnsi="Verdana" w:cs="Segoe UI"/>
          <w:sz w:val="20"/>
          <w:szCs w:val="20"/>
          <w:lang w:val="es-ES"/>
        </w:rPr>
        <w:t>los </w:t>
      </w:r>
      <w:r>
        <w:rPr>
          <w:rStyle w:val="normaltextrun"/>
          <w:rFonts w:ascii="Verdana" w:hAnsi="Verdana" w:cs="Segoe UI"/>
          <w:i/>
          <w:iCs/>
          <w:sz w:val="20"/>
          <w:szCs w:val="20"/>
          <w:lang w:val="es-ES"/>
        </w:rPr>
        <w:t>contratos de colaboración</w:t>
      </w:r>
      <w:r>
        <w:rPr>
          <w:rStyle w:val="normaltextrun"/>
          <w:rFonts w:ascii="Verdana" w:hAnsi="Verdana" w:cs="Segoe UI"/>
          <w:sz w:val="20"/>
          <w:szCs w:val="20"/>
          <w:lang w:val="es-ES"/>
        </w:rPr>
        <w:t> o de interés público, con el fin impulsar programas y actividades de interés público de acuerdo con el Plan Nacional o los planes seccionales de desarrollo, en los términos del artículo 355 de la Constitución Política</w:t>
      </w:r>
      <w:r>
        <w:rPr>
          <w:rStyle w:val="normaltextrun"/>
          <w:rFonts w:ascii="Verdana" w:hAnsi="Verdana" w:cs="Segoe UI"/>
          <w:color w:val="000000"/>
          <w:sz w:val="20"/>
          <w:szCs w:val="20"/>
          <w:lang w:val="es-ES"/>
        </w:rPr>
        <w:t> y; </w:t>
      </w:r>
      <w:proofErr w:type="spellStart"/>
      <w:r>
        <w:rPr>
          <w:rStyle w:val="normaltextrun"/>
          <w:rFonts w:ascii="Verdana" w:hAnsi="Verdana" w:cs="Segoe UI"/>
          <w:color w:val="000000"/>
          <w:sz w:val="20"/>
          <w:szCs w:val="20"/>
          <w:lang w:val="es-ES"/>
        </w:rPr>
        <w:t>ii</w:t>
      </w:r>
      <w:proofErr w:type="spellEnd"/>
      <w:r>
        <w:rPr>
          <w:rStyle w:val="normaltextrun"/>
          <w:rFonts w:ascii="Verdana" w:hAnsi="Verdana" w:cs="Segoe UI"/>
          <w:color w:val="000000"/>
          <w:sz w:val="20"/>
          <w:szCs w:val="20"/>
          <w:lang w:val="es-ES"/>
        </w:rPr>
        <w:t>) los </w:t>
      </w:r>
      <w:r>
        <w:rPr>
          <w:rStyle w:val="normaltextrun"/>
          <w:rFonts w:ascii="Verdana" w:hAnsi="Verdana" w:cs="Segoe UI"/>
          <w:i/>
          <w:iCs/>
          <w:color w:val="000000"/>
          <w:sz w:val="20"/>
          <w:szCs w:val="20"/>
          <w:lang w:val="es-ES"/>
        </w:rPr>
        <w:t>convenios de asociación</w:t>
      </w:r>
      <w:r>
        <w:rPr>
          <w:rStyle w:val="normaltextrun"/>
          <w:rFonts w:ascii="Verdana" w:hAnsi="Verdana" w:cs="Segoe UI"/>
          <w:color w:val="000000"/>
          <w:sz w:val="20"/>
          <w:szCs w:val="20"/>
          <w:lang w:val="es-ES"/>
        </w:rPr>
        <w:t>, para el desarrollo conjunto de actividades relacionadas con las funciones de las Entidades Estatales, en desarrollo del artículo 96 de la Ley 489 de 1998. </w:t>
      </w:r>
      <w:r>
        <w:rPr>
          <w:rStyle w:val="normaltextrun"/>
          <w:rFonts w:ascii="Verdana" w:hAnsi="Verdana" w:cs="Segoe UI"/>
          <w:color w:val="000000"/>
          <w:sz w:val="20"/>
          <w:szCs w:val="20"/>
          <w:lang w:val="es-MX"/>
        </w:rPr>
        <w:t>Los primeros están regulados en el artículo 2 del Decreto 092 de 2017, mientras que los segundos en los artículos 5, 6, 7 y 8 </w:t>
      </w:r>
      <w:r>
        <w:rPr>
          <w:rStyle w:val="normaltextrun"/>
          <w:rFonts w:ascii="Verdana" w:hAnsi="Verdana" w:cs="Segoe UI"/>
          <w:i/>
          <w:iCs/>
          <w:color w:val="000000"/>
          <w:sz w:val="20"/>
          <w:szCs w:val="20"/>
          <w:lang w:val="es-MX"/>
        </w:rPr>
        <w:t>ibidem</w:t>
      </w:r>
      <w:r>
        <w:rPr>
          <w:rStyle w:val="normaltextrun"/>
          <w:rFonts w:ascii="Verdana" w:hAnsi="Verdana" w:cs="Segoe UI"/>
          <w:color w:val="000000"/>
          <w:sz w:val="20"/>
          <w:szCs w:val="20"/>
          <w:lang w:val="es-MX"/>
        </w:rPr>
        <w:t>. Así las cosas, es posible diferenciar los </w:t>
      </w:r>
      <w:r>
        <w:rPr>
          <w:rStyle w:val="normaltextrun"/>
          <w:rFonts w:ascii="Verdana" w:hAnsi="Verdana" w:cs="Segoe UI"/>
          <w:i/>
          <w:iCs/>
          <w:color w:val="000000"/>
          <w:sz w:val="20"/>
          <w:szCs w:val="20"/>
          <w:lang w:val="es-MX"/>
        </w:rPr>
        <w:t>contratos de colaboración</w:t>
      </w:r>
      <w:r>
        <w:rPr>
          <w:rStyle w:val="normaltextrun"/>
          <w:rFonts w:ascii="Verdana" w:hAnsi="Verdana" w:cs="Segoe UI"/>
          <w:color w:val="000000"/>
          <w:sz w:val="20"/>
          <w:szCs w:val="20"/>
          <w:lang w:val="es-MX"/>
        </w:rPr>
        <w:t>, establecidos en el artículo 2 del Decreto 092 de 2017, de los </w:t>
      </w:r>
      <w:r>
        <w:rPr>
          <w:rStyle w:val="normaltextrun"/>
          <w:rFonts w:ascii="Verdana" w:hAnsi="Verdana" w:cs="Segoe UI"/>
          <w:i/>
          <w:iCs/>
          <w:color w:val="000000"/>
          <w:sz w:val="20"/>
          <w:szCs w:val="20"/>
          <w:lang w:val="es-MX"/>
        </w:rPr>
        <w:t>convenios de asociación</w:t>
      </w:r>
      <w:r>
        <w:rPr>
          <w:rStyle w:val="normaltextrun"/>
          <w:rFonts w:ascii="Verdana" w:hAnsi="Verdana" w:cs="Segoe UI"/>
          <w:color w:val="000000"/>
          <w:sz w:val="20"/>
          <w:szCs w:val="20"/>
          <w:lang w:val="es-MX"/>
        </w:rPr>
        <w:t>, regulados en el artículo 5.</w:t>
      </w:r>
      <w:r>
        <w:rPr>
          <w:rStyle w:val="eop"/>
          <w:rFonts w:ascii="Verdana" w:hAnsi="Verdana" w:cs="Segoe UI"/>
          <w:color w:val="000000"/>
          <w:sz w:val="20"/>
          <w:szCs w:val="20"/>
        </w:rPr>
        <w:t> </w:t>
      </w:r>
    </w:p>
    <w:p w14:paraId="00879260" w14:textId="77777777" w:rsidR="00EB283C" w:rsidRDefault="00EB283C" w:rsidP="00EB283C">
      <w:pPr>
        <w:pStyle w:val="paragraph"/>
        <w:spacing w:before="0" w:beforeAutospacing="0" w:after="0" w:afterAutospacing="0"/>
        <w:jc w:val="both"/>
        <w:textAlignment w:val="baseline"/>
        <w:rPr>
          <w:rFonts w:ascii="Segoe UI" w:hAnsi="Segoe UI" w:cs="Segoe UI"/>
          <w:sz w:val="18"/>
          <w:szCs w:val="18"/>
        </w:rPr>
      </w:pPr>
    </w:p>
    <w:p w14:paraId="107E08E6"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2"/>
          <w:szCs w:val="22"/>
        </w:rPr>
      </w:pPr>
      <w:r>
        <w:rPr>
          <w:rStyle w:val="normaltextrun"/>
          <w:rFonts w:ascii="Verdana" w:hAnsi="Verdana" w:cs="Segoe UI"/>
          <w:b/>
          <w:bCs/>
          <w:color w:val="000000"/>
          <w:sz w:val="22"/>
          <w:szCs w:val="22"/>
        </w:rPr>
        <w:t>DECRETO 92 de 2017 ― Criterios que determinan su aplicación </w:t>
      </w:r>
      <w:r>
        <w:rPr>
          <w:rStyle w:val="eop"/>
          <w:rFonts w:ascii="Verdana" w:hAnsi="Verdana" w:cs="Segoe UI"/>
          <w:color w:val="000000"/>
          <w:sz w:val="22"/>
          <w:szCs w:val="22"/>
        </w:rPr>
        <w:t> </w:t>
      </w:r>
    </w:p>
    <w:p w14:paraId="6A84B671" w14:textId="77777777" w:rsidR="00EB283C" w:rsidRDefault="00EB283C" w:rsidP="00EB283C">
      <w:pPr>
        <w:pStyle w:val="paragraph"/>
        <w:spacing w:before="0" w:beforeAutospacing="0" w:after="0" w:afterAutospacing="0"/>
        <w:jc w:val="both"/>
        <w:textAlignment w:val="baseline"/>
        <w:rPr>
          <w:rFonts w:ascii="Segoe UI" w:hAnsi="Segoe UI" w:cs="Segoe UI"/>
          <w:sz w:val="18"/>
          <w:szCs w:val="18"/>
        </w:rPr>
      </w:pPr>
    </w:p>
    <w:p w14:paraId="4E2816A0" w14:textId="77777777" w:rsidR="00EB283C" w:rsidRDefault="00EB283C" w:rsidP="00EB283C">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color w:val="000000"/>
          <w:sz w:val="20"/>
          <w:szCs w:val="20"/>
          <w:lang w:val="es-MX"/>
        </w:rPr>
        <w:t>De acuerdo con lo expuesto, para la contratación de actividades o trabajos artísticos, las Entidades Estatales tienen a su disposición las tipologías contractuales establecidas en el marco del EGCAP y el derecho privado, entre las que destaca el contrato de prestación de servicios para la ejecución de trabajos que por su naturaleza deban encomendarse a determinada natural, según lo establecido en los artículos 32.3 de la Ley 80 de 1993 y   2.2.1.2.1.4.9. del Decreto 1082 de 2015. Por otro lado, en el marco de la contratación regulada por el Decreto 092 de 2017, las Entidades Estatales que hacen parte del Gobierno nacional, departamental, distrital y municipal tienen la posibilidad de contratar la prestación de servicios artísticos a través de contratos de colaboración, de acuerdo con los artículos 2, 3 y 4, como parte de la ejecución de los planes, programas o proyectos previstos en los instrumentos de planeación, de acuerdo con el artículo 355 superior. De igual manera, con sustento en el artículo 96 de la Ley 489 de 1996, reglamentado en el artículo 5 del Decreto 092 de 2017, las Entidades Estatales pueden acudir a convenios de asociación para el desarrollo de objetos asociados a la misionalidad de la Entidad Estatal, de los que se desprenda la ejecución de la actividades artísticas asociadas al interés general.</w:t>
      </w:r>
      <w:r>
        <w:rPr>
          <w:rStyle w:val="eop"/>
          <w:rFonts w:ascii="Verdana" w:hAnsi="Verdana" w:cs="Segoe UI"/>
          <w:color w:val="000000"/>
          <w:sz w:val="20"/>
          <w:szCs w:val="20"/>
        </w:rPr>
        <w:t> </w:t>
      </w:r>
    </w:p>
    <w:p w14:paraId="4DE819C9" w14:textId="77777777" w:rsidR="001E5622" w:rsidRDefault="001E5622" w:rsidP="00EB283C">
      <w:pPr>
        <w:pStyle w:val="paragraph"/>
        <w:spacing w:before="0" w:beforeAutospacing="0" w:after="0" w:afterAutospacing="0"/>
        <w:jc w:val="both"/>
        <w:textAlignment w:val="baseline"/>
        <w:rPr>
          <w:rStyle w:val="normaltextrun"/>
          <w:rFonts w:ascii="Verdana" w:hAnsi="Verdana" w:cs="Segoe UI"/>
          <w:b/>
          <w:bCs/>
          <w:color w:val="000000"/>
          <w:sz w:val="22"/>
          <w:szCs w:val="22"/>
        </w:rPr>
      </w:pPr>
    </w:p>
    <w:p w14:paraId="72F8E55E" w14:textId="066438EA" w:rsidR="00EB283C" w:rsidRDefault="00EB283C" w:rsidP="00EB283C">
      <w:pPr>
        <w:pStyle w:val="paragraph"/>
        <w:spacing w:before="0" w:beforeAutospacing="0" w:after="0" w:afterAutospacing="0"/>
        <w:jc w:val="both"/>
        <w:textAlignment w:val="baseline"/>
        <w:rPr>
          <w:rStyle w:val="eop"/>
          <w:rFonts w:ascii="Verdana" w:hAnsi="Verdana" w:cs="Segoe UI"/>
          <w:sz w:val="22"/>
          <w:szCs w:val="22"/>
        </w:rPr>
      </w:pPr>
      <w:r>
        <w:rPr>
          <w:rStyle w:val="normaltextrun"/>
          <w:rFonts w:ascii="Verdana" w:hAnsi="Verdana" w:cs="Segoe UI"/>
          <w:b/>
          <w:bCs/>
          <w:color w:val="000000"/>
          <w:sz w:val="22"/>
          <w:szCs w:val="22"/>
        </w:rPr>
        <w:t>CONTRATACIÓN CON ESAL ― Contratos y/o convenios objeto corresponde a actividades artísticas</w:t>
      </w:r>
      <w:r>
        <w:rPr>
          <w:rStyle w:val="normaltextrun"/>
          <w:rFonts w:ascii="Verdana" w:hAnsi="Verdana" w:cs="Segoe UI"/>
          <w:b/>
          <w:bCs/>
          <w:sz w:val="22"/>
          <w:szCs w:val="22"/>
        </w:rPr>
        <w:t> – Contratación de trabajo o actividades artísticas</w:t>
      </w:r>
      <w:r>
        <w:rPr>
          <w:rStyle w:val="eop"/>
          <w:rFonts w:ascii="Verdana" w:hAnsi="Verdana" w:cs="Segoe UI"/>
          <w:sz w:val="22"/>
          <w:szCs w:val="22"/>
        </w:rPr>
        <w:t> </w:t>
      </w:r>
    </w:p>
    <w:p w14:paraId="49A8AED3" w14:textId="77777777" w:rsidR="00EB283C" w:rsidRDefault="00EB283C" w:rsidP="00EB283C">
      <w:pPr>
        <w:pStyle w:val="paragraph"/>
        <w:spacing w:before="0" w:beforeAutospacing="0" w:after="0" w:afterAutospacing="0"/>
        <w:jc w:val="both"/>
        <w:textAlignment w:val="baseline"/>
        <w:rPr>
          <w:rFonts w:ascii="Segoe UI" w:hAnsi="Segoe UI" w:cs="Segoe UI"/>
          <w:sz w:val="18"/>
          <w:szCs w:val="18"/>
        </w:rPr>
      </w:pPr>
    </w:p>
    <w:p w14:paraId="518440E8" w14:textId="1CC840F8"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r>
        <w:rPr>
          <w:rStyle w:val="normaltextrun"/>
          <w:rFonts w:ascii="Verdana" w:hAnsi="Verdana" w:cs="Segoe UI"/>
          <w:color w:val="000000"/>
          <w:sz w:val="20"/>
          <w:szCs w:val="20"/>
          <w:lang w:val="es-MX"/>
        </w:rPr>
        <w:t xml:space="preserve">De otra parte, si la necesidad tiene que ver con el desarrollo de una función o la prestación de un servicio, que de conformidad con ley deba cumplir la entidad estatal, respecto de la que se estime procedente acudir a la colaboración con entidades privadas </w:t>
      </w:r>
      <w:r>
        <w:rPr>
          <w:rStyle w:val="normaltextrun"/>
          <w:rFonts w:ascii="Verdana" w:hAnsi="Verdana" w:cs="Segoe UI"/>
          <w:color w:val="000000"/>
          <w:sz w:val="20"/>
          <w:szCs w:val="20"/>
          <w:lang w:val="es-MX"/>
        </w:rPr>
        <w:lastRenderedPageBreak/>
        <w:t>sin </w:t>
      </w:r>
      <w:proofErr w:type="spellStart"/>
      <w:r>
        <w:rPr>
          <w:rStyle w:val="normaltextrun"/>
          <w:rFonts w:ascii="Verdana" w:hAnsi="Verdana" w:cs="Segoe UI"/>
          <w:color w:val="000000"/>
          <w:sz w:val="20"/>
          <w:szCs w:val="20"/>
          <w:lang w:val="es-MX"/>
        </w:rPr>
        <w:t>animo</w:t>
      </w:r>
      <w:proofErr w:type="spellEnd"/>
      <w:r>
        <w:rPr>
          <w:rStyle w:val="normaltextrun"/>
          <w:rFonts w:ascii="Verdana" w:hAnsi="Verdana" w:cs="Segoe UI"/>
          <w:color w:val="000000"/>
          <w:sz w:val="20"/>
          <w:szCs w:val="20"/>
          <w:lang w:val="es-MX"/>
        </w:rPr>
        <w:t> de lucro, la figura aplicable es la del </w:t>
      </w:r>
      <w:r>
        <w:rPr>
          <w:rStyle w:val="normaltextrun"/>
          <w:rFonts w:ascii="Verdana" w:hAnsi="Verdana" w:cs="Segoe UI"/>
          <w:i/>
          <w:iCs/>
          <w:color w:val="000000"/>
          <w:sz w:val="20"/>
          <w:szCs w:val="20"/>
          <w:lang w:val="es-MX"/>
        </w:rPr>
        <w:t>convenio de asociación</w:t>
      </w:r>
      <w:r>
        <w:rPr>
          <w:rStyle w:val="normaltextrun"/>
          <w:rFonts w:ascii="Verdana" w:hAnsi="Verdana" w:cs="Segoe UI"/>
          <w:color w:val="000000"/>
          <w:sz w:val="20"/>
          <w:szCs w:val="20"/>
          <w:lang w:val="es-MX"/>
        </w:rPr>
        <w:t>, según establecido en los artículos 96 de la Ley 489 de 1998 y 5 del Decreto 092 de 2017. En el marco de este tipo de convenios, así como dentro de los contratos de colaboración, resulta posible que dentro de las condiciones del contrato se establezca la obligación de vincular a artistas determinados o no, para que se encarguen de ejecutar el componente artístico del objeto. Esto desde luego está sujeto a las características del proyecto y la autonomía de la voluntad de las partes, en virtud de la cual tal obligación puede ser atribuida a la entidad estatal directamente o la entidad sin </w:t>
      </w:r>
      <w:proofErr w:type="spellStart"/>
      <w:r>
        <w:rPr>
          <w:rStyle w:val="normaltextrun"/>
          <w:rFonts w:ascii="Verdana" w:hAnsi="Verdana" w:cs="Segoe UI"/>
          <w:color w:val="000000"/>
          <w:sz w:val="20"/>
          <w:szCs w:val="20"/>
          <w:lang w:val="es-MX"/>
        </w:rPr>
        <w:t>animo</w:t>
      </w:r>
      <w:proofErr w:type="spellEnd"/>
      <w:r>
        <w:rPr>
          <w:rStyle w:val="normaltextrun"/>
          <w:rFonts w:ascii="Verdana" w:hAnsi="Verdana" w:cs="Segoe UI"/>
          <w:color w:val="000000"/>
          <w:sz w:val="20"/>
          <w:szCs w:val="20"/>
          <w:lang w:val="es-MX"/>
        </w:rPr>
        <w:t> de lucro que funja como ejecutora o contratista. En todo caso, en los casos en los que se opte lo segundo, la vinculación de los artistas con el contratista estará regida por las disposiciones civiles y/o labores que resulten aplicables para efecto, siendo la entidad estatal un tercero ajeno a dicha relación, sin perjuicio que esta tenga su causa en el convenio o contrato estatal.        </w:t>
      </w:r>
      <w:r>
        <w:rPr>
          <w:rStyle w:val="eop"/>
          <w:rFonts w:ascii="Verdana" w:hAnsi="Verdana" w:cs="Segoe UI"/>
          <w:color w:val="000000"/>
          <w:sz w:val="20"/>
          <w:szCs w:val="20"/>
        </w:rPr>
        <w:t> </w:t>
      </w:r>
    </w:p>
    <w:p w14:paraId="52898A91" w14:textId="77777777" w:rsidR="00EB283C" w:rsidRDefault="00EB283C" w:rsidP="00EB283C">
      <w:pPr>
        <w:pStyle w:val="paragraph"/>
        <w:spacing w:before="0" w:beforeAutospacing="0" w:after="0" w:afterAutospacing="0"/>
        <w:jc w:val="both"/>
        <w:textAlignment w:val="baseline"/>
        <w:rPr>
          <w:rFonts w:ascii="Segoe UI" w:hAnsi="Segoe UI" w:cs="Segoe UI"/>
          <w:sz w:val="18"/>
          <w:szCs w:val="18"/>
        </w:rPr>
      </w:pPr>
    </w:p>
    <w:p w14:paraId="59BAE490" w14:textId="1A722B0E"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r>
        <w:rPr>
          <w:rStyle w:val="normaltextrun"/>
          <w:rFonts w:ascii="Verdana" w:hAnsi="Verdana" w:cs="Segoe UI"/>
          <w:color w:val="000000"/>
          <w:sz w:val="20"/>
          <w:szCs w:val="20"/>
          <w:lang w:val="es-MX"/>
        </w:rPr>
        <w:t>En síntesis, de conformidad con lo establecido en el marco de su ejercicio de planeación, corresponde a la Entidad Estatal determinar </w:t>
      </w:r>
      <w:proofErr w:type="spellStart"/>
      <w:r>
        <w:rPr>
          <w:rStyle w:val="normaltextrun"/>
          <w:rFonts w:ascii="Verdana" w:hAnsi="Verdana" w:cs="Segoe UI"/>
          <w:color w:val="000000"/>
          <w:sz w:val="20"/>
          <w:szCs w:val="20"/>
          <w:lang w:val="es-MX"/>
        </w:rPr>
        <w:t>cual</w:t>
      </w:r>
      <w:proofErr w:type="spellEnd"/>
      <w:r>
        <w:rPr>
          <w:rStyle w:val="normaltextrun"/>
          <w:rFonts w:ascii="Verdana" w:hAnsi="Verdana" w:cs="Segoe UI"/>
          <w:color w:val="000000"/>
          <w:sz w:val="20"/>
          <w:szCs w:val="20"/>
          <w:lang w:val="es-MX"/>
        </w:rPr>
        <w:t> es el objeto contractual y el tipo de negocio jurídico que se debe celebrar para la satisfacción de una necesidad que </w:t>
      </w:r>
      <w:proofErr w:type="gramStart"/>
      <w:r>
        <w:rPr>
          <w:rStyle w:val="normaltextrun"/>
          <w:rFonts w:ascii="Verdana" w:hAnsi="Verdana" w:cs="Segoe UI"/>
          <w:color w:val="000000"/>
          <w:sz w:val="20"/>
          <w:szCs w:val="20"/>
          <w:lang w:val="es-MX"/>
        </w:rPr>
        <w:t>este asociada</w:t>
      </w:r>
      <w:proofErr w:type="gramEnd"/>
      <w:r>
        <w:rPr>
          <w:rStyle w:val="normaltextrun"/>
          <w:rFonts w:ascii="Verdana" w:hAnsi="Verdana" w:cs="Segoe UI"/>
          <w:color w:val="000000"/>
          <w:sz w:val="20"/>
          <w:szCs w:val="20"/>
          <w:lang w:val="es-MX"/>
        </w:rPr>
        <w:t> a la ejecución de trabajos artísticos. De acuerdo con el tipo de necesidad resultan aplicables los negocios jurídicos establecidos en </w:t>
      </w:r>
      <w:proofErr w:type="gramStart"/>
      <w:r>
        <w:rPr>
          <w:rStyle w:val="normaltextrun"/>
          <w:rFonts w:ascii="Verdana" w:hAnsi="Verdana" w:cs="Segoe UI"/>
          <w:color w:val="000000"/>
          <w:sz w:val="20"/>
          <w:szCs w:val="20"/>
          <w:lang w:val="es-MX"/>
        </w:rPr>
        <w:t>los artículo</w:t>
      </w:r>
      <w:proofErr w:type="gramEnd"/>
      <w:r>
        <w:rPr>
          <w:rStyle w:val="normaltextrun"/>
          <w:rFonts w:ascii="Verdana" w:hAnsi="Verdana" w:cs="Segoe UI"/>
          <w:color w:val="000000"/>
          <w:sz w:val="20"/>
          <w:szCs w:val="20"/>
          <w:lang w:val="es-MX"/>
        </w:rPr>
        <w:t> 32.3 de la Ley 80 de 1993, 2 y 5 del Decreto 092 de 2017, así como los que en ejercicio de la autonomía de la voluntad se celebren con arreglo a las disposiciones civiles. En consonancia con el tipo de negocio jurídico escogido, las entidades estatales pueden optar por contratar a los artistas de manera directa, ya sea a través de un </w:t>
      </w:r>
      <w:r>
        <w:rPr>
          <w:rStyle w:val="normaltextrun"/>
          <w:rFonts w:ascii="Verdana" w:hAnsi="Verdana" w:cs="Segoe UI"/>
          <w:i/>
          <w:iCs/>
          <w:color w:val="000000"/>
          <w:sz w:val="20"/>
          <w:szCs w:val="20"/>
          <w:lang w:val="es-MX"/>
        </w:rPr>
        <w:t>contrato de prestación de servicios</w:t>
      </w:r>
      <w:r>
        <w:rPr>
          <w:rStyle w:val="normaltextrun"/>
          <w:rFonts w:ascii="Verdana" w:hAnsi="Verdana" w:cs="Segoe UI"/>
          <w:color w:val="000000"/>
          <w:sz w:val="20"/>
          <w:szCs w:val="20"/>
          <w:lang w:val="es-MX"/>
        </w:rPr>
        <w:t> o un </w:t>
      </w:r>
      <w:r>
        <w:rPr>
          <w:rStyle w:val="normaltextrun"/>
          <w:rFonts w:ascii="Verdana" w:hAnsi="Verdana" w:cs="Segoe UI"/>
          <w:i/>
          <w:iCs/>
          <w:color w:val="000000"/>
          <w:sz w:val="20"/>
          <w:szCs w:val="20"/>
          <w:lang w:val="es-MX"/>
        </w:rPr>
        <w:t>contrato de colaboración</w:t>
      </w:r>
      <w:r>
        <w:rPr>
          <w:rStyle w:val="normaltextrun"/>
          <w:rFonts w:ascii="Verdana" w:hAnsi="Verdana" w:cs="Segoe UI"/>
          <w:color w:val="000000"/>
          <w:sz w:val="20"/>
          <w:szCs w:val="20"/>
          <w:lang w:val="es-MX"/>
        </w:rPr>
        <w:t>, o bien puede acudir a otro tipo de negocio jurídico en el que, la vinculación de los artistas encargados de la ejecución material del objeto sea una obligación del contratista.   </w:t>
      </w:r>
      <w:r>
        <w:rPr>
          <w:rStyle w:val="eop"/>
          <w:rFonts w:ascii="Verdana" w:hAnsi="Verdana" w:cs="Segoe UI"/>
          <w:color w:val="000000"/>
          <w:sz w:val="20"/>
          <w:szCs w:val="20"/>
        </w:rPr>
        <w:t> </w:t>
      </w:r>
    </w:p>
    <w:p w14:paraId="4088E2F8"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41240B5E"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6931D978"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5863722C"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34970FEF"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37EE86B9"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7988D569"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1492F78C"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6A051617"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45DA4272"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20B606B5"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714B7728"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36D62A6F"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57D591DC"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18771D30"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3127598A"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79E1E6B3"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71958E03"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74082557"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058878BF"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3C0F727A" w14:textId="77777777" w:rsidR="00EB283C" w:rsidRDefault="00EB283C" w:rsidP="00EB283C">
      <w:pPr>
        <w:pStyle w:val="paragraph"/>
        <w:spacing w:before="0" w:beforeAutospacing="0" w:after="0" w:afterAutospacing="0"/>
        <w:jc w:val="both"/>
        <w:textAlignment w:val="baseline"/>
        <w:rPr>
          <w:rStyle w:val="eop"/>
          <w:rFonts w:ascii="Verdana" w:hAnsi="Verdana" w:cs="Segoe UI"/>
          <w:color w:val="000000"/>
          <w:sz w:val="20"/>
          <w:szCs w:val="20"/>
        </w:rPr>
      </w:pPr>
    </w:p>
    <w:p w14:paraId="2E60391B" w14:textId="670F0C5A" w:rsidR="00EB283C" w:rsidRDefault="00EB283C" w:rsidP="00EB283C">
      <w:pPr>
        <w:pStyle w:val="paragraph"/>
        <w:spacing w:before="0" w:beforeAutospacing="0" w:after="0" w:afterAutospacing="0"/>
        <w:jc w:val="both"/>
        <w:textAlignment w:val="baseline"/>
        <w:rPr>
          <w:rFonts w:ascii="Segoe UI" w:hAnsi="Segoe UI" w:cs="Segoe UI"/>
          <w:sz w:val="18"/>
          <w:szCs w:val="18"/>
        </w:rPr>
      </w:pPr>
      <w:r w:rsidRPr="00EB283C">
        <w:rPr>
          <w:rFonts w:ascii="Verdana" w:hAnsi="Verdana"/>
          <w:noProof/>
        </w:rPr>
        <w:drawing>
          <wp:anchor distT="0" distB="0" distL="114300" distR="114300" simplePos="0" relativeHeight="251660288" behindDoc="0" locked="0" layoutInCell="1" allowOverlap="1" wp14:anchorId="6C8A42A2" wp14:editId="235CC0DD">
            <wp:simplePos x="0" y="0"/>
            <wp:positionH relativeFrom="margin">
              <wp:posOffset>2858770</wp:posOffset>
            </wp:positionH>
            <wp:positionV relativeFrom="page">
              <wp:posOffset>1573530</wp:posOffset>
            </wp:positionV>
            <wp:extent cx="3191510" cy="1038860"/>
            <wp:effectExtent l="0" t="0" r="8890" b="8890"/>
            <wp:wrapSquare wrapText="bothSides"/>
            <wp:docPr id="183898477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98477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191510" cy="1038860"/>
                    </a:xfrm>
                    <a:prstGeom prst="rect">
                      <a:avLst/>
                    </a:prstGeom>
                  </pic:spPr>
                </pic:pic>
              </a:graphicData>
            </a:graphic>
            <wp14:sizeRelH relativeFrom="margin">
              <wp14:pctWidth>0</wp14:pctWidth>
            </wp14:sizeRelH>
            <wp14:sizeRelV relativeFrom="margin">
              <wp14:pctHeight>0</wp14:pctHeight>
            </wp14:sizeRelV>
          </wp:anchor>
        </w:drawing>
      </w:r>
    </w:p>
    <w:p w14:paraId="2F78018E" w14:textId="0E3A20F5" w:rsidR="000D62F3" w:rsidRPr="007D3F6E" w:rsidRDefault="000D62F3" w:rsidP="000D62F3">
      <w:pPr>
        <w:spacing w:after="0"/>
        <w:rPr>
          <w:rFonts w:ascii="Verdana" w:hAnsi="Verdana"/>
        </w:rPr>
      </w:pPr>
      <w:r w:rsidRPr="007D3F6E">
        <w:rPr>
          <w:rFonts w:ascii="Verdana" w:hAnsi="Verdana"/>
        </w:rPr>
        <w:t xml:space="preserve">Bogotá D.C., </w:t>
      </w:r>
      <w:r w:rsidR="00EB283C" w:rsidRPr="00EB283C">
        <w:rPr>
          <w:rFonts w:ascii="Verdana" w:hAnsi="Verdana"/>
        </w:rPr>
        <w:t xml:space="preserve">22 </w:t>
      </w:r>
      <w:proofErr w:type="gramStart"/>
      <w:r w:rsidR="00EB283C" w:rsidRPr="00EB283C">
        <w:rPr>
          <w:rFonts w:ascii="Verdana" w:hAnsi="Verdana"/>
        </w:rPr>
        <w:t>Enero</w:t>
      </w:r>
      <w:proofErr w:type="gramEnd"/>
      <w:r w:rsidR="00EB283C" w:rsidRPr="00EB283C">
        <w:rPr>
          <w:rFonts w:ascii="Verdana" w:hAnsi="Verdana"/>
        </w:rPr>
        <w:t xml:space="preserve"> 2026</w:t>
      </w:r>
      <w:r w:rsidRPr="007D3F6E">
        <w:rPr>
          <w:rFonts w:ascii="Verdana" w:hAnsi="Verdana"/>
        </w:rPr>
        <w:br/>
      </w:r>
      <w:bookmarkEnd w:id="0"/>
    </w:p>
    <w:p w14:paraId="29E07489" w14:textId="3D1DDC25" w:rsidR="000D62F3" w:rsidRPr="007D3F6E" w:rsidRDefault="000D62F3" w:rsidP="000D62F3">
      <w:pPr>
        <w:tabs>
          <w:tab w:val="left" w:pos="6279"/>
        </w:tabs>
        <w:spacing w:after="0" w:line="240" w:lineRule="auto"/>
        <w:jc w:val="both"/>
        <w:rPr>
          <w:rFonts w:ascii="Verdana" w:eastAsia="Calibri" w:hAnsi="Verdana" w:cs="Arial"/>
          <w:lang w:eastAsia="es-ES"/>
        </w:rPr>
      </w:pPr>
      <w:r w:rsidRPr="007D3F6E">
        <w:rPr>
          <w:rFonts w:ascii="Verdana" w:eastAsia="Calibri" w:hAnsi="Verdana" w:cs="Arial"/>
          <w:lang w:eastAsia="es-ES"/>
        </w:rPr>
        <w:t>Señor</w:t>
      </w:r>
    </w:p>
    <w:p w14:paraId="22E37E58" w14:textId="77777777" w:rsidR="000D62F3" w:rsidRPr="007D3F6E" w:rsidRDefault="000D62F3" w:rsidP="000D62F3">
      <w:pPr>
        <w:spacing w:after="0" w:line="240" w:lineRule="auto"/>
        <w:jc w:val="both"/>
        <w:rPr>
          <w:rFonts w:ascii="Verdana" w:eastAsia="Calibri" w:hAnsi="Verdana" w:cs="Arial"/>
          <w:b/>
          <w:lang w:eastAsia="es-ES_tradnl"/>
        </w:rPr>
      </w:pPr>
      <w:r w:rsidRPr="007D3F6E">
        <w:rPr>
          <w:rFonts w:ascii="Verdana" w:eastAsia="Calibri" w:hAnsi="Verdana" w:cs="Arial"/>
          <w:b/>
          <w:lang w:eastAsia="es-ES_tradnl"/>
        </w:rPr>
        <w:t>Guillermo Andrés Castro Rozo</w:t>
      </w:r>
    </w:p>
    <w:p w14:paraId="0C72AFE4" w14:textId="77777777" w:rsidR="000D62F3" w:rsidRDefault="000D62F3" w:rsidP="000D62F3">
      <w:pPr>
        <w:spacing w:after="0" w:line="240" w:lineRule="auto"/>
        <w:jc w:val="both"/>
        <w:rPr>
          <w:rFonts w:ascii="Verdana" w:hAnsi="Verdana"/>
        </w:rPr>
      </w:pPr>
      <w:hyperlink r:id="rId11" w:history="1">
        <w:r w:rsidRPr="00276749">
          <w:rPr>
            <w:rStyle w:val="Hipervnculo"/>
            <w:rFonts w:ascii="Verdana" w:hAnsi="Verdana"/>
          </w:rPr>
          <w:t>polodemocraticofunza@gmail.com</w:t>
        </w:r>
      </w:hyperlink>
    </w:p>
    <w:p w14:paraId="26D280F7" w14:textId="2C87F6BE" w:rsidR="000D62F3" w:rsidRDefault="000D62F3" w:rsidP="000D62F3">
      <w:pPr>
        <w:spacing w:after="0" w:line="240" w:lineRule="auto"/>
        <w:jc w:val="both"/>
        <w:rPr>
          <w:rFonts w:ascii="Verdana" w:hAnsi="Verdana"/>
        </w:rPr>
      </w:pPr>
      <w:r>
        <w:rPr>
          <w:rFonts w:ascii="Verdana" w:hAnsi="Verdana"/>
        </w:rPr>
        <w:t>Funza</w:t>
      </w:r>
      <w:r w:rsidRPr="007D3F6E">
        <w:rPr>
          <w:rFonts w:ascii="Verdana" w:hAnsi="Verdana"/>
        </w:rPr>
        <w:t>, C</w:t>
      </w:r>
      <w:r>
        <w:rPr>
          <w:rFonts w:ascii="Verdana" w:hAnsi="Verdana"/>
        </w:rPr>
        <w:t>undinamarca.</w:t>
      </w:r>
    </w:p>
    <w:p w14:paraId="45648C44" w14:textId="4176BC28" w:rsidR="000D62F3" w:rsidRPr="00742CFC" w:rsidRDefault="000D62F3" w:rsidP="000D62F3">
      <w:pPr>
        <w:spacing w:after="0" w:line="240" w:lineRule="auto"/>
        <w:jc w:val="both"/>
        <w:rPr>
          <w:rFonts w:ascii="Verdana" w:eastAsia="Calibri" w:hAnsi="Verdana" w:cs="Arial"/>
          <w:b/>
          <w:bCs/>
          <w:color w:val="0099FF"/>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D62F3" w:rsidRPr="00742CFC" w14:paraId="7A7EF98C" w14:textId="77777777" w:rsidTr="00117AA1">
        <w:trPr>
          <w:trHeight w:val="162"/>
        </w:trPr>
        <w:tc>
          <w:tcPr>
            <w:tcW w:w="3119" w:type="dxa"/>
          </w:tcPr>
          <w:p w14:paraId="3D65DCA7" w14:textId="77777777" w:rsidR="000D62F3" w:rsidRPr="00742CFC" w:rsidRDefault="000D62F3" w:rsidP="00117AA1">
            <w:pPr>
              <w:jc w:val="both"/>
              <w:rPr>
                <w:rFonts w:ascii="Verdana" w:eastAsia="Calibri" w:hAnsi="Verdana" w:cs="Arial"/>
                <w:b/>
                <w:bCs/>
                <w:color w:val="0099FF"/>
                <w:lang w:val="it-CH" w:eastAsia="es-ES_tradnl"/>
              </w:rPr>
            </w:pPr>
          </w:p>
        </w:tc>
        <w:tc>
          <w:tcPr>
            <w:tcW w:w="5670" w:type="dxa"/>
          </w:tcPr>
          <w:p w14:paraId="07CEC53E" w14:textId="77777777" w:rsidR="000D62F3" w:rsidRPr="00722BD4" w:rsidRDefault="000D62F3" w:rsidP="00117AA1">
            <w:pPr>
              <w:jc w:val="both"/>
              <w:rPr>
                <w:rFonts w:ascii="Verdana" w:eastAsia="Calibri" w:hAnsi="Verdana" w:cs="Arial"/>
                <w:b/>
                <w:bCs/>
                <w:lang w:eastAsia="es-ES"/>
              </w:rPr>
            </w:pPr>
            <w:r w:rsidRPr="00722BD4">
              <w:rPr>
                <w:rFonts w:ascii="Verdana" w:eastAsia="Calibri" w:hAnsi="Verdana" w:cs="Arial"/>
                <w:b/>
                <w:bCs/>
                <w:lang w:eastAsia="es-ES"/>
              </w:rPr>
              <w:t>Concepto C- 1847 de 2025</w:t>
            </w:r>
          </w:p>
          <w:p w14:paraId="22719572" w14:textId="77777777" w:rsidR="000D62F3" w:rsidRPr="00722BD4" w:rsidRDefault="000D62F3" w:rsidP="00117AA1">
            <w:pPr>
              <w:jc w:val="both"/>
              <w:rPr>
                <w:rFonts w:ascii="Verdana" w:eastAsia="Calibri" w:hAnsi="Verdana" w:cs="Arial"/>
                <w:b/>
                <w:bCs/>
                <w:lang w:eastAsia="es-ES"/>
              </w:rPr>
            </w:pPr>
          </w:p>
        </w:tc>
      </w:tr>
      <w:tr w:rsidR="000D62F3" w:rsidRPr="00742CFC" w14:paraId="18251BB9" w14:textId="77777777" w:rsidTr="00117AA1">
        <w:trPr>
          <w:trHeight w:val="884"/>
        </w:trPr>
        <w:tc>
          <w:tcPr>
            <w:tcW w:w="3119" w:type="dxa"/>
          </w:tcPr>
          <w:p w14:paraId="74386678" w14:textId="77777777" w:rsidR="000D62F3" w:rsidRPr="00B87962" w:rsidRDefault="000D62F3" w:rsidP="00117AA1">
            <w:pPr>
              <w:jc w:val="both"/>
              <w:rPr>
                <w:rFonts w:ascii="Verdana" w:eastAsia="Calibri" w:hAnsi="Verdana" w:cs="Arial"/>
                <w:lang w:eastAsia="es-ES_tradnl"/>
              </w:rPr>
            </w:pPr>
            <w:r w:rsidRPr="00B87962">
              <w:rPr>
                <w:rFonts w:ascii="Verdana" w:eastAsia="Calibri" w:hAnsi="Verdana" w:cs="Arial"/>
                <w:b/>
                <w:lang w:eastAsia="es-ES_tradnl"/>
              </w:rPr>
              <w:t>Temas:</w:t>
            </w:r>
            <w:r w:rsidRPr="00B87962">
              <w:rPr>
                <w:rFonts w:ascii="Verdana" w:eastAsia="Calibri" w:hAnsi="Verdana" w:cs="Arial"/>
                <w:lang w:eastAsia="es-ES_tradnl"/>
              </w:rPr>
              <w:t xml:space="preserve">                   </w:t>
            </w:r>
          </w:p>
        </w:tc>
        <w:tc>
          <w:tcPr>
            <w:tcW w:w="5670" w:type="dxa"/>
          </w:tcPr>
          <w:p w14:paraId="32BFF81D" w14:textId="77777777" w:rsidR="000D62F3" w:rsidRPr="006E363B" w:rsidRDefault="000D62F3" w:rsidP="00117AA1">
            <w:pPr>
              <w:spacing w:line="276" w:lineRule="auto"/>
              <w:jc w:val="both"/>
              <w:rPr>
                <w:rFonts w:ascii="Verdana" w:eastAsia="Times New Roman" w:hAnsi="Verdana" w:cs="Arial"/>
                <w:lang w:val="es-ES_tradnl"/>
              </w:rPr>
            </w:pPr>
            <w:r w:rsidRPr="008F1E8B">
              <w:rPr>
                <w:rFonts w:ascii="Verdana" w:hAnsi="Verdana" w:cs="Arial"/>
                <w:color w:val="000000" w:themeColor="text1"/>
                <w:lang w:val="es-ES_tradnl"/>
              </w:rPr>
              <w:t>CONTRATACIÓN DE PRESTACIÓN DE SERVICIOS – Tipologías – Contrato para la ejecución de trabajos artísticos</w:t>
            </w:r>
            <w:r>
              <w:rPr>
                <w:rFonts w:ascii="Verdana" w:hAnsi="Verdana" w:cs="Arial"/>
                <w:color w:val="000000" w:themeColor="text1"/>
                <w:lang w:val="es-ES_tradnl"/>
              </w:rPr>
              <w:t xml:space="preserve"> / </w:t>
            </w:r>
            <w:r w:rsidRPr="008F1E8B">
              <w:rPr>
                <w:rFonts w:ascii="Verdana" w:hAnsi="Verdana" w:cs="Arial"/>
                <w:color w:val="000000" w:themeColor="text1"/>
                <w:lang w:val="es-ES_tradnl"/>
              </w:rPr>
              <w:t xml:space="preserve">CONTRATACIÓN DIRECTA – Procedencia – Normativa / TRABAJOS ARTÍSTICOS – Definición – Ejecución de trabajos artísticos </w:t>
            </w:r>
            <w:r w:rsidRPr="006E363B">
              <w:rPr>
                <w:rFonts w:ascii="Verdana" w:hAnsi="Verdana" w:cs="Arial"/>
                <w:lang w:eastAsia="es-ES"/>
              </w:rPr>
              <w:t>/</w:t>
            </w:r>
            <w:r w:rsidRPr="008F1E8B">
              <w:rPr>
                <w:rFonts w:ascii="Verdana" w:eastAsia="Calibri" w:hAnsi="Verdana" w:cs="Arial"/>
                <w:bCs/>
                <w:color w:val="000000" w:themeColor="text1"/>
              </w:rPr>
              <w:t xml:space="preserve">CONTRATACIÓN CON ESAL – Contrato de colaboración – Convenio de asociación – Características / DECRETO 92 de 2017 ― Criterios que determinan su aplicación / CONTRATACIÓN CON ESAL ― Contratos </w:t>
            </w:r>
            <w:r>
              <w:rPr>
                <w:rFonts w:ascii="Verdana" w:eastAsia="Calibri" w:hAnsi="Verdana" w:cs="Arial"/>
                <w:bCs/>
                <w:color w:val="000000" w:themeColor="text1"/>
              </w:rPr>
              <w:t>y/o convenios</w:t>
            </w:r>
            <w:r w:rsidRPr="008F1E8B">
              <w:rPr>
                <w:rFonts w:ascii="Verdana" w:eastAsia="Calibri" w:hAnsi="Verdana" w:cs="Arial"/>
                <w:bCs/>
                <w:color w:val="000000" w:themeColor="text1"/>
              </w:rPr>
              <w:t xml:space="preserve"> objeto corresponde a actividades artísticas</w:t>
            </w:r>
            <w:r w:rsidRPr="006E363B">
              <w:rPr>
                <w:rFonts w:ascii="Verdana" w:hAnsi="Verdana" w:cs="Arial"/>
                <w:lang w:eastAsia="es-ES"/>
              </w:rPr>
              <w:t xml:space="preserve"> </w:t>
            </w:r>
            <w:r>
              <w:rPr>
                <w:rFonts w:ascii="Verdana" w:hAnsi="Verdana" w:cs="Arial"/>
                <w:lang w:eastAsia="es-ES"/>
              </w:rPr>
              <w:t xml:space="preserve">– Contratación de trabajo o actividades artísticas </w:t>
            </w:r>
          </w:p>
          <w:p w14:paraId="099E4761" w14:textId="77777777" w:rsidR="000D62F3" w:rsidRPr="00B87962" w:rsidRDefault="000D62F3" w:rsidP="00117AA1">
            <w:pPr>
              <w:spacing w:line="276" w:lineRule="auto"/>
              <w:jc w:val="both"/>
              <w:rPr>
                <w:rFonts w:ascii="Verdana" w:eastAsia="Times New Roman" w:hAnsi="Verdana" w:cs="Arial"/>
                <w:lang w:val="es-ES_tradnl"/>
              </w:rPr>
            </w:pPr>
          </w:p>
        </w:tc>
      </w:tr>
      <w:tr w:rsidR="000D62F3" w:rsidRPr="007E319E" w14:paraId="1D5A0051" w14:textId="77777777" w:rsidTr="00117AA1">
        <w:trPr>
          <w:trHeight w:val="226"/>
        </w:trPr>
        <w:tc>
          <w:tcPr>
            <w:tcW w:w="3119" w:type="dxa"/>
          </w:tcPr>
          <w:p w14:paraId="62A5469F" w14:textId="77777777" w:rsidR="000D62F3" w:rsidRPr="007E319E" w:rsidRDefault="000D62F3" w:rsidP="00117AA1">
            <w:pPr>
              <w:jc w:val="both"/>
              <w:rPr>
                <w:rFonts w:ascii="Verdana" w:eastAsia="Calibri" w:hAnsi="Verdana" w:cs="Arial"/>
                <w:b/>
                <w:lang w:eastAsia="es-ES_tradnl"/>
              </w:rPr>
            </w:pPr>
            <w:r w:rsidRPr="007E319E">
              <w:rPr>
                <w:rFonts w:ascii="Verdana" w:eastAsia="Calibri" w:hAnsi="Verdana" w:cs="Arial"/>
                <w:b/>
                <w:lang w:eastAsia="es-ES_tradnl"/>
              </w:rPr>
              <w:t>Radicación:</w:t>
            </w:r>
            <w:r w:rsidRPr="007E319E">
              <w:rPr>
                <w:rFonts w:ascii="Verdana" w:eastAsia="Calibri" w:hAnsi="Verdana" w:cs="Arial"/>
                <w:lang w:eastAsia="es-ES_tradnl"/>
              </w:rPr>
              <w:t xml:space="preserve">               </w:t>
            </w:r>
          </w:p>
        </w:tc>
        <w:tc>
          <w:tcPr>
            <w:tcW w:w="5670" w:type="dxa"/>
          </w:tcPr>
          <w:p w14:paraId="7993275C" w14:textId="77777777" w:rsidR="000D62F3" w:rsidRPr="007E319E" w:rsidRDefault="000D62F3" w:rsidP="00117AA1">
            <w:pPr>
              <w:jc w:val="both"/>
              <w:rPr>
                <w:rFonts w:ascii="Verdana" w:eastAsia="Calibri" w:hAnsi="Verdana" w:cs="Arial"/>
                <w:lang w:eastAsia="es-ES_tradnl"/>
              </w:rPr>
            </w:pPr>
            <w:r w:rsidRPr="007E319E">
              <w:rPr>
                <w:rFonts w:ascii="Verdana" w:eastAsia="Calibri" w:hAnsi="Verdana" w:cs="Arial"/>
                <w:lang w:eastAsia="es-ES_tradnl"/>
              </w:rPr>
              <w:t>Respuesta a consultas con radicado No. 1_2025_12_18_014177</w:t>
            </w:r>
          </w:p>
        </w:tc>
      </w:tr>
    </w:tbl>
    <w:p w14:paraId="20CADBB3" w14:textId="77777777" w:rsidR="000D62F3" w:rsidRDefault="000D62F3" w:rsidP="000D62F3">
      <w:pPr>
        <w:spacing w:after="0" w:line="276" w:lineRule="auto"/>
        <w:jc w:val="both"/>
        <w:rPr>
          <w:rFonts w:ascii="Verdana" w:eastAsia="Calibri" w:hAnsi="Verdana" w:cs="Arial"/>
          <w:lang w:eastAsia="es-ES"/>
        </w:rPr>
      </w:pPr>
    </w:p>
    <w:p w14:paraId="3D0688DA" w14:textId="77777777" w:rsidR="00EB283C" w:rsidRDefault="00EB283C" w:rsidP="000D62F3">
      <w:pPr>
        <w:spacing w:after="0" w:line="276" w:lineRule="auto"/>
        <w:jc w:val="both"/>
        <w:rPr>
          <w:rFonts w:ascii="Verdana" w:eastAsia="Calibri" w:hAnsi="Verdana" w:cs="Arial"/>
          <w:lang w:eastAsia="es-ES"/>
        </w:rPr>
      </w:pPr>
    </w:p>
    <w:p w14:paraId="215B2551" w14:textId="77777777" w:rsidR="000D62F3" w:rsidRDefault="000D62F3" w:rsidP="000D62F3">
      <w:pPr>
        <w:spacing w:after="0" w:line="276" w:lineRule="auto"/>
        <w:jc w:val="both"/>
        <w:rPr>
          <w:rFonts w:ascii="Verdana" w:eastAsia="Calibri" w:hAnsi="Verdana" w:cs="Arial"/>
          <w:lang w:eastAsia="es-ES"/>
        </w:rPr>
      </w:pPr>
      <w:r w:rsidRPr="00440DFE">
        <w:rPr>
          <w:rFonts w:ascii="Verdana" w:eastAsia="Calibri" w:hAnsi="Verdana" w:cs="Arial"/>
          <w:lang w:eastAsia="es-ES"/>
        </w:rPr>
        <w:t xml:space="preserve">Estimado señor </w:t>
      </w:r>
      <w:r w:rsidRPr="00440DFE">
        <w:rPr>
          <w:rFonts w:ascii="Verdana" w:eastAsia="Calibri" w:hAnsi="Verdana" w:cs="Arial"/>
          <w:lang w:eastAsia="es-ES_tradnl"/>
        </w:rPr>
        <w:t>Guillermo Andrés</w:t>
      </w:r>
      <w:r w:rsidRPr="00440DFE">
        <w:rPr>
          <w:rFonts w:ascii="Verdana" w:eastAsia="Calibri" w:hAnsi="Verdana" w:cs="Arial"/>
          <w:lang w:eastAsia="es-ES"/>
        </w:rPr>
        <w:t xml:space="preserve">, cordial saludo: </w:t>
      </w:r>
    </w:p>
    <w:p w14:paraId="49A366C1" w14:textId="77777777" w:rsidR="00EB283C" w:rsidRPr="00440DFE" w:rsidRDefault="00EB283C" w:rsidP="000D62F3">
      <w:pPr>
        <w:spacing w:after="0" w:line="276" w:lineRule="auto"/>
        <w:jc w:val="both"/>
        <w:rPr>
          <w:rFonts w:ascii="Verdana" w:eastAsia="Calibri" w:hAnsi="Verdana" w:cs="Arial"/>
          <w:lang w:eastAsia="es-ES"/>
        </w:rPr>
      </w:pPr>
    </w:p>
    <w:p w14:paraId="3980F317" w14:textId="77777777" w:rsidR="000D62F3" w:rsidRPr="00440DFE" w:rsidRDefault="000D62F3" w:rsidP="000D62F3">
      <w:pPr>
        <w:tabs>
          <w:tab w:val="left" w:pos="3768"/>
        </w:tabs>
        <w:spacing w:after="0" w:line="276" w:lineRule="auto"/>
        <w:jc w:val="both"/>
        <w:rPr>
          <w:rFonts w:ascii="Verdana" w:eastAsia="Calibri" w:hAnsi="Verdana" w:cs="Arial"/>
          <w:lang w:eastAsia="es-ES"/>
        </w:rPr>
      </w:pPr>
      <w:r w:rsidRPr="00440DFE">
        <w:rPr>
          <w:rFonts w:ascii="Verdana" w:eastAsia="Calibri" w:hAnsi="Verdana" w:cs="Arial"/>
          <w:lang w:eastAsia="es-ES"/>
        </w:rPr>
        <w:t>En ejercicio de la competencia otorgada por los artículos 3, numeral 5º, y 11, numeral 8º, del Decreto Ley 4170 de 2011,</w:t>
      </w:r>
      <w:r w:rsidRPr="00440DFE">
        <w:rPr>
          <w:rFonts w:ascii="Verdana" w:eastAsia="Arial MT" w:hAnsi="Verdana" w:cs="Arial MT"/>
          <w:lang w:eastAsia="es-ES"/>
        </w:rPr>
        <w:t xml:space="preserve"> </w:t>
      </w:r>
      <w:r w:rsidRPr="00440DFE">
        <w:rPr>
          <w:rFonts w:ascii="Verdana" w:hAnsi="Verdana" w:cs="Arial"/>
        </w:rPr>
        <w:t xml:space="preserve">así como lo establecido en la Resolución 469 de 2025 expedida por esta Entidad, </w:t>
      </w:r>
      <w:r w:rsidRPr="00440DFE">
        <w:rPr>
          <w:rFonts w:ascii="Verdana" w:eastAsia="Calibri" w:hAnsi="Verdana" w:cs="Arial"/>
          <w:lang w:eastAsia="es-ES"/>
        </w:rPr>
        <w:t xml:space="preserve">la Agencia Nacional de Contratación Pública – Colombia Compra Eficiente– responde su solicitud de consulta de fecha 18 de diciembre de 2025, en la cual manifiesta lo siguiente: </w:t>
      </w:r>
    </w:p>
    <w:p w14:paraId="22FA89E8" w14:textId="77777777" w:rsidR="000D62F3" w:rsidRPr="00440DFE" w:rsidRDefault="000D62F3" w:rsidP="000D62F3">
      <w:pPr>
        <w:spacing w:after="0" w:line="240" w:lineRule="auto"/>
        <w:ind w:right="709"/>
        <w:jc w:val="both"/>
        <w:rPr>
          <w:rFonts w:ascii="Verdana" w:eastAsia="Century Gothic" w:hAnsi="Verdana" w:cs="Century Gothic"/>
          <w:sz w:val="20"/>
          <w:szCs w:val="20"/>
        </w:rPr>
      </w:pPr>
    </w:p>
    <w:p w14:paraId="2D70BEB1" w14:textId="1E57F790" w:rsidR="000D62F3" w:rsidRPr="00440DFE" w:rsidRDefault="000D62F3" w:rsidP="00EB283C">
      <w:pPr>
        <w:tabs>
          <w:tab w:val="left" w:pos="1560"/>
        </w:tabs>
        <w:spacing w:after="0" w:line="240" w:lineRule="auto"/>
        <w:ind w:left="709" w:right="709"/>
        <w:jc w:val="both"/>
        <w:rPr>
          <w:rFonts w:ascii="Verdana" w:eastAsia="Century Gothic" w:hAnsi="Verdana" w:cs="Century Gothic"/>
          <w:i/>
          <w:iCs/>
          <w:sz w:val="20"/>
          <w:szCs w:val="20"/>
        </w:rPr>
      </w:pPr>
      <w:proofErr w:type="gramStart"/>
      <w:r w:rsidRPr="00440DFE">
        <w:rPr>
          <w:rFonts w:ascii="Verdana" w:eastAsia="Century Gothic" w:hAnsi="Verdana" w:cs="Century Gothic"/>
          <w:i/>
          <w:iCs/>
          <w:sz w:val="20"/>
          <w:szCs w:val="20"/>
        </w:rPr>
        <w:t>“ [</w:t>
      </w:r>
      <w:proofErr w:type="gramEnd"/>
      <w:r w:rsidRPr="00440DFE">
        <w:rPr>
          <w:rFonts w:ascii="Verdana" w:eastAsia="Century Gothic" w:hAnsi="Verdana" w:cs="Century Gothic"/>
          <w:i/>
          <w:iCs/>
          <w:sz w:val="20"/>
          <w:szCs w:val="20"/>
        </w:rPr>
        <w:t xml:space="preserve">…] solicitando se me manifieste legalmente si una entidad del orden territorial tiene la obligación o no de contratar directamente a artistas para el desarrollo de actividades culturales, esto entendido que se manifiesta </w:t>
      </w:r>
      <w:r w:rsidRPr="00440DFE">
        <w:rPr>
          <w:rFonts w:ascii="Verdana" w:eastAsia="Century Gothic" w:hAnsi="Verdana" w:cs="Century Gothic"/>
          <w:i/>
          <w:iCs/>
          <w:sz w:val="20"/>
          <w:szCs w:val="20"/>
        </w:rPr>
        <w:lastRenderedPageBreak/>
        <w:t xml:space="preserve">mediáticamente la imposibilidad de hacerlo por intermedio de un gestor contratista, o figura similar. ¿Se debe, entonces, entender que es la entidad territorial la encargada de hacer estos procesos de contratación directa a los artistas para eventos culturales, o puede, acaso, contratar a una organización social, que a su vez contrate a los artistas? ¿Qué disposiciones hay sobre esta materia? ¿Se puede ejecutar mediante contratación directa, licitación pública, o </w:t>
      </w:r>
      <w:proofErr w:type="spellStart"/>
      <w:r w:rsidRPr="00440DFE">
        <w:rPr>
          <w:rFonts w:ascii="Verdana" w:eastAsia="Century Gothic" w:hAnsi="Verdana" w:cs="Century Gothic"/>
          <w:i/>
          <w:iCs/>
          <w:sz w:val="20"/>
          <w:szCs w:val="20"/>
        </w:rPr>
        <w:t>qupe</w:t>
      </w:r>
      <w:proofErr w:type="spellEnd"/>
      <w:r w:rsidRPr="00440DFE">
        <w:rPr>
          <w:rFonts w:ascii="Verdana" w:eastAsia="Century Gothic" w:hAnsi="Verdana" w:cs="Century Gothic"/>
          <w:i/>
          <w:iCs/>
          <w:sz w:val="20"/>
          <w:szCs w:val="20"/>
        </w:rPr>
        <w:t xml:space="preserve"> mecanismo debe usarse?</w:t>
      </w:r>
      <w:r>
        <w:rPr>
          <w:rFonts w:ascii="Verdana" w:eastAsia="Century Gothic" w:hAnsi="Verdana" w:cs="Century Gothic"/>
          <w:i/>
          <w:iCs/>
          <w:sz w:val="20"/>
          <w:szCs w:val="20"/>
        </w:rPr>
        <w:t>”</w:t>
      </w:r>
    </w:p>
    <w:p w14:paraId="5950526F" w14:textId="77777777" w:rsidR="000D62F3" w:rsidRPr="001C3753" w:rsidRDefault="000D62F3" w:rsidP="000D62F3">
      <w:pPr>
        <w:spacing w:before="120" w:after="0" w:line="276" w:lineRule="auto"/>
        <w:ind w:firstLine="709"/>
        <w:jc w:val="both"/>
        <w:rPr>
          <w:rFonts w:ascii="Verdana" w:eastAsia="Calibri" w:hAnsi="Verdana" w:cs="Arial"/>
          <w:szCs w:val="24"/>
          <w:lang w:eastAsia="es-ES_tradnl"/>
        </w:rPr>
      </w:pPr>
      <w:r w:rsidRPr="001C3753">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9775243" w14:textId="77777777" w:rsidR="000D62F3" w:rsidRPr="00232B4F" w:rsidRDefault="000D62F3" w:rsidP="000D62F3">
      <w:pPr>
        <w:spacing w:before="120" w:after="0" w:line="276" w:lineRule="auto"/>
        <w:ind w:firstLine="709"/>
        <w:jc w:val="both"/>
        <w:rPr>
          <w:rFonts w:ascii="Verdana" w:eastAsia="Calibri" w:hAnsi="Verdana" w:cs="Arial"/>
          <w:lang w:eastAsia="es-ES"/>
        </w:rPr>
      </w:pPr>
      <w:r w:rsidRPr="001C3753">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719BC614" w14:textId="77777777" w:rsidR="000D62F3" w:rsidRPr="00742CFC" w:rsidRDefault="000D62F3" w:rsidP="000D62F3">
      <w:pPr>
        <w:spacing w:after="0"/>
        <w:jc w:val="both"/>
        <w:rPr>
          <w:rFonts w:ascii="Verdana" w:eastAsia="Calibri" w:hAnsi="Verdana" w:cs="Arial"/>
          <w:color w:val="0099FF"/>
          <w:lang w:eastAsia="es-ES"/>
        </w:rPr>
      </w:pPr>
    </w:p>
    <w:p w14:paraId="000AE348" w14:textId="77777777" w:rsidR="000D62F3" w:rsidRPr="002D6E1B" w:rsidRDefault="000D62F3" w:rsidP="000D62F3">
      <w:pPr>
        <w:pStyle w:val="Prrafodelista"/>
        <w:numPr>
          <w:ilvl w:val="0"/>
          <w:numId w:val="16"/>
        </w:numPr>
        <w:tabs>
          <w:tab w:val="left" w:pos="142"/>
          <w:tab w:val="left" w:pos="284"/>
        </w:tabs>
        <w:spacing w:afterLines="120" w:after="288" w:line="276" w:lineRule="auto"/>
        <w:ind w:left="0" w:firstLine="0"/>
        <w:contextualSpacing w:val="0"/>
        <w:jc w:val="both"/>
        <w:rPr>
          <w:rFonts w:ascii="Verdana" w:eastAsia="Century Gothic" w:hAnsi="Verdana" w:cs="Century Gothic"/>
          <w:b/>
          <w:bCs/>
        </w:rPr>
      </w:pPr>
      <w:r w:rsidRPr="002D6E1B">
        <w:rPr>
          <w:rFonts w:ascii="Verdana" w:eastAsia="Century Gothic" w:hAnsi="Verdana" w:cs="Century Gothic"/>
          <w:b/>
          <w:bCs/>
        </w:rPr>
        <w:t>Problema planteado:</w:t>
      </w:r>
    </w:p>
    <w:p w14:paraId="3374AE85" w14:textId="77777777" w:rsidR="00EB283C" w:rsidRDefault="000D62F3" w:rsidP="000D62F3">
      <w:pPr>
        <w:spacing w:afterLines="120" w:after="288" w:line="276" w:lineRule="auto"/>
        <w:jc w:val="both"/>
        <w:rPr>
          <w:rFonts w:ascii="Verdana" w:eastAsia="Calibri" w:hAnsi="Verdana" w:cs="Arial"/>
          <w:lang w:eastAsia="es-ES"/>
        </w:rPr>
      </w:pPr>
      <w:r w:rsidRPr="002D6E1B">
        <w:rPr>
          <w:rFonts w:ascii="Verdana" w:eastAsia="Calibri" w:hAnsi="Verdana" w:cs="Arial"/>
          <w:lang w:eastAsia="es-ES"/>
        </w:rPr>
        <w:t xml:space="preserve">De acuerdo con el contenido de su solicitud, esta Agencia resolverá el siguiente problema jurídico: </w:t>
      </w:r>
      <w:r>
        <w:rPr>
          <w:rFonts w:ascii="Verdana" w:eastAsia="Calibri" w:hAnsi="Verdana" w:cs="Arial"/>
          <w:lang w:eastAsia="es-ES"/>
        </w:rPr>
        <w:t xml:space="preserve">i) ¿Qué aspectos deben tener en condición las entidades estales para adelantar procesos </w:t>
      </w:r>
      <w:r w:rsidRPr="00F139E3">
        <w:rPr>
          <w:rFonts w:ascii="Verdana" w:eastAsia="Calibri" w:hAnsi="Verdana" w:cs="Arial"/>
          <w:lang w:eastAsia="es-ES"/>
        </w:rPr>
        <w:t>de</w:t>
      </w:r>
      <w:r>
        <w:rPr>
          <w:rFonts w:ascii="Verdana" w:eastAsia="Calibri" w:hAnsi="Verdana" w:cs="Arial"/>
          <w:lang w:eastAsia="es-ES"/>
        </w:rPr>
        <w:t xml:space="preserve"> </w:t>
      </w:r>
      <w:r w:rsidRPr="00F139E3">
        <w:rPr>
          <w:rFonts w:ascii="Verdana" w:eastAsia="Calibri" w:hAnsi="Verdana" w:cs="Arial"/>
          <w:lang w:eastAsia="es-ES"/>
        </w:rPr>
        <w:t xml:space="preserve">contratación </w:t>
      </w:r>
      <w:r>
        <w:rPr>
          <w:rFonts w:ascii="Verdana" w:eastAsia="Calibri" w:hAnsi="Verdana" w:cs="Arial"/>
          <w:lang w:eastAsia="es-ES"/>
        </w:rPr>
        <w:t>con objetos asociados a la prestación</w:t>
      </w:r>
      <w:r w:rsidRPr="00F139E3">
        <w:rPr>
          <w:rFonts w:ascii="Verdana" w:eastAsia="Calibri" w:hAnsi="Verdana" w:cs="Arial"/>
          <w:lang w:eastAsia="es-ES"/>
        </w:rPr>
        <w:t xml:space="preserve"> servicios artísticos con personas naturales y jurídicas</w:t>
      </w:r>
      <w:r w:rsidRPr="00461E30">
        <w:rPr>
          <w:rFonts w:ascii="Verdana" w:eastAsia="Calibri" w:hAnsi="Verdana" w:cs="Arial"/>
          <w:lang w:eastAsia="es-ES"/>
        </w:rPr>
        <w:t>?</w:t>
      </w:r>
      <w:r>
        <w:rPr>
          <w:rFonts w:ascii="Verdana" w:eastAsia="Calibri" w:hAnsi="Verdana" w:cs="Arial"/>
          <w:lang w:eastAsia="es-ES"/>
        </w:rPr>
        <w:t xml:space="preserve">; y </w:t>
      </w:r>
      <w:proofErr w:type="spellStart"/>
      <w:r>
        <w:rPr>
          <w:rFonts w:ascii="Verdana" w:eastAsia="Calibri" w:hAnsi="Verdana" w:cs="Arial"/>
          <w:lang w:eastAsia="es-ES"/>
        </w:rPr>
        <w:t>ii</w:t>
      </w:r>
      <w:proofErr w:type="spellEnd"/>
      <w:r>
        <w:rPr>
          <w:rFonts w:ascii="Verdana" w:eastAsia="Calibri" w:hAnsi="Verdana" w:cs="Arial"/>
          <w:lang w:eastAsia="es-ES"/>
        </w:rPr>
        <w:t>) ¿Es necesario que la entidad vincule directamente a los artistas o puede ser esto contemplado como una obligación del contratista</w:t>
      </w:r>
      <w:r w:rsidRPr="00461E30">
        <w:rPr>
          <w:rFonts w:ascii="Verdana" w:eastAsia="Calibri" w:hAnsi="Verdana" w:cs="Arial"/>
          <w:lang w:eastAsia="es-ES"/>
        </w:rPr>
        <w:t>?</w:t>
      </w:r>
    </w:p>
    <w:p w14:paraId="1BB0B1F1" w14:textId="64A736AD" w:rsidR="00EB283C" w:rsidRPr="00EB283C" w:rsidRDefault="000D62F3" w:rsidP="000D62F3">
      <w:pPr>
        <w:spacing w:afterLines="120" w:after="288" w:line="276" w:lineRule="auto"/>
        <w:jc w:val="both"/>
        <w:rPr>
          <w:rFonts w:ascii="Verdana" w:eastAsia="Century Gothic" w:hAnsi="Verdana" w:cs="Century Gothic"/>
          <w:b/>
          <w:bCs/>
        </w:rPr>
      </w:pPr>
      <w:r w:rsidRPr="00461E30">
        <w:rPr>
          <w:rFonts w:ascii="Verdana" w:eastAsia="Century Gothic" w:hAnsi="Verdana" w:cs="Century Gothic"/>
          <w:b/>
          <w:bCs/>
        </w:rPr>
        <w:t>2. Respuesta</w:t>
      </w:r>
      <w:r>
        <w:rPr>
          <w:rFonts w:ascii="Verdana" w:eastAsia="Century Gothic" w:hAnsi="Verdana" w:cs="Century Gothic"/>
          <w:b/>
          <w:bCs/>
        </w:rPr>
        <w:t>:</w:t>
      </w: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D62F3" w:rsidRPr="00742CFC" w14:paraId="42F469AC" w14:textId="77777777" w:rsidTr="00117AA1">
        <w:tc>
          <w:tcPr>
            <w:tcW w:w="8828" w:type="dxa"/>
          </w:tcPr>
          <w:p w14:paraId="678D7AE5" w14:textId="77777777" w:rsidR="000D62F3" w:rsidRPr="00F67EF7" w:rsidRDefault="000D62F3" w:rsidP="00117AA1">
            <w:pPr>
              <w:spacing w:line="276" w:lineRule="auto"/>
              <w:jc w:val="both"/>
              <w:rPr>
                <w:rFonts w:ascii="Verdana" w:eastAsia="Times New Roman" w:hAnsi="Verdana" w:cs="Arial"/>
                <w:lang w:eastAsia="es-CO"/>
              </w:rPr>
            </w:pPr>
            <w:r w:rsidRPr="00F67EF7">
              <w:rPr>
                <w:rFonts w:ascii="Verdana" w:eastAsia="Times New Roman" w:hAnsi="Verdana" w:cs="Arial"/>
                <w:lang w:eastAsia="es-CO"/>
              </w:rPr>
              <w:lastRenderedPageBreak/>
              <w:t>De conformidad con el marco normativo vigente, para la contratación de actividades o trabajos artísticos las Entidades Estatales pueden acudir a las tipologías contractuales previstas tanto en el Estatuto General de Contratación de la Administración Pública como en el derecho privado. En particular, resulta procedente el contrato de prestación de servicios cuando se trate de trabajos artísticos que, por su naturaleza, deban ser ejecutados por determinadas personas naturales, en los términos de los artículos 32.3 de la Ley 80 de 1993 y 2.2.1.2.1.4.9 del Decreto 1082 de 2015.</w:t>
            </w:r>
          </w:p>
          <w:p w14:paraId="39B08426" w14:textId="77777777" w:rsidR="000D62F3" w:rsidRPr="00F67EF7" w:rsidRDefault="000D62F3" w:rsidP="00117AA1">
            <w:pPr>
              <w:spacing w:before="120" w:line="276" w:lineRule="auto"/>
              <w:ind w:firstLine="709"/>
              <w:jc w:val="both"/>
              <w:rPr>
                <w:rFonts w:ascii="Verdana" w:eastAsia="Times New Roman" w:hAnsi="Verdana" w:cs="Arial"/>
                <w:lang w:eastAsia="es-CO"/>
              </w:rPr>
            </w:pPr>
            <w:r w:rsidRPr="00F67EF7">
              <w:rPr>
                <w:rFonts w:ascii="Verdana" w:eastAsia="Times New Roman" w:hAnsi="Verdana" w:cs="Arial"/>
                <w:lang w:eastAsia="es-CO"/>
              </w:rPr>
              <w:t>Adicionalmente, en el ámbito del Decreto 092 de 2017, las entidades del orden nacional, departamental, distrital y municipal pueden contratar servicios artísticos mediante contratos de colaboración con entidades privadas sin ánimo de lucro, siempre que dichos contratos se orienten a la ejecución de planes, programas o proyectos previstos en los instrumentos de planeación, conforme al artículo 355 de la Constitución Política y a los artículos 2, 3 y 4 del citado decreto. Asimismo, con fundamento en el artículo 96 de la Ley 489 de 1996 y su reglamentación en el artículo 5 del Decreto 092 de 2017, es viable acudir a convenios de asociación cuando el objeto contractual se relacione con la misionalidad de la entidad y la satisfacción de un interés general que comprenda actividades artísticas.</w:t>
            </w:r>
          </w:p>
          <w:p w14:paraId="43CA814B" w14:textId="77777777" w:rsidR="000D62F3" w:rsidRPr="00F67EF7" w:rsidRDefault="000D62F3" w:rsidP="00117AA1">
            <w:pPr>
              <w:spacing w:before="120" w:line="276" w:lineRule="auto"/>
              <w:ind w:firstLine="709"/>
              <w:jc w:val="both"/>
              <w:rPr>
                <w:rFonts w:ascii="Verdana" w:eastAsia="Times New Roman" w:hAnsi="Verdana" w:cs="Arial"/>
                <w:lang w:eastAsia="es-CO"/>
              </w:rPr>
            </w:pPr>
            <w:r w:rsidRPr="00F67EF7">
              <w:rPr>
                <w:rFonts w:ascii="Verdana" w:eastAsia="Times New Roman" w:hAnsi="Verdana" w:cs="Arial"/>
                <w:lang w:eastAsia="es-CO"/>
              </w:rPr>
              <w:t>La elección de la tipología contractual aplicable depende, en todo caso, del ejercicio de planeación de la Entidad Estatal, de la necesidad identificada y de las características del negocio jurídico a celebrar. Así, cuando la necesidad corresponda a la ejecución de trabajos artísticos por personas determinadas y se estructure un negocio jurídico conmutativo, procede el contrato de prestación de servicios. En cambio, si se trata de un negocio no conmutativo vinculado a la ejecución de planes, programas o proyectos del plan de desarrollo, resulta aplicable el contrato de colaboración con entidades privadas sin ánimo de lucro, en los términos del artículo 355 superior y del Decreto 092 de 2017.</w:t>
            </w:r>
          </w:p>
          <w:p w14:paraId="4ACEEBC5" w14:textId="77777777" w:rsidR="000D62F3" w:rsidRDefault="000D62F3" w:rsidP="00117AA1">
            <w:pPr>
              <w:spacing w:before="120" w:line="276" w:lineRule="auto"/>
              <w:ind w:firstLine="709"/>
              <w:jc w:val="both"/>
              <w:rPr>
                <w:rFonts w:ascii="Verdana" w:eastAsia="Times New Roman" w:hAnsi="Verdana" w:cs="Arial"/>
                <w:lang w:eastAsia="es-CO"/>
              </w:rPr>
            </w:pPr>
            <w:r w:rsidRPr="00F67EF7">
              <w:rPr>
                <w:rFonts w:ascii="Verdana" w:eastAsia="Times New Roman" w:hAnsi="Verdana" w:cs="Arial"/>
                <w:lang w:eastAsia="es-CO"/>
              </w:rPr>
              <w:t xml:space="preserve">Por su parte, cuando la necesidad esté asociada al desarrollo de una función o a la prestación de un servicio legalmente asignado a la entidad estatal, y se estime pertinente la cooperación con entidades privadas sin ánimo de lucro, la figura idónea es el convenio de asociación. En el marco de los contratos de colaboración y de los convenios de asociación, puede pactarse la obligación de vincular artistas específicos o indeterminados para la ejecución </w:t>
            </w:r>
            <w:r w:rsidRPr="00F67EF7">
              <w:rPr>
                <w:rFonts w:ascii="Verdana" w:eastAsia="Times New Roman" w:hAnsi="Verdana" w:cs="Arial"/>
                <w:lang w:eastAsia="es-CO"/>
              </w:rPr>
              <w:lastRenderedPageBreak/>
              <w:t>del componente artístico, ya sea a cargo de la entidad estatal o del contratista, según lo permitan las características del proyecto y la autonomía de la voluntad. En este último caso, la relación jurídica entre el contratista y los artistas se rige por las normas civiles y/o laborales aplicables, siendo la entidad estatal un tercero ajeno a dicha relación, sin perjuicio de su origen en el negocio jurídico estatal.</w:t>
            </w:r>
          </w:p>
          <w:p w14:paraId="7F37B004" w14:textId="77777777" w:rsidR="000D62F3" w:rsidRPr="00F67EF7" w:rsidRDefault="000D62F3" w:rsidP="00117AA1">
            <w:pPr>
              <w:spacing w:before="120" w:line="276" w:lineRule="auto"/>
              <w:ind w:firstLine="709"/>
              <w:jc w:val="both"/>
              <w:rPr>
                <w:rFonts w:ascii="Verdana" w:eastAsia="Times New Roman" w:hAnsi="Verdana" w:cs="Arial"/>
                <w:lang w:eastAsia="es-CO"/>
              </w:rPr>
            </w:pPr>
            <w:r>
              <w:rPr>
                <w:rFonts w:ascii="Verdana" w:eastAsia="Times New Roman" w:hAnsi="Verdana" w:cs="Arial"/>
                <w:lang w:eastAsia="es-CO"/>
              </w:rPr>
              <w:t xml:space="preserve">Para celebración de contratos de prestación de servicios la modalidad aplicable es la contratación directa, con arreglo a lo dispuesto en el literal h) del artículo 2, numeral 4 de la Ley 1150 de 2007. Por el contrario, para celebrar contratos de fomento se deben desarrollar procesos competitivos de acuerdo con lo establecido en el artículo 4 del Decreto 092 de 2017. Asimismo, los convenios de asociación también deben celebrarse previo desarrollo de proceso competitivo, salvo que exista una entidad sin ánimo de lucro que aporte el 30% de los recursos en dinero requeridos. Para otro tipo de objetos la Entidad Estatal debe determinar la modalidad de selección aplicable, teniendo en cuenta aspectos como el valor del proceso, en función del cual puede resultar aplicable las diferentes modalidades de selección contempladas en el artículo 2 de la Ley 1150 de 2007. </w:t>
            </w:r>
          </w:p>
          <w:p w14:paraId="16688649" w14:textId="77777777" w:rsidR="000D62F3" w:rsidRPr="00322731" w:rsidRDefault="000D62F3" w:rsidP="00117AA1">
            <w:pPr>
              <w:spacing w:before="120" w:line="276" w:lineRule="auto"/>
              <w:ind w:firstLine="708"/>
              <w:jc w:val="both"/>
              <w:rPr>
                <w:rFonts w:ascii="Verdana" w:eastAsia="Times New Roman" w:hAnsi="Verdana" w:cs="Arial"/>
                <w:lang w:eastAsia="es-CO"/>
              </w:rPr>
            </w:pPr>
            <w:r w:rsidRPr="00F67EF7">
              <w:rPr>
                <w:rFonts w:ascii="Verdana" w:eastAsia="Times New Roman" w:hAnsi="Verdana" w:cs="Arial"/>
                <w:lang w:eastAsia="es-CO"/>
              </w:rPr>
              <w:t>En conclusión, corresponde a cada Entidad Estatal, en desarrollo de su planeación, definir el objeto contractual y el tipo de negocio jurídico más adecuado para atender necesidades relacionadas con la ejecución de trabajos artísticos. Según el caso, podrán emplearse las figuras previstas en el artículo 32.3 de la Ley 80 de 1993, en los artículos 2 y 5 del Decreto 092 de 2017, o los negocios jurídicos celebrados al amparo de la autonomía de la voluntad y las normas civiles, pudiendo optar por la contratación directa de los artistas o por delegar su vinculación en el contratista encargado de la ejecución del objeto.</w:t>
            </w:r>
          </w:p>
        </w:tc>
      </w:tr>
    </w:tbl>
    <w:p w14:paraId="3586CC71" w14:textId="77777777" w:rsidR="000D62F3" w:rsidRDefault="000D62F3" w:rsidP="000D62F3">
      <w:pPr>
        <w:tabs>
          <w:tab w:val="left" w:pos="142"/>
          <w:tab w:val="left" w:pos="284"/>
        </w:tabs>
        <w:spacing w:after="0" w:line="276" w:lineRule="auto"/>
        <w:jc w:val="both"/>
        <w:rPr>
          <w:rFonts w:ascii="Verdana" w:eastAsia="Century Gothic" w:hAnsi="Verdana" w:cs="Century Gothic"/>
          <w:b/>
          <w:bCs/>
        </w:rPr>
      </w:pPr>
    </w:p>
    <w:p w14:paraId="5DDAC0FC" w14:textId="77777777" w:rsidR="00EB283C" w:rsidRDefault="00EB283C" w:rsidP="000D62F3">
      <w:pPr>
        <w:tabs>
          <w:tab w:val="left" w:pos="142"/>
          <w:tab w:val="left" w:pos="284"/>
        </w:tabs>
        <w:spacing w:after="0" w:line="276" w:lineRule="auto"/>
        <w:jc w:val="both"/>
        <w:rPr>
          <w:rFonts w:ascii="Verdana" w:eastAsia="Century Gothic" w:hAnsi="Verdana" w:cs="Century Gothic"/>
          <w:b/>
          <w:bCs/>
        </w:rPr>
      </w:pPr>
    </w:p>
    <w:p w14:paraId="0F5DE68B" w14:textId="7AF32B8D" w:rsidR="000D62F3" w:rsidRDefault="000D62F3" w:rsidP="000D62F3">
      <w:pPr>
        <w:tabs>
          <w:tab w:val="left" w:pos="142"/>
          <w:tab w:val="left" w:pos="284"/>
        </w:tabs>
        <w:spacing w:after="0" w:line="276" w:lineRule="auto"/>
        <w:jc w:val="both"/>
        <w:rPr>
          <w:rFonts w:ascii="Verdana" w:eastAsia="Century Gothic" w:hAnsi="Verdana" w:cs="Century Gothic"/>
          <w:b/>
          <w:bCs/>
        </w:rPr>
      </w:pPr>
      <w:r w:rsidRPr="0003322E">
        <w:rPr>
          <w:rFonts w:ascii="Verdana" w:eastAsia="Century Gothic" w:hAnsi="Verdana" w:cs="Century Gothic"/>
          <w:b/>
          <w:bCs/>
        </w:rPr>
        <w:t>3. Razones de la respuesta:</w:t>
      </w:r>
      <w:bookmarkStart w:id="1" w:name="_Hlk204854194"/>
    </w:p>
    <w:p w14:paraId="20620DA8" w14:textId="77777777" w:rsidR="000D62F3" w:rsidRDefault="000D62F3" w:rsidP="000D62F3">
      <w:pPr>
        <w:tabs>
          <w:tab w:val="left" w:pos="142"/>
          <w:tab w:val="left" w:pos="284"/>
        </w:tabs>
        <w:spacing w:after="0" w:line="276" w:lineRule="auto"/>
        <w:jc w:val="both"/>
        <w:rPr>
          <w:rFonts w:ascii="Verdana" w:eastAsia="Century Gothic" w:hAnsi="Verdana" w:cs="Century Gothic"/>
          <w:b/>
          <w:bCs/>
        </w:rPr>
      </w:pPr>
    </w:p>
    <w:p w14:paraId="00ED6167" w14:textId="2DBE5C99" w:rsidR="00EB283C" w:rsidRPr="0003322E" w:rsidRDefault="000D62F3" w:rsidP="000D62F3">
      <w:pPr>
        <w:spacing w:afterLines="120" w:after="288" w:line="276" w:lineRule="auto"/>
        <w:jc w:val="both"/>
        <w:rPr>
          <w:rFonts w:ascii="Verdana" w:eastAsia="Calibri" w:hAnsi="Verdana" w:cs="Arial"/>
          <w:lang w:val="es-ES"/>
        </w:rPr>
      </w:pPr>
      <w:r w:rsidRPr="0003322E">
        <w:rPr>
          <w:rFonts w:ascii="Verdana" w:eastAsia="Calibri" w:hAnsi="Verdana" w:cs="Arial"/>
          <w:lang w:val="es-ES"/>
        </w:rPr>
        <w:t>Lo anterior se sustenta en las siguientes consideraciones:</w:t>
      </w:r>
    </w:p>
    <w:p w14:paraId="1E4FB884" w14:textId="77777777" w:rsidR="000D62F3" w:rsidRPr="004D163B" w:rsidRDefault="000D62F3" w:rsidP="000D62F3">
      <w:pPr>
        <w:tabs>
          <w:tab w:val="left" w:pos="0"/>
        </w:tabs>
        <w:spacing w:line="276" w:lineRule="auto"/>
        <w:jc w:val="both"/>
        <w:rPr>
          <w:rFonts w:ascii="Verdana" w:eastAsia="Calibri" w:hAnsi="Verdana" w:cs="Arial"/>
          <w:color w:val="000000" w:themeColor="text1"/>
          <w:lang w:val="es-ES_tradnl"/>
        </w:rPr>
      </w:pPr>
      <w:r>
        <w:rPr>
          <w:rFonts w:ascii="Verdana" w:hAnsi="Verdana" w:cs="Arial"/>
          <w:color w:val="000000" w:themeColor="text1"/>
        </w:rPr>
        <w:t xml:space="preserve">i. En el marco del Estatuto General de Contratación de la Administración Pública–EGCAP–, la principal tipología aplicable para provisión de actividades artísticas </w:t>
      </w:r>
      <w:r>
        <w:rPr>
          <w:rFonts w:ascii="Verdana" w:hAnsi="Verdana" w:cs="Arial"/>
          <w:color w:val="000000" w:themeColor="text1"/>
        </w:rPr>
        <w:lastRenderedPageBreak/>
        <w:t>es e</w:t>
      </w:r>
      <w:r w:rsidRPr="004D163B">
        <w:rPr>
          <w:rFonts w:ascii="Verdana" w:hAnsi="Verdana" w:cs="Arial"/>
          <w:color w:val="000000" w:themeColor="text1"/>
        </w:rPr>
        <w:t>l contrato de prestación de servicios</w:t>
      </w:r>
      <w:r>
        <w:rPr>
          <w:rFonts w:ascii="Verdana" w:hAnsi="Verdana" w:cs="Arial"/>
          <w:color w:val="000000" w:themeColor="text1"/>
        </w:rPr>
        <w:t>. Este</w:t>
      </w:r>
      <w:r w:rsidRPr="004D163B">
        <w:rPr>
          <w:rFonts w:ascii="Verdana" w:hAnsi="Verdana" w:cs="Arial"/>
          <w:color w:val="000000" w:themeColor="text1"/>
        </w:rPr>
        <w:t xml:space="preserve">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4D163B">
        <w:rPr>
          <w:rFonts w:ascii="Verdana" w:eastAsia="Calibri" w:hAnsi="Verdana" w:cs="Arial"/>
          <w:color w:val="000000" w:themeColor="text1"/>
          <w:lang w:val="es-ES_tradnl"/>
        </w:rPr>
        <w:t xml:space="preserve"> La celebración de dicho contrato debe efectuarse a través de la modalidad de contratación directa. Así lo dispone el artículo 2, numeral 4º, literal h), de la Ley 1150 de 2007:</w:t>
      </w:r>
    </w:p>
    <w:p w14:paraId="73666B1A" w14:textId="77777777" w:rsidR="000D62F3" w:rsidRPr="00B93D8C" w:rsidRDefault="000D62F3" w:rsidP="000D62F3">
      <w:pPr>
        <w:spacing w:line="240" w:lineRule="auto"/>
        <w:ind w:left="709" w:right="758"/>
        <w:jc w:val="both"/>
        <w:rPr>
          <w:rFonts w:ascii="Verdana" w:eastAsia="Calibri" w:hAnsi="Verdana" w:cs="Arial"/>
          <w:color w:val="000000" w:themeColor="text1"/>
          <w:sz w:val="20"/>
          <w:szCs w:val="20"/>
        </w:rPr>
      </w:pPr>
      <w:r w:rsidRPr="00B93D8C">
        <w:rPr>
          <w:rFonts w:ascii="Verdana" w:eastAsia="Calibri" w:hAnsi="Verdana" w:cs="Arial"/>
          <w:color w:val="000000" w:themeColor="text1"/>
          <w:sz w:val="20"/>
          <w:szCs w:val="20"/>
        </w:rPr>
        <w:t>“La escogencia del contratista se efectuará con arreglo a las modalidades de selección de licitación pública, selección abreviada, concurso de méritos y contratación directa, con base en las siguientes reglas:</w:t>
      </w:r>
    </w:p>
    <w:p w14:paraId="3B27CBC4" w14:textId="77777777" w:rsidR="000D62F3" w:rsidRPr="00B93D8C" w:rsidRDefault="000D62F3" w:rsidP="000D62F3">
      <w:pPr>
        <w:spacing w:after="120" w:line="240" w:lineRule="auto"/>
        <w:ind w:left="709" w:right="760"/>
        <w:jc w:val="both"/>
        <w:rPr>
          <w:rFonts w:ascii="Verdana" w:eastAsia="Calibri" w:hAnsi="Verdana" w:cs="Arial"/>
          <w:color w:val="000000" w:themeColor="text1"/>
          <w:sz w:val="20"/>
          <w:szCs w:val="20"/>
        </w:rPr>
      </w:pPr>
      <w:r w:rsidRPr="00B93D8C">
        <w:rPr>
          <w:rFonts w:ascii="Verdana" w:eastAsia="Calibri" w:hAnsi="Verdana" w:cs="Arial"/>
          <w:color w:val="000000" w:themeColor="text1"/>
          <w:sz w:val="20"/>
          <w:szCs w:val="20"/>
        </w:rPr>
        <w:t>[…]</w:t>
      </w:r>
    </w:p>
    <w:p w14:paraId="00C0F9D8" w14:textId="77777777" w:rsidR="000D62F3" w:rsidRPr="00B93D8C" w:rsidRDefault="000D62F3" w:rsidP="000D62F3">
      <w:pPr>
        <w:spacing w:line="240" w:lineRule="auto"/>
        <w:ind w:left="709" w:right="758"/>
        <w:jc w:val="both"/>
        <w:rPr>
          <w:rFonts w:ascii="Verdana" w:eastAsia="Calibri" w:hAnsi="Verdana" w:cs="Arial"/>
          <w:color w:val="000000" w:themeColor="text1"/>
          <w:sz w:val="20"/>
          <w:szCs w:val="20"/>
        </w:rPr>
      </w:pPr>
      <w:r w:rsidRPr="00B93D8C">
        <w:rPr>
          <w:rFonts w:ascii="Verdana" w:eastAsia="Calibri" w:hAnsi="Verdana" w:cs="Arial"/>
          <w:color w:val="000000" w:themeColor="text1"/>
          <w:sz w:val="20"/>
          <w:szCs w:val="20"/>
        </w:rPr>
        <w:t>4. Contratación directa. La modalidad de selección de contratación directa solamente procederá en los siguientes casos:</w:t>
      </w:r>
    </w:p>
    <w:p w14:paraId="063D8C91" w14:textId="77777777" w:rsidR="000D62F3" w:rsidRPr="00B93D8C" w:rsidRDefault="000D62F3" w:rsidP="000D62F3">
      <w:pPr>
        <w:spacing w:after="120" w:line="240" w:lineRule="auto"/>
        <w:ind w:left="709" w:right="760"/>
        <w:jc w:val="both"/>
        <w:rPr>
          <w:rFonts w:ascii="Verdana" w:eastAsia="Calibri" w:hAnsi="Verdana" w:cs="Arial"/>
          <w:color w:val="000000" w:themeColor="text1"/>
          <w:sz w:val="20"/>
          <w:szCs w:val="20"/>
        </w:rPr>
      </w:pPr>
      <w:r w:rsidRPr="00B93D8C">
        <w:rPr>
          <w:rFonts w:ascii="Verdana" w:eastAsia="Calibri" w:hAnsi="Verdana" w:cs="Arial"/>
          <w:color w:val="000000" w:themeColor="text1"/>
          <w:sz w:val="20"/>
          <w:szCs w:val="20"/>
        </w:rPr>
        <w:t>[…]</w:t>
      </w:r>
    </w:p>
    <w:p w14:paraId="024659E4" w14:textId="77777777" w:rsidR="000D62F3" w:rsidRPr="00B93D8C" w:rsidRDefault="000D62F3" w:rsidP="000D62F3">
      <w:pPr>
        <w:spacing w:line="240" w:lineRule="auto"/>
        <w:ind w:left="709" w:right="758"/>
        <w:jc w:val="both"/>
        <w:rPr>
          <w:rFonts w:ascii="Verdana" w:eastAsia="Calibri" w:hAnsi="Verdana" w:cs="Arial"/>
          <w:color w:val="000000" w:themeColor="text1"/>
          <w:sz w:val="20"/>
          <w:szCs w:val="20"/>
        </w:rPr>
      </w:pPr>
      <w:r w:rsidRPr="00B93D8C">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5FF33C2D" w14:textId="77777777" w:rsidR="000D62F3" w:rsidRPr="004D163B" w:rsidRDefault="000D62F3" w:rsidP="000D62F3">
      <w:pPr>
        <w:tabs>
          <w:tab w:val="left" w:pos="0"/>
        </w:tabs>
        <w:spacing w:line="276" w:lineRule="auto"/>
        <w:jc w:val="both"/>
        <w:rPr>
          <w:rFonts w:ascii="Verdana" w:hAnsi="Verdana" w:cs="Arial"/>
          <w:noProof/>
          <w:lang w:val="es-ES_tradnl"/>
        </w:rPr>
      </w:pPr>
      <w:r w:rsidRPr="004D163B">
        <w:rPr>
          <w:rFonts w:ascii="Verdana" w:hAnsi="Verdana" w:cs="Arial"/>
          <w:noProof/>
          <w:lang w:val="es-ES_tradnl"/>
        </w:rPr>
        <w:tab/>
      </w:r>
      <w:r w:rsidRPr="004D163B">
        <w:rPr>
          <w:rFonts w:ascii="Verdana" w:hAnsi="Verdana" w:cs="Arial"/>
          <w:color w:val="000000" w:themeColor="text1"/>
          <w:lang w:val="es-ES_tradnl"/>
        </w:rPr>
        <w:t>A partir de las disposiciones citadas y de los pronunciamientos judiciales más destacados sobre el tema, es posible señalar las siguientes características del contrato de prestación de servicios</w:t>
      </w:r>
      <w:r w:rsidRPr="004D163B">
        <w:rPr>
          <w:rFonts w:ascii="Verdana" w:hAnsi="Verdana" w:cs="Arial"/>
          <w:noProof/>
          <w:lang w:val="es-ES_tradnl"/>
        </w:rPr>
        <w:t>:</w:t>
      </w:r>
    </w:p>
    <w:p w14:paraId="11587BB2" w14:textId="77777777" w:rsidR="000D62F3" w:rsidRPr="004D163B" w:rsidRDefault="000D62F3" w:rsidP="000D62F3">
      <w:pPr>
        <w:spacing w:before="120" w:line="276" w:lineRule="auto"/>
        <w:ind w:firstLine="709"/>
        <w:jc w:val="both"/>
        <w:rPr>
          <w:rFonts w:ascii="Verdana" w:hAnsi="Verdana" w:cs="Arial"/>
          <w:noProof/>
          <w:lang w:val="es-ES_tradnl"/>
        </w:rPr>
      </w:pPr>
      <w:r w:rsidRPr="004D163B">
        <w:rPr>
          <w:rFonts w:ascii="Verdana" w:hAnsi="Verdana" w:cs="Arial"/>
          <w:noProof/>
          <w:lang w:val="es-ES_tradnl"/>
        </w:rPr>
        <w:t>i) Solo puede celebrarse para realizar “actividades relacionadas con la administración o funcionamiento de la entidad”, es decir, que hagan parte de su giro ordinario o quehacer cotidiano.</w:t>
      </w:r>
    </w:p>
    <w:p w14:paraId="0A8E1F8D" w14:textId="77777777" w:rsidR="000D62F3" w:rsidRPr="004D163B" w:rsidRDefault="000D62F3" w:rsidP="000D62F3">
      <w:pPr>
        <w:spacing w:before="120" w:line="276" w:lineRule="auto"/>
        <w:ind w:firstLine="709"/>
        <w:jc w:val="both"/>
        <w:rPr>
          <w:rFonts w:ascii="Verdana" w:hAnsi="Verdana" w:cs="Arial"/>
          <w:noProof/>
          <w:lang w:val="es-ES_tradnl"/>
        </w:rPr>
      </w:pPr>
      <w:r w:rsidRPr="004D163B">
        <w:rPr>
          <w:rFonts w:ascii="Verdana" w:hAnsi="Verdana" w:cs="Arial"/>
          <w:noProof/>
          <w:lang w:val="es-ES_tradnl"/>
        </w:rPr>
        <w:t xml:space="preserve">ii) Admite que se suscriba con personas naturales o jurídicas. Sin embargo, cuando se celebre con aquellas, la entidad estatal debe justificar, en los estudios previos, que las actividades “no puedan realizarse con personal de planta o requieran conocimientos especializados”. Esto sucede en varios eventos, por ejemplo, cuando no exista personal de planta para ejecutar las labores; o existiendo, está sobrecargado de trabajo, necesitando apoyo externo; o habiendo personal de planta, carece de la experticia o conocimiento </w:t>
      </w:r>
      <w:r w:rsidRPr="004D163B">
        <w:rPr>
          <w:rFonts w:ascii="Verdana" w:hAnsi="Verdana" w:cs="Arial"/>
          <w:noProof/>
          <w:lang w:val="es-ES_tradnl"/>
        </w:rPr>
        <w:lastRenderedPageBreak/>
        <w:t>especializado, razón por la cual es necesario contratar los servicios de una persona natural que tenga el conocimiento y la experiencia en el tema.</w:t>
      </w:r>
    </w:p>
    <w:p w14:paraId="095D2D6E" w14:textId="77777777" w:rsidR="000D62F3" w:rsidRPr="004D163B" w:rsidRDefault="000D62F3" w:rsidP="000D62F3">
      <w:pPr>
        <w:spacing w:before="120" w:line="276" w:lineRule="auto"/>
        <w:ind w:firstLine="709"/>
        <w:jc w:val="both"/>
        <w:rPr>
          <w:rFonts w:ascii="Verdana" w:hAnsi="Verdana" w:cs="Arial"/>
          <w:noProof/>
          <w:lang w:val="es-ES_tradnl"/>
        </w:rPr>
      </w:pPr>
      <w:r w:rsidRPr="004D163B">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4D163B">
        <w:rPr>
          <w:rFonts w:ascii="Verdana" w:hAnsi="Verdana" w:cs="Arial"/>
          <w:i/>
          <w:noProof/>
          <w:lang w:val="es-ES_tradnl"/>
        </w:rPr>
        <w:t xml:space="preserve">subordinación </w:t>
      </w:r>
      <w:r w:rsidRPr="004D163B">
        <w:rPr>
          <w:rFonts w:ascii="Verdana" w:hAnsi="Verdana" w:cs="Arial"/>
          <w:iCs/>
          <w:noProof/>
          <w:lang w:val="es-ES_tradnl"/>
        </w:rPr>
        <w:t>ni</w:t>
      </w:r>
      <w:r w:rsidRPr="004D163B">
        <w:rPr>
          <w:rFonts w:ascii="Verdana" w:hAnsi="Verdana" w:cs="Arial"/>
          <w:i/>
          <w:noProof/>
          <w:lang w:val="es-ES_tradnl"/>
        </w:rPr>
        <w:t xml:space="preserve"> dependencia</w:t>
      </w:r>
      <w:r w:rsidRPr="004D163B">
        <w:rPr>
          <w:rFonts w:ascii="Verdana" w:hAnsi="Verdana" w:cs="Arial"/>
          <w:iCs/>
          <w:noProof/>
          <w:lang w:val="es-ES_tradnl"/>
        </w:rPr>
        <w:t>,</w:t>
      </w:r>
      <w:r w:rsidRPr="004D163B">
        <w:rPr>
          <w:rFonts w:ascii="Verdana" w:hAnsi="Verdana" w:cs="Arial"/>
          <w:noProof/>
          <w:lang w:val="es-ES_tradnl"/>
        </w:rPr>
        <w:t xml:space="preserve"> que es uno de los elementos constitutivos del vínculo laboral</w:t>
      </w:r>
      <w:r w:rsidRPr="004D163B">
        <w:rPr>
          <w:rStyle w:val="Refdenotaalpie"/>
          <w:rFonts w:ascii="Verdana" w:hAnsi="Verdana" w:cs="Arial"/>
          <w:noProof/>
          <w:lang w:val="es-ES_tradnl"/>
        </w:rPr>
        <w:footnoteReference w:id="1"/>
      </w:r>
      <w:r w:rsidRPr="004D163B">
        <w:rPr>
          <w:rFonts w:ascii="Verdana" w:hAnsi="Verdana" w:cs="Arial"/>
          <w:noProof/>
          <w:lang w:val="es-ES_tradnl"/>
        </w:rPr>
        <w:t xml:space="preserve">. Por eso,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4D163B">
        <w:rPr>
          <w:rFonts w:ascii="Verdana" w:hAnsi="Verdana" w:cs="Arial"/>
          <w:i/>
          <w:noProof/>
          <w:lang w:val="es-ES_tradnl"/>
        </w:rPr>
        <w:t>no pueden</w:t>
      </w:r>
      <w:r w:rsidRPr="004D163B">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4D163B">
        <w:rPr>
          <w:rStyle w:val="Refdenotaalpie"/>
          <w:rFonts w:ascii="Verdana" w:hAnsi="Verdana" w:cs="Arial"/>
          <w:noProof/>
          <w:lang w:val="es-ES_tradnl"/>
        </w:rPr>
        <w:footnoteReference w:id="2"/>
      </w:r>
      <w:r w:rsidRPr="004D163B">
        <w:rPr>
          <w:rFonts w:ascii="Verdana" w:hAnsi="Verdana" w:cs="Arial"/>
          <w:noProof/>
          <w:lang w:val="es-ES_tradnl"/>
        </w:rPr>
        <w:t xml:space="preserve">. </w:t>
      </w:r>
    </w:p>
    <w:p w14:paraId="56A49A32" w14:textId="77777777" w:rsidR="000D62F3" w:rsidRPr="004D163B" w:rsidRDefault="000D62F3" w:rsidP="000D62F3">
      <w:pPr>
        <w:spacing w:before="120" w:line="276" w:lineRule="auto"/>
        <w:ind w:firstLine="709"/>
        <w:jc w:val="both"/>
        <w:rPr>
          <w:rFonts w:ascii="Verdana" w:hAnsi="Verdana" w:cs="Arial"/>
          <w:noProof/>
          <w:lang w:val="es-ES_tradnl"/>
        </w:rPr>
      </w:pPr>
      <w:r w:rsidRPr="004D163B">
        <w:rPr>
          <w:rFonts w:ascii="Verdana" w:hAnsi="Verdana" w:cs="Arial"/>
          <w:noProof/>
          <w:lang w:val="es-ES_tradnl"/>
        </w:rPr>
        <w:t xml:space="preserve">A pesar de este mandato deontológico, es posible que en la práctica se configure una relación laboral, pues el contrato de trabajo es </w:t>
      </w:r>
      <w:r w:rsidRPr="004D163B">
        <w:rPr>
          <w:rFonts w:ascii="Verdana" w:hAnsi="Verdana" w:cs="Arial"/>
          <w:i/>
          <w:iCs/>
          <w:noProof/>
          <w:lang w:val="es-ES_tradnl"/>
        </w:rPr>
        <w:t xml:space="preserve">de </w:t>
      </w:r>
      <w:r w:rsidRPr="004D163B">
        <w:rPr>
          <w:rFonts w:ascii="Verdana" w:hAnsi="Verdana" w:cs="Arial"/>
          <w:i/>
          <w:noProof/>
          <w:lang w:val="es-ES_tradnl"/>
        </w:rPr>
        <w:t>realidad</w:t>
      </w:r>
      <w:r w:rsidRPr="004D163B">
        <w:rPr>
          <w:rFonts w:ascii="Verdana" w:hAnsi="Verdana" w:cs="Arial"/>
          <w:noProof/>
          <w:lang w:val="es-ES_tradnl"/>
        </w:rPr>
        <w:t xml:space="preserve">, y para </w:t>
      </w:r>
      <w:r w:rsidRPr="004D163B">
        <w:rPr>
          <w:rFonts w:ascii="Verdana" w:hAnsi="Verdana" w:cs="Arial"/>
          <w:noProof/>
          <w:lang w:val="es-ES_tradnl"/>
        </w:rPr>
        <w:lastRenderedPageBreak/>
        <w:t>perfeccionarlo rige el principio de prevalencia de la realidad sobre las formalidades. En el sentido anterior, la Corte Constitucional declaró la exequibilidad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4D163B">
        <w:rPr>
          <w:rStyle w:val="Refdenotaalpie"/>
          <w:rFonts w:ascii="Verdana" w:hAnsi="Verdana" w:cs="Arial"/>
          <w:noProof/>
          <w:lang w:val="es-ES_tradnl"/>
        </w:rPr>
        <w:footnoteReference w:id="3"/>
      </w:r>
      <w:r w:rsidRPr="004D163B">
        <w:rPr>
          <w:rFonts w:ascii="Verdana" w:hAnsi="Verdana" w:cs="Arial"/>
          <w:noProof/>
          <w:lang w:val="es-ES_tradnl"/>
        </w:rPr>
        <w:t>.</w:t>
      </w:r>
    </w:p>
    <w:p w14:paraId="03BC43B7" w14:textId="77777777" w:rsidR="000D62F3" w:rsidRPr="004D163B" w:rsidRDefault="000D62F3" w:rsidP="000D62F3">
      <w:pPr>
        <w:spacing w:before="120" w:line="276" w:lineRule="auto"/>
        <w:ind w:firstLine="709"/>
        <w:jc w:val="both"/>
        <w:rPr>
          <w:rFonts w:ascii="Verdana" w:hAnsi="Verdana" w:cs="Arial"/>
          <w:noProof/>
          <w:lang w:val="es-ES_tradnl"/>
        </w:rPr>
      </w:pPr>
      <w:r w:rsidRPr="004D163B">
        <w:rPr>
          <w:rFonts w:ascii="Verdana" w:hAnsi="Verdana" w:cs="Arial"/>
          <w:noProof/>
          <w:lang w:val="es-ES_tradnl"/>
        </w:rPr>
        <w:t>iv) Deben ser temporales. Así lo consideró la Corte Constitucional en la misma providencia a la que se aludió antes, expresando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4D163B">
        <w:rPr>
          <w:rStyle w:val="Refdenotaalpie"/>
          <w:rFonts w:ascii="Verdana" w:hAnsi="Verdana" w:cs="Arial"/>
          <w:noProof/>
          <w:lang w:val="es-ES_tradnl"/>
        </w:rPr>
        <w:footnoteReference w:id="4"/>
      </w:r>
      <w:r w:rsidRPr="004D163B">
        <w:rPr>
          <w:rFonts w:ascii="Verdana" w:hAnsi="Verdana" w:cs="Arial"/>
          <w:noProof/>
          <w:lang w:val="es-ES_tradnl"/>
        </w:rPr>
        <w:t>.</w:t>
      </w:r>
    </w:p>
    <w:p w14:paraId="687E64E5" w14:textId="77777777" w:rsidR="000D62F3" w:rsidRDefault="000D62F3" w:rsidP="000D62F3">
      <w:pPr>
        <w:spacing w:after="120" w:line="276" w:lineRule="auto"/>
        <w:ind w:firstLine="709"/>
        <w:jc w:val="both"/>
        <w:rPr>
          <w:rFonts w:ascii="Verdana" w:hAnsi="Verdana" w:cs="Arial"/>
          <w:noProof/>
          <w:lang w:val="es-ES_tradnl"/>
        </w:rPr>
      </w:pPr>
      <w:r w:rsidRPr="004D163B">
        <w:rPr>
          <w:rFonts w:ascii="Verdana" w:hAnsi="Verdana" w:cs="Arial"/>
          <w:noProof/>
          <w:lang w:val="es-ES_tradnl"/>
        </w:rPr>
        <w:t>v) Se celebran a través de la modalidad de contratación directa, independientemente de la cuantía y del tipo de servicio profesional, siempre que su objeto no sea la consultoría. Esto por cuanto, como lo indicó el Consejo de Estado en la sentencia de unificación jurisprudencial, si bien en ambos existe un componente intelectual y profesional, el objeto del contrato de consultoría es especial y debe celebrarse, por regla general, mediante un concurso de méritos</w:t>
      </w:r>
      <w:r w:rsidRPr="004D163B">
        <w:rPr>
          <w:rStyle w:val="Refdenotaalpie"/>
          <w:rFonts w:ascii="Verdana" w:hAnsi="Verdana" w:cs="Arial"/>
          <w:noProof/>
          <w:lang w:val="es-ES_tradnl"/>
        </w:rPr>
        <w:footnoteReference w:id="5"/>
      </w:r>
      <w:r w:rsidRPr="004D163B">
        <w:rPr>
          <w:rFonts w:ascii="Verdana" w:hAnsi="Verdana" w:cs="Arial"/>
          <w:noProof/>
          <w:lang w:val="es-ES_tradnl"/>
        </w:rPr>
        <w:t>.</w:t>
      </w:r>
    </w:p>
    <w:p w14:paraId="53F1A5D8" w14:textId="77777777" w:rsidR="000D62F3" w:rsidRDefault="000D62F3" w:rsidP="000D62F3">
      <w:pPr>
        <w:spacing w:after="120" w:line="276" w:lineRule="auto"/>
        <w:jc w:val="both"/>
        <w:rPr>
          <w:rFonts w:ascii="Verdana" w:hAnsi="Verdana" w:cs="Arial"/>
          <w:noProof/>
          <w:lang w:val="es-ES_tradnl"/>
        </w:rPr>
      </w:pPr>
    </w:p>
    <w:p w14:paraId="740D8570" w14:textId="77777777" w:rsidR="00EB283C" w:rsidRDefault="000D62F3" w:rsidP="000D62F3">
      <w:pPr>
        <w:spacing w:after="120" w:line="276" w:lineRule="auto"/>
        <w:jc w:val="both"/>
        <w:rPr>
          <w:rFonts w:ascii="Verdana" w:hAnsi="Verdana" w:cs="Arial"/>
          <w:noProof/>
          <w:lang w:val="es-ES_tradnl"/>
        </w:rPr>
      </w:pPr>
      <w:r w:rsidRPr="004D163B">
        <w:rPr>
          <w:rFonts w:ascii="Verdana" w:hAnsi="Verdana" w:cs="Arial"/>
          <w:noProof/>
          <w:lang w:val="es-ES_tradnl"/>
        </w:rPr>
        <w:t xml:space="preserve"> Debe aclararse que no debe suscribirse un contrato de prestación de servicios profesionales para ejecutar actividades que se enmarcan en los otros contratos </w:t>
      </w:r>
    </w:p>
    <w:p w14:paraId="78742496" w14:textId="2C2A766A" w:rsidR="000D62F3" w:rsidRDefault="000D62F3" w:rsidP="000D62F3">
      <w:pPr>
        <w:spacing w:after="120" w:line="276" w:lineRule="auto"/>
        <w:jc w:val="both"/>
        <w:rPr>
          <w:rFonts w:ascii="Verdana" w:hAnsi="Verdana" w:cs="Arial"/>
          <w:noProof/>
          <w:lang w:val="es-ES_tradnl"/>
        </w:rPr>
      </w:pPr>
      <w:r w:rsidRPr="004D163B">
        <w:rPr>
          <w:rFonts w:ascii="Verdana" w:hAnsi="Verdana" w:cs="Arial"/>
          <w:noProof/>
          <w:lang w:val="es-ES_tradnl"/>
        </w:rPr>
        <w:t>tipificados en el artículo 32 de la Ley 80 de 1993, como, por ejemplo, la construcción de una obra.</w:t>
      </w:r>
    </w:p>
    <w:p w14:paraId="1AAC7585" w14:textId="77777777" w:rsidR="000D62F3" w:rsidRPr="004D163B" w:rsidRDefault="000D62F3" w:rsidP="000D62F3">
      <w:pPr>
        <w:spacing w:after="120" w:line="276" w:lineRule="auto"/>
        <w:ind w:firstLine="709"/>
        <w:jc w:val="both"/>
        <w:rPr>
          <w:rFonts w:ascii="Verdana" w:hAnsi="Verdana" w:cs="Arial"/>
          <w:noProof/>
          <w:lang w:val="es-ES_tradnl"/>
        </w:rPr>
      </w:pPr>
      <w:r w:rsidRPr="004D163B">
        <w:rPr>
          <w:rFonts w:ascii="Verdana" w:hAnsi="Verdana" w:cs="Arial"/>
          <w:noProof/>
          <w:lang w:val="es-ES_tradnl"/>
        </w:rPr>
        <w:t>vi) Para celebrarlo no se requiere expedir un acto administrativo de justificación de la contratación directa</w:t>
      </w:r>
      <w:r w:rsidRPr="004D163B">
        <w:rPr>
          <w:rStyle w:val="Refdenotaalpie"/>
          <w:rFonts w:ascii="Verdana" w:hAnsi="Verdana" w:cs="Arial"/>
          <w:noProof/>
          <w:lang w:val="es-ES_tradnl"/>
        </w:rPr>
        <w:footnoteReference w:id="6"/>
      </w:r>
      <w:r w:rsidRPr="004D163B">
        <w:rPr>
          <w:rFonts w:ascii="Verdana" w:hAnsi="Verdana" w:cs="Arial"/>
          <w:noProof/>
          <w:lang w:val="es-ES_tradnl"/>
        </w:rPr>
        <w:t>.</w:t>
      </w:r>
    </w:p>
    <w:p w14:paraId="65253FDD" w14:textId="77777777" w:rsidR="000D62F3" w:rsidRPr="004D163B" w:rsidRDefault="000D62F3" w:rsidP="000D62F3">
      <w:pPr>
        <w:spacing w:before="120" w:line="276" w:lineRule="auto"/>
        <w:ind w:firstLine="709"/>
        <w:jc w:val="both"/>
        <w:rPr>
          <w:rFonts w:ascii="Verdana" w:hAnsi="Verdana" w:cs="Arial"/>
          <w:noProof/>
          <w:lang w:val="es-ES_tradnl"/>
        </w:rPr>
      </w:pPr>
      <w:r w:rsidRPr="004D163B">
        <w:rPr>
          <w:rFonts w:ascii="Verdana" w:hAnsi="Verdana" w:cs="Arial"/>
          <w:noProof/>
          <w:lang w:val="es-ES_tradnl"/>
        </w:rPr>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por naturaleza. Así se infiere del artículo 14, numeral 2º, de la Ley 80 de 1993</w:t>
      </w:r>
      <w:r w:rsidRPr="004D163B">
        <w:rPr>
          <w:rStyle w:val="Refdenotaalpie"/>
          <w:rFonts w:ascii="Verdana" w:hAnsi="Verdana" w:cs="Arial"/>
          <w:noProof/>
          <w:lang w:val="es-ES_tradnl"/>
        </w:rPr>
        <w:footnoteReference w:id="7"/>
      </w:r>
      <w:r w:rsidRPr="004D163B">
        <w:rPr>
          <w:rFonts w:ascii="Verdana" w:hAnsi="Verdana" w:cs="Arial"/>
          <w:noProof/>
          <w:lang w:val="es-ES_tradnl"/>
        </w:rPr>
        <w:t>.</w:t>
      </w:r>
    </w:p>
    <w:p w14:paraId="610FE53D" w14:textId="77777777" w:rsidR="000D62F3" w:rsidRDefault="000D62F3" w:rsidP="000D62F3">
      <w:pPr>
        <w:spacing w:before="120" w:line="276" w:lineRule="auto"/>
        <w:ind w:firstLine="709"/>
        <w:jc w:val="both"/>
        <w:rPr>
          <w:rFonts w:ascii="Verdana" w:hAnsi="Verdana" w:cs="Arial"/>
          <w:noProof/>
          <w:lang w:val="es-ES_tradnl"/>
        </w:rPr>
      </w:pPr>
      <w:r w:rsidRPr="004D163B">
        <w:rPr>
          <w:rFonts w:ascii="Verdana" w:hAnsi="Verdana" w:cs="Arial"/>
          <w:noProof/>
          <w:lang w:val="es-ES_tradnl"/>
        </w:rPr>
        <w:t>viii) No es obligatorio liquidar estos contratos, como lo establece el artículo 217 del Decreto 019 de 2012, que modificó el artículo 60 de la Ley 80 de 1993</w:t>
      </w:r>
      <w:r w:rsidRPr="004D163B">
        <w:rPr>
          <w:rStyle w:val="Refdenotaalpie"/>
          <w:rFonts w:ascii="Verdana" w:hAnsi="Verdana" w:cs="Arial"/>
          <w:noProof/>
          <w:lang w:val="es-ES_tradnl"/>
        </w:rPr>
        <w:footnoteReference w:id="8"/>
      </w:r>
      <w:r w:rsidRPr="004D163B">
        <w:rPr>
          <w:rFonts w:ascii="Verdana" w:hAnsi="Verdana" w:cs="Arial"/>
          <w:noProof/>
          <w:lang w:val="es-ES_tradnl"/>
        </w:rPr>
        <w:t>.</w:t>
      </w:r>
    </w:p>
    <w:p w14:paraId="36200A55" w14:textId="77777777" w:rsidR="00EB283C" w:rsidRDefault="00EB283C" w:rsidP="000D62F3">
      <w:pPr>
        <w:spacing w:before="120" w:line="276" w:lineRule="auto"/>
        <w:ind w:firstLine="709"/>
        <w:jc w:val="both"/>
        <w:rPr>
          <w:rFonts w:ascii="Verdana" w:hAnsi="Verdana" w:cs="Arial"/>
          <w:noProof/>
          <w:lang w:val="es-ES_tradnl"/>
        </w:rPr>
      </w:pPr>
    </w:p>
    <w:p w14:paraId="5D24D24C" w14:textId="77777777" w:rsidR="00EB283C" w:rsidRDefault="00EB283C" w:rsidP="000D62F3">
      <w:pPr>
        <w:spacing w:before="120" w:line="276" w:lineRule="auto"/>
        <w:ind w:firstLine="709"/>
        <w:jc w:val="both"/>
        <w:rPr>
          <w:rFonts w:ascii="Verdana" w:hAnsi="Verdana" w:cs="Arial"/>
          <w:noProof/>
          <w:lang w:val="es-ES_tradnl"/>
        </w:rPr>
      </w:pPr>
    </w:p>
    <w:p w14:paraId="0DCFD737" w14:textId="77777777" w:rsidR="00EB283C" w:rsidRPr="004D163B" w:rsidRDefault="00EB283C" w:rsidP="000D62F3">
      <w:pPr>
        <w:spacing w:before="120" w:line="276" w:lineRule="auto"/>
        <w:ind w:firstLine="709"/>
        <w:jc w:val="both"/>
        <w:rPr>
          <w:rFonts w:ascii="Verdana" w:hAnsi="Verdana" w:cs="Arial"/>
          <w:noProof/>
          <w:lang w:val="es-ES_tradnl"/>
        </w:rPr>
      </w:pPr>
    </w:p>
    <w:p w14:paraId="39DA3AD7" w14:textId="77777777" w:rsidR="000D62F3" w:rsidRPr="004D163B" w:rsidRDefault="000D62F3" w:rsidP="000D62F3">
      <w:pPr>
        <w:spacing w:before="120" w:line="276" w:lineRule="auto"/>
        <w:ind w:firstLine="709"/>
        <w:jc w:val="both"/>
        <w:rPr>
          <w:rFonts w:ascii="Verdana" w:hAnsi="Verdana" w:cs="Arial"/>
          <w:noProof/>
          <w:lang w:val="es-ES_tradnl"/>
        </w:rPr>
      </w:pPr>
      <w:r w:rsidRPr="004D163B">
        <w:rPr>
          <w:rFonts w:ascii="Verdana" w:hAnsi="Verdana" w:cs="Arial"/>
          <w:noProof/>
          <w:lang w:val="es-ES_tradnl"/>
        </w:rPr>
        <w:t>ix) Para celebrarlos no se requiere estar inscrito en el Registro Único de Proponentes –RUP–, como lo señala el artículo 6 de la Ley 1150 de 2007</w:t>
      </w:r>
      <w:r w:rsidRPr="004D163B">
        <w:rPr>
          <w:rStyle w:val="Refdenotaalpie"/>
          <w:rFonts w:ascii="Verdana" w:hAnsi="Verdana" w:cs="Arial"/>
          <w:noProof/>
          <w:lang w:val="es-ES_tradnl"/>
        </w:rPr>
        <w:footnoteReference w:id="9"/>
      </w:r>
      <w:r w:rsidRPr="004D163B">
        <w:rPr>
          <w:rFonts w:ascii="Verdana" w:hAnsi="Verdana" w:cs="Arial"/>
          <w:noProof/>
          <w:lang w:val="es-ES_tradnl"/>
        </w:rPr>
        <w:t>.</w:t>
      </w:r>
    </w:p>
    <w:p w14:paraId="0410103E" w14:textId="77777777" w:rsidR="000D62F3" w:rsidRPr="004D163B" w:rsidRDefault="000D62F3" w:rsidP="000D62F3">
      <w:pPr>
        <w:spacing w:before="120" w:line="276" w:lineRule="auto"/>
        <w:ind w:firstLine="708"/>
        <w:jc w:val="both"/>
        <w:rPr>
          <w:rFonts w:ascii="Verdana" w:hAnsi="Verdana" w:cs="Arial"/>
          <w:noProof/>
          <w:lang w:val="es-ES_tradnl"/>
        </w:rPr>
      </w:pPr>
      <w:r w:rsidRPr="004D163B">
        <w:rPr>
          <w:rFonts w:ascii="Verdana" w:hAnsi="Verdana" w:cs="Arial"/>
          <w:noProof/>
          <w:lang w:val="es-ES_tradnl"/>
        </w:rPr>
        <w:t>x) No es necesario que el Estado exija garantías</w:t>
      </w:r>
      <w:r w:rsidRPr="004D163B">
        <w:rPr>
          <w:rStyle w:val="Refdenotaalpie"/>
          <w:rFonts w:ascii="Verdana" w:hAnsi="Verdana" w:cs="Arial"/>
          <w:noProof/>
          <w:lang w:val="es-ES_tradnl"/>
        </w:rPr>
        <w:footnoteReference w:id="10"/>
      </w:r>
      <w:r w:rsidRPr="004D163B">
        <w:rPr>
          <w:rFonts w:ascii="Verdana" w:hAnsi="Verdana" w:cs="Arial"/>
          <w:noProof/>
          <w:lang w:val="es-ES_tradnl"/>
        </w:rPr>
        <w:t>.</w:t>
      </w:r>
    </w:p>
    <w:p w14:paraId="774BCE98" w14:textId="77777777" w:rsidR="000D62F3" w:rsidRPr="004D163B" w:rsidRDefault="000D62F3" w:rsidP="000D62F3">
      <w:pPr>
        <w:tabs>
          <w:tab w:val="left" w:pos="0"/>
        </w:tabs>
        <w:spacing w:before="120" w:line="276" w:lineRule="auto"/>
        <w:ind w:firstLine="709"/>
        <w:jc w:val="both"/>
        <w:rPr>
          <w:rFonts w:ascii="Verdana" w:hAnsi="Verdana" w:cs="Arial"/>
          <w:color w:val="000000" w:themeColor="text1"/>
        </w:rPr>
      </w:pPr>
      <w:r w:rsidRPr="004D163B">
        <w:rPr>
          <w:rFonts w:ascii="Verdana" w:hAnsi="Verdana" w:cs="Arial"/>
          <w:color w:val="000000" w:themeColor="text1"/>
        </w:rPr>
        <w:t xml:space="preserve">Ahora bien, como especies del género </w:t>
      </w:r>
      <w:r w:rsidRPr="004D163B">
        <w:rPr>
          <w:rFonts w:ascii="Verdana" w:hAnsi="Verdana" w:cs="Arial"/>
          <w:i/>
          <w:color w:val="000000" w:themeColor="text1"/>
        </w:rPr>
        <w:t>prestación de servicios,</w:t>
      </w:r>
      <w:r w:rsidRPr="004D163B">
        <w:rPr>
          <w:rFonts w:ascii="Verdana" w:hAnsi="Verdana" w:cs="Arial"/>
          <w:color w:val="000000" w:themeColor="text1"/>
        </w:rPr>
        <w:t xml:space="preserve"> se incluyen </w:t>
      </w:r>
      <w:r w:rsidRPr="004D163B">
        <w:rPr>
          <w:rFonts w:ascii="Verdana" w:hAnsi="Verdana" w:cs="Arial"/>
          <w:color w:val="000000" w:themeColor="text1"/>
          <w:lang w:val="es-ES_tradnl"/>
        </w:rPr>
        <w:t xml:space="preserve">los </w:t>
      </w:r>
      <w:r w:rsidRPr="004D163B">
        <w:rPr>
          <w:rFonts w:ascii="Verdana" w:hAnsi="Verdana" w:cs="Arial"/>
          <w:i/>
          <w:iCs/>
          <w:color w:val="000000" w:themeColor="text1"/>
          <w:lang w:val="es-ES_tradnl"/>
        </w:rPr>
        <w:t>contratos de prestación de servicios profesionales, los contratos de prestación de servicios apoyo a la gestión</w:t>
      </w:r>
      <w:r w:rsidRPr="004D163B">
        <w:rPr>
          <w:rFonts w:ascii="Verdana" w:hAnsi="Verdana" w:cs="Arial"/>
          <w:color w:val="000000" w:themeColor="text1"/>
          <w:lang w:val="es-ES_tradnl"/>
        </w:rPr>
        <w:t xml:space="preserve"> y los </w:t>
      </w:r>
      <w:r w:rsidRPr="004D163B">
        <w:rPr>
          <w:rFonts w:ascii="Verdana" w:hAnsi="Verdana" w:cs="Arial"/>
          <w:i/>
          <w:iCs/>
          <w:color w:val="000000" w:themeColor="text1"/>
          <w:lang w:val="es-ES_tradnl"/>
        </w:rPr>
        <w:t>contratos de prestación de servicios artísticos que solo pueden encomendarse a determinadas personas naturales</w:t>
      </w:r>
      <w:r w:rsidRPr="004D163B">
        <w:rPr>
          <w:rFonts w:ascii="Verdana" w:hAnsi="Verdana" w:cs="Arial"/>
          <w:color w:val="000000" w:themeColor="text1"/>
          <w:vertAlign w:val="superscript"/>
          <w:lang w:val="es-ES_tradnl"/>
        </w:rPr>
        <w:footnoteReference w:id="11"/>
      </w:r>
      <w:r w:rsidRPr="004D163B">
        <w:rPr>
          <w:rFonts w:ascii="Verdana" w:hAnsi="Verdana" w:cs="Arial"/>
          <w:color w:val="000000" w:themeColor="text1"/>
        </w:rPr>
        <w:t xml:space="preserve">. </w:t>
      </w:r>
      <w:r w:rsidRPr="004D163B">
        <w:rPr>
          <w:rFonts w:ascii="Verdana" w:hAnsi="Verdana" w:cs="Arial"/>
          <w:color w:val="000000" w:themeColor="text1"/>
          <w:lang w:val="es-ES_tradnl"/>
        </w:rPr>
        <w:t xml:space="preserve">La diferencia entre el contrato de prestación de servicios </w:t>
      </w:r>
      <w:r w:rsidRPr="004D163B">
        <w:rPr>
          <w:rFonts w:ascii="Verdana" w:hAnsi="Verdana" w:cs="Arial"/>
          <w:i/>
          <w:color w:val="000000" w:themeColor="text1"/>
          <w:lang w:val="es-ES_tradnl"/>
        </w:rPr>
        <w:t>profesionales</w:t>
      </w:r>
      <w:r w:rsidRPr="004D163B">
        <w:rPr>
          <w:rFonts w:ascii="Verdana" w:hAnsi="Verdana" w:cs="Arial"/>
          <w:color w:val="000000" w:themeColor="text1"/>
          <w:lang w:val="es-ES_tradnl"/>
        </w:rPr>
        <w:t xml:space="preserve"> con las otras dos especies del género en el cual se ubican radica </w:t>
      </w:r>
      <w:r w:rsidRPr="004D163B">
        <w:rPr>
          <w:rFonts w:ascii="Verdana" w:hAnsi="Verdana" w:cs="Arial"/>
          <w:color w:val="000000" w:themeColor="text1"/>
          <w:lang w:val="es-ES_tradnl"/>
        </w:rPr>
        <w:lastRenderedPageBreak/>
        <w:t>en su contenido intelectual intangible y, al mismo tiempo, en la formación profesional que se exige para desempeñar la labor. Así lo consideró el Consejo de Estado en Sentencia de Unificación jurisprudencial del 2 de diciembre de 2013, al explicar que:</w:t>
      </w:r>
    </w:p>
    <w:p w14:paraId="3241A6A3" w14:textId="77777777" w:rsidR="000D62F3" w:rsidRPr="00B93D8C" w:rsidRDefault="000D62F3" w:rsidP="000D62F3">
      <w:pPr>
        <w:spacing w:line="240" w:lineRule="auto"/>
        <w:ind w:left="709" w:right="709"/>
        <w:jc w:val="both"/>
        <w:rPr>
          <w:rFonts w:ascii="Verdana" w:hAnsi="Verdana" w:cs="Arial"/>
          <w:color w:val="000000" w:themeColor="text1"/>
          <w:sz w:val="20"/>
          <w:szCs w:val="20"/>
          <w:lang w:val="es-ES_tradnl"/>
        </w:rPr>
      </w:pPr>
      <w:r w:rsidRPr="00B93D8C">
        <w:rPr>
          <w:rFonts w:ascii="Verdana" w:hAnsi="Verdana" w:cs="Arial"/>
          <w:color w:val="000000" w:themeColor="text1"/>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B93D8C">
        <w:rPr>
          <w:rStyle w:val="Refdenotaalpie"/>
          <w:rFonts w:ascii="Verdana" w:hAnsi="Verdana" w:cs="Arial"/>
          <w:color w:val="000000" w:themeColor="text1"/>
          <w:sz w:val="20"/>
          <w:szCs w:val="20"/>
          <w:lang w:val="es-ES_tradnl"/>
        </w:rPr>
        <w:footnoteReference w:id="12"/>
      </w:r>
      <w:r w:rsidRPr="00B93D8C">
        <w:rPr>
          <w:rFonts w:ascii="Verdana" w:hAnsi="Verdana" w:cs="Arial"/>
          <w:color w:val="000000" w:themeColor="text1"/>
          <w:sz w:val="20"/>
          <w:szCs w:val="20"/>
          <w:lang w:val="es-ES_tradnl"/>
        </w:rPr>
        <w:t>.</w:t>
      </w:r>
    </w:p>
    <w:p w14:paraId="1BA29A27" w14:textId="77777777" w:rsidR="000D62F3" w:rsidRPr="004D163B" w:rsidRDefault="000D62F3" w:rsidP="000D62F3">
      <w:pPr>
        <w:spacing w:line="276" w:lineRule="auto"/>
        <w:ind w:firstLine="709"/>
        <w:jc w:val="both"/>
        <w:rPr>
          <w:rFonts w:ascii="Verdana" w:hAnsi="Verdana" w:cs="Arial"/>
          <w:color w:val="000000" w:themeColor="text1"/>
          <w:lang w:val="es-ES_tradnl"/>
        </w:rPr>
      </w:pPr>
      <w:r w:rsidRPr="004D163B">
        <w:rPr>
          <w:rFonts w:ascii="Verdana" w:hAnsi="Verdana" w:cs="Arial"/>
          <w:color w:val="000000" w:themeColor="text1"/>
          <w:lang w:val="es-ES_tradnl"/>
        </w:rPr>
        <w:t xml:space="preserve">Lo expuesto, según la jurisprudencia citada, se diferencia del objeto del </w:t>
      </w:r>
      <w:r w:rsidRPr="004D163B">
        <w:rPr>
          <w:rFonts w:ascii="Verdana" w:hAnsi="Verdana" w:cs="Arial"/>
          <w:i/>
          <w:iCs/>
          <w:color w:val="000000" w:themeColor="text1"/>
          <w:lang w:val="es-ES_tradnl"/>
        </w:rPr>
        <w:t>contrato de prestación de servicios de apoyo a la gestión</w:t>
      </w:r>
      <w:r w:rsidRPr="004D163B">
        <w:rPr>
          <w:rFonts w:ascii="Verdana" w:hAnsi="Verdana" w:cs="Arial"/>
          <w:color w:val="000000" w:themeColor="text1"/>
          <w:lang w:val="es-ES_tradnl"/>
        </w:rPr>
        <w:t>, en los siguientes aspectos:</w:t>
      </w:r>
    </w:p>
    <w:p w14:paraId="480082F7" w14:textId="77777777" w:rsidR="000D62F3" w:rsidRPr="00B93D8C" w:rsidRDefault="000D62F3" w:rsidP="000D62F3">
      <w:pPr>
        <w:spacing w:after="120" w:line="240" w:lineRule="auto"/>
        <w:ind w:left="709" w:right="709"/>
        <w:jc w:val="both"/>
        <w:rPr>
          <w:rFonts w:ascii="Verdana" w:hAnsi="Verdana" w:cs="Arial"/>
          <w:color w:val="000000" w:themeColor="text1"/>
          <w:sz w:val="20"/>
          <w:szCs w:val="20"/>
          <w:lang w:val="es-ES_tradnl"/>
        </w:rPr>
      </w:pPr>
      <w:r w:rsidRPr="00B93D8C">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56AD0B6E" w14:textId="77777777" w:rsidR="000D62F3" w:rsidRPr="00B93D8C" w:rsidRDefault="000D62F3" w:rsidP="000D62F3">
      <w:pPr>
        <w:spacing w:after="120" w:line="240" w:lineRule="auto"/>
        <w:ind w:left="709" w:right="709"/>
        <w:jc w:val="both"/>
        <w:rPr>
          <w:rFonts w:ascii="Verdana" w:hAnsi="Verdana" w:cs="Arial"/>
          <w:color w:val="000000" w:themeColor="text1"/>
          <w:sz w:val="20"/>
          <w:szCs w:val="20"/>
          <w:lang w:val="es-ES"/>
        </w:rPr>
      </w:pPr>
      <w:r w:rsidRPr="00B93D8C">
        <w:rPr>
          <w:rFonts w:ascii="Verdana" w:hAnsi="Verdana" w:cs="Arial"/>
          <w:color w:val="000000" w:themeColor="text1"/>
          <w:sz w:val="20"/>
          <w:szCs w:val="20"/>
          <w:lang w:val="es-ES"/>
        </w:rPr>
        <w:t xml:space="preserve">Aunque también se caracteriza por el desempeño de actividad intelectiva, ésta </w:t>
      </w:r>
      <w:proofErr w:type="gramStart"/>
      <w:r w:rsidRPr="00B93D8C">
        <w:rPr>
          <w:rFonts w:ascii="Verdana" w:hAnsi="Verdana" w:cs="Arial"/>
          <w:color w:val="000000" w:themeColor="text1"/>
          <w:sz w:val="20"/>
          <w:szCs w:val="20"/>
          <w:lang w:val="es-ES"/>
        </w:rPr>
        <w:t>se enmarca dentro de</w:t>
      </w:r>
      <w:proofErr w:type="gramEnd"/>
      <w:r w:rsidRPr="00B93D8C">
        <w:rPr>
          <w:rFonts w:ascii="Verdana" w:hAnsi="Verdana" w:cs="Arial"/>
          <w:color w:val="000000" w:themeColor="text1"/>
          <w:sz w:val="20"/>
          <w:szCs w:val="20"/>
          <w:lang w:val="es-ES"/>
        </w:rPr>
        <w:t xml:space="preserve"> un saber propiamente técnico; igualmente involucra actividades en donde prima el esfuerzo físico o mecánico, en donde no se requiere de personal profesional.</w:t>
      </w:r>
    </w:p>
    <w:p w14:paraId="479C62A9" w14:textId="77777777" w:rsidR="000D62F3" w:rsidRPr="00B93D8C" w:rsidRDefault="000D62F3" w:rsidP="000D62F3">
      <w:pPr>
        <w:spacing w:line="240" w:lineRule="auto"/>
        <w:ind w:left="709" w:right="709"/>
        <w:jc w:val="both"/>
        <w:rPr>
          <w:rFonts w:ascii="Verdana" w:hAnsi="Verdana" w:cs="Arial"/>
          <w:color w:val="000000" w:themeColor="text1"/>
          <w:sz w:val="20"/>
          <w:szCs w:val="20"/>
          <w:lang w:val="es-ES_tradnl"/>
        </w:rPr>
      </w:pPr>
      <w:r w:rsidRPr="00B93D8C">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B93D8C">
        <w:rPr>
          <w:rStyle w:val="Refdenotaalpie"/>
          <w:rFonts w:ascii="Verdana" w:hAnsi="Verdana" w:cs="Arial"/>
          <w:color w:val="000000" w:themeColor="text1"/>
          <w:sz w:val="20"/>
          <w:szCs w:val="20"/>
          <w:lang w:val="es-ES_tradnl"/>
        </w:rPr>
        <w:footnoteReference w:id="13"/>
      </w:r>
      <w:r w:rsidRPr="00B93D8C">
        <w:rPr>
          <w:rFonts w:ascii="Verdana" w:hAnsi="Verdana" w:cs="Arial"/>
          <w:color w:val="000000" w:themeColor="text1"/>
          <w:sz w:val="20"/>
          <w:szCs w:val="20"/>
          <w:lang w:val="es-ES_tradnl"/>
        </w:rPr>
        <w:t>.</w:t>
      </w:r>
    </w:p>
    <w:p w14:paraId="5581D638" w14:textId="77777777" w:rsidR="000D62F3" w:rsidRDefault="000D62F3" w:rsidP="000D62F3">
      <w:pPr>
        <w:spacing w:line="276" w:lineRule="auto"/>
        <w:ind w:firstLine="709"/>
        <w:jc w:val="both"/>
        <w:rPr>
          <w:rFonts w:ascii="Verdana" w:hAnsi="Verdana" w:cs="Arial"/>
          <w:color w:val="000000" w:themeColor="text1"/>
          <w:lang w:val="es-ES_tradnl"/>
        </w:rPr>
      </w:pPr>
      <w:r w:rsidRPr="004D163B">
        <w:rPr>
          <w:rFonts w:ascii="Verdana" w:hAnsi="Verdana" w:cs="Arial"/>
          <w:color w:val="000000" w:themeColor="text1"/>
          <w:lang w:val="es-ES_tradnl"/>
        </w:rPr>
        <w:t xml:space="preserve">En relación con el </w:t>
      </w:r>
      <w:r w:rsidRPr="004D163B">
        <w:rPr>
          <w:rFonts w:ascii="Verdana" w:hAnsi="Verdana" w:cs="Arial"/>
          <w:i/>
          <w:iCs/>
          <w:color w:val="000000" w:themeColor="text1"/>
          <w:lang w:val="es-ES_tradnl"/>
        </w:rPr>
        <w:t>contrato de prestación de servicios artísticos que solo pueden encomendarse a determinadas personas naturales</w:t>
      </w:r>
      <w:r w:rsidRPr="004D163B">
        <w:rPr>
          <w:rFonts w:ascii="Verdana" w:hAnsi="Verdana" w:cs="Arial"/>
          <w:color w:val="000000" w:themeColor="text1"/>
          <w:lang w:val="es-ES_tradnl"/>
        </w:rPr>
        <w:t>, señala la mencionada decisión judicial lo siguiente:</w:t>
      </w:r>
    </w:p>
    <w:p w14:paraId="25D5C7AC" w14:textId="77777777" w:rsidR="00EB283C" w:rsidRPr="004D163B" w:rsidRDefault="00EB283C" w:rsidP="000D62F3">
      <w:pPr>
        <w:spacing w:line="276" w:lineRule="auto"/>
        <w:ind w:firstLine="709"/>
        <w:jc w:val="both"/>
        <w:rPr>
          <w:rFonts w:ascii="Verdana" w:hAnsi="Verdana" w:cs="Arial"/>
          <w:color w:val="000000" w:themeColor="text1"/>
          <w:lang w:val="es-ES_tradnl"/>
        </w:rPr>
      </w:pPr>
    </w:p>
    <w:p w14:paraId="7104009A" w14:textId="5B80A3AC" w:rsidR="000D62F3" w:rsidRDefault="000D62F3" w:rsidP="00EB283C">
      <w:pPr>
        <w:spacing w:after="0" w:line="240" w:lineRule="auto"/>
        <w:ind w:left="709" w:right="709"/>
        <w:jc w:val="both"/>
        <w:rPr>
          <w:rFonts w:ascii="Verdana" w:hAnsi="Verdana" w:cs="Arial"/>
          <w:color w:val="000000" w:themeColor="text1"/>
          <w:sz w:val="20"/>
          <w:szCs w:val="20"/>
          <w:lang w:val="es-ES_tradnl"/>
        </w:rPr>
      </w:pPr>
      <w:r w:rsidRPr="00094E51">
        <w:rPr>
          <w:rFonts w:ascii="Verdana" w:hAnsi="Verdana" w:cs="Arial"/>
          <w:color w:val="000000" w:themeColor="text1"/>
          <w:sz w:val="20"/>
          <w:szCs w:val="20"/>
          <w:lang w:val="es-ES_tradnl"/>
        </w:rPr>
        <w:lastRenderedPageBreak/>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094E51">
        <w:rPr>
          <w:rStyle w:val="Refdenotaalpie"/>
          <w:rFonts w:ascii="Verdana" w:hAnsi="Verdana" w:cs="Arial"/>
          <w:color w:val="000000" w:themeColor="text1"/>
          <w:sz w:val="20"/>
          <w:szCs w:val="20"/>
          <w:lang w:val="es-ES_tradnl"/>
        </w:rPr>
        <w:footnoteReference w:id="14"/>
      </w:r>
      <w:r w:rsidRPr="00094E51">
        <w:rPr>
          <w:rFonts w:ascii="Verdana" w:hAnsi="Verdana" w:cs="Arial"/>
          <w:color w:val="000000" w:themeColor="text1"/>
          <w:sz w:val="20"/>
          <w:szCs w:val="20"/>
          <w:lang w:val="es-ES_tradnl"/>
        </w:rPr>
        <w:t>.</w:t>
      </w:r>
    </w:p>
    <w:p w14:paraId="429B3CF5" w14:textId="77777777" w:rsidR="00EB283C" w:rsidRDefault="00EB283C" w:rsidP="000D62F3">
      <w:pPr>
        <w:spacing w:line="276" w:lineRule="auto"/>
        <w:ind w:firstLine="709"/>
        <w:jc w:val="both"/>
        <w:rPr>
          <w:rFonts w:ascii="Verdana" w:hAnsi="Verdana" w:cs="Arial"/>
          <w:color w:val="000000" w:themeColor="text1"/>
          <w:lang w:val="es-ES_tradnl"/>
        </w:rPr>
      </w:pPr>
    </w:p>
    <w:p w14:paraId="7F6FA866" w14:textId="79801B10" w:rsidR="000D62F3" w:rsidRPr="004D163B" w:rsidRDefault="000D62F3" w:rsidP="000D62F3">
      <w:pPr>
        <w:spacing w:line="276" w:lineRule="auto"/>
        <w:ind w:firstLine="709"/>
        <w:jc w:val="both"/>
        <w:rPr>
          <w:rFonts w:ascii="Verdana" w:hAnsi="Verdana" w:cs="Arial"/>
          <w:color w:val="000000" w:themeColor="text1"/>
          <w:lang w:val="es-ES_tradnl"/>
        </w:rPr>
      </w:pPr>
      <w:r w:rsidRPr="004D163B">
        <w:rPr>
          <w:rFonts w:ascii="Verdana" w:hAnsi="Verdana" w:cs="Arial"/>
          <w:color w:val="000000" w:themeColor="text1"/>
          <w:lang w:val="es-ES_tradnl"/>
        </w:rPr>
        <w:t xml:space="preserve">En este sentido, el contrato de prestación de servicios </w:t>
      </w:r>
      <w:r w:rsidRPr="004D163B">
        <w:rPr>
          <w:rFonts w:ascii="Verdana" w:hAnsi="Verdana" w:cs="Arial"/>
          <w:i/>
          <w:iCs/>
          <w:color w:val="000000" w:themeColor="text1"/>
          <w:lang w:val="es-ES_tradnl"/>
        </w:rPr>
        <w:t>profesionales</w:t>
      </w:r>
      <w:r w:rsidRPr="004D163B">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4D163B">
        <w:rPr>
          <w:rFonts w:ascii="Verdana" w:hAnsi="Verdana" w:cs="Arial"/>
          <w:i/>
          <w:iCs/>
          <w:color w:val="000000" w:themeColor="text1"/>
          <w:lang w:val="es-ES_tradnl"/>
        </w:rPr>
        <w:t>saber intelectivo cualificado.</w:t>
      </w:r>
      <w:r w:rsidRPr="004D163B">
        <w:rPr>
          <w:rFonts w:ascii="Verdana" w:hAnsi="Verdana" w:cs="Arial"/>
          <w:color w:val="000000" w:themeColor="text1"/>
          <w:lang w:val="es-ES_tradnl"/>
        </w:rPr>
        <w:t xml:space="preserve"> En cambio, los contratos de prestación de servicios de </w:t>
      </w:r>
      <w:r w:rsidRPr="004D163B">
        <w:rPr>
          <w:rFonts w:ascii="Verdana" w:hAnsi="Verdana" w:cs="Arial"/>
          <w:i/>
          <w:iCs/>
          <w:color w:val="000000" w:themeColor="text1"/>
          <w:lang w:val="es-ES_tradnl"/>
        </w:rPr>
        <w:t>apoyo a la gestión</w:t>
      </w:r>
      <w:r w:rsidRPr="004D163B">
        <w:rPr>
          <w:rFonts w:ascii="Verdana" w:hAnsi="Verdana" w:cs="Arial"/>
          <w:color w:val="000000" w:themeColor="text1"/>
          <w:lang w:val="es-ES_tradnl"/>
        </w:rPr>
        <w:t xml:space="preserve"> y de </w:t>
      </w:r>
      <w:r w:rsidRPr="004D163B">
        <w:rPr>
          <w:rFonts w:ascii="Verdana" w:hAnsi="Verdana" w:cs="Arial"/>
          <w:i/>
          <w:iCs/>
          <w:color w:val="000000" w:themeColor="text1"/>
          <w:lang w:val="es-ES_tradnl"/>
        </w:rPr>
        <w:t>servicios artísticos</w:t>
      </w:r>
      <w:r w:rsidRPr="004D163B">
        <w:rPr>
          <w:rFonts w:ascii="Verdana" w:hAnsi="Verdana" w:cs="Arial"/>
          <w:color w:val="000000" w:themeColor="text1"/>
          <w:lang w:val="es-ES_tradnl"/>
        </w:rPr>
        <w:t xml:space="preserve"> no involucran ese conocimiento profesional </w:t>
      </w:r>
      <w:r w:rsidRPr="004D163B">
        <w:rPr>
          <w:rFonts w:ascii="Verdana" w:hAnsi="Verdana" w:cs="Arial"/>
          <w:color w:val="000000" w:themeColor="text1"/>
        </w:rPr>
        <w:t xml:space="preserve">o especializados para su ejecución. En los de apoyo a la gestión </w:t>
      </w:r>
      <w:r w:rsidRPr="004D163B">
        <w:rPr>
          <w:rFonts w:ascii="Verdana" w:hAnsi="Verdana" w:cs="Arial"/>
          <w:color w:val="000000" w:themeColor="text1"/>
          <w:lang w:val="es-ES_tradnl"/>
        </w:rPr>
        <w:t xml:space="preserve">el contratista desempeña un esfuerzo o actividad de apoyo, acompañamiento, o soporte, </w:t>
      </w:r>
      <w:r w:rsidRPr="004D163B">
        <w:rPr>
          <w:rFonts w:ascii="Verdana" w:hAnsi="Verdana" w:cs="Arial"/>
          <w:color w:val="000000" w:themeColor="text1"/>
        </w:rPr>
        <w:t xml:space="preserve">en donde </w:t>
      </w:r>
      <w:r w:rsidRPr="004D163B">
        <w:rPr>
          <w:rFonts w:ascii="Verdana" w:hAnsi="Verdana" w:cs="Arial"/>
          <w:color w:val="000000" w:themeColor="text1"/>
          <w:lang w:val="es-ES_tradnl"/>
        </w:rPr>
        <w:t xml:space="preserve">“lo predominante es el actuar como ejecutor, con el propósito y finalidad de satisfacer necesidades de las entidades estatales en lo relacionado con la gestión administrativa o funcionamiento de </w:t>
      </w:r>
      <w:proofErr w:type="gramStart"/>
      <w:r w:rsidRPr="004D163B">
        <w:rPr>
          <w:rFonts w:ascii="Verdana" w:hAnsi="Verdana" w:cs="Arial"/>
          <w:color w:val="000000" w:themeColor="text1"/>
          <w:lang w:val="es-ES_tradnl"/>
        </w:rPr>
        <w:t>la misma</w:t>
      </w:r>
      <w:proofErr w:type="gramEnd"/>
      <w:r w:rsidRPr="004D163B">
        <w:rPr>
          <w:rFonts w:ascii="Verdana" w:hAnsi="Verdana" w:cs="Arial"/>
          <w:color w:val="000000" w:themeColor="text1"/>
          <w:lang w:val="es-ES_tradnl"/>
        </w:rPr>
        <w:t>, por personas no profesionales y que no implican el ejercicio de funciones públicas administrativas”. Igualmente, en el contrato de prestación de servicios artísticos lo prevalente es que la persona que lo ejecute se trate de un artista, es decir, “una persona reconocida como realizador o productor de arte, de obras de arte, ejecutor de trabajos artísticos”, en donde es indiferente el carácter de profesional.</w:t>
      </w:r>
    </w:p>
    <w:p w14:paraId="799C3C59" w14:textId="77777777" w:rsidR="000D62F3" w:rsidRPr="006C2113" w:rsidRDefault="000D62F3" w:rsidP="000D62F3">
      <w:pPr>
        <w:pStyle w:val="Textoindependiente"/>
        <w:spacing w:after="0" w:line="276" w:lineRule="auto"/>
        <w:ind w:right="104" w:firstLine="668"/>
        <w:jc w:val="both"/>
        <w:rPr>
          <w:rFonts w:ascii="Verdana" w:eastAsia="Calibri" w:hAnsi="Verdana" w:cs="Arial"/>
          <w:color w:val="000000" w:themeColor="text1"/>
        </w:rPr>
      </w:pPr>
      <w:r w:rsidRPr="006C2113">
        <w:rPr>
          <w:rFonts w:ascii="Verdana" w:eastAsia="Calibri" w:hAnsi="Verdana" w:cs="Arial"/>
          <w:color w:val="000000" w:themeColor="text1"/>
        </w:rPr>
        <w:t xml:space="preserve">Sobre la ejecución de trabajos artísticos que sólo pueden encomendarse a determinadas personas naturales, conviene citar </w:t>
      </w:r>
      <w:proofErr w:type="gramStart"/>
      <w:r w:rsidRPr="006C2113">
        <w:rPr>
          <w:rFonts w:ascii="Verdana" w:eastAsia="Calibri" w:hAnsi="Verdana" w:cs="Arial"/>
          <w:i/>
          <w:iCs/>
          <w:color w:val="000000" w:themeColor="text1"/>
        </w:rPr>
        <w:t>in extenso</w:t>
      </w:r>
      <w:proofErr w:type="gramEnd"/>
      <w:r w:rsidRPr="006C2113">
        <w:rPr>
          <w:rFonts w:ascii="Verdana" w:eastAsia="Calibri" w:hAnsi="Verdana" w:cs="Arial"/>
          <w:color w:val="000000" w:themeColor="text1"/>
        </w:rPr>
        <w:t xml:space="preserve"> lo expuesto por la Sección Tercera de la Sala de lo Contencioso Administrativo del Consejo de Estado, en Sentencia del 2 de diciembre de 2013, expediente 41.719. Al respecto señaló que:</w:t>
      </w:r>
    </w:p>
    <w:p w14:paraId="02FBD94D" w14:textId="77777777" w:rsidR="00EB283C" w:rsidRPr="006C2113" w:rsidRDefault="00EB283C" w:rsidP="000D62F3">
      <w:pPr>
        <w:widowControl w:val="0"/>
        <w:autoSpaceDE w:val="0"/>
        <w:autoSpaceDN w:val="0"/>
        <w:spacing w:after="0" w:line="240" w:lineRule="auto"/>
        <w:ind w:left="709" w:right="709"/>
        <w:jc w:val="both"/>
        <w:rPr>
          <w:rFonts w:ascii="Verdana" w:hAnsi="Verdana" w:cs="Arial"/>
          <w:color w:val="000000" w:themeColor="text1"/>
          <w:lang w:val="es-ES_tradnl"/>
        </w:rPr>
      </w:pPr>
    </w:p>
    <w:p w14:paraId="750EAC45" w14:textId="77777777" w:rsidR="000D62F3" w:rsidRPr="006C2113" w:rsidRDefault="000D62F3" w:rsidP="000D62F3">
      <w:pPr>
        <w:widowControl w:val="0"/>
        <w:autoSpaceDE w:val="0"/>
        <w:autoSpaceDN w:val="0"/>
        <w:spacing w:line="240" w:lineRule="auto"/>
        <w:ind w:left="709" w:right="709"/>
        <w:jc w:val="both"/>
        <w:rPr>
          <w:rFonts w:ascii="Verdana" w:hAnsi="Verdana" w:cs="Arial"/>
          <w:color w:val="000000" w:themeColor="text1"/>
          <w:sz w:val="20"/>
          <w:szCs w:val="20"/>
          <w:lang w:val="es-ES_tradnl"/>
        </w:rPr>
      </w:pPr>
      <w:r w:rsidRPr="006C2113">
        <w:rPr>
          <w:rFonts w:ascii="Verdana" w:hAnsi="Verdana" w:cs="Arial"/>
          <w:color w:val="000000" w:themeColor="text1"/>
          <w:sz w:val="20"/>
          <w:szCs w:val="20"/>
          <w:lang w:val="es-ES_tradnl"/>
        </w:rPr>
        <w:t xml:space="preserve">“El segundo de los elementos normativos que el legislador ha considerado determinante para la configuración de la causal de contratación directa que ocupa la atención de la Sala, es el que se refiere a otra especie de contratos, que en esencia son de prestación de servicios, pero de un </w:t>
      </w:r>
      <w:r w:rsidRPr="006C2113">
        <w:rPr>
          <w:rFonts w:ascii="Verdana" w:hAnsi="Verdana" w:cs="Arial"/>
          <w:color w:val="000000" w:themeColor="text1"/>
          <w:sz w:val="20"/>
          <w:szCs w:val="20"/>
          <w:lang w:val="es-ES_tradnl"/>
        </w:rPr>
        <w:lastRenderedPageBreak/>
        <w:t xml:space="preserve">contenido prestacional diferente porque corresponden a una modalidad tipificada de negocios cuyo objeto es de por sí especialísimo ya que tienen por objeto la generación de </w:t>
      </w:r>
      <w:r w:rsidRPr="006C2113">
        <w:rPr>
          <w:rFonts w:ascii="Verdana" w:hAnsi="Verdana" w:cs="Arial"/>
          <w:i/>
          <w:color w:val="000000" w:themeColor="text1"/>
          <w:sz w:val="20"/>
          <w:szCs w:val="20"/>
          <w:lang w:val="es-ES_tradnl"/>
        </w:rPr>
        <w:t>patrimonio artístico</w:t>
      </w:r>
      <w:r w:rsidRPr="006C2113">
        <w:rPr>
          <w:rFonts w:ascii="Verdana" w:hAnsi="Verdana" w:cs="Arial"/>
          <w:color w:val="000000" w:themeColor="text1"/>
          <w:sz w:val="20"/>
          <w:szCs w:val="20"/>
          <w:lang w:val="es-ES_tradnl"/>
        </w:rPr>
        <w:t xml:space="preserve"> para la entidad estatal o bien beneficiarla de manifestaciones artísticas, para cuyo efecto se encarga a personas que por sus características, dotes, capacidades o aptitudes resultan ser únicas o especiales en el arte que manejan y que en virtud de esta circunstancia se individualizan en el medio nacional o internacional, mediante el reconocimiento como verdaderos y únicos en las técnicas o el arte que desarrollan.</w:t>
      </w:r>
    </w:p>
    <w:p w14:paraId="4EF3D943" w14:textId="77777777" w:rsidR="000D62F3" w:rsidRPr="006C2113" w:rsidRDefault="000D62F3" w:rsidP="000D62F3">
      <w:pPr>
        <w:widowControl w:val="0"/>
        <w:autoSpaceDE w:val="0"/>
        <w:autoSpaceDN w:val="0"/>
        <w:spacing w:before="93" w:after="120" w:line="240" w:lineRule="auto"/>
        <w:ind w:left="709" w:right="709"/>
        <w:jc w:val="both"/>
        <w:rPr>
          <w:rFonts w:ascii="Verdana" w:hAnsi="Verdana" w:cs="Arial"/>
          <w:color w:val="000000" w:themeColor="text1"/>
          <w:sz w:val="20"/>
          <w:szCs w:val="20"/>
          <w:lang w:val="es-ES"/>
        </w:rPr>
      </w:pPr>
      <w:r w:rsidRPr="5E1248B4">
        <w:rPr>
          <w:rFonts w:ascii="Verdana" w:hAnsi="Verdana" w:cs="Arial"/>
          <w:color w:val="000000" w:themeColor="text1"/>
          <w:sz w:val="20"/>
          <w:szCs w:val="20"/>
          <w:lang w:val="es-ES"/>
        </w:rPr>
        <w:t xml:space="preserve">En consecuencia, el contrato, para que sea objeto del trámite de la contratación directa, debe estar determinado por las siguientes variables </w:t>
      </w:r>
      <w:r w:rsidRPr="5E1248B4">
        <w:rPr>
          <w:rFonts w:ascii="Verdana" w:hAnsi="Verdana" w:cs="Arial"/>
          <w:i/>
          <w:iCs/>
          <w:color w:val="000000" w:themeColor="text1"/>
          <w:sz w:val="20"/>
          <w:szCs w:val="20"/>
          <w:lang w:val="es-ES"/>
        </w:rPr>
        <w:t>(i)</w:t>
      </w:r>
      <w:r w:rsidRPr="5E1248B4">
        <w:rPr>
          <w:rFonts w:ascii="Verdana" w:hAnsi="Verdana" w:cs="Arial"/>
          <w:color w:val="000000" w:themeColor="text1"/>
          <w:sz w:val="20"/>
          <w:szCs w:val="20"/>
          <w:lang w:val="es-ES"/>
        </w:rPr>
        <w:t xml:space="preserve"> que tengan por objeto la ejecución de </w:t>
      </w:r>
      <w:r w:rsidRPr="5E1248B4">
        <w:rPr>
          <w:rFonts w:ascii="Verdana" w:hAnsi="Verdana" w:cs="Arial"/>
          <w:i/>
          <w:iCs/>
          <w:color w:val="000000" w:themeColor="text1"/>
          <w:sz w:val="20"/>
          <w:szCs w:val="20"/>
          <w:lang w:val="es-ES"/>
        </w:rPr>
        <w:t>trabajos artísticos</w:t>
      </w:r>
      <w:r w:rsidRPr="5E1248B4">
        <w:rPr>
          <w:rFonts w:ascii="Verdana" w:hAnsi="Verdana" w:cs="Arial"/>
          <w:color w:val="000000" w:themeColor="text1"/>
          <w:sz w:val="20"/>
          <w:szCs w:val="20"/>
          <w:lang w:val="es-ES"/>
        </w:rPr>
        <w:t xml:space="preserve">, </w:t>
      </w:r>
      <w:r w:rsidRPr="5E1248B4">
        <w:rPr>
          <w:rFonts w:ascii="Verdana" w:hAnsi="Verdana" w:cs="Arial"/>
          <w:i/>
          <w:iCs/>
          <w:color w:val="000000" w:themeColor="text1"/>
          <w:sz w:val="20"/>
          <w:szCs w:val="20"/>
          <w:lang w:val="es-ES"/>
        </w:rPr>
        <w:t>(</w:t>
      </w:r>
      <w:proofErr w:type="spellStart"/>
      <w:r w:rsidRPr="5E1248B4">
        <w:rPr>
          <w:rFonts w:ascii="Verdana" w:hAnsi="Verdana" w:cs="Arial"/>
          <w:i/>
          <w:iCs/>
          <w:color w:val="000000" w:themeColor="text1"/>
          <w:sz w:val="20"/>
          <w:szCs w:val="20"/>
          <w:lang w:val="es-ES"/>
        </w:rPr>
        <w:t>ii</w:t>
      </w:r>
      <w:proofErr w:type="spellEnd"/>
      <w:r w:rsidRPr="5E1248B4">
        <w:rPr>
          <w:rFonts w:ascii="Verdana" w:hAnsi="Verdana" w:cs="Arial"/>
          <w:i/>
          <w:iCs/>
          <w:color w:val="000000" w:themeColor="text1"/>
          <w:sz w:val="20"/>
          <w:szCs w:val="20"/>
          <w:lang w:val="es-ES"/>
        </w:rPr>
        <w:t>)</w:t>
      </w:r>
      <w:r w:rsidRPr="5E1248B4">
        <w:rPr>
          <w:rFonts w:ascii="Verdana" w:hAnsi="Verdana" w:cs="Arial"/>
          <w:color w:val="000000" w:themeColor="text1"/>
          <w:sz w:val="20"/>
          <w:szCs w:val="20"/>
          <w:lang w:val="es-ES"/>
        </w:rPr>
        <w:t xml:space="preserve"> que el mismo o los mismos sólo puedan encomendarse a determinadas personas naturales.</w:t>
      </w:r>
    </w:p>
    <w:p w14:paraId="7BE2C577" w14:textId="77777777" w:rsidR="000D62F3" w:rsidRPr="006C2113" w:rsidRDefault="000D62F3" w:rsidP="000D62F3">
      <w:pPr>
        <w:widowControl w:val="0"/>
        <w:autoSpaceDE w:val="0"/>
        <w:autoSpaceDN w:val="0"/>
        <w:spacing w:after="120" w:line="240" w:lineRule="auto"/>
        <w:ind w:left="709" w:right="709"/>
        <w:jc w:val="both"/>
        <w:rPr>
          <w:rFonts w:ascii="Verdana" w:hAnsi="Verdana" w:cs="Arial"/>
          <w:color w:val="000000" w:themeColor="text1"/>
          <w:sz w:val="20"/>
          <w:szCs w:val="20"/>
          <w:lang w:val="es-ES"/>
        </w:rPr>
      </w:pPr>
      <w:r w:rsidRPr="5E1248B4">
        <w:rPr>
          <w:rFonts w:ascii="Verdana" w:hAnsi="Verdana" w:cs="Arial"/>
          <w:color w:val="000000" w:themeColor="text1"/>
          <w:sz w:val="20"/>
          <w:szCs w:val="20"/>
          <w:lang w:val="es-ES"/>
        </w:rPr>
        <w:t xml:space="preserve">En cuanto a la primera de las variables se refiere, se puede afirmar que el concepto que comprende el objeto de </w:t>
      </w:r>
      <w:proofErr w:type="gramStart"/>
      <w:r w:rsidRPr="5E1248B4">
        <w:rPr>
          <w:rFonts w:ascii="Verdana" w:hAnsi="Verdana" w:cs="Arial"/>
          <w:color w:val="000000" w:themeColor="text1"/>
          <w:sz w:val="20"/>
          <w:szCs w:val="20"/>
          <w:lang w:val="es-ES"/>
        </w:rPr>
        <w:t>esta  modalidad</w:t>
      </w:r>
      <w:proofErr w:type="gramEnd"/>
      <w:r w:rsidRPr="5E1248B4">
        <w:rPr>
          <w:rFonts w:ascii="Verdana" w:hAnsi="Verdana" w:cs="Arial"/>
          <w:color w:val="000000" w:themeColor="text1"/>
          <w:sz w:val="20"/>
          <w:szCs w:val="20"/>
          <w:lang w:val="es-ES"/>
        </w:rPr>
        <w:t xml:space="preserve">  </w:t>
      </w:r>
      <w:proofErr w:type="gramStart"/>
      <w:r w:rsidRPr="5E1248B4">
        <w:rPr>
          <w:rFonts w:ascii="Verdana" w:hAnsi="Verdana" w:cs="Arial"/>
          <w:color w:val="000000" w:themeColor="text1"/>
          <w:sz w:val="20"/>
          <w:szCs w:val="20"/>
          <w:lang w:val="es-ES"/>
        </w:rPr>
        <w:t>contractual  es</w:t>
      </w:r>
      <w:proofErr w:type="gramEnd"/>
      <w:r w:rsidRPr="5E1248B4">
        <w:rPr>
          <w:rFonts w:ascii="Verdana" w:hAnsi="Verdana" w:cs="Arial"/>
          <w:color w:val="000000" w:themeColor="text1"/>
          <w:sz w:val="20"/>
          <w:szCs w:val="20"/>
          <w:lang w:val="es-ES"/>
        </w:rPr>
        <w:t xml:space="preserve">  el    de “trabajo artístico”, pero no en sí mismo, esto es como medio, sino como un resultado real y efectivo. Se contrata y este es el objeto, la realización de una obra artística y no simplemente una ejecución sin resultado. Es el trabajo final, el que pueda ser catalogado como una “obra de arte”, u “obra artística” o pieza de la misma naturaleza, la determinante del objeto para los efectos legales que para la materia a la que se está haciendo referencia, en esto no puede haber confusión de ninguna naturaleza.</w:t>
      </w:r>
    </w:p>
    <w:p w14:paraId="45BE562C" w14:textId="77777777" w:rsidR="000D62F3" w:rsidRPr="006C2113" w:rsidRDefault="000D62F3" w:rsidP="000D62F3">
      <w:pPr>
        <w:widowControl w:val="0"/>
        <w:autoSpaceDE w:val="0"/>
        <w:autoSpaceDN w:val="0"/>
        <w:spacing w:after="120" w:line="240" w:lineRule="auto"/>
        <w:ind w:left="709" w:right="709"/>
        <w:jc w:val="both"/>
        <w:rPr>
          <w:rFonts w:ascii="Verdana" w:hAnsi="Verdana" w:cs="Arial"/>
          <w:color w:val="000000" w:themeColor="text1"/>
          <w:sz w:val="20"/>
          <w:szCs w:val="20"/>
          <w:lang w:val="es-ES"/>
        </w:rPr>
      </w:pPr>
      <w:r w:rsidRPr="006C2113">
        <w:rPr>
          <w:rFonts w:ascii="Verdana" w:hAnsi="Verdana" w:cs="Arial"/>
          <w:color w:val="000000" w:themeColor="text1"/>
          <w:sz w:val="20"/>
          <w:szCs w:val="20"/>
          <w:lang w:val="es-ES_tradnl"/>
        </w:rPr>
        <w:t>Este es el sentido jurídico de la expresión, no otra cosa espera el interés público de un contrato de esta naturaleza, el de enriquecer con la “obra de arte” el patrimonio público a través de la obtención de una verdadera obra de un artista, una creación del hombre en el campo del arte, lo que comprende también actividades propias de las artes escénicas o aquellas culturales, musicales, por citar algunas manifestaciones concretas que satisfacen el referente artístico.</w:t>
      </w:r>
    </w:p>
    <w:p w14:paraId="31FCBE36" w14:textId="77777777" w:rsidR="000D62F3" w:rsidRPr="006C2113" w:rsidRDefault="000D62F3" w:rsidP="000D62F3">
      <w:pPr>
        <w:widowControl w:val="0"/>
        <w:autoSpaceDE w:val="0"/>
        <w:autoSpaceDN w:val="0"/>
        <w:spacing w:line="240" w:lineRule="auto"/>
        <w:ind w:left="709" w:right="709"/>
        <w:jc w:val="both"/>
        <w:rPr>
          <w:rFonts w:ascii="Verdana" w:hAnsi="Verdana" w:cs="Arial"/>
          <w:color w:val="000000" w:themeColor="text1"/>
          <w:sz w:val="20"/>
          <w:szCs w:val="20"/>
          <w:lang w:val="es-ES"/>
        </w:rPr>
      </w:pPr>
      <w:r w:rsidRPr="006C2113">
        <w:rPr>
          <w:rFonts w:ascii="Verdana" w:hAnsi="Verdana" w:cs="Arial"/>
          <w:color w:val="000000" w:themeColor="text1"/>
          <w:sz w:val="20"/>
          <w:szCs w:val="20"/>
          <w:lang w:val="es-ES"/>
        </w:rPr>
        <w:t xml:space="preserve">Es que </w:t>
      </w:r>
      <w:r w:rsidRPr="006C2113">
        <w:rPr>
          <w:rFonts w:ascii="Verdana" w:hAnsi="Verdana" w:cs="Arial"/>
          <w:b/>
          <w:color w:val="000000" w:themeColor="text1"/>
          <w:sz w:val="20"/>
          <w:szCs w:val="20"/>
          <w:lang w:val="es-ES"/>
        </w:rPr>
        <w:t>el “trabajo artístico” a que se refiere la disposición legal, no puede ser otro que el que se entiende como un conjunto de creaciones humanas que expresan una especial visión del mundo, tanto real como imaginaria, independientemente de la forma o el modo como se exprese por el autor o los autores, en un producto final, en un producto definitivamente con valor y contenido artístico</w:t>
      </w:r>
      <w:r w:rsidRPr="006C2113">
        <w:rPr>
          <w:rFonts w:ascii="Verdana" w:hAnsi="Verdana" w:cs="Arial"/>
          <w:color w:val="000000" w:themeColor="text1"/>
          <w:sz w:val="20"/>
          <w:szCs w:val="20"/>
          <w:lang w:val="es-ES"/>
        </w:rPr>
        <w:t>, no en otro sentido puede ser entendida la disposiciones bajo criterios de excepcionalidad y restricción conforme lo ampliamente explicado en esta providencia.</w:t>
      </w:r>
    </w:p>
    <w:p w14:paraId="4819EA7E" w14:textId="77777777" w:rsidR="000D62F3" w:rsidRPr="006C2113" w:rsidRDefault="000D62F3" w:rsidP="000D62F3">
      <w:pPr>
        <w:widowControl w:val="0"/>
        <w:autoSpaceDE w:val="0"/>
        <w:autoSpaceDN w:val="0"/>
        <w:spacing w:line="240" w:lineRule="auto"/>
        <w:ind w:left="851" w:right="900"/>
        <w:jc w:val="both"/>
        <w:rPr>
          <w:rFonts w:ascii="Verdana" w:hAnsi="Verdana" w:cs="Arial"/>
          <w:color w:val="000000" w:themeColor="text1"/>
          <w:sz w:val="20"/>
          <w:szCs w:val="20"/>
          <w:lang w:val="es-ES"/>
        </w:rPr>
      </w:pPr>
      <w:r w:rsidRPr="006C2113">
        <w:rPr>
          <w:rFonts w:ascii="Verdana" w:hAnsi="Verdana" w:cs="Arial"/>
          <w:color w:val="000000" w:themeColor="text1"/>
          <w:sz w:val="20"/>
          <w:szCs w:val="20"/>
          <w:lang w:val="es-ES"/>
        </w:rPr>
        <w:t xml:space="preserve">“… El arte es entendido generalmente como cualquier actividad o producto realizado por el ser humano con una finalidad estética o comunicativa, a través del cual se expresan ideas, emociones o, en general, una visión del mundo, mediante diversos recursos, como los </w:t>
      </w:r>
      <w:r w:rsidRPr="006C2113">
        <w:rPr>
          <w:rFonts w:ascii="Verdana" w:hAnsi="Verdana" w:cs="Arial"/>
          <w:color w:val="000000" w:themeColor="text1"/>
          <w:sz w:val="20"/>
          <w:szCs w:val="20"/>
          <w:lang w:val="es-ES"/>
        </w:rPr>
        <w:lastRenderedPageBreak/>
        <w:t>plásticos, lingüísticos, sonoros, o mixtos…”.</w:t>
      </w:r>
    </w:p>
    <w:p w14:paraId="2545CB8D" w14:textId="77777777" w:rsidR="000D62F3" w:rsidRPr="006C2113" w:rsidRDefault="000D62F3" w:rsidP="000D62F3">
      <w:pPr>
        <w:widowControl w:val="0"/>
        <w:autoSpaceDE w:val="0"/>
        <w:autoSpaceDN w:val="0"/>
        <w:spacing w:line="240" w:lineRule="auto"/>
        <w:ind w:left="709" w:right="709"/>
        <w:jc w:val="both"/>
        <w:rPr>
          <w:rFonts w:ascii="Verdana" w:hAnsi="Verdana" w:cs="Arial"/>
          <w:color w:val="000000" w:themeColor="text1"/>
          <w:sz w:val="20"/>
          <w:szCs w:val="20"/>
          <w:lang w:val="es-ES_tradnl"/>
        </w:rPr>
      </w:pPr>
      <w:r w:rsidRPr="006C2113">
        <w:rPr>
          <w:rFonts w:ascii="Verdana" w:hAnsi="Verdana" w:cs="Arial"/>
          <w:color w:val="000000" w:themeColor="text1"/>
          <w:sz w:val="20"/>
          <w:szCs w:val="20"/>
          <w:lang w:val="es-ES"/>
        </w:rPr>
        <w:t xml:space="preserve">Tratándose  de  la  segunda  de  las  variables,  esto   es,  la   que  indica  que los </w:t>
      </w:r>
      <w:r w:rsidRPr="006C2113">
        <w:rPr>
          <w:rFonts w:ascii="Verdana" w:hAnsi="Verdana" w:cs="Arial"/>
          <w:b/>
          <w:color w:val="000000" w:themeColor="text1"/>
          <w:sz w:val="20"/>
          <w:szCs w:val="20"/>
          <w:lang w:val="es-ES"/>
        </w:rPr>
        <w:t>“trabajos artísticos” (…) “… que sólo puedan encomendarse a determinadas personas naturales…” debe ser entendida en coherencia con lo anterior, en el sentido de que el contratista debe ser sustancialmente un artista, es decir, una persona reconocida como realizador o productor de arte, de obras de arte, ejecutor de trabajos artísticos, un ser humano que dada su sensibilidad en relación con el mundo tiene la aptitud, la capacidad, la disposición natural o adquirida; el talento y estilo o forma original de hacer las cosas; y la genialidad, naturalidad y el carácter que lo hace distinto a otros artistas, esto es, su capacidad de inventiva que lo hace influyente en el medio, un ser único y excepcional, todo esto, para producir obras artísticas</w:t>
      </w:r>
      <w:r w:rsidRPr="006C2113">
        <w:rPr>
          <w:rFonts w:ascii="Verdana" w:hAnsi="Verdana" w:cs="Arial"/>
          <w:color w:val="000000" w:themeColor="text1"/>
          <w:sz w:val="20"/>
          <w:szCs w:val="20"/>
          <w:lang w:val="es-ES"/>
        </w:rPr>
        <w:t>, de aquí la razonabilidad de la expresión utilizada por la disposición en comento según la cual, los trabajos artísticos sólo puedan encomendarse a determinadas personas naturales. En todo caso, destaca la Sala que la motivación para la celebración de este tipo de contratos debe surgir de la ponderada valoración de las necesidades de la Entidad pública, reflejadas, siempre, en los procesos de planeación adelantados con antelación</w:t>
      </w:r>
      <w:r w:rsidRPr="006C2113">
        <w:rPr>
          <w:rFonts w:ascii="Verdana" w:hAnsi="Verdana" w:cs="Arial"/>
          <w:bCs/>
          <w:color w:val="000000" w:themeColor="text1"/>
          <w:sz w:val="20"/>
          <w:szCs w:val="20"/>
          <w:lang w:val="es-ES"/>
        </w:rPr>
        <w:t>»” (Negrilla fuera de texto)</w:t>
      </w:r>
    </w:p>
    <w:p w14:paraId="019EA9A8" w14:textId="77777777" w:rsidR="000D62F3" w:rsidRPr="006C2113" w:rsidRDefault="000D62F3" w:rsidP="000D62F3">
      <w:pPr>
        <w:widowControl w:val="0"/>
        <w:autoSpaceDE w:val="0"/>
        <w:autoSpaceDN w:val="0"/>
        <w:spacing w:before="4" w:after="120" w:line="276" w:lineRule="auto"/>
        <w:ind w:firstLine="709"/>
        <w:jc w:val="both"/>
        <w:rPr>
          <w:rFonts w:ascii="Verdana" w:eastAsia="Calibri" w:hAnsi="Verdana" w:cs="Arial"/>
          <w:color w:val="000000" w:themeColor="text1"/>
        </w:rPr>
      </w:pPr>
      <w:r w:rsidRPr="006C2113">
        <w:rPr>
          <w:rFonts w:ascii="Verdana" w:hAnsi="Verdana" w:cs="Arial"/>
          <w:color w:val="000000" w:themeColor="text1"/>
          <w:lang w:val="es-ES_tradnl"/>
        </w:rPr>
        <w:t>Así, la causal en estudio, para acudir a la contratación directa, tiene lugar cuando se va a encomendar la ejecución de un trabajo artístico a una persona natural y no cuando el objeto convencional perseguido, lejos de ser la prestación de un servicio para la elaboración de una obra artística, es la adquisición o compra de un bien calificado como obra de arte. Conforme a lo establecido en</w:t>
      </w:r>
      <w:r w:rsidRPr="006C2113">
        <w:rPr>
          <w:rFonts w:ascii="Verdana" w:eastAsia="Calibri" w:hAnsi="Verdana" w:cs="Arial"/>
          <w:color w:val="000000" w:themeColor="text1"/>
        </w:rPr>
        <w:t xml:space="preserve"> el inciso final del antecitado artículo 2.2.1.2.1.4.9 del Decreto 1082 de 2015–, la aplicación de la causal de contratación directa deberá quedar plenamente justificada en los estudios y documentos previos</w:t>
      </w:r>
      <w:r w:rsidRPr="006C2113">
        <w:rPr>
          <w:rStyle w:val="Refdenotaalpie"/>
          <w:rFonts w:ascii="Verdana" w:eastAsia="Calibri" w:hAnsi="Verdana" w:cs="Arial"/>
          <w:color w:val="000000" w:themeColor="text1"/>
        </w:rPr>
        <w:footnoteReference w:id="15"/>
      </w:r>
      <w:r w:rsidRPr="006C2113">
        <w:rPr>
          <w:rFonts w:ascii="Verdana" w:eastAsia="Calibri" w:hAnsi="Verdana" w:cs="Arial"/>
          <w:color w:val="000000" w:themeColor="text1"/>
        </w:rPr>
        <w:t xml:space="preserve"> y está deberá sustentarse en </w:t>
      </w:r>
      <w:r w:rsidRPr="006C2113">
        <w:rPr>
          <w:rFonts w:ascii="Verdana" w:eastAsia="Calibri" w:hAnsi="Verdana" w:cs="Arial"/>
          <w:color w:val="000000" w:themeColor="text1"/>
        </w:rPr>
        <w:lastRenderedPageBreak/>
        <w:t xml:space="preserve">el ejercicio de planeación realizado por la Entidad Estatal, el cual debe dar cuenta de una de necesidad que deba satisfacerse a través del respectivo objeto contractual. </w:t>
      </w:r>
    </w:p>
    <w:p w14:paraId="3EDF45CF" w14:textId="77777777" w:rsidR="000D62F3" w:rsidRPr="0003322E" w:rsidRDefault="000D62F3" w:rsidP="000D62F3">
      <w:pPr>
        <w:spacing w:before="120" w:after="120" w:line="276" w:lineRule="auto"/>
        <w:jc w:val="both"/>
        <w:rPr>
          <w:rFonts w:ascii="Verdana" w:eastAsia="Times New Roman" w:hAnsi="Verdana" w:cs="Arial"/>
          <w:lang w:val="es-ES"/>
        </w:rPr>
      </w:pPr>
      <w:proofErr w:type="spellStart"/>
      <w:r>
        <w:rPr>
          <w:rFonts w:ascii="Verdana" w:eastAsia="Times New Roman" w:hAnsi="Verdana" w:cs="Arial"/>
          <w:color w:val="000000"/>
        </w:rPr>
        <w:t>ii</w:t>
      </w:r>
      <w:proofErr w:type="spellEnd"/>
      <w:r>
        <w:rPr>
          <w:rFonts w:ascii="Verdana" w:eastAsia="Times New Roman" w:hAnsi="Verdana" w:cs="Arial"/>
          <w:color w:val="000000"/>
        </w:rPr>
        <w:t>. De otra parte, para determinar la posibilidad de que los servicios artísticos sean provistos por una entidad privada sin ánimo de lucro</w:t>
      </w:r>
      <w:r w:rsidRPr="0003322E">
        <w:rPr>
          <w:rFonts w:ascii="Verdana" w:eastAsia="Times New Roman" w:hAnsi="Verdana" w:cs="Arial"/>
          <w:color w:val="000000" w:themeColor="text1"/>
        </w:rPr>
        <w:t>,</w:t>
      </w:r>
      <w:r>
        <w:rPr>
          <w:rFonts w:ascii="Verdana" w:eastAsia="Times New Roman" w:hAnsi="Verdana" w:cs="Arial"/>
          <w:color w:val="000000" w:themeColor="text1"/>
        </w:rPr>
        <w:t xml:space="preserve"> es necesario remitirnos al régimen aplicable para contratación con este tipo de entidades. Para estos efectos, conviene recordar que, </w:t>
      </w:r>
      <w:r>
        <w:rPr>
          <w:rFonts w:ascii="Verdana" w:eastAsia="Times New Roman" w:hAnsi="Verdana" w:cs="Arial"/>
          <w:color w:val="000000" w:themeColor="text1"/>
          <w:lang w:val="es-MX"/>
        </w:rPr>
        <w:t>e</w:t>
      </w:r>
      <w:r w:rsidRPr="0003322E">
        <w:rPr>
          <w:rFonts w:ascii="Verdana" w:eastAsia="Times New Roman" w:hAnsi="Verdana" w:cs="Arial"/>
          <w:color w:val="000000" w:themeColor="text1"/>
          <w:lang w:val="es-MX"/>
        </w:rPr>
        <w:t xml:space="preserve">l Gobierno Nacional, en desarrollo del artículo 355 de la Constitución Política, expidió el Decreto 092 de 2017, el cual dispone </w:t>
      </w:r>
      <w:r w:rsidRPr="0003322E">
        <w:rPr>
          <w:rFonts w:ascii="Verdana" w:eastAsia="Times New Roman" w:hAnsi="Verdana" w:cs="Arial"/>
          <w:lang w:val="es-MX"/>
        </w:rPr>
        <w:t xml:space="preserve">reglas para las contrataciones que realizan las Entidades Estatales con las ESAL. </w:t>
      </w:r>
      <w:r w:rsidRPr="0003322E">
        <w:rPr>
          <w:rFonts w:ascii="Verdana" w:eastAsia="Times New Roman" w:hAnsi="Verdana" w:cs="Arial"/>
          <w:color w:val="000000" w:themeColor="text1"/>
          <w:lang w:val="es-ES"/>
        </w:rPr>
        <w:t xml:space="preserve">El Decreto regula dos (2) eventos: i) </w:t>
      </w:r>
      <w:r w:rsidRPr="0003322E">
        <w:rPr>
          <w:rFonts w:ascii="Verdana" w:eastAsia="Times New Roman" w:hAnsi="Verdana" w:cs="Arial"/>
          <w:lang w:val="es-ES" w:eastAsia="es-ES_tradnl"/>
        </w:rPr>
        <w:t xml:space="preserve">los </w:t>
      </w:r>
      <w:r w:rsidRPr="0003322E">
        <w:rPr>
          <w:rFonts w:ascii="Verdana" w:eastAsia="Times New Roman" w:hAnsi="Verdana" w:cs="Arial"/>
          <w:i/>
          <w:iCs/>
          <w:lang w:val="es-ES" w:eastAsia="es-ES_tradnl"/>
        </w:rPr>
        <w:t>contratos de colaboración</w:t>
      </w:r>
      <w:r w:rsidRPr="0003322E">
        <w:rPr>
          <w:rFonts w:ascii="Verdana" w:eastAsia="Times New Roman" w:hAnsi="Verdana" w:cs="Arial"/>
          <w:lang w:val="es-ES"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03322E">
        <w:rPr>
          <w:rFonts w:ascii="Verdana" w:eastAsia="Times New Roman" w:hAnsi="Verdana" w:cs="Arial"/>
          <w:color w:val="000000" w:themeColor="text1"/>
          <w:lang w:val="es-ES"/>
        </w:rPr>
        <w:t xml:space="preserve"> y; </w:t>
      </w:r>
      <w:proofErr w:type="spellStart"/>
      <w:r w:rsidRPr="0003322E">
        <w:rPr>
          <w:rFonts w:ascii="Verdana" w:eastAsia="Times New Roman" w:hAnsi="Verdana" w:cs="Arial"/>
          <w:color w:val="000000" w:themeColor="text1"/>
          <w:lang w:val="es-ES"/>
        </w:rPr>
        <w:t>ii</w:t>
      </w:r>
      <w:proofErr w:type="spellEnd"/>
      <w:r w:rsidRPr="0003322E">
        <w:rPr>
          <w:rFonts w:ascii="Verdana" w:eastAsia="Times New Roman" w:hAnsi="Verdana" w:cs="Arial"/>
          <w:color w:val="000000" w:themeColor="text1"/>
          <w:lang w:val="es-ES"/>
        </w:rPr>
        <w:t xml:space="preserve">) los </w:t>
      </w:r>
      <w:r w:rsidRPr="0003322E">
        <w:rPr>
          <w:rFonts w:ascii="Verdana" w:eastAsia="Times New Roman" w:hAnsi="Verdana" w:cs="Arial"/>
          <w:i/>
          <w:iCs/>
          <w:color w:val="000000" w:themeColor="text1"/>
          <w:lang w:val="es-ES"/>
        </w:rPr>
        <w:t>convenios de asociación</w:t>
      </w:r>
      <w:r w:rsidRPr="0003322E">
        <w:rPr>
          <w:rFonts w:ascii="Verdana" w:eastAsia="Times New Roman" w:hAnsi="Verdana" w:cs="Arial"/>
          <w:color w:val="000000" w:themeColor="text1"/>
          <w:lang w:val="es-ES"/>
        </w:rPr>
        <w:t xml:space="preserve">, para el desarrollo conjunto de actividades relacionadas con las funciones de las Entidades Estatales, en desarrollo del artículo 96 de la Ley 489 de 1998. </w:t>
      </w:r>
      <w:r w:rsidRPr="0003322E">
        <w:rPr>
          <w:rFonts w:ascii="Verdana" w:eastAsia="Times New Roman" w:hAnsi="Verdana" w:cs="Arial"/>
          <w:color w:val="000000"/>
          <w:lang w:val="es-MX" w:eastAsia="es-ES_tradnl"/>
        </w:rPr>
        <w:t xml:space="preserve">Los primeros están regulados en el artículo 2 del Decreto 092 de 2017, mientras que los segundos en los artículos 5, 6, 7 y 8 </w:t>
      </w:r>
      <w:r w:rsidRPr="0003322E">
        <w:rPr>
          <w:rFonts w:ascii="Verdana" w:eastAsia="Times New Roman" w:hAnsi="Verdana" w:cs="Arial"/>
          <w:i/>
          <w:iCs/>
          <w:color w:val="000000"/>
          <w:lang w:val="es-MX" w:eastAsia="es-ES_tradnl"/>
        </w:rPr>
        <w:t>ibidem</w:t>
      </w:r>
      <w:r w:rsidRPr="0003322E">
        <w:rPr>
          <w:rFonts w:ascii="Verdana" w:eastAsia="Times New Roman" w:hAnsi="Verdana" w:cs="Arial"/>
          <w:color w:val="000000"/>
          <w:lang w:val="es-MX" w:eastAsia="es-ES_tradnl"/>
        </w:rPr>
        <w:t xml:space="preserve">. </w:t>
      </w:r>
      <w:r w:rsidRPr="0003322E">
        <w:rPr>
          <w:rFonts w:ascii="Verdana" w:eastAsia="Times New Roman" w:hAnsi="Verdana" w:cs="Arial"/>
          <w:color w:val="000000" w:themeColor="text1"/>
          <w:lang w:val="es-MX" w:eastAsia="es-ES_tradnl"/>
        </w:rPr>
        <w:t xml:space="preserve">Así las cosas, es posible diferenciar los </w:t>
      </w:r>
      <w:r w:rsidRPr="0003322E">
        <w:rPr>
          <w:rFonts w:ascii="Verdana" w:eastAsia="Times New Roman" w:hAnsi="Verdana" w:cs="Arial"/>
          <w:i/>
          <w:iCs/>
          <w:color w:val="000000" w:themeColor="text1"/>
          <w:lang w:val="es-MX" w:eastAsia="es-ES_tradnl"/>
        </w:rPr>
        <w:t>contratos de colaboración</w:t>
      </w:r>
      <w:r w:rsidRPr="0003322E">
        <w:rPr>
          <w:rFonts w:ascii="Verdana" w:eastAsia="Times New Roman" w:hAnsi="Verdana" w:cs="Arial"/>
          <w:color w:val="000000" w:themeColor="text1"/>
          <w:lang w:val="es-MX" w:eastAsia="es-ES_tradnl"/>
        </w:rPr>
        <w:t xml:space="preserve">, establecidos en el artículo 2 del Decreto 092 de 2017, de los </w:t>
      </w:r>
      <w:r w:rsidRPr="0003322E">
        <w:rPr>
          <w:rFonts w:ascii="Verdana" w:eastAsia="Times New Roman" w:hAnsi="Verdana" w:cs="Arial"/>
          <w:i/>
          <w:iCs/>
          <w:color w:val="000000" w:themeColor="text1"/>
          <w:lang w:val="es-MX" w:eastAsia="es-ES_tradnl"/>
        </w:rPr>
        <w:t>convenios de asociación</w:t>
      </w:r>
      <w:r w:rsidRPr="0003322E">
        <w:rPr>
          <w:rFonts w:ascii="Verdana" w:eastAsia="Times New Roman" w:hAnsi="Verdana" w:cs="Arial"/>
          <w:color w:val="000000" w:themeColor="text1"/>
          <w:lang w:val="es-MX" w:eastAsia="es-ES_tradnl"/>
        </w:rPr>
        <w:t>, regulados en el artículo 5.</w:t>
      </w:r>
    </w:p>
    <w:p w14:paraId="1685DD63" w14:textId="77777777" w:rsidR="000D62F3" w:rsidRDefault="000D62F3" w:rsidP="000D62F3">
      <w:pPr>
        <w:spacing w:after="0" w:line="276" w:lineRule="auto"/>
        <w:ind w:firstLine="709"/>
        <w:jc w:val="both"/>
        <w:rPr>
          <w:rFonts w:ascii="Verdana" w:eastAsia="Times New Roman" w:hAnsi="Verdana" w:cs="Arial"/>
          <w:color w:val="000000" w:themeColor="text1"/>
          <w:lang w:val="es-ES"/>
        </w:rPr>
      </w:pPr>
      <w:r w:rsidRPr="0003322E">
        <w:rPr>
          <w:rFonts w:ascii="Verdana" w:eastAsia="Times New Roman" w:hAnsi="Verdana" w:cs="Arial"/>
          <w:color w:val="000000" w:themeColor="text1"/>
          <w:lang w:val="es-ES"/>
        </w:rPr>
        <w:t xml:space="preserve">De un lado, los </w:t>
      </w:r>
      <w:r w:rsidRPr="0003322E">
        <w:rPr>
          <w:rFonts w:ascii="Verdana" w:eastAsia="Times New Roman" w:hAnsi="Verdana" w:cs="Arial"/>
          <w:i/>
          <w:iCs/>
          <w:color w:val="000000" w:themeColor="text1"/>
          <w:lang w:val="es-ES"/>
        </w:rPr>
        <w:t>contratos del artículo 355 de la Constitución Política o contratos de colaboración</w:t>
      </w:r>
      <w:r w:rsidRPr="0003322E">
        <w:rPr>
          <w:rFonts w:ascii="Verdana" w:eastAsia="Times New Roman" w:hAnsi="Verdana" w:cs="Arial"/>
          <w:color w:val="000000" w:themeColor="text1"/>
          <w:lang w:val="es-ES"/>
        </w:rPr>
        <w:t xml:space="preserve"> </w:t>
      </w:r>
      <w:r>
        <w:rPr>
          <w:rFonts w:ascii="Verdana" w:eastAsia="Times New Roman" w:hAnsi="Verdana" w:cs="Arial"/>
          <w:color w:val="000000" w:themeColor="text1"/>
          <w:lang w:val="es-ES"/>
        </w:rPr>
        <w:t xml:space="preserve">o </w:t>
      </w:r>
      <w:r w:rsidRPr="008F1E8B">
        <w:rPr>
          <w:rFonts w:ascii="Verdana" w:eastAsia="Times New Roman" w:hAnsi="Verdana" w:cs="Arial"/>
          <w:i/>
          <w:iCs/>
          <w:color w:val="000000" w:themeColor="text1"/>
          <w:lang w:val="es-ES"/>
        </w:rPr>
        <w:t>fomento</w:t>
      </w:r>
      <w:r>
        <w:rPr>
          <w:rFonts w:ascii="Verdana" w:eastAsia="Times New Roman" w:hAnsi="Verdana" w:cs="Arial"/>
          <w:color w:val="000000" w:themeColor="text1"/>
          <w:lang w:val="es-ES"/>
        </w:rPr>
        <w:t xml:space="preserve"> </w:t>
      </w:r>
      <w:r w:rsidRPr="0003322E">
        <w:rPr>
          <w:rFonts w:ascii="Verdana" w:eastAsia="Times New Roman" w:hAnsi="Verdana" w:cs="Arial"/>
          <w:color w:val="000000" w:themeColor="text1"/>
          <w:lang w:val="es-ES"/>
        </w:rPr>
        <w:t xml:space="preserve">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r w:rsidRPr="00B149CF">
        <w:rPr>
          <w:rFonts w:ascii="Verdana" w:eastAsia="Times New Roman" w:hAnsi="Verdana" w:cs="Arial"/>
          <w:color w:val="000000" w:themeColor="text1"/>
          <w:lang w:val="es-ES"/>
        </w:rPr>
        <w:t xml:space="preserve">Si bien el inciso final del artículo 4 establece que las Entidades Estatales no están obligadas a desarrollar proceso competitivos cuando el objeto del contrato corresponda a la ejecución de actividades </w:t>
      </w:r>
      <w:r w:rsidRPr="008F1E8B">
        <w:rPr>
          <w:rFonts w:ascii="Verdana" w:eastAsia="Times New Roman" w:hAnsi="Verdana" w:cs="Arial"/>
          <w:i/>
          <w:iCs/>
          <w:color w:val="000000" w:themeColor="text1"/>
          <w:lang w:val="es-ES"/>
        </w:rPr>
        <w:t>“[…] artísticas, culturales, deportivas y de promoción de la diversidad étnica colombiana, que solo pueden desarrollar determinadas personas naturales o jurídicas”</w:t>
      </w:r>
      <w:r w:rsidRPr="00B149CF">
        <w:rPr>
          <w:rFonts w:ascii="Verdana" w:eastAsia="Times New Roman" w:hAnsi="Verdana" w:cs="Arial"/>
          <w:color w:val="000000" w:themeColor="text1"/>
          <w:lang w:val="es-ES"/>
        </w:rPr>
        <w:t xml:space="preserve">, es necesario tener en cuenta que, respecto dicha disposición pesa una </w:t>
      </w:r>
      <w:r w:rsidRPr="00B149CF">
        <w:rPr>
          <w:rFonts w:ascii="Verdana" w:eastAsia="Times New Roman" w:hAnsi="Verdana" w:cs="Arial"/>
          <w:color w:val="000000" w:themeColor="text1"/>
          <w:lang w:val="es-ES"/>
        </w:rPr>
        <w:lastRenderedPageBreak/>
        <w:t xml:space="preserve">medida de suspensión provisional decreta por el Consejo de Estado en auto de 6 de septiembre de 2019, confirmada por Auto de 15 de marzo de 2022. Al decretar dicha medida cautelar, </w:t>
      </w:r>
      <w:r>
        <w:rPr>
          <w:rFonts w:ascii="Verdana" w:eastAsia="Times New Roman" w:hAnsi="Verdana" w:cs="Arial"/>
          <w:color w:val="000000" w:themeColor="text1"/>
          <w:lang w:val="es-ES"/>
        </w:rPr>
        <w:t xml:space="preserve">se </w:t>
      </w:r>
      <w:r w:rsidRPr="00B149CF">
        <w:rPr>
          <w:rFonts w:ascii="Verdana" w:eastAsia="Times New Roman" w:hAnsi="Verdana" w:cs="Arial"/>
          <w:color w:val="000000" w:themeColor="text1"/>
          <w:lang w:val="es-ES"/>
        </w:rPr>
        <w:t xml:space="preserve">expuso lo siguiente: </w:t>
      </w:r>
    </w:p>
    <w:p w14:paraId="288ACCF9" w14:textId="77777777" w:rsidR="000D62F3" w:rsidRPr="00B149CF" w:rsidRDefault="000D62F3" w:rsidP="000D62F3">
      <w:pPr>
        <w:spacing w:after="0" w:line="276" w:lineRule="auto"/>
        <w:ind w:firstLine="709"/>
        <w:jc w:val="both"/>
        <w:rPr>
          <w:rFonts w:ascii="Verdana" w:eastAsia="Times New Roman" w:hAnsi="Verdana" w:cs="Arial"/>
          <w:color w:val="000000" w:themeColor="text1"/>
          <w:lang w:val="es-ES"/>
        </w:rPr>
      </w:pPr>
    </w:p>
    <w:p w14:paraId="6FE63429" w14:textId="77777777" w:rsidR="000D62F3" w:rsidRDefault="000D62F3" w:rsidP="000D62F3">
      <w:pPr>
        <w:spacing w:after="0"/>
        <w:ind w:left="708" w:right="709"/>
        <w:jc w:val="both"/>
        <w:rPr>
          <w:rFonts w:ascii="Verdana" w:eastAsia="Calibri" w:hAnsi="Verdana" w:cs="Arial"/>
          <w:color w:val="000000" w:themeColor="text1"/>
          <w:sz w:val="20"/>
          <w:szCs w:val="20"/>
        </w:rPr>
      </w:pPr>
      <w:r w:rsidRPr="008F1E8B">
        <w:rPr>
          <w:rFonts w:ascii="Verdana" w:eastAsia="Times New Roman" w:hAnsi="Verdana" w:cs="Arial"/>
          <w:color w:val="000000" w:themeColor="text1"/>
          <w:sz w:val="20"/>
          <w:szCs w:val="20"/>
          <w:lang w:val="es-ES"/>
        </w:rPr>
        <w:t>“</w:t>
      </w:r>
      <w:proofErr w:type="gramStart"/>
      <w:r w:rsidRPr="008F1E8B">
        <w:rPr>
          <w:rFonts w:ascii="Verdana" w:eastAsia="Calibri" w:hAnsi="Verdana" w:cs="Arial"/>
          <w:color w:val="000000" w:themeColor="text1"/>
          <w:sz w:val="20"/>
          <w:szCs w:val="20"/>
        </w:rPr>
        <w:t>Puestas</w:t>
      </w:r>
      <w:proofErr w:type="gramEnd"/>
      <w:r w:rsidRPr="008F1E8B">
        <w:rPr>
          <w:rFonts w:ascii="Verdana" w:eastAsia="Calibri" w:hAnsi="Verdana" w:cs="Arial"/>
          <w:color w:val="000000" w:themeColor="text1"/>
          <w:sz w:val="20"/>
          <w:szCs w:val="20"/>
        </w:rPr>
        <w:t xml:space="preserve"> así las cosas, el despacho no encuentra motivo alguno para que se prescinda del proceso de selección cuando se identifique que el programa o actividad de interés público es ofrecido por más de una persona –natural o jurídica– simple y llanamente porque el objeto del proceso de contratación corresponda a actividades artísticas, culturales, deportivas y de promoción de la diversidad étnica. Esta razón, por tanto, es suficiente para concluir que el Gobierno Nacional le otorgó un tratamiento privilegiado a quienes desarrollen tales actividades (artísticas, culturales, deportivas y de promoción de la diversidad étnica) lo cual resulta claramente violatorio de la igualdad que debe gobernar este tipo de procedimientos contractuales. No se entiende, entonces, cuál es la razón para que se le asigne un tratamiento distinto a la contratación con este tipo de actividades (artísticas, culturales, deportivas y de promoción a la diversidad étnica) frente a las actividades de interés público de otra naturaleza”. </w:t>
      </w:r>
    </w:p>
    <w:p w14:paraId="6D6C0293" w14:textId="77777777" w:rsidR="000D62F3" w:rsidRPr="008F1E8B" w:rsidRDefault="000D62F3" w:rsidP="000D62F3">
      <w:pPr>
        <w:spacing w:after="0"/>
        <w:ind w:left="708" w:right="709"/>
        <w:jc w:val="both"/>
        <w:rPr>
          <w:rFonts w:ascii="Verdana" w:eastAsia="Calibri" w:hAnsi="Verdana" w:cs="Arial"/>
          <w:color w:val="000000" w:themeColor="text1"/>
          <w:sz w:val="20"/>
          <w:szCs w:val="20"/>
        </w:rPr>
      </w:pPr>
    </w:p>
    <w:p w14:paraId="63ABC101" w14:textId="77777777" w:rsidR="000D62F3" w:rsidRPr="001E5AF0" w:rsidRDefault="000D62F3" w:rsidP="000D62F3">
      <w:pPr>
        <w:spacing w:before="120" w:line="276" w:lineRule="auto"/>
        <w:ind w:firstLine="708"/>
        <w:jc w:val="both"/>
        <w:rPr>
          <w:rFonts w:ascii="Verdana" w:eastAsia="Calibri" w:hAnsi="Verdana" w:cs="Arial"/>
          <w:color w:val="000000" w:themeColor="text1"/>
        </w:rPr>
      </w:pPr>
      <w:r w:rsidRPr="008F1E8B">
        <w:rPr>
          <w:rFonts w:ascii="Verdana" w:eastAsia="Calibri" w:hAnsi="Verdana" w:cs="Arial"/>
          <w:color w:val="000000" w:themeColor="text1"/>
        </w:rPr>
        <w:t xml:space="preserve">Por consiguiente, se suspendió provisionalmente el inciso final del artículo 4, por violar el principio de igualdad, por lo </w:t>
      </w:r>
      <w:r w:rsidRPr="00B149CF">
        <w:rPr>
          <w:rFonts w:ascii="Verdana" w:eastAsia="Calibri" w:hAnsi="Verdana" w:cs="Arial"/>
          <w:color w:val="000000" w:themeColor="text1"/>
        </w:rPr>
        <w:t>tanto,</w:t>
      </w:r>
      <w:r w:rsidRPr="008F1E8B">
        <w:rPr>
          <w:rFonts w:ascii="Verdana" w:eastAsia="Calibri" w:hAnsi="Verdana" w:cs="Arial"/>
          <w:color w:val="000000" w:themeColor="text1"/>
        </w:rPr>
        <w:t xml:space="preserve"> la contratación para la ejecución de actividades y programas de interés público debe realizarse a través de un proceso competitivo para escoger a la entidad sin ánimo de lucro. </w:t>
      </w:r>
      <w:r>
        <w:rPr>
          <w:rFonts w:ascii="Verdana" w:eastAsia="Calibri" w:hAnsi="Verdana" w:cs="Arial"/>
          <w:color w:val="000000" w:themeColor="text1"/>
        </w:rPr>
        <w:t xml:space="preserve">Dicha suspensión no implica que no puedan celebrarse contratos de fomento o colaboración para la ejecución de los objetos asociados a los señalados en el inciso final del Decreto 092 de 2017, sino que, mientras dicha norma no esté vigente, tal contratación necesariamente deber darse previo desarrollo de un proceso competitivo. </w:t>
      </w:r>
    </w:p>
    <w:p w14:paraId="4F182A17" w14:textId="77777777" w:rsidR="000D62F3" w:rsidRPr="0003322E" w:rsidRDefault="000D62F3" w:rsidP="000D62F3">
      <w:pPr>
        <w:spacing w:after="120" w:line="276" w:lineRule="auto"/>
        <w:ind w:firstLine="709"/>
        <w:jc w:val="both"/>
        <w:rPr>
          <w:rFonts w:ascii="Verdana" w:eastAsia="Times New Roman" w:hAnsi="Verdana" w:cs="Arial"/>
          <w:lang w:val="es-ES"/>
        </w:rPr>
      </w:pPr>
      <w:r w:rsidRPr="0003322E">
        <w:rPr>
          <w:rFonts w:ascii="Verdana" w:eastAsia="Times New Roman" w:hAnsi="Verdana" w:cs="Arial"/>
          <w:color w:val="000000" w:themeColor="text1"/>
          <w:lang w:val="es-ES"/>
        </w:rPr>
        <w:t xml:space="preserve">De otro lado, los </w:t>
      </w:r>
      <w:r w:rsidRPr="0003322E">
        <w:rPr>
          <w:rFonts w:ascii="Verdana" w:eastAsia="Times New Roman" w:hAnsi="Verdana" w:cs="Arial"/>
          <w:i/>
          <w:iCs/>
          <w:color w:val="000000" w:themeColor="text1"/>
          <w:lang w:val="es-ES"/>
        </w:rPr>
        <w:t xml:space="preserve">convenios de asociación </w:t>
      </w:r>
      <w:r w:rsidRPr="0003322E">
        <w:rPr>
          <w:rFonts w:ascii="Verdana" w:eastAsia="Times New Roman" w:hAnsi="Verdana" w:cs="Arial"/>
          <w:color w:val="000000" w:themeColor="text1"/>
          <w:lang w:val="es-ES"/>
        </w:rPr>
        <w:t>“[…] [t]</w:t>
      </w:r>
      <w:proofErr w:type="spellStart"/>
      <w:r w:rsidRPr="0003322E">
        <w:rPr>
          <w:rFonts w:ascii="Verdana" w:eastAsia="Times New Roman" w:hAnsi="Verdana" w:cs="Arial"/>
          <w:color w:val="000000" w:themeColor="text1"/>
          <w:lang w:val="es-ES"/>
        </w:rPr>
        <w:t>ienen</w:t>
      </w:r>
      <w:proofErr w:type="spellEnd"/>
      <w:r w:rsidRPr="0003322E">
        <w:rPr>
          <w:rFonts w:ascii="Verdana" w:eastAsia="Times New Roman" w:hAnsi="Verdana" w:cs="Arial"/>
          <w:color w:val="000000" w:themeColor="text1"/>
          <w:lang w:val="es-ES"/>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03322E">
        <w:rPr>
          <w:rFonts w:ascii="Verdana" w:eastAsia="Times New Roman" w:hAnsi="Verdana" w:cs="Times New Roman"/>
          <w:vertAlign w:val="superscript"/>
          <w:lang w:val="es-ES"/>
        </w:rPr>
        <w:footnoteReference w:id="16"/>
      </w:r>
      <w:r w:rsidRPr="0003322E">
        <w:rPr>
          <w:rFonts w:ascii="Verdana" w:eastAsia="Times New Roman" w:hAnsi="Verdana" w:cs="Arial"/>
          <w:color w:val="000000" w:themeColor="text1"/>
          <w:lang w:val="es-ES"/>
        </w:rPr>
        <w:t xml:space="preserve">. En estos convenios – al igual que en los contratos de colaboración antes explicados – no existe contraprestación o pago, </w:t>
      </w:r>
      <w:r w:rsidRPr="0003322E">
        <w:rPr>
          <w:rFonts w:ascii="Verdana" w:eastAsia="Times New Roman" w:hAnsi="Verdana" w:cs="Arial"/>
          <w:color w:val="000000" w:themeColor="text1"/>
          <w:lang w:val="es-ES"/>
        </w:rPr>
        <w:lastRenderedPageBreak/>
        <w:t xml:space="preserve">sino aportes, los cuales están dirigidos, exclusivamente, a lograr la ejecución del convenio no a remunerar la actividad o actuaciones del asociado. </w:t>
      </w:r>
    </w:p>
    <w:p w14:paraId="6D138F51" w14:textId="77777777" w:rsidR="000D62F3" w:rsidRDefault="000D62F3" w:rsidP="000D62F3">
      <w:pPr>
        <w:spacing w:after="120" w:line="276" w:lineRule="auto"/>
        <w:ind w:firstLine="709"/>
        <w:jc w:val="both"/>
        <w:rPr>
          <w:rFonts w:ascii="Verdana" w:eastAsia="Times New Roman" w:hAnsi="Verdana" w:cs="Arial"/>
          <w:lang w:val="es-ES"/>
        </w:rPr>
      </w:pPr>
      <w:r w:rsidRPr="0003322E">
        <w:rPr>
          <w:rFonts w:ascii="Verdana" w:eastAsia="Times New Roman" w:hAnsi="Verdana" w:cs="Arial"/>
          <w:color w:val="000000"/>
          <w:lang w:val="es-MX" w:eastAsia="es-ES_tradnl"/>
        </w:rPr>
        <w:t xml:space="preserve">De conformidad con el inciso segundo del artículo 96 de la Ley 489 de 1998, en </w:t>
      </w:r>
      <w:r w:rsidRPr="0003322E">
        <w:rPr>
          <w:rFonts w:ascii="Verdana" w:eastAsia="Times New Roman" w:hAnsi="Verdana" w:cs="Arial"/>
          <w:color w:val="000000"/>
          <w:lang w:val="es-ES" w:eastAsia="es-ES_tradnl"/>
        </w:rPr>
        <w:t>los</w:t>
      </w:r>
      <w:r w:rsidRPr="0003322E">
        <w:rPr>
          <w:rFonts w:ascii="Verdana" w:eastAsia="Times New Roman" w:hAnsi="Verdana" w:cs="Arial"/>
          <w:color w:val="000000"/>
          <w:lang w:val="es-MX" w:eastAsia="es-ES_tradnl"/>
        </w:rPr>
        <w:t xml:space="preserve"> convenios</w:t>
      </w:r>
      <w:r w:rsidRPr="0003322E">
        <w:rPr>
          <w:rFonts w:ascii="Verdana" w:eastAsia="Times New Roman" w:hAnsi="Verdana" w:cs="Arial"/>
          <w:color w:val="000000"/>
          <w:lang w:val="es-ES" w:eastAsia="es-ES_tradnl"/>
        </w:rPr>
        <w:t xml:space="preserve"> de asociación</w:t>
      </w:r>
      <w:r w:rsidRPr="0003322E">
        <w:rPr>
          <w:rFonts w:ascii="Verdana" w:eastAsia="Times New Roman" w:hAnsi="Verdana" w:cs="Arial"/>
          <w:color w:val="000000"/>
          <w:lang w:val="es-MX" w:eastAsia="es-ES_tradnl"/>
        </w:rPr>
        <w:t xml:space="preserve">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treinta por ciento (30%)</w:t>
      </w:r>
      <w:r w:rsidRPr="0003322E">
        <w:rPr>
          <w:rFonts w:ascii="Verdana" w:eastAsia="Times New Roman" w:hAnsi="Verdana" w:cs="Arial"/>
          <w:color w:val="000000"/>
          <w:lang w:val="es-ES" w:eastAsia="es-ES_tradnl"/>
        </w:rPr>
        <w:t xml:space="preserve"> del valor total</w:t>
      </w:r>
      <w:r w:rsidRPr="0003322E">
        <w:rPr>
          <w:rFonts w:ascii="Verdana" w:eastAsia="Times New Roman" w:hAnsi="Verdana" w:cs="Arial"/>
          <w:color w:val="000000"/>
          <w:lang w:val="es-MX" w:eastAsia="es-ES_tradnl"/>
        </w:rPr>
        <w:t xml:space="preserve">, o en especie, los cuales deben servir al desarrollo de los objetivos comunes de la asociación. </w:t>
      </w:r>
    </w:p>
    <w:p w14:paraId="226E03E6" w14:textId="77777777" w:rsidR="000D62F3" w:rsidRPr="0003322E" w:rsidRDefault="000D62F3" w:rsidP="000D62F3">
      <w:pPr>
        <w:spacing w:after="120" w:line="276" w:lineRule="auto"/>
        <w:ind w:firstLine="709"/>
        <w:jc w:val="both"/>
        <w:rPr>
          <w:rFonts w:ascii="Verdana" w:eastAsia="Times New Roman" w:hAnsi="Verdana" w:cs="Arial"/>
          <w:lang w:val="es-ES"/>
        </w:rPr>
      </w:pPr>
      <w:r w:rsidRPr="0003322E">
        <w:rPr>
          <w:rFonts w:ascii="Verdana" w:eastAsia="Times New Roman" w:hAnsi="Verdana" w:cs="Arial"/>
          <w:lang w:val="es-ES"/>
        </w:rPr>
        <w:t xml:space="preserve">Respecto a </w:t>
      </w:r>
      <w:r w:rsidRPr="0003322E">
        <w:rPr>
          <w:rFonts w:ascii="Verdana" w:eastAsia="Times New Roman" w:hAnsi="Verdana" w:cs="Arial"/>
          <w:lang w:val="es-ES_tradnl" w:eastAsia="es-ES_tradnl"/>
        </w:rPr>
        <w:t xml:space="preserve">la forma en la cual se debe seleccionar a la ESAL, es menester indicar que, </w:t>
      </w:r>
      <w:bookmarkStart w:id="2" w:name="_Hlk173067283"/>
      <w:r w:rsidRPr="0003322E">
        <w:rPr>
          <w:rFonts w:ascii="Verdana" w:eastAsia="Times New Roman" w:hAnsi="Verdana" w:cs="Arial"/>
          <w:lang w:val="es-ES_tradnl" w:eastAsia="es-ES_tradnl"/>
        </w:rPr>
        <w:t xml:space="preserve">el </w:t>
      </w:r>
      <w:bookmarkStart w:id="3" w:name="_Hlk173065372"/>
      <w:r w:rsidRPr="0003322E">
        <w:rPr>
          <w:rFonts w:ascii="Verdana" w:eastAsia="Times New Roman" w:hAnsi="Verdana" w:cs="Arial"/>
          <w:lang w:val="es-ES_tradnl" w:eastAsia="es-ES_tradnl"/>
        </w:rPr>
        <w:t>artículo 5</w:t>
      </w:r>
      <w:bookmarkEnd w:id="3"/>
      <w:r w:rsidRPr="0003322E">
        <w:rPr>
          <w:rFonts w:ascii="Verdana" w:eastAsia="Times New Roman" w:hAnsi="Verdana" w:cs="Arial"/>
          <w:lang w:val="es-ES_tradnl" w:eastAsia="es-ES_tradnl"/>
        </w:rPr>
        <w:t xml:space="preserve"> del Decreto 092 de 2017</w:t>
      </w:r>
      <w:r w:rsidRPr="0003322E">
        <w:rPr>
          <w:rFonts w:ascii="Verdana" w:eastAsia="Times New Roman" w:hAnsi="Verdana" w:cs="Times New Roman"/>
          <w:vertAlign w:val="superscript"/>
          <w:lang w:val="es-ES" w:eastAsia="es-ES_tradnl"/>
        </w:rPr>
        <w:footnoteReference w:id="17"/>
      </w:r>
      <w:r w:rsidRPr="0003322E">
        <w:rPr>
          <w:rFonts w:ascii="Verdana" w:eastAsia="Times New Roman" w:hAnsi="Verdana" w:cs="Arial"/>
          <w:lang w:val="es-ES_tradnl" w:eastAsia="es-ES_tradnl"/>
        </w:rPr>
        <w:t xml:space="preserve"> establece que, </w:t>
      </w:r>
      <w:bookmarkStart w:id="4" w:name="_Hlk77927493"/>
      <w:r w:rsidRPr="0003322E">
        <w:rPr>
          <w:rFonts w:ascii="Verdana" w:eastAsia="Times New Roman" w:hAnsi="Verdana" w:cs="Arial"/>
          <w:lang w:val="es-ES" w:eastAsia="es-ES_tradnl"/>
        </w:rPr>
        <w:t>el proceso para la escogencia de la ESAL, por regla general, debe estar sujeto a competencia, salvo en aquellos casos en los que una ESAL manifieste su compromiso de aportar recursos en dinero por un valor igual o superior al treinta por ciento (30%) del valor total del convenio, siempre y cuando no existan otras ESAL que ofrezcan aportes en monto igual o superior a dicho porcentaje</w:t>
      </w:r>
      <w:bookmarkEnd w:id="4"/>
      <w:r w:rsidRPr="0003322E">
        <w:rPr>
          <w:rFonts w:ascii="Verdana" w:eastAsia="Times New Roman" w:hAnsi="Verdana" w:cs="Arial"/>
          <w:lang w:val="es-ES" w:eastAsia="es-ES_tradnl"/>
        </w:rPr>
        <w:t xml:space="preserve">, pues en este evento también se tendría que realizar un proceso competitivo. </w:t>
      </w:r>
      <w:bookmarkEnd w:id="2"/>
    </w:p>
    <w:p w14:paraId="71985090" w14:textId="77777777" w:rsidR="000D62F3" w:rsidRPr="0003322E" w:rsidRDefault="000D62F3" w:rsidP="000D62F3">
      <w:pPr>
        <w:spacing w:after="120" w:line="276" w:lineRule="auto"/>
        <w:ind w:firstLine="709"/>
        <w:jc w:val="both"/>
        <w:textAlignment w:val="baseline"/>
        <w:rPr>
          <w:rFonts w:ascii="Verdana" w:eastAsia="Times New Roman" w:hAnsi="Verdana" w:cs="Arial"/>
          <w:lang w:val="es-ES_tradnl" w:eastAsia="es-ES_tradnl"/>
        </w:rPr>
      </w:pPr>
      <w:r>
        <w:rPr>
          <w:rFonts w:ascii="Verdana" w:eastAsia="Times New Roman" w:hAnsi="Verdana" w:cs="Arial"/>
          <w:lang w:val="es-ES_tradnl" w:eastAsia="es-ES_tradnl"/>
        </w:rPr>
        <w:t>Con todo, e</w:t>
      </w:r>
      <w:r w:rsidRPr="0003322E">
        <w:rPr>
          <w:rFonts w:ascii="Verdana" w:eastAsia="Times New Roman" w:hAnsi="Verdana" w:cs="Arial"/>
          <w:lang w:val="es-ES_tradnl" w:eastAsia="es-ES_tradnl"/>
        </w:rPr>
        <w:t xml:space="preserve">s importante resaltar que, </w:t>
      </w:r>
      <w:bookmarkStart w:id="5" w:name="_Hlk173070078"/>
      <w:r w:rsidRPr="0003322E">
        <w:rPr>
          <w:rFonts w:ascii="Verdana" w:eastAsia="Times New Roman" w:hAnsi="Verdana" w:cs="Arial"/>
          <w:lang w:val="es-ES_tradnl" w:eastAsia="es-ES_tradnl"/>
        </w:rPr>
        <w:t xml:space="preserve">según el mismo artículo 5, </w:t>
      </w:r>
      <w:r w:rsidRPr="0003322E">
        <w:rPr>
          <w:rFonts w:ascii="Verdana" w:eastAsia="Times New Roman" w:hAnsi="Verdana" w:cs="Arial"/>
          <w:i/>
          <w:iCs/>
          <w:lang w:val="es-ES_tradnl" w:eastAsia="es-ES_tradnl"/>
        </w:rPr>
        <w:t>si hay más de una ESAL</w:t>
      </w:r>
      <w:r w:rsidRPr="0003322E">
        <w:rPr>
          <w:rFonts w:ascii="Verdana" w:eastAsia="Times New Roman" w:hAnsi="Verdana" w:cs="Arial"/>
          <w:lang w:val="es-ES_tradnl" w:eastAsia="es-ES_tradnl"/>
        </w:rPr>
        <w:t xml:space="preserve"> que ofrezca su compromiso de recursos en dinero para el desarrollo conjunto de actividades relacionadas con los cometidos y funciones asignadas por ley a una Entidad Estatal, en una proporción no inferior al treinta por ciento (30%) del valor total del convenio, esta última debe seleccionar de forma objetiva a tal entidad y justificar los criterios para tal selección. En este evento, la Entidad Estatal debe diseñar herramientas que permitan una comparación objetiva de las ESAL para seleccionar objetivamente a aquella que tenga las mejores condiciones para alcanzar el resultado esperado con el proyecto de cooperación. </w:t>
      </w:r>
      <w:bookmarkEnd w:id="5"/>
    </w:p>
    <w:p w14:paraId="7B57A57C" w14:textId="77777777" w:rsidR="000D62F3" w:rsidRPr="008F1E8B" w:rsidRDefault="000D62F3" w:rsidP="000D62F3">
      <w:pPr>
        <w:spacing w:after="0" w:line="276" w:lineRule="auto"/>
        <w:ind w:firstLine="708"/>
        <w:jc w:val="both"/>
        <w:rPr>
          <w:rFonts w:ascii="Verdana" w:eastAsia="Calibri" w:hAnsi="Verdana" w:cs="Arial"/>
          <w:color w:val="000000"/>
          <w:lang w:val="es-MX"/>
        </w:rPr>
      </w:pPr>
      <w:r w:rsidRPr="008F1E8B">
        <w:rPr>
          <w:rFonts w:ascii="Verdana" w:eastAsia="Calibri" w:hAnsi="Verdana" w:cs="Arial"/>
          <w:color w:val="000000"/>
          <w:lang w:val="es-MX"/>
        </w:rPr>
        <w:lastRenderedPageBreak/>
        <w:t xml:space="preserve">Sin perjuicio de lo anterior, es importante aclarar que los negocios jurídicos que regula el Decreto 92 de 2017 </w:t>
      </w:r>
      <w:r>
        <w:rPr>
          <w:rFonts w:ascii="Verdana" w:eastAsia="Calibri" w:hAnsi="Verdana" w:cs="Arial"/>
          <w:color w:val="000000"/>
          <w:lang w:val="es-MX"/>
        </w:rPr>
        <w:t>“</w:t>
      </w:r>
      <w:r w:rsidRPr="008F1E8B">
        <w:rPr>
          <w:rFonts w:ascii="Verdana" w:eastAsia="Calibri" w:hAnsi="Verdana" w:cs="Arial"/>
          <w:color w:val="000000"/>
          <w:lang w:val="es-MX"/>
        </w:rPr>
        <w:t xml:space="preserve">[…] son esencialmente distintos a los contratos para la adquisición y aprovisionamiento de bienes, obras o servicios regulados por el estatuto de contratación </w:t>
      </w:r>
      <w:proofErr w:type="gramStart"/>
      <w:r w:rsidRPr="008F1E8B">
        <w:rPr>
          <w:rFonts w:ascii="Verdana" w:eastAsia="Calibri" w:hAnsi="Verdana" w:cs="Arial"/>
          <w:color w:val="000000"/>
          <w:lang w:val="es-MX"/>
        </w:rPr>
        <w:t>y[</w:t>
      </w:r>
      <w:proofErr w:type="gramEnd"/>
      <w:r w:rsidRPr="008F1E8B">
        <w:rPr>
          <w:rFonts w:ascii="Verdana" w:eastAsia="Calibri" w:hAnsi="Verdana" w:cs="Arial"/>
          <w:color w:val="000000"/>
          <w:lang w:val="es-MX"/>
        </w:rPr>
        <w:t>,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2007, y no el Decreto 92 de 2017</w:t>
      </w:r>
      <w:r>
        <w:rPr>
          <w:rFonts w:ascii="Verdana" w:eastAsia="Calibri" w:hAnsi="Verdana" w:cs="Arial"/>
          <w:color w:val="000000"/>
          <w:lang w:val="es-MX"/>
        </w:rPr>
        <w:t>”</w:t>
      </w:r>
      <w:r w:rsidRPr="008F1E8B">
        <w:rPr>
          <w:rFonts w:ascii="Verdana" w:eastAsia="Calibri" w:hAnsi="Verdana" w:cs="Arial"/>
          <w:color w:val="000000"/>
          <w:vertAlign w:val="superscript"/>
          <w:lang w:val="es-MX"/>
        </w:rPr>
        <w:footnoteReference w:id="18"/>
      </w:r>
      <w:r w:rsidRPr="008F1E8B">
        <w:rPr>
          <w:rFonts w:ascii="Verdana" w:eastAsia="Calibri" w:hAnsi="Verdana" w:cs="Arial"/>
          <w:color w:val="000000"/>
          <w:lang w:val="es-MX"/>
        </w:rPr>
        <w:t>. Así lo consideró la Sala de Consulta y Servicio Civil del Consejo de Estado</w:t>
      </w:r>
      <w:r w:rsidRPr="008F1E8B">
        <w:rPr>
          <w:rFonts w:ascii="Verdana" w:eastAsia="Calibri" w:hAnsi="Verdana" w:cs="Arial"/>
          <w:color w:val="000000"/>
          <w:vertAlign w:val="superscript"/>
          <w:lang w:val="es-MX"/>
        </w:rPr>
        <w:footnoteReference w:id="19"/>
      </w:r>
      <w:r w:rsidRPr="008F1E8B">
        <w:rPr>
          <w:rFonts w:ascii="Verdana" w:eastAsia="Calibri" w:hAnsi="Verdana" w:cs="Arial"/>
          <w:color w:val="000000"/>
          <w:lang w:val="es-MX"/>
        </w:rPr>
        <w:t>:</w:t>
      </w:r>
    </w:p>
    <w:p w14:paraId="6C748BF1" w14:textId="77777777" w:rsidR="000D62F3" w:rsidRPr="00024939" w:rsidRDefault="000D62F3" w:rsidP="000D62F3">
      <w:pPr>
        <w:spacing w:after="0" w:line="276" w:lineRule="auto"/>
        <w:jc w:val="both"/>
        <w:rPr>
          <w:rFonts w:ascii="Arial" w:eastAsia="Calibri" w:hAnsi="Arial" w:cs="Arial"/>
          <w:color w:val="000000"/>
          <w:lang w:val="es-MX"/>
        </w:rPr>
      </w:pPr>
    </w:p>
    <w:p w14:paraId="4E298D2B" w14:textId="77777777" w:rsidR="000D62F3" w:rsidRPr="008F1E8B" w:rsidRDefault="000D62F3" w:rsidP="000D62F3">
      <w:pPr>
        <w:spacing w:after="0" w:line="240" w:lineRule="auto"/>
        <w:ind w:left="708" w:right="709"/>
        <w:jc w:val="both"/>
        <w:rPr>
          <w:rFonts w:ascii="Verdana" w:eastAsia="Calibri" w:hAnsi="Verdana" w:cs="Arial"/>
          <w:color w:val="000000"/>
          <w:sz w:val="20"/>
          <w:szCs w:val="20"/>
          <w:lang w:val="es-MX"/>
        </w:rPr>
      </w:pPr>
      <w:r w:rsidRPr="008F1E8B">
        <w:rPr>
          <w:rFonts w:ascii="Verdana" w:eastAsia="Calibri" w:hAnsi="Verdana" w:cs="Arial"/>
          <w:color w:val="000000"/>
          <w:sz w:val="20"/>
          <w:szCs w:val="20"/>
          <w:lang w:val="es-MX"/>
        </w:rPr>
        <w:t xml:space="preserve">“Como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w:t>
      </w:r>
      <w:proofErr w:type="gramStart"/>
      <w:r w:rsidRPr="008F1E8B">
        <w:rPr>
          <w:rFonts w:ascii="Verdana" w:eastAsia="Calibri" w:hAnsi="Verdana" w:cs="Arial"/>
          <w:color w:val="000000"/>
          <w:sz w:val="20"/>
          <w:szCs w:val="20"/>
          <w:lang w:val="es-MX"/>
        </w:rPr>
        <w:t>y</w:t>
      </w:r>
      <w:proofErr w:type="gramEnd"/>
      <w:r w:rsidRPr="008F1E8B">
        <w:rPr>
          <w:rFonts w:ascii="Verdana" w:eastAsia="Calibri" w:hAnsi="Verdana" w:cs="Arial"/>
          <w:color w:val="000000"/>
          <w:sz w:val="20"/>
          <w:szCs w:val="20"/>
          <w:lang w:val="es-MX"/>
        </w:rPr>
        <w:t xml:space="preserve"> por lo tanto, se tipifican dentro de cualquiera de las modalidades de contratación de la ley 80 de 1.993, debiendo sujetarse a los procedimientos allí previstos, en especial los de escogencia del contratista.</w:t>
      </w:r>
    </w:p>
    <w:p w14:paraId="2B1984C3" w14:textId="77777777" w:rsidR="000D62F3" w:rsidRPr="008F1E8B" w:rsidRDefault="000D62F3" w:rsidP="000D62F3">
      <w:pPr>
        <w:spacing w:after="0" w:line="240" w:lineRule="auto"/>
        <w:ind w:left="708" w:right="709"/>
        <w:jc w:val="both"/>
        <w:rPr>
          <w:rFonts w:ascii="Verdana" w:eastAsia="Calibri" w:hAnsi="Verdana" w:cs="Arial"/>
          <w:color w:val="000000"/>
          <w:sz w:val="20"/>
          <w:szCs w:val="20"/>
          <w:lang w:val="es-MX"/>
        </w:rPr>
      </w:pPr>
    </w:p>
    <w:p w14:paraId="0D06F406" w14:textId="77777777" w:rsidR="000D62F3" w:rsidRPr="008F1E8B" w:rsidRDefault="000D62F3" w:rsidP="000D62F3">
      <w:pPr>
        <w:spacing w:after="0" w:line="240" w:lineRule="auto"/>
        <w:ind w:left="708" w:right="709"/>
        <w:jc w:val="both"/>
        <w:rPr>
          <w:rFonts w:ascii="Verdana" w:eastAsia="Calibri" w:hAnsi="Verdana" w:cs="Arial"/>
          <w:color w:val="000000"/>
          <w:sz w:val="20"/>
          <w:szCs w:val="20"/>
          <w:lang w:val="es-MX"/>
        </w:rPr>
      </w:pPr>
      <w:r w:rsidRPr="008F1E8B">
        <w:rPr>
          <w:rFonts w:ascii="Verdana" w:eastAsia="Calibri" w:hAnsi="Verdana" w:cs="Arial"/>
          <w:color w:val="000000"/>
          <w:sz w:val="20"/>
          <w:szCs w:val="20"/>
          <w:lang w:val="es-MX"/>
        </w:rPr>
        <w:t xml:space="preserve">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w:t>
      </w:r>
      <w:proofErr w:type="gramStart"/>
      <w:r w:rsidRPr="008F1E8B">
        <w:rPr>
          <w:rFonts w:ascii="Verdana" w:eastAsia="Calibri" w:hAnsi="Verdana" w:cs="Arial"/>
          <w:color w:val="000000"/>
          <w:sz w:val="20"/>
          <w:szCs w:val="20"/>
          <w:lang w:val="es-MX"/>
        </w:rPr>
        <w:t>sería</w:t>
      </w:r>
      <w:proofErr w:type="gramEnd"/>
      <w:r w:rsidRPr="008F1E8B">
        <w:rPr>
          <w:rFonts w:ascii="Verdana" w:eastAsia="Calibri" w:hAnsi="Verdana" w:cs="Arial"/>
          <w:color w:val="000000"/>
          <w:sz w:val="20"/>
          <w:szCs w:val="20"/>
          <w:lang w:val="es-MX"/>
        </w:rPr>
        <w:t xml:space="preserve"> por ejemplo, contratos de prestación de servicios o de obra pública”.</w:t>
      </w:r>
    </w:p>
    <w:p w14:paraId="5ECC5315" w14:textId="77777777" w:rsidR="000D62F3" w:rsidRPr="00024939" w:rsidRDefault="000D62F3" w:rsidP="000D62F3">
      <w:pPr>
        <w:spacing w:after="0" w:line="276" w:lineRule="auto"/>
        <w:jc w:val="both"/>
        <w:rPr>
          <w:rFonts w:ascii="Arial" w:eastAsia="Calibri" w:hAnsi="Arial" w:cs="Arial"/>
          <w:color w:val="000000"/>
          <w:lang w:val="es-MX"/>
        </w:rPr>
      </w:pPr>
    </w:p>
    <w:p w14:paraId="5F9C42B7" w14:textId="77777777" w:rsidR="000D62F3" w:rsidRPr="00636239" w:rsidRDefault="000D62F3" w:rsidP="000D62F3">
      <w:pPr>
        <w:spacing w:after="0" w:line="276" w:lineRule="auto"/>
        <w:ind w:firstLine="708"/>
        <w:jc w:val="both"/>
        <w:rPr>
          <w:rFonts w:ascii="Verdana" w:eastAsia="Calibri" w:hAnsi="Verdana" w:cs="Arial"/>
          <w:color w:val="000000"/>
          <w:lang w:val="es-MX"/>
        </w:rPr>
      </w:pPr>
      <w:r w:rsidRPr="00636239">
        <w:rPr>
          <w:rFonts w:ascii="Verdana" w:eastAsia="Calibri" w:hAnsi="Verdana" w:cs="Arial"/>
          <w:color w:val="000000"/>
          <w:lang w:val="es-MX"/>
        </w:rPr>
        <w:t xml:space="preserve">De acuerdo con lo anterior, no todas las actividades que las entidades estatales deben desarrollar para alcanzar sus objetivos misionales deben ejecutarse a través de la celebración de contratos de colaboración o convenios de asociación. Debe tenerse en cuenta que lo que determina la aplicación del Decreto 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Así lo </w:t>
      </w:r>
      <w:r w:rsidRPr="00636239">
        <w:rPr>
          <w:rFonts w:ascii="Verdana" w:eastAsia="Calibri" w:hAnsi="Verdana" w:cs="Arial"/>
          <w:color w:val="000000"/>
          <w:lang w:val="es-MX"/>
        </w:rPr>
        <w:lastRenderedPageBreak/>
        <w:t>reconoció la Corte Constitucional en la sentencia C-287 del 18 de abril de 2012, en la que sostuvo lo siguiente:</w:t>
      </w:r>
    </w:p>
    <w:p w14:paraId="08B84A83" w14:textId="77777777" w:rsidR="000D62F3" w:rsidRDefault="000D62F3" w:rsidP="000D62F3">
      <w:pPr>
        <w:spacing w:after="0" w:line="240" w:lineRule="auto"/>
        <w:ind w:firstLine="708"/>
        <w:jc w:val="both"/>
        <w:rPr>
          <w:rFonts w:ascii="Arial" w:eastAsia="Calibri" w:hAnsi="Arial" w:cs="Arial"/>
          <w:color w:val="000000"/>
          <w:lang w:val="es-MX"/>
        </w:rPr>
      </w:pPr>
    </w:p>
    <w:p w14:paraId="34B9EB6E" w14:textId="77777777" w:rsidR="00EB283C" w:rsidRPr="00024939" w:rsidRDefault="00EB283C" w:rsidP="000D62F3">
      <w:pPr>
        <w:spacing w:after="0" w:line="240" w:lineRule="auto"/>
        <w:ind w:firstLine="708"/>
        <w:jc w:val="both"/>
        <w:rPr>
          <w:rFonts w:ascii="Arial" w:eastAsia="Calibri" w:hAnsi="Arial" w:cs="Arial"/>
          <w:color w:val="000000"/>
          <w:lang w:val="es-MX"/>
        </w:rPr>
      </w:pPr>
    </w:p>
    <w:p w14:paraId="210F49E0" w14:textId="77777777" w:rsidR="000D62F3" w:rsidRPr="00636239" w:rsidRDefault="000D62F3" w:rsidP="000D62F3">
      <w:pPr>
        <w:spacing w:after="0" w:line="240" w:lineRule="auto"/>
        <w:ind w:left="709" w:right="709"/>
        <w:jc w:val="both"/>
        <w:rPr>
          <w:rFonts w:ascii="Verdana" w:eastAsia="Calibri" w:hAnsi="Verdana" w:cs="Arial"/>
          <w:color w:val="000000"/>
          <w:sz w:val="20"/>
          <w:szCs w:val="20"/>
          <w:lang w:val="es-MX"/>
        </w:rPr>
      </w:pPr>
      <w:r w:rsidRPr="00636239">
        <w:rPr>
          <w:rFonts w:ascii="Verdana" w:eastAsia="Calibri" w:hAnsi="Verdana" w:cs="Arial"/>
          <w:color w:val="000000"/>
          <w:sz w:val="20"/>
          <w:szCs w:val="20"/>
          <w:lang w:val="es-MX"/>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6291D863" w14:textId="77777777" w:rsidR="000D62F3" w:rsidRPr="00636239" w:rsidRDefault="000D62F3" w:rsidP="000D62F3">
      <w:pPr>
        <w:spacing w:after="0" w:line="240" w:lineRule="auto"/>
        <w:ind w:left="709" w:right="709"/>
        <w:jc w:val="both"/>
        <w:rPr>
          <w:rFonts w:ascii="Verdana" w:eastAsia="Calibri" w:hAnsi="Verdana" w:cs="Arial"/>
          <w:color w:val="000000"/>
          <w:sz w:val="20"/>
          <w:szCs w:val="20"/>
          <w:lang w:val="es-MX"/>
        </w:rPr>
      </w:pPr>
    </w:p>
    <w:p w14:paraId="102728C8" w14:textId="77777777" w:rsidR="000D62F3" w:rsidRPr="00636239" w:rsidRDefault="000D62F3" w:rsidP="000D62F3">
      <w:pPr>
        <w:spacing w:after="0" w:line="240" w:lineRule="auto"/>
        <w:ind w:left="709" w:right="709"/>
        <w:jc w:val="both"/>
        <w:rPr>
          <w:rFonts w:ascii="Verdana" w:eastAsia="Calibri" w:hAnsi="Verdana" w:cs="Arial"/>
          <w:color w:val="000000"/>
          <w:sz w:val="20"/>
          <w:szCs w:val="20"/>
          <w:lang w:val="es-MX"/>
        </w:rPr>
      </w:pPr>
      <w:r w:rsidRPr="00636239">
        <w:rPr>
          <w:rFonts w:ascii="Verdana" w:eastAsia="Calibri" w:hAnsi="Verdana" w:cs="Arial"/>
          <w:i/>
          <w:iCs/>
          <w:color w:val="000000"/>
          <w:sz w:val="20"/>
          <w:szCs w:val="20"/>
          <w:lang w:val="es-MX"/>
        </w:rPr>
        <w:t xml:space="preserve">Sin embargo, el hecho que no persigan una finalidad </w:t>
      </w:r>
      <w:proofErr w:type="gramStart"/>
      <w:r w:rsidRPr="00636239">
        <w:rPr>
          <w:rFonts w:ascii="Verdana" w:eastAsia="Calibri" w:hAnsi="Verdana" w:cs="Arial"/>
          <w:i/>
          <w:iCs/>
          <w:color w:val="000000"/>
          <w:sz w:val="20"/>
          <w:szCs w:val="20"/>
          <w:lang w:val="es-MX"/>
        </w:rPr>
        <w:t>lucrativa,</w:t>
      </w:r>
      <w:proofErr w:type="gramEnd"/>
      <w:r w:rsidRPr="00636239">
        <w:rPr>
          <w:rFonts w:ascii="Verdana" w:eastAsia="Calibri" w:hAnsi="Verdana" w:cs="Arial"/>
          <w:i/>
          <w:iCs/>
          <w:color w:val="000000"/>
          <w:sz w:val="20"/>
          <w:szCs w:val="20"/>
          <w:lang w:val="es-MX"/>
        </w:rPr>
        <w:t xml:space="preserve"> no significa que no desarrollen actividades que generen utilidades, lo que pasa es </w:t>
      </w:r>
      <w:proofErr w:type="gramStart"/>
      <w:r w:rsidRPr="00636239">
        <w:rPr>
          <w:rFonts w:ascii="Verdana" w:eastAsia="Calibri" w:hAnsi="Verdana" w:cs="Arial"/>
          <w:i/>
          <w:iCs/>
          <w:color w:val="000000"/>
          <w:sz w:val="20"/>
          <w:szCs w:val="20"/>
          <w:lang w:val="es-MX"/>
        </w:rPr>
        <w:t>que</w:t>
      </w:r>
      <w:proofErr w:type="gramEnd"/>
      <w:r w:rsidRPr="00636239">
        <w:rPr>
          <w:rFonts w:ascii="Verdana" w:eastAsia="Calibri" w:hAnsi="Verdana" w:cs="Arial"/>
          <w:i/>
          <w:iCs/>
          <w:color w:val="000000"/>
          <w:sz w:val="20"/>
          <w:szCs w:val="20"/>
          <w:lang w:val="es-MX"/>
        </w:rPr>
        <w:t xml:space="preserve"> a diferencia de las sociedades, el lucro o ganancia obtenida no se reparte entre sus </w:t>
      </w:r>
      <w:proofErr w:type="gramStart"/>
      <w:r w:rsidRPr="00636239">
        <w:rPr>
          <w:rFonts w:ascii="Verdana" w:eastAsia="Calibri" w:hAnsi="Verdana" w:cs="Arial"/>
          <w:i/>
          <w:iCs/>
          <w:color w:val="000000"/>
          <w:sz w:val="20"/>
          <w:szCs w:val="20"/>
          <w:lang w:val="es-MX"/>
        </w:rPr>
        <w:t>miembros</w:t>
      </w:r>
      <w:proofErr w:type="gramEnd"/>
      <w:r w:rsidRPr="00636239">
        <w:rPr>
          <w:rFonts w:ascii="Verdana" w:eastAsia="Calibri" w:hAnsi="Verdana" w:cs="Arial"/>
          <w:i/>
          <w:iCs/>
          <w:color w:val="000000"/>
          <w:sz w:val="20"/>
          <w:szCs w:val="20"/>
          <w:lang w:val="es-MX"/>
        </w:rPr>
        <w:t xml:space="preserve"> sino que se integra al patrimonio de la asociación para la obtención del fin deseado</w:t>
      </w:r>
      <w:r w:rsidRPr="00636239">
        <w:rPr>
          <w:rFonts w:ascii="Verdana" w:eastAsia="Calibri" w:hAnsi="Verdana" w:cs="Arial"/>
          <w:color w:val="000000"/>
          <w:sz w:val="20"/>
          <w:szCs w:val="20"/>
          <w:lang w:val="es-MX"/>
        </w:rPr>
        <w:t xml:space="preserve">.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636239">
        <w:rPr>
          <w:rFonts w:ascii="Verdana" w:eastAsia="Calibri" w:hAnsi="Verdana" w:cs="Arial"/>
          <w:color w:val="000000"/>
          <w:sz w:val="20"/>
          <w:szCs w:val="20"/>
          <w:lang w:val="es-MX"/>
        </w:rPr>
        <w:t>del mismo</w:t>
      </w:r>
      <w:proofErr w:type="gramEnd"/>
      <w:r w:rsidRPr="00636239">
        <w:rPr>
          <w:rFonts w:ascii="Verdana" w:eastAsia="Calibri" w:hAnsi="Verdana" w:cs="Arial"/>
          <w:color w:val="000000"/>
          <w:sz w:val="20"/>
          <w:szCs w:val="20"/>
          <w:lang w:val="es-MX"/>
        </w:rPr>
        <w:t xml:space="preserve"> en el momento de su disolución o liquidación”. (Cursivas propias</w:t>
      </w:r>
      <w:r>
        <w:rPr>
          <w:rFonts w:ascii="Verdana" w:eastAsia="Calibri" w:hAnsi="Verdana" w:cs="Arial"/>
          <w:color w:val="000000"/>
          <w:sz w:val="20"/>
          <w:szCs w:val="20"/>
          <w:lang w:val="es-MX"/>
        </w:rPr>
        <w:t>).</w:t>
      </w:r>
    </w:p>
    <w:p w14:paraId="495439D4" w14:textId="77777777" w:rsidR="000D62F3" w:rsidRPr="00024939" w:rsidRDefault="000D62F3" w:rsidP="000D62F3">
      <w:pPr>
        <w:spacing w:after="0" w:line="276" w:lineRule="auto"/>
        <w:jc w:val="both"/>
        <w:rPr>
          <w:rFonts w:ascii="Arial" w:eastAsia="Calibri" w:hAnsi="Arial" w:cs="Arial"/>
          <w:color w:val="000000"/>
          <w:lang w:val="es-MX"/>
        </w:rPr>
      </w:pPr>
    </w:p>
    <w:p w14:paraId="3F3B4432" w14:textId="77777777" w:rsidR="000D62F3" w:rsidRPr="008F1E8B" w:rsidRDefault="000D62F3" w:rsidP="000D62F3">
      <w:pPr>
        <w:spacing w:after="0" w:line="276" w:lineRule="auto"/>
        <w:ind w:firstLine="708"/>
        <w:jc w:val="both"/>
        <w:rPr>
          <w:rFonts w:ascii="Verdana" w:eastAsia="Calibri" w:hAnsi="Verdana" w:cs="Arial"/>
          <w:color w:val="000000"/>
          <w:lang w:val="es-MX"/>
        </w:rPr>
      </w:pPr>
      <w:r w:rsidRPr="008F1E8B">
        <w:rPr>
          <w:rFonts w:ascii="Verdana" w:eastAsia="Calibri" w:hAnsi="Verdana" w:cs="Arial"/>
          <w:color w:val="000000"/>
          <w:lang w:val="es-MX"/>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sí pueden participar en igualdad de condiciones en procesos de contratación regidos por la Ley 80 de 1993, la Ley 1150 de 2007 y el Decreto 1082 de 2015, siempre y cuando cumplan con los requisitos exigidos en los documentos del proceso.</w:t>
      </w:r>
    </w:p>
    <w:p w14:paraId="5FB40542" w14:textId="77777777" w:rsidR="000D62F3" w:rsidRDefault="000D62F3" w:rsidP="000D62F3">
      <w:pPr>
        <w:spacing w:after="0" w:line="276" w:lineRule="auto"/>
        <w:jc w:val="both"/>
        <w:textAlignment w:val="baseline"/>
        <w:rPr>
          <w:rFonts w:ascii="Verdana" w:eastAsia="Times New Roman" w:hAnsi="Verdana" w:cs="Arial"/>
          <w:color w:val="000000"/>
          <w:lang w:val="es-MX" w:eastAsia="es-ES_tradnl"/>
        </w:rPr>
      </w:pPr>
    </w:p>
    <w:p w14:paraId="183A9FAD" w14:textId="77777777" w:rsidR="000D62F3" w:rsidRDefault="000D62F3" w:rsidP="000D62F3">
      <w:pPr>
        <w:spacing w:after="120" w:line="276" w:lineRule="auto"/>
        <w:jc w:val="both"/>
        <w:textAlignment w:val="baseline"/>
        <w:rPr>
          <w:rFonts w:ascii="Verdana" w:eastAsia="Times New Roman" w:hAnsi="Verdana" w:cs="Arial"/>
          <w:color w:val="000000"/>
          <w:lang w:val="es-MX" w:eastAsia="es-ES_tradnl"/>
        </w:rPr>
      </w:pPr>
      <w:proofErr w:type="spellStart"/>
      <w:r>
        <w:rPr>
          <w:rFonts w:ascii="Verdana" w:eastAsia="Times New Roman" w:hAnsi="Verdana" w:cs="Arial"/>
          <w:color w:val="000000"/>
          <w:lang w:val="es-MX" w:eastAsia="es-ES_tradnl"/>
        </w:rPr>
        <w:t>iii</w:t>
      </w:r>
      <w:proofErr w:type="spellEnd"/>
      <w:r>
        <w:rPr>
          <w:rFonts w:ascii="Verdana" w:eastAsia="Times New Roman" w:hAnsi="Verdana" w:cs="Arial"/>
          <w:color w:val="000000"/>
          <w:lang w:val="es-MX" w:eastAsia="es-ES_tradnl"/>
        </w:rPr>
        <w:t xml:space="preserve">. De acuerdo con lo expuesto, para la contratación de actividades o trabajos artísticos, las Entidades Estatales tienen a su disposición las tipologías contractuales establecidas en el marco del EGCAP y el derecho privado, entre las que destaca el contrato de prestación de servicios </w:t>
      </w:r>
      <w:r w:rsidRPr="008F1E8B">
        <w:rPr>
          <w:rFonts w:ascii="Verdana" w:eastAsia="Times New Roman" w:hAnsi="Verdana" w:cs="Arial"/>
          <w:i/>
          <w:iCs/>
          <w:color w:val="000000"/>
          <w:lang w:val="es-MX" w:eastAsia="es-ES_tradnl"/>
        </w:rPr>
        <w:t>para la ejecución de trabajos que por su naturaleza deban encomendarse a determinada natural</w:t>
      </w:r>
      <w:r>
        <w:rPr>
          <w:rFonts w:ascii="Verdana" w:eastAsia="Times New Roman" w:hAnsi="Verdana" w:cs="Arial"/>
          <w:color w:val="000000"/>
          <w:lang w:val="es-MX" w:eastAsia="es-ES_tradnl"/>
        </w:rPr>
        <w:t xml:space="preserve">, </w:t>
      </w:r>
      <w:r w:rsidRPr="008F1E8B">
        <w:rPr>
          <w:rFonts w:ascii="Verdana" w:eastAsia="Times New Roman" w:hAnsi="Verdana" w:cs="Arial"/>
          <w:color w:val="000000"/>
          <w:lang w:val="es-MX" w:eastAsia="es-ES_tradnl"/>
        </w:rPr>
        <w:t xml:space="preserve">según lo establecido en </w:t>
      </w:r>
      <w:r>
        <w:rPr>
          <w:rFonts w:ascii="Verdana" w:eastAsia="Times New Roman" w:hAnsi="Verdana" w:cs="Arial"/>
          <w:color w:val="000000"/>
          <w:lang w:val="es-MX" w:eastAsia="es-ES_tradnl"/>
        </w:rPr>
        <w:t>los</w:t>
      </w:r>
      <w:r w:rsidRPr="008F1E8B">
        <w:rPr>
          <w:rFonts w:ascii="Verdana" w:eastAsia="Times New Roman" w:hAnsi="Verdana" w:cs="Arial"/>
          <w:color w:val="000000"/>
          <w:lang w:val="es-MX" w:eastAsia="es-ES_tradnl"/>
        </w:rPr>
        <w:t xml:space="preserve"> artículo</w:t>
      </w:r>
      <w:r>
        <w:rPr>
          <w:rFonts w:ascii="Verdana" w:eastAsia="Times New Roman" w:hAnsi="Verdana" w:cs="Arial"/>
          <w:color w:val="000000"/>
          <w:lang w:val="es-MX" w:eastAsia="es-ES_tradnl"/>
        </w:rPr>
        <w:t>s</w:t>
      </w:r>
      <w:r w:rsidRPr="008F1E8B">
        <w:rPr>
          <w:rFonts w:ascii="Verdana" w:eastAsia="Times New Roman" w:hAnsi="Verdana" w:cs="Arial"/>
          <w:color w:val="000000"/>
          <w:lang w:val="es-MX" w:eastAsia="es-ES_tradnl"/>
        </w:rPr>
        <w:t xml:space="preserve"> 32.3 de la Ley 80 de 1993</w:t>
      </w:r>
      <w:r>
        <w:rPr>
          <w:rFonts w:ascii="Verdana" w:eastAsia="Times New Roman" w:hAnsi="Verdana" w:cs="Arial"/>
          <w:i/>
          <w:iCs/>
          <w:color w:val="000000"/>
          <w:lang w:val="es-MX" w:eastAsia="es-ES_tradnl"/>
        </w:rPr>
        <w:t xml:space="preserve"> </w:t>
      </w:r>
      <w:r w:rsidRPr="008F1E8B">
        <w:rPr>
          <w:rFonts w:ascii="Verdana" w:eastAsia="Times New Roman" w:hAnsi="Verdana" w:cs="Arial"/>
          <w:color w:val="000000"/>
          <w:lang w:val="es-MX" w:eastAsia="es-ES_tradnl"/>
        </w:rPr>
        <w:t>y</w:t>
      </w:r>
      <w:r>
        <w:rPr>
          <w:rFonts w:ascii="Verdana" w:eastAsia="Times New Roman" w:hAnsi="Verdana" w:cs="Arial"/>
          <w:i/>
          <w:iCs/>
          <w:color w:val="000000"/>
          <w:lang w:val="es-MX" w:eastAsia="es-ES_tradnl"/>
        </w:rPr>
        <w:t xml:space="preserve"> </w:t>
      </w:r>
      <w:r>
        <w:rPr>
          <w:rFonts w:ascii="Verdana" w:eastAsia="Times New Roman" w:hAnsi="Verdana" w:cs="Arial"/>
          <w:color w:val="000000"/>
          <w:lang w:val="es-MX" w:eastAsia="es-ES_tradnl"/>
        </w:rPr>
        <w:t xml:space="preserve">  </w:t>
      </w:r>
      <w:r w:rsidRPr="0010420B">
        <w:rPr>
          <w:rFonts w:ascii="Verdana" w:eastAsia="Times New Roman" w:hAnsi="Verdana" w:cs="Arial"/>
          <w:color w:val="000000"/>
          <w:lang w:val="es-MX" w:eastAsia="es-ES_tradnl"/>
        </w:rPr>
        <w:t>2.2.1.2.1.4.9.</w:t>
      </w:r>
      <w:r>
        <w:rPr>
          <w:rFonts w:ascii="Verdana" w:eastAsia="Times New Roman" w:hAnsi="Verdana" w:cs="Arial"/>
          <w:color w:val="000000"/>
          <w:lang w:val="es-MX" w:eastAsia="es-ES_tradnl"/>
        </w:rPr>
        <w:t xml:space="preserve"> del Decreto 1082 de 2015.</w:t>
      </w:r>
      <w:r>
        <w:rPr>
          <w:rFonts w:ascii="Verdana" w:eastAsia="Times New Roman" w:hAnsi="Verdana" w:cs="Arial"/>
          <w:i/>
          <w:iCs/>
          <w:color w:val="000000"/>
          <w:lang w:val="es-MX" w:eastAsia="es-ES_tradnl"/>
        </w:rPr>
        <w:t xml:space="preserve"> </w:t>
      </w:r>
      <w:r>
        <w:rPr>
          <w:rFonts w:ascii="Verdana" w:eastAsia="Times New Roman" w:hAnsi="Verdana" w:cs="Arial"/>
          <w:color w:val="000000"/>
          <w:lang w:val="es-MX" w:eastAsia="es-ES_tradnl"/>
        </w:rPr>
        <w:t xml:space="preserve">Por otro lado, en el marco de la contratación regulada por el Decreto 092 de 2017, </w:t>
      </w:r>
      <w:r>
        <w:rPr>
          <w:rFonts w:ascii="Verdana" w:eastAsia="Times New Roman" w:hAnsi="Verdana" w:cs="Arial"/>
          <w:color w:val="000000"/>
          <w:lang w:eastAsia="es-ES_tradnl"/>
        </w:rPr>
        <w:t>l</w:t>
      </w:r>
      <w:r w:rsidRPr="006F69F5">
        <w:rPr>
          <w:rFonts w:ascii="Verdana" w:eastAsia="Times New Roman" w:hAnsi="Verdana" w:cs="Arial"/>
          <w:color w:val="000000"/>
          <w:lang w:eastAsia="es-ES_tradnl"/>
        </w:rPr>
        <w:t xml:space="preserve">as Entidades Estatales </w:t>
      </w:r>
      <w:r>
        <w:rPr>
          <w:rFonts w:ascii="Verdana" w:eastAsia="Times New Roman" w:hAnsi="Verdana" w:cs="Arial"/>
          <w:color w:val="000000"/>
          <w:lang w:eastAsia="es-ES_tradnl"/>
        </w:rPr>
        <w:t>que hacen parte del</w:t>
      </w:r>
      <w:r w:rsidRPr="006F69F5">
        <w:rPr>
          <w:rFonts w:ascii="Verdana" w:eastAsia="Times New Roman" w:hAnsi="Verdana" w:cs="Arial"/>
          <w:color w:val="000000"/>
          <w:lang w:eastAsia="es-ES_tradnl"/>
        </w:rPr>
        <w:t xml:space="preserve"> Gobierno nacional, departamental, distrital y municipal</w:t>
      </w:r>
      <w:r>
        <w:rPr>
          <w:rFonts w:ascii="Verdana" w:eastAsia="Times New Roman" w:hAnsi="Verdana" w:cs="Arial"/>
          <w:color w:val="000000"/>
          <w:lang w:val="es-MX" w:eastAsia="es-ES_tradnl"/>
        </w:rPr>
        <w:t xml:space="preserve"> tienen la posibilidad de contratar la prestación de servicios artísticos a través de contratos de </w:t>
      </w:r>
      <w:r>
        <w:rPr>
          <w:rFonts w:ascii="Verdana" w:eastAsia="Times New Roman" w:hAnsi="Verdana" w:cs="Arial"/>
          <w:color w:val="000000"/>
          <w:lang w:val="es-MX" w:eastAsia="es-ES_tradnl"/>
        </w:rPr>
        <w:lastRenderedPageBreak/>
        <w:t xml:space="preserve">colaboración, de acuerdo con los artículos 2, 3 y 4, como parte de la ejecución de los planes, programas o proyectos previstos en los instrumentos de planeación, de acuerdo con el artículo 355 superior. De igual manera, con sustento en el artículo 96 de la Ley 489 de 1996, reglamentado en el artículo 5 del Decreto 092 de 2017, las Entidades Estatales pueden acudir a convenios de asociación para el desarrollo de objetos asociados a la misionalidad de la Entidad Estatal, de los que se desprenda la ejecución de </w:t>
      </w:r>
      <w:proofErr w:type="gramStart"/>
      <w:r>
        <w:rPr>
          <w:rFonts w:ascii="Verdana" w:eastAsia="Times New Roman" w:hAnsi="Verdana" w:cs="Arial"/>
          <w:color w:val="000000"/>
          <w:lang w:val="es-MX" w:eastAsia="es-ES_tradnl"/>
        </w:rPr>
        <w:t>la actividades artísticas asociadas</w:t>
      </w:r>
      <w:proofErr w:type="gramEnd"/>
      <w:r>
        <w:rPr>
          <w:rFonts w:ascii="Verdana" w:eastAsia="Times New Roman" w:hAnsi="Verdana" w:cs="Arial"/>
          <w:color w:val="000000"/>
          <w:lang w:val="es-MX" w:eastAsia="es-ES_tradnl"/>
        </w:rPr>
        <w:t xml:space="preserve"> al interés general. </w:t>
      </w:r>
    </w:p>
    <w:p w14:paraId="1C0C7C80" w14:textId="77777777" w:rsidR="000D62F3" w:rsidRDefault="000D62F3" w:rsidP="000D62F3">
      <w:pPr>
        <w:spacing w:after="120" w:line="276" w:lineRule="auto"/>
        <w:jc w:val="both"/>
        <w:textAlignment w:val="baseline"/>
        <w:rPr>
          <w:rFonts w:ascii="Verdana" w:eastAsia="Times New Roman" w:hAnsi="Verdana" w:cs="Arial"/>
          <w:color w:val="000000"/>
          <w:lang w:val="es-MX" w:eastAsia="es-ES_tradnl"/>
        </w:rPr>
      </w:pPr>
      <w:r>
        <w:rPr>
          <w:rFonts w:ascii="Verdana" w:eastAsia="Times New Roman" w:hAnsi="Verdana" w:cs="Arial"/>
          <w:color w:val="000000"/>
          <w:lang w:val="es-MX" w:eastAsia="es-ES_tradnl"/>
        </w:rPr>
        <w:tab/>
        <w:t xml:space="preserve">En todo caso, la tipología contractual aplicable a cada caso concreto depende de la necesidad identificada en el marco del ejercicio de planeación de la Entidad Estatal, así como del objeto y características del negocio jurídico que se pretenda celebrar para satisfacerla. Por un lado, si la necesidad corresponde a la ejecución de trabajos artísticos que por su naturaleza deban ejecutarse por determinadas personas naturales y para satisfacerla se contempla celebrar un negocio jurídico conmutativo, es decir, del que se desprenda una contraprestación o utilidad a favor del contratista, resulta aplicable el contrato de prestación de servicios regulados en </w:t>
      </w:r>
      <w:r w:rsidRPr="00620CBD">
        <w:rPr>
          <w:rFonts w:ascii="Verdana" w:eastAsia="Times New Roman" w:hAnsi="Verdana" w:cs="Arial"/>
          <w:color w:val="000000"/>
          <w:lang w:val="es-MX" w:eastAsia="es-ES_tradnl"/>
        </w:rPr>
        <w:t>artículo</w:t>
      </w:r>
      <w:r>
        <w:rPr>
          <w:rFonts w:ascii="Verdana" w:eastAsia="Times New Roman" w:hAnsi="Verdana" w:cs="Arial"/>
          <w:color w:val="000000"/>
          <w:lang w:val="es-MX" w:eastAsia="es-ES_tradnl"/>
        </w:rPr>
        <w:t>s</w:t>
      </w:r>
      <w:r w:rsidRPr="00620CBD">
        <w:rPr>
          <w:rFonts w:ascii="Verdana" w:eastAsia="Times New Roman" w:hAnsi="Verdana" w:cs="Arial"/>
          <w:color w:val="000000"/>
          <w:lang w:val="es-MX" w:eastAsia="es-ES_tradnl"/>
        </w:rPr>
        <w:t xml:space="preserve"> 32.3 de la Ley 80 de 1993</w:t>
      </w:r>
      <w:r>
        <w:rPr>
          <w:rFonts w:ascii="Verdana" w:eastAsia="Times New Roman" w:hAnsi="Verdana" w:cs="Arial"/>
          <w:i/>
          <w:iCs/>
          <w:color w:val="000000"/>
          <w:lang w:val="es-MX" w:eastAsia="es-ES_tradnl"/>
        </w:rPr>
        <w:t xml:space="preserve"> </w:t>
      </w:r>
      <w:r w:rsidRPr="00620CBD">
        <w:rPr>
          <w:rFonts w:ascii="Verdana" w:eastAsia="Times New Roman" w:hAnsi="Verdana" w:cs="Arial"/>
          <w:color w:val="000000"/>
          <w:lang w:val="es-MX" w:eastAsia="es-ES_tradnl"/>
        </w:rPr>
        <w:t>y</w:t>
      </w:r>
      <w:r>
        <w:rPr>
          <w:rFonts w:ascii="Verdana" w:eastAsia="Times New Roman" w:hAnsi="Verdana" w:cs="Arial"/>
          <w:i/>
          <w:iCs/>
          <w:color w:val="000000"/>
          <w:lang w:val="es-MX" w:eastAsia="es-ES_tradnl"/>
        </w:rPr>
        <w:t xml:space="preserve"> </w:t>
      </w:r>
      <w:r>
        <w:rPr>
          <w:rFonts w:ascii="Verdana" w:eastAsia="Times New Roman" w:hAnsi="Verdana" w:cs="Arial"/>
          <w:color w:val="000000"/>
          <w:lang w:val="es-MX" w:eastAsia="es-ES_tradnl"/>
        </w:rPr>
        <w:t xml:space="preserve">  </w:t>
      </w:r>
      <w:r w:rsidRPr="0010420B">
        <w:rPr>
          <w:rFonts w:ascii="Verdana" w:eastAsia="Times New Roman" w:hAnsi="Verdana" w:cs="Arial"/>
          <w:color w:val="000000"/>
          <w:lang w:val="es-MX" w:eastAsia="es-ES_tradnl"/>
        </w:rPr>
        <w:t>2.2.1.2.1.4.9.</w:t>
      </w:r>
      <w:r>
        <w:rPr>
          <w:rFonts w:ascii="Verdana" w:eastAsia="Times New Roman" w:hAnsi="Verdana" w:cs="Arial"/>
          <w:color w:val="000000"/>
          <w:lang w:val="es-MX" w:eastAsia="es-ES_tradnl"/>
        </w:rPr>
        <w:t xml:space="preserve"> del Decreto 1082 de 2015. Por el contrario, si para el mismo tipo de necesidad se pretende celebrar un contrato no conmutativo, el cual esté relacionado con la ejecución de planes, programas o proyectos establecidos en el plan de desarrollo, la figura aplicable es la del </w:t>
      </w:r>
      <w:r w:rsidRPr="008F1E8B">
        <w:rPr>
          <w:rFonts w:ascii="Verdana" w:eastAsia="Times New Roman" w:hAnsi="Verdana" w:cs="Arial"/>
          <w:i/>
          <w:iCs/>
          <w:color w:val="000000"/>
          <w:lang w:val="es-MX" w:eastAsia="es-ES_tradnl"/>
        </w:rPr>
        <w:t xml:space="preserve">contrato de </w:t>
      </w:r>
      <w:r>
        <w:rPr>
          <w:rFonts w:ascii="Verdana" w:eastAsia="Times New Roman" w:hAnsi="Verdana" w:cs="Arial"/>
          <w:i/>
          <w:iCs/>
          <w:color w:val="000000"/>
          <w:lang w:val="es-MX" w:eastAsia="es-ES_tradnl"/>
        </w:rPr>
        <w:t xml:space="preserve">colaboración </w:t>
      </w:r>
      <w:r w:rsidRPr="008F1E8B">
        <w:rPr>
          <w:rFonts w:ascii="Verdana" w:eastAsia="Times New Roman" w:hAnsi="Verdana" w:cs="Arial"/>
          <w:color w:val="000000"/>
          <w:lang w:val="es-MX" w:eastAsia="es-ES_tradnl"/>
        </w:rPr>
        <w:t>con</w:t>
      </w:r>
      <w:r>
        <w:rPr>
          <w:rFonts w:ascii="Verdana" w:eastAsia="Times New Roman" w:hAnsi="Verdana" w:cs="Arial"/>
          <w:color w:val="000000"/>
          <w:lang w:val="es-MX" w:eastAsia="es-ES_tradnl"/>
        </w:rPr>
        <w:t xml:space="preserve"> entidades primadas sin ánimo de lucro, conforme a lo dispuesto en los artículos 355 superior y 2, 3 y 4 del Decreto 092 de 2017. </w:t>
      </w:r>
    </w:p>
    <w:p w14:paraId="26110D5F" w14:textId="77777777" w:rsidR="000D62F3" w:rsidRDefault="000D62F3" w:rsidP="000D62F3">
      <w:pPr>
        <w:spacing w:after="120" w:line="276" w:lineRule="auto"/>
        <w:ind w:firstLine="708"/>
        <w:jc w:val="both"/>
        <w:textAlignment w:val="baseline"/>
        <w:rPr>
          <w:rFonts w:ascii="Verdana" w:eastAsia="Times New Roman" w:hAnsi="Verdana" w:cs="Arial"/>
          <w:color w:val="000000"/>
          <w:lang w:val="es-MX" w:eastAsia="es-ES_tradnl"/>
        </w:rPr>
      </w:pPr>
      <w:r>
        <w:rPr>
          <w:rFonts w:ascii="Verdana" w:eastAsia="Times New Roman" w:hAnsi="Verdana" w:cs="Arial"/>
          <w:color w:val="000000"/>
          <w:lang w:val="es-MX" w:eastAsia="es-ES_tradnl"/>
        </w:rPr>
        <w:t xml:space="preserve">De otra parte, si la necesidad tiene que ver con el desarrollo de una función o la prestación de un servicio, que de conformidad con ley deba cumplir la entidad estatal, respecto de la que se estime procedente acudir a la colaboración con entidades privadas sin </w:t>
      </w:r>
      <w:proofErr w:type="spellStart"/>
      <w:r>
        <w:rPr>
          <w:rFonts w:ascii="Verdana" w:eastAsia="Times New Roman" w:hAnsi="Verdana" w:cs="Arial"/>
          <w:color w:val="000000"/>
          <w:lang w:val="es-MX" w:eastAsia="es-ES_tradnl"/>
        </w:rPr>
        <w:t>animo</w:t>
      </w:r>
      <w:proofErr w:type="spellEnd"/>
      <w:r>
        <w:rPr>
          <w:rFonts w:ascii="Verdana" w:eastAsia="Times New Roman" w:hAnsi="Verdana" w:cs="Arial"/>
          <w:color w:val="000000"/>
          <w:lang w:val="es-MX" w:eastAsia="es-ES_tradnl"/>
        </w:rPr>
        <w:t xml:space="preserve"> de lucro, la figura aplicable es la del </w:t>
      </w:r>
      <w:r w:rsidRPr="008F1E8B">
        <w:rPr>
          <w:rFonts w:ascii="Verdana" w:eastAsia="Times New Roman" w:hAnsi="Verdana" w:cs="Arial"/>
          <w:i/>
          <w:iCs/>
          <w:color w:val="000000"/>
          <w:lang w:val="es-MX" w:eastAsia="es-ES_tradnl"/>
        </w:rPr>
        <w:t>convenio de asociación</w:t>
      </w:r>
      <w:r>
        <w:rPr>
          <w:rFonts w:ascii="Verdana" w:eastAsia="Times New Roman" w:hAnsi="Verdana" w:cs="Arial"/>
          <w:color w:val="000000"/>
          <w:lang w:val="es-MX" w:eastAsia="es-ES_tradnl"/>
        </w:rPr>
        <w:t xml:space="preserve">, según establecido en los artículos 96 de la Ley 489 de 1998 y 5 del Decreto 092 de 2017. En el marco de este tipo de convenios, así como dentro de los contratos de colaboración, resulta posible que dentro de las condiciones del contrato se establezca la obligación de vincular a artistas determinados o no, para que se encarguen de ejecutar el componente artístico del objeto. Esto desde luego está sujeto a las características del proyecto y la autonomía de la voluntad de las partes, en virtud de la cual tal obligación puede ser atribuida a la entidad estatal directamente o la entidad sin </w:t>
      </w:r>
      <w:proofErr w:type="spellStart"/>
      <w:r>
        <w:rPr>
          <w:rFonts w:ascii="Verdana" w:eastAsia="Times New Roman" w:hAnsi="Verdana" w:cs="Arial"/>
          <w:color w:val="000000"/>
          <w:lang w:val="es-MX" w:eastAsia="es-ES_tradnl"/>
        </w:rPr>
        <w:t>animo</w:t>
      </w:r>
      <w:proofErr w:type="spellEnd"/>
      <w:r>
        <w:rPr>
          <w:rFonts w:ascii="Verdana" w:eastAsia="Times New Roman" w:hAnsi="Verdana" w:cs="Arial"/>
          <w:color w:val="000000"/>
          <w:lang w:val="es-MX" w:eastAsia="es-ES_tradnl"/>
        </w:rPr>
        <w:t xml:space="preserve"> de lucro </w:t>
      </w:r>
      <w:r>
        <w:rPr>
          <w:rFonts w:ascii="Verdana" w:eastAsia="Times New Roman" w:hAnsi="Verdana" w:cs="Arial"/>
          <w:color w:val="000000"/>
          <w:lang w:val="es-MX" w:eastAsia="es-ES_tradnl"/>
        </w:rPr>
        <w:lastRenderedPageBreak/>
        <w:t xml:space="preserve">que funja como ejecutora o contratista. En todo caso, en los casos en los que se opte lo segundo, la vinculación de los artistas con el contratista estará regida por las disposiciones civiles y/o labores que resulten aplicables para efecto, siendo la entidad estatal un tercero ajeno a dicha relación, sin perjuicio que esta tenga su causa en el convenio o contrato estatal.        </w:t>
      </w:r>
    </w:p>
    <w:p w14:paraId="773ACB4D" w14:textId="77777777" w:rsidR="000D62F3" w:rsidRDefault="000D62F3" w:rsidP="000D62F3">
      <w:pPr>
        <w:spacing w:after="120" w:line="276" w:lineRule="auto"/>
        <w:jc w:val="both"/>
        <w:textAlignment w:val="baseline"/>
        <w:rPr>
          <w:rFonts w:ascii="Verdana" w:eastAsia="Times New Roman" w:hAnsi="Verdana" w:cs="Arial"/>
          <w:color w:val="000000"/>
          <w:lang w:val="es-MX" w:eastAsia="es-ES_tradnl"/>
        </w:rPr>
      </w:pPr>
      <w:r>
        <w:rPr>
          <w:rFonts w:ascii="Verdana" w:eastAsia="Times New Roman" w:hAnsi="Verdana" w:cs="Arial"/>
          <w:color w:val="000000"/>
          <w:lang w:val="es-MX" w:eastAsia="es-ES_tradnl"/>
        </w:rPr>
        <w:tab/>
        <w:t xml:space="preserve">En síntesis, de conformidad con lo establecido en el marco de su ejercicio de planeación, corresponde a la Entidad Estatal determinar </w:t>
      </w:r>
      <w:proofErr w:type="spellStart"/>
      <w:r>
        <w:rPr>
          <w:rFonts w:ascii="Verdana" w:eastAsia="Times New Roman" w:hAnsi="Verdana" w:cs="Arial"/>
          <w:color w:val="000000"/>
          <w:lang w:val="es-MX" w:eastAsia="es-ES_tradnl"/>
        </w:rPr>
        <w:t>cual</w:t>
      </w:r>
      <w:proofErr w:type="spellEnd"/>
      <w:r>
        <w:rPr>
          <w:rFonts w:ascii="Verdana" w:eastAsia="Times New Roman" w:hAnsi="Verdana" w:cs="Arial"/>
          <w:color w:val="000000"/>
          <w:lang w:val="es-MX" w:eastAsia="es-ES_tradnl"/>
        </w:rPr>
        <w:t xml:space="preserve"> es el objeto contractual y el tipo de negocio jurídico que se debe celebrar para la satisfacción de una necesidad que </w:t>
      </w:r>
      <w:proofErr w:type="gramStart"/>
      <w:r>
        <w:rPr>
          <w:rFonts w:ascii="Verdana" w:eastAsia="Times New Roman" w:hAnsi="Verdana" w:cs="Arial"/>
          <w:color w:val="000000"/>
          <w:lang w:val="es-MX" w:eastAsia="es-ES_tradnl"/>
        </w:rPr>
        <w:t>este asociada</w:t>
      </w:r>
      <w:proofErr w:type="gramEnd"/>
      <w:r>
        <w:rPr>
          <w:rFonts w:ascii="Verdana" w:eastAsia="Times New Roman" w:hAnsi="Verdana" w:cs="Arial"/>
          <w:color w:val="000000"/>
          <w:lang w:val="es-MX" w:eastAsia="es-ES_tradnl"/>
        </w:rPr>
        <w:t xml:space="preserve"> a la ejecución de trabajos artísticos. De acuerdo con el tipo de necesidad resultan aplicables los negocios jurídicos establecidos en </w:t>
      </w:r>
      <w:proofErr w:type="gramStart"/>
      <w:r>
        <w:rPr>
          <w:rFonts w:ascii="Verdana" w:eastAsia="Times New Roman" w:hAnsi="Verdana" w:cs="Arial"/>
          <w:color w:val="000000"/>
          <w:lang w:val="es-MX" w:eastAsia="es-ES_tradnl"/>
        </w:rPr>
        <w:t>los artículo</w:t>
      </w:r>
      <w:proofErr w:type="gramEnd"/>
      <w:r>
        <w:rPr>
          <w:rFonts w:ascii="Verdana" w:eastAsia="Times New Roman" w:hAnsi="Verdana" w:cs="Arial"/>
          <w:color w:val="000000"/>
          <w:lang w:val="es-MX" w:eastAsia="es-ES_tradnl"/>
        </w:rPr>
        <w:t xml:space="preserve"> 32.3 de la Ley 80 de 1993, 2 y 5 del Decreto 092 de 2017, así como los que en ejercicio de la autonomía de la voluntad se celebren con arreglo a las disposiciones civiles. En consonancia con el tipo de negocio jurídico escogido, las entidades estatales pueden optar por contratar a los artistas de manera directa, ya sea a través de un </w:t>
      </w:r>
      <w:r w:rsidRPr="008F1E8B">
        <w:rPr>
          <w:rFonts w:ascii="Verdana" w:eastAsia="Times New Roman" w:hAnsi="Verdana" w:cs="Arial"/>
          <w:i/>
          <w:iCs/>
          <w:color w:val="000000"/>
          <w:lang w:val="es-MX" w:eastAsia="es-ES_tradnl"/>
        </w:rPr>
        <w:t xml:space="preserve">contrato de prestación de </w:t>
      </w:r>
      <w:r w:rsidRPr="00636239">
        <w:rPr>
          <w:rFonts w:ascii="Verdana" w:eastAsia="Times New Roman" w:hAnsi="Verdana" w:cs="Arial"/>
          <w:i/>
          <w:iCs/>
          <w:color w:val="000000"/>
          <w:lang w:val="es-MX" w:eastAsia="es-ES_tradnl"/>
        </w:rPr>
        <w:t>servicios</w:t>
      </w:r>
      <w:r>
        <w:rPr>
          <w:rFonts w:ascii="Verdana" w:eastAsia="Times New Roman" w:hAnsi="Verdana" w:cs="Arial"/>
          <w:color w:val="000000"/>
          <w:lang w:val="es-MX" w:eastAsia="es-ES_tradnl"/>
        </w:rPr>
        <w:t xml:space="preserve"> o un </w:t>
      </w:r>
      <w:r w:rsidRPr="00636239">
        <w:rPr>
          <w:rFonts w:ascii="Verdana" w:eastAsia="Times New Roman" w:hAnsi="Verdana" w:cs="Arial"/>
          <w:i/>
          <w:iCs/>
          <w:color w:val="000000"/>
          <w:lang w:val="es-MX" w:eastAsia="es-ES_tradnl"/>
        </w:rPr>
        <w:t>contrato de colaboración</w:t>
      </w:r>
      <w:r>
        <w:rPr>
          <w:rFonts w:ascii="Verdana" w:eastAsia="Times New Roman" w:hAnsi="Verdana" w:cs="Arial"/>
          <w:color w:val="000000"/>
          <w:lang w:val="es-MX" w:eastAsia="es-ES_tradnl"/>
        </w:rPr>
        <w:t xml:space="preserve">, o bien puede acudir a otro tipo de negocio jurídico en el que, la vinculación de los artistas encargados de la ejecución material del objeto sea una obligación del contratista. </w:t>
      </w:r>
    </w:p>
    <w:p w14:paraId="2596485A" w14:textId="77777777" w:rsidR="000D62F3" w:rsidRDefault="000D62F3" w:rsidP="000D62F3">
      <w:pPr>
        <w:tabs>
          <w:tab w:val="left" w:pos="142"/>
          <w:tab w:val="left" w:pos="284"/>
        </w:tabs>
        <w:spacing w:after="0" w:line="276" w:lineRule="auto"/>
        <w:rPr>
          <w:rFonts w:ascii="Verdana" w:eastAsia="Century Gothic" w:hAnsi="Verdana" w:cs="Century Gothic"/>
          <w:b/>
          <w:bCs/>
        </w:rPr>
      </w:pPr>
      <w:r w:rsidRPr="00464D09">
        <w:rPr>
          <w:rFonts w:ascii="Verdana" w:eastAsia="Century Gothic" w:hAnsi="Verdana" w:cs="Century Gothic"/>
          <w:b/>
          <w:bCs/>
        </w:rPr>
        <w:t>4. Referencias normativas:</w:t>
      </w:r>
      <w:bookmarkEnd w:id="1"/>
    </w:p>
    <w:p w14:paraId="11627672" w14:textId="77777777" w:rsidR="000D62F3" w:rsidRPr="00464D09" w:rsidRDefault="000D62F3" w:rsidP="000D62F3">
      <w:pPr>
        <w:tabs>
          <w:tab w:val="left" w:pos="142"/>
          <w:tab w:val="left" w:pos="284"/>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D62F3" w:rsidRPr="00464D09" w14:paraId="676DC8A0" w14:textId="77777777" w:rsidTr="00117AA1">
        <w:trPr>
          <w:trHeight w:val="1148"/>
          <w:jc w:val="center"/>
        </w:trPr>
        <w:tc>
          <w:tcPr>
            <w:tcW w:w="8647" w:type="dxa"/>
          </w:tcPr>
          <w:p w14:paraId="0966AD6A" w14:textId="77777777" w:rsidR="000D62F3" w:rsidRPr="00464D09" w:rsidRDefault="000D62F3" w:rsidP="00117AA1">
            <w:pPr>
              <w:spacing w:line="276" w:lineRule="auto"/>
              <w:jc w:val="both"/>
              <w:rPr>
                <w:rFonts w:ascii="Verdana" w:eastAsia="Aptos" w:hAnsi="Verdana" w:cs="Arial"/>
                <w:bCs/>
              </w:rPr>
            </w:pPr>
          </w:p>
          <w:p w14:paraId="43175F40" w14:textId="77777777" w:rsidR="000D62F3" w:rsidRPr="00464D09" w:rsidRDefault="000D62F3" w:rsidP="000D62F3">
            <w:pPr>
              <w:pStyle w:val="Prrafodelista"/>
              <w:numPr>
                <w:ilvl w:val="0"/>
                <w:numId w:val="17"/>
              </w:numPr>
              <w:spacing w:after="120" w:line="276" w:lineRule="auto"/>
              <w:jc w:val="both"/>
              <w:rPr>
                <w:rFonts w:ascii="Verdana" w:eastAsia="Aptos" w:hAnsi="Verdana" w:cs="Arial"/>
                <w:bCs/>
              </w:rPr>
            </w:pPr>
            <w:r w:rsidRPr="00464D09">
              <w:rPr>
                <w:rFonts w:ascii="Verdana" w:eastAsia="Aptos" w:hAnsi="Verdana" w:cs="Arial"/>
                <w:bCs/>
              </w:rPr>
              <w:t>Constitución Política de 1991. Artículo 355 </w:t>
            </w:r>
          </w:p>
          <w:p w14:paraId="72ADE660" w14:textId="77777777" w:rsidR="000D62F3" w:rsidRDefault="000D62F3" w:rsidP="000D62F3">
            <w:pPr>
              <w:pStyle w:val="Prrafodelista"/>
              <w:numPr>
                <w:ilvl w:val="0"/>
                <w:numId w:val="17"/>
              </w:numPr>
              <w:spacing w:after="120" w:line="276" w:lineRule="auto"/>
              <w:jc w:val="both"/>
              <w:rPr>
                <w:rFonts w:ascii="Verdana" w:eastAsia="Aptos" w:hAnsi="Verdana" w:cs="Arial"/>
                <w:bCs/>
              </w:rPr>
            </w:pPr>
            <w:r w:rsidRPr="00186AFD">
              <w:rPr>
                <w:rFonts w:ascii="Verdana" w:eastAsia="Aptos" w:hAnsi="Verdana" w:cs="Arial"/>
                <w:bCs/>
              </w:rPr>
              <w:t>Ley 80 de 1993, Artículo 32, numeral 3.</w:t>
            </w:r>
          </w:p>
          <w:p w14:paraId="146BDFB2" w14:textId="77777777" w:rsidR="000D62F3" w:rsidRPr="008F1E8B" w:rsidRDefault="000D62F3" w:rsidP="000D62F3">
            <w:pPr>
              <w:pStyle w:val="Prrafodelista"/>
              <w:numPr>
                <w:ilvl w:val="0"/>
                <w:numId w:val="17"/>
              </w:numPr>
              <w:spacing w:after="120" w:line="276" w:lineRule="auto"/>
              <w:jc w:val="both"/>
              <w:rPr>
                <w:rFonts w:ascii="Verdana" w:eastAsia="Aptos" w:hAnsi="Verdana" w:cs="Arial"/>
                <w:bCs/>
              </w:rPr>
            </w:pPr>
            <w:r w:rsidRPr="008F1E8B">
              <w:rPr>
                <w:rFonts w:ascii="Verdana" w:eastAsia="Aptos" w:hAnsi="Verdana" w:cs="Arial"/>
                <w:bCs/>
              </w:rPr>
              <w:t xml:space="preserve">Ley 489 de 1998, artículo 96. </w:t>
            </w:r>
          </w:p>
          <w:p w14:paraId="09717C05" w14:textId="77777777" w:rsidR="000D62F3" w:rsidRPr="00464D09" w:rsidRDefault="000D62F3" w:rsidP="000D62F3">
            <w:pPr>
              <w:pStyle w:val="Prrafodelista"/>
              <w:numPr>
                <w:ilvl w:val="0"/>
                <w:numId w:val="17"/>
              </w:numPr>
              <w:spacing w:line="276" w:lineRule="auto"/>
              <w:ind w:right="709"/>
              <w:jc w:val="both"/>
              <w:rPr>
                <w:rFonts w:ascii="Verdana" w:hAnsi="Verdana" w:cs="Arial"/>
                <w:lang w:val="es-ES_tradnl"/>
              </w:rPr>
            </w:pPr>
            <w:r w:rsidRPr="00464D09">
              <w:rPr>
                <w:rFonts w:ascii="Verdana" w:hAnsi="Verdana" w:cs="Arial"/>
                <w:lang w:val="es-ES_tradnl"/>
              </w:rPr>
              <w:t xml:space="preserve">Ley 1150 de 2007, artículo 2. </w:t>
            </w:r>
          </w:p>
          <w:p w14:paraId="61AF82D0" w14:textId="77777777" w:rsidR="000D62F3" w:rsidRPr="008F1E8B" w:rsidRDefault="000D62F3" w:rsidP="000D62F3">
            <w:pPr>
              <w:pStyle w:val="Prrafodelista"/>
              <w:numPr>
                <w:ilvl w:val="0"/>
                <w:numId w:val="17"/>
              </w:numPr>
              <w:spacing w:line="276" w:lineRule="auto"/>
              <w:ind w:right="709"/>
              <w:jc w:val="both"/>
              <w:rPr>
                <w:rFonts w:ascii="Verdana" w:hAnsi="Verdana" w:cs="Arial"/>
                <w:lang w:val="es-ES_tradnl"/>
              </w:rPr>
            </w:pPr>
            <w:r w:rsidRPr="00186AFD">
              <w:rPr>
                <w:rFonts w:ascii="Verdana" w:hAnsi="Verdana" w:cs="Arial"/>
                <w:lang w:val="es-ES_tradnl"/>
              </w:rPr>
              <w:t>Decreto 1082 de 2015, artículos</w:t>
            </w:r>
            <w:r w:rsidRPr="00464D09">
              <w:rPr>
                <w:rFonts w:ascii="Verdana" w:hAnsi="Verdana" w:cs="Arial"/>
                <w:lang w:val="es-ES_tradnl"/>
              </w:rPr>
              <w:t xml:space="preserve"> </w:t>
            </w:r>
            <w:r w:rsidRPr="00464D09">
              <w:rPr>
                <w:rFonts w:ascii="Verdana" w:hAnsi="Verdana" w:cs="Arial"/>
              </w:rPr>
              <w:t xml:space="preserve">2.2.1.2.1.4.1 y </w:t>
            </w:r>
            <w:r w:rsidRPr="00464D09">
              <w:rPr>
                <w:rFonts w:ascii="Verdana" w:hAnsi="Verdana" w:cs="Arial"/>
                <w:lang w:val="es-ES_tradnl"/>
              </w:rPr>
              <w:t>2.2.1.2.1.4.9</w:t>
            </w:r>
            <w:r w:rsidRPr="00464D09">
              <w:rPr>
                <w:rFonts w:ascii="Verdana" w:hAnsi="Verdana" w:cs="Arial"/>
                <w:lang w:val="es-MX" w:eastAsia="es-ES_tradnl"/>
              </w:rPr>
              <w:t xml:space="preserve"> </w:t>
            </w:r>
          </w:p>
          <w:p w14:paraId="253A4BD7" w14:textId="77777777" w:rsidR="000D62F3" w:rsidRPr="00186AFD" w:rsidRDefault="000D62F3" w:rsidP="000D62F3">
            <w:pPr>
              <w:pStyle w:val="Prrafodelista"/>
              <w:numPr>
                <w:ilvl w:val="0"/>
                <w:numId w:val="17"/>
              </w:numPr>
              <w:spacing w:line="276" w:lineRule="auto"/>
              <w:ind w:right="709"/>
              <w:jc w:val="both"/>
              <w:rPr>
                <w:rFonts w:ascii="Verdana" w:hAnsi="Verdana" w:cs="Arial"/>
                <w:lang w:val="es-ES_tradnl"/>
              </w:rPr>
            </w:pPr>
            <w:r w:rsidRPr="00186AFD">
              <w:rPr>
                <w:rFonts w:ascii="Verdana" w:hAnsi="Verdana" w:cs="Arial"/>
                <w:lang w:val="es-ES_tradnl"/>
              </w:rPr>
              <w:t xml:space="preserve">Decreto 092 de 2017, artículos 2, 3, 4 y 5. </w:t>
            </w:r>
          </w:p>
          <w:p w14:paraId="487C4E9F" w14:textId="77777777" w:rsidR="000D62F3" w:rsidRPr="00C40E1E" w:rsidRDefault="000D62F3" w:rsidP="000D62F3">
            <w:pPr>
              <w:pStyle w:val="Prrafodelista"/>
              <w:numPr>
                <w:ilvl w:val="0"/>
                <w:numId w:val="17"/>
              </w:numPr>
              <w:tabs>
                <w:tab w:val="clear" w:pos="720"/>
              </w:tabs>
              <w:spacing w:line="276" w:lineRule="auto"/>
              <w:ind w:right="39"/>
              <w:jc w:val="both"/>
              <w:rPr>
                <w:rFonts w:ascii="Verdana" w:eastAsia="Aptos" w:hAnsi="Verdana" w:cs="Arial"/>
                <w:bCs/>
              </w:rPr>
            </w:pPr>
            <w:r w:rsidRPr="00186AFD">
              <w:rPr>
                <w:rFonts w:ascii="Verdana" w:hAnsi="Verdana" w:cs="Arial"/>
                <w:lang w:val="es-ES_tradnl"/>
              </w:rPr>
              <w:t xml:space="preserve">CONSEJO DE ESTADO, Sala de Consulta y Servicio Civil, Concepto del 24 de febrero de 2005, con radicado No. 1626, C.P. Dra. Gloria Duque </w:t>
            </w:r>
            <w:proofErr w:type="spellStart"/>
            <w:r w:rsidRPr="00186AFD">
              <w:rPr>
                <w:rFonts w:ascii="Verdana" w:hAnsi="Verdana" w:cs="Arial"/>
                <w:lang w:val="es-ES_tradnl"/>
              </w:rPr>
              <w:t>Hernández</w:t>
            </w:r>
            <w:r w:rsidRPr="00464D09">
              <w:rPr>
                <w:rFonts w:ascii="Verdana" w:hAnsi="Verdana" w:cs="Arial"/>
                <w:lang w:val="es-ES_tradnl"/>
              </w:rPr>
              <w:t>CONSEJO</w:t>
            </w:r>
            <w:proofErr w:type="spellEnd"/>
            <w:r w:rsidRPr="00464D09">
              <w:rPr>
                <w:rFonts w:ascii="Verdana" w:hAnsi="Verdana" w:cs="Arial"/>
                <w:lang w:val="es-ES_tradnl"/>
              </w:rPr>
              <w:t xml:space="preserve"> DE ESTADO, Sección Segunda, Sentencia de unificación por importancia jurídica del nueve (09) de septiembre de 2021. Radicado CE-SUJ2-025-21</w:t>
            </w:r>
          </w:p>
          <w:p w14:paraId="63E10998" w14:textId="77777777" w:rsidR="000D62F3" w:rsidRPr="00041151" w:rsidRDefault="000D62F3" w:rsidP="000D62F3">
            <w:pPr>
              <w:pStyle w:val="Prrafodelista"/>
              <w:numPr>
                <w:ilvl w:val="0"/>
                <w:numId w:val="17"/>
              </w:numPr>
              <w:spacing w:line="276" w:lineRule="auto"/>
              <w:ind w:right="180"/>
              <w:jc w:val="both"/>
              <w:rPr>
                <w:rFonts w:ascii="Verdana" w:eastAsia="Aptos" w:hAnsi="Verdana" w:cs="Arial"/>
              </w:rPr>
            </w:pPr>
            <w:r w:rsidRPr="00464D09">
              <w:rPr>
                <w:rFonts w:ascii="Verdana" w:hAnsi="Verdana" w:cs="Arial"/>
                <w:lang w:val="es-ES_tradnl"/>
              </w:rPr>
              <w:t>CONSEJO DE ESTADO. Sección Tercera. Subsección C.</w:t>
            </w:r>
            <w:r>
              <w:rPr>
                <w:rFonts w:ascii="Verdana" w:hAnsi="Verdana" w:cs="Arial"/>
                <w:lang w:val="es-ES_tradnl"/>
              </w:rPr>
              <w:t xml:space="preserve"> </w:t>
            </w:r>
            <w:r w:rsidRPr="00464D09">
              <w:rPr>
                <w:rFonts w:ascii="Verdana" w:hAnsi="Verdana" w:cs="Arial"/>
                <w:lang w:val="es-ES_tradnl"/>
              </w:rPr>
              <w:t xml:space="preserve">Sentencia del 2 de diciembre de 2013. Consejero Ponente: Jaime Orlando Santofimio Gamboa. </w:t>
            </w:r>
            <w:proofErr w:type="spellStart"/>
            <w:r w:rsidRPr="00464D09">
              <w:rPr>
                <w:rFonts w:ascii="Verdana" w:hAnsi="Verdana" w:cs="Arial"/>
                <w:lang w:val="es-ES_tradnl"/>
              </w:rPr>
              <w:t>Exp</w:t>
            </w:r>
            <w:proofErr w:type="spellEnd"/>
            <w:r w:rsidRPr="00464D09">
              <w:rPr>
                <w:rFonts w:ascii="Verdana" w:hAnsi="Verdana" w:cs="Arial"/>
                <w:lang w:val="es-ES_tradnl"/>
              </w:rPr>
              <w:t>. 41719.</w:t>
            </w:r>
          </w:p>
          <w:p w14:paraId="4B39F245" w14:textId="77777777" w:rsidR="000D62F3" w:rsidRPr="008F1E8B" w:rsidRDefault="000D62F3" w:rsidP="000D62F3">
            <w:pPr>
              <w:pStyle w:val="Prrafodelista"/>
              <w:numPr>
                <w:ilvl w:val="0"/>
                <w:numId w:val="17"/>
              </w:numPr>
              <w:spacing w:line="276" w:lineRule="auto"/>
              <w:ind w:right="180"/>
              <w:jc w:val="both"/>
              <w:rPr>
                <w:rFonts w:ascii="Verdana" w:eastAsia="Aptos" w:hAnsi="Verdana" w:cs="Arial"/>
                <w:bCs/>
              </w:rPr>
            </w:pPr>
            <w:r w:rsidRPr="008F1E8B">
              <w:rPr>
                <w:rFonts w:ascii="Verdana" w:eastAsia="Calibri" w:hAnsi="Verdana" w:cs="Arial"/>
                <w:color w:val="000000" w:themeColor="text1"/>
              </w:rPr>
              <w:lastRenderedPageBreak/>
              <w:t xml:space="preserve">CONSEJO DE ESTADO, Sección Tercera, Subsección A. Auto del 6 de agosto de 2019 </w:t>
            </w:r>
            <w:proofErr w:type="spellStart"/>
            <w:r w:rsidRPr="008F1E8B">
              <w:rPr>
                <w:rFonts w:ascii="Verdana" w:eastAsia="Calibri" w:hAnsi="Verdana" w:cs="Arial"/>
                <w:color w:val="000000" w:themeColor="text1"/>
              </w:rPr>
              <w:t>Exp</w:t>
            </w:r>
            <w:proofErr w:type="spellEnd"/>
            <w:r w:rsidRPr="008F1E8B">
              <w:rPr>
                <w:rFonts w:ascii="Verdana" w:eastAsia="Calibri" w:hAnsi="Verdana" w:cs="Arial"/>
                <w:color w:val="000000" w:themeColor="text1"/>
              </w:rPr>
              <w:t xml:space="preserve">. No. 62.003, </w:t>
            </w:r>
            <w:proofErr w:type="gramStart"/>
            <w:r w:rsidRPr="008F1E8B">
              <w:rPr>
                <w:rFonts w:ascii="Verdana" w:eastAsia="Calibri" w:hAnsi="Verdana" w:cs="Arial"/>
                <w:color w:val="000000" w:themeColor="text1"/>
              </w:rPr>
              <w:t>Consejero</w:t>
            </w:r>
            <w:proofErr w:type="gramEnd"/>
            <w:r w:rsidRPr="008F1E8B">
              <w:rPr>
                <w:rFonts w:ascii="Verdana" w:eastAsia="Calibri" w:hAnsi="Verdana" w:cs="Arial"/>
                <w:color w:val="000000" w:themeColor="text1"/>
              </w:rPr>
              <w:t xml:space="preserve"> Ponente Carlos Alberto Zambrano Barrera</w:t>
            </w:r>
          </w:p>
          <w:p w14:paraId="09102A0B" w14:textId="77777777" w:rsidR="000D62F3" w:rsidRPr="008F1E8B" w:rsidRDefault="000D62F3" w:rsidP="000D62F3">
            <w:pPr>
              <w:pStyle w:val="Prrafodelista"/>
              <w:numPr>
                <w:ilvl w:val="0"/>
                <w:numId w:val="17"/>
              </w:numPr>
              <w:spacing w:line="276" w:lineRule="auto"/>
              <w:ind w:right="180"/>
              <w:jc w:val="both"/>
              <w:rPr>
                <w:rFonts w:ascii="Verdana" w:eastAsia="Aptos" w:hAnsi="Verdana" w:cs="Arial"/>
                <w:bCs/>
              </w:rPr>
            </w:pPr>
            <w:r w:rsidRPr="00186AFD">
              <w:rPr>
                <w:rFonts w:ascii="Verdana" w:eastAsia="Aptos" w:hAnsi="Verdana" w:cs="Arial"/>
                <w:bCs/>
                <w:lang w:val="es-CO"/>
              </w:rPr>
              <w:t>CONSEJO DE ESTADO. Sala Plena. </w:t>
            </w:r>
            <w:r w:rsidRPr="008F1E8B">
              <w:rPr>
                <w:rFonts w:ascii="Verdana" w:eastAsia="Aptos" w:hAnsi="Verdana" w:cs="Arial"/>
                <w:lang w:val="es-CO"/>
              </w:rPr>
              <w:t>Auto del 15 de marzo de 2022</w:t>
            </w:r>
            <w:r w:rsidRPr="00186AFD">
              <w:rPr>
                <w:rFonts w:ascii="Verdana" w:eastAsia="Aptos" w:hAnsi="Verdana" w:cs="Arial"/>
                <w:bCs/>
                <w:lang w:val="es-CO"/>
              </w:rPr>
              <w:t xml:space="preserve">. </w:t>
            </w:r>
            <w:proofErr w:type="spellStart"/>
            <w:r w:rsidRPr="00186AFD">
              <w:rPr>
                <w:rFonts w:ascii="Verdana" w:eastAsia="Aptos" w:hAnsi="Verdana" w:cs="Arial"/>
                <w:bCs/>
                <w:lang w:val="es-CO"/>
              </w:rPr>
              <w:t>Exp</w:t>
            </w:r>
            <w:proofErr w:type="spellEnd"/>
            <w:r w:rsidRPr="00186AFD">
              <w:rPr>
                <w:rFonts w:ascii="Verdana" w:eastAsia="Aptos" w:hAnsi="Verdana" w:cs="Arial"/>
                <w:bCs/>
                <w:lang w:val="es-CO"/>
              </w:rPr>
              <w:t>. No. 62.003. C.P. Rocío Araújo Oñate.</w:t>
            </w:r>
          </w:p>
          <w:p w14:paraId="4C29ADD4" w14:textId="77777777" w:rsidR="000D62F3" w:rsidRPr="00186AFD" w:rsidRDefault="000D62F3" w:rsidP="000D62F3">
            <w:pPr>
              <w:pStyle w:val="Prrafodelista"/>
              <w:numPr>
                <w:ilvl w:val="0"/>
                <w:numId w:val="17"/>
              </w:numPr>
              <w:spacing w:line="276" w:lineRule="auto"/>
              <w:ind w:right="180"/>
              <w:jc w:val="both"/>
              <w:rPr>
                <w:rFonts w:ascii="Verdana" w:eastAsia="Aptos" w:hAnsi="Verdana" w:cs="Arial"/>
                <w:bCs/>
              </w:rPr>
            </w:pPr>
            <w:r w:rsidRPr="008F1E8B">
              <w:rPr>
                <w:rFonts w:ascii="Verdana" w:eastAsia="Calibri" w:hAnsi="Verdana" w:cs="Arial"/>
                <w:color w:val="000000" w:themeColor="text1"/>
              </w:rPr>
              <w:t>CORTE CONSTITUCIONAL, sentencia C-910 del 31 de octubre de 2007. Magistrado Ponente, Marco Gerardo Monroy Cabra.</w:t>
            </w:r>
          </w:p>
          <w:p w14:paraId="75FE82F1" w14:textId="77777777" w:rsidR="000D62F3" w:rsidRPr="0079133B" w:rsidRDefault="000D62F3" w:rsidP="000D62F3">
            <w:pPr>
              <w:pStyle w:val="Prrafodelista"/>
              <w:numPr>
                <w:ilvl w:val="0"/>
                <w:numId w:val="17"/>
              </w:numPr>
              <w:spacing w:line="276" w:lineRule="auto"/>
              <w:rPr>
                <w:rFonts w:ascii="Verdana" w:eastAsia="Aptos" w:hAnsi="Verdana" w:cs="Arial"/>
                <w:bCs/>
              </w:rPr>
            </w:pPr>
            <w:r w:rsidRPr="0079133B">
              <w:rPr>
                <w:rFonts w:ascii="Verdana" w:eastAsia="Aptos" w:hAnsi="Verdana" w:cs="Arial"/>
                <w:bCs/>
              </w:rPr>
              <w:t xml:space="preserve">RODRÍGUEZ TAMAYO, Mauricio. Contratación pública con Entidades sin ánimo de lucro. Bogotá: Legis Editores, 2017. Página 28. </w:t>
            </w:r>
          </w:p>
          <w:p w14:paraId="3FF24B17" w14:textId="77777777" w:rsidR="000D62F3" w:rsidRPr="00D06C96" w:rsidRDefault="000D62F3" w:rsidP="000D62F3">
            <w:pPr>
              <w:pStyle w:val="Prrafodelista"/>
              <w:numPr>
                <w:ilvl w:val="0"/>
                <w:numId w:val="17"/>
              </w:numPr>
              <w:spacing w:line="276" w:lineRule="auto"/>
              <w:ind w:right="180"/>
              <w:jc w:val="both"/>
              <w:rPr>
                <w:rFonts w:ascii="Verdana" w:eastAsia="Aptos" w:hAnsi="Verdana" w:cs="Arial"/>
                <w:bCs/>
              </w:rPr>
            </w:pPr>
            <w:r w:rsidRPr="0079133B">
              <w:rPr>
                <w:rFonts w:ascii="Verdana" w:eastAsia="Aptos" w:hAnsi="Verdana" w:cs="Arial"/>
                <w:bCs/>
              </w:rPr>
              <w:t>AGENCIA NACIONAL DE CONTRATACIÓN PÚBLICA – COLOMBIA COMPRA EFICIENTE. Guía para la contratación con entidades privadas sin ánimo de lucro y de reconocida idoneidad.</w:t>
            </w:r>
          </w:p>
          <w:p w14:paraId="4D378ECA" w14:textId="77777777" w:rsidR="000D62F3" w:rsidRPr="00C40E1E" w:rsidRDefault="000D62F3" w:rsidP="00117AA1">
            <w:pPr>
              <w:pStyle w:val="Prrafodelista"/>
              <w:spacing w:line="276" w:lineRule="auto"/>
              <w:ind w:right="180"/>
              <w:jc w:val="both"/>
              <w:rPr>
                <w:rFonts w:ascii="Verdana" w:eastAsia="Aptos" w:hAnsi="Verdana" w:cs="Arial"/>
                <w:bCs/>
              </w:rPr>
            </w:pPr>
            <w:r>
              <w:rPr>
                <w:rFonts w:ascii="Verdana" w:eastAsia="Aptos" w:hAnsi="Verdana" w:cs="Arial"/>
                <w:bCs/>
              </w:rPr>
              <w:t xml:space="preserve"> </w:t>
            </w:r>
          </w:p>
        </w:tc>
      </w:tr>
    </w:tbl>
    <w:p w14:paraId="79B69BE1" w14:textId="77777777" w:rsidR="000D62F3" w:rsidRDefault="000D62F3" w:rsidP="000D62F3">
      <w:pPr>
        <w:widowControl w:val="0"/>
        <w:autoSpaceDE w:val="0"/>
        <w:autoSpaceDN w:val="0"/>
        <w:spacing w:after="0" w:line="276" w:lineRule="auto"/>
        <w:jc w:val="both"/>
        <w:rPr>
          <w:rFonts w:ascii="Verdana" w:hAnsi="Verdana" w:cs="Arial"/>
        </w:rPr>
      </w:pPr>
    </w:p>
    <w:p w14:paraId="6D870D4F" w14:textId="77777777" w:rsidR="000D62F3" w:rsidRDefault="000D62F3" w:rsidP="000D62F3">
      <w:pPr>
        <w:widowControl w:val="0"/>
        <w:autoSpaceDE w:val="0"/>
        <w:autoSpaceDN w:val="0"/>
        <w:spacing w:after="0" w:line="276" w:lineRule="auto"/>
        <w:jc w:val="both"/>
        <w:rPr>
          <w:rFonts w:ascii="Verdana" w:hAnsi="Verdana" w:cs="Arial"/>
        </w:rPr>
      </w:pPr>
    </w:p>
    <w:p w14:paraId="7116723A" w14:textId="77777777" w:rsidR="000D62F3" w:rsidRDefault="000D62F3" w:rsidP="000D62F3">
      <w:pPr>
        <w:widowControl w:val="0"/>
        <w:autoSpaceDE w:val="0"/>
        <w:autoSpaceDN w:val="0"/>
        <w:spacing w:after="0" w:line="276" w:lineRule="auto"/>
        <w:jc w:val="both"/>
        <w:rPr>
          <w:rFonts w:ascii="Verdana" w:hAnsi="Verdana" w:cs="Arial"/>
        </w:rPr>
      </w:pPr>
    </w:p>
    <w:p w14:paraId="052915E2" w14:textId="77777777" w:rsidR="000D62F3" w:rsidRPr="00464D09" w:rsidRDefault="000D62F3" w:rsidP="000D62F3">
      <w:pPr>
        <w:widowControl w:val="0"/>
        <w:autoSpaceDE w:val="0"/>
        <w:autoSpaceDN w:val="0"/>
        <w:spacing w:after="0" w:line="276" w:lineRule="auto"/>
        <w:jc w:val="both"/>
        <w:rPr>
          <w:rFonts w:ascii="Verdana" w:hAnsi="Verdana" w:cs="Arial"/>
        </w:rPr>
      </w:pPr>
    </w:p>
    <w:p w14:paraId="1439277E" w14:textId="77777777" w:rsidR="000D62F3" w:rsidRPr="00464D09" w:rsidRDefault="000D62F3" w:rsidP="000D62F3">
      <w:pPr>
        <w:tabs>
          <w:tab w:val="left" w:pos="142"/>
          <w:tab w:val="left" w:pos="284"/>
        </w:tabs>
        <w:spacing w:after="0" w:line="276" w:lineRule="auto"/>
        <w:jc w:val="both"/>
        <w:rPr>
          <w:rFonts w:ascii="Verdana" w:eastAsia="Century Gothic" w:hAnsi="Verdana" w:cs="Century Gothic"/>
          <w:b/>
          <w:bCs/>
        </w:rPr>
      </w:pPr>
      <w:r w:rsidRPr="00464D09">
        <w:rPr>
          <w:rFonts w:ascii="Verdana" w:eastAsia="Century Gothic" w:hAnsi="Verdana" w:cs="Century Gothic"/>
          <w:b/>
          <w:bCs/>
        </w:rPr>
        <w:t>5. Doctrina de la Agencia Nacional de Contratación Pública:</w:t>
      </w:r>
    </w:p>
    <w:p w14:paraId="6FACBC93" w14:textId="77777777" w:rsidR="000D62F3" w:rsidRPr="00464D09" w:rsidRDefault="000D62F3" w:rsidP="000D62F3">
      <w:pPr>
        <w:spacing w:after="0" w:line="240" w:lineRule="auto"/>
        <w:jc w:val="both"/>
        <w:rPr>
          <w:rFonts w:ascii="Verdana" w:hAnsi="Verdana" w:cs="Arial"/>
          <w:shd w:val="clear" w:color="auto" w:fill="FFFFFF"/>
        </w:rPr>
      </w:pPr>
    </w:p>
    <w:p w14:paraId="50CB4F42" w14:textId="77777777" w:rsidR="000D62F3" w:rsidRDefault="000D62F3" w:rsidP="000D62F3">
      <w:pPr>
        <w:widowControl w:val="0"/>
        <w:autoSpaceDE w:val="0"/>
        <w:autoSpaceDN w:val="0"/>
        <w:spacing w:after="0" w:line="276" w:lineRule="auto"/>
        <w:jc w:val="both"/>
      </w:pPr>
      <w:r w:rsidRPr="00464D09">
        <w:rPr>
          <w:rFonts w:ascii="Verdana" w:hAnsi="Verdana" w:cs="Arial"/>
          <w:shd w:val="clear" w:color="auto" w:fill="FFFFFF"/>
        </w:rPr>
        <w:t>La Agencia Nacional de Contratación Pública – Colombia Compra Eficiente ha analizado los contratos de prestación de servicios artísticos, así como sus principales elementos, en los conceptos con radicado: C-491 del 14 de septiembre de 2021, C-517 del 30 de septiembre de 2021, C-181 del 07 de abril de 2022, C-966 del 01 de febrero de 2023, C-107 del 28 de mayo de 2024 y C-101 de agosto de 2024</w:t>
      </w:r>
      <w:r>
        <w:rPr>
          <w:rFonts w:ascii="Verdana" w:hAnsi="Verdana" w:cs="Arial"/>
          <w:shd w:val="clear" w:color="auto" w:fill="FFFFFF"/>
        </w:rPr>
        <w:t>, C</w:t>
      </w:r>
      <w:r w:rsidRPr="009276CD">
        <w:rPr>
          <w:rFonts w:ascii="Verdana" w:hAnsi="Verdana" w:cs="Arial"/>
          <w:shd w:val="clear" w:color="auto" w:fill="FFFFFF"/>
          <w:lang w:val="es-ES"/>
        </w:rPr>
        <w:t xml:space="preserve">- 764 del </w:t>
      </w:r>
      <w:r w:rsidRPr="009276CD">
        <w:rPr>
          <w:rFonts w:ascii="Verdana" w:hAnsi="Verdana" w:cs="Arial"/>
          <w:shd w:val="clear" w:color="auto" w:fill="FFFFFF"/>
          <w:lang w:val="es-MX"/>
        </w:rPr>
        <w:t>05 de diciembre de 2024</w:t>
      </w:r>
      <w:r>
        <w:rPr>
          <w:rFonts w:ascii="Verdana" w:hAnsi="Verdana" w:cs="Arial"/>
          <w:shd w:val="clear" w:color="auto" w:fill="FFFFFF"/>
        </w:rPr>
        <w:t xml:space="preserve">, </w:t>
      </w:r>
      <w:r w:rsidRPr="00C7022E">
        <w:rPr>
          <w:rFonts w:ascii="Verdana" w:hAnsi="Verdana" w:cs="Arial"/>
          <w:shd w:val="clear" w:color="auto" w:fill="FFFFFF"/>
        </w:rPr>
        <w:t xml:space="preserve">C-385 </w:t>
      </w:r>
      <w:r w:rsidRPr="00961D14">
        <w:rPr>
          <w:rFonts w:ascii="Verdana" w:hAnsi="Verdana" w:cs="Arial"/>
          <w:shd w:val="clear" w:color="auto" w:fill="FFFFFF"/>
          <w:lang w:val="es-MX"/>
        </w:rPr>
        <w:t>de mayo de 2025</w:t>
      </w:r>
      <w:r>
        <w:rPr>
          <w:rFonts w:ascii="Verdana" w:hAnsi="Verdana" w:cs="Arial"/>
          <w:shd w:val="clear" w:color="auto" w:fill="FFFFFF"/>
          <w:lang w:val="es-MX"/>
        </w:rPr>
        <w:t xml:space="preserve">. Así mismo, esta Subdirección se ha pronunciado sobre la contratación con entidades privadas sin ánimo de lucro en los conceptos </w:t>
      </w:r>
      <w:r w:rsidRPr="000C21C6">
        <w:rPr>
          <w:rFonts w:ascii="Verdana" w:eastAsia="Aptos" w:hAnsi="Verdana" w:cs="Arial"/>
          <w:shd w:val="clear" w:color="auto" w:fill="FFFFFF"/>
          <w:lang w:val="es-ES"/>
        </w:rPr>
        <w:t xml:space="preserve">4201912000008310 del 26 de diciembre de 2019, 4201912000007899 del 27 de diciembre de 2019, 4201912000007901 del 27 de diciembre de 2019, C-070 04 de marzo de 2020, C-094 del 04 de marzo de 2020, C-086 del 16 de marzo de 2020, C-594 del 7 de septiembre de 2020, C-670 del 22 de noviembre de 2020, C-689 del 1 de diciembre de 2020, C-724 de 14 de diciembre de 2020, C-364 de 26 de julio de 2021, C-379 de 20 de julio de 2021, C-537 del 27 de septiembre de 2021,  C-021 del 22 de febrero de 2022, C-236 del 27 de abril de 2022, C-273 del 6 de mayo de 2022, C-274 del 6 de mayo de 2022, C-291 del 18 de mayo de 2022, C-550 del 31 de agosto de 2022, C-560 del 7 de septiembre de 2022, C-853 del </w:t>
      </w:r>
      <w:r w:rsidRPr="000C21C6">
        <w:rPr>
          <w:rFonts w:ascii="Verdana" w:eastAsia="Aptos" w:hAnsi="Verdana" w:cs="Arial"/>
          <w:shd w:val="clear" w:color="auto" w:fill="FFFFFF"/>
          <w:lang w:val="es-ES"/>
        </w:rPr>
        <w:lastRenderedPageBreak/>
        <w:t>9 de diciembre de 2022, C-351 del 6 de octubre de 2023, , C-064 del 24 de abril de 2024, C-080 del 7 de mayo de 2024, C-281 del 29 de octubre de 2024, C-957 del 17 de diciembre de 2024,</w:t>
      </w:r>
      <w:r w:rsidRPr="000C21C6">
        <w:rPr>
          <w:rFonts w:ascii="Verdana" w:eastAsia="Aptos" w:hAnsi="Verdana" w:cs="Arial"/>
          <w:b/>
          <w:bCs/>
          <w:shd w:val="clear" w:color="auto" w:fill="FFFFFF"/>
          <w:lang w:val="es-ES"/>
        </w:rPr>
        <w:t xml:space="preserve"> </w:t>
      </w:r>
      <w:r w:rsidRPr="000C21C6">
        <w:rPr>
          <w:rFonts w:ascii="Verdana" w:eastAsia="Aptos" w:hAnsi="Verdana" w:cs="Arial"/>
          <w:shd w:val="clear" w:color="auto" w:fill="FFFFFF"/>
          <w:lang w:val="es-ES"/>
        </w:rPr>
        <w:t>C-875 del 13 de agosto de 2025</w:t>
      </w:r>
      <w:r w:rsidRPr="00FA312E">
        <w:rPr>
          <w:rFonts w:ascii="Verdana" w:eastAsia="Aptos" w:hAnsi="Verdana" w:cs="Arial"/>
          <w:shd w:val="clear" w:color="auto" w:fill="FFFFFF"/>
          <w:lang w:val="es-ES"/>
        </w:rPr>
        <w:t xml:space="preserve">, </w:t>
      </w:r>
      <w:r w:rsidRPr="000C21C6">
        <w:rPr>
          <w:rFonts w:ascii="Verdana" w:eastAsia="Aptos" w:hAnsi="Verdana" w:cs="Arial"/>
          <w:shd w:val="clear" w:color="auto" w:fill="FFFFFF"/>
          <w:lang w:val="es-ES"/>
        </w:rPr>
        <w:t>C-1384 del 5 de noviembre de 2025</w:t>
      </w:r>
      <w:r w:rsidRPr="00FA312E">
        <w:rPr>
          <w:rFonts w:ascii="Verdana" w:eastAsia="Aptos" w:hAnsi="Verdana" w:cs="Arial"/>
          <w:shd w:val="clear" w:color="auto" w:fill="FFFFFF"/>
          <w:lang w:val="es-ES"/>
        </w:rPr>
        <w:t xml:space="preserve"> y </w:t>
      </w:r>
      <w:r w:rsidRPr="000C21C6">
        <w:rPr>
          <w:rFonts w:ascii="Verdana" w:eastAsia="Aptos" w:hAnsi="Verdana" w:cs="Arial"/>
          <w:shd w:val="clear" w:color="auto" w:fill="FFFFFF"/>
          <w:lang w:val="es-ES"/>
        </w:rPr>
        <w:t>C-1</w:t>
      </w:r>
      <w:r w:rsidRPr="00FA312E">
        <w:rPr>
          <w:rFonts w:ascii="Verdana" w:eastAsia="Aptos" w:hAnsi="Verdana" w:cs="Arial"/>
          <w:shd w:val="clear" w:color="auto" w:fill="FFFFFF"/>
          <w:lang w:val="es-ES"/>
        </w:rPr>
        <w:t>498</w:t>
      </w:r>
      <w:r w:rsidRPr="000C21C6">
        <w:rPr>
          <w:rFonts w:ascii="Verdana" w:eastAsia="Aptos" w:hAnsi="Verdana" w:cs="Arial"/>
          <w:shd w:val="clear" w:color="auto" w:fill="FFFFFF"/>
          <w:lang w:val="es-ES"/>
        </w:rPr>
        <w:t xml:space="preserve"> del </w:t>
      </w:r>
      <w:r w:rsidRPr="00FA312E">
        <w:rPr>
          <w:rFonts w:ascii="Verdana" w:eastAsia="Aptos" w:hAnsi="Verdana" w:cs="Arial"/>
          <w:shd w:val="clear" w:color="auto" w:fill="FFFFFF"/>
          <w:lang w:val="es-ES"/>
        </w:rPr>
        <w:t>26</w:t>
      </w:r>
      <w:r w:rsidRPr="000C21C6">
        <w:rPr>
          <w:rFonts w:ascii="Verdana" w:eastAsia="Aptos" w:hAnsi="Verdana" w:cs="Arial"/>
          <w:shd w:val="clear" w:color="auto" w:fill="FFFFFF"/>
          <w:lang w:val="es-ES"/>
        </w:rPr>
        <w:t xml:space="preserve"> de noviembre de 2025, entre otros</w:t>
      </w:r>
      <w:r w:rsidRPr="00464D09">
        <w:rPr>
          <w:rFonts w:ascii="Verdana" w:eastAsia="Calibri" w:hAnsi="Verdana" w:cs="Times New Roman"/>
        </w:rPr>
        <w:t xml:space="preserve">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hyperlink r:id="rId12" w:history="1">
        <w:r w:rsidRPr="00464D09">
          <w:rPr>
            <w:rStyle w:val="Hipervnculo"/>
            <w:rFonts w:ascii="Verdana" w:eastAsia="Calibri" w:hAnsi="Verdana" w:cs="Times New Roman"/>
            <w:color w:val="auto"/>
            <w:lang w:val="es-ES"/>
          </w:rPr>
          <w:t>https://relatoria.colombiacompra.gov.co/busqueda/conceptos</w:t>
        </w:r>
      </w:hyperlink>
      <w:r w:rsidRPr="00464D09">
        <w:rPr>
          <w:rFonts w:ascii="Verdana" w:eastAsia="Calibri" w:hAnsi="Verdana" w:cs="Times New Roman"/>
        </w:rPr>
        <w:t>.</w:t>
      </w:r>
    </w:p>
    <w:p w14:paraId="22AC7A8F" w14:textId="77777777" w:rsidR="000D62F3" w:rsidRPr="00464D09" w:rsidRDefault="000D62F3" w:rsidP="000D62F3">
      <w:pPr>
        <w:widowControl w:val="0"/>
        <w:autoSpaceDE w:val="0"/>
        <w:autoSpaceDN w:val="0"/>
        <w:spacing w:after="0" w:line="276" w:lineRule="auto"/>
        <w:jc w:val="both"/>
        <w:rPr>
          <w:rFonts w:ascii="Verdana" w:hAnsi="Verdana" w:cs="Arial"/>
          <w:shd w:val="clear" w:color="auto" w:fill="FFFFFF"/>
        </w:rPr>
      </w:pPr>
    </w:p>
    <w:p w14:paraId="4DE682C9" w14:textId="77777777" w:rsidR="000D62F3" w:rsidRPr="00464D09" w:rsidRDefault="000D62F3" w:rsidP="000D62F3">
      <w:pPr>
        <w:widowControl w:val="0"/>
        <w:autoSpaceDE w:val="0"/>
        <w:autoSpaceDN w:val="0"/>
        <w:spacing w:after="0" w:line="276" w:lineRule="auto"/>
        <w:jc w:val="both"/>
        <w:rPr>
          <w:rFonts w:ascii="Verdana" w:hAnsi="Verdana" w:cs="Arial"/>
          <w:shd w:val="clear" w:color="auto" w:fill="FFFFFF"/>
        </w:rPr>
      </w:pPr>
      <w:r w:rsidRPr="00464D09">
        <w:rPr>
          <w:rFonts w:ascii="Verdana" w:hAnsi="Verdana" w:cs="Arial"/>
          <w:shd w:val="clear" w:color="auto" w:fill="FFFFFF"/>
        </w:rPr>
        <w:t>Por último, lo invitamos a seguirnos en las redes sociales en las cuales se difunde información institucional:  </w:t>
      </w:r>
    </w:p>
    <w:p w14:paraId="1F3433C3" w14:textId="77777777" w:rsidR="000D62F3" w:rsidRPr="00464D09" w:rsidRDefault="000D62F3" w:rsidP="000D62F3">
      <w:pPr>
        <w:widowControl w:val="0"/>
        <w:autoSpaceDE w:val="0"/>
        <w:autoSpaceDN w:val="0"/>
        <w:spacing w:after="0" w:line="276" w:lineRule="auto"/>
        <w:jc w:val="both"/>
        <w:rPr>
          <w:rFonts w:ascii="Verdana" w:hAnsi="Verdana" w:cs="Arial"/>
          <w:shd w:val="clear" w:color="auto" w:fill="FFFFFF"/>
        </w:rPr>
      </w:pPr>
    </w:p>
    <w:p w14:paraId="30B2720B" w14:textId="77777777" w:rsidR="000D62F3" w:rsidRPr="00464D09" w:rsidRDefault="000D62F3" w:rsidP="000D62F3">
      <w:pPr>
        <w:widowControl w:val="0"/>
        <w:autoSpaceDE w:val="0"/>
        <w:autoSpaceDN w:val="0"/>
        <w:spacing w:after="0" w:line="276" w:lineRule="auto"/>
        <w:jc w:val="both"/>
        <w:rPr>
          <w:rFonts w:ascii="Verdana" w:hAnsi="Verdana" w:cs="Arial"/>
          <w:u w:val="single"/>
          <w:shd w:val="clear" w:color="auto" w:fill="FFFFFF"/>
        </w:rPr>
      </w:pPr>
      <w:r w:rsidRPr="00464D09">
        <w:rPr>
          <w:rFonts w:ascii="Verdana" w:hAnsi="Verdana" w:cs="Arial"/>
          <w:shd w:val="clear" w:color="auto" w:fill="FFFFFF"/>
        </w:rPr>
        <w:t>Twitter: </w:t>
      </w:r>
      <w:r w:rsidRPr="00464D09">
        <w:rPr>
          <w:rFonts w:ascii="Verdana" w:hAnsi="Verdana" w:cs="Arial"/>
          <w:u w:val="single"/>
          <w:shd w:val="clear" w:color="auto" w:fill="FFFFFF"/>
        </w:rPr>
        <w:t>@colombiacompra</w:t>
      </w:r>
      <w:r w:rsidRPr="00464D09">
        <w:rPr>
          <w:rFonts w:ascii="Verdana" w:hAnsi="Verdana" w:cs="Arial"/>
          <w:shd w:val="clear" w:color="auto" w:fill="FFFFFF"/>
        </w:rPr>
        <w:t>  </w:t>
      </w:r>
    </w:p>
    <w:p w14:paraId="48CDDE4C" w14:textId="77777777" w:rsidR="000D62F3" w:rsidRPr="00464D09" w:rsidRDefault="000D62F3" w:rsidP="000D62F3">
      <w:pPr>
        <w:widowControl w:val="0"/>
        <w:autoSpaceDE w:val="0"/>
        <w:autoSpaceDN w:val="0"/>
        <w:spacing w:after="0" w:line="276" w:lineRule="auto"/>
        <w:jc w:val="both"/>
        <w:rPr>
          <w:rFonts w:ascii="Verdana" w:hAnsi="Verdana" w:cs="Arial"/>
          <w:shd w:val="clear" w:color="auto" w:fill="FFFFFF"/>
        </w:rPr>
      </w:pPr>
      <w:r w:rsidRPr="00464D09">
        <w:rPr>
          <w:rFonts w:ascii="Verdana" w:hAnsi="Verdana" w:cs="Arial"/>
          <w:shd w:val="clear" w:color="auto" w:fill="FFFFFF"/>
        </w:rPr>
        <w:t>Facebook: </w:t>
      </w:r>
      <w:proofErr w:type="spellStart"/>
      <w:r w:rsidRPr="00464D09">
        <w:rPr>
          <w:rFonts w:ascii="Verdana" w:hAnsi="Verdana" w:cs="Arial"/>
          <w:u w:val="single"/>
          <w:shd w:val="clear" w:color="auto" w:fill="FFFFFF"/>
        </w:rPr>
        <w:t>ColombiaCompraEficiente</w:t>
      </w:r>
      <w:proofErr w:type="spellEnd"/>
      <w:r w:rsidRPr="00464D09">
        <w:rPr>
          <w:rFonts w:ascii="Verdana" w:hAnsi="Verdana" w:cs="Arial"/>
          <w:shd w:val="clear" w:color="auto" w:fill="FFFFFF"/>
        </w:rPr>
        <w:t> </w:t>
      </w:r>
    </w:p>
    <w:p w14:paraId="1CD5DC55" w14:textId="77777777" w:rsidR="000D62F3" w:rsidRPr="00464D09" w:rsidRDefault="000D62F3" w:rsidP="000D62F3">
      <w:pPr>
        <w:widowControl w:val="0"/>
        <w:autoSpaceDE w:val="0"/>
        <w:autoSpaceDN w:val="0"/>
        <w:spacing w:after="0" w:line="276" w:lineRule="auto"/>
        <w:jc w:val="both"/>
        <w:rPr>
          <w:rFonts w:ascii="Verdana" w:hAnsi="Verdana" w:cs="Arial"/>
          <w:shd w:val="clear" w:color="auto" w:fill="FFFFFF"/>
        </w:rPr>
      </w:pPr>
      <w:r w:rsidRPr="00464D09">
        <w:rPr>
          <w:rFonts w:ascii="Verdana" w:hAnsi="Verdana" w:cs="Arial"/>
          <w:shd w:val="clear" w:color="auto" w:fill="FFFFFF"/>
        </w:rPr>
        <w:t>LinkedIn: Agencia Nacional de Contratación Pública - Colombia Compra Eficiente</w:t>
      </w:r>
    </w:p>
    <w:p w14:paraId="537270BC" w14:textId="77777777" w:rsidR="000D62F3" w:rsidRPr="00464D09" w:rsidRDefault="000D62F3" w:rsidP="000D62F3">
      <w:pPr>
        <w:widowControl w:val="0"/>
        <w:autoSpaceDE w:val="0"/>
        <w:autoSpaceDN w:val="0"/>
        <w:spacing w:after="0" w:line="276" w:lineRule="auto"/>
        <w:jc w:val="both"/>
        <w:rPr>
          <w:rFonts w:ascii="Verdana" w:hAnsi="Verdana" w:cs="Arial"/>
          <w:shd w:val="clear" w:color="auto" w:fill="FFFFFF"/>
        </w:rPr>
      </w:pPr>
      <w:r w:rsidRPr="00464D09">
        <w:rPr>
          <w:rFonts w:ascii="Verdana" w:hAnsi="Verdana" w:cs="Arial"/>
          <w:shd w:val="clear" w:color="auto" w:fill="FFFFFF"/>
        </w:rPr>
        <w:t>Instagram: </w:t>
      </w:r>
      <w:r w:rsidRPr="00464D09">
        <w:rPr>
          <w:rFonts w:ascii="Verdana" w:hAnsi="Verdana" w:cs="Arial"/>
          <w:u w:val="single"/>
          <w:shd w:val="clear" w:color="auto" w:fill="FFFFFF"/>
        </w:rPr>
        <w:t>@colombiacompraeficiente_cce</w:t>
      </w:r>
    </w:p>
    <w:p w14:paraId="685BBD8D" w14:textId="77777777" w:rsidR="000D62F3" w:rsidRPr="00464D09" w:rsidRDefault="000D62F3" w:rsidP="000D62F3">
      <w:pPr>
        <w:widowControl w:val="0"/>
        <w:autoSpaceDE w:val="0"/>
        <w:autoSpaceDN w:val="0"/>
        <w:spacing w:after="0" w:line="276" w:lineRule="auto"/>
        <w:jc w:val="both"/>
        <w:rPr>
          <w:rFonts w:ascii="Verdana" w:hAnsi="Verdana" w:cs="Arial"/>
          <w:shd w:val="clear" w:color="auto" w:fill="FFFFFF"/>
        </w:rPr>
      </w:pPr>
    </w:p>
    <w:p w14:paraId="2283C196" w14:textId="77777777" w:rsidR="000D62F3" w:rsidRPr="00464D09" w:rsidRDefault="000D62F3" w:rsidP="000D62F3">
      <w:pPr>
        <w:spacing w:after="0" w:line="276" w:lineRule="auto"/>
        <w:jc w:val="both"/>
        <w:rPr>
          <w:rFonts w:ascii="Verdana" w:hAnsi="Verdana"/>
        </w:rPr>
      </w:pPr>
      <w:r w:rsidRPr="00464D09">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BBEFB98" w14:textId="77777777" w:rsidR="00EB283C" w:rsidRDefault="00EB283C" w:rsidP="000D62F3">
      <w:pPr>
        <w:spacing w:after="0" w:line="276" w:lineRule="auto"/>
        <w:jc w:val="both"/>
        <w:rPr>
          <w:noProof/>
        </w:rPr>
      </w:pPr>
    </w:p>
    <w:p w14:paraId="33A65888" w14:textId="4A47E6AF" w:rsidR="000D62F3" w:rsidRPr="00464D09" w:rsidRDefault="000D62F3" w:rsidP="000D62F3">
      <w:pPr>
        <w:spacing w:after="0" w:line="276" w:lineRule="auto"/>
        <w:jc w:val="both"/>
        <w:rPr>
          <w:rFonts w:ascii="Verdana" w:eastAsia="Calibri" w:hAnsi="Verdana" w:cs="Times New Roman"/>
        </w:rPr>
      </w:pPr>
    </w:p>
    <w:p w14:paraId="678F5FCD" w14:textId="6F84BBE2" w:rsidR="000D62F3" w:rsidRDefault="000D62F3" w:rsidP="000D62F3">
      <w:pPr>
        <w:spacing w:after="0" w:line="276" w:lineRule="auto"/>
        <w:jc w:val="both"/>
        <w:rPr>
          <w:rFonts w:ascii="Verdana" w:eastAsia="Calibri" w:hAnsi="Verdana" w:cs="Times New Roman"/>
        </w:rPr>
      </w:pPr>
      <w:r w:rsidRPr="00464D09">
        <w:rPr>
          <w:rFonts w:ascii="Verdana" w:eastAsia="Calibri" w:hAnsi="Verdana" w:cs="Times New Roman"/>
        </w:rPr>
        <w:t>Atentamente,</w:t>
      </w:r>
    </w:p>
    <w:p w14:paraId="6A3ACAAA" w14:textId="04B28D4B" w:rsidR="000D62F3" w:rsidRPr="00464D09" w:rsidRDefault="00EB283C" w:rsidP="00AE3796">
      <w:pPr>
        <w:spacing w:after="0" w:line="276" w:lineRule="auto"/>
        <w:jc w:val="center"/>
        <w:rPr>
          <w:rFonts w:ascii="Verdana" w:eastAsia="Calibri" w:hAnsi="Verdana" w:cs="Times New Roman"/>
        </w:rPr>
      </w:pPr>
      <w:r>
        <w:rPr>
          <w:rFonts w:ascii="Verdana" w:eastAsia="Calibri" w:hAnsi="Verdana" w:cs="Times New Roman"/>
          <w:noProof/>
        </w:rPr>
        <w:drawing>
          <wp:inline distT="0" distB="0" distL="0" distR="0" wp14:anchorId="066F6F1D" wp14:editId="568E5712">
            <wp:extent cx="2715357" cy="1009374"/>
            <wp:effectExtent l="0" t="0" r="0" b="635"/>
            <wp:docPr id="33285613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856133" name="Imagen 1" descr="Text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2734170" cy="101636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D62F3" w:rsidRPr="00464D09" w14:paraId="1C67F012" w14:textId="77777777" w:rsidTr="00117AA1">
        <w:trPr>
          <w:trHeight w:val="315"/>
        </w:trPr>
        <w:tc>
          <w:tcPr>
            <w:tcW w:w="893" w:type="dxa"/>
            <w:vAlign w:val="center"/>
            <w:hideMark/>
          </w:tcPr>
          <w:p w14:paraId="6C7DCD6C" w14:textId="77777777" w:rsidR="000D62F3" w:rsidRPr="00464D09" w:rsidRDefault="000D62F3" w:rsidP="00117AA1">
            <w:pPr>
              <w:contextualSpacing/>
              <w:rPr>
                <w:rFonts w:ascii="Verdana" w:hAnsi="Verdana" w:cs="Arial"/>
                <w:sz w:val="16"/>
                <w:szCs w:val="16"/>
                <w:lang w:eastAsia="es-ES"/>
              </w:rPr>
            </w:pPr>
            <w:r w:rsidRPr="00464D09">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13E9721" w14:textId="77777777" w:rsidR="000D62F3" w:rsidRPr="00464D09" w:rsidRDefault="000D62F3" w:rsidP="00117AA1">
            <w:pPr>
              <w:contextualSpacing/>
              <w:rPr>
                <w:rFonts w:ascii="Verdana" w:hAnsi="Verdana"/>
                <w:sz w:val="16"/>
                <w:szCs w:val="16"/>
              </w:rPr>
            </w:pPr>
            <w:r w:rsidRPr="00464D09">
              <w:rPr>
                <w:rFonts w:ascii="Verdana" w:hAnsi="Verdana"/>
                <w:sz w:val="16"/>
                <w:szCs w:val="16"/>
              </w:rPr>
              <w:t>Denis Andrea Cárdenas Hernández</w:t>
            </w:r>
          </w:p>
          <w:p w14:paraId="4938A03C" w14:textId="77777777" w:rsidR="000D62F3" w:rsidRPr="00464D09" w:rsidRDefault="000D62F3" w:rsidP="00117AA1">
            <w:pPr>
              <w:contextualSpacing/>
              <w:rPr>
                <w:rFonts w:ascii="Verdana" w:eastAsia="Arial" w:hAnsi="Verdana" w:cs="Arial"/>
                <w:sz w:val="16"/>
                <w:szCs w:val="16"/>
              </w:rPr>
            </w:pPr>
            <w:r w:rsidRPr="00464D09">
              <w:rPr>
                <w:rFonts w:ascii="Verdana" w:hAnsi="Verdana"/>
                <w:sz w:val="16"/>
                <w:szCs w:val="16"/>
              </w:rPr>
              <w:t xml:space="preserve">Analista </w:t>
            </w:r>
            <w:r w:rsidRPr="00464D09">
              <w:rPr>
                <w:rFonts w:ascii="Verdana" w:hAnsi="Verdana" w:cs="Arial"/>
                <w:sz w:val="16"/>
                <w:szCs w:val="16"/>
                <w:lang w:val="es-ES_tradnl"/>
              </w:rPr>
              <w:t>T2 ‒ 1 de la Subdirección de Gestión Contractual</w:t>
            </w:r>
          </w:p>
        </w:tc>
      </w:tr>
      <w:tr w:rsidR="000D62F3" w:rsidRPr="00464D09" w14:paraId="16431782" w14:textId="77777777" w:rsidTr="00117AA1">
        <w:trPr>
          <w:trHeight w:val="330"/>
        </w:trPr>
        <w:tc>
          <w:tcPr>
            <w:tcW w:w="893" w:type="dxa"/>
            <w:vAlign w:val="center"/>
            <w:hideMark/>
          </w:tcPr>
          <w:p w14:paraId="5A71A6F3" w14:textId="77777777" w:rsidR="000D62F3" w:rsidRPr="00464D09" w:rsidRDefault="000D62F3" w:rsidP="00117AA1">
            <w:pPr>
              <w:contextualSpacing/>
              <w:rPr>
                <w:rFonts w:ascii="Verdana" w:hAnsi="Verdana" w:cs="Arial"/>
                <w:sz w:val="16"/>
                <w:szCs w:val="16"/>
                <w:lang w:eastAsia="es-ES"/>
              </w:rPr>
            </w:pPr>
            <w:r w:rsidRPr="00464D09">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51E8BE5" w14:textId="77777777" w:rsidR="000D62F3" w:rsidRPr="00464D09" w:rsidRDefault="000D62F3" w:rsidP="00117AA1">
            <w:pPr>
              <w:rPr>
                <w:rFonts w:ascii="Verdana" w:eastAsia="Aptos" w:hAnsi="Verdana" w:cs="Arial"/>
                <w:sz w:val="16"/>
                <w:szCs w:val="16"/>
                <w:lang w:eastAsia="es-ES"/>
              </w:rPr>
            </w:pPr>
            <w:r w:rsidRPr="00464D09">
              <w:rPr>
                <w:rFonts w:ascii="Verdana" w:eastAsia="Aptos" w:hAnsi="Verdana" w:cs="Arial"/>
                <w:sz w:val="16"/>
                <w:szCs w:val="16"/>
                <w:lang w:eastAsia="es-ES"/>
              </w:rPr>
              <w:t>Alejandro Sarmiento Cantillo</w:t>
            </w:r>
          </w:p>
          <w:p w14:paraId="0FE9C54F" w14:textId="77777777" w:rsidR="000D62F3" w:rsidRPr="00464D09" w:rsidRDefault="000D62F3" w:rsidP="00117AA1">
            <w:pPr>
              <w:contextualSpacing/>
              <w:textAlignment w:val="baseline"/>
              <w:rPr>
                <w:rFonts w:ascii="Verdana" w:eastAsia="Times New Roman" w:hAnsi="Verdana" w:cs="Segoe UI"/>
                <w:sz w:val="16"/>
                <w:szCs w:val="16"/>
                <w:lang w:eastAsia="es-ES_tradnl"/>
              </w:rPr>
            </w:pPr>
            <w:r w:rsidRPr="00464D09">
              <w:rPr>
                <w:rFonts w:ascii="Verdana" w:eastAsia="Aptos" w:hAnsi="Verdana" w:cs="Arial"/>
                <w:sz w:val="16"/>
                <w:szCs w:val="16"/>
                <w:lang w:eastAsia="es-ES"/>
              </w:rPr>
              <w:t>Gestor T1 – 15 de la Subdirección de Gestión Contractual</w:t>
            </w:r>
          </w:p>
        </w:tc>
      </w:tr>
      <w:tr w:rsidR="000D62F3" w:rsidRPr="00464D09" w14:paraId="3C63605B" w14:textId="77777777" w:rsidTr="00117AA1">
        <w:trPr>
          <w:trHeight w:val="300"/>
        </w:trPr>
        <w:tc>
          <w:tcPr>
            <w:tcW w:w="893" w:type="dxa"/>
            <w:vAlign w:val="center"/>
          </w:tcPr>
          <w:p w14:paraId="26E9855C" w14:textId="77777777" w:rsidR="000D62F3" w:rsidRPr="00464D09" w:rsidRDefault="000D62F3" w:rsidP="00117AA1">
            <w:pPr>
              <w:contextualSpacing/>
              <w:rPr>
                <w:rFonts w:ascii="Verdana" w:hAnsi="Verdana" w:cs="Arial"/>
                <w:sz w:val="16"/>
                <w:szCs w:val="16"/>
                <w:lang w:eastAsia="es-ES"/>
              </w:rPr>
            </w:pPr>
            <w:r w:rsidRPr="00464D09">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7ADD790" w14:textId="77777777" w:rsidR="000D62F3" w:rsidRPr="00464D09" w:rsidRDefault="000D62F3" w:rsidP="00117AA1">
            <w:pPr>
              <w:contextualSpacing/>
              <w:rPr>
                <w:rFonts w:ascii="Verdana" w:eastAsia="Calibri" w:hAnsi="Verdana" w:cs="Arial"/>
                <w:sz w:val="16"/>
                <w:szCs w:val="16"/>
                <w:lang w:eastAsia="es-ES"/>
              </w:rPr>
            </w:pPr>
            <w:r w:rsidRPr="00464D09">
              <w:rPr>
                <w:rFonts w:ascii="Verdana" w:eastAsia="Calibri" w:hAnsi="Verdana" w:cs="Arial"/>
                <w:sz w:val="16"/>
                <w:szCs w:val="16"/>
                <w:lang w:eastAsia="es-ES"/>
              </w:rPr>
              <w:t>Carolina Quintero Gacharná</w:t>
            </w:r>
          </w:p>
          <w:p w14:paraId="1333918C" w14:textId="77777777" w:rsidR="000D62F3" w:rsidRPr="00464D09" w:rsidRDefault="000D62F3" w:rsidP="00117AA1">
            <w:pPr>
              <w:contextualSpacing/>
              <w:rPr>
                <w:rFonts w:ascii="Verdana" w:eastAsia="Calibri" w:hAnsi="Verdana" w:cs="Arial"/>
                <w:sz w:val="16"/>
                <w:szCs w:val="16"/>
                <w:lang w:eastAsia="es-ES"/>
              </w:rPr>
            </w:pPr>
            <w:r w:rsidRPr="00464D09">
              <w:rPr>
                <w:rFonts w:ascii="Verdana" w:eastAsia="Calibri" w:hAnsi="Verdana" w:cs="Arial"/>
                <w:sz w:val="16"/>
                <w:szCs w:val="16"/>
                <w:lang w:eastAsia="es-ES"/>
              </w:rPr>
              <w:t>Subdirectora de Gestión Contractual ANCP – CCE</w:t>
            </w:r>
          </w:p>
        </w:tc>
      </w:tr>
    </w:tbl>
    <w:p w14:paraId="4B745B40" w14:textId="77777777" w:rsidR="000D62F3" w:rsidRPr="004F07B1" w:rsidRDefault="000D62F3" w:rsidP="000D62F3"/>
    <w:p w14:paraId="0F293BF4" w14:textId="1158BD45" w:rsidR="00127233" w:rsidRPr="000D62F3" w:rsidRDefault="00127233" w:rsidP="000D62F3"/>
    <w:sectPr w:rsidR="00127233" w:rsidRPr="000D62F3" w:rsidSect="009A73B7">
      <w:headerReference w:type="default" r:id="rId14"/>
      <w:footerReference w:type="default" r:id="rId15"/>
      <w:pgSz w:w="12240" w:h="15840" w:code="1"/>
      <w:pgMar w:top="1418" w:right="1701" w:bottom="1701" w:left="1701" w:header="709" w:footer="10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861EA" w14:textId="77777777" w:rsidR="00CF08C6" w:rsidRDefault="00CF08C6" w:rsidP="004A1847">
      <w:pPr>
        <w:spacing w:after="0" w:line="240" w:lineRule="auto"/>
      </w:pPr>
      <w:r>
        <w:separator/>
      </w:r>
    </w:p>
  </w:endnote>
  <w:endnote w:type="continuationSeparator" w:id="0">
    <w:p w14:paraId="3200286A" w14:textId="77777777" w:rsidR="00CF08C6" w:rsidRDefault="00CF08C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D6D9F" w14:textId="264E27CF" w:rsidR="00D520D8" w:rsidRPr="00174B77" w:rsidRDefault="00D520D8" w:rsidP="00352CD2">
    <w:pPr>
      <w:pBdr>
        <w:top w:val="single" w:sz="4" w:space="0"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9EE34" w14:textId="77777777" w:rsidR="00CF08C6" w:rsidRDefault="00CF08C6" w:rsidP="004A1847">
      <w:pPr>
        <w:spacing w:after="0" w:line="240" w:lineRule="auto"/>
      </w:pPr>
      <w:r>
        <w:separator/>
      </w:r>
    </w:p>
  </w:footnote>
  <w:footnote w:type="continuationSeparator" w:id="0">
    <w:p w14:paraId="24F0C3EB" w14:textId="77777777" w:rsidR="00CF08C6" w:rsidRDefault="00CF08C6" w:rsidP="004A1847">
      <w:pPr>
        <w:spacing w:after="0" w:line="240" w:lineRule="auto"/>
      </w:pPr>
      <w:r>
        <w:continuationSeparator/>
      </w:r>
    </w:p>
  </w:footnote>
  <w:footnote w:id="1">
    <w:p w14:paraId="4909D7A2" w14:textId="77777777" w:rsidR="000D62F3" w:rsidRDefault="000D62F3" w:rsidP="000D62F3">
      <w:pPr>
        <w:pStyle w:val="Textonotapie"/>
        <w:ind w:firstLine="709"/>
        <w:jc w:val="both"/>
        <w:rPr>
          <w:rFonts w:ascii="Verdana" w:hAnsi="Verdana" w:cs="Arial"/>
          <w:sz w:val="16"/>
          <w:szCs w:val="16"/>
          <w:lang w:val="es-ES"/>
        </w:rPr>
      </w:pPr>
      <w:r w:rsidRPr="008F1E8B">
        <w:rPr>
          <w:rStyle w:val="Refdenotaalpie"/>
          <w:rFonts w:ascii="Verdana" w:hAnsi="Verdana" w:cs="Arial"/>
          <w:sz w:val="16"/>
          <w:szCs w:val="16"/>
        </w:rPr>
        <w:footnoteRef/>
      </w:r>
      <w:r w:rsidRPr="008F1E8B">
        <w:rPr>
          <w:rFonts w:ascii="Verdana" w:hAnsi="Verdana" w:cs="Arial"/>
          <w:sz w:val="16"/>
          <w:szCs w:val="16"/>
        </w:rPr>
        <w:t xml:space="preserve"> </w:t>
      </w:r>
      <w:r w:rsidRPr="008F1E8B">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19A22E5B" w14:textId="77777777" w:rsidR="000D62F3" w:rsidRPr="008F1E8B" w:rsidRDefault="000D62F3" w:rsidP="000D62F3">
      <w:pPr>
        <w:pStyle w:val="Textonotapie"/>
        <w:ind w:firstLine="709"/>
        <w:jc w:val="both"/>
        <w:rPr>
          <w:rFonts w:ascii="Verdana" w:hAnsi="Verdana" w:cs="Arial"/>
          <w:sz w:val="16"/>
          <w:szCs w:val="16"/>
          <w:lang w:val="es-ES"/>
        </w:rPr>
      </w:pPr>
    </w:p>
  </w:footnote>
  <w:footnote w:id="2">
    <w:p w14:paraId="7DD91DFD" w14:textId="77777777" w:rsidR="000D62F3" w:rsidRPr="008F1E8B" w:rsidRDefault="000D62F3" w:rsidP="000D62F3">
      <w:pPr>
        <w:pStyle w:val="Textonotapie"/>
        <w:ind w:firstLine="709"/>
        <w:jc w:val="both"/>
        <w:rPr>
          <w:rFonts w:ascii="Verdana" w:hAnsi="Verdana" w:cs="Arial"/>
          <w:sz w:val="16"/>
          <w:szCs w:val="16"/>
          <w:lang w:val="es-ES"/>
        </w:rPr>
      </w:pPr>
      <w:r w:rsidRPr="008F1E8B">
        <w:rPr>
          <w:rStyle w:val="Refdenotaalpie"/>
          <w:rFonts w:ascii="Verdana" w:hAnsi="Verdana" w:cs="Arial"/>
          <w:sz w:val="16"/>
          <w:szCs w:val="16"/>
        </w:rPr>
        <w:footnoteRef/>
      </w:r>
      <w:r w:rsidRPr="008F1E8B">
        <w:rPr>
          <w:rFonts w:ascii="Verdana" w:hAnsi="Verdana" w:cs="Arial"/>
          <w:sz w:val="16"/>
          <w:szCs w:val="16"/>
        </w:rPr>
        <w:t xml:space="preserve"> </w:t>
      </w:r>
      <w:r w:rsidRPr="008F1E8B">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0D607750" w14:textId="77777777" w:rsidR="000D62F3" w:rsidRPr="008F1E8B" w:rsidRDefault="000D62F3" w:rsidP="000D62F3">
      <w:pPr>
        <w:pStyle w:val="Textonotapie"/>
        <w:ind w:firstLine="709"/>
        <w:jc w:val="both"/>
        <w:rPr>
          <w:rFonts w:ascii="Verdana" w:hAnsi="Verdana" w:cs="Arial"/>
          <w:sz w:val="16"/>
          <w:szCs w:val="16"/>
          <w:lang w:val="es-ES"/>
        </w:rPr>
      </w:pPr>
      <w:r w:rsidRPr="008F1E8B">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48CDEA0A" w14:textId="77777777" w:rsidR="000D62F3" w:rsidRDefault="000D62F3" w:rsidP="000D62F3">
      <w:pPr>
        <w:pStyle w:val="Textonotapie"/>
        <w:ind w:firstLine="709"/>
        <w:jc w:val="both"/>
        <w:rPr>
          <w:rFonts w:ascii="Verdana" w:hAnsi="Verdana" w:cs="Arial"/>
          <w:sz w:val="16"/>
          <w:szCs w:val="16"/>
          <w:lang w:val="es-ES"/>
        </w:rPr>
      </w:pPr>
      <w:r w:rsidRPr="008F1E8B">
        <w:rPr>
          <w:rFonts w:ascii="Verdana" w:hAnsi="Verdana" w:cs="Arial"/>
          <w:sz w:val="16"/>
          <w:szCs w:val="16"/>
          <w:lang w:val="es-ES"/>
        </w:rPr>
        <w:t>El Gobierno nacional reglamentará el mecanismo para realizar la mensualización de que trata el presente artículo.</w:t>
      </w:r>
    </w:p>
    <w:p w14:paraId="1E986165" w14:textId="77777777" w:rsidR="000D62F3" w:rsidRPr="00322731" w:rsidRDefault="000D62F3" w:rsidP="000D62F3">
      <w:pPr>
        <w:pStyle w:val="Textonotapie"/>
        <w:ind w:firstLine="709"/>
        <w:jc w:val="both"/>
        <w:rPr>
          <w:rFonts w:ascii="Verdana" w:hAnsi="Verdana" w:cs="Arial"/>
          <w:sz w:val="16"/>
          <w:szCs w:val="16"/>
          <w:lang w:val="es-ES"/>
        </w:rPr>
      </w:pPr>
      <w:r>
        <w:rPr>
          <w:rFonts w:ascii="Verdana" w:hAnsi="Verdana" w:cs="Arial"/>
          <w:sz w:val="16"/>
          <w:szCs w:val="16"/>
          <w:lang w:val="es-ES"/>
        </w:rPr>
        <w:t xml:space="preserve"> </w:t>
      </w:r>
      <w:r w:rsidRPr="008F1E8B">
        <w:rPr>
          <w:rFonts w:ascii="Verdana" w:hAnsi="Verdana" w:cs="Arial"/>
          <w:sz w:val="16"/>
          <w:szCs w:val="16"/>
          <w:lang w:val="pt-BR"/>
        </w:rPr>
        <w:t>[…]».</w:t>
      </w:r>
    </w:p>
    <w:p w14:paraId="56DD1869" w14:textId="77777777" w:rsidR="000D62F3" w:rsidRPr="008F1E8B" w:rsidRDefault="000D62F3" w:rsidP="000D62F3">
      <w:pPr>
        <w:pStyle w:val="Textonotapie"/>
        <w:jc w:val="both"/>
        <w:rPr>
          <w:rFonts w:ascii="Verdana" w:hAnsi="Verdana" w:cs="Arial"/>
          <w:sz w:val="16"/>
          <w:szCs w:val="16"/>
          <w:lang w:val="pt-BR"/>
        </w:rPr>
      </w:pPr>
    </w:p>
  </w:footnote>
  <w:footnote w:id="3">
    <w:p w14:paraId="7AFE613D" w14:textId="77777777" w:rsidR="000D62F3" w:rsidRPr="008F1E8B" w:rsidRDefault="000D62F3" w:rsidP="000D62F3">
      <w:pPr>
        <w:pStyle w:val="Textonotapie"/>
        <w:ind w:firstLine="709"/>
        <w:jc w:val="both"/>
        <w:rPr>
          <w:rFonts w:ascii="Verdana" w:hAnsi="Verdana" w:cs="Arial"/>
          <w:sz w:val="16"/>
          <w:szCs w:val="16"/>
          <w:lang w:val="es-ES"/>
        </w:rPr>
      </w:pPr>
      <w:r w:rsidRPr="008F1E8B">
        <w:rPr>
          <w:rStyle w:val="Refdenotaalpie"/>
          <w:rFonts w:ascii="Verdana" w:hAnsi="Verdana" w:cs="Arial"/>
          <w:sz w:val="16"/>
          <w:szCs w:val="16"/>
        </w:rPr>
        <w:footnoteRef/>
      </w:r>
      <w:r w:rsidRPr="008F1E8B">
        <w:rPr>
          <w:rFonts w:ascii="Verdana" w:hAnsi="Verdana" w:cs="Arial"/>
          <w:sz w:val="16"/>
          <w:szCs w:val="16"/>
          <w:lang w:val="pt-BR"/>
        </w:rPr>
        <w:t xml:space="preserve"> Corte Constitucional. Sentencia C-154 de 1997. </w:t>
      </w:r>
      <w:r w:rsidRPr="008F1E8B">
        <w:rPr>
          <w:rFonts w:ascii="Verdana" w:hAnsi="Verdana" w:cs="Arial"/>
          <w:sz w:val="16"/>
          <w:szCs w:val="16"/>
          <w:lang w:val="es-ES"/>
        </w:rPr>
        <w:t>MP: Hernando Herrera Vergara</w:t>
      </w:r>
    </w:p>
  </w:footnote>
  <w:footnote w:id="4">
    <w:p w14:paraId="0BE54CFC" w14:textId="77777777" w:rsidR="000D62F3" w:rsidRDefault="000D62F3" w:rsidP="000D62F3">
      <w:pPr>
        <w:pStyle w:val="Textonotapie"/>
        <w:ind w:firstLine="709"/>
        <w:jc w:val="both"/>
        <w:rPr>
          <w:rFonts w:ascii="Verdana" w:hAnsi="Verdana" w:cs="Arial"/>
          <w:sz w:val="16"/>
          <w:szCs w:val="16"/>
          <w:lang w:val="es-ES"/>
        </w:rPr>
      </w:pPr>
      <w:r w:rsidRPr="008F1E8B">
        <w:rPr>
          <w:rStyle w:val="Refdenotaalpie"/>
          <w:rFonts w:ascii="Verdana" w:hAnsi="Verdana" w:cs="Arial"/>
          <w:sz w:val="16"/>
          <w:szCs w:val="16"/>
        </w:rPr>
        <w:footnoteRef/>
      </w:r>
      <w:r w:rsidRPr="008F1E8B">
        <w:rPr>
          <w:rFonts w:ascii="Verdana" w:hAnsi="Verdana" w:cs="Arial"/>
          <w:sz w:val="16"/>
          <w:szCs w:val="16"/>
        </w:rPr>
        <w:t xml:space="preserve"> </w:t>
      </w:r>
      <w:r w:rsidRPr="008F1E8B">
        <w:rPr>
          <w:rFonts w:ascii="Verdana" w:hAnsi="Verdana" w:cs="Arial"/>
          <w:sz w:val="16"/>
          <w:szCs w:val="16"/>
          <w:lang w:val="es-ES"/>
        </w:rPr>
        <w:t>Ibíd.</w:t>
      </w:r>
    </w:p>
    <w:p w14:paraId="76C721B5" w14:textId="77777777" w:rsidR="000D62F3" w:rsidRPr="002C4017" w:rsidRDefault="000D62F3" w:rsidP="000D62F3">
      <w:pPr>
        <w:pStyle w:val="Textonotapie"/>
        <w:ind w:firstLine="709"/>
        <w:jc w:val="both"/>
        <w:rPr>
          <w:rFonts w:ascii="Verdana" w:hAnsi="Verdana" w:cs="Arial"/>
          <w:sz w:val="16"/>
          <w:szCs w:val="16"/>
          <w:lang w:val="es-ES"/>
        </w:rPr>
      </w:pPr>
    </w:p>
  </w:footnote>
  <w:footnote w:id="5">
    <w:p w14:paraId="50650581" w14:textId="77777777" w:rsidR="000D62F3" w:rsidRDefault="000D62F3" w:rsidP="000D62F3">
      <w:pPr>
        <w:pStyle w:val="Textonotapie"/>
        <w:ind w:firstLine="708"/>
        <w:jc w:val="both"/>
        <w:rPr>
          <w:rFonts w:ascii="Verdana" w:hAnsi="Verdana" w:cs="Arial"/>
          <w:sz w:val="16"/>
          <w:szCs w:val="16"/>
          <w:lang w:val="es-ES"/>
        </w:rPr>
      </w:pPr>
      <w:r w:rsidRPr="008F1E8B">
        <w:rPr>
          <w:rStyle w:val="Refdenotaalpie"/>
          <w:rFonts w:ascii="Verdana" w:hAnsi="Verdana" w:cs="Arial"/>
          <w:sz w:val="16"/>
          <w:szCs w:val="16"/>
        </w:rPr>
        <w:footnoteRef/>
      </w:r>
      <w:r w:rsidRPr="008F1E8B">
        <w:rPr>
          <w:rFonts w:ascii="Verdana" w:hAnsi="Verdana" w:cs="Arial"/>
          <w:sz w:val="16"/>
          <w:szCs w:val="16"/>
        </w:rPr>
        <w:t xml:space="preserve"> </w:t>
      </w:r>
      <w:r w:rsidRPr="008F1E8B">
        <w:rPr>
          <w:rFonts w:ascii="Verdana" w:hAnsi="Verdana" w:cs="Arial"/>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E90FD4E" w14:textId="77777777" w:rsidR="000D62F3" w:rsidRPr="008F1E8B" w:rsidRDefault="000D62F3" w:rsidP="000D62F3">
      <w:pPr>
        <w:pStyle w:val="Textonotapie"/>
        <w:ind w:firstLine="708"/>
        <w:jc w:val="both"/>
        <w:rPr>
          <w:rFonts w:ascii="Verdana" w:hAnsi="Verdana" w:cs="Arial"/>
          <w:sz w:val="16"/>
          <w:szCs w:val="16"/>
          <w:lang w:val="es-ES"/>
        </w:rPr>
      </w:pPr>
    </w:p>
    <w:p w14:paraId="2B527234" w14:textId="77777777" w:rsidR="000D62F3" w:rsidRDefault="000D62F3" w:rsidP="000D62F3">
      <w:pPr>
        <w:pStyle w:val="Textonotapie"/>
        <w:ind w:firstLine="709"/>
        <w:jc w:val="both"/>
        <w:rPr>
          <w:rFonts w:ascii="Verdana" w:hAnsi="Verdana" w:cs="Arial"/>
          <w:sz w:val="16"/>
          <w:szCs w:val="16"/>
          <w:lang w:val="es-ES"/>
        </w:rPr>
      </w:pPr>
      <w:r w:rsidRPr="008F1E8B">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14F3F8B4" w14:textId="77777777" w:rsidR="000D62F3" w:rsidRDefault="000D62F3" w:rsidP="000D62F3">
      <w:pPr>
        <w:pStyle w:val="Textonotapie"/>
        <w:jc w:val="both"/>
        <w:rPr>
          <w:rFonts w:ascii="Verdana" w:hAnsi="Verdana" w:cs="Arial"/>
          <w:sz w:val="16"/>
          <w:szCs w:val="16"/>
          <w:lang w:val="es-ES"/>
        </w:rPr>
      </w:pPr>
      <w:r w:rsidRPr="008F1E8B">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6E98D3A0" w14:textId="77777777" w:rsidR="000D62F3" w:rsidRPr="008F1E8B" w:rsidRDefault="000D62F3" w:rsidP="000D62F3">
      <w:pPr>
        <w:pStyle w:val="Textonotapie"/>
        <w:jc w:val="both"/>
        <w:rPr>
          <w:rFonts w:ascii="Verdana" w:hAnsi="Verdana" w:cs="Arial"/>
          <w:sz w:val="16"/>
          <w:szCs w:val="16"/>
          <w:lang w:val="es-ES"/>
        </w:rPr>
      </w:pPr>
    </w:p>
  </w:footnote>
  <w:footnote w:id="6">
    <w:p w14:paraId="77FB90D7" w14:textId="77777777" w:rsidR="000D62F3" w:rsidRDefault="000D62F3" w:rsidP="000D62F3">
      <w:pPr>
        <w:pStyle w:val="Textonotapie"/>
        <w:ind w:firstLine="708"/>
        <w:jc w:val="both"/>
        <w:rPr>
          <w:rFonts w:ascii="Verdana" w:hAnsi="Verdana" w:cs="Arial"/>
          <w:sz w:val="16"/>
          <w:szCs w:val="16"/>
          <w:lang w:val="es-ES"/>
        </w:rPr>
      </w:pPr>
      <w:r w:rsidRPr="008F1E8B">
        <w:rPr>
          <w:rStyle w:val="Refdenotaalpie"/>
          <w:rFonts w:ascii="Verdana" w:hAnsi="Verdana" w:cs="Arial"/>
          <w:sz w:val="16"/>
          <w:szCs w:val="16"/>
        </w:rPr>
        <w:footnoteRef/>
      </w:r>
      <w:r w:rsidRPr="008F1E8B">
        <w:rPr>
          <w:rFonts w:ascii="Verdana" w:hAnsi="Verdana" w:cs="Arial"/>
          <w:sz w:val="16"/>
          <w:szCs w:val="16"/>
        </w:rPr>
        <w:t xml:space="preserve"> </w:t>
      </w:r>
      <w:r w:rsidRPr="008F1E8B">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08F081B8" w14:textId="77777777" w:rsidR="000D62F3" w:rsidRDefault="000D62F3" w:rsidP="000D62F3">
      <w:pPr>
        <w:pStyle w:val="Textonotapie"/>
        <w:ind w:firstLine="708"/>
        <w:jc w:val="both"/>
        <w:rPr>
          <w:rFonts w:ascii="Verdana" w:hAnsi="Verdana" w:cs="Arial"/>
          <w:sz w:val="16"/>
          <w:szCs w:val="16"/>
          <w:lang w:val="es-ES"/>
        </w:rPr>
      </w:pPr>
    </w:p>
    <w:p w14:paraId="0DAD1BD4" w14:textId="77777777" w:rsidR="000D62F3" w:rsidRPr="006D6CA3" w:rsidRDefault="000D62F3" w:rsidP="000D62F3">
      <w:pPr>
        <w:pStyle w:val="Textonotapie"/>
        <w:ind w:firstLine="709"/>
        <w:jc w:val="both"/>
        <w:rPr>
          <w:rFonts w:ascii="Verdana" w:hAnsi="Verdana" w:cs="Arial"/>
          <w:sz w:val="15"/>
          <w:szCs w:val="15"/>
          <w:lang w:val="es-ES"/>
        </w:rPr>
      </w:pPr>
      <w:r w:rsidRPr="006D6CA3">
        <w:rPr>
          <w:rFonts w:ascii="Verdana" w:hAnsi="Verdana" w:cs="Arial"/>
          <w:sz w:val="15"/>
          <w:szCs w:val="15"/>
          <w:lang w:val="es-ES"/>
        </w:rPr>
        <w:t>»1. La causal que invoca para contratar directamente.</w:t>
      </w:r>
    </w:p>
    <w:p w14:paraId="45115F65" w14:textId="77777777" w:rsidR="000D62F3" w:rsidRPr="006D6CA3" w:rsidRDefault="000D62F3" w:rsidP="000D62F3">
      <w:pPr>
        <w:pStyle w:val="Textonotapie"/>
        <w:ind w:firstLine="709"/>
        <w:jc w:val="both"/>
        <w:rPr>
          <w:rFonts w:ascii="Verdana" w:hAnsi="Verdana" w:cs="Arial"/>
          <w:sz w:val="15"/>
          <w:szCs w:val="15"/>
          <w:lang w:val="es-ES"/>
        </w:rPr>
      </w:pPr>
      <w:r w:rsidRPr="006D6CA3">
        <w:rPr>
          <w:rFonts w:ascii="Verdana" w:hAnsi="Verdana" w:cs="Arial"/>
          <w:sz w:val="15"/>
          <w:szCs w:val="15"/>
          <w:lang w:val="es-ES"/>
        </w:rPr>
        <w:t>»2. El objeto del contrato.</w:t>
      </w:r>
    </w:p>
    <w:p w14:paraId="46857531" w14:textId="77777777" w:rsidR="000D62F3" w:rsidRPr="006D6CA3" w:rsidRDefault="000D62F3" w:rsidP="000D62F3">
      <w:pPr>
        <w:pStyle w:val="Textonotapie"/>
        <w:ind w:firstLine="709"/>
        <w:jc w:val="both"/>
        <w:rPr>
          <w:rFonts w:ascii="Verdana" w:hAnsi="Verdana" w:cs="Arial"/>
          <w:sz w:val="15"/>
          <w:szCs w:val="15"/>
          <w:lang w:val="es-ES"/>
        </w:rPr>
      </w:pPr>
      <w:r w:rsidRPr="006D6CA3">
        <w:rPr>
          <w:rFonts w:ascii="Verdana" w:hAnsi="Verdana" w:cs="Arial"/>
          <w:sz w:val="15"/>
          <w:szCs w:val="15"/>
          <w:lang w:val="es-ES"/>
        </w:rPr>
        <w:t>»3. El presupuesto para la contratación y las condiciones que exigirá al contratista.</w:t>
      </w:r>
    </w:p>
    <w:p w14:paraId="08EDA7EE" w14:textId="77777777" w:rsidR="000D62F3" w:rsidRPr="006D6CA3" w:rsidRDefault="000D62F3" w:rsidP="000D62F3">
      <w:pPr>
        <w:pStyle w:val="Textonotapie"/>
        <w:ind w:firstLine="709"/>
        <w:jc w:val="both"/>
        <w:rPr>
          <w:rFonts w:ascii="Verdana" w:hAnsi="Verdana" w:cs="Arial"/>
          <w:sz w:val="15"/>
          <w:szCs w:val="15"/>
          <w:lang w:val="es-ES"/>
        </w:rPr>
      </w:pPr>
      <w:r w:rsidRPr="006D6CA3">
        <w:rPr>
          <w:rFonts w:ascii="Verdana" w:hAnsi="Verdana" w:cs="Arial"/>
          <w:sz w:val="15"/>
          <w:szCs w:val="15"/>
          <w:lang w:val="es-ES"/>
        </w:rPr>
        <w:t>»4. El lugar en el cual los interesados pueden consultar los estudios y documentos previos.</w:t>
      </w:r>
    </w:p>
    <w:p w14:paraId="205001BF" w14:textId="77777777" w:rsidR="000D62F3" w:rsidRDefault="000D62F3" w:rsidP="000D62F3">
      <w:pPr>
        <w:pStyle w:val="Textonotapie"/>
        <w:jc w:val="both"/>
        <w:rPr>
          <w:rFonts w:ascii="Verdana" w:hAnsi="Verdana" w:cs="Arial"/>
          <w:sz w:val="15"/>
          <w:szCs w:val="15"/>
          <w:lang w:val="es-ES"/>
        </w:rPr>
      </w:pPr>
    </w:p>
    <w:p w14:paraId="4BED0BCF" w14:textId="289224FA" w:rsidR="000D62F3" w:rsidRPr="006D6CA3" w:rsidRDefault="000D62F3" w:rsidP="000D62F3">
      <w:pPr>
        <w:pStyle w:val="Textonotapie"/>
        <w:jc w:val="both"/>
        <w:rPr>
          <w:rFonts w:ascii="Verdana" w:hAnsi="Verdana" w:cs="Arial"/>
          <w:sz w:val="15"/>
          <w:szCs w:val="15"/>
          <w:lang w:val="es-ES"/>
        </w:rPr>
      </w:pPr>
      <w:r w:rsidRPr="006D6CA3">
        <w:rPr>
          <w:rFonts w:ascii="Verdana" w:hAnsi="Verdana" w:cs="Arial"/>
          <w:sz w:val="15"/>
          <w:szCs w:val="15"/>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7">
    <w:p w14:paraId="5FEAD4D2" w14:textId="77777777" w:rsidR="000D62F3" w:rsidRDefault="000D62F3" w:rsidP="000D62F3">
      <w:pPr>
        <w:pStyle w:val="Textonotapie"/>
        <w:ind w:firstLine="708"/>
        <w:jc w:val="both"/>
        <w:rPr>
          <w:rFonts w:ascii="Verdana" w:hAnsi="Verdana" w:cs="Arial"/>
          <w:sz w:val="16"/>
          <w:szCs w:val="16"/>
          <w:lang w:val="es-ES"/>
        </w:rPr>
      </w:pPr>
      <w:r w:rsidRPr="008F1E8B">
        <w:rPr>
          <w:rStyle w:val="Refdenotaalpie"/>
          <w:rFonts w:ascii="Verdana" w:hAnsi="Verdana" w:cs="Arial"/>
          <w:sz w:val="16"/>
          <w:szCs w:val="16"/>
        </w:rPr>
        <w:footnoteRef/>
      </w:r>
      <w:r w:rsidRPr="008F1E8B">
        <w:rPr>
          <w:rFonts w:ascii="Verdana" w:hAnsi="Verdana" w:cs="Arial"/>
          <w:sz w:val="16"/>
          <w:szCs w:val="16"/>
        </w:rPr>
        <w:t xml:space="preserve"> </w:t>
      </w:r>
      <w:r w:rsidRPr="008F1E8B">
        <w:rPr>
          <w:rFonts w:ascii="Verdana" w:hAnsi="Verdana" w:cs="Arial"/>
          <w:sz w:val="16"/>
          <w:szCs w:val="16"/>
          <w:lang w:val="es-ES"/>
        </w:rPr>
        <w:t xml:space="preserve">La norma expresa: «Art. 14. </w:t>
      </w:r>
      <w:r w:rsidRPr="008F1E8B">
        <w:rPr>
          <w:rFonts w:ascii="Verdana" w:hAnsi="Verdana" w:cs="Arial"/>
          <w:sz w:val="16"/>
          <w:szCs w:val="16"/>
        </w:rPr>
        <w:t>P</w:t>
      </w:r>
      <w:r w:rsidRPr="008F1E8B">
        <w:rPr>
          <w:rFonts w:ascii="Verdana" w:hAnsi="Verdana" w:cs="Arial"/>
          <w:sz w:val="16"/>
          <w:szCs w:val="16"/>
          <w:lang w:val="es-ES"/>
        </w:rPr>
        <w:t>ara el cumplimiento de los fines de la contratación, las entidades estatales al celebrar un contrato:</w:t>
      </w:r>
    </w:p>
    <w:p w14:paraId="4EF36736" w14:textId="77777777" w:rsidR="000D62F3" w:rsidRPr="008F1E8B" w:rsidRDefault="000D62F3" w:rsidP="000D62F3">
      <w:pPr>
        <w:pStyle w:val="Textonotapie"/>
        <w:ind w:firstLine="708"/>
        <w:jc w:val="both"/>
        <w:rPr>
          <w:rFonts w:ascii="Verdana" w:hAnsi="Verdana" w:cs="Arial"/>
          <w:sz w:val="16"/>
          <w:szCs w:val="16"/>
          <w:lang w:val="es-ES"/>
        </w:rPr>
      </w:pPr>
    </w:p>
    <w:p w14:paraId="17CED8DC" w14:textId="5C009A13" w:rsidR="000D62F3" w:rsidRPr="008F1E8B" w:rsidRDefault="000D62F3" w:rsidP="0006267D">
      <w:pPr>
        <w:pStyle w:val="Textonotapie"/>
        <w:ind w:firstLine="709"/>
        <w:jc w:val="both"/>
        <w:rPr>
          <w:rFonts w:ascii="Verdana" w:hAnsi="Verdana" w:cs="Arial"/>
          <w:sz w:val="16"/>
          <w:szCs w:val="16"/>
          <w:lang w:val="es-ES"/>
        </w:rPr>
      </w:pPr>
      <w:r w:rsidRPr="008F1E8B">
        <w:rPr>
          <w:rFonts w:ascii="Verdana" w:hAnsi="Verdana" w:cs="Arial"/>
          <w:sz w:val="16"/>
          <w:szCs w:val="16"/>
          <w:lang w:val="es-ES"/>
        </w:rPr>
        <w:t>[…]</w:t>
      </w:r>
    </w:p>
    <w:p w14:paraId="7562208C" w14:textId="77777777" w:rsidR="000D62F3" w:rsidRDefault="000D62F3" w:rsidP="000D62F3">
      <w:pPr>
        <w:pStyle w:val="Textonotapie"/>
        <w:ind w:firstLine="709"/>
        <w:jc w:val="both"/>
        <w:rPr>
          <w:rFonts w:ascii="Verdana" w:hAnsi="Verdana" w:cs="Arial"/>
          <w:sz w:val="15"/>
          <w:szCs w:val="15"/>
          <w:lang w:val="es-ES"/>
        </w:rPr>
      </w:pPr>
      <w:r w:rsidRPr="006D6CA3">
        <w:rPr>
          <w:rFonts w:ascii="Verdana" w:hAnsi="Verdana" w:cs="Arial"/>
          <w:sz w:val="15"/>
          <w:szCs w:val="15"/>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508796A4" w14:textId="77777777" w:rsidR="000D62F3" w:rsidRDefault="000D62F3" w:rsidP="000D62F3">
      <w:pPr>
        <w:pStyle w:val="Textonotapie"/>
        <w:jc w:val="both"/>
        <w:rPr>
          <w:rFonts w:ascii="Verdana" w:hAnsi="Verdana" w:cs="Arial"/>
          <w:sz w:val="15"/>
          <w:szCs w:val="15"/>
          <w:lang w:val="es-ES"/>
        </w:rPr>
      </w:pPr>
    </w:p>
    <w:p w14:paraId="7CAAEE1C" w14:textId="77777777" w:rsidR="000D62F3" w:rsidRPr="006D6CA3" w:rsidRDefault="000D62F3" w:rsidP="000D62F3">
      <w:pPr>
        <w:pStyle w:val="Textonotapie"/>
        <w:jc w:val="both"/>
        <w:rPr>
          <w:rFonts w:ascii="Verdana" w:hAnsi="Verdana" w:cs="Arial"/>
          <w:sz w:val="15"/>
          <w:szCs w:val="15"/>
          <w:lang w:val="es-ES"/>
        </w:rPr>
      </w:pPr>
      <w:r w:rsidRPr="006D6CA3">
        <w:rPr>
          <w:rFonts w:ascii="Verdana" w:hAnsi="Verdana" w:cs="Arial"/>
          <w:sz w:val="15"/>
          <w:szCs w:val="15"/>
          <w:lang w:val="es-ES"/>
        </w:rPr>
        <w:t>Las entidades estatales podrán pactar estas cláusulas en los contratos de suministro y de prestación de servicios.</w:t>
      </w:r>
    </w:p>
    <w:p w14:paraId="447DB4E3" w14:textId="77777777" w:rsidR="000D62F3" w:rsidRDefault="000D62F3" w:rsidP="000D62F3">
      <w:pPr>
        <w:pStyle w:val="Textonotapie"/>
        <w:ind w:firstLine="709"/>
        <w:jc w:val="both"/>
        <w:rPr>
          <w:rFonts w:ascii="Verdana" w:hAnsi="Verdana" w:cs="Arial"/>
          <w:sz w:val="15"/>
          <w:szCs w:val="15"/>
          <w:lang w:val="es-ES"/>
        </w:rPr>
      </w:pPr>
      <w:r w:rsidRPr="006D6CA3">
        <w:rPr>
          <w:rFonts w:ascii="Verdana" w:hAnsi="Verdana" w:cs="Arial"/>
          <w:sz w:val="15"/>
          <w:szCs w:val="15"/>
          <w:lang w:val="es-ES"/>
        </w:rPr>
        <w:t>[…]».</w:t>
      </w:r>
    </w:p>
    <w:p w14:paraId="2591471A" w14:textId="77777777" w:rsidR="000D62F3" w:rsidRPr="008F1E8B" w:rsidRDefault="000D62F3" w:rsidP="000D62F3">
      <w:pPr>
        <w:pStyle w:val="Textonotapie"/>
        <w:ind w:firstLine="709"/>
        <w:jc w:val="both"/>
        <w:rPr>
          <w:rFonts w:ascii="Verdana" w:hAnsi="Verdana" w:cs="Arial"/>
          <w:sz w:val="16"/>
          <w:szCs w:val="16"/>
          <w:lang w:val="es-ES"/>
        </w:rPr>
      </w:pPr>
    </w:p>
  </w:footnote>
  <w:footnote w:id="8">
    <w:p w14:paraId="516173BB" w14:textId="77777777" w:rsidR="000D62F3" w:rsidRDefault="000D62F3" w:rsidP="000D62F3">
      <w:pPr>
        <w:pStyle w:val="Textonotapie"/>
        <w:ind w:firstLine="709"/>
        <w:jc w:val="both"/>
        <w:rPr>
          <w:rFonts w:ascii="Verdana" w:hAnsi="Verdana" w:cs="Arial"/>
          <w:sz w:val="16"/>
          <w:szCs w:val="16"/>
          <w:lang w:val="es-ES"/>
        </w:rPr>
      </w:pPr>
      <w:r w:rsidRPr="008F1E8B">
        <w:rPr>
          <w:rStyle w:val="Refdenotaalpie"/>
          <w:rFonts w:ascii="Verdana" w:hAnsi="Verdana" w:cs="Arial"/>
          <w:sz w:val="16"/>
          <w:szCs w:val="16"/>
        </w:rPr>
        <w:footnoteRef/>
      </w:r>
      <w:r w:rsidRPr="008F1E8B">
        <w:rPr>
          <w:rFonts w:ascii="Verdana" w:hAnsi="Verdana" w:cs="Arial"/>
          <w:sz w:val="16"/>
          <w:szCs w:val="16"/>
        </w:rPr>
        <w:t xml:space="preserve"> </w:t>
      </w:r>
      <w:r w:rsidRPr="008F1E8B">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22A1AB1F" w14:textId="77777777" w:rsidR="000D62F3" w:rsidRPr="008F1E8B" w:rsidRDefault="000D62F3" w:rsidP="000D62F3">
      <w:pPr>
        <w:pStyle w:val="Textonotapie"/>
        <w:jc w:val="both"/>
        <w:rPr>
          <w:rFonts w:ascii="Verdana" w:hAnsi="Verdana" w:cs="Arial"/>
          <w:sz w:val="16"/>
          <w:szCs w:val="16"/>
          <w:lang w:val="es-ES"/>
        </w:rPr>
      </w:pPr>
    </w:p>
  </w:footnote>
  <w:footnote w:id="9">
    <w:p w14:paraId="2F2E841A" w14:textId="77777777" w:rsidR="000D62F3" w:rsidRDefault="000D62F3" w:rsidP="000D62F3">
      <w:pPr>
        <w:pStyle w:val="Textonotapie"/>
        <w:ind w:firstLine="709"/>
        <w:jc w:val="both"/>
        <w:rPr>
          <w:rFonts w:ascii="Verdana" w:hAnsi="Verdana" w:cs="Arial"/>
          <w:sz w:val="16"/>
          <w:szCs w:val="16"/>
        </w:rPr>
      </w:pPr>
      <w:r w:rsidRPr="008F1E8B">
        <w:rPr>
          <w:rStyle w:val="Refdenotaalpie"/>
          <w:rFonts w:ascii="Verdana" w:hAnsi="Verdana" w:cs="Arial"/>
          <w:sz w:val="16"/>
          <w:szCs w:val="16"/>
        </w:rPr>
        <w:footnoteRef/>
      </w:r>
      <w:r w:rsidRPr="00636239">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68EA9FF" w14:textId="77777777" w:rsidR="000D62F3" w:rsidRPr="00636239" w:rsidRDefault="000D62F3" w:rsidP="000D62F3">
      <w:pPr>
        <w:pStyle w:val="Textonotapie"/>
        <w:ind w:firstLine="709"/>
        <w:jc w:val="both"/>
        <w:rPr>
          <w:rFonts w:ascii="Verdana" w:hAnsi="Verdana" w:cs="Arial"/>
          <w:sz w:val="16"/>
          <w:szCs w:val="16"/>
        </w:rPr>
      </w:pPr>
    </w:p>
    <w:p w14:paraId="4A1C593A" w14:textId="77777777" w:rsidR="000D62F3" w:rsidRDefault="000D62F3" w:rsidP="000D62F3">
      <w:pPr>
        <w:pStyle w:val="Textonotapie"/>
        <w:ind w:firstLine="709"/>
        <w:jc w:val="both"/>
        <w:rPr>
          <w:rFonts w:ascii="Verdana" w:hAnsi="Verdana" w:cs="Arial"/>
          <w:sz w:val="16"/>
          <w:szCs w:val="16"/>
        </w:rPr>
      </w:pPr>
      <w:r w:rsidRPr="00636239">
        <w:rPr>
          <w:rFonts w:ascii="Verdana" w:hAnsi="Verdana" w:cs="Arial"/>
          <w:sz w:val="16"/>
          <w:szCs w:val="16"/>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w:t>
      </w:r>
      <w:r w:rsidRPr="00066AD5">
        <w:rPr>
          <w:rFonts w:ascii="Verdana" w:hAnsi="Verdana" w:cs="Arial"/>
          <w:sz w:val="16"/>
          <w:szCs w:val="16"/>
        </w:rPr>
        <w:t>sociedades de economía mixta y los contratos de concesión de cualquier índole. En los casos anteriormente señalados, corresponderá a las entidades contratantes cumplir con la labor de verificación de las condiciones de los proponentes. […]».</w:t>
      </w:r>
    </w:p>
    <w:p w14:paraId="3C97EBC0" w14:textId="77777777" w:rsidR="000D62F3" w:rsidRPr="00066AD5" w:rsidRDefault="000D62F3" w:rsidP="000D62F3">
      <w:pPr>
        <w:pStyle w:val="Textonotapie"/>
        <w:ind w:firstLine="709"/>
        <w:jc w:val="both"/>
        <w:rPr>
          <w:rFonts w:ascii="Verdana" w:hAnsi="Verdana" w:cs="Arial"/>
          <w:sz w:val="16"/>
          <w:szCs w:val="16"/>
        </w:rPr>
      </w:pPr>
    </w:p>
  </w:footnote>
  <w:footnote w:id="10">
    <w:p w14:paraId="2B3BEAE2" w14:textId="77777777" w:rsidR="000D62F3" w:rsidRPr="00066AD5" w:rsidRDefault="000D62F3" w:rsidP="000D62F3">
      <w:pPr>
        <w:pStyle w:val="Textonotapie"/>
        <w:ind w:firstLine="709"/>
        <w:jc w:val="both"/>
        <w:rPr>
          <w:rFonts w:ascii="Verdana" w:hAnsi="Verdana" w:cs="Arial"/>
          <w:sz w:val="16"/>
          <w:szCs w:val="16"/>
          <w:lang w:val="es-ES"/>
        </w:rPr>
      </w:pPr>
      <w:r w:rsidRPr="00066AD5">
        <w:rPr>
          <w:rStyle w:val="Refdenotaalpie"/>
          <w:rFonts w:ascii="Verdana" w:hAnsi="Verdana" w:cs="Arial"/>
          <w:sz w:val="16"/>
          <w:szCs w:val="16"/>
        </w:rPr>
        <w:footnoteRef/>
      </w:r>
      <w:r w:rsidRPr="00066AD5">
        <w:rPr>
          <w:rFonts w:ascii="Verdana" w:hAnsi="Verdana" w:cs="Arial"/>
          <w:sz w:val="16"/>
          <w:szCs w:val="16"/>
        </w:rPr>
        <w:t xml:space="preserve"> </w:t>
      </w:r>
      <w:r w:rsidRPr="00066AD5">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footnote>
  <w:footnote w:id="11">
    <w:p w14:paraId="34AEBA8B" w14:textId="77777777" w:rsidR="000D62F3" w:rsidRPr="00066AD5" w:rsidRDefault="000D62F3" w:rsidP="000D62F3">
      <w:pPr>
        <w:pStyle w:val="Textonotapie"/>
        <w:ind w:firstLine="709"/>
        <w:jc w:val="both"/>
        <w:rPr>
          <w:rFonts w:ascii="Verdana" w:hAnsi="Verdana" w:cs="Arial"/>
          <w:color w:val="000000" w:themeColor="text1"/>
          <w:sz w:val="16"/>
          <w:szCs w:val="16"/>
          <w:lang w:val="es-ES"/>
        </w:rPr>
      </w:pPr>
      <w:r w:rsidRPr="00066AD5">
        <w:rPr>
          <w:rStyle w:val="Refdenotaalpie"/>
          <w:rFonts w:ascii="Verdana" w:hAnsi="Verdana" w:cs="Arial"/>
          <w:color w:val="000000" w:themeColor="text1"/>
          <w:sz w:val="16"/>
          <w:szCs w:val="16"/>
        </w:rPr>
        <w:footnoteRef/>
      </w:r>
      <w:r w:rsidRPr="00066AD5">
        <w:rPr>
          <w:rFonts w:ascii="Verdana" w:hAnsi="Verdana" w:cs="Arial"/>
          <w:color w:val="000000" w:themeColor="text1"/>
          <w:sz w:val="16"/>
          <w:szCs w:val="16"/>
        </w:rPr>
        <w:t xml:space="preserve"> </w:t>
      </w:r>
      <w:r w:rsidRPr="00066AD5">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2E372330" w14:textId="77777777" w:rsidR="000D62F3" w:rsidRPr="00066AD5" w:rsidRDefault="000D62F3" w:rsidP="000D62F3">
      <w:pPr>
        <w:pStyle w:val="Textonotapie"/>
        <w:ind w:firstLine="709"/>
        <w:jc w:val="both"/>
        <w:rPr>
          <w:rFonts w:ascii="Verdana" w:hAnsi="Verdana" w:cs="Arial"/>
          <w:color w:val="000000" w:themeColor="text1"/>
          <w:sz w:val="16"/>
          <w:szCs w:val="16"/>
          <w:lang w:val="es-ES"/>
        </w:rPr>
      </w:pPr>
      <w:r w:rsidRPr="00066AD5">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44DC73A" w14:textId="77777777" w:rsidR="000D62F3" w:rsidRPr="00066AD5" w:rsidRDefault="000D62F3" w:rsidP="000D62F3">
      <w:pPr>
        <w:pStyle w:val="Textonotapie"/>
        <w:ind w:firstLine="709"/>
        <w:jc w:val="both"/>
        <w:rPr>
          <w:rFonts w:ascii="Verdana" w:hAnsi="Verdana" w:cs="Arial"/>
          <w:color w:val="000000" w:themeColor="text1"/>
          <w:sz w:val="16"/>
          <w:szCs w:val="16"/>
          <w:lang w:val="es-ES"/>
        </w:rPr>
      </w:pPr>
      <w:r w:rsidRPr="00066AD5">
        <w:rPr>
          <w:rFonts w:ascii="Verdana" w:hAnsi="Verdana" w:cs="Arial"/>
          <w:color w:val="000000" w:themeColor="text1"/>
          <w:sz w:val="16"/>
          <w:szCs w:val="16"/>
          <w:lang w:val="es-ES"/>
        </w:rPr>
        <w:t>»La Entidad Estatal, para la contratación de trabajos artísticos que solamente puedan en</w:t>
      </w:r>
      <w:r w:rsidRPr="00066AD5">
        <w:rPr>
          <w:rFonts w:ascii="Verdana" w:hAnsi="Verdana" w:cs="Arial"/>
          <w:color w:val="000000" w:themeColor="text1"/>
          <w:sz w:val="16"/>
          <w:szCs w:val="16"/>
          <w:lang w:val="es-ES"/>
        </w:rPr>
        <w:softHyphen/>
        <w:t>comendarse a determinadas personas naturales, debe justificar esta situación en los estudios y documentos previos».</w:t>
      </w:r>
    </w:p>
    <w:p w14:paraId="06E0A6EF" w14:textId="77777777" w:rsidR="000D62F3" w:rsidRPr="00066AD5" w:rsidRDefault="000D62F3" w:rsidP="000D62F3">
      <w:pPr>
        <w:pStyle w:val="Textonotapie"/>
        <w:ind w:firstLine="709"/>
        <w:jc w:val="both"/>
        <w:rPr>
          <w:rFonts w:ascii="Verdana" w:hAnsi="Verdana" w:cs="Arial"/>
          <w:color w:val="000000" w:themeColor="text1"/>
          <w:sz w:val="16"/>
          <w:szCs w:val="16"/>
          <w:lang w:val="es-ES"/>
        </w:rPr>
      </w:pPr>
    </w:p>
  </w:footnote>
  <w:footnote w:id="12">
    <w:p w14:paraId="7370CE67" w14:textId="77777777" w:rsidR="000D62F3" w:rsidRPr="00066AD5" w:rsidRDefault="000D62F3" w:rsidP="000D62F3">
      <w:pPr>
        <w:pStyle w:val="Textonotapie"/>
        <w:ind w:firstLine="709"/>
        <w:jc w:val="both"/>
        <w:rPr>
          <w:rFonts w:ascii="Verdana" w:hAnsi="Verdana" w:cs="Arial"/>
          <w:color w:val="000000" w:themeColor="text1"/>
          <w:sz w:val="16"/>
          <w:szCs w:val="16"/>
          <w:lang w:val="es-ES"/>
        </w:rPr>
      </w:pPr>
      <w:r w:rsidRPr="00066AD5">
        <w:rPr>
          <w:rStyle w:val="Refdenotaalpie"/>
          <w:rFonts w:ascii="Verdana" w:hAnsi="Verdana" w:cs="Arial"/>
          <w:color w:val="000000" w:themeColor="text1"/>
          <w:sz w:val="16"/>
          <w:szCs w:val="16"/>
        </w:rPr>
        <w:footnoteRef/>
      </w:r>
      <w:r w:rsidRPr="00066AD5">
        <w:rPr>
          <w:rFonts w:ascii="Verdana" w:hAnsi="Verdana" w:cs="Arial"/>
          <w:color w:val="000000" w:themeColor="text1"/>
          <w:sz w:val="16"/>
          <w:szCs w:val="16"/>
        </w:rPr>
        <w:t xml:space="preserve"> </w:t>
      </w:r>
      <w:r w:rsidRPr="00066AD5">
        <w:rPr>
          <w:rFonts w:ascii="Verdana" w:hAnsi="Verdana" w:cs="Arial"/>
          <w:color w:val="000000" w:themeColor="text1"/>
          <w:sz w:val="16"/>
          <w:szCs w:val="16"/>
          <w:lang w:val="es-ES"/>
        </w:rPr>
        <w:t xml:space="preserve">CONSEJO DE ESTADO. Sección Tercera. Subsección C. Sentencia de Unificación del 2 de diciembre de 2013. </w:t>
      </w:r>
      <w:r w:rsidRPr="00066AD5">
        <w:rPr>
          <w:rFonts w:ascii="Verdana" w:hAnsi="Verdana" w:cs="Arial"/>
          <w:color w:val="000000" w:themeColor="text1"/>
          <w:sz w:val="16"/>
          <w:szCs w:val="16"/>
          <w:lang w:val="es-ES"/>
        </w:rPr>
        <w:t>Exp. 41.719. C.P. Jaime Orlando Santofimio Gamboa.</w:t>
      </w:r>
    </w:p>
    <w:p w14:paraId="49AB2C5F" w14:textId="77777777" w:rsidR="000D62F3" w:rsidRPr="00636239" w:rsidRDefault="000D62F3" w:rsidP="000D62F3">
      <w:pPr>
        <w:pStyle w:val="Textonotapie"/>
        <w:ind w:firstLine="709"/>
        <w:jc w:val="both"/>
        <w:rPr>
          <w:rFonts w:ascii="Verdana" w:hAnsi="Verdana" w:cs="Arial"/>
          <w:color w:val="000000" w:themeColor="text1"/>
          <w:sz w:val="16"/>
          <w:szCs w:val="16"/>
          <w:lang w:val="es-ES"/>
        </w:rPr>
      </w:pPr>
    </w:p>
  </w:footnote>
  <w:footnote w:id="13">
    <w:p w14:paraId="46D2022B" w14:textId="77777777" w:rsidR="000D62F3" w:rsidRPr="00D62056" w:rsidRDefault="000D62F3" w:rsidP="000D62F3">
      <w:pPr>
        <w:pStyle w:val="Textonotapie"/>
        <w:ind w:firstLine="709"/>
        <w:jc w:val="both"/>
        <w:rPr>
          <w:rFonts w:ascii="Verdana" w:hAnsi="Verdana" w:cs="Arial"/>
          <w:color w:val="000000" w:themeColor="text1"/>
          <w:sz w:val="16"/>
          <w:szCs w:val="16"/>
          <w:lang w:val="es-ES"/>
        </w:rPr>
      </w:pPr>
      <w:r w:rsidRPr="00636239">
        <w:rPr>
          <w:rStyle w:val="Refdenotaalpie"/>
          <w:rFonts w:ascii="Verdana" w:hAnsi="Verdana" w:cs="Arial"/>
          <w:color w:val="000000" w:themeColor="text1"/>
          <w:sz w:val="16"/>
          <w:szCs w:val="16"/>
        </w:rPr>
        <w:footnoteRef/>
      </w:r>
      <w:r w:rsidRPr="00D62056">
        <w:rPr>
          <w:rFonts w:ascii="Verdana" w:hAnsi="Verdana" w:cs="Arial"/>
          <w:color w:val="000000" w:themeColor="text1"/>
          <w:sz w:val="16"/>
          <w:szCs w:val="16"/>
        </w:rPr>
        <w:t xml:space="preserve"> </w:t>
      </w:r>
      <w:r w:rsidRPr="00D62056">
        <w:rPr>
          <w:rFonts w:ascii="Verdana" w:hAnsi="Verdana" w:cs="Arial"/>
          <w:i/>
          <w:iCs/>
          <w:color w:val="000000" w:themeColor="text1"/>
          <w:sz w:val="16"/>
          <w:szCs w:val="16"/>
          <w:lang w:val="es-ES"/>
        </w:rPr>
        <w:t>Ibíd</w:t>
      </w:r>
      <w:r w:rsidRPr="00D62056">
        <w:rPr>
          <w:rFonts w:ascii="Verdana" w:hAnsi="Verdana" w:cs="Arial"/>
          <w:color w:val="000000" w:themeColor="text1"/>
          <w:sz w:val="16"/>
          <w:szCs w:val="16"/>
          <w:lang w:val="es-ES"/>
        </w:rPr>
        <w:t>.</w:t>
      </w:r>
    </w:p>
    <w:p w14:paraId="01A9F44E" w14:textId="77777777" w:rsidR="000D62F3" w:rsidRPr="00D62056" w:rsidRDefault="000D62F3" w:rsidP="000D62F3">
      <w:pPr>
        <w:pStyle w:val="Textonotapie"/>
        <w:ind w:firstLine="709"/>
        <w:jc w:val="both"/>
        <w:rPr>
          <w:rFonts w:ascii="Verdana" w:hAnsi="Verdana" w:cs="Arial"/>
          <w:color w:val="000000" w:themeColor="text1"/>
          <w:sz w:val="16"/>
          <w:szCs w:val="16"/>
          <w:lang w:val="es-ES"/>
        </w:rPr>
      </w:pPr>
    </w:p>
  </w:footnote>
  <w:footnote w:id="14">
    <w:p w14:paraId="700E0F27" w14:textId="77777777" w:rsidR="000D62F3" w:rsidRPr="00636239" w:rsidRDefault="000D62F3" w:rsidP="000D62F3">
      <w:pPr>
        <w:pStyle w:val="Textonotapie"/>
        <w:ind w:firstLine="709"/>
        <w:jc w:val="both"/>
        <w:rPr>
          <w:rFonts w:ascii="Verdana" w:hAnsi="Verdana" w:cs="Arial"/>
          <w:color w:val="000000" w:themeColor="text1"/>
          <w:sz w:val="16"/>
          <w:szCs w:val="16"/>
          <w:lang w:val="es-ES"/>
        </w:rPr>
      </w:pPr>
      <w:r w:rsidRPr="00636239">
        <w:rPr>
          <w:rStyle w:val="Refdenotaalpie"/>
          <w:rFonts w:ascii="Verdana" w:hAnsi="Verdana" w:cs="Arial"/>
          <w:color w:val="000000" w:themeColor="text1"/>
          <w:sz w:val="16"/>
          <w:szCs w:val="16"/>
        </w:rPr>
        <w:footnoteRef/>
      </w:r>
      <w:r w:rsidRPr="00636239">
        <w:rPr>
          <w:rFonts w:ascii="Verdana" w:hAnsi="Verdana" w:cs="Arial"/>
          <w:color w:val="000000" w:themeColor="text1"/>
          <w:sz w:val="16"/>
          <w:szCs w:val="16"/>
        </w:rPr>
        <w:t xml:space="preserve"> </w:t>
      </w:r>
      <w:r w:rsidRPr="00636239">
        <w:rPr>
          <w:rFonts w:ascii="Verdana" w:hAnsi="Verdana" w:cs="Arial"/>
          <w:i/>
          <w:iCs/>
          <w:color w:val="000000" w:themeColor="text1"/>
          <w:sz w:val="16"/>
          <w:szCs w:val="16"/>
          <w:lang w:val="es-ES"/>
        </w:rPr>
        <w:t>Ibíd</w:t>
      </w:r>
      <w:r w:rsidRPr="00636239">
        <w:rPr>
          <w:rFonts w:ascii="Verdana" w:hAnsi="Verdana" w:cs="Arial"/>
          <w:color w:val="000000" w:themeColor="text1"/>
          <w:sz w:val="16"/>
          <w:szCs w:val="16"/>
          <w:lang w:val="es-ES"/>
        </w:rPr>
        <w:t>.</w:t>
      </w:r>
    </w:p>
    <w:p w14:paraId="66683B8F" w14:textId="77777777" w:rsidR="000D62F3" w:rsidRPr="00636239" w:rsidRDefault="000D62F3" w:rsidP="000D62F3">
      <w:pPr>
        <w:pStyle w:val="Textonotapie"/>
        <w:ind w:firstLine="709"/>
        <w:jc w:val="both"/>
        <w:rPr>
          <w:rFonts w:ascii="Verdana" w:hAnsi="Verdana" w:cs="Arial"/>
          <w:color w:val="000000" w:themeColor="text1"/>
          <w:sz w:val="16"/>
          <w:szCs w:val="16"/>
          <w:lang w:val="es-ES"/>
        </w:rPr>
      </w:pPr>
    </w:p>
  </w:footnote>
  <w:footnote w:id="15">
    <w:p w14:paraId="47C1D403" w14:textId="77777777" w:rsidR="000D62F3" w:rsidRDefault="000D62F3" w:rsidP="000D62F3">
      <w:pPr>
        <w:pStyle w:val="Textonotapie"/>
        <w:ind w:firstLine="708"/>
        <w:jc w:val="both"/>
        <w:rPr>
          <w:rFonts w:ascii="Verdana" w:hAnsi="Verdana" w:cs="Arial"/>
          <w:sz w:val="16"/>
          <w:szCs w:val="16"/>
        </w:rPr>
      </w:pPr>
      <w:r w:rsidRPr="00636239">
        <w:rPr>
          <w:rStyle w:val="Refdenotaalpie"/>
          <w:rFonts w:ascii="Verdana" w:hAnsi="Verdana" w:cs="Arial"/>
          <w:sz w:val="16"/>
          <w:szCs w:val="16"/>
        </w:rPr>
        <w:footnoteRef/>
      </w:r>
      <w:r w:rsidRPr="00636239">
        <w:rPr>
          <w:rFonts w:ascii="Verdana" w:hAnsi="Verdana" w:cs="Arial"/>
          <w:sz w:val="16"/>
          <w:szCs w:val="16"/>
        </w:rPr>
        <w:t xml:space="preserve"> Respecto al alcance del literal h) del numeral 4 del artículo 2 de la Ley 1150 de 2007, la doctrina considera que «[…] El sentido de este enunciado normativo es que la razón que permite la contratación directa con dichas personas naturales es precisamente el conjunto de habilidades artísticas que </w:t>
      </w:r>
      <w:r w:rsidRPr="00080A9F">
        <w:rPr>
          <w:rFonts w:ascii="Verdana" w:hAnsi="Verdana" w:cs="Arial"/>
          <w:sz w:val="16"/>
          <w:szCs w:val="16"/>
        </w:rPr>
        <w:t>reúnen</w:t>
      </w:r>
      <w:r w:rsidRPr="00636239">
        <w:rPr>
          <w:rFonts w:ascii="Verdana" w:hAnsi="Verdana" w:cs="Arial"/>
          <w:sz w:val="16"/>
          <w:szCs w:val="16"/>
        </w:rPr>
        <w:t xml:space="preserve">. En tal medida, la expresión “que solo puedan encomendarse a determinadas personas” no puede interpretarse como un mandato de que el contrato de prestación de servicios para la ejecución del trabajo artístico solo sea causal de contratación directa cuando solo exista un único artista en el mercado que pueda encargarse de la labor requerida por la entidad. La contratación directa está permitida aun cuando sean varios los sujetos en la línea artística sobre la que versa el trabajo que contratará la Administración. Lo contrario sería confundir la causal de contratación directa que se viene analizando, con la prevista en el literal anterior, es decir, en el g) del mismo numeral y artículo, que también permite dicha modalidad contractual “cuando no exista pluralidad de oferentes en el mercado”» (Cfr. DÍAZ DÍEZ, Cristian Andrés &amp; GÓMEZ VELÁSQUEZ, Alejandro. El contrato de prestación de servicios en el estatuto general de contratación de la administración pública: un tipo contractual de compleja celebración. Consultado el 27 de septiembre de 2021 en la página </w:t>
      </w:r>
      <w:hyperlink r:id="rId1" w:history="1">
        <w:r w:rsidRPr="00636239">
          <w:rPr>
            <w:rStyle w:val="Hipervnculo"/>
            <w:rFonts w:ascii="Verdana" w:hAnsi="Verdana" w:cs="Arial"/>
            <w:sz w:val="16"/>
            <w:szCs w:val="16"/>
          </w:rPr>
          <w:t>https://revistas.javeriana.edu.co/files-articulos/VJ/139%20(2019-II)/82562148007/</w:t>
        </w:r>
      </w:hyperlink>
      <w:r w:rsidRPr="00636239">
        <w:rPr>
          <w:rFonts w:ascii="Verdana" w:hAnsi="Verdana" w:cs="Arial"/>
          <w:sz w:val="16"/>
          <w:szCs w:val="16"/>
        </w:rPr>
        <w:t xml:space="preserve">). </w:t>
      </w:r>
    </w:p>
    <w:p w14:paraId="71EF429D" w14:textId="77777777" w:rsidR="000D62F3" w:rsidRDefault="000D62F3" w:rsidP="000D62F3">
      <w:pPr>
        <w:pStyle w:val="Textonotapie"/>
        <w:ind w:firstLine="708"/>
        <w:jc w:val="both"/>
        <w:rPr>
          <w:rFonts w:ascii="Verdana" w:hAnsi="Verdana" w:cs="Arial"/>
          <w:sz w:val="16"/>
          <w:szCs w:val="16"/>
        </w:rPr>
      </w:pPr>
    </w:p>
    <w:p w14:paraId="02DB84D7" w14:textId="77777777" w:rsidR="000D62F3" w:rsidRPr="00636239" w:rsidRDefault="000D62F3" w:rsidP="000D62F3">
      <w:pPr>
        <w:pStyle w:val="Textonotapie"/>
        <w:ind w:firstLine="708"/>
        <w:jc w:val="both"/>
        <w:rPr>
          <w:rFonts w:ascii="Verdana" w:hAnsi="Verdana" w:cs="Arial"/>
          <w:sz w:val="16"/>
          <w:szCs w:val="16"/>
        </w:rPr>
      </w:pPr>
    </w:p>
  </w:footnote>
  <w:footnote w:id="16">
    <w:p w14:paraId="3A83CCB3" w14:textId="77777777" w:rsidR="000D62F3" w:rsidRPr="009A2D37" w:rsidRDefault="000D62F3" w:rsidP="000D62F3">
      <w:pPr>
        <w:pStyle w:val="Textonotapie"/>
        <w:ind w:firstLine="709"/>
        <w:jc w:val="both"/>
        <w:rPr>
          <w:rFonts w:ascii="Verdana" w:hAnsi="Verdana" w:cs="Arial"/>
          <w:color w:val="000000" w:themeColor="text1"/>
          <w:sz w:val="16"/>
          <w:szCs w:val="16"/>
        </w:rPr>
      </w:pPr>
      <w:r w:rsidRPr="009A2D37">
        <w:rPr>
          <w:rFonts w:ascii="Verdana" w:hAnsi="Verdana" w:cs="Arial"/>
          <w:color w:val="000000" w:themeColor="text1"/>
          <w:sz w:val="16"/>
          <w:szCs w:val="16"/>
          <w:vertAlign w:val="superscript"/>
        </w:rPr>
        <w:footnoteRef/>
      </w:r>
      <w:r w:rsidRPr="009A2D37">
        <w:rPr>
          <w:rFonts w:ascii="Verdana" w:hAnsi="Verdana" w:cs="Arial"/>
          <w:color w:val="000000" w:themeColor="text1"/>
          <w:sz w:val="16"/>
          <w:szCs w:val="16"/>
        </w:rPr>
        <w:t xml:space="preserve"> </w:t>
      </w:r>
      <w:r>
        <w:rPr>
          <w:rFonts w:ascii="Verdana" w:hAnsi="Verdana" w:cs="Arial"/>
          <w:color w:val="000000" w:themeColor="text1"/>
          <w:sz w:val="16"/>
          <w:szCs w:val="16"/>
        </w:rPr>
        <w:t xml:space="preserve">Agencia Nacional de Contratación Pública – Colombia Compra Eficiente. </w:t>
      </w:r>
      <w:r w:rsidRPr="009A2D37">
        <w:rPr>
          <w:rFonts w:ascii="Verdana" w:hAnsi="Verdana" w:cs="Arial"/>
          <w:color w:val="000000" w:themeColor="text1"/>
          <w:sz w:val="16"/>
          <w:szCs w:val="16"/>
        </w:rPr>
        <w:t>Concepto del 3 de septiembre de 2019, con radicado No. 2201913000006512.</w:t>
      </w:r>
    </w:p>
    <w:p w14:paraId="6D50C964" w14:textId="77777777" w:rsidR="000D62F3" w:rsidRPr="008F1E8B" w:rsidRDefault="000D62F3" w:rsidP="000D62F3">
      <w:pPr>
        <w:pStyle w:val="Textonotapie"/>
        <w:ind w:firstLine="709"/>
        <w:jc w:val="both"/>
        <w:rPr>
          <w:rFonts w:ascii="Verdana" w:hAnsi="Verdana"/>
          <w:sz w:val="16"/>
          <w:szCs w:val="16"/>
        </w:rPr>
      </w:pPr>
    </w:p>
  </w:footnote>
  <w:footnote w:id="17">
    <w:p w14:paraId="4F4AF46B" w14:textId="77777777" w:rsidR="000D62F3" w:rsidRDefault="000D62F3" w:rsidP="000D62F3">
      <w:pPr>
        <w:pStyle w:val="Textonotapie"/>
        <w:ind w:firstLine="708"/>
        <w:jc w:val="both"/>
        <w:rPr>
          <w:rFonts w:ascii="Verdana" w:hAnsi="Verdana" w:cs="Arial"/>
          <w:color w:val="000000"/>
          <w:sz w:val="16"/>
          <w:szCs w:val="16"/>
        </w:rPr>
      </w:pPr>
      <w:r w:rsidRPr="009A2D37">
        <w:rPr>
          <w:rFonts w:ascii="Verdana" w:hAnsi="Verdana" w:cs="Arial"/>
          <w:color w:val="000000"/>
          <w:sz w:val="16"/>
          <w:szCs w:val="16"/>
          <w:vertAlign w:val="superscript"/>
        </w:rPr>
        <w:footnoteRef/>
      </w:r>
      <w:r w:rsidRPr="009A2D37">
        <w:rPr>
          <w:rFonts w:ascii="Verdana" w:hAnsi="Verdana" w:cs="Arial"/>
          <w:color w:val="000000"/>
          <w:sz w:val="16"/>
          <w:szCs w:val="16"/>
        </w:rPr>
        <w:t xml:space="preserve"> Decreto 1082</w:t>
      </w:r>
      <w:r>
        <w:rPr>
          <w:rFonts w:ascii="Verdana" w:hAnsi="Verdana" w:cs="Arial"/>
          <w:color w:val="000000"/>
          <w:sz w:val="16"/>
          <w:szCs w:val="16"/>
        </w:rPr>
        <w:t>. A</w:t>
      </w:r>
      <w:r w:rsidRPr="009A2D37">
        <w:rPr>
          <w:rFonts w:ascii="Verdana" w:hAnsi="Verdana" w:cs="Arial"/>
          <w:color w:val="000000"/>
          <w:sz w:val="16"/>
          <w:szCs w:val="16"/>
        </w:rPr>
        <w:t>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p w14:paraId="098F86B7" w14:textId="77777777" w:rsidR="000D62F3" w:rsidRPr="008F1E8B" w:rsidRDefault="000D62F3" w:rsidP="000D62F3">
      <w:pPr>
        <w:pStyle w:val="Textonotapie"/>
        <w:ind w:firstLine="708"/>
        <w:jc w:val="both"/>
        <w:rPr>
          <w:rFonts w:ascii="Verdana" w:hAnsi="Verdana"/>
          <w:sz w:val="16"/>
          <w:szCs w:val="16"/>
        </w:rPr>
      </w:pPr>
    </w:p>
  </w:footnote>
  <w:footnote w:id="18">
    <w:p w14:paraId="622FC5CA" w14:textId="77777777" w:rsidR="000D62F3" w:rsidRPr="008F1E8B" w:rsidRDefault="000D62F3" w:rsidP="000D62F3">
      <w:pPr>
        <w:pStyle w:val="Textonotapie"/>
        <w:ind w:firstLine="708"/>
        <w:jc w:val="both"/>
        <w:rPr>
          <w:rFonts w:ascii="Verdana" w:hAnsi="Verdana" w:cs="Arial"/>
          <w:sz w:val="16"/>
          <w:szCs w:val="16"/>
        </w:rPr>
      </w:pPr>
      <w:r w:rsidRPr="008F1E8B">
        <w:rPr>
          <w:rStyle w:val="Refdenotaalpie"/>
          <w:rFonts w:ascii="Verdana" w:hAnsi="Verdana" w:cs="Arial"/>
          <w:sz w:val="16"/>
          <w:szCs w:val="16"/>
        </w:rPr>
        <w:footnoteRef/>
      </w:r>
      <w:r w:rsidRPr="008F1E8B">
        <w:rPr>
          <w:rFonts w:ascii="Verdana" w:hAnsi="Verdana" w:cs="Arial"/>
          <w:sz w:val="16"/>
          <w:szCs w:val="16"/>
        </w:rPr>
        <w:t xml:space="preserve"> Cfr. Concepto del 21 de agosto de 2019, dictado dentro del radicado No. 2201913000006047.</w:t>
      </w:r>
    </w:p>
    <w:p w14:paraId="5DC3AFC5" w14:textId="77777777" w:rsidR="000D62F3" w:rsidRPr="008F1E8B" w:rsidRDefault="000D62F3" w:rsidP="000D62F3">
      <w:pPr>
        <w:pStyle w:val="Textonotapie"/>
        <w:ind w:firstLine="708"/>
        <w:jc w:val="both"/>
        <w:rPr>
          <w:rFonts w:ascii="Verdana" w:hAnsi="Verdana" w:cs="Arial"/>
          <w:sz w:val="16"/>
          <w:szCs w:val="16"/>
          <w:lang w:val="es-ES"/>
        </w:rPr>
      </w:pPr>
    </w:p>
  </w:footnote>
  <w:footnote w:id="19">
    <w:p w14:paraId="373B0D28" w14:textId="77777777" w:rsidR="000D62F3" w:rsidRPr="008F1E8B" w:rsidRDefault="000D62F3" w:rsidP="000D62F3">
      <w:pPr>
        <w:pStyle w:val="Textonotapie"/>
        <w:ind w:firstLine="708"/>
        <w:jc w:val="both"/>
        <w:rPr>
          <w:rFonts w:ascii="Verdana" w:hAnsi="Verdana" w:cs="Arial"/>
          <w:sz w:val="16"/>
          <w:szCs w:val="16"/>
          <w:lang w:val="es-ES"/>
        </w:rPr>
      </w:pPr>
      <w:r w:rsidRPr="008F1E8B">
        <w:rPr>
          <w:rStyle w:val="Refdenotaalpie"/>
          <w:rFonts w:ascii="Verdana" w:hAnsi="Verdana" w:cs="Arial"/>
          <w:sz w:val="16"/>
          <w:szCs w:val="16"/>
        </w:rPr>
        <w:footnoteRef/>
      </w:r>
      <w:r w:rsidRPr="008F1E8B">
        <w:rPr>
          <w:rFonts w:ascii="Verdana" w:hAnsi="Verdana" w:cs="Arial"/>
          <w:sz w:val="16"/>
          <w:szCs w:val="16"/>
        </w:rPr>
        <w:t xml:space="preserve"> Concepto del 24 de febrero de 2005, con radicado No. 1626, C.P. Dra. Gloria Duque 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229192864"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084738582" name="Imagen 1084738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5pt;height:12.4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94460F"/>
    <w:multiLevelType w:val="hybridMultilevel"/>
    <w:tmpl w:val="FFFFFFFF"/>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40401E8"/>
    <w:multiLevelType w:val="multilevel"/>
    <w:tmpl w:val="5972E662"/>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560793310">
    <w:abstractNumId w:val="0"/>
  </w:num>
  <w:num w:numId="17" w16cid:durableId="1267812228">
    <w:abstractNumId w:val="10"/>
  </w:num>
  <w:num w:numId="18" w16cid:durableId="17054012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050"/>
    <w:rsid w:val="000214F2"/>
    <w:rsid w:val="0002303E"/>
    <w:rsid w:val="00024939"/>
    <w:rsid w:val="00032516"/>
    <w:rsid w:val="00036D29"/>
    <w:rsid w:val="0004090B"/>
    <w:rsid w:val="00041151"/>
    <w:rsid w:val="00042FDF"/>
    <w:rsid w:val="00046945"/>
    <w:rsid w:val="0005146B"/>
    <w:rsid w:val="000578D1"/>
    <w:rsid w:val="00061B2A"/>
    <w:rsid w:val="0006267D"/>
    <w:rsid w:val="00066AD5"/>
    <w:rsid w:val="000759F2"/>
    <w:rsid w:val="00080A9F"/>
    <w:rsid w:val="00082362"/>
    <w:rsid w:val="00094E51"/>
    <w:rsid w:val="00096935"/>
    <w:rsid w:val="000A683E"/>
    <w:rsid w:val="000B19B9"/>
    <w:rsid w:val="000D0334"/>
    <w:rsid w:val="000D327D"/>
    <w:rsid w:val="000D5DA7"/>
    <w:rsid w:val="000D62F3"/>
    <w:rsid w:val="000D7572"/>
    <w:rsid w:val="000F1CCA"/>
    <w:rsid w:val="000F2A79"/>
    <w:rsid w:val="000F6486"/>
    <w:rsid w:val="000F7365"/>
    <w:rsid w:val="0010025B"/>
    <w:rsid w:val="0010420B"/>
    <w:rsid w:val="00116940"/>
    <w:rsid w:val="00120899"/>
    <w:rsid w:val="00125105"/>
    <w:rsid w:val="0012510C"/>
    <w:rsid w:val="00127233"/>
    <w:rsid w:val="00137E65"/>
    <w:rsid w:val="001457F0"/>
    <w:rsid w:val="0015699B"/>
    <w:rsid w:val="001666C2"/>
    <w:rsid w:val="00171807"/>
    <w:rsid w:val="00173D40"/>
    <w:rsid w:val="00175E72"/>
    <w:rsid w:val="00180781"/>
    <w:rsid w:val="00186AFD"/>
    <w:rsid w:val="00187868"/>
    <w:rsid w:val="001A1726"/>
    <w:rsid w:val="001A1C6B"/>
    <w:rsid w:val="001A33BF"/>
    <w:rsid w:val="001A4F00"/>
    <w:rsid w:val="001B2E5D"/>
    <w:rsid w:val="001E2C6B"/>
    <w:rsid w:val="001E4177"/>
    <w:rsid w:val="001E5622"/>
    <w:rsid w:val="001E5AF0"/>
    <w:rsid w:val="001F0B24"/>
    <w:rsid w:val="001F5FC8"/>
    <w:rsid w:val="001F6192"/>
    <w:rsid w:val="001F7DC6"/>
    <w:rsid w:val="00203282"/>
    <w:rsid w:val="0020769D"/>
    <w:rsid w:val="0022400B"/>
    <w:rsid w:val="00230E8C"/>
    <w:rsid w:val="00232B4F"/>
    <w:rsid w:val="00240B51"/>
    <w:rsid w:val="002421BB"/>
    <w:rsid w:val="00247433"/>
    <w:rsid w:val="0025796E"/>
    <w:rsid w:val="002706E8"/>
    <w:rsid w:val="002707A2"/>
    <w:rsid w:val="002951A0"/>
    <w:rsid w:val="002962BC"/>
    <w:rsid w:val="00297102"/>
    <w:rsid w:val="00297163"/>
    <w:rsid w:val="002A093D"/>
    <w:rsid w:val="002A0DD0"/>
    <w:rsid w:val="002A49AC"/>
    <w:rsid w:val="002A5127"/>
    <w:rsid w:val="002A64FD"/>
    <w:rsid w:val="002B697D"/>
    <w:rsid w:val="002B7E86"/>
    <w:rsid w:val="002C4017"/>
    <w:rsid w:val="002C7A84"/>
    <w:rsid w:val="002D79CF"/>
    <w:rsid w:val="002E20BB"/>
    <w:rsid w:val="002E2BF8"/>
    <w:rsid w:val="002E4FD9"/>
    <w:rsid w:val="002F3B96"/>
    <w:rsid w:val="003024E4"/>
    <w:rsid w:val="0030657A"/>
    <w:rsid w:val="00322731"/>
    <w:rsid w:val="00322A85"/>
    <w:rsid w:val="00324168"/>
    <w:rsid w:val="00330834"/>
    <w:rsid w:val="003319B9"/>
    <w:rsid w:val="00336BFC"/>
    <w:rsid w:val="003448F4"/>
    <w:rsid w:val="003454DD"/>
    <w:rsid w:val="00352CD2"/>
    <w:rsid w:val="00355FE1"/>
    <w:rsid w:val="00357620"/>
    <w:rsid w:val="00360C54"/>
    <w:rsid w:val="0037201F"/>
    <w:rsid w:val="00372445"/>
    <w:rsid w:val="00374422"/>
    <w:rsid w:val="00374F5E"/>
    <w:rsid w:val="00377E3E"/>
    <w:rsid w:val="00384626"/>
    <w:rsid w:val="00391F79"/>
    <w:rsid w:val="0039711D"/>
    <w:rsid w:val="003A779E"/>
    <w:rsid w:val="003B6303"/>
    <w:rsid w:val="003C1711"/>
    <w:rsid w:val="003C4AB5"/>
    <w:rsid w:val="003D0F4D"/>
    <w:rsid w:val="003D36CE"/>
    <w:rsid w:val="003D5B0D"/>
    <w:rsid w:val="003D6939"/>
    <w:rsid w:val="003D79BF"/>
    <w:rsid w:val="003E0499"/>
    <w:rsid w:val="003E4F80"/>
    <w:rsid w:val="003E6439"/>
    <w:rsid w:val="003F0B42"/>
    <w:rsid w:val="003F3941"/>
    <w:rsid w:val="00406575"/>
    <w:rsid w:val="00411723"/>
    <w:rsid w:val="0041271C"/>
    <w:rsid w:val="00414C74"/>
    <w:rsid w:val="0041614C"/>
    <w:rsid w:val="004259C9"/>
    <w:rsid w:val="00425FD7"/>
    <w:rsid w:val="0042722E"/>
    <w:rsid w:val="00427F56"/>
    <w:rsid w:val="004372C5"/>
    <w:rsid w:val="0044528D"/>
    <w:rsid w:val="00446C90"/>
    <w:rsid w:val="00466E39"/>
    <w:rsid w:val="004751F8"/>
    <w:rsid w:val="0048284B"/>
    <w:rsid w:val="00497742"/>
    <w:rsid w:val="004A1847"/>
    <w:rsid w:val="004A305D"/>
    <w:rsid w:val="004A7E04"/>
    <w:rsid w:val="004B05E4"/>
    <w:rsid w:val="004B2FC2"/>
    <w:rsid w:val="004C089A"/>
    <w:rsid w:val="004D163B"/>
    <w:rsid w:val="004D4ADC"/>
    <w:rsid w:val="004E2374"/>
    <w:rsid w:val="004E6F6C"/>
    <w:rsid w:val="004F07B1"/>
    <w:rsid w:val="004F21C4"/>
    <w:rsid w:val="004F2475"/>
    <w:rsid w:val="004F685F"/>
    <w:rsid w:val="004F6F5A"/>
    <w:rsid w:val="005042AE"/>
    <w:rsid w:val="00505FA7"/>
    <w:rsid w:val="005174D9"/>
    <w:rsid w:val="00521455"/>
    <w:rsid w:val="0052589C"/>
    <w:rsid w:val="005414D9"/>
    <w:rsid w:val="005516AF"/>
    <w:rsid w:val="005526CA"/>
    <w:rsid w:val="005566E8"/>
    <w:rsid w:val="00574867"/>
    <w:rsid w:val="00575DE7"/>
    <w:rsid w:val="00591460"/>
    <w:rsid w:val="005A65E0"/>
    <w:rsid w:val="005C3777"/>
    <w:rsid w:val="005C5CDC"/>
    <w:rsid w:val="005D4765"/>
    <w:rsid w:val="005D476C"/>
    <w:rsid w:val="005E0F55"/>
    <w:rsid w:val="005E4B65"/>
    <w:rsid w:val="005F2969"/>
    <w:rsid w:val="005F2E36"/>
    <w:rsid w:val="005F31AA"/>
    <w:rsid w:val="005F588F"/>
    <w:rsid w:val="00601823"/>
    <w:rsid w:val="00602915"/>
    <w:rsid w:val="006200BF"/>
    <w:rsid w:val="006219F8"/>
    <w:rsid w:val="006247D6"/>
    <w:rsid w:val="00625C1A"/>
    <w:rsid w:val="00625E94"/>
    <w:rsid w:val="006302F7"/>
    <w:rsid w:val="00636239"/>
    <w:rsid w:val="00640507"/>
    <w:rsid w:val="00645EBF"/>
    <w:rsid w:val="00646B9F"/>
    <w:rsid w:val="006500A4"/>
    <w:rsid w:val="00665D70"/>
    <w:rsid w:val="00677350"/>
    <w:rsid w:val="00684097"/>
    <w:rsid w:val="006900D9"/>
    <w:rsid w:val="006A31F4"/>
    <w:rsid w:val="006B4E7F"/>
    <w:rsid w:val="006B68B2"/>
    <w:rsid w:val="006C2113"/>
    <w:rsid w:val="006D6A02"/>
    <w:rsid w:val="006D6B4F"/>
    <w:rsid w:val="006D6CA3"/>
    <w:rsid w:val="006E25E3"/>
    <w:rsid w:val="006E363B"/>
    <w:rsid w:val="006F3046"/>
    <w:rsid w:val="006F69F5"/>
    <w:rsid w:val="00700761"/>
    <w:rsid w:val="00702141"/>
    <w:rsid w:val="00706C16"/>
    <w:rsid w:val="00710850"/>
    <w:rsid w:val="00723888"/>
    <w:rsid w:val="007242ED"/>
    <w:rsid w:val="007340C3"/>
    <w:rsid w:val="00743498"/>
    <w:rsid w:val="00750FCC"/>
    <w:rsid w:val="0075235A"/>
    <w:rsid w:val="00756841"/>
    <w:rsid w:val="00762F21"/>
    <w:rsid w:val="007649AB"/>
    <w:rsid w:val="00771D0C"/>
    <w:rsid w:val="007743F1"/>
    <w:rsid w:val="00777F10"/>
    <w:rsid w:val="007806D7"/>
    <w:rsid w:val="00781336"/>
    <w:rsid w:val="007833AC"/>
    <w:rsid w:val="00783FC9"/>
    <w:rsid w:val="00784B27"/>
    <w:rsid w:val="007916E7"/>
    <w:rsid w:val="007A38E9"/>
    <w:rsid w:val="007B268C"/>
    <w:rsid w:val="007B2E7B"/>
    <w:rsid w:val="007B7171"/>
    <w:rsid w:val="007C0C0F"/>
    <w:rsid w:val="007C3DC2"/>
    <w:rsid w:val="007D49E3"/>
    <w:rsid w:val="007E5497"/>
    <w:rsid w:val="007F44CD"/>
    <w:rsid w:val="007F5831"/>
    <w:rsid w:val="00800E7B"/>
    <w:rsid w:val="00806F5F"/>
    <w:rsid w:val="00820278"/>
    <w:rsid w:val="00821300"/>
    <w:rsid w:val="008258C9"/>
    <w:rsid w:val="00830C34"/>
    <w:rsid w:val="00831E0E"/>
    <w:rsid w:val="008320AF"/>
    <w:rsid w:val="008376A8"/>
    <w:rsid w:val="00844AE9"/>
    <w:rsid w:val="00867F95"/>
    <w:rsid w:val="00880102"/>
    <w:rsid w:val="00880CB4"/>
    <w:rsid w:val="008843B6"/>
    <w:rsid w:val="00891928"/>
    <w:rsid w:val="00891EE7"/>
    <w:rsid w:val="00892DFD"/>
    <w:rsid w:val="0089310D"/>
    <w:rsid w:val="00897017"/>
    <w:rsid w:val="008A251B"/>
    <w:rsid w:val="008A446D"/>
    <w:rsid w:val="008B25F1"/>
    <w:rsid w:val="008D0B7B"/>
    <w:rsid w:val="008D180B"/>
    <w:rsid w:val="008D517B"/>
    <w:rsid w:val="008E01EF"/>
    <w:rsid w:val="008E345E"/>
    <w:rsid w:val="008F0EA7"/>
    <w:rsid w:val="008F1E8B"/>
    <w:rsid w:val="008F4557"/>
    <w:rsid w:val="0090272B"/>
    <w:rsid w:val="009142CE"/>
    <w:rsid w:val="00923EEF"/>
    <w:rsid w:val="0092783D"/>
    <w:rsid w:val="00936D4A"/>
    <w:rsid w:val="00937458"/>
    <w:rsid w:val="00940EED"/>
    <w:rsid w:val="009419F9"/>
    <w:rsid w:val="009461BB"/>
    <w:rsid w:val="0094751B"/>
    <w:rsid w:val="00953221"/>
    <w:rsid w:val="0095685E"/>
    <w:rsid w:val="00956EB4"/>
    <w:rsid w:val="009608D4"/>
    <w:rsid w:val="00961B09"/>
    <w:rsid w:val="00964D23"/>
    <w:rsid w:val="00965334"/>
    <w:rsid w:val="0097093E"/>
    <w:rsid w:val="009A0DFA"/>
    <w:rsid w:val="009A1C6F"/>
    <w:rsid w:val="009A73B7"/>
    <w:rsid w:val="009B2D26"/>
    <w:rsid w:val="009B3AAF"/>
    <w:rsid w:val="009C3CF2"/>
    <w:rsid w:val="009C71FA"/>
    <w:rsid w:val="009C72E7"/>
    <w:rsid w:val="009C7F7E"/>
    <w:rsid w:val="009D3058"/>
    <w:rsid w:val="009F1B77"/>
    <w:rsid w:val="009F3A13"/>
    <w:rsid w:val="009F4A0A"/>
    <w:rsid w:val="00A011C5"/>
    <w:rsid w:val="00A0620B"/>
    <w:rsid w:val="00A06A43"/>
    <w:rsid w:val="00A122D3"/>
    <w:rsid w:val="00A13E33"/>
    <w:rsid w:val="00A14468"/>
    <w:rsid w:val="00A17077"/>
    <w:rsid w:val="00A17F13"/>
    <w:rsid w:val="00A20739"/>
    <w:rsid w:val="00A23AF9"/>
    <w:rsid w:val="00A23E62"/>
    <w:rsid w:val="00A33C78"/>
    <w:rsid w:val="00A36C83"/>
    <w:rsid w:val="00A41EFB"/>
    <w:rsid w:val="00A42179"/>
    <w:rsid w:val="00A53E24"/>
    <w:rsid w:val="00A65635"/>
    <w:rsid w:val="00A773CC"/>
    <w:rsid w:val="00A800F5"/>
    <w:rsid w:val="00A878D5"/>
    <w:rsid w:val="00A955D4"/>
    <w:rsid w:val="00A97253"/>
    <w:rsid w:val="00AA21E6"/>
    <w:rsid w:val="00AA7C67"/>
    <w:rsid w:val="00AB0ADB"/>
    <w:rsid w:val="00AB67AB"/>
    <w:rsid w:val="00AE3796"/>
    <w:rsid w:val="00AF0E77"/>
    <w:rsid w:val="00AF2F13"/>
    <w:rsid w:val="00B00C0E"/>
    <w:rsid w:val="00B01B1A"/>
    <w:rsid w:val="00B01E27"/>
    <w:rsid w:val="00B0381D"/>
    <w:rsid w:val="00B048C8"/>
    <w:rsid w:val="00B149CF"/>
    <w:rsid w:val="00B27AF5"/>
    <w:rsid w:val="00B31935"/>
    <w:rsid w:val="00B3324D"/>
    <w:rsid w:val="00B44A47"/>
    <w:rsid w:val="00B544DA"/>
    <w:rsid w:val="00B72CD3"/>
    <w:rsid w:val="00B72FFF"/>
    <w:rsid w:val="00B82BAC"/>
    <w:rsid w:val="00B90963"/>
    <w:rsid w:val="00B93D8C"/>
    <w:rsid w:val="00BA1FE9"/>
    <w:rsid w:val="00BC3D36"/>
    <w:rsid w:val="00BD54A6"/>
    <w:rsid w:val="00BD7F72"/>
    <w:rsid w:val="00BF606B"/>
    <w:rsid w:val="00BF6A92"/>
    <w:rsid w:val="00BF7425"/>
    <w:rsid w:val="00BF7B13"/>
    <w:rsid w:val="00C0307B"/>
    <w:rsid w:val="00C04FB3"/>
    <w:rsid w:val="00C1024C"/>
    <w:rsid w:val="00C11840"/>
    <w:rsid w:val="00C11D8B"/>
    <w:rsid w:val="00C15139"/>
    <w:rsid w:val="00C23251"/>
    <w:rsid w:val="00C330EB"/>
    <w:rsid w:val="00C502AC"/>
    <w:rsid w:val="00C50D69"/>
    <w:rsid w:val="00C5365C"/>
    <w:rsid w:val="00C54BED"/>
    <w:rsid w:val="00C71C24"/>
    <w:rsid w:val="00C754BE"/>
    <w:rsid w:val="00C76B1C"/>
    <w:rsid w:val="00C8730E"/>
    <w:rsid w:val="00C925AC"/>
    <w:rsid w:val="00CB00A3"/>
    <w:rsid w:val="00CB2E28"/>
    <w:rsid w:val="00CB6357"/>
    <w:rsid w:val="00CC1B26"/>
    <w:rsid w:val="00CD226F"/>
    <w:rsid w:val="00CD49E5"/>
    <w:rsid w:val="00CD6489"/>
    <w:rsid w:val="00CF08C6"/>
    <w:rsid w:val="00CF2EB3"/>
    <w:rsid w:val="00CF710A"/>
    <w:rsid w:val="00D0105B"/>
    <w:rsid w:val="00D0623B"/>
    <w:rsid w:val="00D13FA1"/>
    <w:rsid w:val="00D16EBB"/>
    <w:rsid w:val="00D34B17"/>
    <w:rsid w:val="00D361FD"/>
    <w:rsid w:val="00D423A2"/>
    <w:rsid w:val="00D44E26"/>
    <w:rsid w:val="00D459F9"/>
    <w:rsid w:val="00D520D8"/>
    <w:rsid w:val="00D62056"/>
    <w:rsid w:val="00D63AC2"/>
    <w:rsid w:val="00D71E0D"/>
    <w:rsid w:val="00D7383B"/>
    <w:rsid w:val="00D7788A"/>
    <w:rsid w:val="00D81FE9"/>
    <w:rsid w:val="00D84A0F"/>
    <w:rsid w:val="00DA01B4"/>
    <w:rsid w:val="00DA231B"/>
    <w:rsid w:val="00DA281B"/>
    <w:rsid w:val="00DA65CA"/>
    <w:rsid w:val="00DB0758"/>
    <w:rsid w:val="00DB1F57"/>
    <w:rsid w:val="00DB52C4"/>
    <w:rsid w:val="00DC3085"/>
    <w:rsid w:val="00DC39FC"/>
    <w:rsid w:val="00DD0A71"/>
    <w:rsid w:val="00DF5254"/>
    <w:rsid w:val="00E01FAE"/>
    <w:rsid w:val="00E02524"/>
    <w:rsid w:val="00E0788E"/>
    <w:rsid w:val="00E1449A"/>
    <w:rsid w:val="00E16408"/>
    <w:rsid w:val="00E20894"/>
    <w:rsid w:val="00E20E82"/>
    <w:rsid w:val="00E245AB"/>
    <w:rsid w:val="00E2764C"/>
    <w:rsid w:val="00E27F2E"/>
    <w:rsid w:val="00E300DE"/>
    <w:rsid w:val="00E30BBE"/>
    <w:rsid w:val="00E311D9"/>
    <w:rsid w:val="00E313B8"/>
    <w:rsid w:val="00E50329"/>
    <w:rsid w:val="00E50AFE"/>
    <w:rsid w:val="00E5601C"/>
    <w:rsid w:val="00E57039"/>
    <w:rsid w:val="00E620B2"/>
    <w:rsid w:val="00E63FEC"/>
    <w:rsid w:val="00E71929"/>
    <w:rsid w:val="00E75C92"/>
    <w:rsid w:val="00E771DC"/>
    <w:rsid w:val="00E8772A"/>
    <w:rsid w:val="00E90F6B"/>
    <w:rsid w:val="00E92C27"/>
    <w:rsid w:val="00EA0E3D"/>
    <w:rsid w:val="00EA5048"/>
    <w:rsid w:val="00EB283C"/>
    <w:rsid w:val="00EC29F8"/>
    <w:rsid w:val="00EC31BD"/>
    <w:rsid w:val="00EC38A7"/>
    <w:rsid w:val="00EC595D"/>
    <w:rsid w:val="00EE1AA8"/>
    <w:rsid w:val="00EF36CB"/>
    <w:rsid w:val="00F00767"/>
    <w:rsid w:val="00F01AED"/>
    <w:rsid w:val="00F2160B"/>
    <w:rsid w:val="00F23FEA"/>
    <w:rsid w:val="00F31EDC"/>
    <w:rsid w:val="00F43668"/>
    <w:rsid w:val="00F462B3"/>
    <w:rsid w:val="00F5592D"/>
    <w:rsid w:val="00F5664F"/>
    <w:rsid w:val="00F627D5"/>
    <w:rsid w:val="00F666C4"/>
    <w:rsid w:val="00F67A68"/>
    <w:rsid w:val="00F67EF7"/>
    <w:rsid w:val="00F76AFC"/>
    <w:rsid w:val="00FA47C0"/>
    <w:rsid w:val="00FB5DD1"/>
    <w:rsid w:val="00FC03EF"/>
    <w:rsid w:val="00FC0922"/>
    <w:rsid w:val="00FC2B5D"/>
    <w:rsid w:val="00FC2CFB"/>
    <w:rsid w:val="00FC3C04"/>
    <w:rsid w:val="00FC717F"/>
    <w:rsid w:val="00FD2DCD"/>
    <w:rsid w:val="00FD6CB0"/>
    <w:rsid w:val="00FE5E46"/>
    <w:rsid w:val="00FF1449"/>
    <w:rsid w:val="00FF7963"/>
    <w:rsid w:val="00FF7B22"/>
    <w:rsid w:val="071B8F93"/>
    <w:rsid w:val="09908A09"/>
    <w:rsid w:val="0FF4CCA8"/>
    <w:rsid w:val="13CFC91B"/>
    <w:rsid w:val="19A2EC2C"/>
    <w:rsid w:val="2859CA1B"/>
    <w:rsid w:val="32A4F9CF"/>
    <w:rsid w:val="356CEDFD"/>
    <w:rsid w:val="5E1248B4"/>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6D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F07B1"/>
    <w:rPr>
      <w:rFonts w:ascii="Geomanist Light" w:hAnsi="Geomanist Light"/>
      <w:lang w:val="es-ES"/>
    </w:rPr>
  </w:style>
  <w:style w:type="paragraph" w:styleId="Textoindependiente">
    <w:name w:val="Body Text"/>
    <w:basedOn w:val="Normal"/>
    <w:link w:val="TextoindependienteCar"/>
    <w:uiPriority w:val="1"/>
    <w:unhideWhenUsed/>
    <w:qFormat/>
    <w:rsid w:val="004F07B1"/>
    <w:pPr>
      <w:spacing w:after="120"/>
    </w:pPr>
    <w:rPr>
      <w:rFonts w:eastAsia="Times New Roman" w:cs="Times New Roman"/>
    </w:rPr>
  </w:style>
  <w:style w:type="character" w:customStyle="1" w:styleId="TextoindependienteCar">
    <w:name w:val="Texto independiente Car"/>
    <w:basedOn w:val="Fuentedeprrafopredeter"/>
    <w:link w:val="Textoindependiente"/>
    <w:uiPriority w:val="1"/>
    <w:rsid w:val="004F07B1"/>
    <w:rPr>
      <w:rFonts w:eastAsia="Times New Roman" w:cs="Times New Roman"/>
    </w:rPr>
  </w:style>
  <w:style w:type="paragraph" w:customStyle="1" w:styleId="Appelnotedebasde">
    <w:name w:val="Appel note de bas de..."/>
    <w:basedOn w:val="Normal"/>
    <w:link w:val="Refdenotaalpie"/>
    <w:uiPriority w:val="99"/>
    <w:rsid w:val="00391F79"/>
    <w:pPr>
      <w:spacing w:line="240" w:lineRule="exact"/>
    </w:pPr>
    <w:rPr>
      <w:vertAlign w:val="superscript"/>
    </w:rPr>
  </w:style>
  <w:style w:type="character" w:styleId="Refdecomentario">
    <w:name w:val="annotation reference"/>
    <w:basedOn w:val="Fuentedeprrafopredeter"/>
    <w:uiPriority w:val="99"/>
    <w:semiHidden/>
    <w:unhideWhenUsed/>
    <w:rsid w:val="00391F79"/>
    <w:rPr>
      <w:sz w:val="16"/>
      <w:szCs w:val="16"/>
    </w:rPr>
  </w:style>
  <w:style w:type="paragraph" w:styleId="Textocomentario">
    <w:name w:val="annotation text"/>
    <w:basedOn w:val="Normal"/>
    <w:link w:val="TextocomentarioCar"/>
    <w:uiPriority w:val="99"/>
    <w:unhideWhenUsed/>
    <w:rsid w:val="00391F79"/>
    <w:pPr>
      <w:spacing w:line="240" w:lineRule="auto"/>
    </w:pPr>
    <w:rPr>
      <w:sz w:val="20"/>
      <w:szCs w:val="20"/>
    </w:rPr>
  </w:style>
  <w:style w:type="character" w:customStyle="1" w:styleId="TextocomentarioCar">
    <w:name w:val="Texto comentario Car"/>
    <w:basedOn w:val="Fuentedeprrafopredeter"/>
    <w:link w:val="Textocomentario"/>
    <w:uiPriority w:val="99"/>
    <w:rsid w:val="00391F79"/>
    <w:rPr>
      <w:sz w:val="20"/>
      <w:szCs w:val="20"/>
    </w:rPr>
  </w:style>
  <w:style w:type="paragraph" w:styleId="Asuntodelcomentario">
    <w:name w:val="annotation subject"/>
    <w:basedOn w:val="Textocomentario"/>
    <w:next w:val="Textocomentario"/>
    <w:link w:val="AsuntodelcomentarioCar"/>
    <w:uiPriority w:val="99"/>
    <w:semiHidden/>
    <w:unhideWhenUsed/>
    <w:rsid w:val="00391F79"/>
    <w:rPr>
      <w:b/>
      <w:bCs/>
    </w:rPr>
  </w:style>
  <w:style w:type="character" w:customStyle="1" w:styleId="AsuntodelcomentarioCar">
    <w:name w:val="Asunto del comentario Car"/>
    <w:basedOn w:val="TextocomentarioCar"/>
    <w:link w:val="Asuntodelcomentario"/>
    <w:uiPriority w:val="99"/>
    <w:semiHidden/>
    <w:rsid w:val="00391F7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olodemocraticofunza@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revistas.javeriana.edu.co/files-articulos/VJ/139%20(2019-II)/8256214800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AED2AD-DB7B-43C2-80D7-C8351E9AD8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26</Pages>
  <Words>8229</Words>
  <Characters>45263</Characters>
  <Application>Microsoft Office Word</Application>
  <DocSecurity>0</DocSecurity>
  <Lines>377</Lines>
  <Paragraphs>106</Paragraphs>
  <ScaleCrop>false</ScaleCrop>
  <Company/>
  <LinksUpToDate>false</LinksUpToDate>
  <CharactersWithSpaces>53386</CharactersWithSpaces>
  <SharedDoc>false</SharedDoc>
  <HLinks>
    <vt:vector size="18" baseType="variant">
      <vt:variant>
        <vt:i4>7471218</vt:i4>
      </vt:variant>
      <vt:variant>
        <vt:i4>3</vt:i4>
      </vt:variant>
      <vt:variant>
        <vt:i4>0</vt:i4>
      </vt:variant>
      <vt:variant>
        <vt:i4>5</vt:i4>
      </vt:variant>
      <vt:variant>
        <vt:lpwstr>https://relatoria.colombiacompra.gov.co/busqueda/conceptos</vt:lpwstr>
      </vt:variant>
      <vt:variant>
        <vt:lpwstr/>
      </vt:variant>
      <vt:variant>
        <vt:i4>7929925</vt:i4>
      </vt:variant>
      <vt:variant>
        <vt:i4>0</vt:i4>
      </vt:variant>
      <vt:variant>
        <vt:i4>0</vt:i4>
      </vt:variant>
      <vt:variant>
        <vt:i4>5</vt:i4>
      </vt:variant>
      <vt:variant>
        <vt:lpwstr>mailto:polodemocraticofunza@gmail.com</vt:lpwstr>
      </vt:variant>
      <vt:variant>
        <vt:lpwstr/>
      </vt:variant>
      <vt:variant>
        <vt:i4>2621567</vt:i4>
      </vt:variant>
      <vt:variant>
        <vt:i4>0</vt:i4>
      </vt:variant>
      <vt:variant>
        <vt:i4>0</vt:i4>
      </vt:variant>
      <vt:variant>
        <vt:i4>5</vt:i4>
      </vt:variant>
      <vt:variant>
        <vt:lpwstr>https://revistas.javeriana.edu.co/files-articulos/VJ/139 (2019-II)/82562148007/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5</cp:revision>
  <cp:lastPrinted>2023-01-10T21:18:00Z</cp:lastPrinted>
  <dcterms:created xsi:type="dcterms:W3CDTF">2026-01-22T16:40:00Z</dcterms:created>
  <dcterms:modified xsi:type="dcterms:W3CDTF">2026-01-22T16:51:00Z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