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C21753" w14:textId="77777777" w:rsidR="007F5F12" w:rsidRPr="00EA2CFE" w:rsidRDefault="007F5F12" w:rsidP="007F5F12">
      <w:pPr>
        <w:contextualSpacing/>
        <w:jc w:val="both"/>
        <w:rPr>
          <w:rFonts w:ascii="Verdana" w:eastAsia="Yu Gothic UI Semibold" w:hAnsi="Verdana" w:cs="Arial"/>
          <w:b/>
          <w:bCs/>
          <w:color w:val="000000" w:themeColor="text1"/>
          <w:lang w:val="es-MX"/>
        </w:rPr>
      </w:pPr>
      <w:r w:rsidRPr="00EA2CFE">
        <w:rPr>
          <w:rFonts w:ascii="Verdana" w:eastAsia="Yu Gothic UI Semibold" w:hAnsi="Verdana" w:cs="Arial"/>
          <w:b/>
          <w:bCs/>
          <w:color w:val="000000" w:themeColor="text1"/>
          <w:lang w:val="es-MX"/>
        </w:rPr>
        <w:t>ESTABILIDAD LABORAL REFORZADA DE MUJER EMBARAZADA – Concepto</w:t>
      </w:r>
    </w:p>
    <w:p w14:paraId="1C05C5F6" w14:textId="77777777" w:rsidR="007F5F12" w:rsidRPr="00EA2CFE" w:rsidRDefault="007F5F12" w:rsidP="007F5F12">
      <w:pPr>
        <w:contextualSpacing/>
        <w:jc w:val="both"/>
        <w:rPr>
          <w:rFonts w:ascii="Verdana" w:eastAsia="Yu Gothic UI Semibold" w:hAnsi="Verdana" w:cs="Arial"/>
          <w:b/>
          <w:bCs/>
          <w:color w:val="000000" w:themeColor="text1"/>
          <w:lang w:val="es-MX"/>
        </w:rPr>
      </w:pPr>
    </w:p>
    <w:p w14:paraId="24883D0B" w14:textId="77777777" w:rsidR="007F5F12" w:rsidRPr="00EA2CFE" w:rsidRDefault="007F5F12" w:rsidP="007F5F12">
      <w:pPr>
        <w:contextualSpacing/>
        <w:jc w:val="both"/>
        <w:rPr>
          <w:rFonts w:ascii="Verdana" w:eastAsia="Yu Gothic UI Semibold" w:hAnsi="Verdana" w:cs="Arial"/>
          <w:b/>
          <w:bCs/>
          <w:color w:val="000000" w:themeColor="text1"/>
          <w:sz w:val="20"/>
          <w:szCs w:val="20"/>
          <w:lang w:val="es-MX"/>
        </w:rPr>
      </w:pPr>
      <w:r w:rsidRPr="00EA2CFE">
        <w:rPr>
          <w:rFonts w:ascii="Verdana" w:eastAsia="Calibri" w:hAnsi="Verdana" w:cs="Arial"/>
          <w:bCs/>
          <w:sz w:val="20"/>
          <w:szCs w:val="20"/>
          <w:lang w:val="es-MX"/>
        </w:rPr>
        <w:t xml:space="preserve">El fuero de maternidad es una figura que otorga una protección reforzada a la futura madre y a la que acaba de serlo, es decir, a la mujer que se encuentra en estado de embarazo y en periodo de lactancia, con el fin de que el proceso de gestación no interfiera en la estabilidad laboral que, como trabajadora, le asiste. El propósito es que la aspiraciones familiares y profesionales de la mujer no se excluyan y puedan armonizarse, al punto de desarrollar su proyecto de vida y su personalidad en condiciones de dignidad y libertad, pues históricamente el estado de gravidez (embarazo) ha constituido un motivo de exclusión de la mujer en el trabajo, en el que es preciso </w:t>
      </w:r>
      <w:r>
        <w:rPr>
          <w:rFonts w:ascii="Verdana" w:eastAsia="Calibri" w:hAnsi="Verdana" w:cs="Arial"/>
          <w:bCs/>
          <w:sz w:val="20"/>
          <w:szCs w:val="20"/>
          <w:lang w:val="es-MX"/>
        </w:rPr>
        <w:t>“</w:t>
      </w:r>
      <w:r w:rsidRPr="00EA2CFE">
        <w:rPr>
          <w:rFonts w:ascii="Verdana" w:eastAsia="Calibri" w:hAnsi="Verdana" w:cs="Arial"/>
          <w:bCs/>
          <w:sz w:val="20"/>
          <w:szCs w:val="20"/>
          <w:lang w:val="es-MX"/>
        </w:rPr>
        <w:t>impedir la discriminación constituida por el despido, la terminación o la no renovación del contrato por causa o con ocasión del embarazo o la lactancia</w:t>
      </w:r>
      <w:r>
        <w:rPr>
          <w:rFonts w:ascii="Verdana" w:eastAsia="Calibri" w:hAnsi="Verdana" w:cs="Arial"/>
          <w:bCs/>
          <w:sz w:val="20"/>
          <w:szCs w:val="20"/>
          <w:lang w:val="es-MX"/>
        </w:rPr>
        <w:t>”</w:t>
      </w:r>
      <w:r w:rsidRPr="00EA2CFE">
        <w:rPr>
          <w:rFonts w:ascii="Verdana" w:eastAsia="Calibri" w:hAnsi="Verdana" w:cs="Arial"/>
          <w:bCs/>
          <w:sz w:val="20"/>
          <w:szCs w:val="20"/>
          <w:lang w:val="es-MX"/>
        </w:rPr>
        <w:t>.</w:t>
      </w:r>
    </w:p>
    <w:p w14:paraId="199A9E33" w14:textId="77777777" w:rsidR="007F5F12" w:rsidRPr="00EA2CFE" w:rsidRDefault="007F5F12" w:rsidP="007F5F12">
      <w:pPr>
        <w:contextualSpacing/>
        <w:jc w:val="both"/>
        <w:rPr>
          <w:rFonts w:ascii="Verdana" w:eastAsia="Yu Gothic UI Semibold" w:hAnsi="Verdana" w:cs="Arial"/>
          <w:b/>
          <w:bCs/>
          <w:color w:val="000000" w:themeColor="text1"/>
          <w:sz w:val="20"/>
          <w:szCs w:val="20"/>
          <w:lang w:val="es-MX"/>
        </w:rPr>
      </w:pPr>
    </w:p>
    <w:p w14:paraId="5BB3BDC7" w14:textId="77777777" w:rsidR="007F5F12" w:rsidRPr="00EA2CFE" w:rsidRDefault="007F5F12" w:rsidP="007F5F12">
      <w:pPr>
        <w:contextualSpacing/>
        <w:jc w:val="both"/>
        <w:rPr>
          <w:rFonts w:ascii="Verdana" w:eastAsia="Yu Gothic UI Semibold" w:hAnsi="Verdana" w:cs="Arial"/>
          <w:b/>
          <w:bCs/>
          <w:color w:val="000000" w:themeColor="text1"/>
          <w:lang w:val="es-MX"/>
        </w:rPr>
      </w:pPr>
      <w:r w:rsidRPr="00EA2CFE">
        <w:rPr>
          <w:rFonts w:ascii="Verdana" w:eastAsia="Yu Gothic UI Semibold" w:hAnsi="Verdana" w:cs="Arial"/>
          <w:b/>
          <w:bCs/>
          <w:color w:val="000000" w:themeColor="text1"/>
          <w:lang w:val="es-MX"/>
        </w:rPr>
        <w:t xml:space="preserve">ESTABILIDAD LABORAL REFORZADA DE MUJER EMBARAZADA – Unificación jurisprudencial </w:t>
      </w:r>
    </w:p>
    <w:p w14:paraId="19845E6D" w14:textId="77777777" w:rsidR="007F5F12" w:rsidRPr="00EA2CFE" w:rsidRDefault="007F5F12" w:rsidP="007F5F12">
      <w:pPr>
        <w:contextualSpacing/>
        <w:jc w:val="both"/>
        <w:rPr>
          <w:rFonts w:ascii="Verdana" w:eastAsia="Yu Gothic UI Semibold" w:hAnsi="Verdana" w:cs="Arial"/>
          <w:b/>
          <w:bCs/>
          <w:color w:val="000000" w:themeColor="text1"/>
          <w:sz w:val="20"/>
          <w:szCs w:val="20"/>
          <w:lang w:val="es-MX"/>
        </w:rPr>
      </w:pPr>
    </w:p>
    <w:p w14:paraId="06273AFE" w14:textId="77777777" w:rsidR="007F5F12" w:rsidRPr="00EA2CFE" w:rsidRDefault="007F5F12" w:rsidP="007F5F12">
      <w:pPr>
        <w:contextualSpacing/>
        <w:jc w:val="both"/>
        <w:rPr>
          <w:rFonts w:ascii="Verdana" w:eastAsia="Yu Gothic UI Semibold" w:hAnsi="Verdana" w:cs="Arial"/>
          <w:sz w:val="20"/>
          <w:szCs w:val="20"/>
          <w:shd w:val="clear" w:color="auto" w:fill="FFFFFF"/>
          <w:lang w:val="es-ES_tradnl"/>
        </w:rPr>
      </w:pPr>
      <w:r w:rsidRPr="00EA2CFE">
        <w:rPr>
          <w:rFonts w:ascii="Verdana" w:eastAsia="Yu Gothic UI Semibold" w:hAnsi="Verdana" w:cs="Arial"/>
          <w:sz w:val="20"/>
          <w:szCs w:val="20"/>
          <w:shd w:val="clear" w:color="auto" w:fill="FFFFFF"/>
          <w:lang w:val="es-ES_tradnl"/>
        </w:rPr>
        <w:t xml:space="preserve">[…] </w:t>
      </w:r>
      <w:r w:rsidRPr="00EA2CFE">
        <w:rPr>
          <w:rFonts w:ascii="Verdana" w:eastAsia="Yu Gothic UI Semibold" w:hAnsi="Verdana" w:cs="Arial"/>
          <w:sz w:val="20"/>
          <w:szCs w:val="20"/>
        </w:rPr>
        <w:t>en el año 2018 la Corte Constitucional profirió la sentencia de unificación SU-075 de 2018, en la cual recoge, entre otras, las sentencias T-030 de 2018 y T-350 del 2016. En esta providencia, el Alto Tribunal establece unos criterios con el fin de impedir la discriminación que se puede presentar a una mujer en estado de embarazo o lactancia, específicamente, respecto a la terminación o la no renovación del contrato. Dando paso a establecer que el denominado</w:t>
      </w:r>
      <w:r w:rsidRPr="00EA2CFE">
        <w:rPr>
          <w:rFonts w:ascii="Verdana" w:eastAsia="Yu Gothic UI Semibold" w:hAnsi="Verdana" w:cs="Arial"/>
          <w:i/>
          <w:sz w:val="20"/>
          <w:szCs w:val="20"/>
        </w:rPr>
        <w:t xml:space="preserve"> </w:t>
      </w:r>
      <w:r>
        <w:rPr>
          <w:rFonts w:ascii="Verdana" w:eastAsia="Yu Gothic UI Semibold" w:hAnsi="Verdana" w:cs="Arial"/>
          <w:i/>
          <w:sz w:val="20"/>
          <w:szCs w:val="20"/>
          <w:lang w:eastAsia="es-MX"/>
        </w:rPr>
        <w:t>“</w:t>
      </w:r>
      <w:r w:rsidRPr="00EA2CFE">
        <w:rPr>
          <w:rFonts w:ascii="Verdana" w:eastAsia="Yu Gothic UI Semibold" w:hAnsi="Verdana" w:cs="Arial"/>
          <w:i/>
          <w:sz w:val="20"/>
          <w:szCs w:val="20"/>
        </w:rPr>
        <w:t>fuero de maternidad</w:t>
      </w:r>
      <w:r>
        <w:rPr>
          <w:rFonts w:ascii="Verdana" w:eastAsia="Yu Gothic UI Semibold" w:hAnsi="Verdana" w:cs="Arial"/>
          <w:i/>
          <w:sz w:val="20"/>
          <w:szCs w:val="20"/>
          <w:lang w:eastAsia="es-MX"/>
        </w:rPr>
        <w:t>”</w:t>
      </w:r>
      <w:r w:rsidRPr="00EA2CFE">
        <w:rPr>
          <w:rFonts w:ascii="Verdana" w:eastAsia="Yu Gothic UI Semibold" w:hAnsi="Verdana" w:cs="Arial"/>
          <w:i/>
          <w:sz w:val="20"/>
          <w:szCs w:val="20"/>
        </w:rPr>
        <w:t>,</w:t>
      </w:r>
      <w:r w:rsidRPr="00EA2CFE">
        <w:rPr>
          <w:rFonts w:ascii="Verdana" w:eastAsia="Yu Gothic UI Semibold" w:hAnsi="Verdana" w:cs="Arial"/>
          <w:sz w:val="20"/>
          <w:szCs w:val="20"/>
        </w:rPr>
        <w:t xml:space="preserve"> encuentra también su sustento en la cláusula general de igualdad de la Constitución </w:t>
      </w:r>
      <w:r>
        <w:rPr>
          <w:rFonts w:ascii="Verdana" w:eastAsia="Yu Gothic UI Semibold" w:hAnsi="Verdana" w:cs="Arial"/>
          <w:i/>
          <w:sz w:val="20"/>
          <w:szCs w:val="20"/>
          <w:lang w:eastAsia="es-MX"/>
        </w:rPr>
        <w:t>“</w:t>
      </w:r>
      <w:r w:rsidRPr="00EA2CFE">
        <w:rPr>
          <w:rFonts w:ascii="Verdana" w:eastAsia="Yu Gothic UI Semibold" w:hAnsi="Verdana" w:cs="Arial"/>
          <w:i/>
          <w:sz w:val="20"/>
          <w:szCs w:val="20"/>
        </w:rPr>
        <w:t>que proscribe la discriminación por razones de sexo, así como en el ya mencionado artículo 43 Superior, que dispone la igualdad de derechos y oportunidades entre hombres y mujeres</w:t>
      </w:r>
      <w:r>
        <w:rPr>
          <w:rFonts w:ascii="Verdana" w:eastAsia="Yu Gothic UI Semibold" w:hAnsi="Verdana" w:cs="Arial"/>
          <w:i/>
          <w:sz w:val="20"/>
          <w:szCs w:val="20"/>
          <w:lang w:eastAsia="es-MX"/>
        </w:rPr>
        <w:t>”</w:t>
      </w:r>
    </w:p>
    <w:p w14:paraId="2A0EC903" w14:textId="77777777" w:rsidR="007F5F12" w:rsidRPr="00EA2CFE" w:rsidRDefault="007F5F12" w:rsidP="007F5F12">
      <w:pPr>
        <w:contextualSpacing/>
        <w:rPr>
          <w:rFonts w:ascii="Verdana" w:hAnsi="Verdana" w:cs="Arial"/>
          <w:sz w:val="20"/>
          <w:szCs w:val="20"/>
        </w:rPr>
      </w:pPr>
    </w:p>
    <w:p w14:paraId="14424E69" w14:textId="77777777" w:rsidR="007F5F12" w:rsidRPr="00EA2CFE" w:rsidRDefault="007F5F12" w:rsidP="007F5F12">
      <w:pPr>
        <w:contextualSpacing/>
        <w:jc w:val="both"/>
        <w:rPr>
          <w:rFonts w:ascii="Verdana" w:eastAsia="Yu Gothic UI Semibold" w:hAnsi="Verdana" w:cs="Arial"/>
          <w:b/>
          <w:bCs/>
          <w:color w:val="000000" w:themeColor="text1"/>
          <w:sz w:val="20"/>
          <w:szCs w:val="20"/>
          <w:lang w:val="es-MX"/>
        </w:rPr>
      </w:pPr>
      <w:r w:rsidRPr="00EA2CFE">
        <w:rPr>
          <w:rFonts w:ascii="Verdana" w:eastAsia="Yu Gothic UI Semibold" w:hAnsi="Verdana" w:cs="Arial"/>
          <w:b/>
          <w:bCs/>
          <w:color w:val="000000" w:themeColor="text1"/>
          <w:lang w:val="es-MX"/>
        </w:rPr>
        <w:t>ESTABILIDAD LABORAL REFORZADA DE MUJER EMBARAZADA – Procedencia</w:t>
      </w:r>
    </w:p>
    <w:p w14:paraId="4EC6CF36" w14:textId="77777777" w:rsidR="007F5F12" w:rsidRPr="00EA2CFE" w:rsidRDefault="007F5F12" w:rsidP="007F5F12">
      <w:pPr>
        <w:contextualSpacing/>
        <w:jc w:val="both"/>
        <w:rPr>
          <w:rFonts w:ascii="Verdana" w:hAnsi="Verdana" w:cs="Arial"/>
          <w:sz w:val="20"/>
          <w:szCs w:val="20"/>
        </w:rPr>
      </w:pPr>
    </w:p>
    <w:p w14:paraId="3C0825E1" w14:textId="77777777" w:rsidR="007F5F12" w:rsidRPr="00EA2CFE" w:rsidRDefault="007F5F12" w:rsidP="007F5F12">
      <w:pPr>
        <w:widowControl w:val="0"/>
        <w:autoSpaceDE w:val="0"/>
        <w:autoSpaceDN w:val="0"/>
        <w:contextualSpacing/>
        <w:jc w:val="both"/>
        <w:rPr>
          <w:rFonts w:ascii="Verdana" w:eastAsia="Arial" w:hAnsi="Verdana" w:cs="Arial"/>
          <w:sz w:val="20"/>
          <w:szCs w:val="20"/>
          <w:lang w:val="es-ES"/>
        </w:rPr>
      </w:pPr>
      <w:r w:rsidRPr="00EA2CFE">
        <w:rPr>
          <w:rFonts w:ascii="Verdana" w:eastAsia="Arial" w:hAnsi="Verdana" w:cs="Arial"/>
          <w:sz w:val="20"/>
          <w:szCs w:val="20"/>
          <w:lang w:val="es-ES"/>
        </w:rPr>
        <w:t>Conforme a lo anterior, 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EA2CFE">
        <w:rPr>
          <w:rFonts w:ascii="Verdana" w:eastAsia="Arial" w:hAnsi="Verdana" w:cs="Arial"/>
          <w:sz w:val="20"/>
          <w:szCs w:val="20"/>
          <w:lang w:val="es-ES"/>
        </w:rPr>
        <w:t>ii</w:t>
      </w:r>
      <w:proofErr w:type="spellEnd"/>
      <w:r w:rsidRPr="00EA2CFE">
        <w:rPr>
          <w:rFonts w:ascii="Verdana" w:eastAsia="Arial" w:hAnsi="Verdana" w:cs="Arial"/>
          <w:sz w:val="20"/>
          <w:szCs w:val="20"/>
          <w:lang w:val="es-ES"/>
        </w:rPr>
        <w:t>) cuando a pesar de no probarse la configuración de un contrato realidad la terminación del contrato de prestación de servicios se fundamenta en criterios discriminatorios, y no en motivos objetivos.</w:t>
      </w:r>
    </w:p>
    <w:p w14:paraId="1FA20BB9" w14:textId="77777777" w:rsidR="007F5F12" w:rsidRPr="00EA2CFE" w:rsidRDefault="007F5F12" w:rsidP="007F5F12">
      <w:pPr>
        <w:widowControl w:val="0"/>
        <w:autoSpaceDE w:val="0"/>
        <w:autoSpaceDN w:val="0"/>
        <w:contextualSpacing/>
        <w:jc w:val="both"/>
        <w:rPr>
          <w:rFonts w:ascii="Verdana" w:eastAsia="Arial" w:hAnsi="Verdana" w:cs="Arial"/>
          <w:sz w:val="20"/>
          <w:szCs w:val="20"/>
          <w:lang w:val="es-ES"/>
        </w:rPr>
      </w:pPr>
    </w:p>
    <w:p w14:paraId="26A869A9" w14:textId="77777777" w:rsidR="007F5F12" w:rsidRDefault="007F5F12" w:rsidP="007F5F12">
      <w:pPr>
        <w:spacing w:after="0" w:line="240" w:lineRule="auto"/>
        <w:jc w:val="both"/>
        <w:rPr>
          <w:rFonts w:ascii="Verdana" w:eastAsia="Times New Roman" w:hAnsi="Verdana" w:cs="Arial"/>
          <w:noProof/>
          <w:lang w:val="es-ES_tradnl" w:eastAsia="es-ES_tradnl"/>
        </w:rPr>
      </w:pPr>
    </w:p>
    <w:p w14:paraId="25EA4DBD" w14:textId="77777777" w:rsidR="007F5F12" w:rsidRDefault="007F5F12" w:rsidP="007F5F12">
      <w:pPr>
        <w:spacing w:after="0" w:line="240" w:lineRule="auto"/>
        <w:jc w:val="both"/>
        <w:rPr>
          <w:rFonts w:ascii="Verdana" w:eastAsia="Times New Roman" w:hAnsi="Verdana" w:cs="Arial"/>
          <w:noProof/>
          <w:lang w:val="es-ES_tradnl" w:eastAsia="es-ES_tradnl"/>
        </w:rPr>
      </w:pPr>
    </w:p>
    <w:p w14:paraId="28B5213B" w14:textId="099E2602" w:rsidR="007F5F12" w:rsidRDefault="007F5F12" w:rsidP="007F5F12">
      <w:pPr>
        <w:spacing w:after="0" w:line="240" w:lineRule="auto"/>
        <w:jc w:val="both"/>
        <w:rPr>
          <w:rFonts w:ascii="Verdana" w:eastAsia="Geomanist Light" w:hAnsi="Verdana" w:cs="Arial"/>
          <w:color w:val="000000" w:themeColor="text1"/>
        </w:rPr>
      </w:pPr>
      <w:r w:rsidRPr="001F7699">
        <w:rPr>
          <w:rFonts w:ascii="Verdana" w:eastAsia="Geomanist Light" w:hAnsi="Verdana" w:cs="Arial"/>
          <w:color w:val="000000" w:themeColor="text1"/>
        </w:rPr>
        <w:lastRenderedPageBreak/>
        <w:t xml:space="preserve">Bogotá D.C., </w:t>
      </w:r>
      <w:r w:rsidR="00911057">
        <w:rPr>
          <w:rFonts w:ascii="Verdana" w:eastAsia="Geomanist Light" w:hAnsi="Verdana" w:cs="Arial"/>
          <w:color w:val="000000" w:themeColor="text1"/>
        </w:rPr>
        <w:t>29 de enero de 2026</w:t>
      </w:r>
    </w:p>
    <w:p w14:paraId="08CA92C1" w14:textId="77777777" w:rsidR="00911057" w:rsidRDefault="00911057" w:rsidP="007F5F12">
      <w:pPr>
        <w:spacing w:after="0" w:line="240" w:lineRule="auto"/>
        <w:jc w:val="both"/>
        <w:rPr>
          <w:rFonts w:ascii="Verdana" w:eastAsia="Geomanist Light" w:hAnsi="Verdana" w:cs="Arial"/>
          <w:color w:val="000000" w:themeColor="text1"/>
        </w:rPr>
      </w:pPr>
    </w:p>
    <w:p w14:paraId="072EF480" w14:textId="6B75183E" w:rsidR="00911057" w:rsidRPr="00911057" w:rsidRDefault="006401B6" w:rsidP="00911057">
      <w:pPr>
        <w:spacing w:after="0" w:line="240" w:lineRule="auto"/>
        <w:jc w:val="right"/>
      </w:pPr>
      <w:r w:rsidRPr="00911057">
        <w:rPr>
          <w:noProof/>
        </w:rPr>
        <w:drawing>
          <wp:anchor distT="0" distB="0" distL="114300" distR="114300" simplePos="0" relativeHeight="251658240" behindDoc="0" locked="0" layoutInCell="1" allowOverlap="1" wp14:anchorId="0748E0FE" wp14:editId="4A21862A">
            <wp:simplePos x="0" y="0"/>
            <wp:positionH relativeFrom="margin">
              <wp:align>right</wp:align>
            </wp:positionH>
            <wp:positionV relativeFrom="paragraph">
              <wp:posOffset>12065</wp:posOffset>
            </wp:positionV>
            <wp:extent cx="2670810" cy="795655"/>
            <wp:effectExtent l="0" t="0" r="0" b="4445"/>
            <wp:wrapSquare wrapText="bothSides"/>
            <wp:docPr id="1261595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5951"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70810" cy="795655"/>
                    </a:xfrm>
                    <a:prstGeom prst="rect">
                      <a:avLst/>
                    </a:prstGeom>
                  </pic:spPr>
                </pic:pic>
              </a:graphicData>
            </a:graphic>
            <wp14:sizeRelH relativeFrom="margin">
              <wp14:pctWidth>0</wp14:pctWidth>
            </wp14:sizeRelH>
            <wp14:sizeRelV relativeFrom="margin">
              <wp14:pctHeight>0</wp14:pctHeight>
            </wp14:sizeRelV>
          </wp:anchor>
        </w:drawing>
      </w:r>
    </w:p>
    <w:p w14:paraId="53851B8B" w14:textId="3C37B09C" w:rsidR="007F5F12" w:rsidRPr="00CC5C68" w:rsidRDefault="007F5F12" w:rsidP="00222470">
      <w:pPr>
        <w:spacing w:after="0" w:line="240" w:lineRule="auto"/>
        <w:rPr>
          <w:rFonts w:ascii="Verdana" w:eastAsia="Times New Roman" w:hAnsi="Verdana" w:cs="Arial"/>
          <w:noProof/>
          <w:lang w:val="es-ES_tradnl" w:eastAsia="es-ES_tradnl"/>
        </w:rPr>
      </w:pPr>
    </w:p>
    <w:p w14:paraId="347E783E" w14:textId="421A80EC" w:rsidR="007F5F12" w:rsidRPr="00CC5C68" w:rsidRDefault="007F5F12" w:rsidP="007F5F12">
      <w:pPr>
        <w:spacing w:after="0" w:line="240" w:lineRule="auto"/>
        <w:jc w:val="both"/>
        <w:rPr>
          <w:rFonts w:ascii="Verdana" w:eastAsia="Calibri" w:hAnsi="Verdana" w:cs="Arial"/>
          <w:lang w:val="es-ES" w:eastAsia="es-ES_tradnl"/>
        </w:rPr>
      </w:pPr>
      <w:r w:rsidRPr="00CC5C68">
        <w:rPr>
          <w:rFonts w:ascii="Verdana" w:eastAsia="Calibri" w:hAnsi="Verdana" w:cs="Arial"/>
          <w:lang w:val="es-ES" w:eastAsia="es-ES_tradnl"/>
        </w:rPr>
        <w:t>Señor</w:t>
      </w:r>
    </w:p>
    <w:p w14:paraId="72D7A6B5" w14:textId="003E2744" w:rsidR="007F5F12" w:rsidRPr="00CC5C68" w:rsidRDefault="007F5F12" w:rsidP="007F5F12">
      <w:pPr>
        <w:spacing w:after="0" w:line="240" w:lineRule="auto"/>
        <w:rPr>
          <w:rFonts w:ascii="Verdana" w:eastAsia="Calibri" w:hAnsi="Verdana" w:cs="Arial"/>
          <w:b/>
          <w:bCs/>
          <w:lang w:val="es-ES" w:eastAsia="es-ES_tradnl"/>
        </w:rPr>
      </w:pPr>
      <w:r>
        <w:rPr>
          <w:rFonts w:ascii="Verdana" w:eastAsia="Calibri" w:hAnsi="Verdana" w:cs="Arial"/>
          <w:b/>
          <w:bCs/>
          <w:lang w:val="es-ES" w:eastAsia="es-ES_tradnl"/>
        </w:rPr>
        <w:t>Oscar Daniel Cortés Cardona</w:t>
      </w:r>
    </w:p>
    <w:p w14:paraId="562352D5" w14:textId="77777777" w:rsidR="007F5F12" w:rsidRPr="00CC5C68" w:rsidRDefault="007F5F12" w:rsidP="007F5F12">
      <w:pPr>
        <w:spacing w:after="0" w:line="240" w:lineRule="auto"/>
        <w:rPr>
          <w:rFonts w:ascii="Verdana" w:eastAsia="Calibri" w:hAnsi="Verdana" w:cs="Arial"/>
          <w:lang w:val="es-ES_tradnl" w:eastAsia="es-ES_tradnl"/>
        </w:rPr>
      </w:pPr>
      <w:r>
        <w:rPr>
          <w:rFonts w:ascii="Verdana" w:eastAsia="Calibri" w:hAnsi="Verdana" w:cs="Arial"/>
          <w:bCs/>
          <w:lang w:val="es-ES_tradnl" w:eastAsia="es-ES_tradnl"/>
        </w:rPr>
        <w:t>Ciudad</w:t>
      </w:r>
    </w:p>
    <w:p w14:paraId="242D9092" w14:textId="77777777" w:rsidR="007F5F12" w:rsidRPr="00CC5C68" w:rsidRDefault="007F5F12" w:rsidP="007F5F12">
      <w:pPr>
        <w:spacing w:after="0" w:line="240" w:lineRule="auto"/>
        <w:rPr>
          <w:rFonts w:ascii="Verdana" w:eastAsia="Calibri" w:hAnsi="Verdana" w:cs="Arial"/>
          <w:lang w:val="es-ES_tradnl" w:eastAsia="es-ES_tradnl"/>
        </w:rPr>
      </w:pPr>
    </w:p>
    <w:p w14:paraId="030FE6B1" w14:textId="77777777" w:rsidR="007F5F12" w:rsidRPr="00CC5C68" w:rsidRDefault="007F5F12" w:rsidP="007F5F12">
      <w:pPr>
        <w:spacing w:after="0" w:line="240" w:lineRule="auto"/>
        <w:rPr>
          <w:rFonts w:ascii="Verdana" w:eastAsia="Calibri" w:hAnsi="Verdana" w:cs="Arial"/>
          <w:lang w:val="es-ES_tradnl" w:eastAsia="es-ES_tradnl"/>
        </w:rPr>
      </w:pPr>
    </w:p>
    <w:p w14:paraId="1411C9E1" w14:textId="77777777" w:rsidR="007F5F12" w:rsidRPr="00CC5C68" w:rsidRDefault="007F5F12" w:rsidP="007F5F12">
      <w:pPr>
        <w:spacing w:after="0" w:line="240" w:lineRule="auto"/>
        <w:ind w:left="2694"/>
        <w:rPr>
          <w:rFonts w:ascii="Verdana" w:eastAsia="Calibri" w:hAnsi="Verdana" w:cs="Arial"/>
          <w:b/>
          <w:bCs/>
          <w:lang w:val="es-ES" w:eastAsia="es-ES_tradnl"/>
        </w:rPr>
      </w:pPr>
      <w:r w:rsidRPr="00CC5C68">
        <w:rPr>
          <w:rFonts w:ascii="Verdana" w:eastAsia="Calibri" w:hAnsi="Verdana" w:cs="Arial"/>
          <w:b/>
          <w:bCs/>
          <w:lang w:val="es-ES" w:eastAsia="es-ES_tradnl"/>
        </w:rPr>
        <w:t>Concepto C-</w:t>
      </w:r>
      <w:r>
        <w:rPr>
          <w:rFonts w:ascii="Verdana" w:eastAsia="Calibri" w:hAnsi="Verdana" w:cs="Arial"/>
          <w:b/>
          <w:bCs/>
          <w:lang w:val="es-ES" w:eastAsia="es-ES_tradnl"/>
        </w:rPr>
        <w:t>1848</w:t>
      </w:r>
      <w:r w:rsidRPr="00CC5C68">
        <w:rPr>
          <w:rFonts w:ascii="Verdana" w:eastAsia="Calibri" w:hAnsi="Verdana" w:cs="Arial"/>
          <w:b/>
          <w:bCs/>
          <w:lang w:val="es-ES" w:eastAsia="es-ES_tradnl"/>
        </w:rPr>
        <w:t xml:space="preserve"> de 202</w:t>
      </w:r>
      <w:r>
        <w:rPr>
          <w:rFonts w:ascii="Verdana" w:eastAsia="Calibri" w:hAnsi="Verdana" w:cs="Arial"/>
          <w:b/>
          <w:bCs/>
          <w:lang w:val="es-ES" w:eastAsia="es-ES_tradnl"/>
        </w:rPr>
        <w:t>5</w:t>
      </w:r>
    </w:p>
    <w:p w14:paraId="097A6B5A" w14:textId="77777777" w:rsidR="007F5F12" w:rsidRPr="00CC5C68" w:rsidRDefault="007F5F12" w:rsidP="007F5F12">
      <w:pPr>
        <w:spacing w:after="0" w:line="240" w:lineRule="auto"/>
        <w:jc w:val="both"/>
        <w:rPr>
          <w:rFonts w:ascii="Verdana" w:eastAsia="Calibri" w:hAnsi="Verdana" w:cs="Arial"/>
          <w:lang w:val="es-ES_tradnl" w:eastAsia="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7F5F12" w:rsidRPr="00CC5C68" w14:paraId="307D8C04" w14:textId="77777777" w:rsidTr="00F3438E">
        <w:trPr>
          <w:jc w:val="right"/>
        </w:trPr>
        <w:tc>
          <w:tcPr>
            <w:tcW w:w="1838" w:type="dxa"/>
          </w:tcPr>
          <w:p w14:paraId="3874FF10" w14:textId="77777777" w:rsidR="007F5F12" w:rsidRPr="00CC5C68" w:rsidRDefault="007F5F12" w:rsidP="00F3438E">
            <w:pPr>
              <w:jc w:val="center"/>
              <w:rPr>
                <w:rFonts w:ascii="Verdana" w:eastAsia="Calibri" w:hAnsi="Verdana" w:cs="Arial"/>
                <w:lang w:val="es-ES_tradnl" w:eastAsia="es-ES_tradnl"/>
              </w:rPr>
            </w:pPr>
            <w:r w:rsidRPr="00CC5C68">
              <w:rPr>
                <w:rFonts w:ascii="Verdana" w:eastAsia="Calibri" w:hAnsi="Verdana" w:cs="Arial"/>
                <w:b/>
                <w:lang w:val="es-ES_tradnl" w:eastAsia="es-ES_tradnl"/>
              </w:rPr>
              <w:t>Temas:</w:t>
            </w:r>
          </w:p>
        </w:tc>
        <w:tc>
          <w:tcPr>
            <w:tcW w:w="6237" w:type="dxa"/>
          </w:tcPr>
          <w:p w14:paraId="7B69D875" w14:textId="77777777" w:rsidR="007F5F12" w:rsidRDefault="007F5F12" w:rsidP="00F3438E">
            <w:pPr>
              <w:jc w:val="both"/>
              <w:textAlignment w:val="baseline"/>
              <w:rPr>
                <w:rFonts w:ascii="Verdana" w:eastAsia="Times New Roman" w:hAnsi="Verdana" w:cs="Arial"/>
                <w:lang w:eastAsia="es-ES_tradnl"/>
              </w:rPr>
            </w:pPr>
            <w:r w:rsidRPr="00EA2CFE">
              <w:rPr>
                <w:rFonts w:ascii="Verdana" w:eastAsia="Times New Roman" w:hAnsi="Verdana" w:cs="Arial"/>
                <w:lang w:eastAsia="es-ES_tradnl"/>
              </w:rPr>
              <w:t>ESTABILIDAD LABORAL REFORZADA DE MUJER EMBARAZADA – Concepto / ESTABILIDAD LABORAL REFORZADA DE MUJER EMBARAZADA – Unificación jurisprudencial / ESTABILIDAD LABORAL REFORZADA DE MUJER EMBARAZADA – Procedencia</w:t>
            </w:r>
          </w:p>
          <w:p w14:paraId="26A203EE" w14:textId="77777777" w:rsidR="007F5F12" w:rsidRPr="00CC5C68" w:rsidRDefault="007F5F12" w:rsidP="00F3438E">
            <w:pPr>
              <w:jc w:val="both"/>
              <w:textAlignment w:val="baseline"/>
              <w:rPr>
                <w:rFonts w:ascii="Verdana" w:eastAsia="Times New Roman" w:hAnsi="Verdana" w:cs="Arial"/>
                <w:lang w:val="es-ES_tradnl" w:eastAsia="es-ES_tradnl"/>
              </w:rPr>
            </w:pPr>
          </w:p>
        </w:tc>
      </w:tr>
      <w:tr w:rsidR="007F5F12" w:rsidRPr="00CC5C68" w14:paraId="659C82BD" w14:textId="77777777" w:rsidTr="00F3438E">
        <w:trPr>
          <w:jc w:val="right"/>
        </w:trPr>
        <w:tc>
          <w:tcPr>
            <w:tcW w:w="1838" w:type="dxa"/>
          </w:tcPr>
          <w:p w14:paraId="5B714507" w14:textId="77777777" w:rsidR="007F5F12" w:rsidRPr="00CC5C68" w:rsidRDefault="007F5F12" w:rsidP="00F3438E">
            <w:pPr>
              <w:jc w:val="center"/>
              <w:rPr>
                <w:rFonts w:ascii="Verdana" w:eastAsia="Calibri" w:hAnsi="Verdana" w:cs="Arial"/>
                <w:b/>
                <w:lang w:val="es-ES" w:eastAsia="es-ES_tradnl"/>
              </w:rPr>
            </w:pPr>
            <w:r w:rsidRPr="00CC5C68">
              <w:rPr>
                <w:rFonts w:ascii="Verdana" w:eastAsia="Calibri" w:hAnsi="Verdana" w:cs="Arial"/>
                <w:b/>
                <w:lang w:val="es-ES" w:eastAsia="es-ES_tradnl"/>
              </w:rPr>
              <w:t>Radicación:</w:t>
            </w:r>
          </w:p>
        </w:tc>
        <w:tc>
          <w:tcPr>
            <w:tcW w:w="6237" w:type="dxa"/>
          </w:tcPr>
          <w:p w14:paraId="2371F3A3" w14:textId="77777777" w:rsidR="007F5F12" w:rsidRPr="00CC5C68" w:rsidRDefault="007F5F12" w:rsidP="00F3438E">
            <w:pPr>
              <w:jc w:val="both"/>
              <w:rPr>
                <w:rFonts w:ascii="Verdana" w:eastAsia="Calibri" w:hAnsi="Verdana" w:cs="Arial"/>
                <w:lang w:val="es-ES" w:eastAsia="es-ES_tradnl"/>
              </w:rPr>
            </w:pPr>
            <w:r w:rsidRPr="00CC5C68">
              <w:rPr>
                <w:rFonts w:ascii="Verdana" w:eastAsia="Calibri" w:hAnsi="Verdana" w:cs="Arial"/>
                <w:lang w:val="es-ES" w:eastAsia="es-ES_tradnl"/>
              </w:rPr>
              <w:t>Respuesta a consulta</w:t>
            </w:r>
            <w:r>
              <w:rPr>
                <w:rFonts w:ascii="Verdana" w:eastAsia="Calibri" w:hAnsi="Verdana" w:cs="Arial"/>
                <w:lang w:val="es-ES" w:eastAsia="es-ES_tradnl"/>
              </w:rPr>
              <w:t xml:space="preserve"> </w:t>
            </w:r>
            <w:r>
              <w:rPr>
                <w:rFonts w:ascii="Verdana" w:eastAsia="Calibri" w:hAnsi="Verdana"/>
                <w:lang w:val="es-ES" w:eastAsia="es-ES_tradnl"/>
              </w:rPr>
              <w:t>con</w:t>
            </w:r>
            <w:r w:rsidRPr="00CC5C68">
              <w:rPr>
                <w:rFonts w:ascii="Verdana" w:eastAsia="Calibri" w:hAnsi="Verdana" w:cs="Arial"/>
                <w:lang w:val="es-ES" w:eastAsia="es-ES_tradnl"/>
              </w:rPr>
              <w:t xml:space="preserve"> radicado No. </w:t>
            </w:r>
            <w:r w:rsidRPr="0018657E">
              <w:rPr>
                <w:rFonts w:ascii="Verdana" w:eastAsia="Times New Roman" w:hAnsi="Verdana" w:cs="Arial"/>
                <w:lang w:eastAsia="es-ES_tradnl"/>
              </w:rPr>
              <w:t>1_2025_12_19_014197</w:t>
            </w:r>
          </w:p>
        </w:tc>
      </w:tr>
    </w:tbl>
    <w:p w14:paraId="40507449" w14:textId="77777777" w:rsidR="007F5F12" w:rsidRPr="00CC5C68" w:rsidRDefault="007F5F12" w:rsidP="007F5F12">
      <w:pPr>
        <w:spacing w:after="0" w:line="240" w:lineRule="auto"/>
        <w:jc w:val="both"/>
        <w:rPr>
          <w:rFonts w:ascii="Verdana" w:eastAsia="Calibri" w:hAnsi="Verdana" w:cs="Arial"/>
          <w:lang w:val="es-ES_tradnl" w:eastAsia="es-ES_tradnl"/>
        </w:rPr>
      </w:pPr>
    </w:p>
    <w:p w14:paraId="6989F660" w14:textId="77777777" w:rsidR="007F5F12" w:rsidRPr="00CC5C68" w:rsidRDefault="007F5F12" w:rsidP="007F5F12">
      <w:pPr>
        <w:spacing w:after="0" w:line="240" w:lineRule="auto"/>
        <w:jc w:val="both"/>
        <w:rPr>
          <w:rFonts w:ascii="Verdana" w:eastAsia="Calibri" w:hAnsi="Verdana" w:cs="Arial"/>
          <w:lang w:val="es-ES_tradnl" w:eastAsia="es-ES_tradnl"/>
        </w:rPr>
      </w:pPr>
    </w:p>
    <w:p w14:paraId="6CBDA341" w14:textId="77777777" w:rsidR="007F5F12" w:rsidRPr="00CC5C68" w:rsidRDefault="007F5F12" w:rsidP="007F5F12">
      <w:pPr>
        <w:spacing w:after="0" w:line="276" w:lineRule="auto"/>
        <w:contextualSpacing/>
        <w:jc w:val="both"/>
        <w:rPr>
          <w:rFonts w:ascii="Verdana" w:eastAsia="Calibri" w:hAnsi="Verdana" w:cs="Arial"/>
          <w:bCs/>
          <w:lang w:val="es-ES_tradnl" w:eastAsia="es-ES_tradnl"/>
        </w:rPr>
      </w:pPr>
      <w:r w:rsidRPr="00CC5C68">
        <w:rPr>
          <w:rFonts w:ascii="Verdana" w:eastAsia="Calibri" w:hAnsi="Verdana" w:cs="Arial"/>
          <w:lang w:val="es-ES_tradnl" w:eastAsia="es-ES_tradnl"/>
        </w:rPr>
        <w:t>Estimad</w:t>
      </w:r>
      <w:r>
        <w:rPr>
          <w:rFonts w:ascii="Verdana" w:eastAsia="Calibri" w:hAnsi="Verdana" w:cs="Arial"/>
          <w:lang w:val="es-ES_tradnl" w:eastAsia="es-ES_tradnl"/>
        </w:rPr>
        <w:t>o</w:t>
      </w:r>
      <w:r w:rsidRPr="00CC5C68">
        <w:rPr>
          <w:rFonts w:ascii="Verdana" w:eastAsia="Calibri" w:hAnsi="Verdana" w:cs="Arial"/>
          <w:lang w:val="es-ES_tradnl" w:eastAsia="es-ES_tradnl"/>
        </w:rPr>
        <w:t xml:space="preserve"> seño</w:t>
      </w:r>
      <w:r>
        <w:rPr>
          <w:rFonts w:ascii="Verdana" w:eastAsia="Calibri" w:hAnsi="Verdana" w:cs="Arial"/>
          <w:lang w:val="es-ES_tradnl" w:eastAsia="es-ES_tradnl"/>
        </w:rPr>
        <w:t>r</w:t>
      </w:r>
      <w:r w:rsidRPr="00CC5C68">
        <w:rPr>
          <w:rFonts w:ascii="Verdana" w:eastAsia="Calibri" w:hAnsi="Verdana" w:cs="Arial"/>
          <w:lang w:val="es-ES_tradnl" w:eastAsia="es-ES_tradnl"/>
        </w:rPr>
        <w:t xml:space="preserve"> </w:t>
      </w:r>
      <w:r>
        <w:rPr>
          <w:rFonts w:ascii="Verdana" w:eastAsia="Calibri" w:hAnsi="Verdana" w:cs="Arial"/>
          <w:lang w:val="es-ES_tradnl" w:eastAsia="es-ES_tradnl"/>
        </w:rPr>
        <w:t>Cortés</w:t>
      </w:r>
      <w:r w:rsidRPr="00CC5C68">
        <w:rPr>
          <w:rFonts w:ascii="Verdana" w:eastAsia="Calibri" w:hAnsi="Verdana" w:cs="Arial"/>
          <w:bCs/>
          <w:lang w:val="es-ES_tradnl" w:eastAsia="es-ES_tradnl"/>
        </w:rPr>
        <w:t>:</w:t>
      </w:r>
    </w:p>
    <w:p w14:paraId="422CE169" w14:textId="77777777" w:rsidR="007F5F12" w:rsidRPr="00CC5C68" w:rsidRDefault="007F5F12" w:rsidP="007F5F12">
      <w:pPr>
        <w:spacing w:after="0" w:line="276" w:lineRule="auto"/>
        <w:contextualSpacing/>
        <w:jc w:val="both"/>
        <w:rPr>
          <w:rFonts w:ascii="Verdana" w:eastAsia="Calibri" w:hAnsi="Verdana" w:cs="Arial"/>
          <w:lang w:val="es-ES_tradnl" w:eastAsia="es-ES_tradnl"/>
        </w:rPr>
      </w:pPr>
    </w:p>
    <w:p w14:paraId="4ED04918" w14:textId="77777777" w:rsidR="007F5F12" w:rsidRPr="00CC5C68" w:rsidRDefault="007F5F12" w:rsidP="007F5F12">
      <w:pPr>
        <w:spacing w:after="0" w:line="276" w:lineRule="auto"/>
        <w:contextualSpacing/>
        <w:jc w:val="both"/>
        <w:rPr>
          <w:rFonts w:ascii="Verdana" w:eastAsia="Calibri" w:hAnsi="Verdana" w:cs="Arial"/>
          <w:lang w:val="es-ES" w:eastAsia="es-ES_tradnl"/>
        </w:rPr>
      </w:pPr>
      <w:r w:rsidRPr="00CC5C68">
        <w:rPr>
          <w:rFonts w:ascii="Verdana" w:eastAsia="Calibri" w:hAnsi="Verdana" w:cs="Arial"/>
          <w:lang w:val="es-ES" w:eastAsia="es-ES_tradnl"/>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w:t>
      </w:r>
      <w:r>
        <w:rPr>
          <w:rFonts w:ascii="Verdana" w:eastAsia="Calibri" w:hAnsi="Verdana" w:cs="Arial"/>
          <w:lang w:val="es-ES" w:eastAsia="es-ES_tradnl"/>
        </w:rPr>
        <w:t xml:space="preserve"> 19 de diciembre de</w:t>
      </w:r>
      <w:r w:rsidRPr="00CC5C68">
        <w:rPr>
          <w:rFonts w:ascii="Verdana" w:eastAsia="Calibri" w:hAnsi="Verdana" w:cs="Arial"/>
          <w:lang w:val="es-ES" w:eastAsia="es-ES_tradnl"/>
        </w:rPr>
        <w:t xml:space="preserve"> 202</w:t>
      </w:r>
      <w:r>
        <w:rPr>
          <w:rFonts w:ascii="Verdana" w:eastAsia="Calibri" w:hAnsi="Verdana" w:cs="Arial"/>
          <w:lang w:val="es-ES" w:eastAsia="es-ES_tradnl"/>
        </w:rPr>
        <w:t>5</w:t>
      </w:r>
      <w:r w:rsidRPr="00CC5C68">
        <w:rPr>
          <w:rFonts w:ascii="Verdana" w:eastAsia="Calibri" w:hAnsi="Verdana" w:cs="Arial"/>
          <w:lang w:val="es-ES" w:eastAsia="es-ES_tradnl"/>
        </w:rPr>
        <w:t>,</w:t>
      </w:r>
      <w:r>
        <w:rPr>
          <w:rFonts w:ascii="Verdana" w:eastAsia="Calibri" w:hAnsi="Verdana" w:cs="Arial"/>
          <w:lang w:val="es-ES" w:eastAsia="es-ES_tradnl"/>
        </w:rPr>
        <w:t xml:space="preserve"> remitida por el Departamento Administrativo de la Función Pública con oficio remisorio No. </w:t>
      </w:r>
      <w:r w:rsidRPr="00B10F86">
        <w:rPr>
          <w:rFonts w:ascii="Verdana" w:eastAsia="Calibri" w:hAnsi="Verdana" w:cs="Arial"/>
          <w:lang w:val="es-ES" w:eastAsia="es-ES_tradnl"/>
        </w:rPr>
        <w:t>20252040604371</w:t>
      </w:r>
      <w:r>
        <w:rPr>
          <w:rFonts w:ascii="Verdana" w:eastAsia="Calibri" w:hAnsi="Verdana" w:cs="Arial"/>
          <w:lang w:val="es-ES" w:eastAsia="es-ES_tradnl"/>
        </w:rPr>
        <w:t xml:space="preserve"> </w:t>
      </w:r>
      <w:r w:rsidRPr="00CC5C68">
        <w:rPr>
          <w:rFonts w:ascii="Verdana" w:eastAsia="Calibri" w:hAnsi="Verdana" w:cs="Arial"/>
          <w:lang w:val="es-ES" w:eastAsia="es-ES_tradnl"/>
        </w:rPr>
        <w:t>en la cual manifiesta lo siguiente:</w:t>
      </w:r>
    </w:p>
    <w:p w14:paraId="2790F04B" w14:textId="77777777" w:rsidR="007F5F12" w:rsidRPr="00CC5C68" w:rsidRDefault="007F5F12" w:rsidP="007F5F12">
      <w:pPr>
        <w:spacing w:after="0" w:line="276" w:lineRule="auto"/>
        <w:contextualSpacing/>
        <w:jc w:val="both"/>
        <w:rPr>
          <w:rFonts w:ascii="Verdana" w:eastAsia="Calibri" w:hAnsi="Verdana" w:cs="Arial"/>
          <w:b/>
          <w:szCs w:val="24"/>
          <w:lang w:val="es-ES_tradnl" w:eastAsia="es-ES_tradnl"/>
        </w:rPr>
      </w:pPr>
    </w:p>
    <w:p w14:paraId="7E5F272A" w14:textId="77777777" w:rsidR="007F5F12" w:rsidRDefault="007F5F12" w:rsidP="007F5F12">
      <w:pPr>
        <w:spacing w:after="0" w:line="240" w:lineRule="auto"/>
        <w:ind w:left="709" w:right="709"/>
        <w:contextualSpacing/>
        <w:jc w:val="both"/>
        <w:rPr>
          <w:rFonts w:ascii="Verdana" w:eastAsia="Times New Roman" w:hAnsi="Verdana" w:cs="Arial"/>
          <w:sz w:val="21"/>
          <w:szCs w:val="21"/>
          <w:lang w:eastAsia="es-ES_tradnl"/>
        </w:rPr>
      </w:pPr>
      <w:r w:rsidRPr="00CC5C68">
        <w:rPr>
          <w:rFonts w:ascii="Verdana" w:eastAsia="Times New Roman" w:hAnsi="Verdana" w:cs="Arial"/>
          <w:sz w:val="21"/>
          <w:szCs w:val="21"/>
          <w:lang w:eastAsia="es-ES_tradnl"/>
        </w:rPr>
        <w:t>“</w:t>
      </w:r>
      <w:r w:rsidRPr="00933C20">
        <w:rPr>
          <w:rFonts w:ascii="Verdana" w:eastAsia="Times New Roman" w:hAnsi="Verdana" w:cs="Arial"/>
          <w:sz w:val="21"/>
          <w:szCs w:val="21"/>
          <w:lang w:eastAsia="es-ES_tradnl"/>
        </w:rPr>
        <w:t>¿Si una persona es vinculada mediante contrato de prestación de servicios profesionales o de apoyo a la gestión, para ejecutar sus actividades dentro de un programa con lineamientos de orden nacional, departamental y/o municipal con actividades y termino de ejecución especifico, y posteriormente informa encontrarse embarazada durante la ejecución del contrato, se le debe de garantizar la estabilidad ocupacional reforzada, a sabiendas que la necesidad que dio origen a su contratación cuenta con una fecha o plazo límite?</w:t>
      </w:r>
    </w:p>
    <w:p w14:paraId="236E5FC2" w14:textId="77777777" w:rsidR="007F5F12" w:rsidRPr="00933C20" w:rsidRDefault="007F5F12" w:rsidP="007F5F12">
      <w:pPr>
        <w:spacing w:after="0" w:line="240" w:lineRule="auto"/>
        <w:ind w:left="709" w:right="709"/>
        <w:contextualSpacing/>
        <w:jc w:val="both"/>
        <w:rPr>
          <w:rFonts w:ascii="Verdana" w:eastAsia="Times New Roman" w:hAnsi="Verdana" w:cs="Arial"/>
          <w:sz w:val="21"/>
          <w:szCs w:val="21"/>
          <w:lang w:eastAsia="es-ES_tradnl"/>
        </w:rPr>
      </w:pPr>
    </w:p>
    <w:p w14:paraId="5C5C65B9" w14:textId="77777777" w:rsidR="007F5F12" w:rsidRPr="00CC5C68" w:rsidRDefault="007F5F12" w:rsidP="007F5F12">
      <w:pPr>
        <w:spacing w:after="0" w:line="240" w:lineRule="auto"/>
        <w:ind w:left="709" w:right="709"/>
        <w:contextualSpacing/>
        <w:jc w:val="both"/>
        <w:rPr>
          <w:rFonts w:ascii="Verdana" w:eastAsia="Times New Roman" w:hAnsi="Verdana" w:cs="Arial"/>
          <w:sz w:val="21"/>
          <w:szCs w:val="21"/>
          <w:lang w:eastAsia="es-ES_tradnl"/>
        </w:rPr>
      </w:pPr>
      <w:r w:rsidRPr="00933C20">
        <w:rPr>
          <w:rFonts w:ascii="Verdana" w:eastAsia="Times New Roman" w:hAnsi="Verdana" w:cs="Arial"/>
          <w:sz w:val="21"/>
          <w:szCs w:val="21"/>
          <w:lang w:eastAsia="es-ES_tradnl"/>
        </w:rPr>
        <w:lastRenderedPageBreak/>
        <w:t>¿En el evento que la respuesta al interrogante anterior sea afirmativa, es decir, que se deba garantizar la estabilidad ocupacional reforzada, que medidas puede tomar la entidad contratante, cuando dentro de su planta, no se cuente con la necesidad de contratar a una persona con el perfil de la contratista, y por ende no se pueda realizar una reubicación?</w:t>
      </w:r>
      <w:r w:rsidRPr="00CC5C68">
        <w:rPr>
          <w:rFonts w:ascii="Verdana" w:eastAsia="Times New Roman" w:hAnsi="Verdana" w:cs="Arial"/>
          <w:sz w:val="21"/>
          <w:szCs w:val="21"/>
          <w:lang w:eastAsia="es-ES_tradnl"/>
        </w:rPr>
        <w:t>”.</w:t>
      </w:r>
    </w:p>
    <w:p w14:paraId="5FB758A6" w14:textId="77777777" w:rsidR="007F5F12" w:rsidRPr="00CC5C68" w:rsidRDefault="007F5F12" w:rsidP="007F5F12">
      <w:pPr>
        <w:spacing w:after="0" w:line="240" w:lineRule="auto"/>
        <w:ind w:left="709" w:right="709"/>
        <w:contextualSpacing/>
        <w:jc w:val="both"/>
        <w:rPr>
          <w:rFonts w:ascii="Verdana" w:eastAsia="Times New Roman" w:hAnsi="Verdana" w:cs="Arial"/>
          <w:sz w:val="21"/>
          <w:szCs w:val="21"/>
          <w:lang w:eastAsia="es-ES_tradnl"/>
        </w:rPr>
      </w:pPr>
    </w:p>
    <w:p w14:paraId="17D0CE78" w14:textId="77777777" w:rsidR="007F5F12" w:rsidRPr="00CC5C68" w:rsidRDefault="007F5F12" w:rsidP="007F5F12">
      <w:pPr>
        <w:spacing w:after="120" w:line="276" w:lineRule="auto"/>
        <w:ind w:firstLine="709"/>
        <w:jc w:val="both"/>
        <w:rPr>
          <w:rFonts w:ascii="Verdana" w:eastAsia="Calibri" w:hAnsi="Verdana" w:cs="Arial"/>
          <w:color w:val="000000"/>
          <w:szCs w:val="24"/>
          <w:lang w:val="es-ES_tradnl" w:eastAsia="es-ES_tradnl"/>
        </w:rPr>
      </w:pPr>
      <w:r w:rsidRPr="00CC5C68">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C5C68">
        <w:rPr>
          <w:rFonts w:ascii="Verdana" w:eastAsia="Calibri" w:hAnsi="Verdana" w:cs="Arial"/>
          <w:color w:val="000000"/>
          <w:szCs w:val="24"/>
          <w:lang w:val="es-ES_tradnl" w:eastAsia="es-ES_tradnl"/>
        </w:rPr>
        <w:tab/>
      </w:r>
    </w:p>
    <w:p w14:paraId="408D963A" w14:textId="77777777" w:rsidR="007F5F12" w:rsidRPr="00CC5C68" w:rsidRDefault="007F5F12" w:rsidP="007F5F12">
      <w:pPr>
        <w:spacing w:after="0" w:line="276" w:lineRule="auto"/>
        <w:ind w:firstLine="709"/>
        <w:jc w:val="both"/>
        <w:rPr>
          <w:rFonts w:ascii="Verdana" w:eastAsia="Calibri" w:hAnsi="Verdana" w:cs="Arial"/>
          <w:lang w:val="es-ES" w:eastAsia="es-ES"/>
        </w:rPr>
      </w:pPr>
      <w:r w:rsidRPr="00CC5C6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lang w:val="es-ES" w:eastAsia="es-ES"/>
        </w:rPr>
        <w:t>el</w:t>
      </w:r>
      <w:r w:rsidRPr="00CC5C68">
        <w:rPr>
          <w:rFonts w:ascii="Verdana" w:eastAsia="Calibri" w:hAnsi="Verdana" w:cs="Arial"/>
          <w:lang w:val="es-ES" w:eastAsia="es-ES"/>
        </w:rPr>
        <w:t xml:space="preserve"> problema jurídico de su consulta. </w:t>
      </w:r>
    </w:p>
    <w:p w14:paraId="12C91799" w14:textId="77777777" w:rsidR="007F5F12" w:rsidRPr="00CC5C68" w:rsidRDefault="007F5F12" w:rsidP="007F5F12">
      <w:pPr>
        <w:spacing w:after="0" w:line="276" w:lineRule="auto"/>
        <w:contextualSpacing/>
        <w:jc w:val="both"/>
        <w:rPr>
          <w:rFonts w:ascii="Verdana" w:eastAsia="Times New Roman" w:hAnsi="Verdana" w:cs="Arial"/>
          <w:szCs w:val="24"/>
          <w:lang w:val="es-ES_tradnl" w:eastAsia="es-ES_tradnl"/>
        </w:rPr>
      </w:pPr>
    </w:p>
    <w:p w14:paraId="479B0AF8" w14:textId="77777777" w:rsidR="007F5F12" w:rsidRPr="00CC5C68" w:rsidRDefault="007F5F12" w:rsidP="007F5F12">
      <w:pPr>
        <w:tabs>
          <w:tab w:val="left" w:pos="0"/>
          <w:tab w:val="left" w:pos="284"/>
        </w:tabs>
        <w:spacing w:after="0" w:line="276" w:lineRule="auto"/>
        <w:contextualSpacing/>
        <w:jc w:val="both"/>
        <w:rPr>
          <w:rFonts w:ascii="Verdana" w:eastAsia="Calibri" w:hAnsi="Verdana" w:cs="Arial"/>
          <w:b/>
          <w:lang w:val="es-ES_tradnl"/>
        </w:rPr>
      </w:pPr>
      <w:r w:rsidRPr="00CC5C68">
        <w:rPr>
          <w:rFonts w:ascii="Verdana" w:eastAsia="Calibri" w:hAnsi="Verdana" w:cs="Arial"/>
          <w:b/>
          <w:lang w:val="es-ES_tradnl"/>
        </w:rPr>
        <w:t>1. Problema planteado:</w:t>
      </w:r>
    </w:p>
    <w:p w14:paraId="2200A363" w14:textId="77777777" w:rsidR="007F5F12" w:rsidRPr="00CC5C68" w:rsidRDefault="007F5F12" w:rsidP="007F5F12">
      <w:pPr>
        <w:tabs>
          <w:tab w:val="left" w:pos="0"/>
          <w:tab w:val="left" w:pos="284"/>
        </w:tabs>
        <w:spacing w:after="0" w:line="276" w:lineRule="auto"/>
        <w:contextualSpacing/>
        <w:jc w:val="both"/>
        <w:rPr>
          <w:rFonts w:ascii="Verdana" w:eastAsia="Calibri" w:hAnsi="Verdana" w:cs="Arial"/>
          <w:b/>
          <w:lang w:val="es-ES_tradnl"/>
        </w:rPr>
      </w:pPr>
    </w:p>
    <w:p w14:paraId="0D88D7E6" w14:textId="7D10CE4D" w:rsidR="007F5F12" w:rsidRPr="00CC5C68" w:rsidRDefault="007F5F12" w:rsidP="007F5F12">
      <w:pPr>
        <w:spacing w:after="0" w:line="276" w:lineRule="auto"/>
        <w:jc w:val="both"/>
        <w:rPr>
          <w:rFonts w:ascii="Verdana" w:eastAsia="Century Gothic" w:hAnsi="Verdana" w:cs="Century Gothic"/>
        </w:rPr>
      </w:pPr>
      <w:r w:rsidRPr="00CC5C68">
        <w:rPr>
          <w:rFonts w:ascii="Verdana" w:eastAsia="Century Gothic" w:hAnsi="Verdana" w:cs="Century Gothic"/>
        </w:rPr>
        <w:t>De acuerdo con el contenido de su solicitud, esta Agencia resolverá el siguiente problema jurídico: ¿</w:t>
      </w:r>
      <w:r w:rsidR="008E240A">
        <w:rPr>
          <w:rFonts w:ascii="Verdana" w:eastAsia="Century Gothic" w:hAnsi="Verdana" w:cs="Century Gothic"/>
        </w:rPr>
        <w:t xml:space="preserve">Cuál es el alcance de la protección </w:t>
      </w:r>
      <w:r w:rsidR="00470194">
        <w:rPr>
          <w:rFonts w:ascii="Verdana" w:eastAsia="Century Gothic" w:hAnsi="Verdana" w:cs="Century Gothic"/>
        </w:rPr>
        <w:t xml:space="preserve">ocupacional reforzada </w:t>
      </w:r>
      <w:r>
        <w:rPr>
          <w:rFonts w:ascii="Verdana" w:eastAsia="Century Gothic" w:hAnsi="Verdana" w:cs="Century Gothic"/>
        </w:rPr>
        <w:t>de la mujer embarazada en un contrato de prestación de servicios, y cómo debe hacerse</w:t>
      </w:r>
      <w:r w:rsidRPr="00CC5C68">
        <w:rPr>
          <w:rFonts w:ascii="Verdana" w:eastAsia="Century Gothic" w:hAnsi="Verdana" w:cs="Century Gothic"/>
        </w:rPr>
        <w:t xml:space="preserve">? </w:t>
      </w:r>
    </w:p>
    <w:p w14:paraId="55CF383E" w14:textId="77777777" w:rsidR="007F5F12" w:rsidRPr="00CC5C68" w:rsidRDefault="007F5F12" w:rsidP="007F5F12">
      <w:pPr>
        <w:spacing w:after="0" w:line="276" w:lineRule="auto"/>
        <w:ind w:firstLine="709"/>
        <w:jc w:val="both"/>
        <w:rPr>
          <w:rFonts w:ascii="Verdana" w:eastAsia="Calibri" w:hAnsi="Verdana" w:cs="Arial"/>
          <w:lang w:val="es-ES" w:eastAsia="es-ES_tradnl"/>
        </w:rPr>
      </w:pPr>
    </w:p>
    <w:p w14:paraId="09AD8A61" w14:textId="77777777" w:rsidR="007F5F12" w:rsidRPr="00CC5C68" w:rsidRDefault="007F5F12" w:rsidP="007F5F12">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2. Respuesta:</w:t>
      </w:r>
    </w:p>
    <w:p w14:paraId="61A25545" w14:textId="77777777" w:rsidR="007F5F12" w:rsidRPr="00CC5C68" w:rsidRDefault="007F5F12" w:rsidP="007F5F1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F5F12" w:rsidRPr="00CC5C68" w14:paraId="33491A36" w14:textId="77777777" w:rsidTr="00F3438E">
        <w:tc>
          <w:tcPr>
            <w:tcW w:w="8828" w:type="dxa"/>
          </w:tcPr>
          <w:p w14:paraId="23947D63" w14:textId="77777777" w:rsidR="00F67D91" w:rsidRPr="009A6F9B" w:rsidRDefault="00F67D91" w:rsidP="00F67D91">
            <w:pPr>
              <w:spacing w:after="120" w:line="259" w:lineRule="auto"/>
              <w:jc w:val="both"/>
              <w:rPr>
                <w:rFonts w:ascii="Verdana" w:hAnsi="Verdana"/>
              </w:rPr>
            </w:pPr>
            <w:r w:rsidRPr="009A6F9B">
              <w:rPr>
                <w:rFonts w:ascii="Verdana" w:hAnsi="Verdana"/>
              </w:rPr>
              <w:t xml:space="preserve">La Corte Constitucional profirió la sentencia de unificación SU-075 de 2018, en la cual recoge, entre otras, las sentencias T-350 del 2016, T-030 de 2018. En esta providencia, el Alto Tribunal estableció unos criterios con el fin de </w:t>
            </w:r>
            <w:r w:rsidRPr="009A6F9B">
              <w:rPr>
                <w:rFonts w:ascii="Verdana" w:hAnsi="Verdana"/>
              </w:rPr>
              <w:lastRenderedPageBreak/>
              <w:t>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p>
          <w:p w14:paraId="129B16C9" w14:textId="77777777" w:rsidR="00F67D91" w:rsidRDefault="00F67D91" w:rsidP="00F67D91">
            <w:pPr>
              <w:pStyle w:val="Textoindependiente"/>
              <w:spacing w:line="276" w:lineRule="auto"/>
              <w:ind w:firstLine="709"/>
              <w:jc w:val="both"/>
              <w:rPr>
                <w:rFonts w:ascii="Verdana" w:hAnsi="Verdana"/>
              </w:rPr>
            </w:pPr>
            <w:r w:rsidRPr="009A6F9B">
              <w:rPr>
                <w:rFonts w:ascii="Verdana" w:hAnsi="Verdana"/>
              </w:rPr>
              <w:t xml:space="preserve">Conforme con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9A6F9B">
              <w:rPr>
                <w:rFonts w:ascii="Verdana" w:hAnsi="Verdana"/>
              </w:rPr>
              <w:t>ii</w:t>
            </w:r>
            <w:proofErr w:type="spellEnd"/>
            <w:r w:rsidRPr="009A6F9B">
              <w:rPr>
                <w:rFonts w:ascii="Verdana" w:hAnsi="Verdana"/>
              </w:rPr>
              <w:t>) cuando a pesar de no probarse la configuración de un contrato realidad, la terminación del contrato de prestación de servicios se fundamenta en criterios discriminatorios, y no en motivos objetivos.</w:t>
            </w:r>
          </w:p>
          <w:p w14:paraId="62C5CBFF" w14:textId="1AE2935A" w:rsidR="00F67D91" w:rsidRPr="009A6F9B" w:rsidRDefault="00F67D91" w:rsidP="00F67D91">
            <w:pPr>
              <w:pStyle w:val="Textoindependiente"/>
              <w:spacing w:line="276" w:lineRule="auto"/>
              <w:ind w:firstLine="709"/>
              <w:jc w:val="both"/>
              <w:rPr>
                <w:rFonts w:ascii="Verdana" w:hAnsi="Verdana"/>
              </w:rPr>
            </w:pPr>
            <w:r w:rsidRPr="009A6F9B">
              <w:rPr>
                <w:rFonts w:ascii="Verdana" w:hAnsi="Verdana"/>
              </w:rPr>
              <w:t xml:space="preserve">Ahora bien, </w:t>
            </w:r>
            <w:r>
              <w:rPr>
                <w:rFonts w:ascii="Verdana" w:hAnsi="Verdana"/>
              </w:rPr>
              <w:t>frente</w:t>
            </w:r>
            <w:r w:rsidRPr="009A6F9B">
              <w:rPr>
                <w:rFonts w:ascii="Verdana" w:hAnsi="Verdana"/>
              </w:rPr>
              <w:t xml:space="preserve"> a las modificaciones introducidas por la Ley 2306 de 2023 </w:t>
            </w:r>
            <w:r>
              <w:rPr>
                <w:rFonts w:ascii="Verdana" w:hAnsi="Verdana"/>
              </w:rPr>
              <w:t xml:space="preserve">referentes </w:t>
            </w:r>
            <w:r w:rsidRPr="009A6F9B">
              <w:rPr>
                <w:rFonts w:ascii="Verdana" w:hAnsi="Verdana"/>
              </w:rPr>
              <w:t>a la estabilidad ocupacional reforzada de las mujeres en periodo de lactancia</w:t>
            </w:r>
            <w:r w:rsidR="006F4624">
              <w:rPr>
                <w:rFonts w:ascii="Verdana" w:hAnsi="Verdana"/>
              </w:rPr>
              <w:t>.</w:t>
            </w:r>
            <w:r>
              <w:rPr>
                <w:rFonts w:ascii="Verdana" w:hAnsi="Verdana"/>
              </w:rPr>
              <w:t xml:space="preserve"> </w:t>
            </w:r>
            <w:r w:rsidRPr="009A6F9B">
              <w:rPr>
                <w:rFonts w:ascii="Verdana" w:hAnsi="Verdana"/>
              </w:rPr>
              <w:t>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cómo opera durante el periodo de lactancia. De acuerdo con lo establecido en el artículo 239 ibidem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p>
          <w:p w14:paraId="592FF191" w14:textId="77777777" w:rsidR="00F67D91" w:rsidRPr="009A6F9B" w:rsidRDefault="00F67D91" w:rsidP="00F67D91">
            <w:pPr>
              <w:pStyle w:val="Textoindependiente"/>
              <w:snapToGrid w:val="0"/>
              <w:spacing w:line="276" w:lineRule="auto"/>
              <w:ind w:firstLine="709"/>
              <w:jc w:val="both"/>
              <w:rPr>
                <w:rFonts w:ascii="Verdana" w:hAnsi="Verdana"/>
              </w:rPr>
            </w:pPr>
            <w:r>
              <w:rPr>
                <w:rFonts w:ascii="Verdana" w:hAnsi="Verdana"/>
              </w:rPr>
              <w:t xml:space="preserve">En efeto, </w:t>
            </w:r>
            <w:r w:rsidRPr="009A6F9B">
              <w:rPr>
                <w:rFonts w:ascii="Verdana" w:hAnsi="Verdana"/>
              </w:rPr>
              <w:t>respecto a la extensión del periodo de protección del fuero de maternidad en virtud de la expedición del artículo 6 de la Ley 2306 de 2023,</w:t>
            </w:r>
            <w:r>
              <w:rPr>
                <w:rFonts w:ascii="Verdana" w:hAnsi="Verdana"/>
              </w:rPr>
              <w:t xml:space="preserve"> </w:t>
            </w:r>
            <w:r w:rsidRPr="009A6F9B">
              <w:rPr>
                <w:rFonts w:ascii="Verdana" w:hAnsi="Verdana"/>
              </w:rPr>
              <w:t xml:space="preserve">En este contexto, las modificaciones introducidas por el artículo 6 de la Ley 2306 de 2023 son aplicables a las mujeres vinculadas por contrato laboral, en </w:t>
            </w:r>
            <w:r w:rsidRPr="009A6F9B">
              <w:rPr>
                <w:rFonts w:ascii="Verdana" w:hAnsi="Verdana"/>
              </w:rPr>
              <w:lastRenderedPageBreak/>
              <w:t>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1F533227" w14:textId="77777777" w:rsidR="00F67D91" w:rsidRDefault="00F67D91" w:rsidP="00F67D91">
            <w:pPr>
              <w:pStyle w:val="Textoindependiente"/>
              <w:snapToGrid w:val="0"/>
              <w:spacing w:line="276" w:lineRule="auto"/>
              <w:ind w:firstLine="709"/>
              <w:jc w:val="both"/>
              <w:rPr>
                <w:rFonts w:ascii="Verdana" w:hAnsi="Verdana"/>
              </w:rPr>
            </w:pPr>
            <w:r>
              <w:rPr>
                <w:rFonts w:ascii="Verdana" w:hAnsi="Verdana"/>
              </w:rPr>
              <w:t xml:space="preserve">Por lo tanto, </w:t>
            </w:r>
            <w:r w:rsidRPr="009A6F9B">
              <w:rPr>
                <w:rFonts w:ascii="Verdana" w:hAnsi="Verdana"/>
              </w:rPr>
              <w:t>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55B7B9EA" w14:textId="77777777" w:rsidR="00F67D91" w:rsidRDefault="00F67D91" w:rsidP="00F67D91">
            <w:pPr>
              <w:pStyle w:val="Textoindependiente"/>
              <w:snapToGrid w:val="0"/>
              <w:spacing w:line="276" w:lineRule="auto"/>
              <w:ind w:firstLine="709"/>
              <w:jc w:val="both"/>
              <w:rPr>
                <w:rFonts w:ascii="Verdana" w:hAnsi="Verdana"/>
              </w:rPr>
            </w:pPr>
            <w:r w:rsidRPr="009A6F9B">
              <w:rPr>
                <w:rFonts w:ascii="Verdana" w:hAnsi="Verdana"/>
              </w:rPr>
              <w:t xml:space="preserve">En este contexto, frente al problema jurídico planteado, que versa 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De acuerdo con esto, opera para la madre </w:t>
            </w:r>
            <w:r>
              <w:rPr>
                <w:rFonts w:ascii="Verdana" w:hAnsi="Verdana"/>
              </w:rPr>
              <w:t xml:space="preserve">– contratista, </w:t>
            </w:r>
            <w:r w:rsidRPr="009A6F9B">
              <w:rPr>
                <w:rFonts w:ascii="Verdana" w:hAnsi="Verdana"/>
              </w:rPr>
              <w:t>una protección de estabilidad que evita que sea despedida por causa de embarazo o en periodo de la licencia de maternidad o durante el periodo de lactancia, haciendo énfasis en que cada periodo la presunción de despido operar de forma diferente conforme lo expuesto.</w:t>
            </w:r>
          </w:p>
          <w:p w14:paraId="0464253F" w14:textId="77777777" w:rsidR="00F67D91" w:rsidRPr="009A6F9B" w:rsidRDefault="00F67D91" w:rsidP="00F67D91">
            <w:pPr>
              <w:pStyle w:val="Textoindependiente"/>
              <w:snapToGrid w:val="0"/>
              <w:spacing w:line="276" w:lineRule="auto"/>
              <w:ind w:firstLine="709"/>
              <w:jc w:val="both"/>
              <w:rPr>
                <w:rFonts w:ascii="Verdana" w:hAnsi="Verdana"/>
              </w:rPr>
            </w:pPr>
            <w:r w:rsidRPr="009A6F9B">
              <w:rPr>
                <w:rFonts w:ascii="Verdana" w:hAnsi="Verdana"/>
              </w:rPr>
              <w:t>El despido por estas causas en el contrato de prestación de servicios es determinado según la Corte Constitucional a través de tres componentes: (i) el contratante conoce el estado de embarazo de la contratista, (</w:t>
            </w:r>
            <w:proofErr w:type="spellStart"/>
            <w:r w:rsidRPr="009A6F9B">
              <w:rPr>
                <w:rFonts w:ascii="Verdana" w:hAnsi="Verdana"/>
              </w:rPr>
              <w:t>ii</w:t>
            </w:r>
            <w:proofErr w:type="spellEnd"/>
            <w:r w:rsidRPr="009A6F9B">
              <w:rPr>
                <w:rFonts w:ascii="Verdana" w:hAnsi="Verdana"/>
              </w:rPr>
              <w:t>) subsiste la causa del contrato y (</w:t>
            </w:r>
            <w:proofErr w:type="spellStart"/>
            <w:r w:rsidRPr="009A6F9B">
              <w:rPr>
                <w:rFonts w:ascii="Verdana" w:hAnsi="Verdana"/>
              </w:rPr>
              <w:t>iii</w:t>
            </w:r>
            <w:proofErr w:type="spellEnd"/>
            <w:r w:rsidRPr="009A6F9B">
              <w:rPr>
                <w:rFonts w:ascii="Verdana" w:hAnsi="Verdana"/>
              </w:rPr>
              <w:t>) no cuenta con permiso del inspector del trabajo para terminar el contrato. En estos eventos procede la garantía de estabilidad reforzada por lo que la entidad deberá proceder a la renovación de la relación contractual.</w:t>
            </w:r>
          </w:p>
          <w:p w14:paraId="4135429B" w14:textId="643AFA5D" w:rsidR="007F5F12" w:rsidRPr="00CC5C68" w:rsidRDefault="00F67D91" w:rsidP="00F3438E">
            <w:pPr>
              <w:spacing w:after="120" w:line="276" w:lineRule="auto"/>
              <w:ind w:firstLine="709"/>
              <w:jc w:val="both"/>
              <w:rPr>
                <w:rFonts w:ascii="Verdana" w:eastAsia="Calibri" w:hAnsi="Verdana" w:cs="Arial"/>
                <w:color w:val="7030A0"/>
              </w:rPr>
            </w:pPr>
            <w:r w:rsidRPr="009A6F9B">
              <w:rPr>
                <w:rFonts w:ascii="Verdana" w:hAnsi="Verdana"/>
              </w:rPr>
              <w:t xml:space="preserve">En el mismo sentido, esta tesis jurisprudencial de la Corte Constitucional fue acogida por el Consejo de Estado determinando que las mujeres embarazadas que estén vinculadas a las entidades por contrato de prestación </w:t>
            </w:r>
            <w:r w:rsidRPr="009A6F9B">
              <w:rPr>
                <w:rFonts w:ascii="Verdana" w:hAnsi="Verdana"/>
              </w:rPr>
              <w:lastRenderedPageBreak/>
              <w:t>de servicios tienen derecho al reconocimiento de licencia de maternidad y estabilidad laboral reforzada siempre cuando el contratante conozca del embarazo, subsista la causa del contrato y no se cuente con permiso el inspector de trabajo para determinarlo, en estos casos no se requiere demostrar una relación laboral encubierta.</w:t>
            </w:r>
          </w:p>
        </w:tc>
      </w:tr>
    </w:tbl>
    <w:p w14:paraId="167F64A8" w14:textId="77777777" w:rsidR="007F5F12" w:rsidRPr="00274E54" w:rsidRDefault="007F5F12" w:rsidP="007F5F12">
      <w:pPr>
        <w:spacing w:after="0" w:line="276" w:lineRule="auto"/>
        <w:jc w:val="both"/>
        <w:rPr>
          <w:rFonts w:ascii="Verdana" w:eastAsia="Times New Roman" w:hAnsi="Verdana" w:cs="Arial"/>
          <w:lang w:eastAsia="es-ES_tradnl"/>
        </w:rPr>
      </w:pPr>
    </w:p>
    <w:p w14:paraId="30454F1C" w14:textId="77777777" w:rsidR="007F5F12" w:rsidRPr="00274E54" w:rsidRDefault="007F5F12" w:rsidP="007F5F1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274E54">
        <w:rPr>
          <w:rFonts w:ascii="Verdana" w:eastAsia="Century Gothic" w:hAnsi="Verdana" w:cs="Century Gothic"/>
          <w:b/>
          <w:bCs/>
        </w:rPr>
        <w:t>3. Razones de la respuesta:</w:t>
      </w:r>
    </w:p>
    <w:p w14:paraId="6DF8A2FC" w14:textId="77777777" w:rsidR="007F5F12" w:rsidRPr="00AF7CDB" w:rsidRDefault="007F5F12" w:rsidP="007F5F12">
      <w:pPr>
        <w:spacing w:after="0" w:line="276" w:lineRule="auto"/>
        <w:jc w:val="both"/>
        <w:rPr>
          <w:rFonts w:ascii="Verdana" w:eastAsia="Calibri" w:hAnsi="Verdana" w:cs="Arial"/>
          <w:color w:val="7030A0"/>
          <w:lang w:val="es-ES"/>
        </w:rPr>
      </w:pPr>
    </w:p>
    <w:p w14:paraId="76919820" w14:textId="77777777" w:rsidR="007F5F12" w:rsidRPr="00AF7CDB" w:rsidRDefault="007F5F12" w:rsidP="007F5F12">
      <w:pPr>
        <w:spacing w:after="0" w:line="276" w:lineRule="auto"/>
        <w:jc w:val="both"/>
        <w:rPr>
          <w:rFonts w:ascii="Verdana" w:eastAsia="Calibri" w:hAnsi="Verdana" w:cs="Arial"/>
          <w:lang w:val="es-ES"/>
        </w:rPr>
      </w:pPr>
      <w:r w:rsidRPr="00AF7CDB">
        <w:rPr>
          <w:rFonts w:ascii="Verdana" w:eastAsia="Calibri" w:hAnsi="Verdana" w:cs="Arial"/>
          <w:lang w:val="es-ES"/>
        </w:rPr>
        <w:t xml:space="preserve">Lo anterior se sustenta en las siguientes consideraciones: </w:t>
      </w:r>
    </w:p>
    <w:p w14:paraId="4A860A1F" w14:textId="77777777" w:rsidR="007F5F12" w:rsidRPr="00577FA9" w:rsidRDefault="007F5F12" w:rsidP="007F5F12">
      <w:pPr>
        <w:spacing w:after="0" w:line="276" w:lineRule="auto"/>
        <w:jc w:val="both"/>
        <w:rPr>
          <w:rFonts w:ascii="Verdana" w:eastAsia="Calibri" w:hAnsi="Verdana" w:cs="Arial"/>
          <w:lang w:val="es-ES"/>
        </w:rPr>
      </w:pPr>
    </w:p>
    <w:p w14:paraId="133F22E7" w14:textId="77777777" w:rsidR="007F5F12" w:rsidRPr="00E65094" w:rsidRDefault="007F5F12" w:rsidP="007F5F12">
      <w:pPr>
        <w:spacing w:after="120" w:line="276" w:lineRule="auto"/>
        <w:jc w:val="both"/>
        <w:rPr>
          <w:rFonts w:ascii="Verdana" w:eastAsia="Calibri" w:hAnsi="Verdana" w:cs="Arial"/>
          <w:bCs/>
          <w:lang w:val="es-MX"/>
        </w:rPr>
      </w:pPr>
      <w:r w:rsidRPr="00E65094">
        <w:rPr>
          <w:rFonts w:ascii="Verdana" w:eastAsia="Calibri" w:hAnsi="Verdana" w:cs="Arial"/>
          <w:bCs/>
          <w:lang w:val="es-MX"/>
        </w:rPr>
        <w:t>El fuero de maternidad es una figura que otorga una protección reforzada a la futura madre y a la que acaba de serlo, es decir, a la mujer que se encuentra en estado de embarazo y en periodo de lactancia, con el fin de que el proceso de gestación no interfiera en la estabilidad laboral que, como trabajadora, le asiste. El propósito es que la aspiraciones familiares y profesionales de la mujer no se excluyan y puedan armonizarse, al punto de desarrollar su proyecto de vida y su personalidad en condiciones de dignidad y libertad, pues históricamente el estado de gravidez (embarazo) ha constituido un motivo de exclusión de la mujer en el trabajo, en el que es preciso “impedir la discriminación constituida por el despido, la terminación o la no renovación del contrato por causa o con ocasión del embarazo o la lactancia”</w:t>
      </w:r>
      <w:r w:rsidRPr="00274E54">
        <w:rPr>
          <w:rStyle w:val="Refdenotaalpie"/>
          <w:rFonts w:ascii="Verdana" w:eastAsia="Calibri" w:hAnsi="Verdana" w:cs="Arial"/>
          <w:bCs/>
        </w:rPr>
        <w:footnoteReference w:id="1"/>
      </w:r>
      <w:r w:rsidRPr="00E65094">
        <w:rPr>
          <w:rFonts w:ascii="Verdana" w:eastAsia="Calibri" w:hAnsi="Verdana" w:cs="Arial"/>
          <w:bCs/>
          <w:lang w:val="es-MX"/>
        </w:rPr>
        <w:t>.</w:t>
      </w:r>
      <w:r w:rsidRPr="00274E54">
        <w:rPr>
          <w:rFonts w:ascii="Verdana" w:eastAsia="Calibri" w:hAnsi="Verdana" w:cs="Arial"/>
          <w:bCs/>
          <w:lang w:val="es-MX"/>
        </w:rPr>
        <w:tab/>
      </w:r>
    </w:p>
    <w:p w14:paraId="782AB103" w14:textId="77777777" w:rsidR="007F5F12" w:rsidRPr="00E65094" w:rsidRDefault="007F5F12" w:rsidP="007F5F12">
      <w:pPr>
        <w:spacing w:after="120" w:line="276" w:lineRule="auto"/>
        <w:ind w:firstLine="708"/>
        <w:jc w:val="both"/>
        <w:rPr>
          <w:rFonts w:ascii="Verdana" w:hAnsi="Verdana"/>
        </w:rPr>
      </w:pPr>
      <w:r w:rsidRPr="00E65094">
        <w:rPr>
          <w:rFonts w:ascii="Verdana" w:hAnsi="Verdana"/>
        </w:rPr>
        <w:t>Para desarrollar el problema planteado, se explicarán las dos posiciones que ha definido la Corte Constitucional para proteger el fuero de maternidad a una mujer que está vinculada</w:t>
      </w:r>
      <w:r w:rsidRPr="00E65094">
        <w:rPr>
          <w:rFonts w:ascii="Verdana" w:hAnsi="Verdana"/>
          <w:spacing w:val="19"/>
        </w:rPr>
        <w:t xml:space="preserve"> </w:t>
      </w:r>
      <w:r w:rsidRPr="00E65094">
        <w:rPr>
          <w:rFonts w:ascii="Verdana" w:hAnsi="Verdana"/>
        </w:rPr>
        <w:t>a</w:t>
      </w:r>
      <w:r w:rsidRPr="00E65094">
        <w:rPr>
          <w:rFonts w:ascii="Verdana" w:hAnsi="Verdana"/>
          <w:spacing w:val="19"/>
        </w:rPr>
        <w:t xml:space="preserve"> </w:t>
      </w:r>
      <w:r w:rsidRPr="00E65094">
        <w:rPr>
          <w:rFonts w:ascii="Verdana" w:hAnsi="Verdana"/>
        </w:rPr>
        <w:t>través</w:t>
      </w:r>
      <w:r w:rsidRPr="00E65094">
        <w:rPr>
          <w:rFonts w:ascii="Verdana" w:hAnsi="Verdana"/>
          <w:spacing w:val="19"/>
        </w:rPr>
        <w:t xml:space="preserve"> </w:t>
      </w:r>
      <w:r w:rsidRPr="00E65094">
        <w:rPr>
          <w:rFonts w:ascii="Verdana" w:hAnsi="Verdana"/>
        </w:rPr>
        <w:t>de</w:t>
      </w:r>
      <w:r w:rsidRPr="00E65094">
        <w:rPr>
          <w:rFonts w:ascii="Verdana" w:hAnsi="Verdana"/>
          <w:spacing w:val="18"/>
        </w:rPr>
        <w:t xml:space="preserve"> </w:t>
      </w:r>
      <w:r w:rsidRPr="00E65094">
        <w:rPr>
          <w:rFonts w:ascii="Verdana" w:hAnsi="Verdana"/>
        </w:rPr>
        <w:t>un</w:t>
      </w:r>
      <w:r w:rsidRPr="00E65094">
        <w:rPr>
          <w:rFonts w:ascii="Verdana" w:hAnsi="Verdana"/>
          <w:spacing w:val="19"/>
        </w:rPr>
        <w:t xml:space="preserve"> </w:t>
      </w:r>
      <w:r w:rsidRPr="00E65094">
        <w:rPr>
          <w:rFonts w:ascii="Verdana" w:hAnsi="Verdana"/>
        </w:rPr>
        <w:t>contrato</w:t>
      </w:r>
      <w:r w:rsidRPr="00E65094">
        <w:rPr>
          <w:rFonts w:ascii="Verdana" w:hAnsi="Verdana"/>
          <w:spacing w:val="19"/>
        </w:rPr>
        <w:t xml:space="preserve"> </w:t>
      </w:r>
      <w:r w:rsidRPr="00E65094">
        <w:rPr>
          <w:rFonts w:ascii="Verdana" w:hAnsi="Verdana"/>
        </w:rPr>
        <w:t>de</w:t>
      </w:r>
      <w:r w:rsidRPr="00E65094">
        <w:rPr>
          <w:rFonts w:ascii="Verdana" w:hAnsi="Verdana"/>
          <w:spacing w:val="18"/>
        </w:rPr>
        <w:t xml:space="preserve"> </w:t>
      </w:r>
      <w:r w:rsidRPr="00E65094">
        <w:rPr>
          <w:rFonts w:ascii="Verdana" w:hAnsi="Verdana"/>
        </w:rPr>
        <w:t>prestación</w:t>
      </w:r>
      <w:r w:rsidRPr="00E65094">
        <w:rPr>
          <w:rFonts w:ascii="Verdana" w:hAnsi="Verdana"/>
          <w:spacing w:val="19"/>
        </w:rPr>
        <w:t xml:space="preserve"> </w:t>
      </w:r>
      <w:r w:rsidRPr="00E65094">
        <w:rPr>
          <w:rFonts w:ascii="Verdana" w:hAnsi="Verdana"/>
        </w:rPr>
        <w:t>de</w:t>
      </w:r>
      <w:r w:rsidRPr="00E65094">
        <w:rPr>
          <w:rFonts w:ascii="Verdana" w:hAnsi="Verdana"/>
          <w:spacing w:val="19"/>
        </w:rPr>
        <w:t xml:space="preserve"> </w:t>
      </w:r>
      <w:r w:rsidRPr="00E65094">
        <w:rPr>
          <w:rFonts w:ascii="Verdana" w:hAnsi="Verdana"/>
        </w:rPr>
        <w:t>servicios.</w:t>
      </w:r>
      <w:r w:rsidRPr="00E65094">
        <w:rPr>
          <w:rFonts w:ascii="Verdana" w:hAnsi="Verdana"/>
          <w:spacing w:val="18"/>
        </w:rPr>
        <w:t xml:space="preserve"> </w:t>
      </w:r>
      <w:r w:rsidRPr="00E65094">
        <w:rPr>
          <w:rFonts w:ascii="Verdana" w:hAnsi="Verdana"/>
        </w:rPr>
        <w:t>Lo</w:t>
      </w:r>
      <w:r w:rsidRPr="00E65094">
        <w:rPr>
          <w:rFonts w:ascii="Verdana" w:hAnsi="Verdana"/>
          <w:spacing w:val="24"/>
        </w:rPr>
        <w:t xml:space="preserve"> </w:t>
      </w:r>
      <w:r w:rsidRPr="00E65094">
        <w:rPr>
          <w:rFonts w:ascii="Verdana" w:hAnsi="Verdana"/>
        </w:rPr>
        <w:t>anterior</w:t>
      </w:r>
      <w:r w:rsidRPr="00E65094">
        <w:rPr>
          <w:rFonts w:ascii="Verdana" w:hAnsi="Verdana"/>
          <w:spacing w:val="18"/>
        </w:rPr>
        <w:t xml:space="preserve"> </w:t>
      </w:r>
      <w:r w:rsidRPr="00E65094">
        <w:rPr>
          <w:rFonts w:ascii="Verdana" w:hAnsi="Verdana"/>
        </w:rPr>
        <w:t>para</w:t>
      </w:r>
      <w:r w:rsidRPr="00E65094">
        <w:rPr>
          <w:rFonts w:ascii="Verdana" w:hAnsi="Verdana"/>
          <w:spacing w:val="18"/>
        </w:rPr>
        <w:t xml:space="preserve"> </w:t>
      </w:r>
      <w:r w:rsidRPr="00E65094">
        <w:rPr>
          <w:rFonts w:ascii="Verdana" w:hAnsi="Verdana"/>
        </w:rPr>
        <w:t>determinar cuál es la posición actual del Alto Tribunal Constitucional en la defensa el derecho a la estabilidad laboral reforzada</w:t>
      </w:r>
    </w:p>
    <w:p w14:paraId="18D5A9AB" w14:textId="77777777" w:rsidR="007F5F12" w:rsidRPr="00E65094" w:rsidRDefault="007F5F12" w:rsidP="007F5F12">
      <w:pPr>
        <w:spacing w:after="120" w:line="276" w:lineRule="auto"/>
        <w:ind w:firstLine="708"/>
        <w:jc w:val="both"/>
        <w:rPr>
          <w:rFonts w:ascii="Verdana" w:hAnsi="Verdana"/>
          <w:lang w:eastAsia="es-CO"/>
        </w:rPr>
      </w:pPr>
      <w:r w:rsidRPr="00E65094">
        <w:rPr>
          <w:rFonts w:ascii="Verdana" w:hAnsi="Verdana"/>
        </w:rPr>
        <w:t xml:space="preserve">La Corte Constitucional, en la Sentencia de Unificación 070 de 2013, con ponencia de la magistrada Gloria Stella Ortiz Delgado, fijó la primera posición frente el tema, indicando que la protección al fuero de maternidad excluye a las trabajadoras que laboran de manera independiente, y sólo procede su protección si el juez de tutela, al analizar las condiciones propias del contrato de prestación de servicios, comprueba que las partes están vinculadas a través de un contrato </w:t>
      </w:r>
      <w:r w:rsidRPr="00E65094">
        <w:rPr>
          <w:rFonts w:ascii="Verdana" w:hAnsi="Verdana"/>
        </w:rPr>
        <w:lastRenderedPageBreak/>
        <w:t>de trabajo</w:t>
      </w:r>
      <w:r w:rsidRPr="00274E54">
        <w:rPr>
          <w:rStyle w:val="Refdenotaalpie"/>
          <w:rFonts w:ascii="Verdana" w:hAnsi="Verdana" w:cs="Arial"/>
        </w:rPr>
        <w:footnoteReference w:id="2"/>
      </w:r>
      <w:r w:rsidRPr="00E65094">
        <w:rPr>
          <w:rFonts w:ascii="Verdana" w:hAnsi="Verdana"/>
        </w:rPr>
        <w:t>. De esta forma, la protección a la estabilidad laboral reforzada de mujeres vinculadas a través de un contrato de prestación de servicios sólo procede frente aquellos casos donde se verifique la concurrencia de los tres (3) elementos del contrato de trabajo.</w:t>
      </w:r>
    </w:p>
    <w:p w14:paraId="57DAB60C" w14:textId="77777777" w:rsidR="007F5F12" w:rsidRPr="00E65094" w:rsidRDefault="007F5F12" w:rsidP="007F5F12">
      <w:pPr>
        <w:spacing w:after="120" w:line="276" w:lineRule="auto"/>
        <w:ind w:firstLine="708"/>
        <w:jc w:val="both"/>
        <w:rPr>
          <w:rFonts w:ascii="Verdana" w:hAnsi="Verdana" w:cs="Arial"/>
          <w:lang w:eastAsia="es-CO"/>
        </w:rPr>
      </w:pPr>
      <w:r w:rsidRPr="00E65094">
        <w:rPr>
          <w:rFonts w:ascii="Verdana" w:hAnsi="Verdana" w:cs="Arial"/>
        </w:rPr>
        <w:t>Ahora bien, el Alto Tribunal Constitucional, en las sentencias T-102 de 2016</w:t>
      </w:r>
      <w:r w:rsidRPr="00274E54">
        <w:rPr>
          <w:rStyle w:val="Refdenotaalpie"/>
          <w:rFonts w:ascii="Verdana" w:hAnsi="Verdana" w:cs="Arial"/>
        </w:rPr>
        <w:footnoteReference w:id="3"/>
      </w:r>
      <w:r w:rsidRPr="00E65094">
        <w:rPr>
          <w:rFonts w:ascii="Verdana" w:hAnsi="Verdana" w:cs="Arial"/>
        </w:rPr>
        <w:t xml:space="preserve"> y T-564 de 2017</w:t>
      </w:r>
      <w:r w:rsidRPr="00274E54">
        <w:rPr>
          <w:rStyle w:val="Refdenotaalpie"/>
          <w:rFonts w:ascii="Verdana" w:hAnsi="Verdana" w:cs="Arial"/>
        </w:rPr>
        <w:footnoteReference w:id="4"/>
      </w:r>
      <w:r w:rsidRPr="00E65094">
        <w:rPr>
          <w:rFonts w:ascii="Verdana" w:hAnsi="Verdana" w:cs="Arial"/>
        </w:rPr>
        <w:t xml:space="preserve"> estableció otra posición, en los eventos donde no se prueba la configuración del contrato realidad en el contrato de prestación de servicios, señalando que este no es un motivo suficiente para desproteger los derechos de la estabilidad laboral reforzada de la mujer embarazada, si se </w:t>
      </w:r>
      <w:r w:rsidRPr="00E65094">
        <w:rPr>
          <w:rFonts w:ascii="Verdana" w:hAnsi="Verdana" w:cs="Arial"/>
        </w:rPr>
        <w:lastRenderedPageBreak/>
        <w:t>comprueba que la terminación del contrato es discriminatoria y no atiende a un motivo objetivo.</w:t>
      </w:r>
    </w:p>
    <w:p w14:paraId="7C86DBA6" w14:textId="77777777" w:rsidR="007F5F12" w:rsidRPr="00E65094" w:rsidRDefault="007F5F12" w:rsidP="007F5F12">
      <w:pPr>
        <w:spacing w:after="120" w:line="276" w:lineRule="auto"/>
        <w:ind w:firstLine="708"/>
        <w:jc w:val="both"/>
        <w:rPr>
          <w:rFonts w:ascii="Verdana" w:hAnsi="Verdana"/>
        </w:rPr>
      </w:pPr>
      <w:r w:rsidRPr="00E65094">
        <w:rPr>
          <w:rFonts w:ascii="Verdana" w:hAnsi="Verdana"/>
        </w:rPr>
        <w:t xml:space="preserve">De acuerdo con la sentencia T-564 de 2017, a pesar de no probarse la configuración del contrato realidad se debe proteger a la mujer en estado de embarazo, vinculada a través de un contrato de prestación de servicios, porque a pesar de que la trabajadora informó al empleador su estado de gestación, éste terminó anticipadamente su contrato, configurándose una terminación por motivos discriminatorios. Por su parte, la sentencia </w:t>
      </w:r>
      <w:r w:rsidRPr="00E65094">
        <w:rPr>
          <w:rFonts w:ascii="Verdana" w:hAnsi="Verdana"/>
          <w:spacing w:val="3"/>
        </w:rPr>
        <w:t xml:space="preserve">T- </w:t>
      </w:r>
      <w:r w:rsidRPr="00E65094">
        <w:rPr>
          <w:rFonts w:ascii="Verdana" w:hAnsi="Verdana"/>
        </w:rPr>
        <w:t>102 de 2016, si bien reconoce la existencia del contrato realidad, reitera que el empleador no demostró ningún motivo objetivo que justificará la terminación del contrato, ya sea porque la actividad que venía realizando ya no era necesaria, o porque no probó que las causas que originaron la contratación desaparecieron, entre</w:t>
      </w:r>
      <w:r w:rsidRPr="00E65094">
        <w:rPr>
          <w:rFonts w:ascii="Verdana" w:hAnsi="Verdana"/>
          <w:spacing w:val="-12"/>
        </w:rPr>
        <w:t xml:space="preserve"> </w:t>
      </w:r>
      <w:r w:rsidRPr="00E65094">
        <w:rPr>
          <w:rFonts w:ascii="Verdana" w:hAnsi="Verdana"/>
        </w:rPr>
        <w:t>otros.</w:t>
      </w:r>
    </w:p>
    <w:p w14:paraId="5CA561B8" w14:textId="77777777" w:rsidR="007F5F12" w:rsidRPr="00E65094" w:rsidRDefault="007F5F12" w:rsidP="007F5F12">
      <w:pPr>
        <w:spacing w:after="0" w:line="276" w:lineRule="auto"/>
        <w:ind w:firstLine="708"/>
        <w:jc w:val="both"/>
        <w:rPr>
          <w:rFonts w:ascii="Verdana" w:hAnsi="Verdana"/>
        </w:rPr>
      </w:pPr>
      <w:r w:rsidRPr="00E65094">
        <w:rPr>
          <w:rFonts w:ascii="Verdana" w:hAnsi="Verdana"/>
        </w:rPr>
        <w:t>En el mismo sentido, en el salvamento de voto a la sentencia T-743 de 2017, se reiteró que la protección a la mujer en estado de embarazo, vinculada por un contrato de prestación de servicios, no sólo se realiza cuando se prueba la configuración de contrato realidad, sino, además, cuando se demuestre que la decisión de la terminación es discriminatoria y no atiende a un motivo objetivo:</w:t>
      </w:r>
    </w:p>
    <w:p w14:paraId="4FA2B7C5" w14:textId="77777777" w:rsidR="007F5F12" w:rsidRPr="00274E54" w:rsidRDefault="007F5F12" w:rsidP="007F5F12">
      <w:pPr>
        <w:spacing w:after="0" w:line="276" w:lineRule="auto"/>
        <w:ind w:left="709" w:right="709"/>
        <w:jc w:val="both"/>
        <w:rPr>
          <w:rFonts w:ascii="Verdana" w:hAnsi="Verdana" w:cs="Arial"/>
        </w:rPr>
      </w:pPr>
    </w:p>
    <w:p w14:paraId="3070D7EF" w14:textId="77777777" w:rsidR="007F5F12" w:rsidRPr="00E65094" w:rsidRDefault="007F5F12" w:rsidP="007F5F12">
      <w:pPr>
        <w:spacing w:after="0" w:line="240" w:lineRule="auto"/>
        <w:ind w:left="709" w:right="709"/>
        <w:contextualSpacing/>
        <w:jc w:val="both"/>
        <w:rPr>
          <w:rFonts w:ascii="Verdana" w:hAnsi="Verdana" w:cs="Arial"/>
          <w:i/>
          <w:sz w:val="20"/>
          <w:szCs w:val="20"/>
        </w:rPr>
      </w:pPr>
      <w:r w:rsidRPr="00E65094">
        <w:rPr>
          <w:rFonts w:ascii="Verdana" w:eastAsia="Yu Gothic UI Semibold" w:hAnsi="Verdana" w:cs="Arial"/>
          <w:iCs/>
          <w:sz w:val="20"/>
          <w:szCs w:val="20"/>
          <w:lang w:eastAsia="es-MX"/>
        </w:rPr>
        <w:t>“</w:t>
      </w:r>
      <w:r w:rsidRPr="00E65094">
        <w:rPr>
          <w:rFonts w:ascii="Verdana" w:hAnsi="Verdana" w:cs="Arial"/>
          <w:sz w:val="20"/>
          <w:szCs w:val="20"/>
        </w:rPr>
        <w:t xml:space="preserve">Pues bien, el objeto de la aclaración que presento es la necesidad de subrayar la línea jurisprudencial vigente en materia estabilidad laboral reforzada de mujer embarazada en el marco de un contrato de prestación de servicios. A diferencia de las consideraciones de la sentencia, en las cuales se concluye que si no se comprueban los elementos del contrato laboral en la relación contractual no es posible alegar la violación del derecho a la estabilidad laboral reforzada, considero que existen sentencias recientes de las diferentes Salas de Revisión que han establecido que en el marco de relaciones de prestación de servicios, el juez de tutela, </w:t>
      </w:r>
      <w:r w:rsidRPr="00E65094">
        <w:rPr>
          <w:rFonts w:ascii="Verdana" w:hAnsi="Verdana" w:cs="Arial"/>
          <w:i/>
          <w:sz w:val="20"/>
          <w:szCs w:val="20"/>
        </w:rPr>
        <w:t>a pesar de no encontrar probados los elementos del contrato realidad, sí puede garantizar la estabilidad laboral reforzada de la mujer embarazada, siempre y cuando se demuestre que la decisión de la desvinculación es discriminatoria y no atiende a un motivo</w:t>
      </w:r>
      <w:r w:rsidRPr="00E65094">
        <w:rPr>
          <w:rFonts w:ascii="Verdana" w:hAnsi="Verdana" w:cs="Arial"/>
          <w:i/>
          <w:spacing w:val="-5"/>
          <w:sz w:val="20"/>
          <w:szCs w:val="20"/>
        </w:rPr>
        <w:t xml:space="preserve"> </w:t>
      </w:r>
      <w:r w:rsidRPr="00E65094">
        <w:rPr>
          <w:rFonts w:ascii="Verdana" w:hAnsi="Verdana" w:cs="Arial"/>
          <w:i/>
          <w:sz w:val="20"/>
          <w:szCs w:val="20"/>
        </w:rPr>
        <w:t>objetivo.</w:t>
      </w:r>
    </w:p>
    <w:p w14:paraId="7418BDB8" w14:textId="77777777" w:rsidR="007F5F12" w:rsidRPr="00E65094" w:rsidRDefault="007F5F12" w:rsidP="007F5F12">
      <w:pPr>
        <w:spacing w:after="0" w:line="240" w:lineRule="auto"/>
        <w:ind w:left="709" w:right="709"/>
        <w:contextualSpacing/>
        <w:jc w:val="both"/>
        <w:rPr>
          <w:rFonts w:ascii="Verdana" w:hAnsi="Verdana" w:cs="Arial"/>
          <w:i/>
          <w:sz w:val="20"/>
          <w:szCs w:val="20"/>
        </w:rPr>
      </w:pPr>
    </w:p>
    <w:p w14:paraId="74332A23" w14:textId="77777777" w:rsidR="007F5F12" w:rsidRDefault="007F5F12" w:rsidP="007F5F12">
      <w:pPr>
        <w:spacing w:after="0" w:line="240" w:lineRule="auto"/>
        <w:ind w:left="709" w:right="709"/>
        <w:contextualSpacing/>
        <w:jc w:val="both"/>
        <w:rPr>
          <w:rFonts w:ascii="Verdana" w:hAnsi="Verdana" w:cs="Arial"/>
          <w:sz w:val="20"/>
          <w:szCs w:val="20"/>
        </w:rPr>
      </w:pPr>
      <w:r w:rsidRPr="00E65094">
        <w:rPr>
          <w:rFonts w:ascii="Verdana" w:hAnsi="Verdana" w:cs="Arial"/>
          <w:sz w:val="20"/>
          <w:szCs w:val="20"/>
        </w:rPr>
        <w:t xml:space="preserve">Son un ejemplo de esta tesis jurisprudencial las sentencias T-102 de 2016, T-350 de 2016 y T-564 de 2017, que sostienen que en el marco de relaciones de contratos de prestación de servicios independientemente de la prueba sobre los elementos del contrato realidad, si se demuestra la necesidad de la función o continuidad del objeto del contrato, se presume que la desvinculación fue en razón del estado de embarazo, y en </w:t>
      </w:r>
      <w:r w:rsidRPr="00E65094">
        <w:rPr>
          <w:rFonts w:ascii="Verdana" w:hAnsi="Verdana" w:cs="Arial"/>
          <w:sz w:val="20"/>
          <w:szCs w:val="20"/>
        </w:rPr>
        <w:lastRenderedPageBreak/>
        <w:t>consecuencia, procede con todos sus efectos el numeral 2º del artículo 239 del Código Sustantivo de Trabajo</w:t>
      </w:r>
      <w:r w:rsidRPr="00E65094">
        <w:rPr>
          <w:rFonts w:ascii="Verdana" w:hAnsi="Verdana" w:cs="Arial"/>
          <w:noProof/>
          <w:sz w:val="20"/>
          <w:szCs w:val="20"/>
          <w:lang w:val="es-ES_tradnl"/>
        </w:rPr>
        <w:t>”</w:t>
      </w:r>
      <w:r w:rsidRPr="00E65094">
        <w:rPr>
          <w:rFonts w:ascii="Verdana" w:hAnsi="Verdana" w:cs="Arial"/>
          <w:sz w:val="20"/>
          <w:szCs w:val="20"/>
        </w:rPr>
        <w:t>. [Cursiva por fuera del</w:t>
      </w:r>
      <w:r w:rsidRPr="00E65094">
        <w:rPr>
          <w:rFonts w:ascii="Verdana" w:hAnsi="Verdana" w:cs="Arial"/>
          <w:spacing w:val="-16"/>
          <w:sz w:val="20"/>
          <w:szCs w:val="20"/>
        </w:rPr>
        <w:t xml:space="preserve"> </w:t>
      </w:r>
      <w:r w:rsidRPr="00E65094">
        <w:rPr>
          <w:rFonts w:ascii="Verdana" w:hAnsi="Verdana" w:cs="Arial"/>
          <w:sz w:val="20"/>
          <w:szCs w:val="20"/>
        </w:rPr>
        <w:t>texto].</w:t>
      </w:r>
    </w:p>
    <w:p w14:paraId="69E468F0" w14:textId="77777777" w:rsidR="007F5F12" w:rsidRPr="00E65094" w:rsidRDefault="007F5F12" w:rsidP="007F5F12">
      <w:pPr>
        <w:spacing w:after="0" w:line="276" w:lineRule="auto"/>
        <w:ind w:left="709" w:right="709"/>
        <w:contextualSpacing/>
        <w:jc w:val="both"/>
        <w:rPr>
          <w:rFonts w:ascii="Verdana" w:hAnsi="Verdana" w:cs="Arial"/>
          <w:i/>
        </w:rPr>
      </w:pPr>
    </w:p>
    <w:p w14:paraId="7A9AB280" w14:textId="77777777" w:rsidR="007F5F12" w:rsidRPr="00AF7CDB" w:rsidRDefault="007F5F12" w:rsidP="007F5F12">
      <w:pPr>
        <w:pStyle w:val="Textoindependiente"/>
        <w:spacing w:line="276" w:lineRule="auto"/>
        <w:ind w:right="108" w:firstLine="709"/>
        <w:jc w:val="both"/>
        <w:rPr>
          <w:rFonts w:ascii="Verdana" w:eastAsia="Yu Gothic UI Semibold" w:hAnsi="Verdana" w:cs="Arial"/>
        </w:rPr>
      </w:pPr>
      <w:r w:rsidRPr="00AF7CDB">
        <w:rPr>
          <w:rFonts w:ascii="Verdana" w:eastAsia="Yu Gothic UI Semibold" w:hAnsi="Verdana" w:cs="Arial"/>
        </w:rPr>
        <w:t>Finalmente, en el año 2018 la Corte Constitucional profirió la sentencia de unificación SU-075 de 2018, en la cual recoge, entre otras, las sentencias T-030 de 2018 y T-350 del 2016. En esta providencia, el Alto Tribunal establece unos criterios con el fin de impedir la discriminación que</w:t>
      </w:r>
      <w:r w:rsidRPr="00577FA9">
        <w:rPr>
          <w:rFonts w:ascii="Verdana" w:eastAsia="Yu Gothic UI Semibold" w:hAnsi="Verdana" w:cs="Arial"/>
        </w:rPr>
        <w:t xml:space="preserve"> se puede presentar a una mujer en estado de embarazo o lactancia, específicamente, respecto a la terminación o la no renovación del contrato. Dando paso a establecer que el denominado</w:t>
      </w:r>
      <w:r w:rsidRPr="00AF7CDB">
        <w:rPr>
          <w:rFonts w:ascii="Verdana" w:eastAsia="Yu Gothic UI Semibold" w:hAnsi="Verdana" w:cs="Arial"/>
          <w:i/>
        </w:rPr>
        <w:t xml:space="preserve"> </w:t>
      </w:r>
      <w:r w:rsidRPr="00AF7CDB">
        <w:rPr>
          <w:rFonts w:ascii="Verdana" w:eastAsia="Yu Gothic UI Semibold" w:hAnsi="Verdana" w:cs="Arial"/>
          <w:i/>
          <w:lang w:eastAsia="es-MX"/>
        </w:rPr>
        <w:t>“</w:t>
      </w:r>
      <w:r w:rsidRPr="00AF7CDB">
        <w:rPr>
          <w:rFonts w:ascii="Verdana" w:eastAsia="Yu Gothic UI Semibold" w:hAnsi="Verdana" w:cs="Arial"/>
          <w:i/>
        </w:rPr>
        <w:t>fuero de maternidad</w:t>
      </w:r>
      <w:r w:rsidRPr="00AF7CDB">
        <w:rPr>
          <w:rFonts w:ascii="Verdana" w:eastAsia="Yu Gothic UI Semibold" w:hAnsi="Verdana" w:cs="Arial"/>
          <w:i/>
          <w:lang w:eastAsia="es-MX"/>
        </w:rPr>
        <w:t>”</w:t>
      </w:r>
      <w:r w:rsidRPr="00AF7CDB">
        <w:rPr>
          <w:rFonts w:ascii="Verdana" w:eastAsia="Yu Gothic UI Semibold" w:hAnsi="Verdana" w:cs="Arial"/>
          <w:i/>
        </w:rPr>
        <w:t>,</w:t>
      </w:r>
      <w:r w:rsidRPr="00AF7CDB">
        <w:rPr>
          <w:rFonts w:ascii="Verdana" w:eastAsia="Yu Gothic UI Semibold" w:hAnsi="Verdana" w:cs="Arial"/>
        </w:rPr>
        <w:t xml:space="preserve"> encuentra también su sustento en la cláusula general de igualdad de la Constitución </w:t>
      </w:r>
      <w:r w:rsidRPr="00AF7CDB">
        <w:rPr>
          <w:rFonts w:ascii="Verdana" w:eastAsia="Yu Gothic UI Semibold" w:hAnsi="Verdana" w:cs="Arial"/>
          <w:i/>
          <w:lang w:eastAsia="es-MX"/>
        </w:rPr>
        <w:t>“</w:t>
      </w:r>
      <w:r w:rsidRPr="00AF7CDB">
        <w:rPr>
          <w:rFonts w:ascii="Verdana" w:eastAsia="Yu Gothic UI Semibold" w:hAnsi="Verdana" w:cs="Arial"/>
          <w:i/>
        </w:rPr>
        <w:t>que proscribe la discriminación por razones de sexo, así como en el ya mencionado artículo 43 Superior, que dispone la igualdad de derechos y oportunidades entre hombres y mujeres</w:t>
      </w:r>
      <w:r w:rsidRPr="00AF7CDB">
        <w:rPr>
          <w:rFonts w:ascii="Verdana" w:eastAsia="Yu Gothic UI Semibold" w:hAnsi="Verdana" w:cs="Arial"/>
          <w:i/>
          <w:lang w:eastAsia="es-MX"/>
        </w:rPr>
        <w:t>”</w:t>
      </w:r>
      <w:r w:rsidRPr="00AF7CDB">
        <w:rPr>
          <w:rStyle w:val="Refdenotaalpie"/>
          <w:rFonts w:ascii="Verdana" w:eastAsia="Yu Gothic UI Semibold" w:hAnsi="Verdana" w:cs="Arial"/>
          <w:i/>
          <w:lang w:eastAsia="es-MX"/>
        </w:rPr>
        <w:footnoteReference w:id="5"/>
      </w:r>
      <w:r w:rsidRPr="00AF7CDB">
        <w:rPr>
          <w:rFonts w:ascii="Verdana" w:eastAsia="Yu Gothic UI Semibold" w:hAnsi="Verdana" w:cs="Arial"/>
          <w:i/>
          <w:lang w:eastAsia="es-MX"/>
        </w:rPr>
        <w:t>.</w:t>
      </w:r>
    </w:p>
    <w:p w14:paraId="1BBEC73F" w14:textId="77777777" w:rsidR="007F5F12" w:rsidRPr="00E65094" w:rsidRDefault="007F5F12" w:rsidP="007F5F12">
      <w:pPr>
        <w:pStyle w:val="Textoindependiente"/>
        <w:spacing w:after="0" w:line="276" w:lineRule="auto"/>
        <w:ind w:right="108" w:firstLine="709"/>
        <w:jc w:val="both"/>
        <w:rPr>
          <w:rFonts w:ascii="Verdana" w:hAnsi="Verdana"/>
          <w:lang w:eastAsia="es-CO"/>
        </w:rPr>
      </w:pPr>
      <w:r w:rsidRPr="00E65094">
        <w:rPr>
          <w:rFonts w:ascii="Verdana" w:hAnsi="Verdana"/>
          <w:lang w:eastAsia="es-CO"/>
        </w:rPr>
        <w:t xml:space="preserve">La sentencia citada determina el tratamiento que deberían darles las entidades a sus trabajadoras o contratistas cuando se encuentren en estado de embarazo o lactancia, estableciendo su procedencia en los siguientes términos: </w:t>
      </w:r>
    </w:p>
    <w:p w14:paraId="00EE8159" w14:textId="77777777" w:rsidR="007F5F12" w:rsidRPr="00AF7CDB" w:rsidRDefault="007F5F12" w:rsidP="007F5F12">
      <w:pPr>
        <w:shd w:val="clear" w:color="auto" w:fill="FFFFFF"/>
        <w:spacing w:after="120" w:line="276" w:lineRule="auto"/>
        <w:ind w:left="709" w:right="709"/>
        <w:contextualSpacing/>
        <w:jc w:val="both"/>
        <w:rPr>
          <w:rFonts w:ascii="Verdana" w:eastAsia="Yu Gothic UI Semibold" w:hAnsi="Verdana" w:cs="Arial"/>
          <w:sz w:val="21"/>
          <w:szCs w:val="21"/>
          <w:highlight w:val="red"/>
          <w:lang w:eastAsia="es-CO"/>
        </w:rPr>
      </w:pPr>
    </w:p>
    <w:p w14:paraId="58E4F56B" w14:textId="77777777" w:rsidR="007F5F12" w:rsidRPr="00E65094" w:rsidRDefault="007F5F12" w:rsidP="007F5F12">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iCs/>
          <w:sz w:val="20"/>
          <w:szCs w:val="20"/>
          <w:lang w:eastAsia="es-MX"/>
        </w:rPr>
        <w:t>“</w:t>
      </w:r>
      <w:r w:rsidRPr="00E65094">
        <w:rPr>
          <w:rFonts w:ascii="Verdana" w:eastAsia="Yu Gothic UI Semibold" w:hAnsi="Verdana" w:cs="Arial"/>
          <w:sz w:val="20"/>
          <w:szCs w:val="20"/>
          <w:lang w:eastAsia="es-CO"/>
        </w:rPr>
        <w:t>La protección reforzada a la maternidad y la lactancia en el ámbito del trabajo procede cuando se demuestre, sin ninguna otra exigencia adicional, lo siguiente: </w:t>
      </w:r>
    </w:p>
    <w:p w14:paraId="62A7EBA7" w14:textId="77777777" w:rsidR="007F5F12" w:rsidRPr="00E65094" w:rsidRDefault="007F5F12" w:rsidP="007F5F12">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 </w:t>
      </w:r>
    </w:p>
    <w:p w14:paraId="5F084C8B" w14:textId="77777777" w:rsidR="007F5F12" w:rsidRPr="00E65094" w:rsidRDefault="007F5F12" w:rsidP="007F5F12">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(a) La existencia de una relación laboral o de prestación de servicios y; </w:t>
      </w:r>
    </w:p>
    <w:p w14:paraId="5C6D5965" w14:textId="77777777" w:rsidR="007F5F12" w:rsidRPr="00E65094" w:rsidRDefault="007F5F12" w:rsidP="007F5F12">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 </w:t>
      </w:r>
    </w:p>
    <w:p w14:paraId="6A0B5CEB" w14:textId="77777777" w:rsidR="007F5F12" w:rsidRPr="00E65094" w:rsidRDefault="007F5F12" w:rsidP="007F5F12">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(b) Que la mujer se encuentra en estado de embarazo o dentro de los tres meses siguientes al parto, en vigencia de dicha relación laboral o de prestación.</w:t>
      </w:r>
    </w:p>
    <w:p w14:paraId="50F88C6B" w14:textId="77777777" w:rsidR="007F5F12" w:rsidRPr="00E65094" w:rsidRDefault="007F5F12" w:rsidP="007F5F12">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 </w:t>
      </w:r>
    </w:p>
    <w:p w14:paraId="6A2FD809" w14:textId="77777777" w:rsidR="007F5F12" w:rsidRPr="00E65094" w:rsidRDefault="007F5F12" w:rsidP="007F5F12">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No obstante, el alcance de la protección se debe determinar a partir de dos factores:</w:t>
      </w:r>
    </w:p>
    <w:p w14:paraId="487FB214" w14:textId="77777777" w:rsidR="007F5F12" w:rsidRPr="00E65094" w:rsidRDefault="007F5F12" w:rsidP="007F5F12">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 </w:t>
      </w:r>
    </w:p>
    <w:p w14:paraId="65DF76D0" w14:textId="77777777" w:rsidR="007F5F12" w:rsidRPr="00E65094" w:rsidRDefault="007F5F12" w:rsidP="007F5F12">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(a) El conocimiento del embarazo por parte del empleador; y</w:t>
      </w:r>
    </w:p>
    <w:p w14:paraId="48DE09B1" w14:textId="77777777" w:rsidR="007F5F12" w:rsidRPr="00E65094" w:rsidRDefault="007F5F12" w:rsidP="007F5F12">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 </w:t>
      </w:r>
    </w:p>
    <w:p w14:paraId="09269602" w14:textId="77777777" w:rsidR="007F5F12" w:rsidRPr="00E65094" w:rsidRDefault="007F5F12" w:rsidP="007F5F12">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(b) La alternativa laboral mediante la cual se encontraba vinculada la mujer embarazada</w:t>
      </w:r>
      <w:r w:rsidRPr="00E65094">
        <w:rPr>
          <w:rFonts w:ascii="Verdana" w:hAnsi="Verdana" w:cs="Arial"/>
          <w:noProof/>
          <w:sz w:val="20"/>
          <w:szCs w:val="20"/>
          <w:lang w:val="es-ES_tradnl"/>
        </w:rPr>
        <w:t>”.</w:t>
      </w:r>
    </w:p>
    <w:p w14:paraId="285581E0" w14:textId="77777777" w:rsidR="007F5F12" w:rsidRDefault="007F5F12" w:rsidP="007F5F12">
      <w:pPr>
        <w:shd w:val="clear" w:color="auto" w:fill="FFFFFF"/>
        <w:spacing w:after="0" w:line="276" w:lineRule="auto"/>
        <w:ind w:right="51"/>
        <w:jc w:val="both"/>
        <w:rPr>
          <w:rFonts w:ascii="Verdana" w:eastAsia="Yu Gothic UI Semibold" w:hAnsi="Verdana" w:cs="Arial"/>
          <w:lang w:eastAsia="es-CO"/>
        </w:rPr>
      </w:pPr>
    </w:p>
    <w:p w14:paraId="73643C39" w14:textId="77777777" w:rsidR="007F5F12" w:rsidRPr="00E65094" w:rsidRDefault="007F5F12" w:rsidP="007F5F12">
      <w:pPr>
        <w:shd w:val="clear" w:color="auto" w:fill="FFFFFF"/>
        <w:spacing w:after="0" w:line="276" w:lineRule="auto"/>
        <w:ind w:right="51" w:firstLine="708"/>
        <w:jc w:val="both"/>
        <w:rPr>
          <w:rFonts w:ascii="Verdana" w:eastAsia="Yu Gothic UI Semibold" w:hAnsi="Verdana" w:cs="Arial"/>
          <w:lang w:eastAsia="es-CO"/>
        </w:rPr>
      </w:pPr>
      <w:r w:rsidRPr="00E65094">
        <w:rPr>
          <w:rFonts w:ascii="Verdana" w:eastAsia="Yu Gothic UI Semibold" w:hAnsi="Verdana" w:cs="Arial"/>
          <w:lang w:eastAsia="es-CO"/>
        </w:rPr>
        <w:t xml:space="preserve">Como se evidencia en el texto referido, el criterio de la Corte establece que solo se requiere acreditar la relación laboral o la existencia de un contrato de prestación de servicios y el estado de embarazo o lactancia para acceder a </w:t>
      </w:r>
      <w:r w:rsidRPr="00E65094">
        <w:rPr>
          <w:rFonts w:ascii="Verdana" w:eastAsia="Yu Gothic UI Semibold" w:hAnsi="Verdana" w:cs="Arial"/>
          <w:lang w:eastAsia="es-CO"/>
        </w:rPr>
        <w:lastRenderedPageBreak/>
        <w:t xml:space="preserve">la protección denominada estabilidad laboral reforzada de mujer embarazada y en periodo de lactancia. Para el caso concreto de los contratos de prestación de servicios, la sentencia en mención determina:   </w:t>
      </w:r>
    </w:p>
    <w:p w14:paraId="67674C58" w14:textId="77777777" w:rsidR="007F5F12" w:rsidRPr="009954A8" w:rsidRDefault="007F5F12" w:rsidP="007F5F12">
      <w:pPr>
        <w:shd w:val="clear" w:color="auto" w:fill="FFFFFF"/>
        <w:spacing w:after="0" w:line="276" w:lineRule="auto"/>
        <w:ind w:left="709" w:right="51"/>
        <w:jc w:val="both"/>
        <w:rPr>
          <w:rFonts w:ascii="Verdana" w:eastAsia="Yu Gothic UI Semibold" w:hAnsi="Verdana" w:cs="Arial"/>
          <w:lang w:eastAsia="es-CO"/>
        </w:rPr>
      </w:pPr>
    </w:p>
    <w:p w14:paraId="00E8ACB5" w14:textId="77777777" w:rsidR="007F5F12" w:rsidRPr="00E65094" w:rsidRDefault="007F5F12" w:rsidP="007F5F12">
      <w:pPr>
        <w:shd w:val="clear" w:color="auto" w:fill="FFFFFF"/>
        <w:spacing w:after="0"/>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iCs/>
          <w:sz w:val="20"/>
          <w:szCs w:val="20"/>
          <w:lang w:eastAsia="es-MX"/>
        </w:rPr>
        <w:t>“</w:t>
      </w:r>
      <w:r w:rsidRPr="00E65094">
        <w:rPr>
          <w:rFonts w:ascii="Verdana" w:eastAsia="Yu Gothic UI Semibold" w:hAnsi="Verdana" w:cs="Arial"/>
          <w:sz w:val="20"/>
          <w:szCs w:val="20"/>
          <w:lang w:eastAsia="es-CO"/>
        </w:rPr>
        <w:t xml:space="preserve">[…]  en el supuesto en que la trabajadora gestante o lactante haya estado vinculada mediante un contrato de prestación de servicios </w:t>
      </w:r>
      <w:r w:rsidRPr="00E65094">
        <w:rPr>
          <w:rFonts w:ascii="Verdana" w:eastAsia="Yu Gothic UI Semibold" w:hAnsi="Verdana" w:cs="Arial"/>
          <w:sz w:val="20"/>
          <w:szCs w:val="20"/>
          <w:u w:val="single"/>
          <w:lang w:eastAsia="es-CO"/>
        </w:rPr>
        <w:t>y logre demostrar la existencia de un contrato realidad, se deberán aplicar las reglas propuestas para los contratos a término fijo</w:t>
      </w:r>
      <w:r w:rsidRPr="00E65094">
        <w:rPr>
          <w:rFonts w:ascii="Verdana" w:eastAsia="Yu Gothic UI Semibold" w:hAnsi="Verdana" w:cs="Arial"/>
          <w:sz w:val="20"/>
          <w:szCs w:val="20"/>
          <w:lang w:eastAsia="es-CO"/>
        </w:rPr>
        <w:t>,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r w:rsidRPr="00E65094">
        <w:rPr>
          <w:rFonts w:ascii="Verdana" w:hAnsi="Verdana" w:cs="Arial"/>
          <w:noProof/>
          <w:sz w:val="20"/>
          <w:szCs w:val="20"/>
          <w:lang w:val="es-ES_tradnl"/>
        </w:rPr>
        <w:t>”.</w:t>
      </w:r>
    </w:p>
    <w:p w14:paraId="79363BF8" w14:textId="77777777" w:rsidR="007F5F12" w:rsidRPr="009954A8" w:rsidRDefault="007F5F12" w:rsidP="007F5F12">
      <w:pPr>
        <w:shd w:val="clear" w:color="auto" w:fill="FFFFFF"/>
        <w:spacing w:after="0" w:line="276" w:lineRule="auto"/>
        <w:ind w:right="51"/>
        <w:contextualSpacing/>
        <w:jc w:val="both"/>
        <w:rPr>
          <w:rFonts w:ascii="Verdana" w:eastAsia="Yu Gothic UI Semibold" w:hAnsi="Verdana" w:cs="Arial"/>
          <w:lang w:eastAsia="es-CO"/>
        </w:rPr>
      </w:pPr>
    </w:p>
    <w:p w14:paraId="30A79D58" w14:textId="77777777" w:rsidR="007F5F12" w:rsidRPr="00E65094" w:rsidRDefault="007F5F12" w:rsidP="007F5F12">
      <w:pPr>
        <w:widowControl w:val="0"/>
        <w:autoSpaceDE w:val="0"/>
        <w:autoSpaceDN w:val="0"/>
        <w:spacing w:after="120" w:line="276" w:lineRule="auto"/>
        <w:ind w:firstLine="708"/>
        <w:jc w:val="both"/>
        <w:rPr>
          <w:rFonts w:ascii="Verdana" w:eastAsia="Arial" w:hAnsi="Verdana" w:cs="Arial"/>
        </w:rPr>
      </w:pPr>
      <w:r w:rsidRPr="00E65094">
        <w:rPr>
          <w:rFonts w:ascii="Verdana" w:eastAsia="Arial" w:hAnsi="Verdana" w:cs="Arial"/>
        </w:rPr>
        <w:t>Conforme a lo anterior, 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E65094">
        <w:rPr>
          <w:rFonts w:ascii="Verdana" w:eastAsia="Arial" w:hAnsi="Verdana" w:cs="Arial"/>
        </w:rPr>
        <w:t>ii</w:t>
      </w:r>
      <w:proofErr w:type="spellEnd"/>
      <w:r w:rsidRPr="00E65094">
        <w:rPr>
          <w:rFonts w:ascii="Verdana" w:eastAsia="Arial" w:hAnsi="Verdana" w:cs="Arial"/>
        </w:rPr>
        <w:t>) cuando a pesar de no probarse la configuración de un contrato realidad la terminación del contrato de prestación de servicios se fundamenta en criterios discriminatorios, y no en motivos objetivos.</w:t>
      </w:r>
    </w:p>
    <w:p w14:paraId="294C0EEA" w14:textId="77777777" w:rsidR="007F5F12" w:rsidRPr="00E65094" w:rsidRDefault="007F5F12" w:rsidP="007F5F12">
      <w:pPr>
        <w:widowControl w:val="0"/>
        <w:autoSpaceDE w:val="0"/>
        <w:autoSpaceDN w:val="0"/>
        <w:spacing w:after="120" w:line="276" w:lineRule="auto"/>
        <w:ind w:firstLine="708"/>
        <w:jc w:val="both"/>
        <w:rPr>
          <w:rFonts w:ascii="Verdana" w:eastAsia="Arial" w:hAnsi="Verdana" w:cs="Arial"/>
        </w:rPr>
      </w:pPr>
      <w:r w:rsidRPr="00E65094">
        <w:rPr>
          <w:rFonts w:ascii="Verdana" w:eastAsia="Arial" w:hAnsi="Verdana" w:cs="Arial"/>
        </w:rPr>
        <w:t>Asimismo se resalta, que el Alto Tribunal Constitucional en la sentencia T-743 de 2017, reiteró que la protección a la mujer en estado de embarazo y en periodo de lactancia, está sustentada en cuatro presupuestos de origen constitucional: (i) el deber de protección especial a la mujer gestante; (</w:t>
      </w:r>
      <w:proofErr w:type="spellStart"/>
      <w:r w:rsidRPr="00E65094">
        <w:rPr>
          <w:rFonts w:ascii="Verdana" w:eastAsia="Arial" w:hAnsi="Verdana" w:cs="Arial"/>
        </w:rPr>
        <w:t>ii</w:t>
      </w:r>
      <w:proofErr w:type="spellEnd"/>
      <w:r w:rsidRPr="00E65094">
        <w:rPr>
          <w:rFonts w:ascii="Verdana" w:eastAsia="Arial" w:hAnsi="Verdana" w:cs="Arial"/>
        </w:rPr>
        <w:t>) la contención de prácticas discriminatorias en el escenario laboral contra la mujer, con ocasión del estado de embarazo; (</w:t>
      </w:r>
      <w:proofErr w:type="spellStart"/>
      <w:r w:rsidRPr="00E65094">
        <w:rPr>
          <w:rFonts w:ascii="Verdana" w:eastAsia="Arial" w:hAnsi="Verdana" w:cs="Arial"/>
        </w:rPr>
        <w:t>iii</w:t>
      </w:r>
      <w:proofErr w:type="spellEnd"/>
      <w:r w:rsidRPr="00E65094">
        <w:rPr>
          <w:rFonts w:ascii="Verdana" w:eastAsia="Arial" w:hAnsi="Verdana" w:cs="Arial"/>
        </w:rPr>
        <w:t>) la protección a la vida y a la mujer como su gestora; y (</w:t>
      </w:r>
      <w:proofErr w:type="spellStart"/>
      <w:r w:rsidRPr="00E65094">
        <w:rPr>
          <w:rFonts w:ascii="Verdana" w:eastAsia="Arial" w:hAnsi="Verdana" w:cs="Arial"/>
        </w:rPr>
        <w:t>iv</w:t>
      </w:r>
      <w:proofErr w:type="spellEnd"/>
      <w:r w:rsidRPr="00E65094">
        <w:rPr>
          <w:rFonts w:ascii="Verdana" w:eastAsia="Arial" w:hAnsi="Verdana" w:cs="Arial"/>
        </w:rPr>
        <w:t>) la relevancia de la familia en el ordenamiento social colombiano.</w:t>
      </w:r>
    </w:p>
    <w:p w14:paraId="65E4E798" w14:textId="77777777" w:rsidR="007F5F12" w:rsidRPr="00E65094" w:rsidRDefault="007F5F12" w:rsidP="007F5F12">
      <w:pPr>
        <w:widowControl w:val="0"/>
        <w:autoSpaceDE w:val="0"/>
        <w:autoSpaceDN w:val="0"/>
        <w:spacing w:after="120" w:line="276" w:lineRule="auto"/>
        <w:ind w:firstLine="708"/>
        <w:jc w:val="both"/>
        <w:rPr>
          <w:rFonts w:ascii="Verdana" w:eastAsia="Arial" w:hAnsi="Verdana" w:cs="Arial"/>
        </w:rPr>
      </w:pPr>
      <w:r w:rsidRPr="00E65094">
        <w:rPr>
          <w:rFonts w:ascii="Verdana" w:eastAsia="Arial" w:hAnsi="Verdana" w:cs="Arial"/>
        </w:rPr>
        <w:t>En este sentido, les corresponde a las entidades estatales, en virtud de su autonomía, y de acuerdo con los lineamientos de la Corte Constitucional, determinar la mejor forma para garantizar la estabilidad laboral reforzada de las mujeres embarazadas y en periodo de lactancia vinculadas mediante contratos de prestación de servicios.</w:t>
      </w:r>
    </w:p>
    <w:p w14:paraId="1995A217" w14:textId="77777777" w:rsidR="007F5F12" w:rsidRPr="00E65094" w:rsidRDefault="007F5F12" w:rsidP="007F5F12">
      <w:pPr>
        <w:widowControl w:val="0"/>
        <w:autoSpaceDE w:val="0"/>
        <w:autoSpaceDN w:val="0"/>
        <w:spacing w:after="0" w:line="276" w:lineRule="auto"/>
        <w:ind w:firstLine="708"/>
        <w:jc w:val="both"/>
        <w:rPr>
          <w:rFonts w:ascii="Verdana" w:eastAsia="Arial" w:hAnsi="Verdana" w:cs="Arial"/>
        </w:rPr>
      </w:pPr>
      <w:r w:rsidRPr="00E65094">
        <w:rPr>
          <w:rFonts w:ascii="Verdana" w:eastAsia="Arial" w:hAnsi="Verdana" w:cs="Arial"/>
        </w:rPr>
        <w:lastRenderedPageBreak/>
        <w:t xml:space="preserve">Recientemente, la Corte Constitucional profirió la sentencia T-329 de 2022, con ponencia de la magistrada </w:t>
      </w:r>
      <w:r w:rsidRPr="00E65094">
        <w:rPr>
          <w:rFonts w:ascii="Verdana" w:hAnsi="Verdana" w:cs="Arial"/>
        </w:rPr>
        <w:t>Natalia Ángel Cabo</w:t>
      </w:r>
      <w:r w:rsidRPr="00E65094">
        <w:rPr>
          <w:rFonts w:ascii="Verdana" w:eastAsia="Arial" w:hAnsi="Verdana" w:cs="Arial"/>
        </w:rPr>
        <w:t xml:space="preserve">, en la cual reiteró el precedente sobre </w:t>
      </w:r>
      <w:bookmarkStart w:id="0" w:name="_Hlk108422441"/>
      <w:r w:rsidRPr="00E65094">
        <w:rPr>
          <w:rFonts w:ascii="Verdana" w:eastAsia="Arial" w:hAnsi="Verdana" w:cs="Arial"/>
        </w:rPr>
        <w:t>la protección de la mujer embarazada y en período de lactancia en contratos de prestación de servicios</w:t>
      </w:r>
      <w:bookmarkEnd w:id="0"/>
      <w:r w:rsidRPr="00E65094">
        <w:rPr>
          <w:rFonts w:ascii="Verdana" w:eastAsia="Arial" w:hAnsi="Verdana" w:cs="Arial"/>
        </w:rPr>
        <w:t xml:space="preserve"> establecido en la Sentencia S-070 de 2013, al indicar lo siguiente: </w:t>
      </w:r>
    </w:p>
    <w:p w14:paraId="1C78071A" w14:textId="77777777" w:rsidR="007F5F12" w:rsidRPr="009954A8" w:rsidRDefault="007F5F12" w:rsidP="007F5F12">
      <w:pPr>
        <w:widowControl w:val="0"/>
        <w:autoSpaceDE w:val="0"/>
        <w:autoSpaceDN w:val="0"/>
        <w:spacing w:after="0" w:line="276" w:lineRule="auto"/>
        <w:ind w:firstLine="709"/>
        <w:contextualSpacing/>
        <w:jc w:val="both"/>
        <w:rPr>
          <w:rFonts w:ascii="Verdana" w:eastAsia="Arial" w:hAnsi="Verdana" w:cs="Arial"/>
          <w:lang w:val="es-ES"/>
        </w:rPr>
      </w:pPr>
    </w:p>
    <w:p w14:paraId="43B53382" w14:textId="77777777" w:rsidR="007F5F12" w:rsidRPr="00E65094" w:rsidRDefault="007F5F12" w:rsidP="007F5F12">
      <w:pPr>
        <w:pStyle w:val="Sinespaciado"/>
        <w:ind w:left="709" w:right="709"/>
        <w:contextualSpacing/>
        <w:rPr>
          <w:rFonts w:ascii="Verdana" w:hAnsi="Verdana" w:cs="Arial"/>
          <w:sz w:val="20"/>
          <w:szCs w:val="20"/>
        </w:rPr>
      </w:pPr>
      <w:r w:rsidRPr="00E65094">
        <w:rPr>
          <w:rFonts w:ascii="Verdana" w:eastAsia="Yu Gothic UI Semibold" w:hAnsi="Verdana" w:cs="Arial"/>
          <w:iCs/>
          <w:sz w:val="20"/>
          <w:szCs w:val="20"/>
          <w:lang w:eastAsia="es-MX"/>
        </w:rPr>
        <w:t>“</w:t>
      </w:r>
      <w:r w:rsidRPr="00E65094">
        <w:rPr>
          <w:rFonts w:ascii="Verdana" w:eastAsia="Yu Gothic UI Semibold" w:hAnsi="Verdana" w:cs="Arial"/>
          <w:sz w:val="20"/>
          <w:szCs w:val="20"/>
          <w:lang w:eastAsia="es-CO"/>
        </w:rPr>
        <w:t>[…]</w:t>
      </w:r>
      <w:r w:rsidRPr="00E65094">
        <w:rPr>
          <w:rFonts w:ascii="Verdana" w:hAnsi="Verdana" w:cs="Arial"/>
          <w:sz w:val="20"/>
          <w:szCs w:val="20"/>
        </w:rPr>
        <w:t>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r w:rsidRPr="00E65094">
        <w:rPr>
          <w:rFonts w:ascii="Verdana" w:hAnsi="Verdana" w:cs="Arial"/>
          <w:noProof/>
          <w:sz w:val="20"/>
          <w:szCs w:val="20"/>
          <w:lang w:val="es-ES_tradnl"/>
        </w:rPr>
        <w:t>”.</w:t>
      </w:r>
    </w:p>
    <w:p w14:paraId="1985CB82" w14:textId="77777777" w:rsidR="007F5F12" w:rsidRPr="009954A8" w:rsidRDefault="007F5F12" w:rsidP="007F5F12">
      <w:pPr>
        <w:widowControl w:val="0"/>
        <w:autoSpaceDE w:val="0"/>
        <w:autoSpaceDN w:val="0"/>
        <w:spacing w:after="0" w:line="276" w:lineRule="auto"/>
        <w:ind w:firstLine="709"/>
        <w:jc w:val="both"/>
        <w:rPr>
          <w:rFonts w:ascii="Verdana" w:eastAsia="Arial" w:hAnsi="Verdana" w:cs="Arial"/>
          <w:lang w:val="es-ES"/>
        </w:rPr>
      </w:pPr>
    </w:p>
    <w:p w14:paraId="3CDD066E" w14:textId="77777777" w:rsidR="007F5F12" w:rsidRPr="00E65094" w:rsidRDefault="007F5F12" w:rsidP="007F5F12">
      <w:pPr>
        <w:widowControl w:val="0"/>
        <w:autoSpaceDE w:val="0"/>
        <w:autoSpaceDN w:val="0"/>
        <w:spacing w:after="120" w:line="276" w:lineRule="auto"/>
        <w:ind w:firstLine="708"/>
        <w:jc w:val="both"/>
        <w:rPr>
          <w:rFonts w:ascii="Verdana" w:hAnsi="Verdana" w:cs="Arial"/>
          <w:shd w:val="clear" w:color="auto" w:fill="FFFFFF"/>
        </w:rPr>
      </w:pPr>
      <w:r w:rsidRPr="00E65094">
        <w:rPr>
          <w:rFonts w:ascii="Verdana" w:eastAsia="Arial" w:hAnsi="Verdana" w:cs="Arial"/>
        </w:rPr>
        <w:t xml:space="preserve">En dicha providencia la Corte consideró que, en los casos de </w:t>
      </w:r>
      <w:r w:rsidRPr="00E65094">
        <w:rPr>
          <w:rFonts w:ascii="Verdana" w:hAnsi="Verdana" w:cs="Arial"/>
        </w:rPr>
        <w:t xml:space="preserve">en los casos de vinculación mediante contrato de prestación de servicios, aun cuando en el trámite de tutela no se logren acreditar los elementos del contrato realidad, hay lugar a la protección derivada de del fuero de maternidad. Lo anterior, en palabras de la Corte encuentra sustento en las siguientes razones: </w:t>
      </w:r>
      <w:r w:rsidRPr="00E65094">
        <w:rPr>
          <w:rFonts w:ascii="Verdana" w:eastAsia="Yu Gothic UI Semibold" w:hAnsi="Verdana" w:cs="Arial"/>
          <w:iCs/>
          <w:lang w:eastAsia="es-MX"/>
        </w:rPr>
        <w:t>“</w:t>
      </w:r>
      <w:r w:rsidRPr="00E65094">
        <w:rPr>
          <w:rFonts w:ascii="Verdana" w:hAnsi="Verdana" w:cs="Arial"/>
        </w:rPr>
        <w:t>(i) la protección de la mujer gestante o en periodo de lactancia se deriva de, entre otros, los artículos 43, 53 y 13 de la Constitución Nacional; (</w:t>
      </w:r>
      <w:proofErr w:type="spellStart"/>
      <w:r w:rsidRPr="00E65094">
        <w:rPr>
          <w:rFonts w:ascii="Verdana" w:hAnsi="Verdana" w:cs="Arial"/>
        </w:rPr>
        <w:t>ii</w:t>
      </w:r>
      <w:proofErr w:type="spellEnd"/>
      <w:r w:rsidRPr="00E65094">
        <w:rPr>
          <w:rFonts w:ascii="Verdana" w:hAnsi="Verdana" w:cs="Arial"/>
        </w:rPr>
        <w:t>) la Sentencia SU-070 de 2013 reiteró la protección a la mujer embarazada en todas las alternativas laborales o de trabajo en las que se incluye el contrato de prestación de servicios; (</w:t>
      </w:r>
      <w:proofErr w:type="spellStart"/>
      <w:r w:rsidRPr="00E65094">
        <w:rPr>
          <w:rFonts w:ascii="Verdana" w:hAnsi="Verdana" w:cs="Arial"/>
        </w:rPr>
        <w:t>iii</w:t>
      </w:r>
      <w:proofErr w:type="spellEnd"/>
      <w:r w:rsidRPr="00E65094">
        <w:rPr>
          <w:rFonts w:ascii="Verdana" w:hAnsi="Verdana" w:cs="Arial"/>
        </w:rPr>
        <w:t xml:space="preserve">) la Sentencia SU-075 de 2018 reiteró que las condiciones para la protección de la mujer embarazada son la existencia de una relación laboral o de prestación de servicios y que </w:t>
      </w:r>
      <w:r w:rsidRPr="00E65094">
        <w:rPr>
          <w:rFonts w:ascii="Verdana" w:hAnsi="Verdana" w:cs="Arial"/>
          <w:shd w:val="clear" w:color="auto" w:fill="FFFFFF"/>
        </w:rPr>
        <w:t>la mujer se encuentre en estado de embarazo o dentro de los tres meses siguientes al parto, en vigencia de dicha relación laboral o de prestación de servicios</w:t>
      </w:r>
      <w:r w:rsidRPr="00E65094">
        <w:rPr>
          <w:rFonts w:ascii="Verdana" w:hAnsi="Verdana" w:cs="Arial"/>
        </w:rPr>
        <w:t>; y (</w:t>
      </w:r>
      <w:proofErr w:type="spellStart"/>
      <w:r w:rsidRPr="00E65094">
        <w:rPr>
          <w:rFonts w:ascii="Verdana" w:hAnsi="Verdana" w:cs="Arial"/>
        </w:rPr>
        <w:t>iv</w:t>
      </w:r>
      <w:proofErr w:type="spellEnd"/>
      <w:r w:rsidRPr="00E65094">
        <w:rPr>
          <w:rFonts w:ascii="Verdana" w:hAnsi="Verdana" w:cs="Arial"/>
        </w:rPr>
        <w:t xml:space="preserve">) las salas de revisión de la Corte Constitucional </w:t>
      </w:r>
      <w:r w:rsidRPr="00E65094">
        <w:rPr>
          <w:rFonts w:ascii="Verdana" w:hAnsi="Verdana" w:cs="Arial"/>
          <w:shd w:val="clear" w:color="auto" w:fill="FFFFFF"/>
        </w:rPr>
        <w:t>reconocen la protección derivada del fuero de maternidad en los contratos de prestación de servicios</w:t>
      </w:r>
      <w:r w:rsidRPr="00E65094">
        <w:rPr>
          <w:rFonts w:ascii="Verdana" w:hAnsi="Verdana" w:cs="Arial"/>
          <w:noProof/>
          <w:lang w:val="es-ES_tradnl"/>
        </w:rPr>
        <w:t>”</w:t>
      </w:r>
      <w:r w:rsidRPr="009954A8">
        <w:rPr>
          <w:rStyle w:val="Refdenotaalpie"/>
          <w:rFonts w:ascii="Verdana" w:hAnsi="Verdana" w:cs="Arial"/>
          <w:noProof/>
          <w:lang w:val="es-ES_tradnl"/>
        </w:rPr>
        <w:footnoteReference w:id="6"/>
      </w:r>
      <w:r w:rsidRPr="00E65094">
        <w:rPr>
          <w:rFonts w:ascii="Verdana" w:hAnsi="Verdana" w:cs="Arial"/>
          <w:shd w:val="clear" w:color="auto" w:fill="FFFFFF"/>
        </w:rPr>
        <w:t xml:space="preserve">. </w:t>
      </w:r>
    </w:p>
    <w:p w14:paraId="064C7964" w14:textId="77777777" w:rsidR="007F5F12" w:rsidRPr="009954A8" w:rsidRDefault="007F5F12" w:rsidP="007F5F12">
      <w:pPr>
        <w:widowControl w:val="0"/>
        <w:autoSpaceDE w:val="0"/>
        <w:autoSpaceDN w:val="0"/>
        <w:spacing w:after="120" w:line="276" w:lineRule="auto"/>
        <w:ind w:firstLine="708"/>
        <w:jc w:val="both"/>
        <w:rPr>
          <w:rFonts w:ascii="Verdana" w:eastAsia="Arial" w:hAnsi="Verdana" w:cs="Arial"/>
          <w:lang w:val="es-ES"/>
        </w:rPr>
      </w:pPr>
      <w:r w:rsidRPr="00E65094">
        <w:rPr>
          <w:rFonts w:ascii="Verdana" w:eastAsia="Arial" w:hAnsi="Verdana" w:cs="Arial"/>
        </w:rPr>
        <w:t xml:space="preserve">En atención a dicho pronunciamiento, resulta relevante relacionar </w:t>
      </w:r>
      <w:r w:rsidRPr="00E65094">
        <w:rPr>
          <w:rFonts w:ascii="Verdana" w:hAnsi="Verdana" w:cs="Arial"/>
        </w:rPr>
        <w:t xml:space="preserve">las </w:t>
      </w:r>
      <w:r w:rsidRPr="00E65094">
        <w:rPr>
          <w:rFonts w:ascii="Verdana" w:hAnsi="Verdana" w:cs="Arial"/>
        </w:rPr>
        <w:lastRenderedPageBreak/>
        <w:t>reglas establecidas en la jurisprudencia constitucional para la protección de las mujeres contratadas mediante contrato de prestación de servicios a quienes no se les renueva dicho contrato mientras se encuentran en estado de embarazo o lactancia:</w:t>
      </w:r>
    </w:p>
    <w:tbl>
      <w:tblPr>
        <w:tblStyle w:val="Tablaconcuadrcula"/>
        <w:tblW w:w="5000" w:type="pct"/>
        <w:tblLook w:val="04A0" w:firstRow="1" w:lastRow="0" w:firstColumn="1" w:lastColumn="0" w:noHBand="0" w:noVBand="1"/>
      </w:tblPr>
      <w:tblGrid>
        <w:gridCol w:w="1813"/>
        <w:gridCol w:w="7015"/>
      </w:tblGrid>
      <w:tr w:rsidR="007F5F12" w:rsidRPr="009954A8" w14:paraId="302B6A6C" w14:textId="77777777" w:rsidTr="00F3438E">
        <w:tc>
          <w:tcPr>
            <w:tcW w:w="1027" w:type="pct"/>
            <w:shd w:val="clear" w:color="auto" w:fill="D9E2F3" w:themeFill="accent1" w:themeFillTint="33"/>
            <w:vAlign w:val="center"/>
          </w:tcPr>
          <w:p w14:paraId="3ED9931F" w14:textId="77777777" w:rsidR="007F5F12" w:rsidRPr="009954A8" w:rsidRDefault="007F5F12" w:rsidP="00F3438E">
            <w:pPr>
              <w:pStyle w:val="Sinespaciado"/>
              <w:ind w:right="0"/>
              <w:jc w:val="center"/>
              <w:rPr>
                <w:rFonts w:ascii="Verdana" w:hAnsi="Verdana" w:cs="Arial"/>
                <w:b/>
                <w:bCs/>
                <w:sz w:val="21"/>
                <w:szCs w:val="21"/>
              </w:rPr>
            </w:pPr>
            <w:r w:rsidRPr="009954A8">
              <w:rPr>
                <w:rFonts w:ascii="Verdana" w:hAnsi="Verdana" w:cs="Arial"/>
                <w:b/>
                <w:bCs/>
                <w:sz w:val="21"/>
                <w:szCs w:val="21"/>
              </w:rPr>
              <w:t>Tipo de relación material</w:t>
            </w:r>
          </w:p>
        </w:tc>
        <w:tc>
          <w:tcPr>
            <w:tcW w:w="3973" w:type="pct"/>
            <w:shd w:val="clear" w:color="auto" w:fill="D9E2F3" w:themeFill="accent1" w:themeFillTint="33"/>
            <w:vAlign w:val="center"/>
          </w:tcPr>
          <w:p w14:paraId="3BEDE307" w14:textId="77777777" w:rsidR="007F5F12" w:rsidRPr="009954A8" w:rsidRDefault="007F5F12" w:rsidP="00F3438E">
            <w:pPr>
              <w:pStyle w:val="Sinespaciado"/>
              <w:ind w:right="0"/>
              <w:jc w:val="center"/>
              <w:rPr>
                <w:rFonts w:ascii="Verdana" w:hAnsi="Verdana" w:cs="Arial"/>
                <w:b/>
                <w:bCs/>
                <w:sz w:val="21"/>
                <w:szCs w:val="21"/>
              </w:rPr>
            </w:pPr>
            <w:r w:rsidRPr="009954A8">
              <w:rPr>
                <w:rFonts w:ascii="Verdana" w:hAnsi="Verdana" w:cs="Arial"/>
                <w:b/>
                <w:bCs/>
                <w:sz w:val="21"/>
                <w:szCs w:val="21"/>
              </w:rPr>
              <w:t>Alcance de la protección</w:t>
            </w:r>
          </w:p>
        </w:tc>
      </w:tr>
      <w:tr w:rsidR="007F5F12" w:rsidRPr="009954A8" w14:paraId="759F21CB" w14:textId="77777777" w:rsidTr="00F3438E">
        <w:tc>
          <w:tcPr>
            <w:tcW w:w="1027" w:type="pct"/>
            <w:tcBorders>
              <w:bottom w:val="single" w:sz="4" w:space="0" w:color="auto"/>
            </w:tcBorders>
            <w:vAlign w:val="center"/>
          </w:tcPr>
          <w:p w14:paraId="0C9E73C6" w14:textId="77777777" w:rsidR="007F5F12" w:rsidRPr="009954A8" w:rsidRDefault="007F5F12" w:rsidP="00F3438E">
            <w:pPr>
              <w:pStyle w:val="Sinespaciado"/>
              <w:ind w:right="0"/>
              <w:jc w:val="center"/>
              <w:rPr>
                <w:rFonts w:ascii="Verdana" w:hAnsi="Verdana" w:cs="Arial"/>
                <w:b/>
                <w:bCs/>
                <w:sz w:val="21"/>
                <w:szCs w:val="21"/>
              </w:rPr>
            </w:pPr>
            <w:r w:rsidRPr="009954A8">
              <w:rPr>
                <w:rFonts w:ascii="Verdana" w:hAnsi="Verdana" w:cs="Arial"/>
                <w:b/>
                <w:bCs/>
                <w:sz w:val="21"/>
                <w:szCs w:val="21"/>
              </w:rPr>
              <w:t>Se configura un contrato realidad</w:t>
            </w:r>
          </w:p>
        </w:tc>
        <w:tc>
          <w:tcPr>
            <w:tcW w:w="3973" w:type="pct"/>
          </w:tcPr>
          <w:p w14:paraId="35CC31CC" w14:textId="77777777" w:rsidR="007F5F12" w:rsidRPr="009954A8" w:rsidRDefault="007F5F12" w:rsidP="00F3438E">
            <w:pPr>
              <w:pStyle w:val="Sinespaciado"/>
              <w:ind w:right="0"/>
              <w:rPr>
                <w:rFonts w:ascii="Verdana" w:hAnsi="Verdana" w:cs="Arial"/>
                <w:sz w:val="21"/>
                <w:szCs w:val="21"/>
              </w:rPr>
            </w:pPr>
            <w:r w:rsidRPr="009954A8">
              <w:rPr>
                <w:rFonts w:ascii="Verdana" w:hAnsi="Verdana" w:cs="Arial"/>
                <w:sz w:val="21"/>
                <w:szCs w:val="21"/>
              </w:rPr>
              <w:t>El juez de tutela deberá aplicar las reglas establecidas para el contrato laboral a término fijo, debido a que este contrato, por sus características de temporalidad, es el que mejor se asemeja al contrato de prestación de servicios</w:t>
            </w:r>
            <w:r w:rsidRPr="009954A8">
              <w:rPr>
                <w:rStyle w:val="Refdenotaalpie"/>
                <w:rFonts w:ascii="Verdana" w:hAnsi="Verdana" w:cs="Arial"/>
                <w:sz w:val="21"/>
                <w:szCs w:val="21"/>
              </w:rPr>
              <w:t xml:space="preserve"> </w:t>
            </w:r>
            <w:r w:rsidRPr="009954A8">
              <w:rPr>
                <w:rStyle w:val="Refdenotaalpie"/>
                <w:rFonts w:ascii="Verdana" w:hAnsi="Verdana" w:cs="Arial"/>
                <w:sz w:val="21"/>
                <w:szCs w:val="21"/>
              </w:rPr>
              <w:footnoteReference w:id="7"/>
            </w:r>
            <w:r w:rsidRPr="009954A8">
              <w:rPr>
                <w:rFonts w:ascii="Verdana" w:hAnsi="Verdana" w:cs="Arial"/>
                <w:sz w:val="21"/>
                <w:szCs w:val="21"/>
              </w:rPr>
              <w:t>.</w:t>
            </w:r>
          </w:p>
        </w:tc>
      </w:tr>
      <w:tr w:rsidR="007F5F12" w:rsidRPr="009954A8" w14:paraId="6CE732B5" w14:textId="77777777" w:rsidTr="00F3438E">
        <w:trPr>
          <w:trHeight w:val="269"/>
        </w:trPr>
        <w:tc>
          <w:tcPr>
            <w:tcW w:w="1027" w:type="pct"/>
            <w:tcBorders>
              <w:top w:val="single" w:sz="4" w:space="0" w:color="auto"/>
              <w:left w:val="single" w:sz="4" w:space="0" w:color="auto"/>
              <w:bottom w:val="single" w:sz="4" w:space="0" w:color="auto"/>
              <w:right w:val="single" w:sz="4" w:space="0" w:color="auto"/>
            </w:tcBorders>
            <w:vAlign w:val="center"/>
          </w:tcPr>
          <w:p w14:paraId="74E05BE8" w14:textId="77777777" w:rsidR="007F5F12" w:rsidRPr="009954A8" w:rsidRDefault="007F5F12" w:rsidP="00F3438E">
            <w:pPr>
              <w:pStyle w:val="Sinespaciado"/>
              <w:ind w:right="0"/>
              <w:jc w:val="center"/>
              <w:rPr>
                <w:rFonts w:ascii="Verdana" w:hAnsi="Verdana" w:cs="Arial"/>
                <w:b/>
                <w:bCs/>
                <w:sz w:val="21"/>
                <w:szCs w:val="21"/>
              </w:rPr>
            </w:pPr>
            <w:r w:rsidRPr="009954A8">
              <w:rPr>
                <w:rFonts w:ascii="Verdana" w:hAnsi="Verdana" w:cs="Arial"/>
                <w:b/>
                <w:bCs/>
                <w:sz w:val="21"/>
                <w:szCs w:val="21"/>
              </w:rPr>
              <w:t>No se configura un contrato realidad</w:t>
            </w:r>
          </w:p>
        </w:tc>
        <w:tc>
          <w:tcPr>
            <w:tcW w:w="3973" w:type="pct"/>
            <w:tcBorders>
              <w:left w:val="single" w:sz="4" w:space="0" w:color="auto"/>
            </w:tcBorders>
            <w:vAlign w:val="center"/>
          </w:tcPr>
          <w:p w14:paraId="5E32DA86" w14:textId="77777777" w:rsidR="007F5F12" w:rsidRPr="009954A8" w:rsidRDefault="007F5F12" w:rsidP="00F3438E">
            <w:pPr>
              <w:pStyle w:val="Sinespaciado"/>
              <w:ind w:right="0"/>
              <w:rPr>
                <w:rFonts w:ascii="Verdana" w:hAnsi="Verdana" w:cs="Arial"/>
                <w:sz w:val="21"/>
                <w:szCs w:val="21"/>
              </w:rPr>
            </w:pPr>
            <w:r w:rsidRPr="009954A8">
              <w:rPr>
                <w:rFonts w:ascii="Verdana" w:hAnsi="Verdana" w:cs="Arial"/>
                <w:sz w:val="21"/>
                <w:szCs w:val="21"/>
              </w:rPr>
              <w:t>Si (i) el contratante conoce el estado de embarazo de la contratista, (</w:t>
            </w:r>
            <w:proofErr w:type="spellStart"/>
            <w:r w:rsidRPr="009954A8">
              <w:rPr>
                <w:rFonts w:ascii="Verdana" w:hAnsi="Verdana" w:cs="Arial"/>
                <w:sz w:val="21"/>
                <w:szCs w:val="21"/>
              </w:rPr>
              <w:t>ii</w:t>
            </w:r>
            <w:proofErr w:type="spellEnd"/>
            <w:r w:rsidRPr="009954A8">
              <w:rPr>
                <w:rFonts w:ascii="Verdana" w:hAnsi="Verdana" w:cs="Arial"/>
                <w:sz w:val="21"/>
                <w:szCs w:val="21"/>
              </w:rPr>
              <w:t>) subsiste la causa del contrato y (</w:t>
            </w:r>
            <w:proofErr w:type="spellStart"/>
            <w:r w:rsidRPr="009954A8">
              <w:rPr>
                <w:rFonts w:ascii="Verdana" w:hAnsi="Verdana" w:cs="Arial"/>
                <w:sz w:val="21"/>
                <w:szCs w:val="21"/>
              </w:rPr>
              <w:t>iii</w:t>
            </w:r>
            <w:proofErr w:type="spellEnd"/>
            <w:r w:rsidRPr="009954A8">
              <w:rPr>
                <w:rFonts w:ascii="Verdana" w:hAnsi="Verdana" w:cs="Arial"/>
                <w:sz w:val="21"/>
                <w:szCs w:val="21"/>
              </w:rPr>
              <w:t>) no cuenta con permiso del inspector del trabajo para terminar el contrato, el juez deberá ordenar:</w:t>
            </w:r>
          </w:p>
          <w:p w14:paraId="5FF641A3" w14:textId="77777777" w:rsidR="007F5F12" w:rsidRPr="009954A8" w:rsidRDefault="007F5F12" w:rsidP="00F3438E">
            <w:pPr>
              <w:pStyle w:val="Sinespaciado"/>
              <w:ind w:right="0"/>
              <w:rPr>
                <w:rFonts w:ascii="Verdana" w:hAnsi="Verdana" w:cs="Arial"/>
                <w:sz w:val="21"/>
                <w:szCs w:val="21"/>
              </w:rPr>
            </w:pPr>
          </w:p>
          <w:p w14:paraId="0540E6D5" w14:textId="77777777" w:rsidR="007F5F12" w:rsidRPr="009954A8" w:rsidRDefault="007F5F12" w:rsidP="00F3438E">
            <w:pPr>
              <w:pStyle w:val="Sinespaciado"/>
              <w:numPr>
                <w:ilvl w:val="0"/>
                <w:numId w:val="17"/>
              </w:numPr>
              <w:ind w:right="0"/>
              <w:rPr>
                <w:rFonts w:ascii="Verdana" w:hAnsi="Verdana" w:cs="Arial"/>
                <w:sz w:val="21"/>
                <w:szCs w:val="21"/>
              </w:rPr>
            </w:pPr>
            <w:r w:rsidRPr="009954A8">
              <w:rPr>
                <w:rFonts w:ascii="Verdana" w:hAnsi="Verdana" w:cs="Arial"/>
                <w:sz w:val="21"/>
                <w:szCs w:val="21"/>
              </w:rPr>
              <w:t xml:space="preserve">La renovación de la relación contractual, la </w:t>
            </w:r>
            <w:proofErr w:type="spellStart"/>
            <w:r w:rsidRPr="009954A8">
              <w:rPr>
                <w:rFonts w:ascii="Verdana" w:hAnsi="Verdana" w:cs="Arial"/>
                <w:sz w:val="21"/>
                <w:szCs w:val="21"/>
              </w:rPr>
              <w:t>cuál</w:t>
            </w:r>
            <w:proofErr w:type="spellEnd"/>
            <w:r w:rsidRPr="009954A8">
              <w:rPr>
                <w:rFonts w:ascii="Verdana" w:hAnsi="Verdana" w:cs="Arial"/>
                <w:sz w:val="21"/>
                <w:szCs w:val="21"/>
              </w:rPr>
              <w:t xml:space="preserve"> se dará hasta por el término del periodo de lactancia. </w:t>
            </w:r>
          </w:p>
          <w:p w14:paraId="25E419FA" w14:textId="77777777" w:rsidR="007F5F12" w:rsidRPr="009954A8" w:rsidRDefault="007F5F12" w:rsidP="00F3438E">
            <w:pPr>
              <w:pStyle w:val="Sinespaciado"/>
              <w:numPr>
                <w:ilvl w:val="0"/>
                <w:numId w:val="17"/>
              </w:numPr>
              <w:ind w:right="0"/>
              <w:rPr>
                <w:rFonts w:ascii="Verdana" w:hAnsi="Verdana" w:cs="Arial"/>
                <w:sz w:val="21"/>
                <w:szCs w:val="21"/>
              </w:rPr>
            </w:pPr>
            <w:r w:rsidRPr="009954A8">
              <w:rPr>
                <w:rFonts w:ascii="Verdana" w:hAnsi="Verdana" w:cs="Arial"/>
                <w:sz w:val="21"/>
                <w:szCs w:val="21"/>
              </w:rPr>
              <w:t xml:space="preserve">El pago de los honorarios dejados de percibir desde la fecha de no renovación del contrato, hasta la renovación </w:t>
            </w:r>
            <w:proofErr w:type="gramStart"/>
            <w:r w:rsidRPr="009954A8">
              <w:rPr>
                <w:rFonts w:ascii="Verdana" w:hAnsi="Verdana" w:cs="Arial"/>
                <w:sz w:val="21"/>
                <w:szCs w:val="21"/>
              </w:rPr>
              <w:t>del mismo</w:t>
            </w:r>
            <w:proofErr w:type="gramEnd"/>
            <w:r w:rsidRPr="009954A8">
              <w:rPr>
                <w:rFonts w:ascii="Verdana" w:hAnsi="Verdana" w:cs="Arial"/>
                <w:sz w:val="21"/>
                <w:szCs w:val="21"/>
              </w:rPr>
              <w:t>;</w:t>
            </w:r>
          </w:p>
          <w:p w14:paraId="3AC53FD2" w14:textId="77777777" w:rsidR="007F5F12" w:rsidRPr="009954A8" w:rsidRDefault="007F5F12" w:rsidP="00F3438E">
            <w:pPr>
              <w:pStyle w:val="Sinespaciado"/>
              <w:numPr>
                <w:ilvl w:val="0"/>
                <w:numId w:val="17"/>
              </w:numPr>
              <w:ind w:right="0"/>
              <w:rPr>
                <w:rFonts w:ascii="Verdana" w:hAnsi="Verdana" w:cs="Arial"/>
                <w:sz w:val="21"/>
                <w:szCs w:val="21"/>
              </w:rPr>
            </w:pPr>
            <w:r w:rsidRPr="009954A8">
              <w:rPr>
                <w:rFonts w:ascii="Verdana" w:hAnsi="Verdana" w:cs="Arial"/>
                <w:sz w:val="21"/>
                <w:szCs w:val="21"/>
              </w:rPr>
              <w:t>El pago por concepto de la indemnización por despido discriminatorio</w:t>
            </w:r>
            <w:r w:rsidRPr="009954A8">
              <w:rPr>
                <w:rStyle w:val="Refdenotaalpie"/>
                <w:rFonts w:ascii="Verdana" w:hAnsi="Verdana" w:cs="Arial"/>
                <w:sz w:val="21"/>
                <w:szCs w:val="21"/>
              </w:rPr>
              <w:footnoteReference w:id="8"/>
            </w:r>
            <w:r w:rsidRPr="009954A8">
              <w:rPr>
                <w:rFonts w:ascii="Verdana" w:hAnsi="Verdana" w:cs="Arial"/>
                <w:sz w:val="21"/>
                <w:szCs w:val="21"/>
              </w:rPr>
              <w:t>; y</w:t>
            </w:r>
          </w:p>
          <w:p w14:paraId="3C2E3760" w14:textId="77777777" w:rsidR="007F5F12" w:rsidRPr="009954A8" w:rsidRDefault="007F5F12" w:rsidP="00F3438E">
            <w:pPr>
              <w:pStyle w:val="Sinespaciado"/>
              <w:numPr>
                <w:ilvl w:val="0"/>
                <w:numId w:val="17"/>
              </w:numPr>
              <w:ind w:right="0"/>
              <w:rPr>
                <w:rFonts w:ascii="Verdana" w:hAnsi="Verdana" w:cs="Arial"/>
                <w:sz w:val="21"/>
                <w:szCs w:val="21"/>
              </w:rPr>
            </w:pPr>
            <w:r w:rsidRPr="009954A8">
              <w:rPr>
                <w:rFonts w:ascii="Verdana" w:hAnsi="Verdana" w:cs="Arial"/>
                <w:sz w:val="21"/>
                <w:szCs w:val="21"/>
              </w:rPr>
              <w:t>El pago de la licencia de maternidad. Este pago no se realizará si en el caso se acredita que la madre disfrutó de la licencia de maternidad</w:t>
            </w:r>
            <w:r w:rsidRPr="009954A8">
              <w:rPr>
                <w:rStyle w:val="Refdenotaalpie"/>
                <w:rFonts w:ascii="Verdana" w:hAnsi="Verdana" w:cs="Arial"/>
                <w:sz w:val="21"/>
                <w:szCs w:val="21"/>
              </w:rPr>
              <w:footnoteReference w:id="9"/>
            </w:r>
            <w:r w:rsidRPr="009954A8">
              <w:rPr>
                <w:rFonts w:ascii="Verdana" w:hAnsi="Verdana" w:cs="Arial"/>
                <w:sz w:val="21"/>
                <w:szCs w:val="21"/>
              </w:rPr>
              <w:t>.</w:t>
            </w:r>
          </w:p>
          <w:p w14:paraId="540F40C8" w14:textId="77777777" w:rsidR="007F5F12" w:rsidRPr="009954A8" w:rsidRDefault="007F5F12" w:rsidP="00F3438E">
            <w:pPr>
              <w:pStyle w:val="Sinespaciado"/>
              <w:numPr>
                <w:ilvl w:val="0"/>
                <w:numId w:val="17"/>
              </w:numPr>
              <w:ind w:right="0"/>
              <w:rPr>
                <w:rFonts w:ascii="Verdana" w:hAnsi="Verdana" w:cs="Arial"/>
                <w:sz w:val="21"/>
                <w:szCs w:val="21"/>
              </w:rPr>
            </w:pPr>
            <w:r w:rsidRPr="009954A8">
              <w:rPr>
                <w:rFonts w:ascii="Verdana" w:hAnsi="Verdana" w:cs="Arial"/>
                <w:sz w:val="21"/>
                <w:szCs w:val="21"/>
              </w:rPr>
              <w:t>En el evento en el que el término del periodo de lactancia ya haya terminado, procederá el reconocimiento de los honorarios dejados de percibir hasta la terminación de periodo de lactancia</w:t>
            </w:r>
            <w:r w:rsidRPr="009954A8">
              <w:rPr>
                <w:rStyle w:val="Refdenotaalpie"/>
                <w:rFonts w:ascii="Verdana" w:hAnsi="Verdana" w:cs="Arial"/>
                <w:sz w:val="21"/>
                <w:szCs w:val="21"/>
              </w:rPr>
              <w:footnoteReference w:id="10"/>
            </w:r>
            <w:r w:rsidRPr="009954A8">
              <w:rPr>
                <w:rFonts w:ascii="Verdana" w:hAnsi="Verdana" w:cs="Arial"/>
                <w:sz w:val="21"/>
                <w:szCs w:val="21"/>
              </w:rPr>
              <w:t>.</w:t>
            </w:r>
          </w:p>
          <w:p w14:paraId="68350980" w14:textId="77777777" w:rsidR="007F5F12" w:rsidRPr="009954A8" w:rsidRDefault="007F5F12" w:rsidP="00F3438E">
            <w:pPr>
              <w:pStyle w:val="Sinespaciado"/>
              <w:ind w:right="0"/>
              <w:rPr>
                <w:rFonts w:ascii="Verdana" w:hAnsi="Verdana" w:cs="Arial"/>
                <w:sz w:val="21"/>
                <w:szCs w:val="21"/>
              </w:rPr>
            </w:pPr>
          </w:p>
          <w:p w14:paraId="55BA7354" w14:textId="77777777" w:rsidR="007F5F12" w:rsidRPr="009954A8" w:rsidRDefault="007F5F12" w:rsidP="00F3438E">
            <w:pPr>
              <w:pStyle w:val="Sinespaciado"/>
              <w:keepNext/>
              <w:ind w:right="0"/>
              <w:rPr>
                <w:rFonts w:ascii="Verdana" w:hAnsi="Verdana" w:cs="Arial"/>
                <w:sz w:val="21"/>
                <w:szCs w:val="21"/>
              </w:rPr>
            </w:pPr>
            <w:r w:rsidRPr="009954A8">
              <w:rPr>
                <w:rFonts w:ascii="Verdana" w:hAnsi="Verdana" w:cs="Arial"/>
                <w:sz w:val="21"/>
                <w:szCs w:val="21"/>
              </w:rPr>
              <w:t>En todo caso, el juez deberá estudiar la procedencia de cada una de estas medidas de protección para lo cual tendrá en cuenta las particularidades del caso</w:t>
            </w:r>
            <w:r w:rsidRPr="009954A8">
              <w:rPr>
                <w:rStyle w:val="Refdenotaalpie"/>
                <w:rFonts w:ascii="Verdana" w:hAnsi="Verdana" w:cs="Arial"/>
                <w:sz w:val="21"/>
                <w:szCs w:val="21"/>
              </w:rPr>
              <w:footnoteReference w:id="11"/>
            </w:r>
            <w:r w:rsidRPr="009954A8">
              <w:rPr>
                <w:rFonts w:ascii="Verdana" w:hAnsi="Verdana" w:cs="Arial"/>
                <w:sz w:val="21"/>
                <w:szCs w:val="21"/>
              </w:rPr>
              <w:t>.</w:t>
            </w:r>
          </w:p>
        </w:tc>
      </w:tr>
    </w:tbl>
    <w:p w14:paraId="7C9137BF" w14:textId="77777777" w:rsidR="007F5F12" w:rsidRDefault="007F5F12" w:rsidP="007F5F12">
      <w:pPr>
        <w:pStyle w:val="Descripcin"/>
        <w:spacing w:after="0"/>
        <w:jc w:val="center"/>
        <w:rPr>
          <w:rFonts w:ascii="Verdana" w:hAnsi="Verdana" w:cs="Arial"/>
          <w:i w:val="0"/>
          <w:color w:val="auto"/>
          <w:sz w:val="16"/>
          <w:szCs w:val="16"/>
        </w:rPr>
      </w:pPr>
      <w:r w:rsidRPr="005945E1">
        <w:rPr>
          <w:rFonts w:ascii="Verdana" w:hAnsi="Verdana" w:cs="Arial"/>
          <w:i w:val="0"/>
          <w:color w:val="auto"/>
          <w:sz w:val="16"/>
          <w:szCs w:val="16"/>
        </w:rPr>
        <w:lastRenderedPageBreak/>
        <w:t xml:space="preserve">Tabla: Reglas para la protección de la mujer embarazada en contratos de prestación de servicios. – Tomada de la Sentencia T-329 de 2022. </w:t>
      </w:r>
    </w:p>
    <w:p w14:paraId="4EC4FDAD" w14:textId="77777777" w:rsidR="0088370B" w:rsidRDefault="0088370B" w:rsidP="0088370B"/>
    <w:p w14:paraId="0CF6B08B" w14:textId="77777777" w:rsidR="0088370B" w:rsidRPr="004F1C2D" w:rsidRDefault="0088370B" w:rsidP="0088370B">
      <w:pPr>
        <w:pStyle w:val="Textoindependiente"/>
        <w:spacing w:after="0" w:line="276" w:lineRule="auto"/>
        <w:ind w:right="49" w:firstLine="709"/>
        <w:jc w:val="both"/>
        <w:rPr>
          <w:rFonts w:ascii="Verdana" w:hAnsi="Verdana"/>
        </w:rPr>
      </w:pPr>
      <w:r w:rsidRPr="007B0F93">
        <w:rPr>
          <w:rFonts w:ascii="Verdana" w:hAnsi="Verdana"/>
        </w:rPr>
        <w:t xml:space="preserve">Ahora bien, teniendo en cuenta una de las preguntas formuladas, </w:t>
      </w:r>
      <w:r w:rsidRPr="004F1C2D">
        <w:rPr>
          <w:rFonts w:ascii="Verdana" w:hAnsi="Verdana"/>
        </w:rPr>
        <w:t>resulta necesario referirse a las modificaciones introducidas por la Ley 2306 de 2023 frente a la estabilidad ocupacional reforzada de las mujeres en p</w:t>
      </w:r>
      <w:r w:rsidRPr="007B0F93">
        <w:rPr>
          <w:rFonts w:ascii="Verdana" w:hAnsi="Verdana"/>
        </w:rPr>
        <w:t>eriodo de lactancia. Al respecto, debe señalarse que, el Congreso de la Republica expidió dicha Ley 2306</w:t>
      </w:r>
      <w:r w:rsidRPr="007B0F93" w:rsidDel="00916E7B">
        <w:rPr>
          <w:rFonts w:ascii="Verdana" w:hAnsi="Verdana"/>
        </w:rPr>
        <w:t xml:space="preserve"> </w:t>
      </w:r>
      <w:r w:rsidRPr="007B0F93">
        <w:rPr>
          <w:rFonts w:ascii="Verdana" w:hAnsi="Verdana"/>
        </w:rPr>
        <w:t xml:space="preserve">“Por medio de la cual se promueve la protección de la maternidad y la primera infancia, se crean incentivos y normas para la construcción de áreas que permitan la lactancia materna en el espacio público y se dictan otras disposiciones”. El artículo 6 de la mencionada Ley modificó el artículo </w:t>
      </w:r>
      <w:hyperlink r:id="rId11">
        <w:r w:rsidRPr="007B0F93">
          <w:rPr>
            <w:rFonts w:ascii="Verdana" w:hAnsi="Verdana"/>
          </w:rPr>
          <w:t>238</w:t>
        </w:r>
      </w:hyperlink>
      <w:r w:rsidRPr="007B0F93">
        <w:rPr>
          <w:rFonts w:ascii="Verdana" w:hAnsi="Verdana"/>
        </w:rPr>
        <w:t xml:space="preserve"> del Código Sustantivo del Trabajo quedando este así:</w:t>
      </w:r>
    </w:p>
    <w:p w14:paraId="6EDF6949" w14:textId="77777777" w:rsidR="0088370B" w:rsidRPr="007B0F93" w:rsidRDefault="0088370B" w:rsidP="0088370B">
      <w:pPr>
        <w:pStyle w:val="Textoindependiente"/>
        <w:spacing w:after="0" w:line="276" w:lineRule="auto"/>
        <w:ind w:right="49" w:firstLine="709"/>
        <w:jc w:val="both"/>
        <w:rPr>
          <w:rFonts w:ascii="Verdana" w:hAnsi="Verdana"/>
        </w:rPr>
      </w:pPr>
    </w:p>
    <w:p w14:paraId="0BD6F67B" w14:textId="77777777" w:rsidR="0088370B" w:rsidRPr="00F56F02" w:rsidRDefault="0088370B" w:rsidP="0088370B">
      <w:pPr>
        <w:pStyle w:val="Textoindependiente"/>
        <w:spacing w:after="0" w:line="240" w:lineRule="auto"/>
        <w:ind w:left="709" w:right="709"/>
        <w:jc w:val="both"/>
        <w:rPr>
          <w:rFonts w:ascii="Verdana" w:hAnsi="Verdana"/>
          <w:spacing w:val="-2"/>
          <w:sz w:val="20"/>
          <w:szCs w:val="20"/>
        </w:rPr>
      </w:pPr>
      <w:r w:rsidRPr="00F56F02">
        <w:rPr>
          <w:rFonts w:ascii="Verdana" w:hAnsi="Verdana"/>
          <w:sz w:val="20"/>
          <w:szCs w:val="20"/>
        </w:rPr>
        <w:t>“Artículo</w:t>
      </w:r>
      <w:r w:rsidRPr="00F56F02">
        <w:rPr>
          <w:rFonts w:ascii="Verdana" w:hAnsi="Verdana"/>
          <w:spacing w:val="-16"/>
          <w:sz w:val="20"/>
          <w:szCs w:val="20"/>
        </w:rPr>
        <w:t xml:space="preserve"> </w:t>
      </w:r>
      <w:r w:rsidRPr="00F56F02">
        <w:rPr>
          <w:rFonts w:ascii="Verdana" w:hAnsi="Verdana"/>
          <w:sz w:val="20"/>
          <w:szCs w:val="20"/>
        </w:rPr>
        <w:t>238.</w:t>
      </w:r>
      <w:r w:rsidRPr="00F56F02">
        <w:rPr>
          <w:rFonts w:ascii="Verdana" w:hAnsi="Verdana"/>
          <w:spacing w:val="-15"/>
          <w:sz w:val="20"/>
          <w:szCs w:val="20"/>
        </w:rPr>
        <w:t xml:space="preserve"> </w:t>
      </w:r>
      <w:r w:rsidRPr="00F56F02">
        <w:rPr>
          <w:rFonts w:ascii="Verdana" w:hAnsi="Verdana"/>
          <w:sz w:val="20"/>
          <w:szCs w:val="20"/>
        </w:rPr>
        <w:t>Descanso</w:t>
      </w:r>
      <w:r w:rsidRPr="00F56F02">
        <w:rPr>
          <w:rFonts w:ascii="Verdana" w:hAnsi="Verdana"/>
          <w:spacing w:val="-16"/>
          <w:sz w:val="20"/>
          <w:szCs w:val="20"/>
        </w:rPr>
        <w:t xml:space="preserve"> </w:t>
      </w:r>
      <w:r w:rsidRPr="00F56F02">
        <w:rPr>
          <w:rFonts w:ascii="Verdana" w:hAnsi="Verdana"/>
          <w:sz w:val="20"/>
          <w:szCs w:val="20"/>
        </w:rPr>
        <w:t>remunerado</w:t>
      </w:r>
      <w:r w:rsidRPr="00F56F02">
        <w:rPr>
          <w:rFonts w:ascii="Verdana" w:hAnsi="Verdana"/>
          <w:spacing w:val="-15"/>
          <w:sz w:val="20"/>
          <w:szCs w:val="20"/>
        </w:rPr>
        <w:t xml:space="preserve"> </w:t>
      </w:r>
      <w:r w:rsidRPr="00F56F02">
        <w:rPr>
          <w:rFonts w:ascii="Verdana" w:hAnsi="Verdana"/>
          <w:sz w:val="20"/>
          <w:szCs w:val="20"/>
        </w:rPr>
        <w:t>durante</w:t>
      </w:r>
      <w:r w:rsidRPr="00F56F02">
        <w:rPr>
          <w:rFonts w:ascii="Verdana" w:hAnsi="Verdana"/>
          <w:spacing w:val="-16"/>
          <w:sz w:val="20"/>
          <w:szCs w:val="20"/>
        </w:rPr>
        <w:t xml:space="preserve"> </w:t>
      </w:r>
      <w:r w:rsidRPr="00F56F02">
        <w:rPr>
          <w:rFonts w:ascii="Verdana" w:hAnsi="Verdana"/>
          <w:sz w:val="20"/>
          <w:szCs w:val="20"/>
        </w:rPr>
        <w:t>la</w:t>
      </w:r>
      <w:r w:rsidRPr="00F56F02">
        <w:rPr>
          <w:rFonts w:ascii="Verdana" w:hAnsi="Verdana"/>
          <w:spacing w:val="-15"/>
          <w:sz w:val="20"/>
          <w:szCs w:val="20"/>
        </w:rPr>
        <w:t xml:space="preserve"> </w:t>
      </w:r>
      <w:r w:rsidRPr="00F56F02">
        <w:rPr>
          <w:rFonts w:ascii="Verdana" w:hAnsi="Verdana"/>
          <w:spacing w:val="-2"/>
          <w:sz w:val="20"/>
          <w:szCs w:val="20"/>
        </w:rPr>
        <w:t>lactancia.</w:t>
      </w:r>
    </w:p>
    <w:p w14:paraId="50BA81F5" w14:textId="77777777" w:rsidR="0088370B" w:rsidRPr="00F56F02" w:rsidRDefault="0088370B" w:rsidP="0088370B">
      <w:pPr>
        <w:pStyle w:val="Textoindependiente"/>
        <w:spacing w:after="0" w:line="240" w:lineRule="auto"/>
        <w:ind w:left="709" w:right="709"/>
        <w:jc w:val="both"/>
        <w:rPr>
          <w:rFonts w:ascii="Verdana" w:hAnsi="Verdana"/>
          <w:sz w:val="20"/>
          <w:szCs w:val="20"/>
        </w:rPr>
      </w:pPr>
    </w:p>
    <w:p w14:paraId="1E187377" w14:textId="77777777" w:rsidR="0088370B" w:rsidRPr="00F56F02" w:rsidRDefault="0088370B" w:rsidP="0088370B">
      <w:pPr>
        <w:pStyle w:val="Prrafodelista"/>
        <w:widowControl w:val="0"/>
        <w:numPr>
          <w:ilvl w:val="0"/>
          <w:numId w:val="18"/>
        </w:numPr>
        <w:tabs>
          <w:tab w:val="left" w:pos="1167"/>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 xml:space="preserve">El empleador está en la obligación de conceder a la trabajadora dos (2) descansos, de treinta (30) minutos cada uno, dentro de la jornada para </w:t>
      </w:r>
      <w:r w:rsidRPr="00F56F02">
        <w:rPr>
          <w:rFonts w:ascii="Verdana" w:hAnsi="Verdana"/>
          <w:spacing w:val="-2"/>
          <w:sz w:val="20"/>
          <w:szCs w:val="20"/>
        </w:rPr>
        <w:t>amamantar</w:t>
      </w:r>
      <w:r w:rsidRPr="00F56F02">
        <w:rPr>
          <w:rFonts w:ascii="Verdana" w:hAnsi="Verdana"/>
          <w:spacing w:val="-9"/>
          <w:sz w:val="20"/>
          <w:szCs w:val="20"/>
        </w:rPr>
        <w:t xml:space="preserve"> </w:t>
      </w:r>
      <w:r w:rsidRPr="00F56F02">
        <w:rPr>
          <w:rFonts w:ascii="Verdana" w:hAnsi="Verdana"/>
          <w:spacing w:val="-2"/>
          <w:sz w:val="20"/>
          <w:szCs w:val="20"/>
        </w:rPr>
        <w:t>a</w:t>
      </w:r>
      <w:r w:rsidRPr="00F56F02">
        <w:rPr>
          <w:rFonts w:ascii="Verdana" w:hAnsi="Verdana"/>
          <w:spacing w:val="-12"/>
          <w:sz w:val="20"/>
          <w:szCs w:val="20"/>
        </w:rPr>
        <w:t xml:space="preserve"> </w:t>
      </w:r>
      <w:r w:rsidRPr="00F56F02">
        <w:rPr>
          <w:rFonts w:ascii="Verdana" w:hAnsi="Verdana"/>
          <w:spacing w:val="-2"/>
          <w:sz w:val="20"/>
          <w:szCs w:val="20"/>
        </w:rPr>
        <w:t>su</w:t>
      </w:r>
      <w:r w:rsidRPr="00F56F02">
        <w:rPr>
          <w:rFonts w:ascii="Verdana" w:hAnsi="Verdana"/>
          <w:spacing w:val="-11"/>
          <w:sz w:val="20"/>
          <w:szCs w:val="20"/>
        </w:rPr>
        <w:t xml:space="preserve"> </w:t>
      </w:r>
      <w:r w:rsidRPr="00F56F02">
        <w:rPr>
          <w:rFonts w:ascii="Verdana" w:hAnsi="Verdana"/>
          <w:spacing w:val="-2"/>
          <w:sz w:val="20"/>
          <w:szCs w:val="20"/>
        </w:rPr>
        <w:t>hijo,</w:t>
      </w:r>
      <w:r w:rsidRPr="00F56F02">
        <w:rPr>
          <w:rFonts w:ascii="Verdana" w:hAnsi="Verdana"/>
          <w:spacing w:val="-11"/>
          <w:sz w:val="20"/>
          <w:szCs w:val="20"/>
        </w:rPr>
        <w:t xml:space="preserve"> </w:t>
      </w:r>
      <w:r w:rsidRPr="00F56F02">
        <w:rPr>
          <w:rFonts w:ascii="Verdana" w:hAnsi="Verdana"/>
          <w:spacing w:val="-2"/>
          <w:sz w:val="20"/>
          <w:szCs w:val="20"/>
        </w:rPr>
        <w:t>sin</w:t>
      </w:r>
      <w:r w:rsidRPr="00F56F02">
        <w:rPr>
          <w:rFonts w:ascii="Verdana" w:hAnsi="Verdana"/>
          <w:spacing w:val="-11"/>
          <w:sz w:val="20"/>
          <w:szCs w:val="20"/>
        </w:rPr>
        <w:t xml:space="preserve"> </w:t>
      </w:r>
      <w:r w:rsidRPr="00F56F02">
        <w:rPr>
          <w:rFonts w:ascii="Verdana" w:hAnsi="Verdana"/>
          <w:spacing w:val="-2"/>
          <w:sz w:val="20"/>
          <w:szCs w:val="20"/>
        </w:rPr>
        <w:t>descuento</w:t>
      </w:r>
      <w:r w:rsidRPr="00F56F02">
        <w:rPr>
          <w:rFonts w:ascii="Verdana" w:hAnsi="Verdana"/>
          <w:spacing w:val="-9"/>
          <w:sz w:val="20"/>
          <w:szCs w:val="20"/>
        </w:rPr>
        <w:t xml:space="preserve"> </w:t>
      </w:r>
      <w:r w:rsidRPr="00F56F02">
        <w:rPr>
          <w:rFonts w:ascii="Verdana" w:hAnsi="Verdana"/>
          <w:spacing w:val="-2"/>
          <w:sz w:val="20"/>
          <w:szCs w:val="20"/>
        </w:rPr>
        <w:t>alguno</w:t>
      </w:r>
      <w:r w:rsidRPr="00F56F02">
        <w:rPr>
          <w:rFonts w:ascii="Verdana" w:hAnsi="Verdana"/>
          <w:spacing w:val="-10"/>
          <w:sz w:val="20"/>
          <w:szCs w:val="20"/>
        </w:rPr>
        <w:t xml:space="preserve"> </w:t>
      </w:r>
      <w:r w:rsidRPr="00F56F02">
        <w:rPr>
          <w:rFonts w:ascii="Verdana" w:hAnsi="Verdana"/>
          <w:spacing w:val="-2"/>
          <w:sz w:val="20"/>
          <w:szCs w:val="20"/>
        </w:rPr>
        <w:t>en</w:t>
      </w:r>
      <w:r w:rsidRPr="00F56F02">
        <w:rPr>
          <w:rFonts w:ascii="Verdana" w:hAnsi="Verdana"/>
          <w:spacing w:val="-11"/>
          <w:sz w:val="20"/>
          <w:szCs w:val="20"/>
        </w:rPr>
        <w:t xml:space="preserve"> </w:t>
      </w:r>
      <w:r w:rsidRPr="00F56F02">
        <w:rPr>
          <w:rFonts w:ascii="Verdana" w:hAnsi="Verdana"/>
          <w:spacing w:val="-2"/>
          <w:sz w:val="20"/>
          <w:szCs w:val="20"/>
        </w:rPr>
        <w:t>el</w:t>
      </w:r>
      <w:r w:rsidRPr="00F56F02">
        <w:rPr>
          <w:rFonts w:ascii="Verdana" w:hAnsi="Verdana"/>
          <w:spacing w:val="-11"/>
          <w:sz w:val="20"/>
          <w:szCs w:val="20"/>
        </w:rPr>
        <w:t xml:space="preserve"> </w:t>
      </w:r>
      <w:r w:rsidRPr="00F56F02">
        <w:rPr>
          <w:rFonts w:ascii="Verdana" w:hAnsi="Verdana"/>
          <w:spacing w:val="-2"/>
          <w:sz w:val="20"/>
          <w:szCs w:val="20"/>
        </w:rPr>
        <w:t>salario</w:t>
      </w:r>
      <w:r w:rsidRPr="00F56F02">
        <w:rPr>
          <w:rFonts w:ascii="Verdana" w:hAnsi="Verdana"/>
          <w:spacing w:val="-10"/>
          <w:sz w:val="20"/>
          <w:szCs w:val="20"/>
        </w:rPr>
        <w:t xml:space="preserve"> </w:t>
      </w:r>
      <w:r w:rsidRPr="00F56F02">
        <w:rPr>
          <w:rFonts w:ascii="Verdana" w:hAnsi="Verdana"/>
          <w:spacing w:val="-2"/>
          <w:sz w:val="20"/>
          <w:szCs w:val="20"/>
        </w:rPr>
        <w:t>por</w:t>
      </w:r>
      <w:r w:rsidRPr="00F56F02">
        <w:rPr>
          <w:rFonts w:ascii="Verdana" w:hAnsi="Verdana"/>
          <w:spacing w:val="-11"/>
          <w:sz w:val="20"/>
          <w:szCs w:val="20"/>
        </w:rPr>
        <w:t xml:space="preserve"> </w:t>
      </w:r>
      <w:r w:rsidRPr="00F56F02">
        <w:rPr>
          <w:rFonts w:ascii="Verdana" w:hAnsi="Verdana"/>
          <w:spacing w:val="-2"/>
          <w:sz w:val="20"/>
          <w:szCs w:val="20"/>
        </w:rPr>
        <w:t>dicho</w:t>
      </w:r>
      <w:r w:rsidRPr="00F56F02">
        <w:rPr>
          <w:rFonts w:ascii="Verdana" w:hAnsi="Verdana"/>
          <w:spacing w:val="-10"/>
          <w:sz w:val="20"/>
          <w:szCs w:val="20"/>
        </w:rPr>
        <w:t xml:space="preserve"> </w:t>
      </w:r>
      <w:r w:rsidRPr="00F56F02">
        <w:rPr>
          <w:rFonts w:ascii="Verdana" w:hAnsi="Verdana"/>
          <w:spacing w:val="-2"/>
          <w:sz w:val="20"/>
          <w:szCs w:val="20"/>
        </w:rPr>
        <w:t xml:space="preserve">concepto, </w:t>
      </w:r>
      <w:r w:rsidRPr="00F56F02">
        <w:rPr>
          <w:rFonts w:ascii="Verdana" w:hAnsi="Verdana"/>
          <w:sz w:val="20"/>
          <w:szCs w:val="20"/>
        </w:rPr>
        <w:t>durante los primeros seis (6) meses de edad, y una vez cumplido este</w:t>
      </w:r>
      <w:r w:rsidRPr="00F56F02">
        <w:rPr>
          <w:rFonts w:ascii="Verdana" w:hAnsi="Verdana"/>
          <w:spacing w:val="80"/>
          <w:sz w:val="20"/>
          <w:szCs w:val="20"/>
        </w:rPr>
        <w:t xml:space="preserve"> </w:t>
      </w:r>
      <w:r w:rsidRPr="00F56F02">
        <w:rPr>
          <w:rFonts w:ascii="Verdana" w:hAnsi="Verdana"/>
          <w:sz w:val="20"/>
          <w:szCs w:val="20"/>
        </w:rPr>
        <w:t>periodo, un (1) descanso de treinta (30) minutos en los mismos términos hasta</w:t>
      </w:r>
      <w:r w:rsidRPr="00F56F02">
        <w:rPr>
          <w:rFonts w:ascii="Verdana" w:hAnsi="Verdana"/>
          <w:spacing w:val="-9"/>
          <w:sz w:val="20"/>
          <w:szCs w:val="20"/>
        </w:rPr>
        <w:t xml:space="preserve"> </w:t>
      </w:r>
      <w:r w:rsidRPr="00F56F02">
        <w:rPr>
          <w:rFonts w:ascii="Verdana" w:hAnsi="Verdana"/>
          <w:sz w:val="20"/>
          <w:szCs w:val="20"/>
        </w:rPr>
        <w:t>los</w:t>
      </w:r>
      <w:r w:rsidRPr="00F56F02">
        <w:rPr>
          <w:rFonts w:ascii="Verdana" w:hAnsi="Verdana"/>
          <w:spacing w:val="-9"/>
          <w:sz w:val="20"/>
          <w:szCs w:val="20"/>
        </w:rPr>
        <w:t xml:space="preserve"> </w:t>
      </w:r>
      <w:r w:rsidRPr="00F56F02">
        <w:rPr>
          <w:rFonts w:ascii="Verdana" w:hAnsi="Verdana"/>
          <w:sz w:val="20"/>
          <w:szCs w:val="20"/>
        </w:rPr>
        <w:t>dos</w:t>
      </w:r>
      <w:r w:rsidRPr="00F56F02">
        <w:rPr>
          <w:rFonts w:ascii="Verdana" w:hAnsi="Verdana"/>
          <w:spacing w:val="-9"/>
          <w:sz w:val="20"/>
          <w:szCs w:val="20"/>
        </w:rPr>
        <w:t xml:space="preserve"> </w:t>
      </w:r>
      <w:r w:rsidRPr="00F56F02">
        <w:rPr>
          <w:rFonts w:ascii="Verdana" w:hAnsi="Verdana"/>
          <w:sz w:val="20"/>
          <w:szCs w:val="20"/>
        </w:rPr>
        <w:t>(2)</w:t>
      </w:r>
      <w:r w:rsidRPr="00F56F02">
        <w:rPr>
          <w:rFonts w:ascii="Verdana" w:hAnsi="Verdana"/>
          <w:spacing w:val="-9"/>
          <w:sz w:val="20"/>
          <w:szCs w:val="20"/>
        </w:rPr>
        <w:t xml:space="preserve"> </w:t>
      </w:r>
      <w:proofErr w:type="gramStart"/>
      <w:r w:rsidRPr="00F56F02">
        <w:rPr>
          <w:rFonts w:ascii="Verdana" w:hAnsi="Verdana"/>
          <w:sz w:val="20"/>
          <w:szCs w:val="20"/>
        </w:rPr>
        <w:t>años</w:t>
      </w:r>
      <w:r w:rsidRPr="00F56F02">
        <w:rPr>
          <w:rFonts w:ascii="Verdana" w:hAnsi="Verdana"/>
          <w:spacing w:val="-9"/>
          <w:sz w:val="20"/>
          <w:szCs w:val="20"/>
        </w:rPr>
        <w:t xml:space="preserve"> </w:t>
      </w:r>
      <w:r w:rsidRPr="00F56F02">
        <w:rPr>
          <w:rFonts w:ascii="Verdana" w:hAnsi="Verdana"/>
          <w:sz w:val="20"/>
          <w:szCs w:val="20"/>
        </w:rPr>
        <w:t>de</w:t>
      </w:r>
      <w:r w:rsidRPr="00F56F02">
        <w:rPr>
          <w:rFonts w:ascii="Verdana" w:hAnsi="Verdana"/>
          <w:spacing w:val="-10"/>
          <w:sz w:val="20"/>
          <w:szCs w:val="20"/>
        </w:rPr>
        <w:t xml:space="preserve"> </w:t>
      </w:r>
      <w:r w:rsidRPr="00F56F02">
        <w:rPr>
          <w:rFonts w:ascii="Verdana" w:hAnsi="Verdana"/>
          <w:sz w:val="20"/>
          <w:szCs w:val="20"/>
        </w:rPr>
        <w:t>edad</w:t>
      </w:r>
      <w:proofErr w:type="gramEnd"/>
      <w:r w:rsidRPr="00F56F02">
        <w:rPr>
          <w:rFonts w:ascii="Verdana" w:hAnsi="Verdana"/>
          <w:spacing w:val="-9"/>
          <w:sz w:val="20"/>
          <w:szCs w:val="20"/>
        </w:rPr>
        <w:t xml:space="preserve"> </w:t>
      </w:r>
      <w:r w:rsidRPr="00F56F02">
        <w:rPr>
          <w:rFonts w:ascii="Verdana" w:hAnsi="Verdana"/>
          <w:sz w:val="20"/>
          <w:szCs w:val="20"/>
        </w:rPr>
        <w:t>de/</w:t>
      </w:r>
      <w:r w:rsidRPr="00F56F02">
        <w:rPr>
          <w:rFonts w:ascii="Verdana" w:hAnsi="Verdana"/>
          <w:spacing w:val="-9"/>
          <w:sz w:val="20"/>
          <w:szCs w:val="20"/>
        </w:rPr>
        <w:t xml:space="preserve"> </w:t>
      </w:r>
      <w:r w:rsidRPr="00F56F02">
        <w:rPr>
          <w:rFonts w:ascii="Verdana" w:hAnsi="Verdana"/>
          <w:sz w:val="20"/>
          <w:szCs w:val="20"/>
        </w:rPr>
        <w:t>menor:</w:t>
      </w:r>
      <w:r w:rsidRPr="00F56F02">
        <w:rPr>
          <w:rFonts w:ascii="Verdana" w:hAnsi="Verdana"/>
          <w:spacing w:val="-9"/>
          <w:sz w:val="20"/>
          <w:szCs w:val="20"/>
        </w:rPr>
        <w:t xml:space="preserve"> </w:t>
      </w:r>
      <w:r w:rsidRPr="00F56F02">
        <w:rPr>
          <w:rFonts w:ascii="Verdana" w:hAnsi="Verdana"/>
          <w:sz w:val="20"/>
          <w:szCs w:val="20"/>
        </w:rPr>
        <w:t>siempre</w:t>
      </w:r>
      <w:r w:rsidRPr="00F56F02">
        <w:rPr>
          <w:rFonts w:ascii="Verdana" w:hAnsi="Verdana"/>
          <w:spacing w:val="-8"/>
          <w:sz w:val="20"/>
          <w:szCs w:val="20"/>
        </w:rPr>
        <w:t xml:space="preserve"> </w:t>
      </w:r>
      <w:r w:rsidRPr="00F56F02">
        <w:rPr>
          <w:rFonts w:ascii="Verdana" w:hAnsi="Verdana"/>
          <w:sz w:val="20"/>
          <w:szCs w:val="20"/>
        </w:rPr>
        <w:t>y</w:t>
      </w:r>
      <w:r w:rsidRPr="00F56F02">
        <w:rPr>
          <w:rFonts w:ascii="Verdana" w:hAnsi="Verdana"/>
          <w:spacing w:val="-10"/>
          <w:sz w:val="20"/>
          <w:szCs w:val="20"/>
        </w:rPr>
        <w:t xml:space="preserve"> </w:t>
      </w:r>
      <w:r w:rsidRPr="00F56F02">
        <w:rPr>
          <w:rFonts w:ascii="Verdana" w:hAnsi="Verdana"/>
          <w:sz w:val="20"/>
          <w:szCs w:val="20"/>
        </w:rPr>
        <w:t>cuando</w:t>
      </w:r>
      <w:r w:rsidRPr="00F56F02">
        <w:rPr>
          <w:rFonts w:ascii="Verdana" w:hAnsi="Verdana"/>
          <w:spacing w:val="-8"/>
          <w:sz w:val="20"/>
          <w:szCs w:val="20"/>
        </w:rPr>
        <w:t xml:space="preserve"> </w:t>
      </w:r>
      <w:r w:rsidRPr="00F56F02">
        <w:rPr>
          <w:rFonts w:ascii="Verdana" w:hAnsi="Verdana"/>
          <w:sz w:val="20"/>
          <w:szCs w:val="20"/>
        </w:rPr>
        <w:t>se</w:t>
      </w:r>
      <w:r w:rsidRPr="00F56F02">
        <w:rPr>
          <w:rFonts w:ascii="Verdana" w:hAnsi="Verdana"/>
          <w:spacing w:val="-9"/>
          <w:sz w:val="20"/>
          <w:szCs w:val="20"/>
        </w:rPr>
        <w:t xml:space="preserve"> </w:t>
      </w:r>
      <w:r w:rsidRPr="00F56F02">
        <w:rPr>
          <w:rFonts w:ascii="Verdana" w:hAnsi="Verdana"/>
          <w:sz w:val="20"/>
          <w:szCs w:val="20"/>
        </w:rPr>
        <w:t>mantenga y manifieste una adecuada lactancia materno-continua.</w:t>
      </w:r>
    </w:p>
    <w:p w14:paraId="2B125F71" w14:textId="77777777" w:rsidR="0088370B" w:rsidRPr="00F56F02" w:rsidRDefault="0088370B" w:rsidP="0088370B">
      <w:pPr>
        <w:pStyle w:val="Prrafodelista"/>
        <w:widowControl w:val="0"/>
        <w:tabs>
          <w:tab w:val="left" w:pos="1167"/>
        </w:tabs>
        <w:autoSpaceDE w:val="0"/>
        <w:autoSpaceDN w:val="0"/>
        <w:spacing w:after="0" w:line="240" w:lineRule="auto"/>
        <w:ind w:left="709" w:right="709"/>
        <w:jc w:val="both"/>
        <w:rPr>
          <w:rFonts w:ascii="Verdana" w:hAnsi="Verdana"/>
          <w:sz w:val="20"/>
          <w:szCs w:val="20"/>
        </w:rPr>
      </w:pPr>
    </w:p>
    <w:p w14:paraId="7AE44944" w14:textId="77777777" w:rsidR="0088370B" w:rsidRPr="00F56F02" w:rsidRDefault="0088370B" w:rsidP="0088370B">
      <w:pPr>
        <w:pStyle w:val="Prrafodelista"/>
        <w:widowControl w:val="0"/>
        <w:numPr>
          <w:ilvl w:val="0"/>
          <w:numId w:val="18"/>
        </w:numPr>
        <w:tabs>
          <w:tab w:val="left" w:pos="1241"/>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El</w:t>
      </w:r>
      <w:r w:rsidRPr="00F56F02">
        <w:rPr>
          <w:rFonts w:ascii="Verdana" w:hAnsi="Verdana"/>
          <w:spacing w:val="-2"/>
          <w:sz w:val="20"/>
          <w:szCs w:val="20"/>
        </w:rPr>
        <w:t xml:space="preserve"> </w:t>
      </w:r>
      <w:r w:rsidRPr="00F56F02">
        <w:rPr>
          <w:rFonts w:ascii="Verdana" w:hAnsi="Verdana"/>
          <w:sz w:val="20"/>
          <w:szCs w:val="20"/>
        </w:rPr>
        <w:t>empleador está</w:t>
      </w:r>
      <w:r w:rsidRPr="00F56F02">
        <w:rPr>
          <w:rFonts w:ascii="Verdana" w:hAnsi="Verdana"/>
          <w:spacing w:val="-1"/>
          <w:sz w:val="20"/>
          <w:szCs w:val="20"/>
        </w:rPr>
        <w:t xml:space="preserve"> </w:t>
      </w:r>
      <w:r w:rsidRPr="00F56F02">
        <w:rPr>
          <w:rFonts w:ascii="Verdana" w:hAnsi="Verdana"/>
          <w:sz w:val="20"/>
          <w:szCs w:val="20"/>
        </w:rPr>
        <w:t>en</w:t>
      </w:r>
      <w:r w:rsidRPr="00F56F02">
        <w:rPr>
          <w:rFonts w:ascii="Verdana" w:hAnsi="Verdana"/>
          <w:spacing w:val="-2"/>
          <w:sz w:val="20"/>
          <w:szCs w:val="20"/>
        </w:rPr>
        <w:t xml:space="preserve"> </w:t>
      </w:r>
      <w:r w:rsidRPr="00F56F02">
        <w:rPr>
          <w:rFonts w:ascii="Verdana" w:hAnsi="Verdana"/>
          <w:sz w:val="20"/>
          <w:szCs w:val="20"/>
        </w:rPr>
        <w:t>la</w:t>
      </w:r>
      <w:r w:rsidRPr="00F56F02">
        <w:rPr>
          <w:rFonts w:ascii="Verdana" w:hAnsi="Verdana"/>
          <w:spacing w:val="-2"/>
          <w:sz w:val="20"/>
          <w:szCs w:val="20"/>
        </w:rPr>
        <w:t xml:space="preserve"> </w:t>
      </w:r>
      <w:r w:rsidRPr="00F56F02">
        <w:rPr>
          <w:rFonts w:ascii="Verdana" w:hAnsi="Verdana"/>
          <w:sz w:val="20"/>
          <w:szCs w:val="20"/>
        </w:rPr>
        <w:t>obligación de</w:t>
      </w:r>
      <w:r w:rsidRPr="00F56F02">
        <w:rPr>
          <w:rFonts w:ascii="Verdana" w:hAnsi="Verdana"/>
          <w:spacing w:val="-2"/>
          <w:sz w:val="20"/>
          <w:szCs w:val="20"/>
        </w:rPr>
        <w:t xml:space="preserve"> </w:t>
      </w:r>
      <w:r w:rsidRPr="00F56F02">
        <w:rPr>
          <w:rFonts w:ascii="Verdana" w:hAnsi="Verdana"/>
          <w:sz w:val="20"/>
          <w:szCs w:val="20"/>
        </w:rPr>
        <w:t>conceder más</w:t>
      </w:r>
      <w:r w:rsidRPr="00F56F02">
        <w:rPr>
          <w:rFonts w:ascii="Verdana" w:hAnsi="Verdana"/>
          <w:spacing w:val="-2"/>
          <w:sz w:val="20"/>
          <w:szCs w:val="20"/>
        </w:rPr>
        <w:t xml:space="preserve"> </w:t>
      </w:r>
      <w:r w:rsidRPr="00F56F02">
        <w:rPr>
          <w:rFonts w:ascii="Verdana" w:hAnsi="Verdana"/>
          <w:sz w:val="20"/>
          <w:szCs w:val="20"/>
        </w:rPr>
        <w:t>descansos que</w:t>
      </w:r>
      <w:r w:rsidRPr="00F56F02">
        <w:rPr>
          <w:rFonts w:ascii="Verdana" w:hAnsi="Verdana"/>
          <w:spacing w:val="-2"/>
          <w:sz w:val="20"/>
          <w:szCs w:val="20"/>
        </w:rPr>
        <w:t xml:space="preserve"> </w:t>
      </w:r>
      <w:r w:rsidRPr="00F56F02">
        <w:rPr>
          <w:rFonts w:ascii="Verdana" w:hAnsi="Verdana"/>
          <w:sz w:val="20"/>
          <w:szCs w:val="20"/>
        </w:rPr>
        <w:t>los establecidos en el inciso anterior si lo trabajadora presenta certificado médico en el cual se expongan las razones que justifiquen ese mayor número de descansos.</w:t>
      </w:r>
    </w:p>
    <w:p w14:paraId="22DBA007" w14:textId="77777777" w:rsidR="0088370B" w:rsidRPr="00F56F02" w:rsidRDefault="0088370B" w:rsidP="0088370B">
      <w:pPr>
        <w:pStyle w:val="Textoindependiente"/>
        <w:spacing w:after="0" w:line="240" w:lineRule="auto"/>
        <w:ind w:left="709" w:right="709"/>
        <w:jc w:val="both"/>
        <w:rPr>
          <w:rFonts w:ascii="Verdana" w:hAnsi="Verdana"/>
          <w:sz w:val="20"/>
          <w:szCs w:val="20"/>
        </w:rPr>
      </w:pPr>
    </w:p>
    <w:p w14:paraId="5E96FCCA" w14:textId="77777777" w:rsidR="0088370B" w:rsidRPr="00F56F02" w:rsidRDefault="0088370B" w:rsidP="0088370B">
      <w:pPr>
        <w:pStyle w:val="Prrafodelista"/>
        <w:widowControl w:val="0"/>
        <w:numPr>
          <w:ilvl w:val="0"/>
          <w:numId w:val="18"/>
        </w:numPr>
        <w:tabs>
          <w:tab w:val="left" w:pos="1247"/>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Para dar cumplimiento a la obligación consagrada en este artículo, los empleadores deben establecer en un local contiguo a aquel en donde la mujer</w:t>
      </w:r>
      <w:r w:rsidRPr="00F56F02">
        <w:rPr>
          <w:rFonts w:ascii="Verdana" w:hAnsi="Verdana"/>
          <w:spacing w:val="-4"/>
          <w:sz w:val="20"/>
          <w:szCs w:val="20"/>
        </w:rPr>
        <w:t xml:space="preserve"> </w:t>
      </w:r>
      <w:r w:rsidRPr="00F56F02">
        <w:rPr>
          <w:rFonts w:ascii="Verdana" w:hAnsi="Verdana"/>
          <w:sz w:val="20"/>
          <w:szCs w:val="20"/>
        </w:rPr>
        <w:t>trabaja,</w:t>
      </w:r>
      <w:r w:rsidRPr="00F56F02">
        <w:rPr>
          <w:rFonts w:ascii="Verdana" w:hAnsi="Verdana"/>
          <w:spacing w:val="-3"/>
          <w:sz w:val="20"/>
          <w:szCs w:val="20"/>
        </w:rPr>
        <w:t xml:space="preserve"> </w:t>
      </w:r>
      <w:r w:rsidRPr="00F56F02">
        <w:rPr>
          <w:rFonts w:ascii="Verdana" w:hAnsi="Verdana"/>
          <w:sz w:val="20"/>
          <w:szCs w:val="20"/>
        </w:rPr>
        <w:t>una</w:t>
      </w:r>
      <w:r w:rsidRPr="00F56F02">
        <w:rPr>
          <w:rFonts w:ascii="Verdana" w:hAnsi="Verdana"/>
          <w:spacing w:val="-5"/>
          <w:sz w:val="20"/>
          <w:szCs w:val="20"/>
        </w:rPr>
        <w:t xml:space="preserve"> </w:t>
      </w:r>
      <w:r w:rsidRPr="00F56F02">
        <w:rPr>
          <w:rFonts w:ascii="Verdana" w:hAnsi="Verdana"/>
          <w:sz w:val="20"/>
          <w:szCs w:val="20"/>
        </w:rPr>
        <w:t>sala</w:t>
      </w:r>
      <w:r w:rsidRPr="00F56F02">
        <w:rPr>
          <w:rFonts w:ascii="Verdana" w:hAnsi="Verdana"/>
          <w:spacing w:val="-5"/>
          <w:sz w:val="20"/>
          <w:szCs w:val="20"/>
        </w:rPr>
        <w:t xml:space="preserve"> </w:t>
      </w:r>
      <w:r w:rsidRPr="00F56F02">
        <w:rPr>
          <w:rFonts w:ascii="Verdana" w:hAnsi="Verdana"/>
          <w:sz w:val="20"/>
          <w:szCs w:val="20"/>
        </w:rPr>
        <w:t>de</w:t>
      </w:r>
      <w:r w:rsidRPr="00F56F02">
        <w:rPr>
          <w:rFonts w:ascii="Verdana" w:hAnsi="Verdana"/>
          <w:spacing w:val="-5"/>
          <w:sz w:val="20"/>
          <w:szCs w:val="20"/>
        </w:rPr>
        <w:t xml:space="preserve"> </w:t>
      </w:r>
      <w:r w:rsidRPr="00F56F02">
        <w:rPr>
          <w:rFonts w:ascii="Verdana" w:hAnsi="Verdana"/>
          <w:sz w:val="20"/>
          <w:szCs w:val="20"/>
        </w:rPr>
        <w:t>lactancia</w:t>
      </w:r>
      <w:r w:rsidRPr="00F56F02">
        <w:rPr>
          <w:rFonts w:ascii="Verdana" w:hAnsi="Verdana"/>
          <w:spacing w:val="-3"/>
          <w:sz w:val="20"/>
          <w:szCs w:val="20"/>
        </w:rPr>
        <w:t xml:space="preserve"> </w:t>
      </w:r>
      <w:r w:rsidRPr="00F56F02">
        <w:rPr>
          <w:rFonts w:ascii="Verdana" w:hAnsi="Verdana"/>
          <w:sz w:val="20"/>
          <w:szCs w:val="20"/>
        </w:rPr>
        <w:t>o</w:t>
      </w:r>
      <w:r w:rsidRPr="00F56F02">
        <w:rPr>
          <w:rFonts w:ascii="Verdana" w:hAnsi="Verdana"/>
          <w:spacing w:val="-6"/>
          <w:sz w:val="20"/>
          <w:szCs w:val="20"/>
        </w:rPr>
        <w:t xml:space="preserve"> </w:t>
      </w:r>
      <w:r w:rsidRPr="00F56F02">
        <w:rPr>
          <w:rFonts w:ascii="Verdana" w:hAnsi="Verdana"/>
          <w:sz w:val="20"/>
          <w:szCs w:val="20"/>
        </w:rPr>
        <w:t>un</w:t>
      </w:r>
      <w:r w:rsidRPr="00F56F02">
        <w:rPr>
          <w:rFonts w:ascii="Verdana" w:hAnsi="Verdana"/>
          <w:spacing w:val="-5"/>
          <w:sz w:val="20"/>
          <w:szCs w:val="20"/>
        </w:rPr>
        <w:t xml:space="preserve"> </w:t>
      </w:r>
      <w:r w:rsidRPr="00F56F02">
        <w:rPr>
          <w:rFonts w:ascii="Verdana" w:hAnsi="Verdana"/>
          <w:sz w:val="20"/>
          <w:szCs w:val="20"/>
        </w:rPr>
        <w:t>lugar</w:t>
      </w:r>
      <w:r w:rsidRPr="00F56F02">
        <w:rPr>
          <w:rFonts w:ascii="Verdana" w:hAnsi="Verdana"/>
          <w:spacing w:val="-4"/>
          <w:sz w:val="20"/>
          <w:szCs w:val="20"/>
        </w:rPr>
        <w:t xml:space="preserve"> </w:t>
      </w:r>
      <w:r w:rsidRPr="00F56F02">
        <w:rPr>
          <w:rFonts w:ascii="Verdana" w:hAnsi="Verdana"/>
          <w:sz w:val="20"/>
          <w:szCs w:val="20"/>
        </w:rPr>
        <w:t>apropiado</w:t>
      </w:r>
      <w:r w:rsidRPr="00F56F02">
        <w:rPr>
          <w:rFonts w:ascii="Verdana" w:hAnsi="Verdana"/>
          <w:spacing w:val="-3"/>
          <w:sz w:val="20"/>
          <w:szCs w:val="20"/>
        </w:rPr>
        <w:t xml:space="preserve"> </w:t>
      </w:r>
      <w:r w:rsidRPr="00F56F02">
        <w:rPr>
          <w:rFonts w:ascii="Verdana" w:hAnsi="Verdana"/>
          <w:sz w:val="20"/>
          <w:szCs w:val="20"/>
        </w:rPr>
        <w:t>para</w:t>
      </w:r>
      <w:r w:rsidRPr="00F56F02">
        <w:rPr>
          <w:rFonts w:ascii="Verdana" w:hAnsi="Verdana"/>
          <w:spacing w:val="-5"/>
          <w:sz w:val="20"/>
          <w:szCs w:val="20"/>
        </w:rPr>
        <w:t xml:space="preserve"> </w:t>
      </w:r>
      <w:r w:rsidRPr="00F56F02">
        <w:rPr>
          <w:rFonts w:ascii="Verdana" w:hAnsi="Verdana"/>
          <w:sz w:val="20"/>
          <w:szCs w:val="20"/>
        </w:rPr>
        <w:t>guardar</w:t>
      </w:r>
      <w:r w:rsidRPr="00F56F02">
        <w:rPr>
          <w:rFonts w:ascii="Verdana" w:hAnsi="Verdana"/>
          <w:spacing w:val="-4"/>
          <w:sz w:val="20"/>
          <w:szCs w:val="20"/>
        </w:rPr>
        <w:t xml:space="preserve"> </w:t>
      </w:r>
      <w:r w:rsidRPr="00F56F02">
        <w:rPr>
          <w:rFonts w:ascii="Verdana" w:hAnsi="Verdana"/>
          <w:sz w:val="20"/>
          <w:szCs w:val="20"/>
        </w:rPr>
        <w:t xml:space="preserve">al </w:t>
      </w:r>
      <w:r w:rsidRPr="00F56F02">
        <w:rPr>
          <w:rFonts w:ascii="Verdana" w:hAnsi="Verdana"/>
          <w:spacing w:val="-2"/>
          <w:sz w:val="20"/>
          <w:szCs w:val="20"/>
        </w:rPr>
        <w:t>niño.</w:t>
      </w:r>
    </w:p>
    <w:p w14:paraId="616CBFD3" w14:textId="77777777" w:rsidR="0088370B" w:rsidRPr="00F56F02" w:rsidRDefault="0088370B" w:rsidP="0088370B">
      <w:pPr>
        <w:pStyle w:val="Textoindependiente"/>
        <w:spacing w:after="0" w:line="240" w:lineRule="auto"/>
        <w:ind w:left="709" w:right="709"/>
        <w:jc w:val="both"/>
        <w:rPr>
          <w:rFonts w:ascii="Verdana" w:hAnsi="Verdana"/>
          <w:sz w:val="20"/>
          <w:szCs w:val="20"/>
        </w:rPr>
      </w:pPr>
    </w:p>
    <w:p w14:paraId="2407F7D1" w14:textId="77777777" w:rsidR="0088370B" w:rsidRPr="00F56F02" w:rsidRDefault="0088370B" w:rsidP="0088370B">
      <w:pPr>
        <w:pStyle w:val="Prrafodelista"/>
        <w:widowControl w:val="0"/>
        <w:numPr>
          <w:ilvl w:val="0"/>
          <w:numId w:val="18"/>
        </w:numPr>
        <w:tabs>
          <w:tab w:val="left" w:pos="1253"/>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Los empleadores pueden contratar con las instituciones de protección infantil el inciso anterior”.</w:t>
      </w:r>
    </w:p>
    <w:p w14:paraId="60BAD18F" w14:textId="77777777" w:rsidR="0088370B" w:rsidRPr="009A6F9B" w:rsidRDefault="0088370B" w:rsidP="0088370B">
      <w:pPr>
        <w:pStyle w:val="Prrafodelista"/>
        <w:spacing w:after="0" w:line="240" w:lineRule="auto"/>
        <w:ind w:left="0"/>
        <w:rPr>
          <w:rFonts w:ascii="Verdana" w:hAnsi="Verdana"/>
        </w:rPr>
      </w:pPr>
    </w:p>
    <w:p w14:paraId="7A064379" w14:textId="77777777" w:rsidR="0088370B" w:rsidRPr="009A6F9B" w:rsidRDefault="0088370B" w:rsidP="0088370B">
      <w:pPr>
        <w:pStyle w:val="Textoindependiente"/>
        <w:spacing w:line="276" w:lineRule="auto"/>
        <w:ind w:firstLine="709"/>
        <w:jc w:val="both"/>
        <w:rPr>
          <w:rFonts w:ascii="Verdana" w:hAnsi="Verdana"/>
        </w:rPr>
      </w:pPr>
      <w:r w:rsidRPr="009A6F9B">
        <w:rPr>
          <w:rFonts w:ascii="Verdana" w:hAnsi="Verdana"/>
        </w:rPr>
        <w:lastRenderedPageBreak/>
        <w:t xml:space="preserve">Según se deprende del texto transcrito, la norma concede un descanso remunerado para las trabajadoras durante el periodo de lactancia de la siguiente forma: </w:t>
      </w:r>
    </w:p>
    <w:p w14:paraId="5D5761B5" w14:textId="77777777" w:rsidR="0088370B" w:rsidRPr="009A6F9B" w:rsidRDefault="0088370B" w:rsidP="0088370B">
      <w:pPr>
        <w:pStyle w:val="Textoindependiente"/>
        <w:spacing w:line="276" w:lineRule="auto"/>
        <w:ind w:firstLine="709"/>
        <w:jc w:val="both"/>
        <w:rPr>
          <w:rFonts w:ascii="Verdana" w:hAnsi="Verdana"/>
        </w:rPr>
      </w:pPr>
      <w:r w:rsidRPr="009A6F9B">
        <w:rPr>
          <w:rFonts w:ascii="Verdana" w:hAnsi="Verdana"/>
        </w:rPr>
        <w:t xml:space="preserve">i) hasta los seis (6) meses de edad, los empleadores deben conceder dos (2) descansos de treinta (30) minutos cada uno durante la jornada laboral y; </w:t>
      </w:r>
    </w:p>
    <w:p w14:paraId="7C4C3431" w14:textId="77777777" w:rsidR="0088370B" w:rsidRPr="009A6F9B" w:rsidRDefault="0088370B" w:rsidP="0088370B">
      <w:pPr>
        <w:pStyle w:val="Textoindependiente"/>
        <w:spacing w:line="276" w:lineRule="auto"/>
        <w:ind w:firstLine="709"/>
        <w:jc w:val="both"/>
        <w:rPr>
          <w:rFonts w:ascii="Verdana" w:hAnsi="Verdana"/>
        </w:rPr>
      </w:pPr>
      <w:proofErr w:type="spellStart"/>
      <w:r w:rsidRPr="009A6F9B">
        <w:rPr>
          <w:rFonts w:ascii="Verdana" w:hAnsi="Verdana"/>
        </w:rPr>
        <w:t>ii</w:t>
      </w:r>
      <w:proofErr w:type="spellEnd"/>
      <w:r w:rsidRPr="009A6F9B">
        <w:rPr>
          <w:rFonts w:ascii="Verdana" w:hAnsi="Verdana"/>
        </w:rPr>
        <w:t xml:space="preserve">) de los seis (6) en adelante y hasta los dos (2) </w:t>
      </w:r>
      <w:proofErr w:type="gramStart"/>
      <w:r w:rsidRPr="009A6F9B">
        <w:rPr>
          <w:rFonts w:ascii="Verdana" w:hAnsi="Verdana"/>
        </w:rPr>
        <w:t>años de edad</w:t>
      </w:r>
      <w:proofErr w:type="gramEnd"/>
      <w:r w:rsidRPr="009A6F9B">
        <w:rPr>
          <w:rFonts w:ascii="Verdana" w:hAnsi="Verdana"/>
        </w:rPr>
        <w:t>, se debe conceder a la trabajadora un descanso de treinta (30) minutos durante la jornada laboral, sin que estos descansos impliquen una disminución en el salario devengado.</w:t>
      </w:r>
    </w:p>
    <w:p w14:paraId="127B3B08" w14:textId="77777777" w:rsidR="0088370B" w:rsidRPr="009A6F9B" w:rsidRDefault="0088370B" w:rsidP="0088370B">
      <w:pPr>
        <w:pStyle w:val="Textoindependiente"/>
        <w:spacing w:line="276" w:lineRule="auto"/>
        <w:ind w:firstLine="709"/>
        <w:jc w:val="both"/>
        <w:rPr>
          <w:rFonts w:ascii="Verdana" w:hAnsi="Verdana"/>
        </w:rPr>
      </w:pPr>
      <w:r w:rsidRPr="009A6F9B">
        <w:rPr>
          <w:rFonts w:ascii="Verdana" w:hAnsi="Verdana"/>
        </w:rPr>
        <w:t>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cómo opera durante el periodo de lactancia. De acuerdo con lo establecido en el artículo 239 ibidem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p>
    <w:p w14:paraId="1C9465DE" w14:textId="77777777" w:rsidR="0088370B" w:rsidRPr="009A6F9B" w:rsidRDefault="0088370B" w:rsidP="0088370B">
      <w:pPr>
        <w:pStyle w:val="Textoindependiente"/>
        <w:spacing w:line="276" w:lineRule="auto"/>
        <w:ind w:firstLine="709"/>
        <w:jc w:val="both"/>
        <w:rPr>
          <w:rFonts w:ascii="Verdana" w:hAnsi="Verdana"/>
        </w:rPr>
      </w:pPr>
      <w:r w:rsidRPr="009A6F9B">
        <w:rPr>
          <w:rFonts w:ascii="Verdana" w:hAnsi="Verdana"/>
        </w:rPr>
        <w:t>Ahora bien, respecto a la extensión del periodo de protección del fuero de maternidad en virtud de la expedición del artículo 6 de la Ley 2306 de 2023, mediante el cual se modificó el artículo 238 del Código Sustantivo de Trabajo, que estableció un descanso remunerado por dos (2) años en ciertas circunstancias, el Ministerio del Trabajo, mediante concepto No. 2023120300000068155 de 2023 expuso que: “la puesta en marcha de la Ley 2603 de 2023 no implica una extensión automática del fuero de maternidad. En efecto, las trabajadoras gozarán del descanso remunerado de lactancia durante los dos (2) primeros años de vida del menor “</w:t>
      </w:r>
      <w:r>
        <w:rPr>
          <w:rFonts w:ascii="Verdana" w:hAnsi="Verdana"/>
        </w:rPr>
        <w:t>(</w:t>
      </w:r>
      <w:r w:rsidRPr="009A6F9B">
        <w:rPr>
          <w:rFonts w:ascii="Verdana" w:hAnsi="Verdana"/>
        </w:rPr>
        <w:t>…</w:t>
      </w:r>
      <w:r>
        <w:rPr>
          <w:rFonts w:ascii="Verdana" w:hAnsi="Verdana"/>
        </w:rPr>
        <w:t xml:space="preserve">) </w:t>
      </w:r>
      <w:r w:rsidRPr="009A6F9B">
        <w:rPr>
          <w:rFonts w:ascii="Verdana" w:hAnsi="Verdana"/>
        </w:rPr>
        <w:t xml:space="preserve">siempre y cuando se mantenga y manifieste una adecuada lactancia </w:t>
      </w:r>
      <w:proofErr w:type="gramStart"/>
      <w:r w:rsidRPr="009A6F9B">
        <w:rPr>
          <w:rFonts w:ascii="Verdana" w:hAnsi="Verdana"/>
        </w:rPr>
        <w:t>materno continua</w:t>
      </w:r>
      <w:proofErr w:type="gramEnd"/>
      <w:r w:rsidRPr="009A6F9B">
        <w:rPr>
          <w:rFonts w:ascii="Verdana" w:hAnsi="Verdana"/>
        </w:rPr>
        <w:t>, la que deberá acreditar la Madre Trabajadora con los respectivos certificados médicos”.</w:t>
      </w:r>
    </w:p>
    <w:p w14:paraId="0414C5D3" w14:textId="77777777" w:rsidR="0088370B" w:rsidRPr="009A6F9B" w:rsidRDefault="0088370B" w:rsidP="0088370B">
      <w:pPr>
        <w:pStyle w:val="Textoindependiente"/>
        <w:snapToGrid w:val="0"/>
        <w:spacing w:line="276" w:lineRule="auto"/>
        <w:ind w:firstLine="709"/>
        <w:jc w:val="both"/>
        <w:rPr>
          <w:rFonts w:ascii="Verdana" w:hAnsi="Verdana"/>
        </w:rPr>
      </w:pPr>
      <w:r w:rsidRPr="009A6F9B">
        <w:rPr>
          <w:rFonts w:ascii="Verdana" w:hAnsi="Verdana"/>
        </w:rPr>
        <w:t xml:space="preserve">En este contexto, las modificaciones introducidas por el artículo 6 de la Ley 2306 de 2023 son aplicables a las mujeres vinculadas por contrato laboral, en la medida que, por un lado, como se ha venido señalando, la referida </w:t>
      </w:r>
      <w:r w:rsidRPr="009A6F9B">
        <w:rPr>
          <w:rFonts w:ascii="Verdana" w:hAnsi="Verdana"/>
        </w:rPr>
        <w:lastRenderedPageBreak/>
        <w:t>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2BF5F0C4" w14:textId="77777777" w:rsidR="0088370B" w:rsidRPr="009A6F9B" w:rsidRDefault="0088370B" w:rsidP="0088370B">
      <w:pPr>
        <w:pStyle w:val="Textoindependiente"/>
        <w:snapToGrid w:val="0"/>
        <w:spacing w:line="276" w:lineRule="auto"/>
        <w:ind w:firstLine="709"/>
        <w:jc w:val="both"/>
        <w:rPr>
          <w:rFonts w:ascii="Verdana" w:hAnsi="Verdana"/>
        </w:rPr>
      </w:pPr>
      <w:r w:rsidRPr="009A6F9B">
        <w:rPr>
          <w:rFonts w:ascii="Verdana" w:hAnsi="Verdana"/>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15226320" w14:textId="77777777" w:rsidR="0088370B" w:rsidRPr="009A6F9B" w:rsidRDefault="0088370B" w:rsidP="0088370B">
      <w:pPr>
        <w:pStyle w:val="Textoindependiente"/>
        <w:snapToGrid w:val="0"/>
        <w:spacing w:line="276" w:lineRule="auto"/>
        <w:ind w:firstLine="709"/>
        <w:jc w:val="both"/>
        <w:rPr>
          <w:rFonts w:ascii="Verdana" w:hAnsi="Verdana"/>
        </w:rPr>
      </w:pPr>
      <w:r w:rsidRPr="009A6F9B">
        <w:rPr>
          <w:rFonts w:ascii="Verdana" w:hAnsi="Verdana"/>
        </w:rPr>
        <w:t>Habiendo efectuado la precisión anterior, puede afirmarse que 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634186E2" w14:textId="77777777" w:rsidR="0088370B" w:rsidRPr="009A6F9B" w:rsidRDefault="0088370B" w:rsidP="0088370B">
      <w:pPr>
        <w:pStyle w:val="Textoindependiente"/>
        <w:snapToGrid w:val="0"/>
        <w:spacing w:line="276" w:lineRule="auto"/>
        <w:ind w:firstLine="709"/>
        <w:jc w:val="both"/>
        <w:rPr>
          <w:rFonts w:ascii="Verdana" w:hAnsi="Verdana"/>
        </w:rPr>
      </w:pPr>
      <w:r w:rsidRPr="009A6F9B">
        <w:rPr>
          <w:rFonts w:ascii="Verdana" w:hAnsi="Verdana"/>
        </w:rPr>
        <w:t>En este sentido, les corresponde a las entidades estatales, en virtud de su autonomía, y de acuerdo con los lineamientos de la Corte Constitucional, las normas consagradas en el Estatuto General de Contratación para la Administración Pública – EGCAP, los principios legales y demás normas que regulen la materia, garantizar la estabilidad laboral reforzada de las mujeres embarazadas y lactantes, conforme a los lineamientos explicados en el presente concepto.</w:t>
      </w:r>
    </w:p>
    <w:p w14:paraId="63E07825" w14:textId="77777777" w:rsidR="0088370B" w:rsidRPr="009A6F9B" w:rsidRDefault="0088370B" w:rsidP="0088370B">
      <w:pPr>
        <w:pStyle w:val="Textoindependiente"/>
        <w:snapToGrid w:val="0"/>
        <w:spacing w:line="276" w:lineRule="auto"/>
        <w:ind w:firstLine="709"/>
        <w:jc w:val="both"/>
        <w:rPr>
          <w:rFonts w:ascii="Verdana" w:hAnsi="Verdana"/>
        </w:rPr>
      </w:pPr>
      <w:r w:rsidRPr="009A6F9B">
        <w:rPr>
          <w:rFonts w:ascii="Verdana" w:hAnsi="Verdana"/>
        </w:rPr>
        <w:t>El despido por estas causas en el contrato de prestación de servicios es determinado según la Corte Constitucional a través de tres componentes: (i) el contratante conoce el estado de embarazo de la contratista, (</w:t>
      </w:r>
      <w:proofErr w:type="spellStart"/>
      <w:r w:rsidRPr="009A6F9B">
        <w:rPr>
          <w:rFonts w:ascii="Verdana" w:hAnsi="Verdana"/>
        </w:rPr>
        <w:t>ii</w:t>
      </w:r>
      <w:proofErr w:type="spellEnd"/>
      <w:r w:rsidRPr="009A6F9B">
        <w:rPr>
          <w:rFonts w:ascii="Verdana" w:hAnsi="Verdana"/>
        </w:rPr>
        <w:t>) subsiste la causa del contrato y (</w:t>
      </w:r>
      <w:proofErr w:type="spellStart"/>
      <w:r w:rsidRPr="009A6F9B">
        <w:rPr>
          <w:rFonts w:ascii="Verdana" w:hAnsi="Verdana"/>
        </w:rPr>
        <w:t>iii</w:t>
      </w:r>
      <w:proofErr w:type="spellEnd"/>
      <w:r w:rsidRPr="009A6F9B">
        <w:rPr>
          <w:rFonts w:ascii="Verdana" w:hAnsi="Verdana"/>
        </w:rPr>
        <w:t>) no cuenta con permiso del inspector del trabajo para terminar el contrato. En estos eventos procede la garantía de estabilidad reforzada por lo que la entidad deberá proceder a la renovación de la relación contractual.</w:t>
      </w:r>
    </w:p>
    <w:p w14:paraId="356E20CC" w14:textId="77777777" w:rsidR="0088370B" w:rsidRDefault="0088370B" w:rsidP="0088370B">
      <w:pPr>
        <w:pStyle w:val="Textoindependiente"/>
        <w:spacing w:line="276" w:lineRule="auto"/>
        <w:ind w:firstLine="709"/>
        <w:jc w:val="both"/>
        <w:rPr>
          <w:rFonts w:ascii="Verdana" w:hAnsi="Verdana"/>
        </w:rPr>
      </w:pPr>
      <w:r w:rsidRPr="009A6F9B">
        <w:rPr>
          <w:rFonts w:ascii="Verdana" w:hAnsi="Verdana"/>
        </w:rPr>
        <w:lastRenderedPageBreak/>
        <w:t>En el mismo sentido, esta tesis jurisprudencial de la Corte Constitucional fue acogida por el Consejo de Estado</w:t>
      </w:r>
      <w:r w:rsidRPr="009A6F9B">
        <w:rPr>
          <w:rStyle w:val="Refdenotaalpie"/>
          <w:rFonts w:ascii="Verdana" w:hAnsi="Verdana"/>
        </w:rPr>
        <w:footnoteReference w:id="12"/>
      </w:r>
      <w:r w:rsidRPr="009A6F9B">
        <w:rPr>
          <w:rFonts w:ascii="Verdana" w:hAnsi="Verdana"/>
        </w:rPr>
        <w:t xml:space="preserve"> determinando que las mujeres embarazadas que estén vinculadas a las entidades por contrato de prestación de servicios tienen derecho al reconocimiento de licencia de maternidad y estabilidad </w:t>
      </w:r>
      <w:r>
        <w:rPr>
          <w:rFonts w:ascii="Verdana" w:hAnsi="Verdana"/>
        </w:rPr>
        <w:t>ocupacional</w:t>
      </w:r>
      <w:r w:rsidRPr="009A6F9B">
        <w:rPr>
          <w:rFonts w:ascii="Verdana" w:hAnsi="Verdana"/>
        </w:rPr>
        <w:t xml:space="preserve"> reforzada siempre cuando el contratante conozca del embarazo, subsista la causa del contrato y no se cuente con permiso el inspector de trabajo para determinarlo, en estos casos no se requiere demostrar una relación laboral encubierta.</w:t>
      </w:r>
    </w:p>
    <w:p w14:paraId="5CED0787" w14:textId="2100C77E" w:rsidR="0088370B" w:rsidRDefault="0088370B" w:rsidP="0088370B">
      <w:pPr>
        <w:pStyle w:val="Textoindependiente"/>
        <w:snapToGrid w:val="0"/>
        <w:spacing w:after="0" w:line="276" w:lineRule="auto"/>
        <w:ind w:firstLine="708"/>
        <w:jc w:val="both"/>
        <w:rPr>
          <w:rFonts w:ascii="Verdana" w:hAnsi="Verdana"/>
        </w:rPr>
      </w:pPr>
      <w:r>
        <w:rPr>
          <w:rFonts w:ascii="Verdana" w:hAnsi="Verdana"/>
        </w:rPr>
        <w:t xml:space="preserve">En relación </w:t>
      </w:r>
      <w:r w:rsidR="00614148">
        <w:rPr>
          <w:rFonts w:ascii="Verdana" w:hAnsi="Verdana"/>
        </w:rPr>
        <w:t>al</w:t>
      </w:r>
      <w:r>
        <w:rPr>
          <w:rFonts w:ascii="Verdana" w:hAnsi="Verdana"/>
        </w:rPr>
        <w:t xml:space="preserve"> problema jurídico planteado es de precisar que, d</w:t>
      </w:r>
      <w:r w:rsidRPr="00FF5A9D">
        <w:rPr>
          <w:rFonts w:ascii="Verdana" w:hAnsi="Verdana"/>
        </w:rPr>
        <w:t xml:space="preserve">e acuerdo con la Ley 2114 de 2021, la entidad no puede legalmente exigir una prueba de embarazo como requisito de permanencia, pues está prohibido y se considera un acto discriminatorio. Esta prohibición está taxativamente establecida en el Artículo 241A, numeral 1, del Código Sustantivo del Trabajo (CST), adicionado por el Artículo 3° de la Ley 2114 de 2021, el cual reza: </w:t>
      </w:r>
    </w:p>
    <w:p w14:paraId="0C46A295" w14:textId="77777777" w:rsidR="0088370B" w:rsidRDefault="0088370B" w:rsidP="0088370B">
      <w:pPr>
        <w:pStyle w:val="Textoindependiente"/>
        <w:snapToGrid w:val="0"/>
        <w:spacing w:after="0" w:line="276" w:lineRule="auto"/>
        <w:ind w:firstLine="709"/>
        <w:jc w:val="both"/>
        <w:rPr>
          <w:rFonts w:ascii="Verdana" w:hAnsi="Verdana"/>
        </w:rPr>
      </w:pPr>
    </w:p>
    <w:p w14:paraId="0CD7EE1F" w14:textId="77777777" w:rsidR="0088370B" w:rsidRPr="00FF5A9D" w:rsidRDefault="0088370B" w:rsidP="0088370B">
      <w:pPr>
        <w:pStyle w:val="Textoindependiente"/>
        <w:spacing w:after="0"/>
        <w:ind w:left="709" w:right="709"/>
        <w:jc w:val="both"/>
        <w:rPr>
          <w:rFonts w:ascii="Verdana" w:hAnsi="Verdana"/>
          <w:sz w:val="20"/>
          <w:szCs w:val="20"/>
        </w:rPr>
      </w:pPr>
      <w:r w:rsidRPr="00FF5A9D">
        <w:rPr>
          <w:rFonts w:ascii="Verdana" w:hAnsi="Verdana"/>
          <w:sz w:val="20"/>
          <w:szCs w:val="20"/>
        </w:rPr>
        <w:t xml:space="preserve">"La exigencia de la práctica de pruebas de embarazo queda prohibida como requisito obligatorio para el acceso o permanencia en cualquier actividad laboral." </w:t>
      </w:r>
    </w:p>
    <w:p w14:paraId="52D6D362" w14:textId="77777777" w:rsidR="0088370B" w:rsidRDefault="0088370B" w:rsidP="0088370B">
      <w:pPr>
        <w:pStyle w:val="Textoindependiente"/>
        <w:spacing w:after="0" w:line="276" w:lineRule="auto"/>
        <w:ind w:firstLine="709"/>
        <w:jc w:val="both"/>
        <w:rPr>
          <w:rFonts w:ascii="Verdana" w:hAnsi="Verdana"/>
        </w:rPr>
      </w:pPr>
    </w:p>
    <w:p w14:paraId="16783251" w14:textId="77777777" w:rsidR="0088370B" w:rsidRPr="009A6F9B" w:rsidRDefault="0088370B" w:rsidP="0088370B">
      <w:pPr>
        <w:pStyle w:val="Textoindependiente"/>
        <w:spacing w:line="276" w:lineRule="auto"/>
        <w:ind w:firstLine="709"/>
        <w:jc w:val="both"/>
        <w:rPr>
          <w:rFonts w:ascii="Verdana" w:hAnsi="Verdana"/>
        </w:rPr>
      </w:pPr>
      <w:r w:rsidRPr="00FF5A9D">
        <w:rPr>
          <w:rFonts w:ascii="Verdana" w:hAnsi="Verdana"/>
        </w:rPr>
        <w:t>Sin embargo, dado que la contratista ya notificó su estado, la entidad sí puede solicitar la documentación médica que acredite el estado de gestación y la fecha probable de parto, ya que este certificado es indispensable para tramitar la protección del fuero de maternidad y la correspondiente licencia ante la EPS</w:t>
      </w:r>
      <w:r>
        <w:rPr>
          <w:rFonts w:ascii="Verdana" w:hAnsi="Verdana"/>
        </w:rPr>
        <w:t>.</w:t>
      </w:r>
    </w:p>
    <w:p w14:paraId="1C2F0D7E" w14:textId="77777777" w:rsidR="0088370B" w:rsidRPr="009A6F9B" w:rsidRDefault="0088370B" w:rsidP="0088370B">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9A6F9B">
        <w:rPr>
          <w:rFonts w:ascii="Verdana" w:hAnsi="Verdana" w:cs="Arial"/>
          <w:lang w:eastAsia="es-ES"/>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42559DD" w14:textId="77777777" w:rsidR="0088370B" w:rsidRPr="009A6F9B" w:rsidRDefault="0088370B" w:rsidP="0088370B">
      <w:pPr>
        <w:spacing w:after="120" w:line="276" w:lineRule="auto"/>
        <w:ind w:firstLine="709"/>
        <w:jc w:val="both"/>
        <w:rPr>
          <w:rFonts w:ascii="Verdana" w:hAnsi="Verdana" w:cs="Arial"/>
          <w:lang w:eastAsia="es-ES"/>
        </w:rPr>
      </w:pPr>
      <w:r w:rsidRPr="009A6F9B">
        <w:rPr>
          <w:rFonts w:ascii="Verdana" w:hAnsi="Verdana" w:cs="Arial"/>
          <w:lang w:eastAsia="es-ES"/>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7F54AE1" w14:textId="77777777" w:rsidR="0088370B" w:rsidRDefault="0088370B" w:rsidP="0088370B">
      <w:pPr>
        <w:spacing w:after="120" w:line="276" w:lineRule="auto"/>
        <w:ind w:firstLine="708"/>
        <w:jc w:val="both"/>
      </w:pP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58465A2D" w14:textId="77777777" w:rsidR="0088370B" w:rsidRDefault="0088370B" w:rsidP="0088370B">
      <w:pPr>
        <w:autoSpaceDE w:val="0"/>
        <w:autoSpaceDN w:val="0"/>
        <w:adjustRightInd w:val="0"/>
        <w:spacing w:after="120" w:line="276" w:lineRule="auto"/>
        <w:ind w:firstLine="709"/>
        <w:jc w:val="both"/>
        <w:rPr>
          <w:rFonts w:ascii="Verdana" w:hAnsi="Verdana" w:cs="Arial"/>
        </w:rPr>
      </w:pPr>
      <w:r w:rsidRPr="00EA766F">
        <w:rPr>
          <w:rFonts w:ascii="Verdana" w:eastAsia="Times New Roman" w:hAnsi="Verdana" w:cs="Arial"/>
          <w:color w:val="000000" w:themeColor="text1"/>
          <w:lang w:eastAsia="es-CO"/>
        </w:rPr>
        <w:t>En ese sentido, corresponde a los equipos jurídicos de la entidad analizar y definir la vía más adecuada para garantizar la protección constitucional derivada de la estabilidad ocupacional reforzada, atendiendo las circunstancias particulares del contrato, las condiciones presupuestales y la continuidad del objeto contractual. Dicho análisis deberá orientarse a asegurar que las decisiones adoptadas no impliquen una vulneración de los derechos fundamentales de la contratista ni una discriminación por razón de su estado de gestación, garantizando a su vez el cumplimiento de los principios de legalidad, igualdad y buena fe que rigen la función administrativa</w:t>
      </w:r>
      <w:r>
        <w:rPr>
          <w:rFonts w:ascii="Verdana" w:hAnsi="Verdana" w:cs="Arial"/>
        </w:rPr>
        <w:t>.</w:t>
      </w:r>
    </w:p>
    <w:p w14:paraId="7AFF54CD" w14:textId="0713C4A8" w:rsidR="0088370B" w:rsidRPr="00787CA6" w:rsidRDefault="0088370B" w:rsidP="00787CA6">
      <w:pPr>
        <w:spacing w:after="0" w:line="276" w:lineRule="auto"/>
        <w:jc w:val="both"/>
        <w:rPr>
          <w:rFonts w:ascii="Verdana" w:eastAsia="Calibri" w:hAnsi="Verdana" w:cs="Times New Roman"/>
          <w:i/>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6A148D1A" w14:textId="77777777" w:rsidR="007F5F12" w:rsidRPr="009954A8" w:rsidRDefault="007F5F12" w:rsidP="007F5F12">
      <w:pPr>
        <w:pStyle w:val="NormalWeb"/>
        <w:shd w:val="clear" w:color="auto" w:fill="FFFFFF"/>
        <w:spacing w:before="0" w:beforeAutospacing="0" w:after="0" w:afterAutospacing="0" w:line="276" w:lineRule="auto"/>
        <w:ind w:firstLine="709"/>
        <w:jc w:val="both"/>
        <w:rPr>
          <w:rFonts w:ascii="Verdana" w:eastAsia="Arial" w:hAnsi="Verdana" w:cs="Arial"/>
          <w:sz w:val="22"/>
          <w:szCs w:val="22"/>
          <w:lang w:val="es-ES"/>
        </w:rPr>
      </w:pPr>
    </w:p>
    <w:p w14:paraId="3175FBE2" w14:textId="77777777" w:rsidR="007F5F12" w:rsidRPr="00CC5C68" w:rsidRDefault="007F5F12" w:rsidP="007F5F12">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4. Referencias normativas, jurisprudenciales y otras fuentes:</w:t>
      </w:r>
    </w:p>
    <w:p w14:paraId="164CD3FD" w14:textId="77777777" w:rsidR="007F5F12" w:rsidRPr="00CC5C68" w:rsidRDefault="007F5F12" w:rsidP="007F5F12">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F5F12" w:rsidRPr="00CC5C68" w14:paraId="14AC1C13" w14:textId="77777777" w:rsidTr="00F3438E">
        <w:trPr>
          <w:trHeight w:val="870"/>
        </w:trPr>
        <w:tc>
          <w:tcPr>
            <w:tcW w:w="8647" w:type="dxa"/>
          </w:tcPr>
          <w:p w14:paraId="1C6D3DF2" w14:textId="77777777" w:rsidR="007F5F12" w:rsidRPr="00F118AE" w:rsidRDefault="007F5F12" w:rsidP="00F3438E">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lastRenderedPageBreak/>
              <w:t>Corte Constitucional. Sentencia SU 070 de 2013. Magistrado Ponente: Gloria Stella Ortiz Delgado</w:t>
            </w:r>
          </w:p>
          <w:p w14:paraId="25EE26C3" w14:textId="77777777" w:rsidR="007F5F12" w:rsidRPr="00F118AE" w:rsidRDefault="007F5F12" w:rsidP="00F3438E">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Corte Constitucional, sentencia T-102 del 1 de marzo de 2016, M.P: María Victoria Calle Correa</w:t>
            </w:r>
          </w:p>
          <w:p w14:paraId="3C51C302" w14:textId="77777777" w:rsidR="007F5F12" w:rsidRPr="00222470" w:rsidRDefault="007F5F12" w:rsidP="00F3438E">
            <w:pPr>
              <w:pStyle w:val="Prrafodelista"/>
              <w:widowControl w:val="0"/>
              <w:numPr>
                <w:ilvl w:val="0"/>
                <w:numId w:val="16"/>
              </w:numPr>
              <w:autoSpaceDE w:val="0"/>
              <w:autoSpaceDN w:val="0"/>
              <w:spacing w:after="120" w:line="276" w:lineRule="auto"/>
              <w:jc w:val="both"/>
              <w:rPr>
                <w:rFonts w:ascii="Verdana" w:hAnsi="Verdana" w:cs="Arial"/>
                <w:lang w:val="it-IT"/>
              </w:rPr>
            </w:pPr>
            <w:r w:rsidRPr="00F118AE">
              <w:rPr>
                <w:rFonts w:ascii="Verdana" w:hAnsi="Verdana" w:cs="Arial"/>
                <w:lang w:val="es-CO"/>
              </w:rPr>
              <w:t xml:space="preserve">Corte Constitucional, Sentencia T-743 de 2017, </w:t>
            </w:r>
            <w:proofErr w:type="spellStart"/>
            <w:r w:rsidRPr="00F118AE">
              <w:rPr>
                <w:rFonts w:ascii="Verdana" w:hAnsi="Verdana" w:cs="Arial"/>
                <w:lang w:val="es-CO"/>
              </w:rPr>
              <w:t>Exp</w:t>
            </w:r>
            <w:proofErr w:type="spellEnd"/>
            <w:r w:rsidRPr="00F118AE">
              <w:rPr>
                <w:rFonts w:ascii="Verdana" w:hAnsi="Verdana" w:cs="Arial"/>
                <w:lang w:val="es-CO"/>
              </w:rPr>
              <w:t xml:space="preserve">. </w:t>
            </w:r>
            <w:r w:rsidRPr="00222470">
              <w:rPr>
                <w:rFonts w:ascii="Verdana" w:hAnsi="Verdana" w:cs="Arial"/>
                <w:lang w:val="it-IT"/>
              </w:rPr>
              <w:t>T-6.366.648 Magistrada Ponente Cristina Pardo Schlesinger.</w:t>
            </w:r>
          </w:p>
          <w:p w14:paraId="27B2F819" w14:textId="77777777" w:rsidR="007F5F12" w:rsidRPr="00F118AE" w:rsidRDefault="007F5F12" w:rsidP="00F3438E">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Corte Constitucional, sentencia T-564 del 6 de septiembre de 2017, M.P: Cristina Pardo Schlesinger</w:t>
            </w:r>
          </w:p>
          <w:p w14:paraId="17E49ECB" w14:textId="77777777" w:rsidR="007F5F12" w:rsidRPr="00F118AE" w:rsidRDefault="007F5F12" w:rsidP="00F3438E">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Corte Constitucional. Sentencia SU 075 de 2018. Magistrado Ponente: Gloria Stella Ortiz Delgado</w:t>
            </w:r>
          </w:p>
          <w:p w14:paraId="38AC7EB4" w14:textId="77777777" w:rsidR="007F5F12" w:rsidRPr="00F118AE" w:rsidRDefault="007F5F12" w:rsidP="00F3438E">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Corte Constitucional, sentencia T-329 de 2022, Magistrada Ponente: Natalia Ángel Cabo</w:t>
            </w:r>
          </w:p>
          <w:p w14:paraId="4C8598A1" w14:textId="77777777" w:rsidR="007F5F12" w:rsidRPr="00B61BA2" w:rsidRDefault="007F5F12" w:rsidP="00F3438E">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 xml:space="preserve">Consejo de Estado, </w:t>
            </w:r>
            <w:r w:rsidRPr="00B61BA2">
              <w:rPr>
                <w:rFonts w:ascii="Verdana" w:hAnsi="Verdana" w:cs="Arial"/>
              </w:rPr>
              <w:t>Sala de lo Contencioso Administrativo, Sección Tercera</w:t>
            </w:r>
            <w:r>
              <w:rPr>
                <w:rFonts w:ascii="Verdana" w:hAnsi="Verdana" w:cs="Arial"/>
              </w:rPr>
              <w:t xml:space="preserve">, </w:t>
            </w:r>
            <w:r w:rsidRPr="00F118AE">
              <w:rPr>
                <w:rFonts w:ascii="Verdana" w:hAnsi="Verdana" w:cs="Arial"/>
              </w:rPr>
              <w:t>sentencia del 28 de abril de 2010,</w:t>
            </w:r>
            <w:r>
              <w:rPr>
                <w:rFonts w:ascii="Verdana" w:hAnsi="Verdana" w:cs="Arial"/>
              </w:rPr>
              <w:t xml:space="preserve"> </w:t>
            </w:r>
            <w:proofErr w:type="spellStart"/>
            <w:r>
              <w:rPr>
                <w:rFonts w:ascii="Verdana" w:hAnsi="Verdana" w:cs="Arial"/>
              </w:rPr>
              <w:t>Exp</w:t>
            </w:r>
            <w:proofErr w:type="spellEnd"/>
            <w:r>
              <w:rPr>
                <w:rFonts w:ascii="Verdana" w:hAnsi="Verdana" w:cs="Arial"/>
              </w:rPr>
              <w:t>. 16.431. Magistrado Enrique Gil Botero.</w:t>
            </w:r>
          </w:p>
          <w:p w14:paraId="3C3D3F24" w14:textId="77777777" w:rsidR="007F5F12" w:rsidRPr="00F118AE" w:rsidRDefault="007F5F12" w:rsidP="00F3438E">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Ministerio del Trabajo. Concepto 9972 de 5 de marzo de 2014.</w:t>
            </w:r>
          </w:p>
        </w:tc>
      </w:tr>
    </w:tbl>
    <w:p w14:paraId="29BDD022" w14:textId="77777777" w:rsidR="007F5F12" w:rsidRPr="00CC5C68" w:rsidRDefault="007F5F12" w:rsidP="007F5F12">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71E669E9" w14:textId="77777777" w:rsidR="007F5F12" w:rsidRPr="00CC5C68" w:rsidRDefault="007F5F12" w:rsidP="007F5F1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lang w:val="es-CO"/>
        </w:rPr>
        <w:t xml:space="preserve">5. </w:t>
      </w:r>
      <w:r w:rsidRPr="00CC5C68">
        <w:rPr>
          <w:rFonts w:ascii="Verdana" w:eastAsia="Century Gothic" w:hAnsi="Verdana" w:cs="Century Gothic"/>
          <w:b/>
          <w:bCs/>
        </w:rPr>
        <w:t>Doctrina de la Agencia Nacional de Contratación Pública:</w:t>
      </w:r>
    </w:p>
    <w:p w14:paraId="2F7A0D60" w14:textId="77777777" w:rsidR="007F5F12" w:rsidRPr="00CC5C68" w:rsidRDefault="007F5F12" w:rsidP="007F5F12">
      <w:pPr>
        <w:spacing w:after="0" w:line="276" w:lineRule="auto"/>
        <w:ind w:firstLine="709"/>
        <w:jc w:val="both"/>
        <w:rPr>
          <w:rFonts w:ascii="Verdana" w:eastAsia="Times New Roman" w:hAnsi="Verdana" w:cs="Arial"/>
          <w:szCs w:val="24"/>
          <w:lang w:val="es-ES" w:eastAsia="es-ES_tradnl"/>
        </w:rPr>
      </w:pPr>
    </w:p>
    <w:p w14:paraId="785FEDEB" w14:textId="77777777" w:rsidR="007F5F12" w:rsidRPr="00CC5C68" w:rsidRDefault="007F5F12" w:rsidP="007F5F12">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CC5C68">
        <w:rPr>
          <w:rFonts w:ascii="Verdana" w:eastAsia="Calibri" w:hAnsi="Verdana" w:cs="Arial"/>
          <w:lang w:val="es-ES_tradnl" w:eastAsia="es-ES_tradnl"/>
        </w:rPr>
        <w:t xml:space="preserve">Sobre </w:t>
      </w:r>
      <w:r>
        <w:rPr>
          <w:rFonts w:ascii="Verdana" w:eastAsia="Calibri" w:hAnsi="Verdana" w:cs="Arial"/>
          <w:lang w:val="es-ES_tradnl" w:eastAsia="es-ES_tradnl"/>
        </w:rPr>
        <w:t>la licencia de maternidad</w:t>
      </w:r>
      <w:r w:rsidRPr="00CC5C68">
        <w:rPr>
          <w:rFonts w:ascii="Verdana" w:eastAsia="Calibri" w:hAnsi="Verdana" w:cs="Arial"/>
          <w:lang w:val="es-ES_tradnl" w:eastAsia="es-ES_tradnl"/>
        </w:rPr>
        <w:t>, se pronunció esta Subdirección en los conceptos</w:t>
      </w:r>
      <w:r>
        <w:rPr>
          <w:rFonts w:ascii="Verdana" w:eastAsia="Calibri" w:hAnsi="Verdana" w:cs="Arial"/>
          <w:lang w:val="es-ES_tradnl" w:eastAsia="es-ES_tradnl"/>
        </w:rPr>
        <w:t xml:space="preserve"> </w:t>
      </w:r>
      <w:r w:rsidRPr="00CC1341">
        <w:rPr>
          <w:rFonts w:ascii="Verdana" w:eastAsia="Calibri" w:hAnsi="Verdana" w:cs="Arial"/>
          <w:lang w:val="es-ES_tradnl" w:eastAsia="es-ES_tradnl"/>
        </w:rPr>
        <w:t>C-770 del del 7 de diciembre de 2022, C-712 del 7 de diciembre de 2022, C-789 del 22 de noviembre de 2022, C-031 del 17 de marzo de 2023, C-213 de 26 de junio de 2023, C-439 del 20 de octubre de 2023 y C-463 del 22 de noviembre de 2023</w:t>
      </w:r>
      <w:r>
        <w:rPr>
          <w:rFonts w:ascii="Verdana" w:eastAsia="Calibri" w:hAnsi="Verdana" w:cs="Arial"/>
          <w:lang w:val="es-ES_tradnl" w:eastAsia="es-ES_tradnl"/>
        </w:rPr>
        <w:t xml:space="preserve">, </w:t>
      </w:r>
      <w:r w:rsidRPr="003F0750">
        <w:rPr>
          <w:rFonts w:ascii="Verdana" w:eastAsia="Calibri" w:hAnsi="Verdana" w:cs="Arial"/>
          <w:lang w:val="es-ES_tradnl" w:eastAsia="es-ES_tradnl"/>
        </w:rPr>
        <w:t>C-1672 de</w:t>
      </w:r>
      <w:r>
        <w:rPr>
          <w:rFonts w:ascii="Verdana" w:eastAsia="Calibri" w:hAnsi="Verdana" w:cs="Arial"/>
          <w:lang w:val="es-ES_tradnl" w:eastAsia="es-ES_tradnl"/>
        </w:rPr>
        <w:t>l 19 de diciembre de</w:t>
      </w:r>
      <w:r w:rsidRPr="003F0750">
        <w:rPr>
          <w:rFonts w:ascii="Verdana" w:eastAsia="Calibri" w:hAnsi="Verdana" w:cs="Arial"/>
          <w:lang w:val="es-ES_tradnl" w:eastAsia="es-ES_tradnl"/>
        </w:rPr>
        <w:t xml:space="preserve"> 2025</w:t>
      </w:r>
      <w:r>
        <w:rPr>
          <w:rFonts w:ascii="Verdana" w:eastAsia="Calibri" w:hAnsi="Verdana" w:cs="Arial"/>
          <w:lang w:val="es-ES_tradnl" w:eastAsia="es-ES_tradnl"/>
        </w:rPr>
        <w:t xml:space="preserve">. </w:t>
      </w:r>
      <w:r w:rsidRPr="00CC5C68">
        <w:rPr>
          <w:rFonts w:ascii="Verdana" w:eastAsia="Calibri" w:hAnsi="Verdana" w:cs="Arial"/>
          <w:lang w:val="es-ES" w:eastAsia="es-ES_tradnl"/>
        </w:rPr>
        <w:t>Estos</w:t>
      </w:r>
      <w:r w:rsidRPr="00CC5C68">
        <w:rPr>
          <w:rFonts w:ascii="Verdana" w:hAnsi="Verdana"/>
        </w:rPr>
        <w:t xml:space="preserve"> y otros conceptos se encuentran disponibles para consulta en el Sistema de relatoría de la Agencia, al cual se puede acceder a través del siguiente enlace:</w:t>
      </w:r>
      <w:r w:rsidRPr="00CC5C68">
        <w:rPr>
          <w:rStyle w:val="normaltextrun"/>
          <w:rFonts w:ascii="Verdana" w:hAnsi="Verdana" w:cs="Arial"/>
          <w:shd w:val="clear" w:color="auto" w:fill="FFFFFF"/>
          <w:lang w:val="es-ES"/>
        </w:rPr>
        <w:t xml:space="preserve"> </w:t>
      </w:r>
      <w:hyperlink r:id="rId12" w:history="1">
        <w:r w:rsidRPr="00CC5C68">
          <w:rPr>
            <w:rStyle w:val="Hipervnculo"/>
            <w:rFonts w:ascii="Verdana" w:hAnsi="Verdana" w:cs="Arial"/>
            <w:shd w:val="clear" w:color="auto" w:fill="FFFFFF"/>
            <w:lang w:val="es-ES"/>
          </w:rPr>
          <w:t>https://relatoria.colombiacompra.gov.co/busqueda/conceptos</w:t>
        </w:r>
      </w:hyperlink>
    </w:p>
    <w:p w14:paraId="6ADE2AD3" w14:textId="77777777" w:rsidR="007F5F12" w:rsidRPr="00CC5C68" w:rsidRDefault="007F5F12" w:rsidP="007F5F12">
      <w:pPr>
        <w:spacing w:after="0" w:line="276" w:lineRule="auto"/>
        <w:jc w:val="both"/>
        <w:rPr>
          <w:rFonts w:ascii="Verdana" w:hAnsi="Verdana"/>
        </w:rPr>
      </w:pPr>
    </w:p>
    <w:p w14:paraId="681DDF81" w14:textId="77777777" w:rsidR="007F5F12" w:rsidRPr="00CC5C68" w:rsidRDefault="007F5F12" w:rsidP="007F5F12">
      <w:pPr>
        <w:spacing w:after="0" w:line="276" w:lineRule="auto"/>
        <w:jc w:val="both"/>
        <w:rPr>
          <w:rFonts w:ascii="Verdana" w:hAnsi="Verdana"/>
        </w:rPr>
      </w:pPr>
      <w:r w:rsidRPr="00CC5C68">
        <w:rPr>
          <w:rFonts w:ascii="Verdana" w:hAnsi="Verdana"/>
        </w:rPr>
        <w:t xml:space="preserve">Por último, lo invitamos a seguirnos en las redes sociales en las cuales se difunde información institucional: </w:t>
      </w:r>
    </w:p>
    <w:p w14:paraId="5D1445A2" w14:textId="77777777" w:rsidR="007F5F12" w:rsidRPr="00CC5C68" w:rsidRDefault="007F5F12" w:rsidP="007F5F12">
      <w:pPr>
        <w:spacing w:after="0" w:line="240" w:lineRule="auto"/>
        <w:jc w:val="both"/>
        <w:rPr>
          <w:rFonts w:ascii="Verdana" w:hAnsi="Verdana"/>
        </w:rPr>
      </w:pPr>
    </w:p>
    <w:p w14:paraId="6DC035A9" w14:textId="77777777" w:rsidR="007F5F12" w:rsidRPr="00CC5C68" w:rsidRDefault="007F5F12" w:rsidP="007F5F12">
      <w:pPr>
        <w:spacing w:after="0" w:line="240" w:lineRule="auto"/>
        <w:jc w:val="both"/>
        <w:rPr>
          <w:rFonts w:ascii="Verdana" w:hAnsi="Verdana"/>
        </w:rPr>
      </w:pPr>
      <w:r w:rsidRPr="00CC5C68">
        <w:rPr>
          <w:rFonts w:ascii="Verdana" w:hAnsi="Verdana"/>
        </w:rPr>
        <w:t xml:space="preserve">Twitter: </w:t>
      </w:r>
      <w:r w:rsidRPr="00CC5C68">
        <w:rPr>
          <w:rStyle w:val="Hipervnculo"/>
          <w:rFonts w:ascii="Verdana" w:hAnsi="Verdana"/>
          <w:color w:val="4472C4" w:themeColor="accent1"/>
        </w:rPr>
        <w:t>@colombiacompra</w:t>
      </w:r>
      <w:r w:rsidRPr="00CC5C68">
        <w:rPr>
          <w:rFonts w:ascii="Verdana" w:hAnsi="Verdana"/>
          <w:color w:val="4472C4" w:themeColor="accent1"/>
        </w:rPr>
        <w:t xml:space="preserve"> </w:t>
      </w:r>
    </w:p>
    <w:p w14:paraId="01D77E1F" w14:textId="77777777" w:rsidR="007F5F12" w:rsidRPr="00CC5C68" w:rsidRDefault="007F5F12" w:rsidP="007F5F12">
      <w:pPr>
        <w:spacing w:after="0" w:line="240" w:lineRule="auto"/>
        <w:jc w:val="both"/>
        <w:rPr>
          <w:rFonts w:ascii="Verdana" w:hAnsi="Verdana"/>
        </w:rPr>
      </w:pPr>
      <w:r w:rsidRPr="00CC5C68">
        <w:rPr>
          <w:rFonts w:ascii="Verdana" w:hAnsi="Verdana"/>
        </w:rPr>
        <w:t xml:space="preserve">Facebook: </w:t>
      </w:r>
      <w:proofErr w:type="spellStart"/>
      <w:r w:rsidRPr="00CC5C68">
        <w:rPr>
          <w:rStyle w:val="Hipervnculo"/>
          <w:rFonts w:ascii="Verdana" w:hAnsi="Verdana"/>
          <w:color w:val="4472C4" w:themeColor="accent1"/>
        </w:rPr>
        <w:t>ColombiaCompraEficiente</w:t>
      </w:r>
      <w:proofErr w:type="spellEnd"/>
    </w:p>
    <w:p w14:paraId="430E2A20" w14:textId="77777777" w:rsidR="007F5F12" w:rsidRPr="00CC5C68" w:rsidRDefault="007F5F12" w:rsidP="007F5F12">
      <w:pPr>
        <w:spacing w:after="0" w:line="240" w:lineRule="auto"/>
        <w:jc w:val="both"/>
        <w:rPr>
          <w:rFonts w:ascii="Verdana" w:hAnsi="Verdana"/>
        </w:rPr>
      </w:pPr>
      <w:r w:rsidRPr="00CC5C68">
        <w:rPr>
          <w:rFonts w:ascii="Verdana" w:hAnsi="Verdana"/>
        </w:rPr>
        <w:t xml:space="preserve">LinkedIn: </w:t>
      </w:r>
      <w:r w:rsidRPr="00CC5C68">
        <w:rPr>
          <w:rStyle w:val="Hipervnculo"/>
          <w:rFonts w:ascii="Verdana" w:hAnsi="Verdana"/>
          <w:color w:val="4472C4" w:themeColor="accent1"/>
        </w:rPr>
        <w:t>Agencia Nacional de Contratación Pública - Colombia Compra Eficiente</w:t>
      </w:r>
      <w:r w:rsidRPr="00CC5C68">
        <w:rPr>
          <w:rFonts w:ascii="Verdana" w:hAnsi="Verdana"/>
          <w:color w:val="4472C4" w:themeColor="accent1"/>
        </w:rPr>
        <w:t xml:space="preserve"> </w:t>
      </w:r>
      <w:r w:rsidRPr="00CC5C68">
        <w:rPr>
          <w:rFonts w:ascii="Verdana" w:hAnsi="Verdana"/>
        </w:rPr>
        <w:t xml:space="preserve">Instagram: </w:t>
      </w:r>
      <w:r w:rsidRPr="00CC5C68">
        <w:rPr>
          <w:rStyle w:val="Hipervnculo"/>
          <w:rFonts w:ascii="Verdana" w:hAnsi="Verdana"/>
          <w:color w:val="4472C4" w:themeColor="accent1"/>
        </w:rPr>
        <w:t>@colombiacompraeficiente_cce</w:t>
      </w:r>
    </w:p>
    <w:p w14:paraId="1172F6AE" w14:textId="77777777" w:rsidR="007F5F12" w:rsidRPr="00CC5C68" w:rsidRDefault="007F5F12" w:rsidP="007F5F12">
      <w:pPr>
        <w:widowControl w:val="0"/>
        <w:autoSpaceDE w:val="0"/>
        <w:autoSpaceDN w:val="0"/>
        <w:spacing w:after="0" w:line="276" w:lineRule="auto"/>
        <w:jc w:val="both"/>
        <w:rPr>
          <w:rFonts w:ascii="Verdana" w:hAnsi="Verdana" w:cs="Arial"/>
        </w:rPr>
      </w:pPr>
    </w:p>
    <w:p w14:paraId="026E2EA8" w14:textId="77777777" w:rsidR="007F5F12" w:rsidRPr="008204D8" w:rsidRDefault="007F5F12" w:rsidP="007F5F12">
      <w:pPr>
        <w:widowControl w:val="0"/>
        <w:autoSpaceDE w:val="0"/>
        <w:autoSpaceDN w:val="0"/>
        <w:spacing w:after="0" w:line="276" w:lineRule="auto"/>
        <w:jc w:val="both"/>
        <w:rPr>
          <w:rFonts w:ascii="Verdana" w:eastAsia="Calibri" w:hAnsi="Verdana" w:cs="Arial"/>
          <w:lang w:val="es-ES_tradnl"/>
        </w:rPr>
      </w:pPr>
      <w:r w:rsidRPr="008204D8">
        <w:rPr>
          <w:rFonts w:ascii="Verdana" w:eastAsia="Calibri" w:hAnsi="Verdana" w:cs="Arial"/>
        </w:rPr>
        <w:lastRenderedPageBreak/>
        <w:t xml:space="preserve">Este concepto tiene el alcance previsto en el artículo 28 del Código de Procedimiento Administrativo y de lo Contencioso Administrativo </w:t>
      </w:r>
      <w:r w:rsidRPr="008204D8">
        <w:rPr>
          <w:rFonts w:ascii="Verdana" w:eastAsia="Calibri" w:hAnsi="Verdana" w:cs="Arial"/>
          <w:lang w:val="es-ES_tradnl"/>
        </w:rPr>
        <w:t>y las expresiones aquí utilizadas con mayúscula inicial deben ser entendidas con el significado que les otorga el artículo 2.2.1.1.1.3.1. del Decreto 1082 de 2015.</w:t>
      </w:r>
    </w:p>
    <w:p w14:paraId="58009468" w14:textId="77777777" w:rsidR="007F5F12" w:rsidRPr="008204D8" w:rsidRDefault="007F5F12" w:rsidP="007F5F12">
      <w:pPr>
        <w:widowControl w:val="0"/>
        <w:autoSpaceDE w:val="0"/>
        <w:autoSpaceDN w:val="0"/>
        <w:spacing w:after="0" w:line="276" w:lineRule="auto"/>
        <w:jc w:val="both"/>
        <w:rPr>
          <w:rFonts w:ascii="Verdana" w:eastAsia="Calibri" w:hAnsi="Verdana" w:cs="Arial"/>
        </w:rPr>
      </w:pPr>
    </w:p>
    <w:p w14:paraId="294A4E86" w14:textId="77777777" w:rsidR="007F5F12" w:rsidRPr="008204D8" w:rsidRDefault="007F5F12" w:rsidP="007F5F12">
      <w:pPr>
        <w:spacing w:after="0" w:line="276" w:lineRule="auto"/>
        <w:rPr>
          <w:rFonts w:ascii="Verdana" w:eastAsia="Calibri" w:hAnsi="Verdana" w:cs="Arial"/>
          <w:lang w:eastAsia="es-CO"/>
        </w:rPr>
      </w:pPr>
      <w:r w:rsidRPr="008204D8">
        <w:rPr>
          <w:rFonts w:ascii="Verdana" w:eastAsia="Times New Roman" w:hAnsi="Verdana" w:cs="Arial"/>
          <w:lang w:eastAsia="es-CO"/>
        </w:rPr>
        <w:t>Atentamente,</w:t>
      </w:r>
      <w:r w:rsidRPr="008204D8">
        <w:rPr>
          <w:rFonts w:ascii="Verdana" w:eastAsia="Calibri" w:hAnsi="Verdana" w:cs="Arial"/>
          <w:lang w:eastAsia="es-CO"/>
        </w:rPr>
        <w:t xml:space="preserve"> </w:t>
      </w:r>
    </w:p>
    <w:p w14:paraId="22B33503" w14:textId="662FF9B6" w:rsidR="007F5F12" w:rsidRPr="008204D8" w:rsidRDefault="00911057" w:rsidP="007F5F12">
      <w:pPr>
        <w:spacing w:line="276" w:lineRule="auto"/>
        <w:jc w:val="center"/>
        <w:rPr>
          <w:rFonts w:ascii="Verdana" w:eastAsia="Times New Roman" w:hAnsi="Verdana" w:cs="Arial"/>
          <w:sz w:val="24"/>
          <w:szCs w:val="24"/>
          <w:lang w:eastAsia="es-ES"/>
        </w:rPr>
      </w:pPr>
      <w:r>
        <w:rPr>
          <w:noProof/>
        </w:rPr>
        <w:drawing>
          <wp:inline distT="0" distB="0" distL="0" distR="0" wp14:anchorId="598B9973" wp14:editId="5B8AC4EA">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tbl>
      <w:tblPr>
        <w:tblW w:w="5670" w:type="dxa"/>
        <w:tblBorders>
          <w:insideH w:val="nil"/>
          <w:insideV w:val="nil"/>
        </w:tblBorders>
        <w:tblLayout w:type="fixed"/>
        <w:tblLook w:val="0400" w:firstRow="0" w:lastRow="0" w:firstColumn="0" w:lastColumn="0" w:noHBand="0" w:noVBand="1"/>
      </w:tblPr>
      <w:tblGrid>
        <w:gridCol w:w="993"/>
        <w:gridCol w:w="4677"/>
      </w:tblGrid>
      <w:tr w:rsidR="007F5F12" w:rsidRPr="008204D8" w14:paraId="04529CFA" w14:textId="77777777" w:rsidTr="00F3438E">
        <w:trPr>
          <w:trHeight w:val="315"/>
        </w:trPr>
        <w:tc>
          <w:tcPr>
            <w:tcW w:w="993" w:type="dxa"/>
            <w:vAlign w:val="center"/>
            <w:hideMark/>
          </w:tcPr>
          <w:p w14:paraId="50056EC2" w14:textId="77777777" w:rsidR="007F5F12" w:rsidRPr="008204D8" w:rsidRDefault="007F5F12" w:rsidP="00F3438E">
            <w:pPr>
              <w:spacing w:after="0" w:line="276" w:lineRule="auto"/>
              <w:rPr>
                <w:rFonts w:ascii="Verdana" w:eastAsia="Calibri" w:hAnsi="Verdana" w:cs="Arial"/>
                <w:bCs/>
                <w:sz w:val="16"/>
                <w:szCs w:val="16"/>
                <w:lang w:eastAsia="es-CO"/>
              </w:rPr>
            </w:pPr>
            <w:r w:rsidRPr="008204D8">
              <w:rPr>
                <w:rFonts w:ascii="Verdana" w:eastAsia="Calibri" w:hAnsi="Verdana" w:cs="Arial"/>
                <w:bCs/>
                <w:sz w:val="16"/>
                <w:szCs w:val="16"/>
                <w:lang w:eastAsia="es-CO"/>
              </w:rPr>
              <w:t>Elaboró:</w:t>
            </w:r>
          </w:p>
        </w:tc>
        <w:tc>
          <w:tcPr>
            <w:tcW w:w="4677" w:type="dxa"/>
            <w:tcBorders>
              <w:top w:val="nil"/>
              <w:left w:val="nil"/>
              <w:bottom w:val="dotted" w:sz="4" w:space="0" w:color="7F7F7F"/>
              <w:right w:val="nil"/>
            </w:tcBorders>
            <w:vAlign w:val="center"/>
            <w:hideMark/>
          </w:tcPr>
          <w:p w14:paraId="7B76EAEE" w14:textId="77777777" w:rsidR="007F5F12" w:rsidRPr="008204D8" w:rsidRDefault="007F5F12" w:rsidP="00F3438E">
            <w:pPr>
              <w:spacing w:after="0" w:line="240" w:lineRule="auto"/>
              <w:rPr>
                <w:rFonts w:ascii="Verdana" w:eastAsia="Calibri" w:hAnsi="Verdana" w:cs="Arial"/>
                <w:sz w:val="16"/>
                <w:szCs w:val="16"/>
                <w:lang w:eastAsia="es-CO"/>
              </w:rPr>
            </w:pPr>
            <w:r w:rsidRPr="008204D8">
              <w:rPr>
                <w:rFonts w:ascii="Verdana" w:eastAsia="Calibri" w:hAnsi="Verdana" w:cs="Arial"/>
                <w:sz w:val="16"/>
                <w:szCs w:val="16"/>
                <w:lang w:eastAsia="es-CO"/>
              </w:rPr>
              <w:t>Ximena Ríos López</w:t>
            </w:r>
          </w:p>
          <w:p w14:paraId="1C1FA03A" w14:textId="77777777" w:rsidR="007F5F12" w:rsidRPr="008204D8" w:rsidRDefault="007F5F12" w:rsidP="00F3438E">
            <w:pPr>
              <w:spacing w:after="0" w:line="240" w:lineRule="auto"/>
              <w:rPr>
                <w:rFonts w:ascii="Verdana" w:eastAsia="Calibri" w:hAnsi="Verdana" w:cs="Arial"/>
                <w:sz w:val="16"/>
                <w:szCs w:val="16"/>
                <w:lang w:eastAsia="es-CO"/>
              </w:rPr>
            </w:pPr>
            <w:r w:rsidRPr="008204D8">
              <w:rPr>
                <w:rFonts w:ascii="Verdana" w:eastAsia="Calibri" w:hAnsi="Verdana" w:cs="Arial"/>
                <w:sz w:val="16"/>
                <w:szCs w:val="16"/>
                <w:lang w:eastAsia="es-CO"/>
              </w:rPr>
              <w:t>Gestor T1 -11 Subdirección de Gestión Contractual</w:t>
            </w:r>
          </w:p>
        </w:tc>
      </w:tr>
      <w:tr w:rsidR="007F5F12" w:rsidRPr="008204D8" w14:paraId="435BFB28" w14:textId="77777777" w:rsidTr="00F3438E">
        <w:trPr>
          <w:trHeight w:val="330"/>
        </w:trPr>
        <w:tc>
          <w:tcPr>
            <w:tcW w:w="993" w:type="dxa"/>
            <w:vAlign w:val="center"/>
            <w:hideMark/>
          </w:tcPr>
          <w:p w14:paraId="705CD65E" w14:textId="77777777" w:rsidR="007F5F12" w:rsidRPr="008204D8" w:rsidRDefault="007F5F12" w:rsidP="00F3438E">
            <w:pPr>
              <w:spacing w:after="0" w:line="276" w:lineRule="auto"/>
              <w:rPr>
                <w:rFonts w:ascii="Verdana" w:eastAsia="Calibri" w:hAnsi="Verdana" w:cs="Arial"/>
                <w:bCs/>
                <w:sz w:val="16"/>
                <w:szCs w:val="16"/>
                <w:lang w:eastAsia="es-CO"/>
              </w:rPr>
            </w:pPr>
            <w:r w:rsidRPr="008204D8">
              <w:rPr>
                <w:rFonts w:ascii="Verdana" w:eastAsia="Calibri" w:hAnsi="Verdana" w:cs="Arial"/>
                <w:bCs/>
                <w:sz w:val="16"/>
                <w:szCs w:val="16"/>
                <w:lang w:eastAsia="es-CO"/>
              </w:rPr>
              <w:t>Revisó:</w:t>
            </w:r>
          </w:p>
        </w:tc>
        <w:tc>
          <w:tcPr>
            <w:tcW w:w="4677" w:type="dxa"/>
            <w:tcBorders>
              <w:top w:val="dotted" w:sz="4" w:space="0" w:color="7F7F7F"/>
              <w:left w:val="nil"/>
              <w:bottom w:val="dotted" w:sz="4" w:space="0" w:color="7F7F7F"/>
              <w:right w:val="nil"/>
            </w:tcBorders>
            <w:vAlign w:val="center"/>
            <w:hideMark/>
          </w:tcPr>
          <w:p w14:paraId="3498D327" w14:textId="4D6033DE" w:rsidR="007F5F12" w:rsidRPr="008204D8" w:rsidRDefault="007F5F12" w:rsidP="00F3438E">
            <w:pPr>
              <w:spacing w:after="0" w:line="240" w:lineRule="auto"/>
              <w:rPr>
                <w:rFonts w:ascii="Verdana" w:eastAsia="Calibri" w:hAnsi="Verdana" w:cs="Arial"/>
                <w:sz w:val="16"/>
                <w:szCs w:val="16"/>
                <w:lang w:eastAsia="es-CO"/>
              </w:rPr>
            </w:pPr>
            <w:r w:rsidRPr="008204D8">
              <w:rPr>
                <w:rFonts w:ascii="Verdana" w:eastAsia="Calibri" w:hAnsi="Verdana" w:cs="Arial"/>
                <w:sz w:val="16"/>
                <w:szCs w:val="16"/>
                <w:lang w:eastAsia="es-CO"/>
              </w:rPr>
              <w:t xml:space="preserve">Martha </w:t>
            </w:r>
            <w:r w:rsidR="00234571">
              <w:rPr>
                <w:rFonts w:ascii="Verdana" w:eastAsia="Calibri" w:hAnsi="Verdana" w:cs="Arial"/>
                <w:sz w:val="16"/>
                <w:szCs w:val="16"/>
                <w:lang w:eastAsia="es-CO"/>
              </w:rPr>
              <w:t xml:space="preserve">Alicia </w:t>
            </w:r>
            <w:r w:rsidRPr="008204D8">
              <w:rPr>
                <w:rFonts w:ascii="Verdana" w:eastAsia="Calibri" w:hAnsi="Verdana" w:cs="Arial"/>
                <w:sz w:val="16"/>
                <w:szCs w:val="16"/>
                <w:lang w:eastAsia="es-CO"/>
              </w:rPr>
              <w:t>Romero</w:t>
            </w:r>
            <w:r w:rsidR="00234571">
              <w:rPr>
                <w:rFonts w:ascii="Verdana" w:eastAsia="Calibri" w:hAnsi="Verdana" w:cs="Arial"/>
                <w:sz w:val="16"/>
                <w:szCs w:val="16"/>
                <w:lang w:eastAsia="es-CO"/>
              </w:rPr>
              <w:t xml:space="preserve"> Vargas </w:t>
            </w:r>
          </w:p>
          <w:p w14:paraId="65E95482" w14:textId="77777777" w:rsidR="007F5F12" w:rsidRPr="008204D8" w:rsidRDefault="007F5F12" w:rsidP="00F3438E">
            <w:pPr>
              <w:spacing w:after="0" w:line="240" w:lineRule="auto"/>
              <w:rPr>
                <w:rFonts w:ascii="Verdana" w:eastAsia="Calibri" w:hAnsi="Verdana" w:cs="Arial"/>
                <w:sz w:val="16"/>
                <w:szCs w:val="16"/>
                <w:lang w:eastAsia="es-CO"/>
              </w:rPr>
            </w:pPr>
            <w:r w:rsidRPr="008204D8">
              <w:rPr>
                <w:rFonts w:ascii="Verdana" w:eastAsia="Calibri" w:hAnsi="Verdana" w:cs="Arial"/>
                <w:sz w:val="16"/>
                <w:szCs w:val="16"/>
                <w:lang w:eastAsia="es-CO"/>
              </w:rPr>
              <w:t>Gestor T1 -15 Subdirección de Gestión Contractual</w:t>
            </w:r>
          </w:p>
        </w:tc>
      </w:tr>
      <w:tr w:rsidR="007F5F12" w:rsidRPr="008204D8" w14:paraId="1D252579" w14:textId="77777777" w:rsidTr="00F3438E">
        <w:trPr>
          <w:trHeight w:val="300"/>
        </w:trPr>
        <w:tc>
          <w:tcPr>
            <w:tcW w:w="993" w:type="dxa"/>
            <w:vAlign w:val="center"/>
            <w:hideMark/>
          </w:tcPr>
          <w:p w14:paraId="3ABF1801" w14:textId="77777777" w:rsidR="007F5F12" w:rsidRPr="008204D8" w:rsidRDefault="007F5F12" w:rsidP="00F3438E">
            <w:pPr>
              <w:spacing w:after="0" w:line="276" w:lineRule="auto"/>
              <w:rPr>
                <w:rFonts w:ascii="Verdana" w:eastAsia="Calibri" w:hAnsi="Verdana" w:cs="Arial"/>
                <w:bCs/>
                <w:sz w:val="16"/>
                <w:szCs w:val="16"/>
                <w:lang w:eastAsia="es-CO"/>
              </w:rPr>
            </w:pPr>
            <w:r w:rsidRPr="008204D8">
              <w:rPr>
                <w:rFonts w:ascii="Verdana" w:eastAsia="Calibri" w:hAnsi="Verdana" w:cs="Arial"/>
                <w:bCs/>
                <w:sz w:val="16"/>
                <w:szCs w:val="16"/>
                <w:lang w:eastAsia="es-CO"/>
              </w:rPr>
              <w:t>Aprobó:</w:t>
            </w:r>
          </w:p>
        </w:tc>
        <w:tc>
          <w:tcPr>
            <w:tcW w:w="4677" w:type="dxa"/>
            <w:tcBorders>
              <w:top w:val="dotted" w:sz="4" w:space="0" w:color="7F7F7F"/>
              <w:left w:val="nil"/>
              <w:bottom w:val="dotted" w:sz="4" w:space="0" w:color="7F7F7F"/>
              <w:right w:val="nil"/>
            </w:tcBorders>
            <w:vAlign w:val="center"/>
            <w:hideMark/>
          </w:tcPr>
          <w:p w14:paraId="5008BC79" w14:textId="77777777" w:rsidR="007F5F12" w:rsidRPr="008204D8" w:rsidRDefault="007F5F12" w:rsidP="00F3438E">
            <w:pPr>
              <w:spacing w:after="0" w:line="240" w:lineRule="auto"/>
              <w:rPr>
                <w:rFonts w:ascii="Verdana" w:eastAsia="Calibri" w:hAnsi="Verdana" w:cs="Arial"/>
                <w:sz w:val="16"/>
                <w:szCs w:val="16"/>
                <w:lang w:eastAsia="es-CO"/>
              </w:rPr>
            </w:pPr>
            <w:r w:rsidRPr="008204D8">
              <w:rPr>
                <w:rFonts w:ascii="Verdana" w:eastAsia="Calibri" w:hAnsi="Verdana" w:cs="Arial"/>
                <w:sz w:val="16"/>
                <w:szCs w:val="16"/>
                <w:lang w:eastAsia="es-CO"/>
              </w:rPr>
              <w:t>Carolina Quintero Gacharná</w:t>
            </w:r>
          </w:p>
          <w:p w14:paraId="7A334D30" w14:textId="77777777" w:rsidR="007F5F12" w:rsidRPr="008204D8" w:rsidRDefault="007F5F12" w:rsidP="00F3438E">
            <w:pPr>
              <w:spacing w:after="0" w:line="240" w:lineRule="auto"/>
              <w:rPr>
                <w:rFonts w:ascii="Verdana" w:eastAsia="Calibri" w:hAnsi="Verdana" w:cs="Arial"/>
                <w:sz w:val="16"/>
                <w:szCs w:val="16"/>
                <w:lang w:eastAsia="es-CO"/>
              </w:rPr>
            </w:pPr>
            <w:r w:rsidRPr="008204D8">
              <w:rPr>
                <w:rFonts w:ascii="Verdana" w:eastAsia="Calibri" w:hAnsi="Verdana" w:cs="Arial"/>
                <w:sz w:val="16"/>
                <w:szCs w:val="16"/>
                <w:lang w:eastAsia="es-CO"/>
              </w:rPr>
              <w:t>Subdirectora de Gestión Contractual ANCP – CCE</w:t>
            </w:r>
          </w:p>
        </w:tc>
      </w:tr>
    </w:tbl>
    <w:p w14:paraId="351B5053" w14:textId="77777777" w:rsidR="007F5F12" w:rsidRPr="008204D8" w:rsidRDefault="007F5F12" w:rsidP="007F5F12">
      <w:pPr>
        <w:spacing w:after="0" w:line="276" w:lineRule="auto"/>
        <w:jc w:val="both"/>
        <w:rPr>
          <w:rFonts w:ascii="Calibri" w:eastAsia="Calibri" w:hAnsi="Calibri" w:cs="Times New Roman"/>
        </w:rPr>
      </w:pPr>
    </w:p>
    <w:p w14:paraId="73E550EC" w14:textId="77777777" w:rsidR="007F5F12" w:rsidRPr="001141A7" w:rsidRDefault="007F5F12" w:rsidP="007F5F12"/>
    <w:p w14:paraId="0F293BF4" w14:textId="18F83E2A" w:rsidR="00127233" w:rsidRPr="007F5F12" w:rsidRDefault="00127233" w:rsidP="007F5F12"/>
    <w:sectPr w:rsidR="00127233" w:rsidRPr="007F5F12"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E187CA" w14:textId="77777777" w:rsidR="00DD6996" w:rsidRDefault="00DD6996" w:rsidP="004A1847">
      <w:pPr>
        <w:spacing w:after="0" w:line="240" w:lineRule="auto"/>
      </w:pPr>
      <w:r>
        <w:separator/>
      </w:r>
    </w:p>
  </w:endnote>
  <w:endnote w:type="continuationSeparator" w:id="0">
    <w:p w14:paraId="51ACEC25" w14:textId="77777777" w:rsidR="00DD6996" w:rsidRDefault="00DD699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UI Semibold">
    <w:panose1 w:val="020B0700000000000000"/>
    <w:charset w:val="80"/>
    <w:family w:val="swiss"/>
    <w:pitch w:val="variable"/>
    <w:sig w:usb0="E00002FF" w:usb1="2AC7FDFF" w:usb2="00000016" w:usb3="00000000" w:csb0="000200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025118" w14:textId="77777777" w:rsidR="00DD6996" w:rsidRDefault="00DD6996" w:rsidP="004A1847">
      <w:pPr>
        <w:spacing w:after="0" w:line="240" w:lineRule="auto"/>
      </w:pPr>
      <w:r>
        <w:separator/>
      </w:r>
    </w:p>
  </w:footnote>
  <w:footnote w:type="continuationSeparator" w:id="0">
    <w:p w14:paraId="5A51E14F" w14:textId="77777777" w:rsidR="00DD6996" w:rsidRDefault="00DD6996" w:rsidP="004A1847">
      <w:pPr>
        <w:spacing w:after="0" w:line="240" w:lineRule="auto"/>
      </w:pPr>
      <w:r>
        <w:continuationSeparator/>
      </w:r>
    </w:p>
  </w:footnote>
  <w:footnote w:id="1">
    <w:p w14:paraId="4D4164E6" w14:textId="77777777" w:rsidR="007F5F12" w:rsidRPr="00222470" w:rsidRDefault="007F5F12" w:rsidP="007F5F12">
      <w:pPr>
        <w:pStyle w:val="Textonotapie"/>
        <w:ind w:left="300" w:firstLine="408"/>
        <w:contextualSpacing/>
        <w:jc w:val="both"/>
        <w:rPr>
          <w:rFonts w:ascii="Verdana" w:hAnsi="Verdana" w:cs="Arial"/>
          <w:sz w:val="14"/>
          <w:szCs w:val="14"/>
          <w:lang w:val="it-IT"/>
        </w:rPr>
      </w:pPr>
      <w:r w:rsidRPr="00E65094">
        <w:rPr>
          <w:rStyle w:val="Refdenotaalpie"/>
          <w:rFonts w:ascii="Verdana" w:hAnsi="Verdana" w:cs="Arial"/>
          <w:sz w:val="14"/>
          <w:szCs w:val="14"/>
        </w:rPr>
        <w:footnoteRef/>
      </w:r>
      <w:r w:rsidRPr="00E65094">
        <w:rPr>
          <w:rFonts w:ascii="Verdana" w:hAnsi="Verdana" w:cs="Arial"/>
          <w:sz w:val="14"/>
          <w:szCs w:val="14"/>
        </w:rPr>
        <w:t xml:space="preserve"> Corte Constitucional, sentencia T-743 de 2017, Exp. </w:t>
      </w:r>
      <w:r w:rsidRPr="00222470">
        <w:rPr>
          <w:rFonts w:ascii="Verdana" w:hAnsi="Verdana" w:cs="Arial"/>
          <w:sz w:val="14"/>
          <w:szCs w:val="14"/>
          <w:lang w:val="it-IT"/>
        </w:rPr>
        <w:t>T-6.366.648 Magistrada Ponente Cristina Pardo Schlesinger.</w:t>
      </w:r>
    </w:p>
    <w:p w14:paraId="60C8974E" w14:textId="77777777" w:rsidR="007F5F12" w:rsidRPr="00222470" w:rsidRDefault="007F5F12" w:rsidP="007F5F12">
      <w:pPr>
        <w:pStyle w:val="Textonotapie"/>
        <w:ind w:left="300" w:firstLine="408"/>
        <w:contextualSpacing/>
        <w:jc w:val="both"/>
        <w:rPr>
          <w:rFonts w:ascii="Verdana" w:hAnsi="Verdana" w:cs="Arial"/>
          <w:sz w:val="14"/>
          <w:szCs w:val="14"/>
          <w:lang w:val="it-IT"/>
        </w:rPr>
      </w:pPr>
    </w:p>
  </w:footnote>
  <w:footnote w:id="2">
    <w:p w14:paraId="0A617DAE" w14:textId="77777777" w:rsidR="007F5F12" w:rsidRPr="00E65094" w:rsidRDefault="007F5F12" w:rsidP="007F5F12">
      <w:pPr>
        <w:spacing w:after="0" w:line="240" w:lineRule="auto"/>
        <w:ind w:left="300" w:right="306" w:firstLine="408"/>
        <w:contextualSpacing/>
        <w:jc w:val="both"/>
        <w:rPr>
          <w:rFonts w:ascii="Verdana" w:hAnsi="Verdana" w:cs="Arial"/>
          <w:sz w:val="14"/>
          <w:szCs w:val="14"/>
        </w:rPr>
      </w:pPr>
      <w:r w:rsidRPr="00E65094">
        <w:rPr>
          <w:rStyle w:val="Refdenotaalpie"/>
          <w:rFonts w:ascii="Verdana" w:hAnsi="Verdana" w:cs="Arial"/>
          <w:sz w:val="14"/>
          <w:szCs w:val="14"/>
        </w:rPr>
        <w:footnoteRef/>
      </w:r>
      <w:r w:rsidRPr="00E65094">
        <w:rPr>
          <w:rFonts w:ascii="Verdana" w:hAnsi="Verdana" w:cs="Arial"/>
          <w:sz w:val="14"/>
          <w:szCs w:val="14"/>
        </w:rPr>
        <w:t xml:space="preserve"> “En el supuesto de vinculación de la mujer gestante o lactante mediante contrato de prestación de servicios, el juez de tutela deberá analizar las circunstancias fácticas que rodean cada caso, para determinar si bajo dicha figura contractual no se está ocultando la existencia de una auténtica relación laboral.</w:t>
      </w:r>
    </w:p>
    <w:p w14:paraId="591F36BB" w14:textId="77777777" w:rsidR="007F5F12" w:rsidRPr="00E65094" w:rsidRDefault="007F5F12" w:rsidP="007F5F12">
      <w:pPr>
        <w:spacing w:after="0" w:line="240" w:lineRule="auto"/>
        <w:ind w:left="300" w:right="306" w:firstLine="707"/>
        <w:contextualSpacing/>
        <w:jc w:val="both"/>
        <w:rPr>
          <w:rFonts w:ascii="Verdana" w:eastAsia="Arial" w:hAnsi="Verdana" w:cs="Arial"/>
          <w:sz w:val="14"/>
          <w:szCs w:val="14"/>
          <w:lang w:val="es-ES"/>
        </w:rPr>
      </w:pPr>
    </w:p>
    <w:p w14:paraId="1D837875" w14:textId="77777777" w:rsidR="007F5F12" w:rsidRPr="00E65094" w:rsidRDefault="007F5F12" w:rsidP="007F5F12">
      <w:pPr>
        <w:spacing w:after="0" w:line="240" w:lineRule="auto"/>
        <w:ind w:left="599" w:right="306" w:firstLine="408"/>
        <w:contextualSpacing/>
        <w:jc w:val="both"/>
        <w:rPr>
          <w:rFonts w:ascii="Verdana" w:hAnsi="Verdana" w:cs="Arial"/>
          <w:sz w:val="14"/>
          <w:szCs w:val="14"/>
        </w:rPr>
      </w:pPr>
      <w:r w:rsidRPr="00E65094">
        <w:rPr>
          <w:rFonts w:ascii="Verdana" w:hAnsi="Verdana" w:cs="Arial"/>
          <w:sz w:val="14"/>
          <w:szCs w:val="14"/>
        </w:rPr>
        <w:t>[…]</w:t>
      </w:r>
    </w:p>
    <w:p w14:paraId="57B0CFC8" w14:textId="77777777" w:rsidR="007F5F12" w:rsidRPr="00E65094" w:rsidRDefault="007F5F12" w:rsidP="007F5F12">
      <w:pPr>
        <w:pStyle w:val="Textoindependiente"/>
        <w:spacing w:after="0" w:line="240" w:lineRule="auto"/>
        <w:ind w:left="300" w:right="306"/>
        <w:contextualSpacing/>
        <w:jc w:val="both"/>
        <w:rPr>
          <w:rFonts w:ascii="Verdana" w:hAnsi="Verdana" w:cs="Arial"/>
          <w:sz w:val="14"/>
          <w:szCs w:val="14"/>
        </w:rPr>
      </w:pPr>
    </w:p>
    <w:p w14:paraId="35201D19" w14:textId="77777777" w:rsidR="007F5F12" w:rsidRPr="00E65094" w:rsidRDefault="007F5F12" w:rsidP="007F5F12">
      <w:pPr>
        <w:spacing w:after="0" w:line="240" w:lineRule="auto"/>
        <w:ind w:left="300" w:right="306" w:firstLine="408"/>
        <w:contextualSpacing/>
        <w:jc w:val="both"/>
        <w:rPr>
          <w:rFonts w:ascii="Verdana" w:hAnsi="Verdana" w:cs="Arial"/>
          <w:sz w:val="14"/>
          <w:szCs w:val="14"/>
        </w:rPr>
      </w:pPr>
      <w:r w:rsidRPr="00E65094">
        <w:rPr>
          <w:rFonts w:ascii="Verdana" w:hAnsi="Verdana" w:cs="Arial"/>
          <w:sz w:val="14"/>
          <w:szCs w:val="14"/>
        </w:rPr>
        <w:t>“Bajo esta lógica, deberá verificarse la estructuración material de los elementos fundamentales de un contrato de trabajo, ‘independientemente de la vinculación o denominación que el empleador adopte para el tipo de contrato que suscriba con el trabajador´. Así, la jurisprudencia de la Corte ha reconocido que los elementos que configuran la existencia de un contrato de trabajo son (i) el salario, (</w:t>
      </w:r>
      <w:r w:rsidRPr="00E65094">
        <w:rPr>
          <w:rFonts w:ascii="Verdana" w:hAnsi="Verdana" w:cs="Arial"/>
          <w:sz w:val="14"/>
          <w:szCs w:val="14"/>
        </w:rPr>
        <w:t>ii) la continua subordinación o dependencia y (iii) la prestación personal del servicio. Por lo tanto, si el juez de tutela concluye la concurrencia de estos tres elementos en una vinculación mediante contrato de prestación de servicios de una trabajadora gestante o lactante, podrá concluirse que se está en presencia de un verdadero contrato de</w:t>
      </w:r>
      <w:r w:rsidRPr="00E65094">
        <w:rPr>
          <w:rFonts w:ascii="Verdana" w:hAnsi="Verdana" w:cs="Arial"/>
          <w:spacing w:val="-17"/>
          <w:sz w:val="14"/>
          <w:szCs w:val="14"/>
        </w:rPr>
        <w:t xml:space="preserve"> </w:t>
      </w:r>
      <w:r w:rsidRPr="00E65094">
        <w:rPr>
          <w:rFonts w:ascii="Verdana" w:hAnsi="Verdana" w:cs="Arial"/>
          <w:sz w:val="14"/>
          <w:szCs w:val="14"/>
        </w:rPr>
        <w:t>trabajo”.</w:t>
      </w:r>
    </w:p>
    <w:p w14:paraId="2C092213" w14:textId="77777777" w:rsidR="007F5F12" w:rsidRPr="00E65094" w:rsidRDefault="007F5F12" w:rsidP="007F5F12">
      <w:pPr>
        <w:pStyle w:val="Textonotapie"/>
        <w:ind w:left="300" w:right="306"/>
        <w:contextualSpacing/>
        <w:jc w:val="both"/>
        <w:rPr>
          <w:rFonts w:ascii="Verdana" w:hAnsi="Verdana" w:cs="Arial"/>
          <w:sz w:val="14"/>
          <w:szCs w:val="14"/>
        </w:rPr>
      </w:pPr>
    </w:p>
  </w:footnote>
  <w:footnote w:id="3">
    <w:p w14:paraId="756CEC25" w14:textId="77777777" w:rsidR="007F5F12" w:rsidRPr="00E65094" w:rsidRDefault="007F5F12" w:rsidP="007F5F12">
      <w:pPr>
        <w:spacing w:after="0" w:line="240" w:lineRule="auto"/>
        <w:ind w:left="300" w:right="306" w:firstLine="709"/>
        <w:contextualSpacing/>
        <w:jc w:val="both"/>
        <w:rPr>
          <w:rFonts w:ascii="Verdana" w:hAnsi="Verdana" w:cs="Arial"/>
          <w:sz w:val="14"/>
          <w:szCs w:val="14"/>
        </w:rPr>
      </w:pPr>
      <w:r w:rsidRPr="00E65094">
        <w:rPr>
          <w:rStyle w:val="Refdenotaalpie"/>
          <w:rFonts w:ascii="Verdana" w:hAnsi="Verdana" w:cs="Arial"/>
          <w:sz w:val="14"/>
          <w:szCs w:val="14"/>
        </w:rPr>
        <w:footnoteRef/>
      </w:r>
      <w:r w:rsidRPr="00E65094">
        <w:rPr>
          <w:rFonts w:ascii="Verdana" w:hAnsi="Verdana" w:cs="Arial"/>
          <w:sz w:val="14"/>
          <w:szCs w:val="14"/>
        </w:rPr>
        <w:t xml:space="preserve"> La Corte Constitucional en la sentencia T-102 del 1 de marzo de 2016 (M.P: María Victoria Calle Correa) protegió el derecho a la estabilidad laboral reforzada a dos mujeres que se encontraban en fuero de maternidad por demostrarse la existencia de un contrato realidad. En el expediente T-5.208.798 la Sala asumió la existencia de un contrato laboral de cara a la subordinación, pues estaba demostrado que la accionante, entre otras, cumplía un horario establecido por el contratante: ´Obsérvese que el empleador no demostró, por ningún medio, la existencia de una causal objetiva relevante que justificara la terminación del contrato, por ejemplo, que la actividad que venía realizando la trabajadora ya no fuera necesaria para la asociación sindical, o de una justa causa de terminación de la relación laboral. Por el contrario, la labor asignada como asistente administrativa hace parte de las tareas cotidianas del sindicato’”.</w:t>
      </w:r>
    </w:p>
    <w:p w14:paraId="6EAC3EF3" w14:textId="77777777" w:rsidR="007F5F12" w:rsidRPr="00E65094" w:rsidRDefault="007F5F12" w:rsidP="007F5F12">
      <w:pPr>
        <w:pStyle w:val="Textonotapie"/>
        <w:ind w:left="300" w:right="306"/>
        <w:contextualSpacing/>
        <w:jc w:val="both"/>
        <w:rPr>
          <w:rFonts w:ascii="Verdana" w:hAnsi="Verdana" w:cs="Arial"/>
          <w:sz w:val="14"/>
          <w:szCs w:val="14"/>
        </w:rPr>
      </w:pPr>
    </w:p>
  </w:footnote>
  <w:footnote w:id="4">
    <w:p w14:paraId="60F7E5B0" w14:textId="77777777" w:rsidR="007F5F12" w:rsidRPr="00E65094" w:rsidRDefault="007F5F12" w:rsidP="007F5F12">
      <w:pPr>
        <w:spacing w:after="0" w:line="240" w:lineRule="auto"/>
        <w:ind w:left="300" w:right="306" w:firstLine="562"/>
        <w:contextualSpacing/>
        <w:jc w:val="both"/>
        <w:rPr>
          <w:rFonts w:ascii="Verdana" w:hAnsi="Verdana" w:cs="Arial"/>
          <w:sz w:val="14"/>
          <w:szCs w:val="14"/>
        </w:rPr>
      </w:pPr>
      <w:r w:rsidRPr="00E65094">
        <w:rPr>
          <w:rFonts w:ascii="Verdana" w:hAnsi="Verdana" w:cs="Arial"/>
          <w:sz w:val="14"/>
          <w:szCs w:val="14"/>
        </w:rPr>
        <w:t xml:space="preserve">  </w:t>
      </w:r>
      <w:r w:rsidRPr="00E65094">
        <w:rPr>
          <w:rStyle w:val="Refdenotaalpie"/>
          <w:rFonts w:ascii="Verdana" w:hAnsi="Verdana" w:cs="Arial"/>
          <w:sz w:val="14"/>
          <w:szCs w:val="14"/>
        </w:rPr>
        <w:footnoteRef/>
      </w:r>
      <w:r w:rsidRPr="00E65094">
        <w:rPr>
          <w:rFonts w:ascii="Verdana" w:hAnsi="Verdana" w:cs="Arial"/>
          <w:sz w:val="14"/>
          <w:szCs w:val="14"/>
        </w:rPr>
        <w:t xml:space="preserve"> Corte Constitucional, sentencia T-564 del 6 de septiembre de 2017, M.P: Cristina Pardo Schlesinger: “La Sala advierte, que ante las contradicciones respecto a los hechos en las cuales incurren las partes involucradas en el asunto de la referencia, en el presente caso no existen suficientes elementos de juicio para la demostración de la relación de trabajo afirmada por la accionante en el escrito de impugnación. La precariedad de las pruebas, los indicios sobre un contrato realidad encubierto y la validez de los documentos aportados al proceso, son asuntos que necesariamente deben ser estudiados por el juez ordinario</w:t>
      </w:r>
      <w:r w:rsidRPr="00E65094">
        <w:rPr>
          <w:rFonts w:ascii="Verdana" w:hAnsi="Verdana" w:cs="Arial"/>
          <w:spacing w:val="-6"/>
          <w:sz w:val="14"/>
          <w:szCs w:val="14"/>
        </w:rPr>
        <w:t xml:space="preserve"> </w:t>
      </w:r>
      <w:r w:rsidRPr="00E65094">
        <w:rPr>
          <w:rFonts w:ascii="Verdana" w:hAnsi="Verdana" w:cs="Arial"/>
          <w:sz w:val="14"/>
          <w:szCs w:val="14"/>
        </w:rPr>
        <w:t>laboral”.</w:t>
      </w:r>
    </w:p>
    <w:p w14:paraId="2133830E" w14:textId="77777777" w:rsidR="007F5F12" w:rsidRPr="00E65094" w:rsidRDefault="007F5F12" w:rsidP="007F5F12">
      <w:pPr>
        <w:spacing w:after="0" w:line="240" w:lineRule="auto"/>
        <w:ind w:left="300" w:right="306"/>
        <w:contextualSpacing/>
        <w:jc w:val="both"/>
        <w:rPr>
          <w:rFonts w:ascii="Verdana" w:hAnsi="Verdana" w:cs="Arial"/>
          <w:sz w:val="14"/>
          <w:szCs w:val="14"/>
        </w:rPr>
      </w:pPr>
    </w:p>
    <w:p w14:paraId="50377C10" w14:textId="77777777" w:rsidR="007F5F12" w:rsidRPr="00E65094" w:rsidRDefault="007F5F12" w:rsidP="007F5F12">
      <w:pPr>
        <w:spacing w:after="0" w:line="240" w:lineRule="auto"/>
        <w:ind w:left="300" w:right="306"/>
        <w:contextualSpacing/>
        <w:jc w:val="both"/>
        <w:rPr>
          <w:rFonts w:ascii="Verdana" w:hAnsi="Verdana" w:cs="Arial"/>
          <w:sz w:val="14"/>
          <w:szCs w:val="14"/>
        </w:rPr>
      </w:pPr>
      <w:r>
        <w:rPr>
          <w:rFonts w:ascii="Verdana" w:hAnsi="Verdana" w:cs="Arial"/>
          <w:sz w:val="14"/>
          <w:szCs w:val="14"/>
        </w:rPr>
        <w:t>[</w:t>
      </w:r>
      <w:r w:rsidRPr="00E65094">
        <w:rPr>
          <w:rFonts w:ascii="Verdana" w:hAnsi="Verdana" w:cs="Arial"/>
          <w:sz w:val="14"/>
          <w:szCs w:val="14"/>
        </w:rPr>
        <w:t>…]</w:t>
      </w:r>
    </w:p>
    <w:p w14:paraId="7B9F52B1" w14:textId="77777777" w:rsidR="007F5F12" w:rsidRPr="00E65094" w:rsidRDefault="007F5F12" w:rsidP="007F5F12">
      <w:pPr>
        <w:pStyle w:val="Textoindependiente"/>
        <w:spacing w:after="0" w:line="240" w:lineRule="auto"/>
        <w:ind w:left="300" w:right="306"/>
        <w:contextualSpacing/>
        <w:jc w:val="both"/>
        <w:rPr>
          <w:rFonts w:ascii="Verdana" w:hAnsi="Verdana" w:cs="Arial"/>
          <w:sz w:val="14"/>
          <w:szCs w:val="14"/>
        </w:rPr>
      </w:pPr>
    </w:p>
    <w:p w14:paraId="2A344B2F" w14:textId="77777777" w:rsidR="007F5F12" w:rsidRPr="00E65094" w:rsidRDefault="007F5F12" w:rsidP="007F5F12">
      <w:pPr>
        <w:spacing w:after="0" w:line="240" w:lineRule="auto"/>
        <w:ind w:left="300" w:right="306" w:firstLine="408"/>
        <w:contextualSpacing/>
        <w:jc w:val="both"/>
        <w:rPr>
          <w:rFonts w:ascii="Verdana" w:hAnsi="Verdana" w:cs="Arial"/>
          <w:sz w:val="14"/>
          <w:szCs w:val="14"/>
        </w:rPr>
      </w:pPr>
      <w:r w:rsidRPr="00E65094">
        <w:rPr>
          <w:rFonts w:ascii="Verdana" w:hAnsi="Verdana" w:cs="Arial"/>
          <w:sz w:val="14"/>
          <w:szCs w:val="14"/>
        </w:rPr>
        <w:t>“Así las cosas, encuentra la Sala que se cumplen los criterios determinados por la Corporación para proceder al amparo de los derechos fundamentales de la contratista: (i) existió una relación de prestación de servicios entre las partes; (</w:t>
      </w:r>
      <w:r w:rsidRPr="00E65094">
        <w:rPr>
          <w:rFonts w:ascii="Verdana" w:hAnsi="Verdana" w:cs="Arial"/>
          <w:sz w:val="14"/>
          <w:szCs w:val="14"/>
        </w:rPr>
        <w:t>ii) la accionante se encontraba en estado de embarazo y dicha situación fue informada a la accionada en el mes de noviembre de 2016, y (iii) a pocos días de conocerse el estado de gestación de la peticionaria, la relación contractual que había sido continua durante ocho (8) meses aproximadamente, se terminó por decisión de la parte contratante y sin que mediara autorización del inspector del trabajo, requisito necesario  en el  presente  caso concreto,  aun cuando se trate de un contrato de prestación de servicios, pues el amparo constitucional de la estabilidad laboral reforzada de las mujeres embarazadas también es aplicable a este tipo de vinculación contractual, acudiendo a la asimilación de estas alternativas a una relación laboral sin condiciones específicas de</w:t>
      </w:r>
      <w:r w:rsidRPr="00E65094">
        <w:rPr>
          <w:rFonts w:ascii="Verdana" w:hAnsi="Verdana" w:cs="Arial"/>
          <w:spacing w:val="2"/>
          <w:sz w:val="14"/>
          <w:szCs w:val="14"/>
        </w:rPr>
        <w:t xml:space="preserve"> </w:t>
      </w:r>
      <w:r w:rsidRPr="00E65094">
        <w:rPr>
          <w:rFonts w:ascii="Verdana" w:hAnsi="Verdana" w:cs="Arial"/>
          <w:sz w:val="14"/>
          <w:szCs w:val="14"/>
        </w:rPr>
        <w:t>terminación”.</w:t>
      </w:r>
    </w:p>
    <w:p w14:paraId="33351FB8" w14:textId="77777777" w:rsidR="007F5F12" w:rsidRPr="00E65094" w:rsidRDefault="007F5F12" w:rsidP="007F5F12">
      <w:pPr>
        <w:spacing w:after="0" w:line="240" w:lineRule="auto"/>
        <w:ind w:left="300" w:right="306" w:firstLine="850"/>
        <w:contextualSpacing/>
        <w:jc w:val="both"/>
        <w:rPr>
          <w:rFonts w:ascii="Verdana" w:hAnsi="Verdana" w:cs="Arial"/>
          <w:sz w:val="14"/>
          <w:szCs w:val="14"/>
        </w:rPr>
      </w:pPr>
    </w:p>
    <w:p w14:paraId="180EA0ED" w14:textId="77777777" w:rsidR="007F5F12" w:rsidRPr="00E65094" w:rsidRDefault="007F5F12" w:rsidP="007F5F12">
      <w:pPr>
        <w:pStyle w:val="Textonotapie"/>
        <w:ind w:left="300" w:right="306"/>
        <w:contextualSpacing/>
        <w:jc w:val="both"/>
        <w:rPr>
          <w:rFonts w:ascii="Verdana" w:hAnsi="Verdana" w:cs="Arial"/>
          <w:sz w:val="14"/>
          <w:szCs w:val="14"/>
        </w:rPr>
      </w:pPr>
    </w:p>
  </w:footnote>
  <w:footnote w:id="5">
    <w:p w14:paraId="044057BA" w14:textId="77777777" w:rsidR="007F5F12" w:rsidRPr="00E65094" w:rsidRDefault="007F5F12" w:rsidP="007F5F12">
      <w:pPr>
        <w:pStyle w:val="Textonotapie"/>
        <w:ind w:firstLine="708"/>
        <w:contextualSpacing/>
        <w:jc w:val="both"/>
        <w:rPr>
          <w:rFonts w:ascii="Verdana" w:hAnsi="Verdana" w:cs="Arial"/>
          <w:sz w:val="14"/>
          <w:szCs w:val="14"/>
          <w:lang w:val="es-CO"/>
        </w:rPr>
      </w:pPr>
      <w:r w:rsidRPr="00E65094">
        <w:rPr>
          <w:rStyle w:val="Refdenotaalpie"/>
          <w:rFonts w:ascii="Verdana" w:hAnsi="Verdana" w:cs="Arial"/>
          <w:sz w:val="14"/>
          <w:szCs w:val="14"/>
        </w:rPr>
        <w:footnoteRef/>
      </w:r>
      <w:r w:rsidRPr="00E65094">
        <w:rPr>
          <w:rFonts w:ascii="Verdana" w:hAnsi="Verdana" w:cs="Arial"/>
          <w:sz w:val="14"/>
          <w:szCs w:val="14"/>
        </w:rPr>
        <w:t xml:space="preserve"> </w:t>
      </w:r>
      <w:r w:rsidRPr="00E65094">
        <w:rPr>
          <w:rFonts w:ascii="Verdana" w:hAnsi="Verdana" w:cs="Arial"/>
          <w:sz w:val="14"/>
          <w:szCs w:val="14"/>
          <w:lang w:val="es-ES"/>
        </w:rPr>
        <w:t>Corte Constitucional. Sentencia SU 075- de 2018. Magistrado Ponente: Gloria Stella Ortiz Delgado</w:t>
      </w:r>
    </w:p>
  </w:footnote>
  <w:footnote w:id="6">
    <w:p w14:paraId="337233D1" w14:textId="77777777" w:rsidR="007F5F12" w:rsidRPr="00E65094" w:rsidRDefault="007F5F12" w:rsidP="007F5F12">
      <w:pPr>
        <w:pStyle w:val="Sinespaciado"/>
        <w:ind w:left="26" w:right="0" w:firstLine="682"/>
        <w:contextualSpacing/>
        <w:rPr>
          <w:rFonts w:ascii="Verdana" w:hAnsi="Verdana" w:cs="Arial"/>
          <w:sz w:val="14"/>
          <w:szCs w:val="14"/>
        </w:rPr>
      </w:pPr>
      <w:r w:rsidRPr="00E65094">
        <w:rPr>
          <w:rStyle w:val="Refdenotaalpie"/>
          <w:rFonts w:ascii="Verdana" w:hAnsi="Verdana" w:cs="Arial"/>
          <w:sz w:val="14"/>
          <w:szCs w:val="14"/>
        </w:rPr>
        <w:footnoteRef/>
      </w:r>
      <w:r w:rsidRPr="00E65094">
        <w:rPr>
          <w:rFonts w:ascii="Verdana" w:hAnsi="Verdana" w:cs="Arial"/>
          <w:sz w:val="14"/>
          <w:szCs w:val="14"/>
        </w:rPr>
        <w:t xml:space="preserve"> Corte Constitucional. Sentencia T-329 del 19 de septiembre de 2022. Expediente </w:t>
      </w:r>
      <w:bookmarkStart w:id="1" w:name="_Hlk113364075"/>
      <w:r w:rsidRPr="00E65094">
        <w:rPr>
          <w:rFonts w:ascii="Verdana" w:hAnsi="Verdana" w:cs="Arial"/>
          <w:sz w:val="14"/>
          <w:szCs w:val="14"/>
        </w:rPr>
        <w:t>T-8.517.984</w:t>
      </w:r>
      <w:bookmarkEnd w:id="1"/>
      <w:r w:rsidRPr="00E65094">
        <w:rPr>
          <w:rFonts w:ascii="Verdana" w:hAnsi="Verdana" w:cs="Arial"/>
          <w:sz w:val="14"/>
          <w:szCs w:val="14"/>
        </w:rPr>
        <w:t>. Magistrada Ponente: Natalia Ángel Cabo</w:t>
      </w:r>
    </w:p>
    <w:p w14:paraId="3F3AAA13" w14:textId="77777777" w:rsidR="007F5F12" w:rsidRPr="00E65094" w:rsidRDefault="007F5F12" w:rsidP="007F5F12">
      <w:pPr>
        <w:pStyle w:val="Textonotapie"/>
        <w:contextualSpacing/>
        <w:rPr>
          <w:rFonts w:ascii="Verdana" w:hAnsi="Verdana" w:cs="Arial"/>
          <w:sz w:val="14"/>
          <w:szCs w:val="14"/>
        </w:rPr>
      </w:pPr>
    </w:p>
  </w:footnote>
  <w:footnote w:id="7">
    <w:p w14:paraId="489B69E0" w14:textId="77777777" w:rsidR="007F5F12" w:rsidRPr="00E65094" w:rsidRDefault="007F5F12" w:rsidP="007F5F12">
      <w:pPr>
        <w:pStyle w:val="Textonotapie"/>
        <w:ind w:firstLine="708"/>
        <w:contextualSpacing/>
        <w:jc w:val="both"/>
        <w:rPr>
          <w:rFonts w:ascii="Verdana" w:hAnsi="Verdana" w:cs="Arial"/>
          <w:sz w:val="14"/>
          <w:szCs w:val="14"/>
        </w:rPr>
      </w:pPr>
      <w:r w:rsidRPr="00E65094">
        <w:rPr>
          <w:rStyle w:val="Refdenotaalpie"/>
          <w:rFonts w:ascii="Verdana" w:hAnsi="Verdana" w:cs="Arial"/>
          <w:sz w:val="14"/>
          <w:szCs w:val="14"/>
        </w:rPr>
        <w:footnoteRef/>
      </w:r>
      <w:r w:rsidRPr="00E65094">
        <w:rPr>
          <w:rFonts w:ascii="Verdana" w:hAnsi="Verdana" w:cs="Arial"/>
          <w:sz w:val="14"/>
          <w:szCs w:val="14"/>
        </w:rPr>
        <w:t xml:space="preserve"> Sentencia SU-070 de 2013. Fund. 6. Reiterado en las</w:t>
      </w:r>
      <w:r w:rsidRPr="00E65094">
        <w:rPr>
          <w:rFonts w:ascii="Verdana" w:hAnsi="Verdana" w:cs="Arial"/>
          <w:sz w:val="14"/>
          <w:szCs w:val="14"/>
          <w:lang w:val="es-ES_tradnl"/>
        </w:rPr>
        <w:t xml:space="preserve"> sentencias SU-040 de 2018 y SU-075 de 2018.</w:t>
      </w:r>
    </w:p>
  </w:footnote>
  <w:footnote w:id="8">
    <w:p w14:paraId="0D39A173" w14:textId="77777777" w:rsidR="007F5F12" w:rsidRPr="00E65094" w:rsidRDefault="007F5F12" w:rsidP="007F5F12">
      <w:pPr>
        <w:pStyle w:val="Textonotapie"/>
        <w:contextualSpacing/>
        <w:jc w:val="both"/>
        <w:rPr>
          <w:rFonts w:ascii="Verdana" w:hAnsi="Verdana" w:cs="Arial"/>
          <w:sz w:val="14"/>
          <w:szCs w:val="14"/>
        </w:rPr>
      </w:pPr>
    </w:p>
    <w:p w14:paraId="76F381E8" w14:textId="77777777" w:rsidR="007F5F12" w:rsidRPr="00E65094" w:rsidRDefault="007F5F12" w:rsidP="007F5F12">
      <w:pPr>
        <w:pStyle w:val="Textonotapie"/>
        <w:ind w:firstLine="708"/>
        <w:contextualSpacing/>
        <w:jc w:val="both"/>
        <w:rPr>
          <w:rFonts w:ascii="Verdana" w:hAnsi="Verdana" w:cs="Arial"/>
          <w:sz w:val="14"/>
          <w:szCs w:val="14"/>
        </w:rPr>
      </w:pPr>
      <w:r w:rsidRPr="00E65094">
        <w:rPr>
          <w:rStyle w:val="Refdenotaalpie"/>
          <w:rFonts w:ascii="Verdana" w:hAnsi="Verdana" w:cs="Arial"/>
          <w:sz w:val="14"/>
          <w:szCs w:val="14"/>
        </w:rPr>
        <w:footnoteRef/>
      </w:r>
      <w:r w:rsidRPr="00E65094">
        <w:rPr>
          <w:rFonts w:ascii="Verdana" w:hAnsi="Verdana" w:cs="Arial"/>
          <w:sz w:val="14"/>
          <w:szCs w:val="14"/>
        </w:rPr>
        <w:t xml:space="preserve"> Esta indemnización se ha reconocido en contratos de prestación de servicios, entre otras, en las sentencias T-564 de 2017, T-350 de 2016, 316 de 2016, T-102 de 2016 y T-346 de 2013.</w:t>
      </w:r>
    </w:p>
  </w:footnote>
  <w:footnote w:id="9">
    <w:p w14:paraId="76CB85E8" w14:textId="77777777" w:rsidR="007F5F12" w:rsidRPr="00E65094" w:rsidRDefault="007F5F12" w:rsidP="007F5F12">
      <w:pPr>
        <w:pStyle w:val="Textonotapie"/>
        <w:contextualSpacing/>
        <w:jc w:val="both"/>
        <w:rPr>
          <w:rFonts w:ascii="Verdana" w:hAnsi="Verdana" w:cs="Arial"/>
          <w:sz w:val="14"/>
          <w:szCs w:val="14"/>
        </w:rPr>
      </w:pPr>
    </w:p>
    <w:p w14:paraId="78DD1362" w14:textId="77777777" w:rsidR="007F5F12" w:rsidRPr="00E65094" w:rsidRDefault="007F5F12" w:rsidP="007F5F12">
      <w:pPr>
        <w:pStyle w:val="Textonotapie"/>
        <w:ind w:firstLine="708"/>
        <w:contextualSpacing/>
        <w:jc w:val="both"/>
        <w:rPr>
          <w:rFonts w:ascii="Verdana" w:hAnsi="Verdana" w:cs="Arial"/>
          <w:sz w:val="14"/>
          <w:szCs w:val="14"/>
        </w:rPr>
      </w:pPr>
      <w:r w:rsidRPr="00E65094">
        <w:rPr>
          <w:rStyle w:val="Refdenotaalpie"/>
          <w:rFonts w:ascii="Verdana" w:hAnsi="Verdana" w:cs="Arial"/>
          <w:sz w:val="14"/>
          <w:szCs w:val="14"/>
        </w:rPr>
        <w:footnoteRef/>
      </w:r>
      <w:r w:rsidRPr="00E65094">
        <w:rPr>
          <w:rFonts w:ascii="Verdana" w:hAnsi="Verdana" w:cs="Arial"/>
          <w:sz w:val="14"/>
          <w:szCs w:val="14"/>
        </w:rPr>
        <w:t xml:space="preserve"> En las sentencias T-238 de 2015 y T-350 de 2016 la Corte determinó que no procede el pago de la licencia de maternidad cuando en el caso se observe que la licencia de maternidad ya fue disfrutada. </w:t>
      </w:r>
    </w:p>
  </w:footnote>
  <w:footnote w:id="10">
    <w:p w14:paraId="543D8B6A" w14:textId="77777777" w:rsidR="007F5F12" w:rsidRPr="00E65094" w:rsidRDefault="007F5F12" w:rsidP="007F5F12">
      <w:pPr>
        <w:pStyle w:val="Textonotapie"/>
        <w:ind w:firstLine="708"/>
        <w:contextualSpacing/>
        <w:jc w:val="both"/>
        <w:rPr>
          <w:rFonts w:ascii="Verdana" w:hAnsi="Verdana" w:cs="Arial"/>
          <w:sz w:val="14"/>
          <w:szCs w:val="14"/>
        </w:rPr>
      </w:pPr>
    </w:p>
    <w:p w14:paraId="581A423D" w14:textId="77777777" w:rsidR="007F5F12" w:rsidRPr="00E65094" w:rsidRDefault="007F5F12" w:rsidP="007F5F12">
      <w:pPr>
        <w:pStyle w:val="Textonotapie"/>
        <w:ind w:firstLine="708"/>
        <w:contextualSpacing/>
        <w:jc w:val="both"/>
        <w:rPr>
          <w:rFonts w:ascii="Verdana" w:hAnsi="Verdana" w:cs="Arial"/>
          <w:sz w:val="14"/>
          <w:szCs w:val="14"/>
        </w:rPr>
      </w:pPr>
      <w:r w:rsidRPr="00E65094">
        <w:rPr>
          <w:rStyle w:val="Refdenotaalpie"/>
          <w:rFonts w:ascii="Verdana" w:hAnsi="Verdana" w:cs="Arial"/>
          <w:sz w:val="14"/>
          <w:szCs w:val="14"/>
        </w:rPr>
        <w:footnoteRef/>
      </w:r>
      <w:r w:rsidRPr="00E65094">
        <w:rPr>
          <w:rFonts w:ascii="Verdana" w:hAnsi="Verdana" w:cs="Arial"/>
          <w:sz w:val="14"/>
          <w:szCs w:val="14"/>
        </w:rPr>
        <w:t xml:space="preserve"> Esta media fue aplicada en la Sentencia T-030 de 2018 respecto del caso estudiado bajo el expediente T-6.425.691.</w:t>
      </w:r>
    </w:p>
  </w:footnote>
  <w:footnote w:id="11">
    <w:p w14:paraId="026C0B1C" w14:textId="77777777" w:rsidR="007F5F12" w:rsidRPr="00E65094" w:rsidRDefault="007F5F12" w:rsidP="007F5F12">
      <w:pPr>
        <w:pStyle w:val="Textonotapie"/>
        <w:ind w:firstLine="708"/>
        <w:contextualSpacing/>
        <w:jc w:val="both"/>
        <w:rPr>
          <w:rFonts w:ascii="Verdana" w:hAnsi="Verdana" w:cs="Arial"/>
          <w:sz w:val="14"/>
          <w:szCs w:val="14"/>
        </w:rPr>
      </w:pPr>
    </w:p>
    <w:p w14:paraId="05F2E8B3" w14:textId="77777777" w:rsidR="007F5F12" w:rsidRPr="00E65094" w:rsidRDefault="007F5F12" w:rsidP="007F5F12">
      <w:pPr>
        <w:pStyle w:val="Textonotapie"/>
        <w:ind w:firstLine="708"/>
        <w:contextualSpacing/>
        <w:jc w:val="both"/>
        <w:rPr>
          <w:rFonts w:ascii="Verdana" w:hAnsi="Verdana" w:cs="Arial"/>
          <w:sz w:val="14"/>
          <w:szCs w:val="14"/>
        </w:rPr>
      </w:pPr>
      <w:r w:rsidRPr="00E65094">
        <w:rPr>
          <w:rStyle w:val="Refdenotaalpie"/>
          <w:rFonts w:ascii="Verdana" w:hAnsi="Verdana" w:cs="Arial"/>
          <w:sz w:val="14"/>
          <w:szCs w:val="14"/>
        </w:rPr>
        <w:footnoteRef/>
      </w:r>
      <w:r w:rsidRPr="00E65094">
        <w:rPr>
          <w:rFonts w:ascii="Verdana" w:hAnsi="Verdana" w:cs="Arial"/>
          <w:sz w:val="14"/>
          <w:szCs w:val="14"/>
        </w:rPr>
        <w:t xml:space="preserve"> En algunas oportunidades las salas de revisión han reconocido el pago de las prestaciones en materia de seguridad social en salud. Sentencia T-102 de 2016.</w:t>
      </w:r>
    </w:p>
  </w:footnote>
  <w:footnote w:id="12">
    <w:p w14:paraId="40A75724" w14:textId="77777777" w:rsidR="0088370B" w:rsidRPr="004F63B2" w:rsidRDefault="0088370B" w:rsidP="0088370B">
      <w:pPr>
        <w:pStyle w:val="Textonotapie"/>
        <w:ind w:firstLine="709"/>
        <w:jc w:val="both"/>
        <w:rPr>
          <w:rFonts w:ascii="Verdana" w:hAnsi="Verdana"/>
          <w:sz w:val="16"/>
          <w:szCs w:val="16"/>
          <w:lang w:val="es-ES"/>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Consejo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Estado. Sala de lo Contencioso Administrativo. Sección</w:t>
      </w:r>
      <w:r w:rsidRPr="004F63B2">
        <w:rPr>
          <w:rFonts w:ascii="Verdana" w:hAnsi="Verdana"/>
          <w:spacing w:val="-4"/>
          <w:sz w:val="16"/>
          <w:szCs w:val="16"/>
          <w:lang w:val="es-CO"/>
        </w:rPr>
        <w:t xml:space="preserve"> </w:t>
      </w:r>
      <w:r w:rsidRPr="004F63B2">
        <w:rPr>
          <w:rFonts w:ascii="Verdana" w:hAnsi="Verdana"/>
          <w:sz w:val="16"/>
          <w:szCs w:val="16"/>
          <w:lang w:val="es-CO"/>
        </w:rPr>
        <w:t>Segunda,</w:t>
      </w:r>
      <w:r w:rsidRPr="004F63B2">
        <w:rPr>
          <w:rFonts w:ascii="Verdana" w:hAnsi="Verdana"/>
          <w:spacing w:val="-4"/>
          <w:sz w:val="16"/>
          <w:szCs w:val="16"/>
          <w:lang w:val="es-CO"/>
        </w:rPr>
        <w:t xml:space="preserve"> </w:t>
      </w:r>
      <w:r w:rsidRPr="004F63B2">
        <w:rPr>
          <w:rFonts w:ascii="Verdana" w:hAnsi="Verdana"/>
          <w:sz w:val="16"/>
          <w:szCs w:val="16"/>
          <w:lang w:val="es-CO"/>
        </w:rPr>
        <w:t>Subsección A.</w:t>
      </w:r>
      <w:r w:rsidRPr="004F63B2">
        <w:rPr>
          <w:rFonts w:ascii="Verdana" w:hAnsi="Verdana"/>
          <w:spacing w:val="-4"/>
          <w:sz w:val="16"/>
          <w:szCs w:val="16"/>
          <w:lang w:val="es-CO"/>
        </w:rPr>
        <w:t xml:space="preserve"> </w:t>
      </w:r>
      <w:r w:rsidRPr="004F63B2">
        <w:rPr>
          <w:rFonts w:ascii="Verdana" w:hAnsi="Verdana"/>
          <w:sz w:val="16"/>
          <w:szCs w:val="16"/>
          <w:lang w:val="es-CO"/>
        </w:rPr>
        <w:t>Sentencia</w:t>
      </w:r>
      <w:r w:rsidRPr="004F63B2">
        <w:rPr>
          <w:rFonts w:ascii="Verdana" w:hAnsi="Verdana"/>
          <w:spacing w:val="-4"/>
          <w:sz w:val="16"/>
          <w:szCs w:val="16"/>
          <w:lang w:val="es-CO"/>
        </w:rPr>
        <w:t xml:space="preserve"> </w:t>
      </w:r>
      <w:r w:rsidRPr="004F63B2">
        <w:rPr>
          <w:rFonts w:ascii="Verdana" w:hAnsi="Verdana"/>
          <w:sz w:val="16"/>
          <w:szCs w:val="16"/>
          <w:lang w:val="es-CO"/>
        </w:rPr>
        <w:t>del</w:t>
      </w:r>
      <w:r w:rsidRPr="004F63B2">
        <w:rPr>
          <w:rFonts w:ascii="Verdana" w:hAnsi="Verdana"/>
          <w:spacing w:val="-4"/>
          <w:sz w:val="16"/>
          <w:szCs w:val="16"/>
          <w:lang w:val="es-CO"/>
        </w:rPr>
        <w:t xml:space="preserve"> </w:t>
      </w:r>
      <w:r w:rsidRPr="004F63B2">
        <w:rPr>
          <w:rFonts w:ascii="Verdana" w:hAnsi="Verdana"/>
          <w:sz w:val="16"/>
          <w:szCs w:val="16"/>
          <w:lang w:val="es-CO"/>
        </w:rPr>
        <w:t>26 de</w:t>
      </w:r>
      <w:r w:rsidRPr="004F63B2">
        <w:rPr>
          <w:rFonts w:ascii="Verdana" w:hAnsi="Verdana"/>
          <w:spacing w:val="-4"/>
          <w:sz w:val="16"/>
          <w:szCs w:val="16"/>
          <w:lang w:val="es-CO"/>
        </w:rPr>
        <w:t xml:space="preserve"> </w:t>
      </w:r>
      <w:r w:rsidRPr="004F63B2">
        <w:rPr>
          <w:rFonts w:ascii="Verdana" w:hAnsi="Verdana"/>
          <w:sz w:val="16"/>
          <w:szCs w:val="16"/>
          <w:lang w:val="es-CO"/>
        </w:rPr>
        <w:t>enero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2023.</w:t>
      </w:r>
      <w:r w:rsidRPr="004F63B2">
        <w:rPr>
          <w:rFonts w:ascii="Verdana" w:hAnsi="Verdana"/>
          <w:spacing w:val="-4"/>
          <w:sz w:val="16"/>
          <w:szCs w:val="16"/>
          <w:lang w:val="es-CO"/>
        </w:rPr>
        <w:t xml:space="preserve"> </w:t>
      </w:r>
      <w:r w:rsidRPr="004F63B2">
        <w:rPr>
          <w:rFonts w:ascii="Verdana" w:hAnsi="Verdana"/>
          <w:sz w:val="16"/>
          <w:szCs w:val="16"/>
          <w:lang w:val="es-CO"/>
        </w:rPr>
        <w:t>Exp</w:t>
      </w:r>
      <w:r w:rsidRPr="004F63B2">
        <w:rPr>
          <w:rFonts w:ascii="Verdana" w:hAnsi="Verdana"/>
          <w:spacing w:val="-4"/>
          <w:sz w:val="16"/>
          <w:szCs w:val="16"/>
          <w:lang w:val="es-CO"/>
        </w:rPr>
        <w:t xml:space="preserve"> </w:t>
      </w:r>
      <w:r w:rsidRPr="004F63B2">
        <w:rPr>
          <w:rFonts w:ascii="Verdana" w:hAnsi="Verdana"/>
          <w:sz w:val="16"/>
          <w:szCs w:val="16"/>
          <w:lang w:val="es-CO"/>
        </w:rPr>
        <w:t>(4620-2017),</w:t>
      </w:r>
      <w:r w:rsidRPr="004F63B2">
        <w:rPr>
          <w:rFonts w:ascii="Verdana" w:hAnsi="Verdana"/>
          <w:spacing w:val="-4"/>
          <w:sz w:val="16"/>
          <w:szCs w:val="16"/>
          <w:lang w:val="es-CO"/>
        </w:rPr>
        <w:t xml:space="preserve"> </w:t>
      </w:r>
      <w:r w:rsidRPr="004F63B2">
        <w:rPr>
          <w:rFonts w:ascii="Verdana" w:hAnsi="Verdana"/>
          <w:sz w:val="16"/>
          <w:szCs w:val="16"/>
          <w:lang w:val="es-CO"/>
        </w:rPr>
        <w:t>C.P</w:t>
      </w:r>
      <w:r w:rsidRPr="004F63B2">
        <w:rPr>
          <w:rFonts w:ascii="Verdana" w:hAnsi="Verdana"/>
          <w:spacing w:val="-4"/>
          <w:sz w:val="16"/>
          <w:szCs w:val="16"/>
          <w:lang w:val="es-CO"/>
        </w:rPr>
        <w:t xml:space="preserve"> </w:t>
      </w:r>
      <w:r w:rsidRPr="004F63B2">
        <w:rPr>
          <w:rFonts w:ascii="Verdana" w:hAnsi="Verdana"/>
          <w:sz w:val="16"/>
          <w:szCs w:val="16"/>
          <w:lang w:val="es-CO"/>
        </w:rPr>
        <w:t>Gabriel</w:t>
      </w:r>
      <w:r w:rsidRPr="004F63B2">
        <w:rPr>
          <w:rFonts w:ascii="Verdana" w:hAnsi="Verdana"/>
          <w:spacing w:val="-4"/>
          <w:sz w:val="16"/>
          <w:szCs w:val="16"/>
          <w:lang w:val="es-CO"/>
        </w:rPr>
        <w:t xml:space="preserve"> </w:t>
      </w:r>
      <w:r w:rsidRPr="004F63B2">
        <w:rPr>
          <w:rFonts w:ascii="Verdana" w:hAnsi="Verdana"/>
          <w:sz w:val="16"/>
          <w:szCs w:val="16"/>
          <w:lang w:val="es-CO"/>
        </w:rPr>
        <w:t xml:space="preserve">Valbuena </w:t>
      </w:r>
      <w:r w:rsidRPr="004F63B2">
        <w:rPr>
          <w:rFonts w:ascii="Verdana" w:hAnsi="Verdana"/>
          <w:spacing w:val="-2"/>
          <w:sz w:val="16"/>
          <w:szCs w:val="16"/>
          <w:lang w:val="es-CO"/>
        </w:rPr>
        <w:t>Hernández.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8B9449D"/>
    <w:multiLevelType w:val="hybridMultilevel"/>
    <w:tmpl w:val="F5EE4B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0"/>
  </w:num>
  <w:num w:numId="13" w16cid:durableId="1512908409">
    <w:abstractNumId w:val="3"/>
  </w:num>
  <w:num w:numId="14" w16cid:durableId="895897244">
    <w:abstractNumId w:val="15"/>
  </w:num>
  <w:num w:numId="15" w16cid:durableId="390349800">
    <w:abstractNumId w:val="11"/>
  </w:num>
  <w:num w:numId="16" w16cid:durableId="1149858707">
    <w:abstractNumId w:val="9"/>
  </w:num>
  <w:num w:numId="17" w16cid:durableId="380591179">
    <w:abstractNumId w:val="2"/>
  </w:num>
  <w:num w:numId="18" w16cid:durableId="19144701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46F93"/>
    <w:rsid w:val="00061B2A"/>
    <w:rsid w:val="00082362"/>
    <w:rsid w:val="0008636B"/>
    <w:rsid w:val="000A683E"/>
    <w:rsid w:val="000B19B9"/>
    <w:rsid w:val="000D0334"/>
    <w:rsid w:val="000D2776"/>
    <w:rsid w:val="000D5DA7"/>
    <w:rsid w:val="000F6486"/>
    <w:rsid w:val="00116940"/>
    <w:rsid w:val="0012441F"/>
    <w:rsid w:val="00125105"/>
    <w:rsid w:val="00127233"/>
    <w:rsid w:val="0015699B"/>
    <w:rsid w:val="001A33BF"/>
    <w:rsid w:val="001E4177"/>
    <w:rsid w:val="001F0B24"/>
    <w:rsid w:val="001F7DC6"/>
    <w:rsid w:val="00222470"/>
    <w:rsid w:val="00223060"/>
    <w:rsid w:val="0022400B"/>
    <w:rsid w:val="00225A47"/>
    <w:rsid w:val="00234571"/>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103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70194"/>
    <w:rsid w:val="00480BB6"/>
    <w:rsid w:val="004A1847"/>
    <w:rsid w:val="004A305D"/>
    <w:rsid w:val="004F21C4"/>
    <w:rsid w:val="004F685F"/>
    <w:rsid w:val="005566E8"/>
    <w:rsid w:val="00557C58"/>
    <w:rsid w:val="00560CF0"/>
    <w:rsid w:val="00574867"/>
    <w:rsid w:val="00591460"/>
    <w:rsid w:val="005A65E0"/>
    <w:rsid w:val="005C3777"/>
    <w:rsid w:val="005C5CDC"/>
    <w:rsid w:val="005D476C"/>
    <w:rsid w:val="00614148"/>
    <w:rsid w:val="006200BF"/>
    <w:rsid w:val="006219F8"/>
    <w:rsid w:val="006302F7"/>
    <w:rsid w:val="006401B6"/>
    <w:rsid w:val="00646B9F"/>
    <w:rsid w:val="00661EA7"/>
    <w:rsid w:val="00665D70"/>
    <w:rsid w:val="006900D9"/>
    <w:rsid w:val="00694B07"/>
    <w:rsid w:val="006F4624"/>
    <w:rsid w:val="0070148F"/>
    <w:rsid w:val="00706C16"/>
    <w:rsid w:val="0073337B"/>
    <w:rsid w:val="007340C3"/>
    <w:rsid w:val="0075235A"/>
    <w:rsid w:val="00756841"/>
    <w:rsid w:val="007649AB"/>
    <w:rsid w:val="00771D0C"/>
    <w:rsid w:val="007833AC"/>
    <w:rsid w:val="00787CA6"/>
    <w:rsid w:val="00790DA9"/>
    <w:rsid w:val="007B268C"/>
    <w:rsid w:val="007B7171"/>
    <w:rsid w:val="007C0C0F"/>
    <w:rsid w:val="007C3DC2"/>
    <w:rsid w:val="007E5497"/>
    <w:rsid w:val="007F5F12"/>
    <w:rsid w:val="00806F5F"/>
    <w:rsid w:val="0080700A"/>
    <w:rsid w:val="00820278"/>
    <w:rsid w:val="008258C9"/>
    <w:rsid w:val="0084339D"/>
    <w:rsid w:val="00844AE9"/>
    <w:rsid w:val="00867F95"/>
    <w:rsid w:val="0088370B"/>
    <w:rsid w:val="008843B6"/>
    <w:rsid w:val="00885DD5"/>
    <w:rsid w:val="00891928"/>
    <w:rsid w:val="008A446D"/>
    <w:rsid w:val="008A56FA"/>
    <w:rsid w:val="008B25F1"/>
    <w:rsid w:val="008D180B"/>
    <w:rsid w:val="008E240A"/>
    <w:rsid w:val="008F0EA7"/>
    <w:rsid w:val="00911057"/>
    <w:rsid w:val="00915699"/>
    <w:rsid w:val="00923EEF"/>
    <w:rsid w:val="009419F9"/>
    <w:rsid w:val="0095685E"/>
    <w:rsid w:val="00961B09"/>
    <w:rsid w:val="00965334"/>
    <w:rsid w:val="0097093E"/>
    <w:rsid w:val="009A0DFA"/>
    <w:rsid w:val="009A1C6F"/>
    <w:rsid w:val="009B2D26"/>
    <w:rsid w:val="009C66CC"/>
    <w:rsid w:val="009C71FA"/>
    <w:rsid w:val="009C72E7"/>
    <w:rsid w:val="009C7F7E"/>
    <w:rsid w:val="009D3058"/>
    <w:rsid w:val="009E3A44"/>
    <w:rsid w:val="009F3A13"/>
    <w:rsid w:val="00A122D3"/>
    <w:rsid w:val="00A14468"/>
    <w:rsid w:val="00A17F13"/>
    <w:rsid w:val="00A20739"/>
    <w:rsid w:val="00A23AF9"/>
    <w:rsid w:val="00A33C78"/>
    <w:rsid w:val="00AB0ADB"/>
    <w:rsid w:val="00AB28EF"/>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A60DA"/>
    <w:rsid w:val="00CB0DC8"/>
    <w:rsid w:val="00CB368F"/>
    <w:rsid w:val="00CB6357"/>
    <w:rsid w:val="00CC1B26"/>
    <w:rsid w:val="00D361FD"/>
    <w:rsid w:val="00D423A2"/>
    <w:rsid w:val="00D44E26"/>
    <w:rsid w:val="00D520D8"/>
    <w:rsid w:val="00D63AC2"/>
    <w:rsid w:val="00D7383B"/>
    <w:rsid w:val="00D7788A"/>
    <w:rsid w:val="00DA1E12"/>
    <w:rsid w:val="00DA231B"/>
    <w:rsid w:val="00DB4BD0"/>
    <w:rsid w:val="00DC39FC"/>
    <w:rsid w:val="00DD6996"/>
    <w:rsid w:val="00DF5254"/>
    <w:rsid w:val="00E02524"/>
    <w:rsid w:val="00E064B7"/>
    <w:rsid w:val="00E16408"/>
    <w:rsid w:val="00E20894"/>
    <w:rsid w:val="00E2455D"/>
    <w:rsid w:val="00E245AB"/>
    <w:rsid w:val="00E2764C"/>
    <w:rsid w:val="00E27F2E"/>
    <w:rsid w:val="00E50AFE"/>
    <w:rsid w:val="00E75C92"/>
    <w:rsid w:val="00E771DC"/>
    <w:rsid w:val="00E84C25"/>
    <w:rsid w:val="00E8772A"/>
    <w:rsid w:val="00E90F6B"/>
    <w:rsid w:val="00E92C27"/>
    <w:rsid w:val="00EA0E3D"/>
    <w:rsid w:val="00EB47C6"/>
    <w:rsid w:val="00EC38A7"/>
    <w:rsid w:val="00EE1AA8"/>
    <w:rsid w:val="00EE3F37"/>
    <w:rsid w:val="00F10B53"/>
    <w:rsid w:val="00F23FEA"/>
    <w:rsid w:val="00F31EDC"/>
    <w:rsid w:val="00F462B3"/>
    <w:rsid w:val="00F5664F"/>
    <w:rsid w:val="00F666C4"/>
    <w:rsid w:val="00F67D91"/>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99"/>
    <w:unhideWhenUsed/>
    <w:rsid w:val="007F5F12"/>
    <w:pPr>
      <w:spacing w:after="120"/>
    </w:pPr>
  </w:style>
  <w:style w:type="character" w:customStyle="1" w:styleId="TextoindependienteCar">
    <w:name w:val="Texto independiente Car"/>
    <w:basedOn w:val="Fuentedeprrafopredeter"/>
    <w:link w:val="Textoindependiente"/>
    <w:uiPriority w:val="99"/>
    <w:rsid w:val="007F5F12"/>
  </w:style>
  <w:style w:type="paragraph" w:customStyle="1" w:styleId="Appelnotedebasde">
    <w:name w:val="Appel note de bas de..."/>
    <w:basedOn w:val="Normal"/>
    <w:link w:val="Refdenotaalpie"/>
    <w:uiPriority w:val="99"/>
    <w:rsid w:val="007F5F1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7F5F12"/>
    <w:rPr>
      <w:rFonts w:ascii="Geomanist Light" w:hAnsi="Geomanist Light"/>
      <w:lang w:val="es-ES"/>
    </w:rPr>
  </w:style>
  <w:style w:type="character" w:customStyle="1" w:styleId="NormalWebCar">
    <w:name w:val="Normal (Web) Car"/>
    <w:link w:val="NormalWeb"/>
    <w:uiPriority w:val="99"/>
    <w:rsid w:val="007F5F12"/>
    <w:rPr>
      <w:rFonts w:ascii="Times New Roman" w:eastAsia="Times New Roman" w:hAnsi="Times New Roman" w:cs="Times New Roman"/>
      <w:sz w:val="24"/>
      <w:szCs w:val="24"/>
      <w:lang w:eastAsia="es-CO"/>
    </w:rPr>
  </w:style>
  <w:style w:type="paragraph" w:styleId="Sinespaciado">
    <w:name w:val="No Spacing"/>
    <w:uiPriority w:val="1"/>
    <w:qFormat/>
    <w:rsid w:val="007F5F12"/>
    <w:pPr>
      <w:spacing w:after="0" w:line="240" w:lineRule="auto"/>
      <w:ind w:right="-68"/>
      <w:jc w:val="both"/>
    </w:pPr>
    <w:rPr>
      <w:rFonts w:ascii="Times New Roman" w:eastAsia="Times New Roman" w:hAnsi="Times New Roman" w:cs="Times New Roman"/>
      <w:sz w:val="28"/>
      <w:szCs w:val="28"/>
      <w:lang w:eastAsia="es-ES"/>
    </w:rPr>
  </w:style>
  <w:style w:type="paragraph" w:styleId="Descripcin">
    <w:name w:val="caption"/>
    <w:basedOn w:val="Normal"/>
    <w:next w:val="Normal"/>
    <w:uiPriority w:val="35"/>
    <w:unhideWhenUsed/>
    <w:qFormat/>
    <w:rsid w:val="007F5F12"/>
    <w:pPr>
      <w:spacing w:after="200" w:line="240" w:lineRule="auto"/>
    </w:pPr>
    <w:rPr>
      <w:rFonts w:ascii="Times New Roman" w:eastAsia="Times New Roman" w:hAnsi="Times New Roman" w:cs="Times New Roman"/>
      <w:i/>
      <w:iCs/>
      <w:color w:val="44546A" w:themeColor="text2"/>
      <w:sz w:val="18"/>
      <w:szCs w:val="18"/>
    </w:rPr>
  </w:style>
  <w:style w:type="character" w:styleId="Refdecomentario">
    <w:name w:val="annotation reference"/>
    <w:basedOn w:val="Fuentedeprrafopredeter"/>
    <w:uiPriority w:val="99"/>
    <w:semiHidden/>
    <w:unhideWhenUsed/>
    <w:rsid w:val="00F10B53"/>
    <w:rPr>
      <w:sz w:val="16"/>
      <w:szCs w:val="16"/>
    </w:rPr>
  </w:style>
  <w:style w:type="paragraph" w:styleId="Textocomentario">
    <w:name w:val="annotation text"/>
    <w:basedOn w:val="Normal"/>
    <w:link w:val="TextocomentarioCar"/>
    <w:uiPriority w:val="99"/>
    <w:unhideWhenUsed/>
    <w:rsid w:val="00F10B53"/>
    <w:pPr>
      <w:spacing w:line="240" w:lineRule="auto"/>
    </w:pPr>
    <w:rPr>
      <w:sz w:val="20"/>
      <w:szCs w:val="20"/>
    </w:rPr>
  </w:style>
  <w:style w:type="character" w:customStyle="1" w:styleId="TextocomentarioCar">
    <w:name w:val="Texto comentario Car"/>
    <w:basedOn w:val="Fuentedeprrafopredeter"/>
    <w:link w:val="Textocomentario"/>
    <w:uiPriority w:val="99"/>
    <w:rsid w:val="00F10B53"/>
    <w:rPr>
      <w:sz w:val="20"/>
      <w:szCs w:val="20"/>
    </w:rPr>
  </w:style>
  <w:style w:type="paragraph" w:styleId="Asuntodelcomentario">
    <w:name w:val="annotation subject"/>
    <w:basedOn w:val="Textocomentario"/>
    <w:next w:val="Textocomentario"/>
    <w:link w:val="AsuntodelcomentarioCar"/>
    <w:uiPriority w:val="99"/>
    <w:semiHidden/>
    <w:unhideWhenUsed/>
    <w:rsid w:val="00F10B53"/>
    <w:rPr>
      <w:b/>
      <w:bCs/>
    </w:rPr>
  </w:style>
  <w:style w:type="character" w:customStyle="1" w:styleId="AsuntodelcomentarioCar">
    <w:name w:val="Asunto del comentario Car"/>
    <w:basedOn w:val="TextocomentarioCar"/>
    <w:link w:val="Asuntodelcomentario"/>
    <w:uiPriority w:val="99"/>
    <w:semiHidden/>
    <w:rsid w:val="00F10B5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alcaldiabogota.gov.co/sisjur/normas/Norma1.jsp?i=33104&amp;238"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6F35FE9-643F-4094-9805-84CFB21FC5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19</Pages>
  <Words>6123</Words>
  <Characters>32519</Characters>
  <Application>Microsoft Office Word</Application>
  <DocSecurity>0</DocSecurity>
  <Lines>663</Lines>
  <Paragraphs>146</Paragraphs>
  <ScaleCrop>false</ScaleCrop>
  <Company/>
  <LinksUpToDate>false</LinksUpToDate>
  <CharactersWithSpaces>38496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2026-01-29T19:36:00Z</dcterms:created>
  <dcterms:modified xsi:type="dcterms:W3CDTF">2026-01-30T16:47:00Z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