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BE193" w14:textId="5772BAAD" w:rsidR="005E5262" w:rsidRDefault="005E5262" w:rsidP="00645197">
      <w:pPr>
        <w:tabs>
          <w:tab w:val="left" w:pos="709"/>
        </w:tabs>
        <w:spacing w:after="0" w:line="240" w:lineRule="auto"/>
        <w:jc w:val="both"/>
        <w:rPr>
          <w:rFonts w:ascii="Verdana" w:eastAsia="Calibri" w:hAnsi="Verdana" w:cs="Arial"/>
          <w:b/>
          <w:lang w:val="es-ES_tradnl" w:eastAsia="es-ES_tradnl"/>
        </w:rPr>
      </w:pPr>
      <w:r w:rsidRPr="005E5262">
        <w:rPr>
          <w:rFonts w:ascii="Verdana" w:eastAsia="Calibri" w:hAnsi="Verdana" w:cs="Arial"/>
          <w:b/>
          <w:lang w:val="es-ES_tradnl" w:eastAsia="es-ES_tradnl"/>
        </w:rPr>
        <w:t>DECRETO 1600 DE 2024</w:t>
      </w:r>
      <w:r w:rsidR="00AD2EFF">
        <w:rPr>
          <w:rFonts w:ascii="Verdana" w:eastAsia="Calibri" w:hAnsi="Verdana" w:cs="Arial"/>
          <w:b/>
          <w:lang w:val="es-ES_tradnl" w:eastAsia="es-ES_tradnl"/>
        </w:rPr>
        <w:t xml:space="preserve"> </w:t>
      </w:r>
      <w:r w:rsidR="00AD2EFF" w:rsidRPr="00AD2EFF">
        <w:rPr>
          <w:rFonts w:ascii="Verdana" w:eastAsia="Calibri" w:hAnsi="Verdana" w:cs="Arial"/>
          <w:b/>
          <w:bCs/>
          <w:lang w:val="es-ES" w:eastAsia="es-ES_tradnl"/>
        </w:rPr>
        <w:t>–</w:t>
      </w:r>
      <w:r w:rsidRPr="005E5262">
        <w:rPr>
          <w:rFonts w:ascii="Verdana" w:eastAsia="Calibri" w:hAnsi="Verdana" w:cs="Arial"/>
          <w:b/>
          <w:lang w:val="es-ES_tradnl" w:eastAsia="es-ES_tradnl"/>
        </w:rPr>
        <w:t xml:space="preserve"> Capítulo Tercero – Entidades obligadas a su aplicación</w:t>
      </w:r>
    </w:p>
    <w:p w14:paraId="0F824319" w14:textId="77777777" w:rsidR="00B07E27" w:rsidRDefault="00B07E27" w:rsidP="00645197">
      <w:pPr>
        <w:tabs>
          <w:tab w:val="left" w:pos="709"/>
        </w:tabs>
        <w:spacing w:after="0" w:line="240" w:lineRule="auto"/>
        <w:jc w:val="both"/>
        <w:rPr>
          <w:rFonts w:ascii="Verdana" w:eastAsia="Calibri" w:hAnsi="Verdana" w:cs="Arial"/>
          <w:b/>
          <w:lang w:val="es-ES_tradnl" w:eastAsia="es-ES_tradnl"/>
        </w:rPr>
      </w:pPr>
    </w:p>
    <w:p w14:paraId="17F11248" w14:textId="77777777" w:rsidR="002B1B61" w:rsidRPr="002B1B61" w:rsidRDefault="002B1B61" w:rsidP="002B1B61">
      <w:pPr>
        <w:tabs>
          <w:tab w:val="left" w:pos="709"/>
        </w:tabs>
        <w:spacing w:after="0" w:line="240" w:lineRule="auto"/>
        <w:jc w:val="both"/>
        <w:rPr>
          <w:rFonts w:ascii="Verdana" w:hAnsi="Verdana" w:cs="Arial"/>
          <w:color w:val="000000" w:themeColor="text1"/>
          <w:sz w:val="20"/>
          <w:szCs w:val="20"/>
        </w:rPr>
      </w:pPr>
      <w:r w:rsidRPr="002B1B61">
        <w:rPr>
          <w:rFonts w:ascii="Verdana" w:hAnsi="Verdana" w:cs="Arial"/>
          <w:color w:val="000000" w:themeColor="text1"/>
          <w:sz w:val="20"/>
          <w:szCs w:val="20"/>
        </w:rPr>
        <w:t xml:space="preserve">El Capítulo 3°, Sección 1°, Título 4°, Parte 1°, Libro 2° del Decreto 1081 de 2015, que fue modificado por el Decreto 1600 de 2024, tiene como objeto: “[…] 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29BA5E27" w14:textId="77777777" w:rsidR="002B1B61" w:rsidRDefault="002B1B61" w:rsidP="002B1B61">
      <w:pPr>
        <w:tabs>
          <w:tab w:val="left" w:pos="709"/>
        </w:tabs>
        <w:spacing w:after="0" w:line="240" w:lineRule="auto"/>
        <w:jc w:val="both"/>
        <w:rPr>
          <w:rFonts w:ascii="Verdana" w:hAnsi="Verdana" w:cs="Arial"/>
          <w:color w:val="000000" w:themeColor="text1"/>
          <w:sz w:val="20"/>
          <w:szCs w:val="20"/>
        </w:rPr>
      </w:pPr>
    </w:p>
    <w:p w14:paraId="52742709" w14:textId="5AD147BF" w:rsidR="005E5262" w:rsidRDefault="002B1B61" w:rsidP="002B1B61">
      <w:pPr>
        <w:tabs>
          <w:tab w:val="left" w:pos="709"/>
        </w:tabs>
        <w:spacing w:after="0" w:line="240" w:lineRule="auto"/>
        <w:jc w:val="both"/>
        <w:rPr>
          <w:rFonts w:ascii="Verdana" w:hAnsi="Verdana" w:cs="Arial"/>
          <w:color w:val="000000" w:themeColor="text1"/>
          <w:sz w:val="20"/>
          <w:szCs w:val="20"/>
        </w:rPr>
      </w:pPr>
      <w:r w:rsidRPr="002B1B61">
        <w:rPr>
          <w:rFonts w:ascii="Verdana" w:hAnsi="Verdana" w:cs="Arial"/>
          <w:color w:val="000000" w:themeColor="text1"/>
          <w:sz w:val="20"/>
          <w:szCs w:val="20"/>
        </w:rPr>
        <w:t>Ahora bien, el ámbito o campo de aplicación de este capítulo, al cual se hace referencia en su consulta, está regulado en el artículo 2.1.4.3.1.2.  que señala que sus reglas están dirigidas a las entidades y empresas del Estado del orden nacional y pertenecientes a la Rama Ejecutiva del Poder Público. Así mismo,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w:t>
      </w:r>
    </w:p>
    <w:p w14:paraId="6A51AFC7" w14:textId="77777777" w:rsidR="002B1B61" w:rsidRDefault="002B1B61" w:rsidP="002B1B61">
      <w:pPr>
        <w:tabs>
          <w:tab w:val="left" w:pos="709"/>
        </w:tabs>
        <w:spacing w:after="0" w:line="240" w:lineRule="auto"/>
        <w:jc w:val="both"/>
        <w:rPr>
          <w:rFonts w:ascii="Verdana" w:eastAsia="Calibri" w:hAnsi="Verdana" w:cs="Arial"/>
          <w:b/>
          <w:lang w:val="es-ES_tradnl" w:eastAsia="es-ES_tradnl"/>
        </w:rPr>
      </w:pPr>
    </w:p>
    <w:p w14:paraId="1056BD62" w14:textId="77777777" w:rsidR="00645197" w:rsidRPr="00BB3BE4" w:rsidRDefault="00645197" w:rsidP="00645197">
      <w:pPr>
        <w:tabs>
          <w:tab w:val="left" w:pos="709"/>
        </w:tabs>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DECRETO 1600 DE 2024</w:t>
      </w:r>
      <w:r w:rsidRPr="007E24E6">
        <w:rPr>
          <w:rFonts w:ascii="Verdana" w:eastAsia="Calibri" w:hAnsi="Verdana" w:cs="Arial"/>
          <w:b/>
          <w:lang w:val="es-ES_tradnl" w:eastAsia="es-ES_tradnl"/>
        </w:rPr>
        <w:t xml:space="preserve"> – </w:t>
      </w:r>
      <w:r>
        <w:rPr>
          <w:rFonts w:ascii="Verdana" w:eastAsia="Calibri" w:hAnsi="Verdana" w:cs="Arial"/>
          <w:b/>
          <w:lang w:val="es-ES_tradnl" w:eastAsia="es-ES_tradnl"/>
        </w:rPr>
        <w:t>Situaciones de control</w:t>
      </w:r>
      <w:r w:rsidRPr="007E24E6">
        <w:rPr>
          <w:rFonts w:ascii="Verdana" w:eastAsia="Calibri" w:hAnsi="Verdana" w:cs="Arial"/>
          <w:b/>
          <w:lang w:val="es-ES_tradnl" w:eastAsia="es-ES_tradnl"/>
        </w:rPr>
        <w:t xml:space="preserve"> – </w:t>
      </w:r>
      <w:r>
        <w:rPr>
          <w:rFonts w:ascii="Verdana" w:eastAsia="Calibri" w:hAnsi="Verdana" w:cs="Arial"/>
          <w:b/>
          <w:lang w:val="es-ES_tradnl" w:eastAsia="es-ES_tradnl"/>
        </w:rPr>
        <w:t>Acreditación</w:t>
      </w:r>
    </w:p>
    <w:p w14:paraId="6AAC1AC3" w14:textId="77777777" w:rsidR="00645197" w:rsidRPr="00BB3BE4" w:rsidRDefault="00645197" w:rsidP="00645197">
      <w:pPr>
        <w:tabs>
          <w:tab w:val="left" w:pos="709"/>
        </w:tabs>
        <w:spacing w:after="0" w:line="240" w:lineRule="auto"/>
        <w:jc w:val="both"/>
        <w:rPr>
          <w:rFonts w:ascii="Verdana" w:eastAsia="Calibri" w:hAnsi="Verdana" w:cs="Arial"/>
          <w:bCs/>
          <w:sz w:val="20"/>
          <w:szCs w:val="20"/>
          <w:lang w:val="es-ES_tradnl" w:eastAsia="es-ES_tradnl"/>
        </w:rPr>
      </w:pPr>
    </w:p>
    <w:p w14:paraId="678B9396" w14:textId="77777777" w:rsidR="00645197" w:rsidRPr="007E24E6" w:rsidRDefault="00645197" w:rsidP="00645197">
      <w:pPr>
        <w:spacing w:after="0" w:line="240" w:lineRule="auto"/>
        <w:jc w:val="both"/>
        <w:rPr>
          <w:rFonts w:ascii="Verdana" w:hAnsi="Verdana" w:cs="Arial"/>
          <w:color w:val="000000" w:themeColor="text1"/>
          <w:sz w:val="20"/>
          <w:szCs w:val="20"/>
        </w:rPr>
      </w:pPr>
      <w:r w:rsidRPr="00C75A78">
        <w:rPr>
          <w:rFonts w:ascii="Verdana" w:hAnsi="Verdana" w:cs="Arial"/>
          <w:color w:val="000000" w:themeColor="text1"/>
          <w:sz w:val="20"/>
          <w:szCs w:val="20"/>
        </w:rPr>
        <w:t>El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Código de Comercio, afecten tanto a las personas jurídicas oferentes como a los proponentes plurales.</w:t>
      </w:r>
      <w:r w:rsidRPr="007E24E6">
        <w:rPr>
          <w:rFonts w:ascii="Verdana" w:hAnsi="Verdana" w:cs="Arial"/>
          <w:color w:val="000000" w:themeColor="text1"/>
          <w:sz w:val="20"/>
          <w:szCs w:val="20"/>
        </w:rPr>
        <w:t xml:space="preserve"> </w:t>
      </w:r>
    </w:p>
    <w:p w14:paraId="70A9DF25" w14:textId="77777777" w:rsidR="00645197" w:rsidRPr="007E24E6" w:rsidRDefault="00645197" w:rsidP="00645197">
      <w:pPr>
        <w:spacing w:after="0" w:line="240" w:lineRule="auto"/>
        <w:jc w:val="both"/>
        <w:rPr>
          <w:rFonts w:ascii="Verdana" w:hAnsi="Verdana" w:cs="Arial"/>
          <w:color w:val="000000" w:themeColor="text1"/>
          <w:sz w:val="20"/>
          <w:szCs w:val="20"/>
        </w:rPr>
      </w:pPr>
    </w:p>
    <w:p w14:paraId="3FE27FBC" w14:textId="77777777" w:rsidR="00645197" w:rsidRPr="007E24E6" w:rsidRDefault="00645197" w:rsidP="00645197">
      <w:pPr>
        <w:spacing w:after="0" w:line="240" w:lineRule="auto"/>
        <w:jc w:val="both"/>
        <w:rPr>
          <w:rFonts w:ascii="Verdana" w:hAnsi="Verdana" w:cs="Arial"/>
          <w:color w:val="000000" w:themeColor="text1"/>
          <w:sz w:val="20"/>
          <w:szCs w:val="20"/>
        </w:rPr>
      </w:pPr>
      <w:r w:rsidRPr="00C75A78">
        <w:rPr>
          <w:rFonts w:ascii="Verdana" w:hAnsi="Verdana" w:cs="Arial"/>
          <w:color w:val="000000" w:themeColor="text1"/>
          <w:sz w:val="20"/>
          <w:szCs w:val="20"/>
        </w:rPr>
        <w:t>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punto de referencia para verificar la capacidad jurídica en el proceso de contratación.</w:t>
      </w:r>
      <w:r w:rsidRPr="007E24E6">
        <w:rPr>
          <w:rFonts w:ascii="Verdana" w:hAnsi="Verdana" w:cs="Arial"/>
          <w:color w:val="000000" w:themeColor="text1"/>
          <w:sz w:val="20"/>
          <w:szCs w:val="20"/>
        </w:rPr>
        <w:t xml:space="preserve"> </w:t>
      </w:r>
      <w:r w:rsidRPr="00BB3BE4">
        <w:rPr>
          <w:rFonts w:ascii="Verdana" w:hAnsi="Verdana" w:cs="Arial"/>
          <w:color w:val="000000" w:themeColor="text1"/>
          <w:sz w:val="20"/>
          <w:szCs w:val="20"/>
        </w:rPr>
        <w:t xml:space="preserve">  </w:t>
      </w:r>
    </w:p>
    <w:p w14:paraId="6F4B1B59" w14:textId="77777777" w:rsidR="00645197" w:rsidRDefault="00645197" w:rsidP="00645197">
      <w:pPr>
        <w:tabs>
          <w:tab w:val="left" w:pos="709"/>
        </w:tabs>
        <w:spacing w:after="0" w:line="240" w:lineRule="auto"/>
        <w:jc w:val="both"/>
        <w:rPr>
          <w:rFonts w:ascii="Verdana" w:eastAsia="Calibri" w:hAnsi="Verdana" w:cs="Arial"/>
          <w:b/>
          <w:lang w:val="es-ES_tradnl" w:eastAsia="es-ES_tradnl"/>
        </w:rPr>
      </w:pPr>
    </w:p>
    <w:p w14:paraId="2F650D2F" w14:textId="77777777" w:rsidR="00645197" w:rsidRPr="00BB3BE4" w:rsidRDefault="00645197" w:rsidP="00645197">
      <w:pPr>
        <w:tabs>
          <w:tab w:val="left" w:pos="709"/>
        </w:tabs>
        <w:spacing w:after="0" w:line="240" w:lineRule="auto"/>
        <w:jc w:val="both"/>
        <w:rPr>
          <w:rFonts w:ascii="Verdana" w:eastAsia="Calibri" w:hAnsi="Verdana" w:cs="Arial"/>
          <w:b/>
          <w:lang w:val="es-ES_tradnl" w:eastAsia="es-ES_tradnl"/>
        </w:rPr>
      </w:pPr>
      <w:r w:rsidRPr="007E24E6">
        <w:rPr>
          <w:rFonts w:ascii="Verdana" w:eastAsia="Calibri" w:hAnsi="Verdana" w:cs="Arial"/>
          <w:b/>
          <w:lang w:val="es-ES_tradnl" w:eastAsia="es-ES_tradnl"/>
        </w:rPr>
        <w:t>REGISTRO ÚNICO DE PROPONENTES – Definición – Marco jurídico</w:t>
      </w:r>
    </w:p>
    <w:p w14:paraId="52B7949F" w14:textId="77777777" w:rsidR="00645197" w:rsidRPr="00BB3BE4" w:rsidRDefault="00645197" w:rsidP="00645197">
      <w:pPr>
        <w:tabs>
          <w:tab w:val="left" w:pos="709"/>
        </w:tabs>
        <w:spacing w:after="0" w:line="240" w:lineRule="auto"/>
        <w:jc w:val="both"/>
        <w:rPr>
          <w:rFonts w:ascii="Verdana" w:eastAsia="Calibri" w:hAnsi="Verdana" w:cs="Arial"/>
          <w:bCs/>
          <w:sz w:val="20"/>
          <w:szCs w:val="20"/>
          <w:lang w:val="es-ES_tradnl" w:eastAsia="es-ES_tradnl"/>
        </w:rPr>
      </w:pPr>
    </w:p>
    <w:p w14:paraId="67CD7BB7" w14:textId="77777777" w:rsidR="00645197" w:rsidRPr="007E24E6" w:rsidRDefault="00645197" w:rsidP="00645197">
      <w:pPr>
        <w:spacing w:after="0" w:line="240" w:lineRule="auto"/>
        <w:jc w:val="both"/>
        <w:rPr>
          <w:rFonts w:ascii="Verdana" w:hAnsi="Verdana" w:cs="Arial"/>
          <w:color w:val="000000" w:themeColor="text1"/>
          <w:sz w:val="20"/>
          <w:szCs w:val="20"/>
        </w:rPr>
      </w:pPr>
      <w:r w:rsidRPr="007E24E6">
        <w:rPr>
          <w:rFonts w:ascii="Verdana" w:hAnsi="Verdana" w:cs="Arial"/>
          <w:color w:val="000000" w:themeColor="text1"/>
          <w:sz w:val="20"/>
          <w:szCs w:val="20"/>
        </w:rPr>
        <w:lastRenderedPageBreak/>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51100128" w14:textId="77777777" w:rsidR="00645197" w:rsidRPr="007E24E6" w:rsidRDefault="00645197" w:rsidP="00645197">
      <w:pPr>
        <w:spacing w:after="0" w:line="240" w:lineRule="auto"/>
        <w:jc w:val="both"/>
        <w:rPr>
          <w:rFonts w:ascii="Verdana" w:hAnsi="Verdana" w:cs="Arial"/>
          <w:color w:val="000000" w:themeColor="text1"/>
          <w:sz w:val="20"/>
          <w:szCs w:val="20"/>
        </w:rPr>
      </w:pPr>
    </w:p>
    <w:p w14:paraId="6E094806" w14:textId="77777777" w:rsidR="00645197" w:rsidRPr="00BB3BE4" w:rsidRDefault="00645197" w:rsidP="00645197">
      <w:pPr>
        <w:spacing w:after="0" w:line="240" w:lineRule="auto"/>
        <w:jc w:val="both"/>
        <w:rPr>
          <w:rFonts w:ascii="Verdana" w:hAnsi="Verdana" w:cs="Arial"/>
          <w:color w:val="000000" w:themeColor="text1"/>
          <w:sz w:val="20"/>
          <w:szCs w:val="20"/>
        </w:rPr>
      </w:pPr>
      <w:r w:rsidRPr="007E24E6">
        <w:rPr>
          <w:rFonts w:ascii="Verdana" w:hAnsi="Verdana" w:cs="Arial"/>
          <w:color w:val="000000" w:themeColor="text1"/>
          <w:sz w:val="20"/>
          <w:szCs w:val="20"/>
        </w:rPr>
        <w:t xml:space="preserve">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 </w:t>
      </w:r>
      <w:r w:rsidRPr="00BB3BE4">
        <w:rPr>
          <w:rFonts w:ascii="Verdana" w:hAnsi="Verdana" w:cs="Arial"/>
          <w:color w:val="000000" w:themeColor="text1"/>
          <w:sz w:val="20"/>
          <w:szCs w:val="20"/>
        </w:rPr>
        <w:t xml:space="preserve">  </w:t>
      </w:r>
    </w:p>
    <w:p w14:paraId="751D0EFA" w14:textId="77777777" w:rsidR="00645197" w:rsidRPr="00BB3BE4" w:rsidRDefault="00645197" w:rsidP="00645197">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76D49650" w14:textId="77777777" w:rsidR="00645197" w:rsidRPr="00AF1555" w:rsidRDefault="00645197" w:rsidP="00645197">
      <w:pPr>
        <w:tabs>
          <w:tab w:val="left" w:pos="426"/>
        </w:tabs>
        <w:spacing w:after="0" w:line="240" w:lineRule="auto"/>
        <w:jc w:val="both"/>
        <w:rPr>
          <w:rFonts w:ascii="Verdana" w:hAnsi="Verdana" w:cs="Arial"/>
          <w:b/>
          <w:lang w:eastAsia="es-CO"/>
        </w:rPr>
      </w:pPr>
      <w:r w:rsidRPr="007E24E6">
        <w:rPr>
          <w:rFonts w:ascii="Verdana" w:hAnsi="Verdana" w:cs="Arial"/>
          <w:b/>
          <w:lang w:eastAsia="es-CO"/>
        </w:rPr>
        <w:t xml:space="preserve">REQUISITOS HABILITANTES – Registro Único de Proponentes – Plena prueba  </w:t>
      </w:r>
      <w:r>
        <w:rPr>
          <w:rFonts w:ascii="Verdana" w:hAnsi="Verdana" w:cs="Arial"/>
          <w:b/>
          <w:lang w:eastAsia="es-CO"/>
        </w:rPr>
        <w:t xml:space="preserve"> </w:t>
      </w:r>
      <w:r w:rsidRPr="00607390">
        <w:rPr>
          <w:rFonts w:ascii="Verdana" w:hAnsi="Verdana" w:cs="Arial"/>
          <w:b/>
          <w:lang w:eastAsia="es-CO"/>
        </w:rPr>
        <w:t xml:space="preserve"> </w:t>
      </w:r>
    </w:p>
    <w:p w14:paraId="549760E4" w14:textId="77777777" w:rsidR="00645197" w:rsidRPr="00AF1555" w:rsidRDefault="00645197" w:rsidP="00645197">
      <w:pPr>
        <w:tabs>
          <w:tab w:val="left" w:pos="426"/>
        </w:tabs>
        <w:spacing w:after="0" w:line="240" w:lineRule="auto"/>
        <w:jc w:val="both"/>
        <w:rPr>
          <w:rFonts w:ascii="Verdana" w:hAnsi="Verdana" w:cs="Arial"/>
          <w:b/>
          <w:sz w:val="20"/>
          <w:szCs w:val="20"/>
          <w:lang w:eastAsia="es-CO"/>
        </w:rPr>
      </w:pPr>
    </w:p>
    <w:p w14:paraId="4E6CDEF9" w14:textId="77777777" w:rsidR="00645197" w:rsidRPr="00863481" w:rsidRDefault="00645197" w:rsidP="00645197">
      <w:pPr>
        <w:spacing w:after="0" w:line="240" w:lineRule="auto"/>
        <w:jc w:val="both"/>
        <w:rPr>
          <w:rFonts w:ascii="Verdana" w:hAnsi="Verdana" w:cs="Arial"/>
          <w:bCs/>
          <w:sz w:val="20"/>
          <w:szCs w:val="20"/>
          <w:lang w:val="es-ES" w:eastAsia="es-CO"/>
        </w:rPr>
      </w:pPr>
      <w:r w:rsidRPr="007E24E6">
        <w:rPr>
          <w:rFonts w:ascii="Verdana" w:hAnsi="Verdana" w:cs="Arial"/>
          <w:bCs/>
          <w:sz w:val="20"/>
          <w:szCs w:val="20"/>
          <w:lang w:eastAsia="es-CO"/>
        </w:rPr>
        <w:t>[…] la capacidad jurídica, las condiciones de experiencia, la capacidad financiera y de organización de los proponentes deberán verificarse exclusivamente con el Registro Único de Proponentes, pues, de acuerdo con lo expuesto, este instrumento es plena prueba de la información contenida en él.</w:t>
      </w:r>
    </w:p>
    <w:p w14:paraId="41B2CF9F" w14:textId="77777777" w:rsidR="00645197" w:rsidRPr="00B53D4E" w:rsidRDefault="00645197" w:rsidP="00645197">
      <w:pPr>
        <w:spacing w:after="0" w:line="240" w:lineRule="auto"/>
        <w:jc w:val="both"/>
        <w:rPr>
          <w:rFonts w:ascii="Verdana" w:eastAsia="Calibri" w:hAnsi="Verdana" w:cs="Arial"/>
          <w:sz w:val="20"/>
          <w:szCs w:val="20"/>
        </w:rPr>
      </w:pPr>
    </w:p>
    <w:p w14:paraId="03D3E673" w14:textId="77777777" w:rsidR="00645197" w:rsidRPr="00B53D4E" w:rsidRDefault="00645197" w:rsidP="00645197">
      <w:pPr>
        <w:pStyle w:val="s16"/>
        <w:spacing w:before="0" w:beforeAutospacing="0" w:after="0" w:afterAutospacing="0"/>
        <w:jc w:val="both"/>
        <w:rPr>
          <w:rFonts w:ascii="Verdana" w:hAnsi="Verdana" w:cs="Arial"/>
          <w:b/>
          <w:bCs/>
          <w:color w:val="000000"/>
          <w:sz w:val="22"/>
          <w:szCs w:val="22"/>
        </w:rPr>
      </w:pPr>
      <w:r>
        <w:rPr>
          <w:rStyle w:val="s15"/>
          <w:rFonts w:ascii="Verdana" w:hAnsi="Verdana" w:cs="Arial"/>
          <w:b/>
          <w:bCs/>
          <w:color w:val="000000"/>
          <w:sz w:val="22"/>
          <w:szCs w:val="22"/>
        </w:rPr>
        <w:t>GRUPO EMPRESARIAL – Existencia</w:t>
      </w:r>
      <w:r w:rsidRPr="00B53D4E">
        <w:rPr>
          <w:rStyle w:val="s15"/>
          <w:rFonts w:ascii="Verdana" w:hAnsi="Verdana" w:cs="Arial"/>
          <w:b/>
          <w:bCs/>
          <w:color w:val="000000"/>
          <w:sz w:val="22"/>
          <w:szCs w:val="22"/>
        </w:rPr>
        <w:t xml:space="preserve"> – </w:t>
      </w:r>
      <w:r>
        <w:rPr>
          <w:rStyle w:val="s15"/>
          <w:rFonts w:ascii="Verdana" w:hAnsi="Verdana" w:cs="Arial"/>
          <w:b/>
          <w:bCs/>
          <w:color w:val="000000"/>
          <w:sz w:val="22"/>
          <w:szCs w:val="22"/>
        </w:rPr>
        <w:t xml:space="preserve">Acreditación – Plazo </w:t>
      </w:r>
    </w:p>
    <w:p w14:paraId="733C7B87" w14:textId="77777777" w:rsidR="00645197" w:rsidRPr="00B53D4E" w:rsidRDefault="00645197" w:rsidP="00645197">
      <w:pPr>
        <w:pStyle w:val="s17"/>
        <w:spacing w:before="0" w:beforeAutospacing="0" w:after="0" w:afterAutospacing="0"/>
        <w:jc w:val="both"/>
        <w:rPr>
          <w:rFonts w:ascii="Verdana" w:hAnsi="Verdana" w:cs="Arial"/>
          <w:color w:val="000000"/>
          <w:sz w:val="20"/>
          <w:szCs w:val="20"/>
        </w:rPr>
      </w:pPr>
      <w:r w:rsidRPr="00B53D4E">
        <w:rPr>
          <w:rFonts w:ascii="Verdana" w:hAnsi="Verdana" w:cs="Arial"/>
          <w:color w:val="000000"/>
          <w:sz w:val="20"/>
          <w:szCs w:val="20"/>
        </w:rPr>
        <w:t> </w:t>
      </w:r>
    </w:p>
    <w:p w14:paraId="725BDB42" w14:textId="77777777" w:rsidR="00645197" w:rsidRDefault="00645197" w:rsidP="00645197">
      <w:pPr>
        <w:pStyle w:val="s17"/>
        <w:spacing w:before="0" w:beforeAutospacing="0" w:after="0" w:afterAutospacing="0"/>
        <w:jc w:val="both"/>
        <w:rPr>
          <w:rStyle w:val="s18"/>
          <w:rFonts w:ascii="Verdana" w:hAnsi="Verdana" w:cs="Arial"/>
          <w:color w:val="000000"/>
          <w:sz w:val="20"/>
          <w:szCs w:val="20"/>
        </w:rPr>
      </w:pPr>
      <w:r w:rsidRPr="00C75A78">
        <w:rPr>
          <w:rFonts w:ascii="Verdana" w:hAnsi="Verdana" w:cs="Arial"/>
          <w:bCs/>
          <w:color w:val="000000"/>
          <w:sz w:val="20"/>
          <w:szCs w:val="20"/>
        </w:rPr>
        <w:t>Por regla general, además de lo manifestado por los interesados, las entidades podrán verificar situaciones de control a través del RUP. En caso de que el registro no sea obligatorio, el pliego de condiciones debe establecer el mecanismo de validación correspondiente. Lo usual es que todos los documentos de la oferta se entreguen antes de cierre del proceso. Sin embargo, el literal a) del artículo 2.1.4.3.2.1 del Decreto 1081 de 2015, adicionado por el artículo 1 del Decreto 1600 de 2024,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w:t>
      </w:r>
      <w:r>
        <w:rPr>
          <w:rFonts w:ascii="Verdana" w:hAnsi="Verdana" w:cs="Arial"/>
          <w:color w:val="000000"/>
          <w:sz w:val="20"/>
          <w:szCs w:val="20"/>
        </w:rPr>
        <w:t>.</w:t>
      </w:r>
      <w:r w:rsidRPr="00977908">
        <w:rPr>
          <w:rStyle w:val="s18"/>
          <w:rFonts w:ascii="Verdana" w:hAnsi="Verdana" w:cs="Arial"/>
          <w:color w:val="000000"/>
          <w:sz w:val="20"/>
          <w:szCs w:val="20"/>
        </w:rPr>
        <w:t xml:space="preserve"> </w:t>
      </w:r>
    </w:p>
    <w:p w14:paraId="48F75E80" w14:textId="77777777" w:rsidR="00645197" w:rsidRDefault="00645197" w:rsidP="00645197">
      <w:pPr>
        <w:spacing w:after="0" w:line="240" w:lineRule="auto"/>
        <w:jc w:val="both"/>
        <w:rPr>
          <w:rFonts w:ascii="Verdana" w:eastAsia="Times New Roman" w:hAnsi="Verdana" w:cs="Arial"/>
          <w:color w:val="000000"/>
          <w:sz w:val="20"/>
          <w:szCs w:val="20"/>
          <w:lang w:eastAsia="es-MX"/>
        </w:rPr>
      </w:pPr>
    </w:p>
    <w:p w14:paraId="40D8129D" w14:textId="77777777" w:rsidR="005E5262" w:rsidRDefault="005E5262" w:rsidP="00645197">
      <w:pPr>
        <w:spacing w:after="0" w:line="240" w:lineRule="auto"/>
        <w:jc w:val="both"/>
        <w:rPr>
          <w:rFonts w:ascii="Verdana" w:eastAsia="Calibri" w:hAnsi="Verdana" w:cs="Arial"/>
          <w:b/>
          <w:lang w:val="es-ES_tradnl" w:eastAsia="es-ES_tradnl"/>
        </w:rPr>
      </w:pPr>
      <w:r w:rsidRPr="005E5262">
        <w:rPr>
          <w:rFonts w:ascii="Verdana" w:eastAsia="Calibri" w:hAnsi="Verdana" w:cs="Arial"/>
          <w:b/>
          <w:lang w:val="es-ES_tradnl" w:eastAsia="es-ES_tradnl"/>
        </w:rPr>
        <w:t>INHABILIDADES – Definición – Finalidad – Limitación capacidad contractual</w:t>
      </w:r>
    </w:p>
    <w:p w14:paraId="3CFF693E" w14:textId="77777777" w:rsidR="005E5262" w:rsidRDefault="005E5262" w:rsidP="00645197">
      <w:pPr>
        <w:spacing w:after="0" w:line="240" w:lineRule="auto"/>
        <w:jc w:val="both"/>
        <w:rPr>
          <w:rFonts w:ascii="Verdana" w:eastAsia="Calibri" w:hAnsi="Verdana" w:cs="Arial"/>
          <w:b/>
          <w:lang w:val="es-ES_tradnl" w:eastAsia="es-ES_tradnl"/>
        </w:rPr>
      </w:pPr>
    </w:p>
    <w:p w14:paraId="06EE2D93" w14:textId="03BF5399" w:rsidR="005E5262" w:rsidRPr="00813DFD" w:rsidRDefault="00813DFD" w:rsidP="00813DFD">
      <w:pPr>
        <w:pStyle w:val="s17"/>
        <w:spacing w:before="0" w:beforeAutospacing="0" w:after="0" w:afterAutospacing="0"/>
        <w:jc w:val="both"/>
        <w:rPr>
          <w:rFonts w:ascii="Verdana" w:hAnsi="Verdana" w:cs="Arial"/>
          <w:bCs/>
          <w:color w:val="000000"/>
          <w:sz w:val="20"/>
          <w:szCs w:val="20"/>
        </w:rPr>
      </w:pPr>
      <w:r w:rsidRPr="00813DFD">
        <w:rPr>
          <w:rFonts w:ascii="Verdana" w:hAnsi="Verdana" w:cs="Arial"/>
          <w:bCs/>
          <w:color w:val="000000"/>
          <w:sz w:val="20"/>
          <w:szCs w:val="20"/>
        </w:rPr>
        <w:t xml:space="preserve">Las inhabilidades son circunstancias establecidas por la Constitución o la ley que impiden que personas naturales o jurídicas sean elegidas o designadas en un cargo público o </w:t>
      </w:r>
      <w:r w:rsidRPr="00813DFD">
        <w:rPr>
          <w:rFonts w:ascii="Verdana" w:hAnsi="Verdana" w:cs="Arial"/>
          <w:bCs/>
          <w:color w:val="000000"/>
          <w:sz w:val="20"/>
          <w:szCs w:val="20"/>
        </w:rPr>
        <w:lastRenderedPageBreak/>
        <w:t>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790A1743" w14:textId="77777777" w:rsidR="005E5262" w:rsidRDefault="005E5262" w:rsidP="00645197">
      <w:pPr>
        <w:spacing w:after="0" w:line="240" w:lineRule="auto"/>
        <w:jc w:val="both"/>
        <w:rPr>
          <w:rFonts w:ascii="Verdana" w:eastAsia="Calibri" w:hAnsi="Verdana" w:cs="Arial"/>
          <w:b/>
          <w:lang w:val="es-ES_tradnl" w:eastAsia="es-ES_tradnl"/>
        </w:rPr>
      </w:pPr>
    </w:p>
    <w:p w14:paraId="4191A80A" w14:textId="7A570FE7" w:rsidR="00645197" w:rsidRPr="00DE2AC7" w:rsidRDefault="005E5262" w:rsidP="00645197">
      <w:pPr>
        <w:spacing w:after="0" w:line="240" w:lineRule="auto"/>
        <w:jc w:val="both"/>
        <w:rPr>
          <w:rFonts w:ascii="Verdana" w:eastAsia="Geomanist Light" w:hAnsi="Verdana" w:cs="Arial"/>
          <w:color w:val="000000" w:themeColor="text1"/>
        </w:rPr>
      </w:pPr>
      <w:r w:rsidRPr="005E5262">
        <w:rPr>
          <w:rFonts w:ascii="Verdana" w:eastAsia="Calibri" w:hAnsi="Verdana" w:cs="Arial"/>
          <w:b/>
          <w:lang w:val="es-ES_tradnl" w:eastAsia="es-ES_tradnl"/>
        </w:rPr>
        <w:t xml:space="preserve">CONTRATACIÓN ESTATAL – Capacidad – Validez contratos  </w:t>
      </w:r>
    </w:p>
    <w:p w14:paraId="0BE85D6E" w14:textId="77777777" w:rsidR="00645197" w:rsidRDefault="00645197" w:rsidP="00645197">
      <w:pPr>
        <w:spacing w:after="0" w:line="240" w:lineRule="auto"/>
        <w:rPr>
          <w:rFonts w:ascii="Verdana" w:eastAsia="Geomanist Light" w:hAnsi="Verdana" w:cs="Arial"/>
          <w:color w:val="000000" w:themeColor="text1"/>
          <w:lang w:val="es-MX"/>
        </w:rPr>
      </w:pPr>
    </w:p>
    <w:p w14:paraId="50075E9A" w14:textId="7A5C4B85" w:rsidR="007A0ECA" w:rsidRPr="007A0ECA" w:rsidRDefault="007A0ECA" w:rsidP="007A0ECA">
      <w:pPr>
        <w:pStyle w:val="s17"/>
        <w:spacing w:before="0" w:beforeAutospacing="0" w:after="0" w:afterAutospacing="0"/>
        <w:jc w:val="both"/>
        <w:rPr>
          <w:rFonts w:ascii="Verdana" w:hAnsi="Verdana" w:cs="Arial"/>
          <w:bCs/>
          <w:color w:val="000000"/>
          <w:sz w:val="20"/>
          <w:szCs w:val="20"/>
        </w:rPr>
      </w:pPr>
      <w:r w:rsidRPr="007A0ECA">
        <w:rPr>
          <w:rFonts w:ascii="Verdana" w:hAnsi="Verdana" w:cs="Arial"/>
          <w:bCs/>
          <w:color w:val="000000"/>
          <w:sz w:val="20"/>
          <w:szCs w:val="20"/>
        </w:rPr>
        <w:t xml:space="preserve">[…] </w:t>
      </w:r>
      <w:r w:rsidR="00A85918" w:rsidRPr="00A85918">
        <w:rPr>
          <w:rFonts w:ascii="Verdana" w:hAnsi="Verdana" w:cs="Arial"/>
          <w:bCs/>
          <w:color w:val="000000"/>
          <w:sz w:val="20"/>
          <w:szCs w:val="20"/>
        </w:rPr>
        <w:t>en la contratación estatal, la capacidad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 se destaca el régimen de inhabilidades e incompatibilidades como un conjunto de normas que imponen restricciones para los sujetos que, eventualmente, pretendan participar en los procedimientos de selección o celebrar contratos con las entidades estatales</w:t>
      </w:r>
      <w:r w:rsidRPr="007A0ECA">
        <w:rPr>
          <w:rFonts w:ascii="Verdana" w:hAnsi="Verdana" w:cs="Arial"/>
          <w:bCs/>
          <w:color w:val="000000"/>
          <w:sz w:val="20"/>
          <w:szCs w:val="20"/>
        </w:rPr>
        <w:t>.</w:t>
      </w:r>
    </w:p>
    <w:p w14:paraId="45C52983" w14:textId="77777777" w:rsidR="007A0ECA" w:rsidRPr="007A0ECA" w:rsidRDefault="007A0ECA" w:rsidP="007A0ECA">
      <w:pPr>
        <w:pStyle w:val="s17"/>
        <w:spacing w:before="0" w:beforeAutospacing="0" w:after="0" w:afterAutospacing="0"/>
        <w:jc w:val="both"/>
        <w:rPr>
          <w:rFonts w:ascii="Verdana" w:hAnsi="Verdana" w:cs="Arial"/>
          <w:bCs/>
          <w:color w:val="000000"/>
          <w:sz w:val="20"/>
          <w:szCs w:val="20"/>
        </w:rPr>
      </w:pPr>
    </w:p>
    <w:p w14:paraId="6C54F79C" w14:textId="61A39D5C" w:rsidR="00645197" w:rsidRPr="007A0ECA" w:rsidRDefault="00FE2B8C" w:rsidP="007A0ECA">
      <w:pPr>
        <w:pStyle w:val="s17"/>
        <w:spacing w:before="0" w:beforeAutospacing="0" w:after="0" w:afterAutospacing="0"/>
        <w:jc w:val="both"/>
        <w:rPr>
          <w:rFonts w:ascii="Verdana" w:hAnsi="Verdana" w:cs="Arial"/>
          <w:bCs/>
          <w:color w:val="000000"/>
          <w:sz w:val="20"/>
          <w:szCs w:val="20"/>
        </w:rPr>
      </w:pPr>
      <w:r w:rsidRPr="00FE2B8C">
        <w:rPr>
          <w:rFonts w:ascii="Verdana" w:hAnsi="Verdana" w:cs="Arial"/>
          <w:bCs/>
          <w:color w:val="000000"/>
          <w:sz w:val="20"/>
          <w:szCs w:val="20"/>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FE2B8C">
        <w:rPr>
          <w:rFonts w:ascii="Verdana" w:hAnsi="Verdana" w:cs="Arial"/>
          <w:bCs/>
          <w:color w:val="000000"/>
          <w:sz w:val="20"/>
          <w:szCs w:val="20"/>
        </w:rPr>
        <w:t>ii</w:t>
      </w:r>
      <w:proofErr w:type="spellEnd"/>
      <w:r w:rsidRPr="00FE2B8C">
        <w:rPr>
          <w:rFonts w:ascii="Verdana" w:hAnsi="Verdana" w:cs="Arial"/>
          <w:bCs/>
          <w:color w:val="000000"/>
          <w:sz w:val="20"/>
          <w:szCs w:val="20"/>
        </w:rPr>
        <w:t xml:space="preserve">) de vínculos personales relativos al parentesco o al estado civil o </w:t>
      </w:r>
      <w:proofErr w:type="spellStart"/>
      <w:r w:rsidRPr="00FE2B8C">
        <w:rPr>
          <w:rFonts w:ascii="Verdana" w:hAnsi="Verdana" w:cs="Arial"/>
          <w:bCs/>
          <w:color w:val="000000"/>
          <w:sz w:val="20"/>
          <w:szCs w:val="20"/>
        </w:rPr>
        <w:t>iii</w:t>
      </w:r>
      <w:proofErr w:type="spellEnd"/>
      <w:r w:rsidRPr="00FE2B8C">
        <w:rPr>
          <w:rFonts w:ascii="Verdana" w:hAnsi="Verdana" w:cs="Arial"/>
          <w:bCs/>
          <w:color w:val="000000"/>
          <w:sz w:val="20"/>
          <w:szCs w:val="20"/>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007A0ECA" w:rsidRPr="007A0ECA">
        <w:rPr>
          <w:rFonts w:ascii="Verdana" w:hAnsi="Verdana" w:cs="Arial"/>
          <w:bCs/>
          <w:color w:val="000000"/>
          <w:sz w:val="20"/>
          <w:szCs w:val="20"/>
        </w:rPr>
        <w:t>.</w:t>
      </w:r>
    </w:p>
    <w:p w14:paraId="12AC13C9" w14:textId="77777777" w:rsidR="00645197" w:rsidRPr="007A0ECA" w:rsidRDefault="00645197" w:rsidP="007A0ECA">
      <w:pPr>
        <w:pStyle w:val="s17"/>
        <w:spacing w:before="0" w:beforeAutospacing="0" w:after="0" w:afterAutospacing="0"/>
        <w:jc w:val="both"/>
        <w:rPr>
          <w:rFonts w:ascii="Verdana" w:hAnsi="Verdana" w:cs="Arial"/>
          <w:bCs/>
          <w:color w:val="000000"/>
          <w:sz w:val="20"/>
          <w:szCs w:val="20"/>
        </w:rPr>
      </w:pPr>
    </w:p>
    <w:p w14:paraId="08C7492F" w14:textId="77777777" w:rsidR="00645197" w:rsidRDefault="00645197" w:rsidP="00645197">
      <w:pPr>
        <w:spacing w:after="0" w:line="240" w:lineRule="auto"/>
        <w:rPr>
          <w:rFonts w:ascii="Verdana" w:eastAsia="Geomanist Light" w:hAnsi="Verdana" w:cs="Arial"/>
          <w:color w:val="000000" w:themeColor="text1"/>
          <w:lang w:val="es-MX"/>
        </w:rPr>
      </w:pPr>
    </w:p>
    <w:p w14:paraId="604F4845" w14:textId="77777777" w:rsidR="00645197" w:rsidRDefault="00645197" w:rsidP="00645197">
      <w:pPr>
        <w:spacing w:after="0" w:line="240" w:lineRule="auto"/>
        <w:rPr>
          <w:rFonts w:ascii="Verdana" w:eastAsia="Geomanist Light" w:hAnsi="Verdana" w:cs="Arial"/>
          <w:color w:val="000000" w:themeColor="text1"/>
          <w:lang w:val="es-MX"/>
        </w:rPr>
      </w:pPr>
    </w:p>
    <w:p w14:paraId="26E8D7A7" w14:textId="6C72FF0A" w:rsidR="003944F5" w:rsidRDefault="00645197" w:rsidP="00645197">
      <w:pPr>
        <w:spacing w:after="0" w:line="240" w:lineRule="auto"/>
        <w:jc w:val="both"/>
        <w:rPr>
          <w:rFonts w:ascii="Verdana" w:eastAsia="Geomanist Light" w:hAnsi="Verdana" w:cs="Arial"/>
          <w:color w:val="000000" w:themeColor="text1"/>
          <w:lang w:val="es-MX"/>
        </w:rPr>
      </w:pPr>
      <w:r w:rsidRPr="009035FE">
        <w:rPr>
          <w:rFonts w:ascii="Verdana" w:eastAsia="Geomanist Light" w:hAnsi="Verdana" w:cs="Arial"/>
          <w:color w:val="000000" w:themeColor="text1"/>
          <w:lang w:val="es-MX"/>
        </w:rPr>
        <w:lastRenderedPageBreak/>
        <w:t xml:space="preserve">Bogotá D.C., </w:t>
      </w:r>
      <w:r w:rsidR="003944F5">
        <w:rPr>
          <w:rFonts w:ascii="Verdana" w:eastAsia="Geomanist Light" w:hAnsi="Verdana" w:cs="Arial"/>
          <w:color w:val="000000" w:themeColor="text1"/>
          <w:lang w:val="es-MX"/>
        </w:rPr>
        <w:t>22 de enero de 2026</w:t>
      </w:r>
    </w:p>
    <w:p w14:paraId="5EE77664" w14:textId="77777777" w:rsidR="003944F5" w:rsidRDefault="003944F5" w:rsidP="00645197">
      <w:pPr>
        <w:spacing w:after="0" w:line="240" w:lineRule="auto"/>
        <w:jc w:val="both"/>
        <w:rPr>
          <w:rFonts w:ascii="Verdana" w:eastAsia="Geomanist Light" w:hAnsi="Verdana" w:cs="Arial"/>
          <w:color w:val="000000" w:themeColor="text1"/>
          <w:lang w:val="es-MX"/>
        </w:rPr>
      </w:pPr>
    </w:p>
    <w:p w14:paraId="084EAA75" w14:textId="75A63056" w:rsidR="003944F5" w:rsidRDefault="003944F5" w:rsidP="003944F5">
      <w:pPr>
        <w:spacing w:after="0" w:line="240" w:lineRule="auto"/>
        <w:jc w:val="right"/>
        <w:rPr>
          <w:rFonts w:ascii="Verdana" w:eastAsia="Geomanist Light" w:hAnsi="Verdana" w:cs="Arial"/>
          <w:color w:val="000000" w:themeColor="text1"/>
          <w:lang w:val="es-MX"/>
        </w:rPr>
      </w:pPr>
    </w:p>
    <w:p w14:paraId="4376BEB1" w14:textId="3BA911F7" w:rsidR="00645197" w:rsidRDefault="00AD2EFF" w:rsidP="00645197">
      <w:pPr>
        <w:spacing w:after="0" w:line="240" w:lineRule="auto"/>
        <w:jc w:val="both"/>
        <w:rPr>
          <w:rFonts w:ascii="Verdana" w:eastAsia="Calibri" w:hAnsi="Verdana" w:cs="Arial"/>
          <w:color w:val="000000"/>
          <w:lang w:val="es-ES"/>
        </w:rPr>
      </w:pPr>
      <w:r w:rsidRPr="003944F5">
        <w:rPr>
          <w:rFonts w:ascii="Verdana" w:eastAsia="Geomanist Light" w:hAnsi="Verdana" w:cs="Arial"/>
          <w:noProof/>
          <w:color w:val="000000" w:themeColor="text1"/>
          <w:lang w:val="es-MX"/>
        </w:rPr>
        <w:drawing>
          <wp:anchor distT="0" distB="0" distL="114300" distR="114300" simplePos="0" relativeHeight="251658240" behindDoc="0" locked="0" layoutInCell="1" allowOverlap="1" wp14:anchorId="2C49488A" wp14:editId="2DEADAE0">
            <wp:simplePos x="0" y="0"/>
            <wp:positionH relativeFrom="margin">
              <wp:align>right</wp:align>
            </wp:positionH>
            <wp:positionV relativeFrom="paragraph">
              <wp:posOffset>8890</wp:posOffset>
            </wp:positionV>
            <wp:extent cx="2584450" cy="844550"/>
            <wp:effectExtent l="0" t="0" r="6350" b="0"/>
            <wp:wrapSquare wrapText="bothSides"/>
            <wp:docPr id="185849233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492335"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584450" cy="844550"/>
                    </a:xfrm>
                    <a:prstGeom prst="rect">
                      <a:avLst/>
                    </a:prstGeom>
                  </pic:spPr>
                </pic:pic>
              </a:graphicData>
            </a:graphic>
            <wp14:sizeRelH relativeFrom="margin">
              <wp14:pctWidth>0</wp14:pctWidth>
            </wp14:sizeRelH>
            <wp14:sizeRelV relativeFrom="margin">
              <wp14:pctHeight>0</wp14:pctHeight>
            </wp14:sizeRelV>
          </wp:anchor>
        </w:drawing>
      </w:r>
    </w:p>
    <w:p w14:paraId="3D7E7221" w14:textId="22BCAF98" w:rsidR="00645197" w:rsidRPr="00593A5F" w:rsidRDefault="00645197" w:rsidP="00645197">
      <w:pPr>
        <w:spacing w:after="0" w:line="240" w:lineRule="auto"/>
        <w:jc w:val="both"/>
        <w:rPr>
          <w:rFonts w:ascii="Verdana" w:eastAsia="Calibri" w:hAnsi="Verdana" w:cs="Arial"/>
          <w:color w:val="000000"/>
          <w:lang w:val="es-ES"/>
        </w:rPr>
      </w:pPr>
    </w:p>
    <w:p w14:paraId="36ED300F" w14:textId="77777777" w:rsidR="00645197" w:rsidRPr="00B96799" w:rsidRDefault="00645197" w:rsidP="00645197">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45981A5" w14:textId="77777777" w:rsidR="00645197" w:rsidRPr="0085423D" w:rsidRDefault="00645197" w:rsidP="00645197">
      <w:pPr>
        <w:spacing w:after="0" w:line="240" w:lineRule="auto"/>
        <w:rPr>
          <w:rFonts w:ascii="Verdana" w:eastAsia="Calibri" w:hAnsi="Verdana" w:cs="Arial"/>
          <w:b/>
          <w:lang w:val="es-ES_tradnl" w:eastAsia="es-ES_tradnl"/>
        </w:rPr>
      </w:pPr>
      <w:bookmarkStart w:id="0" w:name="OLE_LINK1"/>
      <w:r>
        <w:rPr>
          <w:rFonts w:ascii="Verdana" w:eastAsia="Calibri" w:hAnsi="Verdana" w:cs="Arial"/>
          <w:b/>
          <w:lang w:val="es-ES_tradnl" w:eastAsia="es-ES_tradnl"/>
        </w:rPr>
        <w:t>Martin Hernando Escorcia</w:t>
      </w:r>
    </w:p>
    <w:bookmarkEnd w:id="0"/>
    <w:p w14:paraId="38CF7ABF" w14:textId="77777777" w:rsidR="00645197" w:rsidRDefault="00645197" w:rsidP="00645197">
      <w:pPr>
        <w:spacing w:after="0" w:line="240" w:lineRule="auto"/>
        <w:rPr>
          <w:rFonts w:ascii="Verdana" w:eastAsia="Calibri" w:hAnsi="Verdana" w:cs="Arial"/>
          <w:lang w:val="es-ES" w:eastAsia="es-ES"/>
        </w:rPr>
      </w:pPr>
      <w:r>
        <w:rPr>
          <w:rFonts w:ascii="Verdana" w:eastAsia="Calibri" w:hAnsi="Verdana" w:cs="Arial"/>
          <w:lang w:val="es-ES" w:eastAsia="es-ES"/>
        </w:rPr>
        <w:t>Ciudad</w:t>
      </w:r>
    </w:p>
    <w:p w14:paraId="0AA4C922" w14:textId="77777777" w:rsidR="00645197" w:rsidRPr="00593A5F" w:rsidRDefault="00645197" w:rsidP="00645197">
      <w:pPr>
        <w:spacing w:after="0" w:line="240" w:lineRule="auto"/>
        <w:rPr>
          <w:rFonts w:ascii="Verdana" w:eastAsia="Calibri" w:hAnsi="Verdana" w:cs="Arial"/>
          <w:b/>
          <w:bCs/>
          <w:color w:val="000000"/>
          <w:lang w:val="es-ES_tradnl" w:eastAsia="es-ES_tradnl"/>
        </w:rPr>
      </w:pPr>
    </w:p>
    <w:p w14:paraId="6EC4C55C" w14:textId="77777777" w:rsidR="00645197" w:rsidRPr="00593A5F" w:rsidRDefault="00645197" w:rsidP="0064519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45197" w:rsidRPr="00593A5F" w14:paraId="594DE096" w14:textId="77777777" w:rsidTr="003533A3">
        <w:trPr>
          <w:trHeight w:val="884"/>
        </w:trPr>
        <w:tc>
          <w:tcPr>
            <w:tcW w:w="2689" w:type="dxa"/>
          </w:tcPr>
          <w:p w14:paraId="0DD45A7A" w14:textId="77777777" w:rsidR="00645197" w:rsidRPr="00C00976" w:rsidRDefault="00645197" w:rsidP="003533A3">
            <w:pPr>
              <w:jc w:val="both"/>
              <w:rPr>
                <w:rFonts w:ascii="Verdana" w:eastAsia="Calibri" w:hAnsi="Verdana" w:cs="Arial"/>
                <w:b/>
                <w:bCs/>
                <w:color w:val="7030A0"/>
                <w:lang w:val="es-ES_tradnl" w:eastAsia="es-ES_tradnl"/>
              </w:rPr>
            </w:pPr>
          </w:p>
        </w:tc>
        <w:tc>
          <w:tcPr>
            <w:tcW w:w="6100" w:type="dxa"/>
          </w:tcPr>
          <w:p w14:paraId="269FBE22" w14:textId="77777777" w:rsidR="00645197" w:rsidRPr="00C00976" w:rsidRDefault="00645197" w:rsidP="003533A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1849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645197" w:rsidRPr="00593A5F" w14:paraId="768EA48A" w14:textId="77777777" w:rsidTr="003533A3">
        <w:trPr>
          <w:trHeight w:val="884"/>
        </w:trPr>
        <w:tc>
          <w:tcPr>
            <w:tcW w:w="2689" w:type="dxa"/>
          </w:tcPr>
          <w:p w14:paraId="1BADCA36" w14:textId="77777777" w:rsidR="00645197" w:rsidRPr="00593A5F" w:rsidRDefault="00645197" w:rsidP="003533A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35FE806" w14:textId="29967785" w:rsidR="00B30CFA" w:rsidRDefault="008D29BC" w:rsidP="003533A3">
            <w:pPr>
              <w:spacing w:line="276" w:lineRule="auto"/>
              <w:jc w:val="both"/>
              <w:rPr>
                <w:rFonts w:ascii="Verdana" w:eastAsia="Calibri" w:hAnsi="Verdana" w:cs="Arial"/>
                <w:lang w:val="es-ES" w:eastAsia="es-ES"/>
              </w:rPr>
            </w:pPr>
            <w:r w:rsidRPr="00474A65">
              <w:rPr>
                <w:rFonts w:ascii="Verdana" w:eastAsia="Arial" w:hAnsi="Verdana" w:cs="Arial"/>
              </w:rPr>
              <w:t xml:space="preserve">DECRETO 1600 DE 2024- Capítulo Tercero – Entidades obligadas a su aplicación </w:t>
            </w:r>
            <w:r>
              <w:rPr>
                <w:rFonts w:ascii="Verdana" w:eastAsia="Arial" w:hAnsi="Verdana" w:cs="Arial"/>
              </w:rPr>
              <w:t xml:space="preserve">/ </w:t>
            </w:r>
            <w:r w:rsidR="00B30CFA" w:rsidRPr="00C75A78">
              <w:rPr>
                <w:rFonts w:ascii="Verdana" w:eastAsia="Calibri" w:hAnsi="Verdana" w:cs="Arial"/>
                <w:lang w:val="es-ES" w:eastAsia="es-ES"/>
              </w:rPr>
              <w:t>DECRETO 1600 DE 2024 – Situaciones de control – Acreditación</w:t>
            </w:r>
            <w:r w:rsidR="00B30CFA">
              <w:rPr>
                <w:rFonts w:ascii="Verdana" w:eastAsia="Calibri" w:hAnsi="Verdana" w:cs="Arial"/>
                <w:lang w:val="es-ES" w:eastAsia="es-ES"/>
              </w:rPr>
              <w:t xml:space="preserve"> / </w:t>
            </w:r>
            <w:r w:rsidR="00B30CFA" w:rsidRPr="00C75A78">
              <w:rPr>
                <w:rFonts w:ascii="Verdana" w:eastAsia="Calibri" w:hAnsi="Verdana" w:cs="Arial"/>
                <w:lang w:val="es-ES" w:eastAsia="es-ES"/>
              </w:rPr>
              <w:t>REGISTRO ÚNICO DE PROPONENTES – Definición – Marco jurídico</w:t>
            </w:r>
            <w:r w:rsidR="00B30CFA">
              <w:rPr>
                <w:rFonts w:ascii="Verdana" w:eastAsia="Calibri" w:hAnsi="Verdana" w:cs="Arial"/>
                <w:lang w:val="es-ES" w:eastAsia="es-ES"/>
              </w:rPr>
              <w:t xml:space="preserve"> / </w:t>
            </w:r>
            <w:r w:rsidR="00B30CFA" w:rsidRPr="00C75A78">
              <w:rPr>
                <w:rFonts w:ascii="Verdana" w:eastAsia="Calibri" w:hAnsi="Verdana" w:cs="Arial"/>
                <w:lang w:val="es-ES" w:eastAsia="es-ES"/>
              </w:rPr>
              <w:t>REQUISITOS HABILITANTES – Registro Único de Proponentes – Plena prueba</w:t>
            </w:r>
            <w:r w:rsidR="00B30CFA">
              <w:rPr>
                <w:rFonts w:ascii="Verdana" w:eastAsia="Calibri" w:hAnsi="Verdana" w:cs="Arial"/>
                <w:lang w:val="es-ES" w:eastAsia="es-ES"/>
              </w:rPr>
              <w:t xml:space="preserve"> / </w:t>
            </w:r>
            <w:r w:rsidR="00B30CFA" w:rsidRPr="00C75A78">
              <w:rPr>
                <w:rFonts w:ascii="Verdana" w:eastAsia="Calibri" w:hAnsi="Verdana" w:cs="Arial"/>
                <w:lang w:val="es-ES" w:eastAsia="es-ES"/>
              </w:rPr>
              <w:t>GRUPO EMPRESARIAL – Existencia – Acreditación – Plazo</w:t>
            </w:r>
            <w:r w:rsidR="00B30CFA">
              <w:rPr>
                <w:rFonts w:ascii="Verdana" w:eastAsia="Calibri" w:hAnsi="Verdana" w:cs="Arial"/>
                <w:lang w:val="es-ES" w:eastAsia="es-ES"/>
              </w:rPr>
              <w:t xml:space="preserve"> / </w:t>
            </w:r>
            <w:r w:rsidR="00B30CFA" w:rsidRPr="00911055">
              <w:rPr>
                <w:rFonts w:ascii="Verdana" w:eastAsia="Calibri" w:hAnsi="Verdana" w:cs="Arial"/>
                <w:lang w:val="es-ES" w:eastAsia="es-ES"/>
              </w:rPr>
              <w:t xml:space="preserve">INHABILIDADES – Definición – Finalidad – Limitación capacidad contractual / CONTRATACIÓN ESTATAL – Capacidad – Validez contratos </w:t>
            </w:r>
          </w:p>
          <w:p w14:paraId="4C15ACAF" w14:textId="7788BA4C" w:rsidR="00645197" w:rsidRPr="00593A5F" w:rsidRDefault="00645197" w:rsidP="003533A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45197" w:rsidRPr="008E6AD9" w14:paraId="556F31D9" w14:textId="77777777" w:rsidTr="003533A3">
        <w:tc>
          <w:tcPr>
            <w:tcW w:w="2689" w:type="dxa"/>
          </w:tcPr>
          <w:p w14:paraId="594B42B5" w14:textId="77777777" w:rsidR="00645197" w:rsidRPr="008E6AD9" w:rsidRDefault="00645197" w:rsidP="003533A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74B0E45" w14:textId="77777777" w:rsidR="00645197" w:rsidRPr="00B92340" w:rsidRDefault="00645197" w:rsidP="003533A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D27091">
              <w:rPr>
                <w:rFonts w:ascii="Verdana" w:eastAsia="Calibri" w:hAnsi="Verdana" w:cs="Arial"/>
                <w:lang w:val="es-ES_tradnl" w:eastAsia="es-ES_tradnl"/>
              </w:rPr>
              <w:t>1_2025_12_19_014200</w:t>
            </w:r>
            <w:r>
              <w:rPr>
                <w:rFonts w:ascii="Verdana" w:eastAsia="Calibri" w:hAnsi="Verdana" w:cs="Arial"/>
                <w:lang w:val="es-ES_tradnl" w:eastAsia="es-ES_tradnl"/>
              </w:rPr>
              <w:t xml:space="preserve"> acumulada con </w:t>
            </w:r>
            <w:r w:rsidRPr="00D27091">
              <w:rPr>
                <w:rFonts w:ascii="Verdana" w:eastAsia="Calibri" w:hAnsi="Verdana" w:cs="Arial"/>
                <w:lang w:val="es-ES_tradnl" w:eastAsia="es-ES_tradnl"/>
              </w:rPr>
              <w:t>1_2025_12_19_014202</w:t>
            </w:r>
          </w:p>
        </w:tc>
      </w:tr>
    </w:tbl>
    <w:p w14:paraId="25D8484C" w14:textId="77777777" w:rsidR="00645197" w:rsidRPr="00593A5F" w:rsidRDefault="00645197" w:rsidP="00645197">
      <w:pPr>
        <w:spacing w:after="0" w:line="240" w:lineRule="auto"/>
        <w:jc w:val="both"/>
        <w:rPr>
          <w:rFonts w:ascii="Verdana" w:eastAsia="Calibri" w:hAnsi="Verdana" w:cs="Arial"/>
          <w:color w:val="000000"/>
          <w:lang w:val="es-ES_tradnl" w:eastAsia="es-ES_tradnl"/>
        </w:rPr>
      </w:pPr>
    </w:p>
    <w:p w14:paraId="755A45C0" w14:textId="77777777" w:rsidR="00645197" w:rsidRPr="00593A5F" w:rsidRDefault="00645197" w:rsidP="00645197">
      <w:pPr>
        <w:spacing w:after="0" w:line="240" w:lineRule="auto"/>
        <w:jc w:val="both"/>
        <w:rPr>
          <w:rFonts w:ascii="Verdana" w:eastAsia="Calibri" w:hAnsi="Verdana" w:cs="Arial"/>
          <w:color w:val="000000"/>
          <w:lang w:val="es-ES_tradnl" w:eastAsia="es-ES_tradnl"/>
        </w:rPr>
      </w:pPr>
    </w:p>
    <w:p w14:paraId="2332D528" w14:textId="77777777" w:rsidR="00645197" w:rsidRPr="008E6AD9" w:rsidRDefault="00645197" w:rsidP="00645197">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Escorcia</w:t>
      </w:r>
      <w:r w:rsidRPr="008E6AD9">
        <w:rPr>
          <w:rFonts w:ascii="Verdana" w:eastAsia="Calibri" w:hAnsi="Verdana" w:cs="Arial"/>
          <w:lang w:val="es-ES" w:eastAsia="es-ES"/>
        </w:rPr>
        <w:t xml:space="preserve">: </w:t>
      </w:r>
    </w:p>
    <w:p w14:paraId="7028237D" w14:textId="77777777" w:rsidR="00645197" w:rsidRDefault="00645197" w:rsidP="0064519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EE668F2" w14:textId="77777777" w:rsidR="00645197" w:rsidRPr="00593A5F" w:rsidRDefault="00645197" w:rsidP="00645197">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19 de diciembre de 2025, remitida por la Procuraduría General de la Nación mediante radicado No. S-2025-053614, en la que pregunta lo siguiente</w:t>
      </w:r>
      <w:r w:rsidRPr="008E6AD9">
        <w:rPr>
          <w:rFonts w:ascii="Verdana" w:eastAsia="Calibri" w:hAnsi="Verdana" w:cs="Arial"/>
          <w:lang w:val="es-ES" w:eastAsia="es-ES"/>
        </w:rPr>
        <w:t xml:space="preserve">: </w:t>
      </w:r>
    </w:p>
    <w:p w14:paraId="7854F389" w14:textId="77777777" w:rsidR="00645197" w:rsidRPr="00272A7B" w:rsidRDefault="00645197" w:rsidP="003F1FA1">
      <w:pPr>
        <w:pStyle w:val="Prrafodelista"/>
        <w:tabs>
          <w:tab w:val="left" w:pos="142"/>
          <w:tab w:val="left" w:pos="284"/>
        </w:tabs>
        <w:spacing w:after="0" w:line="240" w:lineRule="auto"/>
        <w:ind w:left="0"/>
        <w:jc w:val="both"/>
        <w:rPr>
          <w:rFonts w:ascii="Verdana" w:eastAsia="Century Gothic" w:hAnsi="Verdana" w:cs="Century Gothic"/>
          <w:b/>
          <w:bCs/>
        </w:rPr>
      </w:pPr>
    </w:p>
    <w:p w14:paraId="6E0FD6FD" w14:textId="77777777" w:rsidR="00645197" w:rsidRPr="00B52651" w:rsidRDefault="00645197" w:rsidP="007A5A67">
      <w:pPr>
        <w:spacing w:after="0" w:line="240" w:lineRule="auto"/>
        <w:ind w:left="709" w:right="709"/>
        <w:jc w:val="both"/>
        <w:rPr>
          <w:rFonts w:ascii="Verdana" w:eastAsia="Century Gothic" w:hAnsi="Verdana" w:cs="Century Gothic"/>
          <w:sz w:val="21"/>
          <w:szCs w:val="21"/>
          <w:lang w:val="es-ES"/>
        </w:rPr>
      </w:pPr>
      <w:bookmarkStart w:id="1" w:name="_Hlk95313578"/>
      <w:r w:rsidRPr="006E7258">
        <w:rPr>
          <w:rFonts w:ascii="Verdana" w:eastAsia="Century Gothic" w:hAnsi="Verdana" w:cs="Century Gothic"/>
          <w:sz w:val="21"/>
          <w:szCs w:val="21"/>
          <w:lang w:val="es-ES"/>
        </w:rPr>
        <w:t>“</w:t>
      </w:r>
      <w:bookmarkEnd w:id="1"/>
      <w:r w:rsidRPr="00B52651">
        <w:rPr>
          <w:rFonts w:ascii="Verdana" w:eastAsia="Century Gothic" w:hAnsi="Verdana" w:cs="Century Gothic"/>
          <w:sz w:val="21"/>
          <w:szCs w:val="21"/>
          <w:lang w:val="es-ES"/>
        </w:rPr>
        <w:t>1. Obligación de exigir revelación societaria en contratación estatal</w:t>
      </w:r>
      <w:r>
        <w:rPr>
          <w:rFonts w:ascii="Verdana" w:eastAsia="Century Gothic" w:hAnsi="Verdana" w:cs="Century Gothic"/>
          <w:sz w:val="21"/>
          <w:szCs w:val="21"/>
          <w:lang w:val="es-ES"/>
        </w:rPr>
        <w:t xml:space="preserve"> </w:t>
      </w:r>
      <w:r w:rsidRPr="00B52651">
        <w:rPr>
          <w:rFonts w:ascii="Verdana" w:eastAsia="Century Gothic" w:hAnsi="Verdana" w:cs="Century Gothic"/>
          <w:sz w:val="21"/>
          <w:szCs w:val="21"/>
          <w:lang w:val="es-ES"/>
        </w:rPr>
        <w:t>¿Qué obligación tienen las entidades estatales de exigir la revelación de situaciones de control o de pertenencia a grupos empresariales con matriz internacional, a las empresas con las que celebran contratos o concesiones en sectores estratégicos como infraestructura, hidrocarburos, puertos, energía, telecomunicaciones, minería, ambientales, zonas francas y logística, especialmente cuando dichas empresas operan en Colombia a través de varias sucursales o subsidiarias?</w:t>
      </w:r>
    </w:p>
    <w:p w14:paraId="70B78A70" w14:textId="77777777" w:rsidR="00645197" w:rsidRPr="00B52651" w:rsidRDefault="00645197" w:rsidP="007A5A67">
      <w:pPr>
        <w:spacing w:after="0" w:line="240" w:lineRule="auto"/>
        <w:ind w:left="709" w:right="709"/>
        <w:jc w:val="both"/>
        <w:rPr>
          <w:rFonts w:ascii="Verdana" w:eastAsia="Century Gothic" w:hAnsi="Verdana" w:cs="Century Gothic"/>
          <w:sz w:val="21"/>
          <w:szCs w:val="21"/>
          <w:lang w:val="es-ES"/>
        </w:rPr>
      </w:pPr>
      <w:r w:rsidRPr="00B52651">
        <w:rPr>
          <w:rFonts w:ascii="Verdana" w:eastAsia="Century Gothic" w:hAnsi="Verdana" w:cs="Century Gothic"/>
          <w:sz w:val="21"/>
          <w:szCs w:val="21"/>
          <w:lang w:val="es-ES"/>
        </w:rPr>
        <w:t>2. Consecuencias disciplinarias por omisión en la exigencia de revelación</w:t>
      </w:r>
      <w:r>
        <w:rPr>
          <w:rFonts w:ascii="Verdana" w:eastAsia="Century Gothic" w:hAnsi="Verdana" w:cs="Century Gothic"/>
          <w:sz w:val="21"/>
          <w:szCs w:val="21"/>
          <w:lang w:val="es-ES"/>
        </w:rPr>
        <w:t xml:space="preserve"> </w:t>
      </w:r>
      <w:r w:rsidRPr="00B52651">
        <w:rPr>
          <w:rFonts w:ascii="Verdana" w:eastAsia="Century Gothic" w:hAnsi="Verdana" w:cs="Century Gothic"/>
          <w:sz w:val="21"/>
          <w:szCs w:val="21"/>
          <w:lang w:val="es-ES"/>
        </w:rPr>
        <w:t>¿La omisión en exigir la revelación de la estructura societaria real en sectores estratégicos, cuando se haya identificado que las empresas contratistas forman parte de un grupo empresarial bajo control extranjero, puede constituir un incumplimiento del deber de debida diligencia por parte de los servidores públicos, según el régimen disciplinario aplicable?</w:t>
      </w:r>
    </w:p>
    <w:p w14:paraId="4C46E57F" w14:textId="77777777" w:rsidR="00645197" w:rsidRPr="00B52651" w:rsidRDefault="00645197" w:rsidP="007A5A67">
      <w:pPr>
        <w:spacing w:after="0" w:line="240" w:lineRule="auto"/>
        <w:ind w:left="709" w:right="709"/>
        <w:jc w:val="both"/>
        <w:rPr>
          <w:rFonts w:ascii="Verdana" w:eastAsia="Century Gothic" w:hAnsi="Verdana" w:cs="Century Gothic"/>
          <w:sz w:val="21"/>
          <w:szCs w:val="21"/>
          <w:lang w:val="es-ES"/>
        </w:rPr>
      </w:pPr>
      <w:r w:rsidRPr="00B52651">
        <w:rPr>
          <w:rFonts w:ascii="Verdana" w:eastAsia="Century Gothic" w:hAnsi="Verdana" w:cs="Century Gothic"/>
          <w:sz w:val="21"/>
          <w:szCs w:val="21"/>
          <w:lang w:val="es-ES"/>
        </w:rPr>
        <w:t>3. Con</w:t>
      </w:r>
      <w:r>
        <w:rPr>
          <w:rFonts w:ascii="Verdana" w:eastAsia="Century Gothic" w:hAnsi="Verdana" w:cs="Century Gothic"/>
          <w:sz w:val="21"/>
          <w:szCs w:val="21"/>
          <w:lang w:val="es-ES"/>
        </w:rPr>
        <w:t xml:space="preserve">trol </w:t>
      </w:r>
      <w:r w:rsidRPr="00B52651">
        <w:rPr>
          <w:rFonts w:ascii="Verdana" w:eastAsia="Century Gothic" w:hAnsi="Verdana" w:cs="Century Gothic"/>
          <w:sz w:val="21"/>
          <w:szCs w:val="21"/>
          <w:lang w:val="es-ES"/>
        </w:rPr>
        <w:t xml:space="preserve">preventivo de </w:t>
      </w:r>
      <w:r>
        <w:rPr>
          <w:rFonts w:ascii="Verdana" w:eastAsia="Century Gothic" w:hAnsi="Verdana" w:cs="Century Gothic"/>
          <w:sz w:val="21"/>
          <w:szCs w:val="21"/>
          <w:lang w:val="es-ES"/>
        </w:rPr>
        <w:t>la</w:t>
      </w:r>
      <w:r w:rsidRPr="00B52651">
        <w:rPr>
          <w:rFonts w:ascii="Verdana" w:eastAsia="Century Gothic" w:hAnsi="Verdana" w:cs="Century Gothic"/>
          <w:sz w:val="21"/>
          <w:szCs w:val="21"/>
          <w:lang w:val="es-ES"/>
        </w:rPr>
        <w:t xml:space="preserve"> Procuraduría en contratos estatales</w:t>
      </w:r>
    </w:p>
    <w:p w14:paraId="56DF07E3" w14:textId="77777777" w:rsidR="00645197" w:rsidRPr="00A6315A" w:rsidRDefault="00645197" w:rsidP="007A5A67">
      <w:pPr>
        <w:spacing w:after="0" w:line="240" w:lineRule="auto"/>
        <w:ind w:left="709" w:right="709"/>
        <w:jc w:val="both"/>
        <w:rPr>
          <w:rFonts w:ascii="Verdana" w:eastAsia="Century Gothic" w:hAnsi="Verdana" w:cs="Century Gothic"/>
          <w:sz w:val="21"/>
          <w:szCs w:val="21"/>
        </w:rPr>
      </w:pPr>
      <w:r w:rsidRPr="00B52651">
        <w:rPr>
          <w:rFonts w:ascii="Verdana" w:eastAsia="Century Gothic" w:hAnsi="Verdana" w:cs="Century Gothic"/>
          <w:sz w:val="21"/>
          <w:szCs w:val="21"/>
          <w:lang w:val="es-ES"/>
        </w:rPr>
        <w:t>¿Puede la Procuraduría General de la Nación ejercer un control preventivo, en ejercicio de sus atribuciones constitucionales (Art. 277 C.P.), sobre contratos o concesiones estatales celebrados con empresas que forman parte de grupos empresariales con matriz internacional, particularmente cuando la estructura societaria real no ha sido revelada o registrada con el fin</w:t>
      </w:r>
      <w:r w:rsidRPr="00F63C9E">
        <w:t xml:space="preserve"> </w:t>
      </w:r>
      <w:r w:rsidRPr="00F63C9E">
        <w:rPr>
          <w:rFonts w:ascii="Verdana" w:eastAsia="Century Gothic" w:hAnsi="Verdana" w:cs="Century Gothic"/>
          <w:sz w:val="21"/>
          <w:szCs w:val="21"/>
          <w:lang w:val="es-ES"/>
        </w:rPr>
        <w:t>de garantizar la transparencia y la protección de los derechos colectivos en sectores estratégicos?</w:t>
      </w:r>
      <w:r w:rsidRPr="00A6315A">
        <w:rPr>
          <w:rFonts w:ascii="Verdana" w:eastAsia="Century Gothic" w:hAnsi="Verdana" w:cs="Century Gothic"/>
          <w:sz w:val="21"/>
          <w:szCs w:val="21"/>
        </w:rPr>
        <w:t>”.</w:t>
      </w:r>
    </w:p>
    <w:p w14:paraId="453E65A2" w14:textId="77777777" w:rsidR="00645197" w:rsidRPr="008E6AD9" w:rsidRDefault="00645197" w:rsidP="00645197">
      <w:pPr>
        <w:pStyle w:val="Prrafodelista"/>
        <w:tabs>
          <w:tab w:val="left" w:pos="142"/>
          <w:tab w:val="left" w:pos="284"/>
        </w:tabs>
        <w:spacing w:after="0" w:line="276" w:lineRule="auto"/>
        <w:ind w:left="0"/>
        <w:jc w:val="both"/>
        <w:rPr>
          <w:rFonts w:ascii="Verdana" w:eastAsia="Century Gothic" w:hAnsi="Verdana" w:cs="Century Gothic"/>
          <w:b/>
          <w:bCs/>
        </w:rPr>
      </w:pPr>
    </w:p>
    <w:p w14:paraId="05CDCD59" w14:textId="77777777" w:rsidR="00645197" w:rsidRPr="00A652FF" w:rsidRDefault="00645197" w:rsidP="00645197">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34B8C79" w14:textId="77777777" w:rsidR="00645197" w:rsidRDefault="00645197" w:rsidP="00645197">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w:t>
      </w:r>
      <w:r w:rsidRPr="00593A5F">
        <w:rPr>
          <w:rFonts w:ascii="Verdana" w:eastAsia="Calibri" w:hAnsi="Verdana" w:cs="Arial"/>
          <w:color w:val="000000"/>
          <w:lang w:val="es-ES" w:eastAsia="es-ES"/>
        </w:rPr>
        <w:lastRenderedPageBreak/>
        <w:t>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458E030" w14:textId="77777777" w:rsidR="00645197" w:rsidRPr="00593A5F" w:rsidRDefault="00645197" w:rsidP="00645197">
      <w:pPr>
        <w:spacing w:after="0" w:line="276" w:lineRule="auto"/>
        <w:ind w:firstLine="709"/>
        <w:jc w:val="both"/>
        <w:rPr>
          <w:rFonts w:ascii="Verdana" w:eastAsia="Calibri" w:hAnsi="Verdana" w:cs="Arial"/>
          <w:color w:val="000000"/>
          <w:lang w:val="es-ES" w:eastAsia="es-ES"/>
        </w:rPr>
      </w:pPr>
    </w:p>
    <w:p w14:paraId="209D704D" w14:textId="77777777" w:rsidR="00645197" w:rsidRPr="00593A5F" w:rsidRDefault="00645197" w:rsidP="0064519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2E9EBCD" w14:textId="77777777" w:rsidR="00645197" w:rsidRPr="00593A5F" w:rsidRDefault="00645197" w:rsidP="00645197">
      <w:pPr>
        <w:tabs>
          <w:tab w:val="left" w:pos="426"/>
        </w:tabs>
        <w:spacing w:after="0" w:line="276" w:lineRule="auto"/>
        <w:jc w:val="both"/>
        <w:rPr>
          <w:rFonts w:ascii="Verdana" w:eastAsia="Century Gothic" w:hAnsi="Verdana" w:cs="Century Gothic"/>
          <w:lang w:val="es-ES"/>
        </w:rPr>
      </w:pPr>
    </w:p>
    <w:p w14:paraId="7307E94B" w14:textId="15C05875" w:rsidR="00645197" w:rsidRPr="00593A5F" w:rsidRDefault="00645197" w:rsidP="00645197">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w:t>
      </w:r>
      <w:r w:rsidR="00495A64">
        <w:rPr>
          <w:rFonts w:ascii="Verdana" w:eastAsia="Century Gothic" w:hAnsi="Verdana" w:cs="Century Gothic"/>
        </w:rPr>
        <w:t>Es obligatorio que</w:t>
      </w:r>
      <w:r>
        <w:rPr>
          <w:rFonts w:ascii="Verdana" w:eastAsia="Century Gothic" w:hAnsi="Verdana" w:cs="Century Gothic"/>
        </w:rPr>
        <w:t xml:space="preserve"> la</w:t>
      </w:r>
      <w:r w:rsidR="00495A64">
        <w:rPr>
          <w:rFonts w:ascii="Verdana" w:eastAsia="Century Gothic" w:hAnsi="Verdana" w:cs="Century Gothic"/>
        </w:rPr>
        <w:t>s</w:t>
      </w:r>
      <w:r>
        <w:rPr>
          <w:rFonts w:ascii="Verdana" w:eastAsia="Century Gothic" w:hAnsi="Verdana" w:cs="Century Gothic"/>
        </w:rPr>
        <w:t xml:space="preserve"> </w:t>
      </w:r>
      <w:r w:rsidR="00495A64">
        <w:rPr>
          <w:rFonts w:ascii="Verdana" w:eastAsia="Century Gothic" w:hAnsi="Verdana" w:cs="Century Gothic"/>
        </w:rPr>
        <w:t>Entidades</w:t>
      </w:r>
      <w:r>
        <w:rPr>
          <w:rFonts w:ascii="Verdana" w:eastAsia="Century Gothic" w:hAnsi="Verdana" w:cs="Century Gothic"/>
        </w:rPr>
        <w:t xml:space="preserve"> </w:t>
      </w:r>
      <w:r w:rsidR="00495A64">
        <w:rPr>
          <w:rFonts w:ascii="Verdana" w:eastAsia="Century Gothic" w:hAnsi="Verdana" w:cs="Century Gothic"/>
        </w:rPr>
        <w:t xml:space="preserve">Estatales </w:t>
      </w:r>
      <w:r>
        <w:rPr>
          <w:rFonts w:ascii="Verdana" w:eastAsia="Calibri" w:hAnsi="Verdana" w:cs="Arial"/>
          <w:bCs/>
          <w:color w:val="000000" w:themeColor="text1"/>
        </w:rPr>
        <w:t>requ</w:t>
      </w:r>
      <w:r w:rsidR="00495A64">
        <w:rPr>
          <w:rFonts w:ascii="Verdana" w:eastAsia="Calibri" w:hAnsi="Verdana" w:cs="Arial"/>
          <w:bCs/>
          <w:color w:val="000000" w:themeColor="text1"/>
        </w:rPr>
        <w:t>ieran</w:t>
      </w:r>
      <w:r>
        <w:rPr>
          <w:rFonts w:ascii="Verdana" w:eastAsia="Calibri" w:hAnsi="Verdana" w:cs="Arial"/>
          <w:bCs/>
          <w:color w:val="000000" w:themeColor="text1"/>
        </w:rPr>
        <w:t xml:space="preserve"> a l</w:t>
      </w:r>
      <w:r w:rsidR="00495A64">
        <w:rPr>
          <w:rFonts w:ascii="Verdana" w:eastAsia="Calibri" w:hAnsi="Verdana" w:cs="Arial"/>
          <w:bCs/>
          <w:color w:val="000000" w:themeColor="text1"/>
        </w:rPr>
        <w:t>a</w:t>
      </w:r>
      <w:r>
        <w:rPr>
          <w:rFonts w:ascii="Verdana" w:eastAsia="Calibri" w:hAnsi="Verdana" w:cs="Arial"/>
          <w:bCs/>
          <w:color w:val="000000" w:themeColor="text1"/>
        </w:rPr>
        <w:t xml:space="preserve"> acredit</w:t>
      </w:r>
      <w:r w:rsidR="00495A64">
        <w:rPr>
          <w:rFonts w:ascii="Verdana" w:eastAsia="Calibri" w:hAnsi="Verdana" w:cs="Arial"/>
          <w:bCs/>
          <w:color w:val="000000" w:themeColor="text1"/>
        </w:rPr>
        <w:t xml:space="preserve">ación de </w:t>
      </w:r>
      <w:r>
        <w:rPr>
          <w:rFonts w:ascii="Verdana" w:eastAsia="Calibri" w:hAnsi="Verdana" w:cs="Arial"/>
          <w:bCs/>
          <w:color w:val="000000" w:themeColor="text1"/>
        </w:rPr>
        <w:t>la existencia o no de situaciones de control</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118DC993" w14:textId="77777777" w:rsidR="00645197" w:rsidRPr="004B140F" w:rsidRDefault="00645197" w:rsidP="00645197">
      <w:pPr>
        <w:spacing w:after="0" w:line="276" w:lineRule="auto"/>
        <w:jc w:val="both"/>
        <w:rPr>
          <w:rFonts w:ascii="Verdana" w:eastAsia="Calibri" w:hAnsi="Verdana" w:cs="Arial"/>
          <w:color w:val="7030A0"/>
        </w:rPr>
      </w:pPr>
    </w:p>
    <w:p w14:paraId="077AD277" w14:textId="77777777" w:rsidR="00645197" w:rsidRPr="00593A5F" w:rsidRDefault="00645197" w:rsidP="006451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E8CC57" w14:textId="77777777" w:rsidR="00645197" w:rsidRPr="00593A5F" w:rsidRDefault="00645197" w:rsidP="0064519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45197" w:rsidRPr="00593A5F" w14:paraId="1DE7A51B" w14:textId="77777777" w:rsidTr="003533A3">
        <w:trPr>
          <w:jc w:val="center"/>
        </w:trPr>
        <w:tc>
          <w:tcPr>
            <w:tcW w:w="8828" w:type="dxa"/>
          </w:tcPr>
          <w:p w14:paraId="684439F7" w14:textId="59BEF98A" w:rsidR="005621CD" w:rsidRPr="005621CD" w:rsidRDefault="005621CD" w:rsidP="00043098">
            <w:pPr>
              <w:spacing w:after="120" w:line="276" w:lineRule="auto"/>
              <w:jc w:val="both"/>
              <w:rPr>
                <w:rFonts w:ascii="Verdana" w:eastAsia="Calibri" w:hAnsi="Verdana" w:cs="Arial"/>
                <w:bCs/>
                <w:iCs/>
                <w:lang w:eastAsia="es-ES_tradnl"/>
              </w:rPr>
            </w:pPr>
            <w:bookmarkStart w:id="2" w:name="_Hlk171694685"/>
            <w:r>
              <w:rPr>
                <w:rFonts w:ascii="Verdana" w:eastAsia="Calibri" w:hAnsi="Verdana" w:cs="Arial"/>
                <w:bCs/>
                <w:iCs/>
                <w:lang w:eastAsia="es-ES_tradnl"/>
              </w:rPr>
              <w:t>Las</w:t>
            </w:r>
            <w:r w:rsidR="00FB5481" w:rsidRPr="00474A65">
              <w:rPr>
                <w:rFonts w:ascii="Verdana" w:eastAsia="Calibri" w:hAnsi="Verdana" w:cs="Arial"/>
                <w:bCs/>
                <w:iCs/>
                <w:lang w:eastAsia="es-ES_tradnl"/>
              </w:rPr>
              <w:t xml:space="preserve"> disposiciones contenidas</w:t>
            </w:r>
            <w:r w:rsidR="00365673">
              <w:rPr>
                <w:rFonts w:ascii="Verdana" w:eastAsia="Calibri" w:hAnsi="Verdana" w:cs="Arial"/>
                <w:bCs/>
                <w:iCs/>
                <w:lang w:eastAsia="es-ES_tradnl"/>
              </w:rPr>
              <w:t xml:space="preserve"> en </w:t>
            </w:r>
            <w:r w:rsidR="00FB5481" w:rsidRPr="00474A65">
              <w:rPr>
                <w:rFonts w:ascii="Verdana" w:eastAsia="Calibri" w:hAnsi="Verdana" w:cs="Arial"/>
                <w:bCs/>
                <w:iCs/>
                <w:lang w:eastAsia="es-ES_tradnl"/>
              </w:rPr>
              <w:t>el</w:t>
            </w:r>
            <w:r w:rsidR="00365673">
              <w:rPr>
                <w:rFonts w:ascii="Verdana" w:eastAsia="Calibri" w:hAnsi="Verdana" w:cs="Arial"/>
                <w:bCs/>
                <w:iCs/>
                <w:lang w:eastAsia="es-ES_tradnl"/>
              </w:rPr>
              <w:t xml:space="preserve"> </w:t>
            </w:r>
            <w:r w:rsidR="00365673" w:rsidRPr="00474A65">
              <w:rPr>
                <w:rFonts w:ascii="Verdana" w:eastAsia="Calibri" w:hAnsi="Verdana" w:cs="Arial"/>
                <w:bCs/>
                <w:iCs/>
                <w:lang w:eastAsia="es-ES_tradnl"/>
              </w:rPr>
              <w:t>capítulo 3</w:t>
            </w:r>
            <w:r w:rsidR="00365673">
              <w:rPr>
                <w:rFonts w:ascii="Verdana" w:eastAsia="Calibri" w:hAnsi="Verdana" w:cs="Arial"/>
                <w:bCs/>
                <w:iCs/>
                <w:lang w:eastAsia="es-ES_tradnl"/>
              </w:rPr>
              <w:t xml:space="preserve"> del</w:t>
            </w:r>
            <w:r w:rsidR="00365673" w:rsidRPr="00474A65">
              <w:rPr>
                <w:rFonts w:ascii="Verdana" w:eastAsia="Calibri" w:hAnsi="Verdana" w:cs="Arial"/>
                <w:bCs/>
                <w:iCs/>
                <w:lang w:eastAsia="es-ES_tradnl"/>
              </w:rPr>
              <w:t xml:space="preserve"> </w:t>
            </w:r>
            <w:r w:rsidR="00FB5481" w:rsidRPr="00474A65">
              <w:rPr>
                <w:rFonts w:ascii="Verdana" w:eastAsia="Calibri" w:hAnsi="Verdana" w:cs="Arial"/>
                <w:bCs/>
                <w:iCs/>
                <w:lang w:eastAsia="es-ES_tradnl"/>
              </w:rPr>
              <w:t>Decreto 1600</w:t>
            </w:r>
            <w:r w:rsidR="00FB5481">
              <w:rPr>
                <w:rFonts w:ascii="Verdana" w:eastAsia="Calibri" w:hAnsi="Verdana" w:cs="Arial"/>
                <w:bCs/>
                <w:iCs/>
                <w:lang w:eastAsia="es-ES_tradnl"/>
              </w:rPr>
              <w:t xml:space="preserve"> de 2024</w:t>
            </w:r>
            <w:r>
              <w:rPr>
                <w:rFonts w:ascii="Verdana" w:eastAsia="Calibri" w:hAnsi="Verdana" w:cs="Arial"/>
                <w:bCs/>
                <w:iCs/>
                <w:lang w:eastAsia="es-ES_tradnl"/>
              </w:rPr>
              <w:t xml:space="preserve"> son d</w:t>
            </w:r>
            <w:r w:rsidRPr="005621CD">
              <w:rPr>
                <w:rFonts w:ascii="Verdana" w:eastAsia="Calibri" w:hAnsi="Verdana" w:cs="Arial"/>
                <w:bCs/>
                <w:iCs/>
                <w:lang w:eastAsia="es-ES_tradnl"/>
              </w:rPr>
              <w:t>e aplicación obligatoria para las entidades</w:t>
            </w:r>
            <w:r>
              <w:rPr>
                <w:rFonts w:ascii="Verdana" w:eastAsia="Calibri" w:hAnsi="Verdana" w:cs="Arial"/>
                <w:bCs/>
                <w:iCs/>
                <w:lang w:eastAsia="es-ES_tradnl"/>
              </w:rPr>
              <w:t xml:space="preserve"> estatales</w:t>
            </w:r>
            <w:r w:rsidRPr="005621CD">
              <w:rPr>
                <w:rFonts w:ascii="Verdana" w:eastAsia="Calibri" w:hAnsi="Verdana" w:cs="Arial"/>
                <w:bCs/>
                <w:iCs/>
                <w:lang w:eastAsia="es-ES_tradnl"/>
              </w:rPr>
              <w:t xml:space="preserve"> del Estado del orden nacional que hacen parte de la Rama Ejecutiva del Poder Público, así como para las empresas industriales y comerciales del Estado, las sociedades de economía mixta y las entidades sujetas a regímenes especiales de contratación de este nivel. Dicho decreto no aplica de manera obligatoria a las entidades territoriales ni a sus entidades descentralizadas; sin embargo, estas deberán incorporar sus lineamientos en planes y políticas, en ejercicio de su autonomía, conforme a lo previsto en el artículo 32 de la Ley 152 de 1994 y el artículo 200 de la Ley 2294 de 2023.</w:t>
            </w:r>
            <w:r w:rsidR="00043098">
              <w:rPr>
                <w:rFonts w:ascii="Verdana" w:eastAsia="Calibri" w:hAnsi="Verdana" w:cs="Arial"/>
                <w:bCs/>
                <w:iCs/>
                <w:lang w:eastAsia="es-ES_tradnl"/>
              </w:rPr>
              <w:t xml:space="preserve"> </w:t>
            </w:r>
            <w:r w:rsidRPr="005621CD">
              <w:rPr>
                <w:rFonts w:ascii="Verdana" w:eastAsia="Calibri" w:hAnsi="Verdana" w:cs="Arial"/>
                <w:bCs/>
                <w:iCs/>
                <w:lang w:eastAsia="es-ES_tradnl"/>
              </w:rPr>
              <w:t>En este contexto, la obligación de verificar la existencia de situaciones de control, prevista en el literal a) del artículo 2.1.4.3.2.1 del Decreto 1081 de 2015 y adicionada por el Decreto 1600 de 2024, es exigible de forma obligatoria a las entidades del orden nacional de la Rama Ejecutiva, quienes deben constatar dichas situaciones tanto respecto de personas jurídicas oferentes como de proponentes plurales, de conformidad con los artículos 260 y 261 del Código de Comercio.</w:t>
            </w:r>
          </w:p>
          <w:p w14:paraId="278567C3" w14:textId="6F09AE64" w:rsidR="005621CD" w:rsidRPr="005621CD" w:rsidRDefault="00043098" w:rsidP="003F1FA1">
            <w:pPr>
              <w:spacing w:after="120" w:line="276" w:lineRule="auto"/>
              <w:ind w:firstLine="709"/>
              <w:jc w:val="both"/>
              <w:rPr>
                <w:rFonts w:ascii="Verdana" w:eastAsia="Calibri" w:hAnsi="Verdana" w:cs="Arial"/>
                <w:bCs/>
                <w:iCs/>
                <w:lang w:eastAsia="es-ES_tradnl"/>
              </w:rPr>
            </w:pPr>
            <w:r>
              <w:rPr>
                <w:rFonts w:ascii="Verdana" w:eastAsia="Calibri" w:hAnsi="Verdana" w:cs="Arial"/>
                <w:bCs/>
                <w:iCs/>
                <w:lang w:eastAsia="es-ES_tradnl"/>
              </w:rPr>
              <w:t>No obstante, si bien l</w:t>
            </w:r>
            <w:r w:rsidR="005621CD" w:rsidRPr="005621CD">
              <w:rPr>
                <w:rFonts w:ascii="Verdana" w:eastAsia="Calibri" w:hAnsi="Verdana" w:cs="Arial"/>
                <w:bCs/>
                <w:iCs/>
                <w:lang w:eastAsia="es-ES_tradnl"/>
              </w:rPr>
              <w:t xml:space="preserve">a información sobre situaciones de control no constituye un requisito habilitante en sí mismo, </w:t>
            </w:r>
            <w:r>
              <w:rPr>
                <w:rFonts w:ascii="Verdana" w:eastAsia="Calibri" w:hAnsi="Verdana" w:cs="Arial"/>
                <w:bCs/>
                <w:iCs/>
                <w:lang w:eastAsia="es-ES_tradnl"/>
              </w:rPr>
              <w:t xml:space="preserve">si constituye </w:t>
            </w:r>
            <w:r w:rsidR="005621CD" w:rsidRPr="005621CD">
              <w:rPr>
                <w:rFonts w:ascii="Verdana" w:eastAsia="Calibri" w:hAnsi="Verdana" w:cs="Arial"/>
                <w:bCs/>
                <w:iCs/>
                <w:lang w:eastAsia="es-ES_tradnl"/>
              </w:rPr>
              <w:t>un insumo necesario para verificar la capacidad jurídica del proponente, en particular para confirmar la inexistencia de inhabilidades como las previstas en los literales j) y k) del numeral 8.1 del EGCAP.</w:t>
            </w:r>
            <w:r w:rsidR="00A36E89">
              <w:rPr>
                <w:rFonts w:ascii="Verdana" w:eastAsia="Calibri" w:hAnsi="Verdana" w:cs="Arial"/>
                <w:bCs/>
                <w:iCs/>
                <w:lang w:eastAsia="es-ES_tradnl"/>
              </w:rPr>
              <w:t xml:space="preserve"> En ese orden, a</w:t>
            </w:r>
            <w:r w:rsidR="005621CD" w:rsidRPr="005621CD">
              <w:rPr>
                <w:rFonts w:ascii="Verdana" w:eastAsia="Calibri" w:hAnsi="Verdana" w:cs="Arial"/>
                <w:bCs/>
                <w:iCs/>
                <w:lang w:eastAsia="es-ES_tradnl"/>
              </w:rPr>
              <w:t xml:space="preserve">unque la obligación de verificación establecida en el Decreto 1600 de 2024 es obligatoria únicamente para las entidades del orden nacional de la Rama Ejecutiva, las demás entidades estatales también deben verificar las situaciones de control de los </w:t>
            </w:r>
            <w:r w:rsidR="005621CD" w:rsidRPr="005621CD">
              <w:rPr>
                <w:rFonts w:ascii="Verdana" w:eastAsia="Calibri" w:hAnsi="Verdana" w:cs="Arial"/>
                <w:bCs/>
                <w:iCs/>
                <w:lang w:eastAsia="es-ES_tradnl"/>
              </w:rPr>
              <w:lastRenderedPageBreak/>
              <w:t>proponentes en sus procesos de contratación, en la medida en que esta información es necesaria para prevenir inhabilidades y conflictos de interés.</w:t>
            </w:r>
            <w:r w:rsidR="00F07290">
              <w:rPr>
                <w:rFonts w:ascii="Verdana" w:eastAsia="Calibri" w:hAnsi="Verdana" w:cs="Arial"/>
                <w:bCs/>
                <w:iCs/>
                <w:lang w:eastAsia="es-ES_tradnl"/>
              </w:rPr>
              <w:t xml:space="preserve"> </w:t>
            </w:r>
          </w:p>
          <w:p w14:paraId="0F2F1FE7" w14:textId="5F854121" w:rsidR="00645197" w:rsidRPr="001941FD" w:rsidRDefault="00645197" w:rsidP="003F1FA1">
            <w:pPr>
              <w:spacing w:after="120" w:line="276" w:lineRule="auto"/>
              <w:ind w:right="51" w:firstLine="742"/>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w:t>
            </w:r>
            <w:r>
              <w:rPr>
                <w:rStyle w:val="s15"/>
                <w:rFonts w:ascii="Verdana" w:hAnsi="Verdana"/>
                <w:color w:val="000000"/>
              </w:rPr>
              <w:t>, así como sobre la responsabilidad por omitir un deber legal o el control de la Procuraduría General de la Nación sobre la contratación pública,</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AB5BB86" w14:textId="77777777" w:rsidR="00645197" w:rsidRPr="00593A5F" w:rsidRDefault="00645197" w:rsidP="00645197">
      <w:pPr>
        <w:tabs>
          <w:tab w:val="left" w:pos="142"/>
          <w:tab w:val="left" w:pos="284"/>
        </w:tabs>
        <w:spacing w:after="0" w:line="276" w:lineRule="auto"/>
        <w:jc w:val="both"/>
        <w:rPr>
          <w:rFonts w:ascii="Verdana" w:eastAsia="Century Gothic" w:hAnsi="Verdana" w:cs="Century Gothic"/>
          <w:b/>
          <w:bCs/>
          <w:lang w:val="es-ES"/>
        </w:rPr>
      </w:pPr>
    </w:p>
    <w:bookmarkEnd w:id="2"/>
    <w:p w14:paraId="08E7DECC" w14:textId="77777777" w:rsidR="00645197" w:rsidRPr="00593A5F" w:rsidRDefault="00645197" w:rsidP="006451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25AE6CA" w14:textId="77777777" w:rsidR="00645197" w:rsidRPr="00593A5F" w:rsidRDefault="00645197" w:rsidP="00645197">
      <w:pPr>
        <w:spacing w:after="0" w:line="276" w:lineRule="auto"/>
        <w:jc w:val="both"/>
        <w:rPr>
          <w:rFonts w:ascii="Verdana" w:eastAsia="Calibri" w:hAnsi="Verdana" w:cs="Arial"/>
          <w:color w:val="7030A0"/>
          <w:lang w:val="es-ES"/>
        </w:rPr>
      </w:pPr>
    </w:p>
    <w:p w14:paraId="3454B371" w14:textId="77777777" w:rsidR="00645197" w:rsidRDefault="00645197" w:rsidP="00645197">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074CAA5" w14:textId="77777777" w:rsidR="00645197" w:rsidRDefault="00645197" w:rsidP="00645197">
      <w:pPr>
        <w:spacing w:after="0" w:line="276" w:lineRule="auto"/>
        <w:jc w:val="both"/>
        <w:rPr>
          <w:rFonts w:ascii="Verdana" w:eastAsia="Calibri" w:hAnsi="Verdana" w:cs="Arial"/>
          <w:lang w:val="es-ES"/>
        </w:rPr>
      </w:pPr>
    </w:p>
    <w:p w14:paraId="1DFF169A" w14:textId="77777777" w:rsidR="001A352A" w:rsidRPr="00474A65" w:rsidRDefault="001A352A" w:rsidP="001A352A">
      <w:pPr>
        <w:spacing w:after="120" w:line="276" w:lineRule="auto"/>
        <w:jc w:val="both"/>
        <w:rPr>
          <w:rFonts w:ascii="Verdana" w:hAnsi="Verdana" w:cs="Arial"/>
          <w:iCs/>
        </w:rPr>
      </w:pPr>
      <w:r>
        <w:rPr>
          <w:rFonts w:ascii="Verdana" w:eastAsia="Calibri" w:hAnsi="Verdana" w:cs="Arial"/>
          <w:lang w:val="es-ES"/>
        </w:rPr>
        <w:t xml:space="preserve">i. </w:t>
      </w:r>
      <w:r w:rsidRPr="00474A65">
        <w:rPr>
          <w:rFonts w:ascii="Verdana" w:hAnsi="Verdana" w:cs="Arial"/>
          <w:iCs/>
        </w:rPr>
        <w:t>El artículo 209 de la Constitución Política establece que la función administrativa está orientada hacia el servicio de los intereses generales y se fundamenta en principios de igualdad, moralidad, eficacia, economía, celeridad, imparcialidad y publicidad. Asimismo, conforme al Código de Procedimiento Administrativo y de lo Contencioso Administrativo, Ley 1437 de 2011, las acciones administrativas deben llevarse a cabo con transparencia.</w:t>
      </w:r>
    </w:p>
    <w:p w14:paraId="5E12DCDF" w14:textId="77777777" w:rsidR="001A352A" w:rsidRPr="00474A65" w:rsidRDefault="001A352A" w:rsidP="001A352A">
      <w:pPr>
        <w:spacing w:after="120" w:line="276" w:lineRule="auto"/>
        <w:ind w:firstLine="708"/>
        <w:jc w:val="both"/>
        <w:rPr>
          <w:rFonts w:ascii="Verdana" w:eastAsia="Calibri" w:hAnsi="Verdana" w:cs="Arial"/>
          <w:lang w:eastAsia="es-ES_tradnl"/>
        </w:rPr>
      </w:pPr>
      <w:r w:rsidRPr="00474A65">
        <w:rPr>
          <w:rFonts w:ascii="Verdana" w:eastAsia="Calibri" w:hAnsi="Verdana" w:cs="Arial"/>
          <w:lang w:eastAsia="es-ES_tradnl"/>
        </w:rPr>
        <w:t>El artículo 200 de la Ley 2294 de 2023</w:t>
      </w:r>
      <w:r w:rsidRPr="00474A65">
        <w:rPr>
          <w:rStyle w:val="Refdenotaalpie"/>
          <w:rFonts w:ascii="Verdana" w:eastAsia="Calibri" w:hAnsi="Verdana" w:cs="Arial"/>
          <w:lang w:eastAsia="es-ES_tradnl"/>
        </w:rPr>
        <w:footnoteReference w:id="1"/>
      </w:r>
      <w:r w:rsidRPr="00474A65">
        <w:rPr>
          <w:rFonts w:ascii="Verdana" w:eastAsia="Calibri" w:hAnsi="Verdana" w:cs="Arial"/>
          <w:lang w:eastAsia="es-ES_tradnl"/>
        </w:rPr>
        <w:t>, “Por</w:t>
      </w:r>
      <w:r w:rsidRPr="00474A65">
        <w:rPr>
          <w:rFonts w:ascii="Verdana" w:eastAsia="Calibri" w:hAnsi="Verdana" w:cs="Arial"/>
          <w:i/>
          <w:iCs/>
          <w:lang w:eastAsia="es-ES_tradnl"/>
        </w:rPr>
        <w:t xml:space="preserve"> la cual se expidió el Plan Nacional de Desarrollo ‘Colombia Potencia Mundial de la Vida’”</w:t>
      </w:r>
      <w:r w:rsidRPr="00474A65">
        <w:rPr>
          <w:rFonts w:ascii="Verdana" w:eastAsia="Calibri" w:hAnsi="Verdana" w:cs="Arial"/>
          <w:lang w:eastAsia="es-ES_tradnl"/>
        </w:rPr>
        <w:t xml:space="preserve">, estableció el </w:t>
      </w:r>
      <w:r w:rsidRPr="00474A65">
        <w:rPr>
          <w:rFonts w:ascii="Verdana" w:eastAsia="Calibri" w:hAnsi="Verdana" w:cs="Arial"/>
          <w:lang w:eastAsia="es-ES_tradnl"/>
        </w:rPr>
        <w:lastRenderedPageBreak/>
        <w:t>deber de formular una Estrategia Nacional de Lucha contra la Corrupción</w:t>
      </w:r>
      <w:r w:rsidRPr="00474A65">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474A65">
        <w:rPr>
          <w:rFonts w:ascii="Verdana" w:eastAsia="Calibri" w:hAnsi="Verdana" w:cs="Arial"/>
          <w:lang w:eastAsia="es-ES_tradnl"/>
        </w:rPr>
        <w:t xml:space="preserve">. </w:t>
      </w:r>
    </w:p>
    <w:p w14:paraId="14B0496E" w14:textId="77777777" w:rsidR="001A352A" w:rsidRPr="00474A65" w:rsidRDefault="001A352A" w:rsidP="001A352A">
      <w:pPr>
        <w:spacing w:after="120" w:line="276" w:lineRule="auto"/>
        <w:ind w:firstLine="708"/>
        <w:jc w:val="both"/>
        <w:rPr>
          <w:rFonts w:ascii="Verdana" w:eastAsia="Calibri" w:hAnsi="Verdana" w:cs="Arial"/>
          <w:lang w:eastAsia="es-ES_tradnl"/>
        </w:rPr>
      </w:pPr>
      <w:r w:rsidRPr="00474A65">
        <w:rPr>
          <w:rFonts w:ascii="Verdana" w:eastAsia="Calibri" w:hAnsi="Verdana" w:cs="Arial"/>
          <w:lang w:eastAsia="es-ES_tradnl"/>
        </w:rPr>
        <w:t xml:space="preserve">De este modo, la estrategia de la lucha contra la corrupción incluye las dimensiones de la garantía de los derechos humanos, la protección al denunciante, el derecho de acceso a la información pública, el fortalecimiento de la veeduría ciudadana, </w:t>
      </w:r>
      <w:r w:rsidRPr="00474A65">
        <w:rPr>
          <w:rFonts w:ascii="Verdana" w:eastAsia="Calibri" w:hAnsi="Verdana" w:cs="Arial"/>
          <w:i/>
          <w:iCs/>
          <w:lang w:eastAsia="es-ES_tradnl"/>
        </w:rPr>
        <w:t>la transparencia en la contratación y gestión pública,</w:t>
      </w:r>
      <w:r w:rsidRPr="00474A65">
        <w:rPr>
          <w:rFonts w:ascii="Verdana" w:eastAsia="Calibri" w:hAnsi="Verdana" w:cs="Arial"/>
          <w:lang w:eastAsia="es-ES_tradnl"/>
        </w:rPr>
        <w:t xml:space="preserve"> la innovación pública y la prevención, detección, gestión y sanción de riesgos y hechos de corrupción. </w:t>
      </w:r>
    </w:p>
    <w:p w14:paraId="49FDC273" w14:textId="77777777" w:rsidR="001A352A" w:rsidRPr="00474A65" w:rsidRDefault="001A352A" w:rsidP="001A352A">
      <w:pPr>
        <w:spacing w:after="120" w:line="276" w:lineRule="auto"/>
        <w:ind w:firstLine="708"/>
        <w:jc w:val="both"/>
        <w:rPr>
          <w:rFonts w:ascii="Verdana" w:eastAsia="Calibri" w:hAnsi="Verdana" w:cs="Arial"/>
          <w:bCs/>
          <w:lang w:eastAsia="es-ES_tradnl"/>
        </w:rPr>
      </w:pPr>
      <w:r w:rsidRPr="00474A65">
        <w:rPr>
          <w:rFonts w:ascii="Verdana" w:eastAsia="Calibri" w:hAnsi="Verdana" w:cs="Arial"/>
          <w:bCs/>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2719862D" w14:textId="77777777" w:rsidR="001A352A" w:rsidRPr="00474A65" w:rsidRDefault="001A352A" w:rsidP="001A352A">
      <w:pPr>
        <w:spacing w:after="120" w:line="276" w:lineRule="auto"/>
        <w:ind w:firstLine="708"/>
        <w:jc w:val="both"/>
        <w:rPr>
          <w:rFonts w:ascii="Verdana" w:eastAsia="Calibri" w:hAnsi="Verdana" w:cs="Arial"/>
          <w:bCs/>
          <w:iCs/>
          <w:lang w:eastAsia="es-ES_tradnl"/>
        </w:rPr>
      </w:pPr>
      <w:r w:rsidRPr="00474A65">
        <w:rPr>
          <w:rFonts w:ascii="Verdana" w:eastAsia="Calibri" w:hAnsi="Verdana" w:cs="Arial"/>
          <w:bCs/>
          <w:lang w:eastAsia="es-ES_tradnl"/>
        </w:rPr>
        <w:t xml:space="preserve">El Capítulo 3°, Sección 1°, Título 4°, Parte 1°, Libro 2° del Decreto 1081 de 2015, que fue modificado por el Decreto 1600 de 2024, tiene como objeto: “[…] </w:t>
      </w:r>
      <w:r w:rsidRPr="00474A65">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w:t>
      </w:r>
      <w:r w:rsidRPr="00474A65">
        <w:rPr>
          <w:rFonts w:ascii="Verdana" w:eastAsia="Calibri" w:hAnsi="Verdana" w:cs="Arial"/>
          <w:bCs/>
          <w:iCs/>
          <w:lang w:eastAsia="es-ES_tradnl"/>
        </w:rPr>
        <w:lastRenderedPageBreak/>
        <w:t xml:space="preserve">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193D425E" w14:textId="77777777" w:rsidR="001A352A" w:rsidRPr="00474A65" w:rsidRDefault="001A352A" w:rsidP="001A352A">
      <w:pPr>
        <w:spacing w:after="120" w:line="276" w:lineRule="auto"/>
        <w:ind w:firstLine="708"/>
        <w:jc w:val="both"/>
        <w:rPr>
          <w:rFonts w:ascii="Verdana" w:eastAsia="Calibri" w:hAnsi="Verdana" w:cs="Arial"/>
          <w:bCs/>
          <w:iCs/>
          <w:lang w:eastAsia="es-ES_tradnl"/>
        </w:rPr>
      </w:pPr>
      <w:r w:rsidRPr="00474A65">
        <w:rPr>
          <w:rFonts w:ascii="Verdana" w:eastAsia="Calibri" w:hAnsi="Verdana" w:cs="Arial"/>
          <w:bCs/>
          <w:iCs/>
          <w:lang w:eastAsia="es-ES_tradnl"/>
        </w:rPr>
        <w:t>Ahora bien, el ámbito o campo de aplicación de este capítulo, al cual se hace referencia en su consulta, está regulado en el artículo 2.1.4.3.1.2.</w:t>
      </w:r>
      <w:r w:rsidRPr="00474A65">
        <w:rPr>
          <w:rFonts w:ascii="Verdana" w:eastAsia="Calibri" w:hAnsi="Verdana" w:cs="Arial"/>
          <w:bCs/>
          <w:iCs/>
          <w:vertAlign w:val="superscript"/>
          <w:lang w:eastAsia="es-ES_tradnl"/>
        </w:rPr>
        <w:footnoteReference w:id="2"/>
      </w:r>
      <w:r w:rsidRPr="00474A65">
        <w:rPr>
          <w:rFonts w:ascii="Verdana" w:eastAsia="Calibri" w:hAnsi="Verdana" w:cs="Arial"/>
          <w:bCs/>
          <w:iCs/>
          <w:lang w:eastAsia="es-ES_tradnl"/>
        </w:rPr>
        <w:t xml:space="preserve"> que señala que sus reglas están dirigidas a las entidades y empresas del Estado del orden nacional y pertenecientes a la Rama Ejecutiva del Poder Público. Así mismo,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5E27D7B4" w14:textId="77777777" w:rsidR="001A352A" w:rsidRPr="00474A65" w:rsidRDefault="001A352A" w:rsidP="001A352A">
      <w:pPr>
        <w:spacing w:after="120" w:line="276" w:lineRule="auto"/>
        <w:ind w:firstLine="708"/>
        <w:jc w:val="both"/>
        <w:rPr>
          <w:rFonts w:ascii="Verdana" w:eastAsia="Calibri" w:hAnsi="Verdana" w:cs="Arial"/>
          <w:bCs/>
          <w:lang w:eastAsia="es-ES_tradnl"/>
        </w:rPr>
      </w:pPr>
      <w:r w:rsidRPr="00474A65">
        <w:rPr>
          <w:rFonts w:ascii="Verdana" w:eastAsia="Calibri" w:hAnsi="Verdana" w:cs="Arial"/>
          <w:bCs/>
          <w:iCs/>
          <w:lang w:eastAsia="es-ES_tradnl"/>
        </w:rPr>
        <w:t>En los temas no regulados por dicho régimen, no se aplica lo dispuesto en el artículo 2.1.4.3.2.1, por lo que las demás disposiciones deberán aplicarse, de acuerdo con su estructura orgánica y la normativa aplicable a su funcionamiento.</w:t>
      </w:r>
      <w:r w:rsidRPr="00474A65">
        <w:rPr>
          <w:rFonts w:ascii="Verdana" w:eastAsia="Calibri" w:hAnsi="Verdana" w:cs="Arial"/>
          <w:bCs/>
          <w:lang w:eastAsia="es-ES_tradnl"/>
        </w:rPr>
        <w:t xml:space="preserve"> </w:t>
      </w:r>
    </w:p>
    <w:p w14:paraId="398B0023" w14:textId="77777777" w:rsidR="001A352A" w:rsidRPr="00474A65" w:rsidRDefault="001A352A" w:rsidP="001A352A">
      <w:pPr>
        <w:spacing w:after="120" w:line="276" w:lineRule="auto"/>
        <w:ind w:firstLine="708"/>
        <w:jc w:val="both"/>
        <w:rPr>
          <w:rFonts w:ascii="Verdana" w:eastAsia="Calibri" w:hAnsi="Verdana" w:cs="Arial"/>
          <w:bCs/>
          <w:iCs/>
          <w:lang w:eastAsia="es-ES_tradnl"/>
        </w:rPr>
      </w:pPr>
      <w:r w:rsidRPr="00474A65">
        <w:rPr>
          <w:rFonts w:ascii="Verdana" w:eastAsia="Calibri" w:hAnsi="Verdana" w:cs="Arial"/>
          <w:bCs/>
          <w:iCs/>
          <w:lang w:eastAsia="es-ES_tradnl"/>
        </w:rPr>
        <w:t>Con respecto a las entidades territoriales y sus entidades descentralizadas el citado artículo dispone que en el marco de su autonomía y en cumplimiento de lo previsto en el artículo 32</w:t>
      </w:r>
      <w:r w:rsidRPr="00474A65">
        <w:rPr>
          <w:rStyle w:val="Refdenotaalpie"/>
          <w:rFonts w:ascii="Verdana" w:eastAsia="Calibri" w:hAnsi="Verdana" w:cs="Arial"/>
          <w:bCs/>
          <w:iCs/>
          <w:lang w:eastAsia="es-ES_tradnl"/>
        </w:rPr>
        <w:footnoteReference w:id="3"/>
      </w:r>
      <w:r w:rsidRPr="00474A65">
        <w:rPr>
          <w:rFonts w:ascii="Verdana" w:eastAsia="Calibri" w:hAnsi="Verdana" w:cs="Arial"/>
          <w:bCs/>
          <w:iCs/>
          <w:lang w:eastAsia="es-ES_tradnl"/>
        </w:rPr>
        <w:t xml:space="preserve"> de la Ley 152 de 1994, por la cual se establece la Ley Orgánica de Plan de Desarrollo, aplicarán en sus planes y políticas, las </w:t>
      </w:r>
      <w:r w:rsidRPr="00474A65">
        <w:rPr>
          <w:rFonts w:ascii="Verdana" w:eastAsia="Calibri" w:hAnsi="Verdana" w:cs="Arial"/>
          <w:bCs/>
          <w:iCs/>
          <w:lang w:eastAsia="es-ES_tradnl"/>
        </w:rPr>
        <w:lastRenderedPageBreak/>
        <w:t>líneas de acción contenidas en el presente Capítulo, conforme a lo regulado en el artículo 200</w:t>
      </w:r>
      <w:r w:rsidRPr="00474A65">
        <w:rPr>
          <w:rStyle w:val="Refdenotaalpie"/>
          <w:rFonts w:ascii="Verdana" w:eastAsia="Calibri" w:hAnsi="Verdana" w:cs="Arial"/>
          <w:bCs/>
          <w:iCs/>
          <w:lang w:eastAsia="es-ES_tradnl"/>
        </w:rPr>
        <w:footnoteReference w:id="4"/>
      </w:r>
      <w:r w:rsidRPr="00474A65">
        <w:rPr>
          <w:rFonts w:ascii="Verdana" w:eastAsia="Calibri" w:hAnsi="Verdana" w:cs="Arial"/>
          <w:bCs/>
          <w:iCs/>
          <w:lang w:eastAsia="es-ES_tradnl"/>
        </w:rPr>
        <w:t xml:space="preserve"> de la Ley 2294 de 2023. </w:t>
      </w:r>
    </w:p>
    <w:p w14:paraId="24912033" w14:textId="77777777" w:rsidR="001A352A" w:rsidRPr="00474A65" w:rsidRDefault="001A352A" w:rsidP="001A352A">
      <w:pPr>
        <w:spacing w:after="0" w:line="276" w:lineRule="auto"/>
        <w:ind w:firstLine="709"/>
        <w:jc w:val="both"/>
        <w:rPr>
          <w:rFonts w:ascii="Verdana" w:eastAsia="Calibri" w:hAnsi="Verdana" w:cs="Arial"/>
          <w:bCs/>
          <w:iCs/>
          <w:lang w:eastAsia="es-ES_tradnl"/>
        </w:rPr>
      </w:pPr>
      <w:r w:rsidRPr="00474A65">
        <w:rPr>
          <w:rFonts w:ascii="Verdana" w:eastAsia="Calibri" w:hAnsi="Verdana" w:cs="Arial"/>
          <w:bCs/>
          <w:iCs/>
          <w:lang w:eastAsia="es-ES_tradnl"/>
        </w:rPr>
        <w:t xml:space="preserve">En el capítulo referido, el artículo 2.1.4.3.2.1. indica que las entidades definidas en el artículo 2.1.4.3.1.2 del decreto, deberán garantizar acciones en desarrollo de la gestión contractual a su cargo, sin perjuicio de las demás obligaciones legales y reglamentarias, a saber: </w:t>
      </w:r>
    </w:p>
    <w:p w14:paraId="6E8D0410" w14:textId="77777777" w:rsidR="001A352A" w:rsidRPr="00474A65" w:rsidRDefault="001A352A" w:rsidP="001A352A">
      <w:pPr>
        <w:spacing w:after="0" w:line="276" w:lineRule="auto"/>
        <w:ind w:firstLine="709"/>
        <w:jc w:val="both"/>
        <w:rPr>
          <w:rFonts w:ascii="Verdana" w:eastAsia="Calibri" w:hAnsi="Verdana" w:cs="Arial"/>
          <w:bCs/>
          <w:iCs/>
          <w:lang w:eastAsia="es-ES_tradnl"/>
        </w:rPr>
      </w:pPr>
    </w:p>
    <w:p w14:paraId="32E1DB37" w14:textId="77777777" w:rsidR="001A352A" w:rsidRPr="003F1FA1" w:rsidRDefault="001A352A" w:rsidP="003F1FA1">
      <w:pPr>
        <w:pStyle w:val="Prrafodelista"/>
        <w:numPr>
          <w:ilvl w:val="0"/>
          <w:numId w:val="19"/>
        </w:numPr>
        <w:spacing w:after="120" w:line="240" w:lineRule="auto"/>
        <w:ind w:left="709" w:right="709" w:firstLine="0"/>
        <w:jc w:val="both"/>
        <w:rPr>
          <w:rFonts w:ascii="Verdana" w:eastAsia="Calibri" w:hAnsi="Verdana" w:cs="Arial"/>
          <w:bCs/>
          <w:iCs/>
          <w:sz w:val="20"/>
          <w:szCs w:val="20"/>
          <w:lang w:val="es-CO" w:eastAsia="es-ES_tradnl"/>
        </w:rPr>
      </w:pPr>
      <w:r w:rsidRPr="003F1FA1">
        <w:rPr>
          <w:rFonts w:ascii="Verdana" w:eastAsia="Calibri" w:hAnsi="Verdana" w:cs="Arial"/>
          <w:bCs/>
          <w:iCs/>
          <w:sz w:val="20"/>
          <w:szCs w:val="20"/>
          <w:lang w:val="es-CO" w:eastAsia="es-ES_tradnl"/>
        </w:rPr>
        <w:t xml:space="preserve">Verificar la existencia de situaciones de control. En este escenario las personas jurídicas oferentes y/o de los proponentes plurales que se presenten en los procesos de selección adelantados por las entidades mencionadas en el artículo 2.1.4.3.1.2,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1DA39B22" w14:textId="77777777" w:rsidR="001A352A" w:rsidRPr="003F1FA1" w:rsidRDefault="001A352A" w:rsidP="003F1FA1">
      <w:pPr>
        <w:pStyle w:val="Prrafodelista"/>
        <w:spacing w:after="0" w:line="240" w:lineRule="auto"/>
        <w:ind w:left="709" w:right="709"/>
        <w:jc w:val="both"/>
        <w:rPr>
          <w:rFonts w:ascii="Verdana" w:eastAsia="Calibri" w:hAnsi="Verdana" w:cs="Arial"/>
          <w:bCs/>
          <w:iCs/>
          <w:sz w:val="20"/>
          <w:szCs w:val="20"/>
          <w:lang w:val="es-CO" w:eastAsia="es-ES_tradnl"/>
        </w:rPr>
      </w:pPr>
    </w:p>
    <w:p w14:paraId="28832C23" w14:textId="77777777" w:rsidR="001A352A" w:rsidRPr="003F1FA1" w:rsidRDefault="001A352A" w:rsidP="003F1FA1">
      <w:pPr>
        <w:pStyle w:val="Prrafodelista"/>
        <w:spacing w:after="120" w:line="240" w:lineRule="auto"/>
        <w:ind w:left="709" w:right="709"/>
        <w:jc w:val="both"/>
        <w:rPr>
          <w:rFonts w:ascii="Verdana" w:eastAsia="Calibri" w:hAnsi="Verdana" w:cs="Arial"/>
          <w:bCs/>
          <w:iCs/>
          <w:sz w:val="20"/>
          <w:szCs w:val="20"/>
          <w:lang w:val="es-CO" w:eastAsia="es-ES_tradnl"/>
        </w:rPr>
      </w:pPr>
      <w:r w:rsidRPr="003F1FA1">
        <w:rPr>
          <w:rFonts w:ascii="Verdana" w:eastAsia="Calibri" w:hAnsi="Verdana" w:cs="Arial"/>
          <w:bCs/>
          <w:iCs/>
          <w:sz w:val="20"/>
          <w:szCs w:val="20"/>
          <w:lang w:val="es-CO" w:eastAsia="es-ES_tradnl"/>
        </w:rPr>
        <w:lastRenderedPageBreak/>
        <w:t>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4B410AD0" w14:textId="77777777" w:rsidR="001A352A" w:rsidRPr="003F1FA1" w:rsidRDefault="001A352A" w:rsidP="003F1FA1">
      <w:pPr>
        <w:pStyle w:val="Prrafodelista"/>
        <w:spacing w:after="0" w:line="240" w:lineRule="auto"/>
        <w:ind w:left="709" w:right="709"/>
        <w:jc w:val="both"/>
        <w:rPr>
          <w:rFonts w:ascii="Verdana" w:eastAsia="Calibri" w:hAnsi="Verdana" w:cs="Arial"/>
          <w:bCs/>
          <w:sz w:val="20"/>
          <w:szCs w:val="20"/>
          <w:lang w:val="es-CO" w:eastAsia="es-ES_tradnl"/>
        </w:rPr>
      </w:pPr>
    </w:p>
    <w:p w14:paraId="1948AE13" w14:textId="77777777" w:rsidR="001A352A" w:rsidRPr="003F1FA1" w:rsidRDefault="001A352A" w:rsidP="003F1FA1">
      <w:pPr>
        <w:pStyle w:val="Prrafodelista"/>
        <w:spacing w:after="120" w:line="240" w:lineRule="auto"/>
        <w:ind w:left="709" w:right="709"/>
        <w:jc w:val="both"/>
        <w:rPr>
          <w:rFonts w:ascii="Verdana" w:eastAsia="Calibri" w:hAnsi="Verdana" w:cs="Arial"/>
          <w:bCs/>
          <w:sz w:val="20"/>
          <w:szCs w:val="20"/>
          <w:lang w:val="es-CO" w:eastAsia="es-ES_tradnl"/>
        </w:rPr>
      </w:pPr>
      <w:r w:rsidRPr="003F1FA1">
        <w:rPr>
          <w:rStyle w:val="Textoennegrita"/>
          <w:rFonts w:ascii="Verdana" w:hAnsi="Verdana"/>
          <w:b w:val="0"/>
          <w:bCs w:val="0"/>
          <w:color w:val="000000"/>
          <w:sz w:val="20"/>
          <w:szCs w:val="20"/>
          <w:lang w:val="es-CO"/>
        </w:rPr>
        <w:t>Si se evidencian circunstancias que pudieran implicar afectaciones a la libertad de concurrencia o competencia, o a la pluralidad real de oferentes dentro del proceso de selección correspondiente, la entidad contratante deberá evaluar la necesidad de poner en conocimiento de los entes de control competentes dichas situaciones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w:t>
      </w:r>
      <w:r w:rsidRPr="003F1FA1">
        <w:rPr>
          <w:rFonts w:ascii="Verdana" w:eastAsia="Calibri" w:hAnsi="Verdana" w:cs="Arial"/>
          <w:bCs/>
          <w:sz w:val="20"/>
          <w:szCs w:val="20"/>
          <w:lang w:val="es-CO" w:eastAsia="es-ES_tradnl"/>
        </w:rPr>
        <w:t>.  </w:t>
      </w:r>
    </w:p>
    <w:p w14:paraId="144AC095" w14:textId="77777777" w:rsidR="001A352A" w:rsidRPr="003F1FA1" w:rsidRDefault="001A352A" w:rsidP="003F1FA1">
      <w:pPr>
        <w:pStyle w:val="Prrafodelista"/>
        <w:spacing w:after="0" w:line="240" w:lineRule="auto"/>
        <w:ind w:left="709" w:right="709"/>
        <w:jc w:val="both"/>
        <w:rPr>
          <w:rFonts w:ascii="Verdana" w:eastAsia="Calibri" w:hAnsi="Verdana" w:cs="Arial"/>
          <w:bCs/>
          <w:sz w:val="20"/>
          <w:szCs w:val="20"/>
          <w:lang w:val="es-CO" w:eastAsia="es-ES_tradnl"/>
        </w:rPr>
      </w:pPr>
    </w:p>
    <w:p w14:paraId="12CAD804" w14:textId="77777777" w:rsidR="001A352A" w:rsidRPr="003F1FA1" w:rsidRDefault="001A352A" w:rsidP="003F1FA1">
      <w:pPr>
        <w:pStyle w:val="Prrafodelista"/>
        <w:numPr>
          <w:ilvl w:val="0"/>
          <w:numId w:val="19"/>
        </w:numPr>
        <w:spacing w:after="120" w:line="240" w:lineRule="auto"/>
        <w:ind w:left="709" w:right="709" w:firstLine="0"/>
        <w:jc w:val="both"/>
        <w:rPr>
          <w:rStyle w:val="nfasis"/>
          <w:rFonts w:ascii="Verdana" w:eastAsia="Calibri" w:hAnsi="Verdana" w:cs="Arial"/>
          <w:bCs/>
          <w:sz w:val="20"/>
          <w:szCs w:val="20"/>
          <w:lang w:val="es-CO" w:eastAsia="es-ES_tradnl"/>
        </w:rPr>
      </w:pPr>
      <w:r w:rsidRPr="003F1FA1">
        <w:rPr>
          <w:rStyle w:val="Textoennegrita"/>
          <w:rFonts w:ascii="Verdana" w:hAnsi="Verdana" w:cs="Arial"/>
          <w:b w:val="0"/>
          <w:bCs w:val="0"/>
          <w:color w:val="000000"/>
          <w:sz w:val="20"/>
          <w:szCs w:val="20"/>
          <w:lang w:val="es-CO"/>
        </w:rPr>
        <w:t>Aplicar buenas prácticas para la contratación transparente.</w:t>
      </w:r>
      <w:r w:rsidRPr="003F1FA1">
        <w:rPr>
          <w:rStyle w:val="Textoennegrita"/>
          <w:rFonts w:ascii="Verdana" w:hAnsi="Verdana" w:cs="Arial"/>
          <w:color w:val="000000"/>
          <w:sz w:val="20"/>
          <w:szCs w:val="20"/>
          <w:lang w:val="es-CO"/>
        </w:rPr>
        <w:t> </w:t>
      </w:r>
      <w:r w:rsidRPr="003F1FA1">
        <w:rPr>
          <w:rStyle w:val="nfasis"/>
          <w:rFonts w:ascii="Verdana" w:hAnsi="Verdana" w:cs="Arial"/>
          <w:i w:val="0"/>
          <w:iCs w:val="0"/>
          <w:color w:val="000000"/>
          <w:sz w:val="20"/>
          <w:szCs w:val="20"/>
          <w:lang w:val="es-CO"/>
        </w:rPr>
        <w:t>Las entidades deberán garantizar que las guías y manuales definidos por la Agencia Nacional de Contratación Pública - Colombia Compra Eficiente, para la definición de criterios que permitan garantizar la pluralidad de oferentes, se apliquen en la organización. </w:t>
      </w:r>
      <w:r w:rsidRPr="003F1FA1">
        <w:rPr>
          <w:rFonts w:ascii="Verdana" w:hAnsi="Verdana" w:cs="Arial"/>
          <w:i/>
          <w:iCs/>
          <w:color w:val="000000"/>
          <w:sz w:val="20"/>
          <w:szCs w:val="20"/>
          <w:lang w:val="es-CO"/>
        </w:rPr>
        <w:t> </w:t>
      </w:r>
      <w:r w:rsidRPr="003F1FA1">
        <w:rPr>
          <w:rFonts w:ascii="Verdana" w:hAnsi="Verdana" w:cs="Arial"/>
          <w:color w:val="000000"/>
          <w:sz w:val="20"/>
          <w:szCs w:val="20"/>
          <w:lang w:val="es-CO"/>
        </w:rPr>
        <w:t xml:space="preserve">De esta forma deberán dejar constancia que en la estructuración del proceso precontractual se tuvieron en cuenta las </w:t>
      </w:r>
      <w:r w:rsidRPr="003F1FA1">
        <w:rPr>
          <w:rStyle w:val="nfasis"/>
          <w:rFonts w:ascii="Verdana" w:hAnsi="Verdana" w:cs="Arial"/>
          <w:i w:val="0"/>
          <w:iCs w:val="0"/>
          <w:color w:val="000000"/>
          <w:sz w:val="20"/>
          <w:szCs w:val="20"/>
          <w:lang w:val="es-CO"/>
        </w:rPr>
        <w:t>prácticas recomendadas por Colombia Compra Eficiente</w:t>
      </w:r>
    </w:p>
    <w:p w14:paraId="0ACDDAA9" w14:textId="77777777" w:rsidR="001A352A" w:rsidRPr="003F1FA1" w:rsidRDefault="001A352A" w:rsidP="003F1FA1">
      <w:pPr>
        <w:pStyle w:val="Prrafodelista"/>
        <w:spacing w:after="0" w:line="240" w:lineRule="auto"/>
        <w:ind w:left="709" w:right="709"/>
        <w:jc w:val="both"/>
        <w:rPr>
          <w:rStyle w:val="nfasis"/>
          <w:rFonts w:ascii="Verdana" w:eastAsia="Calibri" w:hAnsi="Verdana" w:cs="Arial"/>
          <w:bCs/>
          <w:sz w:val="20"/>
          <w:szCs w:val="20"/>
          <w:lang w:val="es-CO" w:eastAsia="es-ES_tradnl"/>
        </w:rPr>
      </w:pPr>
    </w:p>
    <w:p w14:paraId="164A4AA2" w14:textId="77777777" w:rsidR="001A352A" w:rsidRPr="003F1FA1" w:rsidRDefault="001A352A" w:rsidP="003F1FA1">
      <w:pPr>
        <w:pStyle w:val="Prrafodelista"/>
        <w:numPr>
          <w:ilvl w:val="0"/>
          <w:numId w:val="19"/>
        </w:numPr>
        <w:spacing w:after="120" w:line="240" w:lineRule="auto"/>
        <w:ind w:left="709" w:right="709" w:firstLine="0"/>
        <w:jc w:val="both"/>
        <w:rPr>
          <w:rFonts w:ascii="Verdana" w:eastAsia="Calibri" w:hAnsi="Verdana" w:cs="Arial"/>
          <w:bCs/>
          <w:i/>
          <w:iCs/>
          <w:sz w:val="20"/>
          <w:szCs w:val="20"/>
          <w:lang w:val="es-CO" w:eastAsia="es-ES_tradnl"/>
        </w:rPr>
      </w:pPr>
      <w:r w:rsidRPr="003F1FA1">
        <w:rPr>
          <w:rFonts w:ascii="Verdana" w:eastAsia="Calibri" w:hAnsi="Verdana" w:cs="Arial"/>
          <w:bCs/>
          <w:sz w:val="20"/>
          <w:szCs w:val="20"/>
          <w:lang w:val="es-CO" w:eastAsia="es-ES_tradnl"/>
        </w:rPr>
        <w:t xml:space="preserve">Fortalecer los análisis de mercado para la fijación objetiva de precios. 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  </w:t>
      </w:r>
    </w:p>
    <w:p w14:paraId="3B1DD609" w14:textId="77777777" w:rsidR="001A352A" w:rsidRPr="005359F5" w:rsidRDefault="001A352A" w:rsidP="001A352A">
      <w:pPr>
        <w:pStyle w:val="Prrafodelista"/>
        <w:spacing w:after="0" w:line="276" w:lineRule="auto"/>
        <w:ind w:left="714"/>
        <w:jc w:val="both"/>
        <w:rPr>
          <w:rFonts w:ascii="Verdana" w:eastAsia="Calibri" w:hAnsi="Verdana" w:cs="Arial"/>
          <w:bCs/>
          <w:i/>
          <w:iCs/>
          <w:lang w:val="es-CO" w:eastAsia="es-ES_tradnl"/>
        </w:rPr>
      </w:pPr>
    </w:p>
    <w:p w14:paraId="02A8DF0E" w14:textId="77777777" w:rsidR="001A352A" w:rsidRDefault="001A352A" w:rsidP="001A352A">
      <w:pPr>
        <w:spacing w:after="120" w:line="276" w:lineRule="auto"/>
        <w:ind w:firstLine="709"/>
        <w:jc w:val="both"/>
        <w:rPr>
          <w:rFonts w:ascii="Verdana" w:eastAsia="Calibri" w:hAnsi="Verdana" w:cs="Arial"/>
          <w:bCs/>
          <w:lang w:eastAsia="es-ES_tradnl"/>
        </w:rPr>
      </w:pPr>
      <w:r>
        <w:rPr>
          <w:rFonts w:ascii="Verdana" w:eastAsia="Calibri" w:hAnsi="Verdana" w:cs="Arial"/>
          <w:bCs/>
          <w:lang w:eastAsia="es-ES_tradnl"/>
        </w:rPr>
        <w:t xml:space="preserve">De conformidad con el parágrafo primero del artículo </w:t>
      </w:r>
      <w:r w:rsidRPr="00474A65">
        <w:rPr>
          <w:rFonts w:ascii="Verdana" w:eastAsia="Calibri" w:hAnsi="Verdana" w:cs="Arial"/>
          <w:bCs/>
          <w:iCs/>
          <w:lang w:eastAsia="es-ES_tradnl"/>
        </w:rPr>
        <w:t>2.1.4.3.2.1</w:t>
      </w:r>
      <w:r>
        <w:rPr>
          <w:rFonts w:ascii="Verdana" w:eastAsia="Calibri" w:hAnsi="Verdana" w:cs="Arial"/>
          <w:bCs/>
          <w:iCs/>
          <w:lang w:eastAsia="es-ES_tradnl"/>
        </w:rPr>
        <w:t xml:space="preserve">, </w:t>
      </w:r>
      <w:r>
        <w:rPr>
          <w:rFonts w:ascii="Verdana" w:eastAsia="Calibri" w:hAnsi="Verdana" w:cs="Arial"/>
          <w:bCs/>
          <w:lang w:eastAsia="es-ES_tradnl"/>
        </w:rPr>
        <w:t>l</w:t>
      </w:r>
      <w:r w:rsidRPr="00474A65">
        <w:rPr>
          <w:rFonts w:ascii="Verdana" w:eastAsia="Calibri" w:hAnsi="Verdana" w:cs="Arial"/>
          <w:bCs/>
          <w:lang w:eastAsia="es-ES_tradnl"/>
        </w:rPr>
        <w:t>o anterior deberá ser incorporado por parte de las entidades definidas en el artículo 2.1.4.3.1.2 en los manuales de contratación dentro de los seis (6) meses siguientes a la expedición del Decreto 1600 de 2024.</w:t>
      </w:r>
      <w:r>
        <w:rPr>
          <w:rFonts w:ascii="Verdana" w:eastAsia="Calibri" w:hAnsi="Verdana" w:cs="Arial"/>
          <w:bCs/>
          <w:lang w:eastAsia="es-ES_tradnl"/>
        </w:rPr>
        <w:t xml:space="preserve"> Por su parte, el parágrafo segundo</w:t>
      </w:r>
      <w:r w:rsidRPr="00A407B7">
        <w:rPr>
          <w:rFonts w:ascii="Verdana" w:eastAsia="Calibri" w:hAnsi="Verdana" w:cs="Arial"/>
          <w:bCs/>
          <w:i/>
          <w:iCs/>
          <w:lang w:eastAsia="es-ES_tradnl"/>
        </w:rPr>
        <w:t xml:space="preserve"> ibidem</w:t>
      </w:r>
      <w:r>
        <w:rPr>
          <w:rFonts w:ascii="Verdana" w:eastAsia="Calibri" w:hAnsi="Verdana" w:cs="Arial"/>
          <w:bCs/>
          <w:lang w:eastAsia="es-ES_tradnl"/>
        </w:rPr>
        <w:t xml:space="preserve"> indica que l</w:t>
      </w:r>
      <w:r w:rsidRPr="008A367A">
        <w:rPr>
          <w:rFonts w:ascii="Verdana" w:eastAsia="Calibri" w:hAnsi="Verdana" w:cs="Arial"/>
          <w:bCs/>
          <w:lang w:eastAsia="es-ES_tradnl"/>
        </w:rPr>
        <w:t xml:space="preserve">as entidades territoriales y sus descentralizadas, en </w:t>
      </w:r>
      <w:r w:rsidRPr="008A367A">
        <w:rPr>
          <w:rFonts w:ascii="Verdana" w:eastAsia="Calibri" w:hAnsi="Verdana" w:cs="Arial"/>
          <w:bCs/>
          <w:lang w:eastAsia="es-ES_tradnl"/>
        </w:rPr>
        <w:lastRenderedPageBreak/>
        <w:t xml:space="preserve">el marco de su autonomía, incorporarán las directrices contenidas en </w:t>
      </w:r>
      <w:r>
        <w:rPr>
          <w:rFonts w:ascii="Verdana" w:eastAsia="Calibri" w:hAnsi="Verdana" w:cs="Arial"/>
          <w:bCs/>
          <w:lang w:eastAsia="es-ES_tradnl"/>
        </w:rPr>
        <w:t>dicho</w:t>
      </w:r>
      <w:r w:rsidRPr="008A367A">
        <w:rPr>
          <w:rFonts w:ascii="Verdana" w:eastAsia="Calibri" w:hAnsi="Verdana" w:cs="Arial"/>
          <w:bCs/>
          <w:lang w:eastAsia="es-ES_tradnl"/>
        </w:rPr>
        <w:t xml:space="preserve"> artículo, de conformidad con lo señalado en el inciso tercero del artículo 2.1.4.3.1.2</w:t>
      </w:r>
      <w:r>
        <w:rPr>
          <w:rFonts w:ascii="Verdana" w:eastAsia="Calibri" w:hAnsi="Verdana" w:cs="Arial"/>
          <w:bCs/>
          <w:lang w:eastAsia="es-ES_tradnl"/>
        </w:rPr>
        <w:t xml:space="preserve">. </w:t>
      </w:r>
    </w:p>
    <w:p w14:paraId="2381D003" w14:textId="77777777" w:rsidR="001A352A" w:rsidRDefault="001A352A" w:rsidP="001A352A">
      <w:pPr>
        <w:spacing w:after="120" w:line="276" w:lineRule="auto"/>
        <w:ind w:firstLine="709"/>
        <w:jc w:val="both"/>
        <w:rPr>
          <w:rFonts w:ascii="Verdana" w:eastAsia="Calibri" w:hAnsi="Verdana" w:cs="Arial"/>
          <w:bCs/>
          <w:iCs/>
          <w:lang w:eastAsia="es-ES_tradnl"/>
        </w:rPr>
      </w:pPr>
      <w:r w:rsidRPr="00474A65">
        <w:rPr>
          <w:rFonts w:ascii="Verdana" w:eastAsia="Calibri" w:hAnsi="Verdana" w:cs="Arial"/>
          <w:bCs/>
          <w:iCs/>
          <w:lang w:eastAsia="es-ES_tradnl"/>
        </w:rPr>
        <w:t xml:space="preserve">De lo expuesto se concluye </w:t>
      </w:r>
      <w:r>
        <w:rPr>
          <w:rFonts w:ascii="Verdana" w:eastAsia="Calibri" w:hAnsi="Verdana" w:cs="Arial"/>
          <w:bCs/>
          <w:iCs/>
          <w:lang w:eastAsia="es-ES_tradnl"/>
        </w:rPr>
        <w:t>que,</w:t>
      </w:r>
      <w:r w:rsidRPr="00474A65">
        <w:rPr>
          <w:rFonts w:ascii="Verdana" w:eastAsia="Calibri" w:hAnsi="Verdana" w:cs="Arial"/>
          <w:bCs/>
          <w:iCs/>
          <w:lang w:eastAsia="es-ES_tradnl"/>
        </w:rPr>
        <w:t xml:space="preserve"> las disposiciones contenidas en el Decreto 1600</w:t>
      </w:r>
      <w:r>
        <w:rPr>
          <w:rFonts w:ascii="Verdana" w:eastAsia="Calibri" w:hAnsi="Verdana" w:cs="Arial"/>
          <w:bCs/>
          <w:iCs/>
          <w:lang w:eastAsia="es-ES_tradnl"/>
        </w:rPr>
        <w:t xml:space="preserve"> de 2024</w:t>
      </w:r>
      <w:r w:rsidRPr="00474A65">
        <w:rPr>
          <w:rFonts w:ascii="Verdana" w:eastAsia="Calibri" w:hAnsi="Verdana" w:cs="Arial"/>
          <w:bCs/>
          <w:iCs/>
          <w:lang w:eastAsia="es-ES_tradnl"/>
        </w:rPr>
        <w:t xml:space="preserve">, específicamente en el capítulo 3, son aplicables </w:t>
      </w:r>
      <w:r>
        <w:rPr>
          <w:rFonts w:ascii="Verdana" w:eastAsia="Calibri" w:hAnsi="Verdana" w:cs="Arial"/>
          <w:bCs/>
          <w:iCs/>
          <w:lang w:eastAsia="es-ES_tradnl"/>
        </w:rPr>
        <w:t xml:space="preserve">de forma obligatoria </w:t>
      </w:r>
      <w:r w:rsidRPr="00474A65">
        <w:rPr>
          <w:rFonts w:ascii="Verdana" w:eastAsia="Calibri" w:hAnsi="Verdana" w:cs="Arial"/>
          <w:bCs/>
          <w:iCs/>
          <w:lang w:eastAsia="es-ES_tradnl"/>
        </w:rPr>
        <w:t xml:space="preserve">a las entidades y empresas del Estado del orden nacional y pertenecientes a la Rama Ejecutiva del Poder Público, así como a las empresas industriales y comerciales del Estado, las sociedades de economía mixta </w:t>
      </w:r>
      <w:r>
        <w:rPr>
          <w:rFonts w:ascii="Verdana" w:eastAsia="Calibri" w:hAnsi="Verdana" w:cs="Arial"/>
          <w:bCs/>
          <w:iCs/>
          <w:lang w:eastAsia="es-ES_tradnl"/>
        </w:rPr>
        <w:t xml:space="preserve">y </w:t>
      </w:r>
      <w:r w:rsidRPr="00474A65">
        <w:rPr>
          <w:rFonts w:ascii="Verdana" w:eastAsia="Calibri" w:hAnsi="Verdana" w:cs="Arial"/>
          <w:bCs/>
          <w:iCs/>
          <w:lang w:eastAsia="es-ES_tradnl"/>
        </w:rPr>
        <w:t xml:space="preserve">todas las demás instituciones sometidas a regímenes especiales de contratación de este orden. </w:t>
      </w:r>
      <w:r>
        <w:rPr>
          <w:rFonts w:ascii="Verdana" w:eastAsia="Calibri" w:hAnsi="Verdana" w:cs="Arial"/>
          <w:bCs/>
          <w:iCs/>
          <w:lang w:eastAsia="es-ES_tradnl"/>
        </w:rPr>
        <w:t>T</w:t>
      </w:r>
      <w:r w:rsidRPr="00474A65">
        <w:rPr>
          <w:rFonts w:ascii="Verdana" w:eastAsia="Calibri" w:hAnsi="Verdana" w:cs="Arial"/>
          <w:bCs/>
          <w:iCs/>
          <w:lang w:eastAsia="es-ES_tradnl"/>
        </w:rPr>
        <w:t>ratándose de las entidades territoriales y sus entidades descentralizadas no serán aplicables</w:t>
      </w:r>
      <w:r>
        <w:rPr>
          <w:rFonts w:ascii="Verdana" w:eastAsia="Calibri" w:hAnsi="Verdana" w:cs="Arial"/>
          <w:bCs/>
          <w:iCs/>
          <w:lang w:eastAsia="es-ES_tradnl"/>
        </w:rPr>
        <w:t xml:space="preserve"> dichas disposiciones</w:t>
      </w:r>
      <w:r w:rsidRPr="00474A65">
        <w:rPr>
          <w:rFonts w:ascii="Verdana" w:eastAsia="Calibri" w:hAnsi="Verdana" w:cs="Arial"/>
          <w:bCs/>
          <w:iCs/>
          <w:lang w:eastAsia="es-ES_tradnl"/>
        </w:rPr>
        <w:t xml:space="preserve">. No obstante, </w:t>
      </w:r>
      <w:r>
        <w:rPr>
          <w:rFonts w:ascii="Verdana" w:eastAsia="Calibri" w:hAnsi="Verdana" w:cs="Arial"/>
          <w:bCs/>
          <w:iCs/>
          <w:lang w:eastAsia="es-ES_tradnl"/>
        </w:rPr>
        <w:t xml:space="preserve">se establece que </w:t>
      </w:r>
      <w:r w:rsidRPr="00474A65">
        <w:rPr>
          <w:rFonts w:ascii="Verdana" w:eastAsia="Calibri" w:hAnsi="Verdana" w:cs="Arial"/>
          <w:bCs/>
          <w:iCs/>
          <w:lang w:eastAsia="es-ES_tradnl"/>
        </w:rPr>
        <w:t xml:space="preserve">en el marco de su autonomía y en cumplimiento de lo previsto en el artículo 32 de la Ley 152 de 1994, aplicarán en sus planes y políticas, las líneas de acción contenidas en el </w:t>
      </w:r>
      <w:r>
        <w:rPr>
          <w:rFonts w:ascii="Verdana" w:eastAsia="Calibri" w:hAnsi="Verdana" w:cs="Arial"/>
          <w:bCs/>
          <w:iCs/>
          <w:lang w:eastAsia="es-ES_tradnl"/>
        </w:rPr>
        <w:t xml:space="preserve">citado </w:t>
      </w:r>
      <w:r w:rsidRPr="00474A65">
        <w:rPr>
          <w:rFonts w:ascii="Verdana" w:eastAsia="Calibri" w:hAnsi="Verdana" w:cs="Arial"/>
          <w:bCs/>
          <w:iCs/>
          <w:lang w:eastAsia="es-ES_tradnl"/>
        </w:rPr>
        <w:t>Decreto, conforme a lo regulado en el artículo 200</w:t>
      </w:r>
      <w:r w:rsidRPr="00474A65">
        <w:rPr>
          <w:rFonts w:ascii="Verdana" w:hAnsi="Verdana"/>
        </w:rPr>
        <w:t xml:space="preserve"> </w:t>
      </w:r>
      <w:r w:rsidRPr="00474A65">
        <w:rPr>
          <w:rFonts w:ascii="Verdana" w:eastAsia="Calibri" w:hAnsi="Verdana" w:cs="Arial"/>
          <w:bCs/>
          <w:iCs/>
          <w:lang w:eastAsia="es-ES_tradnl"/>
        </w:rPr>
        <w:t>de la Ley 2294 de 2023.</w:t>
      </w:r>
    </w:p>
    <w:p w14:paraId="4615D836" w14:textId="77777777" w:rsidR="001A352A" w:rsidRDefault="001A352A" w:rsidP="001A352A">
      <w:pPr>
        <w:spacing w:after="120" w:line="276" w:lineRule="auto"/>
        <w:ind w:firstLine="709"/>
        <w:jc w:val="both"/>
        <w:rPr>
          <w:rFonts w:ascii="Verdana" w:eastAsia="Calibri" w:hAnsi="Verdana" w:cs="Arial"/>
          <w:bCs/>
          <w:iCs/>
          <w:lang w:eastAsia="es-ES_tradnl"/>
        </w:rPr>
      </w:pPr>
      <w:r w:rsidRPr="00686062">
        <w:rPr>
          <w:rFonts w:ascii="Verdana" w:eastAsia="Calibri" w:hAnsi="Verdana" w:cs="Arial"/>
          <w:bCs/>
          <w:iCs/>
          <w:lang w:eastAsia="es-ES_tradnl"/>
        </w:rPr>
        <w:t>En este sentido, si bien la norma no impone una obliga</w:t>
      </w:r>
      <w:r>
        <w:rPr>
          <w:rFonts w:ascii="Verdana" w:eastAsia="Calibri" w:hAnsi="Verdana" w:cs="Arial"/>
          <w:bCs/>
          <w:iCs/>
          <w:lang w:eastAsia="es-ES_tradnl"/>
        </w:rPr>
        <w:t xml:space="preserve">ción </w:t>
      </w:r>
      <w:r w:rsidRPr="00686062">
        <w:rPr>
          <w:rFonts w:ascii="Verdana" w:eastAsia="Calibri" w:hAnsi="Verdana" w:cs="Arial"/>
          <w:bCs/>
          <w:iCs/>
          <w:lang w:eastAsia="es-ES_tradnl"/>
        </w:rPr>
        <w:t xml:space="preserve">directa a las entidades territoriales y sus descentralizadas, sí establece un mandato legal que estas deben considerar al momento de estructurar sus planes y políticas. </w:t>
      </w:r>
      <w:r>
        <w:rPr>
          <w:rFonts w:ascii="Verdana" w:eastAsia="Calibri" w:hAnsi="Verdana" w:cs="Arial"/>
          <w:bCs/>
          <w:iCs/>
          <w:lang w:eastAsia="es-ES_tradnl"/>
        </w:rPr>
        <w:t>De esta forma, l</w:t>
      </w:r>
      <w:r w:rsidRPr="00686062">
        <w:rPr>
          <w:rFonts w:ascii="Verdana" w:eastAsia="Calibri" w:hAnsi="Verdana" w:cs="Arial"/>
          <w:bCs/>
          <w:iCs/>
          <w:lang w:eastAsia="es-ES_tradnl"/>
        </w:rPr>
        <w:t xml:space="preserve">a incorporación de dichas líneas de acción deberá realizarse </w:t>
      </w:r>
      <w:r>
        <w:rPr>
          <w:rFonts w:ascii="Verdana" w:eastAsia="Calibri" w:hAnsi="Verdana" w:cs="Arial"/>
          <w:bCs/>
          <w:iCs/>
          <w:lang w:eastAsia="es-ES_tradnl"/>
        </w:rPr>
        <w:t xml:space="preserve">en el marco de </w:t>
      </w:r>
      <w:r w:rsidRPr="00686062">
        <w:rPr>
          <w:rFonts w:ascii="Verdana" w:eastAsia="Calibri" w:hAnsi="Verdana" w:cs="Arial"/>
          <w:bCs/>
          <w:iCs/>
          <w:lang w:eastAsia="es-ES_tradnl"/>
        </w:rPr>
        <w:t>autonomía</w:t>
      </w:r>
      <w:r w:rsidRPr="00474A65">
        <w:rPr>
          <w:rFonts w:ascii="Verdana" w:eastAsia="Calibri" w:hAnsi="Verdana" w:cs="Arial"/>
          <w:bCs/>
          <w:iCs/>
          <w:lang w:eastAsia="es-ES_tradnl"/>
        </w:rPr>
        <w:t xml:space="preserve"> y en cumplimiento de lo previsto en el artículo 32 de la Ley 152 de 1994</w:t>
      </w:r>
      <w:r w:rsidRPr="00686062">
        <w:rPr>
          <w:rFonts w:ascii="Verdana" w:eastAsia="Calibri" w:hAnsi="Verdana" w:cs="Arial"/>
          <w:bCs/>
          <w:iCs/>
          <w:lang w:eastAsia="es-ES_tradnl"/>
        </w:rPr>
        <w:t>, por lo que corresponderá a cada entidad determinar el instrumento más adecuado para integrarlas</w:t>
      </w:r>
      <w:r>
        <w:rPr>
          <w:rFonts w:ascii="Verdana" w:eastAsia="Calibri" w:hAnsi="Verdana" w:cs="Arial"/>
          <w:bCs/>
          <w:iCs/>
          <w:lang w:eastAsia="es-ES_tradnl"/>
        </w:rPr>
        <w:t xml:space="preserve"> en sus </w:t>
      </w:r>
      <w:r w:rsidRPr="00E7391B">
        <w:rPr>
          <w:rFonts w:ascii="Verdana" w:eastAsia="Calibri" w:hAnsi="Verdana" w:cs="Arial"/>
          <w:bCs/>
          <w:i/>
          <w:lang w:eastAsia="es-ES_tradnl"/>
        </w:rPr>
        <w:t>planes</w:t>
      </w:r>
      <w:r>
        <w:rPr>
          <w:rFonts w:ascii="Verdana" w:eastAsia="Calibri" w:hAnsi="Verdana" w:cs="Arial"/>
          <w:bCs/>
          <w:iCs/>
          <w:lang w:eastAsia="es-ES_tradnl"/>
        </w:rPr>
        <w:t xml:space="preserve"> y</w:t>
      </w:r>
      <w:r w:rsidRPr="00E7391B">
        <w:rPr>
          <w:rFonts w:ascii="Verdana" w:eastAsia="Calibri" w:hAnsi="Verdana" w:cs="Arial"/>
          <w:bCs/>
          <w:i/>
          <w:lang w:eastAsia="es-ES_tradnl"/>
        </w:rPr>
        <w:t xml:space="preserve"> en sus políticas</w:t>
      </w:r>
      <w:r>
        <w:rPr>
          <w:rFonts w:ascii="Verdana" w:eastAsia="Calibri" w:hAnsi="Verdana" w:cs="Arial"/>
          <w:bCs/>
          <w:iCs/>
          <w:lang w:eastAsia="es-ES_tradnl"/>
        </w:rPr>
        <w:t>,</w:t>
      </w:r>
      <w:r w:rsidRPr="00686062">
        <w:rPr>
          <w:rFonts w:ascii="Verdana" w:eastAsia="Calibri" w:hAnsi="Verdana" w:cs="Arial"/>
          <w:bCs/>
          <w:iCs/>
          <w:lang w:eastAsia="es-ES_tradnl"/>
        </w:rPr>
        <w:t xml:space="preserve"> según sus competencias y capacidades institucionales</w:t>
      </w:r>
      <w:r>
        <w:rPr>
          <w:rFonts w:ascii="Verdana" w:eastAsia="Calibri" w:hAnsi="Verdana" w:cs="Arial"/>
          <w:bCs/>
          <w:iCs/>
          <w:lang w:eastAsia="es-ES_tradnl"/>
        </w:rPr>
        <w:t xml:space="preserve">. </w:t>
      </w:r>
    </w:p>
    <w:p w14:paraId="0B8EF88E" w14:textId="750FD6B6" w:rsidR="00645197" w:rsidRDefault="001A352A" w:rsidP="00645197">
      <w:pPr>
        <w:spacing w:after="0" w:line="276" w:lineRule="auto"/>
        <w:jc w:val="both"/>
        <w:rPr>
          <w:rFonts w:ascii="Verdana" w:eastAsia="Calibri" w:hAnsi="Verdana" w:cs="Arial"/>
        </w:rPr>
      </w:pPr>
      <w:proofErr w:type="spellStart"/>
      <w:r>
        <w:rPr>
          <w:rFonts w:ascii="Verdana" w:eastAsia="Calibri" w:hAnsi="Verdana" w:cs="Arial"/>
        </w:rPr>
        <w:t>i</w:t>
      </w:r>
      <w:r w:rsidR="00645197">
        <w:rPr>
          <w:rFonts w:ascii="Verdana" w:eastAsia="Calibri" w:hAnsi="Verdana" w:cs="Arial"/>
        </w:rPr>
        <w:t>i</w:t>
      </w:r>
      <w:proofErr w:type="spellEnd"/>
      <w:r w:rsidR="00645197">
        <w:rPr>
          <w:rFonts w:ascii="Verdana" w:eastAsia="Calibri" w:hAnsi="Verdana" w:cs="Arial"/>
        </w:rPr>
        <w:t xml:space="preserve">. El literal a) del artículo </w:t>
      </w:r>
      <w:r w:rsidR="00645197" w:rsidRPr="002A3B3C">
        <w:rPr>
          <w:rFonts w:ascii="Verdana" w:eastAsia="Calibri" w:hAnsi="Verdana" w:cs="Arial"/>
        </w:rPr>
        <w:t>2.1.4.3.2.1</w:t>
      </w:r>
      <w:r w:rsidR="00645197">
        <w:rPr>
          <w:rFonts w:ascii="Verdana" w:eastAsia="Calibri" w:hAnsi="Verdana" w:cs="Arial"/>
        </w:rPr>
        <w:t xml:space="preserve"> del Decreto 1081 de 2015, adicionado por el artículo 1 del Decreto 1600 de 2024, dispone que </w:t>
      </w:r>
      <w:r w:rsidR="00645197" w:rsidRPr="002A3B3C">
        <w:rPr>
          <w:rFonts w:ascii="Verdana" w:eastAsia="Calibri" w:hAnsi="Verdana" w:cs="Arial"/>
        </w:rPr>
        <w:t>los organismos, entidades y empresas del Estado del orden nacional y pertenecientes a la Rama Ejecutiva del Poder Público</w:t>
      </w:r>
      <w:r w:rsidR="00645197">
        <w:rPr>
          <w:rFonts w:ascii="Verdana" w:eastAsia="Calibri" w:hAnsi="Verdana" w:cs="Arial"/>
        </w:rPr>
        <w:t xml:space="preserve"> deben verificar la existencia de situaciones de control que, conforme </w:t>
      </w:r>
      <w:r w:rsidR="00645197" w:rsidRPr="00BB41E1">
        <w:rPr>
          <w:rFonts w:ascii="Verdana" w:eastAsia="Calibri" w:hAnsi="Verdana" w:cs="Arial"/>
        </w:rPr>
        <w:t>artículos 260 y 261 del Código de Comercio</w:t>
      </w:r>
      <w:r w:rsidR="00645197">
        <w:rPr>
          <w:rFonts w:ascii="Verdana" w:eastAsia="Calibri" w:hAnsi="Verdana" w:cs="Arial"/>
        </w:rPr>
        <w:t xml:space="preserve">, afecten tanto a las </w:t>
      </w:r>
      <w:r w:rsidR="00645197" w:rsidRPr="00BB41E1">
        <w:rPr>
          <w:rFonts w:ascii="Verdana" w:eastAsia="Calibri" w:hAnsi="Verdana" w:cs="Arial"/>
        </w:rPr>
        <w:t>personas jurídicas oferentes</w:t>
      </w:r>
      <w:r w:rsidR="00645197">
        <w:rPr>
          <w:rFonts w:ascii="Verdana" w:eastAsia="Calibri" w:hAnsi="Verdana" w:cs="Arial"/>
        </w:rPr>
        <w:t xml:space="preserve"> como a</w:t>
      </w:r>
      <w:r w:rsidR="00645197" w:rsidRPr="00BB41E1">
        <w:rPr>
          <w:rFonts w:ascii="Verdana" w:eastAsia="Calibri" w:hAnsi="Verdana" w:cs="Arial"/>
        </w:rPr>
        <w:t xml:space="preserve"> los proponentes plurales</w:t>
      </w:r>
      <w:r w:rsidR="00645197">
        <w:rPr>
          <w:rFonts w:ascii="Verdana" w:eastAsia="Calibri" w:hAnsi="Verdana" w:cs="Arial"/>
        </w:rPr>
        <w:t>. En este contexto, la norma precisa que q</w:t>
      </w:r>
      <w:r w:rsidR="00645197" w:rsidRPr="00BB41E1">
        <w:rPr>
          <w:rFonts w:ascii="Verdana" w:eastAsia="Calibri" w:hAnsi="Verdana" w:cs="Arial"/>
        </w:rPr>
        <w:t>uienes se presenten como proponentes en procesos de selección</w:t>
      </w:r>
      <w:r w:rsidR="00645197">
        <w:rPr>
          <w:rFonts w:ascii="Verdana" w:eastAsia="Calibri" w:hAnsi="Verdana" w:cs="Arial"/>
        </w:rPr>
        <w:t>:</w:t>
      </w:r>
    </w:p>
    <w:p w14:paraId="06E2268C" w14:textId="77777777" w:rsidR="00645197" w:rsidRDefault="00645197" w:rsidP="00645197">
      <w:pPr>
        <w:spacing w:after="0" w:line="276" w:lineRule="auto"/>
        <w:jc w:val="both"/>
        <w:rPr>
          <w:rFonts w:ascii="Verdana" w:eastAsia="Calibri" w:hAnsi="Verdana" w:cs="Arial"/>
        </w:rPr>
      </w:pPr>
    </w:p>
    <w:p w14:paraId="2CED7CDC" w14:textId="77777777" w:rsidR="00645197" w:rsidRPr="00BB41E1" w:rsidRDefault="00645197" w:rsidP="00645197">
      <w:pPr>
        <w:spacing w:after="0" w:line="240" w:lineRule="auto"/>
        <w:ind w:left="709" w:right="709"/>
        <w:jc w:val="both"/>
        <w:rPr>
          <w:rFonts w:ascii="Verdana" w:hAnsi="Verdana" w:cs="Arial"/>
          <w:sz w:val="21"/>
          <w:szCs w:val="21"/>
        </w:rPr>
      </w:pPr>
      <w:r w:rsidRPr="00BB41E1">
        <w:rPr>
          <w:rFonts w:ascii="Verdana" w:hAnsi="Verdana" w:cs="Arial"/>
          <w:sz w:val="21"/>
          <w:szCs w:val="21"/>
        </w:rPr>
        <w:t xml:space="preserve">“[…] en el término máximo de tres (3) días después del momento en que se cierre definitivamente la presentación de ofertas, deberán poner de presente la existencia o no de situaciones de control de las que participen y, en particular, si son contratantes, controladas o </w:t>
      </w:r>
      <w:r w:rsidRPr="00BB41E1">
        <w:rPr>
          <w:rFonts w:ascii="Verdana" w:hAnsi="Verdana" w:cs="Arial"/>
          <w:sz w:val="21"/>
          <w:szCs w:val="21"/>
        </w:rPr>
        <w:lastRenderedPageBreak/>
        <w:t xml:space="preserve">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2DDBE003" w14:textId="77777777" w:rsidR="00645197" w:rsidRDefault="00645197" w:rsidP="00645197">
      <w:pPr>
        <w:spacing w:after="0" w:line="276" w:lineRule="auto"/>
        <w:jc w:val="both"/>
        <w:rPr>
          <w:rFonts w:ascii="Verdana" w:hAnsi="Verdana" w:cs="Arial"/>
        </w:rPr>
      </w:pPr>
    </w:p>
    <w:p w14:paraId="672D8FA1" w14:textId="77777777" w:rsidR="00645197" w:rsidRDefault="00645197" w:rsidP="003F1FA1">
      <w:pPr>
        <w:spacing w:after="120" w:line="276" w:lineRule="auto"/>
        <w:jc w:val="both"/>
        <w:rPr>
          <w:rFonts w:ascii="Verdana" w:hAnsi="Verdana" w:cs="Arial"/>
        </w:rPr>
      </w:pPr>
      <w:r>
        <w:rPr>
          <w:rFonts w:ascii="Verdana" w:hAnsi="Verdana" w:cs="Arial"/>
        </w:rPr>
        <w:tab/>
        <w:t>De acuerdo con la norma citada, “L</w:t>
      </w:r>
      <w:r w:rsidRPr="00BB41E1">
        <w:rPr>
          <w:rFonts w:ascii="Verdana" w:hAnsi="Verdana" w:cs="Arial"/>
        </w:rPr>
        <w:t>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w:t>
      </w:r>
      <w:r>
        <w:rPr>
          <w:rFonts w:ascii="Verdana" w:hAnsi="Verdana" w:cs="Arial"/>
        </w:rPr>
        <w:t>”</w:t>
      </w:r>
      <w:r w:rsidRPr="00BB41E1">
        <w:rPr>
          <w:rFonts w:ascii="Verdana" w:hAnsi="Verdana" w:cs="Arial"/>
        </w:rPr>
        <w:t>.</w:t>
      </w:r>
      <w:r>
        <w:rPr>
          <w:rFonts w:ascii="Verdana" w:hAnsi="Verdana" w:cs="Arial"/>
        </w:rPr>
        <w:t xml:space="preserve"> Luego, la información sobre situaciones de control es un punto de referencia para verificar la capacidad jurídica en el proceso de contratación.</w:t>
      </w:r>
    </w:p>
    <w:p w14:paraId="02203580" w14:textId="77777777" w:rsidR="00AE2DA3" w:rsidRPr="00911055" w:rsidRDefault="00AE2DA3" w:rsidP="00AE2DA3">
      <w:pPr>
        <w:spacing w:after="0" w:line="276" w:lineRule="auto"/>
        <w:jc w:val="both"/>
        <w:rPr>
          <w:rFonts w:ascii="Verdana" w:hAnsi="Verdana" w:cs="Arial"/>
        </w:rPr>
      </w:pPr>
      <w:r>
        <w:rPr>
          <w:rFonts w:ascii="Verdana" w:hAnsi="Verdana" w:cs="Arial"/>
        </w:rPr>
        <w:tab/>
      </w:r>
      <w:r w:rsidRPr="00911055">
        <w:rPr>
          <w:rFonts w:ascii="Verdana" w:hAnsi="Verdana" w:cs="Arial"/>
        </w:rPr>
        <w:t xml:space="preserve">El plazo previsto en la norma citada aplica en todas las modalidades de selección sin distinción alguna, por lo que aplica también a la mínima cuantía. 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w:t>
      </w:r>
      <w:r>
        <w:rPr>
          <w:rFonts w:ascii="Verdana" w:hAnsi="Verdana" w:cs="Arial"/>
        </w:rPr>
        <w:t>instrumento</w:t>
      </w:r>
      <w:r w:rsidRPr="00911055">
        <w:rPr>
          <w:rFonts w:ascii="Verdana" w:hAnsi="Verdana" w:cs="Arial"/>
        </w:rPr>
        <w:t xml:space="preserve"> para verificar la capacidad jurídica en el proceso de contratación</w:t>
      </w:r>
      <w:r>
        <w:rPr>
          <w:rFonts w:ascii="Verdana" w:hAnsi="Verdana" w:cs="Arial"/>
        </w:rPr>
        <w:t>. Aunque en sí mismo no es un requisito habilitante, constituye un insumo relevante para constatar la ausencia de inhabilidades como las de los literales j) y k) del artículo 8.1 del EGCAP;</w:t>
      </w:r>
      <w:r w:rsidRPr="00911055">
        <w:rPr>
          <w:rFonts w:ascii="Verdana" w:hAnsi="Verdana" w:cs="Arial"/>
        </w:rPr>
        <w:t xml:space="preserve"> razón por la cual, en la omisión o reporte erróneo de la información aplica el régimen de subsanación –parágrafo 1 del artículo 5 de la Ley 1150 de 2007– o aclaración de las ofertas –artículo 30.7 de la Ley 80 de 1993–.</w:t>
      </w:r>
    </w:p>
    <w:p w14:paraId="724C5D23" w14:textId="77777777" w:rsidR="00AE2DA3" w:rsidRDefault="00AE2DA3" w:rsidP="00645197">
      <w:pPr>
        <w:spacing w:after="0" w:line="276" w:lineRule="auto"/>
        <w:jc w:val="both"/>
        <w:rPr>
          <w:rFonts w:ascii="Verdana" w:hAnsi="Verdana" w:cs="Arial"/>
        </w:rPr>
      </w:pPr>
    </w:p>
    <w:p w14:paraId="4F634E7E" w14:textId="63F75D21" w:rsidR="00645197" w:rsidRDefault="00645197" w:rsidP="00645197">
      <w:pPr>
        <w:spacing w:after="0" w:line="276" w:lineRule="auto"/>
        <w:jc w:val="both"/>
        <w:rPr>
          <w:rFonts w:ascii="Verdana" w:hAnsi="Verdana" w:cs="Arial"/>
        </w:rPr>
      </w:pPr>
      <w:proofErr w:type="spellStart"/>
      <w:r>
        <w:rPr>
          <w:rFonts w:ascii="Verdana" w:hAnsi="Verdana" w:cs="Arial"/>
        </w:rPr>
        <w:t>i</w:t>
      </w:r>
      <w:r w:rsidR="00AE2DA3">
        <w:rPr>
          <w:rFonts w:ascii="Verdana" w:hAnsi="Verdana" w:cs="Arial"/>
        </w:rPr>
        <w:t>i</w:t>
      </w:r>
      <w:r>
        <w:rPr>
          <w:rFonts w:ascii="Verdana" w:hAnsi="Verdana" w:cs="Arial"/>
        </w:rPr>
        <w:t>i</w:t>
      </w:r>
      <w:proofErr w:type="spellEnd"/>
      <w:r>
        <w:rPr>
          <w:rFonts w:ascii="Verdana" w:hAnsi="Verdana" w:cs="Arial"/>
        </w:rPr>
        <w:t xml:space="preserve">. Las cámaras de comercio verifican las situaciones de control al momento de las inscripción, renovación y actualización del registro único de proponentes. Al respecto, tratándose de personas jurídicas, el numeral 2.2 del artículo </w:t>
      </w:r>
      <w:r w:rsidRPr="00B858C2">
        <w:rPr>
          <w:rFonts w:ascii="Verdana" w:hAnsi="Verdana" w:cs="Arial"/>
        </w:rPr>
        <w:t>2.2.1.1.1.5.2</w:t>
      </w:r>
      <w:r>
        <w:rPr>
          <w:rFonts w:ascii="Verdana" w:hAnsi="Verdana" w:cs="Arial"/>
        </w:rPr>
        <w:t xml:space="preserve"> ordena la entrega del “</w:t>
      </w:r>
      <w:r w:rsidRPr="00B858C2">
        <w:rPr>
          <w:rFonts w:ascii="Verdana" w:hAnsi="Verdana" w:cs="Arial"/>
        </w:rPr>
        <w:t xml:space="preserve">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w:t>
      </w:r>
      <w:r w:rsidRPr="00B858C2">
        <w:rPr>
          <w:rFonts w:ascii="Verdana" w:hAnsi="Verdana" w:cs="Arial"/>
          <w:i/>
          <w:iCs/>
        </w:rPr>
        <w:t xml:space="preserve">Si el grupo </w:t>
      </w:r>
      <w:r w:rsidRPr="00B858C2">
        <w:rPr>
          <w:rFonts w:ascii="Verdana" w:hAnsi="Verdana" w:cs="Arial"/>
          <w:i/>
          <w:iCs/>
        </w:rPr>
        <w:lastRenderedPageBreak/>
        <w:t>empresarial o la circunstancia de control existe, en el certificado debe constar la identificación de los miembros del grupo empresarial, la situación de control y los controlantes y controlados</w:t>
      </w:r>
      <w:r>
        <w:rPr>
          <w:rFonts w:ascii="Verdana" w:hAnsi="Verdana" w:cs="Arial"/>
        </w:rPr>
        <w:t>” (Énfasis fuera de texto)</w:t>
      </w:r>
      <w:r w:rsidRPr="00B858C2">
        <w:rPr>
          <w:rFonts w:ascii="Verdana" w:hAnsi="Verdana" w:cs="Arial"/>
        </w:rPr>
        <w:t>.</w:t>
      </w:r>
      <w:r>
        <w:rPr>
          <w:rFonts w:ascii="Verdana" w:hAnsi="Verdana" w:cs="Arial"/>
        </w:rPr>
        <w:t xml:space="preserve"> </w:t>
      </w:r>
    </w:p>
    <w:p w14:paraId="2FC70CF8" w14:textId="77777777" w:rsidR="00645197" w:rsidRDefault="00645197" w:rsidP="00645197">
      <w:pPr>
        <w:spacing w:after="0" w:line="276" w:lineRule="auto"/>
        <w:jc w:val="both"/>
        <w:rPr>
          <w:rFonts w:ascii="Verdana" w:hAnsi="Verdana" w:cs="Arial"/>
        </w:rPr>
      </w:pPr>
    </w:p>
    <w:p w14:paraId="02494DBB" w14:textId="319554BB" w:rsidR="00645197" w:rsidRPr="002F035D" w:rsidRDefault="00AE2DA3" w:rsidP="00645197">
      <w:pPr>
        <w:spacing w:after="120" w:line="276" w:lineRule="auto"/>
        <w:jc w:val="both"/>
        <w:rPr>
          <w:rFonts w:ascii="Verdana" w:hAnsi="Verdana" w:cs="Arial"/>
        </w:rPr>
      </w:pPr>
      <w:proofErr w:type="spellStart"/>
      <w:r>
        <w:rPr>
          <w:rFonts w:ascii="Verdana" w:hAnsi="Verdana" w:cs="Arial"/>
        </w:rPr>
        <w:t>iv</w:t>
      </w:r>
      <w:proofErr w:type="spellEnd"/>
      <w:r w:rsidR="00645197">
        <w:rPr>
          <w:rFonts w:ascii="Verdana" w:hAnsi="Verdana" w:cs="Arial"/>
        </w:rPr>
        <w:t xml:space="preserve">. </w:t>
      </w:r>
      <w:r w:rsidR="00645197" w:rsidRPr="002F035D">
        <w:rPr>
          <w:rFonts w:ascii="Verdana" w:hAnsi="Verdana" w:cs="Arial"/>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5137A4EC" w14:textId="77777777" w:rsidR="00645197" w:rsidRDefault="00645197" w:rsidP="00645197">
      <w:pPr>
        <w:spacing w:after="0" w:line="276" w:lineRule="auto"/>
        <w:ind w:firstLine="708"/>
        <w:jc w:val="both"/>
        <w:rPr>
          <w:rFonts w:ascii="Verdana" w:hAnsi="Verdana" w:cs="Arial"/>
        </w:rPr>
      </w:pPr>
      <w:r w:rsidRPr="002F035D">
        <w:rPr>
          <w:rFonts w:ascii="Verdana" w:hAnsi="Verdana" w:cs="Arial"/>
        </w:rPr>
        <w:t>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w:t>
      </w:r>
    </w:p>
    <w:p w14:paraId="5EBECF19" w14:textId="77777777" w:rsidR="00645197" w:rsidRDefault="00645197" w:rsidP="00645197">
      <w:pPr>
        <w:spacing w:after="0" w:line="276" w:lineRule="auto"/>
        <w:jc w:val="both"/>
        <w:rPr>
          <w:rFonts w:ascii="Verdana" w:hAnsi="Verdana" w:cs="Arial"/>
        </w:rPr>
      </w:pPr>
    </w:p>
    <w:p w14:paraId="591BC8FF" w14:textId="48E04D98" w:rsidR="00645197" w:rsidRPr="002F035D" w:rsidRDefault="00645197" w:rsidP="00645197">
      <w:pPr>
        <w:spacing w:after="0" w:line="276" w:lineRule="auto"/>
        <w:jc w:val="both"/>
        <w:rPr>
          <w:rFonts w:ascii="Verdana" w:hAnsi="Verdana" w:cs="Arial"/>
          <w:shd w:val="clear" w:color="auto" w:fill="FFFFFF"/>
        </w:rPr>
      </w:pPr>
      <w:r w:rsidRPr="002F035D">
        <w:rPr>
          <w:rFonts w:ascii="Verdana" w:hAnsi="Verdana" w:cs="Arial"/>
        </w:rPr>
        <w:t xml:space="preserve">v. </w:t>
      </w:r>
      <w:r w:rsidRPr="002F035D">
        <w:rPr>
          <w:rFonts w:ascii="Verdana" w:eastAsia="Calibri" w:hAnsi="Verdana" w:cs="Arial"/>
        </w:rPr>
        <w:t xml:space="preserve">Al respecto, 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r w:rsidRPr="002F035D">
        <w:rPr>
          <w:rFonts w:ascii="Verdana" w:hAnsi="Verdana" w:cs="Arial"/>
          <w:shd w:val="clear" w:color="auto" w:fill="FFFFFF"/>
        </w:rPr>
        <w:t>En tal sentido la Corte explicó la función registral de las Cámaras de Comercio y la confiabilidad de la información en él contenida de la siguiente manera:</w:t>
      </w:r>
    </w:p>
    <w:p w14:paraId="19FAD374" w14:textId="77777777" w:rsidR="00645197" w:rsidRPr="002F035D" w:rsidRDefault="00645197" w:rsidP="00645197">
      <w:pPr>
        <w:spacing w:after="0" w:line="276" w:lineRule="auto"/>
        <w:jc w:val="both"/>
        <w:rPr>
          <w:rFonts w:ascii="Verdana" w:hAnsi="Verdana" w:cs="Arial"/>
          <w:shd w:val="clear" w:color="auto" w:fill="FFFFFF"/>
        </w:rPr>
      </w:pPr>
    </w:p>
    <w:p w14:paraId="468EC36F" w14:textId="77777777" w:rsidR="00645197" w:rsidRPr="002F035D" w:rsidRDefault="00645197" w:rsidP="00645197">
      <w:pPr>
        <w:spacing w:after="0" w:line="240" w:lineRule="auto"/>
        <w:ind w:left="709" w:right="709"/>
        <w:jc w:val="both"/>
        <w:rPr>
          <w:rFonts w:ascii="Verdana" w:hAnsi="Verdana" w:cs="Arial"/>
          <w:sz w:val="21"/>
          <w:szCs w:val="21"/>
          <w:shd w:val="clear" w:color="auto" w:fill="FFFFFF"/>
        </w:rPr>
      </w:pPr>
      <w:r>
        <w:rPr>
          <w:rFonts w:ascii="Verdana" w:hAnsi="Verdana" w:cs="Arial"/>
          <w:sz w:val="21"/>
          <w:szCs w:val="21"/>
          <w:shd w:val="clear" w:color="auto" w:fill="FFFFFF"/>
        </w:rPr>
        <w:t>“</w:t>
      </w:r>
      <w:r w:rsidRPr="002F035D">
        <w:rPr>
          <w:rFonts w:ascii="Verdana" w:hAnsi="Verdana" w:cs="Arial"/>
          <w:sz w:val="21"/>
          <w:szCs w:val="21"/>
          <w:shd w:val="clear" w:color="auto" w:fill="FFFFFF"/>
        </w:rPr>
        <w:t xml:space="preserve">La función registral de las Cámaras de Comercio ha sido unificada a través del Registro Único Empresarial y Social -RUES-, conformado, 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ánimo de lucro una </w:t>
      </w:r>
      <w:r w:rsidRPr="002F035D">
        <w:rPr>
          <w:rFonts w:ascii="Verdana" w:hAnsi="Verdana" w:cs="Arial"/>
          <w:sz w:val="21"/>
          <w:szCs w:val="21"/>
          <w:shd w:val="clear" w:color="auto" w:fill="FFFFFF"/>
        </w:rPr>
        <w:lastRenderedPageBreak/>
        <w:t xml:space="preserve">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w:t>
      </w:r>
      <w:proofErr w:type="gramStart"/>
      <w:r w:rsidRPr="002F035D">
        <w:rPr>
          <w:rFonts w:ascii="Verdana" w:hAnsi="Verdana" w:cs="Arial"/>
          <w:sz w:val="21"/>
          <w:szCs w:val="21"/>
          <w:shd w:val="clear" w:color="auto" w:fill="FFFFFF"/>
        </w:rPr>
        <w:t>los mismos</w:t>
      </w:r>
      <w:proofErr w:type="gramEnd"/>
      <w:r w:rsidRPr="002F035D">
        <w:rPr>
          <w:rFonts w:ascii="Verdana" w:hAnsi="Verdana" w:cs="Arial"/>
          <w:sz w:val="21"/>
          <w:szCs w:val="21"/>
          <w:shd w:val="clear" w:color="auto" w:fill="FFFFFF"/>
        </w:rPr>
        <w:t>, recursos que se pueden interponer en contra de tales actos, derechos de las personas naturales y jurídicas inscritas, entre varias materias propias de esta actividad. En suma, las Cámaras de Comercio, mediante delegación de funciones tienen a su cargo la 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los registros de proponentes, (</w:t>
      </w:r>
      <w:proofErr w:type="spellStart"/>
      <w:r w:rsidRPr="002F035D">
        <w:rPr>
          <w:rFonts w:ascii="Verdana" w:hAnsi="Verdana" w:cs="Arial"/>
          <w:sz w:val="21"/>
          <w:szCs w:val="21"/>
          <w:shd w:val="clear" w:color="auto" w:fill="FFFFFF"/>
        </w:rPr>
        <w:t>ii</w:t>
      </w:r>
      <w:proofErr w:type="spellEnd"/>
      <w:r w:rsidRPr="002F035D">
        <w:rPr>
          <w:rFonts w:ascii="Verdana" w:hAnsi="Verdana" w:cs="Arial"/>
          <w:sz w:val="21"/>
          <w:szCs w:val="21"/>
          <w:shd w:val="clear" w:color="auto" w:fill="FFFFFF"/>
        </w:rPr>
        <w:t>) simplificar la tarea de los contratistas en sus trámites respecto de la administración, haciendo que con la sola inscripción en la Cámara de Comercio del domicilio del proponente el interesado quede válidamente registrado ante todas las entidades del país, y (</w:t>
      </w:r>
      <w:proofErr w:type="spellStart"/>
      <w:r w:rsidRPr="002F035D">
        <w:rPr>
          <w:rFonts w:ascii="Verdana" w:hAnsi="Verdana" w:cs="Arial"/>
          <w:sz w:val="21"/>
          <w:szCs w:val="21"/>
          <w:shd w:val="clear" w:color="auto" w:fill="FFFFFF"/>
        </w:rPr>
        <w:t>iii</w:t>
      </w:r>
      <w:proofErr w:type="spellEnd"/>
      <w:r w:rsidRPr="002F035D">
        <w:rPr>
          <w:rFonts w:ascii="Verdana" w:hAnsi="Verdana" w:cs="Arial"/>
          <w:sz w:val="21"/>
          <w:szCs w:val="21"/>
          <w:shd w:val="clear" w:color="auto" w:fill="FFFFFF"/>
        </w:rPr>
        <w:t xml:space="preserve">)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cinco (5) años, sin perjuicio de las acciones penales a que haya lugar. Si el proponente reincide en esta clase de comportamiento, la Cámara de Comercio lo inhabilitará de manera permanente. Es decir, el segmento demandado hace parte del repertorio de medidas que las Cámaras de Comercio pueden adoptar en relación con el proponente registrado en el RUP que con </w:t>
      </w:r>
      <w:r w:rsidRPr="002F035D">
        <w:rPr>
          <w:rFonts w:ascii="Verdana" w:hAnsi="Verdana" w:cs="Arial"/>
          <w:sz w:val="21"/>
          <w:szCs w:val="21"/>
          <w:shd w:val="clear" w:color="auto" w:fill="FFFFFF"/>
        </w:rPr>
        <w:lastRenderedPageBreak/>
        <w:t>sus actos dolosos defraude la confianza considerada como elemento fundamental de las relaciones contractuales con el Estado</w:t>
      </w:r>
      <w:r>
        <w:rPr>
          <w:rFonts w:ascii="Verdana" w:hAnsi="Verdana" w:cs="Arial"/>
          <w:sz w:val="21"/>
          <w:szCs w:val="21"/>
          <w:shd w:val="clear" w:color="auto" w:fill="FFFFFF"/>
        </w:rPr>
        <w:t>”</w:t>
      </w:r>
      <w:r w:rsidRPr="002F035D">
        <w:rPr>
          <w:rStyle w:val="Refdenotaalpie"/>
          <w:rFonts w:ascii="Verdana" w:eastAsia="Calibri" w:hAnsi="Verdana" w:cs="Arial"/>
          <w:sz w:val="21"/>
          <w:szCs w:val="21"/>
        </w:rPr>
        <w:footnoteReference w:id="5"/>
      </w:r>
      <w:r w:rsidRPr="002F035D">
        <w:rPr>
          <w:rFonts w:ascii="Verdana" w:hAnsi="Verdana" w:cs="Arial"/>
          <w:sz w:val="21"/>
          <w:szCs w:val="21"/>
          <w:shd w:val="clear" w:color="auto" w:fill="FFFFFF"/>
        </w:rPr>
        <w:t xml:space="preserve">. </w:t>
      </w:r>
    </w:p>
    <w:p w14:paraId="6DEC5F4D" w14:textId="77777777" w:rsidR="00645197" w:rsidRDefault="00645197" w:rsidP="00645197">
      <w:pPr>
        <w:spacing w:after="0" w:line="276" w:lineRule="auto"/>
        <w:jc w:val="both"/>
        <w:rPr>
          <w:rFonts w:ascii="Verdana" w:eastAsia="Calibri" w:hAnsi="Verdana" w:cs="Arial"/>
        </w:rPr>
      </w:pPr>
    </w:p>
    <w:p w14:paraId="2010EEFB" w14:textId="77777777" w:rsidR="00645197" w:rsidRDefault="00645197" w:rsidP="00645197">
      <w:pPr>
        <w:spacing w:after="0" w:line="276" w:lineRule="auto"/>
        <w:ind w:firstLine="709"/>
        <w:jc w:val="both"/>
        <w:rPr>
          <w:rFonts w:ascii="Verdana" w:eastAsia="Calibri" w:hAnsi="Verdana" w:cs="Arial"/>
        </w:rPr>
      </w:pPr>
      <w:r w:rsidRPr="002F035D">
        <w:rPr>
          <w:rFonts w:ascii="Verdana" w:eastAsia="Calibri" w:hAnsi="Verdana" w:cs="Arial"/>
        </w:rPr>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44ACDD23" w14:textId="77777777" w:rsidR="00645197" w:rsidRDefault="00645197" w:rsidP="00645197">
      <w:pPr>
        <w:spacing w:after="0" w:line="276" w:lineRule="auto"/>
        <w:jc w:val="both"/>
        <w:rPr>
          <w:rFonts w:ascii="Verdana" w:eastAsia="Calibri" w:hAnsi="Verdana" w:cs="Arial"/>
        </w:rPr>
      </w:pPr>
    </w:p>
    <w:p w14:paraId="36AC6C45" w14:textId="35DF545B" w:rsidR="00645197" w:rsidRPr="002F035D" w:rsidRDefault="00645197" w:rsidP="00645197">
      <w:pPr>
        <w:spacing w:after="0" w:line="276" w:lineRule="auto"/>
        <w:jc w:val="both"/>
        <w:rPr>
          <w:rFonts w:ascii="Verdana" w:eastAsia="Calibri" w:hAnsi="Verdana" w:cs="Arial"/>
        </w:rPr>
      </w:pPr>
      <w:r w:rsidRPr="002F035D">
        <w:rPr>
          <w:rFonts w:ascii="Verdana" w:hAnsi="Verdana" w:cs="Arial"/>
        </w:rPr>
        <w:t>v</w:t>
      </w:r>
      <w:r w:rsidR="00A1239B">
        <w:rPr>
          <w:rFonts w:ascii="Verdana" w:hAnsi="Verdana" w:cs="Arial"/>
        </w:rPr>
        <w:t>i</w:t>
      </w:r>
      <w:r w:rsidRPr="002F035D">
        <w:rPr>
          <w:rFonts w:ascii="Verdana" w:hAnsi="Verdana" w:cs="Arial"/>
        </w:rPr>
        <w:t xml:space="preserve">. </w:t>
      </w:r>
      <w:r w:rsidRPr="002F035D">
        <w:rPr>
          <w:rFonts w:ascii="Verdana" w:eastAsia="Calibri" w:hAnsi="Verdana" w:cs="Arial"/>
        </w:rPr>
        <w:t>Lo anterior fue reafirmado por el Consejo de Estado, quien enlistó las excepciones en las cuales no es necesario estar inscrito en el RUP para participar en procedimientos de selección adelantados por las entidades estatales, incluyendo el supuesto en que se puede verificar información adicional a la contenida en él:</w:t>
      </w:r>
    </w:p>
    <w:p w14:paraId="0FC263C4" w14:textId="77777777" w:rsidR="00645197" w:rsidRPr="002F035D" w:rsidRDefault="00645197" w:rsidP="00645197">
      <w:pPr>
        <w:spacing w:after="0" w:line="276" w:lineRule="auto"/>
        <w:jc w:val="both"/>
        <w:rPr>
          <w:rFonts w:ascii="Verdana" w:eastAsia="Calibri" w:hAnsi="Verdana" w:cs="Arial"/>
        </w:rPr>
      </w:pPr>
    </w:p>
    <w:p w14:paraId="2F7A21BB" w14:textId="77777777" w:rsidR="00645197" w:rsidRPr="002F035D" w:rsidRDefault="00645197" w:rsidP="00645197">
      <w:pPr>
        <w:pStyle w:val="Prrafodelista"/>
        <w:numPr>
          <w:ilvl w:val="0"/>
          <w:numId w:val="18"/>
        </w:numPr>
        <w:spacing w:after="0" w:line="276" w:lineRule="auto"/>
        <w:jc w:val="both"/>
        <w:rPr>
          <w:rFonts w:ascii="Verdana" w:eastAsia="Calibri" w:hAnsi="Verdana" w:cs="Arial"/>
        </w:rPr>
      </w:pPr>
      <w:r w:rsidRPr="002F035D">
        <w:rPr>
          <w:rFonts w:ascii="Verdana" w:eastAsia="Calibri" w:hAnsi="Verdana" w:cs="Arial"/>
        </w:rPr>
        <w:t>No se requiere el RUP respecto de los proponentes que pretenden celebrar los contratos enunciados en el inciso segundo del artículo 6 de la ley 1150, así como en los eventos de contratación directa.</w:t>
      </w:r>
    </w:p>
    <w:p w14:paraId="7B6CE05E" w14:textId="77777777" w:rsidR="00645197" w:rsidRPr="002F035D" w:rsidRDefault="00645197" w:rsidP="00645197">
      <w:pPr>
        <w:pStyle w:val="Prrafodelista"/>
        <w:numPr>
          <w:ilvl w:val="0"/>
          <w:numId w:val="18"/>
        </w:numPr>
        <w:spacing w:before="240" w:after="0" w:line="276" w:lineRule="auto"/>
        <w:jc w:val="both"/>
        <w:rPr>
          <w:rFonts w:ascii="Verdana" w:eastAsia="Calibri" w:hAnsi="Verdana" w:cs="Arial"/>
        </w:rPr>
      </w:pPr>
      <w:r w:rsidRPr="002F035D">
        <w:rPr>
          <w:rFonts w:ascii="Verdana" w:eastAsia="Calibri" w:hAnsi="Verdana" w:cs="Arial"/>
        </w:rPr>
        <w:t>Tratándose de personas naturales extranjeras sin domicilio en el país o de personas jurídicas extranjeras que no tengan sucursal en Colombia, o en aquellos casos en que el procedimiento de selección haya utilizado sistemas de precalificación.</w:t>
      </w:r>
    </w:p>
    <w:p w14:paraId="1AE86366" w14:textId="77777777" w:rsidR="00645197" w:rsidRPr="002F035D" w:rsidRDefault="00645197" w:rsidP="00645197">
      <w:pPr>
        <w:pStyle w:val="Prrafodelista"/>
        <w:numPr>
          <w:ilvl w:val="0"/>
          <w:numId w:val="18"/>
        </w:numPr>
        <w:spacing w:after="0" w:line="276" w:lineRule="auto"/>
        <w:jc w:val="both"/>
        <w:rPr>
          <w:rFonts w:ascii="Verdana" w:eastAsia="Calibri" w:hAnsi="Verdana" w:cs="Arial"/>
        </w:rPr>
      </w:pPr>
      <w:r w:rsidRPr="002F035D">
        <w:rPr>
          <w:rFonts w:ascii="Verdana" w:eastAsia="Calibri" w:hAnsi="Verdana" w:cs="Arial"/>
        </w:rPr>
        <w:t>Cuando por las características del objeto a contratar se requiera verificar requisitos del proponente adicionales a los contenidos en el RUP, caso donde puede exigirse el registro; solo que habrá información adicional que podrá verificar la entidad directamente.</w:t>
      </w:r>
    </w:p>
    <w:p w14:paraId="6039ED3C" w14:textId="77777777" w:rsidR="00645197" w:rsidRPr="002F035D" w:rsidRDefault="00645197" w:rsidP="00645197">
      <w:pPr>
        <w:spacing w:after="0" w:line="276" w:lineRule="auto"/>
        <w:ind w:firstLine="708"/>
        <w:jc w:val="both"/>
        <w:rPr>
          <w:rFonts w:ascii="Verdana" w:eastAsia="Calibri" w:hAnsi="Verdana" w:cs="Arial"/>
        </w:rPr>
      </w:pPr>
    </w:p>
    <w:p w14:paraId="294F04F1" w14:textId="77777777" w:rsidR="00645197" w:rsidRDefault="00645197" w:rsidP="00645197">
      <w:pPr>
        <w:spacing w:after="0" w:line="276" w:lineRule="auto"/>
        <w:ind w:firstLine="709"/>
        <w:jc w:val="both"/>
        <w:rPr>
          <w:rFonts w:ascii="Verdana" w:eastAsia="Calibri" w:hAnsi="Verdana" w:cs="Arial"/>
        </w:rPr>
      </w:pPr>
      <w:r w:rsidRPr="002F035D">
        <w:rPr>
          <w:rFonts w:ascii="Verdana" w:eastAsia="Calibri" w:hAnsi="Verdana" w:cs="Arial"/>
        </w:rPr>
        <w:lastRenderedPageBreak/>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p>
    <w:p w14:paraId="577D6BD7" w14:textId="77777777" w:rsidR="00645197" w:rsidRDefault="00645197" w:rsidP="00645197">
      <w:pPr>
        <w:spacing w:after="0" w:line="276" w:lineRule="auto"/>
        <w:jc w:val="both"/>
        <w:rPr>
          <w:rFonts w:ascii="Verdana" w:eastAsia="Calibri" w:hAnsi="Verdana" w:cs="Arial"/>
        </w:rPr>
      </w:pPr>
    </w:p>
    <w:p w14:paraId="3B857C5C" w14:textId="51517172" w:rsidR="00D63E35" w:rsidRPr="00911055" w:rsidRDefault="00645197" w:rsidP="00D63E35">
      <w:pPr>
        <w:spacing w:after="120" w:line="276" w:lineRule="auto"/>
        <w:jc w:val="both"/>
        <w:rPr>
          <w:rFonts w:ascii="Verdana" w:eastAsia="Calibri" w:hAnsi="Verdana" w:cs="Arial"/>
          <w:color w:val="000000" w:themeColor="text1"/>
        </w:rPr>
      </w:pPr>
      <w:proofErr w:type="spellStart"/>
      <w:r>
        <w:rPr>
          <w:rFonts w:ascii="Verdana" w:eastAsia="Calibri" w:hAnsi="Verdana" w:cs="Arial"/>
        </w:rPr>
        <w:t>v</w:t>
      </w:r>
      <w:r w:rsidR="00A1239B">
        <w:rPr>
          <w:rFonts w:ascii="Verdana" w:eastAsia="Calibri" w:hAnsi="Verdana" w:cs="Arial"/>
        </w:rPr>
        <w:t>i</w:t>
      </w:r>
      <w:r>
        <w:rPr>
          <w:rFonts w:ascii="Verdana" w:eastAsia="Calibri" w:hAnsi="Verdana" w:cs="Arial"/>
        </w:rPr>
        <w:t>i</w:t>
      </w:r>
      <w:proofErr w:type="spellEnd"/>
      <w:r>
        <w:rPr>
          <w:rFonts w:ascii="Verdana" w:eastAsia="Calibri" w:hAnsi="Verdana" w:cs="Arial"/>
        </w:rPr>
        <w:t xml:space="preserve">. </w:t>
      </w:r>
      <w:r w:rsidR="00D63E35" w:rsidRPr="00911055">
        <w:rPr>
          <w:rFonts w:ascii="Verdana" w:eastAsia="Calibri" w:hAnsi="Verdana" w:cs="Arial"/>
        </w:rPr>
        <w:t>Por regla general, además de lo manifestado por los interesados, las entidades podrán verificar situaciones de control a través del RUP. En caso de que el registro no sea obligatorio, el pliego de condiciones debe establecer el mecanismo de validación correspondiente. Como la verificación se realiza en el marco del procedimiento de selección, para efectos de la garantía del debido proceso, el principio de transparencia demanda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–artículo 24.2 de la Ley 80 de 1993–.</w:t>
      </w:r>
    </w:p>
    <w:p w14:paraId="0B009FFB" w14:textId="77777777" w:rsidR="00D63E35" w:rsidRPr="00911055" w:rsidRDefault="00D63E35" w:rsidP="00D63E35">
      <w:pPr>
        <w:spacing w:after="0" w:line="276" w:lineRule="auto"/>
        <w:ind w:firstLine="708"/>
        <w:jc w:val="both"/>
        <w:rPr>
          <w:rFonts w:ascii="Verdana" w:eastAsia="Calibri" w:hAnsi="Verdana" w:cs="Arial"/>
        </w:rPr>
      </w:pPr>
      <w:r w:rsidRPr="00911055">
        <w:rPr>
          <w:rFonts w:ascii="Verdana" w:eastAsia="Calibri" w:hAnsi="Verdana" w:cs="Arial"/>
        </w:rPr>
        <w:t xml:space="preserve">Lo usual es que todos los documentos de la oferta se entreguen antes de cierre del proceso. Sin embargo, el literal a) del artículo 2.1.4.3.2.1 del Decreto 1081 de 2015, adicionado por el artículo 1 del Decreto 1600 de 2024,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 </w:t>
      </w:r>
    </w:p>
    <w:p w14:paraId="14240A5C" w14:textId="77777777" w:rsidR="00227B88" w:rsidRDefault="00227B88" w:rsidP="00645197">
      <w:pPr>
        <w:spacing w:after="0" w:line="276" w:lineRule="auto"/>
        <w:jc w:val="both"/>
        <w:rPr>
          <w:rFonts w:ascii="Verdana" w:eastAsia="Calibri" w:hAnsi="Verdana" w:cs="Arial"/>
        </w:rPr>
      </w:pPr>
    </w:p>
    <w:p w14:paraId="60733573" w14:textId="3F425A78" w:rsidR="00227B88" w:rsidRPr="003F1FA1" w:rsidRDefault="00227B88" w:rsidP="003F1FA1">
      <w:pPr>
        <w:pStyle w:val="Sinespaciado"/>
        <w:spacing w:after="120" w:line="276" w:lineRule="auto"/>
        <w:jc w:val="both"/>
        <w:rPr>
          <w:rFonts w:ascii="Verdana" w:hAnsi="Verdana" w:cs="Arial"/>
        </w:rPr>
      </w:pPr>
      <w:proofErr w:type="spellStart"/>
      <w:r w:rsidRPr="003F1FA1">
        <w:rPr>
          <w:rFonts w:ascii="Verdana" w:hAnsi="Verdana" w:cs="Arial"/>
          <w:sz w:val="22"/>
        </w:rPr>
        <w:t>v</w:t>
      </w:r>
      <w:r w:rsidR="00A1239B">
        <w:rPr>
          <w:rFonts w:ascii="Verdana" w:hAnsi="Verdana" w:cs="Arial"/>
          <w:sz w:val="22"/>
        </w:rPr>
        <w:t>ii</w:t>
      </w:r>
      <w:r w:rsidRPr="003F1FA1">
        <w:rPr>
          <w:rFonts w:ascii="Verdana" w:hAnsi="Verdana" w:cs="Arial"/>
          <w:sz w:val="22"/>
        </w:rPr>
        <w:t>i</w:t>
      </w:r>
      <w:proofErr w:type="spellEnd"/>
      <w:r w:rsidRPr="003F1FA1">
        <w:rPr>
          <w:rFonts w:ascii="Verdana" w:hAnsi="Verdana" w:cs="Arial"/>
          <w:sz w:val="22"/>
        </w:rPr>
        <w:t xml:space="preserve">. 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w:t>
      </w:r>
      <w:r w:rsidRPr="003F1FA1">
        <w:rPr>
          <w:rFonts w:ascii="Verdana" w:hAnsi="Verdana" w:cs="Arial"/>
          <w:sz w:val="22"/>
        </w:rPr>
        <w:lastRenderedPageBreak/>
        <w:t>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3F1FA1">
        <w:rPr>
          <w:rStyle w:val="Refdenotaalpie"/>
          <w:rFonts w:ascii="Verdana" w:hAnsi="Verdana" w:cs="Arial"/>
          <w:sz w:val="22"/>
        </w:rPr>
        <w:footnoteReference w:id="6"/>
      </w:r>
      <w:r w:rsidRPr="003F1FA1">
        <w:rPr>
          <w:rFonts w:ascii="Verdana" w:hAnsi="Verdana" w:cs="Arial"/>
          <w:sz w:val="22"/>
        </w:rPr>
        <w:t>.</w:t>
      </w:r>
    </w:p>
    <w:p w14:paraId="3ED655FB" w14:textId="77777777" w:rsidR="00227B88" w:rsidRPr="00911055" w:rsidRDefault="00227B88" w:rsidP="00227B88">
      <w:pPr>
        <w:pStyle w:val="Sinespaciado"/>
        <w:spacing w:line="276" w:lineRule="auto"/>
        <w:ind w:firstLine="709"/>
        <w:jc w:val="both"/>
        <w:rPr>
          <w:rFonts w:ascii="Verdana" w:hAnsi="Verdana" w:cs="Arial"/>
          <w:sz w:val="22"/>
        </w:rPr>
      </w:pPr>
      <w:r w:rsidRPr="00911055">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3FAD4E35" w14:textId="77777777" w:rsidR="00227B88" w:rsidRPr="00911055" w:rsidRDefault="00227B88" w:rsidP="00227B88">
      <w:pPr>
        <w:pStyle w:val="Sinespaciado"/>
        <w:spacing w:line="276" w:lineRule="auto"/>
        <w:jc w:val="both"/>
        <w:rPr>
          <w:rFonts w:ascii="Verdana" w:hAnsi="Verdana" w:cs="Arial"/>
          <w:sz w:val="22"/>
        </w:rPr>
      </w:pPr>
    </w:p>
    <w:p w14:paraId="769E20CA" w14:textId="77777777" w:rsidR="00227B88" w:rsidRPr="00613100" w:rsidRDefault="00227B88" w:rsidP="00227B88">
      <w:pPr>
        <w:pStyle w:val="NormalWeb"/>
        <w:shd w:val="clear" w:color="auto" w:fill="FFFFFF"/>
        <w:spacing w:before="0" w:beforeAutospacing="0" w:after="120" w:afterAutospacing="0"/>
        <w:ind w:left="709" w:right="709"/>
        <w:jc w:val="both"/>
        <w:rPr>
          <w:rFonts w:ascii="Verdana" w:hAnsi="Verdana" w:cs="Arial"/>
          <w:sz w:val="20"/>
          <w:szCs w:val="20"/>
          <w:lang w:val="es-ES"/>
        </w:rPr>
      </w:pPr>
      <w:r w:rsidRPr="00613100">
        <w:rPr>
          <w:rFonts w:ascii="Verdana"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2B5CE7E9" w14:textId="77777777" w:rsidR="00227B88" w:rsidRPr="00613100" w:rsidRDefault="00227B88" w:rsidP="00227B88">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613100">
        <w:rPr>
          <w:rFonts w:ascii="Verdana"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13100">
        <w:rPr>
          <w:rStyle w:val="Refdenotaalpie"/>
          <w:rFonts w:ascii="Verdana" w:hAnsi="Verdana" w:cs="Arial"/>
          <w:sz w:val="20"/>
          <w:szCs w:val="20"/>
          <w:lang w:val="es-ES"/>
        </w:rPr>
        <w:footnoteReference w:id="7"/>
      </w:r>
      <w:r w:rsidRPr="00613100">
        <w:rPr>
          <w:rFonts w:ascii="Verdana" w:hAnsi="Verdana" w:cs="Arial"/>
          <w:sz w:val="20"/>
          <w:szCs w:val="20"/>
          <w:lang w:val="es-ES"/>
        </w:rPr>
        <w:t>.</w:t>
      </w:r>
    </w:p>
    <w:p w14:paraId="2639994F" w14:textId="77777777" w:rsidR="00227B88" w:rsidRPr="00911055" w:rsidRDefault="00227B88" w:rsidP="00227B88">
      <w:pPr>
        <w:pStyle w:val="NormalWeb"/>
        <w:shd w:val="clear" w:color="auto" w:fill="FFFFFF"/>
        <w:spacing w:before="0" w:beforeAutospacing="0" w:after="0" w:afterAutospacing="0"/>
        <w:ind w:left="709" w:right="709"/>
        <w:jc w:val="both"/>
        <w:rPr>
          <w:rFonts w:ascii="Verdana" w:hAnsi="Verdana" w:cs="Arial"/>
          <w:sz w:val="21"/>
          <w:szCs w:val="21"/>
          <w:lang w:val="es-ES"/>
        </w:rPr>
      </w:pPr>
    </w:p>
    <w:p w14:paraId="0ABB2001" w14:textId="77777777" w:rsidR="00227B88" w:rsidRPr="00911055" w:rsidRDefault="00227B88" w:rsidP="00227B88">
      <w:pPr>
        <w:pStyle w:val="Sinespaciado"/>
        <w:spacing w:line="276" w:lineRule="auto"/>
        <w:ind w:firstLine="709"/>
        <w:jc w:val="both"/>
        <w:rPr>
          <w:rFonts w:ascii="Verdana" w:hAnsi="Verdana" w:cs="Arial"/>
          <w:sz w:val="22"/>
        </w:rPr>
      </w:pPr>
      <w:r w:rsidRPr="00911055">
        <w:rPr>
          <w:rFonts w:ascii="Verdana" w:hAnsi="Verdana" w:cs="Arial"/>
          <w:sz w:val="22"/>
        </w:rPr>
        <w:t xml:space="preserve">Así las cosas, las inhabilidades son medios que garantizan la transparencia y eficiencia en la actividad contractual del Estado, imponiendo restricciones en </w:t>
      </w:r>
      <w:r w:rsidRPr="00911055">
        <w:rPr>
          <w:rFonts w:ascii="Verdana" w:hAnsi="Verdana" w:cs="Arial"/>
          <w:sz w:val="22"/>
        </w:rPr>
        <w:lastRenderedPageBreak/>
        <w:t xml:space="preserve">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47C77199" w14:textId="77777777" w:rsidR="00227B88" w:rsidRPr="00911055" w:rsidRDefault="00227B88" w:rsidP="00227B88">
      <w:pPr>
        <w:pStyle w:val="Sinespaciado"/>
        <w:spacing w:line="276" w:lineRule="auto"/>
        <w:ind w:firstLine="709"/>
        <w:jc w:val="both"/>
        <w:rPr>
          <w:rFonts w:ascii="Verdana" w:hAnsi="Verdana" w:cs="Arial"/>
          <w:sz w:val="22"/>
        </w:rPr>
      </w:pPr>
    </w:p>
    <w:p w14:paraId="495DCD01" w14:textId="77777777" w:rsidR="00227B88" w:rsidRPr="00613100" w:rsidRDefault="00227B88" w:rsidP="00227B88">
      <w:pPr>
        <w:spacing w:after="120" w:line="240" w:lineRule="auto"/>
        <w:ind w:left="709" w:right="709"/>
        <w:jc w:val="both"/>
        <w:rPr>
          <w:rFonts w:ascii="Verdana" w:hAnsi="Verdana" w:cs="Arial"/>
          <w:sz w:val="20"/>
          <w:szCs w:val="20"/>
        </w:rPr>
      </w:pPr>
      <w:r w:rsidRPr="00613100">
        <w:rPr>
          <w:rFonts w:ascii="Verdana" w:hAnsi="Verdana" w:cs="Arial"/>
          <w:sz w:val="20"/>
          <w:szCs w:val="20"/>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613100">
        <w:rPr>
          <w:rFonts w:ascii="Verdana" w:hAnsi="Verdana" w:cs="Arial"/>
          <w:sz w:val="20"/>
          <w:szCs w:val="20"/>
        </w:rPr>
        <w:t>incompatibilidades,</w:t>
      </w:r>
      <w:proofErr w:type="gramEnd"/>
      <w:r w:rsidRPr="00613100">
        <w:rPr>
          <w:rFonts w:ascii="Verdana" w:hAnsi="Verdana" w:cs="Arial"/>
          <w:sz w:val="20"/>
          <w:szCs w:val="20"/>
        </w:rPr>
        <w:t xml:space="preserve"> se erige en causal de nulidad del contrato celebrado en esas condiciones (ley 80 de 1993, art. 44).</w:t>
      </w:r>
    </w:p>
    <w:p w14:paraId="2E8E71B6" w14:textId="77777777" w:rsidR="00227B88" w:rsidRPr="00613100" w:rsidRDefault="00227B88" w:rsidP="00227B88">
      <w:pPr>
        <w:spacing w:after="0" w:line="240" w:lineRule="auto"/>
        <w:ind w:left="709" w:right="709"/>
        <w:jc w:val="both"/>
        <w:rPr>
          <w:rFonts w:ascii="Verdana" w:hAnsi="Verdana" w:cs="Arial"/>
          <w:sz w:val="20"/>
          <w:szCs w:val="20"/>
        </w:rPr>
      </w:pPr>
      <w:r w:rsidRPr="00613100">
        <w:rPr>
          <w:rFonts w:ascii="Verdana" w:hAnsi="Verdana" w:cs="Arial"/>
          <w:sz w:val="20"/>
          <w:szCs w:val="20"/>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13100">
        <w:rPr>
          <w:rStyle w:val="Refdenotaalpie"/>
          <w:rFonts w:ascii="Verdana" w:hAnsi="Verdana" w:cs="Arial"/>
          <w:sz w:val="20"/>
          <w:szCs w:val="20"/>
        </w:rPr>
        <w:footnoteReference w:id="8"/>
      </w:r>
      <w:r w:rsidRPr="00613100">
        <w:rPr>
          <w:rFonts w:ascii="Verdana" w:hAnsi="Verdana" w:cs="Arial"/>
          <w:sz w:val="20"/>
          <w:szCs w:val="20"/>
        </w:rPr>
        <w:t>.</w:t>
      </w:r>
    </w:p>
    <w:p w14:paraId="29AD1E7F" w14:textId="77777777" w:rsidR="00227B88" w:rsidRPr="00911055" w:rsidRDefault="00227B88" w:rsidP="00227B88">
      <w:pPr>
        <w:spacing w:after="0" w:line="240" w:lineRule="auto"/>
        <w:ind w:right="709"/>
        <w:jc w:val="both"/>
        <w:rPr>
          <w:rFonts w:ascii="Verdana" w:hAnsi="Verdana" w:cs="Arial"/>
        </w:rPr>
      </w:pPr>
    </w:p>
    <w:p w14:paraId="7177BDA2" w14:textId="77777777" w:rsidR="00227B88" w:rsidRPr="00911055" w:rsidRDefault="00227B88" w:rsidP="00227B88">
      <w:pPr>
        <w:spacing w:after="0" w:line="276" w:lineRule="auto"/>
        <w:ind w:firstLine="709"/>
        <w:jc w:val="both"/>
        <w:rPr>
          <w:rFonts w:ascii="Verdana" w:hAnsi="Verdana" w:cs="Arial"/>
        </w:rPr>
      </w:pPr>
      <w:r w:rsidRPr="00911055">
        <w:rPr>
          <w:rFonts w:ascii="Verdana" w:hAnsi="Verdana"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19B2E557" w14:textId="77777777" w:rsidR="00227B88" w:rsidRPr="00911055" w:rsidRDefault="00227B88" w:rsidP="00227B88">
      <w:pPr>
        <w:pStyle w:val="Sinespaciado"/>
        <w:tabs>
          <w:tab w:val="left" w:pos="1532"/>
        </w:tabs>
        <w:spacing w:line="276" w:lineRule="auto"/>
        <w:jc w:val="both"/>
        <w:rPr>
          <w:rFonts w:ascii="Verdana" w:hAnsi="Verdana" w:cs="Arial"/>
          <w:sz w:val="22"/>
        </w:rPr>
      </w:pPr>
    </w:p>
    <w:p w14:paraId="7F150D3F" w14:textId="77777777" w:rsidR="00227B88" w:rsidRPr="00453762" w:rsidRDefault="00227B88" w:rsidP="00227B88">
      <w:pPr>
        <w:spacing w:after="0" w:line="240" w:lineRule="auto"/>
        <w:ind w:left="709" w:right="709"/>
        <w:jc w:val="both"/>
        <w:rPr>
          <w:rFonts w:ascii="Verdana" w:hAnsi="Verdana" w:cs="Arial"/>
          <w:sz w:val="20"/>
          <w:szCs w:val="20"/>
        </w:rPr>
      </w:pPr>
      <w:r w:rsidRPr="00453762">
        <w:rPr>
          <w:rFonts w:ascii="Verdana" w:hAnsi="Verdana" w:cs="Arial"/>
          <w:sz w:val="20"/>
          <w:szCs w:val="20"/>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w:t>
      </w:r>
      <w:r w:rsidRPr="00453762">
        <w:rPr>
          <w:rFonts w:ascii="Verdana" w:hAnsi="Verdana" w:cs="Arial"/>
          <w:sz w:val="20"/>
          <w:szCs w:val="20"/>
        </w:rPr>
        <w:lastRenderedPageBreak/>
        <w:t>La ley demandada recae sobre una materia que pertenece al dominio de la esfera estatal y pública, dentro de la cual no rige el principio </w:t>
      </w:r>
      <w:r w:rsidRPr="00453762">
        <w:rPr>
          <w:rFonts w:ascii="Verdana" w:hAnsi="Verdana" w:cs="Arial"/>
          <w:i/>
          <w:iCs/>
          <w:sz w:val="20"/>
          <w:szCs w:val="20"/>
        </w:rPr>
        <w:t xml:space="preserve">pro </w:t>
      </w:r>
      <w:proofErr w:type="spellStart"/>
      <w:r w:rsidRPr="00453762">
        <w:rPr>
          <w:rFonts w:ascii="Verdana" w:hAnsi="Verdana" w:cs="Arial"/>
          <w:i/>
          <w:iCs/>
          <w:sz w:val="20"/>
          <w:szCs w:val="20"/>
        </w:rPr>
        <w:t>libertate</w:t>
      </w:r>
      <w:proofErr w:type="spellEnd"/>
      <w:r w:rsidRPr="00453762">
        <w:rPr>
          <w:rFonts w:ascii="Verdana" w:hAnsi="Verdana" w:cs="Arial"/>
          <w:sz w:val="20"/>
          <w:szCs w:val="20"/>
        </w:rPr>
        <w:t xml:space="preserve">, sino el de legalidad, el que ordena que la función pública debe someterse estrictamente a lo que disponga la Constitución y la ley (CP art. 6). </w:t>
      </w:r>
    </w:p>
    <w:p w14:paraId="65AA3780" w14:textId="77777777" w:rsidR="00227B88" w:rsidRPr="00453762" w:rsidRDefault="00227B88" w:rsidP="00227B88">
      <w:pPr>
        <w:spacing w:after="120" w:line="240" w:lineRule="auto"/>
        <w:ind w:left="709" w:right="709"/>
        <w:jc w:val="both"/>
        <w:rPr>
          <w:rFonts w:ascii="Verdana" w:hAnsi="Verdana" w:cs="Arial"/>
          <w:sz w:val="20"/>
          <w:szCs w:val="20"/>
        </w:rPr>
      </w:pPr>
      <w:r w:rsidRPr="00453762">
        <w:rPr>
          <w:rFonts w:ascii="Verdana" w:hAnsi="Verdana" w:cs="Arial"/>
          <w:sz w:val="20"/>
          <w:szCs w:val="20"/>
        </w:rPr>
        <w:t xml:space="preserve">[…] </w:t>
      </w:r>
    </w:p>
    <w:p w14:paraId="4E200F07" w14:textId="77777777" w:rsidR="00227B88" w:rsidRPr="00453762" w:rsidRDefault="00227B88" w:rsidP="00227B88">
      <w:pPr>
        <w:spacing w:after="0" w:line="240" w:lineRule="auto"/>
        <w:ind w:left="709" w:right="709"/>
        <w:jc w:val="both"/>
        <w:rPr>
          <w:rFonts w:ascii="Verdana" w:hAnsi="Verdana" w:cs="Arial"/>
          <w:sz w:val="20"/>
          <w:szCs w:val="20"/>
        </w:rPr>
      </w:pPr>
      <w:r w:rsidRPr="00453762">
        <w:rPr>
          <w:rFonts w:ascii="Verdana" w:hAnsi="Verdana" w:cs="Arial"/>
          <w:sz w:val="20"/>
          <w:szCs w:val="20"/>
        </w:rPr>
        <w:t xml:space="preserve">Se comprende con facilidad que el régimen de inhabilidades e </w:t>
      </w:r>
      <w:proofErr w:type="gramStart"/>
      <w:r w:rsidRPr="00453762">
        <w:rPr>
          <w:rFonts w:ascii="Verdana" w:hAnsi="Verdana" w:cs="Arial"/>
          <w:sz w:val="20"/>
          <w:szCs w:val="20"/>
        </w:rPr>
        <w:t>incompatibilidades,</w:t>
      </w:r>
      <w:proofErr w:type="gramEnd"/>
      <w:r w:rsidRPr="00453762">
        <w:rPr>
          <w:rFonts w:ascii="Verdana" w:hAnsi="Verdana" w:cs="Arial"/>
          <w:sz w:val="20"/>
          <w:szCs w:val="20"/>
        </w:rPr>
        <w:t xml:space="preserve"> corresponde a una materia de normal y obligada inclusión en un estatuto contractual. El legislador, a quien se ha confiado expedir el indicado estatuto, tiene, pues, competencia para establecerlo (CP art. 150)”</w:t>
      </w:r>
      <w:r w:rsidRPr="00453762">
        <w:rPr>
          <w:rStyle w:val="Refdenotaalpie"/>
          <w:rFonts w:ascii="Verdana" w:hAnsi="Verdana" w:cs="Arial"/>
          <w:sz w:val="20"/>
          <w:szCs w:val="20"/>
        </w:rPr>
        <w:footnoteReference w:id="9"/>
      </w:r>
      <w:r w:rsidRPr="00453762">
        <w:rPr>
          <w:rFonts w:ascii="Verdana" w:hAnsi="Verdana" w:cs="Arial"/>
          <w:sz w:val="20"/>
          <w:szCs w:val="20"/>
        </w:rPr>
        <w:t>.</w:t>
      </w:r>
    </w:p>
    <w:p w14:paraId="3EED5E1A" w14:textId="77777777" w:rsidR="00227B88" w:rsidRPr="00911055" w:rsidRDefault="00227B88" w:rsidP="00227B88">
      <w:pPr>
        <w:spacing w:after="0" w:line="276" w:lineRule="auto"/>
        <w:ind w:left="709" w:right="709"/>
        <w:jc w:val="both"/>
        <w:rPr>
          <w:rFonts w:ascii="Verdana" w:hAnsi="Verdana" w:cs="Arial"/>
        </w:rPr>
      </w:pPr>
    </w:p>
    <w:p w14:paraId="333FEE21" w14:textId="77777777" w:rsidR="00227B88" w:rsidRPr="00911055" w:rsidRDefault="00227B88" w:rsidP="00227B88">
      <w:pPr>
        <w:spacing w:line="276" w:lineRule="auto"/>
        <w:ind w:firstLine="709"/>
        <w:jc w:val="both"/>
        <w:rPr>
          <w:rFonts w:ascii="Verdana" w:hAnsi="Verdana" w:cs="Arial"/>
        </w:rPr>
      </w:pPr>
      <w:r w:rsidRPr="00911055">
        <w:rPr>
          <w:rFonts w:ascii="Verdana" w:hAnsi="Verdana" w:cs="Arial"/>
        </w:rPr>
        <w:t xml:space="preserve">Conviene también distinguir las fuentes de las inhabilidades, las cuales han sido clasificadas en dos (2) grupos: i) inhabilidades-sanción y </w:t>
      </w:r>
      <w:proofErr w:type="spellStart"/>
      <w:r w:rsidRPr="00911055">
        <w:rPr>
          <w:rFonts w:ascii="Verdana" w:hAnsi="Verdana" w:cs="Arial"/>
        </w:rPr>
        <w:t>ii</w:t>
      </w:r>
      <w:proofErr w:type="spellEnd"/>
      <w:r w:rsidRPr="00911055">
        <w:rPr>
          <w:rFonts w:ascii="Verdana" w:hAnsi="Verdana" w:cs="Ari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911055">
        <w:rPr>
          <w:rStyle w:val="Refdenotaalpie"/>
          <w:rFonts w:ascii="Verdana" w:hAnsi="Verdana" w:cs="Arial"/>
        </w:rPr>
        <w:footnoteReference w:id="10"/>
      </w:r>
      <w:r w:rsidRPr="00911055">
        <w:rPr>
          <w:rFonts w:ascii="Verdana" w:hAnsi="Verdana" w:cs="Arial"/>
        </w:rPr>
        <w:t>.</w:t>
      </w:r>
    </w:p>
    <w:p w14:paraId="369F23EF" w14:textId="77777777" w:rsidR="00227B88" w:rsidRPr="00911055" w:rsidRDefault="00227B88" w:rsidP="00227B88">
      <w:pPr>
        <w:spacing w:before="120" w:after="120" w:line="276" w:lineRule="auto"/>
        <w:ind w:firstLine="709"/>
        <w:jc w:val="both"/>
        <w:rPr>
          <w:rFonts w:ascii="Verdana" w:hAnsi="Verdana" w:cs="Arial"/>
        </w:rPr>
      </w:pPr>
      <w:r w:rsidRPr="00911055">
        <w:rPr>
          <w:rFonts w:ascii="Verdana"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911055">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1232474B" w14:textId="77777777" w:rsidR="00227B88" w:rsidRPr="00911055" w:rsidRDefault="00227B88" w:rsidP="00227B88">
      <w:pPr>
        <w:spacing w:after="120" w:line="276" w:lineRule="auto"/>
        <w:ind w:firstLine="708"/>
        <w:jc w:val="both"/>
        <w:rPr>
          <w:rFonts w:ascii="Verdana" w:eastAsia="Calibri" w:hAnsi="Verdana" w:cs="Arial"/>
          <w:lang w:val="es-ES_tradnl"/>
        </w:rPr>
      </w:pPr>
      <w:r w:rsidRPr="00911055">
        <w:rPr>
          <w:rFonts w:ascii="Verdana" w:eastAsia="Calibri" w:hAnsi="Verdana" w:cs="Arial"/>
          <w:i/>
          <w:iCs/>
          <w:lang w:val="es-ES_tradnl"/>
        </w:rPr>
        <w:lastRenderedPageBreak/>
        <w:t>Igualmente</w:t>
      </w:r>
      <w:r w:rsidRPr="00911055">
        <w:rPr>
          <w:rFonts w:ascii="Verdana" w:eastAsia="Calibri" w:hAnsi="Verdana" w:cs="Arial"/>
          <w:lang w:val="es-ES_tradnl"/>
        </w:rPr>
        <w:t xml:space="preserve">, </w:t>
      </w:r>
      <w:bookmarkStart w:id="4" w:name="_Hlk135133412"/>
      <w:r w:rsidRPr="00911055">
        <w:rPr>
          <w:rFonts w:ascii="Verdana" w:eastAsia="Calibri" w:hAnsi="Verdana" w:cs="Arial"/>
          <w:lang w:val="es-ES_tradnl"/>
        </w:rPr>
        <w:t xml:space="preserve">en la contratación estatal, la </w:t>
      </w:r>
      <w:r w:rsidRPr="00911055">
        <w:rPr>
          <w:rFonts w:ascii="Verdana" w:eastAsia="Calibri" w:hAnsi="Verdana" w:cs="Arial"/>
          <w:i/>
          <w:iCs/>
          <w:lang w:val="es-ES_tradnl"/>
        </w:rPr>
        <w:t>capacidad</w:t>
      </w:r>
      <w:r w:rsidRPr="00911055">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Pr="00911055">
        <w:rPr>
          <w:rStyle w:val="Refdenotaalpie"/>
          <w:rFonts w:ascii="Verdana" w:eastAsia="Calibri" w:hAnsi="Verdana" w:cs="Arial"/>
          <w:lang w:val="es-ES_tradnl"/>
        </w:rPr>
        <w:footnoteReference w:id="11"/>
      </w:r>
      <w:r w:rsidRPr="00911055">
        <w:rPr>
          <w:rFonts w:ascii="Verdana" w:eastAsia="Calibri" w:hAnsi="Verdana" w:cs="Arial"/>
          <w:lang w:val="es-ES_tradnl"/>
        </w:rPr>
        <w:t xml:space="preserve"> como en el de las entidades exceptuadas de aquel</w:t>
      </w:r>
      <w:r w:rsidRPr="00911055">
        <w:rPr>
          <w:rStyle w:val="Refdenotaalpie"/>
          <w:rFonts w:ascii="Verdana" w:eastAsia="Calibri" w:hAnsi="Verdana" w:cs="Arial"/>
          <w:lang w:val="es-ES_tradnl"/>
        </w:rPr>
        <w:footnoteReference w:id="12"/>
      </w:r>
      <w:r w:rsidRPr="00911055">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911055">
        <w:rPr>
          <w:rStyle w:val="Refdenotaalpie"/>
          <w:rFonts w:ascii="Verdana" w:eastAsia="Calibri" w:hAnsi="Verdana" w:cs="Arial"/>
          <w:lang w:val="es-ES_tradnl"/>
        </w:rPr>
        <w:footnoteReference w:id="13"/>
      </w:r>
      <w:r w:rsidRPr="00911055">
        <w:rPr>
          <w:rFonts w:ascii="Verdana" w:eastAsia="Calibri" w:hAnsi="Verdana" w:cs="Arial"/>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00911055">
        <w:rPr>
          <w:rStyle w:val="Refdenotaalpie"/>
          <w:rFonts w:ascii="Verdana" w:eastAsia="Calibri" w:hAnsi="Verdana" w:cs="Arial"/>
          <w:lang w:val="es-ES_tradnl"/>
        </w:rPr>
        <w:footnoteReference w:id="14"/>
      </w:r>
      <w:r w:rsidRPr="00911055">
        <w:rPr>
          <w:rFonts w:ascii="Verdana" w:eastAsia="Calibri" w:hAnsi="Verdana" w:cs="Arial"/>
          <w:lang w:val="es-ES_tradnl"/>
        </w:rPr>
        <w:t>.</w:t>
      </w:r>
    </w:p>
    <w:p w14:paraId="2DE5B5F4" w14:textId="77777777" w:rsidR="00227B88" w:rsidRPr="00911055" w:rsidRDefault="00227B88" w:rsidP="00227B88">
      <w:pPr>
        <w:spacing w:after="120" w:line="276" w:lineRule="auto"/>
        <w:ind w:firstLine="709"/>
        <w:jc w:val="both"/>
        <w:rPr>
          <w:rFonts w:ascii="Verdana" w:eastAsia="Calibri" w:hAnsi="Verdana" w:cs="Arial"/>
          <w:lang w:val="es-ES"/>
        </w:rPr>
      </w:pPr>
      <w:r w:rsidRPr="01169EBA">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1169EBA">
        <w:rPr>
          <w:rFonts w:ascii="Verdana" w:eastAsia="Calibri" w:hAnsi="Verdana" w:cs="Arial"/>
          <w:lang w:val="es-ES"/>
        </w:rPr>
        <w:t>ii</w:t>
      </w:r>
      <w:proofErr w:type="spellEnd"/>
      <w:r w:rsidRPr="01169EBA">
        <w:rPr>
          <w:rFonts w:ascii="Verdana" w:eastAsia="Calibri" w:hAnsi="Verdana" w:cs="Arial"/>
          <w:lang w:val="es-ES"/>
        </w:rPr>
        <w:t xml:space="preserve">) de vínculos personales relativos al parentesco o al estado civil o </w:t>
      </w:r>
      <w:proofErr w:type="spellStart"/>
      <w:r w:rsidRPr="01169EBA">
        <w:rPr>
          <w:rFonts w:ascii="Verdana" w:eastAsia="Calibri" w:hAnsi="Verdana" w:cs="Arial"/>
          <w:lang w:val="es-ES"/>
        </w:rPr>
        <w:t>iii</w:t>
      </w:r>
      <w:proofErr w:type="spellEnd"/>
      <w:r w:rsidRPr="01169EBA">
        <w:rPr>
          <w:rFonts w:ascii="Verdana" w:eastAsia="Calibri" w:hAnsi="Verdana" w:cs="Arial"/>
          <w:lang w:val="es-ES"/>
        </w:rPr>
        <w:t xml:space="preserve">) de una actividad u oficio que se desempeñó en el pasado. De otro lado, las incompatibilidades, </w:t>
      </w:r>
      <w:r w:rsidRPr="01169EBA">
        <w:rPr>
          <w:rFonts w:ascii="Verdana" w:eastAsia="Calibri" w:hAnsi="Verdana" w:cs="Arial"/>
          <w:lang w:val="es-ES"/>
        </w:rPr>
        <w:lastRenderedPageBreak/>
        <w:t>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1169EBA">
        <w:rPr>
          <w:rStyle w:val="Refdenotaalpie"/>
          <w:rFonts w:ascii="Verdana" w:eastAsia="Calibri" w:hAnsi="Verdana" w:cs="Arial"/>
          <w:lang w:val="es-ES"/>
        </w:rPr>
        <w:footnoteReference w:id="15"/>
      </w:r>
      <w:r w:rsidRPr="01169EBA">
        <w:rPr>
          <w:rFonts w:ascii="Verdana" w:eastAsia="Calibri" w:hAnsi="Verdana" w:cs="Arial"/>
          <w:lang w:val="es-ES"/>
        </w:rPr>
        <w:t>.</w:t>
      </w:r>
    </w:p>
    <w:bookmarkEnd w:id="4"/>
    <w:p w14:paraId="608223D6" w14:textId="77777777" w:rsidR="00227B88" w:rsidRPr="00911055" w:rsidRDefault="00227B88" w:rsidP="00227B88">
      <w:pPr>
        <w:spacing w:after="120" w:line="276" w:lineRule="auto"/>
        <w:ind w:firstLine="709"/>
        <w:jc w:val="both"/>
        <w:rPr>
          <w:rFonts w:ascii="Verdana" w:eastAsia="Calibri" w:hAnsi="Verdana" w:cs="Arial"/>
          <w:lang w:val="es-ES"/>
        </w:rPr>
      </w:pPr>
      <w:r w:rsidRPr="01169EBA">
        <w:rPr>
          <w:rFonts w:ascii="Verdana" w:eastAsia="Calibri" w:hAnsi="Verdana" w:cs="Arial"/>
          <w:lang w:val="es-ES"/>
        </w:rPr>
        <w:t>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Pr="01169EBA">
        <w:rPr>
          <w:rFonts w:ascii="Verdana" w:eastAsia="Calibri" w:hAnsi="Verdana" w:cs="Arial"/>
          <w:lang w:val="es-ES"/>
        </w:rPr>
        <w:t>neopunitiva</w:t>
      </w:r>
      <w:proofErr w:type="spellEnd"/>
      <w:r w:rsidRPr="01169EBA">
        <w:rPr>
          <w:rFonts w:ascii="Verdana" w:eastAsia="Calibri" w:hAnsi="Verdana" w:cs="Arial"/>
          <w:lang w:val="es-ES"/>
        </w:rPr>
        <w:t>”</w:t>
      </w:r>
      <w:r w:rsidRPr="01169EBA">
        <w:rPr>
          <w:rStyle w:val="Refdenotaalpie"/>
          <w:rFonts w:ascii="Verdana" w:eastAsia="Calibri" w:hAnsi="Verdana" w:cs="Arial"/>
          <w:lang w:val="es-ES"/>
        </w:rPr>
        <w:footnoteReference w:id="16"/>
      </w:r>
      <w:r w:rsidRPr="01169EBA">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7BA5AC8B" w14:textId="77777777" w:rsidR="00227B88" w:rsidRPr="00911055" w:rsidRDefault="00227B88" w:rsidP="00227B88">
      <w:pPr>
        <w:spacing w:after="0" w:line="276" w:lineRule="auto"/>
        <w:ind w:firstLine="708"/>
        <w:jc w:val="both"/>
        <w:rPr>
          <w:rFonts w:ascii="Verdana" w:eastAsia="Calibri" w:hAnsi="Verdana" w:cs="Arial"/>
          <w:lang w:val="es-ES_tradnl"/>
        </w:rPr>
      </w:pPr>
      <w:r w:rsidRPr="00911055">
        <w:rPr>
          <w:rFonts w:ascii="Verdana" w:eastAsia="Calibri" w:hAnsi="Verdana" w:cs="Arial"/>
          <w:lang w:val="es-ES_tradnl"/>
        </w:rPr>
        <w:lastRenderedPageBreak/>
        <w:t>Ahora bien, el literal a) del artículo 8.1 de la Ley 80 de 1993 dispone que son inhábiles para participar procesos de selección y para celebrar contratos estatales “Las personas que se hallen inhabilitadas para contratar por la Constitución y las leyes”.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en virtud del artículo 6 del Decreto 092 de 2017, también hacen parte de los negocios jurídicos que se suscriban con las ESAL conforme a los artículos 355 constitucional o 96 de la Ley 489 de 1998</w:t>
      </w:r>
      <w:r w:rsidRPr="00911055">
        <w:rPr>
          <w:rStyle w:val="Refdenotaalpie"/>
          <w:rFonts w:ascii="Verdana" w:eastAsia="Calibri" w:hAnsi="Verdana" w:cs="Arial"/>
          <w:lang w:val="es-ES_tradnl"/>
        </w:rPr>
        <w:footnoteReference w:id="17"/>
      </w:r>
      <w:r w:rsidRPr="00911055">
        <w:rPr>
          <w:rFonts w:ascii="Verdana" w:eastAsia="Calibri" w:hAnsi="Verdana" w:cs="Arial"/>
          <w:lang w:val="es-ES_tradnl"/>
        </w:rPr>
        <w:t>.</w:t>
      </w:r>
    </w:p>
    <w:p w14:paraId="1DD94E9A" w14:textId="77777777" w:rsidR="00227B88" w:rsidRPr="00911055" w:rsidRDefault="00227B88" w:rsidP="00227B88">
      <w:pPr>
        <w:spacing w:after="0" w:line="276" w:lineRule="auto"/>
        <w:ind w:firstLine="708"/>
        <w:jc w:val="both"/>
        <w:rPr>
          <w:rFonts w:ascii="Verdana" w:eastAsia="Calibri" w:hAnsi="Verdana" w:cs="Arial"/>
          <w:lang w:val="es-ES_tradnl"/>
        </w:rPr>
      </w:pPr>
    </w:p>
    <w:p w14:paraId="34A93865" w14:textId="5B550775" w:rsidR="00227B88" w:rsidRPr="00911055" w:rsidRDefault="00A1239B" w:rsidP="00227B88">
      <w:pPr>
        <w:spacing w:after="120" w:line="276" w:lineRule="auto"/>
        <w:jc w:val="both"/>
        <w:rPr>
          <w:rFonts w:ascii="Verdana" w:eastAsia="Calibri" w:hAnsi="Verdana" w:cs="Arial"/>
          <w:lang w:val="es-ES_tradnl"/>
        </w:rPr>
      </w:pPr>
      <w:proofErr w:type="spellStart"/>
      <w:r>
        <w:rPr>
          <w:rFonts w:ascii="Verdana" w:eastAsia="Calibri" w:hAnsi="Verdana" w:cs="Arial"/>
          <w:lang w:val="es-ES_tradnl"/>
        </w:rPr>
        <w:t>ix</w:t>
      </w:r>
      <w:proofErr w:type="spellEnd"/>
      <w:r w:rsidR="00227B88" w:rsidRPr="00911055">
        <w:rPr>
          <w:rFonts w:ascii="Verdana" w:eastAsia="Calibri" w:hAnsi="Verdana" w:cs="Arial"/>
          <w:lang w:val="es-ES_tradnl"/>
        </w:rPr>
        <w:t xml:space="preserve">. Para efectos del literal a) del artículo 2.1.4.3.2.1 del Decreto 1081 de 2015, adicionado por el artículo 1 del Decreto 1600 de 2024, el Estatuto General de Contratación de la Administración Pública regula algunas inhabilidades relacionadas con la existencia de situaciones de control. Por ejemplo, este el caso de </w:t>
      </w:r>
      <w:r w:rsidR="00227B88" w:rsidRPr="00911055">
        <w:rPr>
          <w:rFonts w:ascii="Verdana" w:hAnsi="Verdana" w:cs="Arial"/>
        </w:rPr>
        <w:t>la inhabilidad del literal j</w:t>
      </w:r>
      <w:r w:rsidR="00227B88">
        <w:rPr>
          <w:rFonts w:ascii="Verdana" w:hAnsi="Verdana" w:cs="Arial"/>
        </w:rPr>
        <w:t>)</w:t>
      </w:r>
      <w:r w:rsidR="00227B88" w:rsidRPr="00911055">
        <w:rPr>
          <w:rFonts w:ascii="Verdana" w:hAnsi="Verdana" w:cs="Arial"/>
        </w:rPr>
        <w:t xml:space="preserve"> del numeral 1° del artículo 8 de la Ley 80 de 1993, introducida inicialmente por el derogado artículo 18 de la Ley 1150 de 2007. </w:t>
      </w:r>
      <w:r w:rsidR="00227B88" w:rsidRPr="00911055">
        <w:rPr>
          <w:rFonts w:ascii="Verdana" w:hAnsi="Verdana" w:cs="Arial"/>
          <w:color w:val="000000" w:themeColor="text1"/>
        </w:rPr>
        <w:t>Conforme a la norma citada, estaban inhabilitados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con excepción de las sociedades anónimas abiertas”.</w:t>
      </w:r>
    </w:p>
    <w:p w14:paraId="5AE55B59" w14:textId="77777777" w:rsidR="00227B88" w:rsidRPr="00911055" w:rsidRDefault="00227B88" w:rsidP="00227B88">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Con esta norma, el legislador hizo más severo el régimen de inhabilidades para la persona natural. Además de restringir su capacidad jurídica para </w:t>
      </w:r>
      <w:r w:rsidRPr="00911055">
        <w:rPr>
          <w:rFonts w:ascii="Verdana" w:hAnsi="Verdana" w:cs="Arial"/>
          <w:color w:val="000000" w:themeColor="text1"/>
        </w:rPr>
        <w:lastRenderedPageBreak/>
        <w:t>participar en procesos de selección y celebrar contratos con las entidades estatales, también estará impedida para apoyarse en los diversos tipos societarios previstos en la legislación mercantil para mantener el vínculo contractual con el Estado. Como explica la Corte Constitucional, “[…] el legislador pretende que la persona natural inhabilitada cumpla realmente con la sanción proveniente de la condena judicial que la declaró responsable de los delitos que allí se mencionan”</w:t>
      </w:r>
      <w:r w:rsidRPr="00911055">
        <w:rPr>
          <w:rStyle w:val="Refdenotaalpie"/>
          <w:rFonts w:ascii="Verdana" w:hAnsi="Verdana" w:cs="Arial"/>
          <w:color w:val="000000" w:themeColor="text1"/>
        </w:rPr>
        <w:footnoteReference w:id="18"/>
      </w:r>
      <w:r w:rsidRPr="00911055">
        <w:rPr>
          <w:rFonts w:ascii="Verdana" w:hAnsi="Verdana" w:cs="Arial"/>
          <w:color w:val="000000" w:themeColor="text1"/>
        </w:rPr>
        <w:t xml:space="preserve">. </w:t>
      </w:r>
    </w:p>
    <w:p w14:paraId="2BEE4B50" w14:textId="77777777" w:rsidR="00227B88" w:rsidRPr="00911055" w:rsidRDefault="00227B88" w:rsidP="00227B88">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Sin embargo, esta causal ha sido modificada por la Leyes 1474 de 2011, 1778 de 2016 y 2014 de 2019. La </w:t>
      </w:r>
      <w:r w:rsidRPr="00911055">
        <w:rPr>
          <w:rFonts w:ascii="Verdana" w:hAnsi="Verdana" w:cs="Arial"/>
          <w:i/>
          <w:iCs/>
          <w:color w:val="000000" w:themeColor="text1"/>
        </w:rPr>
        <w:t>primera modificación</w:t>
      </w:r>
      <w:r w:rsidRPr="00911055">
        <w:rPr>
          <w:rFonts w:ascii="Verdana" w:hAnsi="Verdana" w:cs="Arial"/>
          <w:color w:val="000000" w:themeColor="text1"/>
        </w:rPr>
        <w:t xml:space="preserve"> circunscribió la inhabilidad a las personas naturales responsables judicialmente de la comisión de delitos contra la Administración Pública cuya pena sea privativa de la libertad o soborno transnacional, con excepción de delitos culposos; la extendió a las sociedades en las que sean socias tales personas, a sus matrices y a sus subordinadas, con excepción de las sociedades anónimas abiertas; y determinó una duración de veinte (20) años</w:t>
      </w:r>
      <w:r w:rsidRPr="00911055">
        <w:rPr>
          <w:rStyle w:val="Refdenotaalpie"/>
          <w:rFonts w:ascii="Verdana" w:hAnsi="Verdana" w:cs="Arial"/>
          <w:color w:val="000000" w:themeColor="text1"/>
        </w:rPr>
        <w:footnoteReference w:id="19"/>
      </w:r>
      <w:r w:rsidRPr="00911055">
        <w:rPr>
          <w:rFonts w:ascii="Verdana" w:hAnsi="Verdana" w:cs="Arial"/>
          <w:color w:val="000000" w:themeColor="text1"/>
        </w:rPr>
        <w:t xml:space="preserve">. </w:t>
      </w:r>
    </w:p>
    <w:p w14:paraId="6FCBF7B4" w14:textId="77777777" w:rsidR="00227B88" w:rsidRPr="00911055" w:rsidRDefault="00227B88" w:rsidP="00227B88">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La </w:t>
      </w:r>
      <w:r w:rsidRPr="00911055">
        <w:rPr>
          <w:rFonts w:ascii="Verdana" w:hAnsi="Verdana" w:cs="Arial"/>
          <w:i/>
          <w:iCs/>
          <w:color w:val="000000" w:themeColor="text1"/>
        </w:rPr>
        <w:t>segunda modificación</w:t>
      </w:r>
      <w:r w:rsidRPr="00911055">
        <w:rPr>
          <w:rFonts w:ascii="Verdana" w:hAnsi="Verdana" w:cs="Arial"/>
          <w:color w:val="000000" w:themeColor="text1"/>
        </w:rPr>
        <w:t xml:space="preserve"> precisó que la restricción aplicaría a las personas naturales responsables judicialmente de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Asimismo, extendió la inhabilidad a las personas jurídicas que hayan sido declaradas responsables administrativamente por la conducta de soborno transnacional. Esta limitación también aplica por un término de 20 años, y cobija a las sociedades de las que hagan parte dichas personas en calidad de administradores, representantes legales, miembros de junta directiva o de socios controlantes, a sus matrices y </w:t>
      </w:r>
      <w:r w:rsidRPr="00911055">
        <w:rPr>
          <w:rFonts w:ascii="Verdana" w:hAnsi="Verdana" w:cs="Arial"/>
          <w:color w:val="000000" w:themeColor="text1"/>
        </w:rPr>
        <w:lastRenderedPageBreak/>
        <w:t>a sus subordinadas y a las sucursales de sociedades extranjeras, con excepción de las sociedades anónimas abiertas. Sin embargo, establece la configuración preventiva de la inhabilidad aun cuando esté pendiente la impugnación de la sentencia condenatoria</w:t>
      </w:r>
      <w:r w:rsidRPr="00911055">
        <w:rPr>
          <w:rStyle w:val="Refdenotaalpie"/>
          <w:rFonts w:ascii="Verdana" w:hAnsi="Verdana" w:cs="Arial"/>
          <w:color w:val="000000" w:themeColor="text1"/>
        </w:rPr>
        <w:footnoteReference w:id="20"/>
      </w:r>
      <w:r w:rsidRPr="00911055">
        <w:rPr>
          <w:rFonts w:ascii="Verdana" w:hAnsi="Verdana" w:cs="Arial"/>
          <w:color w:val="000000" w:themeColor="text1"/>
        </w:rPr>
        <w:t xml:space="preserve">.  </w:t>
      </w:r>
    </w:p>
    <w:p w14:paraId="7EEAA4B4" w14:textId="77777777" w:rsidR="00227B88" w:rsidRPr="00911055" w:rsidRDefault="00227B88" w:rsidP="00227B88">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La </w:t>
      </w:r>
      <w:r w:rsidRPr="00911055">
        <w:rPr>
          <w:rFonts w:ascii="Verdana" w:hAnsi="Verdana" w:cs="Arial"/>
          <w:i/>
          <w:iCs/>
          <w:color w:val="000000" w:themeColor="text1"/>
        </w:rPr>
        <w:t>tercera modificación</w:t>
      </w:r>
      <w:r w:rsidRPr="00911055">
        <w:rPr>
          <w:rFonts w:ascii="Verdana" w:hAnsi="Verdana" w:cs="Arial"/>
          <w:color w:val="000000" w:themeColor="text1"/>
        </w:rPr>
        <w:t xml:space="preserve"> mantiene a grandes rasgos la configuración de la inhabilidad respecto a las personas naturales declaradas responsables judicialmente por la comisión de delitos relacionados con actos de corrupción, así como las personas jurídicas que hayan sido declaradas responsables administrativamente por la conducta de soborno transnacional. Además de las personas jurídicas sobre las cuales se haya ordenado la suspensión de la personería, la restricción se extiende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Aunque conserva la configuración preventiva, tiene carácter permanente al margen de la aplicación del principio de oportunidad por cualquier delito contra la Administración pública o el patrimonio del Estado</w:t>
      </w:r>
      <w:r w:rsidRPr="00911055">
        <w:rPr>
          <w:rStyle w:val="Refdenotaalpie"/>
          <w:rFonts w:ascii="Verdana" w:hAnsi="Verdana" w:cs="Arial"/>
          <w:color w:val="000000" w:themeColor="text1"/>
        </w:rPr>
        <w:footnoteReference w:id="21"/>
      </w:r>
      <w:r w:rsidRPr="00911055">
        <w:rPr>
          <w:rFonts w:ascii="Verdana" w:hAnsi="Verdana" w:cs="Arial"/>
          <w:color w:val="000000" w:themeColor="text1"/>
        </w:rPr>
        <w:t xml:space="preserve">. </w:t>
      </w:r>
    </w:p>
    <w:p w14:paraId="0ABD9863" w14:textId="77777777" w:rsidR="00227B88" w:rsidRPr="00911055" w:rsidRDefault="00227B88" w:rsidP="00227B88">
      <w:pPr>
        <w:spacing w:after="0" w:line="276" w:lineRule="auto"/>
        <w:ind w:firstLine="708"/>
        <w:jc w:val="both"/>
        <w:rPr>
          <w:rFonts w:ascii="Verdana" w:hAnsi="Verdana" w:cs="Arial"/>
          <w:color w:val="000000" w:themeColor="text1"/>
        </w:rPr>
      </w:pPr>
      <w:r w:rsidRPr="00911055">
        <w:rPr>
          <w:rFonts w:ascii="Verdana" w:hAnsi="Verdana" w:cs="Arial"/>
          <w:color w:val="000000" w:themeColor="text1"/>
        </w:rPr>
        <w:lastRenderedPageBreak/>
        <w:t>Esta causal de inhabilidad aplica a nacionales y extranjeros, lo cual es congruente con el inciso 2 del artículo 4 de la Constitución Política de 1991</w:t>
      </w:r>
      <w:r w:rsidRPr="00911055">
        <w:rPr>
          <w:rStyle w:val="Refdenotaalpie"/>
          <w:rFonts w:ascii="Verdana" w:hAnsi="Verdana" w:cs="Arial"/>
          <w:color w:val="000000" w:themeColor="text1"/>
        </w:rPr>
        <w:footnoteReference w:id="22"/>
      </w:r>
      <w:r w:rsidRPr="00911055">
        <w:rPr>
          <w:rFonts w:ascii="Verdana" w:hAnsi="Verdana" w:cs="Arial"/>
          <w:color w:val="000000" w:themeColor="text1"/>
        </w:rPr>
        <w:t>. Por ello, considerando que la corrupción en un riesgo global, los Estados signatarios de diferentes convenciones se comprometieron a adoptar medidas para combatir estas conductas delictivas. Entre dichos instrumentos, se encuentran la Convención para combatir el cohecho de servidores públicos extranjeros en transacciones comerciales internacionales de la Organización para la Cooperación y Desarrollo Económicos -OCDE-, aprobada por Colombia mediante la Ley 1573 de 2012; la Convención de las Naciones Unidas contra la Delincuencia Organizada Transnacional, aprobada mediante la Ley 800 de 2003; así como la convención de las Naciones Unidas contra la Corrupción, aprobada por Colombia mediante la Ley 970 de 2005.</w:t>
      </w:r>
    </w:p>
    <w:p w14:paraId="268BBF58" w14:textId="77777777" w:rsidR="00227B88" w:rsidRPr="00911055" w:rsidRDefault="00227B88" w:rsidP="00227B88">
      <w:pPr>
        <w:spacing w:after="0" w:line="276" w:lineRule="auto"/>
        <w:jc w:val="both"/>
        <w:rPr>
          <w:rFonts w:ascii="Verdana" w:hAnsi="Verdana" w:cs="Arial"/>
          <w:color w:val="000000" w:themeColor="text1"/>
        </w:rPr>
      </w:pPr>
    </w:p>
    <w:p w14:paraId="5A386158" w14:textId="6D797EEA" w:rsidR="00227B88" w:rsidRPr="00911055" w:rsidRDefault="005C51CD" w:rsidP="00227B88">
      <w:pPr>
        <w:spacing w:after="0" w:line="276" w:lineRule="auto"/>
        <w:jc w:val="both"/>
        <w:rPr>
          <w:rFonts w:ascii="Verdana" w:eastAsia="Calibri" w:hAnsi="Verdana" w:cs="Arial"/>
          <w:lang w:val="es-ES_tradnl"/>
        </w:rPr>
      </w:pPr>
      <w:r>
        <w:rPr>
          <w:rFonts w:ascii="Verdana" w:hAnsi="Verdana" w:cs="Arial"/>
          <w:color w:val="000000" w:themeColor="text1"/>
        </w:rPr>
        <w:t>x</w:t>
      </w:r>
      <w:r w:rsidR="00227B88" w:rsidRPr="00911055">
        <w:rPr>
          <w:rFonts w:ascii="Verdana" w:hAnsi="Verdana" w:cs="Arial"/>
          <w:color w:val="000000" w:themeColor="text1"/>
        </w:rPr>
        <w:t xml:space="preserve">. De igual forma, </w:t>
      </w:r>
      <w:r w:rsidR="00227B88" w:rsidRPr="00911055">
        <w:rPr>
          <w:rFonts w:ascii="Verdana" w:eastAsia="Calibri" w:hAnsi="Verdana" w:cs="Arial"/>
          <w:lang w:val="es-ES_tradnl"/>
        </w:rPr>
        <w:t xml:space="preserve">se encuentra la prevista en el literal k) del artículo </w:t>
      </w:r>
      <w:r w:rsidR="00227B88">
        <w:rPr>
          <w:rFonts w:ascii="Verdana" w:eastAsia="Calibri" w:hAnsi="Verdana" w:cs="Arial"/>
          <w:lang w:val="es-ES_tradnl"/>
        </w:rPr>
        <w:t>8</w:t>
      </w:r>
      <w:r w:rsidR="00227B88" w:rsidRPr="00911055">
        <w:rPr>
          <w:rFonts w:ascii="Verdana" w:eastAsia="Calibri" w:hAnsi="Verdana" w:cs="Arial"/>
          <w:lang w:val="es-ES_tradnl"/>
        </w:rPr>
        <w:t>.1 de la Ley 80 de 1993, adicionada por el artículo 2 de la Ley 1474 de 2011 y modificada por el artículo 33 de la Ley 1778 de 2016. Esta causal recae específicamente sobre las personas naturales o jurídicas que hayan financiado campañas en la proporción señalada en la norma, y solo se configura cuando la entidad pública del nivel administrativo para el cual fue elegido el candidato celebra un contrato con las personas que financiaron su campaña. La norma dispone lo siguiente:</w:t>
      </w:r>
    </w:p>
    <w:p w14:paraId="3FFB46A9" w14:textId="77777777" w:rsidR="00227B88" w:rsidRPr="00911055" w:rsidRDefault="00227B88" w:rsidP="00227B88">
      <w:pPr>
        <w:spacing w:after="0" w:line="276" w:lineRule="auto"/>
        <w:ind w:firstLine="709"/>
        <w:jc w:val="both"/>
        <w:rPr>
          <w:rFonts w:ascii="Verdana" w:eastAsia="Calibri" w:hAnsi="Verdana" w:cs="Arial"/>
          <w:lang w:val="es-ES_tradnl"/>
        </w:rPr>
      </w:pPr>
    </w:p>
    <w:p w14:paraId="25D28522" w14:textId="77777777" w:rsidR="00227B88" w:rsidRPr="00453762" w:rsidRDefault="00227B88" w:rsidP="00227B88">
      <w:pPr>
        <w:spacing w:after="120" w:line="240" w:lineRule="auto"/>
        <w:ind w:left="709" w:right="709"/>
        <w:jc w:val="both"/>
        <w:rPr>
          <w:rFonts w:ascii="Verdana" w:hAnsi="Verdana" w:cs="Arial"/>
          <w:sz w:val="20"/>
          <w:szCs w:val="20"/>
          <w:lang w:val="es-ES"/>
        </w:rPr>
      </w:pPr>
      <w:r w:rsidRPr="00453762">
        <w:rPr>
          <w:rFonts w:ascii="Verdana" w:hAnsi="Verdana" w:cs="Arial"/>
          <w:sz w:val="20"/>
          <w:szCs w:val="20"/>
          <w:lang w:val="es-ES"/>
        </w:rPr>
        <w:lastRenderedPageBreak/>
        <w:t>“Las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184A249F" w14:textId="77777777" w:rsidR="00227B88" w:rsidRPr="00453762" w:rsidRDefault="00227B88" w:rsidP="00227B88">
      <w:pPr>
        <w:spacing w:after="120" w:line="240" w:lineRule="auto"/>
        <w:ind w:left="709" w:right="709"/>
        <w:jc w:val="both"/>
        <w:rPr>
          <w:rFonts w:ascii="Verdana" w:hAnsi="Verdana" w:cs="Arial"/>
          <w:sz w:val="20"/>
          <w:szCs w:val="20"/>
          <w:lang w:val="es-ES"/>
        </w:rPr>
      </w:pPr>
      <w:r w:rsidRPr="00453762">
        <w:rPr>
          <w:rFonts w:ascii="Verdana" w:hAnsi="Verdana" w:cs="Arial"/>
          <w:sz w:val="20"/>
          <w:szCs w:val="20"/>
          <w:lang w:val="es-ES"/>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6F6BB53C" w14:textId="77777777" w:rsidR="00227B88" w:rsidRPr="00453762" w:rsidRDefault="00227B88" w:rsidP="00227B88">
      <w:pPr>
        <w:spacing w:after="120" w:line="240" w:lineRule="auto"/>
        <w:ind w:left="709" w:right="709"/>
        <w:jc w:val="both"/>
        <w:rPr>
          <w:rFonts w:ascii="Verdana" w:hAnsi="Verdana" w:cs="Arial"/>
          <w:sz w:val="20"/>
          <w:szCs w:val="20"/>
          <w:lang w:val="es-ES"/>
        </w:rPr>
      </w:pPr>
      <w:r w:rsidRPr="00453762">
        <w:rPr>
          <w:rFonts w:ascii="Verdana" w:hAnsi="Verdana" w:cs="Arial"/>
          <w:sz w:val="20"/>
          <w:szCs w:val="20"/>
          <w:lang w:val="es-ES"/>
        </w:rPr>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1214B7F6" w14:textId="77777777" w:rsidR="00227B88" w:rsidRPr="00453762" w:rsidRDefault="00227B88" w:rsidP="00227B88">
      <w:pPr>
        <w:spacing w:after="0" w:line="240" w:lineRule="auto"/>
        <w:ind w:left="709" w:right="709"/>
        <w:jc w:val="both"/>
        <w:rPr>
          <w:rFonts w:ascii="Verdana" w:hAnsi="Verdana" w:cs="Arial"/>
          <w:sz w:val="20"/>
          <w:szCs w:val="20"/>
          <w:lang w:val="es-ES"/>
        </w:rPr>
      </w:pPr>
      <w:r w:rsidRPr="00453762">
        <w:rPr>
          <w:rFonts w:ascii="Verdana" w:hAnsi="Verdana" w:cs="Arial"/>
          <w:sz w:val="20"/>
          <w:szCs w:val="20"/>
          <w:lang w:val="es-ES"/>
        </w:rPr>
        <w:t>La inhabilidad contemplada en esta norma no se aplicará respecto de los contratos de prestación de servicios profesionales”.</w:t>
      </w:r>
    </w:p>
    <w:p w14:paraId="3FE200E7" w14:textId="77777777" w:rsidR="00227B88" w:rsidRPr="00911055" w:rsidRDefault="00227B88" w:rsidP="00227B88">
      <w:pPr>
        <w:spacing w:after="0" w:line="276" w:lineRule="auto"/>
        <w:jc w:val="both"/>
        <w:rPr>
          <w:rFonts w:ascii="Verdana" w:hAnsi="Verdana" w:cs="Arial"/>
          <w:lang w:val="es-ES"/>
        </w:rPr>
      </w:pPr>
    </w:p>
    <w:p w14:paraId="5C498205" w14:textId="77777777" w:rsidR="00227B88" w:rsidRPr="00911055" w:rsidRDefault="00227B88" w:rsidP="00227B88">
      <w:pPr>
        <w:spacing w:after="120" w:line="276" w:lineRule="auto"/>
        <w:jc w:val="both"/>
        <w:rPr>
          <w:rFonts w:ascii="Verdana" w:hAnsi="Verdana" w:cs="Arial"/>
          <w:lang w:val="es-ES"/>
        </w:rPr>
      </w:pPr>
      <w:r w:rsidRPr="00911055">
        <w:rPr>
          <w:rFonts w:ascii="Verdana" w:hAnsi="Verdana" w:cs="Arial"/>
          <w:lang w:val="es-ES"/>
        </w:rPr>
        <w:tab/>
        <w:t>Con el objetivo de frenar la corrupción, la norma tiene un propósito moralizante en el ámbito electoral y contractual. Concretamente se orienta a impedir que las campañas políticas sean inversiones con expectativa de ganancia. En otras palabras, surge de la necesidad de “[…] establecer medidas para impedir las conexiones ilegales entre los particulares y la Administración Pública a través de financiación ilegal de campañas políticas. Para ese efecto, se prohíbe que quienes financien campañas electorales se beneficien de contratos públicos”</w:t>
      </w:r>
      <w:r w:rsidRPr="00911055">
        <w:rPr>
          <w:rStyle w:val="Refdenotaalpie"/>
          <w:rFonts w:ascii="Verdana" w:hAnsi="Verdana" w:cs="Arial"/>
          <w:lang w:val="es-ES"/>
        </w:rPr>
        <w:footnoteReference w:id="23"/>
      </w:r>
      <w:r w:rsidRPr="00911055">
        <w:rPr>
          <w:rFonts w:ascii="Verdana" w:hAnsi="Verdana" w:cs="Arial"/>
          <w:lang w:val="es-ES"/>
        </w:rPr>
        <w:t xml:space="preserve">. Sin embargo, se observan las siguientes limitaciones: i) se refiere a cargos de elección popular, es decir, no aplica a cargos de libre nombramiento y remoción, </w:t>
      </w:r>
      <w:proofErr w:type="spellStart"/>
      <w:r w:rsidRPr="00911055">
        <w:rPr>
          <w:rFonts w:ascii="Verdana" w:hAnsi="Verdana" w:cs="Arial"/>
          <w:lang w:val="es-ES"/>
        </w:rPr>
        <w:t>ii</w:t>
      </w:r>
      <w:proofErr w:type="spellEnd"/>
      <w:r w:rsidRPr="00911055">
        <w:rPr>
          <w:rFonts w:ascii="Verdana" w:hAnsi="Verdana" w:cs="Arial"/>
          <w:lang w:val="es-ES"/>
        </w:rPr>
        <w:t xml:space="preserve">) sólo cubre campañas a la Presidencia, gobernaciones, alcaldías y Congreso, dejando fuera a las elecciones para asambleas departamentales y concejos municipales y </w:t>
      </w:r>
      <w:proofErr w:type="spellStart"/>
      <w:r w:rsidRPr="00911055">
        <w:rPr>
          <w:rFonts w:ascii="Verdana" w:hAnsi="Verdana" w:cs="Arial"/>
          <w:lang w:val="es-ES"/>
        </w:rPr>
        <w:t>iii</w:t>
      </w:r>
      <w:proofErr w:type="spellEnd"/>
      <w:r w:rsidRPr="00911055">
        <w:rPr>
          <w:rFonts w:ascii="Verdana" w:hAnsi="Verdana" w:cs="Arial"/>
          <w:lang w:val="es-ES"/>
        </w:rPr>
        <w:t>) únicamente exceptúa los contratos de prestación de servicios profesionales.</w:t>
      </w:r>
    </w:p>
    <w:p w14:paraId="0B0DED6F" w14:textId="77777777" w:rsidR="00227B88" w:rsidRPr="00911055" w:rsidRDefault="00227B88" w:rsidP="00227B88">
      <w:pPr>
        <w:spacing w:after="120" w:line="276" w:lineRule="auto"/>
        <w:jc w:val="both"/>
        <w:rPr>
          <w:rFonts w:ascii="Verdana" w:hAnsi="Verdana" w:cs="Arial"/>
          <w:lang w:val="es-ES"/>
        </w:rPr>
      </w:pPr>
      <w:r w:rsidRPr="00911055">
        <w:rPr>
          <w:rFonts w:ascii="Verdana" w:hAnsi="Verdana" w:cs="Arial"/>
          <w:lang w:val="es-ES"/>
        </w:rPr>
        <w:tab/>
        <w:t xml:space="preserve">Pese a que la norma dispone que quienes participen en la financiación en las condiciones mencionadas “[…] no podrán celebrar contratos con las entidades públicas […]”, autores como Dávila Vinueza consideran que también abarca “[…] </w:t>
      </w:r>
      <w:r w:rsidRPr="00911055">
        <w:rPr>
          <w:rFonts w:ascii="Verdana" w:hAnsi="Verdana" w:cs="Arial"/>
          <w:lang w:val="es-ES"/>
        </w:rPr>
        <w:lastRenderedPageBreak/>
        <w:t>a pesar de la falta técnica y de precisión, la participación en procesos de selección lo que implica la imposibilidad de presentar ofertas”</w:t>
      </w:r>
      <w:r w:rsidRPr="00911055">
        <w:rPr>
          <w:rStyle w:val="Refdenotaalpie"/>
          <w:rFonts w:ascii="Verdana" w:hAnsi="Verdana" w:cs="Arial"/>
          <w:lang w:val="es-ES"/>
        </w:rPr>
        <w:footnoteReference w:id="24"/>
      </w:r>
      <w:r w:rsidRPr="00911055">
        <w:rPr>
          <w:rFonts w:ascii="Verdana" w:hAnsi="Verdana" w:cs="Arial"/>
          <w:lang w:val="es-ES"/>
        </w:rPr>
        <w:t>. Adicionalmente, aclara que “la prohibición se configura, no respecto de todos los candidatos participantes sino solo en relación con el elegido, pues es ahí en donde se corre el riesgo del favorecimiento con miras a pagar la donación recibida y por eso, la inhabilidad […] comienza a producir efectos desde la posesión del cargo”</w:t>
      </w:r>
      <w:r w:rsidRPr="00911055">
        <w:rPr>
          <w:rStyle w:val="Refdenotaalpie"/>
          <w:rFonts w:ascii="Verdana" w:hAnsi="Verdana" w:cs="Arial"/>
          <w:lang w:val="es-ES"/>
        </w:rPr>
        <w:footnoteReference w:id="25"/>
      </w:r>
      <w:r w:rsidRPr="00911055">
        <w:rPr>
          <w:rFonts w:ascii="Verdana" w:hAnsi="Verdana" w:cs="Arial"/>
          <w:lang w:val="es-ES"/>
        </w:rPr>
        <w:t>.</w:t>
      </w:r>
    </w:p>
    <w:p w14:paraId="305A7937" w14:textId="77777777" w:rsidR="00227B88" w:rsidRPr="00911055" w:rsidRDefault="00227B88" w:rsidP="00227B88">
      <w:pPr>
        <w:spacing w:after="120" w:line="276" w:lineRule="auto"/>
        <w:jc w:val="both"/>
        <w:rPr>
          <w:rFonts w:ascii="Verdana" w:hAnsi="Verdana" w:cs="Arial"/>
          <w:lang w:val="es-ES"/>
        </w:rPr>
      </w:pPr>
      <w:r w:rsidRPr="00911055">
        <w:rPr>
          <w:rFonts w:ascii="Verdana" w:hAnsi="Verdana" w:cs="Arial"/>
          <w:lang w:val="es-ES"/>
        </w:rPr>
        <w:tab/>
        <w:t>Para su aplicación de la causal, el artículo 109 constitucional dispone que “[…] se podrá limitar el monto de los gastos que los partidos, movimientos, grupos significativos de ciudadanos o candidatos puedan realizar en las campañas electorales, así como la máxima cuantía de las contribuciones privadas, de acuerdo con la ley” –inciso 4–. Por ello, “[…] la violación de los topes máximos de financiación de las campañas, debidamente comprobada, será sancionada con la pérdida de investidura o del cargo […]” –inciso 7–. De esta manera, el inciso segundo del artículo 14 de la Ley 130 de 1994 dispone que “Ningún candidato a cargo de elección popular podrá invertir en la respectiva campaña suma que sobrepase la que fije el Consejo Nacional Electoral, bien sea de su propio peculio, del de su familia o de contribuciones de particulares […]”.</w:t>
      </w:r>
    </w:p>
    <w:p w14:paraId="19E90E2C" w14:textId="77777777" w:rsidR="00227B88" w:rsidRPr="00911055" w:rsidRDefault="00227B88" w:rsidP="00227B88">
      <w:pPr>
        <w:spacing w:after="0" w:line="276" w:lineRule="auto"/>
        <w:jc w:val="both"/>
        <w:rPr>
          <w:rFonts w:ascii="Verdana" w:hAnsi="Verdana" w:cs="Arial"/>
          <w:lang w:val="es-ES"/>
        </w:rPr>
      </w:pPr>
      <w:r w:rsidRPr="00911055">
        <w:rPr>
          <w:rFonts w:ascii="Verdana" w:hAnsi="Verdana" w:cs="Arial"/>
          <w:lang w:val="es-ES"/>
        </w:rPr>
        <w:tab/>
        <w:t xml:space="preserve">Conforme al artículo 23 de la Ley 1475 de 2011, se reitera que “Ningún partido, movimiento, grupo significativo de ciudadanos, candidato o campaña, podrá obtener créditos ni recaudar recursos originados en fuentes de financiación privada, por más del valor total de gastos que se pueden realizar en la respectiva campaña […]”. Salvo que se trate de recursos propios, del cónyuge, compañero permanente, parientes en el grado que autoriza la ley o recursos provenientes de créditos, “[…] Tampoco podrá recaudar contribuciones y donaciones individuales superiores al 10% de dicho valor total”. Para estos efectos, el inciso primero del artículo 24 </w:t>
      </w:r>
      <w:r w:rsidRPr="00911055">
        <w:rPr>
          <w:rFonts w:ascii="Verdana" w:hAnsi="Verdana" w:cs="Arial"/>
          <w:i/>
          <w:iCs/>
          <w:lang w:val="es-ES"/>
        </w:rPr>
        <w:t>ibidem</w:t>
      </w:r>
      <w:r w:rsidRPr="00911055">
        <w:rPr>
          <w:rFonts w:ascii="Verdana" w:hAnsi="Verdana" w:cs="Arial"/>
          <w:lang w:val="es-ES"/>
        </w:rPr>
        <w:t xml:space="preserve"> precisa que “Los límites de gastos de las campañas electorales a los distintos cargos y corporaciones de elección popular serán fijados por el Consejo Nacional Electoral en el mes de enero de cada año, teniendo en cuenta los costos reales de las campañas, el correspondiente censo electoral y la apropiación presupuestal para la financiación estatal de las mismas”.</w:t>
      </w:r>
    </w:p>
    <w:p w14:paraId="1CD163A3" w14:textId="77777777" w:rsidR="00227B88" w:rsidRPr="00911055" w:rsidRDefault="00227B88" w:rsidP="00227B88">
      <w:pPr>
        <w:spacing w:after="0" w:line="276" w:lineRule="auto"/>
        <w:jc w:val="both"/>
        <w:rPr>
          <w:rFonts w:ascii="Verdana" w:eastAsia="Calibri" w:hAnsi="Verdana" w:cs="Arial"/>
        </w:rPr>
      </w:pPr>
    </w:p>
    <w:p w14:paraId="7AD647CF" w14:textId="71736591" w:rsidR="006F4EF3" w:rsidRPr="00911055" w:rsidRDefault="006F4EF3" w:rsidP="006F4EF3">
      <w:pPr>
        <w:spacing w:after="120" w:line="276" w:lineRule="auto"/>
        <w:jc w:val="both"/>
        <w:rPr>
          <w:rFonts w:ascii="Verdana" w:hAnsi="Verdana" w:cs="Arial"/>
          <w:color w:val="000000" w:themeColor="text1"/>
        </w:rPr>
      </w:pPr>
      <w:r>
        <w:rPr>
          <w:rFonts w:ascii="Verdana" w:eastAsia="Calibri" w:hAnsi="Verdana" w:cs="Arial"/>
          <w:color w:val="000000" w:themeColor="text1"/>
          <w:lang w:val="es-ES_tradnl"/>
        </w:rPr>
        <w:lastRenderedPageBreak/>
        <w:t>x</w:t>
      </w:r>
      <w:r w:rsidR="005C51CD">
        <w:rPr>
          <w:rFonts w:ascii="Verdana" w:eastAsia="Calibri" w:hAnsi="Verdana" w:cs="Arial"/>
          <w:color w:val="000000" w:themeColor="text1"/>
          <w:lang w:val="es-ES_tradnl"/>
        </w:rPr>
        <w:t>i</w:t>
      </w:r>
      <w:r>
        <w:rPr>
          <w:rFonts w:ascii="Verdana" w:eastAsia="Calibri" w:hAnsi="Verdana" w:cs="Arial"/>
          <w:color w:val="000000" w:themeColor="text1"/>
          <w:lang w:val="es-ES_tradnl"/>
        </w:rPr>
        <w:t xml:space="preserve">. Lo anterior resulta fundamental ya que, </w:t>
      </w:r>
      <w:r>
        <w:rPr>
          <w:rFonts w:ascii="Verdana" w:eastAsia="Aptos" w:hAnsi="Verdana" w:cs="Times New Roman"/>
          <w:kern w:val="2"/>
          <w14:ligatures w14:val="standardContextual"/>
        </w:rPr>
        <w:t>si se constata</w:t>
      </w:r>
      <w:r w:rsidRPr="00911055">
        <w:rPr>
          <w:rFonts w:ascii="Verdana" w:eastAsia="Aptos" w:hAnsi="Verdana" w:cs="Times New Roman"/>
          <w:kern w:val="2"/>
          <w14:ligatures w14:val="standardContextual"/>
        </w:rPr>
        <w:t xml:space="preserve"> </w:t>
      </w:r>
      <w:r w:rsidR="003E618F">
        <w:rPr>
          <w:rFonts w:ascii="Verdana" w:eastAsia="Aptos" w:hAnsi="Verdana" w:cs="Times New Roman"/>
          <w:kern w:val="2"/>
          <w14:ligatures w14:val="standardContextual"/>
        </w:rPr>
        <w:t xml:space="preserve">la existencia de </w:t>
      </w:r>
      <w:r>
        <w:rPr>
          <w:rFonts w:ascii="Verdana" w:eastAsia="Calibri" w:hAnsi="Verdana" w:cs="Arial"/>
          <w:color w:val="000000" w:themeColor="text1"/>
        </w:rPr>
        <w:t xml:space="preserve">una </w:t>
      </w:r>
      <w:r w:rsidRPr="00911055">
        <w:rPr>
          <w:rFonts w:ascii="Verdana" w:eastAsia="Calibri" w:hAnsi="Verdana" w:cs="Arial"/>
          <w:color w:val="000000" w:themeColor="text1"/>
        </w:rPr>
        <w:t xml:space="preserve">situación control tipificada como una causal de inhabilidad, procede el rechazo de la oferta, pues ésta afecta la capacidad jurídica del interesado. </w:t>
      </w:r>
      <w:r w:rsidRPr="00911055">
        <w:rPr>
          <w:rFonts w:ascii="Verdana" w:hAnsi="Verdana" w:cs="Arial"/>
          <w:color w:val="000000" w:themeColor="text1"/>
        </w:rPr>
        <w:t xml:space="preserve">Por otra parte, si tienen carácter sobreviniente, es necesario tener en cuenta que el ordenamiento jurídico trata de manera distinta al oferente, al adjudicatario y al contratista. </w:t>
      </w:r>
      <w:r w:rsidRPr="00911055">
        <w:rPr>
          <w:rFonts w:ascii="Verdana" w:hAnsi="Verdana" w:cs="Arial"/>
          <w:i/>
          <w:iCs/>
          <w:color w:val="000000" w:themeColor="text1"/>
        </w:rPr>
        <w:t>Respecto al oferente</w:t>
      </w:r>
      <w:r w:rsidRPr="00911055">
        <w:rPr>
          <w:rFonts w:ascii="Verdana" w:hAnsi="Verdana" w:cs="Arial"/>
          <w:color w:val="000000" w:themeColor="text1"/>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sidRPr="00911055">
        <w:rPr>
          <w:rFonts w:ascii="Verdana" w:hAnsi="Verdana" w:cs="Arial"/>
          <w:i/>
          <w:iCs/>
          <w:color w:val="000000" w:themeColor="text1"/>
        </w:rPr>
        <w:t>Respecto al adjudicatario</w:t>
      </w:r>
      <w:r w:rsidRPr="00911055">
        <w:rPr>
          <w:rFonts w:ascii="Verdana" w:hAnsi="Verdana" w:cs="Arial"/>
          <w:color w:val="000000" w:themeColor="text1"/>
        </w:rPr>
        <w:t xml:space="preserve">, el inciso 3 del artículo 9 de la Ley 1150 de 2007 prescribe lo siguiente: “[…] si dentro del plazo comprendido entre la adjudicación del contrato y la suscripción </w:t>
      </w:r>
      <w:proofErr w:type="gramStart"/>
      <w:r w:rsidRPr="00911055">
        <w:rPr>
          <w:rFonts w:ascii="Verdana" w:hAnsi="Verdana" w:cs="Arial"/>
          <w:color w:val="000000" w:themeColor="text1"/>
        </w:rPr>
        <w:t>del mismo</w:t>
      </w:r>
      <w:proofErr w:type="gramEnd"/>
      <w:r w:rsidRPr="00911055">
        <w:rPr>
          <w:rFonts w:ascii="Verdana" w:hAnsi="Verdana" w:cs="Arial"/>
          <w:color w:val="000000" w:themeColor="text1"/>
        </w:rPr>
        <w:t>, sobreviene una inhabilidad o incompatibilidad […] este podrá ser revocado […]”.</w:t>
      </w:r>
    </w:p>
    <w:p w14:paraId="098DC158" w14:textId="77777777" w:rsidR="006F4EF3" w:rsidRPr="00911055" w:rsidRDefault="006F4EF3" w:rsidP="006F4EF3">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Sólo con el cumplimiento de los requisitos de los artículos 39 y 41 del Estatuto General de Contratación Pública existe el contrato estatal, de manera que tienen carácter solemne y, por tanto, requieren formalidad escrita. Por ello, </w:t>
      </w:r>
      <w:r w:rsidRPr="00911055">
        <w:rPr>
          <w:rFonts w:ascii="Verdana" w:hAnsi="Verdana" w:cs="Arial"/>
          <w:i/>
          <w:iCs/>
          <w:color w:val="000000" w:themeColor="text1"/>
        </w:rPr>
        <w:t>respecto al contratista</w:t>
      </w:r>
      <w:r w:rsidRPr="00911055">
        <w:rPr>
          <w:rFonts w:ascii="Verdana" w:hAnsi="Verdana" w:cs="Arial"/>
          <w:color w:val="000000" w:themeColor="text1"/>
        </w:rPr>
        <w:t xml:space="preserve">, el inciso primero del artículo 9 de la Ley 80 de 1993 dispone que “Si llegare a sobrevenir inhabilidad o incompatibilidad en el contratista, este cederá el contrato previa autorización escrita de la entidad contratante o, si ello no fuere posible, renunciará a su ejecución”. El inciso tercero </w:t>
      </w:r>
      <w:r w:rsidRPr="00911055">
        <w:rPr>
          <w:rFonts w:ascii="Verdana" w:hAnsi="Verdana" w:cs="Arial"/>
          <w:i/>
          <w:iCs/>
          <w:color w:val="000000" w:themeColor="text1"/>
        </w:rPr>
        <w:t>ibidem</w:t>
      </w:r>
      <w:r w:rsidRPr="00911055">
        <w:rPr>
          <w:rFonts w:ascii="Verdana" w:hAnsi="Verdana" w:cs="Arial"/>
          <w:color w:val="000000" w:themeColor="text1"/>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 </w:t>
      </w:r>
    </w:p>
    <w:p w14:paraId="1E3F0B3D" w14:textId="77777777" w:rsidR="006F4EF3" w:rsidRPr="00911055" w:rsidRDefault="006F4EF3" w:rsidP="006F4EF3">
      <w:pPr>
        <w:spacing w:after="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Para los casos en que la situación no derive en inhabilidad, el literal a) del artículo 2.1.4.3.2.1 del Decreto 1081 de 2015, adicionado por el artículo 1 del Decreto 1600 de 2024, dispone que si “[…]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  </w:t>
      </w:r>
    </w:p>
    <w:p w14:paraId="75F72CDA" w14:textId="739ED476" w:rsidR="00227B88" w:rsidRPr="003F1FA1" w:rsidRDefault="00227B88" w:rsidP="00227B88">
      <w:pPr>
        <w:spacing w:after="0" w:line="276" w:lineRule="auto"/>
        <w:jc w:val="both"/>
        <w:rPr>
          <w:rFonts w:ascii="Verdana" w:eastAsia="Calibri" w:hAnsi="Verdana" w:cs="Arial"/>
          <w:color w:val="000000" w:themeColor="text1"/>
        </w:rPr>
      </w:pPr>
    </w:p>
    <w:p w14:paraId="20C1B05F" w14:textId="28692E18" w:rsidR="004909C5" w:rsidRPr="004909C5" w:rsidRDefault="003E618F" w:rsidP="004909C5">
      <w:pPr>
        <w:spacing w:after="120" w:line="276" w:lineRule="auto"/>
        <w:ind w:right="51"/>
        <w:jc w:val="both"/>
        <w:rPr>
          <w:rFonts w:ascii="Verdana" w:hAnsi="Verdana" w:cs="Arial"/>
        </w:rPr>
      </w:pPr>
      <w:proofErr w:type="spellStart"/>
      <w:r>
        <w:rPr>
          <w:rFonts w:ascii="Verdana" w:eastAsia="Calibri" w:hAnsi="Verdana" w:cs="Arial"/>
          <w:lang w:val="es-ES_tradnl"/>
        </w:rPr>
        <w:lastRenderedPageBreak/>
        <w:t>x</w:t>
      </w:r>
      <w:r w:rsidR="005C51CD">
        <w:rPr>
          <w:rFonts w:ascii="Verdana" w:eastAsia="Calibri" w:hAnsi="Verdana" w:cs="Arial"/>
          <w:lang w:val="es-ES_tradnl"/>
        </w:rPr>
        <w:t>ii</w:t>
      </w:r>
      <w:proofErr w:type="spellEnd"/>
      <w:r>
        <w:rPr>
          <w:rFonts w:ascii="Verdana" w:eastAsia="Calibri" w:hAnsi="Verdana" w:cs="Arial"/>
          <w:lang w:val="es-ES_tradnl"/>
        </w:rPr>
        <w:t xml:space="preserve">. </w:t>
      </w:r>
      <w:r w:rsidR="004909C5" w:rsidRPr="004909C5">
        <w:rPr>
          <w:rFonts w:ascii="Verdana" w:hAnsi="Verdana" w:cs="Arial"/>
        </w:rPr>
        <w:t xml:space="preserve">En síntesis, la información relativa a las situaciones de control constituye un elemento de juicio relevante para la verificación de la capacidad jurídica dentro de los procesos de contratación estatal. Si bien dicha información no configura, en estricto sentido, un requisito habilitante autónomo, sí resulta determinante para efectos de constatar la inexistencia de inhabilidades, en particular aquellas previstas en los literales j) y k) del numeral 8.1 del Estatuto General de Contratación de la Administración Pública. </w:t>
      </w:r>
    </w:p>
    <w:p w14:paraId="4197E322" w14:textId="77777777" w:rsidR="004909C5" w:rsidRPr="004909C5" w:rsidRDefault="004909C5" w:rsidP="003F1FA1">
      <w:pPr>
        <w:spacing w:after="120" w:line="276" w:lineRule="auto"/>
        <w:ind w:right="51" w:firstLine="708"/>
        <w:jc w:val="both"/>
        <w:rPr>
          <w:rFonts w:ascii="Verdana" w:hAnsi="Verdana" w:cs="Arial"/>
        </w:rPr>
      </w:pPr>
      <w:r w:rsidRPr="004909C5">
        <w:rPr>
          <w:rFonts w:ascii="Verdana" w:hAnsi="Verdana" w:cs="Arial"/>
        </w:rPr>
        <w:t>Bajo este entendimiento, si bien el deber de verificación de las situaciones de control previsto en el literal a) del artículo 2.1.4.3.2.1 del Decreto 1081 de 2015 —adicionado por el artículo 1 del Decreto 1600 de 2024— es de aplicación obligatoria únicamente para las entidades estatales, entidades y empresas del Estado del orden nacional que integran la Rama Ejecutiva del Poder Público, ello no exonera a las demás entidades estatales de la obligación de verificar la eventual existencia de situaciones de control respecto de los proponentes en sus procesos de contratación. Lo anterior, en la medida en que, con independencia del ámbito subjetivo de aplicación de la citada disposición reglamentaria, la información sobre situaciones de control constituye un insumo indispensable para establecer que el oferente no se encuentra incurso en inhabilidades como las contempladas en los literales j) y k) del numeral 8.1 del EGCAP, ni en eventuales conflictos de interés definidos para el respectivo proceso de contratación.</w:t>
      </w:r>
    </w:p>
    <w:p w14:paraId="4EBC55C5" w14:textId="231B13AB" w:rsidR="00645197" w:rsidRPr="00E24FB2" w:rsidRDefault="00793122" w:rsidP="00793122">
      <w:pPr>
        <w:spacing w:after="120" w:line="276" w:lineRule="auto"/>
        <w:jc w:val="both"/>
        <w:rPr>
          <w:rFonts w:ascii="Verdana" w:eastAsia="Calibri" w:hAnsi="Verdana" w:cs="Arial"/>
          <w:bCs/>
          <w:color w:val="000000" w:themeColor="text1"/>
        </w:rPr>
      </w:pPr>
      <w:proofErr w:type="spellStart"/>
      <w:r>
        <w:rPr>
          <w:rFonts w:ascii="Verdana" w:eastAsia="Calibri" w:hAnsi="Verdana" w:cs="Arial"/>
        </w:rPr>
        <w:t>x</w:t>
      </w:r>
      <w:r w:rsidR="005C51CD">
        <w:rPr>
          <w:rFonts w:ascii="Verdana" w:eastAsia="Calibri" w:hAnsi="Verdana" w:cs="Arial"/>
        </w:rPr>
        <w:t>ii</w:t>
      </w:r>
      <w:r>
        <w:rPr>
          <w:rFonts w:ascii="Verdana" w:eastAsia="Calibri" w:hAnsi="Verdana" w:cs="Arial"/>
        </w:rPr>
        <w:t>i</w:t>
      </w:r>
      <w:proofErr w:type="spellEnd"/>
      <w:r>
        <w:rPr>
          <w:rFonts w:ascii="Verdana" w:eastAsia="Calibri" w:hAnsi="Verdana" w:cs="Arial"/>
        </w:rPr>
        <w:t xml:space="preserve">. </w:t>
      </w:r>
      <w:r w:rsidR="00645197"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A334F05" w14:textId="77777777" w:rsidR="00645197" w:rsidRPr="00185EE9" w:rsidRDefault="00645197" w:rsidP="00645197">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 xml:space="preserve">el tema objeto de consulta. Al tratarse de un análisis que debe realizarse en el procedimiento contractual específico, la Agencia no puede definir un criterio universal y absoluto por vía </w:t>
      </w:r>
      <w:r w:rsidRPr="00E853DE">
        <w:rPr>
          <w:rFonts w:ascii="Verdana" w:eastAsia="Calibri" w:hAnsi="Verdana" w:cs="Arial"/>
          <w:bCs/>
          <w:color w:val="000000" w:themeColor="text1"/>
        </w:rPr>
        <w:lastRenderedPageBreak/>
        <w:t>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0D6B2E3D" w14:textId="77777777" w:rsidR="00645197" w:rsidRPr="00182C89" w:rsidRDefault="00645197" w:rsidP="00645197">
      <w:pPr>
        <w:tabs>
          <w:tab w:val="left" w:pos="709"/>
        </w:tabs>
        <w:spacing w:after="0" w:line="276" w:lineRule="auto"/>
        <w:jc w:val="both"/>
        <w:rPr>
          <w:rFonts w:ascii="Verdana" w:eastAsia="Calibri" w:hAnsi="Verdana" w:cs="Arial"/>
          <w:color w:val="000000" w:themeColor="text1"/>
        </w:rPr>
      </w:pPr>
    </w:p>
    <w:p w14:paraId="63D98F35" w14:textId="77777777" w:rsidR="00645197" w:rsidRPr="00593A5F" w:rsidRDefault="00645197" w:rsidP="006451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C57D52C" w14:textId="77777777" w:rsidR="00645197" w:rsidRPr="00593A5F" w:rsidRDefault="00645197" w:rsidP="0064519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45197" w:rsidRPr="002407CE" w14:paraId="274E68D3" w14:textId="77777777" w:rsidTr="003533A3">
        <w:trPr>
          <w:trHeight w:val="870"/>
          <w:jc w:val="center"/>
        </w:trPr>
        <w:tc>
          <w:tcPr>
            <w:tcW w:w="8647" w:type="dxa"/>
          </w:tcPr>
          <w:p w14:paraId="308D9471" w14:textId="77777777" w:rsidR="005248B3" w:rsidRPr="00911055" w:rsidRDefault="005248B3" w:rsidP="00461F89">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11055">
              <w:rPr>
                <w:rFonts w:ascii="Verdana" w:hAnsi="Verdana" w:cs="Arial"/>
              </w:rPr>
              <w:t xml:space="preserve">Constitución Política de 1991, artículos </w:t>
            </w:r>
            <w:r>
              <w:rPr>
                <w:rFonts w:ascii="Verdana" w:hAnsi="Verdana" w:cs="Arial"/>
              </w:rPr>
              <w:t xml:space="preserve">84, 109, </w:t>
            </w:r>
            <w:r w:rsidRPr="00911055">
              <w:rPr>
                <w:rFonts w:ascii="Verdana" w:hAnsi="Verdana" w:cs="Arial"/>
              </w:rPr>
              <w:t>150, 209, 267 y 355.</w:t>
            </w:r>
          </w:p>
          <w:p w14:paraId="42847942" w14:textId="77777777" w:rsidR="005248B3" w:rsidRPr="00911055" w:rsidRDefault="005248B3" w:rsidP="00461F89">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11055">
              <w:rPr>
                <w:rFonts w:ascii="Verdana" w:hAnsi="Verdana" w:cs="Arial"/>
              </w:rPr>
              <w:t>Ley 80 de 1993, artículo</w:t>
            </w:r>
            <w:r>
              <w:rPr>
                <w:rFonts w:ascii="Verdana" w:hAnsi="Verdana" w:cs="Arial"/>
              </w:rPr>
              <w:t>s</w:t>
            </w:r>
            <w:r w:rsidRPr="00911055">
              <w:rPr>
                <w:rFonts w:ascii="Verdana" w:hAnsi="Verdana" w:cs="Arial"/>
              </w:rPr>
              <w:t xml:space="preserve"> 8</w:t>
            </w:r>
            <w:r>
              <w:rPr>
                <w:rFonts w:ascii="Verdana" w:hAnsi="Verdana" w:cs="Arial"/>
              </w:rPr>
              <w:t>, 9, 24, 25, 26, 30, 39, 41 y 77</w:t>
            </w:r>
            <w:r w:rsidRPr="00911055">
              <w:rPr>
                <w:rFonts w:ascii="Verdana" w:hAnsi="Verdana" w:cs="Arial"/>
              </w:rPr>
              <w:t>.</w:t>
            </w:r>
          </w:p>
          <w:p w14:paraId="66AFEC0A" w14:textId="77777777" w:rsidR="00645197" w:rsidRDefault="00645197" w:rsidP="00461F89">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lang w:val="es-ES_tradnl"/>
              </w:rPr>
            </w:pPr>
            <w:r>
              <w:rPr>
                <w:rFonts w:ascii="Verdana" w:hAnsi="Verdana" w:cs="Arial"/>
                <w:color w:val="000000" w:themeColor="text1"/>
                <w:lang w:val="es-ES_tradnl"/>
              </w:rPr>
              <w:t>Ley 489 de 1998, artículo 3.</w:t>
            </w:r>
          </w:p>
          <w:p w14:paraId="05FF3086" w14:textId="77777777" w:rsidR="00645197" w:rsidRDefault="00645197" w:rsidP="00461F89">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lang w:val="es-ES_tradnl"/>
              </w:rPr>
            </w:pPr>
            <w:r>
              <w:rPr>
                <w:rFonts w:ascii="Verdana" w:hAnsi="Verdana" w:cs="Arial"/>
                <w:color w:val="000000" w:themeColor="text1"/>
                <w:lang w:val="es-ES_tradnl"/>
              </w:rPr>
              <w:t>Ley 1150 de 2007, artículos 5 y 6.</w:t>
            </w:r>
          </w:p>
          <w:p w14:paraId="29F545F2" w14:textId="31E182D0" w:rsidR="00645197" w:rsidRDefault="00645197" w:rsidP="00461F89">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lang w:val="es-ES_tradnl"/>
              </w:rPr>
            </w:pPr>
            <w:r>
              <w:rPr>
                <w:rFonts w:ascii="Verdana" w:hAnsi="Verdana" w:cs="Arial"/>
                <w:color w:val="000000" w:themeColor="text1"/>
                <w:lang w:val="es-ES_tradnl"/>
              </w:rPr>
              <w:t>Ley 1447 de 2011, artículo</w:t>
            </w:r>
            <w:r w:rsidR="005248B3">
              <w:rPr>
                <w:rFonts w:ascii="Verdana" w:hAnsi="Verdana" w:cs="Arial"/>
                <w:color w:val="000000" w:themeColor="text1"/>
                <w:lang w:val="es-ES_tradnl"/>
              </w:rPr>
              <w:t>s 3 y</w:t>
            </w:r>
            <w:r>
              <w:rPr>
                <w:rFonts w:ascii="Verdana" w:hAnsi="Verdana" w:cs="Arial"/>
                <w:color w:val="000000" w:themeColor="text1"/>
                <w:lang w:val="es-ES_tradnl"/>
              </w:rPr>
              <w:t xml:space="preserve"> 13.</w:t>
            </w:r>
          </w:p>
          <w:p w14:paraId="75302902" w14:textId="77777777" w:rsidR="00D84752" w:rsidRDefault="00D84752" w:rsidP="00461F89">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11055">
              <w:rPr>
                <w:rFonts w:ascii="Verdana" w:hAnsi="Verdana" w:cs="Arial"/>
              </w:rPr>
              <w:t>Ley 1475 de 2011, artículos 23 y 24.</w:t>
            </w:r>
          </w:p>
          <w:p w14:paraId="1886A425" w14:textId="77777777" w:rsidR="00461F89" w:rsidRPr="00474A65" w:rsidRDefault="00461F89" w:rsidP="00461F89">
            <w:pPr>
              <w:pStyle w:val="Prrafodelista"/>
              <w:widowControl w:val="0"/>
              <w:numPr>
                <w:ilvl w:val="0"/>
                <w:numId w:val="17"/>
              </w:numPr>
              <w:autoSpaceDE w:val="0"/>
              <w:autoSpaceDN w:val="0"/>
              <w:spacing w:line="360" w:lineRule="auto"/>
              <w:jc w:val="both"/>
              <w:rPr>
                <w:rFonts w:ascii="Verdana" w:hAnsi="Verdana" w:cs="Arial"/>
                <w:lang w:val="es-CO"/>
              </w:rPr>
            </w:pPr>
            <w:r w:rsidRPr="00474A65">
              <w:rPr>
                <w:rFonts w:ascii="Verdana" w:eastAsia="Calibri" w:hAnsi="Verdana" w:cs="Arial"/>
                <w:bCs/>
                <w:iCs/>
                <w:lang w:val="es-CO" w:eastAsia="es-ES_tradnl"/>
              </w:rPr>
              <w:t xml:space="preserve">Ley 152 de 1994. Artículo 52. </w:t>
            </w:r>
          </w:p>
          <w:p w14:paraId="2AEA3E65" w14:textId="0053D2D9" w:rsidR="00461F89" w:rsidRPr="00911055" w:rsidRDefault="00461F89" w:rsidP="00461F89">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474A65">
              <w:rPr>
                <w:rFonts w:ascii="Verdana" w:eastAsia="Calibri" w:hAnsi="Verdana" w:cs="Arial"/>
                <w:bCs/>
                <w:iCs/>
                <w:lang w:val="es-CO" w:eastAsia="es-ES_tradnl"/>
              </w:rPr>
              <w:t>Ley 2294 de 2023. Artículo 200.</w:t>
            </w:r>
          </w:p>
          <w:p w14:paraId="6B091AB5" w14:textId="77777777" w:rsidR="00414D07" w:rsidRPr="005375C7" w:rsidRDefault="00414D07" w:rsidP="00461F89">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11055">
              <w:rPr>
                <w:rFonts w:ascii="Verdana" w:eastAsia="Calibri" w:hAnsi="Verdana" w:cs="Arial"/>
                <w:color w:val="000000" w:themeColor="text1"/>
              </w:rPr>
              <w:t xml:space="preserve">Decreto </w:t>
            </w:r>
            <w:r w:rsidRPr="00911055">
              <w:rPr>
                <w:rFonts w:ascii="Verdana" w:eastAsia="Calibri" w:hAnsi="Verdana" w:cs="Arial"/>
              </w:rPr>
              <w:t>1081 de 2015</w:t>
            </w:r>
            <w:r>
              <w:rPr>
                <w:rFonts w:ascii="Verdana" w:eastAsia="Calibri" w:hAnsi="Verdana" w:cs="Arial"/>
              </w:rPr>
              <w:t xml:space="preserve">, </w:t>
            </w:r>
            <w:r w:rsidRPr="00911055">
              <w:rPr>
                <w:rFonts w:ascii="Verdana" w:eastAsia="Calibri" w:hAnsi="Verdana" w:cs="Arial"/>
                <w:color w:val="000000" w:themeColor="text1"/>
              </w:rPr>
              <w:t>artículo 2.1.4.3.2.1</w:t>
            </w:r>
            <w:r>
              <w:rPr>
                <w:rFonts w:ascii="Verdana" w:eastAsia="Calibri" w:hAnsi="Verdana" w:cs="Arial"/>
                <w:color w:val="000000" w:themeColor="text1"/>
              </w:rPr>
              <w:t>.</w:t>
            </w:r>
          </w:p>
          <w:p w14:paraId="5752934E" w14:textId="77777777" w:rsidR="00414D07" w:rsidRPr="00911055" w:rsidRDefault="00414D07" w:rsidP="00461F89">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eastAsia="Calibri" w:hAnsi="Verdana" w:cs="Arial"/>
                <w:color w:val="000000" w:themeColor="text1"/>
              </w:rPr>
              <w:t xml:space="preserve">Decreto 1082 de 2015, artículos </w:t>
            </w:r>
            <w:r w:rsidRPr="00911055">
              <w:rPr>
                <w:rFonts w:ascii="Verdana" w:hAnsi="Verdana" w:cs="Arial"/>
              </w:rPr>
              <w:t>2.2.1.1.1.5.2</w:t>
            </w:r>
            <w:r>
              <w:rPr>
                <w:rFonts w:ascii="Verdana" w:hAnsi="Verdana" w:cs="Arial"/>
              </w:rPr>
              <w:t xml:space="preserve">, </w:t>
            </w:r>
            <w:r w:rsidRPr="00911055">
              <w:rPr>
                <w:rFonts w:ascii="Verdana" w:eastAsia="Calibri" w:hAnsi="Verdana" w:cs="Arial"/>
                <w:color w:val="000000" w:themeColor="text1"/>
                <w:lang w:val="es-ES_tradnl"/>
              </w:rPr>
              <w:t>2.2.1.1.2.2.3</w:t>
            </w:r>
            <w:r>
              <w:rPr>
                <w:rFonts w:ascii="Verdana" w:eastAsia="Calibri" w:hAnsi="Verdana" w:cs="Arial"/>
                <w:color w:val="000000" w:themeColor="text1"/>
                <w:lang w:val="es-ES_tradnl"/>
              </w:rPr>
              <w:t xml:space="preserve">, </w:t>
            </w:r>
            <w:r w:rsidRPr="00911055">
              <w:rPr>
                <w:rFonts w:ascii="Verdana" w:eastAsia="Aptos" w:hAnsi="Verdana" w:cs="Times New Roman"/>
                <w:kern w:val="2"/>
                <w14:ligatures w14:val="standardContextual"/>
              </w:rPr>
              <w:t>2.2.1.2.1.1.2</w:t>
            </w:r>
            <w:r>
              <w:rPr>
                <w:rFonts w:ascii="Verdana" w:eastAsia="Aptos" w:hAnsi="Verdana" w:cs="Times New Roman"/>
                <w:kern w:val="2"/>
                <w14:ligatures w14:val="standardContextual"/>
              </w:rPr>
              <w:t xml:space="preserve"> y </w:t>
            </w:r>
            <w:r w:rsidRPr="00911055">
              <w:rPr>
                <w:rFonts w:ascii="Verdana" w:eastAsia="Aptos" w:hAnsi="Verdana" w:cs="Times New Roman"/>
                <w:kern w:val="2"/>
                <w14:ligatures w14:val="standardContextual"/>
              </w:rPr>
              <w:t>2.2.1.2.1.2.6</w:t>
            </w:r>
            <w:r>
              <w:rPr>
                <w:rFonts w:ascii="Verdana" w:eastAsia="Aptos" w:hAnsi="Verdana" w:cs="Times New Roman"/>
                <w:kern w:val="2"/>
                <w14:ligatures w14:val="standardContextual"/>
              </w:rPr>
              <w:t>.</w:t>
            </w:r>
          </w:p>
          <w:p w14:paraId="15E9F36D" w14:textId="77777777" w:rsidR="00414D07" w:rsidRPr="007D795F" w:rsidRDefault="00414D07" w:rsidP="00461F89">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lang w:val="es-ES_tradnl"/>
              </w:rPr>
            </w:pPr>
            <w:r w:rsidRPr="00911055">
              <w:rPr>
                <w:rFonts w:ascii="Verdana" w:hAnsi="Verdana" w:cs="Arial"/>
              </w:rPr>
              <w:t>Decreto 1600 de 2024, artículo</w:t>
            </w:r>
            <w:r>
              <w:rPr>
                <w:rFonts w:ascii="Verdana" w:hAnsi="Verdana" w:cs="Arial"/>
              </w:rPr>
              <w:t xml:space="preserve"> </w:t>
            </w:r>
            <w:r>
              <w:rPr>
                <w:rFonts w:ascii="Verdana" w:eastAsia="Calibri" w:hAnsi="Verdana" w:cs="Arial"/>
                <w:lang w:val="es-ES_tradnl"/>
              </w:rPr>
              <w:t>1</w:t>
            </w:r>
            <w:r w:rsidRPr="00911055">
              <w:rPr>
                <w:rFonts w:ascii="Verdana" w:hAnsi="Verdana" w:cs="Arial"/>
              </w:rPr>
              <w:t>.</w:t>
            </w:r>
          </w:p>
          <w:p w14:paraId="27BA0B40" w14:textId="700E2E0A" w:rsidR="00645197" w:rsidRPr="00FF09AA" w:rsidRDefault="00414D07" w:rsidP="00461F89">
            <w:pPr>
              <w:pStyle w:val="Prrafodelista"/>
              <w:widowControl w:val="0"/>
              <w:numPr>
                <w:ilvl w:val="0"/>
                <w:numId w:val="17"/>
              </w:numPr>
              <w:autoSpaceDE w:val="0"/>
              <w:autoSpaceDN w:val="0"/>
              <w:spacing w:line="276" w:lineRule="auto"/>
              <w:contextualSpacing w:val="0"/>
              <w:jc w:val="both"/>
              <w:rPr>
                <w:rFonts w:ascii="Verdana" w:hAnsi="Verdana" w:cs="Arial"/>
                <w:color w:val="000000" w:themeColor="text1"/>
                <w:lang w:val="es-ES_tradnl"/>
              </w:rPr>
            </w:pPr>
            <w:r>
              <w:rPr>
                <w:rFonts w:ascii="Verdana" w:hAnsi="Verdana" w:cs="Arial"/>
              </w:rPr>
              <w:t>Código de Comercio, artículos 260 y 261.</w:t>
            </w:r>
          </w:p>
        </w:tc>
      </w:tr>
    </w:tbl>
    <w:p w14:paraId="06182093" w14:textId="77777777" w:rsidR="00645197" w:rsidRPr="002407CE" w:rsidRDefault="00645197" w:rsidP="00645197">
      <w:pPr>
        <w:widowControl w:val="0"/>
        <w:autoSpaceDE w:val="0"/>
        <w:autoSpaceDN w:val="0"/>
        <w:spacing w:after="0" w:line="276" w:lineRule="auto"/>
        <w:jc w:val="both"/>
        <w:rPr>
          <w:rFonts w:ascii="Verdana" w:hAnsi="Verdana" w:cs="Arial"/>
        </w:rPr>
      </w:pPr>
    </w:p>
    <w:p w14:paraId="66A66A89" w14:textId="77777777" w:rsidR="00645197" w:rsidRPr="00593A5F" w:rsidRDefault="00645197" w:rsidP="006451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9520062" w14:textId="77777777" w:rsidR="00645197" w:rsidRPr="00593A5F" w:rsidRDefault="00645197" w:rsidP="00645197">
      <w:pPr>
        <w:widowControl w:val="0"/>
        <w:autoSpaceDE w:val="0"/>
        <w:autoSpaceDN w:val="0"/>
        <w:spacing w:after="0" w:line="276" w:lineRule="auto"/>
        <w:jc w:val="both"/>
        <w:rPr>
          <w:rFonts w:ascii="Verdana" w:hAnsi="Verdana" w:cs="Arial"/>
        </w:rPr>
      </w:pPr>
    </w:p>
    <w:p w14:paraId="3E3C96D3" w14:textId="77777777" w:rsidR="00FB6979" w:rsidRDefault="00645197" w:rsidP="00645197">
      <w:pPr>
        <w:widowControl w:val="0"/>
        <w:autoSpaceDE w:val="0"/>
        <w:autoSpaceDN w:val="0"/>
        <w:spacing w:after="120" w:line="276" w:lineRule="auto"/>
        <w:jc w:val="both"/>
        <w:rPr>
          <w:rFonts w:ascii="Verdana" w:eastAsia="Calibri" w:hAnsi="Verdana" w:cs="Times New Roman"/>
        </w:rPr>
      </w:pPr>
      <w:r w:rsidRPr="00003886">
        <w:rPr>
          <w:rFonts w:ascii="Verdana" w:hAnsi="Verdana" w:cs="Arial"/>
          <w:shd w:val="clear" w:color="auto" w:fill="FFFFFF"/>
        </w:rPr>
        <w:t xml:space="preserve">Esta Subdirección se ha pronunciado sobre </w:t>
      </w:r>
      <w:r>
        <w:rPr>
          <w:rFonts w:ascii="Verdana" w:hAnsi="Verdana" w:cs="Arial"/>
          <w:shd w:val="clear" w:color="auto" w:fill="FFFFFF"/>
        </w:rPr>
        <w:t xml:space="preserve">el Decreto 1600 de 2024 en los conceptos C-292 del 21 de abril de 2025, C-586 del 25 de junio de 2025, C-818 del 15 de julio de 2025, C-867 del 15 de julio de 2025, </w:t>
      </w:r>
      <w:r w:rsidRPr="009035FE">
        <w:rPr>
          <w:rFonts w:ascii="Verdana" w:hAnsi="Verdana" w:cs="Arial"/>
          <w:shd w:val="clear" w:color="auto" w:fill="FFFFFF"/>
        </w:rPr>
        <w:t>C – 1026 de</w:t>
      </w:r>
      <w:r>
        <w:rPr>
          <w:rFonts w:ascii="Verdana" w:hAnsi="Verdana" w:cs="Arial"/>
          <w:shd w:val="clear" w:color="auto" w:fill="FFFFFF"/>
        </w:rPr>
        <w:t>l 30 de julio de</w:t>
      </w:r>
      <w:r w:rsidRPr="009035FE">
        <w:rPr>
          <w:rFonts w:ascii="Verdana" w:hAnsi="Verdana" w:cs="Arial"/>
          <w:shd w:val="clear" w:color="auto" w:fill="FFFFFF"/>
        </w:rPr>
        <w:t xml:space="preserve"> 2025</w:t>
      </w:r>
      <w:r w:rsidR="003548F3">
        <w:rPr>
          <w:rFonts w:ascii="Verdana" w:hAnsi="Verdana" w:cs="Arial"/>
          <w:shd w:val="clear" w:color="auto" w:fill="FFFFFF"/>
        </w:rPr>
        <w:t>, C-1281 de</w:t>
      </w:r>
      <w:r w:rsidR="009E4D3A">
        <w:rPr>
          <w:rFonts w:ascii="Verdana" w:hAnsi="Verdana" w:cs="Arial"/>
          <w:shd w:val="clear" w:color="auto" w:fill="FFFFFF"/>
        </w:rPr>
        <w:t>l 14 de octubre de 2025</w:t>
      </w:r>
      <w:r w:rsidR="003548F3">
        <w:rPr>
          <w:rFonts w:ascii="Verdana" w:hAnsi="Verdana" w:cs="Arial"/>
          <w:shd w:val="clear" w:color="auto" w:fill="FFFFFF"/>
        </w:rPr>
        <w:t xml:space="preserve"> </w:t>
      </w:r>
      <w:r>
        <w:rPr>
          <w:rFonts w:ascii="Verdana" w:hAnsi="Verdana" w:cs="Arial"/>
          <w:shd w:val="clear" w:color="auto" w:fill="FFFFFF"/>
        </w:rPr>
        <w:t>y C-1328 del 1 de octubre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p>
    <w:p w14:paraId="135934A0" w14:textId="77777777" w:rsidR="00FB6979" w:rsidRDefault="00FB6979" w:rsidP="00645197">
      <w:pPr>
        <w:widowControl w:val="0"/>
        <w:autoSpaceDE w:val="0"/>
        <w:autoSpaceDN w:val="0"/>
        <w:spacing w:after="120" w:line="276" w:lineRule="auto"/>
        <w:jc w:val="both"/>
        <w:rPr>
          <w:rFonts w:ascii="Verdana" w:eastAsia="Calibri" w:hAnsi="Verdana" w:cs="Times New Roman"/>
        </w:rPr>
      </w:pPr>
    </w:p>
    <w:p w14:paraId="2AA4DB96" w14:textId="6C653B31" w:rsidR="00645197" w:rsidRPr="007748C3" w:rsidRDefault="00645197" w:rsidP="00645197">
      <w:pPr>
        <w:widowControl w:val="0"/>
        <w:autoSpaceDE w:val="0"/>
        <w:autoSpaceDN w:val="0"/>
        <w:spacing w:after="120" w:line="276" w:lineRule="auto"/>
        <w:jc w:val="both"/>
        <w:rPr>
          <w:rFonts w:ascii="Verdana" w:eastAsia="Calibri" w:hAnsi="Verdana" w:cs="Times New Roman"/>
        </w:rPr>
      </w:pPr>
      <w:r w:rsidRPr="007748C3">
        <w:rPr>
          <w:rFonts w:ascii="Verdana" w:eastAsia="Calibri" w:hAnsi="Verdana" w:cs="Times New Roman"/>
        </w:rPr>
        <w:lastRenderedPageBreak/>
        <w:t>También le contamos que ya se encuentra disponible la </w:t>
      </w:r>
      <w:r w:rsidRPr="007748C3">
        <w:rPr>
          <w:rFonts w:ascii="Verdana" w:eastAsia="Calibri" w:hAnsi="Verdana" w:cs="Times New Roman"/>
          <w:b/>
          <w:bCs/>
        </w:rPr>
        <w:t>Guía de lineamientos de transparencia y selección objetiva para el departamento de La Guajira – Objetivo sexto constitucional de la Sentencia T-302 del 2017. </w:t>
      </w:r>
      <w:r w:rsidRPr="007748C3">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748C3">
        <w:rPr>
          <w:rFonts w:ascii="Verdana" w:eastAsia="Calibri" w:hAnsi="Verdana" w:cs="Times New Roman"/>
        </w:rPr>
        <w:t>Wayúu</w:t>
      </w:r>
      <w:proofErr w:type="spellEnd"/>
      <w:r w:rsidRPr="007748C3">
        <w:rPr>
          <w:rFonts w:ascii="Verdana" w:eastAsia="Calibri" w:hAnsi="Verdana" w:cs="Times New Roman"/>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7748C3">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p>
    <w:p w14:paraId="1188D2B3" w14:textId="77777777" w:rsidR="00645197" w:rsidRPr="007748C3" w:rsidRDefault="00645197" w:rsidP="00645197">
      <w:pPr>
        <w:spacing w:after="0" w:line="276" w:lineRule="auto"/>
        <w:jc w:val="both"/>
        <w:rPr>
          <w:rFonts w:ascii="Verdana" w:eastAsia="Calibri" w:hAnsi="Verdana" w:cs="Times New Roman"/>
        </w:rPr>
      </w:pPr>
    </w:p>
    <w:p w14:paraId="4907E243" w14:textId="77777777" w:rsidR="00645197" w:rsidRPr="007748C3" w:rsidRDefault="00645197" w:rsidP="00645197">
      <w:pPr>
        <w:spacing w:after="0" w:line="276" w:lineRule="auto"/>
        <w:jc w:val="both"/>
        <w:rPr>
          <w:rFonts w:ascii="Verdana" w:eastAsia="Calibri" w:hAnsi="Verdana" w:cs="Times New Roman"/>
        </w:rPr>
      </w:pPr>
      <w:r w:rsidRPr="007748C3">
        <w:rPr>
          <w:rFonts w:ascii="Verdana" w:eastAsia="Calibri" w:hAnsi="Verdana" w:cs="Times New Roman"/>
        </w:rPr>
        <w:t xml:space="preserve">Por último, lo invitamos a seguirnos en las redes sociales en las cuales se difunde información institucional: </w:t>
      </w:r>
    </w:p>
    <w:p w14:paraId="4E7FF7E2" w14:textId="77777777" w:rsidR="00645197" w:rsidRPr="007748C3" w:rsidRDefault="00645197" w:rsidP="00645197">
      <w:pPr>
        <w:spacing w:after="0" w:line="240" w:lineRule="auto"/>
        <w:jc w:val="both"/>
        <w:rPr>
          <w:rFonts w:ascii="Verdana" w:eastAsia="Calibri" w:hAnsi="Verdana" w:cs="Times New Roman"/>
        </w:rPr>
      </w:pPr>
    </w:p>
    <w:p w14:paraId="1E558740" w14:textId="77777777" w:rsidR="00645197" w:rsidRPr="007748C3" w:rsidRDefault="00645197" w:rsidP="00645197">
      <w:pPr>
        <w:spacing w:after="0" w:line="240" w:lineRule="auto"/>
        <w:jc w:val="both"/>
        <w:rPr>
          <w:rFonts w:ascii="Verdana" w:eastAsia="Calibri" w:hAnsi="Verdana" w:cs="Times New Roman"/>
        </w:rPr>
      </w:pPr>
      <w:r w:rsidRPr="007748C3">
        <w:rPr>
          <w:rFonts w:ascii="Verdana" w:eastAsia="Calibri" w:hAnsi="Verdana" w:cs="Times New Roman"/>
        </w:rPr>
        <w:t xml:space="preserve">Twitter: </w:t>
      </w:r>
      <w:r w:rsidRPr="007748C3">
        <w:rPr>
          <w:rFonts w:ascii="Verdana" w:eastAsia="Calibri" w:hAnsi="Verdana" w:cs="Times New Roman"/>
          <w:color w:val="4472C4" w:themeColor="accent1"/>
          <w:u w:val="single"/>
        </w:rPr>
        <w:t>@colombiacompra</w:t>
      </w:r>
      <w:r w:rsidRPr="007748C3">
        <w:rPr>
          <w:rFonts w:ascii="Verdana" w:eastAsia="Calibri" w:hAnsi="Verdana" w:cs="Times New Roman"/>
          <w:color w:val="4472C4" w:themeColor="accent1"/>
        </w:rPr>
        <w:t xml:space="preserve"> </w:t>
      </w:r>
    </w:p>
    <w:p w14:paraId="5232562D" w14:textId="77777777" w:rsidR="00645197" w:rsidRPr="007748C3" w:rsidRDefault="00645197" w:rsidP="00645197">
      <w:pPr>
        <w:spacing w:after="0" w:line="240" w:lineRule="auto"/>
        <w:jc w:val="both"/>
        <w:rPr>
          <w:rFonts w:ascii="Verdana" w:eastAsia="Calibri" w:hAnsi="Verdana" w:cs="Times New Roman"/>
        </w:rPr>
      </w:pPr>
      <w:r w:rsidRPr="007748C3">
        <w:rPr>
          <w:rFonts w:ascii="Verdana" w:eastAsia="Calibri" w:hAnsi="Verdana" w:cs="Times New Roman"/>
        </w:rPr>
        <w:t xml:space="preserve">Facebook: </w:t>
      </w:r>
      <w:proofErr w:type="spellStart"/>
      <w:r w:rsidRPr="007748C3">
        <w:rPr>
          <w:rFonts w:ascii="Verdana" w:eastAsia="Calibri" w:hAnsi="Verdana" w:cs="Times New Roman"/>
          <w:color w:val="4472C4" w:themeColor="accent1"/>
          <w:u w:val="single"/>
        </w:rPr>
        <w:t>ColombiaCompraEficiente</w:t>
      </w:r>
      <w:proofErr w:type="spellEnd"/>
    </w:p>
    <w:p w14:paraId="7020D177" w14:textId="77777777" w:rsidR="00645197" w:rsidRPr="007748C3" w:rsidRDefault="00645197" w:rsidP="00645197">
      <w:pPr>
        <w:spacing w:after="0" w:line="240" w:lineRule="auto"/>
        <w:jc w:val="both"/>
        <w:rPr>
          <w:rFonts w:ascii="Verdana" w:eastAsia="Calibri" w:hAnsi="Verdana" w:cs="Times New Roman"/>
        </w:rPr>
      </w:pPr>
      <w:r w:rsidRPr="007748C3">
        <w:rPr>
          <w:rFonts w:ascii="Verdana" w:eastAsia="Calibri" w:hAnsi="Verdana" w:cs="Times New Roman"/>
        </w:rPr>
        <w:t xml:space="preserve">LinkedIn: </w:t>
      </w:r>
      <w:r w:rsidRPr="007748C3">
        <w:rPr>
          <w:rFonts w:ascii="Verdana" w:eastAsia="Calibri" w:hAnsi="Verdana" w:cs="Times New Roman"/>
          <w:color w:val="4472C4" w:themeColor="accent1"/>
          <w:u w:val="single"/>
        </w:rPr>
        <w:t>Agencia Nacional de Contratación Pública - Colombia Compra Eficiente</w:t>
      </w:r>
      <w:r w:rsidRPr="007748C3">
        <w:rPr>
          <w:rFonts w:ascii="Verdana" w:eastAsia="Calibri" w:hAnsi="Verdana" w:cs="Times New Roman"/>
          <w:color w:val="4472C4" w:themeColor="accent1"/>
        </w:rPr>
        <w:t xml:space="preserve"> </w:t>
      </w:r>
      <w:r w:rsidRPr="007748C3">
        <w:rPr>
          <w:rFonts w:ascii="Verdana" w:eastAsia="Calibri" w:hAnsi="Verdana" w:cs="Times New Roman"/>
        </w:rPr>
        <w:t xml:space="preserve">Instagram: </w:t>
      </w:r>
      <w:r w:rsidRPr="007748C3">
        <w:rPr>
          <w:rFonts w:ascii="Verdana" w:eastAsia="Calibri" w:hAnsi="Verdana" w:cs="Times New Roman"/>
          <w:color w:val="4472C4" w:themeColor="accent1"/>
          <w:u w:val="single"/>
        </w:rPr>
        <w:t>@colombiacompraeficiente_cce</w:t>
      </w:r>
    </w:p>
    <w:p w14:paraId="3610A942" w14:textId="77777777" w:rsidR="00645197" w:rsidRPr="007748C3" w:rsidRDefault="00645197" w:rsidP="00645197">
      <w:pPr>
        <w:widowControl w:val="0"/>
        <w:autoSpaceDE w:val="0"/>
        <w:autoSpaceDN w:val="0"/>
        <w:spacing w:after="0" w:line="276" w:lineRule="auto"/>
        <w:jc w:val="both"/>
        <w:rPr>
          <w:rFonts w:ascii="Verdana" w:eastAsia="Calibri" w:hAnsi="Verdana" w:cs="Arial"/>
        </w:rPr>
      </w:pPr>
    </w:p>
    <w:p w14:paraId="383A1986" w14:textId="77777777" w:rsidR="00645197" w:rsidRPr="007748C3" w:rsidRDefault="00645197" w:rsidP="00645197">
      <w:pPr>
        <w:widowControl w:val="0"/>
        <w:autoSpaceDE w:val="0"/>
        <w:autoSpaceDN w:val="0"/>
        <w:spacing w:after="0" w:line="276" w:lineRule="auto"/>
        <w:jc w:val="both"/>
        <w:rPr>
          <w:rFonts w:ascii="Verdana" w:eastAsia="Calibri" w:hAnsi="Verdana" w:cs="Arial"/>
          <w:lang w:val="es-ES_tradnl"/>
        </w:rPr>
      </w:pPr>
      <w:r w:rsidRPr="007748C3">
        <w:rPr>
          <w:rFonts w:ascii="Verdana" w:eastAsia="Calibri" w:hAnsi="Verdana" w:cs="Arial"/>
        </w:rPr>
        <w:t xml:space="preserve">Este concepto tiene el alcance previsto en el artículo 28 del Código de Procedimiento Administrativo y de lo Contencioso Administrativo </w:t>
      </w:r>
      <w:r w:rsidRPr="007748C3">
        <w:rPr>
          <w:rFonts w:ascii="Verdana" w:eastAsia="Calibri" w:hAnsi="Verdana" w:cs="Arial"/>
          <w:lang w:val="es-ES_tradnl"/>
        </w:rPr>
        <w:t>y las expresiones aquí utilizadas con mayúscula inicial deben ser entendidas con el significado que les otorga el artículo 2.2.1.1.1.3.1. del Decreto 1082 de 2015.</w:t>
      </w:r>
    </w:p>
    <w:p w14:paraId="27F20DA3" w14:textId="77777777" w:rsidR="00645197" w:rsidRPr="007748C3" w:rsidRDefault="00645197" w:rsidP="00645197">
      <w:pPr>
        <w:widowControl w:val="0"/>
        <w:autoSpaceDE w:val="0"/>
        <w:autoSpaceDN w:val="0"/>
        <w:spacing w:after="0" w:line="276" w:lineRule="auto"/>
        <w:jc w:val="both"/>
        <w:rPr>
          <w:rFonts w:ascii="Verdana" w:eastAsia="Calibri" w:hAnsi="Verdana" w:cs="Arial"/>
        </w:rPr>
      </w:pPr>
    </w:p>
    <w:p w14:paraId="0C01E588" w14:textId="77777777" w:rsidR="00645197" w:rsidRPr="007748C3" w:rsidRDefault="00645197" w:rsidP="00645197">
      <w:pPr>
        <w:spacing w:after="0" w:line="276" w:lineRule="auto"/>
        <w:rPr>
          <w:rFonts w:ascii="Verdana" w:eastAsia="Calibri" w:hAnsi="Verdana" w:cs="Arial"/>
          <w:lang w:eastAsia="es-CO"/>
        </w:rPr>
      </w:pPr>
      <w:r w:rsidRPr="007748C3">
        <w:rPr>
          <w:rFonts w:ascii="Verdana" w:eastAsia="Times New Roman" w:hAnsi="Verdana" w:cs="Arial"/>
          <w:lang w:eastAsia="es-CO"/>
        </w:rPr>
        <w:t>Atentamente,</w:t>
      </w:r>
      <w:r w:rsidRPr="007748C3">
        <w:rPr>
          <w:rFonts w:ascii="Verdana" w:eastAsia="Calibri" w:hAnsi="Verdana" w:cs="Arial"/>
          <w:lang w:eastAsia="es-CO"/>
        </w:rPr>
        <w:t xml:space="preserve"> </w:t>
      </w:r>
    </w:p>
    <w:p w14:paraId="3FCF588A" w14:textId="23BB0075" w:rsidR="00645197" w:rsidRPr="007748C3" w:rsidRDefault="00E20930" w:rsidP="00645197">
      <w:pPr>
        <w:spacing w:line="276" w:lineRule="auto"/>
        <w:jc w:val="center"/>
        <w:rPr>
          <w:rFonts w:ascii="Verdana" w:eastAsia="Times New Roman" w:hAnsi="Verdana" w:cs="Arial"/>
          <w:sz w:val="24"/>
          <w:szCs w:val="24"/>
          <w:lang w:eastAsia="es-ES"/>
        </w:rPr>
      </w:pPr>
      <w:r>
        <w:rPr>
          <w:noProof/>
        </w:rPr>
        <w:drawing>
          <wp:inline distT="0" distB="0" distL="0" distR="0" wp14:anchorId="580D5634" wp14:editId="12B0F098">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645197" w:rsidRPr="007748C3" w14:paraId="6D5BC515" w14:textId="77777777" w:rsidTr="003533A3">
        <w:trPr>
          <w:trHeight w:val="315"/>
        </w:trPr>
        <w:tc>
          <w:tcPr>
            <w:tcW w:w="993" w:type="dxa"/>
            <w:vAlign w:val="center"/>
            <w:hideMark/>
          </w:tcPr>
          <w:p w14:paraId="10848093" w14:textId="77777777" w:rsidR="00645197" w:rsidRPr="007748C3" w:rsidRDefault="00645197" w:rsidP="003533A3">
            <w:pPr>
              <w:spacing w:after="0" w:line="276" w:lineRule="auto"/>
              <w:rPr>
                <w:rFonts w:ascii="Verdana" w:eastAsia="Calibri" w:hAnsi="Verdana" w:cs="Arial"/>
                <w:bCs/>
                <w:sz w:val="16"/>
                <w:szCs w:val="16"/>
                <w:lang w:eastAsia="es-CO"/>
              </w:rPr>
            </w:pPr>
            <w:r w:rsidRPr="007748C3">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46454418" w14:textId="77777777" w:rsidR="00645197" w:rsidRPr="007748C3" w:rsidRDefault="00645197" w:rsidP="003533A3">
            <w:pPr>
              <w:spacing w:after="0" w:line="240" w:lineRule="auto"/>
              <w:rPr>
                <w:rFonts w:ascii="Verdana" w:eastAsia="Calibri" w:hAnsi="Verdana" w:cs="Arial"/>
                <w:sz w:val="16"/>
                <w:szCs w:val="16"/>
                <w:lang w:eastAsia="es-CO"/>
              </w:rPr>
            </w:pPr>
            <w:r w:rsidRPr="007748C3">
              <w:rPr>
                <w:rFonts w:ascii="Verdana" w:eastAsia="Calibri" w:hAnsi="Verdana" w:cs="Arial"/>
                <w:sz w:val="16"/>
                <w:szCs w:val="16"/>
                <w:lang w:eastAsia="es-CO"/>
              </w:rPr>
              <w:t>Ximena Ríos López</w:t>
            </w:r>
          </w:p>
          <w:p w14:paraId="6A522B80" w14:textId="77777777" w:rsidR="00645197" w:rsidRPr="007748C3" w:rsidRDefault="00645197" w:rsidP="003533A3">
            <w:pPr>
              <w:spacing w:after="0" w:line="240" w:lineRule="auto"/>
              <w:rPr>
                <w:rFonts w:ascii="Verdana" w:eastAsia="Calibri" w:hAnsi="Verdana" w:cs="Arial"/>
                <w:sz w:val="16"/>
                <w:szCs w:val="16"/>
                <w:lang w:eastAsia="es-CO"/>
              </w:rPr>
            </w:pPr>
            <w:r w:rsidRPr="007748C3">
              <w:rPr>
                <w:rFonts w:ascii="Verdana" w:eastAsia="Calibri" w:hAnsi="Verdana" w:cs="Arial"/>
                <w:sz w:val="16"/>
                <w:szCs w:val="16"/>
                <w:lang w:eastAsia="es-CO"/>
              </w:rPr>
              <w:t>Gestor T1 -11 Subdirección de Gestión Contractual</w:t>
            </w:r>
          </w:p>
        </w:tc>
      </w:tr>
      <w:tr w:rsidR="00645197" w:rsidRPr="007748C3" w14:paraId="3C93350E" w14:textId="77777777" w:rsidTr="003533A3">
        <w:trPr>
          <w:trHeight w:val="330"/>
        </w:trPr>
        <w:tc>
          <w:tcPr>
            <w:tcW w:w="993" w:type="dxa"/>
            <w:vAlign w:val="center"/>
            <w:hideMark/>
          </w:tcPr>
          <w:p w14:paraId="74A4B2EF" w14:textId="77777777" w:rsidR="00645197" w:rsidRPr="007748C3" w:rsidRDefault="00645197" w:rsidP="003533A3">
            <w:pPr>
              <w:spacing w:after="0" w:line="276" w:lineRule="auto"/>
              <w:rPr>
                <w:rFonts w:ascii="Verdana" w:eastAsia="Calibri" w:hAnsi="Verdana" w:cs="Arial"/>
                <w:bCs/>
                <w:sz w:val="16"/>
                <w:szCs w:val="16"/>
                <w:lang w:eastAsia="es-CO"/>
              </w:rPr>
            </w:pPr>
            <w:r w:rsidRPr="007748C3">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6D7161D9" w14:textId="77777777" w:rsidR="00645197" w:rsidRPr="007748C3" w:rsidRDefault="00645197" w:rsidP="003533A3">
            <w:pPr>
              <w:spacing w:after="0" w:line="240" w:lineRule="auto"/>
              <w:rPr>
                <w:rFonts w:ascii="Verdana" w:eastAsia="Calibri" w:hAnsi="Verdana" w:cs="Arial"/>
                <w:sz w:val="16"/>
                <w:szCs w:val="16"/>
                <w:lang w:eastAsia="es-CO"/>
              </w:rPr>
            </w:pPr>
            <w:r w:rsidRPr="007748C3">
              <w:rPr>
                <w:rFonts w:ascii="Verdana" w:eastAsia="Calibri" w:hAnsi="Verdana" w:cs="Arial"/>
                <w:sz w:val="16"/>
                <w:szCs w:val="16"/>
                <w:lang w:eastAsia="es-CO"/>
              </w:rPr>
              <w:t>Alejandro Sarmiento</w:t>
            </w:r>
          </w:p>
          <w:p w14:paraId="31C3B8BF" w14:textId="77777777" w:rsidR="00645197" w:rsidRPr="007748C3" w:rsidRDefault="00645197" w:rsidP="003533A3">
            <w:pPr>
              <w:spacing w:after="0" w:line="240" w:lineRule="auto"/>
              <w:rPr>
                <w:rFonts w:ascii="Verdana" w:eastAsia="Calibri" w:hAnsi="Verdana" w:cs="Arial"/>
                <w:sz w:val="16"/>
                <w:szCs w:val="16"/>
                <w:lang w:eastAsia="es-CO"/>
              </w:rPr>
            </w:pPr>
            <w:r w:rsidRPr="007748C3">
              <w:rPr>
                <w:rFonts w:ascii="Verdana" w:eastAsia="Calibri" w:hAnsi="Verdana" w:cs="Arial"/>
                <w:sz w:val="16"/>
                <w:szCs w:val="16"/>
                <w:lang w:eastAsia="es-CO"/>
              </w:rPr>
              <w:t>Gestor T1 -15 Subdirección de Gestión Contractual</w:t>
            </w:r>
          </w:p>
        </w:tc>
      </w:tr>
      <w:tr w:rsidR="00645197" w:rsidRPr="007748C3" w14:paraId="524E8240" w14:textId="77777777" w:rsidTr="003533A3">
        <w:trPr>
          <w:trHeight w:val="300"/>
        </w:trPr>
        <w:tc>
          <w:tcPr>
            <w:tcW w:w="993" w:type="dxa"/>
            <w:vAlign w:val="center"/>
            <w:hideMark/>
          </w:tcPr>
          <w:p w14:paraId="7667205E" w14:textId="77777777" w:rsidR="00645197" w:rsidRPr="007748C3" w:rsidRDefault="00645197" w:rsidP="003533A3">
            <w:pPr>
              <w:spacing w:after="0" w:line="276" w:lineRule="auto"/>
              <w:rPr>
                <w:rFonts w:ascii="Verdana" w:eastAsia="Calibri" w:hAnsi="Verdana" w:cs="Arial"/>
                <w:bCs/>
                <w:sz w:val="16"/>
                <w:szCs w:val="16"/>
                <w:lang w:eastAsia="es-CO"/>
              </w:rPr>
            </w:pPr>
            <w:r w:rsidRPr="007748C3">
              <w:rPr>
                <w:rFonts w:ascii="Verdana" w:eastAsia="Calibri" w:hAnsi="Verdana" w:cs="Arial"/>
                <w:bCs/>
                <w:sz w:val="16"/>
                <w:szCs w:val="16"/>
                <w:lang w:eastAsia="es-CO"/>
              </w:rPr>
              <w:lastRenderedPageBreak/>
              <w:t>Aprobó:</w:t>
            </w:r>
          </w:p>
        </w:tc>
        <w:tc>
          <w:tcPr>
            <w:tcW w:w="4677" w:type="dxa"/>
            <w:tcBorders>
              <w:top w:val="dotted" w:sz="4" w:space="0" w:color="7F7F7F"/>
              <w:left w:val="nil"/>
              <w:bottom w:val="dotted" w:sz="4" w:space="0" w:color="7F7F7F"/>
              <w:right w:val="nil"/>
            </w:tcBorders>
            <w:vAlign w:val="center"/>
            <w:hideMark/>
          </w:tcPr>
          <w:p w14:paraId="6D519E85" w14:textId="77777777" w:rsidR="00645197" w:rsidRPr="007748C3" w:rsidRDefault="00645197" w:rsidP="003533A3">
            <w:pPr>
              <w:spacing w:after="0" w:line="240" w:lineRule="auto"/>
              <w:rPr>
                <w:rFonts w:ascii="Verdana" w:eastAsia="Calibri" w:hAnsi="Verdana" w:cs="Arial"/>
                <w:sz w:val="16"/>
                <w:szCs w:val="16"/>
                <w:lang w:eastAsia="es-CO"/>
              </w:rPr>
            </w:pPr>
            <w:r w:rsidRPr="007748C3">
              <w:rPr>
                <w:rFonts w:ascii="Verdana" w:eastAsia="Calibri" w:hAnsi="Verdana" w:cs="Arial"/>
                <w:sz w:val="16"/>
                <w:szCs w:val="16"/>
                <w:lang w:eastAsia="es-CO"/>
              </w:rPr>
              <w:t>Carolina Quintero Gacharná</w:t>
            </w:r>
          </w:p>
          <w:p w14:paraId="6F3B5591" w14:textId="77777777" w:rsidR="00645197" w:rsidRPr="007748C3" w:rsidRDefault="00645197" w:rsidP="003533A3">
            <w:pPr>
              <w:spacing w:after="0" w:line="240" w:lineRule="auto"/>
              <w:rPr>
                <w:rFonts w:ascii="Verdana" w:eastAsia="Calibri" w:hAnsi="Verdana" w:cs="Arial"/>
                <w:sz w:val="16"/>
                <w:szCs w:val="16"/>
                <w:lang w:eastAsia="es-CO"/>
              </w:rPr>
            </w:pPr>
            <w:r w:rsidRPr="007748C3">
              <w:rPr>
                <w:rFonts w:ascii="Verdana" w:eastAsia="Calibri" w:hAnsi="Verdana" w:cs="Arial"/>
                <w:sz w:val="16"/>
                <w:szCs w:val="16"/>
                <w:lang w:eastAsia="es-CO"/>
              </w:rPr>
              <w:t>Subdirectora de Gestión Contractual ANCP – CCE</w:t>
            </w:r>
          </w:p>
        </w:tc>
      </w:tr>
    </w:tbl>
    <w:p w14:paraId="28E7C4B7" w14:textId="77777777" w:rsidR="00645197" w:rsidRPr="007748C3" w:rsidRDefault="00645197" w:rsidP="00645197">
      <w:pPr>
        <w:spacing w:after="0" w:line="276" w:lineRule="auto"/>
        <w:jc w:val="both"/>
        <w:rPr>
          <w:rFonts w:ascii="Calibri" w:eastAsia="Calibri" w:hAnsi="Calibri" w:cs="Times New Roman"/>
        </w:rPr>
      </w:pPr>
    </w:p>
    <w:p w14:paraId="5E7276CC" w14:textId="77777777" w:rsidR="00645197" w:rsidRPr="007748C3" w:rsidRDefault="00645197" w:rsidP="00645197">
      <w:pPr>
        <w:spacing w:line="254" w:lineRule="auto"/>
        <w:rPr>
          <w:rFonts w:ascii="Calibri" w:eastAsia="Calibri" w:hAnsi="Calibri" w:cs="Times New Roman"/>
        </w:rPr>
      </w:pPr>
    </w:p>
    <w:p w14:paraId="68445389" w14:textId="77777777" w:rsidR="00645197" w:rsidRPr="007748C3" w:rsidRDefault="00645197" w:rsidP="00645197">
      <w:pPr>
        <w:spacing w:after="120" w:line="254" w:lineRule="auto"/>
        <w:jc w:val="both"/>
        <w:rPr>
          <w:rFonts w:ascii="Calibri" w:eastAsia="Calibri" w:hAnsi="Calibri" w:cs="Times New Roman"/>
        </w:rPr>
      </w:pPr>
    </w:p>
    <w:p w14:paraId="2045B066" w14:textId="77777777" w:rsidR="00645197" w:rsidRPr="007748C3" w:rsidRDefault="00645197" w:rsidP="00645197">
      <w:pPr>
        <w:widowControl w:val="0"/>
        <w:autoSpaceDE w:val="0"/>
        <w:autoSpaceDN w:val="0"/>
        <w:spacing w:after="0" w:line="276" w:lineRule="auto"/>
        <w:jc w:val="both"/>
        <w:rPr>
          <w:rFonts w:ascii="Verdana" w:eastAsia="Calibri" w:hAnsi="Verdana" w:cs="Times New Roman"/>
        </w:rPr>
      </w:pPr>
    </w:p>
    <w:p w14:paraId="2C8CF5AC" w14:textId="77777777" w:rsidR="00645197" w:rsidRPr="007748C3" w:rsidRDefault="00645197" w:rsidP="00645197">
      <w:pPr>
        <w:spacing w:line="256" w:lineRule="auto"/>
        <w:rPr>
          <w:rFonts w:ascii="Calibri" w:eastAsia="Calibri" w:hAnsi="Calibri" w:cs="Times New Roman"/>
        </w:rPr>
      </w:pPr>
    </w:p>
    <w:p w14:paraId="36B99F4D" w14:textId="77777777" w:rsidR="00645197" w:rsidRPr="007748C3" w:rsidRDefault="00645197" w:rsidP="00645197">
      <w:pPr>
        <w:spacing w:line="256" w:lineRule="auto"/>
        <w:rPr>
          <w:rFonts w:ascii="Verdana" w:eastAsia="Calibri" w:hAnsi="Verdana" w:cs="Times New Roman"/>
        </w:rPr>
      </w:pPr>
    </w:p>
    <w:p w14:paraId="0A212252" w14:textId="77777777" w:rsidR="00645197" w:rsidRPr="00543BFE" w:rsidRDefault="00645197" w:rsidP="00645197"/>
    <w:p w14:paraId="342E52FF" w14:textId="77777777" w:rsidR="00645197" w:rsidRPr="004F46A2" w:rsidRDefault="00645197" w:rsidP="00645197"/>
    <w:p w14:paraId="0F293BF4" w14:textId="081A132E" w:rsidR="00127233" w:rsidRPr="00645197" w:rsidRDefault="00127233" w:rsidP="00645197"/>
    <w:sectPr w:rsidR="00127233" w:rsidRPr="0064519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C6F39" w14:textId="77777777" w:rsidR="00763A21" w:rsidRDefault="00763A21" w:rsidP="004A1847">
      <w:pPr>
        <w:spacing w:after="0" w:line="240" w:lineRule="auto"/>
      </w:pPr>
      <w:r>
        <w:separator/>
      </w:r>
    </w:p>
  </w:endnote>
  <w:endnote w:type="continuationSeparator" w:id="0">
    <w:p w14:paraId="78BFD294" w14:textId="77777777" w:rsidR="00763A21" w:rsidRDefault="00763A2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7FA81" w14:textId="77777777" w:rsidR="00763A21" w:rsidRDefault="00763A21" w:rsidP="004A1847">
      <w:pPr>
        <w:spacing w:after="0" w:line="240" w:lineRule="auto"/>
      </w:pPr>
      <w:r>
        <w:separator/>
      </w:r>
    </w:p>
  </w:footnote>
  <w:footnote w:type="continuationSeparator" w:id="0">
    <w:p w14:paraId="56853E04" w14:textId="77777777" w:rsidR="00763A21" w:rsidRDefault="00763A21" w:rsidP="004A1847">
      <w:pPr>
        <w:spacing w:after="0" w:line="240" w:lineRule="auto"/>
      </w:pPr>
      <w:r>
        <w:continuationSeparator/>
      </w:r>
    </w:p>
  </w:footnote>
  <w:footnote w:id="1">
    <w:p w14:paraId="5CCB22ED" w14:textId="77777777" w:rsidR="001A352A" w:rsidRPr="003F1FA1" w:rsidRDefault="001A352A" w:rsidP="001A352A">
      <w:pPr>
        <w:pStyle w:val="NormalWeb"/>
        <w:spacing w:before="0" w:beforeAutospacing="0" w:after="0" w:afterAutospacing="0"/>
        <w:ind w:firstLine="708"/>
        <w:jc w:val="both"/>
        <w:rPr>
          <w:rFonts w:ascii="Verdana" w:hAnsi="Verdana" w:cs="Arial"/>
          <w:color w:val="000000"/>
          <w:sz w:val="16"/>
          <w:szCs w:val="16"/>
        </w:rPr>
      </w:pPr>
      <w:r w:rsidRPr="003F1FA1">
        <w:rPr>
          <w:rStyle w:val="Refdenotaalpie"/>
          <w:rFonts w:ascii="Verdana" w:hAnsi="Verdana"/>
          <w:sz w:val="16"/>
          <w:szCs w:val="16"/>
        </w:rPr>
        <w:footnoteRef/>
      </w:r>
      <w:r w:rsidRPr="003F1FA1">
        <w:rPr>
          <w:rFonts w:ascii="Verdana" w:hAnsi="Verdana"/>
          <w:sz w:val="16"/>
          <w:szCs w:val="16"/>
        </w:rPr>
        <w:t xml:space="preserve"> </w:t>
      </w:r>
      <w:r w:rsidRPr="003F1FA1">
        <w:rPr>
          <w:rStyle w:val="Textoennegrita"/>
          <w:rFonts w:ascii="Verdana" w:hAnsi="Verdana" w:cs="Arial"/>
          <w:b w:val="0"/>
          <w:color w:val="000000"/>
          <w:sz w:val="16"/>
          <w:szCs w:val="16"/>
        </w:rPr>
        <w:t>Artículo 200.</w:t>
      </w:r>
      <w:r w:rsidRPr="003F1FA1">
        <w:rPr>
          <w:rStyle w:val="Textoennegrita"/>
          <w:rFonts w:ascii="Verdana" w:hAnsi="Verdana" w:cs="Arial"/>
          <w:color w:val="000000"/>
          <w:sz w:val="16"/>
          <w:szCs w:val="16"/>
        </w:rPr>
        <w:t xml:space="preserve"> </w:t>
      </w:r>
      <w:r w:rsidRPr="003F1FA1">
        <w:rPr>
          <w:rStyle w:val="nfasis"/>
          <w:rFonts w:ascii="Verdana" w:hAnsi="Verdana" w:cs="Arial"/>
          <w:color w:val="000000"/>
          <w:sz w:val="16"/>
          <w:szCs w:val="16"/>
        </w:rPr>
        <w:t>Estrategia nacional de lucha contra la corrupción</w:t>
      </w:r>
      <w:r w:rsidRPr="003F1FA1">
        <w:rPr>
          <w:rFonts w:ascii="Verdana" w:hAnsi="Verdana" w:cs="Arial"/>
          <w:color w:val="000000"/>
          <w:sz w:val="16"/>
          <w:szCs w:val="16"/>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7807BBE8" w14:textId="77777777" w:rsidR="001A352A" w:rsidRPr="003F1FA1" w:rsidRDefault="001A352A" w:rsidP="001A352A">
      <w:pPr>
        <w:pStyle w:val="NormalWeb"/>
        <w:spacing w:before="0" w:beforeAutospacing="0" w:after="0" w:afterAutospacing="0"/>
        <w:ind w:firstLine="708"/>
        <w:jc w:val="both"/>
        <w:rPr>
          <w:rFonts w:ascii="Verdana" w:hAnsi="Verdana" w:cs="Arial"/>
          <w:color w:val="000000"/>
          <w:sz w:val="16"/>
          <w:szCs w:val="16"/>
        </w:rPr>
      </w:pPr>
      <w:r w:rsidRPr="003F1FA1">
        <w:rPr>
          <w:rFonts w:ascii="Verdana" w:hAnsi="Verdana" w:cs="Arial"/>
          <w:color w:val="000000"/>
          <w:sz w:val="16"/>
          <w:szCs w:val="16"/>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5BC09D01" w14:textId="77777777" w:rsidR="001A352A" w:rsidRPr="003F1FA1" w:rsidRDefault="001A352A" w:rsidP="001A352A">
      <w:pPr>
        <w:pStyle w:val="NormalWeb"/>
        <w:spacing w:before="0" w:beforeAutospacing="0" w:after="0" w:afterAutospacing="0"/>
        <w:ind w:firstLine="708"/>
        <w:jc w:val="both"/>
        <w:rPr>
          <w:rFonts w:ascii="Verdana" w:hAnsi="Verdana" w:cs="Arial"/>
          <w:color w:val="000000"/>
          <w:sz w:val="16"/>
          <w:szCs w:val="16"/>
        </w:rPr>
      </w:pPr>
      <w:r w:rsidRPr="003F1FA1">
        <w:rPr>
          <w:rFonts w:ascii="Verdana" w:hAnsi="Verdana" w:cs="Arial"/>
          <w:color w:val="000000"/>
          <w:sz w:val="16"/>
          <w:szCs w:val="16"/>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07541498" w14:textId="77777777" w:rsidR="001A352A" w:rsidRPr="003F1FA1" w:rsidRDefault="001A352A" w:rsidP="001A352A">
      <w:pPr>
        <w:pStyle w:val="NormalWeb"/>
        <w:spacing w:before="0" w:beforeAutospacing="0" w:after="0" w:afterAutospacing="0"/>
        <w:ind w:firstLine="708"/>
        <w:jc w:val="both"/>
        <w:rPr>
          <w:rFonts w:ascii="Verdana" w:hAnsi="Verdana" w:cs="Arial"/>
          <w:color w:val="000000"/>
          <w:sz w:val="16"/>
          <w:szCs w:val="16"/>
        </w:rPr>
      </w:pPr>
      <w:r w:rsidRPr="003F1FA1">
        <w:rPr>
          <w:rFonts w:ascii="Verdana" w:hAnsi="Verdana" w:cs="Arial"/>
          <w:color w:val="000000"/>
          <w:sz w:val="16"/>
          <w:szCs w:val="16"/>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3FA6CDE8" w14:textId="77777777" w:rsidR="001A352A" w:rsidRPr="003F1FA1" w:rsidRDefault="001A352A" w:rsidP="001A352A">
      <w:pPr>
        <w:pStyle w:val="NormalWeb"/>
        <w:spacing w:before="0" w:beforeAutospacing="0" w:after="0" w:afterAutospacing="0"/>
        <w:ind w:firstLine="708"/>
        <w:jc w:val="both"/>
        <w:rPr>
          <w:rFonts w:ascii="Verdana" w:hAnsi="Verdana" w:cs="Arial"/>
          <w:color w:val="000000"/>
          <w:sz w:val="16"/>
          <w:szCs w:val="16"/>
        </w:rPr>
      </w:pPr>
      <w:r w:rsidRPr="003F1FA1">
        <w:rPr>
          <w:rStyle w:val="Textoennegrita"/>
          <w:rFonts w:ascii="Verdana" w:hAnsi="Verdana" w:cs="Arial"/>
          <w:b w:val="0"/>
          <w:color w:val="000000"/>
          <w:sz w:val="16"/>
          <w:szCs w:val="16"/>
        </w:rPr>
        <w:t>Parágrafo 1°.</w:t>
      </w:r>
      <w:r w:rsidRPr="003F1FA1">
        <w:rPr>
          <w:rFonts w:ascii="Verdana" w:hAnsi="Verdana" w:cs="Arial"/>
          <w:color w:val="000000"/>
          <w:sz w:val="16"/>
          <w:szCs w:val="16"/>
        </w:rPr>
        <w:t> En la estrategia se contemplarán los mecanismos para el seguimiento y control de los recursos públicos administrados mediante fondos o patrimonios autónomos. </w:t>
      </w:r>
    </w:p>
    <w:p w14:paraId="7D360A14" w14:textId="77777777" w:rsidR="001A352A" w:rsidRPr="003F1FA1" w:rsidRDefault="001A352A" w:rsidP="001A352A">
      <w:pPr>
        <w:pStyle w:val="NormalWeb"/>
        <w:spacing w:before="0" w:beforeAutospacing="0" w:after="0" w:afterAutospacing="0"/>
        <w:ind w:firstLine="708"/>
        <w:jc w:val="both"/>
        <w:rPr>
          <w:rFonts w:ascii="Verdana" w:hAnsi="Verdana" w:cs="Arial"/>
          <w:color w:val="000000"/>
          <w:sz w:val="16"/>
          <w:szCs w:val="16"/>
        </w:rPr>
      </w:pPr>
      <w:r w:rsidRPr="003F1FA1">
        <w:rPr>
          <w:rStyle w:val="Textoennegrita"/>
          <w:rFonts w:ascii="Verdana" w:hAnsi="Verdana" w:cs="Arial"/>
          <w:b w:val="0"/>
          <w:color w:val="000000"/>
          <w:sz w:val="16"/>
          <w:szCs w:val="16"/>
        </w:rPr>
        <w:t>Parágrafo 2</w:t>
      </w:r>
      <w:r w:rsidRPr="003F1FA1">
        <w:rPr>
          <w:rStyle w:val="Textoennegrita"/>
          <w:rFonts w:ascii="Verdana" w:hAnsi="Verdana" w:cs="Arial"/>
          <w:color w:val="000000"/>
          <w:sz w:val="16"/>
          <w:szCs w:val="16"/>
        </w:rPr>
        <w:t>°.</w:t>
      </w:r>
      <w:r w:rsidRPr="003F1FA1">
        <w:rPr>
          <w:rFonts w:ascii="Verdana" w:hAnsi="Verdana" w:cs="Arial"/>
          <w:color w:val="000000"/>
          <w:sz w:val="16"/>
          <w:szCs w:val="16"/>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4EFA63EC" w14:textId="5C4F2C6B" w:rsidR="001A352A" w:rsidRPr="003F1FA1" w:rsidRDefault="001A352A" w:rsidP="003F1FA1">
      <w:pPr>
        <w:pStyle w:val="NormalWeb"/>
        <w:spacing w:before="0" w:beforeAutospacing="0" w:after="0" w:afterAutospacing="0"/>
        <w:ind w:firstLine="708"/>
        <w:jc w:val="both"/>
        <w:rPr>
          <w:rFonts w:ascii="Verdana" w:hAnsi="Verdana"/>
          <w:sz w:val="16"/>
          <w:szCs w:val="16"/>
        </w:rPr>
      </w:pPr>
      <w:r w:rsidRPr="003F1FA1">
        <w:rPr>
          <w:rStyle w:val="Textoennegrita"/>
          <w:rFonts w:ascii="Verdana" w:hAnsi="Verdana" w:cs="Arial"/>
          <w:b w:val="0"/>
          <w:color w:val="000000"/>
          <w:sz w:val="16"/>
          <w:szCs w:val="16"/>
        </w:rPr>
        <w:t>Parágrafo 3°.</w:t>
      </w:r>
      <w:r w:rsidRPr="003F1FA1">
        <w:rPr>
          <w:rFonts w:ascii="Verdana" w:hAnsi="Verdana" w:cs="Arial"/>
          <w:color w:val="000000"/>
          <w:sz w:val="16"/>
          <w:szCs w:val="16"/>
        </w:rPr>
        <w:t> Dentro del año siguiente a la entrada en vigor de la presente ley, el Gobierno nacional formulará y adoptará la Estrategia Nacional de Lucha Contra la Corrupción.</w:t>
      </w:r>
    </w:p>
  </w:footnote>
  <w:footnote w:id="2">
    <w:p w14:paraId="76D845F3" w14:textId="77777777" w:rsidR="001A352A" w:rsidRPr="003F1FA1" w:rsidRDefault="001A352A" w:rsidP="001A352A">
      <w:pPr>
        <w:spacing w:after="0" w:line="240" w:lineRule="auto"/>
        <w:ind w:firstLine="709"/>
        <w:jc w:val="both"/>
        <w:rPr>
          <w:rFonts w:ascii="Verdana" w:eastAsia="Calibri" w:hAnsi="Verdana" w:cs="Arial"/>
          <w:bCs/>
          <w:sz w:val="16"/>
          <w:szCs w:val="16"/>
          <w:lang w:eastAsia="es-ES_tradnl"/>
        </w:rPr>
      </w:pPr>
      <w:r w:rsidRPr="003F1FA1">
        <w:rPr>
          <w:rStyle w:val="Refdenotaalpie"/>
          <w:rFonts w:ascii="Verdana" w:hAnsi="Verdana"/>
          <w:sz w:val="16"/>
          <w:szCs w:val="16"/>
        </w:rPr>
        <w:footnoteRef/>
      </w:r>
      <w:r w:rsidRPr="003F1FA1">
        <w:rPr>
          <w:rFonts w:ascii="Verdana" w:hAnsi="Verdana"/>
          <w:sz w:val="16"/>
          <w:szCs w:val="16"/>
        </w:rPr>
        <w:t xml:space="preserve"> </w:t>
      </w:r>
      <w:r w:rsidRPr="003F1FA1">
        <w:rPr>
          <w:rFonts w:ascii="Verdana" w:eastAsia="Calibri" w:hAnsi="Verdana" w:cs="Arial"/>
          <w:bCs/>
          <w:iCs/>
          <w:sz w:val="16"/>
          <w:szCs w:val="16"/>
          <w:lang w:eastAsia="es-ES_tradnl"/>
        </w:rPr>
        <w:t>Artículo 2.1.4.3.1.2. Ámbito de aplicación.</w:t>
      </w:r>
      <w:r w:rsidRPr="003F1FA1">
        <w:rPr>
          <w:rFonts w:ascii="Verdana" w:eastAsia="Calibri" w:hAnsi="Verdana" w:cs="Arial"/>
          <w:b/>
          <w:bCs/>
          <w:iCs/>
          <w:sz w:val="16"/>
          <w:szCs w:val="16"/>
          <w:lang w:eastAsia="es-ES_tradnl"/>
        </w:rPr>
        <w:t> </w:t>
      </w:r>
      <w:r w:rsidRPr="003F1FA1">
        <w:rPr>
          <w:rFonts w:ascii="Verdana" w:eastAsia="Calibri" w:hAnsi="Verdana" w:cs="Arial"/>
          <w:bCs/>
          <w:iCs/>
          <w:sz w:val="16"/>
          <w:szCs w:val="16"/>
          <w:lang w:eastAsia="es-ES_tradnl"/>
        </w:rPr>
        <w:t>Las disposiciones de este Capítulo rigen en todo el territorio nacional y se aplicarán en todos los organismos, entidades y empresas del Estado del orden nacional y pertenecientes a la Rama Ejecutiva del Poder Público. </w:t>
      </w:r>
      <w:r w:rsidRPr="003F1FA1">
        <w:rPr>
          <w:rFonts w:ascii="Verdana" w:eastAsia="Calibri" w:hAnsi="Verdana" w:cs="Arial"/>
          <w:bCs/>
          <w:sz w:val="16"/>
          <w:szCs w:val="16"/>
          <w:lang w:eastAsia="es-ES_tradnl"/>
        </w:rPr>
        <w:t> </w:t>
      </w:r>
    </w:p>
    <w:p w14:paraId="620066B9" w14:textId="77777777" w:rsidR="001A352A" w:rsidRPr="003F1FA1" w:rsidRDefault="001A352A" w:rsidP="001A352A">
      <w:pPr>
        <w:spacing w:after="0" w:line="240" w:lineRule="auto"/>
        <w:ind w:firstLine="709"/>
        <w:jc w:val="both"/>
        <w:rPr>
          <w:rFonts w:ascii="Verdana" w:eastAsia="Calibri" w:hAnsi="Verdana" w:cs="Arial"/>
          <w:bCs/>
          <w:sz w:val="16"/>
          <w:szCs w:val="16"/>
          <w:lang w:eastAsia="es-ES_tradnl"/>
        </w:rPr>
      </w:pPr>
      <w:r w:rsidRPr="003F1FA1">
        <w:rPr>
          <w:rFonts w:ascii="Verdana" w:eastAsia="Calibri" w:hAnsi="Verdana" w:cs="Arial"/>
          <w:bCs/>
          <w:iCs/>
          <w:sz w:val="16"/>
          <w:szCs w:val="16"/>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4471B354" w14:textId="77777777" w:rsidR="001A352A" w:rsidRPr="003F1FA1" w:rsidRDefault="001A352A" w:rsidP="001A352A">
      <w:pPr>
        <w:spacing w:after="0" w:line="240" w:lineRule="auto"/>
        <w:ind w:firstLine="709"/>
        <w:jc w:val="both"/>
        <w:rPr>
          <w:rFonts w:ascii="Verdana" w:eastAsia="Calibri" w:hAnsi="Verdana" w:cs="Arial"/>
          <w:bCs/>
          <w:sz w:val="16"/>
          <w:szCs w:val="16"/>
          <w:lang w:eastAsia="es-ES_tradnl"/>
        </w:rPr>
      </w:pPr>
      <w:r w:rsidRPr="003F1FA1">
        <w:rPr>
          <w:rFonts w:ascii="Verdana" w:eastAsia="Calibri" w:hAnsi="Verdana" w:cs="Arial"/>
          <w:bCs/>
          <w:iCs/>
          <w:sz w:val="16"/>
          <w:szCs w:val="16"/>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p w14:paraId="58F97B79" w14:textId="77777777" w:rsidR="001A352A" w:rsidRPr="003F1FA1" w:rsidRDefault="001A352A" w:rsidP="001A352A">
      <w:pPr>
        <w:pStyle w:val="Textonotapie"/>
        <w:rPr>
          <w:rFonts w:ascii="Verdana" w:hAnsi="Verdana"/>
          <w:sz w:val="16"/>
          <w:szCs w:val="16"/>
          <w:lang w:val="es-CO"/>
        </w:rPr>
      </w:pPr>
    </w:p>
  </w:footnote>
  <w:footnote w:id="3">
    <w:p w14:paraId="7602C89D" w14:textId="77777777" w:rsidR="001A352A" w:rsidRPr="003F1FA1" w:rsidRDefault="001A352A" w:rsidP="001A352A">
      <w:pPr>
        <w:pStyle w:val="Textonotapie"/>
        <w:ind w:firstLine="709"/>
        <w:jc w:val="both"/>
        <w:rPr>
          <w:rFonts w:ascii="Verdana" w:hAnsi="Verdana"/>
          <w:sz w:val="16"/>
          <w:szCs w:val="16"/>
          <w:lang w:val="es-CO"/>
        </w:rPr>
      </w:pPr>
      <w:r w:rsidRPr="003F1FA1">
        <w:rPr>
          <w:rStyle w:val="Refdenotaalpie"/>
          <w:rFonts w:ascii="Verdana" w:hAnsi="Verdana"/>
          <w:sz w:val="16"/>
          <w:szCs w:val="16"/>
          <w:lang w:val="es-CO"/>
        </w:rPr>
        <w:footnoteRef/>
      </w:r>
      <w:r w:rsidRPr="003F1FA1">
        <w:rPr>
          <w:rFonts w:ascii="Verdana" w:hAnsi="Verdana"/>
          <w:sz w:val="16"/>
          <w:szCs w:val="16"/>
          <w:lang w:val="es-CO"/>
        </w:rPr>
        <w:t xml:space="preserve"> Las entidades territoriales tienen autonomía en materia de planeación del desarrollo económico, social y de la gestión ambiental, en el marco de las competencias, recursos y responsabilidades que les ha atribuido la Constitución y la ley.</w:t>
      </w:r>
    </w:p>
    <w:p w14:paraId="63D7324F" w14:textId="77777777" w:rsidR="001A352A" w:rsidRPr="003F1FA1" w:rsidRDefault="001A352A" w:rsidP="001A352A">
      <w:pPr>
        <w:pStyle w:val="Textonotapie"/>
        <w:jc w:val="both"/>
        <w:rPr>
          <w:rFonts w:ascii="Verdana" w:hAnsi="Verdana"/>
          <w:sz w:val="16"/>
          <w:szCs w:val="16"/>
          <w:lang w:val="es-CO"/>
        </w:rPr>
      </w:pPr>
      <w:r w:rsidRPr="003F1FA1">
        <w:rPr>
          <w:rFonts w:ascii="Verdana" w:hAnsi="Verdana"/>
          <w:sz w:val="16"/>
          <w:szCs w:val="16"/>
          <w:lang w:val="es-CO"/>
        </w:rPr>
        <w:t>Los planes de desarrollo de las entidades territoriales, sin perjuicio de su autonomía, deberán tener en cuenta para su elaboración las políticas y estrategias del Plan Nacional de Desarrollo para garantizar la coherencia.</w:t>
      </w:r>
    </w:p>
    <w:p w14:paraId="51B1E387" w14:textId="77777777" w:rsidR="001A352A" w:rsidRPr="003F1FA1" w:rsidRDefault="001A352A" w:rsidP="001A352A">
      <w:pPr>
        <w:pStyle w:val="Textonotapie"/>
        <w:rPr>
          <w:rFonts w:ascii="Verdana" w:hAnsi="Verdana"/>
          <w:sz w:val="16"/>
          <w:szCs w:val="16"/>
          <w:lang w:val="es-CO"/>
        </w:rPr>
      </w:pPr>
    </w:p>
  </w:footnote>
  <w:footnote w:id="4">
    <w:p w14:paraId="3072A249" w14:textId="77777777" w:rsidR="001A352A" w:rsidRPr="003F1FA1" w:rsidRDefault="001A352A" w:rsidP="001A352A">
      <w:pPr>
        <w:pStyle w:val="Textonotapie"/>
        <w:ind w:firstLine="709"/>
        <w:jc w:val="both"/>
        <w:rPr>
          <w:rFonts w:ascii="Verdana" w:hAnsi="Verdana"/>
          <w:sz w:val="16"/>
          <w:szCs w:val="16"/>
          <w:lang w:val="es-CO"/>
        </w:rPr>
      </w:pPr>
      <w:r w:rsidRPr="003F1FA1">
        <w:rPr>
          <w:rStyle w:val="Refdenotaalpie"/>
          <w:rFonts w:ascii="Verdana" w:hAnsi="Verdana"/>
          <w:sz w:val="16"/>
          <w:szCs w:val="16"/>
          <w:lang w:val="es-CO"/>
        </w:rPr>
        <w:footnoteRef/>
      </w:r>
      <w:r w:rsidRPr="003F1FA1">
        <w:rPr>
          <w:rFonts w:ascii="Verdana" w:hAnsi="Verdana"/>
          <w:sz w:val="16"/>
          <w:szCs w:val="16"/>
          <w:lang w:val="es-CO"/>
        </w:rPr>
        <w:t xml:space="preserve">  Artículo 200.</w:t>
      </w:r>
      <w:r w:rsidRPr="003F1FA1">
        <w:rPr>
          <w:rFonts w:ascii="Verdana" w:hAnsi="Verdana"/>
          <w:i/>
          <w:iCs/>
          <w:sz w:val="16"/>
          <w:szCs w:val="16"/>
          <w:lang w:val="es-CO"/>
        </w:rPr>
        <w:t> Estrategia nacional de lucha contra la corrupción</w:t>
      </w:r>
      <w:r w:rsidRPr="003F1FA1">
        <w:rPr>
          <w:rFonts w:ascii="Verdana" w:hAnsi="Verdana"/>
          <w:sz w:val="16"/>
          <w:szCs w:val="16"/>
          <w:lang w:val="es-CO"/>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38C8A81B" w14:textId="77777777" w:rsidR="001A352A" w:rsidRPr="003F1FA1" w:rsidRDefault="001A352A" w:rsidP="001A352A">
      <w:pPr>
        <w:pStyle w:val="Textonotapie"/>
        <w:ind w:firstLine="709"/>
        <w:jc w:val="both"/>
        <w:rPr>
          <w:rFonts w:ascii="Verdana" w:hAnsi="Verdana"/>
          <w:sz w:val="16"/>
          <w:szCs w:val="16"/>
          <w:lang w:val="es-CO"/>
        </w:rPr>
      </w:pPr>
      <w:r w:rsidRPr="003F1FA1">
        <w:rPr>
          <w:rFonts w:ascii="Verdana" w:hAnsi="Verdana"/>
          <w:sz w:val="16"/>
          <w:szCs w:val="16"/>
          <w:lang w:val="es-CO"/>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04E5E8A2" w14:textId="77777777" w:rsidR="001A352A" w:rsidRPr="003F1FA1" w:rsidRDefault="001A352A" w:rsidP="001A352A">
      <w:pPr>
        <w:pStyle w:val="Textonotapie"/>
        <w:ind w:firstLine="709"/>
        <w:jc w:val="both"/>
        <w:rPr>
          <w:rFonts w:ascii="Verdana" w:hAnsi="Verdana"/>
          <w:sz w:val="16"/>
          <w:szCs w:val="16"/>
          <w:lang w:val="es-CO"/>
        </w:rPr>
      </w:pPr>
      <w:r w:rsidRPr="003F1FA1">
        <w:rPr>
          <w:rFonts w:ascii="Verdana" w:hAnsi="Verdana"/>
          <w:sz w:val="16"/>
          <w:szCs w:val="16"/>
          <w:lang w:val="es-CO"/>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031A33A5" w14:textId="77777777" w:rsidR="001A352A" w:rsidRPr="003F1FA1" w:rsidRDefault="001A352A" w:rsidP="001A352A">
      <w:pPr>
        <w:pStyle w:val="Textonotapie"/>
        <w:ind w:firstLine="709"/>
        <w:jc w:val="both"/>
        <w:rPr>
          <w:rFonts w:ascii="Verdana" w:hAnsi="Verdana"/>
          <w:sz w:val="16"/>
          <w:szCs w:val="16"/>
          <w:lang w:val="es-CO"/>
        </w:rPr>
      </w:pPr>
      <w:r w:rsidRPr="003F1FA1">
        <w:rPr>
          <w:rFonts w:ascii="Verdana" w:hAnsi="Verdana"/>
          <w:sz w:val="16"/>
          <w:szCs w:val="16"/>
          <w:lang w:val="es-CO"/>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1F3BFB8A" w14:textId="77777777" w:rsidR="001A352A" w:rsidRPr="003F1FA1" w:rsidRDefault="001A352A" w:rsidP="001A352A">
      <w:pPr>
        <w:pStyle w:val="Textonotapie"/>
        <w:ind w:firstLine="709"/>
        <w:jc w:val="both"/>
        <w:rPr>
          <w:rFonts w:ascii="Verdana" w:hAnsi="Verdana"/>
          <w:sz w:val="16"/>
          <w:szCs w:val="16"/>
          <w:lang w:val="es-CO"/>
        </w:rPr>
      </w:pPr>
      <w:r w:rsidRPr="003F1FA1">
        <w:rPr>
          <w:rFonts w:ascii="Verdana" w:hAnsi="Verdana"/>
          <w:sz w:val="16"/>
          <w:szCs w:val="16"/>
          <w:lang w:val="es-CO"/>
        </w:rPr>
        <w:t>Parágrafo 1°. En la estrategia se contemplarán los mecanismos para el seguimiento y control de los recursos públicos administrados mediante fondos o patrimonios autónomos. </w:t>
      </w:r>
    </w:p>
    <w:p w14:paraId="5B2D9242" w14:textId="77777777" w:rsidR="001A352A" w:rsidRPr="003F1FA1" w:rsidRDefault="001A352A" w:rsidP="001A352A">
      <w:pPr>
        <w:pStyle w:val="Textonotapie"/>
        <w:ind w:firstLine="709"/>
        <w:jc w:val="both"/>
        <w:rPr>
          <w:rFonts w:ascii="Verdana" w:hAnsi="Verdana"/>
          <w:sz w:val="16"/>
          <w:szCs w:val="16"/>
          <w:lang w:val="es-CO"/>
        </w:rPr>
      </w:pPr>
      <w:r w:rsidRPr="003F1FA1">
        <w:rPr>
          <w:rFonts w:ascii="Verdana" w:hAnsi="Verdana"/>
          <w:sz w:val="16"/>
          <w:szCs w:val="16"/>
          <w:lang w:val="es-CO"/>
        </w:rPr>
        <w:t>Parágrafo 2°.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7E50D680" w14:textId="77777777" w:rsidR="001A352A" w:rsidRPr="003F1FA1" w:rsidRDefault="001A352A" w:rsidP="001A352A">
      <w:pPr>
        <w:pStyle w:val="Textonotapie"/>
        <w:ind w:firstLine="709"/>
        <w:jc w:val="both"/>
        <w:rPr>
          <w:rFonts w:ascii="Verdana" w:hAnsi="Verdana"/>
          <w:sz w:val="16"/>
          <w:szCs w:val="16"/>
          <w:lang w:val="es-CO"/>
        </w:rPr>
      </w:pPr>
      <w:r w:rsidRPr="003F1FA1">
        <w:rPr>
          <w:rFonts w:ascii="Verdana" w:hAnsi="Verdana"/>
          <w:sz w:val="16"/>
          <w:szCs w:val="16"/>
          <w:lang w:val="es-CO"/>
        </w:rPr>
        <w:t>Parágrafo 3°. Dentro del año siguiente a la entrada en vigor de la presente ley, el Gobierno nacional formulará y adoptará la Estrategia Nacional de Lucha Contra la Corrupción. </w:t>
      </w:r>
    </w:p>
    <w:p w14:paraId="7E41D53F" w14:textId="77777777" w:rsidR="001A352A" w:rsidRPr="003F1FA1" w:rsidRDefault="001A352A" w:rsidP="001A352A">
      <w:pPr>
        <w:pStyle w:val="Textonotapie"/>
        <w:rPr>
          <w:rFonts w:ascii="Verdana" w:hAnsi="Verdana"/>
          <w:sz w:val="16"/>
          <w:szCs w:val="16"/>
          <w:lang w:val="es-CO"/>
        </w:rPr>
      </w:pPr>
    </w:p>
  </w:footnote>
  <w:footnote w:id="5">
    <w:p w14:paraId="7050345E" w14:textId="77777777" w:rsidR="00645197" w:rsidRPr="003F1FA1" w:rsidRDefault="00645197" w:rsidP="00645197">
      <w:pPr>
        <w:pStyle w:val="Textonotapie"/>
        <w:ind w:firstLine="708"/>
        <w:jc w:val="both"/>
        <w:rPr>
          <w:rFonts w:ascii="Verdana" w:hAnsi="Verdana" w:cs="Arial"/>
          <w:sz w:val="16"/>
          <w:szCs w:val="16"/>
          <w:lang w:val="es-CO"/>
        </w:rPr>
      </w:pPr>
      <w:r w:rsidRPr="003F1FA1">
        <w:rPr>
          <w:rStyle w:val="Refdenotaalpie"/>
          <w:rFonts w:ascii="Verdana" w:hAnsi="Verdana" w:cs="Arial"/>
          <w:sz w:val="16"/>
          <w:szCs w:val="16"/>
        </w:rPr>
        <w:footnoteRef/>
      </w:r>
      <w:r w:rsidRPr="003F1FA1">
        <w:rPr>
          <w:rFonts w:ascii="Verdana" w:hAnsi="Verdana" w:cs="Arial"/>
          <w:sz w:val="16"/>
          <w:szCs w:val="16"/>
        </w:rPr>
        <w:t xml:space="preserve"> </w:t>
      </w:r>
      <w:r w:rsidRPr="003F1FA1">
        <w:rPr>
          <w:rFonts w:ascii="Verdana" w:hAnsi="Verdana" w:cs="Arial"/>
          <w:color w:val="2D2D2D"/>
          <w:sz w:val="16"/>
          <w:szCs w:val="16"/>
          <w:shd w:val="clear" w:color="auto" w:fill="FFFFFF"/>
        </w:rPr>
        <w:t>Sentencia C-1016/12</w:t>
      </w:r>
    </w:p>
  </w:footnote>
  <w:footnote w:id="6">
    <w:p w14:paraId="2680A7C6" w14:textId="77777777" w:rsidR="00227B88" w:rsidRPr="007A5A67" w:rsidRDefault="00227B88" w:rsidP="00227B88">
      <w:pPr>
        <w:pStyle w:val="Textonotapie"/>
        <w:ind w:firstLine="709"/>
        <w:jc w:val="both"/>
        <w:rPr>
          <w:rFonts w:ascii="Verdana" w:hAnsi="Verdana" w:cs="Arial"/>
          <w:sz w:val="16"/>
          <w:szCs w:val="16"/>
          <w:lang w:val="es-ES_tradnl"/>
        </w:rPr>
      </w:pPr>
      <w:r w:rsidRPr="007A5A67">
        <w:rPr>
          <w:rStyle w:val="Refdenotaalpie"/>
          <w:rFonts w:ascii="Verdana" w:hAnsi="Verdana" w:cs="Arial"/>
          <w:sz w:val="16"/>
          <w:szCs w:val="16"/>
        </w:rPr>
        <w:footnoteRef/>
      </w:r>
      <w:r w:rsidRPr="007A5A67">
        <w:rPr>
          <w:rFonts w:ascii="Verdana" w:hAnsi="Verdana" w:cs="Arial"/>
          <w:sz w:val="16"/>
          <w:szCs w:val="16"/>
        </w:rPr>
        <w:t xml:space="preserve"> </w:t>
      </w:r>
      <w:r w:rsidRPr="007A5A67">
        <w:rPr>
          <w:rFonts w:ascii="Verdana" w:hAnsi="Verdana" w:cs="Arial"/>
          <w:sz w:val="16"/>
          <w:szCs w:val="16"/>
          <w:lang w:val="pt-BR"/>
        </w:rPr>
        <w:t>CORTE CONSTITUCIONAL. Sentencia C-1016 de 2012. M.P. Jorge Iván Palacio.</w:t>
      </w:r>
    </w:p>
  </w:footnote>
  <w:footnote w:id="7">
    <w:p w14:paraId="30B12515" w14:textId="77777777" w:rsidR="00227B88" w:rsidRPr="007A5A67" w:rsidRDefault="00227B88" w:rsidP="00227B88">
      <w:pPr>
        <w:pStyle w:val="Textonotapie"/>
        <w:ind w:firstLine="709"/>
        <w:jc w:val="both"/>
        <w:rPr>
          <w:rFonts w:ascii="Verdana" w:hAnsi="Verdana" w:cs="Arial"/>
          <w:sz w:val="16"/>
          <w:szCs w:val="16"/>
          <w:lang w:val="pt-BR"/>
        </w:rPr>
      </w:pPr>
      <w:r w:rsidRPr="007A5A67">
        <w:rPr>
          <w:rStyle w:val="Refdenotaalpie"/>
          <w:rFonts w:ascii="Verdana" w:hAnsi="Verdana" w:cs="Arial"/>
          <w:sz w:val="16"/>
          <w:szCs w:val="16"/>
        </w:rPr>
        <w:footnoteRef/>
      </w:r>
      <w:r w:rsidRPr="007A5A67">
        <w:rPr>
          <w:rFonts w:ascii="Verdana" w:hAnsi="Verdana" w:cs="Arial"/>
          <w:sz w:val="16"/>
          <w:szCs w:val="16"/>
        </w:rPr>
        <w:t xml:space="preserve"> CONSEJO DE ESTADO. Sección Tercera. Subsección A. Sentencia del 13 de noviembre de 2013. </w:t>
      </w:r>
      <w:r w:rsidRPr="007A5A67">
        <w:rPr>
          <w:rFonts w:ascii="Verdana" w:hAnsi="Verdana" w:cs="Arial"/>
          <w:sz w:val="16"/>
          <w:szCs w:val="16"/>
          <w:lang w:val="pt-BR"/>
        </w:rPr>
        <w:t>Rad. 25.646. C.P. Mauricio Fajardo Gómez.</w:t>
      </w:r>
    </w:p>
  </w:footnote>
  <w:footnote w:id="8">
    <w:p w14:paraId="16E85B6A" w14:textId="77777777" w:rsidR="00227B88" w:rsidRPr="007A5A67" w:rsidRDefault="00227B88" w:rsidP="00227B88">
      <w:pPr>
        <w:pStyle w:val="Textonotapie"/>
        <w:ind w:firstLine="709"/>
        <w:jc w:val="both"/>
        <w:rPr>
          <w:rFonts w:ascii="Verdana" w:hAnsi="Verdana" w:cs="Arial"/>
          <w:sz w:val="16"/>
          <w:szCs w:val="16"/>
          <w:lang w:val="pt-BR"/>
        </w:rPr>
      </w:pPr>
      <w:r w:rsidRPr="007A5A67">
        <w:rPr>
          <w:rStyle w:val="Refdenotaalpie"/>
          <w:rFonts w:ascii="Verdana" w:hAnsi="Verdana" w:cs="Arial"/>
          <w:sz w:val="16"/>
          <w:szCs w:val="16"/>
        </w:rPr>
        <w:footnoteRef/>
      </w:r>
      <w:r w:rsidRPr="007A5A67">
        <w:rPr>
          <w:rFonts w:ascii="Verdana" w:hAnsi="Verdana" w:cs="Arial"/>
          <w:sz w:val="16"/>
          <w:szCs w:val="16"/>
          <w:lang w:val="pt-BR"/>
        </w:rPr>
        <w:t xml:space="preserve"> CORTE CONSTITUCIONAL. Sentencia C-415 de 1994. M.P. Eduardo </w:t>
      </w:r>
      <w:proofErr w:type="spellStart"/>
      <w:r w:rsidRPr="007A5A67">
        <w:rPr>
          <w:rFonts w:ascii="Verdana" w:hAnsi="Verdana" w:cs="Arial"/>
          <w:sz w:val="16"/>
          <w:szCs w:val="16"/>
          <w:lang w:val="pt-BR"/>
        </w:rPr>
        <w:t>Cifuentes</w:t>
      </w:r>
      <w:proofErr w:type="spellEnd"/>
      <w:r w:rsidRPr="007A5A67">
        <w:rPr>
          <w:rFonts w:ascii="Verdana" w:hAnsi="Verdana" w:cs="Arial"/>
          <w:sz w:val="16"/>
          <w:szCs w:val="16"/>
          <w:lang w:val="pt-BR"/>
        </w:rPr>
        <w:t xml:space="preserve"> </w:t>
      </w:r>
      <w:proofErr w:type="spellStart"/>
      <w:r w:rsidRPr="007A5A67">
        <w:rPr>
          <w:rFonts w:ascii="Verdana" w:hAnsi="Verdana" w:cs="Arial"/>
          <w:sz w:val="16"/>
          <w:szCs w:val="16"/>
          <w:lang w:val="pt-BR"/>
        </w:rPr>
        <w:t>Muñoz</w:t>
      </w:r>
      <w:proofErr w:type="spellEnd"/>
      <w:r w:rsidRPr="007A5A67">
        <w:rPr>
          <w:rFonts w:ascii="Verdana" w:hAnsi="Verdana" w:cs="Arial"/>
          <w:sz w:val="16"/>
          <w:szCs w:val="16"/>
          <w:lang w:val="pt-BR"/>
        </w:rPr>
        <w:t>.</w:t>
      </w:r>
    </w:p>
  </w:footnote>
  <w:footnote w:id="9">
    <w:p w14:paraId="6B07C19B" w14:textId="77777777" w:rsidR="00227B88" w:rsidRPr="007A5A67" w:rsidRDefault="00227B88" w:rsidP="00227B88">
      <w:pPr>
        <w:pStyle w:val="Textonotapie"/>
        <w:ind w:firstLine="709"/>
        <w:jc w:val="both"/>
        <w:rPr>
          <w:rFonts w:ascii="Verdana" w:hAnsi="Verdana" w:cs="Arial"/>
          <w:sz w:val="16"/>
          <w:szCs w:val="16"/>
          <w:lang w:val="pt-BR"/>
        </w:rPr>
      </w:pPr>
      <w:r w:rsidRPr="007A5A67">
        <w:rPr>
          <w:rStyle w:val="Refdenotaalpie"/>
          <w:rFonts w:ascii="Verdana" w:hAnsi="Verdana" w:cs="Arial"/>
          <w:sz w:val="16"/>
          <w:szCs w:val="16"/>
        </w:rPr>
        <w:footnoteRef/>
      </w:r>
      <w:r w:rsidRPr="007A5A67">
        <w:rPr>
          <w:rFonts w:ascii="Verdana" w:hAnsi="Verdana" w:cs="Arial"/>
          <w:sz w:val="16"/>
          <w:szCs w:val="16"/>
          <w:lang w:val="pt-BR"/>
        </w:rPr>
        <w:t xml:space="preserve"> Ibidem.</w:t>
      </w:r>
    </w:p>
  </w:footnote>
  <w:footnote w:id="10">
    <w:p w14:paraId="239B37D1" w14:textId="77777777" w:rsidR="00227B88" w:rsidRPr="007A5A67" w:rsidRDefault="00227B88" w:rsidP="00227B88">
      <w:pPr>
        <w:pStyle w:val="Textonotapie"/>
        <w:ind w:firstLine="709"/>
        <w:jc w:val="both"/>
        <w:rPr>
          <w:rFonts w:ascii="Verdana" w:hAnsi="Verdana" w:cs="Arial"/>
          <w:sz w:val="16"/>
          <w:szCs w:val="16"/>
          <w:lang w:val="es-CO"/>
        </w:rPr>
      </w:pPr>
      <w:r w:rsidRPr="007A5A67">
        <w:rPr>
          <w:rStyle w:val="Refdenotaalpie"/>
          <w:rFonts w:ascii="Verdana" w:hAnsi="Verdana" w:cs="Arial"/>
          <w:sz w:val="16"/>
          <w:szCs w:val="16"/>
        </w:rPr>
        <w:footnoteRef/>
      </w:r>
      <w:r w:rsidRPr="007A5A67">
        <w:rPr>
          <w:rFonts w:ascii="Verdana" w:hAnsi="Verdana" w:cs="Arial"/>
          <w:sz w:val="16"/>
          <w:szCs w:val="16"/>
          <w:lang w:val="pt-BR"/>
        </w:rPr>
        <w:t xml:space="preserve"> CORTE CONSTITUCIONAL. </w:t>
      </w:r>
      <w:r w:rsidRPr="007A5A67">
        <w:rPr>
          <w:rFonts w:ascii="Verdana" w:hAnsi="Verdana" w:cs="Arial"/>
          <w:sz w:val="16"/>
          <w:szCs w:val="16"/>
        </w:rPr>
        <w:t xml:space="preserve">Sentencia C-780 de 2001. </w:t>
      </w:r>
      <w:r w:rsidRPr="007A5A67">
        <w:rPr>
          <w:rFonts w:ascii="Verdana" w:hAnsi="Verdana" w:cs="Arial"/>
          <w:sz w:val="16"/>
          <w:szCs w:val="16"/>
          <w:lang w:val="es-CO"/>
        </w:rPr>
        <w:t xml:space="preserve">M.P. Jaime Córdoba Triviño. </w:t>
      </w:r>
    </w:p>
  </w:footnote>
  <w:footnote w:id="11">
    <w:p w14:paraId="14B924F8" w14:textId="77777777" w:rsidR="00227B88" w:rsidRPr="007A5A67" w:rsidRDefault="00227B88" w:rsidP="00227B88">
      <w:pPr>
        <w:pStyle w:val="Textonotapie"/>
        <w:ind w:firstLine="709"/>
        <w:jc w:val="both"/>
        <w:rPr>
          <w:rFonts w:ascii="Verdana" w:hAnsi="Verdana" w:cs="Arial"/>
          <w:sz w:val="16"/>
          <w:szCs w:val="16"/>
        </w:rPr>
      </w:pPr>
      <w:r w:rsidRPr="007A5A67">
        <w:rPr>
          <w:rStyle w:val="Refdenotaalpie"/>
          <w:rFonts w:ascii="Verdana" w:hAnsi="Verdana" w:cs="Arial"/>
          <w:sz w:val="16"/>
          <w:szCs w:val="16"/>
        </w:rPr>
        <w:footnoteRef/>
      </w:r>
      <w:r w:rsidRPr="007A5A67">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1DCC01FB" w14:textId="77777777" w:rsidR="00227B88" w:rsidRPr="007A5A67" w:rsidRDefault="00227B88" w:rsidP="00227B88">
      <w:pPr>
        <w:pStyle w:val="Textonotapie"/>
        <w:ind w:firstLine="709"/>
        <w:jc w:val="both"/>
        <w:rPr>
          <w:rFonts w:ascii="Verdana" w:hAnsi="Verdana" w:cs="Arial"/>
          <w:sz w:val="16"/>
          <w:szCs w:val="16"/>
        </w:rPr>
      </w:pPr>
      <w:r w:rsidRPr="007A5A67">
        <w:rPr>
          <w:rFonts w:ascii="Verdana" w:hAnsi="Verdana" w:cs="Arial"/>
          <w:sz w:val="16"/>
          <w:szCs w:val="16"/>
        </w:rPr>
        <w:t>Las personas jurídicas nacionales y extranjeras deberán acreditar que su duración no será inferior a la del plazo del contrato y un año más”.</w:t>
      </w:r>
    </w:p>
  </w:footnote>
  <w:footnote w:id="12">
    <w:p w14:paraId="3674C364" w14:textId="77777777" w:rsidR="00227B88" w:rsidRPr="007A5A67" w:rsidRDefault="00227B88" w:rsidP="00227B88">
      <w:pPr>
        <w:pStyle w:val="Textonotapie"/>
        <w:ind w:firstLine="709"/>
        <w:jc w:val="both"/>
        <w:rPr>
          <w:rFonts w:ascii="Verdana" w:hAnsi="Verdana" w:cs="Arial"/>
          <w:sz w:val="16"/>
          <w:szCs w:val="16"/>
        </w:rPr>
      </w:pPr>
      <w:r w:rsidRPr="007A5A67">
        <w:rPr>
          <w:rStyle w:val="Refdenotaalpie"/>
          <w:rFonts w:ascii="Verdana" w:hAnsi="Verdana" w:cs="Arial"/>
          <w:sz w:val="16"/>
          <w:szCs w:val="16"/>
        </w:rPr>
        <w:footnoteRef/>
      </w:r>
      <w:r w:rsidRPr="007A5A67">
        <w:rPr>
          <w:rFonts w:ascii="Verdana" w:hAnsi="Verdana" w:cs="Arial"/>
          <w:sz w:val="16"/>
          <w:szCs w:val="16"/>
        </w:rPr>
        <w:t xml:space="preserve"> Código Civil: “Artículo 1502. Requisitos para obligarse. Para que una persona se obligue a otra por un acto o declaración de voluntad, es necesario:</w:t>
      </w:r>
    </w:p>
    <w:p w14:paraId="38789890" w14:textId="77777777" w:rsidR="00227B88" w:rsidRPr="007A5A67" w:rsidRDefault="00227B88" w:rsidP="00227B88">
      <w:pPr>
        <w:pStyle w:val="Textonotapie"/>
        <w:ind w:firstLine="709"/>
        <w:jc w:val="both"/>
        <w:rPr>
          <w:rFonts w:ascii="Verdana" w:hAnsi="Verdana" w:cs="Arial"/>
          <w:sz w:val="16"/>
          <w:szCs w:val="16"/>
        </w:rPr>
      </w:pPr>
      <w:r w:rsidRPr="007A5A67">
        <w:rPr>
          <w:rFonts w:ascii="Verdana" w:hAnsi="Verdana" w:cs="Arial"/>
          <w:sz w:val="16"/>
          <w:szCs w:val="16"/>
        </w:rPr>
        <w:t>1o.) que sea legalmente capaz.</w:t>
      </w:r>
    </w:p>
    <w:p w14:paraId="05819FDD" w14:textId="77777777" w:rsidR="00227B88" w:rsidRPr="007A5A67" w:rsidRDefault="00227B88" w:rsidP="00227B88">
      <w:pPr>
        <w:pStyle w:val="Textonotapie"/>
        <w:ind w:firstLine="709"/>
        <w:jc w:val="both"/>
        <w:rPr>
          <w:rFonts w:ascii="Verdana" w:hAnsi="Verdana" w:cs="Arial"/>
          <w:sz w:val="16"/>
          <w:szCs w:val="16"/>
        </w:rPr>
      </w:pPr>
      <w:r w:rsidRPr="007A5A67">
        <w:rPr>
          <w:rFonts w:ascii="Verdana" w:hAnsi="Verdana" w:cs="Arial"/>
          <w:sz w:val="16"/>
          <w:szCs w:val="16"/>
        </w:rPr>
        <w:t>[…]</w:t>
      </w:r>
    </w:p>
    <w:p w14:paraId="58DE82B4" w14:textId="77777777" w:rsidR="00227B88" w:rsidRPr="007A5A67" w:rsidRDefault="00227B88" w:rsidP="00227B88">
      <w:pPr>
        <w:pStyle w:val="Textonotapie"/>
        <w:ind w:firstLine="709"/>
        <w:jc w:val="both"/>
        <w:rPr>
          <w:rFonts w:ascii="Verdana" w:hAnsi="Verdana" w:cs="Arial"/>
          <w:sz w:val="16"/>
          <w:szCs w:val="16"/>
        </w:rPr>
      </w:pPr>
      <w:r w:rsidRPr="007A5A67">
        <w:rPr>
          <w:rFonts w:ascii="Verdana" w:hAnsi="Verdana" w:cs="Arial"/>
          <w:sz w:val="16"/>
          <w:szCs w:val="16"/>
        </w:rPr>
        <w:t>La capacidad legal de una persona consiste en poderse obligar por sí misma, sin el ministerio o la autorización de otra”.</w:t>
      </w:r>
    </w:p>
  </w:footnote>
  <w:footnote w:id="13">
    <w:p w14:paraId="6B490DAD" w14:textId="77777777" w:rsidR="00227B88" w:rsidRPr="007A5A67" w:rsidRDefault="00227B88" w:rsidP="00227B88">
      <w:pPr>
        <w:pStyle w:val="Textonotapie"/>
        <w:ind w:firstLine="709"/>
        <w:jc w:val="both"/>
        <w:rPr>
          <w:rFonts w:ascii="Verdana" w:hAnsi="Verdana" w:cs="Arial"/>
          <w:sz w:val="16"/>
          <w:szCs w:val="16"/>
        </w:rPr>
      </w:pPr>
      <w:r w:rsidRPr="007A5A67">
        <w:rPr>
          <w:rStyle w:val="Refdenotaalpie"/>
          <w:rFonts w:ascii="Verdana" w:hAnsi="Verdana" w:cs="Arial"/>
          <w:sz w:val="16"/>
          <w:szCs w:val="16"/>
        </w:rPr>
        <w:footnoteRef/>
      </w:r>
      <w:r w:rsidRPr="007A5A67">
        <w:rPr>
          <w:rFonts w:ascii="Verdana" w:hAnsi="Verdana" w:cs="Arial"/>
          <w:sz w:val="16"/>
          <w:szCs w:val="16"/>
        </w:rPr>
        <w:t xml:space="preserve"> Decreto Ley 19 de 2012: “Artículo 221. El artículo 6 de la Ley 1150 de 2007, quedará así:</w:t>
      </w:r>
    </w:p>
    <w:p w14:paraId="6C9EA154" w14:textId="77777777" w:rsidR="00227B88" w:rsidRPr="007A5A67" w:rsidRDefault="00227B88" w:rsidP="00227B88">
      <w:pPr>
        <w:pStyle w:val="Textonotapie"/>
        <w:ind w:firstLine="709"/>
        <w:jc w:val="both"/>
        <w:rPr>
          <w:rFonts w:ascii="Verdana" w:hAnsi="Verdana" w:cs="Arial"/>
          <w:sz w:val="16"/>
          <w:szCs w:val="16"/>
          <w:lang w:val="es-ES"/>
        </w:rPr>
      </w:pPr>
      <w:r w:rsidRPr="007A5A67">
        <w:rPr>
          <w:rFonts w:ascii="Verdana" w:hAnsi="Verdana" w:cs="Arial"/>
          <w:sz w:val="16"/>
          <w:szCs w:val="16"/>
        </w:rPr>
        <w:t>Artículo 6. De la verificación de las condiciones de los proponentes. T</w:t>
      </w:r>
      <w:proofErr w:type="spellStart"/>
      <w:r w:rsidRPr="007A5A67">
        <w:rPr>
          <w:rFonts w:ascii="Verdana" w:hAnsi="Verdana" w:cs="Arial"/>
          <w:sz w:val="16"/>
          <w:szCs w:val="16"/>
          <w:lang w:val="es-ES"/>
        </w:rPr>
        <w:t>odas</w:t>
      </w:r>
      <w:proofErr w:type="spellEnd"/>
      <w:r w:rsidRPr="007A5A67">
        <w:rPr>
          <w:rFonts w:ascii="Verdana" w:hAnsi="Verdana" w:cs="Arial"/>
          <w:sz w:val="16"/>
          <w:szCs w:val="16"/>
          <w:lang w:val="es-ES"/>
        </w:rPr>
        <w:t xml:space="preserve">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C9FFA8B" w14:textId="77777777" w:rsidR="00227B88" w:rsidRPr="007A5A67" w:rsidRDefault="00227B88" w:rsidP="00227B88">
      <w:pPr>
        <w:pStyle w:val="Textonotapie"/>
        <w:ind w:firstLine="709"/>
        <w:jc w:val="both"/>
        <w:rPr>
          <w:rFonts w:ascii="Verdana" w:hAnsi="Verdana" w:cs="Arial"/>
          <w:sz w:val="16"/>
          <w:szCs w:val="16"/>
          <w:lang w:val="es-ES"/>
        </w:rPr>
      </w:pPr>
      <w:r w:rsidRPr="007A5A67">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14">
    <w:p w14:paraId="405B770B" w14:textId="77777777" w:rsidR="00227B88" w:rsidRPr="007A5A67" w:rsidRDefault="00227B88" w:rsidP="00227B88">
      <w:pPr>
        <w:pStyle w:val="Textonotapie"/>
        <w:ind w:firstLine="709"/>
        <w:jc w:val="both"/>
        <w:rPr>
          <w:rFonts w:ascii="Verdana" w:hAnsi="Verdana" w:cs="Arial"/>
          <w:sz w:val="16"/>
          <w:szCs w:val="16"/>
          <w:lang w:val="es-ES"/>
        </w:rPr>
      </w:pPr>
      <w:r w:rsidRPr="007A5A67">
        <w:rPr>
          <w:rStyle w:val="Refdenotaalpie"/>
          <w:rFonts w:ascii="Verdana" w:hAnsi="Verdana" w:cs="Arial"/>
          <w:sz w:val="16"/>
          <w:szCs w:val="16"/>
        </w:rPr>
        <w:footnoteRef/>
      </w:r>
      <w:r w:rsidRPr="007A5A67">
        <w:rPr>
          <w:rFonts w:ascii="Verdana" w:hAnsi="Verdana" w:cs="Arial"/>
          <w:sz w:val="16"/>
          <w:szCs w:val="16"/>
        </w:rPr>
        <w:t xml:space="preserve"> </w:t>
      </w:r>
      <w:r w:rsidRPr="007A5A67">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7A5A67">
        <w:rPr>
          <w:rFonts w:ascii="Verdana" w:hAnsi="Verdana" w:cs="Arial"/>
          <w:i/>
          <w:iCs/>
          <w:sz w:val="16"/>
          <w:szCs w:val="16"/>
          <w:lang w:val="es-ES"/>
        </w:rPr>
        <w:t>el régimen de inhabilidades e incompatibilidades</w:t>
      </w:r>
      <w:r w:rsidRPr="007A5A67">
        <w:rPr>
          <w:rFonts w:ascii="Verdana" w:hAnsi="Verdana" w:cs="Arial"/>
          <w:sz w:val="16"/>
          <w:szCs w:val="16"/>
          <w:lang w:val="es-ES"/>
        </w:rPr>
        <w:t xml:space="preserve"> (1) y la obligación de ciertos proponentes de inscribirse en el </w:t>
      </w:r>
      <w:r w:rsidRPr="007A5A67">
        <w:rPr>
          <w:rFonts w:ascii="Verdana" w:hAnsi="Verdana" w:cs="Arial"/>
          <w:i/>
          <w:iCs/>
          <w:sz w:val="16"/>
          <w:szCs w:val="16"/>
          <w:lang w:val="es-ES"/>
        </w:rPr>
        <w:t>registro único</w:t>
      </w:r>
      <w:r w:rsidRPr="007A5A67">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5">
    <w:p w14:paraId="0FF2C4F4" w14:textId="77777777" w:rsidR="00227B88" w:rsidRPr="007A5A67" w:rsidRDefault="00227B88" w:rsidP="00227B88">
      <w:pPr>
        <w:pStyle w:val="Textonotapie"/>
        <w:ind w:firstLine="709"/>
        <w:jc w:val="both"/>
        <w:rPr>
          <w:rFonts w:ascii="Verdana" w:hAnsi="Verdana" w:cs="Arial"/>
          <w:sz w:val="16"/>
          <w:szCs w:val="16"/>
        </w:rPr>
      </w:pPr>
      <w:r w:rsidRPr="007A5A67">
        <w:rPr>
          <w:rStyle w:val="Refdenotaalpie"/>
          <w:rFonts w:ascii="Verdana" w:hAnsi="Verdana" w:cs="Arial"/>
          <w:sz w:val="16"/>
          <w:szCs w:val="16"/>
        </w:rPr>
        <w:footnoteRef/>
      </w:r>
      <w:r w:rsidRPr="007A5A67">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w:t>
      </w:r>
      <w:proofErr w:type="gramStart"/>
      <w:r w:rsidRPr="007A5A67">
        <w:rPr>
          <w:rFonts w:ascii="Verdana" w:hAnsi="Verdana" w:cs="Arial"/>
          <w:sz w:val="16"/>
          <w:szCs w:val="16"/>
        </w:rPr>
        <w:t>y</w:t>
      </w:r>
      <w:proofErr w:type="gramEnd"/>
      <w:r w:rsidRPr="007A5A67">
        <w:rPr>
          <w:rFonts w:ascii="Verdana" w:hAnsi="Verdana" w:cs="Arial"/>
          <w:sz w:val="16"/>
          <w:szCs w:val="16"/>
        </w:rPr>
        <w:t xml:space="preserve">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w:t>
      </w:r>
      <w:proofErr w:type="gramStart"/>
      <w:r w:rsidRPr="007A5A67">
        <w:rPr>
          <w:rFonts w:ascii="Verdana" w:hAnsi="Verdana" w:cs="Arial"/>
          <w:sz w:val="16"/>
          <w:szCs w:val="16"/>
        </w:rPr>
        <w:t>que</w:t>
      </w:r>
      <w:proofErr w:type="gramEnd"/>
      <w:r w:rsidRPr="007A5A67">
        <w:rPr>
          <w:rFonts w:ascii="Verdana" w:hAnsi="Verdana" w:cs="Arial"/>
          <w:sz w:val="16"/>
          <w:szCs w:val="16"/>
        </w:rPr>
        <w:t xml:space="preserv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6">
    <w:p w14:paraId="6F7A83F4" w14:textId="77777777" w:rsidR="00227B88" w:rsidRPr="007A5A67" w:rsidRDefault="00227B88" w:rsidP="00227B88">
      <w:pPr>
        <w:pStyle w:val="Textonotapie"/>
        <w:ind w:firstLine="709"/>
        <w:jc w:val="both"/>
        <w:rPr>
          <w:rFonts w:ascii="Verdana" w:hAnsi="Verdana" w:cs="Arial"/>
          <w:sz w:val="16"/>
          <w:szCs w:val="16"/>
          <w:lang w:val="es-ES"/>
        </w:rPr>
      </w:pPr>
      <w:r w:rsidRPr="007A5A67">
        <w:rPr>
          <w:rStyle w:val="Refdenotaalpie"/>
          <w:rFonts w:ascii="Verdana" w:hAnsi="Verdana" w:cs="Arial"/>
          <w:sz w:val="16"/>
          <w:szCs w:val="16"/>
        </w:rPr>
        <w:footnoteRef/>
      </w:r>
      <w:r w:rsidRPr="007A5A67">
        <w:rPr>
          <w:rFonts w:ascii="Verdana" w:hAnsi="Verdana" w:cs="Arial"/>
          <w:sz w:val="16"/>
          <w:szCs w:val="16"/>
        </w:rPr>
        <w:t xml:space="preserve"> </w:t>
      </w:r>
      <w:r w:rsidRPr="007A5A67">
        <w:rPr>
          <w:rFonts w:ascii="Verdana" w:hAnsi="Verdana" w:cs="Arial"/>
          <w:sz w:val="16"/>
          <w:szCs w:val="16"/>
          <w:lang w:val="es-ES"/>
        </w:rPr>
        <w:t xml:space="preserve">BARRETO ROZO, Antonio Alejandro. Inhabilidades de la contratación estatal, efectos y </w:t>
      </w:r>
      <w:proofErr w:type="spellStart"/>
      <w:r w:rsidRPr="007A5A67">
        <w:rPr>
          <w:rFonts w:ascii="Verdana" w:hAnsi="Verdana" w:cs="Arial"/>
          <w:sz w:val="16"/>
          <w:szCs w:val="16"/>
          <w:lang w:val="es-ES"/>
        </w:rPr>
        <w:t>neopunitivismo</w:t>
      </w:r>
      <w:proofErr w:type="spellEnd"/>
      <w:r w:rsidRPr="007A5A67">
        <w:rPr>
          <w:rFonts w:ascii="Verdana" w:hAnsi="Verdana" w:cs="Arial"/>
          <w:sz w:val="16"/>
          <w:szCs w:val="16"/>
          <w:lang w:val="es-ES"/>
        </w:rPr>
        <w:t xml:space="preserve"> en el Estatuto Anticorrupción. En: ALVIAR GARCÍA, Helena (Coordinadora). Nuevas tendencias del Derecho administrativo. Bogotá: Universidad de los Andes; Temis, 2016. pp. 63-99.</w:t>
      </w:r>
    </w:p>
  </w:footnote>
  <w:footnote w:id="17">
    <w:p w14:paraId="4A251423" w14:textId="77777777" w:rsidR="00227B88" w:rsidRPr="007A5A67" w:rsidRDefault="00227B88" w:rsidP="00227B88">
      <w:pPr>
        <w:pStyle w:val="Textonotapie"/>
        <w:ind w:firstLine="709"/>
        <w:jc w:val="both"/>
        <w:rPr>
          <w:rFonts w:ascii="Verdana" w:hAnsi="Verdana"/>
          <w:sz w:val="16"/>
          <w:szCs w:val="16"/>
          <w:lang w:val="es-CO"/>
        </w:rPr>
      </w:pPr>
      <w:r w:rsidRPr="007A5A67">
        <w:rPr>
          <w:rStyle w:val="Refdenotaalpie"/>
          <w:rFonts w:ascii="Verdana" w:hAnsi="Verdana"/>
          <w:sz w:val="16"/>
          <w:szCs w:val="16"/>
        </w:rPr>
        <w:footnoteRef/>
      </w:r>
      <w:r w:rsidRPr="007A5A67">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18">
    <w:p w14:paraId="0B825D28" w14:textId="77777777" w:rsidR="00227B88" w:rsidRPr="007A5A67" w:rsidRDefault="00227B88" w:rsidP="00227B88">
      <w:pPr>
        <w:pStyle w:val="Textonotapie"/>
        <w:ind w:firstLine="708"/>
        <w:jc w:val="both"/>
        <w:rPr>
          <w:rFonts w:ascii="Verdana" w:hAnsi="Verdana"/>
          <w:sz w:val="16"/>
          <w:szCs w:val="16"/>
        </w:rPr>
      </w:pPr>
      <w:r w:rsidRPr="007A5A67">
        <w:rPr>
          <w:rStyle w:val="Refdenotaalpie"/>
          <w:rFonts w:ascii="Verdana" w:hAnsi="Verdana"/>
          <w:sz w:val="16"/>
          <w:szCs w:val="16"/>
        </w:rPr>
        <w:footnoteRef/>
      </w:r>
      <w:r w:rsidRPr="007A5A67">
        <w:rPr>
          <w:rFonts w:ascii="Verdana" w:hAnsi="Verdana"/>
          <w:sz w:val="16"/>
          <w:szCs w:val="16"/>
          <w:lang w:val="pt-BR"/>
        </w:rPr>
        <w:t xml:space="preserve"> CORTE CONSTITUCIONAL. Sentencia C-353 de 2009. </w:t>
      </w:r>
      <w:r w:rsidRPr="007A5A67">
        <w:rPr>
          <w:rFonts w:ascii="Verdana" w:hAnsi="Verdana"/>
          <w:sz w:val="16"/>
          <w:szCs w:val="16"/>
        </w:rPr>
        <w:t xml:space="preserve">M.P. Jorge Iván Palacio </w:t>
      </w:r>
      <w:proofErr w:type="spellStart"/>
      <w:r w:rsidRPr="007A5A67">
        <w:rPr>
          <w:rFonts w:ascii="Verdana" w:hAnsi="Verdana"/>
          <w:sz w:val="16"/>
          <w:szCs w:val="16"/>
        </w:rPr>
        <w:t>Palacio</w:t>
      </w:r>
      <w:proofErr w:type="spellEnd"/>
      <w:r w:rsidRPr="007A5A67">
        <w:rPr>
          <w:rFonts w:ascii="Verdana" w:hAnsi="Verdana"/>
          <w:sz w:val="16"/>
          <w:szCs w:val="16"/>
        </w:rPr>
        <w:t>.</w:t>
      </w:r>
    </w:p>
  </w:footnote>
  <w:footnote w:id="19">
    <w:p w14:paraId="233C843A" w14:textId="77777777" w:rsidR="00227B88" w:rsidRPr="007A5A67" w:rsidRDefault="00227B88" w:rsidP="00227B88">
      <w:pPr>
        <w:pStyle w:val="Textonotapie"/>
        <w:ind w:firstLine="708"/>
        <w:jc w:val="both"/>
        <w:rPr>
          <w:rFonts w:ascii="Verdana" w:hAnsi="Verdana"/>
          <w:sz w:val="16"/>
          <w:szCs w:val="16"/>
        </w:rPr>
      </w:pPr>
      <w:r w:rsidRPr="007A5A67">
        <w:rPr>
          <w:rStyle w:val="Refdenotaalpie"/>
          <w:rFonts w:ascii="Verdana" w:hAnsi="Verdana"/>
          <w:sz w:val="16"/>
          <w:szCs w:val="16"/>
        </w:rPr>
        <w:footnoteRef/>
      </w:r>
      <w:r w:rsidRPr="007A5A67">
        <w:rPr>
          <w:rFonts w:ascii="Verdana" w:hAnsi="Verdana"/>
          <w:sz w:val="16"/>
          <w:szCs w:val="16"/>
        </w:rPr>
        <w:t xml:space="preserve"> El artículo 1 de la Ley 1474 de 2011 dispone que “El literal j) del numeral 1 del artículo 8 de la Ley 80 de 1993 quedará así:</w:t>
      </w:r>
    </w:p>
    <w:p w14:paraId="63A95D7D"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 xml:space="preserve">Las personas naturales que hayan sido declaradas responsables judicialmente por la comisión de delitos contra la Administración Pública cuya pena sea privativa de la libertad o que afecten el patrimonio del Estado </w:t>
      </w:r>
      <w:r w:rsidRPr="007A5A67">
        <w:rPr>
          <w:rFonts w:ascii="Verdana" w:hAnsi="Verdana"/>
          <w:strike/>
          <w:sz w:val="16"/>
          <w:szCs w:val="16"/>
        </w:rPr>
        <w:t>o quienes hayan sido condenados por delitos relacionados con la pertenencia, promoción o financiación de grupos ilegales, delitos de lesa humanidad, narcotráfico en Colombia o en el exterior,</w:t>
      </w:r>
      <w:r w:rsidRPr="007A5A67">
        <w:rPr>
          <w:rFonts w:ascii="Verdana" w:hAnsi="Verdana"/>
          <w:sz w:val="16"/>
          <w:szCs w:val="16"/>
        </w:rPr>
        <w:t xml:space="preserve"> o soborno transnacional, con excepción de delitos culposos.</w:t>
      </w:r>
    </w:p>
    <w:p w14:paraId="73747BFE"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Esta inhabilidad se extenderá a las sociedades en las que sean socias tales personas, a sus matrices y a sus subordinadas, con excepción de las sociedades anónimas abiertas.</w:t>
      </w:r>
    </w:p>
    <w:p w14:paraId="56C5BB94"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La inhabilidad prevista en este literal se extenderá por un término de veinte (20) años” (Artículo declarado EXEQUIBLE, salvo el aparte tachado declarado INEXEQUIBLE, por la Corte Constitucional mediante Sentencia C-630 de 2012. M.P. Mauricio González Cuervo).</w:t>
      </w:r>
    </w:p>
  </w:footnote>
  <w:footnote w:id="20">
    <w:p w14:paraId="7ABA03CA" w14:textId="77777777" w:rsidR="00227B88" w:rsidRPr="007A5A67" w:rsidRDefault="00227B88" w:rsidP="00227B88">
      <w:pPr>
        <w:pStyle w:val="Textonotapie"/>
        <w:ind w:firstLine="708"/>
        <w:jc w:val="both"/>
        <w:rPr>
          <w:rFonts w:ascii="Verdana" w:hAnsi="Verdana"/>
          <w:sz w:val="16"/>
          <w:szCs w:val="16"/>
        </w:rPr>
      </w:pPr>
      <w:r w:rsidRPr="007A5A67">
        <w:rPr>
          <w:rStyle w:val="Refdenotaalpie"/>
          <w:rFonts w:ascii="Verdana" w:hAnsi="Verdana"/>
          <w:sz w:val="16"/>
          <w:szCs w:val="16"/>
        </w:rPr>
        <w:footnoteRef/>
      </w:r>
      <w:r w:rsidRPr="007A5A67">
        <w:rPr>
          <w:rFonts w:ascii="Verdana" w:hAnsi="Verdana"/>
          <w:sz w:val="16"/>
          <w:szCs w:val="16"/>
        </w:rPr>
        <w:t xml:space="preserve"> De acuerdo con el artículo 31 de la Ley 1778 de 2016, “El literal j) del numeral 1 del artículo 8o de la Ley 80 de 1993 quedará así:</w:t>
      </w:r>
    </w:p>
    <w:p w14:paraId="4D305338"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51F5687B"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Esta inhabilidad procederá preventivamente aún en los casos en los que esté pendiente la decisión sobre la impugnación de la sentencia condenatoria.</w:t>
      </w:r>
    </w:p>
    <w:p w14:paraId="4EB6080E"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Asimismo, la inhabilidad se extenderá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w:t>
      </w:r>
    </w:p>
    <w:p w14:paraId="385FE4F7"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 xml:space="preserve">La inhabilidad prevista en este literal se extenderá por un término de veinte (20) años”. </w:t>
      </w:r>
    </w:p>
  </w:footnote>
  <w:footnote w:id="21">
    <w:p w14:paraId="51DFB670" w14:textId="77777777" w:rsidR="00227B88" w:rsidRPr="007A5A67" w:rsidRDefault="00227B88" w:rsidP="00227B88">
      <w:pPr>
        <w:pStyle w:val="Textonotapie"/>
        <w:ind w:firstLine="708"/>
        <w:jc w:val="both"/>
        <w:rPr>
          <w:rFonts w:ascii="Verdana" w:hAnsi="Verdana"/>
          <w:sz w:val="16"/>
          <w:szCs w:val="16"/>
        </w:rPr>
      </w:pPr>
      <w:r w:rsidRPr="007A5A67">
        <w:rPr>
          <w:rStyle w:val="Refdenotaalpie"/>
          <w:rFonts w:ascii="Verdana" w:hAnsi="Verdana"/>
          <w:sz w:val="16"/>
          <w:szCs w:val="16"/>
        </w:rPr>
        <w:footnoteRef/>
      </w:r>
      <w:r w:rsidRPr="007A5A67">
        <w:rPr>
          <w:rFonts w:ascii="Verdana" w:hAnsi="Verdana"/>
          <w:sz w:val="16"/>
          <w:szCs w:val="16"/>
        </w:rPr>
        <w:t xml:space="preserve"> El artículo 2 de la Ley 2014 de 2019 prescribe que “Modifíquese el literal j) del numeral 1 del artículo 8o de la Ley 80 de 1993, el cual quedará así:</w:t>
      </w:r>
    </w:p>
    <w:p w14:paraId="0E66D74F"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1A5EA567"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Esta inhabilidad procederá preventivamente aún en los casos en los que esté pendiente la decisión sobre la impugnación de la sentencia condenatoria.</w:t>
      </w:r>
    </w:p>
    <w:p w14:paraId="3BFC20A2"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 xml:space="preserve">Asimismo, la inhabilidad se extenderá a las </w:t>
      </w:r>
      <w:r w:rsidRPr="007A5A67">
        <w:rPr>
          <w:rFonts w:ascii="Verdana" w:hAnsi="Verdana"/>
          <w:sz w:val="16"/>
          <w:szCs w:val="16"/>
          <w:u w:val="single"/>
        </w:rPr>
        <w:t>sociedades</w:t>
      </w:r>
      <w:r w:rsidRPr="007A5A67">
        <w:rPr>
          <w:rFonts w:ascii="Verdana" w:hAnsi="Verdana"/>
          <w:sz w:val="16"/>
          <w:szCs w:val="16"/>
        </w:rPr>
        <w:t xml:space="preserve">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w:t>
      </w:r>
      <w:r w:rsidRPr="007A5A67">
        <w:rPr>
          <w:rFonts w:ascii="Verdana" w:hAnsi="Verdana"/>
          <w:strike/>
          <w:sz w:val="16"/>
          <w:szCs w:val="16"/>
        </w:rPr>
        <w:t>, con excepción de las sociedades anónimas abiertas</w:t>
      </w:r>
      <w:r w:rsidRPr="007A5A67">
        <w:rPr>
          <w:rFonts w:ascii="Verdana" w:hAnsi="Verdana"/>
          <w:sz w:val="16"/>
          <w:szCs w:val="16"/>
        </w:rPr>
        <w:t>.</w:t>
      </w:r>
    </w:p>
    <w:p w14:paraId="527CB3E1"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150D8E17" w14:textId="77777777" w:rsidR="00227B88" w:rsidRPr="007A5A67" w:rsidRDefault="00227B88" w:rsidP="00227B88">
      <w:pPr>
        <w:pStyle w:val="Textonotapie"/>
        <w:ind w:firstLine="708"/>
        <w:jc w:val="both"/>
        <w:rPr>
          <w:rFonts w:ascii="Verdana" w:hAnsi="Verdana"/>
          <w:sz w:val="16"/>
          <w:szCs w:val="16"/>
        </w:rPr>
      </w:pPr>
      <w:r w:rsidRPr="007A5A67">
        <w:rPr>
          <w:rFonts w:ascii="Verdana" w:hAnsi="Verdana"/>
          <w:sz w:val="16"/>
          <w:szCs w:val="16"/>
        </w:rPr>
        <w:t xml:space="preserve">La inhabilidad prevista en este literal se extenderá de forma permanente a las </w:t>
      </w:r>
      <w:r w:rsidRPr="007A5A67">
        <w:rPr>
          <w:rFonts w:ascii="Verdana" w:hAnsi="Verdana"/>
          <w:sz w:val="16"/>
          <w:szCs w:val="16"/>
          <w:u w:val="single"/>
        </w:rPr>
        <w:t>sociedades</w:t>
      </w:r>
      <w:r w:rsidRPr="007A5A67">
        <w:rPr>
          <w:rFonts w:ascii="Verdana" w:hAnsi="Verdana"/>
          <w:sz w:val="16"/>
          <w:szCs w:val="16"/>
        </w:rPr>
        <w:t xml:space="preserve"> de las que hagan parte dichas personas en las calidades presentadas en los incisos anteriores, y se aplicará de igual forma a las personas naturales que hayan sido declaradas responsables judicialmente por la comisión de delitos mencionados en este literal” (La Corte Constitucional mediante Sentencia C-437 de 2023, con ponencia de la Magistrada Paola Andrea Meneses Mosquera, declaró INEXEQUIBLE el aparte tachado. Asimismo, declaró CONDICIONALMENTE EXEQUIBLE la expresión “sociedades”, en el entendido de que la inhabilidad también se extenderá a todas las personas jurídicas sin ánimo de lucro con capacidad para contratar con el Estado. Por su parte, el inciso segundo de la norma citada fue declarado EXEQUIBLE en la Sentencia C-053 de 2021, con ponencia de dicha magistrada).</w:t>
      </w:r>
    </w:p>
  </w:footnote>
  <w:footnote w:id="22">
    <w:p w14:paraId="4410C98B" w14:textId="77777777" w:rsidR="00227B88" w:rsidRPr="007A5A67" w:rsidRDefault="00227B88" w:rsidP="00227B88">
      <w:pPr>
        <w:pStyle w:val="Textonotapie"/>
        <w:ind w:firstLine="708"/>
        <w:jc w:val="both"/>
        <w:rPr>
          <w:rFonts w:ascii="Verdana" w:hAnsi="Verdana"/>
          <w:sz w:val="16"/>
          <w:szCs w:val="16"/>
        </w:rPr>
      </w:pPr>
      <w:r w:rsidRPr="007A5A67">
        <w:rPr>
          <w:rStyle w:val="Refdenotaalpie"/>
          <w:rFonts w:ascii="Verdana" w:hAnsi="Verdana"/>
          <w:sz w:val="16"/>
          <w:szCs w:val="16"/>
        </w:rPr>
        <w:footnoteRef/>
      </w:r>
      <w:r w:rsidRPr="007A5A67">
        <w:rPr>
          <w:rFonts w:ascii="Verdana" w:hAnsi="Verdana"/>
          <w:sz w:val="16"/>
          <w:szCs w:val="16"/>
        </w:rPr>
        <w:t xml:space="preserve"> La norma dispone que “Es deber de los nacionales y de los extranjeros en Colombia acatar la Constitución y las leyes, y respetar y obedecer a las autoridades”.</w:t>
      </w:r>
    </w:p>
  </w:footnote>
  <w:footnote w:id="23">
    <w:p w14:paraId="5310B462" w14:textId="77777777" w:rsidR="00227B88" w:rsidRPr="007A5A67" w:rsidRDefault="00227B88" w:rsidP="00227B88">
      <w:pPr>
        <w:pStyle w:val="Textonotapie"/>
        <w:ind w:firstLine="708"/>
        <w:jc w:val="both"/>
        <w:rPr>
          <w:rFonts w:ascii="Verdana" w:hAnsi="Verdana"/>
          <w:sz w:val="16"/>
          <w:szCs w:val="16"/>
        </w:rPr>
      </w:pPr>
      <w:r w:rsidRPr="007A5A67">
        <w:rPr>
          <w:rStyle w:val="Refdenotaalpie"/>
          <w:rFonts w:ascii="Verdana" w:hAnsi="Verdana"/>
          <w:sz w:val="16"/>
          <w:szCs w:val="16"/>
        </w:rPr>
        <w:footnoteRef/>
      </w:r>
      <w:r w:rsidRPr="007A5A67">
        <w:rPr>
          <w:rFonts w:ascii="Verdana" w:hAnsi="Verdana"/>
          <w:sz w:val="16"/>
          <w:szCs w:val="16"/>
        </w:rPr>
        <w:t xml:space="preserve"> CONGRESO DE LA REPÚBLICA. Exposición de motivos de la Ley 1474 de 2011. Gaceta del Congreso No. 607 del 7 de septiembre de 2010. p. 17.</w:t>
      </w:r>
    </w:p>
  </w:footnote>
  <w:footnote w:id="24">
    <w:p w14:paraId="42E4FA1B" w14:textId="77777777" w:rsidR="00227B88" w:rsidRPr="007A5A67" w:rsidRDefault="00227B88" w:rsidP="00227B88">
      <w:pPr>
        <w:pStyle w:val="Textonotapie"/>
        <w:ind w:firstLine="708"/>
        <w:jc w:val="both"/>
        <w:rPr>
          <w:rFonts w:ascii="Verdana" w:hAnsi="Verdana"/>
          <w:sz w:val="16"/>
          <w:szCs w:val="16"/>
        </w:rPr>
      </w:pPr>
      <w:r w:rsidRPr="007A5A67">
        <w:rPr>
          <w:rStyle w:val="Refdenotaalpie"/>
          <w:rFonts w:ascii="Verdana" w:hAnsi="Verdana"/>
          <w:sz w:val="16"/>
          <w:szCs w:val="16"/>
        </w:rPr>
        <w:footnoteRef/>
      </w:r>
      <w:r w:rsidRPr="007A5A67">
        <w:rPr>
          <w:rFonts w:ascii="Verdana" w:hAnsi="Verdana"/>
          <w:sz w:val="16"/>
          <w:szCs w:val="16"/>
        </w:rPr>
        <w:t xml:space="preserve"> DÁVILA VINUEZA, Luis Guillermo. Régimen jurídico de la contratación estatal. Tercera edición. Bogotá: Legis, 2016. p. 175.</w:t>
      </w:r>
    </w:p>
  </w:footnote>
  <w:footnote w:id="25">
    <w:p w14:paraId="655BA3DD" w14:textId="77777777" w:rsidR="00227B88" w:rsidRPr="007A5A67" w:rsidRDefault="00227B88" w:rsidP="00227B88">
      <w:pPr>
        <w:pStyle w:val="Textonotapie"/>
        <w:ind w:firstLine="708"/>
        <w:jc w:val="both"/>
        <w:rPr>
          <w:rFonts w:ascii="Verdana" w:hAnsi="Verdana"/>
          <w:sz w:val="16"/>
          <w:szCs w:val="16"/>
          <w:lang w:val="es-CO"/>
        </w:rPr>
      </w:pPr>
      <w:r w:rsidRPr="007A5A67">
        <w:rPr>
          <w:rStyle w:val="Refdenotaalpie"/>
          <w:rFonts w:ascii="Verdana" w:hAnsi="Verdana"/>
          <w:sz w:val="16"/>
          <w:szCs w:val="16"/>
        </w:rPr>
        <w:footnoteRef/>
      </w:r>
      <w:r w:rsidRPr="007A5A67">
        <w:rPr>
          <w:rFonts w:ascii="Verdana" w:hAnsi="Verdana"/>
          <w:sz w:val="16"/>
          <w:szCs w:val="16"/>
        </w:rPr>
        <w:t xml:space="preserve"> </w:t>
      </w:r>
      <w:r w:rsidRPr="007A5A67">
        <w:rPr>
          <w:rFonts w:ascii="Verdana" w:hAnsi="Verdana"/>
          <w:i/>
          <w:iCs/>
          <w:sz w:val="16"/>
          <w:szCs w:val="16"/>
        </w:rPr>
        <w:t>Ibidem</w:t>
      </w:r>
      <w:r w:rsidRPr="007A5A67">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345279"/>
    <w:multiLevelType w:val="hybridMultilevel"/>
    <w:tmpl w:val="1B7008F6"/>
    <w:lvl w:ilvl="0" w:tplc="23DCEFD0">
      <w:start w:val="1"/>
      <w:numFmt w:val="lowerLetter"/>
      <w:lvlText w:val="%1)"/>
      <w:lvlJc w:val="left"/>
      <w:pPr>
        <w:ind w:left="720" w:hanging="360"/>
      </w:pPr>
      <w:rPr>
        <w:rFonts w:hint="default"/>
        <w:i w:val="0"/>
        <w:i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DA8180E"/>
    <w:multiLevelType w:val="hybridMultilevel"/>
    <w:tmpl w:val="F10E4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1C0253"/>
    <w:multiLevelType w:val="hybridMultilevel"/>
    <w:tmpl w:val="C4903D86"/>
    <w:lvl w:ilvl="0" w:tplc="08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1330140246">
    <w:abstractNumId w:val="0"/>
  </w:num>
  <w:num w:numId="17" w16cid:durableId="679089576">
    <w:abstractNumId w:val="11"/>
  </w:num>
  <w:num w:numId="18" w16cid:durableId="1589656138">
    <w:abstractNumId w:val="18"/>
  </w:num>
  <w:num w:numId="19" w16cid:durableId="1326055898">
    <w:abstractNumId w:val="3"/>
  </w:num>
  <w:num w:numId="20" w16cid:durableId="1105030641">
    <w:abstractNumId w:val="5"/>
  </w:num>
  <w:num w:numId="21" w16cid:durableId="164469879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098"/>
    <w:rsid w:val="00046945"/>
    <w:rsid w:val="00061B2A"/>
    <w:rsid w:val="00082362"/>
    <w:rsid w:val="000A683E"/>
    <w:rsid w:val="000B19B9"/>
    <w:rsid w:val="000C002B"/>
    <w:rsid w:val="000D0334"/>
    <w:rsid w:val="000D5DA7"/>
    <w:rsid w:val="000F6486"/>
    <w:rsid w:val="00116940"/>
    <w:rsid w:val="00125105"/>
    <w:rsid w:val="00127233"/>
    <w:rsid w:val="0015699B"/>
    <w:rsid w:val="00165255"/>
    <w:rsid w:val="0018318B"/>
    <w:rsid w:val="001950AE"/>
    <w:rsid w:val="0019632E"/>
    <w:rsid w:val="001A33BF"/>
    <w:rsid w:val="001A352A"/>
    <w:rsid w:val="001B50BA"/>
    <w:rsid w:val="001E4177"/>
    <w:rsid w:val="001F0B24"/>
    <w:rsid w:val="001F7DC6"/>
    <w:rsid w:val="0022400B"/>
    <w:rsid w:val="00227B88"/>
    <w:rsid w:val="002421BB"/>
    <w:rsid w:val="0025796E"/>
    <w:rsid w:val="002707A2"/>
    <w:rsid w:val="0027771F"/>
    <w:rsid w:val="002951A0"/>
    <w:rsid w:val="002962BC"/>
    <w:rsid w:val="002A093D"/>
    <w:rsid w:val="002A0DD0"/>
    <w:rsid w:val="002A49AC"/>
    <w:rsid w:val="002A64FD"/>
    <w:rsid w:val="002B1B61"/>
    <w:rsid w:val="002C64C6"/>
    <w:rsid w:val="002C7A84"/>
    <w:rsid w:val="002E2BF8"/>
    <w:rsid w:val="002E4FD9"/>
    <w:rsid w:val="0030657A"/>
    <w:rsid w:val="00310103"/>
    <w:rsid w:val="00322880"/>
    <w:rsid w:val="00322A85"/>
    <w:rsid w:val="00324168"/>
    <w:rsid w:val="00330834"/>
    <w:rsid w:val="003415DE"/>
    <w:rsid w:val="003448F4"/>
    <w:rsid w:val="003533A3"/>
    <w:rsid w:val="003548F3"/>
    <w:rsid w:val="00365673"/>
    <w:rsid w:val="00374F5E"/>
    <w:rsid w:val="00377E3E"/>
    <w:rsid w:val="003944F5"/>
    <w:rsid w:val="003A779E"/>
    <w:rsid w:val="003D0F4D"/>
    <w:rsid w:val="003D5B0D"/>
    <w:rsid w:val="003E0499"/>
    <w:rsid w:val="003E4F80"/>
    <w:rsid w:val="003E618F"/>
    <w:rsid w:val="003E6439"/>
    <w:rsid w:val="003F1FA1"/>
    <w:rsid w:val="003F3941"/>
    <w:rsid w:val="00406575"/>
    <w:rsid w:val="0041181C"/>
    <w:rsid w:val="00414C74"/>
    <w:rsid w:val="00414D07"/>
    <w:rsid w:val="0042722E"/>
    <w:rsid w:val="0044528D"/>
    <w:rsid w:val="00461F89"/>
    <w:rsid w:val="00466E39"/>
    <w:rsid w:val="004909C5"/>
    <w:rsid w:val="00495A64"/>
    <w:rsid w:val="004A1847"/>
    <w:rsid w:val="004A305D"/>
    <w:rsid w:val="004F21C4"/>
    <w:rsid w:val="004F3A22"/>
    <w:rsid w:val="004F685F"/>
    <w:rsid w:val="005248B3"/>
    <w:rsid w:val="00526A1D"/>
    <w:rsid w:val="00536FBC"/>
    <w:rsid w:val="005566E8"/>
    <w:rsid w:val="005621CD"/>
    <w:rsid w:val="00574867"/>
    <w:rsid w:val="00591460"/>
    <w:rsid w:val="005A65E0"/>
    <w:rsid w:val="005C3777"/>
    <w:rsid w:val="005C51CD"/>
    <w:rsid w:val="005C5CDC"/>
    <w:rsid w:val="005D476C"/>
    <w:rsid w:val="005E5262"/>
    <w:rsid w:val="006031D6"/>
    <w:rsid w:val="00606D2A"/>
    <w:rsid w:val="006200BF"/>
    <w:rsid w:val="006219F8"/>
    <w:rsid w:val="006302F7"/>
    <w:rsid w:val="00645197"/>
    <w:rsid w:val="00646B9F"/>
    <w:rsid w:val="00665D70"/>
    <w:rsid w:val="0068556C"/>
    <w:rsid w:val="006900D9"/>
    <w:rsid w:val="006E3EB6"/>
    <w:rsid w:val="006F4EF3"/>
    <w:rsid w:val="00706C16"/>
    <w:rsid w:val="007340C3"/>
    <w:rsid w:val="0075235A"/>
    <w:rsid w:val="00756841"/>
    <w:rsid w:val="00763A21"/>
    <w:rsid w:val="007649AB"/>
    <w:rsid w:val="00771D0C"/>
    <w:rsid w:val="007833AC"/>
    <w:rsid w:val="00793122"/>
    <w:rsid w:val="007A0ECA"/>
    <w:rsid w:val="007A201B"/>
    <w:rsid w:val="007A5A67"/>
    <w:rsid w:val="007B268C"/>
    <w:rsid w:val="007B7171"/>
    <w:rsid w:val="007C0C0F"/>
    <w:rsid w:val="007C3DC2"/>
    <w:rsid w:val="007D31BF"/>
    <w:rsid w:val="007E202A"/>
    <w:rsid w:val="007E5497"/>
    <w:rsid w:val="00806F5F"/>
    <w:rsid w:val="00813DFD"/>
    <w:rsid w:val="00820278"/>
    <w:rsid w:val="008258C9"/>
    <w:rsid w:val="00837AB9"/>
    <w:rsid w:val="00844AE9"/>
    <w:rsid w:val="00867F95"/>
    <w:rsid w:val="008843B6"/>
    <w:rsid w:val="008876FE"/>
    <w:rsid w:val="00891928"/>
    <w:rsid w:val="00894C7A"/>
    <w:rsid w:val="008A446D"/>
    <w:rsid w:val="008A56FA"/>
    <w:rsid w:val="008B25F1"/>
    <w:rsid w:val="008D180B"/>
    <w:rsid w:val="008D29BC"/>
    <w:rsid w:val="008E7236"/>
    <w:rsid w:val="008F0EA7"/>
    <w:rsid w:val="008F7115"/>
    <w:rsid w:val="009043D7"/>
    <w:rsid w:val="00923EEF"/>
    <w:rsid w:val="009419F9"/>
    <w:rsid w:val="0095685E"/>
    <w:rsid w:val="00961B09"/>
    <w:rsid w:val="00965334"/>
    <w:rsid w:val="0097093E"/>
    <w:rsid w:val="00972232"/>
    <w:rsid w:val="009A0DFA"/>
    <w:rsid w:val="009A1C6F"/>
    <w:rsid w:val="009B2D26"/>
    <w:rsid w:val="009C170F"/>
    <w:rsid w:val="009C71FA"/>
    <w:rsid w:val="009C72E7"/>
    <w:rsid w:val="009C7F7E"/>
    <w:rsid w:val="009D3058"/>
    <w:rsid w:val="009E4D3A"/>
    <w:rsid w:val="009F3A13"/>
    <w:rsid w:val="00A122D3"/>
    <w:rsid w:val="00A1239B"/>
    <w:rsid w:val="00A14468"/>
    <w:rsid w:val="00A17F13"/>
    <w:rsid w:val="00A20739"/>
    <w:rsid w:val="00A23AF9"/>
    <w:rsid w:val="00A33C78"/>
    <w:rsid w:val="00A36E89"/>
    <w:rsid w:val="00A85918"/>
    <w:rsid w:val="00AB0ADB"/>
    <w:rsid w:val="00AD2EFF"/>
    <w:rsid w:val="00AE2DA3"/>
    <w:rsid w:val="00B00C0E"/>
    <w:rsid w:val="00B01B1A"/>
    <w:rsid w:val="00B0381D"/>
    <w:rsid w:val="00B07E27"/>
    <w:rsid w:val="00B1496D"/>
    <w:rsid w:val="00B2147A"/>
    <w:rsid w:val="00B27E78"/>
    <w:rsid w:val="00B30CFA"/>
    <w:rsid w:val="00B44A47"/>
    <w:rsid w:val="00B72CD3"/>
    <w:rsid w:val="00B72FFF"/>
    <w:rsid w:val="00B87441"/>
    <w:rsid w:val="00B95848"/>
    <w:rsid w:val="00BB3125"/>
    <w:rsid w:val="00BC3D36"/>
    <w:rsid w:val="00BD54A6"/>
    <w:rsid w:val="00BD7F72"/>
    <w:rsid w:val="00BF7425"/>
    <w:rsid w:val="00C01984"/>
    <w:rsid w:val="00C04FB3"/>
    <w:rsid w:val="00C11D8B"/>
    <w:rsid w:val="00C15139"/>
    <w:rsid w:val="00C330EB"/>
    <w:rsid w:val="00C50D69"/>
    <w:rsid w:val="00C5365C"/>
    <w:rsid w:val="00C64010"/>
    <w:rsid w:val="00C754BE"/>
    <w:rsid w:val="00C76B1C"/>
    <w:rsid w:val="00C87FA1"/>
    <w:rsid w:val="00C925AC"/>
    <w:rsid w:val="00CB6357"/>
    <w:rsid w:val="00CC1B26"/>
    <w:rsid w:val="00CC1E12"/>
    <w:rsid w:val="00D119C4"/>
    <w:rsid w:val="00D26C7A"/>
    <w:rsid w:val="00D361FD"/>
    <w:rsid w:val="00D423A2"/>
    <w:rsid w:val="00D44E26"/>
    <w:rsid w:val="00D5086C"/>
    <w:rsid w:val="00D520D8"/>
    <w:rsid w:val="00D63AC2"/>
    <w:rsid w:val="00D63E35"/>
    <w:rsid w:val="00D7383B"/>
    <w:rsid w:val="00D7788A"/>
    <w:rsid w:val="00D84752"/>
    <w:rsid w:val="00DA231B"/>
    <w:rsid w:val="00DC39FC"/>
    <w:rsid w:val="00DF5254"/>
    <w:rsid w:val="00E02524"/>
    <w:rsid w:val="00E16408"/>
    <w:rsid w:val="00E20894"/>
    <w:rsid w:val="00E20930"/>
    <w:rsid w:val="00E245AB"/>
    <w:rsid w:val="00E2764C"/>
    <w:rsid w:val="00E27F2E"/>
    <w:rsid w:val="00E50AFE"/>
    <w:rsid w:val="00E622DF"/>
    <w:rsid w:val="00E65849"/>
    <w:rsid w:val="00E75C92"/>
    <w:rsid w:val="00E76F99"/>
    <w:rsid w:val="00E771DC"/>
    <w:rsid w:val="00E86CF8"/>
    <w:rsid w:val="00E8772A"/>
    <w:rsid w:val="00E90F6B"/>
    <w:rsid w:val="00E92C27"/>
    <w:rsid w:val="00EA0E3D"/>
    <w:rsid w:val="00EC38A7"/>
    <w:rsid w:val="00EE1AA8"/>
    <w:rsid w:val="00F07290"/>
    <w:rsid w:val="00F23FEA"/>
    <w:rsid w:val="00F31EDC"/>
    <w:rsid w:val="00F3206B"/>
    <w:rsid w:val="00F462B3"/>
    <w:rsid w:val="00F5664F"/>
    <w:rsid w:val="00F666C4"/>
    <w:rsid w:val="00F734AE"/>
    <w:rsid w:val="00F765E3"/>
    <w:rsid w:val="00F76AFC"/>
    <w:rsid w:val="00FA1B72"/>
    <w:rsid w:val="00FA47C0"/>
    <w:rsid w:val="00FB5481"/>
    <w:rsid w:val="00FB5DD1"/>
    <w:rsid w:val="00FB6979"/>
    <w:rsid w:val="00FC06BE"/>
    <w:rsid w:val="00FC2B5D"/>
    <w:rsid w:val="00FE2B8C"/>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33A5171-A076-4EF9-81F7-D3278A964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4519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45197"/>
    <w:rPr>
      <w:rFonts w:ascii="Geomanist Light" w:hAnsi="Geomanist Light"/>
      <w:lang w:val="es-ES"/>
    </w:rPr>
  </w:style>
  <w:style w:type="character" w:customStyle="1" w:styleId="s15">
    <w:name w:val="s15"/>
    <w:basedOn w:val="Fuentedeprrafopredeter"/>
    <w:rsid w:val="00645197"/>
  </w:style>
  <w:style w:type="character" w:customStyle="1" w:styleId="apple-converted-space">
    <w:name w:val="apple-converted-space"/>
    <w:basedOn w:val="Fuentedeprrafopredeter"/>
    <w:rsid w:val="00645197"/>
  </w:style>
  <w:style w:type="paragraph" w:customStyle="1" w:styleId="s16">
    <w:name w:val="s16"/>
    <w:basedOn w:val="Normal"/>
    <w:rsid w:val="00645197"/>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64519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645197"/>
  </w:style>
  <w:style w:type="character" w:styleId="nfasis">
    <w:name w:val="Emphasis"/>
    <w:basedOn w:val="Fuentedeprrafopredeter"/>
    <w:uiPriority w:val="20"/>
    <w:qFormat/>
    <w:rsid w:val="001A352A"/>
    <w:rPr>
      <w:i/>
      <w:iCs/>
    </w:rPr>
  </w:style>
  <w:style w:type="character" w:styleId="Textoennegrita">
    <w:name w:val="Strong"/>
    <w:basedOn w:val="Fuentedeprrafopredeter"/>
    <w:uiPriority w:val="22"/>
    <w:qFormat/>
    <w:rsid w:val="001A352A"/>
    <w:rPr>
      <w:b/>
      <w:bCs/>
    </w:rPr>
  </w:style>
  <w:style w:type="character" w:customStyle="1" w:styleId="NormalWebCar">
    <w:name w:val="Normal (Web) Car"/>
    <w:link w:val="NormalWeb"/>
    <w:uiPriority w:val="99"/>
    <w:locked/>
    <w:rsid w:val="001A352A"/>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227B88"/>
    <w:pPr>
      <w:spacing w:after="0" w:line="240" w:lineRule="auto"/>
    </w:pPr>
    <w:rPr>
      <w:sz w:val="24"/>
      <w:lang w:val="es-MX"/>
    </w:rPr>
  </w:style>
  <w:style w:type="character" w:styleId="Refdecomentario">
    <w:name w:val="annotation reference"/>
    <w:basedOn w:val="Fuentedeprrafopredeter"/>
    <w:uiPriority w:val="99"/>
    <w:semiHidden/>
    <w:unhideWhenUsed/>
    <w:rsid w:val="00461F89"/>
    <w:rPr>
      <w:sz w:val="16"/>
      <w:szCs w:val="16"/>
    </w:rPr>
  </w:style>
  <w:style w:type="paragraph" w:styleId="Textocomentario">
    <w:name w:val="annotation text"/>
    <w:basedOn w:val="Normal"/>
    <w:link w:val="TextocomentarioCar"/>
    <w:uiPriority w:val="99"/>
    <w:unhideWhenUsed/>
    <w:rsid w:val="00461F89"/>
    <w:pPr>
      <w:spacing w:line="240" w:lineRule="auto"/>
    </w:pPr>
    <w:rPr>
      <w:sz w:val="20"/>
      <w:szCs w:val="20"/>
    </w:rPr>
  </w:style>
  <w:style w:type="character" w:customStyle="1" w:styleId="TextocomentarioCar">
    <w:name w:val="Texto comentario Car"/>
    <w:basedOn w:val="Fuentedeprrafopredeter"/>
    <w:link w:val="Textocomentario"/>
    <w:uiPriority w:val="99"/>
    <w:rsid w:val="00461F89"/>
    <w:rPr>
      <w:sz w:val="20"/>
      <w:szCs w:val="20"/>
    </w:rPr>
  </w:style>
  <w:style w:type="paragraph" w:styleId="Asuntodelcomentario">
    <w:name w:val="annotation subject"/>
    <w:basedOn w:val="Textocomentario"/>
    <w:next w:val="Textocomentario"/>
    <w:link w:val="AsuntodelcomentarioCar"/>
    <w:uiPriority w:val="99"/>
    <w:semiHidden/>
    <w:unhideWhenUsed/>
    <w:rsid w:val="00461F89"/>
    <w:rPr>
      <w:b/>
      <w:bCs/>
    </w:rPr>
  </w:style>
  <w:style w:type="character" w:customStyle="1" w:styleId="AsuntodelcomentarioCar">
    <w:name w:val="Asunto del comentario Car"/>
    <w:basedOn w:val="TextocomentarioCar"/>
    <w:link w:val="Asuntodelcomentario"/>
    <w:uiPriority w:val="99"/>
    <w:semiHidden/>
    <w:rsid w:val="00461F8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4584F90-79D9-41FB-9239-AF0F1C34B4DA}">
  <ds:schemaRefs>
    <ds:schemaRef ds:uri="http://schemas.openxmlformats.org/officeDocument/2006/bibliography"/>
  </ds:schemaRefs>
</ds:datastoreItem>
</file>

<file path=customXml/itemProps3.xml><?xml version="1.0" encoding="utf-8"?>
<ds:datastoreItem xmlns:ds="http://schemas.openxmlformats.org/officeDocument/2006/customXml" ds:itemID="{296A3478-0960-4C52-8029-9DCE74128E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33</Pages>
  <Words>10844</Words>
  <Characters>59429</Characters>
  <Application>Microsoft Office Word</Application>
  <DocSecurity>0</DocSecurity>
  <Lines>1100</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70097</CharactersWithSpaces>
  <SharedDoc>false</SharedDoc>
  <HLinks>
    <vt:vector size="12" baseType="variant">
      <vt:variant>
        <vt:i4>3276900</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2026-01-22T19:46:00Z</dcterms:created>
  <dcterms:modified xsi:type="dcterms:W3CDTF">2026-01-27T18:09:00Z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