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AF10B" w14:textId="77777777" w:rsidR="000C249C" w:rsidRDefault="000C249C" w:rsidP="000C249C">
      <w:pPr>
        <w:spacing w:after="0" w:line="240" w:lineRule="auto"/>
        <w:jc w:val="both"/>
        <w:rPr>
          <w:rFonts w:ascii="Verdana" w:hAnsi="Verdana"/>
        </w:rPr>
      </w:pPr>
    </w:p>
    <w:p w14:paraId="4481C167" w14:textId="77777777" w:rsidR="000B3E1C" w:rsidRPr="000B3E1C" w:rsidRDefault="000B3E1C" w:rsidP="000B3E1C">
      <w:pPr>
        <w:spacing w:after="0" w:line="240" w:lineRule="auto"/>
        <w:jc w:val="both"/>
        <w:rPr>
          <w:rFonts w:ascii="Verdana" w:hAnsi="Verdana"/>
        </w:rPr>
      </w:pPr>
      <w:r w:rsidRPr="000B3E1C">
        <w:rPr>
          <w:rFonts w:ascii="Verdana" w:hAnsi="Verdana"/>
          <w:b/>
          <w:bCs/>
        </w:rPr>
        <w:t>CONTRATO SIN CUMPLIMIENTO DE LOS REQUISITOS LEGALES – Tipo penal en blanco – Integración normativa</w:t>
      </w:r>
    </w:p>
    <w:p w14:paraId="41329DDB" w14:textId="77777777" w:rsidR="000C249C" w:rsidRDefault="000C249C" w:rsidP="000C249C">
      <w:pPr>
        <w:spacing w:after="0" w:line="240" w:lineRule="auto"/>
        <w:jc w:val="both"/>
        <w:rPr>
          <w:rFonts w:ascii="Verdana" w:hAnsi="Verdana"/>
        </w:rPr>
      </w:pPr>
    </w:p>
    <w:p w14:paraId="0BA2CC14" w14:textId="0C9EBFD9" w:rsidR="000C249C" w:rsidRPr="000C249C" w:rsidRDefault="000C249C" w:rsidP="000C249C">
      <w:pPr>
        <w:spacing w:after="0" w:line="240" w:lineRule="auto"/>
        <w:jc w:val="both"/>
        <w:rPr>
          <w:rFonts w:ascii="Verdana" w:hAnsi="Verdana"/>
          <w:sz w:val="20"/>
          <w:szCs w:val="20"/>
        </w:rPr>
      </w:pPr>
      <w:r w:rsidRPr="000C249C">
        <w:rPr>
          <w:rFonts w:ascii="Verdana" w:hAnsi="Verdana"/>
          <w:sz w:val="20"/>
          <w:szCs w:val="20"/>
        </w:rPr>
        <w:t>De acuerdo con el artículo 410 del Código Penal, el delito de contrato sin cumplimiento de requisitos legales se tipifica cuando un servidor público, por razón del ejercicio de sus funciones, tramita, celebra o liquida contratos sin cumplimiento de los requisitos legales esenciales. Los verbos rectores incorporan un elemento normativo, pues no es el incumplimiento de cualquier requisito el que da lugar a la tipicidad de la conducta, sino la preterición de aquellos que tengan naturaleza esencial.</w:t>
      </w:r>
    </w:p>
    <w:p w14:paraId="7F7BD5EE" w14:textId="77777777" w:rsidR="000C249C" w:rsidRPr="000C249C" w:rsidRDefault="000C249C" w:rsidP="000C249C">
      <w:pPr>
        <w:spacing w:after="0" w:line="240" w:lineRule="auto"/>
        <w:jc w:val="both"/>
        <w:rPr>
          <w:rFonts w:ascii="Verdana" w:hAnsi="Verdana"/>
          <w:sz w:val="20"/>
          <w:szCs w:val="20"/>
        </w:rPr>
      </w:pPr>
      <w:r w:rsidRPr="000C249C">
        <w:rPr>
          <w:rFonts w:ascii="Verdana" w:hAnsi="Verdana"/>
          <w:sz w:val="20"/>
          <w:szCs w:val="20"/>
        </w:rPr>
        <w:t>Ello hace de la norma en comento un tipo penal en blanco, por lo que es necesario remitirse a las disposiciones del sistema de compras públicas para determinar si la conducta está acorde al principio de legalidad. Éstas serán las de la Ley 80 de 1993 para las entidades sometidas al EGCAP; las del derecho civil y comercial, sin perjuicio de lo previsto en el artículo 13 de la Ley 1150 de 2007, para las entidades exceptuadas; y las Decreto 092 de 2017, tratándose del régimen especial para la contratación con entidades privadas sin ánimo de lucro.</w:t>
      </w:r>
    </w:p>
    <w:p w14:paraId="036D9FEE" w14:textId="77777777" w:rsidR="000C249C" w:rsidRDefault="000C249C" w:rsidP="00210789">
      <w:pPr>
        <w:spacing w:after="0" w:line="240" w:lineRule="auto"/>
        <w:jc w:val="both"/>
        <w:rPr>
          <w:rFonts w:ascii="Verdana" w:hAnsi="Verdana"/>
        </w:rPr>
      </w:pPr>
    </w:p>
    <w:p w14:paraId="16135816" w14:textId="77777777" w:rsidR="00B95FCF" w:rsidRDefault="00B95FCF" w:rsidP="00B95FCF">
      <w:pPr>
        <w:spacing w:after="0" w:line="240" w:lineRule="auto"/>
        <w:jc w:val="both"/>
        <w:rPr>
          <w:rFonts w:ascii="Verdana" w:hAnsi="Verdana"/>
          <w:b/>
          <w:bCs/>
        </w:rPr>
      </w:pPr>
      <w:r w:rsidRPr="00B95FCF">
        <w:rPr>
          <w:rFonts w:ascii="Verdana" w:hAnsi="Verdana"/>
          <w:b/>
          <w:bCs/>
        </w:rPr>
        <w:t>FRACCIONAMIENTO DEL CONTRATO ― Prohibición</w:t>
      </w:r>
    </w:p>
    <w:p w14:paraId="30C73B80" w14:textId="77777777" w:rsidR="00B95FCF" w:rsidRPr="00B95FCF" w:rsidRDefault="00B95FCF" w:rsidP="00B95FCF">
      <w:pPr>
        <w:spacing w:after="0" w:line="240" w:lineRule="auto"/>
        <w:jc w:val="both"/>
        <w:rPr>
          <w:rFonts w:ascii="Verdana" w:hAnsi="Verdana"/>
        </w:rPr>
      </w:pPr>
    </w:p>
    <w:p w14:paraId="7F27125D" w14:textId="77777777" w:rsidR="00B95FCF" w:rsidRPr="00B95FCF" w:rsidRDefault="00B95FCF" w:rsidP="00B95FCF">
      <w:pPr>
        <w:spacing w:after="0" w:line="240" w:lineRule="auto"/>
        <w:jc w:val="both"/>
        <w:rPr>
          <w:rFonts w:ascii="Verdana" w:hAnsi="Verdana"/>
          <w:sz w:val="20"/>
          <w:szCs w:val="20"/>
        </w:rPr>
      </w:pPr>
      <w:r w:rsidRPr="00B95FCF">
        <w:rPr>
          <w:rFonts w:ascii="Verdana" w:hAnsi="Verdana"/>
          <w:sz w:val="20"/>
          <w:szCs w:val="20"/>
        </w:rPr>
        <w:t>“[…] Como primera medida, hay que indicar que el fraccionamiento contractual es una práctica mediante la cual se dividen contratos para evitar procedimientos de contratación pública o para eludir límites establecidos en la normativa. En Colombia, esta práctica es ilegal ya que va en contra de los principios fundamentales de la contratación especialmente en el Estatuto General de Contratación de la Administración Pública (Ley 80 de 1993), la Ley 1150 de 2007, y el Estatuto Anticorrupción (Ley 1474 de 2011). Por ende fraccionar la unidad natural de un objeto contractual con el propósito de evadir una cuantía superior que implicaría un proceso de selección diferente, tiene como consecuencia la nulidad absoluta del contrato en los términos de los artículos 44 y 45 de la Ley 80 de 1993.</w:t>
      </w:r>
    </w:p>
    <w:p w14:paraId="18F879D7" w14:textId="77777777" w:rsidR="00B95FCF" w:rsidRPr="00B95FCF" w:rsidRDefault="00B95FCF" w:rsidP="00B95FCF">
      <w:pPr>
        <w:spacing w:after="0" w:line="240" w:lineRule="auto"/>
        <w:jc w:val="both"/>
        <w:rPr>
          <w:rFonts w:ascii="Verdana" w:hAnsi="Verdana"/>
          <w:sz w:val="20"/>
          <w:szCs w:val="20"/>
        </w:rPr>
      </w:pPr>
      <w:r w:rsidRPr="00B95FCF">
        <w:rPr>
          <w:rFonts w:ascii="Verdana" w:hAnsi="Verdana"/>
          <w:sz w:val="20"/>
          <w:szCs w:val="20"/>
        </w:rPr>
        <w:t>Es importante agregar, que si bien este fenómeno jurídico no se encuentra contemplado prohibitivamente en las normas establecidas en el EGCAP, la jurisprudencia ha sido clara en establecer que habrá fraccionamiento del contrato cuando concurran los siguientes elementos: i) Que exista una separación artificial de un mismo objeto contractual y ii) que dicha separación tenga como objetivo evitar procedimientos de convocatoria pública y de selección objetiva. De manera que estos elementos deberán ser constatados por la autoridad juridicial competente para declarar una eventual nulidad absoluta del contrato, en aras de salvaguardar las pautas, reglas y principios establecidos en la contratación estatal. […]”</w:t>
      </w:r>
    </w:p>
    <w:p w14:paraId="69F149C3" w14:textId="77777777" w:rsidR="000C249C" w:rsidRDefault="000C249C" w:rsidP="00210789">
      <w:pPr>
        <w:spacing w:after="0" w:line="240" w:lineRule="auto"/>
        <w:jc w:val="both"/>
        <w:rPr>
          <w:rFonts w:ascii="Verdana" w:hAnsi="Verdana"/>
        </w:rPr>
      </w:pPr>
    </w:p>
    <w:p w14:paraId="5444B83B" w14:textId="1B409D2D" w:rsidR="00740E59" w:rsidRDefault="00740E59" w:rsidP="00740E59">
      <w:pPr>
        <w:spacing w:after="0" w:line="240" w:lineRule="auto"/>
        <w:jc w:val="both"/>
        <w:rPr>
          <w:rFonts w:ascii="Verdana" w:hAnsi="Verdana"/>
          <w:b/>
          <w:bCs/>
        </w:rPr>
      </w:pPr>
      <w:r w:rsidRPr="00740E59">
        <w:rPr>
          <w:rFonts w:ascii="Verdana" w:hAnsi="Verdana"/>
          <w:b/>
          <w:bCs/>
        </w:rPr>
        <w:t>EMPRESAS SOCIALES DEL ESTADO – Naturaleza – Régimen legal</w:t>
      </w:r>
      <w:r w:rsidR="00BA2AF4">
        <w:rPr>
          <w:rFonts w:ascii="Verdana" w:hAnsi="Verdana"/>
          <w:b/>
          <w:bCs/>
        </w:rPr>
        <w:t xml:space="preserve"> </w:t>
      </w:r>
    </w:p>
    <w:p w14:paraId="4B35C423" w14:textId="77777777" w:rsidR="00740E59" w:rsidRPr="00740E59" w:rsidRDefault="00740E59" w:rsidP="00740E59">
      <w:pPr>
        <w:spacing w:after="0" w:line="240" w:lineRule="auto"/>
        <w:jc w:val="both"/>
        <w:rPr>
          <w:rFonts w:ascii="Verdana" w:hAnsi="Verdana"/>
        </w:rPr>
      </w:pPr>
    </w:p>
    <w:p w14:paraId="6B5C8573" w14:textId="77777777" w:rsidR="00740E59" w:rsidRDefault="00740E59" w:rsidP="00740E59">
      <w:pPr>
        <w:spacing w:after="0" w:line="240" w:lineRule="auto"/>
        <w:jc w:val="both"/>
        <w:rPr>
          <w:rFonts w:ascii="Verdana" w:hAnsi="Verdana"/>
          <w:sz w:val="20"/>
          <w:szCs w:val="20"/>
        </w:rPr>
      </w:pPr>
      <w:r w:rsidRPr="00740E59">
        <w:rPr>
          <w:rFonts w:ascii="Verdana" w:hAnsi="Verdana"/>
          <w:sz w:val="20"/>
          <w:szCs w:val="20"/>
        </w:rPr>
        <w:t xml:space="preserve">[…] Una de las Entidades Estatales con régimen especial son las Empresas Sociales del Estado – ESE, objeto de su consulta, entendidas como Entidades Públicas que, conforme </w:t>
      </w:r>
      <w:r w:rsidRPr="00740E59">
        <w:rPr>
          <w:rFonts w:ascii="Verdana" w:hAnsi="Verdana"/>
          <w:sz w:val="20"/>
          <w:szCs w:val="20"/>
        </w:rPr>
        <w:lastRenderedPageBreak/>
        <w:t>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w:t>
      </w:r>
    </w:p>
    <w:p w14:paraId="1516043D" w14:textId="77777777" w:rsidR="00F951F8" w:rsidRPr="00740E59" w:rsidRDefault="00F951F8" w:rsidP="00740E59">
      <w:pPr>
        <w:spacing w:after="0" w:line="240" w:lineRule="auto"/>
        <w:jc w:val="both"/>
        <w:rPr>
          <w:rFonts w:ascii="Verdana" w:hAnsi="Verdana"/>
          <w:sz w:val="20"/>
          <w:szCs w:val="20"/>
        </w:rPr>
      </w:pPr>
    </w:p>
    <w:p w14:paraId="25450972" w14:textId="77777777" w:rsidR="00696938" w:rsidRPr="00696938" w:rsidRDefault="00740E59" w:rsidP="00740E59">
      <w:pPr>
        <w:spacing w:after="0" w:line="240" w:lineRule="auto"/>
        <w:jc w:val="both"/>
        <w:rPr>
          <w:rFonts w:ascii="Verdana" w:hAnsi="Verdana"/>
          <w:sz w:val="20"/>
          <w:szCs w:val="20"/>
        </w:rPr>
      </w:pPr>
      <w:r w:rsidRPr="00740E59">
        <w:rPr>
          <w:rFonts w:ascii="Verdana" w:hAnsi="Verdana"/>
          <w:sz w:val="20"/>
          <w:szCs w:val="20"/>
        </w:rPr>
        <w:t>[…]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w:t>
      </w:r>
    </w:p>
    <w:p w14:paraId="57787AB2" w14:textId="648821F8" w:rsidR="00740E59" w:rsidRPr="00696938" w:rsidRDefault="00740E59" w:rsidP="00740E59">
      <w:pPr>
        <w:spacing w:after="0" w:line="240" w:lineRule="auto"/>
        <w:jc w:val="both"/>
        <w:rPr>
          <w:rFonts w:ascii="Verdana" w:hAnsi="Verdana"/>
          <w:sz w:val="20"/>
          <w:szCs w:val="20"/>
        </w:rPr>
      </w:pPr>
      <w:r w:rsidRPr="00740E59">
        <w:rPr>
          <w:rFonts w:ascii="Verdana" w:hAnsi="Verdana"/>
          <w:sz w:val="20"/>
          <w:szCs w:val="20"/>
        </w:rPr>
        <w:br/>
        <w:t>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pero podrá discrecionalmente utilizar las cláusulas exorbitantes previstas en el Estatuto General de Contratación de la Administración Pública”.</w:t>
      </w:r>
    </w:p>
    <w:p w14:paraId="2E7F9765" w14:textId="77777777" w:rsidR="00696938" w:rsidRPr="00740E59" w:rsidRDefault="00696938" w:rsidP="00740E59">
      <w:pPr>
        <w:spacing w:after="0" w:line="240" w:lineRule="auto"/>
        <w:jc w:val="both"/>
        <w:rPr>
          <w:rFonts w:ascii="Verdana" w:hAnsi="Verdana"/>
          <w:sz w:val="20"/>
          <w:szCs w:val="20"/>
        </w:rPr>
      </w:pPr>
    </w:p>
    <w:p w14:paraId="4407EA7C" w14:textId="77777777" w:rsidR="00740E59" w:rsidRPr="00740E59" w:rsidRDefault="00740E59" w:rsidP="00740E59">
      <w:pPr>
        <w:spacing w:after="0" w:line="240" w:lineRule="auto"/>
        <w:jc w:val="both"/>
        <w:rPr>
          <w:rFonts w:ascii="Verdana" w:hAnsi="Verdana"/>
          <w:sz w:val="20"/>
          <w:szCs w:val="20"/>
        </w:rPr>
      </w:pPr>
      <w:r w:rsidRPr="00740E59">
        <w:rPr>
          <w:rFonts w:ascii="Verdana" w:hAnsi="Verdana"/>
          <w:sz w:val="20"/>
          <w:szCs w:val="20"/>
        </w:rPr>
        <w:t>En consecuencia, las Empresas Sociales del Estado no están sometidas al EGCAP ni a las normas que lo reglamentan o complementan, ya que, por disposición expresa de la norma transcrita, sus contratos se rigen por el derecho privado. Ahora bien, puede decirse que una de las reglas para las Empresas Sociales del Estado, derivada de las normas de derecho público,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44D53FF0" w14:textId="77777777" w:rsidR="00E82B82" w:rsidRDefault="00E82B82" w:rsidP="00E82B82">
      <w:pPr>
        <w:spacing w:after="120" w:line="276" w:lineRule="auto"/>
        <w:jc w:val="both"/>
        <w:rPr>
          <w:rFonts w:ascii="Verdana" w:eastAsia="Arial" w:hAnsi="Verdana" w:cs="Arial"/>
        </w:rPr>
      </w:pPr>
    </w:p>
    <w:p w14:paraId="35E10C4E" w14:textId="132359AF" w:rsidR="00E82B82" w:rsidRPr="00E82B82" w:rsidRDefault="00E82B82" w:rsidP="00E82B82">
      <w:pPr>
        <w:spacing w:after="120" w:line="276" w:lineRule="auto"/>
        <w:jc w:val="both"/>
        <w:rPr>
          <w:rFonts w:ascii="Verdana" w:eastAsia="Arial" w:hAnsi="Verdana" w:cs="Arial"/>
          <w:b/>
        </w:rPr>
      </w:pPr>
      <w:r w:rsidRPr="00E82B82">
        <w:rPr>
          <w:rFonts w:ascii="Verdana" w:hAnsi="Verdana" w:cs="Arial"/>
          <w:b/>
          <w:color w:val="000000" w:themeColor="text1"/>
        </w:rPr>
        <w:t>ENTIDADES EXCEPTUADAS – Fraccionamiento – Responsabilidad penal</w:t>
      </w:r>
    </w:p>
    <w:p w14:paraId="76ACAB25" w14:textId="5BB3B8E1" w:rsidR="00E82B82" w:rsidRPr="00E82B82" w:rsidRDefault="00E82B82" w:rsidP="00E82B82">
      <w:pPr>
        <w:spacing w:after="120" w:line="276" w:lineRule="auto"/>
        <w:jc w:val="both"/>
        <w:rPr>
          <w:rFonts w:ascii="Verdana" w:eastAsia="Arial" w:hAnsi="Verdana" w:cs="Arial"/>
          <w:sz w:val="20"/>
          <w:szCs w:val="20"/>
        </w:rPr>
      </w:pPr>
      <w:r w:rsidRPr="00740E59">
        <w:rPr>
          <w:rFonts w:ascii="Verdana" w:hAnsi="Verdana"/>
          <w:sz w:val="20"/>
          <w:szCs w:val="20"/>
        </w:rPr>
        <w:t>[…]</w:t>
      </w:r>
      <w:r w:rsidRPr="00E82B82">
        <w:rPr>
          <w:rFonts w:ascii="Verdana" w:hAnsi="Verdana"/>
          <w:sz w:val="20"/>
          <w:szCs w:val="20"/>
        </w:rPr>
        <w:t xml:space="preserve"> </w:t>
      </w:r>
      <w:r w:rsidRPr="00E82B82">
        <w:rPr>
          <w:rFonts w:ascii="Verdana" w:eastAsia="Arial" w:hAnsi="Verdana" w:cs="Arial"/>
          <w:sz w:val="20"/>
          <w:szCs w:val="20"/>
        </w:rPr>
        <w:t xml:space="preserve">el hecho de que las ESE no apliquen de manera directa la Ley 80 de 1993 no impide la eventual configuración del delito de contrato sin cumplimiento de requisitos legales, ni excluye la relevancia penal de prácticas como el fraccionamiento contractual, cuando estas se utilicen de forma artificiosa para eludir los procedimientos de selección o los requisitos legales esenciales aplicables conforme a su régimen especial. Tal como lo ha precisado la Corte Suprema de Justicia, el fraccionamiento no constituye un delito autónomo, pero puede integrar el tipo penal del artículo 410 del Código Penal, en cuanto supone la omisión dolosa de presupuestos jurídicos indispensables para la válida </w:t>
      </w:r>
      <w:r w:rsidRPr="00E82B82">
        <w:rPr>
          <w:rFonts w:ascii="Verdana" w:eastAsia="Arial" w:hAnsi="Verdana" w:cs="Arial"/>
          <w:sz w:val="20"/>
          <w:szCs w:val="20"/>
        </w:rPr>
        <w:lastRenderedPageBreak/>
        <w:t>celebración del contrato. Así,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592E9BBB" w14:textId="33F44768" w:rsidR="00E82B82" w:rsidRPr="00E82B82" w:rsidRDefault="00E82B82" w:rsidP="00E82B82">
      <w:pPr>
        <w:spacing w:after="120" w:line="276" w:lineRule="auto"/>
        <w:jc w:val="both"/>
        <w:rPr>
          <w:rFonts w:ascii="Verdana" w:eastAsia="Arial" w:hAnsi="Verdana" w:cs="Arial"/>
          <w:sz w:val="20"/>
          <w:szCs w:val="20"/>
        </w:rPr>
      </w:pPr>
      <w:r w:rsidRPr="00E82B82">
        <w:rPr>
          <w:rFonts w:ascii="Verdana" w:eastAsia="Arial" w:hAnsi="Verdana" w:cs="Arial"/>
          <w:sz w:val="20"/>
          <w:szCs w:val="20"/>
        </w:rPr>
        <w:t xml:space="preserve">Con todo, a diferencia de lo que sucede con las Entidades Estatales sometidas al EGCAP, respecto de las cuales el parámetro para determinar la licitud de la conducta está dado por las disposiciones legales y reglamentarias que integran dicho régimen, en tratándose de entidades exceptuadas de dicho régimen, como es el caso de las ESE, la configuración del delito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w:t>
      </w:r>
    </w:p>
    <w:p w14:paraId="5E54CF97" w14:textId="77777777" w:rsidR="00E82B82" w:rsidRDefault="00E82B82" w:rsidP="00210789">
      <w:pPr>
        <w:spacing w:after="0" w:line="240" w:lineRule="auto"/>
        <w:jc w:val="both"/>
        <w:rPr>
          <w:rFonts w:ascii="Verdana" w:hAnsi="Verdana"/>
        </w:rPr>
      </w:pPr>
    </w:p>
    <w:p w14:paraId="5E57DED8" w14:textId="77777777" w:rsidR="000C249C" w:rsidRDefault="000C249C" w:rsidP="00210789">
      <w:pPr>
        <w:spacing w:after="0" w:line="240" w:lineRule="auto"/>
        <w:jc w:val="both"/>
        <w:rPr>
          <w:rFonts w:ascii="Verdana" w:hAnsi="Verdana"/>
        </w:rPr>
      </w:pPr>
    </w:p>
    <w:p w14:paraId="499036A2" w14:textId="77777777" w:rsidR="000C249C" w:rsidRDefault="000C249C" w:rsidP="00210789">
      <w:pPr>
        <w:spacing w:after="0" w:line="240" w:lineRule="auto"/>
        <w:jc w:val="both"/>
        <w:rPr>
          <w:rFonts w:ascii="Verdana" w:hAnsi="Verdana"/>
        </w:rPr>
      </w:pPr>
    </w:p>
    <w:p w14:paraId="7CB63267" w14:textId="77777777" w:rsidR="000C249C" w:rsidRDefault="000C249C" w:rsidP="00210789">
      <w:pPr>
        <w:spacing w:after="0" w:line="240" w:lineRule="auto"/>
        <w:jc w:val="both"/>
        <w:rPr>
          <w:rFonts w:ascii="Verdana" w:hAnsi="Verdana"/>
        </w:rPr>
      </w:pPr>
    </w:p>
    <w:p w14:paraId="68B0BD18" w14:textId="77777777" w:rsidR="000C249C" w:rsidRDefault="000C249C" w:rsidP="00210789">
      <w:pPr>
        <w:spacing w:after="0" w:line="240" w:lineRule="auto"/>
        <w:jc w:val="both"/>
        <w:rPr>
          <w:rFonts w:ascii="Verdana" w:hAnsi="Verdana"/>
        </w:rPr>
      </w:pPr>
    </w:p>
    <w:p w14:paraId="142C796A" w14:textId="77777777" w:rsidR="000C249C" w:rsidRDefault="000C249C" w:rsidP="00210789">
      <w:pPr>
        <w:spacing w:after="0" w:line="240" w:lineRule="auto"/>
        <w:jc w:val="both"/>
        <w:rPr>
          <w:rFonts w:ascii="Verdana" w:hAnsi="Verdana"/>
        </w:rPr>
      </w:pPr>
    </w:p>
    <w:p w14:paraId="2814DEA6" w14:textId="77777777" w:rsidR="000C249C" w:rsidRDefault="000C249C" w:rsidP="00210789">
      <w:pPr>
        <w:spacing w:after="0" w:line="240" w:lineRule="auto"/>
        <w:jc w:val="both"/>
        <w:rPr>
          <w:rFonts w:ascii="Verdana" w:hAnsi="Verdana"/>
        </w:rPr>
      </w:pPr>
    </w:p>
    <w:p w14:paraId="113E590D" w14:textId="77777777" w:rsidR="000C249C" w:rsidRDefault="000C249C" w:rsidP="00210789">
      <w:pPr>
        <w:spacing w:after="0" w:line="240" w:lineRule="auto"/>
        <w:jc w:val="both"/>
        <w:rPr>
          <w:rFonts w:ascii="Verdana" w:hAnsi="Verdana"/>
        </w:rPr>
      </w:pPr>
    </w:p>
    <w:p w14:paraId="15CD5887" w14:textId="77777777" w:rsidR="000C249C" w:rsidRDefault="000C249C" w:rsidP="00210789">
      <w:pPr>
        <w:spacing w:after="0" w:line="240" w:lineRule="auto"/>
        <w:jc w:val="both"/>
        <w:rPr>
          <w:rFonts w:ascii="Verdana" w:hAnsi="Verdana"/>
        </w:rPr>
      </w:pPr>
    </w:p>
    <w:p w14:paraId="3C43AF78" w14:textId="77777777" w:rsidR="000C249C" w:rsidRDefault="000C249C" w:rsidP="00210789">
      <w:pPr>
        <w:spacing w:after="0" w:line="240" w:lineRule="auto"/>
        <w:jc w:val="both"/>
        <w:rPr>
          <w:rFonts w:ascii="Verdana" w:hAnsi="Verdana"/>
        </w:rPr>
      </w:pPr>
    </w:p>
    <w:p w14:paraId="612FAB0D" w14:textId="77777777" w:rsidR="000C249C" w:rsidRDefault="000C249C" w:rsidP="00210789">
      <w:pPr>
        <w:spacing w:after="0" w:line="240" w:lineRule="auto"/>
        <w:jc w:val="both"/>
        <w:rPr>
          <w:rFonts w:ascii="Verdana" w:hAnsi="Verdana"/>
        </w:rPr>
      </w:pPr>
    </w:p>
    <w:p w14:paraId="0F5B809A" w14:textId="77777777" w:rsidR="00696938" w:rsidRDefault="00696938" w:rsidP="00210789">
      <w:pPr>
        <w:spacing w:after="0" w:line="240" w:lineRule="auto"/>
        <w:jc w:val="both"/>
        <w:rPr>
          <w:rFonts w:ascii="Verdana" w:hAnsi="Verdana"/>
        </w:rPr>
      </w:pPr>
    </w:p>
    <w:p w14:paraId="7B247EEB" w14:textId="77777777" w:rsidR="00F951F8" w:rsidRDefault="00F951F8" w:rsidP="00210789">
      <w:pPr>
        <w:spacing w:after="0" w:line="240" w:lineRule="auto"/>
        <w:jc w:val="both"/>
        <w:rPr>
          <w:rFonts w:ascii="Verdana" w:hAnsi="Verdana"/>
        </w:rPr>
      </w:pPr>
    </w:p>
    <w:p w14:paraId="459D8C3D" w14:textId="77777777" w:rsidR="00F951F8" w:rsidRDefault="00F951F8" w:rsidP="00210789">
      <w:pPr>
        <w:spacing w:after="0" w:line="240" w:lineRule="auto"/>
        <w:jc w:val="both"/>
        <w:rPr>
          <w:rFonts w:ascii="Verdana" w:hAnsi="Verdana"/>
        </w:rPr>
      </w:pPr>
    </w:p>
    <w:p w14:paraId="2035018C" w14:textId="77777777" w:rsidR="00F951F8" w:rsidRDefault="00F951F8" w:rsidP="00210789">
      <w:pPr>
        <w:spacing w:after="0" w:line="240" w:lineRule="auto"/>
        <w:jc w:val="both"/>
        <w:rPr>
          <w:rFonts w:ascii="Verdana" w:hAnsi="Verdana"/>
        </w:rPr>
      </w:pPr>
    </w:p>
    <w:p w14:paraId="25221EC3" w14:textId="77777777" w:rsidR="00F951F8" w:rsidRDefault="00F951F8" w:rsidP="00210789">
      <w:pPr>
        <w:spacing w:after="0" w:line="240" w:lineRule="auto"/>
        <w:jc w:val="both"/>
        <w:rPr>
          <w:rFonts w:ascii="Verdana" w:hAnsi="Verdana"/>
        </w:rPr>
      </w:pPr>
    </w:p>
    <w:p w14:paraId="711C679D" w14:textId="77777777" w:rsidR="00F951F8" w:rsidRDefault="00F951F8" w:rsidP="00210789">
      <w:pPr>
        <w:spacing w:after="0" w:line="240" w:lineRule="auto"/>
        <w:jc w:val="both"/>
        <w:rPr>
          <w:rFonts w:ascii="Verdana" w:hAnsi="Verdana"/>
        </w:rPr>
      </w:pPr>
    </w:p>
    <w:p w14:paraId="03300653" w14:textId="77777777" w:rsidR="00F951F8" w:rsidRDefault="00F951F8" w:rsidP="00210789">
      <w:pPr>
        <w:spacing w:after="0" w:line="240" w:lineRule="auto"/>
        <w:jc w:val="both"/>
        <w:rPr>
          <w:rFonts w:ascii="Verdana" w:hAnsi="Verdana"/>
        </w:rPr>
      </w:pPr>
    </w:p>
    <w:p w14:paraId="1B6518A4" w14:textId="77777777" w:rsidR="00F951F8" w:rsidRDefault="00F951F8" w:rsidP="00210789">
      <w:pPr>
        <w:spacing w:after="0" w:line="240" w:lineRule="auto"/>
        <w:jc w:val="both"/>
        <w:rPr>
          <w:rFonts w:ascii="Verdana" w:hAnsi="Verdana"/>
        </w:rPr>
      </w:pPr>
    </w:p>
    <w:p w14:paraId="118B5C1A" w14:textId="77777777" w:rsidR="00F951F8" w:rsidRDefault="00F951F8" w:rsidP="00210789">
      <w:pPr>
        <w:spacing w:after="0" w:line="240" w:lineRule="auto"/>
        <w:jc w:val="both"/>
        <w:rPr>
          <w:rFonts w:ascii="Verdana" w:hAnsi="Verdana"/>
        </w:rPr>
      </w:pPr>
    </w:p>
    <w:p w14:paraId="329D74BD" w14:textId="77777777" w:rsidR="00F951F8" w:rsidRDefault="00F951F8" w:rsidP="00210789">
      <w:pPr>
        <w:spacing w:after="0" w:line="240" w:lineRule="auto"/>
        <w:jc w:val="both"/>
        <w:rPr>
          <w:rFonts w:ascii="Verdana" w:hAnsi="Verdana"/>
        </w:rPr>
      </w:pPr>
    </w:p>
    <w:p w14:paraId="1A54B90B" w14:textId="77777777" w:rsidR="00F951F8" w:rsidRDefault="00F951F8" w:rsidP="00210789">
      <w:pPr>
        <w:spacing w:after="0" w:line="240" w:lineRule="auto"/>
        <w:jc w:val="both"/>
        <w:rPr>
          <w:rFonts w:ascii="Verdana" w:hAnsi="Verdana"/>
        </w:rPr>
      </w:pPr>
    </w:p>
    <w:p w14:paraId="5043CE06" w14:textId="77777777" w:rsidR="00F951F8" w:rsidRDefault="00F951F8" w:rsidP="00210789">
      <w:pPr>
        <w:spacing w:after="0" w:line="240" w:lineRule="auto"/>
        <w:jc w:val="both"/>
        <w:rPr>
          <w:rFonts w:ascii="Verdana" w:hAnsi="Verdana"/>
        </w:rPr>
      </w:pPr>
    </w:p>
    <w:p w14:paraId="438DE512" w14:textId="77777777" w:rsidR="00F951F8" w:rsidRDefault="00F951F8" w:rsidP="00210789">
      <w:pPr>
        <w:spacing w:after="0" w:line="240" w:lineRule="auto"/>
        <w:jc w:val="both"/>
        <w:rPr>
          <w:rFonts w:ascii="Verdana" w:hAnsi="Verdana"/>
        </w:rPr>
      </w:pPr>
    </w:p>
    <w:p w14:paraId="3D460070" w14:textId="77777777" w:rsidR="00F951F8" w:rsidRDefault="00F951F8" w:rsidP="00210789">
      <w:pPr>
        <w:spacing w:after="0" w:line="240" w:lineRule="auto"/>
        <w:jc w:val="both"/>
        <w:rPr>
          <w:rFonts w:ascii="Verdana" w:hAnsi="Verdana"/>
        </w:rPr>
      </w:pPr>
    </w:p>
    <w:p w14:paraId="32D3CF01" w14:textId="49E04F10" w:rsidR="00210789" w:rsidRPr="008E4F36" w:rsidRDefault="00B8691C" w:rsidP="00210789">
      <w:pPr>
        <w:spacing w:after="0" w:line="240" w:lineRule="auto"/>
        <w:jc w:val="both"/>
        <w:rPr>
          <w:rFonts w:ascii="Verdana" w:hAnsi="Verdana"/>
        </w:rPr>
      </w:pPr>
      <w:r w:rsidRPr="00B8691C">
        <w:rPr>
          <w:rFonts w:ascii="Verdana" w:hAnsi="Verdana"/>
        </w:rPr>
        <w:lastRenderedPageBreak/>
        <w:t xml:space="preserve">Bogotá D.C., 21 </w:t>
      </w:r>
      <w:r w:rsidR="00BA509F">
        <w:rPr>
          <w:rFonts w:ascii="Verdana" w:hAnsi="Verdana"/>
        </w:rPr>
        <w:t>e</w:t>
      </w:r>
      <w:r w:rsidRPr="00B8691C">
        <w:rPr>
          <w:rFonts w:ascii="Verdana" w:hAnsi="Verdana"/>
        </w:rPr>
        <w:t>nero 2026</w:t>
      </w:r>
      <w:r w:rsidR="00210789">
        <w:rPr>
          <w:rFonts w:ascii="Verdana" w:hAnsi="Verdana"/>
        </w:rPr>
        <w:t xml:space="preserve"> </w:t>
      </w:r>
    </w:p>
    <w:p w14:paraId="02B917A2" w14:textId="70C252CA" w:rsidR="00210789" w:rsidRPr="008E4F36" w:rsidRDefault="00BB4AE4" w:rsidP="00210789">
      <w:pPr>
        <w:spacing w:after="0" w:line="240" w:lineRule="auto"/>
        <w:jc w:val="both"/>
        <w:rPr>
          <w:rFonts w:ascii="Verdana" w:eastAsia="Calibri" w:hAnsi="Verdana" w:cs="Arial"/>
          <w:lang w:eastAsia="es-ES"/>
        </w:rPr>
      </w:pPr>
      <w:bookmarkStart w:id="0" w:name="_Hlk197462763"/>
      <w:bookmarkStart w:id="1" w:name="_Hlk197529996"/>
      <w:r w:rsidRPr="00BB4AE4">
        <w:rPr>
          <w:rFonts w:ascii="Verdana" w:eastAsia="Calibri" w:hAnsi="Verdana" w:cs="Arial"/>
          <w:lang w:eastAsia="es-ES"/>
        </w:rPr>
        <w:drawing>
          <wp:anchor distT="0" distB="0" distL="114300" distR="114300" simplePos="0" relativeHeight="251660288" behindDoc="1" locked="0" layoutInCell="1" allowOverlap="1" wp14:anchorId="6A4F5908" wp14:editId="08DB0434">
            <wp:simplePos x="0" y="0"/>
            <wp:positionH relativeFrom="column">
              <wp:posOffset>2655651</wp:posOffset>
            </wp:positionH>
            <wp:positionV relativeFrom="paragraph">
              <wp:posOffset>167005</wp:posOffset>
            </wp:positionV>
            <wp:extent cx="3352800" cy="1047750"/>
            <wp:effectExtent l="0" t="0" r="0" b="0"/>
            <wp:wrapTight wrapText="bothSides">
              <wp:wrapPolygon edited="0">
                <wp:start x="0" y="0"/>
                <wp:lineTo x="0" y="21207"/>
                <wp:lineTo x="21477" y="21207"/>
                <wp:lineTo x="21477" y="0"/>
                <wp:lineTo x="0" y="0"/>
              </wp:wrapPolygon>
            </wp:wrapTight>
            <wp:docPr id="21030591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059184"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3352800" cy="1047750"/>
                    </a:xfrm>
                    <a:prstGeom prst="rect">
                      <a:avLst/>
                    </a:prstGeom>
                  </pic:spPr>
                </pic:pic>
              </a:graphicData>
            </a:graphic>
          </wp:anchor>
        </w:drawing>
      </w:r>
    </w:p>
    <w:p w14:paraId="11CC5328" w14:textId="234387ED" w:rsidR="00210789" w:rsidRDefault="00210789" w:rsidP="00210789">
      <w:pPr>
        <w:spacing w:after="0" w:line="240" w:lineRule="auto"/>
        <w:jc w:val="both"/>
        <w:rPr>
          <w:rFonts w:ascii="Verdana" w:eastAsia="Calibri" w:hAnsi="Verdana" w:cs="Arial"/>
          <w:lang w:eastAsia="es-ES"/>
        </w:rPr>
      </w:pPr>
    </w:p>
    <w:p w14:paraId="4F2F01FA" w14:textId="1268F88B" w:rsidR="00BB4AE4" w:rsidRDefault="00BB4AE4" w:rsidP="00210789">
      <w:pPr>
        <w:spacing w:after="0" w:line="240" w:lineRule="auto"/>
        <w:jc w:val="both"/>
        <w:rPr>
          <w:rFonts w:ascii="Verdana" w:eastAsia="Calibri" w:hAnsi="Verdana" w:cs="Arial"/>
          <w:lang w:eastAsia="es-ES"/>
        </w:rPr>
      </w:pPr>
    </w:p>
    <w:p w14:paraId="11A76CF1" w14:textId="0AE60810" w:rsidR="00BB4AE4" w:rsidRDefault="00BB4AE4" w:rsidP="00210789">
      <w:pPr>
        <w:spacing w:after="0" w:line="240" w:lineRule="auto"/>
        <w:jc w:val="both"/>
        <w:rPr>
          <w:rFonts w:ascii="Verdana" w:eastAsia="Calibri" w:hAnsi="Verdana" w:cs="Arial"/>
          <w:lang w:eastAsia="es-ES"/>
        </w:rPr>
      </w:pPr>
    </w:p>
    <w:p w14:paraId="669EECF0" w14:textId="0CB7ACC4" w:rsidR="00210789" w:rsidRPr="008E4F36" w:rsidRDefault="00210789" w:rsidP="00210789">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79F4A7FF" w14:textId="77777777" w:rsidR="00210789" w:rsidRPr="000F2158" w:rsidRDefault="00210789" w:rsidP="00210789">
      <w:pPr>
        <w:spacing w:after="0" w:line="240" w:lineRule="auto"/>
        <w:jc w:val="both"/>
        <w:rPr>
          <w:rFonts w:ascii="Verdana" w:eastAsia="Calibri" w:hAnsi="Verdana" w:cs="Arial"/>
          <w:b/>
          <w:highlight w:val="yellow"/>
          <w:lang w:eastAsia="es-ES_tradnl"/>
        </w:rPr>
      </w:pPr>
      <w:r w:rsidRPr="00F71C60">
        <w:rPr>
          <w:rFonts w:ascii="Verdana" w:eastAsia="Calibri" w:hAnsi="Verdana" w:cs="Arial"/>
          <w:b/>
          <w:lang w:eastAsia="es-ES_tradnl"/>
        </w:rPr>
        <w:t>Edgar Orlando</w:t>
      </w:r>
      <w:r>
        <w:rPr>
          <w:rFonts w:ascii="Verdana" w:eastAsia="Calibri" w:hAnsi="Verdana" w:cs="Arial"/>
          <w:b/>
          <w:lang w:eastAsia="es-ES_tradnl"/>
        </w:rPr>
        <w:t xml:space="preserve"> </w:t>
      </w:r>
      <w:r w:rsidRPr="00F71C60">
        <w:rPr>
          <w:rFonts w:ascii="Verdana" w:eastAsia="Calibri" w:hAnsi="Verdana" w:cs="Arial"/>
          <w:b/>
          <w:lang w:eastAsia="es-ES_tradnl"/>
        </w:rPr>
        <w:t>Holguin</w:t>
      </w:r>
      <w:r>
        <w:rPr>
          <w:rFonts w:ascii="Verdana" w:eastAsia="Calibri" w:hAnsi="Verdana" w:cs="Arial"/>
          <w:b/>
          <w:lang w:eastAsia="es-ES_tradnl"/>
        </w:rPr>
        <w:t xml:space="preserve"> Ramírez </w:t>
      </w:r>
    </w:p>
    <w:p w14:paraId="39DDE8A9" w14:textId="77777777" w:rsidR="00210789" w:rsidRPr="000F2158" w:rsidRDefault="00210789" w:rsidP="00210789">
      <w:pPr>
        <w:spacing w:after="0" w:line="240" w:lineRule="auto"/>
        <w:jc w:val="both"/>
        <w:rPr>
          <w:rFonts w:ascii="Verdana" w:eastAsia="Calibri" w:hAnsi="Verdana" w:cs="Arial"/>
          <w:b/>
          <w:highlight w:val="yellow"/>
          <w:lang w:eastAsia="es-ES_tradnl"/>
        </w:rPr>
      </w:pPr>
      <w:hyperlink r:id="rId8" w:history="1">
        <w:r w:rsidRPr="00172CA3">
          <w:rPr>
            <w:rStyle w:val="Hipervnculo"/>
            <w:rFonts w:ascii="Verdana" w:eastAsia="Calibri" w:hAnsi="Verdana" w:cs="Arial"/>
            <w:b/>
            <w:lang w:eastAsia="es-ES_tradnl"/>
          </w:rPr>
          <w:t>oohh40@gmail.com</w:t>
        </w:r>
      </w:hyperlink>
      <w:r>
        <w:rPr>
          <w:rFonts w:ascii="Verdana" w:eastAsia="Calibri" w:hAnsi="Verdana" w:cs="Arial"/>
          <w:b/>
          <w:lang w:eastAsia="es-ES_tradnl"/>
        </w:rPr>
        <w:t xml:space="preserve"> </w:t>
      </w:r>
    </w:p>
    <w:p w14:paraId="11335B29" w14:textId="77777777" w:rsidR="00210789" w:rsidRPr="00624A4C" w:rsidRDefault="00210789" w:rsidP="00210789">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Ciudad </w:t>
      </w:r>
    </w:p>
    <w:p w14:paraId="7A3CFD79" w14:textId="77777777" w:rsidR="00210789" w:rsidRDefault="00210789" w:rsidP="00210789">
      <w:pPr>
        <w:spacing w:after="0" w:line="240" w:lineRule="auto"/>
        <w:jc w:val="both"/>
        <w:rPr>
          <w:rFonts w:ascii="Verdana" w:hAnsi="Verdana"/>
          <w:lang w:val="it-CH"/>
        </w:rPr>
      </w:pPr>
    </w:p>
    <w:p w14:paraId="10D4F309" w14:textId="77777777" w:rsidR="00210789" w:rsidRPr="005B4C57" w:rsidRDefault="00210789" w:rsidP="00210789">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10789" w:rsidRPr="002842E0" w14:paraId="145D558F" w14:textId="77777777" w:rsidTr="003C36DC">
        <w:trPr>
          <w:trHeight w:val="162"/>
        </w:trPr>
        <w:tc>
          <w:tcPr>
            <w:tcW w:w="3119" w:type="dxa"/>
          </w:tcPr>
          <w:p w14:paraId="547C5F49" w14:textId="77777777" w:rsidR="00210789" w:rsidRPr="005B4C57" w:rsidRDefault="00210789" w:rsidP="003C36DC">
            <w:pPr>
              <w:jc w:val="both"/>
              <w:rPr>
                <w:rFonts w:ascii="Verdana" w:eastAsia="Calibri" w:hAnsi="Verdana" w:cs="Arial"/>
                <w:b/>
                <w:bCs/>
                <w:color w:val="7030A0"/>
                <w:lang w:val="it-CH" w:eastAsia="es-ES_tradnl"/>
              </w:rPr>
            </w:pPr>
          </w:p>
        </w:tc>
        <w:tc>
          <w:tcPr>
            <w:tcW w:w="5670" w:type="dxa"/>
          </w:tcPr>
          <w:p w14:paraId="42604424" w14:textId="77777777" w:rsidR="00210789" w:rsidRPr="00F71C60" w:rsidRDefault="00210789" w:rsidP="003C36DC">
            <w:pPr>
              <w:jc w:val="both"/>
              <w:rPr>
                <w:rFonts w:ascii="Verdana" w:eastAsia="Calibri" w:hAnsi="Verdana" w:cs="Arial"/>
                <w:b/>
                <w:bCs/>
                <w:lang w:eastAsia="es-ES"/>
              </w:rPr>
            </w:pPr>
            <w:r w:rsidRPr="00F71C60">
              <w:rPr>
                <w:rFonts w:ascii="Verdana" w:eastAsia="Calibri" w:hAnsi="Verdana" w:cs="Arial"/>
                <w:b/>
                <w:bCs/>
                <w:lang w:eastAsia="es-ES"/>
              </w:rPr>
              <w:t>Concepto C- 1851 de 2025</w:t>
            </w:r>
          </w:p>
          <w:p w14:paraId="02230401" w14:textId="77777777" w:rsidR="00210789" w:rsidRPr="00F71C60" w:rsidRDefault="00210789" w:rsidP="003C36DC">
            <w:pPr>
              <w:jc w:val="both"/>
              <w:rPr>
                <w:rFonts w:ascii="Verdana" w:eastAsia="Calibri" w:hAnsi="Verdana" w:cs="Arial"/>
                <w:b/>
                <w:bCs/>
                <w:color w:val="7030A0"/>
                <w:lang w:eastAsia="es-ES"/>
              </w:rPr>
            </w:pPr>
          </w:p>
        </w:tc>
      </w:tr>
      <w:tr w:rsidR="00210789" w:rsidRPr="002842E0" w14:paraId="0259FFAB" w14:textId="77777777" w:rsidTr="003C36DC">
        <w:trPr>
          <w:trHeight w:val="884"/>
        </w:trPr>
        <w:tc>
          <w:tcPr>
            <w:tcW w:w="3119" w:type="dxa"/>
          </w:tcPr>
          <w:p w14:paraId="5BA81575" w14:textId="77777777" w:rsidR="00210789" w:rsidRPr="00DE19CF" w:rsidRDefault="00210789" w:rsidP="003C36DC">
            <w:pPr>
              <w:jc w:val="both"/>
              <w:rPr>
                <w:rFonts w:ascii="Verdana" w:eastAsia="Calibri" w:hAnsi="Verdana" w:cs="Arial"/>
                <w:b/>
                <w:color w:val="000000"/>
                <w:lang w:eastAsia="es-ES_tradnl"/>
              </w:rPr>
            </w:pPr>
            <w:r w:rsidRPr="00DE19CF">
              <w:rPr>
                <w:rFonts w:ascii="Verdana" w:eastAsia="Calibri" w:hAnsi="Verdana" w:cs="Arial"/>
                <w:b/>
                <w:color w:val="000000"/>
                <w:lang w:eastAsia="es-ES_tradnl"/>
              </w:rPr>
              <w:t xml:space="preserve">Temas:                   </w:t>
            </w:r>
          </w:p>
        </w:tc>
        <w:tc>
          <w:tcPr>
            <w:tcW w:w="5670" w:type="dxa"/>
          </w:tcPr>
          <w:p w14:paraId="5A4C176C" w14:textId="77777777" w:rsidR="00210789" w:rsidRPr="00E50F52" w:rsidRDefault="00210789" w:rsidP="003C36DC">
            <w:pPr>
              <w:pStyle w:val="Textoindependiente"/>
              <w:spacing w:line="276" w:lineRule="auto"/>
              <w:ind w:right="102"/>
              <w:jc w:val="both"/>
              <w:rPr>
                <w:rFonts w:ascii="Verdana" w:hAnsi="Verdana" w:cs="Arial"/>
                <w:bCs/>
                <w:color w:val="000000" w:themeColor="text1"/>
                <w:lang w:val="es-ES_tradnl"/>
              </w:rPr>
            </w:pPr>
            <w:r w:rsidRPr="00E50F52">
              <w:rPr>
                <w:rFonts w:ascii="Verdana" w:hAnsi="Verdana" w:cs="Arial"/>
                <w:bCs/>
                <w:color w:val="000000" w:themeColor="text1"/>
                <w:lang w:val="es-ES_tradnl"/>
              </w:rPr>
              <w:t>CONTRATO SIN CUMPLIMIENTO DE LOS REQUISITOS LEGALES – Tipo penal en blanco – Integración normativa /</w:t>
            </w:r>
            <w:r>
              <w:rPr>
                <w:rFonts w:ascii="Verdana" w:hAnsi="Verdana" w:cs="Arial"/>
                <w:bCs/>
                <w:color w:val="000000" w:themeColor="text1"/>
                <w:lang w:val="es-ES_tradnl"/>
              </w:rPr>
              <w:t xml:space="preserve"> </w:t>
            </w:r>
            <w:r w:rsidRPr="00E50F52">
              <w:rPr>
                <w:rFonts w:ascii="Verdana" w:hAnsi="Verdana" w:cs="Arial"/>
                <w:bCs/>
                <w:color w:val="000000" w:themeColor="text1"/>
                <w:lang w:val="es-ES_tradnl"/>
              </w:rPr>
              <w:t xml:space="preserve">FRACCIONAMIENTO DEL CONTRATO ― Prohibición / </w:t>
            </w:r>
            <w:r w:rsidRPr="00E50F52">
              <w:rPr>
                <w:rFonts w:ascii="Verdana" w:hAnsi="Verdana" w:cs="Arial"/>
                <w:bCs/>
                <w:color w:val="000000" w:themeColor="text1"/>
              </w:rPr>
              <w:t xml:space="preserve">EMPRESAS SOCIALES DEL ESTADO – Naturaleza – Régimen legal -Régimen especial </w:t>
            </w:r>
            <w:r>
              <w:rPr>
                <w:rFonts w:ascii="Verdana" w:hAnsi="Verdana" w:cs="Arial"/>
                <w:bCs/>
                <w:color w:val="000000" w:themeColor="text1"/>
              </w:rPr>
              <w:t xml:space="preserve">/ ENTIDADES EXCEPTUADAS – Fraccionamiento – Responsabilidad penal </w:t>
            </w:r>
          </w:p>
          <w:p w14:paraId="342B75FB" w14:textId="77777777" w:rsidR="00210789" w:rsidRPr="00E50F52" w:rsidRDefault="00210789" w:rsidP="003C36DC">
            <w:pPr>
              <w:jc w:val="both"/>
              <w:rPr>
                <w:rFonts w:ascii="Verdana" w:eastAsia="Calibri" w:hAnsi="Verdana" w:cs="Arial"/>
                <w:bCs/>
                <w:lang w:val="es-ES_tradnl" w:eastAsia="es-ES"/>
              </w:rPr>
            </w:pPr>
          </w:p>
        </w:tc>
      </w:tr>
      <w:tr w:rsidR="00210789" w:rsidRPr="002842E0" w14:paraId="310DCF67" w14:textId="77777777" w:rsidTr="003C36DC">
        <w:tc>
          <w:tcPr>
            <w:tcW w:w="3119" w:type="dxa"/>
          </w:tcPr>
          <w:p w14:paraId="51B202A9" w14:textId="77777777" w:rsidR="00210789" w:rsidRPr="00801462" w:rsidRDefault="00210789" w:rsidP="003C36DC">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351CE870" w14:textId="77777777" w:rsidR="00210789" w:rsidRPr="00801462" w:rsidRDefault="00210789" w:rsidP="003C36DC">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F71C60">
              <w:rPr>
                <w:rFonts w:ascii="Verdana" w:eastAsia="Calibri" w:hAnsi="Verdana" w:cs="Arial"/>
                <w:lang w:eastAsia="es-ES_tradnl"/>
              </w:rPr>
              <w:t>1_2025_12_19_014218</w:t>
            </w:r>
            <w:r>
              <w:rPr>
                <w:rFonts w:ascii="Verdana" w:eastAsia="Calibri" w:hAnsi="Verdana" w:cs="Arial"/>
                <w:lang w:eastAsia="es-ES_tradnl"/>
              </w:rPr>
              <w:t xml:space="preserve"> </w:t>
            </w:r>
          </w:p>
        </w:tc>
      </w:tr>
    </w:tbl>
    <w:p w14:paraId="79DA7D87" w14:textId="77777777" w:rsidR="00210789" w:rsidRDefault="00210789" w:rsidP="00210789">
      <w:pPr>
        <w:spacing w:after="0" w:line="276" w:lineRule="auto"/>
        <w:jc w:val="both"/>
        <w:rPr>
          <w:rFonts w:ascii="Verdana" w:eastAsia="Calibri" w:hAnsi="Verdana" w:cs="Arial"/>
          <w:lang w:eastAsia="es-ES_tradnl"/>
        </w:rPr>
      </w:pPr>
    </w:p>
    <w:p w14:paraId="4E0E9F73" w14:textId="77777777" w:rsidR="00210789" w:rsidRDefault="00210789" w:rsidP="00210789">
      <w:pPr>
        <w:spacing w:after="0" w:line="276" w:lineRule="auto"/>
        <w:jc w:val="both"/>
        <w:rPr>
          <w:rFonts w:ascii="Verdana" w:eastAsia="Calibri" w:hAnsi="Verdana" w:cs="Arial"/>
          <w:lang w:eastAsia="es-ES_tradnl"/>
        </w:rPr>
      </w:pPr>
    </w:p>
    <w:p w14:paraId="2207DEEA" w14:textId="77777777" w:rsidR="00210789" w:rsidRPr="008E4F36" w:rsidRDefault="00210789" w:rsidP="00210789">
      <w:pPr>
        <w:spacing w:after="0" w:line="276" w:lineRule="auto"/>
        <w:jc w:val="both"/>
        <w:rPr>
          <w:rFonts w:ascii="Verdana" w:eastAsia="Calibri" w:hAnsi="Verdana" w:cs="Arial"/>
          <w:lang w:eastAsia="es-ES"/>
        </w:rPr>
      </w:pPr>
      <w:r w:rsidRPr="00F71C60">
        <w:rPr>
          <w:rFonts w:ascii="Verdana" w:eastAsia="Calibri" w:hAnsi="Verdana" w:cs="Arial"/>
          <w:lang w:eastAsia="es-ES"/>
        </w:rPr>
        <w:t>Estimado señor Holguin:</w:t>
      </w:r>
      <w:r w:rsidRPr="008E4F36">
        <w:rPr>
          <w:rFonts w:ascii="Verdana" w:eastAsia="Calibri" w:hAnsi="Verdana" w:cs="Arial"/>
          <w:lang w:eastAsia="es-ES"/>
        </w:rPr>
        <w:t xml:space="preserve"> </w:t>
      </w:r>
    </w:p>
    <w:p w14:paraId="22FF6C36" w14:textId="77777777" w:rsidR="00210789" w:rsidRDefault="00210789" w:rsidP="00210789">
      <w:pPr>
        <w:tabs>
          <w:tab w:val="left" w:pos="3768"/>
        </w:tabs>
        <w:spacing w:after="0" w:line="240" w:lineRule="auto"/>
        <w:jc w:val="both"/>
        <w:rPr>
          <w:rFonts w:ascii="Verdana" w:eastAsia="Calibri" w:hAnsi="Verdana" w:cs="Arial"/>
          <w:lang w:eastAsia="es-ES"/>
        </w:rPr>
      </w:pPr>
    </w:p>
    <w:p w14:paraId="3BE705BF" w14:textId="77777777" w:rsidR="00210789" w:rsidRPr="008E4F36" w:rsidRDefault="00210789" w:rsidP="00210789">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w:t>
      </w:r>
      <w:r w:rsidRPr="00F71C60">
        <w:rPr>
          <w:rFonts w:ascii="Verdana" w:eastAsia="Calibri" w:hAnsi="Verdana" w:cs="Arial"/>
          <w:lang w:eastAsia="es-ES"/>
        </w:rPr>
        <w:t>fecha 19 de diciembre de 2025, en</w:t>
      </w:r>
      <w:r w:rsidRPr="000F2158">
        <w:rPr>
          <w:rFonts w:ascii="Verdana" w:eastAsia="Calibri" w:hAnsi="Verdana" w:cs="Arial"/>
          <w:lang w:eastAsia="es-ES"/>
        </w:rPr>
        <w:t xml:space="preserve"> la cual manifiesta lo siguiente:</w:t>
      </w:r>
    </w:p>
    <w:p w14:paraId="28D437B8" w14:textId="77777777" w:rsidR="00210789" w:rsidRPr="008E4F36" w:rsidRDefault="00210789" w:rsidP="00210789">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706A64AF" w14:textId="77777777" w:rsidR="00210789" w:rsidRPr="00F71C60" w:rsidRDefault="00210789" w:rsidP="00210789">
      <w:pPr>
        <w:spacing w:after="0" w:line="240" w:lineRule="auto"/>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F71C60">
        <w:rPr>
          <w:rFonts w:ascii="Verdana" w:eastAsia="Century Gothic" w:hAnsi="Verdana" w:cs="Century Gothic"/>
          <w:sz w:val="20"/>
          <w:szCs w:val="20"/>
        </w:rPr>
        <w:t>De manera atenta me permito solicitar su concepto sobre el siguiente aspecto:</w:t>
      </w:r>
    </w:p>
    <w:p w14:paraId="3CA57B6B" w14:textId="77777777" w:rsidR="00210789" w:rsidRPr="00F71C60" w:rsidRDefault="00210789" w:rsidP="00210789">
      <w:pPr>
        <w:spacing w:after="0" w:line="240" w:lineRule="auto"/>
        <w:ind w:left="709" w:right="709"/>
        <w:jc w:val="both"/>
        <w:rPr>
          <w:rFonts w:ascii="Verdana" w:eastAsia="Century Gothic" w:hAnsi="Verdana" w:cs="Century Gothic"/>
          <w:sz w:val="20"/>
          <w:szCs w:val="20"/>
        </w:rPr>
      </w:pPr>
      <w:r w:rsidRPr="00F71C60">
        <w:rPr>
          <w:rFonts w:ascii="Verdana" w:eastAsia="Century Gothic" w:hAnsi="Verdana" w:cs="Century Gothic"/>
          <w:sz w:val="20"/>
          <w:szCs w:val="20"/>
        </w:rPr>
        <w:t xml:space="preserve">-El delito de fraccionamiento de contratos aplica para las entidades públicas cuyo regimen de contratación esta sometido al derecho privado?  En otras palabras, en una entidad como una ESE que aplica el derecho </w:t>
      </w:r>
      <w:r w:rsidRPr="00F71C60">
        <w:rPr>
          <w:rFonts w:ascii="Verdana" w:eastAsia="Century Gothic" w:hAnsi="Verdana" w:cs="Century Gothic"/>
          <w:sz w:val="20"/>
          <w:szCs w:val="20"/>
        </w:rPr>
        <w:lastRenderedPageBreak/>
        <w:t>privado en su contratación, puede darse esa conducta que hasta donde se sabe es propia de la ley 80 de 1993?</w:t>
      </w:r>
    </w:p>
    <w:p w14:paraId="337C9CCD" w14:textId="77777777" w:rsidR="00210789" w:rsidRPr="00617A31" w:rsidRDefault="00210789" w:rsidP="00210789">
      <w:pPr>
        <w:spacing w:after="0" w:line="240" w:lineRule="auto"/>
        <w:ind w:left="709" w:right="709"/>
        <w:jc w:val="both"/>
        <w:rPr>
          <w:rFonts w:ascii="Verdana" w:eastAsia="Century Gothic" w:hAnsi="Verdana" w:cs="Century Gothic"/>
          <w:sz w:val="20"/>
          <w:szCs w:val="20"/>
        </w:rPr>
      </w:pPr>
      <w:r w:rsidRPr="00F71C60">
        <w:rPr>
          <w:rFonts w:ascii="Verdana" w:eastAsia="Century Gothic" w:hAnsi="Verdana" w:cs="Century Gothic"/>
          <w:sz w:val="20"/>
          <w:szCs w:val="20"/>
        </w:rPr>
        <w:t>Agradezco su respuesta</w:t>
      </w:r>
      <w:r w:rsidRPr="004D6912">
        <w:rPr>
          <w:rFonts w:ascii="Verdana" w:eastAsia="Century Gothic" w:hAnsi="Verdana" w:cs="Century Gothic"/>
          <w:sz w:val="20"/>
          <w:szCs w:val="20"/>
        </w:rPr>
        <w:t>.”</w:t>
      </w:r>
      <w:r>
        <w:rPr>
          <w:rFonts w:ascii="Verdana" w:eastAsia="Century Gothic" w:hAnsi="Verdana" w:cs="Century Gothic"/>
          <w:sz w:val="20"/>
          <w:szCs w:val="20"/>
        </w:rPr>
        <w:t>(Sic)</w:t>
      </w:r>
    </w:p>
    <w:p w14:paraId="4E9831A6" w14:textId="77777777" w:rsidR="00210789" w:rsidRDefault="00210789" w:rsidP="00210789">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FB58A97" w14:textId="77777777" w:rsidR="00210789" w:rsidRPr="00054383" w:rsidRDefault="00210789" w:rsidP="00210789">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292A22A" w14:textId="77777777" w:rsidR="00210789" w:rsidRPr="008E4F36" w:rsidRDefault="00210789" w:rsidP="00210789">
      <w:pPr>
        <w:spacing w:after="0"/>
        <w:ind w:firstLine="709"/>
        <w:jc w:val="both"/>
        <w:rPr>
          <w:rFonts w:ascii="Verdana" w:eastAsia="Calibri" w:hAnsi="Verdana" w:cs="Arial"/>
          <w:color w:val="000000"/>
          <w:lang w:eastAsia="es-ES"/>
        </w:rPr>
      </w:pPr>
    </w:p>
    <w:p w14:paraId="3E6400E5" w14:textId="77777777" w:rsidR="00210789" w:rsidRDefault="00210789" w:rsidP="0021078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1D8330A7" w14:textId="77777777" w:rsidR="00210789" w:rsidRDefault="00210789" w:rsidP="00210789">
      <w:pPr>
        <w:spacing w:after="0" w:line="276" w:lineRule="auto"/>
        <w:jc w:val="both"/>
        <w:rPr>
          <w:rFonts w:ascii="Verdana" w:eastAsia="Calibri" w:hAnsi="Verdana" w:cs="Arial"/>
          <w:color w:val="000000"/>
          <w:highlight w:val="yellow"/>
          <w:lang w:eastAsia="es-ES"/>
        </w:rPr>
      </w:pPr>
    </w:p>
    <w:p w14:paraId="4CEE39E1" w14:textId="77777777" w:rsidR="00210789" w:rsidRDefault="00210789" w:rsidP="00210789">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sidRPr="008A0CD1">
        <w:rPr>
          <w:rFonts w:ascii="Verdana" w:eastAsia="Calibri" w:hAnsi="Verdana" w:cs="Arial"/>
          <w:color w:val="000000"/>
          <w:lang w:eastAsia="es-ES"/>
        </w:rPr>
        <w:t xml:space="preserve"> ¿</w:t>
      </w:r>
      <w:r>
        <w:rPr>
          <w:rFonts w:ascii="Verdana" w:eastAsia="Calibri" w:hAnsi="Verdana" w:cs="Arial"/>
          <w:color w:val="000000"/>
          <w:lang w:eastAsia="es-ES"/>
        </w:rPr>
        <w:t>E</w:t>
      </w:r>
      <w:r w:rsidRPr="008A0CD1">
        <w:rPr>
          <w:rFonts w:ascii="Verdana" w:eastAsia="Calibri" w:hAnsi="Verdana" w:cs="Arial"/>
          <w:color w:val="000000"/>
          <w:lang w:eastAsia="es-ES"/>
        </w:rPr>
        <w:t xml:space="preserve">l </w:t>
      </w:r>
      <w:r w:rsidRPr="00A06148">
        <w:rPr>
          <w:rFonts w:ascii="Verdana" w:eastAsia="Calibri" w:hAnsi="Verdana" w:cs="Arial"/>
          <w:i/>
          <w:color w:val="000000"/>
          <w:lang w:eastAsia="es-ES"/>
        </w:rPr>
        <w:t>fraccionamiento</w:t>
      </w:r>
      <w:r w:rsidRPr="008A0CD1">
        <w:rPr>
          <w:rFonts w:ascii="Verdana" w:eastAsia="Calibri" w:hAnsi="Verdana" w:cs="Arial"/>
          <w:color w:val="000000"/>
          <w:lang w:eastAsia="es-ES"/>
        </w:rPr>
        <w:t xml:space="preserve"> contractual </w:t>
      </w:r>
      <w:r>
        <w:rPr>
          <w:rFonts w:ascii="Verdana" w:eastAsia="Calibri" w:hAnsi="Verdana" w:cs="Arial"/>
          <w:color w:val="000000"/>
          <w:lang w:eastAsia="es-ES"/>
        </w:rPr>
        <w:t xml:space="preserve">realizado en el marco de la gestión contractual de entidades de régimen especial–como </w:t>
      </w:r>
      <w:r w:rsidRPr="008A0CD1">
        <w:rPr>
          <w:rFonts w:ascii="Verdana" w:eastAsia="Calibri" w:hAnsi="Verdana" w:cs="Arial"/>
          <w:color w:val="000000"/>
          <w:lang w:eastAsia="es-ES"/>
        </w:rPr>
        <w:t>las Empresas Sociales del Estado (ESE)</w:t>
      </w:r>
      <w:r>
        <w:rPr>
          <w:rFonts w:ascii="Verdana" w:eastAsia="Calibri" w:hAnsi="Verdana" w:cs="Arial"/>
          <w:color w:val="000000"/>
          <w:lang w:eastAsia="es-ES"/>
        </w:rPr>
        <w:t>–</w:t>
      </w:r>
      <w:r w:rsidRPr="008A0CD1">
        <w:rPr>
          <w:rFonts w:ascii="Verdana" w:eastAsia="Calibri" w:hAnsi="Verdana" w:cs="Arial"/>
          <w:color w:val="000000"/>
          <w:lang w:eastAsia="es-ES"/>
        </w:rPr>
        <w:t xml:space="preserve"> </w:t>
      </w:r>
      <w:r>
        <w:rPr>
          <w:rFonts w:ascii="Verdana" w:eastAsia="Calibri" w:hAnsi="Verdana" w:cs="Arial"/>
          <w:color w:val="000000"/>
          <w:lang w:eastAsia="es-ES"/>
        </w:rPr>
        <w:t>configura</w:t>
      </w:r>
      <w:r w:rsidRPr="008A0CD1">
        <w:rPr>
          <w:rFonts w:ascii="Verdana" w:eastAsia="Calibri" w:hAnsi="Verdana" w:cs="Arial"/>
          <w:color w:val="000000"/>
          <w:lang w:eastAsia="es-ES"/>
        </w:rPr>
        <w:t xml:space="preserve"> el delito de contrato sin cumplimiento de requisitos legales</w:t>
      </w:r>
      <w:r>
        <w:rPr>
          <w:rFonts w:ascii="Verdana" w:eastAsia="Calibri" w:hAnsi="Verdana" w:cs="Arial"/>
          <w:color w:val="000000"/>
          <w:lang w:eastAsia="es-ES"/>
        </w:rPr>
        <w:t>?</w:t>
      </w:r>
      <w:r w:rsidRPr="008A0CD1">
        <w:rPr>
          <w:rFonts w:ascii="Verdana" w:eastAsia="Calibri" w:hAnsi="Verdana" w:cs="Arial"/>
          <w:color w:val="000000"/>
          <w:lang w:eastAsia="es-ES"/>
        </w:rPr>
        <w:t xml:space="preserve"> </w:t>
      </w:r>
    </w:p>
    <w:p w14:paraId="6A2F43F4" w14:textId="77777777" w:rsidR="00210789" w:rsidRPr="008A0CD1" w:rsidRDefault="00210789" w:rsidP="00210789">
      <w:pPr>
        <w:spacing w:after="0" w:line="276" w:lineRule="auto"/>
        <w:jc w:val="both"/>
        <w:rPr>
          <w:rFonts w:ascii="Verdana" w:eastAsia="Calibri" w:hAnsi="Verdana" w:cs="Arial"/>
          <w:color w:val="000000"/>
          <w:lang w:eastAsia="es-ES"/>
        </w:rPr>
      </w:pPr>
    </w:p>
    <w:p w14:paraId="324ED1F7" w14:textId="77777777" w:rsidR="00210789" w:rsidRPr="008A0CD1" w:rsidRDefault="00210789" w:rsidP="00210789">
      <w:pPr>
        <w:pStyle w:val="Prrafodelista"/>
        <w:numPr>
          <w:ilvl w:val="0"/>
          <w:numId w:val="1"/>
        </w:numPr>
        <w:spacing w:after="0" w:line="276" w:lineRule="auto"/>
        <w:jc w:val="both"/>
        <w:rPr>
          <w:rFonts w:ascii="Verdana" w:eastAsia="Century Gothic" w:hAnsi="Verdana" w:cs="Century Gothic"/>
          <w:b/>
          <w:bCs/>
        </w:rPr>
      </w:pPr>
      <w:r w:rsidRPr="008A0CD1">
        <w:rPr>
          <w:rFonts w:ascii="Verdana" w:eastAsia="Century Gothic" w:hAnsi="Verdana" w:cs="Century Gothic"/>
          <w:b/>
          <w:bCs/>
        </w:rPr>
        <w:t>Respuesta:</w:t>
      </w:r>
    </w:p>
    <w:p w14:paraId="14D9C0E8" w14:textId="77777777" w:rsidR="00210789" w:rsidRPr="008E4F36" w:rsidRDefault="00210789" w:rsidP="0021078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10789" w:rsidRPr="008E4F36" w14:paraId="1C9F45BC" w14:textId="77777777" w:rsidTr="003C36DC">
        <w:tc>
          <w:tcPr>
            <w:tcW w:w="8828" w:type="dxa"/>
          </w:tcPr>
          <w:p w14:paraId="00CA4566" w14:textId="77777777" w:rsidR="00210789" w:rsidRPr="008354EF" w:rsidRDefault="00210789" w:rsidP="003C36DC">
            <w:pPr>
              <w:spacing w:after="120" w:line="276" w:lineRule="auto"/>
              <w:jc w:val="both"/>
              <w:rPr>
                <w:rFonts w:ascii="Verdana" w:eastAsia="Times New Roman" w:hAnsi="Verdana" w:cs="Times New Roman"/>
                <w:lang w:eastAsia="es-CO"/>
              </w:rPr>
            </w:pPr>
            <w:r>
              <w:rPr>
                <w:rFonts w:ascii="Verdana" w:hAnsi="Verdana"/>
              </w:rPr>
              <w:t>El</w:t>
            </w:r>
            <w:r>
              <w:rPr>
                <w:rFonts w:ascii="Verdana" w:hAnsi="Verdana" w:cs="Arial"/>
                <w:color w:val="000000" w:themeColor="text1"/>
              </w:rPr>
              <w:t xml:space="preserve"> artículo 410 del Código Penal establece el delito de </w:t>
            </w:r>
            <w:r w:rsidRPr="00822286">
              <w:rPr>
                <w:rFonts w:ascii="Verdana" w:hAnsi="Verdana" w:cs="Arial"/>
                <w:i/>
                <w:iCs/>
                <w:color w:val="000000" w:themeColor="text1"/>
              </w:rPr>
              <w:t>Contrato sin cumplimiento de requisitos legales</w:t>
            </w:r>
            <w:r>
              <w:rPr>
                <w:rFonts w:ascii="Verdana" w:hAnsi="Verdana" w:cs="Arial"/>
                <w:i/>
                <w:iCs/>
                <w:color w:val="000000" w:themeColor="text1"/>
              </w:rPr>
              <w:t xml:space="preserve">, </w:t>
            </w:r>
            <w:r>
              <w:rPr>
                <w:rFonts w:ascii="Verdana" w:eastAsia="Times New Roman" w:hAnsi="Verdana" w:cs="Times New Roman"/>
                <w:lang w:eastAsia="es-CO"/>
              </w:rPr>
              <w:t>el cual</w:t>
            </w:r>
            <w:r w:rsidRPr="008354EF">
              <w:rPr>
                <w:rFonts w:ascii="Verdana" w:eastAsia="Times New Roman" w:hAnsi="Verdana" w:cs="Times New Roman"/>
                <w:lang w:eastAsia="es-CO"/>
              </w:rPr>
              <w:t xml:space="preserve"> se configura cuando un servidor público, en ejercicio de sus funciones, tramita, celebra o liquida un contrato con preterición de los requisitos legales esenciales. Los verbos rectores del </w:t>
            </w:r>
            <w:r w:rsidRPr="008354EF">
              <w:rPr>
                <w:rFonts w:ascii="Verdana" w:eastAsia="Times New Roman" w:hAnsi="Verdana" w:cs="Times New Roman"/>
                <w:lang w:eastAsia="es-CO"/>
              </w:rPr>
              <w:lastRenderedPageBreak/>
              <w:t>tipo incorporan un elemento normativo cualificado, en tanto la tipicidad de la conducta no se predica del incumplimiento de cualquier exigencia formal, sino únicamente de la omisión de aquellos requisitos que resultan determinantes para la válida formación del negocio jurídico.</w:t>
            </w:r>
          </w:p>
          <w:p w14:paraId="6AD5079C" w14:textId="77777777" w:rsidR="00210789" w:rsidRPr="008354EF" w:rsidRDefault="00210789" w:rsidP="003C36DC">
            <w:pPr>
              <w:spacing w:after="120" w:line="276" w:lineRule="auto"/>
              <w:ind w:firstLine="709"/>
              <w:jc w:val="both"/>
              <w:rPr>
                <w:rFonts w:ascii="Verdana" w:eastAsia="Times New Roman" w:hAnsi="Verdana" w:cs="Times New Roman"/>
                <w:lang w:eastAsia="es-CO"/>
              </w:rPr>
            </w:pPr>
            <w:r w:rsidRPr="008354EF">
              <w:rPr>
                <w:rFonts w:ascii="Verdana" w:eastAsia="Times New Roman" w:hAnsi="Verdana" w:cs="Times New Roman"/>
                <w:lang w:eastAsia="es-CO"/>
              </w:rPr>
              <w:t xml:space="preserve">Por esta razón, el artículo 410 del Código Penal ha sido caracterizado por la jurisprudencia como un tipo penal en blanco, cuya estructura normativa debe integrarse con las disposiciones que conforman el régimen jurídico de contratación aplicable en cada caso concreto. Así, la determinación de cuáles son los requisitos legales esenciales exige remitirse, según la naturaleza de la entidad y </w:t>
            </w:r>
            <w:r>
              <w:rPr>
                <w:rFonts w:ascii="Verdana" w:eastAsia="Times New Roman" w:hAnsi="Verdana" w:cs="Times New Roman"/>
                <w:lang w:eastAsia="es-CO"/>
              </w:rPr>
              <w:t>el régimen del</w:t>
            </w:r>
            <w:r w:rsidRPr="008354EF">
              <w:rPr>
                <w:rFonts w:ascii="Verdana" w:eastAsia="Times New Roman" w:hAnsi="Verdana" w:cs="Times New Roman"/>
                <w:lang w:eastAsia="es-CO"/>
              </w:rPr>
              <w:t xml:space="preserve"> contrato</w:t>
            </w:r>
            <w:r>
              <w:rPr>
                <w:rFonts w:ascii="Verdana" w:eastAsia="Times New Roman" w:hAnsi="Verdana" w:cs="Times New Roman"/>
                <w:lang w:eastAsia="es-CO"/>
              </w:rPr>
              <w:t>.</w:t>
            </w:r>
          </w:p>
          <w:p w14:paraId="0991D64D" w14:textId="77777777" w:rsidR="00210789" w:rsidRPr="00137E61" w:rsidRDefault="00210789" w:rsidP="003C36DC">
            <w:pPr>
              <w:spacing w:after="120" w:line="276" w:lineRule="auto"/>
              <w:ind w:firstLine="709"/>
              <w:jc w:val="both"/>
              <w:rPr>
                <w:rFonts w:ascii="Verdana" w:eastAsia="Times New Roman" w:hAnsi="Verdana" w:cs="Times New Roman"/>
                <w:lang w:eastAsia="es-CO"/>
              </w:rPr>
            </w:pPr>
            <w:r w:rsidRPr="008354EF">
              <w:rPr>
                <w:rFonts w:ascii="Verdana" w:eastAsia="Times New Roman" w:hAnsi="Verdana" w:cs="Times New Roman"/>
                <w:lang w:eastAsia="es-CO"/>
              </w:rPr>
              <w:t>En este marco, la Corte Suprema de Justicia ha precisado que la práctica conocida como fraccionamiento contractual —entendida como la división artificiosa de la unidad natural del objeto del contrato con el propósito de eludir el procedimiento de selección legalmente exigido— no constituye un delito autónomo con denominación propia. Sin embargo,  dicha conducta puede adquirir relevancia penal cuando se acredita que fue utilizada de manera dolosa para soslayar requisitos legales esenciales y, por esta vía, integrar el tipo penal de contrato sin cumplimiento de requisitos legales.</w:t>
            </w:r>
            <w:r>
              <w:rPr>
                <w:rFonts w:ascii="Verdana" w:eastAsia="Century Gothic" w:hAnsi="Verdana" w:cs="Century Gothic"/>
              </w:rPr>
              <w:t xml:space="preserve"> </w:t>
            </w:r>
          </w:p>
          <w:p w14:paraId="3AD6F2E8" w14:textId="77777777" w:rsidR="00210789" w:rsidRPr="00137E61" w:rsidRDefault="00210789" w:rsidP="003C36DC">
            <w:pPr>
              <w:spacing w:after="120" w:line="276" w:lineRule="auto"/>
              <w:ind w:firstLine="709"/>
              <w:jc w:val="both"/>
              <w:rPr>
                <w:rFonts w:ascii="Verdana" w:eastAsia="Century Gothic" w:hAnsi="Verdana" w:cs="Century Gothic"/>
              </w:rPr>
            </w:pPr>
            <w:r>
              <w:rPr>
                <w:rFonts w:ascii="Verdana" w:eastAsia="Times New Roman" w:hAnsi="Verdana" w:cs="Times New Roman"/>
                <w:lang w:eastAsia="es-CO"/>
              </w:rPr>
              <w:t xml:space="preserve">Si bien la jurisprudencia de la Sala Penal de la Corte Suprema de Justicia referida al fraccionamiento de contratos se ha referido principalmente contratos celebrados por Entidades Estales sometidas al </w:t>
            </w:r>
            <w:r w:rsidRPr="00137E61">
              <w:rPr>
                <w:rFonts w:ascii="Verdana" w:eastAsia="Century Gothic" w:hAnsi="Verdana" w:cs="Century Gothic"/>
              </w:rPr>
              <w:t>Estatuto General de Contratación de la Administración Pública (EGCAP)</w:t>
            </w:r>
            <w:r>
              <w:rPr>
                <w:rFonts w:ascii="Verdana" w:eastAsia="Century Gothic" w:hAnsi="Verdana" w:cs="Century Gothic"/>
              </w:rPr>
              <w:t>,</w:t>
            </w:r>
            <w:r w:rsidRPr="00137E61">
              <w:rPr>
                <w:rFonts w:ascii="Verdana" w:eastAsia="Century Gothic" w:hAnsi="Verdana" w:cs="Century Gothic"/>
              </w:rPr>
              <w:t xml:space="preserve"> </w:t>
            </w:r>
            <w:r>
              <w:rPr>
                <w:rFonts w:ascii="Verdana" w:eastAsia="Times New Roman" w:hAnsi="Verdana" w:cs="Times New Roman"/>
                <w:lang w:eastAsia="es-CO"/>
              </w:rPr>
              <w:t xml:space="preserve">nada obsta para </w:t>
            </w:r>
            <w:r>
              <w:rPr>
                <w:rFonts w:ascii="Verdana" w:eastAsia="Century Gothic" w:hAnsi="Verdana" w:cs="Century Gothic"/>
              </w:rPr>
              <w:t>que el fraccionamiento realizado en el marco de la gestión contractual de entidades exceptuadas, también pueda</w:t>
            </w:r>
            <w:r w:rsidRPr="00137E61">
              <w:rPr>
                <w:rFonts w:ascii="Verdana" w:eastAsia="Century Gothic" w:hAnsi="Verdana" w:cs="Century Gothic"/>
              </w:rPr>
              <w:t xml:space="preserve"> tener relevancia crimina</w:t>
            </w:r>
            <w:r>
              <w:rPr>
                <w:rFonts w:ascii="Verdana" w:eastAsia="Century Gothic" w:hAnsi="Verdana" w:cs="Century Gothic"/>
              </w:rPr>
              <w:t>l</w:t>
            </w:r>
            <w:r w:rsidRPr="00137E61">
              <w:rPr>
                <w:rFonts w:ascii="Verdana" w:eastAsia="Century Gothic" w:hAnsi="Verdana" w:cs="Century Gothic"/>
              </w:rPr>
              <w:t>. E</w:t>
            </w:r>
            <w:r>
              <w:rPr>
                <w:rFonts w:ascii="Verdana" w:eastAsia="Century Gothic" w:hAnsi="Verdana" w:cs="Century Gothic"/>
              </w:rPr>
              <w:t>sto comoquiera que,</w:t>
            </w:r>
            <w:r w:rsidRPr="00137E61">
              <w:rPr>
                <w:rFonts w:ascii="Verdana" w:eastAsia="Century Gothic" w:hAnsi="Verdana" w:cs="Century Gothic"/>
              </w:rPr>
              <w:t xml:space="preserve"> el delito de </w:t>
            </w:r>
            <w:r w:rsidRPr="00A06148">
              <w:rPr>
                <w:rFonts w:ascii="Verdana" w:eastAsia="Century Gothic" w:hAnsi="Verdana" w:cs="Century Gothic"/>
                <w:i/>
              </w:rPr>
              <w:t>contrato sin cumplimiento de requisitos legales</w:t>
            </w:r>
            <w:r w:rsidRPr="00137E61">
              <w:rPr>
                <w:rFonts w:ascii="Verdana" w:eastAsia="Century Gothic" w:hAnsi="Verdana" w:cs="Century Gothic"/>
              </w:rPr>
              <w:t xml:space="preserve"> </w:t>
            </w:r>
            <w:r>
              <w:rPr>
                <w:rFonts w:ascii="Verdana" w:eastAsia="Century Gothic" w:hAnsi="Verdana" w:cs="Century Gothic"/>
              </w:rPr>
              <w:t>–</w:t>
            </w:r>
            <w:r w:rsidRPr="00137E61">
              <w:rPr>
                <w:rFonts w:ascii="Verdana" w:eastAsia="Century Gothic" w:hAnsi="Verdana" w:cs="Century Gothic"/>
              </w:rPr>
              <w:t>artículo 410 del Código Penal</w:t>
            </w:r>
            <w:r>
              <w:rPr>
                <w:rFonts w:ascii="Verdana" w:eastAsia="Century Gothic" w:hAnsi="Verdana" w:cs="Century Gothic"/>
              </w:rPr>
              <w:t>–</w:t>
            </w:r>
            <w:r w:rsidRPr="00137E61">
              <w:rPr>
                <w:rFonts w:ascii="Verdana" w:eastAsia="Century Gothic" w:hAnsi="Verdana" w:cs="Century Gothic"/>
              </w:rPr>
              <w:t xml:space="preserve"> es un tipo penal en blanco, cuya configuración no depende del sometimiento de la entidad a la Ley 80 de 1993, sino de la omisión dolosa de los requisitos legales esenciales exigidos por el régimen jurídico que gobierna su actuación contractual.</w:t>
            </w:r>
          </w:p>
          <w:p w14:paraId="63318B31" w14:textId="77777777" w:rsidR="00210789" w:rsidRDefault="00210789" w:rsidP="003C36DC">
            <w:pPr>
              <w:spacing w:after="120" w:line="276" w:lineRule="auto"/>
              <w:ind w:firstLine="709"/>
              <w:jc w:val="both"/>
              <w:rPr>
                <w:rFonts w:ascii="Verdana" w:eastAsia="Century Gothic" w:hAnsi="Verdana" w:cs="Century Gothic"/>
              </w:rPr>
            </w:pPr>
            <w:r w:rsidRPr="00137E61">
              <w:rPr>
                <w:rFonts w:ascii="Verdana" w:eastAsia="Century Gothic" w:hAnsi="Verdana" w:cs="Century Gothic"/>
              </w:rPr>
              <w:t xml:space="preserve">Por consiguiente, tratándose de entidades estatales con régimen exceptuado, como las Empresas Sociales del Estado (ESE), el parámetro de legalidad no está dado por los procedimientos previstos en la Ley 80 de 1993 o la Ley 1150 de 2007, sino por las normas especiales que regulan su contratación, su norma de creación y, de manera particular, su manual de </w:t>
            </w:r>
            <w:r w:rsidRPr="00137E61">
              <w:rPr>
                <w:rFonts w:ascii="Verdana" w:eastAsia="Century Gothic" w:hAnsi="Verdana" w:cs="Century Gothic"/>
              </w:rPr>
              <w:lastRenderedPageBreak/>
              <w:t>contratación, en el que se concretan los procedimientos de selección, los deberes de planeación y los criterios de escogencia del contratista. Cuando el fraccionamiento se utiliza para evadir de manera consciente tales reglas, y con ello se omiten presupuestos jurídicos indispensables para la válida celebración del contrato, la conducta puede subsumirse en el artículo 410 del Código Penal.</w:t>
            </w:r>
            <w:r>
              <w:rPr>
                <w:rFonts w:ascii="Verdana" w:eastAsia="Century Gothic" w:hAnsi="Verdana" w:cs="Century Gothic"/>
              </w:rPr>
              <w:t xml:space="preserve"> </w:t>
            </w:r>
            <w:r w:rsidRPr="00137E61">
              <w:rPr>
                <w:rFonts w:ascii="Verdana" w:eastAsia="Century Gothic" w:hAnsi="Verdana" w:cs="Century Gothic"/>
              </w:rPr>
              <w:t>En consecuencia, el hecho de que la contratación se rija por normas de derecho privado no excluye la eventual responsabilidad penal, pues la relevancia criminal del fraccionamiento en el ámbito de la contratación estatal exceptuada se determina a partir del uso indebido de ese régimen especial para soslayar los principios de legalidad, transparencia, planeación y responsabilidad que rigen la actuación de todas las entidades estatales.</w:t>
            </w:r>
          </w:p>
          <w:p w14:paraId="7EB5B9A1" w14:textId="77777777" w:rsidR="00210789" w:rsidRPr="00137E61" w:rsidRDefault="00210789" w:rsidP="003C36DC">
            <w:pPr>
              <w:widowControl w:val="0"/>
              <w:autoSpaceDE w:val="0"/>
              <w:autoSpaceDN w:val="0"/>
              <w:spacing w:after="120" w:line="276" w:lineRule="auto"/>
              <w:ind w:firstLine="709"/>
              <w:jc w:val="both"/>
              <w:rPr>
                <w:rFonts w:ascii="Verdana" w:hAnsi="Verdana" w:cs="Times New Roman"/>
              </w:rPr>
            </w:pPr>
            <w:r w:rsidRPr="00C62E14">
              <w:rPr>
                <w:rFonts w:ascii="Verdana" w:eastAsia="Calibri" w:hAnsi="Verdana" w:cs="Arial"/>
                <w:bCs/>
                <w:color w:val="000000" w:themeColor="text1"/>
              </w:rPr>
              <w:t>Finalmente, es necesario precisar que, sin perjuicio de las consideraciones expuestas en ejercicio de la función consultiva asignada a la Agencia Nacional de Contratación Pública –Colombia Compra Eficiente– por el Decreto Ley 4170 de 2011, la investigación y el juzgamiento de las conductas de carácter penal son competencia exclusiva de la Rama Judicial. En tal sentido, corresponde a los jueces y a la Fiscalía General de la Nación, con plena independencia y autonomía, determinar la adecuación típica de las conductas previstas en el artículo 410 del Código Penal, atendiendo a las particularidades fácticas y jurídicas de cada caso concreto, sin que la Agencia cuente con atribuciones para intervenir o incidir en dicha valoración.</w:t>
            </w:r>
          </w:p>
        </w:tc>
      </w:tr>
    </w:tbl>
    <w:p w14:paraId="2542F4AC" w14:textId="77777777" w:rsidR="00210789" w:rsidRDefault="00210789" w:rsidP="00210789">
      <w:pPr>
        <w:tabs>
          <w:tab w:val="left" w:pos="142"/>
          <w:tab w:val="left" w:pos="284"/>
        </w:tabs>
        <w:spacing w:after="0" w:line="276" w:lineRule="auto"/>
        <w:jc w:val="both"/>
        <w:rPr>
          <w:rFonts w:ascii="Verdana" w:eastAsia="Century Gothic" w:hAnsi="Verdana" w:cs="Century Gothic"/>
          <w:b/>
          <w:bCs/>
        </w:rPr>
      </w:pPr>
    </w:p>
    <w:p w14:paraId="14B126E1" w14:textId="77777777" w:rsidR="00210789" w:rsidRPr="008E4F36" w:rsidRDefault="00210789" w:rsidP="00210789">
      <w:pPr>
        <w:pStyle w:val="Prrafodelista"/>
        <w:numPr>
          <w:ilvl w:val="0"/>
          <w:numId w:val="1"/>
        </w:num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Razones de la respuesta:</w:t>
      </w:r>
    </w:p>
    <w:p w14:paraId="6B2D48A6" w14:textId="77777777" w:rsidR="00210789" w:rsidRPr="00DF7668" w:rsidRDefault="00210789" w:rsidP="00210789">
      <w:pPr>
        <w:pStyle w:val="Prrafodelista"/>
        <w:tabs>
          <w:tab w:val="left" w:pos="142"/>
          <w:tab w:val="left" w:pos="284"/>
        </w:tabs>
        <w:spacing w:after="0" w:line="276" w:lineRule="auto"/>
        <w:ind w:left="360"/>
        <w:jc w:val="both"/>
        <w:rPr>
          <w:rFonts w:ascii="Verdana" w:eastAsia="Century Gothic" w:hAnsi="Verdana" w:cs="Century Gothic"/>
          <w:b/>
          <w:bCs/>
        </w:rPr>
      </w:pPr>
    </w:p>
    <w:p w14:paraId="4348EA03" w14:textId="77777777" w:rsidR="00210789" w:rsidRDefault="00210789" w:rsidP="00210789">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bookmarkStart w:id="4" w:name="_Hlk189144219"/>
      <w:bookmarkStart w:id="5" w:name="_Hlk204856061"/>
      <w:bookmarkStart w:id="6" w:name="_Hlk78820161"/>
      <w:bookmarkStart w:id="7" w:name="_Hlk204854194"/>
    </w:p>
    <w:p w14:paraId="5F464988" w14:textId="77777777" w:rsidR="00210789" w:rsidRDefault="00210789" w:rsidP="00210789">
      <w:pPr>
        <w:pStyle w:val="Prrafodelista"/>
        <w:tabs>
          <w:tab w:val="left" w:pos="142"/>
          <w:tab w:val="left" w:pos="284"/>
        </w:tabs>
        <w:spacing w:after="0" w:line="276" w:lineRule="auto"/>
        <w:ind w:left="0"/>
        <w:contextualSpacing w:val="0"/>
        <w:jc w:val="both"/>
        <w:rPr>
          <w:rFonts w:ascii="Verdana" w:eastAsia="Century Gothic" w:hAnsi="Verdana" w:cs="Century Gothic"/>
        </w:rPr>
      </w:pPr>
    </w:p>
    <w:p w14:paraId="267FDB72" w14:textId="77777777" w:rsidR="00210789" w:rsidRDefault="00210789" w:rsidP="00210789">
      <w:pPr>
        <w:spacing w:after="120" w:line="276" w:lineRule="auto"/>
        <w:jc w:val="both"/>
        <w:rPr>
          <w:rFonts w:ascii="Verdana" w:hAnsi="Verdana"/>
          <w:color w:val="000000"/>
        </w:rPr>
      </w:pPr>
      <w:r>
        <w:rPr>
          <w:rFonts w:ascii="Verdana" w:eastAsia="Calibri" w:hAnsi="Verdana" w:cs="Arial"/>
          <w:lang w:val="es-ES"/>
        </w:rPr>
        <w:t>i)El delito de contrato sin cumplimiento de requisitos legales está tipificado en el artículo 410 del Código Penal en los siguientes términos: “</w:t>
      </w:r>
      <w:r w:rsidRPr="00BB0F34">
        <w:rPr>
          <w:rFonts w:ascii="Verdana" w:eastAsia="Calibri" w:hAnsi="Verdana" w:cs="Arial"/>
          <w:lang w:val="es-ES"/>
        </w:rPr>
        <w:t>El servidor público que por razón del ejercicio de sus funciones tramite contrato sin observancia de los requisitos legales esenciales o lo celebre o liquide sin verificar el cumplimiento de los mismos, incurrirá en prisión de sesenta y cuatro (64) a doscientos dieciséis (216) meses, multa de sesenta y seis punto sesenta y seis (66.66) a trescientos (300) salarios mínimos legales mensuales vigentes, e inhabilitación para el ejercicio de derechos y funciones públicas de ochenta (80) a doscientos dieciséis (216) meses</w:t>
      </w:r>
      <w:r>
        <w:rPr>
          <w:rFonts w:ascii="Verdana" w:eastAsia="Calibri" w:hAnsi="Verdana" w:cs="Arial"/>
          <w:lang w:val="es-ES"/>
        </w:rPr>
        <w:t>”</w:t>
      </w:r>
      <w:r w:rsidRPr="00BB0F34">
        <w:rPr>
          <w:rFonts w:ascii="Verdana" w:eastAsia="Calibri" w:hAnsi="Verdana" w:cs="Arial"/>
          <w:lang w:val="es-ES"/>
        </w:rPr>
        <w:t>.</w:t>
      </w:r>
      <w:r>
        <w:rPr>
          <w:rFonts w:ascii="Verdana" w:eastAsia="Calibri" w:hAnsi="Verdana" w:cs="Arial"/>
          <w:lang w:val="es-ES"/>
        </w:rPr>
        <w:t xml:space="preserve"> Dicho tipo penal, junto con la v</w:t>
      </w:r>
      <w:r w:rsidRPr="00AD4801">
        <w:rPr>
          <w:rFonts w:ascii="Verdana" w:eastAsia="Calibri" w:hAnsi="Verdana" w:cs="Arial"/>
          <w:lang w:val="es-ES"/>
        </w:rPr>
        <w:t xml:space="preserve">iolación del régimen legal </w:t>
      </w:r>
      <w:r w:rsidRPr="00AD4801">
        <w:rPr>
          <w:rFonts w:ascii="Verdana" w:eastAsia="Calibri" w:hAnsi="Verdana" w:cs="Arial"/>
          <w:lang w:val="es-ES"/>
        </w:rPr>
        <w:lastRenderedPageBreak/>
        <w:t>o constitucional de inhabilidades e incompatibilidades</w:t>
      </w:r>
      <w:r>
        <w:rPr>
          <w:rFonts w:ascii="Verdana" w:eastAsia="Calibri" w:hAnsi="Verdana" w:cs="Arial"/>
          <w:lang w:val="es-ES"/>
        </w:rPr>
        <w:t>, el i</w:t>
      </w:r>
      <w:r>
        <w:rPr>
          <w:rFonts w:ascii="Verdana" w:hAnsi="Verdana"/>
          <w:color w:val="000000"/>
        </w:rPr>
        <w:t>nterés indebido en la celebración de contratos y los a</w:t>
      </w:r>
      <w:r w:rsidRPr="00AD4801">
        <w:rPr>
          <w:rFonts w:ascii="Verdana" w:hAnsi="Verdana"/>
          <w:color w:val="000000"/>
        </w:rPr>
        <w:t>cuerdos restrictivos de la competencia</w:t>
      </w:r>
      <w:r>
        <w:rPr>
          <w:rFonts w:ascii="Verdana" w:hAnsi="Verdana"/>
          <w:color w:val="000000"/>
        </w:rPr>
        <w:t>, hacen parte de los delitos contra la Administración pública por celebración indebida de contratos.</w:t>
      </w:r>
    </w:p>
    <w:p w14:paraId="1212739E" w14:textId="77777777" w:rsidR="00210789" w:rsidRDefault="00210789" w:rsidP="00210789">
      <w:pPr>
        <w:spacing w:after="120" w:line="276" w:lineRule="auto"/>
        <w:jc w:val="both"/>
        <w:rPr>
          <w:rFonts w:ascii="Verdana" w:hAnsi="Verdana"/>
          <w:color w:val="000000"/>
        </w:rPr>
      </w:pPr>
      <w:r>
        <w:rPr>
          <w:rFonts w:ascii="Verdana" w:hAnsi="Verdana"/>
          <w:color w:val="000000"/>
        </w:rPr>
        <w:tab/>
        <w:t xml:space="preserve">El juicio de tipicidad exige un sujeto activo cualificado, pues sólo puede realizarse por un </w:t>
      </w:r>
      <w:r w:rsidRPr="00AD4801">
        <w:rPr>
          <w:rFonts w:ascii="Verdana" w:hAnsi="Verdana"/>
          <w:i/>
          <w:iCs/>
          <w:color w:val="000000"/>
        </w:rPr>
        <w:t>servidor público</w:t>
      </w:r>
      <w:r>
        <w:rPr>
          <w:rFonts w:ascii="Verdana" w:hAnsi="Verdana"/>
          <w:color w:val="000000"/>
        </w:rPr>
        <w:t>. Aunque el inciso primero del artículo 123 superior dispone que “</w:t>
      </w:r>
      <w:r w:rsidRPr="00B26A4B">
        <w:rPr>
          <w:rFonts w:ascii="Verdana" w:hAnsi="Verdana"/>
          <w:color w:val="000000"/>
        </w:rPr>
        <w:t>Son servidores públicos los miembros de las corporaciones públicas, los empleados y trabajadores del Estado y de sus entidades descentralizadas territorialmente y por servicios</w:t>
      </w:r>
      <w:r>
        <w:rPr>
          <w:rFonts w:ascii="Verdana" w:hAnsi="Verdana"/>
          <w:color w:val="000000"/>
        </w:rPr>
        <w:t>”, el artículo 20 del Código Penal establece una definición especial para la materia</w:t>
      </w:r>
      <w:r w:rsidRPr="00B26A4B">
        <w:rPr>
          <w:rFonts w:ascii="Verdana" w:hAnsi="Verdana"/>
          <w:color w:val="000000"/>
        </w:rPr>
        <w:t>.</w:t>
      </w:r>
      <w:r>
        <w:rPr>
          <w:rFonts w:ascii="Verdana" w:hAnsi="Verdana"/>
          <w:color w:val="000000"/>
        </w:rPr>
        <w:t xml:space="preserve"> En este contexto, para efectos del artículo 410 </w:t>
      </w:r>
      <w:r w:rsidRPr="00B26A4B">
        <w:rPr>
          <w:rFonts w:ascii="Verdana" w:hAnsi="Verdana"/>
          <w:i/>
          <w:iCs/>
          <w:color w:val="000000"/>
        </w:rPr>
        <w:t>ibidem</w:t>
      </w:r>
      <w:r>
        <w:rPr>
          <w:rFonts w:ascii="Verdana" w:hAnsi="Verdana"/>
          <w:color w:val="000000"/>
        </w:rPr>
        <w:t xml:space="preserve">, también </w:t>
      </w:r>
      <w:r w:rsidRPr="00B26A4B">
        <w:rPr>
          <w:rFonts w:ascii="Verdana" w:hAnsi="Verdana"/>
          <w:color w:val="000000"/>
        </w:rPr>
        <w:t>se consideran servidores públicos</w:t>
      </w:r>
      <w:r>
        <w:rPr>
          <w:rFonts w:ascii="Verdana" w:hAnsi="Verdana"/>
          <w:color w:val="000000"/>
        </w:rPr>
        <w:t xml:space="preserve"> “[…] </w:t>
      </w:r>
      <w:r w:rsidRPr="00B26A4B">
        <w:rPr>
          <w:rFonts w:ascii="Verdana" w:hAnsi="Verdana"/>
          <w:color w:val="000000"/>
        </w:rPr>
        <w:t>los miembros de la fuerza pública, los particulares que ejerzan funciones públicas en forma permanente o transitoria, los funcionarios y trabajadores del Banco de la República, los integrantes de la Comisión Nacional Ciudadana para la Lucha contra la Corrupción y las personas que administren los recursos de que trata el artículo 338 de la Constitución Política</w:t>
      </w:r>
      <w:r>
        <w:rPr>
          <w:rFonts w:ascii="Verdana" w:hAnsi="Verdana"/>
          <w:color w:val="000000"/>
        </w:rPr>
        <w:t>”</w:t>
      </w:r>
      <w:r w:rsidRPr="00B26A4B">
        <w:rPr>
          <w:rFonts w:ascii="Verdana" w:hAnsi="Verdana"/>
          <w:color w:val="000000"/>
        </w:rPr>
        <w:t>.</w:t>
      </w:r>
      <w:r>
        <w:rPr>
          <w:rFonts w:ascii="Verdana" w:hAnsi="Verdana"/>
          <w:color w:val="000000"/>
        </w:rPr>
        <w:t xml:space="preserve"> Incluso, conforme al artículo 56 de la Ley 80 de 1993, “[…] </w:t>
      </w:r>
      <w:r w:rsidRPr="00B26A4B">
        <w:rPr>
          <w:rFonts w:ascii="Verdana" w:hAnsi="Verdana"/>
          <w:color w:val="000000"/>
        </w:rPr>
        <w:t>el contratista, el interventor, el consultor y el asesor se consideran particulares que cumplen funciones públicas en todo lo concerniente a la celebración, ejecución y liquidación de los contratos que celebren con las entidades estatales</w:t>
      </w:r>
      <w:r>
        <w:rPr>
          <w:rFonts w:ascii="Verdana" w:hAnsi="Verdana"/>
          <w:color w:val="000000"/>
        </w:rPr>
        <w:t xml:space="preserve"> […]”. </w:t>
      </w:r>
    </w:p>
    <w:p w14:paraId="68EA27A6" w14:textId="77777777" w:rsidR="00210789" w:rsidRDefault="00210789" w:rsidP="00210789">
      <w:pPr>
        <w:spacing w:after="120" w:line="276" w:lineRule="auto"/>
        <w:jc w:val="both"/>
        <w:rPr>
          <w:rFonts w:ascii="Verdana" w:hAnsi="Verdana"/>
          <w:color w:val="000000"/>
        </w:rPr>
      </w:pPr>
      <w:r>
        <w:rPr>
          <w:rFonts w:ascii="Verdana" w:hAnsi="Verdana"/>
          <w:color w:val="000000"/>
        </w:rPr>
        <w:tab/>
        <w:t>Bajo la modalidad dolosa, el objeto de la conducta se concreta en t</w:t>
      </w:r>
      <w:r w:rsidRPr="009A4DAF">
        <w:rPr>
          <w:rFonts w:ascii="Verdana" w:hAnsi="Verdana"/>
          <w:color w:val="000000"/>
        </w:rPr>
        <w:t>ramitar</w:t>
      </w:r>
      <w:r>
        <w:rPr>
          <w:rFonts w:ascii="Verdana" w:hAnsi="Verdana"/>
          <w:color w:val="000000"/>
        </w:rPr>
        <w:t>, celebrar o liquidar contratos sin cumplimiento de los requisitos legales esenciales</w:t>
      </w:r>
      <w:r>
        <w:rPr>
          <w:rStyle w:val="Refdenotaalpie"/>
          <w:rFonts w:ascii="Verdana" w:hAnsi="Verdana"/>
          <w:color w:val="000000"/>
        </w:rPr>
        <w:footnoteReference w:id="1"/>
      </w:r>
      <w:r>
        <w:rPr>
          <w:rFonts w:ascii="Verdana" w:hAnsi="Verdana"/>
          <w:color w:val="000000"/>
        </w:rPr>
        <w:t xml:space="preserve">. El </w:t>
      </w:r>
      <w:r w:rsidRPr="00962B7B">
        <w:rPr>
          <w:rFonts w:ascii="Verdana" w:hAnsi="Verdana"/>
          <w:i/>
          <w:iCs/>
          <w:color w:val="000000"/>
        </w:rPr>
        <w:t>trámite</w:t>
      </w:r>
      <w:r>
        <w:rPr>
          <w:rFonts w:ascii="Verdana" w:hAnsi="Verdana"/>
          <w:color w:val="000000"/>
        </w:rPr>
        <w:t xml:space="preserve"> corresponde a la etapa precontractual, y se relaciona principalmente con los procedimientos de selección; la </w:t>
      </w:r>
      <w:r w:rsidRPr="00962B7B">
        <w:rPr>
          <w:rFonts w:ascii="Verdana" w:hAnsi="Verdana"/>
          <w:i/>
          <w:iCs/>
          <w:color w:val="000000"/>
        </w:rPr>
        <w:t>celebración</w:t>
      </w:r>
      <w:r>
        <w:rPr>
          <w:rFonts w:ascii="Verdana" w:hAnsi="Verdana"/>
          <w:color w:val="000000"/>
        </w:rPr>
        <w:t xml:space="preserve"> se relaciona con el régimen de perfeccionamiento del contrato; mientras que </w:t>
      </w:r>
      <w:r w:rsidRPr="00962B7B">
        <w:rPr>
          <w:rFonts w:ascii="Verdana" w:hAnsi="Verdana"/>
          <w:i/>
          <w:iCs/>
          <w:color w:val="000000"/>
        </w:rPr>
        <w:t>liquidación</w:t>
      </w:r>
      <w:r>
        <w:rPr>
          <w:rFonts w:ascii="Verdana" w:hAnsi="Verdana"/>
          <w:color w:val="000000"/>
        </w:rPr>
        <w:t xml:space="preserve"> es la etapa final de cruce de cuentas para determinar si las partes están a paz y salvo en el cumplimiento de las obligaciones. De esta forma, el artículo 410 del Código Penal excluye la fase de ejecución contractual</w:t>
      </w:r>
      <w:r w:rsidRPr="00E9759A">
        <w:rPr>
          <w:vertAlign w:val="superscript"/>
        </w:rPr>
        <w:footnoteReference w:id="2"/>
      </w:r>
      <w:r>
        <w:rPr>
          <w:rFonts w:ascii="Verdana" w:hAnsi="Verdana"/>
          <w:color w:val="000000"/>
        </w:rPr>
        <w:t xml:space="preserve">. </w:t>
      </w:r>
    </w:p>
    <w:p w14:paraId="79FFEE6E" w14:textId="77777777" w:rsidR="00210789" w:rsidRDefault="00210789" w:rsidP="00210789">
      <w:pPr>
        <w:spacing w:after="120" w:line="276" w:lineRule="auto"/>
        <w:ind w:firstLine="709"/>
        <w:jc w:val="both"/>
        <w:rPr>
          <w:rFonts w:ascii="Verdana" w:hAnsi="Verdana"/>
          <w:color w:val="000000"/>
        </w:rPr>
      </w:pPr>
      <w:r>
        <w:rPr>
          <w:rFonts w:ascii="Verdana" w:hAnsi="Verdana"/>
          <w:color w:val="000000"/>
        </w:rPr>
        <w:t>En ese sentido,</w:t>
      </w:r>
      <w:r w:rsidRPr="00DD73B2">
        <w:rPr>
          <w:rFonts w:ascii="Verdana" w:hAnsi="Verdana"/>
          <w:color w:val="000000"/>
        </w:rPr>
        <w:t xml:space="preserve"> el artículo 410 del Código Penal delimita con precisión los elementos que integran los requisitos legales esenciales para la celebración de contratos estatales, en la medida en que la conducta punible se configura </w:t>
      </w:r>
      <w:r w:rsidRPr="00DD73B2">
        <w:rPr>
          <w:rFonts w:ascii="Verdana" w:hAnsi="Verdana"/>
          <w:color w:val="000000"/>
        </w:rPr>
        <w:lastRenderedPageBreak/>
        <w:t>únicamente cuando el servidor público —o el particular que ejerce funciones públicas— omite su verificación en las etapas de trámite, celebración o liquidación del contrato. Así, el tipo penal no sanciona cualquier irregularidad contractual, sino exclusivamente aquellas que afectan los presupuestos jurídicos indispensables que habilitan válidamente la contratación, reafirmando que estos requisitos constituyen condiciones esenciales para la correcta y legal celebración del contrato estatal, y no aspectos propios de su ejecución</w:t>
      </w:r>
      <w:r>
        <w:rPr>
          <w:rFonts w:ascii="Verdana" w:hAnsi="Verdana"/>
          <w:color w:val="000000"/>
        </w:rPr>
        <w:t>.</w:t>
      </w:r>
    </w:p>
    <w:p w14:paraId="6A6AFE13" w14:textId="77777777" w:rsidR="00210789" w:rsidRPr="00CD0C4C" w:rsidRDefault="00210789" w:rsidP="00210789">
      <w:pPr>
        <w:pStyle w:val="Prrafodelista"/>
        <w:tabs>
          <w:tab w:val="left" w:pos="142"/>
          <w:tab w:val="left" w:pos="284"/>
        </w:tabs>
        <w:spacing w:after="0" w:line="276" w:lineRule="auto"/>
        <w:ind w:left="0"/>
        <w:contextualSpacing w:val="0"/>
        <w:jc w:val="both"/>
        <w:rPr>
          <w:rFonts w:ascii="Verdana" w:eastAsia="Calibri" w:hAnsi="Verdana" w:cs="Arial"/>
        </w:rPr>
      </w:pPr>
      <w:r>
        <w:rPr>
          <w:rFonts w:ascii="Verdana" w:eastAsia="Century Gothic" w:hAnsi="Verdana" w:cs="Century Gothic"/>
        </w:rPr>
        <w:t xml:space="preserve">ii) </w:t>
      </w:r>
      <w:r w:rsidRPr="00E24B82">
        <w:rPr>
          <w:rFonts w:ascii="Verdana" w:eastAsia="Century Gothic" w:hAnsi="Verdana" w:cs="Century Gothic"/>
        </w:rPr>
        <w:t>Sobre el fraccionamiento del contrato procede citar lo expuesto por el Consejo de Estado</w:t>
      </w:r>
      <w:r w:rsidRPr="00C06435">
        <w:rPr>
          <w:vertAlign w:val="superscript"/>
        </w:rPr>
        <w:footnoteReference w:id="3"/>
      </w:r>
      <w:r w:rsidRPr="00E24B82">
        <w:rPr>
          <w:rFonts w:ascii="Verdana" w:eastAsia="Century Gothic" w:hAnsi="Verdana" w:cs="Century Gothic"/>
        </w:rPr>
        <w:t>, quien sobre el particular precisó:</w:t>
      </w:r>
    </w:p>
    <w:p w14:paraId="25A21285" w14:textId="77777777" w:rsidR="00210789" w:rsidRPr="00E24B82" w:rsidRDefault="00210789" w:rsidP="00210789">
      <w:pPr>
        <w:spacing w:after="0" w:line="276" w:lineRule="auto"/>
        <w:jc w:val="both"/>
        <w:rPr>
          <w:rFonts w:ascii="Verdana" w:eastAsia="Century Gothic" w:hAnsi="Verdana" w:cs="Century Gothic"/>
        </w:rPr>
      </w:pPr>
    </w:p>
    <w:p w14:paraId="55AD3635" w14:textId="77777777" w:rsidR="00210789" w:rsidRPr="00E24B82" w:rsidRDefault="00210789" w:rsidP="00210789">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“Cuando la contratación directa se realiza burlando el proceso licitatorio a través del fraccionamiento del contrato, es decir, buscando que ninguno de los contratos resultantes de dividir un mismo objeto supere el monto de la cuantía requerida para la licitación,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w:t>
      </w:r>
      <w:r>
        <w:rPr>
          <w:rFonts w:ascii="Verdana" w:eastAsia="Century Gothic" w:hAnsi="Verdana" w:cs="Century Gothic"/>
          <w:sz w:val="21"/>
          <w:szCs w:val="21"/>
        </w:rPr>
        <w:t xml:space="preserve"> </w:t>
      </w:r>
      <w:r w:rsidRPr="00E24B82">
        <w:rPr>
          <w:rFonts w:ascii="Verdana" w:eastAsia="Century Gothic" w:hAnsi="Verdana" w:cs="Century Gothic"/>
          <w:sz w:val="21"/>
          <w:szCs w:val="21"/>
        </w:rPr>
        <w:t>previstos en la ley, y al propio tiempo les prohíbe eludir los procedimientos de selección objetiva y los demás requisitos previstos en dicho estatuto”.</w:t>
      </w:r>
    </w:p>
    <w:p w14:paraId="71056A70" w14:textId="77777777" w:rsidR="00210789" w:rsidRPr="00E24B82" w:rsidRDefault="00210789" w:rsidP="00210789">
      <w:pPr>
        <w:spacing w:after="0" w:line="276" w:lineRule="auto"/>
        <w:jc w:val="both"/>
        <w:rPr>
          <w:rFonts w:ascii="Verdana" w:eastAsia="Century Gothic" w:hAnsi="Verdana" w:cs="Century Gothic"/>
        </w:rPr>
      </w:pPr>
    </w:p>
    <w:p w14:paraId="77D14D0F" w14:textId="77777777" w:rsidR="00210789" w:rsidRDefault="00210789" w:rsidP="00210789">
      <w:pPr>
        <w:spacing w:after="0" w:line="276" w:lineRule="auto"/>
        <w:ind w:firstLine="708"/>
        <w:jc w:val="both"/>
        <w:rPr>
          <w:rFonts w:ascii="Verdana" w:eastAsia="Century Gothic" w:hAnsi="Verdana" w:cs="Century Gothic"/>
        </w:rPr>
      </w:pPr>
      <w:r w:rsidRPr="00E24B82">
        <w:rPr>
          <w:rFonts w:ascii="Verdana" w:eastAsia="Century Gothic" w:hAnsi="Verdana" w:cs="Century Gothic"/>
        </w:rPr>
        <w:t xml:space="preserve">En esa misma línea, pero en la Sentencia del 31 de enero de 2011 proferida por la Sección Tercera de la Sala de lo Contencioso Administrativo del </w:t>
      </w:r>
      <w:r w:rsidRPr="00E24B82">
        <w:rPr>
          <w:rFonts w:ascii="Verdana" w:eastAsia="Century Gothic" w:hAnsi="Verdana" w:cs="Century Gothic"/>
        </w:rPr>
        <w:lastRenderedPageBreak/>
        <w:t>Consejo de Estado, expediente 17767 con ponencia de Olga Melida Valle de De La Hoz, se señaló:</w:t>
      </w:r>
    </w:p>
    <w:p w14:paraId="33863AC0" w14:textId="77777777" w:rsidR="00210789" w:rsidRDefault="00210789" w:rsidP="00210789">
      <w:pPr>
        <w:spacing w:after="0" w:line="276" w:lineRule="auto"/>
        <w:ind w:firstLine="708"/>
        <w:jc w:val="both"/>
        <w:rPr>
          <w:rFonts w:ascii="Verdana" w:eastAsia="Century Gothic" w:hAnsi="Verdana" w:cs="Century Gothic"/>
        </w:rPr>
      </w:pPr>
    </w:p>
    <w:p w14:paraId="3F88ACCB" w14:textId="77777777" w:rsidR="00210789" w:rsidRPr="00E24B82" w:rsidRDefault="00210789" w:rsidP="00210789">
      <w:pPr>
        <w:spacing w:after="0" w:line="240" w:lineRule="auto"/>
        <w:ind w:left="709" w:right="709"/>
        <w:jc w:val="both"/>
        <w:rPr>
          <w:rFonts w:ascii="Verdana" w:eastAsia="Century Gothic" w:hAnsi="Verdana" w:cs="Century Gothic"/>
          <w:sz w:val="21"/>
          <w:szCs w:val="21"/>
        </w:rPr>
      </w:pPr>
      <w:r w:rsidRPr="00E24B82">
        <w:rPr>
          <w:rFonts w:ascii="Verdana" w:eastAsia="Century Gothic" w:hAnsi="Verdana" w:cs="Century Gothic"/>
          <w:sz w:val="21"/>
          <w:szCs w:val="21"/>
        </w:rPr>
        <w:t>“La Corte Suprema de Justicia ha precisado que el fraccionamiento de contratos tiene lugar, “en los eventos en los cuales la administración para eludir el procedimiento de licitación pública</w:t>
      </w:r>
      <w:r>
        <w:rPr>
          <w:rFonts w:ascii="Verdana" w:eastAsia="Century Gothic" w:hAnsi="Verdana" w:cs="Century Gothic"/>
          <w:sz w:val="21"/>
          <w:szCs w:val="21"/>
        </w:rPr>
        <w:t xml:space="preserve"> </w:t>
      </w:r>
      <w:r w:rsidRPr="00E24B82">
        <w:rPr>
          <w:rFonts w:ascii="Verdana" w:eastAsia="Century Gothic" w:hAnsi="Verdana" w:cs="Century Gothic"/>
          <w:sz w:val="21"/>
          <w:szCs w:val="21"/>
        </w:rPr>
        <w:t>divide disimuladamente el objeto del contrato con el ánimo de favorecer a los contratistas. En su demostración, deben confluir las circunstancias siguientes: i) Que sea posible pregonar la unidad de objeto en relación con el contrato cuya legalidad se cuestiona y, de ser así, ii)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7959C7CD" w14:textId="77777777" w:rsidR="00210789" w:rsidRPr="00E24B82" w:rsidRDefault="00210789" w:rsidP="00210789">
      <w:pPr>
        <w:spacing w:after="0" w:line="276" w:lineRule="auto"/>
        <w:ind w:firstLine="708"/>
        <w:jc w:val="both"/>
        <w:rPr>
          <w:rFonts w:ascii="Verdana" w:eastAsia="Century Gothic" w:hAnsi="Verdana" w:cs="Century Gothic"/>
        </w:rPr>
      </w:pPr>
    </w:p>
    <w:p w14:paraId="0452FE6F" w14:textId="77777777" w:rsidR="00210789" w:rsidRPr="002B4E56" w:rsidRDefault="00210789" w:rsidP="00210789">
      <w:pPr>
        <w:spacing w:after="120" w:line="276" w:lineRule="auto"/>
        <w:ind w:firstLine="709"/>
        <w:jc w:val="both"/>
        <w:rPr>
          <w:rFonts w:ascii="Verdana" w:hAnsi="Verdana" w:cs="Arial"/>
          <w:lang w:val="es-ES_tradnl"/>
        </w:rPr>
      </w:pPr>
      <w:r w:rsidRPr="0062139C">
        <w:rPr>
          <w:rFonts w:ascii="Verdana" w:eastAsia="Century Gothic" w:hAnsi="Verdana" w:cs="Century Gothic"/>
        </w:rPr>
        <w:t xml:space="preserve">Sobre lo anterior, conviene resaltar que en opinión de la Agencia Nacional de Contratación Pública – Colombia Compra Eficiente – el fraccionamiento del contrato es una figura jurídica que no puede materializarse cuando se escoge el colaborador de la Administración mediante contratación directa, pues ninguna </w:t>
      </w:r>
      <w:r w:rsidRPr="002B4E56">
        <w:rPr>
          <w:rFonts w:ascii="Verdana" w:hAnsi="Verdana" w:cs="Arial"/>
          <w:lang w:val="es-ES_tradnl"/>
        </w:rPr>
        <w:t>de las causales asociadas a esta modalidad de selección</w:t>
      </w:r>
      <w:r w:rsidRPr="00386A3F">
        <w:rPr>
          <w:rFonts w:cs="Arial"/>
          <w:vertAlign w:val="superscript"/>
          <w:lang w:val="es-ES_tradnl"/>
        </w:rPr>
        <w:footnoteReference w:id="4"/>
      </w:r>
      <w:r w:rsidRPr="002B4E56">
        <w:rPr>
          <w:rFonts w:ascii="Verdana" w:hAnsi="Verdana" w:cs="Arial"/>
          <w:lang w:val="es-ES_tradnl"/>
        </w:rPr>
        <w:t xml:space="preserve"> dependen del valor, precio o presupuesto del proyecto.</w:t>
      </w:r>
    </w:p>
    <w:p w14:paraId="7EF79EA5" w14:textId="77777777" w:rsidR="00210789" w:rsidRPr="002B4E56" w:rsidRDefault="00210789" w:rsidP="00210789">
      <w:pPr>
        <w:spacing w:after="120" w:line="276" w:lineRule="auto"/>
        <w:ind w:firstLine="709"/>
        <w:jc w:val="both"/>
        <w:rPr>
          <w:rFonts w:ascii="Verdana" w:hAnsi="Verdana" w:cs="Arial"/>
          <w:lang w:val="es-ES_tradnl"/>
        </w:rPr>
      </w:pPr>
      <w:r w:rsidRPr="002B4E56">
        <w:rPr>
          <w:rFonts w:ascii="Verdana" w:hAnsi="Verdana" w:cs="Arial"/>
          <w:lang w:val="es-ES_tradnl"/>
        </w:rPr>
        <w:t>Vale la pena destacar que</w:t>
      </w:r>
      <w:r w:rsidRPr="0062139C">
        <w:rPr>
          <w:rFonts w:ascii="Verdana" w:eastAsia="Century Gothic" w:hAnsi="Verdana" w:cs="Century Gothic"/>
        </w:rPr>
        <w:t xml:space="preserv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en otros términos, se fracciona un contrato cuando se quebranta y se divide la </w:t>
      </w:r>
      <w:r w:rsidRPr="002B4E56">
        <w:rPr>
          <w:rFonts w:ascii="Verdana" w:hAnsi="Verdana" w:cs="Arial"/>
          <w:lang w:val="es-ES_tradnl"/>
        </w:rPr>
        <w:t>unidad natural de su objeto”</w:t>
      </w:r>
      <w:r w:rsidRPr="002B4E56">
        <w:rPr>
          <w:rFonts w:cs="Arial"/>
          <w:vertAlign w:val="superscript"/>
          <w:lang w:val="es-ES_tradnl"/>
        </w:rPr>
        <w:footnoteReference w:id="5"/>
      </w:r>
    </w:p>
    <w:p w14:paraId="7C8E143A" w14:textId="77777777" w:rsidR="00210789" w:rsidRDefault="00210789" w:rsidP="00210789">
      <w:pPr>
        <w:spacing w:after="120" w:line="276" w:lineRule="auto"/>
        <w:ind w:firstLine="709"/>
        <w:jc w:val="both"/>
        <w:rPr>
          <w:rFonts w:ascii="Verdana" w:eastAsia="Century Gothic" w:hAnsi="Verdana" w:cs="Century Gothic"/>
        </w:rPr>
      </w:pPr>
      <w:r w:rsidRPr="002B4E56">
        <w:rPr>
          <w:rFonts w:ascii="Verdana" w:hAnsi="Verdana" w:cs="Arial"/>
          <w:lang w:val="es-ES_tradnl"/>
        </w:rPr>
        <w:t>Fraccionar la unidad</w:t>
      </w:r>
      <w:r w:rsidRPr="0062139C">
        <w:rPr>
          <w:rFonts w:ascii="Verdana" w:eastAsia="Century Gothic" w:hAnsi="Verdana" w:cs="Century Gothic"/>
        </w:rPr>
        <w:t xml:space="preserve"> natural de un objeto contractual con el propósito de evadir una cuantía superior que implicaría un proceso de selección diferente,</w:t>
      </w:r>
      <w:r>
        <w:rPr>
          <w:rFonts w:ascii="Verdana" w:eastAsia="Century Gothic" w:hAnsi="Verdana" w:cs="Century Gothic"/>
        </w:rPr>
        <w:t xml:space="preserve"> </w:t>
      </w:r>
      <w:r w:rsidRPr="0062139C">
        <w:rPr>
          <w:rFonts w:ascii="Verdana" w:eastAsia="Century Gothic" w:hAnsi="Verdana" w:cs="Century Gothic"/>
        </w:rPr>
        <w:t xml:space="preserve">tiene como consecuencia la nulidad absoluta del contrato en los términos de los </w:t>
      </w:r>
      <w:r w:rsidRPr="0062139C">
        <w:rPr>
          <w:rFonts w:ascii="Verdana" w:eastAsia="Century Gothic" w:hAnsi="Verdana" w:cs="Century Gothic"/>
        </w:rPr>
        <w:lastRenderedPageBreak/>
        <w:t>artículos 44 y 45 de la Ley 80 de 1993, aplicable en lo correspondiente a este tipo de contrato</w:t>
      </w:r>
      <w:r w:rsidRPr="002B4E56">
        <w:rPr>
          <w:vertAlign w:val="superscript"/>
        </w:rPr>
        <w:footnoteReference w:id="6"/>
      </w:r>
      <w:r>
        <w:rPr>
          <w:rFonts w:ascii="Verdana" w:eastAsia="Century Gothic" w:hAnsi="Verdana" w:cs="Century Gothic"/>
        </w:rPr>
        <w:t>.</w:t>
      </w:r>
    </w:p>
    <w:p w14:paraId="71AAF1AC" w14:textId="77777777" w:rsidR="00210789" w:rsidRPr="002B4E56" w:rsidRDefault="00210789" w:rsidP="00210789">
      <w:pPr>
        <w:spacing w:after="120" w:line="276" w:lineRule="auto"/>
        <w:ind w:firstLine="709"/>
        <w:jc w:val="both"/>
        <w:rPr>
          <w:rFonts w:ascii="Verdana" w:hAnsi="Verdana" w:cs="Arial"/>
          <w:lang w:val="es-ES_tradnl"/>
        </w:rPr>
      </w:pPr>
      <w:r w:rsidRPr="0049433C">
        <w:rPr>
          <w:rFonts w:ascii="Verdana" w:eastAsia="Century Gothic" w:hAnsi="Verdana" w:cs="Century Gothic"/>
        </w:rPr>
        <w:t xml:space="preserve">Ahora bien, a la luz de la jurisprudencia solo habrá fraccionamiento del contrato cuando concurran los siguientes elementos: </w:t>
      </w:r>
      <w:r>
        <w:rPr>
          <w:rFonts w:ascii="Verdana" w:eastAsia="Century Gothic" w:hAnsi="Verdana" w:cs="Century Gothic"/>
        </w:rPr>
        <w:t>“</w:t>
      </w:r>
      <w:r w:rsidRPr="0049433C">
        <w:rPr>
          <w:rFonts w:ascii="Verdana" w:eastAsia="Century Gothic" w:hAnsi="Verdana" w:cs="Century Gothic"/>
        </w:rPr>
        <w:t>i) que exista una separación artificial de un mismo objeto contractual y ii) que dicha separación tenga como objetivo evitar procedimientos de convocatoria pública y de selección objetiva</w:t>
      </w:r>
      <w:r>
        <w:rPr>
          <w:rFonts w:ascii="Verdana" w:eastAsia="Century Gothic" w:hAnsi="Verdana" w:cs="Century Gothic"/>
        </w:rPr>
        <w:t>”</w:t>
      </w:r>
      <w:r>
        <w:rPr>
          <w:rStyle w:val="Refdenotaalpie"/>
          <w:rFonts w:ascii="Verdana" w:eastAsia="Century Gothic" w:hAnsi="Verdana" w:cs="Century Gothic"/>
        </w:rPr>
        <w:footnoteReference w:id="7"/>
      </w:r>
      <w:r w:rsidRPr="0049433C">
        <w:rPr>
          <w:rFonts w:ascii="Verdana" w:eastAsia="Century Gothic" w:hAnsi="Verdana" w:cs="Century Gothic"/>
        </w:rPr>
        <w:t xml:space="preserve">. De manera que estos elementos deberán ser constatados por la autoridad judicial competente para declarar una eventual nulidad absoluta </w:t>
      </w:r>
      <w:r w:rsidRPr="002B4E56">
        <w:rPr>
          <w:rFonts w:ascii="Verdana" w:hAnsi="Verdana" w:cs="Arial"/>
          <w:lang w:val="es-ES_tradnl"/>
        </w:rPr>
        <w:t>del contrato.</w:t>
      </w:r>
    </w:p>
    <w:p w14:paraId="46065662" w14:textId="77777777" w:rsidR="00210789" w:rsidRPr="002B4E56" w:rsidRDefault="00210789" w:rsidP="00210789">
      <w:pPr>
        <w:spacing w:after="120" w:line="276" w:lineRule="auto"/>
        <w:ind w:firstLine="709"/>
        <w:jc w:val="both"/>
        <w:rPr>
          <w:rFonts w:ascii="Verdana" w:hAnsi="Verdana" w:cs="Arial"/>
          <w:lang w:val="es-ES_tradnl"/>
        </w:rPr>
      </w:pPr>
      <w:r w:rsidRPr="002B4E56">
        <w:rPr>
          <w:rFonts w:ascii="Verdana" w:hAnsi="Verdana" w:cs="Arial"/>
          <w:lang w:val="es-ES_tradnl"/>
        </w:rPr>
        <w:t>Así entonces, ha</w:t>
      </w:r>
      <w:r w:rsidRPr="00A35C49">
        <w:rPr>
          <w:rFonts w:ascii="Verdana" w:eastAsia="Century Gothic" w:hAnsi="Verdana" w:cs="Century Gothic"/>
        </w:rPr>
        <w:t xml:space="preserve"> sido reiterada la posición del Consejo de Estado en el sentido de sostener que si bien es cierto la figura del fraccionamiento de los contratos no aparece prohibida expresamente en la Ley 80 de 1993, su </w:t>
      </w:r>
      <w:r w:rsidRPr="002B4E56">
        <w:rPr>
          <w:rFonts w:ascii="Verdana" w:hAnsi="Verdana" w:cs="Arial"/>
          <w:lang w:val="es-ES_tradnl"/>
        </w:rPr>
        <w:t>aplicación se deriva de las pautas, reglas y principios establecidos por dicha Ley</w:t>
      </w:r>
      <w:r w:rsidRPr="002B4E56">
        <w:rPr>
          <w:rFonts w:cs="Arial"/>
          <w:vertAlign w:val="superscript"/>
          <w:lang w:val="es-ES_tradnl"/>
        </w:rPr>
        <w:footnoteReference w:id="8"/>
      </w:r>
      <w:r w:rsidRPr="002B4E56">
        <w:rPr>
          <w:rFonts w:ascii="Verdana" w:hAnsi="Verdana" w:cs="Arial"/>
          <w:lang w:val="es-ES_tradnl"/>
        </w:rPr>
        <w:t>.</w:t>
      </w:r>
    </w:p>
    <w:p w14:paraId="7C2CD406" w14:textId="77777777" w:rsidR="00210789" w:rsidRDefault="00210789" w:rsidP="00210789">
      <w:pPr>
        <w:spacing w:after="120" w:line="276" w:lineRule="auto"/>
        <w:ind w:firstLine="709"/>
        <w:jc w:val="both"/>
        <w:rPr>
          <w:rFonts w:ascii="Verdana" w:hAnsi="Verdana" w:cs="Arial"/>
          <w:lang w:val="es-ES_tradnl"/>
        </w:rPr>
      </w:pPr>
      <w:r w:rsidRPr="002B4E56">
        <w:rPr>
          <w:rFonts w:ascii="Verdana" w:hAnsi="Verdana" w:cs="Arial"/>
          <w:lang w:val="es-ES_tradnl"/>
        </w:rPr>
        <w:t>A su vez, la doctrina</w:t>
      </w:r>
      <w:r w:rsidRPr="00C36508">
        <w:rPr>
          <w:rFonts w:ascii="Verdana" w:hAnsi="Verdana"/>
        </w:rPr>
        <w:t xml:space="preserve">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w:t>
      </w:r>
      <w:r w:rsidRPr="002B4E56">
        <w:rPr>
          <w:rFonts w:ascii="Verdana" w:hAnsi="Verdana" w:cs="Arial"/>
          <w:lang w:val="es-ES_tradnl"/>
        </w:rPr>
        <w:t>cercanía temporal”</w:t>
      </w:r>
      <w:r w:rsidRPr="002B4E56">
        <w:rPr>
          <w:rFonts w:ascii="Verdana" w:hAnsi="Verdana" w:cs="Arial"/>
          <w:vertAlign w:val="superscript"/>
          <w:lang w:val="es-ES_tradnl"/>
        </w:rPr>
        <w:footnoteReference w:id="9"/>
      </w:r>
      <w:r w:rsidRPr="002B4E56">
        <w:rPr>
          <w:rFonts w:ascii="Verdana" w:hAnsi="Verdana" w:cs="Arial"/>
          <w:lang w:val="es-ES_tradnl"/>
        </w:rPr>
        <w:t xml:space="preserve">. </w:t>
      </w:r>
    </w:p>
    <w:p w14:paraId="5ECEF5FF" w14:textId="77777777" w:rsidR="00210789" w:rsidRPr="00444433" w:rsidRDefault="00210789" w:rsidP="00210789">
      <w:pPr>
        <w:spacing w:after="120" w:line="276" w:lineRule="auto"/>
        <w:jc w:val="both"/>
        <w:rPr>
          <w:rFonts w:ascii="Verdana" w:hAnsi="Verdana" w:cs="Arial"/>
        </w:rPr>
      </w:pPr>
      <w:r w:rsidRPr="003473BA">
        <w:rPr>
          <w:rFonts w:ascii="Verdana" w:hAnsi="Verdana" w:cs="Arial"/>
        </w:rPr>
        <w:t xml:space="preserve">   </w:t>
      </w:r>
      <w:r w:rsidRPr="0032642A">
        <w:rPr>
          <w:rFonts w:ascii="Verdana" w:hAnsi="Verdana" w:cs="Arial"/>
        </w:rPr>
        <w:t xml:space="preserve">    </w:t>
      </w:r>
      <w:r w:rsidRPr="00444433">
        <w:rPr>
          <w:rFonts w:ascii="Verdana" w:hAnsi="Verdana" w:cs="Arial"/>
        </w:rPr>
        <w:t xml:space="preserve">  Finalmente, teniendo en cuenta que no existe en el ordenamiento penal un tipo autónomo denominado “delito de fraccionamiento”, resulta necesario precisar que la relevancia penal del fraccionamiento contractual ha sido construida por la jurisprudencia de la Corte Suprema de Justicia a partir de su impacto en el cumplimiento de los deberes que rigen la contratación estatal. En efecto, en la sentencia del 2 de diciembre de 2008</w:t>
      </w:r>
      <w:r>
        <w:rPr>
          <w:rFonts w:ascii="Verdana" w:hAnsi="Verdana" w:cs="Arial"/>
        </w:rPr>
        <w:t>–</w:t>
      </w:r>
      <w:r w:rsidRPr="00444433">
        <w:rPr>
          <w:rFonts w:ascii="Verdana" w:hAnsi="Verdana" w:cs="Arial"/>
        </w:rPr>
        <w:t>rad. 29285</w:t>
      </w:r>
      <w:r>
        <w:rPr>
          <w:rFonts w:ascii="Verdana" w:hAnsi="Verdana" w:cs="Arial"/>
        </w:rPr>
        <w:t>–</w:t>
      </w:r>
      <w:r w:rsidRPr="00444433">
        <w:rPr>
          <w:rFonts w:ascii="Verdana" w:hAnsi="Verdana" w:cs="Arial"/>
        </w:rPr>
        <w:t xml:space="preserve"> la Corte sostuvo que el fraccionamiento se presenta cuando la administración, de manera artificiosa y deliberada, deshace la unidad natural del objeto contractual con el </w:t>
      </w:r>
      <w:r w:rsidRPr="00444433">
        <w:rPr>
          <w:rFonts w:ascii="Verdana" w:hAnsi="Verdana" w:cs="Arial"/>
        </w:rPr>
        <w:lastRenderedPageBreak/>
        <w:t>propósito de eludir el procedimiento de selección que legalmente correspondía, acudiendo a trámites menos exigentes, lo cual compromete de forma directa los principios de transparencia, selección objetiva e igualdad.</w:t>
      </w:r>
    </w:p>
    <w:p w14:paraId="44C00F61" w14:textId="77777777" w:rsidR="00210789" w:rsidRPr="00444433" w:rsidRDefault="00210789" w:rsidP="00210789">
      <w:pPr>
        <w:spacing w:after="120" w:line="276" w:lineRule="auto"/>
        <w:ind w:firstLine="709"/>
        <w:jc w:val="both"/>
        <w:rPr>
          <w:rFonts w:ascii="Verdana" w:hAnsi="Verdana" w:cs="Arial"/>
        </w:rPr>
      </w:pPr>
      <w:r w:rsidRPr="00444433">
        <w:rPr>
          <w:rFonts w:ascii="Verdana" w:hAnsi="Verdana" w:cs="Arial"/>
        </w:rPr>
        <w:t xml:space="preserve">De igual manera, en la sentencia del 28 de noviembre de 2007, </w:t>
      </w:r>
      <w:r>
        <w:rPr>
          <w:rFonts w:ascii="Verdana" w:hAnsi="Verdana" w:cs="Arial"/>
        </w:rPr>
        <w:t>–</w:t>
      </w:r>
      <w:r w:rsidRPr="00444433">
        <w:rPr>
          <w:rFonts w:ascii="Verdana" w:hAnsi="Verdana" w:cs="Arial"/>
        </w:rPr>
        <w:t>rad. 26857</w:t>
      </w:r>
      <w:r>
        <w:rPr>
          <w:rFonts w:ascii="Verdana" w:hAnsi="Verdana" w:cs="Arial"/>
        </w:rPr>
        <w:t>–</w:t>
      </w:r>
      <w:r w:rsidRPr="00444433">
        <w:rPr>
          <w:rFonts w:ascii="Verdana" w:hAnsi="Verdana" w:cs="Arial"/>
        </w:rPr>
        <w:t>, el alto tribunal advirtió que dicha práctica puede constituir una modalidad de celebración indebida de contratos, particularmente cuando la división del objeto responde a un ánimo de favorecimiento de determinados contratistas o a la intención de soslayar las normas que gobiernan la contratación estatal, y no a razones objetivas de interés público. En estas condiciones, la Corte ha señalado que la configuración del fraccionamiento exige verificar, entre otros aspectos, la existencia de una unidad de objeto y la ausencia de justificaciones técnicas, jurídicas o económicas legítimas que expliquen la celebración de múltiples contratos.</w:t>
      </w:r>
    </w:p>
    <w:p w14:paraId="171ACA9E" w14:textId="77777777" w:rsidR="00210789" w:rsidRPr="00444433" w:rsidRDefault="00210789" w:rsidP="00210789">
      <w:pPr>
        <w:spacing w:after="120" w:line="276" w:lineRule="auto"/>
        <w:ind w:firstLine="709"/>
        <w:jc w:val="both"/>
        <w:rPr>
          <w:rFonts w:ascii="Verdana" w:hAnsi="Verdana" w:cs="Arial"/>
        </w:rPr>
      </w:pPr>
      <w:r w:rsidRPr="00444433">
        <w:rPr>
          <w:rFonts w:ascii="Verdana" w:hAnsi="Verdana" w:cs="Arial"/>
        </w:rPr>
        <w:t xml:space="preserve">En consecuencia, el fraccionamiento contractual no constituye un delito con </w:t>
      </w:r>
      <w:r w:rsidRPr="00444433">
        <w:rPr>
          <w:rFonts w:ascii="Verdana" w:hAnsi="Verdana" w:cs="Arial"/>
          <w:i/>
          <w:iCs/>
        </w:rPr>
        <w:t>nomen iuris</w:t>
      </w:r>
      <w:r w:rsidRPr="00444433">
        <w:rPr>
          <w:rFonts w:ascii="Verdana" w:hAnsi="Verdana" w:cs="Arial"/>
        </w:rPr>
        <w:t xml:space="preserve"> propio, pero, según la jurisprudencia penal, puede integrar un tipo penal específico, en especial el de contrato sin cumplimiento de requisitos legales previsto en el artículo 410 del Código Penal, cuya estructura corresponde a la de un tipo penal en blanco, que debe ser integrada con el régimen jurídico de contratación aplicable en cada caso. Así, la relevancia penal del fraccionamiento no deriva de la mera división del objeto contractual, sino de su utilización dolosa como mecanismo para eludir requisitos legales esenciales y procedimientos de selección exigidos por el ordenamiento jurídico.</w:t>
      </w:r>
      <w:r>
        <w:rPr>
          <w:rFonts w:ascii="Verdana" w:hAnsi="Verdana" w:cs="Arial"/>
        </w:rPr>
        <w:t xml:space="preserve"> </w:t>
      </w:r>
    </w:p>
    <w:bookmarkEnd w:id="4"/>
    <w:p w14:paraId="79DBC2B9" w14:textId="77777777" w:rsidR="00210789" w:rsidRPr="002A22E2" w:rsidRDefault="00210789" w:rsidP="00210789">
      <w:pPr>
        <w:spacing w:after="120" w:line="276" w:lineRule="auto"/>
        <w:ind w:firstLine="709"/>
        <w:jc w:val="both"/>
        <w:rPr>
          <w:rFonts w:ascii="Verdana" w:hAnsi="Verdana" w:cs="Arial"/>
          <w:b/>
          <w:lang w:val="es-ES_tradnl"/>
        </w:rPr>
      </w:pPr>
      <w:r>
        <w:rPr>
          <w:rFonts w:ascii="Verdana" w:hAnsi="Verdana"/>
        </w:rPr>
        <w:t xml:space="preserve">iii) </w:t>
      </w:r>
      <w:r w:rsidRPr="002B4E56">
        <w:rPr>
          <w:rFonts w:ascii="Verdana" w:hAnsi="Verdana"/>
        </w:rPr>
        <w:t>Las entidades de</w:t>
      </w:r>
      <w:r w:rsidRPr="002A22E2">
        <w:rPr>
          <w:rFonts w:ascii="Verdana" w:hAnsi="Verdana" w:cs="Arial"/>
          <w:lang w:val="es-ES_tradnl"/>
        </w:rPr>
        <w:t xml:space="preserv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8" w:name="_Hlk97724318"/>
      <w:r w:rsidRPr="002A22E2">
        <w:rPr>
          <w:rFonts w:ascii="Verdana" w:hAnsi="Verdana" w:cs="Arial"/>
          <w:lang w:val="es-ES_tradnl"/>
        </w:rPr>
        <w:t>EGCAP</w:t>
      </w:r>
      <w:bookmarkEnd w:id="8"/>
      <w:r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7ECA1D4D" w14:textId="77777777" w:rsidR="00210789" w:rsidRPr="002A22E2" w:rsidRDefault="00210789" w:rsidP="00210789">
      <w:pPr>
        <w:spacing w:before="120"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w:t>
      </w:r>
      <w:r w:rsidRPr="002A22E2">
        <w:rPr>
          <w:rFonts w:ascii="Verdana" w:hAnsi="Verdana" w:cs="Arial"/>
          <w:lang w:val="es-ES"/>
        </w:rPr>
        <w:lastRenderedPageBreak/>
        <w:t xml:space="preserve">definido en la norma que crea el régimen especial y será desarrollado en el manual de contratación de la respectiva entidad. Esto, con el fin de que se puedan identificar las reglas que aplican en la contratación. </w:t>
      </w:r>
    </w:p>
    <w:p w14:paraId="2AD31AF8" w14:textId="77777777" w:rsidR="00210789" w:rsidRPr="00A46177" w:rsidRDefault="00210789" w:rsidP="00210789">
      <w:pPr>
        <w:spacing w:before="120" w:after="0" w:line="276" w:lineRule="auto"/>
        <w:ind w:firstLine="709"/>
        <w:jc w:val="both"/>
        <w:rPr>
          <w:rFonts w:ascii="Verdana" w:hAnsi="Verdana" w:cs="Arial"/>
          <w:bCs/>
          <w:lang w:val="es-ES"/>
        </w:rPr>
      </w:pPr>
      <w:r w:rsidRPr="002A22E2">
        <w:rPr>
          <w:rFonts w:ascii="Verdana" w:hAnsi="Verdana" w:cs="Arial"/>
          <w:lang w:val="es-ES"/>
        </w:rPr>
        <w:t>Pese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7FBE69A4" w14:textId="77777777" w:rsidR="00210789" w:rsidRPr="00A46177" w:rsidRDefault="00210789" w:rsidP="00210789">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46E7B8B5" w14:textId="77777777" w:rsidR="00210789" w:rsidRPr="00A46177" w:rsidRDefault="00210789" w:rsidP="00210789">
      <w:pPr>
        <w:spacing w:after="0" w:line="240" w:lineRule="auto"/>
        <w:ind w:left="708" w:right="709"/>
        <w:jc w:val="both"/>
        <w:rPr>
          <w:rFonts w:ascii="Verdana" w:hAnsi="Verdana" w:cs="Arial"/>
          <w:bCs/>
          <w:sz w:val="20"/>
          <w:szCs w:val="20"/>
          <w:lang w:val="es-ES"/>
        </w:rPr>
      </w:pPr>
      <w:r w:rsidRPr="002A22E2">
        <w:rPr>
          <w:rFonts w:ascii="Verdana" w:hAnsi="Verdana" w:cs="Arial"/>
          <w:bCs/>
          <w:sz w:val="20"/>
          <w:szCs w:val="20"/>
          <w:lang w:val="es-ES"/>
        </w:rPr>
        <w:t>“</w:t>
      </w:r>
      <w:r w:rsidRPr="00A46177">
        <w:rPr>
          <w:rFonts w:ascii="Verdana" w:hAnsi="Verdana" w:cs="Arial"/>
          <w:bCs/>
          <w:sz w:val="20"/>
          <w:szCs w:val="20"/>
          <w:lang w:val="es-ES"/>
        </w:rPr>
        <w:t>Artículo 13. Principios generales de la actividad contractual para entidades no sometidas al estatuto general de contratación de la administración pública.</w:t>
      </w:r>
      <w:r w:rsidRPr="00A46177">
        <w:rPr>
          <w:rFonts w:ascii="Verdana" w:hAnsi="Verdana" w:cs="Arial"/>
          <w:b/>
          <w:sz w:val="20"/>
          <w:szCs w:val="20"/>
          <w:lang w:val="es-ES"/>
        </w:rPr>
        <w:t xml:space="preserve"> </w:t>
      </w:r>
      <w:r w:rsidRPr="00A46177">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9" w:anchor="209" w:history="1">
        <w:r w:rsidRPr="00A46177">
          <w:rPr>
            <w:rFonts w:ascii="Verdana" w:hAnsi="Verdana" w:cs="Arial"/>
            <w:bCs/>
            <w:sz w:val="20"/>
            <w:szCs w:val="20"/>
            <w:lang w:val="es-ES"/>
          </w:rPr>
          <w:t>209</w:t>
        </w:r>
      </w:hyperlink>
      <w:r w:rsidRPr="00A46177">
        <w:rPr>
          <w:rFonts w:ascii="Verdana" w:hAnsi="Verdana" w:cs="Arial"/>
          <w:bCs/>
          <w:sz w:val="20"/>
          <w:szCs w:val="20"/>
          <w:lang w:val="es-ES"/>
        </w:rPr>
        <w:t> y </w:t>
      </w:r>
      <w:hyperlink r:id="rId10" w:anchor="267" w:history="1">
        <w:r w:rsidRPr="00A46177">
          <w:rPr>
            <w:rFonts w:ascii="Verdana" w:hAnsi="Verdana" w:cs="Arial"/>
            <w:bCs/>
            <w:sz w:val="20"/>
            <w:szCs w:val="20"/>
            <w:lang w:val="es-ES"/>
          </w:rPr>
          <w:t>267</w:t>
        </w:r>
      </w:hyperlink>
      <w:r w:rsidRPr="00A46177">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r w:rsidRPr="002A22E2">
        <w:rPr>
          <w:rFonts w:ascii="Verdana" w:hAnsi="Verdana" w:cs="Arial"/>
          <w:bCs/>
          <w:sz w:val="20"/>
          <w:szCs w:val="20"/>
          <w:lang w:val="es-ES"/>
        </w:rPr>
        <w:t>”</w:t>
      </w:r>
      <w:r w:rsidRPr="00A46177">
        <w:rPr>
          <w:rFonts w:ascii="Verdana" w:hAnsi="Verdana" w:cs="Arial"/>
          <w:bCs/>
          <w:sz w:val="20"/>
          <w:szCs w:val="20"/>
          <w:lang w:val="es-ES"/>
        </w:rPr>
        <w:t>.</w:t>
      </w:r>
    </w:p>
    <w:p w14:paraId="42A5C29C" w14:textId="77777777" w:rsidR="00210789" w:rsidRPr="002A22E2" w:rsidRDefault="00210789" w:rsidP="00210789">
      <w:pPr>
        <w:spacing w:after="0" w:line="276" w:lineRule="auto"/>
        <w:ind w:firstLine="709"/>
        <w:jc w:val="both"/>
        <w:rPr>
          <w:rFonts w:ascii="Verdana" w:eastAsia="Calibri" w:hAnsi="Verdana" w:cs="Arial"/>
          <w:lang w:val="es-ES_tradnl"/>
        </w:rPr>
      </w:pPr>
    </w:p>
    <w:p w14:paraId="6C279FC1" w14:textId="77777777" w:rsidR="00210789" w:rsidRPr="002A22E2" w:rsidRDefault="00210789" w:rsidP="00210789">
      <w:pPr>
        <w:spacing w:after="0" w:line="276" w:lineRule="auto"/>
        <w:ind w:firstLine="709"/>
        <w:jc w:val="both"/>
        <w:rPr>
          <w:rFonts w:ascii="Verdana" w:eastAsia="Calibri" w:hAnsi="Verdana" w:cs="Arial"/>
          <w:lang w:val="es-ES_tradnl"/>
        </w:rPr>
      </w:pPr>
      <w:r w:rsidRPr="002A22E2">
        <w:rPr>
          <w:rFonts w:ascii="Verdana" w:eastAsia="Calibri" w:hAnsi="Verdana" w:cs="Arial"/>
          <w:lang w:val="es-ES_tradnl"/>
        </w:rPr>
        <w:t>Lo anterior es reafirmado por el Consejo de Estado, que destaca las reglas que sigue la contratación de las entidades de régimen especial:</w:t>
      </w:r>
    </w:p>
    <w:p w14:paraId="47289B16" w14:textId="77777777" w:rsidR="00210789" w:rsidRPr="002A22E2" w:rsidRDefault="00210789" w:rsidP="00210789">
      <w:pPr>
        <w:spacing w:after="0" w:line="276" w:lineRule="auto"/>
        <w:ind w:firstLine="709"/>
        <w:jc w:val="both"/>
        <w:rPr>
          <w:rFonts w:ascii="Verdana" w:eastAsia="Calibri" w:hAnsi="Verdana" w:cs="Arial"/>
          <w:lang w:val="es-ES_tradnl"/>
        </w:rPr>
      </w:pPr>
    </w:p>
    <w:p w14:paraId="7BD26B16" w14:textId="77777777" w:rsidR="00210789" w:rsidRPr="002A22E2" w:rsidRDefault="00210789" w:rsidP="0021078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26331DD" w14:textId="77777777" w:rsidR="00210789" w:rsidRPr="002A22E2" w:rsidRDefault="00210789" w:rsidP="00210789">
      <w:pPr>
        <w:spacing w:after="0" w:line="240" w:lineRule="auto"/>
        <w:ind w:left="709" w:right="709"/>
        <w:jc w:val="both"/>
        <w:rPr>
          <w:rFonts w:ascii="Verdana" w:eastAsia="Calibri" w:hAnsi="Verdana" w:cs="Arial"/>
          <w:sz w:val="20"/>
          <w:szCs w:val="20"/>
          <w:lang w:val="es-ES_tradnl"/>
        </w:rPr>
      </w:pPr>
    </w:p>
    <w:p w14:paraId="427CC353" w14:textId="77777777" w:rsidR="00210789" w:rsidRPr="002A22E2" w:rsidRDefault="00210789" w:rsidP="0021078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75E3167" w14:textId="77777777" w:rsidR="00210789" w:rsidRPr="002A22E2" w:rsidRDefault="00210789" w:rsidP="00210789">
      <w:pPr>
        <w:spacing w:after="0" w:line="240" w:lineRule="auto"/>
        <w:ind w:left="709" w:right="709"/>
        <w:jc w:val="both"/>
        <w:rPr>
          <w:rFonts w:ascii="Verdana" w:eastAsia="Calibri" w:hAnsi="Verdana" w:cs="Arial"/>
          <w:sz w:val="20"/>
          <w:szCs w:val="20"/>
          <w:lang w:val="es-ES_tradnl"/>
        </w:rPr>
      </w:pPr>
    </w:p>
    <w:p w14:paraId="039A05A0" w14:textId="77777777" w:rsidR="00210789" w:rsidRPr="002A22E2" w:rsidRDefault="00210789" w:rsidP="00210789">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lastRenderedPageBreak/>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eastAsia="Calibri" w:hAnsi="Verdana" w:cs="Arial"/>
          <w:sz w:val="20"/>
          <w:szCs w:val="20"/>
          <w:vertAlign w:val="superscript"/>
          <w:lang w:val="es-ES_tradnl"/>
        </w:rPr>
        <w:footnoteReference w:id="10"/>
      </w:r>
      <w:r w:rsidRPr="002A22E2">
        <w:rPr>
          <w:rFonts w:ascii="Verdana" w:eastAsia="Calibri" w:hAnsi="Verdana" w:cs="Arial"/>
          <w:sz w:val="20"/>
          <w:szCs w:val="20"/>
          <w:lang w:val="es-ES_tradnl"/>
        </w:rPr>
        <w:t>.</w:t>
      </w:r>
    </w:p>
    <w:p w14:paraId="46D6905C" w14:textId="77777777" w:rsidR="00210789" w:rsidRDefault="00210789" w:rsidP="00210789">
      <w:pPr>
        <w:spacing w:after="0" w:line="276" w:lineRule="auto"/>
        <w:ind w:firstLine="709"/>
        <w:jc w:val="both"/>
        <w:rPr>
          <w:rFonts w:ascii="Verdana" w:hAnsi="Verdana" w:cs="Arial"/>
          <w:lang w:val="es-MX"/>
        </w:rPr>
      </w:pPr>
    </w:p>
    <w:p w14:paraId="306CECF8" w14:textId="77777777" w:rsidR="00210789" w:rsidRPr="002A22E2" w:rsidRDefault="00210789" w:rsidP="00210789">
      <w:pPr>
        <w:spacing w:after="120" w:line="276" w:lineRule="auto"/>
        <w:ind w:firstLine="709"/>
        <w:jc w:val="both"/>
        <w:rPr>
          <w:rFonts w:ascii="Verdana" w:hAnsi="Verdana" w:cs="Arial"/>
          <w:lang w:val="es-MX"/>
        </w:rPr>
      </w:pPr>
      <w:r w:rsidRPr="002A22E2">
        <w:rPr>
          <w:rFonts w:ascii="Verdana" w:hAnsi="Verdana" w:cs="Arial"/>
          <w:lang w:val="es-MX"/>
        </w:rPr>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11"/>
      </w:r>
      <w:r w:rsidRPr="002A22E2">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5DCBADE0" w14:textId="77777777" w:rsidR="00210789" w:rsidRPr="002A22E2" w:rsidRDefault="00210789" w:rsidP="00210789">
      <w:pPr>
        <w:spacing w:after="120" w:line="240" w:lineRule="auto"/>
        <w:ind w:left="709" w:right="758"/>
        <w:jc w:val="both"/>
        <w:rPr>
          <w:rFonts w:ascii="Verdana" w:eastAsia="Calibri" w:hAnsi="Verdana" w:cs="Arial"/>
          <w:sz w:val="20"/>
          <w:szCs w:val="20"/>
        </w:rPr>
      </w:pPr>
      <w:r>
        <w:rPr>
          <w:rFonts w:ascii="Verdana" w:eastAsia="Calibri" w:hAnsi="Verdana" w:cs="Arial"/>
          <w:sz w:val="20"/>
          <w:szCs w:val="20"/>
        </w:rPr>
        <w:t>“</w:t>
      </w:r>
      <w:r w:rsidRPr="002A22E2">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Pr>
          <w:rFonts w:ascii="Verdana" w:eastAsia="Calibri" w:hAnsi="Verdana" w:cs="Arial"/>
          <w:sz w:val="20"/>
          <w:szCs w:val="20"/>
        </w:rPr>
        <w:t>”</w:t>
      </w:r>
      <w:r w:rsidRPr="002A22E2">
        <w:rPr>
          <w:rStyle w:val="Refdenotaalpie"/>
          <w:rFonts w:ascii="Verdana" w:eastAsia="Calibri" w:hAnsi="Verdana" w:cs="Arial"/>
          <w:sz w:val="20"/>
          <w:szCs w:val="20"/>
        </w:rPr>
        <w:footnoteReference w:id="12"/>
      </w:r>
      <w:r w:rsidRPr="002A22E2">
        <w:rPr>
          <w:rFonts w:ascii="Verdana" w:eastAsia="Calibri" w:hAnsi="Verdana" w:cs="Arial"/>
          <w:sz w:val="20"/>
          <w:szCs w:val="20"/>
        </w:rPr>
        <w:t xml:space="preserve">. </w:t>
      </w:r>
    </w:p>
    <w:p w14:paraId="69DA44A9" w14:textId="77777777" w:rsidR="00210789" w:rsidRPr="002B4E56" w:rsidRDefault="00210789" w:rsidP="00210789">
      <w:pPr>
        <w:spacing w:after="120" w:line="276" w:lineRule="auto"/>
        <w:ind w:firstLine="709"/>
        <w:jc w:val="both"/>
        <w:rPr>
          <w:rFonts w:ascii="Verdana" w:hAnsi="Verdana" w:cs="Arial"/>
        </w:rPr>
      </w:pPr>
      <w:r w:rsidRPr="002A22E2">
        <w:rPr>
          <w:rFonts w:ascii="Verdana" w:hAnsi="Verdana"/>
        </w:rPr>
        <w:t xml:space="preserve">De la cita precedente se puede concluir entonces que, las Empresas Sociales del Estado son una categoría especial de Entidades Públicas que hacen parte de la estructura de la Rama Ejecutiva del poder público. En este mismo sentido, el artículo 38 de la Ley 489 de 1998, en el que se consagran los </w:t>
      </w:r>
      <w:r w:rsidRPr="002A22E2">
        <w:rPr>
          <w:rFonts w:ascii="Verdana" w:hAnsi="Verdana"/>
        </w:rPr>
        <w:lastRenderedPageBreak/>
        <w:t xml:space="preserve">organismos y entidades que integran la Rama Ejecutiva del poder público, dispuso en el literal d) del numeral 2 que las Empresas Sociales del Estado hacen parte del sector descentralizado por servicios de esta rama del poder </w:t>
      </w:r>
      <w:r w:rsidRPr="002B4E56">
        <w:rPr>
          <w:rFonts w:ascii="Verdana" w:hAnsi="Verdana" w:cs="Arial"/>
        </w:rPr>
        <w:t xml:space="preserve">público. </w:t>
      </w:r>
    </w:p>
    <w:p w14:paraId="758902E0" w14:textId="77777777" w:rsidR="00210789" w:rsidRPr="002A22E2" w:rsidRDefault="00210789" w:rsidP="00210789">
      <w:pPr>
        <w:spacing w:after="120" w:line="276" w:lineRule="auto"/>
        <w:ind w:firstLine="709"/>
        <w:jc w:val="both"/>
        <w:rPr>
          <w:rFonts w:ascii="Verdana" w:hAnsi="Verdana" w:cs="Arial"/>
        </w:rPr>
      </w:pPr>
      <w:r w:rsidRPr="002A22E2">
        <w:rPr>
          <w:rFonts w:ascii="Verdana" w:hAnsi="Verdana" w:cs="Arial"/>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2A22E2">
        <w:rPr>
          <w:rFonts w:ascii="Verdana" w:eastAsia="Calibri" w:hAnsi="Verdana"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w:t>
      </w:r>
      <w:r>
        <w:rPr>
          <w:rFonts w:ascii="Verdana" w:hAnsi="Verdana" w:cs="Arial"/>
        </w:rPr>
        <w:t>E</w:t>
      </w:r>
      <w:r w:rsidRPr="002A22E2">
        <w:rPr>
          <w:rFonts w:ascii="Verdana" w:hAnsi="Verdana" w:cs="Arial"/>
        </w:rPr>
        <w:t xml:space="preserve">statuto </w:t>
      </w:r>
      <w:r>
        <w:rPr>
          <w:rFonts w:ascii="Verdana" w:hAnsi="Verdana" w:cs="Arial"/>
        </w:rPr>
        <w:t>G</w:t>
      </w:r>
      <w:r w:rsidRPr="002A22E2">
        <w:rPr>
          <w:rFonts w:ascii="Verdana" w:hAnsi="Verdana" w:cs="Arial"/>
        </w:rPr>
        <w:t xml:space="preserve">eneral de </w:t>
      </w:r>
      <w:r>
        <w:rPr>
          <w:rFonts w:ascii="Verdana" w:hAnsi="Verdana" w:cs="Arial"/>
        </w:rPr>
        <w:t>C</w:t>
      </w:r>
      <w:r w:rsidRPr="002A22E2">
        <w:rPr>
          <w:rFonts w:ascii="Verdana" w:hAnsi="Verdana" w:cs="Arial"/>
        </w:rPr>
        <w:t xml:space="preserve">ontratación de la </w:t>
      </w:r>
      <w:r>
        <w:rPr>
          <w:rFonts w:ascii="Verdana" w:hAnsi="Verdana" w:cs="Arial"/>
        </w:rPr>
        <w:t>A</w:t>
      </w:r>
      <w:r w:rsidRPr="002A22E2">
        <w:rPr>
          <w:rFonts w:ascii="Verdana" w:hAnsi="Verdana" w:cs="Arial"/>
        </w:rPr>
        <w:t xml:space="preserve">dministración </w:t>
      </w:r>
      <w:r>
        <w:rPr>
          <w:rFonts w:ascii="Verdana" w:hAnsi="Verdana" w:cs="Arial"/>
        </w:rPr>
        <w:t>P</w:t>
      </w:r>
      <w:r w:rsidRPr="002A22E2">
        <w:rPr>
          <w:rFonts w:ascii="Verdana" w:hAnsi="Verdana" w:cs="Arial"/>
        </w:rPr>
        <w:t>ública”.</w:t>
      </w:r>
    </w:p>
    <w:p w14:paraId="24403267" w14:textId="77777777" w:rsidR="00210789" w:rsidRPr="00C24205" w:rsidRDefault="00210789" w:rsidP="00210789">
      <w:pPr>
        <w:spacing w:after="120" w:line="276" w:lineRule="auto"/>
        <w:ind w:firstLine="709"/>
        <w:jc w:val="both"/>
        <w:rPr>
          <w:rFonts w:ascii="Verdana" w:eastAsia="Arial" w:hAnsi="Verdana" w:cs="Arial"/>
        </w:rPr>
      </w:pPr>
      <w:r w:rsidRPr="00C24205">
        <w:rPr>
          <w:rFonts w:ascii="Verdana" w:eastAsia="Arial" w:hAnsi="Verdana" w:cs="Arial"/>
        </w:rPr>
        <w:t>Ahora bien, las entidades de régimen especial, aunque no se rigen por el Estatuto General de Contratación de la Administración Pública y aplican reglas de derecho privado conforme a su norma de creación y a sus manuales de contratación, no se encuentran exentas del cumplimiento de los principios constitucionales de la función administrativa y de la gestión fiscal, ni del régimen de inhabilidades e incompatibilidades, según lo dispuesto en el artículo 13 de la Ley 1150 de 2007 y la reiterada jurisprudencia del Consejo de Estado.</w:t>
      </w:r>
    </w:p>
    <w:p w14:paraId="4DDA69F7" w14:textId="77777777" w:rsidR="00210789" w:rsidRPr="00C24205" w:rsidRDefault="00210789" w:rsidP="00210789">
      <w:pPr>
        <w:spacing w:after="120" w:line="276" w:lineRule="auto"/>
        <w:ind w:firstLine="709"/>
        <w:jc w:val="both"/>
        <w:rPr>
          <w:rFonts w:ascii="Verdana" w:eastAsia="Arial" w:hAnsi="Verdana" w:cs="Arial"/>
        </w:rPr>
      </w:pPr>
      <w:r w:rsidRPr="00C24205">
        <w:rPr>
          <w:rFonts w:ascii="Verdana" w:eastAsia="Arial" w:hAnsi="Verdana" w:cs="Arial"/>
        </w:rPr>
        <w:t>En este contexto, las Empresas Sociales del Estado (ESE), pese a contar con un régimen contractual exceptuado y regirse predominantemente por el derecho privado, son entidades estatales, integran la Rama Ejecutiva del poder público y administran recursos públicos. Por ello, su actividad contractual continúa sometida a límites, principios y controles de derecho público, los cuales informan e integran su régimen especial y condicionan la validez de los contratos que celebren.</w:t>
      </w:r>
    </w:p>
    <w:p w14:paraId="4F200CAF" w14:textId="77777777" w:rsidR="00210789" w:rsidRPr="00C24205" w:rsidRDefault="00210789" w:rsidP="00210789">
      <w:pPr>
        <w:spacing w:after="120" w:line="276" w:lineRule="auto"/>
        <w:ind w:firstLine="709"/>
        <w:jc w:val="both"/>
        <w:rPr>
          <w:rFonts w:ascii="Verdana" w:eastAsia="Arial" w:hAnsi="Verdana" w:cs="Arial"/>
        </w:rPr>
      </w:pPr>
      <w:r w:rsidRPr="00C24205">
        <w:rPr>
          <w:rFonts w:ascii="Verdana" w:eastAsia="Arial" w:hAnsi="Verdana" w:cs="Arial"/>
        </w:rPr>
        <w:t xml:space="preserve">En consecuencia, el hecho de que las ESE no apliquen de manera directa la Ley 80 de 1993 no impide la eventual configuración del delito de contrato sin cumplimiento de requisitos legales, ni excluye la relevancia penal de prácticas como el fraccionamiento contractual, cuando estas se utilicen de forma artificiosa para eludir los procedimientos de selección o los requisitos legales esenciales aplicables conforme a su régimen especial. Tal como lo ha precisado la Corte Suprema de Justicia, el fraccionamiento no constituye un delito autónomo, pero puede integrar el tipo penal del artículo 410 del Código Penal, </w:t>
      </w:r>
      <w:r w:rsidRPr="00C24205">
        <w:rPr>
          <w:rFonts w:ascii="Verdana" w:eastAsia="Arial" w:hAnsi="Verdana" w:cs="Arial"/>
        </w:rPr>
        <w:lastRenderedPageBreak/>
        <w:t>en cuanto supone la omisión dolosa de presupuestos jurídicos indispensables para la válida celebración del contrato. Así, la tipicidad penal no depende del régimen contractual —general o exceptuado—, sino de la utilización indebida de dicho régimen para soslayar normas, principios y requisitos esenciales que garantizan la transparencia, la selección objetiva y la legalidad de la contratación estatal, aun cuando esta se rija por normas de derecho privado.</w:t>
      </w:r>
    </w:p>
    <w:p w14:paraId="1B937B41" w14:textId="77777777" w:rsidR="00210789" w:rsidRDefault="00210789" w:rsidP="00210789">
      <w:pPr>
        <w:spacing w:after="120" w:line="276" w:lineRule="auto"/>
        <w:ind w:firstLine="709"/>
        <w:jc w:val="both"/>
        <w:rPr>
          <w:rFonts w:ascii="Verdana" w:eastAsia="Arial" w:hAnsi="Verdana" w:cs="Arial"/>
        </w:rPr>
      </w:pPr>
      <w:r>
        <w:rPr>
          <w:rFonts w:ascii="Verdana" w:eastAsia="Arial" w:hAnsi="Verdana" w:cs="Arial"/>
        </w:rPr>
        <w:t xml:space="preserve">Con todo, a diferencia de lo que sucede con las Entidades Estatales sometidas al EGCAP, respecto de las cuales el parámetro para determinar la licitud de la conducta está dado por las disposiciones legales y reglamentarias que integran dicho régimen, en tratándose de entidades exceptuadas de dicho régimen, como es el caso de las ESE, la configuración del delito tendrá que determinarse a partir de los requisitos que, conforme al derecho privado que les a aplica a estos entes, se haya determinado en sus respectivos manuales internos de contratación. Lo anterior sin perjuicio del cumplimiento de los deberes que les asisten a estas entidades en virtud de los principios de la función administrativa y la gestión fiscal.  </w:t>
      </w:r>
    </w:p>
    <w:p w14:paraId="03EC32C0" w14:textId="77777777" w:rsidR="00210789" w:rsidRPr="008354EF" w:rsidRDefault="00210789" w:rsidP="00210789">
      <w:pPr>
        <w:spacing w:after="120" w:line="276" w:lineRule="auto"/>
        <w:ind w:firstLine="709"/>
        <w:jc w:val="both"/>
        <w:rPr>
          <w:rFonts w:ascii="Verdana" w:eastAsia="Times New Roman" w:hAnsi="Verdana" w:cs="Times New Roman"/>
          <w:lang w:eastAsia="es-CO"/>
        </w:rPr>
      </w:pPr>
      <w:r w:rsidRPr="008354EF">
        <w:rPr>
          <w:rFonts w:ascii="Verdana" w:eastAsia="Times New Roman" w:hAnsi="Verdana" w:cs="Times New Roman"/>
          <w:lang w:eastAsia="es-CO"/>
        </w:rPr>
        <w:t xml:space="preserve">Finalmente, debe precisarse que, </w:t>
      </w:r>
      <w:r>
        <w:rPr>
          <w:rFonts w:ascii="Verdana" w:eastAsia="Times New Roman" w:hAnsi="Verdana" w:cs="Times New Roman"/>
          <w:lang w:eastAsia="es-CO"/>
        </w:rPr>
        <w:t>sin perjuicio de las anteriores consideraciones, realizadas en el ejercicio de la función</w:t>
      </w:r>
      <w:r w:rsidRPr="008354EF">
        <w:rPr>
          <w:rFonts w:ascii="Verdana" w:eastAsia="Times New Roman" w:hAnsi="Verdana" w:cs="Times New Roman"/>
          <w:lang w:eastAsia="es-CO"/>
        </w:rPr>
        <w:t xml:space="preserve"> consultiva </w:t>
      </w:r>
      <w:r>
        <w:rPr>
          <w:rFonts w:ascii="Verdana" w:eastAsia="Times New Roman" w:hAnsi="Verdana" w:cs="Times New Roman"/>
          <w:lang w:eastAsia="es-CO"/>
        </w:rPr>
        <w:t>atribuida por el Decreto ley 4170 de 2011 a</w:t>
      </w:r>
      <w:r w:rsidRPr="008354EF">
        <w:rPr>
          <w:rFonts w:ascii="Verdana" w:eastAsia="Times New Roman" w:hAnsi="Verdana" w:cs="Times New Roman"/>
          <w:lang w:eastAsia="es-CO"/>
        </w:rPr>
        <w:t xml:space="preserve"> la Agencia Nacional de Contratación Pública –Colombia Compra Eficiente</w:t>
      </w:r>
      <w:r>
        <w:rPr>
          <w:rFonts w:ascii="Verdana" w:eastAsia="Times New Roman" w:hAnsi="Verdana" w:cs="Times New Roman"/>
          <w:lang w:eastAsia="es-CO"/>
        </w:rPr>
        <w:t>–</w:t>
      </w:r>
      <w:r w:rsidRPr="008354EF">
        <w:rPr>
          <w:rFonts w:ascii="Verdana" w:eastAsia="Times New Roman" w:hAnsi="Verdana" w:cs="Times New Roman"/>
          <w:lang w:eastAsia="es-CO"/>
        </w:rPr>
        <w:t>,</w:t>
      </w:r>
      <w:r>
        <w:rPr>
          <w:rFonts w:ascii="Verdana" w:eastAsia="Times New Roman" w:hAnsi="Verdana" w:cs="Times New Roman"/>
          <w:lang w:eastAsia="es-CO"/>
        </w:rPr>
        <w:t xml:space="preserve"> la competencia para la investigación y juzgamiento de conductas criminales le corresponde a la Rama Judicial</w:t>
      </w:r>
      <w:r w:rsidRPr="008354EF">
        <w:rPr>
          <w:rFonts w:ascii="Verdana" w:eastAsia="Times New Roman" w:hAnsi="Verdana" w:cs="Times New Roman"/>
          <w:lang w:eastAsia="es-CO"/>
        </w:rPr>
        <w:t>. Los jueces y fiscales son independientes y autónomos para tipificar la conducta prevista en el artículo 410 del Código Penal, en función de las circunstancias fácticas y jurídicas de cada caso concreto, sin que la Agencia tenga atribuciones para intervenir en dicha valoración.</w:t>
      </w:r>
    </w:p>
    <w:p w14:paraId="1763A3D4" w14:textId="77777777" w:rsidR="00210789" w:rsidRPr="00250F55" w:rsidRDefault="00210789" w:rsidP="00210789">
      <w:pPr>
        <w:spacing w:after="0" w:line="276" w:lineRule="auto"/>
        <w:jc w:val="both"/>
        <w:rPr>
          <w:rFonts w:ascii="Verdana" w:eastAsia="Century Gothic" w:hAnsi="Verdana" w:cs="Century Gothic"/>
        </w:rPr>
      </w:pPr>
    </w:p>
    <w:bookmarkEnd w:id="5"/>
    <w:bookmarkEnd w:id="6"/>
    <w:p w14:paraId="6490B8B5" w14:textId="77777777" w:rsidR="00210789" w:rsidRPr="001F283D" w:rsidRDefault="00210789" w:rsidP="00210789">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7"/>
    <w:p w14:paraId="1F0AD68A" w14:textId="77777777" w:rsidR="00210789" w:rsidRPr="00593A5F" w:rsidRDefault="00210789" w:rsidP="0021078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10789" w:rsidRPr="002407CE" w14:paraId="5086A655" w14:textId="77777777" w:rsidTr="003C36DC">
        <w:trPr>
          <w:trHeight w:val="870"/>
          <w:jc w:val="center"/>
        </w:trPr>
        <w:tc>
          <w:tcPr>
            <w:tcW w:w="8647" w:type="dxa"/>
          </w:tcPr>
          <w:p w14:paraId="7DD53D5A" w14:textId="77777777" w:rsidR="00210789" w:rsidRPr="005645B1" w:rsidRDefault="00210789" w:rsidP="00210789">
            <w:pPr>
              <w:widowControl w:val="0"/>
              <w:numPr>
                <w:ilvl w:val="0"/>
                <w:numId w:val="2"/>
              </w:numPr>
              <w:autoSpaceDE w:val="0"/>
              <w:autoSpaceDN w:val="0"/>
              <w:spacing w:line="276" w:lineRule="auto"/>
              <w:contextualSpacing/>
              <w:jc w:val="both"/>
              <w:rPr>
                <w:rFonts w:ascii="Verdana" w:eastAsia="Aptos" w:hAnsi="Verdana" w:cs="Arial"/>
              </w:rPr>
            </w:pPr>
            <w:r w:rsidRPr="005645B1">
              <w:rPr>
                <w:rFonts w:ascii="Verdana" w:eastAsia="Aptos" w:hAnsi="Verdana" w:cs="Arial"/>
              </w:rPr>
              <w:t>Constitución Política de Colombia, artículo 209 y 267.</w:t>
            </w:r>
          </w:p>
          <w:p w14:paraId="789FA200" w14:textId="77777777" w:rsidR="00210789" w:rsidRPr="005645B1" w:rsidRDefault="00210789" w:rsidP="00210789">
            <w:pPr>
              <w:pStyle w:val="Prrafodelista"/>
              <w:numPr>
                <w:ilvl w:val="0"/>
                <w:numId w:val="2"/>
              </w:numPr>
              <w:spacing w:line="276" w:lineRule="auto"/>
              <w:jc w:val="both"/>
              <w:rPr>
                <w:rFonts w:ascii="Verdana" w:hAnsi="Verdana"/>
              </w:rPr>
            </w:pPr>
            <w:r w:rsidRPr="005645B1">
              <w:rPr>
                <w:rFonts w:ascii="Verdana" w:hAnsi="Verdana"/>
                <w:spacing w:val="-1"/>
              </w:rPr>
              <w:t>Ley 80 de 1993,</w:t>
            </w:r>
            <w:r w:rsidRPr="005645B1">
              <w:rPr>
                <w:rFonts w:ascii="Verdana" w:hAnsi="Verdana"/>
                <w:spacing w:val="-22"/>
              </w:rPr>
              <w:t xml:space="preserve"> </w:t>
            </w:r>
            <w:r w:rsidRPr="005645B1">
              <w:rPr>
                <w:rFonts w:ascii="Verdana" w:hAnsi="Verdana"/>
                <w:spacing w:val="-1"/>
              </w:rPr>
              <w:t>artículos</w:t>
            </w:r>
            <w:r w:rsidRPr="005645B1">
              <w:rPr>
                <w:rFonts w:ascii="Verdana" w:hAnsi="Verdana"/>
              </w:rPr>
              <w:t xml:space="preserve"> 2, </w:t>
            </w:r>
            <w:r w:rsidRPr="005645B1">
              <w:rPr>
                <w:rFonts w:ascii="Verdana" w:hAnsi="Verdana"/>
                <w:spacing w:val="-1"/>
              </w:rPr>
              <w:t>44 y 45.</w:t>
            </w:r>
          </w:p>
          <w:p w14:paraId="1F16C107" w14:textId="77777777" w:rsidR="00210789" w:rsidRPr="005645B1" w:rsidRDefault="00210789" w:rsidP="00210789">
            <w:pPr>
              <w:pStyle w:val="Textoindependiente"/>
              <w:widowControl w:val="0"/>
              <w:numPr>
                <w:ilvl w:val="0"/>
                <w:numId w:val="2"/>
              </w:numPr>
              <w:tabs>
                <w:tab w:val="left" w:pos="816"/>
                <w:tab w:val="left" w:pos="817"/>
              </w:tabs>
              <w:autoSpaceDE w:val="0"/>
              <w:autoSpaceDN w:val="0"/>
              <w:spacing w:before="120" w:after="0"/>
              <w:rPr>
                <w:rFonts w:ascii="Verdana" w:hAnsi="Verdana"/>
              </w:rPr>
            </w:pPr>
            <w:r w:rsidRPr="005645B1">
              <w:rPr>
                <w:rFonts w:ascii="Verdana" w:hAnsi="Verdana"/>
              </w:rPr>
              <w:t>Ley</w:t>
            </w:r>
            <w:r w:rsidRPr="005645B1">
              <w:rPr>
                <w:rFonts w:ascii="Verdana" w:hAnsi="Verdana"/>
                <w:spacing w:val="-5"/>
              </w:rPr>
              <w:t xml:space="preserve"> </w:t>
            </w:r>
            <w:r w:rsidRPr="005645B1">
              <w:rPr>
                <w:rFonts w:ascii="Verdana" w:hAnsi="Verdana"/>
              </w:rPr>
              <w:t>1150</w:t>
            </w:r>
            <w:r w:rsidRPr="005645B1">
              <w:rPr>
                <w:rFonts w:ascii="Verdana" w:hAnsi="Verdana"/>
                <w:spacing w:val="-4"/>
              </w:rPr>
              <w:t xml:space="preserve"> </w:t>
            </w:r>
            <w:r w:rsidRPr="005645B1">
              <w:rPr>
                <w:rFonts w:ascii="Verdana" w:hAnsi="Verdana"/>
              </w:rPr>
              <w:t>de</w:t>
            </w:r>
            <w:r w:rsidRPr="005645B1">
              <w:rPr>
                <w:rFonts w:ascii="Verdana" w:hAnsi="Verdana"/>
                <w:spacing w:val="-4"/>
              </w:rPr>
              <w:t xml:space="preserve"> </w:t>
            </w:r>
            <w:r w:rsidRPr="005645B1">
              <w:rPr>
                <w:rFonts w:ascii="Verdana" w:hAnsi="Verdana"/>
              </w:rPr>
              <w:t>2007,</w:t>
            </w:r>
            <w:r w:rsidRPr="005645B1">
              <w:rPr>
                <w:rFonts w:ascii="Verdana" w:hAnsi="Verdana"/>
                <w:spacing w:val="4"/>
              </w:rPr>
              <w:t xml:space="preserve"> </w:t>
            </w:r>
            <w:r w:rsidRPr="005645B1">
              <w:rPr>
                <w:rFonts w:ascii="Verdana" w:hAnsi="Verdana"/>
              </w:rPr>
              <w:t>artículos</w:t>
            </w:r>
            <w:r w:rsidRPr="005645B1">
              <w:rPr>
                <w:rFonts w:ascii="Verdana" w:hAnsi="Verdana"/>
                <w:spacing w:val="-1"/>
              </w:rPr>
              <w:t xml:space="preserve"> </w:t>
            </w:r>
            <w:r w:rsidRPr="005645B1">
              <w:rPr>
                <w:rFonts w:ascii="Verdana" w:hAnsi="Verdana"/>
              </w:rPr>
              <w:t>5</w:t>
            </w:r>
            <w:r w:rsidRPr="005645B1">
              <w:rPr>
                <w:rFonts w:ascii="Verdana" w:hAnsi="Verdana"/>
                <w:spacing w:val="-5"/>
              </w:rPr>
              <w:t xml:space="preserve"> </w:t>
            </w:r>
            <w:r w:rsidRPr="005645B1">
              <w:rPr>
                <w:rFonts w:ascii="Verdana" w:hAnsi="Verdana"/>
              </w:rPr>
              <w:t>y</w:t>
            </w:r>
            <w:r w:rsidRPr="005645B1">
              <w:rPr>
                <w:rFonts w:ascii="Verdana" w:hAnsi="Verdana"/>
                <w:spacing w:val="-4"/>
              </w:rPr>
              <w:t xml:space="preserve"> </w:t>
            </w:r>
            <w:r w:rsidRPr="005645B1">
              <w:rPr>
                <w:rFonts w:ascii="Verdana" w:hAnsi="Verdana"/>
              </w:rPr>
              <w:t>13.</w:t>
            </w:r>
          </w:p>
          <w:p w14:paraId="46F7FA17" w14:textId="77777777" w:rsidR="00210789" w:rsidRPr="005645B1" w:rsidRDefault="00210789" w:rsidP="00210789">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5645B1">
              <w:rPr>
                <w:rFonts w:ascii="Verdana" w:hAnsi="Verdana"/>
                <w:sz w:val="22"/>
                <w:szCs w:val="22"/>
              </w:rPr>
              <w:t>Ley</w:t>
            </w:r>
            <w:r w:rsidRPr="005645B1">
              <w:rPr>
                <w:rFonts w:ascii="Verdana" w:hAnsi="Verdana"/>
                <w:spacing w:val="-5"/>
                <w:sz w:val="22"/>
                <w:szCs w:val="22"/>
              </w:rPr>
              <w:t xml:space="preserve"> </w:t>
            </w:r>
            <w:r w:rsidRPr="005645B1">
              <w:rPr>
                <w:rFonts w:ascii="Verdana" w:hAnsi="Verdana"/>
                <w:sz w:val="22"/>
                <w:szCs w:val="22"/>
              </w:rPr>
              <w:t>1474</w:t>
            </w:r>
            <w:r w:rsidRPr="005645B1">
              <w:rPr>
                <w:rFonts w:ascii="Verdana" w:hAnsi="Verdana"/>
                <w:spacing w:val="-4"/>
                <w:sz w:val="22"/>
                <w:szCs w:val="22"/>
              </w:rPr>
              <w:t xml:space="preserve"> </w:t>
            </w:r>
            <w:r w:rsidRPr="005645B1">
              <w:rPr>
                <w:rFonts w:ascii="Verdana" w:hAnsi="Verdana"/>
                <w:sz w:val="22"/>
                <w:szCs w:val="22"/>
              </w:rPr>
              <w:t>de</w:t>
            </w:r>
            <w:r w:rsidRPr="005645B1">
              <w:rPr>
                <w:rFonts w:ascii="Verdana" w:hAnsi="Verdana"/>
                <w:spacing w:val="-4"/>
                <w:sz w:val="22"/>
                <w:szCs w:val="22"/>
              </w:rPr>
              <w:t xml:space="preserve"> </w:t>
            </w:r>
            <w:r w:rsidRPr="005645B1">
              <w:rPr>
                <w:rFonts w:ascii="Verdana" w:hAnsi="Verdana"/>
                <w:sz w:val="22"/>
                <w:szCs w:val="22"/>
              </w:rPr>
              <w:t xml:space="preserve">2011. </w:t>
            </w:r>
          </w:p>
          <w:p w14:paraId="32422850" w14:textId="77777777" w:rsidR="00210789" w:rsidRPr="005645B1" w:rsidRDefault="00210789" w:rsidP="00210789">
            <w:pPr>
              <w:widowControl w:val="0"/>
              <w:numPr>
                <w:ilvl w:val="0"/>
                <w:numId w:val="2"/>
              </w:numPr>
              <w:autoSpaceDE w:val="0"/>
              <w:autoSpaceDN w:val="0"/>
              <w:spacing w:line="276" w:lineRule="auto"/>
              <w:contextualSpacing/>
              <w:jc w:val="both"/>
              <w:rPr>
                <w:rFonts w:ascii="Verdana" w:eastAsia="Aptos" w:hAnsi="Verdana" w:cs="Arial"/>
                <w:sz w:val="20"/>
                <w:szCs w:val="20"/>
              </w:rPr>
            </w:pPr>
            <w:r w:rsidRPr="005645B1">
              <w:rPr>
                <w:rFonts w:ascii="Verdana" w:eastAsia="Aptos" w:hAnsi="Verdana" w:cs="Arial"/>
                <w:sz w:val="20"/>
                <w:szCs w:val="20"/>
              </w:rPr>
              <w:t xml:space="preserve">Resolución No. 5185 de 2013, modificada por la Resolución 1440 de 2024, artículo 10. </w:t>
            </w:r>
          </w:p>
          <w:p w14:paraId="2F114461" w14:textId="77777777" w:rsidR="00210789" w:rsidRPr="005645B1" w:rsidRDefault="00210789" w:rsidP="00210789">
            <w:pPr>
              <w:widowControl w:val="0"/>
              <w:numPr>
                <w:ilvl w:val="0"/>
                <w:numId w:val="2"/>
              </w:numPr>
              <w:autoSpaceDE w:val="0"/>
              <w:autoSpaceDN w:val="0"/>
              <w:spacing w:line="276" w:lineRule="auto"/>
              <w:contextualSpacing/>
              <w:jc w:val="both"/>
              <w:rPr>
                <w:rFonts w:ascii="Verdana" w:eastAsia="Aptos" w:hAnsi="Verdana" w:cs="Arial"/>
                <w:sz w:val="20"/>
                <w:szCs w:val="20"/>
              </w:rPr>
            </w:pPr>
            <w:r w:rsidRPr="005645B1">
              <w:rPr>
                <w:rFonts w:ascii="Verdana" w:eastAsia="Aptos" w:hAnsi="Verdana" w:cs="Arial"/>
                <w:sz w:val="20"/>
                <w:szCs w:val="20"/>
              </w:rPr>
              <w:lastRenderedPageBreak/>
              <w:t xml:space="preserve">Resolución </w:t>
            </w:r>
            <w:r w:rsidRPr="005645B1">
              <w:rPr>
                <w:rFonts w:ascii="Verdana" w:eastAsia="Calibri" w:hAnsi="Verdana" w:cs="Arial"/>
                <w:sz w:val="20"/>
                <w:szCs w:val="20"/>
              </w:rPr>
              <w:t>485 del 27 de marzo de 2025 “</w:t>
            </w:r>
            <w:r w:rsidRPr="005645B1">
              <w:rPr>
                <w:rFonts w:ascii="Verdana" w:eastAsia="Calibri" w:hAnsi="Verdana" w:cs="Arial"/>
                <w:i/>
                <w:iCs/>
                <w:sz w:val="20"/>
                <w:szCs w:val="20"/>
              </w:rPr>
              <w:t>Por la cual se establecen los requisitos para la expedición de los conceptos técnicos de viabilidad de los proyectos de inversión cuya fuente de financiación o cofinanciación sea el Presupuesto General de la Nación - Ministerio de Salud y Protección Social y/o recursos de las entidades territoriales, y los proyectos de infraestructura física, equipamiento fijo y dotación biomédica, considerados de control especial de oferta para la prestación de servicios de salud, cuyo fin último es el fortalecimiento de la capacidad instalada para la prestación del servicio de salud, y se dictan otras disposiciones</w:t>
            </w:r>
            <w:r w:rsidRPr="005645B1">
              <w:rPr>
                <w:rFonts w:ascii="Verdana" w:eastAsia="Calibri" w:hAnsi="Verdana" w:cs="Arial"/>
                <w:sz w:val="20"/>
                <w:szCs w:val="20"/>
              </w:rPr>
              <w:t>”, artículo 3</w:t>
            </w:r>
          </w:p>
          <w:p w14:paraId="4479035F" w14:textId="77777777" w:rsidR="00210789" w:rsidRPr="005645B1" w:rsidRDefault="00210789" w:rsidP="00210789">
            <w:pPr>
              <w:widowControl w:val="0"/>
              <w:numPr>
                <w:ilvl w:val="0"/>
                <w:numId w:val="2"/>
              </w:numPr>
              <w:autoSpaceDE w:val="0"/>
              <w:autoSpaceDN w:val="0"/>
              <w:spacing w:line="276" w:lineRule="auto"/>
              <w:contextualSpacing/>
              <w:jc w:val="both"/>
              <w:rPr>
                <w:rFonts w:ascii="Verdana" w:eastAsia="Aptos" w:hAnsi="Verdana" w:cs="Arial"/>
                <w:sz w:val="20"/>
                <w:szCs w:val="20"/>
              </w:rPr>
            </w:pPr>
            <w:r w:rsidRPr="005645B1">
              <w:rPr>
                <w:rFonts w:ascii="Verdana" w:eastAsia="Aptos" w:hAnsi="Verdana" w:cs="Arial"/>
                <w:sz w:val="20"/>
                <w:szCs w:val="20"/>
              </w:rPr>
              <w:t xml:space="preserve">Agencia Nacional de Contratación Pública - Colombia Compra Eficiente. Guía para las Entidades Estatales con Régimen Especial de Contratación. </w:t>
            </w:r>
            <w:hyperlink r:id="rId11" w:history="1">
              <w:r w:rsidRPr="005645B1">
                <w:rPr>
                  <w:rStyle w:val="Hipervnculo"/>
                  <w:rFonts w:ascii="Verdana" w:eastAsia="Aptos" w:hAnsi="Verdana" w:cs="Arial"/>
                  <w:sz w:val="20"/>
                  <w:szCs w:val="20"/>
                </w:rPr>
                <w:t>https://www.colombiacompra.gov.co/archivos/manual/guia-para-entidades-estatales-con-regimen-especial-de-contratacion</w:t>
              </w:r>
            </w:hyperlink>
            <w:r w:rsidRPr="005645B1">
              <w:rPr>
                <w:rFonts w:ascii="Verdana" w:eastAsia="Aptos" w:hAnsi="Verdana" w:cs="Arial"/>
                <w:sz w:val="20"/>
                <w:szCs w:val="20"/>
              </w:rPr>
              <w:t xml:space="preserve"> </w:t>
            </w:r>
          </w:p>
          <w:p w14:paraId="71832DF3" w14:textId="77777777" w:rsidR="00210789" w:rsidRPr="00A57FA0" w:rsidRDefault="00210789" w:rsidP="00210789">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5645B1">
              <w:rPr>
                <w:rFonts w:ascii="Verdana" w:eastAsia="Aptos" w:hAnsi="Verdana" w:cs="Arial"/>
                <w:sz w:val="20"/>
                <w:szCs w:val="20"/>
              </w:rPr>
              <w:t>Agencia Nacional de Contratación Pública - Colombia Compra Eficiente. Lineamientos Generales para la Expedición de Manuales de Contratación. Lineamientos generales para la expedición de manuales de contratación | Colombia Compra Eficiente | Agencia Nacional de Contratación Pública</w:t>
            </w:r>
          </w:p>
        </w:tc>
      </w:tr>
    </w:tbl>
    <w:p w14:paraId="58A7E9D0" w14:textId="77777777" w:rsidR="00210789" w:rsidRPr="00277E26" w:rsidRDefault="00210789" w:rsidP="00210789">
      <w:pPr>
        <w:widowControl w:val="0"/>
        <w:autoSpaceDE w:val="0"/>
        <w:autoSpaceDN w:val="0"/>
        <w:spacing w:after="0" w:line="276" w:lineRule="auto"/>
        <w:jc w:val="both"/>
        <w:rPr>
          <w:rFonts w:ascii="Verdana" w:hAnsi="Verdana" w:cs="Arial"/>
        </w:rPr>
      </w:pPr>
    </w:p>
    <w:p w14:paraId="3CC1AFB9" w14:textId="77777777" w:rsidR="00210789" w:rsidRPr="001F283D" w:rsidRDefault="00210789" w:rsidP="00210789">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6D7F19E8" w14:textId="77777777" w:rsidR="00210789" w:rsidRDefault="00210789" w:rsidP="00210789">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011C0FB" w14:textId="77777777" w:rsidR="00210789" w:rsidRPr="00296A7F" w:rsidRDefault="00210789" w:rsidP="00210789">
      <w:pPr>
        <w:pStyle w:val="Prrafodelista"/>
        <w:tabs>
          <w:tab w:val="left" w:pos="142"/>
          <w:tab w:val="left" w:pos="284"/>
        </w:tabs>
        <w:spacing w:after="0" w:line="276" w:lineRule="auto"/>
        <w:ind w:left="0"/>
        <w:jc w:val="both"/>
        <w:rPr>
          <w:rFonts w:ascii="Verdana" w:eastAsia="Calibri" w:hAnsi="Verdana" w:cs="Arial"/>
          <w:color w:val="000000" w:themeColor="text1"/>
        </w:rPr>
      </w:pPr>
      <w:r w:rsidRPr="00E16F2A">
        <w:rPr>
          <w:rFonts w:ascii="Verdana" w:eastAsia="Calibri" w:hAnsi="Verdana" w:cs="Arial"/>
          <w:color w:val="000000" w:themeColor="text1"/>
          <w:lang w:val="es-MX"/>
        </w:rPr>
        <w:t>La Agencia Nacional de Contratación Pública – Colombia Compra Eficiente se pronunció en relación</w:t>
      </w:r>
      <w:r>
        <w:rPr>
          <w:rFonts w:ascii="Verdana" w:eastAsia="Calibri" w:hAnsi="Verdana" w:cs="Arial"/>
          <w:color w:val="000000" w:themeColor="text1"/>
          <w:lang w:val="es-MX"/>
        </w:rPr>
        <w:t xml:space="preserve"> con </w:t>
      </w:r>
      <w:r w:rsidRPr="00A35C49">
        <w:rPr>
          <w:rFonts w:ascii="Verdana" w:hAnsi="Verdana"/>
        </w:rPr>
        <w:t>la noción de</w:t>
      </w:r>
      <w:r w:rsidRPr="00A35C49">
        <w:rPr>
          <w:rFonts w:ascii="Verdana" w:hAnsi="Verdana"/>
          <w:spacing w:val="1"/>
        </w:rPr>
        <w:t xml:space="preserve"> </w:t>
      </w:r>
      <w:r w:rsidRPr="00A35C49">
        <w:rPr>
          <w:rFonts w:ascii="Verdana" w:hAnsi="Verdana"/>
        </w:rPr>
        <w:t>fraccionamiento</w:t>
      </w:r>
      <w:r w:rsidRPr="00A35C49">
        <w:rPr>
          <w:rFonts w:ascii="Verdana" w:hAnsi="Verdana"/>
          <w:spacing w:val="77"/>
        </w:rPr>
        <w:t xml:space="preserve"> </w:t>
      </w:r>
      <w:r w:rsidRPr="00A35C49">
        <w:rPr>
          <w:rFonts w:ascii="Verdana" w:hAnsi="Verdana"/>
        </w:rPr>
        <w:t>en contratos estatales</w:t>
      </w:r>
      <w:r>
        <w:rPr>
          <w:rFonts w:ascii="Verdana" w:hAnsi="Verdana"/>
        </w:rPr>
        <w:t xml:space="preserve"> </w:t>
      </w:r>
      <w:r w:rsidRPr="00A35C49">
        <w:rPr>
          <w:rFonts w:ascii="Verdana" w:eastAsia="Calibri" w:hAnsi="Verdana" w:cs="Arial"/>
          <w:color w:val="000000" w:themeColor="text1"/>
          <w:lang w:val="es-MX"/>
        </w:rPr>
        <w:t>en los conceptos C-455 del 27 de noviembre de 2023, C-030 del 23 de marzo de 2023, C-971 del 28 de febrero de 2023, C-588 del 22 de septiembre de 2022</w:t>
      </w:r>
      <w:r>
        <w:rPr>
          <w:rFonts w:ascii="Verdana" w:hAnsi="Verdana"/>
        </w:rPr>
        <w:t xml:space="preserve"> y C-086 de 17 de febrero de 2025, </w:t>
      </w:r>
      <w:r w:rsidRPr="00E16F2A">
        <w:rPr>
          <w:rFonts w:ascii="Verdana" w:eastAsia="Calibri" w:hAnsi="Verdana" w:cs="Arial"/>
          <w:color w:val="000000" w:themeColor="text1"/>
          <w:lang w:val="es-MX"/>
        </w:rPr>
        <w:t xml:space="preserve">entre otros. </w:t>
      </w:r>
      <w:r w:rsidRPr="002A22E2">
        <w:rPr>
          <w:rFonts w:ascii="Verdana" w:eastAsia="Calibri" w:hAnsi="Verdana" w:cs="Arial"/>
          <w:color w:val="000000" w:themeColor="text1"/>
          <w:lang w:val="es-ES_tradnl" w:eastAsia="es-ES_tradnl"/>
        </w:rPr>
        <w:t>Sobre las Empresas Sociales del Estado esta Agencia se pronunció en los conceptos con radicado 2201913000007228 de 30 de septiembre de 2019, 2201913000007955 24 de octubre de 2019, 2201913000009314 17 de diciembre de 2020, 2201913000009591 24 de diciembre de 2019, 2201913000009469 20 de diciembre de 2019, CU-003 del 15 de enero de 2020, C-079 de 5 de febrero de 2020, C-168 de 31 de marzo de 2020, C-658 de 2020, C-038 del 23 de abril de 2024</w:t>
      </w:r>
      <w:r>
        <w:rPr>
          <w:rFonts w:ascii="Verdana" w:eastAsia="Calibri" w:hAnsi="Verdana" w:cs="Arial"/>
          <w:color w:val="000000" w:themeColor="text1"/>
          <w:lang w:val="es-ES_tradnl" w:eastAsia="es-ES_tradnl"/>
        </w:rPr>
        <w:t xml:space="preserve">,  C-673 del 8 de julio de 2025 y C-912 de 2025, </w:t>
      </w:r>
      <w:r>
        <w:rPr>
          <w:rFonts w:ascii="Verdana" w:hAnsi="Verdana" w:cs="Arial"/>
          <w:shd w:val="clear" w:color="auto" w:fill="FFFFFF"/>
        </w:rPr>
        <w:t xml:space="preserve"> </w:t>
      </w:r>
      <w:r w:rsidRPr="00C661E5">
        <w:rPr>
          <w:rFonts w:ascii="Verdana" w:hAnsi="Verdana" w:cs="Arial"/>
          <w:shd w:val="clear" w:color="auto" w:fill="FFFFFF"/>
        </w:rPr>
        <w:t>entre otros</w:t>
      </w:r>
      <w:r w:rsidRPr="00E76CD6">
        <w:rPr>
          <w:rFonts w:ascii="Verdana" w:hAnsi="Verdana" w:cs="Arial"/>
        </w:rPr>
        <w:t xml:space="preserve">. </w:t>
      </w:r>
      <w:r>
        <w:rPr>
          <w:rFonts w:ascii="Verdana" w:hAnsi="Verdana" w:cs="Arial"/>
        </w:rPr>
        <w:t xml:space="preserve"> </w:t>
      </w:r>
      <w:r w:rsidRPr="00E76CD6">
        <w:rPr>
          <w:rFonts w:ascii="Verdana" w:eastAsia="Calibri" w:hAnsi="Verdana" w:cs="Arial"/>
          <w:lang w:eastAsia="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E16F2A">
        <w:rPr>
          <w:rFonts w:ascii="Verdana" w:eastAsia="Calibri" w:hAnsi="Verdana" w:cs="Arial"/>
          <w:color w:val="000000" w:themeColor="text1"/>
          <w:lang w:val="es-MX"/>
        </w:rPr>
        <w:t>Accede a través del siguiente enlace: </w:t>
      </w:r>
      <w:hyperlink r:id="rId12">
        <w:r w:rsidRPr="00E16F2A">
          <w:rPr>
            <w:rFonts w:ascii="Verdana" w:hAnsi="Verdana"/>
            <w:color w:val="0000FF"/>
            <w:u w:val="single" w:color="0000FF"/>
          </w:rPr>
          <w:t>https://relatoria.colombiacompra.gov.co/</w:t>
        </w:r>
      </w:hyperlink>
    </w:p>
    <w:p w14:paraId="04254603" w14:textId="77777777" w:rsidR="00210789" w:rsidRPr="00900D7D" w:rsidRDefault="00210789" w:rsidP="00210789">
      <w:pPr>
        <w:widowControl w:val="0"/>
        <w:autoSpaceDE w:val="0"/>
        <w:autoSpaceDN w:val="0"/>
        <w:spacing w:after="120" w:line="276" w:lineRule="auto"/>
        <w:jc w:val="both"/>
        <w:rPr>
          <w:rFonts w:ascii="Verdana" w:eastAsia="Calibri" w:hAnsi="Verdana" w:cs="Arial"/>
          <w:color w:val="000000" w:themeColor="text1"/>
          <w:lang w:eastAsia="es-ES_tradnl"/>
        </w:rPr>
      </w:pPr>
    </w:p>
    <w:p w14:paraId="24FB98FD" w14:textId="77777777" w:rsidR="00210789" w:rsidRPr="00237766" w:rsidRDefault="00210789" w:rsidP="00210789">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328E8B7" w14:textId="77777777" w:rsidR="00210789" w:rsidRPr="008E4F36" w:rsidRDefault="00210789" w:rsidP="00210789">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3374A746" w14:textId="77777777" w:rsidR="00210789" w:rsidRPr="008E4F36" w:rsidRDefault="00210789" w:rsidP="00210789">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1D41E666" w14:textId="77777777" w:rsidR="00210789" w:rsidRPr="008E4F36" w:rsidRDefault="00210789" w:rsidP="00210789">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43092DA" w14:textId="77777777" w:rsidR="00210789" w:rsidRPr="008E4F36" w:rsidRDefault="00210789" w:rsidP="00210789">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3" w:history="1">
        <w:r w:rsidRPr="008E4F36">
          <w:rPr>
            <w:rStyle w:val="Hipervnculo"/>
            <w:rFonts w:ascii="Verdana" w:hAnsi="Verdana"/>
          </w:rPr>
          <w:t>www.colombiacompra.gov.co</w:t>
        </w:r>
      </w:hyperlink>
    </w:p>
    <w:p w14:paraId="567E66B9" w14:textId="77777777" w:rsidR="00210789" w:rsidRPr="008E4F36" w:rsidRDefault="00210789" w:rsidP="00210789">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4A37A385" w14:textId="77777777" w:rsidR="00210789" w:rsidRPr="008E4F36" w:rsidRDefault="00210789" w:rsidP="00210789">
      <w:pPr>
        <w:spacing w:after="0" w:line="276" w:lineRule="auto"/>
        <w:jc w:val="both"/>
        <w:rPr>
          <w:rFonts w:ascii="Verdana" w:hAnsi="Verdana"/>
        </w:rPr>
      </w:pPr>
    </w:p>
    <w:p w14:paraId="5388F6C3" w14:textId="77777777" w:rsidR="00210789" w:rsidRPr="008E4F36" w:rsidRDefault="00210789" w:rsidP="00210789">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486F81B0" w14:textId="77777777" w:rsidR="00210789" w:rsidRPr="008E4F36" w:rsidRDefault="00210789" w:rsidP="00210789">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78CF1786" w14:textId="77777777" w:rsidR="00210789" w:rsidRPr="008E4F36" w:rsidRDefault="00210789" w:rsidP="00210789">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3BC660AC" w14:textId="77777777" w:rsidR="00210789" w:rsidRDefault="00210789" w:rsidP="00210789">
      <w:pPr>
        <w:spacing w:before="120" w:after="0" w:line="276" w:lineRule="auto"/>
        <w:jc w:val="both"/>
        <w:rPr>
          <w:rFonts w:ascii="Verdana" w:hAnsi="Verdana"/>
        </w:rPr>
      </w:pPr>
    </w:p>
    <w:p w14:paraId="44777D07" w14:textId="77777777" w:rsidR="00210789" w:rsidRPr="00FB6C33" w:rsidRDefault="00210789" w:rsidP="00210789">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7044784" w14:textId="77777777" w:rsidR="00210789" w:rsidRPr="008E4F36" w:rsidRDefault="00210789" w:rsidP="00210789">
      <w:pPr>
        <w:spacing w:after="0" w:line="276" w:lineRule="auto"/>
        <w:jc w:val="both"/>
        <w:rPr>
          <w:rFonts w:ascii="Verdana" w:eastAsia="Calibri" w:hAnsi="Verdana" w:cs="Times New Roman"/>
        </w:rPr>
      </w:pPr>
    </w:p>
    <w:p w14:paraId="3A3861DA" w14:textId="77777777" w:rsidR="00210789" w:rsidRDefault="00210789" w:rsidP="00210789">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00ECC4D" w14:textId="77777777" w:rsidR="00210789" w:rsidRDefault="00210789" w:rsidP="00210789">
      <w:pPr>
        <w:spacing w:after="0" w:line="256" w:lineRule="auto"/>
        <w:jc w:val="both"/>
        <w:rPr>
          <w:rFonts w:ascii="Verdana" w:eastAsia="Calibri" w:hAnsi="Verdana" w:cs="Times New Roman"/>
        </w:rPr>
      </w:pPr>
    </w:p>
    <w:p w14:paraId="1A5BF818" w14:textId="14F09FC4" w:rsidR="00BA509F" w:rsidRPr="00BA509F" w:rsidRDefault="00BA509F" w:rsidP="00BA509F">
      <w:pPr>
        <w:spacing w:after="0" w:line="256" w:lineRule="auto"/>
        <w:jc w:val="center"/>
        <w:rPr>
          <w:noProof/>
        </w:rPr>
      </w:pPr>
      <w:r w:rsidRPr="002C3AD6">
        <w:rPr>
          <w:rFonts w:ascii="Century Gothic" w:hAnsi="Century Gothic"/>
          <w:noProof/>
        </w:rPr>
        <w:drawing>
          <wp:inline distT="0" distB="0" distL="0" distR="0" wp14:anchorId="2AFEFA5A" wp14:editId="12D718F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bookmarkEnd w:id="0"/>
      <w:bookmarkEnd w:id="1"/>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10789" w:rsidRPr="002423D6" w14:paraId="4B855BB3" w14:textId="77777777" w:rsidTr="003C36DC">
        <w:trPr>
          <w:trHeight w:val="315"/>
        </w:trPr>
        <w:tc>
          <w:tcPr>
            <w:tcW w:w="893" w:type="dxa"/>
            <w:vAlign w:val="center"/>
            <w:hideMark/>
          </w:tcPr>
          <w:p w14:paraId="39D16737" w14:textId="77777777" w:rsidR="00210789" w:rsidRPr="002423D6" w:rsidRDefault="00210789" w:rsidP="003C36D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7189B7" w14:textId="77777777" w:rsidR="00210789" w:rsidRPr="002423D6" w:rsidRDefault="00210789" w:rsidP="003C36DC">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6BBCF810" w14:textId="77777777" w:rsidR="00210789" w:rsidRPr="002423D6" w:rsidRDefault="00210789" w:rsidP="003C36DC">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210789" w:rsidRPr="002423D6" w14:paraId="480ECD3E" w14:textId="77777777" w:rsidTr="003C36DC">
        <w:trPr>
          <w:trHeight w:val="330"/>
        </w:trPr>
        <w:tc>
          <w:tcPr>
            <w:tcW w:w="893" w:type="dxa"/>
            <w:vAlign w:val="center"/>
            <w:hideMark/>
          </w:tcPr>
          <w:p w14:paraId="561BAC6E" w14:textId="77777777" w:rsidR="00210789" w:rsidRPr="002423D6" w:rsidRDefault="00210789" w:rsidP="003C36D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B2DFF5" w14:textId="77777777" w:rsidR="00210789" w:rsidRPr="002423D6" w:rsidRDefault="00210789" w:rsidP="003C36D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2F46BEB4" w14:textId="77777777" w:rsidR="00210789" w:rsidRPr="002423D6" w:rsidRDefault="00210789" w:rsidP="003C36DC">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 grado15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210789" w:rsidRPr="002423D6" w14:paraId="1636A9B3" w14:textId="77777777" w:rsidTr="003C36DC">
        <w:trPr>
          <w:trHeight w:val="300"/>
        </w:trPr>
        <w:tc>
          <w:tcPr>
            <w:tcW w:w="893" w:type="dxa"/>
            <w:vAlign w:val="center"/>
          </w:tcPr>
          <w:p w14:paraId="7AE492CB" w14:textId="77777777" w:rsidR="00210789" w:rsidRPr="002423D6" w:rsidRDefault="00210789" w:rsidP="003C36DC">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E07CB2" w14:textId="77777777" w:rsidR="00210789" w:rsidRPr="002423D6" w:rsidRDefault="00210789" w:rsidP="003C36D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181C7163" w14:textId="77777777" w:rsidR="00210789" w:rsidRPr="002423D6" w:rsidRDefault="00210789" w:rsidP="003C36DC">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4A18FD7C" w14:textId="77777777" w:rsidR="00210789" w:rsidRDefault="00210789" w:rsidP="00210789"/>
    <w:p w14:paraId="3BC1667F" w14:textId="77777777" w:rsidR="00210789" w:rsidRPr="00823C60" w:rsidRDefault="00210789" w:rsidP="00210789"/>
    <w:p w14:paraId="0585F7EC" w14:textId="77777777" w:rsidR="00210789" w:rsidRDefault="00210789" w:rsidP="00210789"/>
    <w:p w14:paraId="7F84CDC8" w14:textId="77777777" w:rsidR="00210789" w:rsidRPr="00867F69" w:rsidRDefault="00210789" w:rsidP="00210789"/>
    <w:p w14:paraId="24D76293" w14:textId="77777777" w:rsidR="00210789" w:rsidRPr="005C6EAF" w:rsidRDefault="00210789" w:rsidP="00210789"/>
    <w:p w14:paraId="75ED710C" w14:textId="77777777" w:rsidR="00210789" w:rsidRPr="00A83E77" w:rsidRDefault="00210789" w:rsidP="00210789"/>
    <w:p w14:paraId="28D61DFF" w14:textId="77777777" w:rsidR="000F5A42" w:rsidRPr="00FB61F9" w:rsidRDefault="000F5A42" w:rsidP="00FB61F9"/>
    <w:sectPr w:rsidR="000F5A42" w:rsidRPr="00FB61F9" w:rsidSect="00F71C60">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17128" w14:textId="77777777" w:rsidR="000B4E6F" w:rsidRDefault="000B4E6F" w:rsidP="00250F55">
      <w:pPr>
        <w:spacing w:after="0" w:line="240" w:lineRule="auto"/>
      </w:pPr>
      <w:r>
        <w:separator/>
      </w:r>
    </w:p>
  </w:endnote>
  <w:endnote w:type="continuationSeparator" w:id="0">
    <w:p w14:paraId="573B4A9F" w14:textId="77777777" w:rsidR="000B4E6F" w:rsidRDefault="000B4E6F" w:rsidP="00250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49655" w14:textId="77777777" w:rsidR="00F71C60" w:rsidRDefault="00F71C60" w:rsidP="000849D5">
    <w:pPr>
      <w:spacing w:after="0"/>
      <w:rPr>
        <w:rFonts w:ascii="Verdana" w:hAnsi="Verdana"/>
        <w:b/>
        <w:bCs/>
        <w:sz w:val="20"/>
        <w:szCs w:val="20"/>
      </w:rPr>
    </w:pPr>
  </w:p>
  <w:p w14:paraId="63B7EC08" w14:textId="77777777" w:rsidR="00F71C60" w:rsidRPr="00174B77" w:rsidRDefault="00F71C6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E6CEBE" w14:textId="77777777" w:rsidR="00F71C60" w:rsidRDefault="00F71C6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2E960EB7" w14:textId="77777777" w:rsidR="00F71C60" w:rsidRPr="00E41027" w:rsidRDefault="00F71C60" w:rsidP="000849D5">
    <w:pPr>
      <w:spacing w:after="0"/>
      <w:jc w:val="both"/>
      <w:rPr>
        <w:rFonts w:ascii="Verdana" w:hAnsi="Verdana"/>
        <w:sz w:val="18"/>
        <w:szCs w:val="18"/>
      </w:rPr>
    </w:pPr>
    <w:r w:rsidRPr="00E41027">
      <w:rPr>
        <w:rFonts w:ascii="Verdana" w:hAnsi="Verdana"/>
        <w:sz w:val="18"/>
        <w:szCs w:val="18"/>
      </w:rPr>
      <w:t>Mesa de servicio: (+57) 601 7456788</w:t>
    </w:r>
  </w:p>
  <w:p w14:paraId="4DBF4517" w14:textId="77777777" w:rsidR="00F71C60" w:rsidRDefault="00F71C6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DCA6F8D" w14:textId="77777777" w:rsidR="00F71C60" w:rsidRPr="007D04B2" w:rsidRDefault="00F71C60" w:rsidP="000849D5">
    <w:pPr>
      <w:pStyle w:val="Piedepgina"/>
    </w:pPr>
  </w:p>
  <w:p w14:paraId="1A265927" w14:textId="77777777" w:rsidR="00F71C60" w:rsidRPr="000849D5" w:rsidRDefault="00F71C6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7D7F2" w14:textId="77777777" w:rsidR="000B4E6F" w:rsidRDefault="000B4E6F" w:rsidP="00250F55">
      <w:pPr>
        <w:spacing w:after="0" w:line="240" w:lineRule="auto"/>
      </w:pPr>
      <w:r>
        <w:separator/>
      </w:r>
    </w:p>
  </w:footnote>
  <w:footnote w:type="continuationSeparator" w:id="0">
    <w:p w14:paraId="74F5C90D" w14:textId="77777777" w:rsidR="000B4E6F" w:rsidRDefault="000B4E6F" w:rsidP="00250F55">
      <w:pPr>
        <w:spacing w:after="0" w:line="240" w:lineRule="auto"/>
      </w:pPr>
      <w:r>
        <w:continuationSeparator/>
      </w:r>
    </w:p>
  </w:footnote>
  <w:footnote w:id="1">
    <w:p w14:paraId="67AE37F9" w14:textId="77777777" w:rsidR="00210789" w:rsidRPr="00FF0CA0" w:rsidRDefault="00210789" w:rsidP="00210789">
      <w:pPr>
        <w:pStyle w:val="Textonotapie"/>
        <w:ind w:firstLine="708"/>
        <w:jc w:val="both"/>
        <w:rPr>
          <w:rFonts w:ascii="Verdana" w:hAnsi="Verdana"/>
          <w:sz w:val="16"/>
          <w:szCs w:val="16"/>
          <w:lang w:val="es-CO"/>
        </w:rPr>
      </w:pPr>
      <w:r w:rsidRPr="00FF0CA0">
        <w:rPr>
          <w:rStyle w:val="Refdenotaalpie"/>
          <w:rFonts w:ascii="Verdana" w:hAnsi="Verdana"/>
          <w:sz w:val="16"/>
          <w:szCs w:val="16"/>
        </w:rPr>
        <w:footnoteRef/>
      </w:r>
      <w:r w:rsidRPr="009342FE">
        <w:rPr>
          <w:rFonts w:ascii="Verdana" w:hAnsi="Verdana"/>
          <w:sz w:val="16"/>
          <w:szCs w:val="16"/>
          <w:lang w:val="pt-BR"/>
        </w:rPr>
        <w:t xml:space="preserve"> Cfr. CORTE SUPREMA DE JUSTICIA. </w:t>
      </w:r>
      <w:r w:rsidRPr="00FF0CA0">
        <w:rPr>
          <w:rFonts w:ascii="Verdana" w:hAnsi="Verdana"/>
          <w:sz w:val="16"/>
          <w:szCs w:val="16"/>
        </w:rPr>
        <w:t>Sala de Casación Penal. Sentencia del</w:t>
      </w:r>
      <w:r>
        <w:rPr>
          <w:rFonts w:ascii="Verdana" w:hAnsi="Verdana"/>
          <w:sz w:val="16"/>
          <w:szCs w:val="16"/>
        </w:rPr>
        <w:t xml:space="preserve"> 2 de octubre de 2024. Rad. 61315. M.P. </w:t>
      </w:r>
      <w:r w:rsidRPr="00FF0CA0">
        <w:rPr>
          <w:rFonts w:ascii="Verdana" w:hAnsi="Verdana"/>
          <w:sz w:val="16"/>
          <w:szCs w:val="16"/>
        </w:rPr>
        <w:t>Myriam Ávila Roldán</w:t>
      </w:r>
      <w:r>
        <w:rPr>
          <w:rFonts w:ascii="Verdana" w:hAnsi="Verdana"/>
          <w:sz w:val="16"/>
          <w:szCs w:val="16"/>
        </w:rPr>
        <w:t>.</w:t>
      </w:r>
    </w:p>
  </w:footnote>
  <w:footnote w:id="2">
    <w:p w14:paraId="21A647EA" w14:textId="77777777" w:rsidR="00210789" w:rsidRPr="0061772B" w:rsidRDefault="00210789" w:rsidP="00210789">
      <w:pPr>
        <w:pStyle w:val="Textonotapie"/>
        <w:ind w:firstLine="708"/>
        <w:jc w:val="both"/>
        <w:rPr>
          <w:rFonts w:ascii="Verdana" w:hAnsi="Verdana"/>
          <w:sz w:val="16"/>
          <w:szCs w:val="16"/>
          <w:lang w:val="es-CO"/>
        </w:rPr>
      </w:pPr>
      <w:r w:rsidRPr="0061772B">
        <w:rPr>
          <w:rStyle w:val="Refdenotaalpie"/>
          <w:rFonts w:ascii="Verdana" w:hAnsi="Verdana"/>
          <w:sz w:val="16"/>
          <w:szCs w:val="16"/>
        </w:rPr>
        <w:footnoteRef/>
      </w:r>
      <w:r w:rsidRPr="0061772B">
        <w:rPr>
          <w:rFonts w:ascii="Verdana" w:hAnsi="Verdana"/>
          <w:sz w:val="16"/>
          <w:szCs w:val="16"/>
        </w:rPr>
        <w:t xml:space="preserve"> </w:t>
      </w:r>
      <w:r>
        <w:rPr>
          <w:rFonts w:ascii="Verdana" w:hAnsi="Verdana"/>
          <w:sz w:val="16"/>
          <w:szCs w:val="16"/>
        </w:rPr>
        <w:t>Cfr. URIBE GARCÍA, Saúl. Delitos contra la administración pública. Medellín: Ediciones UNAULA, 2012. p. 208.</w:t>
      </w:r>
    </w:p>
  </w:footnote>
  <w:footnote w:id="3">
    <w:p w14:paraId="0321AA89" w14:textId="77777777" w:rsidR="00210789" w:rsidRPr="00C06435" w:rsidRDefault="00210789" w:rsidP="00210789">
      <w:pPr>
        <w:spacing w:after="0" w:line="240" w:lineRule="auto"/>
        <w:ind w:left="100" w:right="1010" w:firstLine="6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Sección</w:t>
      </w:r>
      <w:r w:rsidRPr="00C06435">
        <w:rPr>
          <w:rFonts w:ascii="Verdana" w:hAnsi="Verdana"/>
          <w:spacing w:val="-5"/>
          <w:sz w:val="16"/>
          <w:szCs w:val="16"/>
        </w:rPr>
        <w:t xml:space="preserve"> </w:t>
      </w:r>
      <w:r w:rsidRPr="00C06435">
        <w:rPr>
          <w:rFonts w:ascii="Verdana" w:hAnsi="Verdana"/>
          <w:sz w:val="16"/>
          <w:szCs w:val="16"/>
        </w:rPr>
        <w:t>Tercera</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la</w:t>
      </w:r>
      <w:r w:rsidRPr="00C06435">
        <w:rPr>
          <w:rFonts w:ascii="Verdana" w:hAnsi="Verdana"/>
          <w:spacing w:val="-5"/>
          <w:sz w:val="16"/>
          <w:szCs w:val="16"/>
        </w:rPr>
        <w:t xml:space="preserve"> </w:t>
      </w:r>
      <w:r w:rsidRPr="00C06435">
        <w:rPr>
          <w:rFonts w:ascii="Verdana" w:hAnsi="Verdana"/>
          <w:sz w:val="16"/>
          <w:szCs w:val="16"/>
        </w:rPr>
        <w:t>Sala</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lo</w:t>
      </w:r>
      <w:r w:rsidRPr="00C06435">
        <w:rPr>
          <w:rFonts w:ascii="Verdana" w:hAnsi="Verdana"/>
          <w:spacing w:val="-5"/>
          <w:sz w:val="16"/>
          <w:szCs w:val="16"/>
        </w:rPr>
        <w:t xml:space="preserve"> </w:t>
      </w:r>
      <w:r w:rsidRPr="00C06435">
        <w:rPr>
          <w:rFonts w:ascii="Verdana" w:hAnsi="Verdana"/>
          <w:sz w:val="16"/>
          <w:szCs w:val="16"/>
        </w:rPr>
        <w:t>Contencioso</w:t>
      </w:r>
      <w:r w:rsidRPr="00C06435">
        <w:rPr>
          <w:rFonts w:ascii="Verdana" w:hAnsi="Verdana"/>
          <w:spacing w:val="-4"/>
          <w:sz w:val="16"/>
          <w:szCs w:val="16"/>
        </w:rPr>
        <w:t xml:space="preserve"> </w:t>
      </w:r>
      <w:r w:rsidRPr="00C06435">
        <w:rPr>
          <w:rFonts w:ascii="Verdana" w:hAnsi="Verdana"/>
          <w:sz w:val="16"/>
          <w:szCs w:val="16"/>
        </w:rPr>
        <w:t>Administrativo</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5"/>
          <w:sz w:val="16"/>
          <w:szCs w:val="16"/>
        </w:rPr>
        <w:t xml:space="preserve"> </w:t>
      </w:r>
      <w:r w:rsidRPr="00C06435">
        <w:rPr>
          <w:rFonts w:ascii="Verdana" w:hAnsi="Verdana"/>
          <w:sz w:val="16"/>
          <w:szCs w:val="16"/>
        </w:rPr>
        <w:t>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5"/>
          <w:sz w:val="16"/>
          <w:szCs w:val="16"/>
        </w:rPr>
        <w:t xml:space="preserve"> </w:t>
      </w:r>
      <w:r w:rsidRPr="00C06435">
        <w:rPr>
          <w:rFonts w:ascii="Verdana" w:hAnsi="Verdana"/>
          <w:sz w:val="16"/>
          <w:szCs w:val="16"/>
        </w:rPr>
        <w:t>29</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abril</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2015,</w:t>
      </w:r>
      <w:r w:rsidRPr="00C06435">
        <w:rPr>
          <w:rFonts w:ascii="Verdana" w:hAnsi="Verdana"/>
          <w:spacing w:val="-2"/>
          <w:sz w:val="16"/>
          <w:szCs w:val="16"/>
        </w:rPr>
        <w:t xml:space="preserve"> </w:t>
      </w:r>
      <w:r w:rsidRPr="00C06435">
        <w:rPr>
          <w:rFonts w:ascii="Verdana" w:hAnsi="Verdana"/>
          <w:sz w:val="16"/>
          <w:szCs w:val="16"/>
        </w:rPr>
        <w:t>expediente</w:t>
      </w:r>
      <w:r w:rsidRPr="00C06435">
        <w:rPr>
          <w:rFonts w:ascii="Verdana" w:hAnsi="Verdana"/>
          <w:spacing w:val="-2"/>
          <w:sz w:val="16"/>
          <w:szCs w:val="16"/>
        </w:rPr>
        <w:t xml:space="preserve"> </w:t>
      </w:r>
      <w:r w:rsidRPr="00C06435">
        <w:rPr>
          <w:rFonts w:ascii="Verdana" w:hAnsi="Verdana"/>
          <w:sz w:val="16"/>
          <w:szCs w:val="16"/>
        </w:rPr>
        <w:t>29201</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Olga</w:t>
      </w:r>
      <w:r w:rsidRPr="00C06435">
        <w:rPr>
          <w:rFonts w:ascii="Verdana" w:hAnsi="Verdana"/>
          <w:spacing w:val="-2"/>
          <w:sz w:val="16"/>
          <w:szCs w:val="16"/>
        </w:rPr>
        <w:t xml:space="preserve"> </w:t>
      </w:r>
      <w:r w:rsidRPr="00C06435">
        <w:rPr>
          <w:rFonts w:ascii="Verdana" w:hAnsi="Verdana"/>
          <w:sz w:val="16"/>
          <w:szCs w:val="16"/>
        </w:rPr>
        <w:t>Melida</w:t>
      </w:r>
      <w:r w:rsidRPr="00C06435">
        <w:rPr>
          <w:rFonts w:ascii="Verdana" w:hAnsi="Verdana"/>
          <w:spacing w:val="-2"/>
          <w:sz w:val="16"/>
          <w:szCs w:val="16"/>
        </w:rPr>
        <w:t xml:space="preserve"> </w:t>
      </w:r>
      <w:r w:rsidRPr="00C06435">
        <w:rPr>
          <w:rFonts w:ascii="Verdana" w:hAnsi="Verdana"/>
          <w:sz w:val="16"/>
          <w:szCs w:val="16"/>
        </w:rPr>
        <w:t>Valle</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La</w:t>
      </w:r>
      <w:r w:rsidRPr="00C06435">
        <w:rPr>
          <w:rFonts w:ascii="Verdana" w:hAnsi="Verdana"/>
          <w:spacing w:val="-2"/>
          <w:sz w:val="16"/>
          <w:szCs w:val="16"/>
        </w:rPr>
        <w:t xml:space="preserve"> </w:t>
      </w:r>
      <w:r w:rsidRPr="00C06435">
        <w:rPr>
          <w:rFonts w:ascii="Verdana" w:hAnsi="Verdana"/>
          <w:sz w:val="16"/>
          <w:szCs w:val="16"/>
        </w:rPr>
        <w:t>Hoz</w:t>
      </w:r>
    </w:p>
    <w:p w14:paraId="3D980B08" w14:textId="77777777" w:rsidR="00210789" w:rsidRPr="00C06435" w:rsidRDefault="00210789" w:rsidP="00210789">
      <w:pPr>
        <w:pStyle w:val="Textonotapie"/>
        <w:jc w:val="both"/>
        <w:rPr>
          <w:rFonts w:ascii="Verdana" w:hAnsi="Verdana"/>
          <w:sz w:val="16"/>
          <w:szCs w:val="16"/>
          <w:lang w:val="es-CO"/>
        </w:rPr>
      </w:pPr>
    </w:p>
  </w:footnote>
  <w:footnote w:id="4">
    <w:p w14:paraId="0CEC13C5" w14:textId="77777777" w:rsidR="00210789" w:rsidRPr="00C06435" w:rsidRDefault="00210789" w:rsidP="00210789">
      <w:pPr>
        <w:spacing w:after="0" w:line="240" w:lineRule="auto"/>
        <w:ind w:left="-142" w:firstLine="850"/>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Previstas</w:t>
      </w:r>
      <w:r w:rsidRPr="00C06435">
        <w:rPr>
          <w:rFonts w:ascii="Verdana" w:hAnsi="Verdana"/>
          <w:spacing w:val="-4"/>
          <w:sz w:val="16"/>
          <w:szCs w:val="16"/>
        </w:rPr>
        <w:t xml:space="preserve"> </w:t>
      </w:r>
      <w:r w:rsidRPr="00C06435">
        <w:rPr>
          <w:rFonts w:ascii="Verdana" w:hAnsi="Verdana"/>
          <w:sz w:val="16"/>
          <w:szCs w:val="16"/>
        </w:rPr>
        <w:t>en</w:t>
      </w:r>
      <w:r w:rsidRPr="00C06435">
        <w:rPr>
          <w:rFonts w:ascii="Verdana" w:hAnsi="Verdana"/>
          <w:spacing w:val="-4"/>
          <w:sz w:val="16"/>
          <w:szCs w:val="16"/>
        </w:rPr>
        <w:t xml:space="preserve"> </w:t>
      </w:r>
      <w:r w:rsidRPr="00C06435">
        <w:rPr>
          <w:rFonts w:ascii="Verdana" w:hAnsi="Verdana"/>
          <w:sz w:val="16"/>
          <w:szCs w:val="16"/>
        </w:rPr>
        <w:t>el</w:t>
      </w:r>
      <w:r w:rsidRPr="00C06435">
        <w:rPr>
          <w:rFonts w:ascii="Verdana" w:hAnsi="Verdana"/>
          <w:spacing w:val="-3"/>
          <w:sz w:val="16"/>
          <w:szCs w:val="16"/>
        </w:rPr>
        <w:t xml:space="preserve"> </w:t>
      </w:r>
      <w:r w:rsidRPr="00C06435">
        <w:rPr>
          <w:rFonts w:ascii="Verdana" w:hAnsi="Verdana"/>
          <w:sz w:val="16"/>
          <w:szCs w:val="16"/>
        </w:rPr>
        <w:t>artículo</w:t>
      </w:r>
      <w:r w:rsidRPr="00C06435">
        <w:rPr>
          <w:rFonts w:ascii="Verdana" w:hAnsi="Verdana"/>
          <w:spacing w:val="-4"/>
          <w:sz w:val="16"/>
          <w:szCs w:val="16"/>
        </w:rPr>
        <w:t xml:space="preserve"> </w:t>
      </w:r>
      <w:r w:rsidRPr="00C06435">
        <w:rPr>
          <w:rFonts w:ascii="Verdana" w:hAnsi="Verdana"/>
          <w:sz w:val="16"/>
          <w:szCs w:val="16"/>
        </w:rPr>
        <w:t>2</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la</w:t>
      </w:r>
      <w:r w:rsidRPr="00C06435">
        <w:rPr>
          <w:rFonts w:ascii="Verdana" w:hAnsi="Verdana"/>
          <w:spacing w:val="-3"/>
          <w:sz w:val="16"/>
          <w:szCs w:val="16"/>
        </w:rPr>
        <w:t xml:space="preserve"> </w:t>
      </w:r>
      <w:r w:rsidRPr="00C06435">
        <w:rPr>
          <w:rFonts w:ascii="Verdana" w:hAnsi="Verdana"/>
          <w:sz w:val="16"/>
          <w:szCs w:val="16"/>
        </w:rPr>
        <w:t>Ley</w:t>
      </w:r>
      <w:r w:rsidRPr="00C06435">
        <w:rPr>
          <w:rFonts w:ascii="Verdana" w:hAnsi="Verdana"/>
          <w:spacing w:val="-4"/>
          <w:sz w:val="16"/>
          <w:szCs w:val="16"/>
        </w:rPr>
        <w:t xml:space="preserve"> </w:t>
      </w:r>
      <w:r w:rsidRPr="00C06435">
        <w:rPr>
          <w:rFonts w:ascii="Verdana" w:hAnsi="Verdana"/>
          <w:sz w:val="16"/>
          <w:szCs w:val="16"/>
        </w:rPr>
        <w:t>1150</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2007.</w:t>
      </w:r>
    </w:p>
    <w:p w14:paraId="57BF1939" w14:textId="77777777" w:rsidR="00210789" w:rsidRPr="00C06435" w:rsidRDefault="00210789" w:rsidP="00210789">
      <w:pPr>
        <w:pStyle w:val="Textonotapie"/>
        <w:jc w:val="both"/>
        <w:rPr>
          <w:rFonts w:ascii="Verdana" w:hAnsi="Verdana"/>
          <w:sz w:val="16"/>
          <w:szCs w:val="16"/>
          <w:lang w:val="es-CO"/>
        </w:rPr>
      </w:pPr>
    </w:p>
  </w:footnote>
  <w:footnote w:id="5">
    <w:p w14:paraId="5937836F" w14:textId="77777777" w:rsidR="00210789" w:rsidRDefault="00210789" w:rsidP="00210789">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w:t>
      </w:r>
      <w:r>
        <w:rPr>
          <w:rFonts w:ascii="Verdana" w:hAnsi="Verdana"/>
          <w:spacing w:val="2"/>
          <w:sz w:val="16"/>
          <w:szCs w:val="16"/>
        </w:rPr>
        <w:t>.</w:t>
      </w:r>
      <w:r w:rsidRPr="00C06435">
        <w:rPr>
          <w:rFonts w:ascii="Verdana" w:hAnsi="Verdana"/>
          <w:sz w:val="16"/>
          <w:szCs w:val="16"/>
        </w:rPr>
        <w:t>CONSEJO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ESTADO,</w:t>
      </w:r>
      <w:r w:rsidRPr="008935D4">
        <w:rPr>
          <w:rFonts w:ascii="Verdana" w:hAnsi="Verdana"/>
          <w:sz w:val="16"/>
          <w:szCs w:val="16"/>
        </w:rPr>
        <w:t xml:space="preserve"> </w:t>
      </w:r>
      <w:r w:rsidRPr="00C06435">
        <w:rPr>
          <w:rFonts w:ascii="Verdana" w:hAnsi="Verdana"/>
          <w:sz w:val="16"/>
          <w:szCs w:val="16"/>
        </w:rPr>
        <w:t>Sala</w:t>
      </w:r>
      <w:r w:rsidRPr="00C06435">
        <w:rPr>
          <w:rFonts w:ascii="Verdana" w:hAnsi="Verdana"/>
          <w:spacing w:val="4"/>
          <w:sz w:val="16"/>
          <w:szCs w:val="16"/>
        </w:rPr>
        <w:t xml:space="preserve"> </w:t>
      </w:r>
      <w:r w:rsidRPr="00C06435">
        <w:rPr>
          <w:rFonts w:ascii="Verdana" w:hAnsi="Verdana"/>
          <w:sz w:val="16"/>
          <w:szCs w:val="16"/>
        </w:rPr>
        <w:t>Plena</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lo</w:t>
      </w:r>
      <w:r w:rsidRPr="00C06435">
        <w:rPr>
          <w:rFonts w:ascii="Verdana" w:hAnsi="Verdana"/>
          <w:spacing w:val="2"/>
          <w:sz w:val="16"/>
          <w:szCs w:val="16"/>
        </w:rPr>
        <w:t xml:space="preserve"> </w:t>
      </w:r>
      <w:r w:rsidRPr="00C06435">
        <w:rPr>
          <w:rFonts w:ascii="Verdana" w:hAnsi="Verdana"/>
          <w:sz w:val="16"/>
          <w:szCs w:val="16"/>
        </w:rPr>
        <w:t>Contencioso</w:t>
      </w:r>
      <w:r w:rsidRPr="00C06435">
        <w:rPr>
          <w:rFonts w:ascii="Verdana" w:hAnsi="Verdana"/>
          <w:spacing w:val="5"/>
          <w:sz w:val="16"/>
          <w:szCs w:val="16"/>
        </w:rPr>
        <w:t xml:space="preserve"> </w:t>
      </w:r>
      <w:r w:rsidRPr="00C06435">
        <w:rPr>
          <w:rFonts w:ascii="Verdana" w:hAnsi="Verdana"/>
          <w:sz w:val="16"/>
          <w:szCs w:val="16"/>
        </w:rPr>
        <w:t>Administrativ</w:t>
      </w:r>
      <w:r>
        <w:rPr>
          <w:rFonts w:ascii="Verdana" w:hAnsi="Verdana"/>
          <w:sz w:val="16"/>
          <w:szCs w:val="16"/>
        </w:rPr>
        <w:t>o.</w:t>
      </w:r>
      <w:r w:rsidRPr="00C06435">
        <w:rPr>
          <w:rFonts w:ascii="Verdana" w:hAnsi="Verdana"/>
          <w:spacing w:val="4"/>
          <w:sz w:val="16"/>
          <w:szCs w:val="16"/>
        </w:rPr>
        <w:t xml:space="preserve"> </w:t>
      </w:r>
      <w:r w:rsidRPr="00C06435">
        <w:rPr>
          <w:rFonts w:ascii="Verdana" w:hAnsi="Verdana"/>
          <w:sz w:val="16"/>
          <w:szCs w:val="16"/>
        </w:rPr>
        <w:t>Sentencia</w:t>
      </w:r>
      <w:r w:rsidRPr="00C06435">
        <w:rPr>
          <w:rFonts w:ascii="Verdana" w:hAnsi="Verdana"/>
          <w:spacing w:val="4"/>
          <w:sz w:val="16"/>
          <w:szCs w:val="16"/>
        </w:rPr>
        <w:t xml:space="preserve"> </w:t>
      </w:r>
      <w:r w:rsidRPr="00C06435">
        <w:rPr>
          <w:rFonts w:ascii="Verdana" w:hAnsi="Verdana"/>
          <w:sz w:val="16"/>
          <w:szCs w:val="16"/>
        </w:rPr>
        <w:t>del</w:t>
      </w:r>
      <w:r w:rsidRPr="00C06435">
        <w:rPr>
          <w:rFonts w:ascii="Verdana" w:hAnsi="Verdana"/>
          <w:spacing w:val="3"/>
          <w:sz w:val="16"/>
          <w:szCs w:val="16"/>
        </w:rPr>
        <w:t xml:space="preserve"> </w:t>
      </w:r>
      <w:r w:rsidRPr="00C06435">
        <w:rPr>
          <w:rFonts w:ascii="Verdana" w:hAnsi="Verdana"/>
          <w:sz w:val="16"/>
          <w:szCs w:val="16"/>
        </w:rPr>
        <w:t>3</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3"/>
          <w:sz w:val="16"/>
          <w:szCs w:val="16"/>
        </w:rPr>
        <w:t xml:space="preserve"> </w:t>
      </w:r>
      <w:r w:rsidRPr="00C06435">
        <w:rPr>
          <w:rFonts w:ascii="Verdana" w:hAnsi="Verdana"/>
          <w:sz w:val="16"/>
          <w:szCs w:val="16"/>
        </w:rPr>
        <w:t>octubre</w:t>
      </w:r>
      <w:r w:rsidRPr="00C06435">
        <w:rPr>
          <w:rFonts w:ascii="Verdana" w:hAnsi="Verdana"/>
          <w:spacing w:val="3"/>
          <w:sz w:val="16"/>
          <w:szCs w:val="16"/>
        </w:rPr>
        <w:t xml:space="preserve"> </w:t>
      </w:r>
      <w:r w:rsidRPr="00C06435">
        <w:rPr>
          <w:rFonts w:ascii="Verdana" w:hAnsi="Verdana"/>
          <w:sz w:val="16"/>
          <w:szCs w:val="16"/>
        </w:rPr>
        <w:t>de</w:t>
      </w:r>
      <w:r w:rsidRPr="00C06435">
        <w:rPr>
          <w:rFonts w:ascii="Verdana" w:hAnsi="Verdana"/>
          <w:spacing w:val="1"/>
          <w:sz w:val="16"/>
          <w:szCs w:val="16"/>
        </w:rPr>
        <w:t xml:space="preserve"> </w:t>
      </w:r>
      <w:r w:rsidRPr="00C06435">
        <w:rPr>
          <w:rFonts w:ascii="Verdana" w:hAnsi="Verdana"/>
          <w:sz w:val="16"/>
          <w:szCs w:val="16"/>
        </w:rPr>
        <w:t>2000,</w:t>
      </w:r>
      <w:r w:rsidRPr="00C06435">
        <w:rPr>
          <w:rFonts w:ascii="Verdana" w:hAnsi="Verdana"/>
          <w:spacing w:val="-3"/>
          <w:sz w:val="16"/>
          <w:szCs w:val="16"/>
        </w:rPr>
        <w:t xml:space="preserve"> </w:t>
      </w:r>
      <w:r w:rsidRPr="00C06435">
        <w:rPr>
          <w:rFonts w:ascii="Verdana" w:hAnsi="Verdana"/>
          <w:sz w:val="16"/>
          <w:szCs w:val="16"/>
        </w:rPr>
        <w:t>expedientes</w:t>
      </w:r>
      <w:r w:rsidRPr="00C06435">
        <w:rPr>
          <w:rFonts w:ascii="Verdana" w:hAnsi="Verdana"/>
          <w:spacing w:val="-2"/>
          <w:sz w:val="16"/>
          <w:szCs w:val="16"/>
        </w:rPr>
        <w:t xml:space="preserve"> </w:t>
      </w:r>
      <w:r w:rsidRPr="00C06435">
        <w:rPr>
          <w:rFonts w:ascii="Verdana" w:hAnsi="Verdana"/>
          <w:sz w:val="16"/>
          <w:szCs w:val="16"/>
        </w:rPr>
        <w:t>AC-10529</w:t>
      </w:r>
      <w:r w:rsidRPr="00C06435">
        <w:rPr>
          <w:rFonts w:ascii="Verdana" w:hAnsi="Verdana"/>
          <w:spacing w:val="-2"/>
          <w:sz w:val="16"/>
          <w:szCs w:val="16"/>
        </w:rPr>
        <w:t xml:space="preserve"> </w:t>
      </w:r>
      <w:r w:rsidRPr="00C06435">
        <w:rPr>
          <w:rFonts w:ascii="Verdana" w:hAnsi="Verdana"/>
          <w:sz w:val="16"/>
          <w:szCs w:val="16"/>
        </w:rPr>
        <w:t>y</w:t>
      </w:r>
      <w:r w:rsidRPr="00C06435">
        <w:rPr>
          <w:rFonts w:ascii="Verdana" w:hAnsi="Verdana"/>
          <w:spacing w:val="-2"/>
          <w:sz w:val="16"/>
          <w:szCs w:val="16"/>
        </w:rPr>
        <w:t xml:space="preserve"> </w:t>
      </w:r>
      <w:r w:rsidRPr="00C06435">
        <w:rPr>
          <w:rFonts w:ascii="Verdana" w:hAnsi="Verdana"/>
          <w:sz w:val="16"/>
          <w:szCs w:val="16"/>
        </w:rPr>
        <w:t>AC-10968</w:t>
      </w:r>
      <w:r w:rsidRPr="00C06435">
        <w:rPr>
          <w:rFonts w:ascii="Verdana" w:hAnsi="Verdana"/>
          <w:spacing w:val="-2"/>
          <w:sz w:val="16"/>
          <w:szCs w:val="16"/>
        </w:rPr>
        <w:t xml:space="preserve"> </w:t>
      </w:r>
      <w:r w:rsidRPr="00C06435">
        <w:rPr>
          <w:rFonts w:ascii="Verdana" w:hAnsi="Verdana"/>
          <w:sz w:val="16"/>
          <w:szCs w:val="16"/>
        </w:rPr>
        <w:t>con</w:t>
      </w:r>
      <w:r w:rsidRPr="00C06435">
        <w:rPr>
          <w:rFonts w:ascii="Verdana" w:hAnsi="Verdana"/>
          <w:spacing w:val="-2"/>
          <w:sz w:val="16"/>
          <w:szCs w:val="16"/>
        </w:rPr>
        <w:t xml:space="preserve"> </w:t>
      </w:r>
      <w:r w:rsidRPr="00C06435">
        <w:rPr>
          <w:rFonts w:ascii="Verdana" w:hAnsi="Verdana"/>
          <w:sz w:val="16"/>
          <w:szCs w:val="16"/>
        </w:rPr>
        <w:t>ponencia</w:t>
      </w:r>
      <w:r w:rsidRPr="00C06435">
        <w:rPr>
          <w:rFonts w:ascii="Verdana" w:hAnsi="Verdana"/>
          <w:spacing w:val="-2"/>
          <w:sz w:val="16"/>
          <w:szCs w:val="16"/>
        </w:rPr>
        <w:t xml:space="preserve"> </w:t>
      </w:r>
      <w:r w:rsidRPr="00C06435">
        <w:rPr>
          <w:rFonts w:ascii="Verdana" w:hAnsi="Verdana"/>
          <w:sz w:val="16"/>
          <w:szCs w:val="16"/>
        </w:rPr>
        <w:t>de</w:t>
      </w:r>
      <w:r w:rsidRPr="00C06435">
        <w:rPr>
          <w:rFonts w:ascii="Verdana" w:hAnsi="Verdana"/>
          <w:spacing w:val="-2"/>
          <w:sz w:val="16"/>
          <w:szCs w:val="16"/>
        </w:rPr>
        <w:t xml:space="preserve"> </w:t>
      </w:r>
      <w:r w:rsidRPr="00C06435">
        <w:rPr>
          <w:rFonts w:ascii="Verdana" w:hAnsi="Verdana"/>
          <w:sz w:val="16"/>
          <w:szCs w:val="16"/>
        </w:rPr>
        <w:t>Darío</w:t>
      </w:r>
      <w:r w:rsidRPr="00C06435">
        <w:rPr>
          <w:rFonts w:ascii="Verdana" w:hAnsi="Verdana"/>
          <w:spacing w:val="-2"/>
          <w:sz w:val="16"/>
          <w:szCs w:val="16"/>
        </w:rPr>
        <w:t xml:space="preserve"> </w:t>
      </w:r>
      <w:r w:rsidRPr="00C06435">
        <w:rPr>
          <w:rFonts w:ascii="Verdana" w:hAnsi="Verdana"/>
          <w:sz w:val="16"/>
          <w:szCs w:val="16"/>
        </w:rPr>
        <w:t>Quiñónez</w:t>
      </w:r>
      <w:r w:rsidRPr="00C06435">
        <w:rPr>
          <w:rFonts w:ascii="Verdana" w:hAnsi="Verdana"/>
          <w:spacing w:val="-2"/>
          <w:sz w:val="16"/>
          <w:szCs w:val="16"/>
        </w:rPr>
        <w:t xml:space="preserve"> </w:t>
      </w:r>
      <w:r w:rsidRPr="00C06435">
        <w:rPr>
          <w:rFonts w:ascii="Verdana" w:hAnsi="Verdana"/>
          <w:sz w:val="16"/>
          <w:szCs w:val="16"/>
        </w:rPr>
        <w:t>Pinilla</w:t>
      </w:r>
      <w:r>
        <w:rPr>
          <w:rFonts w:ascii="Verdana" w:hAnsi="Verdana"/>
          <w:sz w:val="16"/>
          <w:szCs w:val="16"/>
        </w:rPr>
        <w:t>.</w:t>
      </w:r>
    </w:p>
    <w:p w14:paraId="41BA3076" w14:textId="77777777" w:rsidR="00210789" w:rsidRPr="00C06435" w:rsidRDefault="00210789" w:rsidP="00210789">
      <w:pPr>
        <w:pStyle w:val="Textonotapie"/>
        <w:ind w:firstLine="708"/>
        <w:jc w:val="both"/>
        <w:rPr>
          <w:rFonts w:ascii="Verdana" w:hAnsi="Verdana"/>
          <w:sz w:val="16"/>
          <w:szCs w:val="16"/>
          <w:lang w:val="es-CO"/>
        </w:rPr>
      </w:pPr>
    </w:p>
  </w:footnote>
  <w:footnote w:id="6">
    <w:p w14:paraId="1EE1F15E" w14:textId="77777777" w:rsidR="00210789" w:rsidRPr="00C06435" w:rsidRDefault="00210789" w:rsidP="00210789">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7">
    <w:p w14:paraId="5CF55619" w14:textId="77777777" w:rsidR="00210789" w:rsidRDefault="00210789" w:rsidP="00210789">
      <w:pPr>
        <w:pStyle w:val="Textonotapie"/>
        <w:ind w:firstLine="708"/>
        <w:jc w:val="both"/>
        <w:rPr>
          <w:rFonts w:ascii="Verdana" w:hAnsi="Verdana"/>
          <w:sz w:val="16"/>
          <w:szCs w:val="16"/>
        </w:rPr>
      </w:pPr>
      <w:r w:rsidRPr="00C06435">
        <w:rPr>
          <w:rStyle w:val="Refdenotaalpie"/>
          <w:rFonts w:ascii="Verdana" w:hAnsi="Verdana"/>
          <w:sz w:val="16"/>
          <w:szCs w:val="16"/>
        </w:rPr>
        <w:footnoteRef/>
      </w:r>
      <w:r w:rsidRPr="00C06435">
        <w:rPr>
          <w:rFonts w:ascii="Verdana" w:hAnsi="Verdana"/>
          <w:sz w:val="16"/>
          <w:szCs w:val="16"/>
        </w:rPr>
        <w:t xml:space="preserve"> Consejo</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4"/>
          <w:sz w:val="16"/>
          <w:szCs w:val="16"/>
        </w:rPr>
        <w:t xml:space="preserve"> </w:t>
      </w:r>
      <w:r w:rsidRPr="00C06435">
        <w:rPr>
          <w:rFonts w:ascii="Verdana" w:hAnsi="Verdana"/>
          <w:sz w:val="16"/>
          <w:szCs w:val="16"/>
        </w:rPr>
        <w:t>Estado.</w:t>
      </w:r>
      <w:r w:rsidRPr="00C06435">
        <w:rPr>
          <w:rFonts w:ascii="Verdana" w:hAnsi="Verdana"/>
          <w:spacing w:val="-5"/>
          <w:sz w:val="16"/>
          <w:szCs w:val="16"/>
        </w:rPr>
        <w:t xml:space="preserve"> </w:t>
      </w:r>
      <w:r w:rsidRPr="00C06435">
        <w:rPr>
          <w:rFonts w:ascii="Verdana" w:hAnsi="Verdana"/>
          <w:sz w:val="16"/>
          <w:szCs w:val="16"/>
        </w:rPr>
        <w:t>Sentencia</w:t>
      </w:r>
      <w:r w:rsidRPr="00C06435">
        <w:rPr>
          <w:rFonts w:ascii="Verdana" w:hAnsi="Verdana"/>
          <w:spacing w:val="-5"/>
          <w:sz w:val="16"/>
          <w:szCs w:val="16"/>
        </w:rPr>
        <w:t xml:space="preserve"> </w:t>
      </w:r>
      <w:r w:rsidRPr="00C06435">
        <w:rPr>
          <w:rFonts w:ascii="Verdana" w:hAnsi="Verdana"/>
          <w:sz w:val="16"/>
          <w:szCs w:val="16"/>
        </w:rPr>
        <w:t>del</w:t>
      </w:r>
      <w:r w:rsidRPr="00C06435">
        <w:rPr>
          <w:rFonts w:ascii="Verdana" w:hAnsi="Verdana"/>
          <w:spacing w:val="-4"/>
          <w:sz w:val="16"/>
          <w:szCs w:val="16"/>
        </w:rPr>
        <w:t xml:space="preserve"> </w:t>
      </w:r>
      <w:r w:rsidRPr="00C06435">
        <w:rPr>
          <w:rFonts w:ascii="Verdana" w:hAnsi="Verdana"/>
          <w:sz w:val="16"/>
          <w:szCs w:val="16"/>
        </w:rPr>
        <w:t>10</w:t>
      </w:r>
      <w:r w:rsidRPr="00C06435">
        <w:rPr>
          <w:rFonts w:ascii="Verdana" w:hAnsi="Verdana"/>
          <w:spacing w:val="-5"/>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febrero</w:t>
      </w:r>
      <w:r w:rsidRPr="00C06435">
        <w:rPr>
          <w:rFonts w:ascii="Verdana" w:hAnsi="Verdana"/>
          <w:spacing w:val="-4"/>
          <w:sz w:val="16"/>
          <w:szCs w:val="16"/>
        </w:rPr>
        <w:t xml:space="preserve"> </w:t>
      </w:r>
      <w:r w:rsidRPr="00C06435">
        <w:rPr>
          <w:rFonts w:ascii="Verdana" w:hAnsi="Verdana"/>
          <w:sz w:val="16"/>
          <w:szCs w:val="16"/>
        </w:rPr>
        <w:t>de</w:t>
      </w:r>
      <w:r w:rsidRPr="00C06435">
        <w:rPr>
          <w:rFonts w:ascii="Verdana" w:hAnsi="Verdana"/>
          <w:spacing w:val="-5"/>
          <w:sz w:val="16"/>
          <w:szCs w:val="16"/>
        </w:rPr>
        <w:t xml:space="preserve"> </w:t>
      </w:r>
      <w:r w:rsidRPr="00C06435">
        <w:rPr>
          <w:rFonts w:ascii="Verdana" w:hAnsi="Verdana"/>
          <w:sz w:val="16"/>
          <w:szCs w:val="16"/>
        </w:rPr>
        <w:t>2022.</w:t>
      </w:r>
      <w:r w:rsidRPr="00C06435">
        <w:rPr>
          <w:rFonts w:ascii="Verdana" w:hAnsi="Verdana"/>
          <w:spacing w:val="-4"/>
          <w:sz w:val="16"/>
          <w:szCs w:val="16"/>
        </w:rPr>
        <w:t xml:space="preserve"> </w:t>
      </w:r>
      <w:r w:rsidRPr="00C06435">
        <w:rPr>
          <w:rFonts w:ascii="Verdana" w:hAnsi="Verdana"/>
          <w:sz w:val="16"/>
          <w:szCs w:val="16"/>
        </w:rPr>
        <w:t>MP:</w:t>
      </w:r>
      <w:r w:rsidRPr="00C06435">
        <w:rPr>
          <w:rFonts w:ascii="Verdana" w:hAnsi="Verdana"/>
          <w:spacing w:val="-5"/>
          <w:sz w:val="16"/>
          <w:szCs w:val="16"/>
        </w:rPr>
        <w:t xml:space="preserve"> </w:t>
      </w:r>
      <w:r w:rsidRPr="00C06435">
        <w:rPr>
          <w:rFonts w:ascii="Verdana" w:hAnsi="Verdana"/>
          <w:sz w:val="16"/>
          <w:szCs w:val="16"/>
        </w:rPr>
        <w:t>César</w:t>
      </w:r>
      <w:r w:rsidRPr="00C06435">
        <w:rPr>
          <w:rFonts w:ascii="Verdana" w:hAnsi="Verdana"/>
          <w:spacing w:val="-5"/>
          <w:sz w:val="16"/>
          <w:szCs w:val="16"/>
        </w:rPr>
        <w:t xml:space="preserve"> </w:t>
      </w:r>
      <w:r w:rsidRPr="00C06435">
        <w:rPr>
          <w:rFonts w:ascii="Verdana" w:hAnsi="Verdana"/>
          <w:sz w:val="16"/>
          <w:szCs w:val="16"/>
        </w:rPr>
        <w:t>Palomino</w:t>
      </w:r>
      <w:r w:rsidRPr="00C06435">
        <w:rPr>
          <w:rFonts w:ascii="Verdana" w:hAnsi="Verdana"/>
          <w:spacing w:val="-4"/>
          <w:sz w:val="16"/>
          <w:szCs w:val="16"/>
        </w:rPr>
        <w:t xml:space="preserve"> </w:t>
      </w:r>
      <w:r w:rsidRPr="00C06435">
        <w:rPr>
          <w:rFonts w:ascii="Verdana" w:hAnsi="Verdana"/>
          <w:sz w:val="16"/>
          <w:szCs w:val="16"/>
        </w:rPr>
        <w:t>Cortés.</w:t>
      </w:r>
    </w:p>
    <w:p w14:paraId="4AF4EAB4" w14:textId="77777777" w:rsidR="00210789" w:rsidRPr="00C06435" w:rsidRDefault="00210789" w:rsidP="00210789">
      <w:pPr>
        <w:pStyle w:val="Textonotapie"/>
        <w:ind w:firstLine="708"/>
        <w:jc w:val="both"/>
        <w:rPr>
          <w:rFonts w:ascii="Verdana" w:hAnsi="Verdana"/>
          <w:sz w:val="16"/>
          <w:szCs w:val="16"/>
          <w:lang w:val="es-CO"/>
        </w:rPr>
      </w:pPr>
    </w:p>
  </w:footnote>
  <w:footnote w:id="8">
    <w:p w14:paraId="30DCCB44" w14:textId="77777777" w:rsidR="00210789" w:rsidRPr="00C06435" w:rsidRDefault="00210789" w:rsidP="00210789">
      <w:pPr>
        <w:pStyle w:val="Textonotapie"/>
        <w:ind w:firstLine="708"/>
        <w:jc w:val="both"/>
        <w:rPr>
          <w:rFonts w:ascii="Verdana" w:hAnsi="Verdana"/>
          <w:sz w:val="16"/>
          <w:szCs w:val="16"/>
          <w:lang w:val="es-CO"/>
        </w:rPr>
      </w:pPr>
      <w:r w:rsidRPr="00C06435">
        <w:rPr>
          <w:rStyle w:val="Refdenotaalpie"/>
          <w:rFonts w:ascii="Verdana" w:hAnsi="Verdana"/>
          <w:sz w:val="16"/>
          <w:szCs w:val="16"/>
        </w:rPr>
        <w:footnoteRef/>
      </w:r>
      <w:r w:rsidRPr="00C06435">
        <w:rPr>
          <w:rFonts w:ascii="Verdana" w:hAnsi="Verdana"/>
          <w:sz w:val="16"/>
          <w:szCs w:val="16"/>
        </w:rPr>
        <w:t xml:space="preserve"> </w:t>
      </w:r>
      <w:r w:rsidRPr="00C06435">
        <w:rPr>
          <w:rFonts w:ascii="Verdana" w:hAnsi="Verdana"/>
          <w:sz w:val="16"/>
          <w:szCs w:val="16"/>
          <w:lang w:val="es-CO"/>
        </w:rPr>
        <w:t>ibidem</w:t>
      </w:r>
    </w:p>
  </w:footnote>
  <w:footnote w:id="9">
    <w:p w14:paraId="216EBB4F" w14:textId="77777777" w:rsidR="00210789" w:rsidRDefault="00210789" w:rsidP="00210789">
      <w:pPr>
        <w:pStyle w:val="Textonotapie"/>
        <w:ind w:left="40" w:firstLine="668"/>
        <w:jc w:val="both"/>
        <w:rPr>
          <w:rFonts w:ascii="Verdana" w:hAnsi="Verdana" w:cs="Arial"/>
          <w:sz w:val="16"/>
          <w:szCs w:val="16"/>
          <w:vertAlign w:val="superscript"/>
        </w:rPr>
      </w:pPr>
    </w:p>
    <w:p w14:paraId="301483BE" w14:textId="77777777" w:rsidR="00210789" w:rsidRPr="00C06435" w:rsidRDefault="00210789" w:rsidP="00210789">
      <w:pPr>
        <w:pStyle w:val="Textonotapie"/>
        <w:ind w:left="40" w:firstLine="668"/>
        <w:jc w:val="both"/>
        <w:rPr>
          <w:rFonts w:ascii="Verdana" w:hAnsi="Verdana" w:cs="Arial"/>
          <w:sz w:val="16"/>
          <w:szCs w:val="16"/>
        </w:rPr>
      </w:pPr>
      <w:r w:rsidRPr="00C06435">
        <w:rPr>
          <w:rFonts w:ascii="Verdana" w:hAnsi="Verdana" w:cs="Arial"/>
          <w:sz w:val="16"/>
          <w:szCs w:val="16"/>
        </w:rPr>
        <w:footnoteRef/>
      </w:r>
      <w:r w:rsidRPr="00C06435">
        <w:rPr>
          <w:rFonts w:ascii="Verdana" w:hAnsi="Verdana" w:cs="Arial"/>
          <w:sz w:val="16"/>
          <w:szCs w:val="16"/>
          <w:vertAlign w:val="superscript"/>
        </w:rPr>
        <w:t xml:space="preserve"> </w:t>
      </w:r>
      <w:r w:rsidRPr="00C06435">
        <w:rPr>
          <w:rFonts w:ascii="Verdana" w:hAnsi="Verdana" w:cs="Arial"/>
          <w:sz w:val="16"/>
          <w:szCs w:val="16"/>
        </w:rPr>
        <w:t>Rodríguez Tamayo, Mauricio Fernando. Los contratos estatales, 3 edición, Bogotá, Tirant lo Blanch, 2022. Pág. 370.</w:t>
      </w:r>
    </w:p>
  </w:footnote>
  <w:footnote w:id="10">
    <w:p w14:paraId="1E0ED2C9" w14:textId="77777777" w:rsidR="00210789" w:rsidRPr="006A2728" w:rsidRDefault="00210789" w:rsidP="00210789">
      <w:pPr>
        <w:pStyle w:val="Textonotapie"/>
        <w:ind w:firstLine="709"/>
        <w:jc w:val="both"/>
        <w:rPr>
          <w:rFonts w:ascii="Verdana" w:hAnsi="Verdana" w:cs="Arial"/>
          <w:color w:val="000000"/>
          <w:sz w:val="16"/>
          <w:szCs w:val="16"/>
        </w:rPr>
      </w:pPr>
      <w:r w:rsidRPr="006A2728">
        <w:rPr>
          <w:rStyle w:val="Refdenotaalpie"/>
          <w:rFonts w:ascii="Verdana" w:hAnsi="Verdana" w:cs="Arial"/>
          <w:color w:val="000000"/>
          <w:sz w:val="16"/>
          <w:szCs w:val="16"/>
        </w:rPr>
        <w:footnoteRef/>
      </w:r>
      <w:r w:rsidRPr="006A2728">
        <w:rPr>
          <w:rFonts w:ascii="Verdana" w:hAnsi="Verdana" w:cs="Arial"/>
          <w:color w:val="000000"/>
          <w:sz w:val="16"/>
          <w:szCs w:val="16"/>
        </w:rPr>
        <w:t xml:space="preserve"> Consejo de Estado. Sección Tercera. Radicado No. 45.607 del 24 de octubre de 2016. Consejera Ponente: María Nubia Velásquez Rico.</w:t>
      </w:r>
    </w:p>
    <w:p w14:paraId="39B93CCA" w14:textId="77777777" w:rsidR="00210789" w:rsidRPr="00A46177" w:rsidRDefault="00210789" w:rsidP="00210789">
      <w:pPr>
        <w:pStyle w:val="Textonotapie"/>
        <w:jc w:val="both"/>
        <w:rPr>
          <w:rFonts w:ascii="Verdana" w:hAnsi="Verdana" w:cs="Arial"/>
          <w:color w:val="000000"/>
          <w:sz w:val="16"/>
          <w:szCs w:val="16"/>
          <w:lang w:val="es-ES"/>
        </w:rPr>
      </w:pPr>
    </w:p>
  </w:footnote>
  <w:footnote w:id="11">
    <w:p w14:paraId="125DEE12" w14:textId="77777777" w:rsidR="00210789" w:rsidRPr="006A2728" w:rsidRDefault="00210789" w:rsidP="00210789">
      <w:pPr>
        <w:pStyle w:val="Textonotapie"/>
        <w:ind w:firstLine="709"/>
        <w:jc w:val="both"/>
        <w:rPr>
          <w:rFonts w:ascii="Verdana" w:hAnsi="Verdana" w:cs="Arial"/>
          <w:sz w:val="16"/>
          <w:szCs w:val="16"/>
          <w:lang w:val="es-ES"/>
        </w:rPr>
      </w:pPr>
      <w:r w:rsidRPr="006A2728">
        <w:rPr>
          <w:rStyle w:val="Refdenotaalpie"/>
          <w:rFonts w:ascii="Verdana" w:hAnsi="Verdana" w:cs="Arial"/>
          <w:sz w:val="16"/>
          <w:szCs w:val="16"/>
        </w:rPr>
        <w:footnoteRef/>
      </w:r>
      <w:r w:rsidRPr="006A2728">
        <w:rPr>
          <w:rFonts w:ascii="Verdana" w:hAnsi="Verdana" w:cs="Arial"/>
          <w:sz w:val="16"/>
          <w:szCs w:val="16"/>
        </w:rPr>
        <w:t xml:space="preserve"> </w:t>
      </w:r>
      <w:r w:rsidRPr="006A2728">
        <w:rPr>
          <w:rFonts w:ascii="Verdana" w:hAnsi="Verdana" w:cs="Arial"/>
          <w:sz w:val="16"/>
          <w:szCs w:val="16"/>
          <w:lang w:val="es-ES"/>
        </w:rPr>
        <w:t>“</w:t>
      </w:r>
      <w:r w:rsidRPr="006A2728">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6A2728">
        <w:rPr>
          <w:rFonts w:ascii="Verdana" w:hAnsi="Verdana" w:cs="Arial"/>
          <w:sz w:val="16"/>
          <w:szCs w:val="16"/>
          <w:lang w:val="es-ES"/>
        </w:rPr>
        <w:t>”.</w:t>
      </w:r>
    </w:p>
    <w:p w14:paraId="3882F677" w14:textId="77777777" w:rsidR="00210789" w:rsidRPr="006A2728" w:rsidRDefault="00210789" w:rsidP="00210789">
      <w:pPr>
        <w:pStyle w:val="Textonotapie"/>
        <w:ind w:firstLine="709"/>
        <w:jc w:val="both"/>
        <w:rPr>
          <w:rFonts w:ascii="Verdana" w:hAnsi="Verdana" w:cs="Arial"/>
          <w:sz w:val="16"/>
          <w:szCs w:val="16"/>
        </w:rPr>
      </w:pPr>
    </w:p>
  </w:footnote>
  <w:footnote w:id="12">
    <w:p w14:paraId="1336097A" w14:textId="77777777" w:rsidR="00210789" w:rsidRPr="006A2728" w:rsidRDefault="00210789" w:rsidP="00210789">
      <w:pPr>
        <w:pStyle w:val="Textonotapie"/>
        <w:ind w:firstLine="709"/>
        <w:jc w:val="both"/>
        <w:rPr>
          <w:rFonts w:ascii="Verdana" w:hAnsi="Verdana" w:cs="Arial"/>
          <w:sz w:val="16"/>
          <w:szCs w:val="16"/>
        </w:rPr>
      </w:pPr>
      <w:r w:rsidRPr="006A2728">
        <w:rPr>
          <w:rStyle w:val="Refdenotaalpie"/>
          <w:rFonts w:ascii="Verdana" w:hAnsi="Verdana" w:cs="Arial"/>
          <w:sz w:val="16"/>
          <w:szCs w:val="16"/>
        </w:rPr>
        <w:footnoteRef/>
      </w:r>
      <w:r w:rsidRPr="006A2728">
        <w:rPr>
          <w:rFonts w:ascii="Verdana" w:hAnsi="Verdana" w:cs="Arial"/>
          <w:sz w:val="16"/>
          <w:szCs w:val="16"/>
        </w:rPr>
        <w:t xml:space="preserve"> Consejo de Estado. Sección Tercera. Sentencia 18 de febrero de 2010. Rad: 11001-03-26-000-2009-00058-00(37004). CP: Enrique Gil Botero. </w:t>
      </w:r>
    </w:p>
    <w:p w14:paraId="1B16436C" w14:textId="77777777" w:rsidR="00210789" w:rsidRPr="00A46177" w:rsidRDefault="00210789" w:rsidP="00210789">
      <w:pPr>
        <w:pStyle w:val="Textonotapie"/>
        <w:ind w:firstLine="709"/>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773B8" w14:textId="77777777" w:rsidR="00F71C60" w:rsidRDefault="00F71C6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A08A63C" wp14:editId="68DE39CA">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05BED19" wp14:editId="51A3B57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C9F4418" w14:textId="77777777" w:rsidR="00F71C60" w:rsidRDefault="00F71C60" w:rsidP="00515FB5">
    <w:pPr>
      <w:pStyle w:val="Encabezado"/>
    </w:pPr>
  </w:p>
  <w:p w14:paraId="250415ED" w14:textId="77777777" w:rsidR="00F71C60" w:rsidRDefault="00F71C60" w:rsidP="00515FB5">
    <w:pPr>
      <w:pStyle w:val="Encabezado"/>
    </w:pPr>
  </w:p>
  <w:p w14:paraId="6D112760" w14:textId="77777777" w:rsidR="00F71C60" w:rsidRPr="00515FB5" w:rsidRDefault="00F71C6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pt;height:10.7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5632A62"/>
    <w:multiLevelType w:val="hybridMultilevel"/>
    <w:tmpl w:val="5C768B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9B60D07"/>
    <w:multiLevelType w:val="hybridMultilevel"/>
    <w:tmpl w:val="5AC6E35A"/>
    <w:lvl w:ilvl="0" w:tplc="05E45B7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2"/>
  </w:num>
  <w:num w:numId="3" w16cid:durableId="390349800">
    <w:abstractNumId w:val="4"/>
  </w:num>
  <w:num w:numId="4" w16cid:durableId="1755054466">
    <w:abstractNumId w:val="1"/>
  </w:num>
  <w:num w:numId="5" w16cid:durableId="18075091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C60"/>
    <w:rsid w:val="00006384"/>
    <w:rsid w:val="000101BF"/>
    <w:rsid w:val="000221BF"/>
    <w:rsid w:val="0005509A"/>
    <w:rsid w:val="0007183F"/>
    <w:rsid w:val="000A604F"/>
    <w:rsid w:val="000B3E1C"/>
    <w:rsid w:val="000B4E6F"/>
    <w:rsid w:val="000C249C"/>
    <w:rsid w:val="000C5A95"/>
    <w:rsid w:val="000D1D70"/>
    <w:rsid w:val="000D31D9"/>
    <w:rsid w:val="000F042F"/>
    <w:rsid w:val="000F5009"/>
    <w:rsid w:val="000F5A42"/>
    <w:rsid w:val="001050A5"/>
    <w:rsid w:val="00137E61"/>
    <w:rsid w:val="0014524D"/>
    <w:rsid w:val="00152385"/>
    <w:rsid w:val="00186060"/>
    <w:rsid w:val="00197673"/>
    <w:rsid w:val="001B4581"/>
    <w:rsid w:val="001C291C"/>
    <w:rsid w:val="001C5178"/>
    <w:rsid w:val="001E0B1C"/>
    <w:rsid w:val="0020269A"/>
    <w:rsid w:val="00210789"/>
    <w:rsid w:val="00213CAF"/>
    <w:rsid w:val="0023426F"/>
    <w:rsid w:val="00235E13"/>
    <w:rsid w:val="00250F55"/>
    <w:rsid w:val="002539EC"/>
    <w:rsid w:val="00296A7F"/>
    <w:rsid w:val="002B4E56"/>
    <w:rsid w:val="002B7650"/>
    <w:rsid w:val="0032642A"/>
    <w:rsid w:val="00333192"/>
    <w:rsid w:val="003443C5"/>
    <w:rsid w:val="003473BA"/>
    <w:rsid w:val="00353F76"/>
    <w:rsid w:val="0035772D"/>
    <w:rsid w:val="00360E84"/>
    <w:rsid w:val="003768D9"/>
    <w:rsid w:val="003770A3"/>
    <w:rsid w:val="00381344"/>
    <w:rsid w:val="00386A3F"/>
    <w:rsid w:val="0039280B"/>
    <w:rsid w:val="003B349E"/>
    <w:rsid w:val="003B5B39"/>
    <w:rsid w:val="003C6782"/>
    <w:rsid w:val="003F48D5"/>
    <w:rsid w:val="003F652A"/>
    <w:rsid w:val="00412820"/>
    <w:rsid w:val="00444433"/>
    <w:rsid w:val="00444959"/>
    <w:rsid w:val="00462271"/>
    <w:rsid w:val="0049331E"/>
    <w:rsid w:val="004C5445"/>
    <w:rsid w:val="00517377"/>
    <w:rsid w:val="00521DD6"/>
    <w:rsid w:val="005645B1"/>
    <w:rsid w:val="00581459"/>
    <w:rsid w:val="00590A4D"/>
    <w:rsid w:val="005C5B8E"/>
    <w:rsid w:val="005C5B97"/>
    <w:rsid w:val="005C6EAF"/>
    <w:rsid w:val="005C755A"/>
    <w:rsid w:val="005E1563"/>
    <w:rsid w:val="00630A72"/>
    <w:rsid w:val="0063457A"/>
    <w:rsid w:val="0066247E"/>
    <w:rsid w:val="00696938"/>
    <w:rsid w:val="006A0CFC"/>
    <w:rsid w:val="006C6C3E"/>
    <w:rsid w:val="006D471A"/>
    <w:rsid w:val="006D7DB6"/>
    <w:rsid w:val="006E5467"/>
    <w:rsid w:val="00707D05"/>
    <w:rsid w:val="00710485"/>
    <w:rsid w:val="00740E59"/>
    <w:rsid w:val="007453D0"/>
    <w:rsid w:val="007708A6"/>
    <w:rsid w:val="0078107C"/>
    <w:rsid w:val="00796CA1"/>
    <w:rsid w:val="007A15FE"/>
    <w:rsid w:val="007A5272"/>
    <w:rsid w:val="007C4D32"/>
    <w:rsid w:val="007D2440"/>
    <w:rsid w:val="007F2869"/>
    <w:rsid w:val="007F38BA"/>
    <w:rsid w:val="0081543B"/>
    <w:rsid w:val="00833EED"/>
    <w:rsid w:val="008354EF"/>
    <w:rsid w:val="00875E5E"/>
    <w:rsid w:val="008853A0"/>
    <w:rsid w:val="008A0CD1"/>
    <w:rsid w:val="008C030D"/>
    <w:rsid w:val="008E3698"/>
    <w:rsid w:val="00924627"/>
    <w:rsid w:val="00930A66"/>
    <w:rsid w:val="009545B5"/>
    <w:rsid w:val="00996EAB"/>
    <w:rsid w:val="009A2CA4"/>
    <w:rsid w:val="009B3994"/>
    <w:rsid w:val="009D1859"/>
    <w:rsid w:val="009D3EE5"/>
    <w:rsid w:val="009E45D3"/>
    <w:rsid w:val="009F7A1F"/>
    <w:rsid w:val="00A12218"/>
    <w:rsid w:val="00A345DC"/>
    <w:rsid w:val="00A36934"/>
    <w:rsid w:val="00A53E14"/>
    <w:rsid w:val="00A90678"/>
    <w:rsid w:val="00A97502"/>
    <w:rsid w:val="00AC7CEE"/>
    <w:rsid w:val="00AD5CAC"/>
    <w:rsid w:val="00AD78A0"/>
    <w:rsid w:val="00AF0A24"/>
    <w:rsid w:val="00AF5FD0"/>
    <w:rsid w:val="00B16640"/>
    <w:rsid w:val="00B27FA4"/>
    <w:rsid w:val="00B504EC"/>
    <w:rsid w:val="00B52963"/>
    <w:rsid w:val="00B53288"/>
    <w:rsid w:val="00B63DA3"/>
    <w:rsid w:val="00B7202D"/>
    <w:rsid w:val="00B8691C"/>
    <w:rsid w:val="00B95FCF"/>
    <w:rsid w:val="00BA2AF4"/>
    <w:rsid w:val="00BA509F"/>
    <w:rsid w:val="00BA5734"/>
    <w:rsid w:val="00BB4AE4"/>
    <w:rsid w:val="00BB6D9D"/>
    <w:rsid w:val="00BC2B46"/>
    <w:rsid w:val="00BD1545"/>
    <w:rsid w:val="00BE1208"/>
    <w:rsid w:val="00BE12D6"/>
    <w:rsid w:val="00BF4C19"/>
    <w:rsid w:val="00BF61CC"/>
    <w:rsid w:val="00C20892"/>
    <w:rsid w:val="00C24205"/>
    <w:rsid w:val="00C425BC"/>
    <w:rsid w:val="00C52069"/>
    <w:rsid w:val="00C55D68"/>
    <w:rsid w:val="00C60B88"/>
    <w:rsid w:val="00C81B69"/>
    <w:rsid w:val="00C968A9"/>
    <w:rsid w:val="00C97058"/>
    <w:rsid w:val="00CA3E6C"/>
    <w:rsid w:val="00CB6FCC"/>
    <w:rsid w:val="00CC697F"/>
    <w:rsid w:val="00CD0C4C"/>
    <w:rsid w:val="00CF1FD0"/>
    <w:rsid w:val="00D02D1D"/>
    <w:rsid w:val="00D64D28"/>
    <w:rsid w:val="00D86622"/>
    <w:rsid w:val="00D86C84"/>
    <w:rsid w:val="00D92FE1"/>
    <w:rsid w:val="00D9650C"/>
    <w:rsid w:val="00DA594F"/>
    <w:rsid w:val="00DA6142"/>
    <w:rsid w:val="00DB553D"/>
    <w:rsid w:val="00DB682B"/>
    <w:rsid w:val="00DC4D1D"/>
    <w:rsid w:val="00DD56EB"/>
    <w:rsid w:val="00DD73B2"/>
    <w:rsid w:val="00DE0C3E"/>
    <w:rsid w:val="00DE19CF"/>
    <w:rsid w:val="00E12013"/>
    <w:rsid w:val="00E4279C"/>
    <w:rsid w:val="00E50F52"/>
    <w:rsid w:val="00E82B82"/>
    <w:rsid w:val="00E9759A"/>
    <w:rsid w:val="00EA159F"/>
    <w:rsid w:val="00EA66BD"/>
    <w:rsid w:val="00EB0488"/>
    <w:rsid w:val="00EC7C56"/>
    <w:rsid w:val="00ED6CF7"/>
    <w:rsid w:val="00EE015B"/>
    <w:rsid w:val="00EE0358"/>
    <w:rsid w:val="00EE1BC2"/>
    <w:rsid w:val="00F146E4"/>
    <w:rsid w:val="00F17AC3"/>
    <w:rsid w:val="00F22E4C"/>
    <w:rsid w:val="00F26AD9"/>
    <w:rsid w:val="00F33787"/>
    <w:rsid w:val="00F6540D"/>
    <w:rsid w:val="00F70AB4"/>
    <w:rsid w:val="00F71C60"/>
    <w:rsid w:val="00F76BAE"/>
    <w:rsid w:val="00F82ABB"/>
    <w:rsid w:val="00F9493F"/>
    <w:rsid w:val="00F951F8"/>
    <w:rsid w:val="00FB61F9"/>
    <w:rsid w:val="00FC54DC"/>
    <w:rsid w:val="00FD34B3"/>
    <w:rsid w:val="00FE6022"/>
    <w:rsid w:val="00FF05D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269B7"/>
  <w15:chartTrackingRefBased/>
  <w15:docId w15:val="{E36D4538-D8C4-4E65-8A8F-6C11C7DF2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B82"/>
    <w:rPr>
      <w:kern w:val="0"/>
      <w14:ligatures w14:val="none"/>
    </w:rPr>
  </w:style>
  <w:style w:type="paragraph" w:styleId="Ttulo1">
    <w:name w:val="heading 1"/>
    <w:basedOn w:val="Normal"/>
    <w:next w:val="Normal"/>
    <w:link w:val="Ttulo1Car"/>
    <w:uiPriority w:val="9"/>
    <w:qFormat/>
    <w:rsid w:val="00F71C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71C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71C6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71C6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71C6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71C6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71C6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71C6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71C6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1C6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71C6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71C6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71C6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71C6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71C6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71C6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71C6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71C60"/>
    <w:rPr>
      <w:rFonts w:eastAsiaTheme="majorEastAsia" w:cstheme="majorBidi"/>
      <w:color w:val="272727" w:themeColor="text1" w:themeTint="D8"/>
    </w:rPr>
  </w:style>
  <w:style w:type="paragraph" w:styleId="Ttulo">
    <w:name w:val="Title"/>
    <w:basedOn w:val="Normal"/>
    <w:next w:val="Normal"/>
    <w:link w:val="TtuloCar"/>
    <w:uiPriority w:val="10"/>
    <w:qFormat/>
    <w:rsid w:val="00F71C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71C6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71C6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71C6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71C60"/>
    <w:pPr>
      <w:spacing w:before="160"/>
      <w:jc w:val="center"/>
    </w:pPr>
    <w:rPr>
      <w:i/>
      <w:iCs/>
      <w:color w:val="404040" w:themeColor="text1" w:themeTint="BF"/>
    </w:rPr>
  </w:style>
  <w:style w:type="character" w:customStyle="1" w:styleId="CitaCar">
    <w:name w:val="Cita Car"/>
    <w:basedOn w:val="Fuentedeprrafopredeter"/>
    <w:link w:val="Cita"/>
    <w:uiPriority w:val="29"/>
    <w:rsid w:val="00F71C6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F71C60"/>
    <w:pPr>
      <w:ind w:left="720"/>
      <w:contextualSpacing/>
    </w:pPr>
  </w:style>
  <w:style w:type="character" w:styleId="nfasisintenso">
    <w:name w:val="Intense Emphasis"/>
    <w:basedOn w:val="Fuentedeprrafopredeter"/>
    <w:uiPriority w:val="21"/>
    <w:qFormat/>
    <w:rsid w:val="00F71C60"/>
    <w:rPr>
      <w:i/>
      <w:iCs/>
      <w:color w:val="0F4761" w:themeColor="accent1" w:themeShade="BF"/>
    </w:rPr>
  </w:style>
  <w:style w:type="paragraph" w:styleId="Citadestacada">
    <w:name w:val="Intense Quote"/>
    <w:basedOn w:val="Normal"/>
    <w:next w:val="Normal"/>
    <w:link w:val="CitadestacadaCar"/>
    <w:uiPriority w:val="30"/>
    <w:qFormat/>
    <w:rsid w:val="00F71C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71C60"/>
    <w:rPr>
      <w:i/>
      <w:iCs/>
      <w:color w:val="0F4761" w:themeColor="accent1" w:themeShade="BF"/>
    </w:rPr>
  </w:style>
  <w:style w:type="character" w:styleId="Referenciaintensa">
    <w:name w:val="Intense Reference"/>
    <w:basedOn w:val="Fuentedeprrafopredeter"/>
    <w:uiPriority w:val="32"/>
    <w:qFormat/>
    <w:rsid w:val="00F71C60"/>
    <w:rPr>
      <w:b/>
      <w:bCs/>
      <w:smallCaps/>
      <w:color w:val="0F4761" w:themeColor="accent1" w:themeShade="BF"/>
      <w:spacing w:val="5"/>
    </w:rPr>
  </w:style>
  <w:style w:type="paragraph" w:styleId="Encabezado">
    <w:name w:val="header"/>
    <w:basedOn w:val="Normal"/>
    <w:link w:val="EncabezadoCar"/>
    <w:uiPriority w:val="99"/>
    <w:unhideWhenUsed/>
    <w:rsid w:val="00F71C6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1C60"/>
    <w:rPr>
      <w:kern w:val="0"/>
      <w14:ligatures w14:val="none"/>
    </w:rPr>
  </w:style>
  <w:style w:type="paragraph" w:styleId="Piedepgina">
    <w:name w:val="footer"/>
    <w:basedOn w:val="Normal"/>
    <w:link w:val="PiedepginaCar"/>
    <w:uiPriority w:val="99"/>
    <w:unhideWhenUsed/>
    <w:rsid w:val="00F71C6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71C60"/>
    <w:rPr>
      <w:kern w:val="0"/>
      <w14:ligatures w14:val="none"/>
    </w:rPr>
  </w:style>
  <w:style w:type="table" w:styleId="Tablaconcuadrcula">
    <w:name w:val="Table Grid"/>
    <w:basedOn w:val="Tablanormal"/>
    <w:uiPriority w:val="39"/>
    <w:qFormat/>
    <w:rsid w:val="00F71C6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71C60"/>
    <w:rPr>
      <w:color w:val="467886" w:themeColor="hyperlink"/>
      <w:u w:val="single"/>
    </w:rPr>
  </w:style>
  <w:style w:type="character" w:customStyle="1" w:styleId="normaltextrun">
    <w:name w:val="normaltextrun"/>
    <w:basedOn w:val="Fuentedeprrafopredeter"/>
    <w:rsid w:val="00F71C60"/>
  </w:style>
  <w:style w:type="character" w:customStyle="1" w:styleId="eop">
    <w:name w:val="eop"/>
    <w:basedOn w:val="Fuentedeprrafopredeter"/>
    <w:rsid w:val="00F71C60"/>
  </w:style>
  <w:style w:type="paragraph" w:customStyle="1" w:styleId="paragraph">
    <w:name w:val="paragraph"/>
    <w:basedOn w:val="Normal"/>
    <w:rsid w:val="00F71C6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71C60"/>
  </w:style>
  <w:style w:type="paragraph" w:styleId="NormalWeb">
    <w:name w:val="Normal (Web)"/>
    <w:basedOn w:val="Normal"/>
    <w:link w:val="NormalWebCar"/>
    <w:uiPriority w:val="99"/>
    <w:unhideWhenUsed/>
    <w:rsid w:val="00F71C6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F71C60"/>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F71C60"/>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50F5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50F5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50F5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50F55"/>
    <w:rPr>
      <w:vertAlign w:val="superscript"/>
    </w:rPr>
  </w:style>
  <w:style w:type="paragraph" w:customStyle="1" w:styleId="Appelnotedebasde">
    <w:name w:val="Appel note de bas de..."/>
    <w:basedOn w:val="Normal"/>
    <w:link w:val="Refdenotaalpie"/>
    <w:uiPriority w:val="99"/>
    <w:rsid w:val="00250F55"/>
    <w:pPr>
      <w:spacing w:line="240" w:lineRule="exact"/>
    </w:pPr>
    <w:rPr>
      <w:kern w:val="2"/>
      <w:vertAlign w:val="superscript"/>
      <w14:ligatures w14:val="standardContextual"/>
    </w:rPr>
  </w:style>
  <w:style w:type="paragraph" w:styleId="Textoindependiente">
    <w:name w:val="Body Text"/>
    <w:basedOn w:val="Normal"/>
    <w:link w:val="TextoindependienteCar"/>
    <w:uiPriority w:val="1"/>
    <w:unhideWhenUsed/>
    <w:qFormat/>
    <w:rsid w:val="00250F55"/>
    <w:pPr>
      <w:spacing w:after="120"/>
    </w:pPr>
  </w:style>
  <w:style w:type="character" w:customStyle="1" w:styleId="TextoindependienteCar">
    <w:name w:val="Texto independiente Car"/>
    <w:basedOn w:val="Fuentedeprrafopredeter"/>
    <w:link w:val="Textoindependiente"/>
    <w:uiPriority w:val="1"/>
    <w:rsid w:val="00250F55"/>
    <w:rPr>
      <w:kern w:val="0"/>
      <w14:ligatures w14:val="none"/>
    </w:rPr>
  </w:style>
  <w:style w:type="character" w:styleId="Refdecomentario">
    <w:name w:val="annotation reference"/>
    <w:basedOn w:val="Fuentedeprrafopredeter"/>
    <w:uiPriority w:val="99"/>
    <w:semiHidden/>
    <w:unhideWhenUsed/>
    <w:rsid w:val="00F76BAE"/>
    <w:rPr>
      <w:sz w:val="16"/>
      <w:szCs w:val="16"/>
    </w:rPr>
  </w:style>
  <w:style w:type="paragraph" w:styleId="Textocomentario">
    <w:name w:val="annotation text"/>
    <w:basedOn w:val="Normal"/>
    <w:link w:val="TextocomentarioCar"/>
    <w:uiPriority w:val="99"/>
    <w:unhideWhenUsed/>
    <w:rsid w:val="00F76BAE"/>
    <w:pPr>
      <w:spacing w:line="240" w:lineRule="auto"/>
    </w:pPr>
    <w:rPr>
      <w:sz w:val="20"/>
      <w:szCs w:val="20"/>
    </w:rPr>
  </w:style>
  <w:style w:type="character" w:customStyle="1" w:styleId="TextocomentarioCar">
    <w:name w:val="Texto comentario Car"/>
    <w:basedOn w:val="Fuentedeprrafopredeter"/>
    <w:link w:val="Textocomentario"/>
    <w:uiPriority w:val="99"/>
    <w:rsid w:val="00F76BAE"/>
    <w:rPr>
      <w:kern w:val="0"/>
      <w:sz w:val="20"/>
      <w:szCs w:val="20"/>
      <w14:ligatures w14:val="none"/>
    </w:rPr>
  </w:style>
  <w:style w:type="character" w:styleId="Textoennegrita">
    <w:name w:val="Strong"/>
    <w:basedOn w:val="Fuentedeprrafopredeter"/>
    <w:uiPriority w:val="22"/>
    <w:qFormat/>
    <w:rsid w:val="00C208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ohh40@gmail.com" TargetMode="Externa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2.png"/><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archivos/manual/guia-para-entidades-estatales-con-regimen-especial-de-contratacio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74B58B-AA80-4C24-9189-87A9EC5EBA43}"/>
</file>

<file path=customXml/itemProps2.xml><?xml version="1.0" encoding="utf-8"?>
<ds:datastoreItem xmlns:ds="http://schemas.openxmlformats.org/officeDocument/2006/customXml" ds:itemID="{0B41372C-4776-4148-AAF0-DE95558C7F7B}"/>
</file>

<file path=customXml/itemProps3.xml><?xml version="1.0" encoding="utf-8"?>
<ds:datastoreItem xmlns:ds="http://schemas.openxmlformats.org/officeDocument/2006/customXml" ds:itemID="{BAEFB0F0-4E18-4A72-B3BB-11E239DFABFD}"/>
</file>

<file path=docProps/app.xml><?xml version="1.0" encoding="utf-8"?>
<Properties xmlns="http://schemas.openxmlformats.org/officeDocument/2006/extended-properties" xmlns:vt="http://schemas.openxmlformats.org/officeDocument/2006/docPropsVTypes">
  <Template>Normal</Template>
  <TotalTime>854</TotalTime>
  <Pages>19</Pages>
  <Words>6072</Words>
  <Characters>33579</Characters>
  <Application>Microsoft Office Word</Application>
  <DocSecurity>0</DocSecurity>
  <Lines>658</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169</cp:revision>
  <dcterms:created xsi:type="dcterms:W3CDTF">2026-01-13T15:05:00Z</dcterms:created>
  <dcterms:modified xsi:type="dcterms:W3CDTF">2026-01-26T15:25:00Z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