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E5F40" w14:textId="77777777" w:rsidR="003A6B0D" w:rsidRPr="000A057C" w:rsidRDefault="003A6B0D" w:rsidP="003A6B0D">
      <w:pPr>
        <w:spacing w:after="0"/>
        <w:rPr>
          <w:rFonts w:ascii="Verdana" w:eastAsia="Aptos" w:hAnsi="Verdana" w:cs="Times New Roman"/>
        </w:rPr>
      </w:pPr>
      <w:bookmarkStart w:id="0" w:name="_Hlk143780582"/>
      <w:r w:rsidRPr="000A057C">
        <w:rPr>
          <w:rFonts w:ascii="Verdana" w:eastAsia="Aptos" w:hAnsi="Verdana" w:cs="Times New Roman"/>
          <w:b/>
          <w:bCs/>
          <w:color w:val="000000"/>
        </w:rPr>
        <w:t xml:space="preserve">DOCUMENTOS TIPO – Fundamento normativo – Obligatoriedad </w:t>
      </w:r>
    </w:p>
    <w:p w14:paraId="5948F716" w14:textId="77777777" w:rsidR="003A6B0D" w:rsidRPr="000A057C" w:rsidRDefault="003A6B0D" w:rsidP="003A6B0D">
      <w:pPr>
        <w:spacing w:after="0" w:line="276" w:lineRule="auto"/>
        <w:jc w:val="both"/>
        <w:rPr>
          <w:rFonts w:ascii="Verdana" w:eastAsia="Calibri" w:hAnsi="Verdana" w:cs="Arial"/>
          <w:b/>
          <w:bCs/>
          <w:sz w:val="20"/>
          <w:szCs w:val="20"/>
          <w:lang w:val="es-ES_tradnl"/>
        </w:rPr>
      </w:pPr>
    </w:p>
    <w:p w14:paraId="177AB990" w14:textId="7935B13F" w:rsidR="003A6B0D" w:rsidRPr="00A2293E" w:rsidRDefault="00A2293E" w:rsidP="00A2293E">
      <w:pPr>
        <w:widowControl w:val="0"/>
        <w:autoSpaceDE w:val="0"/>
        <w:autoSpaceDN w:val="0"/>
        <w:spacing w:after="0" w:line="276" w:lineRule="auto"/>
        <w:jc w:val="both"/>
        <w:rPr>
          <w:rFonts w:ascii="Verdana" w:eastAsia="Calibri" w:hAnsi="Verdana" w:cs="Times New Roman"/>
          <w:sz w:val="20"/>
          <w:szCs w:val="20"/>
          <w:lang w:val="es-ES"/>
        </w:rPr>
      </w:pPr>
      <w:r w:rsidRPr="00A2293E">
        <w:rPr>
          <w:rFonts w:ascii="Verdana" w:eastAsia="Calibri" w:hAnsi="Verdana" w:cs="Times New Roman"/>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23EAC5FA" w14:textId="77777777" w:rsidR="003A6B0D" w:rsidRDefault="003A6B0D" w:rsidP="00A2293E">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00B9BDEC" w14:textId="77777777" w:rsidR="003A6B0D" w:rsidRPr="007E5876" w:rsidRDefault="003A6B0D" w:rsidP="00A2293E">
      <w:pPr>
        <w:spacing w:after="0" w:line="276" w:lineRule="auto"/>
        <w:jc w:val="both"/>
        <w:rPr>
          <w:rFonts w:ascii="Verdana" w:eastAsia="Aptos" w:hAnsi="Verdana" w:cs="Times New Roman"/>
          <w:b/>
          <w:bCs/>
          <w:color w:val="000000"/>
        </w:rPr>
      </w:pPr>
      <w:r w:rsidRPr="007E5876">
        <w:rPr>
          <w:rFonts w:ascii="Verdana" w:eastAsia="Aptos" w:hAnsi="Verdana" w:cs="Times New Roman"/>
          <w:b/>
          <w:bCs/>
          <w:color w:val="000000"/>
        </w:rPr>
        <w:t xml:space="preserve">COMBINACIÓN DE EXPERIENCIA − Documentos tipo − </w:t>
      </w:r>
      <w:r w:rsidRPr="000A057C">
        <w:rPr>
          <w:rFonts w:ascii="Verdana" w:eastAsia="Aptos" w:hAnsi="Verdana" w:cs="Times New Roman"/>
          <w:b/>
          <w:bCs/>
          <w:color w:val="000000"/>
        </w:rPr>
        <w:t>Licitación de obra pública de infraestructura de transporte – Versión 4</w:t>
      </w:r>
      <w:r w:rsidRPr="007E5876">
        <w:rPr>
          <w:rFonts w:ascii="Verdana" w:eastAsia="Aptos" w:hAnsi="Verdana" w:cs="Times New Roman"/>
          <w:b/>
          <w:bCs/>
          <w:color w:val="000000"/>
        </w:rPr>
        <w:t xml:space="preserve"> – Reglas</w:t>
      </w:r>
    </w:p>
    <w:p w14:paraId="70B7BFC1" w14:textId="77777777" w:rsidR="003A6B0D" w:rsidRPr="00CE1629" w:rsidRDefault="003A6B0D" w:rsidP="003A6B0D">
      <w:pPr>
        <w:tabs>
          <w:tab w:val="left" w:pos="0"/>
        </w:tabs>
        <w:spacing w:after="0" w:line="240" w:lineRule="auto"/>
        <w:ind w:left="11"/>
        <w:jc w:val="both"/>
        <w:rPr>
          <w:rFonts w:ascii="Verdana" w:eastAsia="Calibri" w:hAnsi="Verdana" w:cs="Arial"/>
          <w:b/>
          <w:bCs/>
          <w:color w:val="000000"/>
          <w:kern w:val="2"/>
          <w:sz w:val="20"/>
          <w:szCs w:val="20"/>
          <w:lang w:val="es-ES_tradnl"/>
          <w14:ligatures w14:val="standardContextual"/>
        </w:rPr>
      </w:pPr>
    </w:p>
    <w:p w14:paraId="544431B8" w14:textId="77777777" w:rsidR="003A6B0D" w:rsidRDefault="003A6B0D" w:rsidP="00D34417">
      <w:pPr>
        <w:spacing w:after="0" w:line="240" w:lineRule="auto"/>
        <w:jc w:val="both"/>
        <w:rPr>
          <w:rFonts w:ascii="Verdana" w:eastAsia="Calibri" w:hAnsi="Verdana" w:cs="Times New Roman"/>
          <w:sz w:val="20"/>
          <w:szCs w:val="20"/>
        </w:rPr>
      </w:pPr>
      <w:r w:rsidRPr="00CE1629">
        <w:rPr>
          <w:rFonts w:ascii="Verdana" w:eastAsia="Calibri" w:hAnsi="Verdana" w:cs="Arial"/>
          <w:color w:val="000000"/>
          <w:kern w:val="2"/>
          <w:sz w:val="20"/>
          <w:szCs w:val="20"/>
          <w:lang w:val="es-MX"/>
          <w14:ligatures w14:val="standardContextual"/>
        </w:rPr>
        <w:t xml:space="preserve">[…] </w:t>
      </w:r>
      <w:r w:rsidRPr="00CE1629">
        <w:rPr>
          <w:rFonts w:ascii="Verdana" w:eastAsia="Calibri" w:hAnsi="Verdana" w:cs="Times New Roman"/>
          <w:sz w:val="20"/>
          <w:szCs w:val="20"/>
        </w:rPr>
        <w:t>Conform</w:t>
      </w:r>
      <w:r>
        <w:rPr>
          <w:rFonts w:ascii="Verdana" w:eastAsia="Calibri" w:hAnsi="Verdana" w:cs="Times New Roman"/>
          <w:sz w:val="20"/>
          <w:szCs w:val="20"/>
        </w:rPr>
        <w:t>e</w:t>
      </w:r>
      <w:r w:rsidRPr="00CE1629">
        <w:rPr>
          <w:rFonts w:ascii="Verdana" w:eastAsia="Calibri" w:hAnsi="Verdana" w:cs="Times New Roman"/>
          <w:sz w:val="20"/>
          <w:szCs w:val="20"/>
        </w:rPr>
        <w:t xml:space="preserve">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una misma matriz de experiencia de infraestructura social, </w:t>
      </w:r>
      <w:proofErr w:type="spellStart"/>
      <w:r w:rsidRPr="00CE1629">
        <w:rPr>
          <w:rFonts w:ascii="Verdana" w:eastAsia="Calibri" w:hAnsi="Verdana" w:cs="Times New Roman"/>
          <w:sz w:val="20"/>
          <w:szCs w:val="20"/>
        </w:rPr>
        <w:t>ii</w:t>
      </w:r>
      <w:proofErr w:type="spellEnd"/>
      <w:r w:rsidRPr="00CE1629">
        <w:rPr>
          <w:rFonts w:ascii="Verdana" w:eastAsia="Calibri" w:hAnsi="Verdana" w:cs="Times New Roman"/>
          <w:sz w:val="20"/>
          <w:szCs w:val="20"/>
        </w:rPr>
        <w:t xml:space="preserve">) cuando en un mismo proyecto se incorporen actividades de infraestructura educativa, salud o cultura, recreación y deporte, o </w:t>
      </w:r>
      <w:proofErr w:type="spellStart"/>
      <w:r w:rsidRPr="00CE1629">
        <w:rPr>
          <w:rFonts w:ascii="Verdana" w:eastAsia="Calibri" w:hAnsi="Verdana" w:cs="Times New Roman"/>
          <w:sz w:val="20"/>
          <w:szCs w:val="20"/>
        </w:rPr>
        <w:t>iii</w:t>
      </w:r>
      <w:proofErr w:type="spellEnd"/>
      <w:r w:rsidRPr="00CE1629">
        <w:rPr>
          <w:rFonts w:ascii="Verdana" w:eastAsia="Calibri" w:hAnsi="Verdana" w:cs="Times New Roman"/>
          <w:sz w:val="20"/>
          <w:szCs w:val="20"/>
        </w:rPr>
        <w:t>) cuando en un Proceso de Contratación aplican matrices de experiencia de otros Documentos Tipo y la Entidad considera conveniente incluir dicha experiencia.</w:t>
      </w:r>
    </w:p>
    <w:p w14:paraId="0CAD6D9A" w14:textId="77777777" w:rsidR="00D34417" w:rsidRDefault="00D34417" w:rsidP="00D34417">
      <w:pPr>
        <w:spacing w:after="0" w:line="240" w:lineRule="auto"/>
        <w:jc w:val="both"/>
        <w:rPr>
          <w:rFonts w:ascii="Verdana" w:eastAsia="Calibri" w:hAnsi="Verdana" w:cs="Times New Roman"/>
          <w:sz w:val="20"/>
          <w:szCs w:val="20"/>
        </w:rPr>
      </w:pPr>
    </w:p>
    <w:p w14:paraId="053D36A7" w14:textId="1229CF0A" w:rsidR="00D34417" w:rsidRPr="007E5876" w:rsidRDefault="00D34417" w:rsidP="00D34417">
      <w:pPr>
        <w:spacing w:after="0" w:line="276" w:lineRule="auto"/>
        <w:jc w:val="both"/>
        <w:rPr>
          <w:rFonts w:ascii="Verdana" w:eastAsia="Aptos" w:hAnsi="Verdana" w:cs="Times New Roman"/>
          <w:b/>
          <w:bCs/>
          <w:color w:val="000000"/>
        </w:rPr>
      </w:pPr>
      <w:r w:rsidRPr="007E5876">
        <w:rPr>
          <w:rFonts w:ascii="Verdana" w:eastAsia="Aptos" w:hAnsi="Verdana" w:cs="Times New Roman"/>
          <w:b/>
          <w:bCs/>
          <w:color w:val="000000"/>
        </w:rPr>
        <w:t xml:space="preserve">COMBINACIÓN DE EXPERIENCIA − Documentos tipo − </w:t>
      </w:r>
      <w:r w:rsidRPr="000A057C">
        <w:rPr>
          <w:rFonts w:ascii="Verdana" w:eastAsia="Aptos" w:hAnsi="Verdana" w:cs="Times New Roman"/>
          <w:b/>
          <w:bCs/>
          <w:color w:val="000000"/>
        </w:rPr>
        <w:t>Licitación de obra pública de infraestructura de transporte – Versión 4</w:t>
      </w:r>
      <w:r w:rsidRPr="007E5876">
        <w:rPr>
          <w:rFonts w:ascii="Verdana" w:eastAsia="Aptos" w:hAnsi="Verdana" w:cs="Times New Roman"/>
          <w:b/>
          <w:bCs/>
          <w:color w:val="000000"/>
        </w:rPr>
        <w:t xml:space="preserve"> – </w:t>
      </w:r>
      <w:r>
        <w:rPr>
          <w:rFonts w:ascii="Verdana" w:eastAsia="Aptos" w:hAnsi="Verdana" w:cs="Times New Roman"/>
          <w:b/>
          <w:bCs/>
          <w:color w:val="000000"/>
        </w:rPr>
        <w:t xml:space="preserve">Requisitos de experiencia exigibles </w:t>
      </w:r>
    </w:p>
    <w:p w14:paraId="7AB09B18" w14:textId="77777777" w:rsidR="00A2293E" w:rsidRDefault="00A2293E" w:rsidP="00D34417">
      <w:pPr>
        <w:spacing w:after="0" w:line="240" w:lineRule="auto"/>
        <w:jc w:val="both"/>
        <w:rPr>
          <w:rFonts w:ascii="Verdana" w:eastAsia="Calibri" w:hAnsi="Verdana" w:cs="Times New Roman"/>
          <w:sz w:val="20"/>
          <w:szCs w:val="20"/>
        </w:rPr>
      </w:pPr>
    </w:p>
    <w:p w14:paraId="4DA28FEE" w14:textId="77777777" w:rsidR="00A2293E" w:rsidRPr="00D34417" w:rsidRDefault="00A2293E" w:rsidP="00D34417">
      <w:pPr>
        <w:spacing w:after="0" w:line="276" w:lineRule="auto"/>
        <w:jc w:val="both"/>
        <w:rPr>
          <w:rFonts w:ascii="Verdana" w:eastAsia="Calibri" w:hAnsi="Verdana" w:cs="Arial"/>
          <w:color w:val="000000"/>
          <w:sz w:val="20"/>
          <w:szCs w:val="20"/>
        </w:rPr>
      </w:pPr>
      <w:r w:rsidRPr="00D34417">
        <w:rPr>
          <w:rFonts w:ascii="Verdana" w:eastAsia="Calibri" w:hAnsi="Verdana" w:cs="Arial"/>
          <w:sz w:val="20"/>
          <w:szCs w:val="20"/>
        </w:rPr>
        <w:t xml:space="preserve">Una vez definida la actividad principal y secundaria, la entidad estatal debe determinar los requisitos de experiencia exigibles de acuerdo con la matriz de experiencia aplicable, de alguna de la siguientes formas: i) no solicitando experiencia para la actividad secundaria, sino únicamente para la principal, siempre que esta se trate de una actividad definida en la Matriz 1 ─ Experiencia de los documentos tipo de licitación de obra pública de infraestructura de transporte, o </w:t>
      </w:r>
      <w:proofErr w:type="spellStart"/>
      <w:r w:rsidRPr="00D34417">
        <w:rPr>
          <w:rFonts w:ascii="Verdana" w:eastAsia="Calibri" w:hAnsi="Verdana" w:cs="Arial"/>
          <w:sz w:val="20"/>
          <w:szCs w:val="20"/>
        </w:rPr>
        <w:t>ii</w:t>
      </w:r>
      <w:proofErr w:type="spellEnd"/>
      <w:r w:rsidRPr="00D34417">
        <w:rPr>
          <w:rFonts w:ascii="Verdana" w:eastAsia="Calibri" w:hAnsi="Verdana" w:cs="Arial"/>
          <w:sz w:val="20"/>
          <w:szCs w:val="20"/>
        </w:rPr>
        <w:t xml:space="preserve">) solicitando experiencia general y específica de la actividad principal, y requiriendo la experiencia específica correspondiente a la respectiva matriz de experiencia para el caso de las actividades secundarias –salvo que la matriz aplicable no contemple experiencia específica para determinada actividad secundaria, caso en el cual se podrá solicitar la experiencia general–. </w:t>
      </w:r>
    </w:p>
    <w:p w14:paraId="0B89E9BF" w14:textId="77777777" w:rsidR="003A6B0D" w:rsidRPr="007B5FDD" w:rsidRDefault="003A6B0D" w:rsidP="003A6B0D">
      <w:pPr>
        <w:autoSpaceDE w:val="0"/>
        <w:autoSpaceDN w:val="0"/>
        <w:adjustRightInd w:val="0"/>
        <w:spacing w:after="0"/>
        <w:jc w:val="both"/>
        <w:rPr>
          <w:rFonts w:ascii="Verdana" w:eastAsia="Times New Roman" w:hAnsi="Verdana" w:cs="Arial"/>
          <w:sz w:val="20"/>
          <w:szCs w:val="20"/>
          <w:shd w:val="clear" w:color="auto" w:fill="FFFFFF"/>
          <w:lang w:eastAsia="es-ES_tradnl"/>
        </w:rPr>
      </w:pPr>
    </w:p>
    <w:p w14:paraId="44D90340" w14:textId="77777777" w:rsidR="003A6B0D" w:rsidRPr="000A057C" w:rsidRDefault="003A6B0D" w:rsidP="003A6B0D">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545E974C" w14:textId="77777777" w:rsidR="003A6B0D" w:rsidRDefault="003A6B0D" w:rsidP="003A6B0D">
      <w:pPr>
        <w:autoSpaceDE w:val="0"/>
        <w:autoSpaceDN w:val="0"/>
        <w:adjustRightInd w:val="0"/>
        <w:spacing w:after="0"/>
        <w:jc w:val="both"/>
        <w:rPr>
          <w:rFonts w:ascii="Verdana" w:eastAsia="Times New Roman" w:hAnsi="Verdana" w:cs="Arial"/>
          <w:sz w:val="20"/>
          <w:szCs w:val="20"/>
          <w:shd w:val="clear" w:color="auto" w:fill="FFFFFF"/>
          <w:lang w:val="es-ES_tradnl" w:eastAsia="es-ES_tradnl"/>
        </w:rPr>
      </w:pPr>
    </w:p>
    <w:p w14:paraId="0018127E" w14:textId="77777777" w:rsidR="003A6B0D" w:rsidRDefault="003A6B0D" w:rsidP="003A6B0D">
      <w:pPr>
        <w:spacing w:after="0" w:line="240" w:lineRule="auto"/>
        <w:rPr>
          <w:rFonts w:ascii="Verdana" w:eastAsia="Times New Roman" w:hAnsi="Verdana" w:cs="Arial"/>
          <w:sz w:val="20"/>
          <w:szCs w:val="20"/>
          <w:shd w:val="clear" w:color="auto" w:fill="FFFFFF"/>
          <w:lang w:val="es-ES_tradnl" w:eastAsia="es-ES_tradnl"/>
        </w:rPr>
      </w:pPr>
    </w:p>
    <w:p w14:paraId="368A25FE" w14:textId="3C058489" w:rsidR="003A6B0D" w:rsidRDefault="003A6B0D" w:rsidP="003A6B0D">
      <w:pPr>
        <w:spacing w:after="0" w:line="240" w:lineRule="auto"/>
        <w:rPr>
          <w:rFonts w:ascii="Verdana" w:hAnsi="Verdana"/>
        </w:rPr>
      </w:pPr>
      <w:r w:rsidRPr="00121DB5">
        <w:rPr>
          <w:rFonts w:ascii="Verdana" w:hAnsi="Verdana"/>
        </w:rPr>
        <w:lastRenderedPageBreak/>
        <w:t xml:space="preserve">Bogotá D.C., </w:t>
      </w:r>
      <w:r w:rsidR="008575A1">
        <w:rPr>
          <w:rFonts w:ascii="Verdana" w:hAnsi="Verdana"/>
        </w:rPr>
        <w:t>29 de enero de 2026</w:t>
      </w:r>
    </w:p>
    <w:p w14:paraId="6CE06048" w14:textId="225979F8" w:rsidR="003A6B0D" w:rsidRPr="000A057C" w:rsidRDefault="003A6B0D" w:rsidP="003A6B0D">
      <w:pPr>
        <w:spacing w:after="0" w:line="240" w:lineRule="auto"/>
        <w:rPr>
          <w:rFonts w:ascii="Verdana" w:hAnsi="Verdana"/>
        </w:rPr>
      </w:pPr>
    </w:p>
    <w:p w14:paraId="76DA9DEB" w14:textId="7EC1708F" w:rsidR="003A6B0D" w:rsidRPr="002A4C82" w:rsidRDefault="003A6B0D" w:rsidP="003A6B0D">
      <w:pPr>
        <w:spacing w:after="0" w:line="240" w:lineRule="auto"/>
        <w:ind w:left="4956"/>
        <w:rPr>
          <w:rFonts w:ascii="Verdana" w:eastAsia="Calibri" w:hAnsi="Verdana" w:cs="Arial"/>
          <w:lang w:val="es-MX" w:eastAsia="es-ES"/>
        </w:rPr>
      </w:pPr>
    </w:p>
    <w:p w14:paraId="3BE932A3" w14:textId="5DA8D737" w:rsidR="003A6B0D" w:rsidRPr="002F6B10" w:rsidRDefault="00AE35F1" w:rsidP="003A6B0D">
      <w:pPr>
        <w:spacing w:after="0" w:line="240" w:lineRule="auto"/>
        <w:rPr>
          <w:rFonts w:ascii="Verdana" w:eastAsia="Calibri" w:hAnsi="Verdana" w:cs="Arial"/>
          <w:lang w:eastAsia="es-ES"/>
        </w:rPr>
      </w:pPr>
      <w:r w:rsidRPr="00B504E2">
        <w:rPr>
          <w:rFonts w:ascii="Verdana" w:hAnsi="Verdana"/>
          <w:noProof/>
        </w:rPr>
        <w:drawing>
          <wp:anchor distT="0" distB="0" distL="114300" distR="114300" simplePos="0" relativeHeight="251658240" behindDoc="0" locked="0" layoutInCell="1" allowOverlap="1" wp14:anchorId="3824DDEB" wp14:editId="375722D6">
            <wp:simplePos x="0" y="0"/>
            <wp:positionH relativeFrom="margin">
              <wp:align>right</wp:align>
            </wp:positionH>
            <wp:positionV relativeFrom="paragraph">
              <wp:posOffset>10795</wp:posOffset>
            </wp:positionV>
            <wp:extent cx="2409190" cy="664845"/>
            <wp:effectExtent l="0" t="0" r="0" b="1905"/>
            <wp:wrapSquare wrapText="bothSides"/>
            <wp:docPr id="118191955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919553"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409190" cy="664845"/>
                    </a:xfrm>
                    <a:prstGeom prst="rect">
                      <a:avLst/>
                    </a:prstGeom>
                  </pic:spPr>
                </pic:pic>
              </a:graphicData>
            </a:graphic>
            <wp14:sizeRelH relativeFrom="margin">
              <wp14:pctWidth>0</wp14:pctWidth>
            </wp14:sizeRelH>
            <wp14:sizeRelV relativeFrom="margin">
              <wp14:pctHeight>0</wp14:pctHeight>
            </wp14:sizeRelV>
          </wp:anchor>
        </w:drawing>
      </w:r>
      <w:r w:rsidR="003A6B0D" w:rsidRPr="002F6B10">
        <w:rPr>
          <w:rFonts w:ascii="Verdana" w:eastAsia="Calibri" w:hAnsi="Verdana" w:cs="Arial"/>
          <w:lang w:eastAsia="es-ES"/>
        </w:rPr>
        <w:t>Señora</w:t>
      </w:r>
    </w:p>
    <w:p w14:paraId="7C487133" w14:textId="77777777" w:rsidR="003A6B0D" w:rsidRPr="002F6B10" w:rsidRDefault="003A6B0D" w:rsidP="003A6B0D">
      <w:pPr>
        <w:spacing w:after="0" w:line="240" w:lineRule="auto"/>
        <w:rPr>
          <w:rFonts w:ascii="Verdana" w:eastAsia="Calibri" w:hAnsi="Verdana" w:cs="Arial"/>
          <w:b/>
          <w:bCs/>
          <w:lang w:eastAsia="es-ES"/>
        </w:rPr>
      </w:pPr>
      <w:r w:rsidRPr="002F6B10">
        <w:rPr>
          <w:rFonts w:ascii="Verdana" w:eastAsia="Calibri" w:hAnsi="Verdana" w:cs="Arial"/>
          <w:b/>
          <w:bCs/>
          <w:lang w:eastAsia="es-ES"/>
        </w:rPr>
        <w:t>Móni</w:t>
      </w:r>
      <w:r>
        <w:rPr>
          <w:rFonts w:ascii="Verdana" w:eastAsia="Calibri" w:hAnsi="Verdana" w:cs="Arial"/>
          <w:b/>
          <w:bCs/>
          <w:lang w:eastAsia="es-ES"/>
        </w:rPr>
        <w:t>ca Liliana Martín Zarate</w:t>
      </w:r>
    </w:p>
    <w:p w14:paraId="022BB781" w14:textId="77777777" w:rsidR="003A6B0D" w:rsidRPr="000A057C" w:rsidRDefault="003A6B0D" w:rsidP="003A6B0D">
      <w:pPr>
        <w:spacing w:after="0" w:line="240" w:lineRule="auto"/>
        <w:rPr>
          <w:rFonts w:ascii="Verdana" w:eastAsia="Calibri" w:hAnsi="Verdana" w:cs="Arial"/>
          <w:lang w:eastAsia="es-ES_tradnl"/>
        </w:rPr>
      </w:pPr>
      <w:r>
        <w:rPr>
          <w:rFonts w:ascii="Verdana" w:eastAsia="Calibri" w:hAnsi="Verdana" w:cs="Arial"/>
          <w:lang w:eastAsia="es-ES_tradnl"/>
        </w:rPr>
        <w:t>Bogotá, D.C.</w:t>
      </w:r>
    </w:p>
    <w:p w14:paraId="622B7AA5" w14:textId="77777777" w:rsidR="003A6B0D" w:rsidRPr="000A057C" w:rsidRDefault="003A6B0D" w:rsidP="003A6B0D">
      <w:pPr>
        <w:spacing w:after="0" w:line="240" w:lineRule="auto"/>
        <w:rPr>
          <w:rFonts w:ascii="Verdana" w:eastAsia="Calibri" w:hAnsi="Verdana" w:cs="Arial"/>
          <w:b/>
          <w:bCs/>
          <w:lang w:eastAsia="es-ES_tradnl"/>
        </w:rPr>
      </w:pPr>
    </w:p>
    <w:p w14:paraId="390D0148" w14:textId="77777777" w:rsidR="003A6B0D" w:rsidRPr="000A057C" w:rsidRDefault="003A6B0D" w:rsidP="003A6B0D">
      <w:pPr>
        <w:spacing w:after="0" w:line="240" w:lineRule="auto"/>
        <w:rPr>
          <w:rFonts w:ascii="Verdana" w:eastAsia="Calibri" w:hAnsi="Verdana" w:cs="Arial"/>
          <w:b/>
          <w:bCs/>
          <w:lang w:val="es-ES_tradnl" w:eastAsia="es-ES_tradnl"/>
        </w:rPr>
      </w:pPr>
    </w:p>
    <w:tbl>
      <w:tblPr>
        <w:tblStyle w:val="Tablaconcuadrcula"/>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662"/>
      </w:tblGrid>
      <w:tr w:rsidR="003A6B0D" w:rsidRPr="007E5876" w14:paraId="36684DA7" w14:textId="77777777">
        <w:trPr>
          <w:trHeight w:val="229"/>
        </w:trPr>
        <w:tc>
          <w:tcPr>
            <w:tcW w:w="2410" w:type="dxa"/>
          </w:tcPr>
          <w:p w14:paraId="42F702DE" w14:textId="77777777" w:rsidR="003A6B0D" w:rsidRPr="000A057C" w:rsidRDefault="003A6B0D">
            <w:pPr>
              <w:jc w:val="both"/>
              <w:rPr>
                <w:rFonts w:ascii="Verdana" w:eastAsia="Calibri" w:hAnsi="Verdana" w:cs="Arial"/>
                <w:b/>
                <w:bCs/>
                <w:lang w:val="es-ES_tradnl" w:eastAsia="es-ES_tradnl"/>
              </w:rPr>
            </w:pPr>
          </w:p>
        </w:tc>
        <w:tc>
          <w:tcPr>
            <w:tcW w:w="6662" w:type="dxa"/>
          </w:tcPr>
          <w:p w14:paraId="1935E514" w14:textId="77777777" w:rsidR="003A6B0D" w:rsidRPr="000A057C" w:rsidRDefault="003A6B0D">
            <w:pPr>
              <w:jc w:val="both"/>
              <w:rPr>
                <w:rFonts w:ascii="Verdana" w:eastAsia="Calibri" w:hAnsi="Verdana" w:cs="Arial"/>
                <w:b/>
                <w:bCs/>
                <w:lang w:val="es-ES" w:eastAsia="es-ES"/>
              </w:rPr>
            </w:pPr>
            <w:r w:rsidRPr="000A057C">
              <w:rPr>
                <w:rFonts w:ascii="Verdana" w:eastAsia="Calibri" w:hAnsi="Verdana" w:cs="Arial"/>
                <w:b/>
                <w:bCs/>
                <w:lang w:val="es-ES" w:eastAsia="es-ES"/>
              </w:rPr>
              <w:t>Concepto C-</w:t>
            </w:r>
            <w:r>
              <w:rPr>
                <w:rFonts w:ascii="Verdana" w:eastAsia="Calibri" w:hAnsi="Verdana" w:cs="Arial"/>
                <w:b/>
                <w:bCs/>
                <w:lang w:val="es-ES" w:eastAsia="es-ES"/>
              </w:rPr>
              <w:t>1852</w:t>
            </w:r>
            <w:r w:rsidRPr="000A057C">
              <w:rPr>
                <w:rFonts w:ascii="Verdana" w:eastAsia="Calibri" w:hAnsi="Verdana" w:cs="Arial"/>
                <w:b/>
                <w:bCs/>
                <w:lang w:val="es-ES" w:eastAsia="es-ES"/>
              </w:rPr>
              <w:t xml:space="preserve"> de 2025</w:t>
            </w:r>
          </w:p>
          <w:p w14:paraId="43A1EF5B" w14:textId="77777777" w:rsidR="003A6B0D" w:rsidRPr="000A057C" w:rsidRDefault="003A6B0D">
            <w:pPr>
              <w:jc w:val="both"/>
              <w:rPr>
                <w:rFonts w:ascii="Verdana" w:eastAsia="Calibri" w:hAnsi="Verdana" w:cs="Arial"/>
                <w:b/>
                <w:bCs/>
                <w:lang w:val="es-ES" w:eastAsia="es-ES"/>
              </w:rPr>
            </w:pPr>
          </w:p>
        </w:tc>
      </w:tr>
      <w:tr w:rsidR="003A6B0D" w:rsidRPr="007E5876" w14:paraId="3C89D667" w14:textId="77777777">
        <w:trPr>
          <w:trHeight w:val="884"/>
        </w:trPr>
        <w:tc>
          <w:tcPr>
            <w:tcW w:w="2410" w:type="dxa"/>
          </w:tcPr>
          <w:p w14:paraId="5A77C01B" w14:textId="77777777" w:rsidR="003A6B0D" w:rsidRPr="000A057C" w:rsidRDefault="003A6B0D">
            <w:pPr>
              <w:jc w:val="both"/>
              <w:rPr>
                <w:rFonts w:ascii="Verdana" w:eastAsia="Calibri" w:hAnsi="Verdana" w:cs="Arial"/>
                <w:lang w:val="es-ES_tradnl" w:eastAsia="es-ES_tradnl"/>
              </w:rPr>
            </w:pPr>
            <w:r w:rsidRPr="000A057C">
              <w:rPr>
                <w:rFonts w:ascii="Verdana" w:eastAsia="Calibri" w:hAnsi="Verdana" w:cs="Arial"/>
                <w:b/>
                <w:lang w:val="es-ES_tradnl" w:eastAsia="es-ES_tradnl"/>
              </w:rPr>
              <w:t>Temas:</w:t>
            </w:r>
            <w:r w:rsidRPr="000A057C">
              <w:rPr>
                <w:rFonts w:ascii="Verdana" w:eastAsia="Calibri" w:hAnsi="Verdana" w:cs="Arial"/>
                <w:lang w:val="es-ES_tradnl" w:eastAsia="es-ES_tradnl"/>
              </w:rPr>
              <w:t xml:space="preserve">                   </w:t>
            </w:r>
          </w:p>
        </w:tc>
        <w:tc>
          <w:tcPr>
            <w:tcW w:w="6662" w:type="dxa"/>
          </w:tcPr>
          <w:p w14:paraId="55150EA0" w14:textId="77777777" w:rsidR="00D34417" w:rsidRPr="00D34417" w:rsidRDefault="003A6B0D" w:rsidP="00D34417">
            <w:pPr>
              <w:spacing w:line="276" w:lineRule="auto"/>
              <w:jc w:val="both"/>
              <w:rPr>
                <w:rFonts w:ascii="Verdana" w:eastAsia="Aptos" w:hAnsi="Verdana" w:cs="Times New Roman"/>
                <w:color w:val="000000"/>
              </w:rPr>
            </w:pPr>
            <w:r w:rsidRPr="007E5876">
              <w:rPr>
                <w:rFonts w:ascii="Verdana" w:eastAsia="Aptos" w:hAnsi="Verdana" w:cs="Times New Roman"/>
                <w:color w:val="000000"/>
              </w:rPr>
              <w:t xml:space="preserve">DOCUMENTOS TIPO – Fundamento normativo – Obligatoriedad </w:t>
            </w:r>
            <w:r w:rsidRPr="00127DBA">
              <w:rPr>
                <w:rFonts w:ascii="Verdana" w:eastAsia="Aptos" w:hAnsi="Verdana" w:cs="Times New Roman"/>
                <w:color w:val="000000"/>
              </w:rPr>
              <w:t xml:space="preserve">/ </w:t>
            </w:r>
            <w:r w:rsidRPr="007E5876">
              <w:rPr>
                <w:rFonts w:ascii="Verdana" w:eastAsia="Aptos" w:hAnsi="Verdana" w:cs="Times New Roman"/>
                <w:color w:val="000000"/>
              </w:rPr>
              <w:t>COMBINACIÓN DE EXPERIENCIA − Documentos tipo − Licitación de obra pública de infraestructura de transporte – Versión 4 – Reglas</w:t>
            </w:r>
            <w:r w:rsidR="00D34417">
              <w:rPr>
                <w:rFonts w:ascii="Verdana" w:eastAsia="Aptos" w:hAnsi="Verdana" w:cs="Times New Roman"/>
                <w:color w:val="000000"/>
              </w:rPr>
              <w:t xml:space="preserve"> / </w:t>
            </w:r>
            <w:r w:rsidR="00D34417" w:rsidRPr="00D34417">
              <w:rPr>
                <w:rFonts w:ascii="Verdana" w:eastAsia="Aptos" w:hAnsi="Verdana" w:cs="Times New Roman"/>
                <w:color w:val="000000"/>
              </w:rPr>
              <w:t xml:space="preserve">COMBINACIÓN DE EXPERIENCIA − Documentos tipo − Licitación de obra pública de infraestructura de transporte – Versión 4 – Requisitos de experiencia exigibles </w:t>
            </w:r>
          </w:p>
          <w:p w14:paraId="24431503" w14:textId="77777777" w:rsidR="003A6B0D" w:rsidRPr="00B53D5F" w:rsidRDefault="003A6B0D">
            <w:pPr>
              <w:autoSpaceDE w:val="0"/>
              <w:autoSpaceDN w:val="0"/>
              <w:adjustRightInd w:val="0"/>
              <w:jc w:val="both"/>
              <w:rPr>
                <w:rFonts w:ascii="Verdana" w:eastAsia="Calibri" w:hAnsi="Verdana" w:cs="Arial"/>
                <w:lang w:eastAsia="es-ES"/>
              </w:rPr>
            </w:pPr>
          </w:p>
        </w:tc>
      </w:tr>
      <w:tr w:rsidR="003A6B0D" w:rsidRPr="007E5876" w14:paraId="7E507194" w14:textId="77777777">
        <w:tc>
          <w:tcPr>
            <w:tcW w:w="2410" w:type="dxa"/>
          </w:tcPr>
          <w:p w14:paraId="0EF2FDBF" w14:textId="77777777" w:rsidR="003A6B0D" w:rsidRPr="000A057C" w:rsidRDefault="003A6B0D">
            <w:pPr>
              <w:rPr>
                <w:rFonts w:ascii="Verdana" w:eastAsia="Calibri" w:hAnsi="Verdana" w:cs="Arial"/>
                <w:b/>
                <w:lang w:val="es-ES_tradnl" w:eastAsia="es-ES_tradnl"/>
              </w:rPr>
            </w:pPr>
            <w:r w:rsidRPr="000A057C">
              <w:rPr>
                <w:rFonts w:ascii="Verdana" w:eastAsia="Calibri" w:hAnsi="Verdana" w:cs="Arial"/>
                <w:b/>
                <w:lang w:val="es-ES_tradnl" w:eastAsia="es-ES_tradnl"/>
              </w:rPr>
              <w:t>Radicación:</w:t>
            </w:r>
            <w:r w:rsidRPr="000A057C">
              <w:rPr>
                <w:rFonts w:ascii="Verdana" w:eastAsia="Calibri" w:hAnsi="Verdana" w:cs="Arial"/>
                <w:lang w:val="es-ES_tradnl" w:eastAsia="es-ES_tradnl"/>
              </w:rPr>
              <w:t xml:space="preserve">               </w:t>
            </w:r>
          </w:p>
        </w:tc>
        <w:tc>
          <w:tcPr>
            <w:tcW w:w="6662" w:type="dxa"/>
          </w:tcPr>
          <w:p w14:paraId="1AFD3113" w14:textId="77777777" w:rsidR="003A6B0D" w:rsidRPr="000A057C" w:rsidRDefault="003A6B0D">
            <w:pPr>
              <w:spacing w:line="276" w:lineRule="auto"/>
              <w:jc w:val="both"/>
              <w:rPr>
                <w:rFonts w:ascii="Verdana" w:eastAsia="Calibri" w:hAnsi="Verdana" w:cs="Arial"/>
                <w:lang w:val="es-ES_tradnl" w:eastAsia="es-ES_tradnl"/>
              </w:rPr>
            </w:pPr>
            <w:r w:rsidRPr="00F113AE">
              <w:rPr>
                <w:rFonts w:ascii="Verdana" w:eastAsia="Aptos" w:hAnsi="Verdana" w:cs="Times New Roman"/>
                <w:color w:val="000000"/>
              </w:rPr>
              <w:t>Respuesta a consulta con radicado No. 1_2025_12_19_014214</w:t>
            </w:r>
          </w:p>
        </w:tc>
      </w:tr>
    </w:tbl>
    <w:p w14:paraId="6F222623" w14:textId="77777777" w:rsidR="003A6B0D" w:rsidRPr="000A057C" w:rsidRDefault="003A6B0D" w:rsidP="003A6B0D">
      <w:pPr>
        <w:spacing w:after="0" w:line="240" w:lineRule="auto"/>
        <w:jc w:val="both"/>
        <w:rPr>
          <w:rFonts w:ascii="Verdana" w:eastAsia="Calibri" w:hAnsi="Verdana" w:cs="Arial"/>
          <w:lang w:val="es-ES_tradnl" w:eastAsia="es-ES_tradnl"/>
        </w:rPr>
      </w:pPr>
    </w:p>
    <w:p w14:paraId="0C1DF1CC" w14:textId="77777777" w:rsidR="003A6B0D" w:rsidRPr="000A057C" w:rsidRDefault="003A6B0D" w:rsidP="003A6B0D">
      <w:pPr>
        <w:spacing w:after="0" w:line="276" w:lineRule="auto"/>
        <w:jc w:val="both"/>
        <w:rPr>
          <w:rFonts w:ascii="Verdana" w:eastAsia="Calibri" w:hAnsi="Verdana" w:cs="Arial"/>
          <w:lang w:val="es-ES" w:eastAsia="es-ES"/>
        </w:rPr>
      </w:pPr>
      <w:r w:rsidRPr="000A057C">
        <w:rPr>
          <w:rFonts w:ascii="Verdana" w:eastAsia="Calibri" w:hAnsi="Verdana" w:cs="Arial"/>
          <w:lang w:val="es-ES" w:eastAsia="es-ES"/>
        </w:rPr>
        <w:t>Estimad</w:t>
      </w:r>
      <w:r>
        <w:rPr>
          <w:rFonts w:ascii="Verdana" w:eastAsia="Calibri" w:hAnsi="Verdana" w:cs="Arial"/>
          <w:lang w:val="es-ES" w:eastAsia="es-ES"/>
        </w:rPr>
        <w:t>a</w:t>
      </w:r>
      <w:r w:rsidRPr="000A057C">
        <w:rPr>
          <w:rFonts w:ascii="Verdana" w:eastAsia="Calibri" w:hAnsi="Verdana" w:cs="Arial"/>
          <w:lang w:val="es-ES" w:eastAsia="es-ES"/>
        </w:rPr>
        <w:t xml:space="preserve"> señor</w:t>
      </w:r>
      <w:r>
        <w:rPr>
          <w:rFonts w:ascii="Verdana" w:eastAsia="Calibri" w:hAnsi="Verdana" w:cs="Arial"/>
          <w:lang w:val="es-ES" w:eastAsia="es-ES"/>
        </w:rPr>
        <w:t>a</w:t>
      </w:r>
      <w:r w:rsidRPr="000A057C">
        <w:rPr>
          <w:rFonts w:ascii="Verdana" w:eastAsia="Calibri" w:hAnsi="Verdana" w:cs="Arial"/>
          <w:lang w:val="es-ES" w:eastAsia="es-ES"/>
        </w:rPr>
        <w:t xml:space="preserve"> </w:t>
      </w:r>
      <w:r>
        <w:rPr>
          <w:rFonts w:ascii="Verdana" w:eastAsia="Calibri" w:hAnsi="Verdana" w:cs="Arial"/>
          <w:lang w:val="es-ES" w:eastAsia="es-ES"/>
        </w:rPr>
        <w:t>Martín</w:t>
      </w:r>
      <w:r w:rsidRPr="000A057C">
        <w:rPr>
          <w:rFonts w:ascii="Verdana" w:eastAsia="Calibri" w:hAnsi="Verdana" w:cs="Arial"/>
          <w:lang w:val="es-ES" w:eastAsia="es-ES"/>
        </w:rPr>
        <w:t xml:space="preserve">: </w:t>
      </w:r>
    </w:p>
    <w:p w14:paraId="73D1D3EE" w14:textId="77777777" w:rsidR="003A6B0D" w:rsidRPr="000A057C" w:rsidRDefault="003A6B0D" w:rsidP="003A6B0D">
      <w:pPr>
        <w:tabs>
          <w:tab w:val="left" w:pos="3768"/>
        </w:tabs>
        <w:spacing w:after="0" w:line="276" w:lineRule="auto"/>
        <w:jc w:val="both"/>
        <w:rPr>
          <w:rFonts w:ascii="Verdana" w:eastAsia="Calibri" w:hAnsi="Verdana" w:cs="Arial"/>
          <w:lang w:val="es-ES" w:eastAsia="es-ES"/>
        </w:rPr>
      </w:pPr>
      <w:r w:rsidRPr="000A057C">
        <w:rPr>
          <w:rFonts w:ascii="Verdana" w:eastAsia="Calibri" w:hAnsi="Verdana" w:cs="Arial"/>
          <w:lang w:val="es-ES" w:eastAsia="es-ES"/>
        </w:rPr>
        <w:tab/>
      </w:r>
    </w:p>
    <w:p w14:paraId="53BC53D6" w14:textId="77777777" w:rsidR="003A6B0D" w:rsidRPr="000A057C" w:rsidRDefault="003A6B0D" w:rsidP="003A6B0D">
      <w:pPr>
        <w:spacing w:after="0" w:line="276" w:lineRule="auto"/>
        <w:jc w:val="both"/>
        <w:rPr>
          <w:rFonts w:ascii="Verdana" w:eastAsia="Calibri" w:hAnsi="Verdana" w:cs="Arial"/>
          <w:lang w:val="es-ES" w:eastAsia="es-ES"/>
        </w:rPr>
      </w:pPr>
      <w:r w:rsidRPr="000A057C">
        <w:rPr>
          <w:rFonts w:ascii="Verdana" w:eastAsia="Calibri" w:hAnsi="Verdana" w:cs="Arial"/>
          <w:lang w:val="es-ES" w:eastAsia="es-ES"/>
        </w:rPr>
        <w:t>En ejercicio de la competencia otorgada por los artículos 3, numeral 5º, y 11, numeral 8º, del Decreto Ley 4170 de 2011,</w:t>
      </w:r>
      <w:r w:rsidRPr="000A057C">
        <w:rPr>
          <w:rFonts w:ascii="Verdana" w:eastAsia="Arial MT" w:hAnsi="Verdana" w:cs="Arial MT"/>
          <w:lang w:val="es-ES" w:eastAsia="es-ES"/>
        </w:rPr>
        <w:t xml:space="preserve"> </w:t>
      </w:r>
      <w:r w:rsidRPr="000A057C">
        <w:rPr>
          <w:rFonts w:ascii="Verdana" w:eastAsia="Aptos" w:hAnsi="Verdana" w:cs="Arial"/>
        </w:rPr>
        <w:t xml:space="preserve">así como lo establecido en el artículo 4 de la Resolución 1707 de 2018 expedida por esta Entidad, </w:t>
      </w:r>
      <w:r w:rsidRPr="000A057C">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19</w:t>
      </w:r>
      <w:r w:rsidRPr="000A057C">
        <w:rPr>
          <w:rFonts w:ascii="Verdana" w:eastAsia="Calibri" w:hAnsi="Verdana" w:cs="Arial"/>
          <w:lang w:val="es-ES" w:eastAsia="es-ES"/>
        </w:rPr>
        <w:t xml:space="preserve"> de </w:t>
      </w:r>
      <w:r>
        <w:rPr>
          <w:rFonts w:ascii="Verdana" w:eastAsia="Calibri" w:hAnsi="Verdana" w:cs="Arial"/>
          <w:lang w:val="es-ES" w:eastAsia="es-ES"/>
        </w:rPr>
        <w:t>diciembre</w:t>
      </w:r>
      <w:r w:rsidRPr="000A057C">
        <w:rPr>
          <w:rFonts w:ascii="Verdana" w:eastAsia="Calibri" w:hAnsi="Verdana" w:cs="Arial"/>
          <w:lang w:val="es-ES" w:eastAsia="es-ES"/>
        </w:rPr>
        <w:t xml:space="preserve"> de 2025, en la cual manifiesta lo siguiente: </w:t>
      </w:r>
    </w:p>
    <w:p w14:paraId="7AE914AD" w14:textId="77777777" w:rsidR="003A6B0D" w:rsidRPr="007E5876" w:rsidRDefault="003A6B0D" w:rsidP="003A6B0D">
      <w:pPr>
        <w:tabs>
          <w:tab w:val="left" w:pos="142"/>
          <w:tab w:val="left" w:pos="284"/>
        </w:tabs>
        <w:spacing w:after="120" w:line="240" w:lineRule="auto"/>
        <w:ind w:left="709" w:right="709"/>
        <w:jc w:val="both"/>
        <w:rPr>
          <w:rFonts w:ascii="Verdana" w:eastAsia="Century Gothic" w:hAnsi="Verdana" w:cs="Arial"/>
          <w:b/>
          <w:bCs/>
          <w:sz w:val="21"/>
          <w:szCs w:val="21"/>
        </w:rPr>
      </w:pPr>
    </w:p>
    <w:p w14:paraId="5ACB2C2E" w14:textId="77777777" w:rsidR="003A6B0D" w:rsidRPr="00014740" w:rsidRDefault="003A6B0D" w:rsidP="003A6B0D">
      <w:pPr>
        <w:pStyle w:val="p1"/>
        <w:spacing w:after="120"/>
        <w:ind w:left="709" w:right="709"/>
        <w:jc w:val="both"/>
        <w:rPr>
          <w:rFonts w:ascii="Verdana" w:eastAsia="Aptos" w:hAnsi="Verdana"/>
          <w:sz w:val="21"/>
          <w:szCs w:val="21"/>
        </w:rPr>
      </w:pPr>
      <w:r w:rsidRPr="007E5876">
        <w:rPr>
          <w:rFonts w:ascii="Verdana" w:eastAsia="Aptos" w:hAnsi="Verdana"/>
          <w:sz w:val="21"/>
          <w:szCs w:val="21"/>
        </w:rPr>
        <w:t>”</w:t>
      </w:r>
      <w:r w:rsidRPr="002F6B10">
        <w:rPr>
          <w:rFonts w:ascii="Verdana" w:eastAsia="Aptos" w:hAnsi="Verdana"/>
          <w:sz w:val="21"/>
          <w:szCs w:val="21"/>
        </w:rPr>
        <w:t>Solicito un concepto jurídico basados en lo siguiente; Una entidad de orden territorial</w:t>
      </w:r>
      <w:r>
        <w:rPr>
          <w:rFonts w:ascii="Verdana" w:eastAsia="Aptos" w:hAnsi="Verdana"/>
          <w:sz w:val="21"/>
          <w:szCs w:val="21"/>
        </w:rPr>
        <w:t xml:space="preserve"> </w:t>
      </w:r>
      <w:r w:rsidRPr="002F6B10">
        <w:rPr>
          <w:rFonts w:ascii="Verdana" w:eastAsia="Aptos" w:hAnsi="Verdana"/>
          <w:sz w:val="21"/>
          <w:szCs w:val="21"/>
        </w:rPr>
        <w:t>suscribió 3 convenios uno con Empresas Públicas de Cundinamarca (EPC), para la</w:t>
      </w:r>
      <w:r>
        <w:rPr>
          <w:rFonts w:ascii="Verdana" w:eastAsia="Aptos" w:hAnsi="Verdana"/>
          <w:sz w:val="21"/>
          <w:szCs w:val="21"/>
        </w:rPr>
        <w:t xml:space="preserve"> </w:t>
      </w:r>
      <w:r w:rsidRPr="002F6B10">
        <w:rPr>
          <w:rFonts w:ascii="Verdana" w:eastAsia="Aptos" w:hAnsi="Verdana"/>
          <w:sz w:val="21"/>
          <w:szCs w:val="21"/>
        </w:rPr>
        <w:t>construcción de alcantarillado y dos (2)con la Gobernación de Cundinamarca (</w:t>
      </w:r>
      <w:proofErr w:type="spellStart"/>
      <w:r w:rsidRPr="002F6B10">
        <w:rPr>
          <w:rFonts w:ascii="Verdana" w:eastAsia="Aptos" w:hAnsi="Verdana"/>
          <w:sz w:val="21"/>
          <w:szCs w:val="21"/>
        </w:rPr>
        <w:t>Vias</w:t>
      </w:r>
      <w:proofErr w:type="spellEnd"/>
      <w:r>
        <w:rPr>
          <w:rFonts w:ascii="Verdana" w:eastAsia="Aptos" w:hAnsi="Verdana"/>
          <w:sz w:val="21"/>
          <w:szCs w:val="21"/>
        </w:rPr>
        <w:t xml:space="preserve"> </w:t>
      </w:r>
      <w:r w:rsidRPr="002F6B10">
        <w:rPr>
          <w:rFonts w:ascii="Verdana" w:eastAsia="Aptos" w:hAnsi="Verdana"/>
          <w:sz w:val="21"/>
          <w:szCs w:val="21"/>
        </w:rPr>
        <w:t>y Andenes), de acuerdo a los pliegos tipo serian dos (2) procesos uno por agua</w:t>
      </w:r>
      <w:r>
        <w:rPr>
          <w:rFonts w:ascii="Verdana" w:eastAsia="Aptos" w:hAnsi="Verdana"/>
          <w:sz w:val="21"/>
          <w:szCs w:val="21"/>
        </w:rPr>
        <w:t xml:space="preserve"> </w:t>
      </w:r>
      <w:r w:rsidRPr="002F6B10">
        <w:rPr>
          <w:rFonts w:ascii="Verdana" w:eastAsia="Aptos" w:hAnsi="Verdana"/>
          <w:sz w:val="21"/>
          <w:szCs w:val="21"/>
        </w:rPr>
        <w:t>potable y saneamiento básico y otro por transporte pensando en la estabilidad de</w:t>
      </w:r>
      <w:r>
        <w:rPr>
          <w:rFonts w:ascii="Verdana" w:eastAsia="Aptos" w:hAnsi="Verdana"/>
          <w:sz w:val="21"/>
          <w:szCs w:val="21"/>
        </w:rPr>
        <w:t xml:space="preserve"> </w:t>
      </w:r>
      <w:r w:rsidRPr="002F6B10">
        <w:rPr>
          <w:rFonts w:ascii="Verdana" w:eastAsia="Aptos" w:hAnsi="Verdana"/>
          <w:sz w:val="21"/>
          <w:szCs w:val="21"/>
        </w:rPr>
        <w:t>las obras, la pregunta es; Es posible realizar un solo proceso unificando las tres</w:t>
      </w:r>
      <w:r>
        <w:rPr>
          <w:rFonts w:ascii="Verdana" w:eastAsia="Aptos" w:hAnsi="Verdana"/>
          <w:sz w:val="21"/>
          <w:szCs w:val="21"/>
        </w:rPr>
        <w:t xml:space="preserve"> </w:t>
      </w:r>
      <w:r w:rsidRPr="002F6B10">
        <w:rPr>
          <w:rFonts w:ascii="Verdana" w:eastAsia="Aptos" w:hAnsi="Verdana"/>
          <w:sz w:val="21"/>
          <w:szCs w:val="21"/>
        </w:rPr>
        <w:t xml:space="preserve">obras (alcantarillado, vías y andenes? ¿En caso que </w:t>
      </w:r>
      <w:proofErr w:type="spellStart"/>
      <w:r w:rsidRPr="002F6B10">
        <w:rPr>
          <w:rFonts w:ascii="Verdana" w:eastAsia="Aptos" w:hAnsi="Verdana"/>
          <w:sz w:val="21"/>
          <w:szCs w:val="21"/>
        </w:rPr>
        <w:t>si</w:t>
      </w:r>
      <w:proofErr w:type="spellEnd"/>
      <w:r w:rsidRPr="002F6B10">
        <w:rPr>
          <w:rFonts w:ascii="Verdana" w:eastAsia="Aptos" w:hAnsi="Verdana"/>
          <w:sz w:val="21"/>
          <w:szCs w:val="21"/>
        </w:rPr>
        <w:t xml:space="preserve">, cual pliego tipo </w:t>
      </w:r>
      <w:r>
        <w:rPr>
          <w:rFonts w:ascii="Verdana" w:eastAsia="Aptos" w:hAnsi="Verdana"/>
          <w:sz w:val="21"/>
          <w:szCs w:val="21"/>
        </w:rPr>
        <w:t xml:space="preserve">aplicaría </w:t>
      </w:r>
      <w:r w:rsidRPr="002F6B10">
        <w:rPr>
          <w:rFonts w:ascii="Verdana" w:eastAsia="Aptos" w:hAnsi="Verdana"/>
          <w:sz w:val="21"/>
          <w:szCs w:val="21"/>
        </w:rPr>
        <w:t>transporte o agua potable?</w:t>
      </w:r>
      <w:r w:rsidRPr="007E5876">
        <w:rPr>
          <w:rFonts w:ascii="Verdana" w:eastAsia="Aptos" w:hAnsi="Verdana"/>
          <w:sz w:val="21"/>
          <w:szCs w:val="21"/>
        </w:rPr>
        <w:t>”.</w:t>
      </w:r>
      <w:r>
        <w:rPr>
          <w:rFonts w:ascii="Verdana" w:eastAsia="Aptos" w:hAnsi="Verdana"/>
          <w:sz w:val="21"/>
          <w:szCs w:val="21"/>
        </w:rPr>
        <w:t xml:space="preserve"> (sic)</w:t>
      </w:r>
    </w:p>
    <w:p w14:paraId="3F6AB9F3" w14:textId="77777777" w:rsidR="003A6B0D" w:rsidRPr="007E5876" w:rsidRDefault="003A6B0D" w:rsidP="003A6B0D">
      <w:pPr>
        <w:spacing w:after="0" w:line="240" w:lineRule="auto"/>
        <w:ind w:left="709" w:right="709"/>
        <w:jc w:val="both"/>
        <w:rPr>
          <w:rFonts w:ascii="Verdana" w:eastAsia="Aptos" w:hAnsi="Verdana" w:cs="Arial"/>
          <w:sz w:val="21"/>
          <w:szCs w:val="21"/>
        </w:rPr>
      </w:pPr>
    </w:p>
    <w:p w14:paraId="7C6C85ED" w14:textId="77777777" w:rsidR="003A6B0D" w:rsidRPr="000A057C" w:rsidRDefault="003A6B0D" w:rsidP="003A6B0D">
      <w:pPr>
        <w:spacing w:after="120" w:line="276" w:lineRule="auto"/>
        <w:ind w:firstLine="709"/>
        <w:jc w:val="both"/>
        <w:rPr>
          <w:rFonts w:ascii="Verdana" w:eastAsia="Calibri" w:hAnsi="Verdana" w:cs="Arial"/>
          <w:lang w:val="es-ES_tradnl" w:eastAsia="es-ES_tradnl"/>
        </w:rPr>
      </w:pPr>
      <w:r w:rsidRPr="000A057C">
        <w:rPr>
          <w:rFonts w:ascii="Verdana" w:eastAsia="Calibri" w:hAnsi="Verdana" w:cs="Arial"/>
          <w:lang w:val="es-ES" w:eastAsia="es-ES"/>
        </w:rPr>
        <w:lastRenderedPageBreak/>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A057C">
        <w:rPr>
          <w:rFonts w:ascii="Verdana" w:eastAsia="Calibri" w:hAnsi="Verdana" w:cs="Arial"/>
          <w:lang w:val="es-ES_tradnl" w:eastAsia="es-ES_tradnl"/>
        </w:rPr>
        <w:tab/>
      </w:r>
    </w:p>
    <w:p w14:paraId="6A5ACF74" w14:textId="77777777" w:rsidR="003A6B0D" w:rsidRPr="000A057C" w:rsidRDefault="003A6B0D" w:rsidP="003A6B0D">
      <w:pPr>
        <w:spacing w:after="0" w:line="276" w:lineRule="auto"/>
        <w:ind w:firstLine="708"/>
        <w:jc w:val="both"/>
        <w:rPr>
          <w:rFonts w:ascii="Verdana" w:eastAsia="Calibri" w:hAnsi="Verdana" w:cs="Arial"/>
          <w:lang w:val="es-ES" w:eastAsia="es-ES"/>
        </w:rPr>
      </w:pPr>
      <w:r w:rsidRPr="000A057C">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8D586CF" w14:textId="77777777" w:rsidR="003A6B0D" w:rsidRPr="000A057C" w:rsidRDefault="003A6B0D" w:rsidP="003A6B0D">
      <w:pPr>
        <w:spacing w:after="0" w:line="276" w:lineRule="auto"/>
        <w:jc w:val="both"/>
        <w:rPr>
          <w:rFonts w:ascii="Verdana" w:eastAsia="Calibri" w:hAnsi="Verdana" w:cs="Arial"/>
          <w:lang w:val="es-ES" w:eastAsia="es-ES"/>
        </w:rPr>
      </w:pPr>
    </w:p>
    <w:p w14:paraId="72A17BBA" w14:textId="77777777" w:rsidR="003A6B0D" w:rsidRPr="000A057C" w:rsidRDefault="003A6B0D" w:rsidP="003A6B0D">
      <w:pPr>
        <w:numPr>
          <w:ilvl w:val="0"/>
          <w:numId w:val="18"/>
        </w:numPr>
        <w:tabs>
          <w:tab w:val="left" w:pos="142"/>
          <w:tab w:val="left" w:pos="284"/>
        </w:tabs>
        <w:spacing w:after="0" w:line="276" w:lineRule="auto"/>
        <w:jc w:val="both"/>
        <w:rPr>
          <w:rFonts w:ascii="Verdana" w:eastAsia="Century Gothic" w:hAnsi="Verdana" w:cs="Century Gothic"/>
          <w:b/>
          <w:bCs/>
        </w:rPr>
      </w:pPr>
      <w:r w:rsidRPr="000A057C">
        <w:rPr>
          <w:rFonts w:ascii="Verdana" w:eastAsia="Century Gothic" w:hAnsi="Verdana" w:cs="Century Gothic"/>
          <w:b/>
          <w:bCs/>
        </w:rPr>
        <w:t>Problema planteado:</w:t>
      </w:r>
    </w:p>
    <w:p w14:paraId="3814882E" w14:textId="77777777" w:rsidR="003A6B0D" w:rsidRPr="000A057C" w:rsidRDefault="003A6B0D" w:rsidP="003A6B0D">
      <w:pPr>
        <w:tabs>
          <w:tab w:val="left" w:pos="426"/>
        </w:tabs>
        <w:spacing w:after="0" w:line="276" w:lineRule="auto"/>
        <w:jc w:val="both"/>
        <w:rPr>
          <w:rFonts w:ascii="Verdana" w:eastAsia="Century Gothic" w:hAnsi="Verdana" w:cs="Century Gothic"/>
          <w:lang w:val="es-ES"/>
        </w:rPr>
      </w:pPr>
    </w:p>
    <w:p w14:paraId="06B91F10" w14:textId="77777777" w:rsidR="003A6B0D" w:rsidRPr="000A057C" w:rsidRDefault="003A6B0D" w:rsidP="00BD5591">
      <w:pPr>
        <w:spacing w:after="0" w:line="276" w:lineRule="auto"/>
        <w:jc w:val="both"/>
        <w:rPr>
          <w:rFonts w:ascii="Verdana" w:eastAsia="Calibri" w:hAnsi="Verdana" w:cs="Arial"/>
          <w:lang w:val="es-ES" w:eastAsia="es-ES"/>
        </w:rPr>
      </w:pPr>
      <w:r w:rsidRPr="000A057C">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el </w:t>
      </w:r>
      <w:r w:rsidRPr="000A057C">
        <w:rPr>
          <w:rFonts w:ascii="Verdana" w:eastAsia="Century Gothic" w:hAnsi="Verdana" w:cs="Century Gothic"/>
        </w:rPr>
        <w:t>siguiente problema jurídico:</w:t>
      </w:r>
      <w:r w:rsidRPr="6608E681">
        <w:rPr>
          <w:rFonts w:ascii="Verdana" w:eastAsia="Calibri" w:hAnsi="Verdana" w:cs="Arial"/>
          <w:lang w:val="es-ES" w:eastAsia="es-ES"/>
        </w:rPr>
        <w:t xml:space="preserve"> </w:t>
      </w:r>
      <w:r>
        <w:rPr>
          <w:rFonts w:ascii="Verdana" w:eastAsia="Calibri" w:hAnsi="Verdana" w:cs="Arial"/>
          <w:lang w:val="es-ES" w:eastAsia="es-ES"/>
        </w:rPr>
        <w:t>¿C</w:t>
      </w:r>
      <w:r w:rsidRPr="642F7E57">
        <w:rPr>
          <w:rFonts w:ascii="Verdana" w:eastAsia="Century Gothic" w:hAnsi="Verdana" w:cs="Century Gothic"/>
          <w:lang w:val="es-ES"/>
        </w:rPr>
        <w:t xml:space="preserve">ómo opera la </w:t>
      </w:r>
      <w:r>
        <w:rPr>
          <w:rFonts w:ascii="Verdana" w:eastAsia="Century Gothic" w:hAnsi="Verdana" w:cs="Century Gothic"/>
          <w:lang w:val="es-ES"/>
        </w:rPr>
        <w:t>combinación de experiencia</w:t>
      </w:r>
      <w:r w:rsidRPr="642F7E57">
        <w:rPr>
          <w:rFonts w:ascii="Verdana" w:eastAsia="Century Gothic" w:hAnsi="Verdana" w:cs="Century Gothic"/>
          <w:lang w:val="es-ES"/>
        </w:rPr>
        <w:t xml:space="preserve"> de los documentos tipo de infraestructura de transporte</w:t>
      </w:r>
      <w:r>
        <w:rPr>
          <w:rFonts w:ascii="Verdana" w:eastAsia="Century Gothic" w:hAnsi="Verdana" w:cs="Century Gothic"/>
          <w:lang w:val="es-ES"/>
        </w:rPr>
        <w:t>, si se requiere celebrar un proceso unificado de obras de transporte y de agua potable y saneamiento básico</w:t>
      </w:r>
      <w:r w:rsidRPr="00F513A3">
        <w:rPr>
          <w:rFonts w:ascii="Verdana" w:eastAsia="Calibri" w:hAnsi="Verdana" w:cs="Arial"/>
          <w:lang w:val="es-ES" w:eastAsia="es-ES"/>
        </w:rPr>
        <w:t>?</w:t>
      </w:r>
    </w:p>
    <w:p w14:paraId="06E94DD5" w14:textId="77777777" w:rsidR="003A6B0D" w:rsidRPr="000A057C" w:rsidRDefault="003A6B0D" w:rsidP="00BD5591">
      <w:pPr>
        <w:spacing w:after="0" w:line="276" w:lineRule="auto"/>
        <w:jc w:val="both"/>
        <w:rPr>
          <w:rFonts w:ascii="Verdana" w:eastAsia="Century Gothic" w:hAnsi="Verdana" w:cs="Century Gothic"/>
        </w:rPr>
      </w:pPr>
    </w:p>
    <w:p w14:paraId="3F5B8D84" w14:textId="77777777" w:rsidR="003A6B0D" w:rsidRPr="000A057C" w:rsidRDefault="003A6B0D" w:rsidP="00BD5591">
      <w:pPr>
        <w:tabs>
          <w:tab w:val="left" w:pos="142"/>
          <w:tab w:val="left" w:pos="284"/>
        </w:tabs>
        <w:spacing w:after="0" w:line="276" w:lineRule="auto"/>
        <w:contextualSpacing/>
        <w:jc w:val="both"/>
        <w:rPr>
          <w:rFonts w:ascii="Verdana" w:eastAsia="Century Gothic" w:hAnsi="Verdana" w:cs="Century Gothic"/>
          <w:b/>
          <w:bCs/>
          <w:lang w:val="es-ES"/>
        </w:rPr>
      </w:pPr>
      <w:r>
        <w:rPr>
          <w:rFonts w:ascii="Verdana" w:eastAsia="Century Gothic" w:hAnsi="Verdana" w:cs="Century Gothic"/>
          <w:b/>
          <w:bCs/>
          <w:lang w:val="es-ES"/>
        </w:rPr>
        <w:t xml:space="preserve">2. </w:t>
      </w:r>
      <w:r w:rsidRPr="000A057C">
        <w:rPr>
          <w:rFonts w:ascii="Verdana" w:eastAsia="Century Gothic" w:hAnsi="Verdana" w:cs="Century Gothic"/>
          <w:b/>
          <w:bCs/>
          <w:lang w:val="es-ES"/>
        </w:rPr>
        <w:t>Respuesta:</w:t>
      </w:r>
    </w:p>
    <w:p w14:paraId="3650D014" w14:textId="77777777" w:rsidR="003A6B0D" w:rsidRPr="000A057C" w:rsidRDefault="003A6B0D" w:rsidP="00BD5591">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A6B0D" w:rsidRPr="007E5876" w14:paraId="2B949E2D" w14:textId="77777777">
        <w:trPr>
          <w:trHeight w:val="40"/>
        </w:trPr>
        <w:tc>
          <w:tcPr>
            <w:tcW w:w="8828" w:type="dxa"/>
            <w:tcBorders>
              <w:top w:val="dotted" w:sz="4" w:space="0" w:color="auto"/>
              <w:left w:val="dotted" w:sz="4" w:space="0" w:color="auto"/>
              <w:bottom w:val="dotted" w:sz="4" w:space="0" w:color="auto"/>
              <w:right w:val="dotted" w:sz="4" w:space="0" w:color="auto"/>
            </w:tcBorders>
          </w:tcPr>
          <w:p w14:paraId="5BBF8074" w14:textId="0769D454" w:rsidR="003A6B0D" w:rsidRPr="00F04ACB" w:rsidRDefault="00A2293E" w:rsidP="00BD5591">
            <w:pPr>
              <w:spacing w:line="276" w:lineRule="auto"/>
              <w:jc w:val="both"/>
              <w:rPr>
                <w:rFonts w:ascii="Verdana" w:eastAsia="Calibri" w:hAnsi="Verdana" w:cs="Arial"/>
                <w:color w:val="000000"/>
              </w:rPr>
            </w:pPr>
            <w:r>
              <w:rPr>
                <w:rFonts w:ascii="Verdana" w:eastAsia="Calibri" w:hAnsi="Verdana" w:cs="Arial"/>
                <w:color w:val="000000"/>
                <w:lang w:val="es-ES"/>
              </w:rPr>
              <w:t>L</w:t>
            </w:r>
            <w:r w:rsidR="003A6B0D" w:rsidRPr="00F04ACB">
              <w:rPr>
                <w:rFonts w:ascii="Verdana" w:eastAsia="Calibri" w:hAnsi="Verdana" w:cs="Arial"/>
                <w:color w:val="000000"/>
                <w:lang w:val="es-MX"/>
              </w:rPr>
              <w:t>a “Matriz 1 – Experiencia” de los documentos tipo de licitación de obra pública de infraestructura de transporte – versión 4</w:t>
            </w:r>
            <w:r w:rsidR="003A6B0D" w:rsidRPr="00F04ACB">
              <w:rPr>
                <w:rFonts w:ascii="Verdana" w:eastAsia="Calibri" w:hAnsi="Verdana" w:cs="Arial"/>
                <w:lang w:val="es-MX"/>
              </w:rPr>
              <w:t>,</w:t>
            </w:r>
            <w:r w:rsidR="003A6B0D" w:rsidRPr="00F04ACB">
              <w:rPr>
                <w:rFonts w:ascii="Verdana" w:eastAsia="Calibri" w:hAnsi="Verdana" w:cs="Arial"/>
                <w:color w:val="000000"/>
                <w:lang w:val="es-MX"/>
              </w:rPr>
              <w:t xml:space="preserve"> en el acápite de “Reglas para definir la experiencia exigible en el proceso de contratación” </w:t>
            </w:r>
            <w:r w:rsidR="003A6B0D" w:rsidRPr="00F04ACB">
              <w:rPr>
                <w:rFonts w:ascii="Verdana" w:eastAsia="Calibri" w:hAnsi="Verdana" w:cs="Arial"/>
                <w:color w:val="000000"/>
              </w:rPr>
              <w:t>tanto de baja o mediana y alta complejidad se establece la regla vi) que prescribe lo siguiente:</w:t>
            </w:r>
          </w:p>
          <w:p w14:paraId="5CAFD288" w14:textId="77777777" w:rsidR="003A6B0D" w:rsidRPr="00F04ACB" w:rsidRDefault="003A6B0D" w:rsidP="00BD5591">
            <w:pPr>
              <w:spacing w:line="276" w:lineRule="auto"/>
              <w:ind w:left="720"/>
              <w:jc w:val="both"/>
              <w:rPr>
                <w:rFonts w:ascii="Verdana" w:eastAsia="Calibri" w:hAnsi="Verdana" w:cs="Arial"/>
                <w:color w:val="000000"/>
              </w:rPr>
            </w:pPr>
          </w:p>
          <w:p w14:paraId="602C96ED" w14:textId="77777777" w:rsidR="003A6B0D" w:rsidRPr="00F04ACB" w:rsidRDefault="003A6B0D" w:rsidP="00BD5591">
            <w:pPr>
              <w:ind w:left="709" w:right="709"/>
              <w:jc w:val="both"/>
              <w:rPr>
                <w:rFonts w:ascii="Verdana" w:eastAsia="Calibri" w:hAnsi="Verdana" w:cs="Arial"/>
                <w:color w:val="000000"/>
                <w:sz w:val="21"/>
                <w:szCs w:val="21"/>
                <w:lang w:val="es-MX"/>
              </w:rPr>
            </w:pPr>
            <w:r w:rsidRPr="00F04ACB">
              <w:rPr>
                <w:rFonts w:ascii="Verdana" w:eastAsia="Calibri" w:hAnsi="Verdana" w:cs="Arial"/>
                <w:color w:val="000000"/>
                <w:sz w:val="21"/>
                <w:szCs w:val="21"/>
                <w:lang w:val="es-MX"/>
              </w:rPr>
              <w:t xml:space="preserve">“vi) Cuando el objeto del proceso de contratación contemple la ejecución de dos o más “Actividades a Contratar” (ej.: 1.1 y 7.1, o de actividades de diferentes matrices de experiencia y/o sectores), </w:t>
            </w:r>
            <w:r w:rsidRPr="00F04ACB">
              <w:rPr>
                <w:rFonts w:ascii="Verdana" w:eastAsia="Calibri" w:hAnsi="Verdana" w:cs="Arial"/>
                <w:color w:val="000000"/>
                <w:sz w:val="21"/>
                <w:szCs w:val="21"/>
                <w:lang w:val="es-MX"/>
              </w:rPr>
              <w:lastRenderedPageBreak/>
              <w:t xml:space="preserve">la entidad procederá de acuerdo con lo indicado en el Documento Base en relación con la combinación de experiencia”. </w:t>
            </w:r>
          </w:p>
          <w:p w14:paraId="29A6F50A" w14:textId="77777777" w:rsidR="003A6B0D" w:rsidRPr="00F04ACB" w:rsidRDefault="003A6B0D" w:rsidP="00BD5591">
            <w:pPr>
              <w:jc w:val="both"/>
              <w:rPr>
                <w:rFonts w:ascii="Verdana" w:eastAsia="Calibri" w:hAnsi="Verdana" w:cs="Arial"/>
                <w:color w:val="000000"/>
                <w:lang w:val="es-MX"/>
              </w:rPr>
            </w:pPr>
          </w:p>
          <w:p w14:paraId="05134C8A" w14:textId="628605BB" w:rsidR="003A6B0D" w:rsidRPr="00F04ACB" w:rsidRDefault="003A6B0D" w:rsidP="00BD5591">
            <w:pPr>
              <w:spacing w:line="276" w:lineRule="auto"/>
              <w:jc w:val="both"/>
              <w:rPr>
                <w:rFonts w:ascii="Verdana" w:eastAsia="Calibri" w:hAnsi="Verdana" w:cs="Arial"/>
                <w:color w:val="000000"/>
                <w:lang w:val="es-MX"/>
              </w:rPr>
            </w:pPr>
            <w:r w:rsidRPr="00F04ACB">
              <w:rPr>
                <w:rFonts w:ascii="Verdana" w:eastAsia="Calibri" w:hAnsi="Verdana" w:cs="Arial"/>
                <w:color w:val="000000"/>
                <w:lang w:val="es-MX"/>
              </w:rPr>
              <w:t>En armonía con lo anterior, el literal A del numeral 3.5.1. “CARACTERÍSTICAS DE LOS CONTRATOS PRESENTADOS PARA ACREDITAR LA EXPERIENCIA EXIGIDA” del documento base de los documentos tipo</w:t>
            </w:r>
            <w:r w:rsidR="00BD5591">
              <w:rPr>
                <w:rFonts w:ascii="Verdana" w:eastAsia="Calibri" w:hAnsi="Verdana" w:cs="Arial"/>
                <w:color w:val="000000"/>
                <w:lang w:val="es-MX"/>
              </w:rPr>
              <w:t xml:space="preserve"> referidos</w:t>
            </w:r>
            <w:r w:rsidRPr="00F04ACB">
              <w:rPr>
                <w:rFonts w:ascii="Verdana" w:eastAsia="Calibri" w:hAnsi="Verdana" w:cs="Arial"/>
                <w:color w:val="000000"/>
                <w:lang w:val="es-MX"/>
              </w:rPr>
              <w:t>, establece las reglas que deben tener en cuenta las entidades estatales y los particulares en caso de que se soliciten combinaciones de diferentes actividades a contratar de una misma o de diferentes matrices de experiencia</w:t>
            </w:r>
            <w:r>
              <w:rPr>
                <w:rFonts w:ascii="Verdana" w:eastAsia="Calibri" w:hAnsi="Verdana" w:cs="Arial"/>
                <w:color w:val="000000"/>
                <w:lang w:val="es-MX"/>
              </w:rPr>
              <w:t>.</w:t>
            </w:r>
          </w:p>
          <w:p w14:paraId="506BFDAF" w14:textId="77777777" w:rsidR="003A6B0D" w:rsidRPr="00F04ACB" w:rsidRDefault="003A6B0D" w:rsidP="00BD5591">
            <w:pPr>
              <w:spacing w:line="276" w:lineRule="auto"/>
              <w:contextualSpacing/>
              <w:jc w:val="both"/>
              <w:rPr>
                <w:rFonts w:ascii="Verdana" w:eastAsia="Calibri" w:hAnsi="Verdana" w:cs="Arial"/>
                <w:color w:val="000000"/>
                <w:lang w:val="es-MX"/>
              </w:rPr>
            </w:pPr>
          </w:p>
          <w:p w14:paraId="67CD6D15" w14:textId="4EB47E11" w:rsidR="003A6B0D" w:rsidRDefault="003A6B0D" w:rsidP="00BD5591">
            <w:pPr>
              <w:spacing w:line="276" w:lineRule="auto"/>
              <w:jc w:val="both"/>
              <w:rPr>
                <w:rFonts w:ascii="Verdana" w:eastAsia="Calibri" w:hAnsi="Verdana" w:cs="Arial"/>
                <w:color w:val="000000"/>
                <w:lang w:val="es-MX"/>
              </w:rPr>
            </w:pPr>
            <w:r w:rsidRPr="00B83A4F">
              <w:rPr>
                <w:rFonts w:ascii="Verdana" w:eastAsia="Calibri" w:hAnsi="Verdana" w:cs="Arial"/>
                <w:color w:val="000000"/>
                <w:lang w:val="es-MX"/>
              </w:rPr>
              <w:t xml:space="preserve">De esta forma, </w:t>
            </w:r>
            <w:r w:rsidRPr="00F04ACB">
              <w:rPr>
                <w:rFonts w:ascii="Verdana" w:eastAsia="Calibri" w:hAnsi="Verdana" w:cs="Arial"/>
                <w:color w:val="000000"/>
                <w:lang w:val="es-MX"/>
              </w:rPr>
              <w:t xml:space="preserve">en los documentos tipo se reguló de forma pormenorizada y con suficiencia las reglas para la combinación de diferentes actividades a contratar de una misma o de diferentes matrices de experiencia. </w:t>
            </w:r>
            <w:r w:rsidRPr="00BD5591">
              <w:rPr>
                <w:rFonts w:ascii="Verdana" w:eastAsia="Calibri" w:hAnsi="Verdana" w:cs="Arial"/>
                <w:i/>
                <w:iCs/>
                <w:color w:val="000000"/>
                <w:lang w:val="es-MX"/>
              </w:rPr>
              <w:t>Este supuesto abarca los casos en que en un proyecto se pretenda ejecutar actividades que se encuentren en una misma matriz de experiencia, así como cuando las actividades que se requieren desarrollar se encuentren en otras matrices de experiencia de proyectos de otros documentos tipo adoptados por esta Agencia, como en el caso de su consulta que se requiere contratar obras de transporte y de agua potable y saneamiento básico,</w:t>
            </w:r>
            <w:r>
              <w:rPr>
                <w:rFonts w:ascii="Verdana" w:eastAsia="Calibri" w:hAnsi="Verdana" w:cs="Arial"/>
                <w:color w:val="000000"/>
                <w:lang w:val="es-MX"/>
              </w:rPr>
              <w:t xml:space="preserve"> por lo que se combina la experiencia de dos matrices de experiencia de los documentos tipo</w:t>
            </w:r>
            <w:r w:rsidR="00B83A4F">
              <w:rPr>
                <w:rFonts w:ascii="Verdana" w:eastAsia="Calibri" w:hAnsi="Verdana" w:cs="Arial"/>
                <w:color w:val="000000"/>
                <w:lang w:val="es-MX"/>
              </w:rPr>
              <w:t xml:space="preserve">. </w:t>
            </w:r>
            <w:r w:rsidR="00BD5591">
              <w:rPr>
                <w:rFonts w:ascii="Verdana" w:eastAsia="Calibri" w:hAnsi="Verdana" w:cs="Arial"/>
                <w:color w:val="000000"/>
                <w:lang w:val="es-MX"/>
              </w:rPr>
              <w:t>En este sentido, p</w:t>
            </w:r>
            <w:r w:rsidR="00B83A4F">
              <w:rPr>
                <w:rFonts w:ascii="Verdana" w:eastAsia="Calibri" w:hAnsi="Verdana" w:cs="Arial"/>
                <w:color w:val="000000"/>
                <w:lang w:val="es-MX"/>
              </w:rPr>
              <w:t>ara realizar la combinación de experiencia</w:t>
            </w:r>
            <w:r w:rsidR="00BD5591">
              <w:rPr>
                <w:rFonts w:ascii="Verdana" w:eastAsia="Calibri" w:hAnsi="Verdana" w:cs="Arial"/>
                <w:color w:val="000000"/>
                <w:lang w:val="es-MX"/>
              </w:rPr>
              <w:t xml:space="preserve"> entre los documentos tipo</w:t>
            </w:r>
            <w:r w:rsidR="00B83A4F">
              <w:rPr>
                <w:rFonts w:ascii="Verdana" w:eastAsia="Calibri" w:hAnsi="Verdana" w:cs="Arial"/>
                <w:color w:val="000000"/>
                <w:lang w:val="es-MX"/>
              </w:rPr>
              <w:t xml:space="preserve">, las Entidades deberán seguir los parámetros que se señalan en la parte considerativa de este concepto. </w:t>
            </w:r>
          </w:p>
          <w:p w14:paraId="647F82FF" w14:textId="77777777" w:rsidR="00B83A4F" w:rsidRPr="00B83A4F" w:rsidRDefault="00B83A4F" w:rsidP="00BD5591">
            <w:pPr>
              <w:spacing w:line="276" w:lineRule="auto"/>
              <w:jc w:val="both"/>
              <w:rPr>
                <w:rFonts w:ascii="Verdana" w:eastAsia="Calibri" w:hAnsi="Verdana" w:cs="Arial"/>
                <w:color w:val="000000"/>
                <w:lang w:val="es-MX"/>
              </w:rPr>
            </w:pPr>
          </w:p>
          <w:p w14:paraId="4EDEB218" w14:textId="45C78DAF" w:rsidR="003A6B0D" w:rsidRDefault="003A6B0D" w:rsidP="00BD5591">
            <w:pPr>
              <w:spacing w:line="276" w:lineRule="auto"/>
              <w:jc w:val="both"/>
              <w:rPr>
                <w:rFonts w:ascii="Verdana" w:eastAsia="Calibri" w:hAnsi="Verdana" w:cs="Times New Roman"/>
                <w:lang w:val="es-ES"/>
              </w:rPr>
            </w:pPr>
            <w:r w:rsidRPr="00F04ACB">
              <w:rPr>
                <w:rFonts w:ascii="Verdana" w:eastAsia="Calibri" w:hAnsi="Verdana" w:cs="Times New Roman"/>
                <w:lang w:val="es-ES"/>
              </w:rPr>
              <w:t>Conforme con</w:t>
            </w:r>
            <w:r w:rsidR="00BD5591">
              <w:rPr>
                <w:rFonts w:ascii="Verdana" w:eastAsia="Calibri" w:hAnsi="Verdana" w:cs="Times New Roman"/>
                <w:lang w:val="es-ES"/>
              </w:rPr>
              <w:t xml:space="preserve"> lo ante</w:t>
            </w:r>
            <w:r w:rsidR="00C639FE">
              <w:rPr>
                <w:rFonts w:ascii="Verdana" w:eastAsia="Calibri" w:hAnsi="Verdana" w:cs="Times New Roman"/>
                <w:lang w:val="es-ES"/>
              </w:rPr>
              <w:t>r</w:t>
            </w:r>
            <w:r w:rsidR="00BD5591">
              <w:rPr>
                <w:rFonts w:ascii="Verdana" w:eastAsia="Calibri" w:hAnsi="Verdana" w:cs="Times New Roman"/>
                <w:lang w:val="es-ES"/>
              </w:rPr>
              <w:t>ior</w:t>
            </w:r>
            <w:r w:rsidRPr="00F04ACB">
              <w:rPr>
                <w:rFonts w:ascii="Verdana" w:eastAsia="Calibri" w:hAnsi="Verdana" w:cs="Times New Roman"/>
                <w:lang w:val="es-ES"/>
              </w:rPr>
              <w:t xml:space="preserve">, de acuerdo con la regla prevista en el numeral i) del numeral 3.5.2 “Características de los contratos presentados para acreditar la experiencia exigida”, contenida en el documento tipo de licitación de obra pública de infraestructura de transporte – versión 4, es posible llevar a cabo la combinación de experiencia bien sea de la misma matriz del sector o de otra matriz de experiencia de otro sector distinto al de infraestructura de transporte, que haya sido adoptada por la Agencia Nacional de Contratación Pública – Colombia Compra Eficiente, siempre y cuando la entidad, determine cual será la actividad principal y </w:t>
            </w:r>
            <w:r w:rsidR="00C639FE" w:rsidRPr="00F04ACB">
              <w:rPr>
                <w:rFonts w:ascii="Verdana" w:eastAsia="Calibri" w:hAnsi="Verdana" w:cs="Times New Roman"/>
                <w:lang w:val="es-ES"/>
              </w:rPr>
              <w:t>c</w:t>
            </w:r>
            <w:r w:rsidR="00C639FE">
              <w:rPr>
                <w:rFonts w:ascii="Verdana" w:eastAsia="Calibri" w:hAnsi="Verdana" w:cs="Times New Roman"/>
                <w:lang w:val="es-ES"/>
              </w:rPr>
              <w:t>u</w:t>
            </w:r>
            <w:r w:rsidR="00C639FE" w:rsidRPr="00F04ACB">
              <w:rPr>
                <w:rFonts w:ascii="Verdana" w:eastAsia="Calibri" w:hAnsi="Verdana" w:cs="Times New Roman"/>
                <w:lang w:val="es-ES"/>
              </w:rPr>
              <w:t>ál</w:t>
            </w:r>
            <w:r w:rsidRPr="00F04ACB">
              <w:rPr>
                <w:rFonts w:ascii="Verdana" w:eastAsia="Calibri" w:hAnsi="Verdana" w:cs="Times New Roman"/>
                <w:lang w:val="es-ES"/>
              </w:rPr>
              <w:t xml:space="preserve"> o c</w:t>
            </w:r>
            <w:r w:rsidR="00C639FE">
              <w:rPr>
                <w:rFonts w:ascii="Verdana" w:eastAsia="Calibri" w:hAnsi="Verdana" w:cs="Times New Roman"/>
                <w:lang w:val="es-ES"/>
              </w:rPr>
              <w:t>uá</w:t>
            </w:r>
            <w:r w:rsidRPr="00F04ACB">
              <w:rPr>
                <w:rFonts w:ascii="Verdana" w:eastAsia="Calibri" w:hAnsi="Verdana" w:cs="Times New Roman"/>
                <w:lang w:val="es-ES"/>
              </w:rPr>
              <w:t xml:space="preserve">les las actividades secundarias, donde deberá dar estricto cumplimiento a las condiciones contenidas en el numeral señalado. </w:t>
            </w:r>
          </w:p>
          <w:p w14:paraId="331AC900" w14:textId="77777777" w:rsidR="00BD5591" w:rsidRDefault="00BD5591" w:rsidP="00BD5591">
            <w:pPr>
              <w:spacing w:line="276" w:lineRule="auto"/>
              <w:jc w:val="both"/>
              <w:rPr>
                <w:rFonts w:ascii="Verdana" w:eastAsia="Calibri" w:hAnsi="Verdana" w:cs="Times New Roman"/>
                <w:lang w:val="es-ES"/>
              </w:rPr>
            </w:pPr>
          </w:p>
          <w:p w14:paraId="09E0C2F7" w14:textId="3BCAC2FF" w:rsidR="00BD5591" w:rsidRPr="00C639FE" w:rsidRDefault="00C639FE" w:rsidP="00BD5591">
            <w:pPr>
              <w:jc w:val="both"/>
              <w:rPr>
                <w:rFonts w:ascii="Verdana" w:eastAsia="Calibri" w:hAnsi="Verdana" w:cs="Times New Roman"/>
                <w:lang w:val="es-ES"/>
              </w:rPr>
            </w:pPr>
            <w:r>
              <w:rPr>
                <w:rFonts w:ascii="Verdana" w:eastAsia="Calibri" w:hAnsi="Verdana" w:cs="Times New Roman"/>
                <w:lang w:val="es-ES"/>
              </w:rPr>
              <w:lastRenderedPageBreak/>
              <w:t xml:space="preserve">En este sentido, la Entidad que adelanta el proceso de selección, deberá aplicar, para efectos de la combinación de experiencia, las actividades previstas en </w:t>
            </w:r>
            <w:r w:rsidR="00BD5591" w:rsidRPr="00C639FE">
              <w:rPr>
                <w:rFonts w:ascii="Verdana" w:eastAsia="Calibri" w:hAnsi="Verdana" w:cs="Times New Roman"/>
                <w:lang w:val="es-ES"/>
              </w:rPr>
              <w:t xml:space="preserve">la Matriz 1  - Experiencia </w:t>
            </w:r>
            <w:r w:rsidRPr="00C639FE">
              <w:rPr>
                <w:rFonts w:ascii="Verdana" w:eastAsia="Calibri" w:hAnsi="Verdana" w:cs="Times New Roman"/>
                <w:lang w:val="es-ES"/>
              </w:rPr>
              <w:t>de los d</w:t>
            </w:r>
            <w:r w:rsidR="00BD5591" w:rsidRPr="00C639FE">
              <w:rPr>
                <w:rFonts w:ascii="Verdana" w:eastAsia="Calibri" w:hAnsi="Verdana" w:cs="Times New Roman"/>
                <w:lang w:val="es-ES"/>
              </w:rPr>
              <w:t xml:space="preserve">ocumento tipo de licitación </w:t>
            </w:r>
            <w:r w:rsidRPr="00C639FE">
              <w:rPr>
                <w:rFonts w:ascii="Verdana" w:eastAsia="Calibri" w:hAnsi="Verdana" w:cs="Times New Roman"/>
                <w:lang w:val="es-ES"/>
              </w:rPr>
              <w:t xml:space="preserve">de obra pública de infraestructura de transporte – versión 4 que está constituida por nueve (9)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con las actividades previstas en los documentos tipo de licitación de obra pública de infraestructura de agua potable y saneamiento básico </w:t>
            </w:r>
            <w:r w:rsidR="00BD5591" w:rsidRPr="00C639FE">
              <w:rPr>
                <w:rFonts w:ascii="Verdana" w:eastAsia="Calibri" w:hAnsi="Verdana" w:cs="Times New Roman"/>
                <w:lang w:val="es-ES"/>
              </w:rPr>
              <w:t>versión 3, constituida por siete (7) tipos de obras de infraestructura de transporte, identificadas con un número y su descripción, los cuales son: 1) Obras de Acueductos 2) Obras de Alcantarillados (sanitarios y/o pluviales y/o combinado) 3) Obras de aseo y/o manejo de residuos 4) Obras para PTAP (planta de tratamiento de agua potable) y/o PTAR (planta de tratamiento de aguas residuales) 5) Unidades sanitarias para vivienda rural dispersa 6) Sistemas no convencionales de potabilización y tratamiento de aguas residuales  7) Estudios y diseños (en el caso de proyectos que requieran labores de: estudios, diseños y construcción).</w:t>
            </w:r>
          </w:p>
          <w:p w14:paraId="50631909" w14:textId="77777777" w:rsidR="003A6B0D" w:rsidRDefault="003A6B0D" w:rsidP="00BD5591">
            <w:pPr>
              <w:spacing w:line="276" w:lineRule="auto"/>
              <w:jc w:val="both"/>
              <w:rPr>
                <w:rFonts w:ascii="Verdana" w:eastAsia="Calibri" w:hAnsi="Verdana" w:cs="Times New Roman"/>
                <w:lang w:val="es-ES"/>
              </w:rPr>
            </w:pPr>
          </w:p>
          <w:p w14:paraId="04C451B4" w14:textId="428D1CC9" w:rsidR="003A6B0D" w:rsidRDefault="00B83A4F" w:rsidP="00A2293E">
            <w:pPr>
              <w:spacing w:line="276" w:lineRule="auto"/>
              <w:jc w:val="both"/>
              <w:rPr>
                <w:rFonts w:ascii="Verdana" w:eastAsia="Calibri" w:hAnsi="Verdana" w:cs="Times New Roman"/>
                <w:lang w:val="es-ES"/>
              </w:rPr>
            </w:pPr>
            <w:r>
              <w:rPr>
                <w:rFonts w:ascii="Verdana" w:eastAsia="Calibri" w:hAnsi="Verdana" w:cs="Times New Roman"/>
                <w:lang w:val="es-ES"/>
              </w:rPr>
              <w:t xml:space="preserve">Precisado lo anterior, concretamente, para responder al problema jurídico planteado en este concepto. Debe indicarse que, </w:t>
            </w:r>
            <w:r w:rsidR="003A6B0D" w:rsidRPr="009E2298">
              <w:rPr>
                <w:rFonts w:ascii="Verdana" w:eastAsia="Calibri" w:hAnsi="Verdana" w:cs="Times New Roman"/>
                <w:lang w:val="es-ES"/>
              </w:rPr>
              <w:t>le corresponde a la entidad conforme con la información contenida en sus estudios previos, determinar qu</w:t>
            </w:r>
            <w:r>
              <w:rPr>
                <w:rFonts w:ascii="Verdana" w:eastAsia="Calibri" w:hAnsi="Verdana" w:cs="Times New Roman"/>
                <w:lang w:val="es-ES"/>
              </w:rPr>
              <w:t>é</w:t>
            </w:r>
            <w:r w:rsidR="003A6B0D" w:rsidRPr="009E2298">
              <w:rPr>
                <w:rFonts w:ascii="Verdana" w:eastAsia="Calibri" w:hAnsi="Verdana" w:cs="Times New Roman"/>
                <w:lang w:val="es-ES"/>
              </w:rPr>
              <w:t xml:space="preserve"> documento tipo aplica en función de la Actividad Principal o aquella que represente la mayor relevancia, de acuerdo con las características del proyecto que pretende contratar y que podrá estar en función de la complejidad técnica del mismo o por su valor frente al presupuesto Oficial.</w:t>
            </w:r>
          </w:p>
          <w:p w14:paraId="33386F6F" w14:textId="77777777" w:rsidR="00A2293E" w:rsidRDefault="00A2293E" w:rsidP="00A2293E">
            <w:pPr>
              <w:spacing w:line="276" w:lineRule="auto"/>
              <w:jc w:val="both"/>
              <w:rPr>
                <w:rFonts w:ascii="Verdana" w:eastAsia="Calibri" w:hAnsi="Verdana" w:cs="Times New Roman"/>
                <w:lang w:val="es-ES"/>
              </w:rPr>
            </w:pPr>
          </w:p>
          <w:p w14:paraId="7A7F1B49" w14:textId="5B212E94" w:rsidR="003A6B0D" w:rsidRDefault="00A2293E" w:rsidP="00A2293E">
            <w:pPr>
              <w:spacing w:line="259" w:lineRule="auto"/>
              <w:jc w:val="both"/>
              <w:rPr>
                <w:rFonts w:ascii="Verdana" w:eastAsia="Calibri" w:hAnsi="Verdana" w:cs="Times New Roman"/>
                <w:lang w:val="es-ES"/>
              </w:rPr>
            </w:pPr>
            <w:r>
              <w:rPr>
                <w:rFonts w:ascii="Verdana" w:eastAsia="Calibri" w:hAnsi="Verdana" w:cs="Times New Roman"/>
                <w:lang w:val="es-ES"/>
              </w:rPr>
              <w:t xml:space="preserve">Debe advertirse que, en los documentos tipo de licitación de obra pública de infraestructura de agua potable y saneamiento básico, adoptados por medio de la Resolución 248 de 2020, las reglas para la combinación de la experiencia entre documentos tipo expedidos por la Agencia Nacional de Contratación Pública – Colombia Compra Eficiente, aplican mutatis mutandis con el mismo alcance que se explicó en relación con los documentos tipo de licitación de obra pública de infraestructura de transporte – versión 4. </w:t>
            </w:r>
          </w:p>
          <w:p w14:paraId="3BF17BFE" w14:textId="77777777" w:rsidR="00A2293E" w:rsidRPr="00F04ACB" w:rsidRDefault="00A2293E" w:rsidP="00A2293E">
            <w:pPr>
              <w:spacing w:line="259" w:lineRule="auto"/>
              <w:jc w:val="both"/>
              <w:rPr>
                <w:rFonts w:ascii="Verdana" w:eastAsia="Calibri" w:hAnsi="Verdana" w:cs="Times New Roman"/>
                <w:lang w:val="es-ES"/>
              </w:rPr>
            </w:pPr>
          </w:p>
          <w:p w14:paraId="7946C8DC" w14:textId="680D3A32" w:rsidR="003A6B0D" w:rsidRPr="000A057C" w:rsidRDefault="003A6B0D" w:rsidP="00A2293E">
            <w:pPr>
              <w:snapToGrid w:val="0"/>
              <w:spacing w:line="276" w:lineRule="auto"/>
              <w:jc w:val="both"/>
              <w:rPr>
                <w:rFonts w:ascii="Verdana" w:eastAsia="Aptos" w:hAnsi="Verdana" w:cs="Arial"/>
                <w:bCs/>
                <w:lang w:val="es-MX"/>
              </w:rPr>
            </w:pPr>
            <w:r>
              <w:rPr>
                <w:rFonts w:ascii="Verdana" w:eastAsia="Calibri" w:hAnsi="Verdana" w:cs="Arial"/>
              </w:rPr>
              <w:lastRenderedPageBreak/>
              <w:t>Por último</w:t>
            </w:r>
            <w:r w:rsidRPr="000A057C">
              <w:rPr>
                <w:rFonts w:ascii="Verdana" w:eastAsia="Calibri" w:hAnsi="Verdana" w:cs="Arial"/>
              </w:rPr>
              <w:t xml:space="preserve">, </w:t>
            </w:r>
            <w:r w:rsidR="00A2293E">
              <w:rPr>
                <w:rFonts w:ascii="Verdana" w:eastAsia="Calibri" w:hAnsi="Verdana" w:cs="Arial"/>
              </w:rPr>
              <w:t xml:space="preserve">le indicamos que, </w:t>
            </w:r>
            <w:r w:rsidRPr="000A057C">
              <w:rPr>
                <w:rFonts w:ascii="Verdana" w:eastAsia="Calibri" w:hAnsi="Verdana" w:cs="Arial"/>
              </w:rPr>
              <w:t>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7F8500BB" w14:textId="77777777" w:rsidR="003A6B0D" w:rsidRPr="000A057C" w:rsidRDefault="003A6B0D" w:rsidP="003A6B0D">
      <w:pPr>
        <w:tabs>
          <w:tab w:val="left" w:pos="142"/>
          <w:tab w:val="left" w:pos="284"/>
        </w:tabs>
        <w:spacing w:after="0" w:line="276" w:lineRule="auto"/>
        <w:jc w:val="both"/>
        <w:rPr>
          <w:rFonts w:ascii="Verdana" w:eastAsia="Century Gothic" w:hAnsi="Verdana" w:cs="Century Gothic"/>
          <w:b/>
          <w:bCs/>
          <w:lang w:val="es-ES"/>
        </w:rPr>
      </w:pPr>
    </w:p>
    <w:p w14:paraId="2C7A04B7" w14:textId="77777777" w:rsidR="003A6B0D" w:rsidRPr="000A057C" w:rsidRDefault="003A6B0D" w:rsidP="003A6B0D">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3. </w:t>
      </w:r>
      <w:r w:rsidRPr="000A057C">
        <w:rPr>
          <w:rFonts w:ascii="Verdana" w:eastAsia="Century Gothic" w:hAnsi="Verdana" w:cs="Century Gothic"/>
          <w:b/>
          <w:bCs/>
          <w:lang w:val="es-ES"/>
        </w:rPr>
        <w:t>Razones de la respuesta:</w:t>
      </w:r>
    </w:p>
    <w:p w14:paraId="6013A0D8" w14:textId="77777777" w:rsidR="003A6B0D" w:rsidRPr="000A057C" w:rsidRDefault="003A6B0D" w:rsidP="003A6B0D">
      <w:pPr>
        <w:spacing w:after="0" w:line="276" w:lineRule="auto"/>
        <w:jc w:val="both"/>
        <w:rPr>
          <w:rFonts w:ascii="Verdana" w:eastAsia="Calibri" w:hAnsi="Verdana" w:cs="Arial"/>
          <w:lang w:val="es-ES"/>
        </w:rPr>
      </w:pPr>
    </w:p>
    <w:p w14:paraId="6C0E596E" w14:textId="77777777" w:rsidR="003A6B0D" w:rsidRPr="000A057C" w:rsidRDefault="003A6B0D" w:rsidP="003A6B0D">
      <w:pPr>
        <w:spacing w:after="0" w:line="276" w:lineRule="auto"/>
        <w:jc w:val="both"/>
        <w:rPr>
          <w:rFonts w:ascii="Verdana" w:eastAsia="Calibri" w:hAnsi="Verdana" w:cs="Arial"/>
          <w:lang w:val="es-ES"/>
        </w:rPr>
      </w:pPr>
      <w:r w:rsidRPr="000A057C">
        <w:rPr>
          <w:rFonts w:ascii="Verdana" w:eastAsia="Calibri" w:hAnsi="Verdana" w:cs="Arial"/>
          <w:lang w:val="es-ES"/>
        </w:rPr>
        <w:t xml:space="preserve">Lo anterior se sustenta en las siguientes consideraciones: </w:t>
      </w:r>
    </w:p>
    <w:p w14:paraId="7D89BE6E" w14:textId="77777777" w:rsidR="003A6B0D" w:rsidRPr="000A057C" w:rsidRDefault="003A6B0D" w:rsidP="003A6B0D">
      <w:pPr>
        <w:spacing w:after="0" w:line="276" w:lineRule="auto"/>
        <w:jc w:val="both"/>
        <w:rPr>
          <w:rFonts w:ascii="Verdana" w:eastAsia="Calibri" w:hAnsi="Verdana" w:cs="Arial"/>
          <w:lang w:val="es-ES"/>
        </w:rPr>
      </w:pPr>
    </w:p>
    <w:p w14:paraId="5E3A8A74" w14:textId="77777777" w:rsidR="00C639FE" w:rsidRPr="0029795D" w:rsidRDefault="00C639FE" w:rsidP="00C639FE">
      <w:pPr>
        <w:widowControl w:val="0"/>
        <w:autoSpaceDE w:val="0"/>
        <w:autoSpaceDN w:val="0"/>
        <w:spacing w:after="120" w:line="276" w:lineRule="auto"/>
        <w:jc w:val="both"/>
        <w:rPr>
          <w:rFonts w:ascii="Verdana" w:eastAsia="Calibri" w:hAnsi="Verdana" w:cs="Times New Roman"/>
          <w:lang w:val="es-ES"/>
        </w:rPr>
      </w:pPr>
      <w:bookmarkStart w:id="1" w:name="_Hlk113022941"/>
      <w:r w:rsidRPr="0029795D">
        <w:rPr>
          <w:rFonts w:ascii="Verdana" w:eastAsia="Calibri" w:hAnsi="Verdana" w:cs="Times New Roman"/>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06DE5EF5" w14:textId="77777777" w:rsidR="00C639FE" w:rsidRPr="0029795D" w:rsidRDefault="00C639FE" w:rsidP="00C639FE">
      <w:pPr>
        <w:widowControl w:val="0"/>
        <w:autoSpaceDE w:val="0"/>
        <w:autoSpaceDN w:val="0"/>
        <w:spacing w:after="120" w:line="276" w:lineRule="auto"/>
        <w:ind w:firstLine="708"/>
        <w:jc w:val="both"/>
        <w:rPr>
          <w:rFonts w:ascii="Verdana" w:eastAsia="Calibri" w:hAnsi="Verdana" w:cs="Times New Roman"/>
          <w:lang w:val="es-ES"/>
        </w:rPr>
      </w:pPr>
      <w:r w:rsidRPr="0029795D">
        <w:rPr>
          <w:rFonts w:ascii="Verdana" w:eastAsia="Calibri" w:hAnsi="Verdana" w:cs="Times New Roman"/>
          <w:lang w:val="es-ES"/>
        </w:rPr>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BB61F18" w14:textId="3A8E84D4" w:rsidR="00B83A4F" w:rsidRPr="00C639FE" w:rsidRDefault="00C639FE" w:rsidP="00C639FE">
      <w:pPr>
        <w:spacing w:after="120" w:line="276" w:lineRule="auto"/>
        <w:ind w:firstLine="708"/>
        <w:jc w:val="both"/>
        <w:rPr>
          <w:rFonts w:ascii="Verdana" w:eastAsia="Calibri" w:hAnsi="Verdana" w:cs="Arial"/>
        </w:rPr>
      </w:pPr>
      <w:r>
        <w:rPr>
          <w:rFonts w:ascii="Verdana" w:eastAsia="Calibri" w:hAnsi="Verdana" w:cs="Times New Roman"/>
          <w:lang w:val="es-ES"/>
        </w:rPr>
        <w:t>Considerando el problema jurídico planteado en este concepto, debe indicarse que, e</w:t>
      </w:r>
      <w:r w:rsidRPr="0029795D">
        <w:rPr>
          <w:rFonts w:ascii="Verdana" w:eastAsia="Calibri" w:hAnsi="Verdana" w:cs="Times New Roman"/>
          <w:lang w:val="es-ES"/>
        </w:rPr>
        <w:t>n el sector de infraestructura de agua potable y saneamiento básico, la Agencia Nacional de Contratación Pública – Colombia Compra Eficiente, mediante la Resolución 248 del 1 de diciembre de 2020, adoptó los documentos tipo para los procesos de licitación pública para obras de infraestructura de agua potable y saneamiento básico.</w:t>
      </w:r>
      <w:r>
        <w:rPr>
          <w:rFonts w:ascii="Verdana" w:eastAsia="Calibri" w:hAnsi="Verdana" w:cs="Arial"/>
          <w:lang w:val="es-ES"/>
        </w:rPr>
        <w:t xml:space="preserve"> Por su parte, </w:t>
      </w:r>
      <w:r w:rsidR="003A6B0D" w:rsidRPr="000A057C">
        <w:rPr>
          <w:rFonts w:ascii="Verdana" w:eastAsia="Aptos" w:hAnsi="Verdana" w:cs="Arial"/>
          <w:lang w:val="es-ES"/>
        </w:rPr>
        <w:t xml:space="preserve">mediante la </w:t>
      </w:r>
      <w:r w:rsidR="003A6B0D" w:rsidRPr="000A057C">
        <w:rPr>
          <w:rFonts w:ascii="Verdana" w:eastAsia="Aptos" w:hAnsi="Verdana" w:cs="Arial"/>
          <w:lang w:val="es-ES"/>
        </w:rPr>
        <w:lastRenderedPageBreak/>
        <w:t xml:space="preserve">Resolución 465 del 10 de septiembre de 2024, se adoptó la </w:t>
      </w:r>
      <w:r w:rsidR="003A6B0D" w:rsidRPr="000A057C">
        <w:rPr>
          <w:rFonts w:ascii="Verdana" w:eastAsia="Calibri" w:hAnsi="Verdana" w:cs="Arial"/>
        </w:rPr>
        <w:t xml:space="preserve">versión 4 </w:t>
      </w:r>
      <w:r>
        <w:rPr>
          <w:rFonts w:ascii="Verdana" w:eastAsia="Calibri" w:hAnsi="Verdana" w:cs="Arial"/>
        </w:rPr>
        <w:t xml:space="preserve">de los documentos tipo de licitación de obra pública de infraestructura de transporte – versión 4 </w:t>
      </w:r>
      <w:r w:rsidR="003A6B0D" w:rsidRPr="000A057C">
        <w:rPr>
          <w:rFonts w:ascii="Verdana" w:eastAsia="Calibri" w:hAnsi="Verdana" w:cs="Arial"/>
        </w:rPr>
        <w:t xml:space="preserve">y se derogó la Resolución 240 de 2020. </w:t>
      </w:r>
    </w:p>
    <w:p w14:paraId="79741F9E" w14:textId="77777777" w:rsidR="00B83A4F" w:rsidRDefault="003A6B0D" w:rsidP="00B83A4F">
      <w:pPr>
        <w:spacing w:after="120" w:line="276" w:lineRule="auto"/>
        <w:ind w:firstLine="708"/>
        <w:jc w:val="both"/>
        <w:rPr>
          <w:rFonts w:ascii="Verdana" w:eastAsia="Aptos" w:hAnsi="Verdana" w:cs="Arial"/>
          <w:lang w:val="es-ES"/>
        </w:rPr>
      </w:pPr>
      <w:r w:rsidRPr="000A057C">
        <w:rPr>
          <w:rFonts w:ascii="Verdana" w:eastAsia="Aptos" w:hAnsi="Verdana" w:cs="Arial"/>
          <w:lang w:val="es-ES"/>
        </w:rPr>
        <w:t>La parte introductoria del pliego de condiciones de los documentos tipo adoptados por medio de la Resolución 465 del 10 de septiembre de 2024, dispone que estos aplican a los procedimientos de selección de licitación de obra pública de infraestructura de transporte (versión 4), que correspondan a las actividades definidas en la “Matriz 1 – Experiencia”. En consecuencia, las actividades de infraestructura de transporte no contempladas en la Matriz 1 – Experiencia no tienen que aplicar los documentos tipo; sin perjuicio de lo previsto en el artículo 2.2.1.1.1.2.1 del Decreto 1082 de 2015 o la norma que la modifique, sustituya o complemente, además, de lo contenido en el artículo 4 de la Resolución 465 de 2024, en donde se indica la posibilidad de exigir experiencia adicional en determinados supuestos.</w:t>
      </w:r>
    </w:p>
    <w:p w14:paraId="1DE03FAA" w14:textId="77777777" w:rsidR="00B83A4F" w:rsidRDefault="003A6B0D" w:rsidP="00B83A4F">
      <w:pPr>
        <w:spacing w:after="120" w:line="276" w:lineRule="auto"/>
        <w:ind w:firstLine="708"/>
        <w:jc w:val="both"/>
        <w:rPr>
          <w:rFonts w:ascii="Verdana" w:eastAsia="Aptos" w:hAnsi="Verdana" w:cs="Arial"/>
          <w:lang w:val="es-ES"/>
        </w:rPr>
      </w:pPr>
      <w:r w:rsidRPr="000A057C">
        <w:rPr>
          <w:rFonts w:ascii="Verdana" w:eastAsia="Calibri" w:hAnsi="Verdana" w:cs="Arial"/>
        </w:rPr>
        <w:t>De acuerdo con las condiciones fijadas en el “Documento Base” de la Resolución No. 465 del 10 de septiembre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w:t>
      </w:r>
      <w:r w:rsidRPr="00D41998">
        <w:rPr>
          <w:rStyle w:val="Refdenotaalpie"/>
          <w:rFonts w:ascii="Verdana" w:eastAsia="Calibri" w:hAnsi="Verdana" w:cs="Arial"/>
        </w:rPr>
        <w:footnoteReference w:id="1"/>
      </w:r>
      <w:r w:rsidRPr="000A057C">
        <w:rPr>
          <w:rFonts w:ascii="Verdana" w:eastAsia="Calibri" w:hAnsi="Verdana" w:cs="Arial"/>
        </w:rPr>
        <w:t xml:space="preserve">, que debieron terminar antes de la fecha de cierre del Proceso de Contratación. </w:t>
      </w:r>
    </w:p>
    <w:p w14:paraId="4C49A277" w14:textId="77777777" w:rsidR="00B83A4F" w:rsidRDefault="003A6B0D" w:rsidP="00B83A4F">
      <w:pPr>
        <w:spacing w:after="120" w:line="276" w:lineRule="auto"/>
        <w:ind w:firstLine="708"/>
        <w:jc w:val="both"/>
        <w:rPr>
          <w:rFonts w:ascii="Verdana" w:eastAsia="Aptos" w:hAnsi="Verdana" w:cs="Arial"/>
          <w:lang w:val="es-ES"/>
        </w:rPr>
      </w:pPr>
      <w:r w:rsidRPr="000A057C">
        <w:rPr>
          <w:rFonts w:ascii="Verdana" w:eastAsia="Calibri" w:hAnsi="Verdana" w:cs="Arial"/>
        </w:rPr>
        <w:t xml:space="preserve">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de obra de infraestructura de transporte; </w:t>
      </w:r>
      <w:proofErr w:type="spellStart"/>
      <w:r w:rsidRPr="000A057C">
        <w:rPr>
          <w:rFonts w:ascii="Verdana" w:eastAsia="Calibri" w:hAnsi="Verdana" w:cs="Arial"/>
        </w:rPr>
        <w:t>ii</w:t>
      </w:r>
      <w:proofErr w:type="spellEnd"/>
      <w:r w:rsidRPr="000A057C">
        <w:rPr>
          <w:rFonts w:ascii="Verdana" w:eastAsia="Calibri" w:hAnsi="Verdana" w:cs="Arial"/>
        </w:rPr>
        <w:t xml:space="preserve">) la actividad a contratar, y </w:t>
      </w:r>
      <w:proofErr w:type="spellStart"/>
      <w:r w:rsidRPr="000A057C">
        <w:rPr>
          <w:rFonts w:ascii="Verdana" w:eastAsia="Calibri" w:hAnsi="Verdana" w:cs="Arial"/>
        </w:rPr>
        <w:t>iii</w:t>
      </w:r>
      <w:proofErr w:type="spellEnd"/>
      <w:r w:rsidRPr="000A057C">
        <w:rPr>
          <w:rFonts w:ascii="Verdana" w:eastAsia="Calibri" w:hAnsi="Verdana" w:cs="Arial"/>
        </w:rPr>
        <w:t>) la cuantía del Proceso de Contratación.</w:t>
      </w:r>
    </w:p>
    <w:p w14:paraId="44695563" w14:textId="77777777" w:rsidR="00B83A4F" w:rsidRDefault="003A6B0D" w:rsidP="00B83A4F">
      <w:pPr>
        <w:spacing w:after="120" w:line="276" w:lineRule="auto"/>
        <w:ind w:firstLine="708"/>
        <w:jc w:val="both"/>
        <w:rPr>
          <w:rFonts w:ascii="Verdana" w:eastAsia="Aptos" w:hAnsi="Verdana" w:cs="Arial"/>
          <w:lang w:val="es-ES"/>
        </w:rPr>
      </w:pPr>
      <w:r w:rsidRPr="000A057C">
        <w:rPr>
          <w:rFonts w:ascii="Verdana" w:eastAsia="Calibri" w:hAnsi="Verdana" w:cs="Arial"/>
        </w:rPr>
        <w:t xml:space="preserve">En relación con el primer aspecto, la Matriz 1 está constituida por nueve (9) tipos de obras de infraestructura de transporte, identificadas con un número y su descripción, los cuales son: 1) obras en vías primarias o secundarias, 2) </w:t>
      </w:r>
      <w:r w:rsidRPr="000A057C">
        <w:rPr>
          <w:rFonts w:ascii="Verdana" w:eastAsia="Calibri" w:hAnsi="Verdana" w:cs="Arial"/>
        </w:rPr>
        <w:lastRenderedPageBreak/>
        <w:t>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dado que comprenden todas aquellas actividades que constituyen obra pública de infraestructura de transporte y que han sido objeto de estandarización mediante la Resolución No. 465 del 10 de septiembre de 2024 para los procesos de licitación pública.</w:t>
      </w:r>
    </w:p>
    <w:p w14:paraId="7F19CC72" w14:textId="77777777" w:rsidR="00B83A4F" w:rsidRDefault="003A6B0D" w:rsidP="00B83A4F">
      <w:pPr>
        <w:spacing w:after="120" w:line="276" w:lineRule="auto"/>
        <w:ind w:firstLine="708"/>
        <w:jc w:val="both"/>
        <w:rPr>
          <w:rFonts w:ascii="Verdana" w:eastAsia="Aptos" w:hAnsi="Verdana" w:cs="Arial"/>
          <w:lang w:val="es-ES"/>
        </w:rPr>
      </w:pPr>
      <w:r w:rsidRPr="000A057C">
        <w:rPr>
          <w:rFonts w:ascii="Verdana" w:eastAsia="Calibri" w:hAnsi="Verdana" w:cs="Arial"/>
        </w:rPr>
        <w:t xml:space="preserve">Con respecto a la actividad a contratar, la Matriz 1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w:t>
      </w:r>
    </w:p>
    <w:p w14:paraId="2D2C4DAB" w14:textId="77777777" w:rsidR="00B83A4F" w:rsidRDefault="003A6B0D" w:rsidP="00B83A4F">
      <w:pPr>
        <w:spacing w:after="120" w:line="276" w:lineRule="auto"/>
        <w:ind w:firstLine="708"/>
        <w:jc w:val="both"/>
        <w:rPr>
          <w:rFonts w:ascii="Verdana" w:eastAsia="Aptos" w:hAnsi="Verdana" w:cs="Arial"/>
          <w:lang w:val="es-ES"/>
        </w:rPr>
      </w:pPr>
      <w:r w:rsidRPr="000A057C">
        <w:rPr>
          <w:rFonts w:ascii="Verdana" w:eastAsia="Calibri" w:hAnsi="Verdana" w:cs="Arial"/>
        </w:rPr>
        <w:t xml:space="preserve">De otra parte, el documento establece los rangos dentro de los cuales se debe identificar el presupuesto del Proceso de Contratación. Estos abarcan las cuantías mínimas y máximas que son frecuentes en los procesos de contratación de obra pública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0E085225" w14:textId="77777777" w:rsidR="00B83A4F" w:rsidRDefault="003A6B0D" w:rsidP="00B83A4F">
      <w:pPr>
        <w:spacing w:after="120" w:line="276" w:lineRule="auto"/>
        <w:ind w:firstLine="708"/>
        <w:jc w:val="both"/>
        <w:rPr>
          <w:rFonts w:ascii="Verdana" w:eastAsia="Aptos" w:hAnsi="Verdana" w:cs="Arial"/>
          <w:lang w:val="es-ES"/>
        </w:rPr>
      </w:pPr>
      <w:r w:rsidRPr="000A057C">
        <w:rPr>
          <w:rFonts w:ascii="Verdana" w:eastAsia="Calibri" w:hAnsi="Verdana" w:cs="Arial"/>
        </w:rPr>
        <w:t xml:space="preserve">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 No. 465 del 10 de septiembre de 2024 y, por tanto, la regla general es que no pueden ser alterados, modificados o adicionados en su contenido. </w:t>
      </w:r>
    </w:p>
    <w:p w14:paraId="7C22F409" w14:textId="77777777" w:rsidR="00B83A4F" w:rsidRDefault="003A6B0D" w:rsidP="00B83A4F">
      <w:pPr>
        <w:spacing w:after="120" w:line="276" w:lineRule="auto"/>
        <w:ind w:firstLine="708"/>
        <w:jc w:val="both"/>
        <w:rPr>
          <w:rFonts w:ascii="Verdana" w:eastAsia="Aptos" w:hAnsi="Verdana" w:cs="Arial"/>
          <w:lang w:val="es-ES"/>
        </w:rPr>
      </w:pPr>
      <w:r w:rsidRPr="000A057C">
        <w:rPr>
          <w:rFonts w:ascii="Verdana" w:eastAsia="Calibri" w:hAnsi="Verdana" w:cs="Arial"/>
        </w:rPr>
        <w:t xml:space="preserve">Ahora bien, en el documento base o pliego tipo adoptado por la Resolución No. 465 del 10 de septiembre de 2024, se desarrolla el numeral 3.5.1 “Determinación de los requisitos mínimos de experiencia según la Matriz 1 – Experiencia”, en el que la entidad debe justificar, expresa y suficientemente la complejidad del proyecto, determinando si es de baja–media o alta complejidad, y en función de ello implementar alguna de las variantes de la “Matriz 1 – </w:t>
      </w:r>
      <w:r w:rsidRPr="000A057C">
        <w:rPr>
          <w:rFonts w:ascii="Verdana" w:eastAsia="Calibri" w:hAnsi="Verdana" w:cs="Arial"/>
        </w:rPr>
        <w:lastRenderedPageBreak/>
        <w:t xml:space="preserve">Experiencia”, ya sea la de proyectos de baja–media o la elaborada para proyectos de alta complejidad técnica. En otras palabras, se crean dos matrices de experiencia: i) una para proyectos de complejidad técnica baja o media y </w:t>
      </w:r>
      <w:proofErr w:type="spellStart"/>
      <w:r w:rsidRPr="000A057C">
        <w:rPr>
          <w:rFonts w:ascii="Verdana" w:eastAsia="Calibri" w:hAnsi="Verdana" w:cs="Arial"/>
        </w:rPr>
        <w:t>ii</w:t>
      </w:r>
      <w:proofErr w:type="spellEnd"/>
      <w:r w:rsidRPr="000A057C">
        <w:rPr>
          <w:rFonts w:ascii="Verdana" w:eastAsia="Calibri" w:hAnsi="Verdana" w:cs="Arial"/>
        </w:rPr>
        <w:t xml:space="preserve">) otra para proyectos de complejidad técnica alta. Es decir, corresponde a la entidad determinar la complejidad técnica del proceso, a partir de diversas condiciones o circunstancias geográficas, geológicas, hidrológicas, climáticas, así como el alcance físico del proyecto de infraestructura de transporte, entre otros, como lo dispone el numeral 3.5.1. del Documento Base, dejando constancia de su análisis realizado para establecer la complejidad técnica del proyecto sin limitarse exclusivamente a la cuantía del proceso. </w:t>
      </w:r>
    </w:p>
    <w:p w14:paraId="474A0268" w14:textId="77777777" w:rsidR="008F7AF8" w:rsidRDefault="003A6B0D" w:rsidP="008F7AF8">
      <w:pPr>
        <w:spacing w:after="120" w:line="276" w:lineRule="auto"/>
        <w:ind w:firstLine="708"/>
        <w:jc w:val="both"/>
        <w:rPr>
          <w:rFonts w:ascii="Verdana" w:eastAsia="Aptos" w:hAnsi="Verdana" w:cs="Arial"/>
        </w:rPr>
      </w:pPr>
      <w:r w:rsidRPr="000A057C">
        <w:rPr>
          <w:rFonts w:ascii="Verdana" w:eastAsia="Calibri" w:hAnsi="Verdana" w:cs="Arial"/>
        </w:rPr>
        <w:t xml:space="preserve">Asimismo, en el referido numeral se indica que la entidad indicará el número y nombre de la actividad a contratar, para lo cual transcribirá textualmente lo indicado en la “Matriz 1-Experiencia”. Además, se señala que, en caso de requerir combinar experiencia se procederá según lo establecido en el literal A) del numeral 3.5.2, al cual se hará referencia </w:t>
      </w:r>
      <w:r w:rsidR="008F7AF8">
        <w:rPr>
          <w:rFonts w:ascii="Verdana" w:eastAsia="Calibri" w:hAnsi="Verdana" w:cs="Arial"/>
        </w:rPr>
        <w:t>a continuación</w:t>
      </w:r>
      <w:r w:rsidRPr="000A057C">
        <w:rPr>
          <w:rFonts w:ascii="Verdana" w:eastAsia="Calibri" w:hAnsi="Verdana" w:cs="Arial"/>
        </w:rPr>
        <w:t xml:space="preserve">. </w:t>
      </w:r>
    </w:p>
    <w:p w14:paraId="3DE1D6C2" w14:textId="49E5A9ED" w:rsidR="003A6B0D" w:rsidRPr="008F7AF8" w:rsidRDefault="008F7AF8" w:rsidP="008F7AF8">
      <w:pPr>
        <w:spacing w:after="120" w:line="276" w:lineRule="auto"/>
        <w:ind w:firstLine="708"/>
        <w:jc w:val="both"/>
        <w:rPr>
          <w:rFonts w:ascii="Verdana" w:eastAsia="Aptos" w:hAnsi="Verdana" w:cs="Arial"/>
          <w:lang w:val="es-ES"/>
        </w:rPr>
      </w:pPr>
      <w:r>
        <w:rPr>
          <w:rFonts w:ascii="Verdana" w:eastAsia="Aptos" w:hAnsi="Verdana" w:cs="Arial"/>
        </w:rPr>
        <w:t xml:space="preserve">En este sentido, debe indicarse que, </w:t>
      </w:r>
      <w:r w:rsidR="003A6B0D" w:rsidRPr="008F7AF8">
        <w:rPr>
          <w:rFonts w:ascii="Verdana" w:eastAsia="Calibri" w:hAnsi="Verdana" w:cs="Arial"/>
          <w:color w:val="000000"/>
          <w:lang w:val="es-MX"/>
        </w:rPr>
        <w:t>la “Matriz 1 – Experiencia” de los documentos tipo de licitación de obra pública de infraestructura de transporte – versión 4</w:t>
      </w:r>
      <w:r w:rsidR="003A6B0D" w:rsidRPr="008F7AF8">
        <w:rPr>
          <w:rFonts w:ascii="Verdana" w:eastAsia="Calibri" w:hAnsi="Verdana" w:cs="Arial"/>
          <w:lang w:val="es-MX"/>
        </w:rPr>
        <w:t>,</w:t>
      </w:r>
      <w:r w:rsidR="003A6B0D" w:rsidRPr="008F7AF8">
        <w:rPr>
          <w:rFonts w:ascii="Verdana" w:eastAsia="Calibri" w:hAnsi="Verdana" w:cs="Arial"/>
          <w:color w:val="000000"/>
          <w:lang w:val="es-MX"/>
        </w:rPr>
        <w:t xml:space="preserve"> en el acápite de “Reglas para definir la experiencia exigible en el proceso de contratación” </w:t>
      </w:r>
      <w:r w:rsidR="003A6B0D" w:rsidRPr="008F7AF8">
        <w:rPr>
          <w:rFonts w:ascii="Verdana" w:eastAsia="Calibri" w:hAnsi="Verdana" w:cs="Arial"/>
          <w:color w:val="000000"/>
        </w:rPr>
        <w:t>tanto de baja o mediana y alta complejidad se establece la regla vi) que prescribe lo siguiente:</w:t>
      </w:r>
    </w:p>
    <w:p w14:paraId="1BF8A0BA" w14:textId="77777777" w:rsidR="003A6B0D" w:rsidRPr="007E5876" w:rsidRDefault="003A6B0D" w:rsidP="003A6B0D">
      <w:pPr>
        <w:pStyle w:val="Prrafodelista"/>
        <w:spacing w:after="0" w:line="276" w:lineRule="auto"/>
        <w:jc w:val="both"/>
        <w:rPr>
          <w:rFonts w:ascii="Verdana" w:eastAsia="Calibri" w:hAnsi="Verdana" w:cs="Arial"/>
          <w:color w:val="000000"/>
        </w:rPr>
      </w:pPr>
    </w:p>
    <w:p w14:paraId="2C3AC7A7" w14:textId="77777777" w:rsidR="003A6B0D" w:rsidRPr="007E5876" w:rsidRDefault="003A6B0D" w:rsidP="003A6B0D">
      <w:pPr>
        <w:spacing w:after="0" w:line="240" w:lineRule="auto"/>
        <w:ind w:left="709" w:right="709"/>
        <w:jc w:val="both"/>
        <w:rPr>
          <w:rFonts w:ascii="Verdana" w:eastAsia="Calibri" w:hAnsi="Verdana" w:cs="Arial"/>
          <w:color w:val="000000"/>
          <w:sz w:val="21"/>
          <w:szCs w:val="21"/>
          <w:lang w:val="es-MX"/>
        </w:rPr>
      </w:pPr>
      <w:r w:rsidRPr="007E5876">
        <w:rPr>
          <w:rFonts w:ascii="Verdana" w:eastAsia="Calibri" w:hAnsi="Verdana" w:cs="Arial"/>
          <w:color w:val="000000"/>
          <w:sz w:val="21"/>
          <w:szCs w:val="21"/>
          <w:lang w:val="es-MX"/>
        </w:rPr>
        <w:t xml:space="preserve">“vi) Cuando el objeto del proceso de contratación contemple la ejecución de dos o más “Actividades a Contratar” (ej.: 1.1 y 7.1, o de actividades de diferentes matrices de experiencia y/o sectores), la entidad procederá de acuerdo con lo indicado en el Documento Base en relación con la combinación de experiencia”. </w:t>
      </w:r>
    </w:p>
    <w:p w14:paraId="660A2177" w14:textId="77777777" w:rsidR="003A6B0D" w:rsidRPr="007E5876" w:rsidRDefault="003A6B0D" w:rsidP="003A6B0D">
      <w:pPr>
        <w:spacing w:after="0" w:line="240" w:lineRule="auto"/>
        <w:jc w:val="both"/>
        <w:rPr>
          <w:rFonts w:ascii="Verdana" w:eastAsia="Calibri" w:hAnsi="Verdana" w:cs="Arial"/>
          <w:color w:val="000000"/>
          <w:lang w:val="es-MX"/>
        </w:rPr>
      </w:pPr>
    </w:p>
    <w:p w14:paraId="2DB2BD3B" w14:textId="77777777" w:rsidR="003A6B0D" w:rsidRPr="008F7AF8" w:rsidRDefault="003A6B0D" w:rsidP="008F7AF8">
      <w:pPr>
        <w:spacing w:after="0" w:line="276" w:lineRule="auto"/>
        <w:ind w:firstLine="708"/>
        <w:jc w:val="both"/>
        <w:rPr>
          <w:rFonts w:ascii="Verdana" w:eastAsia="Calibri" w:hAnsi="Verdana" w:cs="Arial"/>
          <w:color w:val="000000"/>
          <w:lang w:val="es-MX"/>
        </w:rPr>
      </w:pPr>
      <w:r w:rsidRPr="008F7AF8">
        <w:rPr>
          <w:rFonts w:ascii="Verdana" w:eastAsia="Calibri" w:hAnsi="Verdana" w:cs="Arial"/>
          <w:color w:val="000000"/>
          <w:lang w:val="es-MX"/>
        </w:rPr>
        <w:t>En armonía con lo anterior, el literal A del numeral 3.5.1. “CARACTERÍSTICAS DE LOS CONTRATOS PRESENTADOS PARA ACREDITAR LA EXPERIENCIA EXIGIDA” del documento base de los documentos tipo de licitación de obra pública de infraestructura de transporte – versión 4, establece las reglas que deben tener en cuenta las entidades estatales y los particulares en caso de que se soliciten combinaciones de diferentes actividades a contratar de una misma o de diferentes matrices de experiencia:</w:t>
      </w:r>
    </w:p>
    <w:p w14:paraId="3D124299" w14:textId="77777777" w:rsidR="003A6B0D" w:rsidRDefault="003A6B0D" w:rsidP="003A6B0D">
      <w:pPr>
        <w:spacing w:after="0" w:line="240" w:lineRule="auto"/>
        <w:contextualSpacing/>
        <w:jc w:val="both"/>
        <w:rPr>
          <w:rFonts w:ascii="Verdana" w:eastAsia="Calibri" w:hAnsi="Verdana" w:cs="Arial"/>
          <w:color w:val="000000"/>
          <w:lang w:val="es-MX"/>
        </w:rPr>
      </w:pPr>
    </w:p>
    <w:p w14:paraId="0091A9F9" w14:textId="77777777" w:rsidR="003A6B0D" w:rsidRPr="007E5876" w:rsidRDefault="003A6B0D" w:rsidP="003A6B0D">
      <w:pPr>
        <w:spacing w:after="120"/>
        <w:ind w:left="709" w:right="709" w:hanging="142"/>
        <w:rPr>
          <w:rFonts w:ascii="Verdana" w:eastAsia="Calibri" w:hAnsi="Verdana" w:cs="Arial"/>
          <w:color w:val="000000"/>
          <w:sz w:val="21"/>
          <w:szCs w:val="21"/>
          <w:lang w:val="es-MX"/>
        </w:rPr>
      </w:pPr>
      <w:r w:rsidRPr="007E5876">
        <w:rPr>
          <w:rFonts w:ascii="Verdana" w:eastAsia="Calibri" w:hAnsi="Verdana" w:cs="Arial"/>
          <w:color w:val="000000"/>
          <w:lang w:val="es-MX"/>
        </w:rPr>
        <w:tab/>
      </w:r>
      <w:r w:rsidRPr="007E5876">
        <w:rPr>
          <w:rFonts w:ascii="Verdana" w:eastAsia="Calibri" w:hAnsi="Verdana" w:cs="Arial"/>
          <w:color w:val="000000"/>
          <w:sz w:val="21"/>
          <w:szCs w:val="21"/>
          <w:lang w:val="es-MX"/>
        </w:rPr>
        <w:t>“</w:t>
      </w:r>
    </w:p>
    <w:p w14:paraId="6F326662" w14:textId="77777777" w:rsidR="003A6B0D" w:rsidRPr="007E5876" w:rsidRDefault="003A6B0D" w:rsidP="003A6B0D">
      <w:pPr>
        <w:spacing w:after="120"/>
        <w:ind w:left="709" w:right="709" w:hanging="142"/>
        <w:rPr>
          <w:rFonts w:ascii="Verdana" w:eastAsia="Times New Roman" w:hAnsi="Verdana" w:cs="Arial"/>
          <w:color w:val="000000"/>
          <w:sz w:val="21"/>
          <w:szCs w:val="21"/>
          <w:highlight w:val="lightGray"/>
          <w:lang w:eastAsia="es-ES"/>
        </w:rPr>
      </w:pPr>
      <w:r w:rsidRPr="007E5876">
        <w:rPr>
          <w:rFonts w:ascii="Verdana" w:eastAsia="Times New Roman" w:hAnsi="Verdana" w:cs="Arial"/>
          <w:color w:val="000000"/>
          <w:sz w:val="21"/>
          <w:szCs w:val="21"/>
          <w:highlight w:val="lightGray"/>
          <w:lang w:eastAsia="es-ES"/>
        </w:rPr>
        <w:lastRenderedPageBreak/>
        <w:t xml:space="preserve">(…) </w:t>
      </w:r>
    </w:p>
    <w:p w14:paraId="7B8EAEE4" w14:textId="77777777" w:rsidR="003A6B0D" w:rsidRPr="007E5876" w:rsidRDefault="003A6B0D" w:rsidP="003A6B0D">
      <w:pPr>
        <w:spacing w:after="120"/>
        <w:ind w:left="709" w:right="709" w:hanging="142"/>
        <w:jc w:val="both"/>
        <w:rPr>
          <w:rFonts w:ascii="Verdana" w:eastAsia="Times New Roman" w:hAnsi="Verdana" w:cs="Arial"/>
          <w:color w:val="000000"/>
          <w:sz w:val="21"/>
          <w:szCs w:val="21"/>
          <w:highlight w:val="lightGray"/>
          <w:lang w:eastAsia="es-ES"/>
        </w:rPr>
      </w:pPr>
      <w:r w:rsidRPr="007E5876">
        <w:rPr>
          <w:rFonts w:ascii="Verdana" w:eastAsia="Times New Roman" w:hAnsi="Verdana" w:cs="Arial"/>
          <w:color w:val="000000"/>
          <w:sz w:val="21"/>
          <w:szCs w:val="21"/>
          <w:highlight w:val="lightGray"/>
          <w:lang w:eastAsia="es-ES"/>
        </w:rPr>
        <w:t>i) [En el caso que eventualmente se soliciten combinaciones de diferentes actividades a contratar con una misma o diferentes matrices de experiencia, la Entidad en esta sección identificará y definirá la actividad principal o de mayor relevancia, y la actividad secundaria o accesoria a la principal, de acuerdo con las características del proyecto en particular. La Entidad podrá analizar la relevancia en función del valor de las actividades en el Presupuesto Oficial o por la complejidad técnica, para lo cual establecerá:</w:t>
      </w:r>
    </w:p>
    <w:p w14:paraId="2BD85EC9" w14:textId="77777777" w:rsidR="003A6B0D" w:rsidRPr="007E5876" w:rsidRDefault="003A6B0D" w:rsidP="003A6B0D">
      <w:pPr>
        <w:spacing w:after="120"/>
        <w:ind w:left="709" w:right="709"/>
        <w:jc w:val="both"/>
        <w:rPr>
          <w:rFonts w:ascii="Verdana" w:eastAsia="Times New Roman" w:hAnsi="Verdana" w:cs="Arial"/>
          <w:color w:val="000000"/>
          <w:sz w:val="21"/>
          <w:szCs w:val="21"/>
          <w:highlight w:val="lightGray"/>
          <w:lang w:eastAsia="es-ES"/>
        </w:rPr>
      </w:pPr>
      <w:r w:rsidRPr="007E5876">
        <w:rPr>
          <w:rFonts w:ascii="Verdana" w:eastAsia="Times New Roman" w:hAnsi="Verdana" w:cs="Arial"/>
          <w:b/>
          <w:bCs/>
          <w:color w:val="000000"/>
          <w:sz w:val="21"/>
          <w:szCs w:val="21"/>
          <w:highlight w:val="lightGray"/>
          <w:lang w:eastAsia="es-ES"/>
        </w:rPr>
        <w:t>Actividad Principal:</w:t>
      </w:r>
      <w:r w:rsidRPr="007E5876">
        <w:rPr>
          <w:rFonts w:ascii="Verdana" w:eastAsia="Times New Roman" w:hAnsi="Verdana" w:cs="Arial"/>
          <w:color w:val="000000"/>
          <w:sz w:val="21"/>
          <w:szCs w:val="21"/>
          <w:highlight w:val="lightGray"/>
          <w:lang w:eastAsia="es-ES"/>
        </w:rPr>
        <w:t xml:space="preserve"> [La Entidad identificará y definirá la actividad a contratar principal aplicable en el Proceso de Contratación de acuerdo con la Matriz 1 – Experiencia. Para esta actividad principal se solicitará la experiencia general y específica de la respectiva actividad a contratar de mayor relevancia.]</w:t>
      </w:r>
    </w:p>
    <w:p w14:paraId="26B90589" w14:textId="77777777" w:rsidR="003A6B0D" w:rsidRPr="007E5876" w:rsidRDefault="003A6B0D" w:rsidP="003A6B0D">
      <w:pPr>
        <w:spacing w:after="120"/>
        <w:ind w:left="709" w:right="709"/>
        <w:jc w:val="both"/>
        <w:rPr>
          <w:rFonts w:ascii="Verdana" w:eastAsia="Times New Roman" w:hAnsi="Verdana" w:cs="Arial"/>
          <w:color w:val="000000"/>
          <w:sz w:val="21"/>
          <w:szCs w:val="21"/>
          <w:highlight w:val="lightGray"/>
          <w:lang w:eastAsia="es-ES"/>
        </w:rPr>
      </w:pPr>
      <w:r w:rsidRPr="007E5876">
        <w:rPr>
          <w:rFonts w:ascii="Verdana" w:eastAsia="Times New Roman" w:hAnsi="Verdana" w:cs="Arial"/>
          <w:color w:val="000000"/>
          <w:sz w:val="21"/>
          <w:szCs w:val="21"/>
          <w:highlight w:val="lightGray"/>
          <w:lang w:eastAsia="es-ES"/>
        </w:rPr>
        <w:t xml:space="preserve">[La Entidad deberá establecer como actividad principal alguna de las “actividades a contratar” definidas en la Matriz 1 – Experiencia de estos Documentos Tipo]. </w:t>
      </w:r>
    </w:p>
    <w:p w14:paraId="23161B4F" w14:textId="77777777" w:rsidR="003A6B0D" w:rsidRPr="007E5876" w:rsidRDefault="003A6B0D" w:rsidP="003A6B0D">
      <w:pPr>
        <w:spacing w:after="120"/>
        <w:ind w:left="709" w:right="709"/>
        <w:jc w:val="both"/>
        <w:rPr>
          <w:rFonts w:ascii="Verdana" w:eastAsia="Times New Roman" w:hAnsi="Verdana" w:cs="Arial"/>
          <w:color w:val="000000"/>
          <w:sz w:val="21"/>
          <w:szCs w:val="21"/>
          <w:highlight w:val="lightGray"/>
          <w:lang w:eastAsia="es-ES"/>
        </w:rPr>
      </w:pPr>
      <w:r w:rsidRPr="007E5876">
        <w:rPr>
          <w:rFonts w:ascii="Verdana" w:eastAsia="Times New Roman" w:hAnsi="Verdana" w:cs="Arial"/>
          <w:b/>
          <w:bCs/>
          <w:color w:val="000000"/>
          <w:sz w:val="21"/>
          <w:szCs w:val="21"/>
          <w:highlight w:val="lightGray"/>
          <w:lang w:eastAsia="es-ES"/>
        </w:rPr>
        <w:t>Actividad Secundaria</w:t>
      </w:r>
      <w:r w:rsidRPr="007E5876">
        <w:rPr>
          <w:rFonts w:ascii="Verdana" w:eastAsia="Times New Roman" w:hAnsi="Verdana" w:cs="Arial"/>
          <w:color w:val="000000"/>
          <w:sz w:val="21"/>
          <w:szCs w:val="21"/>
          <w:highlight w:val="lightGray"/>
          <w:lang w:eastAsia="es-ES"/>
        </w:rPr>
        <w:t xml:space="preserve"> </w:t>
      </w:r>
      <w:r w:rsidRPr="007E5876">
        <w:rPr>
          <w:rFonts w:ascii="Verdana" w:eastAsia="Times New Roman" w:hAnsi="Verdana" w:cs="Arial"/>
          <w:b/>
          <w:bCs/>
          <w:color w:val="000000"/>
          <w:sz w:val="21"/>
          <w:szCs w:val="21"/>
          <w:highlight w:val="lightGray"/>
          <w:lang w:eastAsia="es-ES"/>
        </w:rPr>
        <w:t>(1)</w:t>
      </w:r>
      <w:r w:rsidRPr="007E5876">
        <w:rPr>
          <w:rFonts w:ascii="Verdana" w:eastAsia="Times New Roman" w:hAnsi="Verdana" w:cs="Arial"/>
          <w:color w:val="000000"/>
          <w:sz w:val="21"/>
          <w:szCs w:val="21"/>
          <w:highlight w:val="lightGray"/>
          <w:lang w:eastAsia="es-ES"/>
        </w:rPr>
        <w:t xml:space="preserve">: [La Entidad definirá la actividad secundaria o accesoria aplicable en el Proceso de Contratación de acuerdo con la matriz de experiencia aplicable, ya sea cuando: i) en un mismo proyecto se incluyen otras actividades definidas en la Matriz 1 – Experiencia de estos Documentos Tipo o </w:t>
      </w:r>
      <w:proofErr w:type="spellStart"/>
      <w:r w:rsidRPr="007E5876">
        <w:rPr>
          <w:rFonts w:ascii="Verdana" w:eastAsia="Times New Roman" w:hAnsi="Verdana" w:cs="Arial"/>
          <w:color w:val="000000"/>
          <w:sz w:val="21"/>
          <w:szCs w:val="21"/>
          <w:highlight w:val="lightGray"/>
          <w:lang w:eastAsia="es-ES"/>
        </w:rPr>
        <w:t>ii</w:t>
      </w:r>
      <w:proofErr w:type="spellEnd"/>
      <w:r w:rsidRPr="007E5876">
        <w:rPr>
          <w:rFonts w:ascii="Verdana" w:eastAsia="Times New Roman" w:hAnsi="Verdana" w:cs="Arial"/>
          <w:color w:val="000000"/>
          <w:sz w:val="21"/>
          <w:szCs w:val="21"/>
          <w:highlight w:val="lightGray"/>
          <w:lang w:eastAsia="es-ES"/>
        </w:rPr>
        <w:t>) cuando en un Proceso de Contratación aplican matrices de experiencia de otros Documentos Tipo y la Entidad considera conveniente incluir dicha experiencia, como por ejemplo: las Matrices de Experiencia de los Documentos Tipo de licitación de obra pública de infraestructura de social o de licitación de obra pública de infraestructura de agua potable y saneamiento básico.]</w:t>
      </w:r>
    </w:p>
    <w:p w14:paraId="22226491" w14:textId="77777777" w:rsidR="003A6B0D" w:rsidRPr="007E5876" w:rsidRDefault="003A6B0D" w:rsidP="003A6B0D">
      <w:pPr>
        <w:spacing w:after="120"/>
        <w:ind w:left="709" w:right="709"/>
        <w:jc w:val="both"/>
        <w:rPr>
          <w:rFonts w:ascii="Verdana" w:eastAsia="Times New Roman" w:hAnsi="Verdana" w:cs="Arial"/>
          <w:color w:val="000000"/>
          <w:sz w:val="21"/>
          <w:szCs w:val="21"/>
          <w:highlight w:val="lightGray"/>
          <w:lang w:eastAsia="es-ES"/>
        </w:rPr>
      </w:pPr>
      <w:r w:rsidRPr="007E5876">
        <w:rPr>
          <w:rFonts w:ascii="Verdana" w:eastAsia="Times New Roman" w:hAnsi="Verdana" w:cs="Arial"/>
          <w:b/>
          <w:bCs/>
          <w:color w:val="000000"/>
          <w:sz w:val="21"/>
          <w:szCs w:val="21"/>
          <w:highlight w:val="lightGray"/>
          <w:lang w:eastAsia="es-ES"/>
        </w:rPr>
        <w:t>Actividad Secundaria (2):</w:t>
      </w:r>
      <w:r w:rsidRPr="007E5876">
        <w:rPr>
          <w:rFonts w:ascii="Verdana" w:eastAsia="Times New Roman" w:hAnsi="Verdana" w:cs="Arial"/>
          <w:color w:val="000000"/>
          <w:sz w:val="21"/>
          <w:szCs w:val="21"/>
          <w:highlight w:val="lightGray"/>
          <w:lang w:eastAsia="es-ES"/>
        </w:rPr>
        <w:t xml:space="preserve"> [La Entidad diligenciará la experiencia aplicable a esta actividad secundaria de acuerdo con los lineamientos previstos en el párrafo anterior, en caso de que aplique y si considera conveniente incluir dicha experiencia.]</w:t>
      </w:r>
    </w:p>
    <w:p w14:paraId="1C78D15D" w14:textId="77777777" w:rsidR="003A6B0D" w:rsidRPr="007E5876" w:rsidRDefault="003A6B0D" w:rsidP="003A6B0D">
      <w:pPr>
        <w:spacing w:after="120"/>
        <w:ind w:left="709" w:right="709"/>
        <w:jc w:val="both"/>
        <w:rPr>
          <w:rFonts w:ascii="Verdana" w:eastAsia="Times New Roman" w:hAnsi="Verdana" w:cs="Arial"/>
          <w:color w:val="000000"/>
          <w:sz w:val="21"/>
          <w:szCs w:val="21"/>
          <w:highlight w:val="lightGray"/>
          <w:lang w:eastAsia="es-ES"/>
        </w:rPr>
      </w:pPr>
      <w:r w:rsidRPr="007E5876">
        <w:rPr>
          <w:rFonts w:ascii="Verdana" w:eastAsia="Times New Roman" w:hAnsi="Verdana" w:cs="Arial"/>
          <w:color w:val="000000"/>
          <w:sz w:val="21"/>
          <w:szCs w:val="21"/>
          <w:highlight w:val="lightGray"/>
          <w:lang w:eastAsia="es-ES"/>
        </w:rPr>
        <w:t>En caso de que se combinen diferentes actividades, la Entidad en este espacio definirá los requisitos de experiencia exigibles conforme</w:t>
      </w:r>
      <w:r w:rsidRPr="007E5876">
        <w:rPr>
          <w:rFonts w:ascii="Verdana" w:eastAsia="Times New Roman" w:hAnsi="Verdana" w:cs="Arial"/>
          <w:color w:val="000000"/>
          <w:sz w:val="21"/>
          <w:szCs w:val="21"/>
          <w:highlight w:val="lightGray"/>
          <w:shd w:val="clear" w:color="auto" w:fill="C0C0C0"/>
          <w:lang w:val="es-MX" w:eastAsia="es-CO"/>
        </w:rPr>
        <w:t xml:space="preserve"> </w:t>
      </w:r>
      <w:r w:rsidRPr="007E5876">
        <w:rPr>
          <w:rFonts w:ascii="Verdana" w:eastAsia="Times New Roman" w:hAnsi="Verdana" w:cs="Arial"/>
          <w:color w:val="000000"/>
          <w:sz w:val="21"/>
          <w:szCs w:val="21"/>
          <w:highlight w:val="lightGray"/>
          <w:lang w:val="es-MX" w:eastAsia="es-ES"/>
        </w:rPr>
        <w:t>con la Matriz 1 – Experiencia</w:t>
      </w:r>
      <w:r w:rsidRPr="007E5876">
        <w:rPr>
          <w:rFonts w:ascii="Verdana" w:eastAsia="Times New Roman" w:hAnsi="Verdana" w:cs="Arial"/>
          <w:color w:val="000000"/>
          <w:sz w:val="21"/>
          <w:szCs w:val="21"/>
          <w:highlight w:val="lightGray"/>
          <w:lang w:eastAsia="es-ES"/>
        </w:rPr>
        <w:t xml:space="preserve">, optando por una de las siguientes alternativas: </w:t>
      </w:r>
    </w:p>
    <w:p w14:paraId="6204A996" w14:textId="77777777" w:rsidR="003A6B0D" w:rsidRPr="007E5876" w:rsidRDefault="003A6B0D" w:rsidP="003A6B0D">
      <w:pPr>
        <w:spacing w:after="120"/>
        <w:ind w:left="709" w:right="709" w:hanging="142"/>
        <w:jc w:val="both"/>
        <w:rPr>
          <w:rFonts w:ascii="Verdana" w:eastAsia="Times New Roman" w:hAnsi="Verdana" w:cs="Arial"/>
          <w:color w:val="000000"/>
          <w:sz w:val="21"/>
          <w:szCs w:val="21"/>
          <w:highlight w:val="lightGray"/>
          <w:lang w:eastAsia="es-ES"/>
        </w:rPr>
      </w:pPr>
      <w:r w:rsidRPr="007E5876">
        <w:rPr>
          <w:rFonts w:ascii="Verdana" w:eastAsia="Times New Roman" w:hAnsi="Verdana" w:cs="Arial"/>
          <w:color w:val="000000"/>
          <w:sz w:val="21"/>
          <w:szCs w:val="21"/>
          <w:highlight w:val="lightGray"/>
          <w:lang w:eastAsia="es-ES"/>
        </w:rPr>
        <w:t xml:space="preserve">a) No solicitar experiencia para la actividad secundaria, sino únicamente la experiencia de la actividad principal, siempre que esta se trate de </w:t>
      </w:r>
      <w:r w:rsidRPr="007E5876">
        <w:rPr>
          <w:rFonts w:ascii="Verdana" w:eastAsia="Times New Roman" w:hAnsi="Verdana" w:cs="Arial"/>
          <w:color w:val="000000"/>
          <w:sz w:val="21"/>
          <w:szCs w:val="21"/>
          <w:highlight w:val="lightGray"/>
          <w:lang w:eastAsia="es-ES"/>
        </w:rPr>
        <w:lastRenderedPageBreak/>
        <w:t xml:space="preserve">una de las actividades definidas en la Matriz 1 – Experiencia de estos Documentos Tipo. </w:t>
      </w:r>
    </w:p>
    <w:p w14:paraId="67EAC04C" w14:textId="77777777" w:rsidR="003A6B0D" w:rsidRPr="007E5876" w:rsidRDefault="003A6B0D" w:rsidP="003A6B0D">
      <w:pPr>
        <w:spacing w:after="120"/>
        <w:ind w:left="709" w:right="709" w:hanging="142"/>
        <w:jc w:val="both"/>
        <w:rPr>
          <w:rFonts w:ascii="Verdana" w:eastAsia="Times New Roman" w:hAnsi="Verdana" w:cs="Arial"/>
          <w:color w:val="000000"/>
          <w:sz w:val="21"/>
          <w:szCs w:val="21"/>
          <w:highlight w:val="lightGray"/>
          <w:lang w:eastAsia="es-ES"/>
        </w:rPr>
      </w:pPr>
      <w:r w:rsidRPr="007E5876">
        <w:rPr>
          <w:rFonts w:ascii="Verdana" w:eastAsia="Times New Roman" w:hAnsi="Verdana" w:cs="Arial"/>
          <w:color w:val="000000"/>
          <w:sz w:val="21"/>
          <w:szCs w:val="21"/>
          <w:highlight w:val="lightGray"/>
          <w:lang w:eastAsia="es-ES"/>
        </w:rPr>
        <w:t>b) Solicitar la experiencia general y específica de la “actividad a contratar” de la actividad principal y para las demás actividades secundarias a contratar requerir la experiencia general o específica. Esto significa que la Entidad, de acuerdo con el alcance del proyecto decidirá cuál experiencia pedirá para la actividad secundaria. En el evento en que la matriz de experiencia no contemple experiencia específica para la actividad secundaria, se solicitará la experiencia general. En todo caso en la actividad secundaria no será posible exigir la experiencia general y la específica, sino solo una de ellas. Deberá incluirse la siguiente nota:</w:t>
      </w:r>
    </w:p>
    <w:p w14:paraId="33E01786" w14:textId="77777777" w:rsidR="003A6B0D" w:rsidRPr="007E5876" w:rsidRDefault="003A6B0D" w:rsidP="003A6B0D">
      <w:pPr>
        <w:spacing w:after="120"/>
        <w:ind w:left="709" w:right="709"/>
        <w:jc w:val="both"/>
        <w:rPr>
          <w:rFonts w:ascii="Verdana" w:eastAsia="Times New Roman" w:hAnsi="Verdana" w:cs="Arial"/>
          <w:color w:val="000000"/>
          <w:sz w:val="21"/>
          <w:szCs w:val="21"/>
          <w:highlight w:val="lightGray"/>
          <w:lang w:eastAsia="es-ES"/>
        </w:rPr>
      </w:pPr>
      <w:r w:rsidRPr="007E5876">
        <w:rPr>
          <w:rFonts w:ascii="Verdana" w:eastAsia="Times New Roman" w:hAnsi="Verdana" w:cs="Arial"/>
          <w:color w:val="000000"/>
          <w:sz w:val="21"/>
          <w:szCs w:val="21"/>
          <w:highlight w:val="lightGray"/>
          <w:lang w:eastAsia="es-ES"/>
        </w:rPr>
        <w:t xml:space="preserve">[Nota: Para la actividad secundaria en caso de requerirse la experiencia específica, se entenderá en el contexto de la experiencia general solicitada en dicha actividad.] </w:t>
      </w:r>
    </w:p>
    <w:p w14:paraId="36F34972" w14:textId="77777777" w:rsidR="003A6B0D" w:rsidRPr="007E5876" w:rsidRDefault="003A6B0D" w:rsidP="003A6B0D">
      <w:pPr>
        <w:spacing w:after="120"/>
        <w:ind w:left="709" w:right="709" w:hanging="142"/>
        <w:jc w:val="both"/>
        <w:rPr>
          <w:rFonts w:ascii="Verdana" w:eastAsia="Times New Roman" w:hAnsi="Verdana" w:cs="Arial"/>
          <w:color w:val="000000"/>
          <w:sz w:val="21"/>
          <w:szCs w:val="21"/>
          <w:highlight w:val="lightGray"/>
          <w:lang w:eastAsia="es-ES"/>
        </w:rPr>
      </w:pPr>
      <w:proofErr w:type="spellStart"/>
      <w:r w:rsidRPr="007E5876">
        <w:rPr>
          <w:rFonts w:ascii="Verdana" w:eastAsia="Times New Roman" w:hAnsi="Verdana" w:cs="Arial"/>
          <w:color w:val="000000"/>
          <w:sz w:val="21"/>
          <w:szCs w:val="21"/>
          <w:highlight w:val="lightGray"/>
          <w:lang w:eastAsia="es-ES"/>
        </w:rPr>
        <w:t>ii</w:t>
      </w:r>
      <w:proofErr w:type="spellEnd"/>
      <w:r w:rsidRPr="007E5876">
        <w:rPr>
          <w:rFonts w:ascii="Verdana" w:eastAsia="Times New Roman" w:hAnsi="Verdana" w:cs="Arial"/>
          <w:color w:val="000000"/>
          <w:sz w:val="21"/>
          <w:szCs w:val="21"/>
          <w:highlight w:val="lightGray"/>
          <w:lang w:eastAsia="es-ES"/>
        </w:rPr>
        <w:t xml:space="preserve">) La experiencia exigible para estas actividades (principal o secundaria) se definirá en función de los rangos de cuantías aplicables al Proceso de Contratación. En el caso que el requisito de experiencia a solicitarse esté expresado en un componente o actividad correspondiente a un porcentaje del Presupuesto Oficial, este deberá calcularse respecto del cien por ciento (100 %)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 </w:t>
      </w:r>
    </w:p>
    <w:p w14:paraId="2E55651E" w14:textId="77777777" w:rsidR="003A6B0D" w:rsidRPr="007E5876" w:rsidRDefault="003A6B0D" w:rsidP="003A6B0D">
      <w:pPr>
        <w:spacing w:after="120"/>
        <w:ind w:left="709" w:right="709" w:hanging="142"/>
        <w:jc w:val="both"/>
        <w:rPr>
          <w:rFonts w:ascii="Verdana" w:eastAsia="Times New Roman" w:hAnsi="Verdana" w:cs="Arial"/>
          <w:color w:val="000000"/>
          <w:sz w:val="21"/>
          <w:szCs w:val="21"/>
          <w:highlight w:val="lightGray"/>
          <w:lang w:eastAsia="es-ES"/>
        </w:rPr>
      </w:pPr>
      <w:proofErr w:type="spellStart"/>
      <w:r w:rsidRPr="007E5876">
        <w:rPr>
          <w:rFonts w:ascii="Verdana" w:eastAsia="Times New Roman" w:hAnsi="Verdana" w:cs="Arial"/>
          <w:color w:val="000000"/>
          <w:sz w:val="21"/>
          <w:szCs w:val="21"/>
          <w:highlight w:val="lightGray"/>
          <w:lang w:eastAsia="es-ES"/>
        </w:rPr>
        <w:t>iii</w:t>
      </w:r>
      <w:proofErr w:type="spellEnd"/>
      <w:r w:rsidRPr="007E5876">
        <w:rPr>
          <w:rFonts w:ascii="Verdana" w:eastAsia="Times New Roman" w:hAnsi="Verdana" w:cs="Arial"/>
          <w:color w:val="000000"/>
          <w:sz w:val="21"/>
          <w:szCs w:val="21"/>
          <w:highlight w:val="lightGray"/>
          <w:lang w:eastAsia="es-ES"/>
        </w:rPr>
        <w:t>) La Entidad no podrá incluir más de dos (2) combinaciones de experiencia adicionales a la prevista para la actividad principal. Esto significa que la Entidad solicitará la experiencia general y la específica de la actividad principal y máximo dos (2) experiencias, general o específica, para las actividades secundarias aplicables al Proceso de Contratación.</w:t>
      </w:r>
    </w:p>
    <w:p w14:paraId="1D150D69" w14:textId="77777777" w:rsidR="003A6B0D" w:rsidRPr="007E5876" w:rsidRDefault="003A6B0D" w:rsidP="003A6B0D">
      <w:pPr>
        <w:spacing w:after="120"/>
        <w:ind w:left="709" w:right="709" w:hanging="142"/>
        <w:jc w:val="both"/>
        <w:rPr>
          <w:rFonts w:ascii="Verdana" w:eastAsia="Times New Roman" w:hAnsi="Verdana" w:cs="Arial"/>
          <w:color w:val="000000"/>
          <w:sz w:val="21"/>
          <w:szCs w:val="21"/>
          <w:highlight w:val="lightGray"/>
          <w:lang w:eastAsia="es-ES"/>
        </w:rPr>
      </w:pPr>
      <w:proofErr w:type="spellStart"/>
      <w:r w:rsidRPr="007E5876">
        <w:rPr>
          <w:rFonts w:ascii="Verdana" w:eastAsia="Times New Roman" w:hAnsi="Verdana" w:cs="Arial"/>
          <w:color w:val="000000"/>
          <w:sz w:val="21"/>
          <w:szCs w:val="21"/>
          <w:highlight w:val="lightGray"/>
          <w:lang w:eastAsia="es-ES"/>
        </w:rPr>
        <w:t>iv</w:t>
      </w:r>
      <w:proofErr w:type="spellEnd"/>
      <w:r w:rsidRPr="007E5876">
        <w:rPr>
          <w:rFonts w:ascii="Verdana" w:eastAsia="Times New Roman" w:hAnsi="Verdana" w:cs="Arial"/>
          <w:color w:val="000000"/>
          <w:sz w:val="21"/>
          <w:szCs w:val="21"/>
          <w:highlight w:val="lightGray"/>
          <w:lang w:eastAsia="es-ES"/>
        </w:rPr>
        <w:t>) Si en la actividad secundaria se solicita la experiencia específica y ésta contempla más de un requisito, la Entidad escogerá solo la que sea de mayor relevancia para el proyecto a ejecutar.</w:t>
      </w:r>
    </w:p>
    <w:p w14:paraId="4BB042FF" w14:textId="77777777" w:rsidR="003A6B0D" w:rsidRPr="007E5876" w:rsidRDefault="003A6B0D" w:rsidP="003A6B0D">
      <w:pPr>
        <w:spacing w:after="120"/>
        <w:ind w:left="709" w:right="709" w:hanging="142"/>
        <w:jc w:val="both"/>
        <w:rPr>
          <w:rFonts w:ascii="Verdana" w:eastAsia="Times New Roman" w:hAnsi="Verdana" w:cs="Arial"/>
          <w:color w:val="000000"/>
          <w:sz w:val="21"/>
          <w:szCs w:val="21"/>
          <w:highlight w:val="lightGray"/>
          <w:lang w:eastAsia="es-ES"/>
        </w:rPr>
      </w:pPr>
      <w:r w:rsidRPr="007E5876">
        <w:rPr>
          <w:rFonts w:ascii="Verdana" w:eastAsia="Times New Roman" w:hAnsi="Verdana" w:cs="Arial"/>
          <w:color w:val="000000"/>
          <w:sz w:val="21"/>
          <w:szCs w:val="21"/>
          <w:highlight w:val="lightGray"/>
          <w:lang w:eastAsia="es-ES"/>
        </w:rPr>
        <w:lastRenderedPageBreak/>
        <w:t>v) En los casos en que la Entidad opte por la exigencia de la experiencia específica o general para las actividades distintas a la actividad principal, deberá incluirse la siguiente nota:</w:t>
      </w:r>
    </w:p>
    <w:p w14:paraId="4406FFE9" w14:textId="77777777" w:rsidR="003A6B0D" w:rsidRPr="007E5876" w:rsidRDefault="003A6B0D" w:rsidP="003A6B0D">
      <w:pPr>
        <w:spacing w:after="120"/>
        <w:ind w:left="709" w:right="709"/>
        <w:jc w:val="both"/>
        <w:rPr>
          <w:rFonts w:ascii="Verdana" w:eastAsia="Times New Roman" w:hAnsi="Verdana" w:cs="Arial"/>
          <w:color w:val="000000"/>
          <w:sz w:val="21"/>
          <w:szCs w:val="21"/>
          <w:highlight w:val="lightGray"/>
          <w:lang w:eastAsia="es-ES"/>
        </w:rPr>
      </w:pPr>
      <w:r w:rsidRPr="007E5876">
        <w:rPr>
          <w:rFonts w:ascii="Verdana" w:eastAsia="Times New Roman" w:hAnsi="Verdana" w:cs="Arial"/>
          <w:color w:val="000000"/>
          <w:sz w:val="21"/>
          <w:szCs w:val="21"/>
          <w:highlight w:val="lightGray"/>
          <w:lang w:eastAsia="es-ES"/>
        </w:rPr>
        <w:t>[Nota: Para el caso de experiencias combinadas un Proponente podrá acreditar experiencia en una o más actividades con un contrato o con contratos distintos.]</w:t>
      </w:r>
    </w:p>
    <w:p w14:paraId="5B946E3A" w14:textId="77777777" w:rsidR="003A6B0D" w:rsidRPr="007E5876" w:rsidRDefault="003A6B0D" w:rsidP="003A6B0D">
      <w:pPr>
        <w:spacing w:after="120"/>
        <w:ind w:left="709" w:right="709" w:hanging="142"/>
        <w:jc w:val="both"/>
        <w:rPr>
          <w:rFonts w:ascii="Verdana" w:eastAsia="Times New Roman" w:hAnsi="Verdana" w:cs="Arial"/>
          <w:color w:val="000000"/>
          <w:sz w:val="21"/>
          <w:szCs w:val="21"/>
          <w:highlight w:val="lightGray"/>
          <w:lang w:eastAsia="es-ES"/>
        </w:rPr>
      </w:pPr>
      <w:r w:rsidRPr="007E5876">
        <w:rPr>
          <w:rFonts w:ascii="Verdana" w:eastAsia="Times New Roman" w:hAnsi="Verdana" w:cs="Arial"/>
          <w:color w:val="000000"/>
          <w:sz w:val="21"/>
          <w:szCs w:val="21"/>
          <w:highlight w:val="lightGray"/>
          <w:lang w:eastAsia="es-ES"/>
        </w:rPr>
        <w:t>vi) [En los Procesos de Contratación estructurados por lotes o por segmento, la Entidad establecerá la experiencia de cada uno de ellos, de acuerdo con las actividades definidas en la matriz de experiencia aplicable]</w:t>
      </w:r>
    </w:p>
    <w:p w14:paraId="68558614" w14:textId="77777777" w:rsidR="003A6B0D" w:rsidRPr="007E5876" w:rsidRDefault="003A6B0D" w:rsidP="003A6B0D">
      <w:pPr>
        <w:spacing w:after="120"/>
        <w:ind w:left="709" w:right="709"/>
        <w:jc w:val="both"/>
        <w:rPr>
          <w:rFonts w:ascii="Verdana" w:eastAsia="Calibri" w:hAnsi="Verdana" w:cs="Arial"/>
          <w:color w:val="000000"/>
          <w:sz w:val="21"/>
          <w:szCs w:val="21"/>
          <w:lang w:val="es-MX"/>
        </w:rPr>
      </w:pPr>
      <w:r w:rsidRPr="007E5876">
        <w:rPr>
          <w:rFonts w:ascii="Verdana" w:eastAsia="Times New Roman" w:hAnsi="Verdana" w:cs="Arial"/>
          <w:color w:val="000000"/>
          <w:sz w:val="21"/>
          <w:szCs w:val="21"/>
          <w:highlight w:val="lightGray"/>
          <w:lang w:eastAsia="es-ES"/>
        </w:rPr>
        <w:t>[La experiencia que deberá acreditar el Proponente será la establecida por la Entidad de forma independiente para cada uno de los lotes o segmento de acuerdo con las actividades definidas en la matriz de experiencia aplicable en el respectivo proyecto de infraestructura de transporte, en el literal A de esta sección].</w:t>
      </w:r>
    </w:p>
    <w:p w14:paraId="34059365" w14:textId="77777777" w:rsidR="003A6B0D" w:rsidRPr="007E5876" w:rsidRDefault="003A6B0D" w:rsidP="003A6B0D">
      <w:pPr>
        <w:spacing w:after="0"/>
        <w:ind w:left="709" w:right="709"/>
        <w:jc w:val="both"/>
        <w:rPr>
          <w:rFonts w:ascii="Verdana" w:eastAsia="Calibri" w:hAnsi="Verdana" w:cs="Arial"/>
          <w:color w:val="000000"/>
          <w:sz w:val="21"/>
          <w:szCs w:val="21"/>
          <w:lang w:val="es-MX"/>
        </w:rPr>
      </w:pPr>
      <w:r w:rsidRPr="007E5876">
        <w:rPr>
          <w:rFonts w:ascii="Verdana" w:eastAsia="Calibri" w:hAnsi="Verdana" w:cs="Arial"/>
          <w:color w:val="000000"/>
          <w:sz w:val="21"/>
          <w:szCs w:val="21"/>
          <w:lang w:val="es-MX"/>
        </w:rPr>
        <w:t>(…)”.</w:t>
      </w:r>
    </w:p>
    <w:p w14:paraId="54F45345" w14:textId="77777777" w:rsidR="003A6B0D" w:rsidRPr="007E5876" w:rsidRDefault="003A6B0D" w:rsidP="003A6B0D">
      <w:pPr>
        <w:spacing w:after="0" w:line="276" w:lineRule="auto"/>
        <w:jc w:val="both"/>
        <w:rPr>
          <w:rFonts w:ascii="Verdana" w:eastAsia="Calibri" w:hAnsi="Verdana" w:cs="Arial"/>
          <w:color w:val="000000"/>
          <w:lang w:val="es-MX"/>
        </w:rPr>
      </w:pPr>
      <w:bookmarkStart w:id="2" w:name="_Hlk109293638"/>
    </w:p>
    <w:p w14:paraId="74DBE265" w14:textId="77777777" w:rsidR="008F7AF8" w:rsidRDefault="003A6B0D" w:rsidP="008F7AF8">
      <w:pPr>
        <w:spacing w:after="120" w:line="276" w:lineRule="auto"/>
        <w:ind w:firstLine="708"/>
        <w:jc w:val="both"/>
        <w:rPr>
          <w:rFonts w:ascii="Verdana" w:eastAsia="Calibri" w:hAnsi="Verdana" w:cs="Arial"/>
          <w:color w:val="000000"/>
          <w:lang w:val="es-MX"/>
        </w:rPr>
      </w:pPr>
      <w:r w:rsidRPr="008F7AF8">
        <w:rPr>
          <w:rFonts w:ascii="Verdana" w:eastAsia="Calibri" w:hAnsi="Verdana" w:cs="Arial"/>
          <w:color w:val="000000"/>
          <w:lang w:val="es-MX"/>
        </w:rPr>
        <w:t xml:space="preserve">Como se advierte, </w:t>
      </w:r>
      <w:bookmarkStart w:id="3" w:name="_Hlk109396275"/>
      <w:r w:rsidRPr="008F7AF8">
        <w:rPr>
          <w:rFonts w:ascii="Verdana" w:eastAsia="Calibri" w:hAnsi="Verdana" w:cs="Arial"/>
          <w:color w:val="000000"/>
          <w:lang w:val="es-MX"/>
        </w:rPr>
        <w:t>en los documentos tipo se reguló de forma pormenorizada y con suficiencia las reglas para la combinación de diferentes actividades a contratar de una misma o de diferentes matrices de experiencia. Este supuesto abarca los casos en que en un proyecto se pretenda ejecutar actividades que se encuentren en una misma matriz de experiencia, así como cuando las actividades que se requieren desarrollar se encuentren en otras matrices de experiencia de proyectos de otros documentos tipo adoptados por esta Agencia.</w:t>
      </w:r>
    </w:p>
    <w:p w14:paraId="0FE322DC" w14:textId="77777777" w:rsidR="008F7AF8" w:rsidRDefault="003A6B0D" w:rsidP="008F7AF8">
      <w:pPr>
        <w:spacing w:after="120" w:line="276" w:lineRule="auto"/>
        <w:ind w:firstLine="708"/>
        <w:jc w:val="both"/>
        <w:rPr>
          <w:rFonts w:ascii="Verdana" w:eastAsia="Calibri" w:hAnsi="Verdana" w:cs="Arial"/>
          <w:color w:val="000000"/>
          <w:lang w:val="es-MX"/>
        </w:rPr>
      </w:pPr>
      <w:r w:rsidRPr="008F7AF8">
        <w:rPr>
          <w:rFonts w:ascii="Verdana" w:eastAsia="Calibri" w:hAnsi="Verdana" w:cs="Arial"/>
          <w:color w:val="000000"/>
          <w:lang w:val="es-MX"/>
        </w:rPr>
        <w:t xml:space="preserve">Conforme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w:t>
      </w:r>
      <w:bookmarkStart w:id="4" w:name="_Hlk109293655"/>
      <w:bookmarkEnd w:id="2"/>
      <w:bookmarkEnd w:id="3"/>
      <w:r w:rsidRPr="008F7AF8">
        <w:rPr>
          <w:rFonts w:ascii="Verdana" w:eastAsia="Calibri" w:hAnsi="Verdana" w:cs="Arial"/>
          <w:color w:val="000000"/>
          <w:lang w:val="es-MX"/>
        </w:rPr>
        <w:t xml:space="preserve">i) en un mismo proyecto se incluyen otras actividades definidas en la Matriz 1 – Experiencia de estos Documentos Tipo o ii) cuando en un Proceso de Contratación aplican matrices de experiencia de otros Documentos Tipo y la Entidad considera conveniente incluir dicha experiencia. </w:t>
      </w:r>
    </w:p>
    <w:p w14:paraId="606F2685" w14:textId="11ED7FBE" w:rsidR="008F7AF8" w:rsidRDefault="003A6B0D" w:rsidP="008F7AF8">
      <w:pPr>
        <w:spacing w:after="120" w:line="276" w:lineRule="auto"/>
        <w:ind w:firstLine="708"/>
        <w:jc w:val="both"/>
        <w:rPr>
          <w:rFonts w:ascii="Verdana" w:eastAsia="Calibri" w:hAnsi="Verdana" w:cs="Arial"/>
          <w:color w:val="000000"/>
        </w:rPr>
      </w:pPr>
      <w:r w:rsidRPr="008F7AF8">
        <w:rPr>
          <w:rFonts w:ascii="Verdana" w:eastAsia="Calibri" w:hAnsi="Verdana" w:cs="Arial"/>
        </w:rPr>
        <w:lastRenderedPageBreak/>
        <w:t xml:space="preserve">Una vez definida la actividad principal y secundaria, la entidad estatal debe determinar los requisitos de experiencia exigibles de acuerdo con la matriz de experiencia aplicable, de alguna de la siguientes formas: i) solicitando experiencia </w:t>
      </w:r>
      <w:r w:rsidR="00F82394">
        <w:rPr>
          <w:rFonts w:ascii="Verdana" w:eastAsia="Calibri" w:hAnsi="Verdana" w:cs="Arial"/>
        </w:rPr>
        <w:t xml:space="preserve">general o específica </w:t>
      </w:r>
      <w:r w:rsidRPr="008F7AF8">
        <w:rPr>
          <w:rFonts w:ascii="Verdana" w:eastAsia="Calibri" w:hAnsi="Verdana" w:cs="Arial"/>
        </w:rPr>
        <w:t xml:space="preserve">para la actividad secundaria, </w:t>
      </w:r>
      <w:r w:rsidR="00F82394">
        <w:rPr>
          <w:rFonts w:ascii="Verdana" w:eastAsia="Calibri" w:hAnsi="Verdana" w:cs="Arial"/>
        </w:rPr>
        <w:t>y</w:t>
      </w:r>
      <w:r w:rsidR="003D7CD8">
        <w:rPr>
          <w:rFonts w:ascii="Verdana" w:eastAsia="Calibri" w:hAnsi="Verdana" w:cs="Arial"/>
        </w:rPr>
        <w:t xml:space="preserve"> </w:t>
      </w:r>
      <w:r w:rsidRPr="008F7AF8">
        <w:rPr>
          <w:rFonts w:ascii="Verdana" w:eastAsia="Calibri" w:hAnsi="Verdana" w:cs="Arial"/>
        </w:rPr>
        <w:t xml:space="preserve">siempre que esta se trate de una actividad definida en la Matriz 1 ─ Experiencia de los documentos tipo de licitación de obra pública de infraestructura de transporte, o </w:t>
      </w:r>
      <w:proofErr w:type="spellStart"/>
      <w:r w:rsidRPr="008F7AF8">
        <w:rPr>
          <w:rFonts w:ascii="Verdana" w:eastAsia="Calibri" w:hAnsi="Verdana" w:cs="Arial"/>
        </w:rPr>
        <w:t>ii</w:t>
      </w:r>
      <w:proofErr w:type="spellEnd"/>
      <w:r w:rsidRPr="008F7AF8">
        <w:rPr>
          <w:rFonts w:ascii="Verdana" w:eastAsia="Calibri" w:hAnsi="Verdana" w:cs="Arial"/>
        </w:rPr>
        <w:t xml:space="preserve">) solicitando experiencia general y específica de la actividad principal, y requiriendo la experiencia específica </w:t>
      </w:r>
      <w:r w:rsidR="003D7CD8">
        <w:rPr>
          <w:rFonts w:ascii="Verdana" w:eastAsia="Calibri" w:hAnsi="Verdana" w:cs="Arial"/>
        </w:rPr>
        <w:t xml:space="preserve">o general </w:t>
      </w:r>
      <w:r w:rsidRPr="008F7AF8">
        <w:rPr>
          <w:rFonts w:ascii="Verdana" w:eastAsia="Calibri" w:hAnsi="Verdana" w:cs="Arial"/>
        </w:rPr>
        <w:t xml:space="preserve">correspondiente a la respectiva matriz de experiencia para el caso de las actividades secundarias –salvo que la matriz aplicable no contemple experiencia específica para determinada actividad secundaria, caso en el cual se podrá solicitar la experiencia general–. </w:t>
      </w:r>
    </w:p>
    <w:p w14:paraId="43611B3C" w14:textId="77777777" w:rsidR="008F7AF8" w:rsidRDefault="003A6B0D" w:rsidP="008F7AF8">
      <w:pPr>
        <w:spacing w:after="120" w:line="276" w:lineRule="auto"/>
        <w:ind w:firstLine="708"/>
        <w:jc w:val="both"/>
        <w:rPr>
          <w:rFonts w:ascii="Verdana" w:eastAsia="Calibri" w:hAnsi="Verdana" w:cs="Arial"/>
          <w:color w:val="000000"/>
          <w:lang w:val="es-MX"/>
        </w:rPr>
      </w:pPr>
      <w:r w:rsidRPr="008F7AF8">
        <w:rPr>
          <w:rFonts w:ascii="Verdana" w:eastAsia="Calibri" w:hAnsi="Verdana" w:cs="Arial"/>
        </w:rPr>
        <w:t xml:space="preserve">La experiencia exigible para las actividades principal y secundaria debe ser definida en función de los rangos de cuantías aplicables al respectivo proceso de contratación. En todo caso, la entidad contratante no puede incluir más de 2 combinaciones de experiencia adicionales a la prevista para la actividad principal. </w:t>
      </w:r>
      <w:bookmarkStart w:id="5" w:name="_Hlk99446177"/>
      <w:bookmarkEnd w:id="4"/>
    </w:p>
    <w:p w14:paraId="1A08D9CC" w14:textId="77777777" w:rsidR="008F7AF8" w:rsidRDefault="003A6B0D" w:rsidP="008F7AF8">
      <w:pPr>
        <w:spacing w:after="120" w:line="276" w:lineRule="auto"/>
        <w:ind w:firstLine="708"/>
        <w:jc w:val="both"/>
        <w:rPr>
          <w:rFonts w:ascii="Verdana" w:eastAsia="Calibri" w:hAnsi="Verdana" w:cs="Arial"/>
          <w:color w:val="000000"/>
          <w:lang w:val="es-MX"/>
        </w:rPr>
      </w:pPr>
      <w:r w:rsidRPr="008F7AF8">
        <w:rPr>
          <w:rFonts w:ascii="Verdana" w:eastAsia="Calibri" w:hAnsi="Verdana" w:cs="Arial"/>
          <w:color w:val="000000"/>
          <w:lang w:val="es-MX"/>
        </w:rPr>
        <w:t xml:space="preserve">Si en la actividad secundaria se solicita la experiencia específica, y ésta contempla más de un requisito </w:t>
      </w:r>
      <w:bookmarkStart w:id="6" w:name="_Hlk109294879"/>
      <w:r w:rsidRPr="008F7AF8">
        <w:rPr>
          <w:rFonts w:ascii="Verdana" w:eastAsia="Times New Roman" w:hAnsi="Verdana" w:cs="Arial"/>
          <w:lang w:eastAsia="es-MX"/>
        </w:rPr>
        <w:t>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bookmarkEnd w:id="5"/>
      <w:bookmarkEnd w:id="6"/>
    </w:p>
    <w:p w14:paraId="643926E6" w14:textId="77777777" w:rsidR="008F7AF8" w:rsidRDefault="003A6B0D" w:rsidP="008F7AF8">
      <w:pPr>
        <w:spacing w:after="120" w:line="276" w:lineRule="auto"/>
        <w:ind w:firstLine="708"/>
        <w:jc w:val="both"/>
        <w:rPr>
          <w:rFonts w:ascii="Verdana" w:eastAsia="Calibri" w:hAnsi="Verdana" w:cs="Arial"/>
          <w:color w:val="000000"/>
          <w:lang w:val="es-MX"/>
        </w:rPr>
      </w:pPr>
      <w:r w:rsidRPr="008F7AF8">
        <w:rPr>
          <w:rFonts w:ascii="Verdana" w:eastAsia="Calibri" w:hAnsi="Verdana" w:cs="Arial"/>
          <w:color w:val="000000"/>
          <w:lang w:val="es-MX"/>
        </w:rPr>
        <w:t xml:space="preserve">En el evento que la entidad opte por exigir experiencia específica para las actividades distintas a la actividad principal, deberá incluir la nota que se señala en el numeral v). </w:t>
      </w:r>
    </w:p>
    <w:p w14:paraId="3AB94EA7" w14:textId="77777777" w:rsidR="008F7AF8" w:rsidRDefault="003A6B0D" w:rsidP="008F7AF8">
      <w:pPr>
        <w:spacing w:after="120" w:line="276" w:lineRule="auto"/>
        <w:ind w:firstLine="708"/>
        <w:jc w:val="both"/>
        <w:rPr>
          <w:rFonts w:ascii="Verdana" w:eastAsia="Calibri" w:hAnsi="Verdana" w:cs="Arial"/>
          <w:color w:val="000000"/>
          <w:lang w:val="es-MX"/>
        </w:rPr>
      </w:pPr>
      <w:r w:rsidRPr="008F7AF8">
        <w:rPr>
          <w:rFonts w:ascii="Verdana" w:eastAsia="Calibri" w:hAnsi="Verdana" w:cs="Arial"/>
          <w:color w:val="000000"/>
          <w:lang w:val="es-MX"/>
        </w:rPr>
        <w:t xml:space="preserve">Es pertinente señalar que las reglas transcritas prescriben el evento en que el proceso de contratación se estructure por lotes o grupos, la entidad establecerá la experiencia de cada uno de ellos, de acuerdo con las actividades definidas en la Matriz de Experiencia aplicable. </w:t>
      </w:r>
    </w:p>
    <w:p w14:paraId="0C393C8D" w14:textId="77777777" w:rsidR="008F7AF8" w:rsidRDefault="003A6B0D" w:rsidP="008F7AF8">
      <w:pPr>
        <w:spacing w:after="120" w:line="276" w:lineRule="auto"/>
        <w:ind w:firstLine="708"/>
        <w:jc w:val="both"/>
        <w:rPr>
          <w:rFonts w:ascii="Verdana" w:eastAsia="Calibri" w:hAnsi="Verdana" w:cs="Arial"/>
          <w:color w:val="000000"/>
          <w:lang w:val="es-ES"/>
        </w:rPr>
      </w:pPr>
      <w:r w:rsidRPr="007E5876">
        <w:rPr>
          <w:rFonts w:ascii="Verdana" w:eastAsia="Calibri" w:hAnsi="Verdana" w:cs="Times New Roman"/>
          <w:lang w:val="es-ES"/>
        </w:rPr>
        <w:t xml:space="preserve">Conforme con lo indicado in extenso, de acuerdo con la regla prevista en el numeral i) del numeral 3.5.2 “Características de los contratos presentados para acreditar la experiencia exigida”, contenida en el documento tipo de licitación de obra pública de infraestructura </w:t>
      </w:r>
      <w:r>
        <w:rPr>
          <w:rFonts w:ascii="Verdana" w:eastAsia="Calibri" w:hAnsi="Verdana" w:cs="Times New Roman"/>
          <w:lang w:val="es-ES"/>
        </w:rPr>
        <w:t>de transporte – versión 4</w:t>
      </w:r>
      <w:r w:rsidRPr="007E5876">
        <w:rPr>
          <w:rFonts w:ascii="Verdana" w:eastAsia="Calibri" w:hAnsi="Verdana" w:cs="Times New Roman"/>
          <w:lang w:val="es-ES"/>
        </w:rPr>
        <w:t xml:space="preserve">, es posible </w:t>
      </w:r>
      <w:r w:rsidRPr="007E5876">
        <w:rPr>
          <w:rFonts w:ascii="Verdana" w:eastAsia="Calibri" w:hAnsi="Verdana" w:cs="Times New Roman"/>
          <w:lang w:val="es-ES"/>
        </w:rPr>
        <w:lastRenderedPageBreak/>
        <w:t xml:space="preserve">llevar a cabo la combinación de experiencia bien sea de la misma matriz del sector o de otra matriz de experiencia de otro sector distinto al de infraestructura </w:t>
      </w:r>
      <w:r>
        <w:rPr>
          <w:rFonts w:ascii="Verdana" w:eastAsia="Calibri" w:hAnsi="Verdana" w:cs="Times New Roman"/>
          <w:lang w:val="es-ES"/>
        </w:rPr>
        <w:t>de transporte</w:t>
      </w:r>
      <w:r w:rsidRPr="007E5876">
        <w:rPr>
          <w:rFonts w:ascii="Verdana" w:eastAsia="Calibri" w:hAnsi="Verdana" w:cs="Times New Roman"/>
          <w:lang w:val="es-ES"/>
        </w:rPr>
        <w:t xml:space="preserve">, que haya sido adoptada por la Agencia Nacional de Contratación Pública – Colombia Compra Eficiente, siempre y cuando la entidad, determine cual será la actividad principal y cual o cuales las actividades secundarias, donde deberá dar estricto cumplimiento a las condiciones contenidas en el numeral señalado. </w:t>
      </w:r>
    </w:p>
    <w:p w14:paraId="35AE0BED" w14:textId="4EA01F99" w:rsidR="00C639FE" w:rsidRDefault="00C639FE" w:rsidP="00A2293E">
      <w:pPr>
        <w:spacing w:after="120"/>
        <w:ind w:firstLine="708"/>
        <w:jc w:val="both"/>
        <w:rPr>
          <w:rFonts w:ascii="Verdana" w:eastAsia="Calibri" w:hAnsi="Verdana" w:cs="Times New Roman"/>
          <w:lang w:val="es-ES"/>
        </w:rPr>
      </w:pPr>
      <w:r>
        <w:rPr>
          <w:rFonts w:ascii="Verdana" w:eastAsia="Calibri" w:hAnsi="Verdana" w:cs="Times New Roman"/>
          <w:lang w:val="es-ES"/>
        </w:rPr>
        <w:t xml:space="preserve">En este sentido, la Entidad que adelanta el proceso de selección, deberá aplicar, para efectos de la combinación de experiencia, las actividades previstas en </w:t>
      </w:r>
      <w:r w:rsidRPr="00C639FE">
        <w:rPr>
          <w:rFonts w:ascii="Verdana" w:eastAsia="Calibri" w:hAnsi="Verdana" w:cs="Times New Roman"/>
          <w:lang w:val="es-ES"/>
        </w:rPr>
        <w:t xml:space="preserve">la Matriz 1  - Experiencia de los documento tipo de licitación de obra pública de infraestructura de transporte – versión 4 que está constituida por </w:t>
      </w:r>
      <w:r w:rsidR="00A2293E">
        <w:rPr>
          <w:rFonts w:ascii="Verdana" w:eastAsia="Calibri" w:hAnsi="Verdana" w:cs="Times New Roman"/>
          <w:lang w:val="es-ES"/>
        </w:rPr>
        <w:t xml:space="preserve">los </w:t>
      </w:r>
      <w:r w:rsidRPr="00C639FE">
        <w:rPr>
          <w:rFonts w:ascii="Verdana" w:eastAsia="Calibri" w:hAnsi="Verdana" w:cs="Times New Roman"/>
          <w:lang w:val="es-ES"/>
        </w:rPr>
        <w:t xml:space="preserve">nueve (9) tipos de obras de infraestructura de transporte, </w:t>
      </w:r>
      <w:r w:rsidR="00A2293E">
        <w:rPr>
          <w:rFonts w:ascii="Verdana" w:eastAsia="Calibri" w:hAnsi="Verdana" w:cs="Times New Roman"/>
          <w:lang w:val="es-ES"/>
        </w:rPr>
        <w:t xml:space="preserve">señaladas con anterioridad, y </w:t>
      </w:r>
      <w:r w:rsidRPr="00C639FE">
        <w:rPr>
          <w:rFonts w:ascii="Verdana" w:eastAsia="Calibri" w:hAnsi="Verdana" w:cs="Times New Roman"/>
          <w:lang w:val="es-ES"/>
        </w:rPr>
        <w:t>con las actividades previstas en los documentos tipo de licitación de obra pública de infraestructura de agua potable y saneamiento básico</w:t>
      </w:r>
      <w:r w:rsidR="00A2293E">
        <w:rPr>
          <w:rFonts w:ascii="Verdana" w:eastAsia="Calibri" w:hAnsi="Verdana" w:cs="Times New Roman"/>
          <w:lang w:val="es-ES"/>
        </w:rPr>
        <w:t xml:space="preserve"> adoptados por medio de la Resolución 248 de 2020</w:t>
      </w:r>
      <w:r w:rsidRPr="00C639FE">
        <w:rPr>
          <w:rFonts w:ascii="Verdana" w:eastAsia="Calibri" w:hAnsi="Verdana" w:cs="Times New Roman"/>
          <w:lang w:val="es-ES"/>
        </w:rPr>
        <w:t>, constituida por siete (7) tipos de obras de infraestructura de transporte, identificadas con un número y su descripción, l</w:t>
      </w:r>
      <w:r w:rsidR="00A2293E">
        <w:rPr>
          <w:rFonts w:ascii="Verdana" w:eastAsia="Calibri" w:hAnsi="Verdana" w:cs="Times New Roman"/>
          <w:lang w:val="es-ES"/>
        </w:rPr>
        <w:t>a</w:t>
      </w:r>
      <w:r w:rsidRPr="00C639FE">
        <w:rPr>
          <w:rFonts w:ascii="Verdana" w:eastAsia="Calibri" w:hAnsi="Verdana" w:cs="Times New Roman"/>
          <w:lang w:val="es-ES"/>
        </w:rPr>
        <w:t>s cuales son: 1) Obras de Acueductos 2) Obras de Alcantarillados (sanitarios y/o pluviales y/o combinado) 3) Obras de aseo y/o manejo de residuos 4) Obras para PTAP (planta de tratamiento de agua potable) y/o PTAR (planta de tratamiento de aguas residuales) 5) Unidades sanitarias para vivienda rural dispersa 6) Sistemas no convencionales de potabilización y tratamiento de aguas residuales  7) Estudios y diseños (en el caso de proyectos que requieran labores de: estudios, diseños y construcción).</w:t>
      </w:r>
    </w:p>
    <w:p w14:paraId="38A055E2" w14:textId="4717B4CE" w:rsidR="00A2293E" w:rsidRDefault="00A2293E" w:rsidP="00A2293E">
      <w:pPr>
        <w:spacing w:after="120" w:line="276" w:lineRule="auto"/>
        <w:ind w:firstLine="708"/>
        <w:jc w:val="both"/>
        <w:rPr>
          <w:rFonts w:ascii="Verdana" w:eastAsia="Calibri" w:hAnsi="Verdana" w:cs="Times New Roman"/>
          <w:lang w:val="es-ES"/>
        </w:rPr>
      </w:pPr>
      <w:r>
        <w:rPr>
          <w:rFonts w:ascii="Verdana" w:eastAsia="Calibri" w:hAnsi="Verdana" w:cs="Times New Roman"/>
          <w:lang w:val="es-ES"/>
        </w:rPr>
        <w:t xml:space="preserve">Precisado lo anterior, concretamente, en relación con al problema jurídico planteado en este concepto. Debe indicarse que, </w:t>
      </w:r>
      <w:r w:rsidRPr="009E2298">
        <w:rPr>
          <w:rFonts w:ascii="Verdana" w:eastAsia="Calibri" w:hAnsi="Verdana" w:cs="Times New Roman"/>
          <w:lang w:val="es-ES"/>
        </w:rPr>
        <w:t>le corresponde a la entidad conforme con la información contenida en sus estudios previos, determinar qu</w:t>
      </w:r>
      <w:r>
        <w:rPr>
          <w:rFonts w:ascii="Verdana" w:eastAsia="Calibri" w:hAnsi="Verdana" w:cs="Times New Roman"/>
          <w:lang w:val="es-ES"/>
        </w:rPr>
        <w:t>é</w:t>
      </w:r>
      <w:r w:rsidRPr="009E2298">
        <w:rPr>
          <w:rFonts w:ascii="Verdana" w:eastAsia="Calibri" w:hAnsi="Verdana" w:cs="Times New Roman"/>
          <w:lang w:val="es-ES"/>
        </w:rPr>
        <w:t xml:space="preserve"> documento tipo aplica en función de la Actividad Principal o aquella que represente la mayor relevancia, de acuerdo con las características del proyecto que pretende contratar y que podrá estar en función de la complejidad técnica del mismo o por su valor frente al presupuesto Oficial.</w:t>
      </w:r>
    </w:p>
    <w:p w14:paraId="0A141B74" w14:textId="546731A2" w:rsidR="00A2293E" w:rsidRPr="00C639FE" w:rsidRDefault="00A2293E" w:rsidP="00A2293E">
      <w:pPr>
        <w:spacing w:after="120"/>
        <w:ind w:firstLine="708"/>
        <w:jc w:val="both"/>
        <w:rPr>
          <w:rFonts w:ascii="Verdana" w:eastAsia="Calibri" w:hAnsi="Verdana" w:cs="Times New Roman"/>
          <w:lang w:val="es-ES"/>
        </w:rPr>
      </w:pPr>
      <w:r>
        <w:rPr>
          <w:rFonts w:ascii="Verdana" w:eastAsia="Calibri" w:hAnsi="Verdana" w:cs="Times New Roman"/>
          <w:lang w:val="es-ES"/>
        </w:rPr>
        <w:t xml:space="preserve">Debe advertirse que, en los documentos tipo de licitación de obra pública de infraestructura de agua potable y saneamiento básico, adoptados por medio de la Resolución 248 de 2020, las reglas para la combinación de la experiencia entre documentos tipo expedidos por la Agencia Nacional de Contratación Pública – Colombia Compra Eficiente, aplican mutatis mutandis con el mismo </w:t>
      </w:r>
      <w:r>
        <w:rPr>
          <w:rFonts w:ascii="Verdana" w:eastAsia="Calibri" w:hAnsi="Verdana" w:cs="Times New Roman"/>
          <w:lang w:val="es-ES"/>
        </w:rPr>
        <w:lastRenderedPageBreak/>
        <w:t xml:space="preserve">alcance que se explicó en relación con los documentos tipo de licitación de obra pública de infraestructura de transporte – versión 4. </w:t>
      </w:r>
    </w:p>
    <w:p w14:paraId="59621050" w14:textId="57C27BF2" w:rsidR="008F7AF8" w:rsidRDefault="003A6B0D" w:rsidP="008F7AF8">
      <w:pPr>
        <w:spacing w:after="120" w:line="276" w:lineRule="auto"/>
        <w:ind w:firstLine="708"/>
        <w:jc w:val="both"/>
        <w:rPr>
          <w:rFonts w:ascii="Verdana" w:eastAsia="Calibri" w:hAnsi="Verdana" w:cs="Arial"/>
          <w:color w:val="000000"/>
        </w:rPr>
      </w:pPr>
      <w:r w:rsidRPr="000A057C">
        <w:rPr>
          <w:rFonts w:ascii="Verdana" w:eastAsia="Calibri" w:hAnsi="Verdana" w:cs="Arial"/>
        </w:rPr>
        <w:t xml:space="preserve">Finalmente, </w:t>
      </w:r>
      <w:r w:rsidR="00A2293E">
        <w:rPr>
          <w:rFonts w:ascii="Verdana" w:eastAsia="Calibri" w:hAnsi="Verdana" w:cs="Arial"/>
        </w:rPr>
        <w:t xml:space="preserve">le indicamos que, </w:t>
      </w:r>
      <w:r w:rsidRPr="000A057C">
        <w:rPr>
          <w:rFonts w:ascii="Verdana" w:eastAsia="Calibri" w:hAnsi="Verdana" w:cs="Arial"/>
        </w:rPr>
        <w:t>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4CE7835" w14:textId="7FAAE00B" w:rsidR="003A6B0D" w:rsidRPr="008F7AF8" w:rsidRDefault="003A6B0D" w:rsidP="00A2293E">
      <w:pPr>
        <w:spacing w:after="0" w:line="276" w:lineRule="auto"/>
        <w:ind w:firstLine="708"/>
        <w:jc w:val="both"/>
        <w:rPr>
          <w:rFonts w:ascii="Verdana" w:eastAsia="Calibri" w:hAnsi="Verdana" w:cs="Arial"/>
          <w:color w:val="000000"/>
          <w:lang w:val="es-MX"/>
        </w:rPr>
      </w:pPr>
      <w:r w:rsidRPr="000A057C">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bookmarkEnd w:id="1"/>
    <w:p w14:paraId="5FE688DB" w14:textId="77777777" w:rsidR="003A6B0D" w:rsidRDefault="003A6B0D" w:rsidP="00A2293E">
      <w:pPr>
        <w:tabs>
          <w:tab w:val="left" w:pos="142"/>
          <w:tab w:val="left" w:pos="284"/>
        </w:tabs>
        <w:spacing w:after="0" w:line="276" w:lineRule="auto"/>
        <w:jc w:val="both"/>
        <w:rPr>
          <w:rFonts w:ascii="Verdana" w:eastAsia="Calibri" w:hAnsi="Verdana" w:cs="Arial"/>
          <w:lang w:val="es-ES_tradnl"/>
        </w:rPr>
      </w:pPr>
    </w:p>
    <w:p w14:paraId="2A1D2036" w14:textId="77777777" w:rsidR="003A6B0D" w:rsidRPr="000A057C" w:rsidRDefault="003A6B0D" w:rsidP="00A2293E">
      <w:pPr>
        <w:tabs>
          <w:tab w:val="left" w:pos="142"/>
          <w:tab w:val="left" w:pos="284"/>
        </w:tabs>
        <w:spacing w:after="0" w:line="276" w:lineRule="auto"/>
        <w:jc w:val="both"/>
        <w:rPr>
          <w:rFonts w:ascii="Verdana" w:eastAsia="Century Gothic" w:hAnsi="Verdana" w:cs="Century Gothic"/>
          <w:b/>
          <w:bCs/>
          <w:lang w:val="es-ES_tradnl"/>
        </w:rPr>
      </w:pPr>
      <w:r w:rsidRPr="004A61C6">
        <w:rPr>
          <w:rFonts w:ascii="Verdana" w:eastAsia="Calibri" w:hAnsi="Verdana" w:cs="Arial"/>
          <w:b/>
          <w:bCs/>
          <w:lang w:val="es-ES_tradnl"/>
        </w:rPr>
        <w:t>4.</w:t>
      </w:r>
      <w:r>
        <w:rPr>
          <w:rFonts w:ascii="Verdana" w:eastAsia="Calibri" w:hAnsi="Verdana" w:cs="Arial"/>
          <w:lang w:val="es-ES_tradnl"/>
        </w:rPr>
        <w:t xml:space="preserve"> </w:t>
      </w:r>
      <w:r w:rsidRPr="000A057C">
        <w:rPr>
          <w:rFonts w:ascii="Verdana" w:eastAsia="Century Gothic" w:hAnsi="Verdana" w:cs="Century Gothic"/>
          <w:b/>
          <w:bCs/>
          <w:lang w:val="es-ES_tradnl"/>
        </w:rPr>
        <w:t>Referencias normativas, jurisprudenciales y otras fuentes:</w:t>
      </w:r>
    </w:p>
    <w:p w14:paraId="3A698B9D" w14:textId="77777777" w:rsidR="003A6B0D" w:rsidRPr="000A057C" w:rsidRDefault="003A6B0D" w:rsidP="003A6B0D">
      <w:pPr>
        <w:spacing w:after="0"/>
        <w:ind w:left="-15840"/>
        <w:jc w:val="both"/>
        <w:rPr>
          <w:rFonts w:ascii="Verdana" w:eastAsia="Calibri" w:hAnsi="Verdana" w:cs="Arial"/>
          <w:b/>
          <w:bCs/>
        </w:rPr>
      </w:pPr>
      <w:r w:rsidRPr="000A057C">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3A6B0D" w:rsidRPr="007E5876" w14:paraId="262B634F"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7E1DD142" w14:textId="77777777" w:rsidR="003A6B0D" w:rsidRPr="000A057C" w:rsidRDefault="003A6B0D" w:rsidP="003A6B0D">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0A057C">
              <w:rPr>
                <w:rFonts w:ascii="Verdana" w:eastAsia="Calibri" w:hAnsi="Verdana" w:cs="Arial"/>
                <w:lang w:val="es-ES_tradnl"/>
              </w:rPr>
              <w:t xml:space="preserve">Ley 2022 de 2020, artículo 1. </w:t>
            </w:r>
          </w:p>
          <w:p w14:paraId="58F1DF44" w14:textId="77777777" w:rsidR="003A6B0D" w:rsidRPr="000A057C" w:rsidRDefault="003A6B0D" w:rsidP="003A6B0D">
            <w:pPr>
              <w:widowControl w:val="0"/>
              <w:numPr>
                <w:ilvl w:val="0"/>
                <w:numId w:val="17"/>
              </w:numPr>
              <w:autoSpaceDE w:val="0"/>
              <w:autoSpaceDN w:val="0"/>
              <w:spacing w:line="276" w:lineRule="auto"/>
              <w:jc w:val="both"/>
              <w:rPr>
                <w:rFonts w:ascii="Verdana" w:eastAsia="Calibri" w:hAnsi="Verdana" w:cs="Arial"/>
              </w:rPr>
            </w:pPr>
            <w:r w:rsidRPr="000A057C">
              <w:rPr>
                <w:rFonts w:ascii="Verdana" w:eastAsia="Calibri" w:hAnsi="Verdana" w:cs="Arial"/>
              </w:rPr>
              <w:t>Ley 1150 de 2007, artículo 2.</w:t>
            </w:r>
          </w:p>
          <w:p w14:paraId="520F0B25" w14:textId="77777777" w:rsidR="003A6B0D" w:rsidRPr="000A057C" w:rsidRDefault="003A6B0D" w:rsidP="003A6B0D">
            <w:pPr>
              <w:widowControl w:val="0"/>
              <w:numPr>
                <w:ilvl w:val="0"/>
                <w:numId w:val="17"/>
              </w:numPr>
              <w:autoSpaceDE w:val="0"/>
              <w:autoSpaceDN w:val="0"/>
              <w:spacing w:line="276" w:lineRule="auto"/>
              <w:contextualSpacing/>
              <w:jc w:val="both"/>
              <w:rPr>
                <w:rFonts w:ascii="Verdana" w:eastAsia="Aptos" w:hAnsi="Verdana" w:cs="Arial"/>
              </w:rPr>
            </w:pPr>
            <w:r w:rsidRPr="000A057C">
              <w:rPr>
                <w:rFonts w:ascii="Verdana" w:eastAsia="Calibri" w:hAnsi="Verdana" w:cs="Arial"/>
                <w:lang w:val="es-ES_tradnl"/>
              </w:rPr>
              <w:t xml:space="preserve">Documentos Tipo. Disponibles en: </w:t>
            </w:r>
            <w:hyperlink r:id="rId11" w:history="1">
              <w:r w:rsidRPr="000A057C">
                <w:rPr>
                  <w:rFonts w:ascii="Verdana" w:eastAsia="Calibri" w:hAnsi="Verdana" w:cs="Arial"/>
                  <w:color w:val="0000FF"/>
                  <w:u w:val="single"/>
                  <w:lang w:val="es-ES_tradnl"/>
                </w:rPr>
                <w:t>https://www.colombiacompra.gov.co/documentos-tipo/documentos-tipo</w:t>
              </w:r>
            </w:hyperlink>
          </w:p>
        </w:tc>
      </w:tr>
    </w:tbl>
    <w:p w14:paraId="698D9182" w14:textId="77777777" w:rsidR="003A6B0D" w:rsidRDefault="003A6B0D" w:rsidP="003A6B0D">
      <w:pPr>
        <w:widowControl w:val="0"/>
        <w:autoSpaceDE w:val="0"/>
        <w:autoSpaceDN w:val="0"/>
        <w:spacing w:before="1" w:after="0" w:line="240" w:lineRule="auto"/>
        <w:outlineLvl w:val="0"/>
        <w:rPr>
          <w:rFonts w:ascii="Verdana" w:eastAsia="Arial" w:hAnsi="Verdana" w:cs="Arial"/>
          <w:b/>
          <w:bCs/>
          <w:lang w:val="es-ES"/>
        </w:rPr>
      </w:pPr>
    </w:p>
    <w:p w14:paraId="771410D3" w14:textId="77777777" w:rsidR="003A6B0D" w:rsidRPr="00301485" w:rsidRDefault="003A6B0D" w:rsidP="003A6B0D">
      <w:pPr>
        <w:widowControl w:val="0"/>
        <w:autoSpaceDE w:val="0"/>
        <w:autoSpaceDN w:val="0"/>
        <w:spacing w:before="1" w:after="0" w:line="240" w:lineRule="auto"/>
        <w:outlineLvl w:val="0"/>
        <w:rPr>
          <w:rFonts w:ascii="Verdana" w:eastAsia="Arial" w:hAnsi="Verdana" w:cs="Arial"/>
          <w:b/>
          <w:bCs/>
          <w:lang w:val="es-ES"/>
        </w:rPr>
      </w:pPr>
      <w:r w:rsidRPr="00301485">
        <w:rPr>
          <w:rFonts w:ascii="Verdana" w:eastAsia="Arial" w:hAnsi="Verdana" w:cs="Arial"/>
          <w:b/>
          <w:bCs/>
          <w:lang w:val="es-ES"/>
        </w:rPr>
        <w:t>5. Doctrina de la Agencia Nacional de Contratación Pública:</w:t>
      </w:r>
    </w:p>
    <w:p w14:paraId="57D65E5F" w14:textId="77777777" w:rsidR="003A6B0D" w:rsidRPr="00301485" w:rsidRDefault="003A6B0D" w:rsidP="003A6B0D">
      <w:pPr>
        <w:widowControl w:val="0"/>
        <w:autoSpaceDE w:val="0"/>
        <w:autoSpaceDN w:val="0"/>
        <w:spacing w:after="0" w:line="276" w:lineRule="auto"/>
        <w:jc w:val="both"/>
        <w:rPr>
          <w:rFonts w:ascii="Verdana" w:eastAsia="Aptos" w:hAnsi="Verdana" w:cs="Arial"/>
        </w:rPr>
      </w:pPr>
    </w:p>
    <w:p w14:paraId="55EF35C2" w14:textId="77777777" w:rsidR="003A6B0D" w:rsidRPr="00301485" w:rsidRDefault="003A6B0D" w:rsidP="003A6B0D">
      <w:pPr>
        <w:widowControl w:val="0"/>
        <w:autoSpaceDE w:val="0"/>
        <w:autoSpaceDN w:val="0"/>
        <w:spacing w:after="0" w:line="276" w:lineRule="auto"/>
        <w:jc w:val="both"/>
        <w:rPr>
          <w:rFonts w:ascii="Verdana" w:eastAsia="Calibri" w:hAnsi="Verdana" w:cs="Arial"/>
          <w:shd w:val="clear" w:color="auto" w:fill="FFFFFF"/>
          <w:lang w:val="es-ES_tradnl"/>
        </w:rPr>
      </w:pPr>
      <w:r>
        <w:rPr>
          <w:rFonts w:ascii="Verdana" w:eastAsia="Calibri" w:hAnsi="Verdana" w:cs="Arial"/>
          <w:shd w:val="clear" w:color="auto" w:fill="FFFFFF"/>
          <w:lang w:val="es-ES_tradnl"/>
        </w:rPr>
        <w:t xml:space="preserve">La </w:t>
      </w:r>
      <w:r w:rsidRPr="000A057C">
        <w:rPr>
          <w:rFonts w:ascii="Verdana" w:eastAsia="Calibri" w:hAnsi="Verdana" w:cs="Arial"/>
          <w:shd w:val="clear" w:color="auto" w:fill="FFFFFF"/>
          <w:lang w:val="es-ES_tradnl"/>
        </w:rPr>
        <w:t>Agencia Nacional de Contratación Pública – Colombia Compra Eficiente se</w:t>
      </w:r>
      <w:r w:rsidRPr="000A057C">
        <w:rPr>
          <w:rFonts w:ascii="Verdana" w:eastAsia="Aptos" w:hAnsi="Verdana" w:cs="Times New Roman"/>
        </w:rPr>
        <w:t xml:space="preserve"> </w:t>
      </w:r>
      <w:r w:rsidRPr="000A057C">
        <w:rPr>
          <w:rFonts w:ascii="Verdana" w:eastAsia="Calibri" w:hAnsi="Verdana" w:cs="Arial"/>
          <w:shd w:val="clear" w:color="auto" w:fill="FFFFFF"/>
          <w:lang w:val="es-ES_tradnl"/>
        </w:rPr>
        <w:t>pronunció</w:t>
      </w:r>
      <w:r w:rsidRPr="000A057C">
        <w:rPr>
          <w:rFonts w:ascii="Verdana" w:eastAsia="Aptos" w:hAnsi="Verdana" w:cs="Times New Roman"/>
          <w:lang w:val="es-ES_tradnl"/>
        </w:rPr>
        <w:t xml:space="preserve"> </w:t>
      </w:r>
      <w:r w:rsidRPr="000A057C">
        <w:rPr>
          <w:rFonts w:ascii="Verdana" w:eastAsia="Calibri" w:hAnsi="Verdana" w:cs="Arial"/>
          <w:shd w:val="clear" w:color="auto" w:fill="FFFFFF"/>
          <w:lang w:val="es-ES"/>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w:t>
      </w:r>
      <w:r w:rsidRPr="000A057C">
        <w:rPr>
          <w:rFonts w:ascii="Verdana" w:eastAsia="Calibri" w:hAnsi="Verdana" w:cs="Arial"/>
          <w:shd w:val="clear" w:color="auto" w:fill="FFFFFF"/>
          <w:lang w:val="es-ES"/>
        </w:rPr>
        <w:lastRenderedPageBreak/>
        <w:t xml:space="preserve">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w:t>
      </w:r>
      <w:r>
        <w:rPr>
          <w:rFonts w:ascii="Verdana" w:eastAsia="Calibri" w:hAnsi="Verdana" w:cs="Arial"/>
          <w:shd w:val="clear" w:color="auto" w:fill="FFFFFF"/>
          <w:lang w:val="es-ES"/>
        </w:rPr>
        <w:t>febrero</w:t>
      </w:r>
      <w:r w:rsidRPr="000A057C">
        <w:rPr>
          <w:rFonts w:ascii="Verdana" w:eastAsia="Calibri" w:hAnsi="Verdana" w:cs="Arial"/>
          <w:shd w:val="clear" w:color="auto" w:fill="FFFFFF"/>
          <w:lang w:val="es-ES"/>
        </w:rPr>
        <w:t xml:space="preserve"> de 2025, C-337 del 25 de abril de 2025 y C-567 del 6 de junio de 2025</w:t>
      </w:r>
      <w:r>
        <w:rPr>
          <w:rFonts w:ascii="Verdana" w:eastAsia="Aptos" w:hAnsi="Verdana" w:cs="Arial"/>
          <w:shd w:val="clear" w:color="auto" w:fill="FFFFFF"/>
          <w:lang w:val="es-ES"/>
        </w:rPr>
        <w:t>,</w:t>
      </w:r>
      <w:r w:rsidRPr="00BA2515">
        <w:t xml:space="preserve"> </w:t>
      </w:r>
      <w:r w:rsidRPr="00BA2515">
        <w:rPr>
          <w:rFonts w:ascii="Verdana" w:eastAsia="Aptos" w:hAnsi="Verdana" w:cs="Arial"/>
          <w:shd w:val="clear" w:color="auto" w:fill="FFFFFF"/>
          <w:lang w:val="es-ES"/>
        </w:rPr>
        <w:t>C-</w:t>
      </w:r>
      <w:r>
        <w:rPr>
          <w:rFonts w:ascii="Verdana" w:eastAsia="Aptos" w:hAnsi="Verdana" w:cs="Arial"/>
          <w:shd w:val="clear" w:color="auto" w:fill="FFFFFF"/>
          <w:lang w:val="es-ES"/>
        </w:rPr>
        <w:t>683 del 1 de julio de 2025,</w:t>
      </w:r>
      <w:r w:rsidRPr="00301485">
        <w:rPr>
          <w:rFonts w:ascii="Verdana" w:eastAsia="Aptos" w:hAnsi="Verdana" w:cs="Arial"/>
          <w:shd w:val="clear" w:color="auto" w:fill="FFFFFF"/>
          <w:lang w:val="es-ES"/>
        </w:rPr>
        <w:t xml:space="preserve"> entre otros. </w:t>
      </w:r>
      <w:r w:rsidRPr="00301485">
        <w:rPr>
          <w:rFonts w:ascii="Verdana" w:eastAsia="Calibri" w:hAnsi="Verdana" w:cs="Arial"/>
          <w:kern w:val="2"/>
          <w:shd w:val="clear" w:color="auto" w:fill="FFFFFF"/>
          <w:lang w:val="es-ES_tradnl"/>
          <w14:ligatures w14:val="standardContextual"/>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r w:rsidRPr="00301485">
        <w:rPr>
          <w:rFonts w:ascii="Verdana" w:eastAsia="Aptos" w:hAnsi="Verdana" w:cs="Arial"/>
          <w:shd w:val="clear" w:color="auto" w:fill="FFFFFF"/>
          <w:lang w:val="es-ES"/>
        </w:rPr>
        <w:t xml:space="preserve">Acceda a través del siguiente enlace: </w:t>
      </w:r>
      <w:hyperlink r:id="rId12" w:history="1">
        <w:r w:rsidRPr="00301485">
          <w:rPr>
            <w:rFonts w:ascii="Verdana" w:eastAsia="Aptos" w:hAnsi="Verdana" w:cs="Arial"/>
            <w:color w:val="467886"/>
            <w:u w:val="single"/>
            <w:shd w:val="clear" w:color="auto" w:fill="FFFFFF"/>
            <w:lang w:val="es-ES"/>
          </w:rPr>
          <w:t>https://relatoria.colombiacompra.gov.co/</w:t>
        </w:r>
      </w:hyperlink>
    </w:p>
    <w:p w14:paraId="54EE25BF" w14:textId="77777777" w:rsidR="003A6B0D" w:rsidRPr="00301485" w:rsidRDefault="003A6B0D" w:rsidP="003A6B0D">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bookmarkEnd w:id="0"/>
    <w:p w14:paraId="4F2AFB29" w14:textId="77777777" w:rsidR="003A6B0D" w:rsidRPr="00A00932" w:rsidRDefault="003A6B0D" w:rsidP="003A6B0D">
      <w:pPr>
        <w:spacing w:line="276" w:lineRule="auto"/>
        <w:jc w:val="both"/>
        <w:rPr>
          <w:rFonts w:ascii="Verdana" w:eastAsia="Calibri" w:hAnsi="Verdana" w:cs="Times New Roman"/>
          <w:lang w:val="es-ES"/>
        </w:rPr>
      </w:pPr>
      <w:r w:rsidRPr="00A00932">
        <w:rPr>
          <w:rFonts w:ascii="Verdana" w:eastAsia="Calibri" w:hAnsi="Verdana" w:cs="Times New Roman"/>
          <w:lang w:val="es-ES"/>
        </w:rPr>
        <w:t>También le contamos que ya se encuentra disponible la </w:t>
      </w:r>
      <w:r w:rsidRPr="00A00932">
        <w:rPr>
          <w:rFonts w:ascii="Verdana" w:eastAsia="Calibri" w:hAnsi="Verdana" w:cs="Times New Roman"/>
          <w:b/>
          <w:bCs/>
          <w:lang w:val="es-ES"/>
        </w:rPr>
        <w:t>Guía de lineamientos de transparencia y selección objetiva para el departamento de La Guajira – Objetivo sexto constitucional de la Sentencia T-302 del 2017. </w:t>
      </w:r>
      <w:r w:rsidRPr="00A00932">
        <w:rPr>
          <w:rFonts w:ascii="Verdana" w:eastAsia="Calibri" w:hAnsi="Verdana" w:cs="Times New Roman"/>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00932">
        <w:rPr>
          <w:rFonts w:ascii="Verdana" w:eastAsia="Calibri" w:hAnsi="Verdana" w:cs="Times New Roman"/>
          <w:lang w:val="es-ES"/>
        </w:rPr>
        <w:t>Wayúu</w:t>
      </w:r>
      <w:proofErr w:type="spellEnd"/>
      <w:r w:rsidRPr="00A00932">
        <w:rPr>
          <w:rFonts w:ascii="Verdana" w:eastAsia="Calibri" w:hAnsi="Verdana" w:cs="Times New Roman"/>
          <w:lang w:val="es-ES"/>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A00932">
          <w:rPr>
            <w:rFonts w:ascii="Verdana" w:eastAsia="Calibri" w:hAnsi="Verdana" w:cs="Times New Roman"/>
            <w:color w:val="0000FF"/>
            <w:u w:val="single"/>
            <w:lang w:val="es-ES"/>
          </w:rPr>
          <w:t>Guía de lineamientos de transparencia y selección objetiva para el departamento de La Guajira – Objetivo sexto constitucional de la Sentencia T-302 del 2017</w:t>
        </w:r>
      </w:hyperlink>
      <w:r w:rsidRPr="00A00932">
        <w:rPr>
          <w:rFonts w:ascii="Verdana" w:eastAsia="Calibri" w:hAnsi="Verdana" w:cs="Times New Roman"/>
          <w:u w:val="single"/>
          <w:lang w:val="es-ES"/>
        </w:rPr>
        <w:t>"</w:t>
      </w:r>
    </w:p>
    <w:p w14:paraId="3EF22784" w14:textId="77777777" w:rsidR="003A6B0D" w:rsidRPr="00A00932" w:rsidRDefault="003A6B0D" w:rsidP="003A6B0D">
      <w:pPr>
        <w:widowControl w:val="0"/>
        <w:autoSpaceDE w:val="0"/>
        <w:autoSpaceDN w:val="0"/>
        <w:spacing w:after="0" w:line="276" w:lineRule="auto"/>
        <w:jc w:val="both"/>
        <w:rPr>
          <w:rFonts w:ascii="Calibri" w:eastAsia="Calibri" w:hAnsi="Calibri" w:cs="Arial"/>
          <w:color w:val="FF0000"/>
          <w:shd w:val="clear" w:color="auto" w:fill="FFFFFF"/>
          <w:lang w:val="es-ES"/>
        </w:rPr>
      </w:pPr>
    </w:p>
    <w:p w14:paraId="6AE2C1B3" w14:textId="77777777" w:rsidR="003A6B0D" w:rsidRPr="00A00932" w:rsidRDefault="003A6B0D" w:rsidP="003A6B0D">
      <w:pPr>
        <w:spacing w:after="0" w:line="240" w:lineRule="auto"/>
        <w:jc w:val="both"/>
        <w:rPr>
          <w:rFonts w:ascii="Calibri" w:eastAsia="Calibri" w:hAnsi="Calibri" w:cs="Times New Roman"/>
        </w:rPr>
      </w:pPr>
      <w:r w:rsidRPr="00A00932">
        <w:rPr>
          <w:rFonts w:ascii="Verdana" w:eastAsia="Calibri" w:hAnsi="Verdana" w:cs="Times New Roman"/>
        </w:rPr>
        <w:lastRenderedPageBreak/>
        <w:t xml:space="preserve">Por último, lo invitamos a seguirnos en las redes sociales en las cuales se difunde información institucional: </w:t>
      </w:r>
    </w:p>
    <w:p w14:paraId="182DEC90" w14:textId="77777777" w:rsidR="003A6B0D" w:rsidRPr="00A00932" w:rsidRDefault="003A6B0D" w:rsidP="003A6B0D">
      <w:pPr>
        <w:spacing w:after="0" w:line="240" w:lineRule="auto"/>
        <w:jc w:val="both"/>
        <w:rPr>
          <w:rFonts w:ascii="Verdana" w:eastAsia="Calibri" w:hAnsi="Verdana" w:cs="Times New Roman"/>
        </w:rPr>
      </w:pPr>
    </w:p>
    <w:p w14:paraId="34D8FF98" w14:textId="77777777" w:rsidR="003A6B0D" w:rsidRPr="00A00932" w:rsidRDefault="003A6B0D" w:rsidP="003A6B0D">
      <w:pPr>
        <w:spacing w:after="0" w:line="240" w:lineRule="auto"/>
        <w:jc w:val="both"/>
        <w:rPr>
          <w:rFonts w:ascii="Verdana" w:eastAsia="Calibri" w:hAnsi="Verdana" w:cs="Times New Roman"/>
        </w:rPr>
      </w:pPr>
      <w:r w:rsidRPr="00A00932">
        <w:rPr>
          <w:rFonts w:ascii="Verdana" w:eastAsia="Calibri" w:hAnsi="Verdana" w:cs="Times New Roman"/>
        </w:rPr>
        <w:t xml:space="preserve">Twitter: </w:t>
      </w:r>
      <w:r w:rsidRPr="00A00932">
        <w:rPr>
          <w:rFonts w:ascii="Verdana" w:eastAsia="Calibri" w:hAnsi="Verdana" w:cs="Arial"/>
          <w:color w:val="0000FF"/>
          <w:u w:val="single"/>
          <w:shd w:val="clear" w:color="auto" w:fill="FFFFFF"/>
        </w:rPr>
        <w:t>@colombiacompra</w:t>
      </w:r>
      <w:r w:rsidRPr="00A00932">
        <w:rPr>
          <w:rFonts w:ascii="Verdana" w:eastAsia="Calibri" w:hAnsi="Verdana" w:cs="Times New Roman"/>
          <w:color w:val="4472C4" w:themeColor="accent1"/>
        </w:rPr>
        <w:t xml:space="preserve"> </w:t>
      </w:r>
    </w:p>
    <w:p w14:paraId="03D2354D" w14:textId="77777777" w:rsidR="003A6B0D" w:rsidRPr="00A00932" w:rsidRDefault="003A6B0D" w:rsidP="003A6B0D">
      <w:pPr>
        <w:spacing w:after="0" w:line="240" w:lineRule="auto"/>
        <w:jc w:val="both"/>
        <w:rPr>
          <w:rFonts w:ascii="Verdana" w:eastAsia="Calibri" w:hAnsi="Verdana" w:cs="Times New Roman"/>
        </w:rPr>
      </w:pPr>
      <w:r w:rsidRPr="00A00932">
        <w:rPr>
          <w:rFonts w:ascii="Verdana" w:eastAsia="Calibri" w:hAnsi="Verdana" w:cs="Times New Roman"/>
        </w:rPr>
        <w:t xml:space="preserve">Facebook: </w:t>
      </w:r>
      <w:proofErr w:type="spellStart"/>
      <w:r w:rsidRPr="00A00932">
        <w:rPr>
          <w:rFonts w:ascii="Verdana" w:eastAsia="Calibri" w:hAnsi="Verdana" w:cs="Arial"/>
          <w:color w:val="0000FF"/>
          <w:u w:val="single"/>
          <w:shd w:val="clear" w:color="auto" w:fill="FFFFFF"/>
        </w:rPr>
        <w:t>ColombiaCompraEficiente</w:t>
      </w:r>
      <w:proofErr w:type="spellEnd"/>
    </w:p>
    <w:p w14:paraId="32537E99" w14:textId="77777777" w:rsidR="003A6B0D" w:rsidRPr="00A00932" w:rsidRDefault="003A6B0D" w:rsidP="003A6B0D">
      <w:pPr>
        <w:spacing w:after="0" w:line="240" w:lineRule="auto"/>
        <w:jc w:val="both"/>
        <w:rPr>
          <w:rFonts w:ascii="Verdana" w:eastAsia="Calibri" w:hAnsi="Verdana" w:cs="Times New Roman"/>
        </w:rPr>
      </w:pPr>
      <w:r w:rsidRPr="00A00932">
        <w:rPr>
          <w:rFonts w:ascii="Verdana" w:eastAsia="Calibri" w:hAnsi="Verdana" w:cs="Times New Roman"/>
        </w:rPr>
        <w:t xml:space="preserve">LinkedIn: </w:t>
      </w:r>
      <w:r w:rsidRPr="00A00932">
        <w:rPr>
          <w:rFonts w:ascii="Verdana" w:eastAsia="Calibri" w:hAnsi="Verdana" w:cs="Arial"/>
          <w:color w:val="0000FF"/>
          <w:u w:val="single"/>
          <w:shd w:val="clear" w:color="auto" w:fill="FFFFFF"/>
        </w:rPr>
        <w:t>Agencia Nacional de Contratación Pública - Colombia Compra Eficiente</w:t>
      </w:r>
      <w:r w:rsidRPr="00A00932">
        <w:rPr>
          <w:rFonts w:ascii="Calibri" w:eastAsia="Calibri" w:hAnsi="Calibri" w:cs="Arial"/>
          <w:color w:val="0000FF"/>
          <w:u w:val="single"/>
          <w:shd w:val="clear" w:color="auto" w:fill="FFFFFF"/>
        </w:rPr>
        <w:t xml:space="preserve"> </w:t>
      </w:r>
      <w:r w:rsidRPr="00A00932">
        <w:rPr>
          <w:rFonts w:ascii="Verdana" w:eastAsia="Calibri" w:hAnsi="Verdana" w:cs="Times New Roman"/>
        </w:rPr>
        <w:t xml:space="preserve">Instagram: </w:t>
      </w:r>
      <w:r w:rsidRPr="00A00932">
        <w:rPr>
          <w:rFonts w:ascii="Verdana" w:eastAsia="Calibri" w:hAnsi="Verdana" w:cs="Arial"/>
          <w:color w:val="0000FF"/>
          <w:u w:val="single"/>
          <w:shd w:val="clear" w:color="auto" w:fill="FFFFFF"/>
        </w:rPr>
        <w:t>@colombiacompraeficiente_cce</w:t>
      </w:r>
    </w:p>
    <w:p w14:paraId="482C9331" w14:textId="77777777" w:rsidR="003A6B0D" w:rsidRPr="00A00932" w:rsidRDefault="003A6B0D" w:rsidP="003A6B0D">
      <w:pPr>
        <w:widowControl w:val="0"/>
        <w:autoSpaceDE w:val="0"/>
        <w:autoSpaceDN w:val="0"/>
        <w:spacing w:after="0" w:line="276" w:lineRule="auto"/>
        <w:jc w:val="both"/>
        <w:rPr>
          <w:rFonts w:ascii="Verdana" w:eastAsia="Calibri" w:hAnsi="Verdana" w:cs="Arial"/>
          <w:color w:val="000000" w:themeColor="text1"/>
        </w:rPr>
      </w:pPr>
    </w:p>
    <w:p w14:paraId="71178FF2" w14:textId="77777777" w:rsidR="003A6B0D" w:rsidRPr="00A00932" w:rsidRDefault="003A6B0D" w:rsidP="003A6B0D">
      <w:pPr>
        <w:widowControl w:val="0"/>
        <w:autoSpaceDE w:val="0"/>
        <w:autoSpaceDN w:val="0"/>
        <w:spacing w:after="0" w:line="276" w:lineRule="auto"/>
        <w:jc w:val="both"/>
        <w:rPr>
          <w:rFonts w:ascii="Verdana" w:eastAsia="Calibri" w:hAnsi="Verdana" w:cs="Arial"/>
          <w:lang w:val="es-ES_tradnl"/>
        </w:rPr>
      </w:pPr>
      <w:r w:rsidRPr="00A00932">
        <w:rPr>
          <w:rFonts w:ascii="Verdana" w:eastAsia="Calibri" w:hAnsi="Verdana" w:cs="Arial"/>
        </w:rPr>
        <w:t xml:space="preserve">Este concepto tiene el alcance previsto en el artículo 28 del Código de Procedimiento Administrativo y de lo Contencioso Administrativo </w:t>
      </w:r>
      <w:r w:rsidRPr="00A00932">
        <w:rPr>
          <w:rFonts w:ascii="Verdana" w:eastAsia="Calibri" w:hAnsi="Verdana" w:cs="Arial"/>
          <w:lang w:val="es-ES_tradnl"/>
        </w:rPr>
        <w:t>y las expresiones aquí utilizadas con mayúscula inicial deben ser entendidas con el significado que les otorga el artículo 2.2.1.1.1.3.1. del Decreto 1082 de 2015.</w:t>
      </w:r>
    </w:p>
    <w:p w14:paraId="2FFA2C41" w14:textId="77777777" w:rsidR="003A6B0D" w:rsidRPr="00A00932" w:rsidRDefault="003A6B0D" w:rsidP="003A6B0D">
      <w:pPr>
        <w:widowControl w:val="0"/>
        <w:autoSpaceDE w:val="0"/>
        <w:autoSpaceDN w:val="0"/>
        <w:spacing w:after="0" w:line="276" w:lineRule="auto"/>
        <w:jc w:val="both"/>
        <w:rPr>
          <w:rFonts w:ascii="Verdana" w:eastAsia="Calibri" w:hAnsi="Verdana" w:cs="Arial"/>
        </w:rPr>
      </w:pPr>
    </w:p>
    <w:p w14:paraId="2B807E79" w14:textId="77777777" w:rsidR="003A6B0D" w:rsidRPr="00A00932" w:rsidRDefault="003A6B0D" w:rsidP="003A6B0D">
      <w:pPr>
        <w:spacing w:after="0" w:line="276" w:lineRule="auto"/>
        <w:rPr>
          <w:rFonts w:ascii="Verdana" w:eastAsia="Calibri" w:hAnsi="Verdana" w:cs="Arial"/>
          <w:lang w:eastAsia="es-CO"/>
        </w:rPr>
      </w:pPr>
      <w:r w:rsidRPr="00A00932">
        <w:rPr>
          <w:rFonts w:ascii="Verdana" w:eastAsia="Times New Roman" w:hAnsi="Verdana" w:cs="Arial"/>
          <w:lang w:eastAsia="es-CO"/>
        </w:rPr>
        <w:t>Atentamente,</w:t>
      </w:r>
      <w:r w:rsidRPr="00A00932">
        <w:rPr>
          <w:rFonts w:ascii="Verdana" w:eastAsia="Calibri" w:hAnsi="Verdana" w:cs="Arial"/>
          <w:lang w:eastAsia="es-CO"/>
        </w:rPr>
        <w:t xml:space="preserve"> </w:t>
      </w:r>
    </w:p>
    <w:p w14:paraId="7B80BF05" w14:textId="324A911D" w:rsidR="003A6B0D" w:rsidRPr="00A00932" w:rsidRDefault="00363F25" w:rsidP="003A6B0D">
      <w:pPr>
        <w:spacing w:line="276" w:lineRule="auto"/>
        <w:jc w:val="center"/>
        <w:rPr>
          <w:rFonts w:ascii="Verdana" w:eastAsia="Times New Roman" w:hAnsi="Verdana" w:cs="Arial"/>
          <w:sz w:val="24"/>
          <w:szCs w:val="24"/>
          <w:lang w:eastAsia="es-ES"/>
        </w:rPr>
      </w:pPr>
      <w:r>
        <w:rPr>
          <w:noProof/>
        </w:rPr>
        <w:drawing>
          <wp:inline distT="0" distB="0" distL="0" distR="0" wp14:anchorId="71ADD6E8" wp14:editId="351A6629">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3A6B0D" w:rsidRPr="00A00932" w14:paraId="5683EF48" w14:textId="77777777">
        <w:trPr>
          <w:trHeight w:val="315"/>
        </w:trPr>
        <w:tc>
          <w:tcPr>
            <w:tcW w:w="993" w:type="dxa"/>
            <w:vAlign w:val="center"/>
            <w:hideMark/>
          </w:tcPr>
          <w:p w14:paraId="152D2592" w14:textId="77777777" w:rsidR="003A6B0D" w:rsidRPr="00A00932" w:rsidRDefault="003A6B0D">
            <w:pPr>
              <w:spacing w:after="0" w:line="276" w:lineRule="auto"/>
              <w:rPr>
                <w:rFonts w:ascii="Verdana" w:eastAsia="Calibri" w:hAnsi="Verdana" w:cs="Arial"/>
                <w:bCs/>
                <w:sz w:val="16"/>
                <w:szCs w:val="16"/>
                <w:lang w:eastAsia="es-CO"/>
              </w:rPr>
            </w:pPr>
            <w:r w:rsidRPr="00A00932">
              <w:rPr>
                <w:rFonts w:ascii="Verdana" w:eastAsia="Calibri" w:hAnsi="Verdana" w:cs="Arial"/>
                <w:bCs/>
                <w:sz w:val="16"/>
                <w:szCs w:val="16"/>
                <w:lang w:eastAsia="es-CO"/>
              </w:rPr>
              <w:t>Elaboró:</w:t>
            </w:r>
          </w:p>
        </w:tc>
        <w:tc>
          <w:tcPr>
            <w:tcW w:w="4677" w:type="dxa"/>
            <w:tcBorders>
              <w:top w:val="nil"/>
              <w:left w:val="nil"/>
              <w:bottom w:val="dotted" w:sz="4" w:space="0" w:color="7F7F7F"/>
              <w:right w:val="nil"/>
            </w:tcBorders>
            <w:vAlign w:val="center"/>
            <w:hideMark/>
          </w:tcPr>
          <w:p w14:paraId="0007042C" w14:textId="77777777" w:rsidR="003A6B0D" w:rsidRPr="00A00932" w:rsidRDefault="003A6B0D">
            <w:pPr>
              <w:spacing w:after="0" w:line="240" w:lineRule="auto"/>
              <w:rPr>
                <w:rFonts w:ascii="Verdana" w:eastAsia="Calibri" w:hAnsi="Verdana" w:cs="Arial"/>
                <w:sz w:val="16"/>
                <w:szCs w:val="16"/>
                <w:lang w:eastAsia="es-CO"/>
              </w:rPr>
            </w:pPr>
            <w:r w:rsidRPr="00A00932">
              <w:rPr>
                <w:rFonts w:ascii="Verdana" w:eastAsia="Calibri" w:hAnsi="Verdana" w:cs="Arial"/>
                <w:sz w:val="16"/>
                <w:szCs w:val="16"/>
                <w:lang w:eastAsia="es-CO"/>
              </w:rPr>
              <w:t>Ximena Ríos López</w:t>
            </w:r>
          </w:p>
          <w:p w14:paraId="2837ACF4" w14:textId="77777777" w:rsidR="003A6B0D" w:rsidRDefault="003A6B0D">
            <w:pPr>
              <w:spacing w:after="0" w:line="240" w:lineRule="auto"/>
              <w:rPr>
                <w:rFonts w:ascii="Verdana" w:eastAsia="Calibri" w:hAnsi="Verdana" w:cs="Arial"/>
                <w:sz w:val="16"/>
                <w:szCs w:val="16"/>
                <w:lang w:eastAsia="es-CO"/>
              </w:rPr>
            </w:pPr>
            <w:r w:rsidRPr="00A00932">
              <w:rPr>
                <w:rFonts w:ascii="Verdana" w:eastAsia="Calibri" w:hAnsi="Verdana" w:cs="Arial"/>
                <w:sz w:val="16"/>
                <w:szCs w:val="16"/>
                <w:lang w:eastAsia="es-CO"/>
              </w:rPr>
              <w:t>Gestor T1 -11 Subdirección de Gestión Contractual</w:t>
            </w:r>
          </w:p>
          <w:p w14:paraId="7AF2E37B" w14:textId="77777777" w:rsidR="003A6B0D" w:rsidRPr="000A057C" w:rsidRDefault="003A6B0D">
            <w:pPr>
              <w:contextualSpacing/>
              <w:textAlignment w:val="baseline"/>
              <w:rPr>
                <w:rFonts w:ascii="Verdana" w:eastAsia="Arial" w:hAnsi="Verdana" w:cs="Arial"/>
                <w:sz w:val="16"/>
                <w:szCs w:val="16"/>
              </w:rPr>
            </w:pPr>
            <w:r w:rsidRPr="000A057C">
              <w:rPr>
                <w:rFonts w:ascii="Verdana" w:eastAsia="Arial" w:hAnsi="Verdana" w:cs="Arial"/>
                <w:sz w:val="16"/>
                <w:szCs w:val="16"/>
              </w:rPr>
              <w:t xml:space="preserve">Lida Milena </w:t>
            </w:r>
            <w:proofErr w:type="spellStart"/>
            <w:r w:rsidRPr="000A057C">
              <w:rPr>
                <w:rFonts w:ascii="Verdana" w:eastAsia="Arial" w:hAnsi="Verdana" w:cs="Arial"/>
                <w:sz w:val="16"/>
                <w:szCs w:val="16"/>
              </w:rPr>
              <w:t>Guanumen</w:t>
            </w:r>
            <w:proofErr w:type="spellEnd"/>
            <w:r w:rsidRPr="000A057C">
              <w:rPr>
                <w:rFonts w:ascii="Verdana" w:eastAsia="Arial" w:hAnsi="Verdana" w:cs="Arial"/>
                <w:sz w:val="16"/>
                <w:szCs w:val="16"/>
              </w:rPr>
              <w:t xml:space="preserve"> Pacheco </w:t>
            </w:r>
          </w:p>
          <w:p w14:paraId="530DE12A" w14:textId="77777777" w:rsidR="003A6B0D" w:rsidRPr="00541146" w:rsidRDefault="003A6B0D">
            <w:pPr>
              <w:contextualSpacing/>
              <w:textAlignment w:val="baseline"/>
              <w:rPr>
                <w:rFonts w:ascii="Verdana" w:eastAsia="Arial" w:hAnsi="Verdana" w:cs="Arial"/>
                <w:sz w:val="16"/>
                <w:szCs w:val="16"/>
              </w:rPr>
            </w:pPr>
            <w:r w:rsidRPr="000A057C">
              <w:rPr>
                <w:rFonts w:ascii="Verdana" w:eastAsia="Arial" w:hAnsi="Verdana" w:cs="Arial"/>
                <w:sz w:val="16"/>
                <w:szCs w:val="16"/>
              </w:rPr>
              <w:t>Contratista de la Subdirección de Gestión Contractual</w:t>
            </w:r>
          </w:p>
        </w:tc>
      </w:tr>
      <w:tr w:rsidR="003A6B0D" w:rsidRPr="00A00932" w14:paraId="082C050E" w14:textId="77777777">
        <w:trPr>
          <w:trHeight w:val="330"/>
        </w:trPr>
        <w:tc>
          <w:tcPr>
            <w:tcW w:w="993" w:type="dxa"/>
            <w:vAlign w:val="center"/>
            <w:hideMark/>
          </w:tcPr>
          <w:p w14:paraId="1E7F93FF" w14:textId="77777777" w:rsidR="003A6B0D" w:rsidRPr="00A00932" w:rsidRDefault="003A6B0D">
            <w:pPr>
              <w:spacing w:after="0" w:line="276" w:lineRule="auto"/>
              <w:rPr>
                <w:rFonts w:ascii="Verdana" w:eastAsia="Calibri" w:hAnsi="Verdana" w:cs="Arial"/>
                <w:bCs/>
                <w:sz w:val="16"/>
                <w:szCs w:val="16"/>
                <w:lang w:eastAsia="es-CO"/>
              </w:rPr>
            </w:pPr>
            <w:r w:rsidRPr="00A00932">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1F5D5443" w14:textId="77777777" w:rsidR="003A6B0D" w:rsidRPr="00A00932" w:rsidRDefault="003A6B0D">
            <w:pPr>
              <w:spacing w:after="0" w:line="240" w:lineRule="auto"/>
              <w:rPr>
                <w:rFonts w:ascii="Verdana" w:eastAsia="Calibri" w:hAnsi="Verdana" w:cs="Arial"/>
                <w:sz w:val="16"/>
                <w:szCs w:val="16"/>
                <w:lang w:eastAsia="es-CO"/>
              </w:rPr>
            </w:pPr>
            <w:r w:rsidRPr="00A00932">
              <w:rPr>
                <w:rFonts w:ascii="Verdana" w:eastAsia="Calibri" w:hAnsi="Verdana" w:cs="Arial"/>
                <w:sz w:val="16"/>
                <w:szCs w:val="16"/>
                <w:lang w:eastAsia="es-CO"/>
              </w:rPr>
              <w:t>Martha Romero</w:t>
            </w:r>
          </w:p>
          <w:p w14:paraId="5A7651C6" w14:textId="77777777" w:rsidR="003A6B0D" w:rsidRPr="00A00932" w:rsidRDefault="003A6B0D">
            <w:pPr>
              <w:spacing w:after="0" w:line="240" w:lineRule="auto"/>
              <w:rPr>
                <w:rFonts w:ascii="Verdana" w:eastAsia="Calibri" w:hAnsi="Verdana" w:cs="Arial"/>
                <w:sz w:val="16"/>
                <w:szCs w:val="16"/>
                <w:lang w:eastAsia="es-CO"/>
              </w:rPr>
            </w:pPr>
            <w:r w:rsidRPr="00A00932">
              <w:rPr>
                <w:rFonts w:ascii="Verdana" w:eastAsia="Calibri" w:hAnsi="Verdana" w:cs="Arial"/>
                <w:sz w:val="16"/>
                <w:szCs w:val="16"/>
                <w:lang w:eastAsia="es-CO"/>
              </w:rPr>
              <w:t>Gestor T1 -15 Subdirección de Gestión Contractual</w:t>
            </w:r>
          </w:p>
        </w:tc>
      </w:tr>
      <w:tr w:rsidR="003A6B0D" w:rsidRPr="00A00932" w14:paraId="7F500A90" w14:textId="77777777">
        <w:trPr>
          <w:trHeight w:val="300"/>
        </w:trPr>
        <w:tc>
          <w:tcPr>
            <w:tcW w:w="993" w:type="dxa"/>
            <w:vAlign w:val="center"/>
            <w:hideMark/>
          </w:tcPr>
          <w:p w14:paraId="1BCAA1AF" w14:textId="77777777" w:rsidR="003A6B0D" w:rsidRPr="00A00932" w:rsidRDefault="003A6B0D">
            <w:pPr>
              <w:spacing w:after="0" w:line="276" w:lineRule="auto"/>
              <w:rPr>
                <w:rFonts w:ascii="Verdana" w:eastAsia="Calibri" w:hAnsi="Verdana" w:cs="Arial"/>
                <w:bCs/>
                <w:sz w:val="16"/>
                <w:szCs w:val="16"/>
                <w:lang w:eastAsia="es-CO"/>
              </w:rPr>
            </w:pPr>
            <w:r w:rsidRPr="00A00932">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47A987DF" w14:textId="77777777" w:rsidR="003A6B0D" w:rsidRPr="00A00932" w:rsidRDefault="003A6B0D">
            <w:pPr>
              <w:spacing w:after="0" w:line="240" w:lineRule="auto"/>
              <w:rPr>
                <w:rFonts w:ascii="Verdana" w:eastAsia="Calibri" w:hAnsi="Verdana" w:cs="Arial"/>
                <w:sz w:val="16"/>
                <w:szCs w:val="16"/>
                <w:lang w:eastAsia="es-CO"/>
              </w:rPr>
            </w:pPr>
            <w:r w:rsidRPr="00A00932">
              <w:rPr>
                <w:rFonts w:ascii="Verdana" w:eastAsia="Calibri" w:hAnsi="Verdana" w:cs="Arial"/>
                <w:sz w:val="16"/>
                <w:szCs w:val="16"/>
                <w:lang w:eastAsia="es-CO"/>
              </w:rPr>
              <w:t>Carolina Quintero Gacharná</w:t>
            </w:r>
          </w:p>
          <w:p w14:paraId="4DCE52EC" w14:textId="77777777" w:rsidR="003A6B0D" w:rsidRPr="00A00932" w:rsidRDefault="003A6B0D">
            <w:pPr>
              <w:spacing w:after="0" w:line="240" w:lineRule="auto"/>
              <w:rPr>
                <w:rFonts w:ascii="Verdana" w:eastAsia="Calibri" w:hAnsi="Verdana" w:cs="Arial"/>
                <w:sz w:val="16"/>
                <w:szCs w:val="16"/>
                <w:lang w:eastAsia="es-CO"/>
              </w:rPr>
            </w:pPr>
            <w:r w:rsidRPr="00A00932">
              <w:rPr>
                <w:rFonts w:ascii="Verdana" w:eastAsia="Calibri" w:hAnsi="Verdana" w:cs="Arial"/>
                <w:sz w:val="16"/>
                <w:szCs w:val="16"/>
                <w:lang w:eastAsia="es-CO"/>
              </w:rPr>
              <w:t>Subdirectora de Gestión Contractual ANCP – CCE</w:t>
            </w:r>
          </w:p>
        </w:tc>
      </w:tr>
    </w:tbl>
    <w:p w14:paraId="3CB2268E" w14:textId="77777777" w:rsidR="003A6B0D" w:rsidRPr="00A00932" w:rsidRDefault="003A6B0D" w:rsidP="003A6B0D">
      <w:pPr>
        <w:widowControl w:val="0"/>
        <w:autoSpaceDE w:val="0"/>
        <w:autoSpaceDN w:val="0"/>
        <w:spacing w:after="0" w:line="276" w:lineRule="auto"/>
        <w:jc w:val="both"/>
        <w:rPr>
          <w:rFonts w:ascii="Calibri" w:eastAsia="Calibri" w:hAnsi="Calibri" w:cs="Times New Roman"/>
        </w:rPr>
      </w:pPr>
    </w:p>
    <w:p w14:paraId="197DF353" w14:textId="77777777" w:rsidR="003A6B0D" w:rsidRPr="00A00932" w:rsidRDefault="003A6B0D" w:rsidP="003A6B0D">
      <w:pPr>
        <w:spacing w:after="0" w:line="254" w:lineRule="auto"/>
        <w:rPr>
          <w:rFonts w:ascii="Verdana" w:eastAsia="Calibri" w:hAnsi="Verdana" w:cs="Times New Roman"/>
        </w:rPr>
      </w:pPr>
    </w:p>
    <w:p w14:paraId="0FEC738C" w14:textId="77777777" w:rsidR="003A6B0D" w:rsidRPr="00A00932" w:rsidRDefault="003A6B0D" w:rsidP="003A6B0D">
      <w:pPr>
        <w:spacing w:line="254" w:lineRule="auto"/>
        <w:rPr>
          <w:rFonts w:ascii="Calibri" w:eastAsia="Calibri" w:hAnsi="Calibri" w:cs="Times New Roman"/>
        </w:rPr>
      </w:pPr>
    </w:p>
    <w:p w14:paraId="7D1984C4" w14:textId="77777777" w:rsidR="003A6B0D" w:rsidRPr="00A00932" w:rsidRDefault="003A6B0D" w:rsidP="003A6B0D">
      <w:pPr>
        <w:spacing w:after="0" w:line="276" w:lineRule="auto"/>
        <w:jc w:val="both"/>
        <w:rPr>
          <w:rFonts w:ascii="Calibri" w:eastAsia="Calibri" w:hAnsi="Calibri" w:cs="Times New Roman"/>
        </w:rPr>
      </w:pPr>
    </w:p>
    <w:p w14:paraId="57075B46" w14:textId="77777777" w:rsidR="003A6B0D" w:rsidRPr="00165084" w:rsidRDefault="003A6B0D" w:rsidP="003A6B0D">
      <w:pPr>
        <w:widowControl w:val="0"/>
        <w:autoSpaceDE w:val="0"/>
        <w:autoSpaceDN w:val="0"/>
        <w:spacing w:after="0" w:line="276" w:lineRule="auto"/>
        <w:jc w:val="both"/>
      </w:pPr>
    </w:p>
    <w:p w14:paraId="0F293BF4" w14:textId="0DD622FB" w:rsidR="00127233" w:rsidRPr="003A6B0D" w:rsidRDefault="00127233" w:rsidP="003A6B0D"/>
    <w:sectPr w:rsidR="00127233" w:rsidRPr="003A6B0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40474" w14:textId="77777777" w:rsidR="00C700A3" w:rsidRDefault="00C700A3" w:rsidP="004A1847">
      <w:pPr>
        <w:spacing w:after="0" w:line="240" w:lineRule="auto"/>
      </w:pPr>
      <w:r>
        <w:separator/>
      </w:r>
    </w:p>
  </w:endnote>
  <w:endnote w:type="continuationSeparator" w:id="0">
    <w:p w14:paraId="6AC17E4A" w14:textId="77777777" w:rsidR="00C700A3" w:rsidRDefault="00C700A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49DE98" w14:textId="77777777" w:rsidR="00C700A3" w:rsidRDefault="00C700A3" w:rsidP="004A1847">
      <w:pPr>
        <w:spacing w:after="0" w:line="240" w:lineRule="auto"/>
      </w:pPr>
      <w:r>
        <w:separator/>
      </w:r>
    </w:p>
  </w:footnote>
  <w:footnote w:type="continuationSeparator" w:id="0">
    <w:p w14:paraId="688B918D" w14:textId="77777777" w:rsidR="00C700A3" w:rsidRDefault="00C700A3" w:rsidP="004A1847">
      <w:pPr>
        <w:spacing w:after="0" w:line="240" w:lineRule="auto"/>
      </w:pPr>
      <w:r>
        <w:continuationSeparator/>
      </w:r>
    </w:p>
  </w:footnote>
  <w:footnote w:id="1">
    <w:p w14:paraId="749FBA36" w14:textId="77777777" w:rsidR="003A6B0D" w:rsidRPr="00964186" w:rsidRDefault="003A6B0D" w:rsidP="003A6B0D">
      <w:pPr>
        <w:pStyle w:val="Textonotapie"/>
        <w:ind w:firstLine="708"/>
        <w:jc w:val="both"/>
        <w:rPr>
          <w:rFonts w:ascii="Verdana" w:hAnsi="Verdana"/>
          <w:sz w:val="16"/>
          <w:szCs w:val="16"/>
        </w:rPr>
      </w:pPr>
      <w:r w:rsidRPr="00964186">
        <w:rPr>
          <w:rStyle w:val="Refdenotaalpie"/>
          <w:rFonts w:ascii="Verdana" w:hAnsi="Verdana"/>
          <w:sz w:val="16"/>
          <w:szCs w:val="16"/>
        </w:rPr>
        <w:footnoteRef/>
      </w:r>
      <w:r w:rsidRPr="00964186">
        <w:rPr>
          <w:rFonts w:ascii="Verdana" w:hAnsi="Verdana"/>
          <w:sz w:val="16"/>
          <w:szCs w:val="16"/>
        </w:rPr>
        <w:t xml:space="preserve"> Sin perjuicio con lo indicado en relación con los criterios diferenciales en para Mipymes y emprendimientos y empresas de mujeres.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pt;height:10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5E20411D"/>
    <w:multiLevelType w:val="hybridMultilevel"/>
    <w:tmpl w:val="C44893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62902FB"/>
    <w:multiLevelType w:val="hybridMultilevel"/>
    <w:tmpl w:val="FFFFFFFF"/>
    <w:lvl w:ilvl="0" w:tplc="97A661EA">
      <w:start w:val="5"/>
      <w:numFmt w:val="bullet"/>
      <w:lvlText w:val=""/>
      <w:lvlJc w:val="left"/>
      <w:pPr>
        <w:ind w:left="720" w:hanging="360"/>
      </w:pPr>
      <w:rPr>
        <w:rFonts w:ascii="Symbol" w:eastAsia="Times New Roman"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1"/>
  </w:num>
  <w:num w:numId="16" w16cid:durableId="64567968">
    <w:abstractNumId w:val="12"/>
  </w:num>
  <w:num w:numId="17" w16cid:durableId="827985604">
    <w:abstractNumId w:val="9"/>
  </w:num>
  <w:num w:numId="18" w16cid:durableId="341274352">
    <w:abstractNumId w:val="0"/>
  </w:num>
  <w:num w:numId="19" w16cid:durableId="2559895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7619"/>
    <w:rsid w:val="000F6486"/>
    <w:rsid w:val="00116940"/>
    <w:rsid w:val="00125105"/>
    <w:rsid w:val="00127233"/>
    <w:rsid w:val="0014257F"/>
    <w:rsid w:val="0015699B"/>
    <w:rsid w:val="001A33BF"/>
    <w:rsid w:val="001E4177"/>
    <w:rsid w:val="001F0B24"/>
    <w:rsid w:val="001F7DC6"/>
    <w:rsid w:val="002129EF"/>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3F25"/>
    <w:rsid w:val="00374F5E"/>
    <w:rsid w:val="00377E3E"/>
    <w:rsid w:val="003A6B0D"/>
    <w:rsid w:val="003A779E"/>
    <w:rsid w:val="003D0F4D"/>
    <w:rsid w:val="003D5B0D"/>
    <w:rsid w:val="003D7CD8"/>
    <w:rsid w:val="003E0499"/>
    <w:rsid w:val="003E4F80"/>
    <w:rsid w:val="003E6439"/>
    <w:rsid w:val="003E6EE0"/>
    <w:rsid w:val="003F3941"/>
    <w:rsid w:val="00406575"/>
    <w:rsid w:val="00414C74"/>
    <w:rsid w:val="0042722E"/>
    <w:rsid w:val="0044528D"/>
    <w:rsid w:val="00466E39"/>
    <w:rsid w:val="004A1847"/>
    <w:rsid w:val="004A305D"/>
    <w:rsid w:val="004F21C4"/>
    <w:rsid w:val="004F685F"/>
    <w:rsid w:val="005113BB"/>
    <w:rsid w:val="005566E8"/>
    <w:rsid w:val="00560CF0"/>
    <w:rsid w:val="0056791F"/>
    <w:rsid w:val="00574867"/>
    <w:rsid w:val="00591460"/>
    <w:rsid w:val="005A65E0"/>
    <w:rsid w:val="005C3777"/>
    <w:rsid w:val="005C5CDC"/>
    <w:rsid w:val="005D476C"/>
    <w:rsid w:val="006200BF"/>
    <w:rsid w:val="006219F8"/>
    <w:rsid w:val="006302F7"/>
    <w:rsid w:val="006324E7"/>
    <w:rsid w:val="00646B9F"/>
    <w:rsid w:val="00655754"/>
    <w:rsid w:val="00661544"/>
    <w:rsid w:val="00665D70"/>
    <w:rsid w:val="006900D9"/>
    <w:rsid w:val="006B6BB5"/>
    <w:rsid w:val="006F201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0D3E"/>
    <w:rsid w:val="008575A1"/>
    <w:rsid w:val="00862579"/>
    <w:rsid w:val="00867F95"/>
    <w:rsid w:val="008728FB"/>
    <w:rsid w:val="008843B6"/>
    <w:rsid w:val="00891928"/>
    <w:rsid w:val="008A446D"/>
    <w:rsid w:val="008B25F1"/>
    <w:rsid w:val="008D180B"/>
    <w:rsid w:val="008F0EA7"/>
    <w:rsid w:val="008F7AF8"/>
    <w:rsid w:val="00915699"/>
    <w:rsid w:val="00923EEF"/>
    <w:rsid w:val="0093329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293E"/>
    <w:rsid w:val="00A23AF9"/>
    <w:rsid w:val="00A33C78"/>
    <w:rsid w:val="00AB0ADB"/>
    <w:rsid w:val="00AE35F1"/>
    <w:rsid w:val="00B00C0E"/>
    <w:rsid w:val="00B010D8"/>
    <w:rsid w:val="00B01B1A"/>
    <w:rsid w:val="00B0381D"/>
    <w:rsid w:val="00B06D1E"/>
    <w:rsid w:val="00B44A47"/>
    <w:rsid w:val="00B504E2"/>
    <w:rsid w:val="00B72CD3"/>
    <w:rsid w:val="00B72FFF"/>
    <w:rsid w:val="00B82734"/>
    <w:rsid w:val="00B83A4F"/>
    <w:rsid w:val="00BC3D36"/>
    <w:rsid w:val="00BD54A6"/>
    <w:rsid w:val="00BD5591"/>
    <w:rsid w:val="00BD7F72"/>
    <w:rsid w:val="00BF7425"/>
    <w:rsid w:val="00C04FB3"/>
    <w:rsid w:val="00C11D8B"/>
    <w:rsid w:val="00C15139"/>
    <w:rsid w:val="00C330EB"/>
    <w:rsid w:val="00C50D69"/>
    <w:rsid w:val="00C5365C"/>
    <w:rsid w:val="00C639FE"/>
    <w:rsid w:val="00C700A3"/>
    <w:rsid w:val="00C754BE"/>
    <w:rsid w:val="00C76B1C"/>
    <w:rsid w:val="00C925AC"/>
    <w:rsid w:val="00CB6357"/>
    <w:rsid w:val="00CC1B26"/>
    <w:rsid w:val="00D34417"/>
    <w:rsid w:val="00D361FD"/>
    <w:rsid w:val="00D423A2"/>
    <w:rsid w:val="00D44E26"/>
    <w:rsid w:val="00D520D8"/>
    <w:rsid w:val="00D63AC2"/>
    <w:rsid w:val="00D7383B"/>
    <w:rsid w:val="00D7788A"/>
    <w:rsid w:val="00DA231B"/>
    <w:rsid w:val="00DC39FC"/>
    <w:rsid w:val="00DD69E2"/>
    <w:rsid w:val="00DE4E17"/>
    <w:rsid w:val="00DF5254"/>
    <w:rsid w:val="00E02524"/>
    <w:rsid w:val="00E16408"/>
    <w:rsid w:val="00E20894"/>
    <w:rsid w:val="00E245AB"/>
    <w:rsid w:val="00E2764C"/>
    <w:rsid w:val="00E27F2E"/>
    <w:rsid w:val="00E5063C"/>
    <w:rsid w:val="00E50AFE"/>
    <w:rsid w:val="00E75C92"/>
    <w:rsid w:val="00E771DC"/>
    <w:rsid w:val="00E8772A"/>
    <w:rsid w:val="00E90F6B"/>
    <w:rsid w:val="00E92C27"/>
    <w:rsid w:val="00EA0E3D"/>
    <w:rsid w:val="00EC38A7"/>
    <w:rsid w:val="00EE1AA8"/>
    <w:rsid w:val="00F23FEA"/>
    <w:rsid w:val="00F31EDC"/>
    <w:rsid w:val="00F462B3"/>
    <w:rsid w:val="00F47BFB"/>
    <w:rsid w:val="00F5664F"/>
    <w:rsid w:val="00F573F9"/>
    <w:rsid w:val="00F666C4"/>
    <w:rsid w:val="00F76AFC"/>
    <w:rsid w:val="00F82394"/>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BB38602-A6C4-47A7-B669-8F6E33C3C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A6B0D"/>
    <w:pPr>
      <w:spacing w:line="240" w:lineRule="exact"/>
    </w:pPr>
    <w:rPr>
      <w:vertAlign w:val="superscript"/>
    </w:rPr>
  </w:style>
  <w:style w:type="table" w:customStyle="1" w:styleId="Tablaconcuadrcula1">
    <w:name w:val="Tabla con cuadrícula1"/>
    <w:basedOn w:val="Tablanormal"/>
    <w:next w:val="Tablaconcuadrcula"/>
    <w:uiPriority w:val="39"/>
    <w:qFormat/>
    <w:rsid w:val="003A6B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3A6B0D"/>
    <w:rPr>
      <w:b/>
      <w:bCs/>
    </w:rPr>
  </w:style>
  <w:style w:type="paragraph" w:customStyle="1" w:styleId="p1">
    <w:name w:val="p1"/>
    <w:basedOn w:val="Normal"/>
    <w:rsid w:val="003A6B0D"/>
    <w:pPr>
      <w:spacing w:after="0" w:line="240" w:lineRule="auto"/>
    </w:pPr>
    <w:rPr>
      <w:rFonts w:ascii="Arial" w:eastAsia="Times New Roman" w:hAnsi="Arial" w:cs="Arial"/>
      <w:color w:val="000000"/>
      <w:sz w:val="18"/>
      <w:szCs w:val="18"/>
      <w:lang w:eastAsia="es-MX"/>
    </w:rPr>
  </w:style>
  <w:style w:type="character" w:styleId="Refdecomentario">
    <w:name w:val="annotation reference"/>
    <w:basedOn w:val="Fuentedeprrafopredeter"/>
    <w:uiPriority w:val="99"/>
    <w:semiHidden/>
    <w:unhideWhenUsed/>
    <w:rsid w:val="00655754"/>
    <w:rPr>
      <w:sz w:val="16"/>
      <w:szCs w:val="16"/>
    </w:rPr>
  </w:style>
  <w:style w:type="paragraph" w:styleId="Textocomentario">
    <w:name w:val="annotation text"/>
    <w:basedOn w:val="Normal"/>
    <w:link w:val="TextocomentarioCar"/>
    <w:uiPriority w:val="99"/>
    <w:unhideWhenUsed/>
    <w:rsid w:val="00655754"/>
    <w:pPr>
      <w:spacing w:line="240" w:lineRule="auto"/>
    </w:pPr>
    <w:rPr>
      <w:sz w:val="20"/>
      <w:szCs w:val="20"/>
    </w:rPr>
  </w:style>
  <w:style w:type="character" w:customStyle="1" w:styleId="TextocomentarioCar">
    <w:name w:val="Texto comentario Car"/>
    <w:basedOn w:val="Fuentedeprrafopredeter"/>
    <w:link w:val="Textocomentario"/>
    <w:uiPriority w:val="99"/>
    <w:rsid w:val="00655754"/>
    <w:rPr>
      <w:sz w:val="20"/>
      <w:szCs w:val="20"/>
    </w:rPr>
  </w:style>
  <w:style w:type="paragraph" w:styleId="Asuntodelcomentario">
    <w:name w:val="annotation subject"/>
    <w:basedOn w:val="Textocomentario"/>
    <w:next w:val="Textocomentario"/>
    <w:link w:val="AsuntodelcomentarioCar"/>
    <w:uiPriority w:val="99"/>
    <w:semiHidden/>
    <w:unhideWhenUsed/>
    <w:rsid w:val="00655754"/>
    <w:rPr>
      <w:b/>
      <w:bCs/>
    </w:rPr>
  </w:style>
  <w:style w:type="character" w:customStyle="1" w:styleId="AsuntodelcomentarioCar">
    <w:name w:val="Asunto del comentario Car"/>
    <w:basedOn w:val="TextocomentarioCar"/>
    <w:link w:val="Asuntodelcomentario"/>
    <w:uiPriority w:val="99"/>
    <w:semiHidden/>
    <w:rsid w:val="0065575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4097BB-7156-4400-A92A-E9963F48F9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17</Pages>
  <Words>6050</Words>
  <Characters>32914</Characters>
  <Application>Microsoft Office Word</Application>
  <DocSecurity>0</DocSecurity>
  <Lines>632</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2026-01-29T19:38:00Z</dcterms:created>
  <dcterms:modified xsi:type="dcterms:W3CDTF">2026-01-30T16:53:00Z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