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75F603" w14:textId="7D0600A9" w:rsidR="00057F16" w:rsidRPr="00B93B68" w:rsidRDefault="00057F16" w:rsidP="00C9367E">
      <w:pPr>
        <w:spacing w:after="0" w:line="240" w:lineRule="auto"/>
        <w:jc w:val="both"/>
        <w:rPr>
          <w:rFonts w:ascii="Verdana" w:eastAsia="Calibri" w:hAnsi="Verdana" w:cs="Arial"/>
          <w:b/>
          <w:bCs/>
          <w:lang w:eastAsia="es-ES"/>
        </w:rPr>
      </w:pPr>
    </w:p>
    <w:p w14:paraId="72BDFF8A" w14:textId="77777777" w:rsidR="00146C84" w:rsidRDefault="00584E6D" w:rsidP="00C9367E">
      <w:pPr>
        <w:spacing w:after="0" w:line="240" w:lineRule="auto"/>
        <w:jc w:val="both"/>
        <w:rPr>
          <w:rFonts w:ascii="Verdana" w:hAnsi="Verdana" w:cs="Arial"/>
          <w:lang w:val="es-ES" w:eastAsia="es-ES"/>
        </w:rPr>
      </w:pPr>
      <w:r w:rsidRPr="00B93B68">
        <w:rPr>
          <w:rFonts w:ascii="Verdana" w:hAnsi="Verdana" w:cs="Arial"/>
          <w:b/>
          <w:bCs/>
          <w:lang w:val="es-ES" w:eastAsia="es-ES"/>
        </w:rPr>
        <w:t>DECRETO 092 DE 2017 – Finalidad – Clases de contratos</w:t>
      </w:r>
    </w:p>
    <w:p w14:paraId="1086856D" w14:textId="77777777" w:rsidR="00146C84" w:rsidRDefault="00146C84" w:rsidP="00C9367E">
      <w:pPr>
        <w:spacing w:after="0" w:line="240" w:lineRule="auto"/>
        <w:jc w:val="both"/>
        <w:rPr>
          <w:rFonts w:ascii="Verdana" w:hAnsi="Verdana" w:cs="Arial"/>
          <w:lang w:val="es-ES" w:eastAsia="es-ES"/>
        </w:rPr>
      </w:pPr>
    </w:p>
    <w:p w14:paraId="6015AE2C" w14:textId="77777777" w:rsidR="00BD6042" w:rsidRDefault="00BD6042" w:rsidP="00BD6042">
      <w:pPr>
        <w:spacing w:after="0" w:line="240" w:lineRule="auto"/>
        <w:jc w:val="both"/>
        <w:rPr>
          <w:rFonts w:ascii="Verdana" w:eastAsia="Arial" w:hAnsi="Verdana" w:cs="Arial"/>
          <w:color w:val="000000" w:themeColor="text1"/>
          <w:sz w:val="20"/>
          <w:szCs w:val="20"/>
          <w:lang w:val="es-ES"/>
        </w:rPr>
      </w:pPr>
      <w:r w:rsidRPr="00BD6042">
        <w:rPr>
          <w:rFonts w:ascii="Verdana" w:eastAsia="Arial" w:hAnsi="Verdana" w:cs="Arial"/>
          <w:color w:val="000000" w:themeColor="text1"/>
          <w:sz w:val="20"/>
          <w:szCs w:val="20"/>
          <w:lang w:val="es-ES"/>
        </w:rPr>
        <w:t xml:space="preserve">En desarrollo de lo dispuesto en el artículo 355 de la Constitución Política, el Gobierno Nacional expidió el Decreto 092 de 2017, mediante el cual se establecen las reglas aplicables a la contratación que realizan las entidades estatales con las entidades sin ánimo de lucro. Dicho decreto regula dos modalidades de vinculación: (i) los contratos previstos en el artículo 355 superior, también denominados </w:t>
      </w:r>
      <w:r w:rsidRPr="00BD6042">
        <w:rPr>
          <w:rFonts w:ascii="Verdana" w:eastAsia="Arial" w:hAnsi="Verdana" w:cs="Arial"/>
          <w:i/>
          <w:iCs/>
          <w:color w:val="000000" w:themeColor="text1"/>
          <w:sz w:val="20"/>
          <w:szCs w:val="20"/>
          <w:lang w:val="es-ES"/>
        </w:rPr>
        <w:t>contratos de colaboración o de interés público</w:t>
      </w:r>
      <w:r w:rsidRPr="00BD6042">
        <w:rPr>
          <w:rFonts w:ascii="Verdana" w:eastAsia="Arial" w:hAnsi="Verdana" w:cs="Arial"/>
          <w:color w:val="000000" w:themeColor="text1"/>
          <w:sz w:val="20"/>
          <w:szCs w:val="20"/>
          <w:lang w:val="es-ES"/>
        </w:rPr>
        <w:t>, orientados a impulsar programas y actividades de interés público acordes con el Plan Nacional de Desarrollo o los planes seccionales de desarrollo, y (</w:t>
      </w:r>
      <w:proofErr w:type="spellStart"/>
      <w:r w:rsidRPr="00BD6042">
        <w:rPr>
          <w:rFonts w:ascii="Verdana" w:eastAsia="Arial" w:hAnsi="Verdana" w:cs="Arial"/>
          <w:color w:val="000000" w:themeColor="text1"/>
          <w:sz w:val="20"/>
          <w:szCs w:val="20"/>
          <w:lang w:val="es-ES"/>
        </w:rPr>
        <w:t>ii</w:t>
      </w:r>
      <w:proofErr w:type="spellEnd"/>
      <w:r w:rsidRPr="00BD6042">
        <w:rPr>
          <w:rFonts w:ascii="Verdana" w:eastAsia="Arial" w:hAnsi="Verdana" w:cs="Arial"/>
          <w:color w:val="000000" w:themeColor="text1"/>
          <w:sz w:val="20"/>
          <w:szCs w:val="20"/>
          <w:lang w:val="es-ES"/>
        </w:rPr>
        <w:t xml:space="preserve">) los </w:t>
      </w:r>
      <w:r w:rsidRPr="00BD6042">
        <w:rPr>
          <w:rFonts w:ascii="Verdana" w:eastAsia="Arial" w:hAnsi="Verdana" w:cs="Arial"/>
          <w:i/>
          <w:iCs/>
          <w:color w:val="000000" w:themeColor="text1"/>
          <w:sz w:val="20"/>
          <w:szCs w:val="20"/>
          <w:lang w:val="es-ES"/>
        </w:rPr>
        <w:t>convenios de asociación</w:t>
      </w:r>
      <w:r w:rsidRPr="00BD6042">
        <w:rPr>
          <w:rFonts w:ascii="Verdana" w:eastAsia="Arial" w:hAnsi="Verdana" w:cs="Arial"/>
          <w:color w:val="000000" w:themeColor="text1"/>
          <w:sz w:val="20"/>
          <w:szCs w:val="20"/>
          <w:lang w:val="es-ES"/>
        </w:rPr>
        <w:t>, destinados al desarrollo conjunto de actividades relacionadas con las funciones de las entidades estatales, en aplicación del artículo 96 de la Ley 489 de 1998.</w:t>
      </w:r>
    </w:p>
    <w:p w14:paraId="557B621D" w14:textId="77777777" w:rsidR="00BD6042" w:rsidRPr="00BD6042" w:rsidRDefault="00BD6042" w:rsidP="00BD6042">
      <w:pPr>
        <w:spacing w:after="0" w:line="240" w:lineRule="auto"/>
        <w:jc w:val="both"/>
        <w:rPr>
          <w:rFonts w:ascii="Verdana" w:eastAsia="Arial" w:hAnsi="Verdana" w:cs="Arial"/>
          <w:color w:val="000000" w:themeColor="text1"/>
          <w:sz w:val="20"/>
          <w:szCs w:val="20"/>
          <w:lang w:val="es-ES"/>
        </w:rPr>
      </w:pPr>
    </w:p>
    <w:p w14:paraId="245D82E5" w14:textId="6C386CAE" w:rsidR="00794F1B" w:rsidRDefault="00584E6D" w:rsidP="00355A2C">
      <w:pPr>
        <w:spacing w:after="0" w:line="240" w:lineRule="auto"/>
        <w:jc w:val="both"/>
        <w:rPr>
          <w:rFonts w:ascii="Verdana" w:hAnsi="Verdana" w:cs="Arial"/>
          <w:b/>
          <w:bCs/>
          <w:lang w:val="es-ES" w:eastAsia="es-ES"/>
        </w:rPr>
      </w:pPr>
      <w:r w:rsidRPr="00B93B68">
        <w:rPr>
          <w:rFonts w:ascii="Verdana" w:hAnsi="Verdana" w:cs="Arial"/>
          <w:b/>
          <w:bCs/>
          <w:lang w:val="es-ES" w:eastAsia="es-ES"/>
        </w:rPr>
        <w:t xml:space="preserve">CONTRATACIÓN CON ESAL – Contrato de fomento – Objeto – Alcance </w:t>
      </w:r>
    </w:p>
    <w:p w14:paraId="74891C89" w14:textId="77777777" w:rsidR="00355A2C" w:rsidRPr="00355A2C" w:rsidRDefault="00355A2C" w:rsidP="00355A2C">
      <w:pPr>
        <w:spacing w:after="0" w:line="240" w:lineRule="auto"/>
        <w:ind w:left="708" w:hanging="708"/>
        <w:jc w:val="both"/>
        <w:rPr>
          <w:rFonts w:ascii="Verdana" w:hAnsi="Verdana" w:cs="Arial"/>
          <w:b/>
          <w:bCs/>
          <w:lang w:val="es-ES" w:eastAsia="es-ES"/>
        </w:rPr>
      </w:pPr>
    </w:p>
    <w:p w14:paraId="5906FC26" w14:textId="3F25B354" w:rsidR="00B93B68" w:rsidRPr="00D14A77" w:rsidRDefault="00B93B68" w:rsidP="00D14A77">
      <w:pPr>
        <w:spacing w:line="240" w:lineRule="auto"/>
        <w:jc w:val="both"/>
        <w:rPr>
          <w:rFonts w:ascii="Verdana" w:eastAsia="Arial" w:hAnsi="Verdana" w:cs="Arial"/>
          <w:sz w:val="20"/>
          <w:szCs w:val="20"/>
          <w:lang w:val="es-ES"/>
        </w:rPr>
      </w:pPr>
      <w:r w:rsidRPr="00D14A77">
        <w:rPr>
          <w:rFonts w:ascii="Verdana" w:eastAsia="Arial" w:hAnsi="Verdana" w:cs="Arial"/>
          <w:sz w:val="20"/>
          <w:szCs w:val="20"/>
          <w:lang w:val="es-ES"/>
        </w:rPr>
        <w:t xml:space="preserve">En relación con los </w:t>
      </w:r>
      <w:r w:rsidRPr="00D14A77">
        <w:rPr>
          <w:rFonts w:ascii="Verdana" w:eastAsia="Arial" w:hAnsi="Verdana" w:cs="Arial"/>
          <w:i/>
          <w:iCs/>
          <w:sz w:val="20"/>
          <w:szCs w:val="20"/>
          <w:lang w:val="es-ES"/>
        </w:rPr>
        <w:t>contratos del artículo 355 de la Constitución Política, también denominados contratos de colaboración o interés público</w:t>
      </w:r>
      <w:r w:rsidRPr="00D14A77">
        <w:rPr>
          <w:rFonts w:ascii="Verdana" w:eastAsia="Arial" w:hAnsi="Verdana" w:cs="Arial"/>
          <w:sz w:val="20"/>
          <w:szCs w:val="20"/>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0A829BB8" w14:textId="31AF53BA" w:rsidR="00355A2C" w:rsidRPr="0044139D" w:rsidRDefault="00794F1B" w:rsidP="00B93B68">
      <w:pPr>
        <w:spacing w:line="240" w:lineRule="auto"/>
        <w:jc w:val="both"/>
        <w:rPr>
          <w:rFonts w:ascii="Verdana" w:hAnsi="Verdana" w:cs="Arial"/>
          <w:b/>
          <w:bCs/>
          <w:lang w:val="es-ES" w:eastAsia="es-ES"/>
        </w:rPr>
      </w:pPr>
      <w:r w:rsidRPr="00794F1B">
        <w:rPr>
          <w:rFonts w:ascii="Verdana" w:hAnsi="Verdana" w:cs="Arial"/>
          <w:b/>
          <w:bCs/>
          <w:lang w:val="es-ES" w:eastAsia="es-ES"/>
        </w:rPr>
        <w:t xml:space="preserve">CONTRATACIÓN CON ESAL – Convenios de colaboración – Objeto – Alcance </w:t>
      </w:r>
    </w:p>
    <w:p w14:paraId="01296292" w14:textId="3FB5125A" w:rsidR="0044139D" w:rsidRPr="0044139D" w:rsidRDefault="0044139D" w:rsidP="00B93B68">
      <w:pPr>
        <w:spacing w:line="240" w:lineRule="auto"/>
        <w:jc w:val="both"/>
        <w:rPr>
          <w:rFonts w:ascii="Verdana" w:eastAsia="Arial" w:hAnsi="Verdana" w:cs="Arial"/>
          <w:sz w:val="20"/>
          <w:szCs w:val="20"/>
          <w:lang w:val="es-ES"/>
        </w:rPr>
      </w:pPr>
      <w:r w:rsidRPr="0044139D">
        <w:rPr>
          <w:rFonts w:ascii="Verdana" w:eastAsia="Arial" w:hAnsi="Verdana" w:cs="Arial"/>
          <w:bCs/>
          <w:sz w:val="20"/>
          <w:szCs w:val="20"/>
          <w:lang w:val="es-ES"/>
        </w:rPr>
        <w:t xml:space="preserve">En efecto, en estos convenios las partes asociadas suman voluntades y recursos con la finalidad de cumplir con el objetivo del acuerdo. Por lo anterior, no es propio de los convenios de asociación que se pacte algún tipo de remuneración o de utilidad; de forma similar, no se configuran pagos, sino que se realiza el desembolso. De esta forma, es inherente a estos acuerdos que las partes realicen aportes que pueden pactarse en dinero o en especie, siempre que sean destinados al desarrollo del acuerdo. En concreto, </w:t>
      </w:r>
      <w:r w:rsidRPr="0044139D">
        <w:rPr>
          <w:rFonts w:ascii="Verdana" w:eastAsia="Arial" w:hAnsi="Verdana" w:cs="Arial"/>
          <w:sz w:val="20"/>
          <w:szCs w:val="20"/>
          <w:lang w:val="es-ES"/>
        </w:rPr>
        <w:t xml:space="preserve">las ESAL deben realizar aportes a los convenios que suscriban, los cuales pueden ser en dinero, en porcentajes inferiores o superiores al treinta por ciento (30%) del valor total, o en especie, los cuales deben servir a los objetivos comunes de la asociación. </w:t>
      </w:r>
    </w:p>
    <w:p w14:paraId="778595E2" w14:textId="1EE50CC4" w:rsidR="00355A2C" w:rsidRDefault="00B93B68" w:rsidP="00B93B68">
      <w:pPr>
        <w:spacing w:line="240" w:lineRule="auto"/>
        <w:jc w:val="both"/>
        <w:rPr>
          <w:rFonts w:ascii="Verdana" w:hAnsi="Verdana" w:cs="Arial"/>
          <w:b/>
          <w:bCs/>
          <w:lang w:val="es-ES" w:eastAsia="es-ES"/>
        </w:rPr>
      </w:pPr>
      <w:r w:rsidRPr="00D14A77">
        <w:rPr>
          <w:rFonts w:ascii="Verdana" w:hAnsi="Verdana" w:cs="Arial"/>
          <w:b/>
          <w:bCs/>
          <w:lang w:val="es-ES" w:eastAsia="es-ES"/>
        </w:rPr>
        <w:t>CONTRATACIÓN CON ESAL – Convenios de asociación – Contratos de fomento – Diferencias</w:t>
      </w:r>
    </w:p>
    <w:p w14:paraId="3C402330" w14:textId="77777777" w:rsidR="00355A2C" w:rsidRPr="00FD405A" w:rsidRDefault="00355A2C" w:rsidP="00355A2C">
      <w:pPr>
        <w:spacing w:line="240" w:lineRule="auto"/>
        <w:jc w:val="both"/>
        <w:rPr>
          <w:rFonts w:ascii="Verdana" w:eastAsia="Arial" w:hAnsi="Verdana" w:cs="Arial"/>
          <w:sz w:val="20"/>
          <w:szCs w:val="20"/>
          <w:lang w:val="es-ES"/>
        </w:rPr>
      </w:pPr>
      <w:r w:rsidRPr="00FD405A">
        <w:rPr>
          <w:rFonts w:ascii="Verdana" w:eastAsia="Arial" w:hAnsi="Verdana" w:cs="Arial"/>
          <w:sz w:val="20"/>
          <w:szCs w:val="20"/>
          <w:lang w:val="es-ES"/>
        </w:rPr>
        <w:t>En síntesis, según las consideraciones expresadas por el Consejo de Estado en el fallo del 22 de mayo de 2024 –</w:t>
      </w:r>
      <w:proofErr w:type="spellStart"/>
      <w:r w:rsidRPr="00FD405A">
        <w:rPr>
          <w:rFonts w:ascii="Verdana" w:eastAsia="Arial" w:hAnsi="Verdana" w:cs="Arial"/>
          <w:sz w:val="20"/>
          <w:szCs w:val="20"/>
          <w:lang w:val="es-ES"/>
        </w:rPr>
        <w:t>Exp</w:t>
      </w:r>
      <w:proofErr w:type="spellEnd"/>
      <w:r w:rsidRPr="00FD405A">
        <w:rPr>
          <w:rFonts w:ascii="Verdana" w:eastAsia="Arial" w:hAnsi="Verdana" w:cs="Arial"/>
          <w:sz w:val="20"/>
          <w:szCs w:val="20"/>
          <w:lang w:val="es-ES"/>
        </w:rPr>
        <w:t xml:space="preserve">. No. 66.391–, las principales diferencias entre los convenios asociación y los contratos de fomento se relacionan con: </w:t>
      </w:r>
    </w:p>
    <w:p w14:paraId="0392C6ED" w14:textId="77777777" w:rsidR="00355A2C" w:rsidRPr="00FD405A" w:rsidRDefault="00355A2C" w:rsidP="00355A2C">
      <w:pPr>
        <w:spacing w:line="240" w:lineRule="auto"/>
        <w:jc w:val="both"/>
        <w:rPr>
          <w:rFonts w:ascii="Verdana" w:eastAsia="Arial" w:hAnsi="Verdana" w:cs="Arial"/>
          <w:sz w:val="20"/>
          <w:szCs w:val="20"/>
          <w:lang w:val="es-ES"/>
        </w:rPr>
      </w:pPr>
      <w:r w:rsidRPr="00FD405A">
        <w:rPr>
          <w:rFonts w:ascii="Verdana" w:eastAsia="Arial" w:hAnsi="Verdana" w:cs="Arial"/>
          <w:sz w:val="20"/>
          <w:szCs w:val="20"/>
          <w:lang w:val="es-ES"/>
        </w:rPr>
        <w:t xml:space="preserve">(i) su fundamento normativo, ya que mientras que los convenios de asociación tienen su fundamento de origen legal en el artículo 96 de la Ley 489 de 1998, los contratos de fomento se fundamentan en el artículo 355 de la Constitución Política. Esto sin perjuicio </w:t>
      </w:r>
      <w:r w:rsidRPr="00FD405A">
        <w:rPr>
          <w:rFonts w:ascii="Verdana" w:eastAsia="Arial" w:hAnsi="Verdana" w:cs="Arial"/>
          <w:sz w:val="20"/>
          <w:szCs w:val="20"/>
          <w:lang w:val="es-ES"/>
        </w:rPr>
        <w:lastRenderedPageBreak/>
        <w:t xml:space="preserve">de la remisión expresa realizada por el artículo 96 de la Ley 489 de 1998 al artículo 355 superior.  </w:t>
      </w:r>
    </w:p>
    <w:p w14:paraId="30E62773" w14:textId="77777777" w:rsidR="00355A2C" w:rsidRPr="00FD405A" w:rsidRDefault="00355A2C" w:rsidP="00355A2C">
      <w:pPr>
        <w:spacing w:line="240" w:lineRule="auto"/>
        <w:jc w:val="both"/>
        <w:rPr>
          <w:rFonts w:ascii="Verdana" w:eastAsia="Arial" w:hAnsi="Verdana" w:cs="Arial"/>
          <w:sz w:val="20"/>
          <w:szCs w:val="20"/>
          <w:lang w:val="es-ES"/>
        </w:rPr>
      </w:pPr>
      <w:r w:rsidRPr="00FD405A">
        <w:rPr>
          <w:rFonts w:ascii="Verdana" w:eastAsia="Arial" w:hAnsi="Verdana" w:cs="Arial"/>
          <w:sz w:val="20"/>
          <w:szCs w:val="20"/>
          <w:lang w:val="es-ES"/>
        </w:rPr>
        <w:t>(</w:t>
      </w:r>
      <w:proofErr w:type="spellStart"/>
      <w:r w:rsidRPr="00FD405A">
        <w:rPr>
          <w:rFonts w:ascii="Verdana" w:eastAsia="Arial" w:hAnsi="Verdana" w:cs="Arial"/>
          <w:sz w:val="20"/>
          <w:szCs w:val="20"/>
          <w:lang w:val="es-ES"/>
        </w:rPr>
        <w:t>ii</w:t>
      </w:r>
      <w:proofErr w:type="spellEnd"/>
      <w:r w:rsidRPr="00FD405A">
        <w:rPr>
          <w:rFonts w:ascii="Verdana" w:eastAsia="Arial" w:hAnsi="Verdana" w:cs="Arial"/>
          <w:sz w:val="20"/>
          <w:szCs w:val="20"/>
          <w:lang w:val="es-ES"/>
        </w:rPr>
        <w:t xml:space="preserve">) los sujetos que los celebran, ya que en los contratos de fomento los extremos de la relación son entidades que hacen del Gobierno en sus distintos órdenes y niveles de descentralización y una entidad privada sin ánimo de lucro, a diferencia de los convenios de asociación, los cuales, que, a juicio del Consejo de Estado, pueden ser celebrados por cualquier entidad estatal con personas jurídicas particulares, sin importar ánimo de lucro </w:t>
      </w:r>
    </w:p>
    <w:p w14:paraId="088426D8" w14:textId="77777777" w:rsidR="00355A2C" w:rsidRPr="00FD405A" w:rsidRDefault="00355A2C" w:rsidP="00355A2C">
      <w:pPr>
        <w:spacing w:line="240" w:lineRule="auto"/>
        <w:jc w:val="both"/>
        <w:rPr>
          <w:rFonts w:ascii="Verdana" w:eastAsia="Arial" w:hAnsi="Verdana" w:cs="Arial"/>
          <w:sz w:val="20"/>
          <w:szCs w:val="20"/>
          <w:lang w:val="es-ES"/>
        </w:rPr>
      </w:pPr>
      <w:r w:rsidRPr="00FD405A">
        <w:rPr>
          <w:rFonts w:ascii="Verdana" w:eastAsia="Arial" w:hAnsi="Verdana" w:cs="Arial"/>
          <w:sz w:val="20"/>
          <w:szCs w:val="20"/>
          <w:lang w:val="es-ES"/>
        </w:rPr>
        <w:t>(</w:t>
      </w:r>
      <w:proofErr w:type="spellStart"/>
      <w:r w:rsidRPr="00FD405A">
        <w:rPr>
          <w:rFonts w:ascii="Verdana" w:eastAsia="Arial" w:hAnsi="Verdana" w:cs="Arial"/>
          <w:sz w:val="20"/>
          <w:szCs w:val="20"/>
          <w:lang w:val="es-ES"/>
        </w:rPr>
        <w:t>iii</w:t>
      </w:r>
      <w:proofErr w:type="spellEnd"/>
      <w:r w:rsidRPr="00FD405A">
        <w:rPr>
          <w:rFonts w:ascii="Verdana" w:eastAsia="Arial" w:hAnsi="Verdana" w:cs="Arial"/>
          <w:sz w:val="20"/>
          <w:szCs w:val="20"/>
          <w:lang w:val="es-ES"/>
        </w:rPr>
        <w:t xml:space="preserve">) Su objeto o finalidad, en la medida en que, los convenios de asociación tienen por finalidad el desarrollo conjunto de actividades que se desprenden de los cometidos y las funciones que les asigna la ley a la entidad estatal involucrada, de manera que tales actividades se desarrollan con la colaboración de particulares, lo que difiere de los contratos de fomento, cuyo objeto debe estar directamente dirigido al impulso de programas y actividades de interés público acordes con los planes de desarrollo, las cuales son desarrolladas por particular; </w:t>
      </w:r>
    </w:p>
    <w:p w14:paraId="133AF666" w14:textId="50D2EB8F" w:rsidR="00355A2C" w:rsidRPr="00FD405A" w:rsidRDefault="00355A2C" w:rsidP="00355A2C">
      <w:pPr>
        <w:spacing w:line="240" w:lineRule="auto"/>
        <w:jc w:val="both"/>
        <w:rPr>
          <w:rFonts w:ascii="Verdana" w:eastAsia="Arial" w:hAnsi="Verdana" w:cs="Arial"/>
          <w:sz w:val="20"/>
          <w:szCs w:val="20"/>
          <w:lang w:val="es-ES"/>
        </w:rPr>
      </w:pPr>
      <w:r w:rsidRPr="00FD405A">
        <w:rPr>
          <w:rFonts w:ascii="Verdana" w:eastAsia="Arial" w:hAnsi="Verdana" w:cs="Arial"/>
          <w:sz w:val="20"/>
          <w:szCs w:val="20"/>
          <w:lang w:val="es-ES"/>
        </w:rPr>
        <w:t>(</w:t>
      </w:r>
      <w:proofErr w:type="spellStart"/>
      <w:r w:rsidRPr="00FD405A">
        <w:rPr>
          <w:rFonts w:ascii="Verdana" w:eastAsia="Arial" w:hAnsi="Verdana" w:cs="Arial"/>
          <w:sz w:val="20"/>
          <w:szCs w:val="20"/>
          <w:lang w:val="es-ES"/>
        </w:rPr>
        <w:t>iv</w:t>
      </w:r>
      <w:proofErr w:type="spellEnd"/>
      <w:r w:rsidRPr="00FD405A">
        <w:rPr>
          <w:rFonts w:ascii="Verdana" w:eastAsia="Arial" w:hAnsi="Verdana" w:cs="Arial"/>
          <w:sz w:val="20"/>
          <w:szCs w:val="20"/>
          <w:lang w:val="es-ES"/>
        </w:rPr>
        <w:t>) La participación de los sujetos en la ejecución, toda vez que, en los contratos de fomento, la entidad sin ánimo de lucro es la encargada de ejecutar el programa con una considerable autonomía, en comparación con los convenios de asociación, que, al estar dirigidos a ejecutar funciones atribuidas por la ley a un ente público, suponen la necesaria participación de este en la ejecución.</w:t>
      </w:r>
    </w:p>
    <w:p w14:paraId="4B8A53D8" w14:textId="77777777" w:rsidR="00FD405A" w:rsidRPr="00FD405A" w:rsidRDefault="00FD405A" w:rsidP="00FD405A">
      <w:pPr>
        <w:spacing w:after="0" w:line="240" w:lineRule="auto"/>
        <w:jc w:val="both"/>
        <w:rPr>
          <w:rFonts w:ascii="Verdana" w:eastAsia="Arial" w:hAnsi="Verdana" w:cs="Arial"/>
          <w:sz w:val="20"/>
          <w:szCs w:val="20"/>
          <w:lang w:val="es-ES"/>
        </w:rPr>
      </w:pPr>
      <w:r w:rsidRPr="00FD405A">
        <w:rPr>
          <w:rFonts w:ascii="Verdana" w:eastAsia="Arial" w:hAnsi="Verdana" w:cs="Arial"/>
          <w:sz w:val="20"/>
          <w:szCs w:val="20"/>
          <w:lang w:val="es-ES"/>
        </w:rPr>
        <w:t xml:space="preserve">Por otra parte, los </w:t>
      </w:r>
      <w:r w:rsidRPr="00FD405A">
        <w:rPr>
          <w:rFonts w:ascii="Verdana" w:eastAsia="Arial" w:hAnsi="Verdana" w:cs="Arial"/>
          <w:i/>
          <w:iCs/>
          <w:sz w:val="20"/>
          <w:szCs w:val="20"/>
          <w:lang w:val="es-ES"/>
        </w:rPr>
        <w:t xml:space="preserve">convenios de asociación </w:t>
      </w:r>
      <w:r w:rsidRPr="00FD405A">
        <w:rPr>
          <w:rFonts w:ascii="Verdana" w:eastAsia="Arial" w:hAnsi="Verdana" w:cs="Arial"/>
          <w:sz w:val="20"/>
          <w:szCs w:val="20"/>
          <w:lang w:val="es-ES"/>
        </w:rPr>
        <w:t>“[t]</w:t>
      </w:r>
      <w:proofErr w:type="spellStart"/>
      <w:r w:rsidRPr="00FD405A">
        <w:rPr>
          <w:rFonts w:ascii="Verdana" w:eastAsia="Arial" w:hAnsi="Verdana" w:cs="Arial"/>
          <w:sz w:val="20"/>
          <w:szCs w:val="20"/>
          <w:lang w:val="es-ES"/>
        </w:rPr>
        <w:t>ienen</w:t>
      </w:r>
      <w:proofErr w:type="spellEnd"/>
      <w:r w:rsidRPr="00FD405A">
        <w:rPr>
          <w:rFonts w:ascii="Verdana" w:eastAsia="Arial" w:hAnsi="Verdana" w:cs="Arial"/>
          <w:sz w:val="20"/>
          <w:szCs w:val="20"/>
          <w:lang w:val="es-ES"/>
        </w:rPr>
        <w:t xml:space="preserve"> como finalidad que la entidad estatal, cualquiera que sea su naturaleza y orden administrativo, se asocien con </w:t>
      </w:r>
      <w:r w:rsidRPr="00FD405A">
        <w:rPr>
          <w:rFonts w:ascii="Verdana" w:eastAsia="Arial" w:hAnsi="Verdana" w:cs="Arial"/>
          <w:i/>
          <w:iCs/>
          <w:sz w:val="20"/>
          <w:szCs w:val="20"/>
          <w:u w:val="single"/>
          <w:lang w:val="es-ES"/>
        </w:rPr>
        <w:t>personas jurídicas particulares</w:t>
      </w:r>
      <w:r w:rsidRPr="00FD405A">
        <w:rPr>
          <w:rFonts w:ascii="Verdana" w:eastAsia="Arial" w:hAnsi="Verdana" w:cs="Arial"/>
          <w:sz w:val="20"/>
          <w:szCs w:val="20"/>
          <w:lang w:val="es-ES"/>
        </w:rPr>
        <w:t xml:space="preserve"> para el desarrollo conjunto de actividades relacionadas con los cometidos y funciones asignadas a aquellas conforme a la Constitución y a la Ley” [Énfasis propio]. Por esta razón, en los convenios de asociación no existen contraprestaciones o pagos, sino </w:t>
      </w:r>
      <w:r w:rsidRPr="00FD405A">
        <w:rPr>
          <w:rFonts w:ascii="Verdana" w:eastAsia="Arial" w:hAnsi="Verdana" w:cs="Arial"/>
          <w:i/>
          <w:iCs/>
          <w:sz w:val="20"/>
          <w:szCs w:val="20"/>
          <w:lang w:val="es-ES"/>
        </w:rPr>
        <w:t>aportes</w:t>
      </w:r>
      <w:r w:rsidRPr="00FD405A">
        <w:rPr>
          <w:rFonts w:ascii="Verdana" w:eastAsia="Arial" w:hAnsi="Verdana" w:cs="Arial"/>
          <w:sz w:val="20"/>
          <w:szCs w:val="20"/>
          <w:lang w:val="es-ES"/>
        </w:rPr>
        <w:t>, los cuales están dirigidos exclusivamente a lograr la ejecución del convenio, no a remunerar la actividad o actuaciones del asociado</w:t>
      </w:r>
    </w:p>
    <w:p w14:paraId="68821E32" w14:textId="77777777" w:rsidR="00355A2C" w:rsidRDefault="00355A2C" w:rsidP="00B93B68">
      <w:pPr>
        <w:spacing w:after="0" w:line="240" w:lineRule="auto"/>
        <w:jc w:val="both"/>
        <w:rPr>
          <w:rFonts w:ascii="Verdana" w:hAnsi="Verdana" w:cs="Arial"/>
          <w:lang w:val="es-ES" w:eastAsia="es-ES"/>
        </w:rPr>
      </w:pPr>
    </w:p>
    <w:p w14:paraId="152E1BD3" w14:textId="4E4332AB" w:rsidR="00057F16" w:rsidRPr="007961B6" w:rsidRDefault="00584E6D" w:rsidP="00C9367E">
      <w:pPr>
        <w:spacing w:after="0" w:line="240" w:lineRule="auto"/>
        <w:jc w:val="both"/>
        <w:rPr>
          <w:rFonts w:ascii="Verdana" w:eastAsia="Calibri" w:hAnsi="Verdana" w:cs="Arial"/>
          <w:b/>
          <w:bCs/>
          <w:lang w:eastAsia="es-ES"/>
        </w:rPr>
      </w:pPr>
      <w:r w:rsidRPr="007961B6">
        <w:rPr>
          <w:rFonts w:ascii="Verdana" w:hAnsi="Verdana" w:cs="Arial"/>
          <w:b/>
          <w:bCs/>
          <w:lang w:val="es-ES" w:eastAsia="es-ES"/>
        </w:rPr>
        <w:t>CONTRATACIÓN CON ESAL – Régimen jurídico – Integración normativa</w:t>
      </w:r>
    </w:p>
    <w:p w14:paraId="5FCA1D07" w14:textId="77777777" w:rsidR="00057F16" w:rsidRPr="007961B6" w:rsidRDefault="00057F16" w:rsidP="00C9367E">
      <w:pPr>
        <w:spacing w:after="0" w:line="240" w:lineRule="auto"/>
        <w:jc w:val="both"/>
        <w:rPr>
          <w:rFonts w:ascii="Verdana" w:eastAsia="Calibri" w:hAnsi="Verdana" w:cs="Arial"/>
          <w:b/>
          <w:bCs/>
          <w:lang w:eastAsia="es-ES"/>
        </w:rPr>
      </w:pPr>
    </w:p>
    <w:p w14:paraId="7F996117" w14:textId="14EDD2B4" w:rsidR="00301D97" w:rsidRPr="00301D97" w:rsidRDefault="00301D97" w:rsidP="00301D97">
      <w:pPr>
        <w:spacing w:after="0" w:line="240" w:lineRule="auto"/>
        <w:jc w:val="both"/>
        <w:rPr>
          <w:rFonts w:ascii="Verdana" w:eastAsia="Calibri" w:hAnsi="Verdana" w:cs="Arial"/>
          <w:sz w:val="20"/>
          <w:szCs w:val="20"/>
          <w:lang w:val="es-ES" w:eastAsia="es-ES"/>
        </w:rPr>
      </w:pPr>
      <w:r w:rsidRPr="00301D97">
        <w:rPr>
          <w:rFonts w:ascii="Verdana" w:eastAsia="Calibri" w:hAnsi="Verdana" w:cs="Arial"/>
          <w:sz w:val="20"/>
          <w:szCs w:val="20"/>
          <w:lang w:val="es-ES" w:eastAsia="es-ES"/>
        </w:rPr>
        <w:t xml:space="preserve">En ese sentido, también es pertinente traer a colación que la Sentencia de 22 de mayo de 2024 concluye que los </w:t>
      </w:r>
      <w:r w:rsidRPr="00301D97">
        <w:rPr>
          <w:rFonts w:ascii="Verdana" w:eastAsia="Calibri" w:hAnsi="Verdana" w:cs="Arial"/>
          <w:i/>
          <w:iCs/>
          <w:sz w:val="20"/>
          <w:szCs w:val="20"/>
          <w:lang w:eastAsia="es-ES"/>
        </w:rPr>
        <w:t>convenios de asociación</w:t>
      </w:r>
      <w:r w:rsidRPr="00301D97">
        <w:rPr>
          <w:rFonts w:ascii="Verdana" w:eastAsia="Calibri" w:hAnsi="Verdana" w:cs="Arial"/>
          <w:sz w:val="20"/>
          <w:szCs w:val="20"/>
          <w:lang w:eastAsia="es-ES"/>
        </w:rPr>
        <w:t xml:space="preserve"> se celebran </w:t>
      </w:r>
      <w:r w:rsidRPr="00301D97">
        <w:rPr>
          <w:rFonts w:ascii="Verdana" w:eastAsia="Calibri" w:hAnsi="Verdana" w:cs="Arial"/>
          <w:i/>
          <w:iCs/>
          <w:sz w:val="20"/>
          <w:szCs w:val="20"/>
          <w:lang w:eastAsia="es-ES"/>
        </w:rPr>
        <w:t>“[…] bajo los mismos requisitos y formalidades que los contratos de fomento, que son los concernientes para la contratación entre particulares (derecho privado”</w:t>
      </w:r>
      <w:r w:rsidRPr="00301D97">
        <w:rPr>
          <w:rFonts w:ascii="Verdana" w:eastAsia="Calibri" w:hAnsi="Verdana" w:cs="Arial"/>
          <w:sz w:val="20"/>
          <w:szCs w:val="20"/>
          <w:lang w:eastAsia="es-ES"/>
        </w:rPr>
        <w:t>, consideración se soporta a en lo dispuesto en el artículo del Decreto 777 de 199</w:t>
      </w:r>
      <w:r w:rsidR="00816784">
        <w:rPr>
          <w:rFonts w:ascii="Verdana" w:eastAsia="Calibri" w:hAnsi="Verdana" w:cs="Arial"/>
          <w:sz w:val="20"/>
          <w:szCs w:val="20"/>
          <w:lang w:eastAsia="es-ES"/>
        </w:rPr>
        <w:t>2.</w:t>
      </w:r>
      <w:r w:rsidRPr="00301D97">
        <w:rPr>
          <w:rFonts w:ascii="Verdana" w:eastAsia="Calibri" w:hAnsi="Verdana" w:cs="Arial"/>
          <w:sz w:val="20"/>
          <w:szCs w:val="20"/>
          <w:lang w:eastAsia="es-ES"/>
        </w:rPr>
        <w:t xml:space="preserve"> Tras ser derogada dicha disposición, el régimen jurídico de ellos convenios de asociación paso a ser determinado por el artículo 8 del Decreto 092 de 2017, el cual indica que </w:t>
      </w:r>
      <w:r w:rsidRPr="00301D97">
        <w:rPr>
          <w:rFonts w:ascii="Verdana" w:eastAsia="Calibri" w:hAnsi="Verdana" w:cs="Arial"/>
          <w:i/>
          <w:iCs/>
          <w:sz w:val="20"/>
          <w:szCs w:val="20"/>
          <w:lang w:eastAsia="es-ES"/>
        </w:rPr>
        <w:t>“La contratación a la que hace referencia el presente decreto está sujeta a las normas generales aplicables a la contratación pública excepto en lo reglamentado en el presente decreto</w:t>
      </w:r>
      <w:r w:rsidRPr="00301D97">
        <w:rPr>
          <w:rFonts w:ascii="Verdana" w:eastAsia="Calibri" w:hAnsi="Verdana" w:cs="Arial"/>
          <w:sz w:val="20"/>
          <w:szCs w:val="20"/>
          <w:lang w:eastAsia="es-ES"/>
        </w:rPr>
        <w:t xml:space="preserve">”.  Adicionalmente, el artículo 6 dispone la aplicación de las prohibiciones, inhabilidades e incompatibilidades establecidas en la Constitución y en las Leyes 80 de 1993, 1150 de 2007 y 1474 de 2011, mientras que el artículo 7 dispone la aplicación de las </w:t>
      </w:r>
      <w:r w:rsidRPr="00301D97">
        <w:rPr>
          <w:rFonts w:ascii="Verdana" w:eastAsia="Calibri" w:hAnsi="Verdana" w:cs="Arial"/>
          <w:i/>
          <w:iCs/>
          <w:sz w:val="20"/>
          <w:szCs w:val="20"/>
          <w:lang w:eastAsia="es-ES"/>
        </w:rPr>
        <w:t xml:space="preserve">“los principios de la contratación estatal y a las normas presupuestales aplicables”. </w:t>
      </w:r>
      <w:r w:rsidRPr="00301D97">
        <w:rPr>
          <w:rFonts w:ascii="Verdana" w:eastAsia="Calibri" w:hAnsi="Verdana" w:cs="Arial"/>
          <w:sz w:val="20"/>
          <w:szCs w:val="20"/>
          <w:lang w:eastAsia="es-ES"/>
        </w:rPr>
        <w:t xml:space="preserve">Conforme a esto, a diferencia de los convenios de asociación celebrados conforme al Decreto 777 de 1992, los cuales en los no reglamentado por este se regían por el derecho privado, </w:t>
      </w:r>
      <w:r w:rsidRPr="00301D97">
        <w:rPr>
          <w:rFonts w:ascii="Verdana" w:eastAsia="Calibri" w:hAnsi="Verdana" w:cs="Arial"/>
          <w:sz w:val="20"/>
          <w:szCs w:val="20"/>
          <w:lang w:eastAsia="es-ES"/>
        </w:rPr>
        <w:lastRenderedPageBreak/>
        <w:t xml:space="preserve">los que se celebre en vigencia del Decreto 092 de 2017, en lo no contemplado por este, se encuentra sujetos a las normas y principio del régimen general de contratación pública. </w:t>
      </w:r>
    </w:p>
    <w:p w14:paraId="1401CF27" w14:textId="77777777" w:rsidR="00057F16" w:rsidRPr="00301D97" w:rsidRDefault="00057F16" w:rsidP="00C9367E">
      <w:pPr>
        <w:spacing w:after="0" w:line="240" w:lineRule="auto"/>
        <w:jc w:val="both"/>
        <w:rPr>
          <w:rFonts w:ascii="Verdana" w:eastAsia="Calibri" w:hAnsi="Verdana" w:cs="Arial"/>
          <w:lang w:val="es-ES" w:eastAsia="es-ES"/>
        </w:rPr>
      </w:pPr>
    </w:p>
    <w:p w14:paraId="2C9D5ECE" w14:textId="77777777" w:rsidR="00057F16" w:rsidRDefault="00057F16" w:rsidP="00C9367E">
      <w:pPr>
        <w:spacing w:after="0" w:line="240" w:lineRule="auto"/>
        <w:jc w:val="both"/>
        <w:rPr>
          <w:rFonts w:ascii="Verdana" w:eastAsia="Calibri" w:hAnsi="Verdana" w:cs="Arial"/>
          <w:lang w:eastAsia="es-ES"/>
        </w:rPr>
      </w:pPr>
    </w:p>
    <w:p w14:paraId="4EFCE824" w14:textId="77777777" w:rsidR="00057F16" w:rsidRDefault="00057F16" w:rsidP="00C9367E">
      <w:pPr>
        <w:spacing w:after="0" w:line="240" w:lineRule="auto"/>
        <w:jc w:val="both"/>
        <w:rPr>
          <w:rFonts w:ascii="Verdana" w:eastAsia="Calibri" w:hAnsi="Verdana" w:cs="Arial"/>
          <w:lang w:eastAsia="es-ES"/>
        </w:rPr>
      </w:pPr>
    </w:p>
    <w:p w14:paraId="79D8F74C" w14:textId="489AE26C" w:rsidR="00057F16" w:rsidRDefault="00057F16" w:rsidP="00C9367E">
      <w:pPr>
        <w:spacing w:after="0" w:line="240" w:lineRule="auto"/>
        <w:jc w:val="both"/>
        <w:rPr>
          <w:rFonts w:ascii="Verdana" w:eastAsia="Calibri" w:hAnsi="Verdana" w:cs="Arial"/>
          <w:lang w:eastAsia="es-ES"/>
        </w:rPr>
      </w:pPr>
    </w:p>
    <w:p w14:paraId="3599D5DC" w14:textId="77777777" w:rsidR="00057F16" w:rsidRDefault="00057F16" w:rsidP="00C9367E">
      <w:pPr>
        <w:spacing w:after="0" w:line="240" w:lineRule="auto"/>
        <w:jc w:val="both"/>
        <w:rPr>
          <w:rFonts w:ascii="Verdana" w:eastAsia="Calibri" w:hAnsi="Verdana" w:cs="Arial"/>
          <w:lang w:eastAsia="es-ES"/>
        </w:rPr>
      </w:pPr>
    </w:p>
    <w:p w14:paraId="5ADB54A4" w14:textId="77777777" w:rsidR="00057F16" w:rsidRDefault="00057F16" w:rsidP="00C9367E">
      <w:pPr>
        <w:spacing w:after="0" w:line="240" w:lineRule="auto"/>
        <w:jc w:val="both"/>
        <w:rPr>
          <w:rFonts w:ascii="Verdana" w:eastAsia="Calibri" w:hAnsi="Verdana" w:cs="Arial"/>
          <w:lang w:eastAsia="es-ES"/>
        </w:rPr>
      </w:pPr>
    </w:p>
    <w:p w14:paraId="75A94134" w14:textId="77777777" w:rsidR="00057F16" w:rsidRDefault="00057F16" w:rsidP="00C9367E">
      <w:pPr>
        <w:spacing w:after="0" w:line="240" w:lineRule="auto"/>
        <w:jc w:val="both"/>
        <w:rPr>
          <w:rFonts w:ascii="Verdana" w:eastAsia="Calibri" w:hAnsi="Verdana" w:cs="Arial"/>
          <w:lang w:eastAsia="es-ES"/>
        </w:rPr>
      </w:pPr>
    </w:p>
    <w:p w14:paraId="5C0BE4C6" w14:textId="77777777" w:rsidR="00057F16" w:rsidRDefault="00057F16" w:rsidP="00C9367E">
      <w:pPr>
        <w:spacing w:after="0" w:line="240" w:lineRule="auto"/>
        <w:jc w:val="both"/>
        <w:rPr>
          <w:rFonts w:ascii="Verdana" w:eastAsia="Calibri" w:hAnsi="Verdana" w:cs="Arial"/>
          <w:lang w:eastAsia="es-ES"/>
        </w:rPr>
      </w:pPr>
    </w:p>
    <w:p w14:paraId="74E48B21" w14:textId="77777777" w:rsidR="00057F16" w:rsidRDefault="00057F16" w:rsidP="00C9367E">
      <w:pPr>
        <w:spacing w:after="0" w:line="240" w:lineRule="auto"/>
        <w:jc w:val="both"/>
        <w:rPr>
          <w:rFonts w:ascii="Verdana" w:eastAsia="Calibri" w:hAnsi="Verdana" w:cs="Arial"/>
          <w:lang w:eastAsia="es-ES"/>
        </w:rPr>
      </w:pPr>
    </w:p>
    <w:p w14:paraId="4EA4186E" w14:textId="77777777" w:rsidR="00057F16" w:rsidRDefault="00057F16" w:rsidP="00C9367E">
      <w:pPr>
        <w:spacing w:after="0" w:line="240" w:lineRule="auto"/>
        <w:jc w:val="both"/>
        <w:rPr>
          <w:rFonts w:ascii="Verdana" w:eastAsia="Calibri" w:hAnsi="Verdana" w:cs="Arial"/>
          <w:lang w:eastAsia="es-ES"/>
        </w:rPr>
      </w:pPr>
    </w:p>
    <w:p w14:paraId="1DD1EE32" w14:textId="77777777" w:rsidR="00057F16" w:rsidRDefault="00057F16" w:rsidP="00C9367E">
      <w:pPr>
        <w:spacing w:after="0" w:line="240" w:lineRule="auto"/>
        <w:jc w:val="both"/>
        <w:rPr>
          <w:rFonts w:ascii="Verdana" w:eastAsia="Calibri" w:hAnsi="Verdana" w:cs="Arial"/>
          <w:lang w:eastAsia="es-ES"/>
        </w:rPr>
      </w:pPr>
    </w:p>
    <w:p w14:paraId="6CA96973" w14:textId="77777777" w:rsidR="00057F16" w:rsidRDefault="00057F16" w:rsidP="00C9367E">
      <w:pPr>
        <w:spacing w:after="0" w:line="240" w:lineRule="auto"/>
        <w:jc w:val="both"/>
        <w:rPr>
          <w:rFonts w:ascii="Verdana" w:eastAsia="Calibri" w:hAnsi="Verdana" w:cs="Arial"/>
          <w:lang w:eastAsia="es-ES"/>
        </w:rPr>
      </w:pPr>
    </w:p>
    <w:p w14:paraId="2B199EB6" w14:textId="77777777" w:rsidR="00057F16" w:rsidRDefault="00057F16" w:rsidP="00C9367E">
      <w:pPr>
        <w:spacing w:after="0" w:line="240" w:lineRule="auto"/>
        <w:jc w:val="both"/>
        <w:rPr>
          <w:rFonts w:ascii="Verdana" w:eastAsia="Calibri" w:hAnsi="Verdana" w:cs="Arial"/>
          <w:lang w:eastAsia="es-ES"/>
        </w:rPr>
      </w:pPr>
    </w:p>
    <w:p w14:paraId="0BF769A9" w14:textId="77777777" w:rsidR="00057F16" w:rsidRDefault="00057F16" w:rsidP="00C9367E">
      <w:pPr>
        <w:spacing w:after="0" w:line="240" w:lineRule="auto"/>
        <w:jc w:val="both"/>
        <w:rPr>
          <w:rFonts w:ascii="Verdana" w:eastAsia="Calibri" w:hAnsi="Verdana" w:cs="Arial"/>
          <w:lang w:eastAsia="es-ES"/>
        </w:rPr>
      </w:pPr>
    </w:p>
    <w:p w14:paraId="00C0062A" w14:textId="77777777" w:rsidR="00057F16" w:rsidRDefault="00057F16" w:rsidP="00C9367E">
      <w:pPr>
        <w:spacing w:after="0" w:line="240" w:lineRule="auto"/>
        <w:jc w:val="both"/>
        <w:rPr>
          <w:rFonts w:ascii="Verdana" w:eastAsia="Calibri" w:hAnsi="Verdana" w:cs="Arial"/>
          <w:lang w:eastAsia="es-ES"/>
        </w:rPr>
      </w:pPr>
    </w:p>
    <w:p w14:paraId="162CEE89" w14:textId="51CAFA2B" w:rsidR="00057F16" w:rsidRDefault="00057F16" w:rsidP="00C9367E">
      <w:pPr>
        <w:spacing w:after="0" w:line="240" w:lineRule="auto"/>
        <w:jc w:val="both"/>
        <w:rPr>
          <w:rFonts w:ascii="Verdana" w:eastAsia="Calibri" w:hAnsi="Verdana" w:cs="Arial"/>
          <w:lang w:eastAsia="es-ES"/>
        </w:rPr>
      </w:pPr>
    </w:p>
    <w:p w14:paraId="0E03F740" w14:textId="69F6ABBD" w:rsidR="00057F16" w:rsidRDefault="00057F16" w:rsidP="00C9367E">
      <w:pPr>
        <w:spacing w:after="0" w:line="240" w:lineRule="auto"/>
        <w:jc w:val="both"/>
        <w:rPr>
          <w:rFonts w:ascii="Verdana" w:eastAsia="Calibri" w:hAnsi="Verdana" w:cs="Arial"/>
          <w:lang w:eastAsia="es-ES"/>
        </w:rPr>
      </w:pPr>
    </w:p>
    <w:p w14:paraId="7784CFF3" w14:textId="71E9020A" w:rsidR="00057F16" w:rsidRDefault="00057F16" w:rsidP="00C9367E">
      <w:pPr>
        <w:spacing w:after="0" w:line="240" w:lineRule="auto"/>
        <w:jc w:val="both"/>
        <w:rPr>
          <w:rFonts w:ascii="Verdana" w:eastAsia="Calibri" w:hAnsi="Verdana" w:cs="Arial"/>
          <w:lang w:eastAsia="es-ES"/>
        </w:rPr>
      </w:pPr>
    </w:p>
    <w:p w14:paraId="235072D1" w14:textId="4B146608" w:rsidR="00057F16" w:rsidRDefault="00057F16" w:rsidP="00C9367E">
      <w:pPr>
        <w:spacing w:after="0" w:line="240" w:lineRule="auto"/>
        <w:jc w:val="both"/>
        <w:rPr>
          <w:rFonts w:ascii="Verdana" w:eastAsia="Calibri" w:hAnsi="Verdana" w:cs="Arial"/>
          <w:lang w:eastAsia="es-ES"/>
        </w:rPr>
      </w:pPr>
    </w:p>
    <w:p w14:paraId="324D9002" w14:textId="4F1384A0" w:rsidR="00057F16" w:rsidRDefault="00057F16" w:rsidP="00C9367E">
      <w:pPr>
        <w:spacing w:after="0" w:line="240" w:lineRule="auto"/>
        <w:jc w:val="both"/>
        <w:rPr>
          <w:rFonts w:ascii="Verdana" w:eastAsia="Calibri" w:hAnsi="Verdana" w:cs="Arial"/>
          <w:lang w:eastAsia="es-ES"/>
        </w:rPr>
      </w:pPr>
    </w:p>
    <w:p w14:paraId="10198F56" w14:textId="77777777" w:rsidR="00816784" w:rsidRDefault="00816784" w:rsidP="00C9367E">
      <w:pPr>
        <w:spacing w:after="0" w:line="240" w:lineRule="auto"/>
        <w:jc w:val="both"/>
        <w:rPr>
          <w:rFonts w:ascii="Verdana" w:eastAsia="Calibri" w:hAnsi="Verdana" w:cs="Arial"/>
          <w:lang w:eastAsia="es-ES"/>
        </w:rPr>
      </w:pPr>
    </w:p>
    <w:p w14:paraId="74E32EED" w14:textId="77777777" w:rsidR="00816784" w:rsidRDefault="00816784" w:rsidP="00C9367E">
      <w:pPr>
        <w:spacing w:after="0" w:line="240" w:lineRule="auto"/>
        <w:jc w:val="both"/>
        <w:rPr>
          <w:rFonts w:ascii="Verdana" w:eastAsia="Calibri" w:hAnsi="Verdana" w:cs="Arial"/>
          <w:lang w:eastAsia="es-ES"/>
        </w:rPr>
      </w:pPr>
    </w:p>
    <w:p w14:paraId="14DD4930" w14:textId="77777777" w:rsidR="00057F16" w:rsidRDefault="00057F16" w:rsidP="00C9367E">
      <w:pPr>
        <w:spacing w:after="0" w:line="240" w:lineRule="auto"/>
        <w:jc w:val="both"/>
        <w:rPr>
          <w:rFonts w:ascii="Verdana" w:eastAsia="Calibri" w:hAnsi="Verdana" w:cs="Arial"/>
          <w:lang w:eastAsia="es-ES"/>
        </w:rPr>
      </w:pPr>
    </w:p>
    <w:p w14:paraId="7DBDCF38" w14:textId="77777777" w:rsidR="00FD405A" w:rsidRDefault="00FD405A" w:rsidP="00C9367E">
      <w:pPr>
        <w:spacing w:after="0" w:line="240" w:lineRule="auto"/>
        <w:jc w:val="both"/>
        <w:rPr>
          <w:rFonts w:ascii="Verdana" w:eastAsia="Calibri" w:hAnsi="Verdana" w:cs="Arial"/>
          <w:lang w:eastAsia="es-ES"/>
        </w:rPr>
      </w:pPr>
    </w:p>
    <w:p w14:paraId="6B93E7DD" w14:textId="1B62E6EC" w:rsidR="00FD405A" w:rsidRDefault="00FD405A" w:rsidP="00C9367E">
      <w:pPr>
        <w:spacing w:after="0" w:line="240" w:lineRule="auto"/>
        <w:jc w:val="both"/>
        <w:rPr>
          <w:rFonts w:ascii="Verdana" w:eastAsia="Calibri" w:hAnsi="Verdana" w:cs="Arial"/>
          <w:lang w:eastAsia="es-ES"/>
        </w:rPr>
      </w:pPr>
    </w:p>
    <w:p w14:paraId="51793AC4" w14:textId="245FD5E1" w:rsidR="00FD405A" w:rsidRDefault="00FD405A" w:rsidP="00C9367E">
      <w:pPr>
        <w:spacing w:after="0" w:line="240" w:lineRule="auto"/>
        <w:jc w:val="both"/>
        <w:rPr>
          <w:rFonts w:ascii="Verdana" w:eastAsia="Calibri" w:hAnsi="Verdana" w:cs="Arial"/>
          <w:lang w:eastAsia="es-ES"/>
        </w:rPr>
      </w:pPr>
    </w:p>
    <w:p w14:paraId="7B491D43" w14:textId="77777777" w:rsidR="00FD405A" w:rsidRDefault="00FD405A" w:rsidP="00C9367E">
      <w:pPr>
        <w:spacing w:after="0" w:line="240" w:lineRule="auto"/>
        <w:jc w:val="both"/>
        <w:rPr>
          <w:rFonts w:ascii="Verdana" w:eastAsia="Calibri" w:hAnsi="Verdana" w:cs="Arial"/>
          <w:lang w:eastAsia="es-ES"/>
        </w:rPr>
      </w:pPr>
    </w:p>
    <w:p w14:paraId="44BC50A0" w14:textId="3DED17E2" w:rsidR="00FD405A" w:rsidRDefault="00FD405A" w:rsidP="00C9367E">
      <w:pPr>
        <w:spacing w:after="0" w:line="240" w:lineRule="auto"/>
        <w:jc w:val="both"/>
        <w:rPr>
          <w:rFonts w:ascii="Verdana" w:eastAsia="Calibri" w:hAnsi="Verdana" w:cs="Arial"/>
          <w:lang w:eastAsia="es-ES"/>
        </w:rPr>
      </w:pPr>
    </w:p>
    <w:p w14:paraId="1BF501BE" w14:textId="77777777" w:rsidR="00FD405A" w:rsidRDefault="00FD405A" w:rsidP="00C9367E">
      <w:pPr>
        <w:spacing w:after="0" w:line="240" w:lineRule="auto"/>
        <w:jc w:val="both"/>
        <w:rPr>
          <w:rFonts w:ascii="Verdana" w:eastAsia="Calibri" w:hAnsi="Verdana" w:cs="Arial"/>
          <w:lang w:eastAsia="es-ES"/>
        </w:rPr>
      </w:pPr>
    </w:p>
    <w:p w14:paraId="2DD0F5F8" w14:textId="77777777" w:rsidR="00FD405A" w:rsidRDefault="00FD405A" w:rsidP="00C9367E">
      <w:pPr>
        <w:spacing w:after="0" w:line="240" w:lineRule="auto"/>
        <w:jc w:val="both"/>
        <w:rPr>
          <w:rFonts w:ascii="Verdana" w:eastAsia="Calibri" w:hAnsi="Verdana" w:cs="Arial"/>
          <w:lang w:eastAsia="es-ES"/>
        </w:rPr>
      </w:pPr>
    </w:p>
    <w:p w14:paraId="707A451B" w14:textId="5033A328" w:rsidR="00FD405A" w:rsidRDefault="00FD405A" w:rsidP="00C9367E">
      <w:pPr>
        <w:spacing w:after="0" w:line="240" w:lineRule="auto"/>
        <w:jc w:val="both"/>
        <w:rPr>
          <w:rFonts w:ascii="Verdana" w:eastAsia="Calibri" w:hAnsi="Verdana" w:cs="Arial"/>
          <w:lang w:eastAsia="es-ES"/>
        </w:rPr>
      </w:pPr>
    </w:p>
    <w:p w14:paraId="08B2A55C" w14:textId="714FD1A2" w:rsidR="00FD405A" w:rsidRDefault="00FD405A" w:rsidP="00C9367E">
      <w:pPr>
        <w:spacing w:after="0" w:line="240" w:lineRule="auto"/>
        <w:jc w:val="both"/>
        <w:rPr>
          <w:rFonts w:ascii="Verdana" w:eastAsia="Calibri" w:hAnsi="Verdana" w:cs="Arial"/>
          <w:lang w:eastAsia="es-ES"/>
        </w:rPr>
      </w:pPr>
    </w:p>
    <w:p w14:paraId="1D04A642" w14:textId="13AD3DCC" w:rsidR="00057F16" w:rsidRDefault="00057F16" w:rsidP="00C9367E">
      <w:pPr>
        <w:spacing w:after="0" w:line="240" w:lineRule="auto"/>
        <w:jc w:val="both"/>
        <w:rPr>
          <w:rFonts w:ascii="Verdana" w:eastAsia="Calibri" w:hAnsi="Verdana" w:cs="Arial"/>
          <w:lang w:eastAsia="es-ES"/>
        </w:rPr>
      </w:pPr>
    </w:p>
    <w:p w14:paraId="62948F66" w14:textId="551AAD6B" w:rsidR="00057F16" w:rsidRDefault="00057F16" w:rsidP="00C9367E">
      <w:pPr>
        <w:spacing w:after="0" w:line="240" w:lineRule="auto"/>
        <w:jc w:val="both"/>
        <w:rPr>
          <w:rFonts w:ascii="Verdana" w:eastAsia="Calibri" w:hAnsi="Verdana" w:cs="Arial"/>
          <w:lang w:eastAsia="es-ES"/>
        </w:rPr>
      </w:pPr>
    </w:p>
    <w:p w14:paraId="6A3FBA9B" w14:textId="77777777" w:rsidR="00057F16" w:rsidRDefault="00057F16" w:rsidP="00C9367E">
      <w:pPr>
        <w:spacing w:after="0" w:line="240" w:lineRule="auto"/>
        <w:jc w:val="both"/>
        <w:rPr>
          <w:rFonts w:ascii="Verdana" w:eastAsia="Calibri" w:hAnsi="Verdana" w:cs="Arial"/>
          <w:lang w:eastAsia="es-ES"/>
        </w:rPr>
      </w:pPr>
    </w:p>
    <w:p w14:paraId="0834DB4E" w14:textId="632A881C" w:rsidR="00057F16" w:rsidRDefault="00057F16" w:rsidP="00C9367E">
      <w:pPr>
        <w:spacing w:after="0" w:line="240" w:lineRule="auto"/>
        <w:jc w:val="both"/>
        <w:rPr>
          <w:rFonts w:ascii="Verdana" w:eastAsia="Calibri" w:hAnsi="Verdana" w:cs="Arial"/>
          <w:lang w:eastAsia="es-ES"/>
        </w:rPr>
      </w:pPr>
    </w:p>
    <w:p w14:paraId="2AAF6C61" w14:textId="77777777" w:rsidR="00816784" w:rsidRDefault="00816784" w:rsidP="00C9367E">
      <w:pPr>
        <w:spacing w:after="0" w:line="240" w:lineRule="auto"/>
        <w:jc w:val="both"/>
        <w:rPr>
          <w:rFonts w:ascii="Verdana" w:eastAsia="Calibri" w:hAnsi="Verdana" w:cs="Arial"/>
          <w:lang w:eastAsia="es-ES"/>
        </w:rPr>
      </w:pPr>
    </w:p>
    <w:p w14:paraId="1DC27B3D" w14:textId="77777777" w:rsidR="00816784" w:rsidRDefault="00816784" w:rsidP="00C9367E">
      <w:pPr>
        <w:spacing w:after="0" w:line="240" w:lineRule="auto"/>
        <w:jc w:val="both"/>
        <w:rPr>
          <w:rFonts w:ascii="Verdana" w:eastAsia="Calibri" w:hAnsi="Verdana" w:cs="Arial"/>
          <w:lang w:eastAsia="es-ES"/>
        </w:rPr>
      </w:pPr>
    </w:p>
    <w:p w14:paraId="692679E0" w14:textId="77777777" w:rsidR="00816784" w:rsidRDefault="00816784" w:rsidP="00C9367E">
      <w:pPr>
        <w:spacing w:after="0" w:line="240" w:lineRule="auto"/>
        <w:jc w:val="both"/>
        <w:rPr>
          <w:rFonts w:ascii="Verdana" w:eastAsia="Calibri" w:hAnsi="Verdana" w:cs="Arial"/>
          <w:lang w:eastAsia="es-ES"/>
        </w:rPr>
      </w:pPr>
    </w:p>
    <w:p w14:paraId="100A297F" w14:textId="77777777" w:rsidR="00301D97" w:rsidRDefault="00301D97" w:rsidP="00C9367E">
      <w:pPr>
        <w:spacing w:after="0" w:line="240" w:lineRule="auto"/>
        <w:jc w:val="both"/>
        <w:rPr>
          <w:rFonts w:ascii="Verdana" w:eastAsia="Calibri" w:hAnsi="Verdana" w:cs="Arial"/>
          <w:lang w:eastAsia="es-ES"/>
        </w:rPr>
      </w:pPr>
    </w:p>
    <w:p w14:paraId="3A39457D" w14:textId="32B46BC6" w:rsidR="00577D8F" w:rsidRDefault="00577D8F" w:rsidP="00C9367E">
      <w:pPr>
        <w:spacing w:after="0" w:line="240" w:lineRule="auto"/>
        <w:jc w:val="both"/>
        <w:rPr>
          <w:rFonts w:ascii="Verdana" w:eastAsia="Calibri" w:hAnsi="Verdana" w:cs="Arial"/>
          <w:lang w:eastAsia="es-ES"/>
        </w:rPr>
      </w:pPr>
    </w:p>
    <w:p w14:paraId="3FEB9A2D" w14:textId="0F0D8486" w:rsidR="00C9367E" w:rsidRPr="0017285D" w:rsidRDefault="008750AE" w:rsidP="00C9367E">
      <w:pPr>
        <w:spacing w:after="0" w:line="240" w:lineRule="auto"/>
        <w:jc w:val="both"/>
        <w:rPr>
          <w:rFonts w:ascii="Verdana" w:eastAsia="Calibri" w:hAnsi="Verdana" w:cs="Arial"/>
          <w:lang w:eastAsia="es-ES"/>
        </w:rPr>
      </w:pPr>
      <w:r w:rsidRPr="008750AE">
        <w:rPr>
          <w:rFonts w:ascii="Verdana" w:eastAsia="Calibri" w:hAnsi="Verdana" w:cs="Arial"/>
          <w:lang w:eastAsia="es-ES"/>
        </w:rPr>
        <w:t xml:space="preserve">Bogotá D.C, 16 </w:t>
      </w:r>
      <w:proofErr w:type="gramStart"/>
      <w:r w:rsidRPr="008750AE">
        <w:rPr>
          <w:rFonts w:ascii="Verdana" w:eastAsia="Calibri" w:hAnsi="Verdana" w:cs="Arial"/>
          <w:lang w:eastAsia="es-ES"/>
        </w:rPr>
        <w:t>Enero</w:t>
      </w:r>
      <w:proofErr w:type="gramEnd"/>
      <w:r w:rsidRPr="008750AE">
        <w:rPr>
          <w:rFonts w:ascii="Verdana" w:eastAsia="Calibri" w:hAnsi="Verdana" w:cs="Arial"/>
          <w:lang w:eastAsia="es-ES"/>
        </w:rPr>
        <w:t xml:space="preserve"> 2026</w:t>
      </w:r>
    </w:p>
    <w:p w14:paraId="4C8694AD" w14:textId="738BA3D5" w:rsidR="00C9367E" w:rsidRDefault="00C9367E" w:rsidP="00C9367E">
      <w:pPr>
        <w:spacing w:after="0" w:line="240" w:lineRule="auto"/>
        <w:jc w:val="both"/>
        <w:rPr>
          <w:rFonts w:ascii="Verdana" w:hAnsi="Verdana"/>
        </w:rPr>
      </w:pPr>
    </w:p>
    <w:p w14:paraId="2D838330" w14:textId="67E3CE31" w:rsidR="00C97F56" w:rsidRPr="0017285D" w:rsidRDefault="00816784" w:rsidP="00C9367E">
      <w:pPr>
        <w:spacing w:after="0" w:line="240" w:lineRule="auto"/>
        <w:jc w:val="both"/>
        <w:rPr>
          <w:rFonts w:ascii="Verdana" w:hAnsi="Verdana"/>
        </w:rPr>
      </w:pPr>
      <w:r w:rsidRPr="008750AE">
        <w:rPr>
          <w:rFonts w:ascii="Verdana" w:eastAsia="Calibri" w:hAnsi="Verdana" w:cs="Arial"/>
          <w:noProof/>
          <w:lang w:eastAsia="es-ES"/>
        </w:rPr>
        <w:drawing>
          <wp:anchor distT="0" distB="0" distL="114300" distR="114300" simplePos="0" relativeHeight="251658240" behindDoc="0" locked="0" layoutInCell="1" allowOverlap="1" wp14:anchorId="65D731E5" wp14:editId="42406408">
            <wp:simplePos x="0" y="0"/>
            <wp:positionH relativeFrom="margin">
              <wp:posOffset>2746740</wp:posOffset>
            </wp:positionH>
            <wp:positionV relativeFrom="margin">
              <wp:posOffset>657252</wp:posOffset>
            </wp:positionV>
            <wp:extent cx="3079750" cy="888365"/>
            <wp:effectExtent l="0" t="0" r="6350" b="6985"/>
            <wp:wrapSquare wrapText="bothSides"/>
            <wp:docPr id="209465207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4652077"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079750" cy="888365"/>
                    </a:xfrm>
                    <a:prstGeom prst="rect">
                      <a:avLst/>
                    </a:prstGeom>
                  </pic:spPr>
                </pic:pic>
              </a:graphicData>
            </a:graphic>
            <wp14:sizeRelH relativeFrom="margin">
              <wp14:pctWidth>0</wp14:pctWidth>
            </wp14:sizeRelH>
            <wp14:sizeRelV relativeFrom="margin">
              <wp14:pctHeight>0</wp14:pctHeight>
            </wp14:sizeRelV>
          </wp:anchor>
        </w:drawing>
      </w:r>
    </w:p>
    <w:p w14:paraId="62029301" w14:textId="38531F48" w:rsidR="00C9367E" w:rsidRPr="0017285D" w:rsidRDefault="00C9367E" w:rsidP="00C9367E">
      <w:pPr>
        <w:tabs>
          <w:tab w:val="left" w:pos="6279"/>
        </w:tabs>
        <w:spacing w:after="0" w:line="240" w:lineRule="auto"/>
        <w:jc w:val="both"/>
        <w:rPr>
          <w:rFonts w:ascii="Verdana" w:eastAsia="Calibri" w:hAnsi="Verdana" w:cs="Arial"/>
          <w:lang w:eastAsia="es-ES"/>
        </w:rPr>
      </w:pPr>
      <w:r w:rsidRPr="0017285D">
        <w:rPr>
          <w:rFonts w:ascii="Verdana" w:eastAsia="Calibri" w:hAnsi="Verdana" w:cs="Arial"/>
          <w:lang w:eastAsia="es-ES"/>
        </w:rPr>
        <w:t>Señor</w:t>
      </w:r>
    </w:p>
    <w:p w14:paraId="17CE6542" w14:textId="77777777" w:rsidR="00C9367E" w:rsidRPr="0017285D" w:rsidRDefault="00C9367E" w:rsidP="00C9367E">
      <w:pPr>
        <w:spacing w:after="0" w:line="240" w:lineRule="auto"/>
        <w:jc w:val="both"/>
        <w:rPr>
          <w:rFonts w:ascii="Verdana" w:eastAsia="Calibri" w:hAnsi="Verdana" w:cs="Arial"/>
          <w:b/>
          <w:lang w:eastAsia="es-ES_tradnl"/>
        </w:rPr>
      </w:pPr>
      <w:r w:rsidRPr="0017285D">
        <w:rPr>
          <w:rFonts w:ascii="Verdana" w:eastAsia="Calibri" w:hAnsi="Verdana" w:cs="Arial"/>
          <w:b/>
          <w:lang w:eastAsia="es-ES_tradnl"/>
        </w:rPr>
        <w:t>Iván Dario Gutiérrez Cardozo</w:t>
      </w:r>
    </w:p>
    <w:p w14:paraId="640F4AEC" w14:textId="77777777" w:rsidR="00C9367E" w:rsidRDefault="00C9367E" w:rsidP="00C9367E">
      <w:pPr>
        <w:spacing w:after="0" w:line="240" w:lineRule="auto"/>
        <w:jc w:val="both"/>
        <w:rPr>
          <w:rFonts w:ascii="Verdana" w:hAnsi="Verdana"/>
        </w:rPr>
      </w:pPr>
      <w:hyperlink r:id="rId12" w:history="1">
        <w:r w:rsidRPr="008E2741">
          <w:rPr>
            <w:rStyle w:val="Hipervnculo"/>
            <w:rFonts w:ascii="Verdana" w:hAnsi="Verdana"/>
          </w:rPr>
          <w:t>ivandariog@hotmail.com</w:t>
        </w:r>
      </w:hyperlink>
    </w:p>
    <w:p w14:paraId="37F1BA58" w14:textId="45592EB1" w:rsidR="00C9367E" w:rsidRDefault="00C9367E" w:rsidP="00C9367E">
      <w:pPr>
        <w:spacing w:after="0" w:line="240" w:lineRule="auto"/>
        <w:jc w:val="both"/>
        <w:rPr>
          <w:rFonts w:ascii="Verdana" w:hAnsi="Verdana"/>
        </w:rPr>
      </w:pPr>
      <w:r w:rsidRPr="0017285D">
        <w:rPr>
          <w:rFonts w:ascii="Verdana" w:hAnsi="Verdana"/>
        </w:rPr>
        <w:t>Neiva, Huila</w:t>
      </w:r>
    </w:p>
    <w:p w14:paraId="199F08C6" w14:textId="77777777" w:rsidR="00954C19" w:rsidRDefault="00954C19" w:rsidP="00C9367E">
      <w:pPr>
        <w:spacing w:after="0" w:line="240" w:lineRule="auto"/>
        <w:jc w:val="both"/>
        <w:rPr>
          <w:rFonts w:ascii="Verdana" w:hAnsi="Verdana"/>
        </w:rPr>
      </w:pPr>
    </w:p>
    <w:p w14:paraId="448DE319" w14:textId="77777777" w:rsidR="008750AE" w:rsidRPr="00954C19" w:rsidRDefault="008750AE" w:rsidP="00C9367E">
      <w:pPr>
        <w:spacing w:after="0" w:line="240" w:lineRule="auto"/>
        <w:jc w:val="both"/>
        <w:rPr>
          <w:rFonts w:ascii="Verdana" w:hAnsi="Verdana"/>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C9367E" w:rsidRPr="0017285D" w14:paraId="4E2020BF" w14:textId="77777777">
        <w:trPr>
          <w:trHeight w:val="162"/>
        </w:trPr>
        <w:tc>
          <w:tcPr>
            <w:tcW w:w="3119" w:type="dxa"/>
          </w:tcPr>
          <w:p w14:paraId="4F869C8E" w14:textId="77777777" w:rsidR="00C9367E" w:rsidRPr="008C611D" w:rsidRDefault="00C9367E">
            <w:pPr>
              <w:jc w:val="both"/>
              <w:rPr>
                <w:rFonts w:ascii="Verdana" w:eastAsia="Calibri" w:hAnsi="Verdana" w:cs="Arial"/>
                <w:b/>
                <w:bCs/>
                <w:lang w:val="it-CH" w:eastAsia="es-ES_tradnl"/>
              </w:rPr>
            </w:pPr>
          </w:p>
        </w:tc>
        <w:tc>
          <w:tcPr>
            <w:tcW w:w="5670" w:type="dxa"/>
          </w:tcPr>
          <w:p w14:paraId="7A30E493" w14:textId="6EF60E9B" w:rsidR="00C9367E" w:rsidRPr="0017285D" w:rsidRDefault="00C9367E">
            <w:pPr>
              <w:jc w:val="both"/>
              <w:rPr>
                <w:rFonts w:ascii="Verdana" w:eastAsia="Calibri" w:hAnsi="Verdana" w:cs="Arial"/>
                <w:b/>
                <w:bCs/>
                <w:lang w:eastAsia="es-ES"/>
              </w:rPr>
            </w:pPr>
            <w:r w:rsidRPr="0017285D">
              <w:rPr>
                <w:rFonts w:ascii="Verdana" w:eastAsia="Calibri" w:hAnsi="Verdana" w:cs="Arial"/>
                <w:b/>
                <w:bCs/>
                <w:lang w:eastAsia="es-ES"/>
              </w:rPr>
              <w:t>Concepto C- 1857 de 2025</w:t>
            </w:r>
          </w:p>
          <w:p w14:paraId="40BDD84F" w14:textId="77777777" w:rsidR="00C9367E" w:rsidRPr="0017285D" w:rsidRDefault="00C9367E">
            <w:pPr>
              <w:jc w:val="both"/>
              <w:rPr>
                <w:rFonts w:ascii="Verdana" w:eastAsia="Calibri" w:hAnsi="Verdana" w:cs="Arial"/>
                <w:b/>
                <w:bCs/>
                <w:lang w:eastAsia="es-ES"/>
              </w:rPr>
            </w:pPr>
          </w:p>
        </w:tc>
      </w:tr>
      <w:tr w:rsidR="00C9367E" w:rsidRPr="005D67BA" w14:paraId="07374136" w14:textId="77777777">
        <w:trPr>
          <w:trHeight w:val="884"/>
        </w:trPr>
        <w:tc>
          <w:tcPr>
            <w:tcW w:w="3119" w:type="dxa"/>
          </w:tcPr>
          <w:p w14:paraId="41951541" w14:textId="77777777" w:rsidR="00C9367E" w:rsidRPr="008C611D" w:rsidRDefault="00C9367E">
            <w:pPr>
              <w:jc w:val="both"/>
              <w:rPr>
                <w:rFonts w:ascii="Verdana" w:eastAsia="Calibri" w:hAnsi="Verdana" w:cs="Arial"/>
                <w:lang w:eastAsia="es-ES_tradnl"/>
              </w:rPr>
            </w:pPr>
            <w:r w:rsidRPr="008C611D">
              <w:rPr>
                <w:rFonts w:ascii="Verdana" w:eastAsia="Calibri" w:hAnsi="Verdana" w:cs="Arial"/>
                <w:b/>
                <w:lang w:eastAsia="es-ES_tradnl"/>
              </w:rPr>
              <w:t>Temas:</w:t>
            </w:r>
            <w:r w:rsidRPr="008C611D">
              <w:rPr>
                <w:rFonts w:ascii="Verdana" w:eastAsia="Calibri" w:hAnsi="Verdana" w:cs="Arial"/>
                <w:lang w:eastAsia="es-ES_tradnl"/>
              </w:rPr>
              <w:t xml:space="preserve">                   </w:t>
            </w:r>
          </w:p>
        </w:tc>
        <w:tc>
          <w:tcPr>
            <w:tcW w:w="5670" w:type="dxa"/>
          </w:tcPr>
          <w:p w14:paraId="0F5D3E9A" w14:textId="47C666E6" w:rsidR="00C9367E" w:rsidRPr="000E42D6" w:rsidRDefault="00C9367E">
            <w:pPr>
              <w:spacing w:line="276" w:lineRule="auto"/>
              <w:jc w:val="both"/>
              <w:rPr>
                <w:rFonts w:ascii="Verdana" w:hAnsi="Verdana" w:cs="Arial"/>
                <w:lang w:val="es-ES" w:eastAsia="es-ES"/>
              </w:rPr>
            </w:pPr>
            <w:r w:rsidRPr="0017378C">
              <w:rPr>
                <w:rFonts w:ascii="Verdana" w:hAnsi="Verdana" w:cs="Arial"/>
                <w:lang w:val="es-ES" w:eastAsia="es-ES"/>
              </w:rPr>
              <w:t xml:space="preserve">DECRETO 092 DE 2017 – Finalidad – Clases de contratos / CONTRATACIÓN CON ESAL – Contrato de </w:t>
            </w:r>
            <w:r>
              <w:rPr>
                <w:rFonts w:ascii="Verdana" w:hAnsi="Verdana" w:cs="Arial"/>
                <w:lang w:val="es-ES" w:eastAsia="es-ES"/>
              </w:rPr>
              <w:t>fomento</w:t>
            </w:r>
            <w:r w:rsidRPr="0017378C">
              <w:rPr>
                <w:rFonts w:ascii="Verdana" w:hAnsi="Verdana" w:cs="Arial"/>
                <w:lang w:val="es-ES" w:eastAsia="es-ES"/>
              </w:rPr>
              <w:t xml:space="preserve"> – Objeto – Alcance / CONTRATACIÓN CON ESAL – </w:t>
            </w:r>
            <w:r>
              <w:rPr>
                <w:rFonts w:ascii="Verdana" w:hAnsi="Verdana" w:cs="Arial"/>
                <w:lang w:val="es-ES" w:eastAsia="es-ES"/>
              </w:rPr>
              <w:t>Convenios de colaboración</w:t>
            </w:r>
            <w:r w:rsidRPr="0017378C">
              <w:rPr>
                <w:rFonts w:ascii="Verdana" w:hAnsi="Verdana" w:cs="Arial"/>
                <w:lang w:val="es-ES" w:eastAsia="es-ES"/>
              </w:rPr>
              <w:t xml:space="preserve"> – Objeto – Alcance</w:t>
            </w:r>
            <w:r w:rsidR="00D643FC">
              <w:rPr>
                <w:rFonts w:ascii="Verdana" w:hAnsi="Verdana" w:cs="Arial"/>
                <w:lang w:val="es-ES" w:eastAsia="es-ES"/>
              </w:rPr>
              <w:t xml:space="preserve"> / </w:t>
            </w:r>
            <w:r w:rsidR="00D643FC" w:rsidRPr="0017378C">
              <w:rPr>
                <w:rFonts w:ascii="Verdana" w:hAnsi="Verdana" w:cs="Arial"/>
                <w:lang w:val="es-ES" w:eastAsia="es-ES"/>
              </w:rPr>
              <w:t>CONTRATACIÓN CON ESAL</w:t>
            </w:r>
            <w:r w:rsidR="00D643FC">
              <w:rPr>
                <w:rFonts w:ascii="Verdana" w:hAnsi="Verdana" w:cs="Arial"/>
                <w:lang w:val="es-ES" w:eastAsia="es-ES"/>
              </w:rPr>
              <w:t xml:space="preserve"> – Convenios de asociación – Contratos de fomento – Diferencias</w:t>
            </w:r>
            <w:r w:rsidR="00CB3AC3">
              <w:rPr>
                <w:rFonts w:ascii="Verdana" w:hAnsi="Verdana" w:cs="Arial"/>
                <w:lang w:val="es-ES" w:eastAsia="es-ES"/>
              </w:rPr>
              <w:t xml:space="preserve"> / </w:t>
            </w:r>
            <w:r w:rsidR="00CB3AC3" w:rsidRPr="0017378C">
              <w:rPr>
                <w:rFonts w:ascii="Verdana" w:hAnsi="Verdana" w:cs="Arial"/>
                <w:lang w:val="es-ES" w:eastAsia="es-ES"/>
              </w:rPr>
              <w:t>CONTRATACIÓN CON ESAL</w:t>
            </w:r>
            <w:r w:rsidR="00CB3AC3">
              <w:rPr>
                <w:rFonts w:ascii="Verdana" w:hAnsi="Verdana" w:cs="Arial"/>
                <w:lang w:val="es-ES" w:eastAsia="es-ES"/>
              </w:rPr>
              <w:t xml:space="preserve"> – Régimen jurídico – Integración normativa</w:t>
            </w:r>
          </w:p>
        </w:tc>
      </w:tr>
      <w:tr w:rsidR="00C9367E" w:rsidRPr="005D67BA" w14:paraId="752B0DCE" w14:textId="77777777">
        <w:tc>
          <w:tcPr>
            <w:tcW w:w="3119" w:type="dxa"/>
          </w:tcPr>
          <w:p w14:paraId="6DCD6EFC" w14:textId="77777777" w:rsidR="00C9367E" w:rsidRPr="008C611D" w:rsidRDefault="00C9367E">
            <w:pPr>
              <w:jc w:val="both"/>
              <w:rPr>
                <w:rFonts w:ascii="Verdana" w:eastAsia="Calibri" w:hAnsi="Verdana" w:cs="Arial"/>
                <w:b/>
                <w:lang w:eastAsia="es-ES_tradnl"/>
              </w:rPr>
            </w:pPr>
            <w:r w:rsidRPr="008C611D">
              <w:rPr>
                <w:rFonts w:ascii="Verdana" w:eastAsia="Calibri" w:hAnsi="Verdana" w:cs="Arial"/>
                <w:b/>
                <w:lang w:eastAsia="es-ES_tradnl"/>
              </w:rPr>
              <w:t>Radicación:</w:t>
            </w:r>
            <w:r w:rsidRPr="008C611D">
              <w:rPr>
                <w:rFonts w:ascii="Verdana" w:eastAsia="Calibri" w:hAnsi="Verdana" w:cs="Arial"/>
                <w:lang w:eastAsia="es-ES_tradnl"/>
              </w:rPr>
              <w:t xml:space="preserve">               </w:t>
            </w:r>
          </w:p>
        </w:tc>
        <w:tc>
          <w:tcPr>
            <w:tcW w:w="5670" w:type="dxa"/>
          </w:tcPr>
          <w:p w14:paraId="7D27A67D" w14:textId="77777777" w:rsidR="00C9367E" w:rsidRPr="008648C2" w:rsidRDefault="00C9367E">
            <w:pPr>
              <w:jc w:val="both"/>
              <w:rPr>
                <w:rFonts w:ascii="Verdana" w:eastAsia="Calibri" w:hAnsi="Verdana" w:cs="Arial"/>
                <w:lang w:eastAsia="es-ES_tradnl"/>
              </w:rPr>
            </w:pPr>
            <w:r w:rsidRPr="008648C2">
              <w:rPr>
                <w:rFonts w:ascii="Verdana" w:eastAsia="Calibri" w:hAnsi="Verdana" w:cs="Arial"/>
                <w:lang w:eastAsia="es-ES_tradnl"/>
              </w:rPr>
              <w:t>Respuesta a consultas con radicado No. 1_2025_12_21_014240</w:t>
            </w:r>
          </w:p>
        </w:tc>
      </w:tr>
    </w:tbl>
    <w:p w14:paraId="0FBD968B" w14:textId="77777777" w:rsidR="00C9367E" w:rsidRDefault="00C9367E" w:rsidP="00C9367E">
      <w:pPr>
        <w:spacing w:after="0" w:line="276" w:lineRule="auto"/>
        <w:jc w:val="both"/>
        <w:rPr>
          <w:rFonts w:ascii="Verdana" w:eastAsia="Calibri" w:hAnsi="Verdana" w:cs="Arial"/>
          <w:color w:val="00B0F0"/>
          <w:lang w:eastAsia="es-ES"/>
        </w:rPr>
      </w:pPr>
    </w:p>
    <w:p w14:paraId="4E3CE8EC" w14:textId="77777777" w:rsidR="008750AE" w:rsidRPr="005D67BA" w:rsidRDefault="008750AE" w:rsidP="00C9367E">
      <w:pPr>
        <w:spacing w:after="0" w:line="276" w:lineRule="auto"/>
        <w:jc w:val="both"/>
        <w:rPr>
          <w:rFonts w:ascii="Verdana" w:eastAsia="Calibri" w:hAnsi="Verdana" w:cs="Arial"/>
          <w:color w:val="00B0F0"/>
          <w:lang w:eastAsia="es-ES"/>
        </w:rPr>
      </w:pPr>
    </w:p>
    <w:p w14:paraId="77450BF7" w14:textId="77777777" w:rsidR="00C9367E" w:rsidRPr="005F6B0F" w:rsidRDefault="00C9367E" w:rsidP="00C9367E">
      <w:pPr>
        <w:spacing w:after="0" w:line="276" w:lineRule="auto"/>
        <w:jc w:val="both"/>
        <w:rPr>
          <w:rFonts w:ascii="Verdana" w:eastAsia="Calibri" w:hAnsi="Verdana" w:cs="Arial"/>
          <w:lang w:eastAsia="es-ES"/>
        </w:rPr>
      </w:pPr>
      <w:r w:rsidRPr="005F6B0F">
        <w:rPr>
          <w:rFonts w:ascii="Verdana" w:eastAsia="Calibri" w:hAnsi="Verdana" w:cs="Arial"/>
          <w:lang w:eastAsia="es-ES"/>
        </w:rPr>
        <w:t xml:space="preserve">Estimado señor </w:t>
      </w:r>
      <w:r w:rsidRPr="005F6B0F">
        <w:rPr>
          <w:rFonts w:ascii="Verdana" w:eastAsia="Calibri" w:hAnsi="Verdana" w:cs="Arial"/>
          <w:lang w:eastAsia="es-ES_tradnl"/>
        </w:rPr>
        <w:t xml:space="preserve">Iván Dario, cordial </w:t>
      </w:r>
      <w:r>
        <w:rPr>
          <w:rFonts w:ascii="Verdana" w:eastAsia="Calibri" w:hAnsi="Verdana" w:cs="Arial"/>
          <w:lang w:eastAsia="es-ES_tradnl"/>
        </w:rPr>
        <w:t>s</w:t>
      </w:r>
      <w:r w:rsidRPr="005F6B0F">
        <w:rPr>
          <w:rFonts w:ascii="Verdana" w:eastAsia="Calibri" w:hAnsi="Verdana" w:cs="Arial"/>
          <w:lang w:eastAsia="es-ES_tradnl"/>
        </w:rPr>
        <w:t>aludo</w:t>
      </w:r>
      <w:r w:rsidRPr="005F6B0F">
        <w:rPr>
          <w:rFonts w:ascii="Verdana" w:eastAsia="Calibri" w:hAnsi="Verdana" w:cs="Arial"/>
          <w:lang w:eastAsia="es-ES"/>
        </w:rPr>
        <w:t xml:space="preserve">: </w:t>
      </w:r>
    </w:p>
    <w:p w14:paraId="2EE8E8C9" w14:textId="77777777" w:rsidR="00C9367E" w:rsidRPr="005F6B0F" w:rsidRDefault="00C9367E" w:rsidP="00C9367E">
      <w:pPr>
        <w:tabs>
          <w:tab w:val="left" w:pos="3768"/>
        </w:tabs>
        <w:spacing w:after="0" w:line="240" w:lineRule="auto"/>
        <w:jc w:val="both"/>
        <w:rPr>
          <w:rFonts w:ascii="Verdana" w:eastAsia="Calibri" w:hAnsi="Verdana" w:cs="Arial"/>
          <w:lang w:eastAsia="es-ES"/>
        </w:rPr>
      </w:pPr>
    </w:p>
    <w:p w14:paraId="383729C8" w14:textId="331E34CF" w:rsidR="00C9367E" w:rsidRPr="005F6B0F" w:rsidRDefault="00C9367E" w:rsidP="00C9367E">
      <w:pPr>
        <w:tabs>
          <w:tab w:val="left" w:pos="3768"/>
        </w:tabs>
        <w:spacing w:after="0" w:line="276" w:lineRule="auto"/>
        <w:jc w:val="both"/>
        <w:rPr>
          <w:rFonts w:ascii="Verdana" w:eastAsia="Calibri" w:hAnsi="Verdana" w:cs="Arial"/>
          <w:lang w:eastAsia="es-ES"/>
        </w:rPr>
      </w:pPr>
      <w:r w:rsidRPr="005F6B0F">
        <w:rPr>
          <w:rFonts w:ascii="Verdana" w:eastAsia="Calibri" w:hAnsi="Verdana" w:cs="Arial"/>
          <w:lang w:eastAsia="es-ES"/>
        </w:rPr>
        <w:t>En ejercicio de la competencia otorgada por los artículos 3, numeral 5º, y 11, numeral 8º, del Decreto Ley 4170 de 2011,</w:t>
      </w:r>
      <w:r w:rsidRPr="005F6B0F">
        <w:rPr>
          <w:rFonts w:ascii="Verdana" w:eastAsia="Arial MT" w:hAnsi="Verdana" w:cs="Arial MT"/>
          <w:lang w:eastAsia="es-ES"/>
        </w:rPr>
        <w:t xml:space="preserve"> </w:t>
      </w:r>
      <w:r w:rsidRPr="005F6B0F">
        <w:rPr>
          <w:rFonts w:ascii="Verdana" w:hAnsi="Verdana" w:cs="Arial"/>
        </w:rPr>
        <w:t xml:space="preserve">así como lo establecido en la Resolución 469 de 2025 expedida por esta Entidad, </w:t>
      </w:r>
      <w:r w:rsidRPr="005F6B0F">
        <w:rPr>
          <w:rFonts w:ascii="Verdana" w:eastAsia="Calibri" w:hAnsi="Verdana" w:cs="Arial"/>
          <w:lang w:eastAsia="es-ES"/>
        </w:rPr>
        <w:t xml:space="preserve">la Agencia Nacional de Contratación Pública – Colombia Compra Eficiente– responde su solicitud de consulta de fecha </w:t>
      </w:r>
      <w:r w:rsidR="00E75BF4">
        <w:rPr>
          <w:rFonts w:ascii="Verdana" w:eastAsia="Calibri" w:hAnsi="Verdana" w:cs="Arial"/>
          <w:lang w:eastAsia="es-ES"/>
        </w:rPr>
        <w:t>21</w:t>
      </w:r>
      <w:r w:rsidRPr="005F6B0F">
        <w:rPr>
          <w:rFonts w:ascii="Verdana" w:eastAsia="Calibri" w:hAnsi="Verdana" w:cs="Arial"/>
          <w:lang w:eastAsia="es-ES"/>
        </w:rPr>
        <w:t xml:space="preserve"> de diciembre de 2025, en la cual manifiesta lo siguiente: </w:t>
      </w:r>
    </w:p>
    <w:p w14:paraId="374AB16D" w14:textId="77777777" w:rsidR="00C9367E" w:rsidRPr="005F6B0F" w:rsidRDefault="00C9367E" w:rsidP="00C9367E">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7857F49" w14:textId="77777777" w:rsidR="00C9367E" w:rsidRPr="005F6B0F" w:rsidRDefault="00C9367E" w:rsidP="00C9367E">
      <w:pPr>
        <w:spacing w:after="0" w:line="240" w:lineRule="auto"/>
        <w:ind w:left="709" w:right="709"/>
        <w:jc w:val="both"/>
        <w:rPr>
          <w:rFonts w:ascii="Verdana" w:eastAsia="Century Gothic" w:hAnsi="Verdana" w:cs="Century Gothic"/>
          <w:sz w:val="20"/>
          <w:szCs w:val="20"/>
        </w:rPr>
      </w:pPr>
      <w:bookmarkStart w:id="0" w:name="_Hlk192699624"/>
      <w:bookmarkStart w:id="1" w:name="_Hlk199394899"/>
      <w:r w:rsidRPr="005F6B0F">
        <w:rPr>
          <w:rFonts w:ascii="Verdana" w:eastAsia="Century Gothic" w:hAnsi="Verdana" w:cs="Century Gothic"/>
          <w:sz w:val="20"/>
          <w:szCs w:val="20"/>
        </w:rPr>
        <w:t>“</w:t>
      </w:r>
      <w:bookmarkEnd w:id="0"/>
      <w:bookmarkEnd w:id="1"/>
      <w:proofErr w:type="spellStart"/>
      <w:r w:rsidRPr="005F6B0F">
        <w:rPr>
          <w:rFonts w:ascii="Verdana" w:eastAsia="Century Gothic" w:hAnsi="Verdana" w:cs="Century Gothic"/>
          <w:sz w:val="20"/>
          <w:szCs w:val="20"/>
        </w:rPr>
        <w:t>cual</w:t>
      </w:r>
      <w:proofErr w:type="spellEnd"/>
      <w:r w:rsidRPr="005F6B0F">
        <w:rPr>
          <w:rFonts w:ascii="Verdana" w:eastAsia="Century Gothic" w:hAnsi="Verdana" w:cs="Century Gothic"/>
          <w:sz w:val="20"/>
          <w:szCs w:val="20"/>
        </w:rPr>
        <w:t xml:space="preserve"> es la diferencia entre el CONVENIO DE ASOCIACION Y CONTRATOS DE FOMENTO, </w:t>
      </w:r>
      <w:proofErr w:type="spellStart"/>
      <w:r w:rsidRPr="005F6B0F">
        <w:rPr>
          <w:rFonts w:ascii="Verdana" w:eastAsia="Century Gothic" w:hAnsi="Verdana" w:cs="Century Gothic"/>
          <w:sz w:val="20"/>
          <w:szCs w:val="20"/>
        </w:rPr>
        <w:t>cotemplados</w:t>
      </w:r>
      <w:proofErr w:type="spellEnd"/>
      <w:r w:rsidRPr="005F6B0F">
        <w:rPr>
          <w:rFonts w:ascii="Verdana" w:eastAsia="Century Gothic" w:hAnsi="Verdana" w:cs="Century Gothic"/>
          <w:sz w:val="20"/>
          <w:szCs w:val="20"/>
        </w:rPr>
        <w:t xml:space="preserve"> en el </w:t>
      </w:r>
      <w:proofErr w:type="spellStart"/>
      <w:r w:rsidRPr="005F6B0F">
        <w:rPr>
          <w:rFonts w:ascii="Verdana" w:eastAsia="Century Gothic" w:hAnsi="Verdana" w:cs="Century Gothic"/>
          <w:sz w:val="20"/>
          <w:szCs w:val="20"/>
        </w:rPr>
        <w:t>articulo</w:t>
      </w:r>
      <w:proofErr w:type="spellEnd"/>
      <w:r w:rsidRPr="005F6B0F">
        <w:rPr>
          <w:rFonts w:ascii="Verdana" w:eastAsia="Century Gothic" w:hAnsi="Verdana" w:cs="Century Gothic"/>
          <w:sz w:val="20"/>
          <w:szCs w:val="20"/>
        </w:rPr>
        <w:t xml:space="preserve"> 96 de la ley 489 de 1998 lo </w:t>
      </w:r>
      <w:proofErr w:type="spellStart"/>
      <w:r w:rsidRPr="005F6B0F">
        <w:rPr>
          <w:rFonts w:ascii="Verdana" w:eastAsia="Century Gothic" w:hAnsi="Verdana" w:cs="Century Gothic"/>
          <w:sz w:val="20"/>
          <w:szCs w:val="20"/>
        </w:rPr>
        <w:t>anteior</w:t>
      </w:r>
      <w:proofErr w:type="spellEnd"/>
      <w:r w:rsidRPr="005F6B0F">
        <w:rPr>
          <w:rFonts w:ascii="Verdana" w:eastAsia="Century Gothic" w:hAnsi="Verdana" w:cs="Century Gothic"/>
          <w:sz w:val="20"/>
          <w:szCs w:val="20"/>
        </w:rPr>
        <w:t xml:space="preserve"> con </w:t>
      </w:r>
      <w:proofErr w:type="spellStart"/>
      <w:r w:rsidRPr="005F6B0F">
        <w:rPr>
          <w:rFonts w:ascii="Verdana" w:eastAsia="Century Gothic" w:hAnsi="Verdana" w:cs="Century Gothic"/>
          <w:sz w:val="20"/>
          <w:szCs w:val="20"/>
        </w:rPr>
        <w:t>ocasion</w:t>
      </w:r>
      <w:proofErr w:type="spellEnd"/>
      <w:r w:rsidRPr="005F6B0F">
        <w:rPr>
          <w:rFonts w:ascii="Verdana" w:eastAsia="Century Gothic" w:hAnsi="Verdana" w:cs="Century Gothic"/>
          <w:sz w:val="20"/>
          <w:szCs w:val="20"/>
        </w:rPr>
        <w:t xml:space="preserve"> de la sentencia CONTROVERSIAS CONTRACTUALES – Apelación </w:t>
      </w:r>
      <w:bookmarkStart w:id="2" w:name="_Hlk218669352"/>
      <w:r w:rsidRPr="005F6B0F">
        <w:rPr>
          <w:rFonts w:ascii="Verdana" w:eastAsia="Century Gothic" w:hAnsi="Verdana" w:cs="Century Gothic"/>
          <w:sz w:val="20"/>
          <w:szCs w:val="20"/>
        </w:rPr>
        <w:t xml:space="preserve">sentencia 25000-23-36-000-2016-02469-01 (66391) SALA DE LO CONTENCIOSO ADMINISTRATIVO SECCIÓN TERCERA SUBSECCIÓN C </w:t>
      </w:r>
      <w:proofErr w:type="gramStart"/>
      <w:r w:rsidRPr="005F6B0F">
        <w:rPr>
          <w:rFonts w:ascii="Verdana" w:eastAsia="Century Gothic" w:hAnsi="Verdana" w:cs="Century Gothic"/>
          <w:sz w:val="20"/>
          <w:szCs w:val="20"/>
        </w:rPr>
        <w:t>Consejero</w:t>
      </w:r>
      <w:proofErr w:type="gramEnd"/>
      <w:r w:rsidRPr="005F6B0F">
        <w:rPr>
          <w:rFonts w:ascii="Verdana" w:eastAsia="Century Gothic" w:hAnsi="Verdana" w:cs="Century Gothic"/>
          <w:sz w:val="20"/>
          <w:szCs w:val="20"/>
        </w:rPr>
        <w:t xml:space="preserve"> ponente: NICOLÁS YEPES CORRALES” </w:t>
      </w:r>
    </w:p>
    <w:bookmarkEnd w:id="2"/>
    <w:p w14:paraId="6770E171" w14:textId="77777777" w:rsidR="00C9367E" w:rsidRPr="005F6B0F" w:rsidRDefault="00C9367E" w:rsidP="00C9367E">
      <w:pPr>
        <w:spacing w:after="0" w:line="240" w:lineRule="auto"/>
        <w:ind w:right="709"/>
        <w:jc w:val="both"/>
        <w:rPr>
          <w:rFonts w:ascii="Verdana" w:hAnsi="Verdana"/>
          <w:sz w:val="20"/>
          <w:szCs w:val="20"/>
        </w:rPr>
      </w:pPr>
    </w:p>
    <w:p w14:paraId="7085A8A7" w14:textId="77777777" w:rsidR="00C9367E" w:rsidRPr="005F6B0F" w:rsidRDefault="00C9367E" w:rsidP="00C9367E">
      <w:pPr>
        <w:spacing w:before="120" w:after="0" w:line="276" w:lineRule="auto"/>
        <w:ind w:firstLine="709"/>
        <w:jc w:val="both"/>
        <w:rPr>
          <w:rFonts w:ascii="Verdana" w:eastAsia="Calibri" w:hAnsi="Verdana" w:cs="Arial"/>
          <w:szCs w:val="24"/>
          <w:lang w:eastAsia="es-ES_tradnl"/>
        </w:rPr>
      </w:pPr>
      <w:r w:rsidRPr="005F6B0F">
        <w:rPr>
          <w:rFonts w:ascii="Verdana" w:eastAsia="Calibri" w:hAnsi="Verdana" w:cs="Arial"/>
          <w:lang w:eastAsia="es-ES"/>
        </w:rPr>
        <w:t xml:space="preserve">De manera preliminar, resulta necesario acotar que esta entidad solo tiene competencia para responder consultas sobre la aplicación de normas de carácter </w:t>
      </w:r>
      <w:r w:rsidRPr="005F6B0F">
        <w:rPr>
          <w:rFonts w:ascii="Verdana" w:eastAsia="Calibri" w:hAnsi="Verdana" w:cs="Arial"/>
          <w:lang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2A4117E" w14:textId="77777777" w:rsidR="00C9367E" w:rsidRPr="004942F3" w:rsidRDefault="00C9367E" w:rsidP="00C9367E">
      <w:pPr>
        <w:spacing w:before="120" w:after="0" w:line="276" w:lineRule="auto"/>
        <w:ind w:firstLine="709"/>
        <w:jc w:val="both"/>
        <w:rPr>
          <w:rFonts w:ascii="Verdana" w:eastAsia="Calibri" w:hAnsi="Verdana" w:cs="Arial"/>
          <w:color w:val="00B0F0"/>
          <w:szCs w:val="24"/>
          <w:lang w:eastAsia="es-ES_tradnl"/>
        </w:rPr>
      </w:pPr>
      <w:r w:rsidRPr="005F6B0F">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7B3FEE4E" w14:textId="77777777" w:rsidR="00C9367E" w:rsidRPr="00480725" w:rsidRDefault="00C9367E" w:rsidP="00C9367E">
      <w:pPr>
        <w:spacing w:after="0"/>
        <w:ind w:firstLine="709"/>
        <w:jc w:val="both"/>
        <w:rPr>
          <w:rFonts w:ascii="Verdana" w:eastAsia="Calibri" w:hAnsi="Verdana" w:cs="Arial"/>
          <w:lang w:eastAsia="es-ES"/>
        </w:rPr>
      </w:pPr>
    </w:p>
    <w:p w14:paraId="5EA616E0" w14:textId="77777777" w:rsidR="00C9367E" w:rsidRPr="00480725" w:rsidRDefault="00C9367E" w:rsidP="00C9367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480725">
        <w:rPr>
          <w:rFonts w:ascii="Verdana" w:eastAsia="Century Gothic" w:hAnsi="Verdana" w:cs="Century Gothic"/>
          <w:b/>
          <w:bCs/>
        </w:rPr>
        <w:t>Problema planteado:</w:t>
      </w:r>
    </w:p>
    <w:p w14:paraId="24C888FC" w14:textId="77777777" w:rsidR="00C9367E" w:rsidRPr="00AF0D07" w:rsidRDefault="00C9367E" w:rsidP="00C9367E">
      <w:pPr>
        <w:spacing w:after="0" w:line="276" w:lineRule="auto"/>
        <w:jc w:val="both"/>
        <w:rPr>
          <w:rFonts w:ascii="Verdana" w:eastAsia="Calibri" w:hAnsi="Verdana" w:cs="Arial"/>
          <w:lang w:eastAsia="es-ES"/>
        </w:rPr>
      </w:pPr>
    </w:p>
    <w:p w14:paraId="3C3BFDD2" w14:textId="6D5501CF" w:rsidR="00C9367E" w:rsidRPr="00480725" w:rsidRDefault="00C9367E" w:rsidP="00C9367E">
      <w:pPr>
        <w:spacing w:after="0" w:line="276" w:lineRule="auto"/>
        <w:jc w:val="both"/>
        <w:rPr>
          <w:rFonts w:ascii="Verdana" w:eastAsia="Calibri" w:hAnsi="Verdana" w:cs="Arial"/>
          <w:lang w:eastAsia="es-ES"/>
        </w:rPr>
      </w:pPr>
      <w:r w:rsidRPr="00AF0D07">
        <w:rPr>
          <w:rFonts w:ascii="Verdana" w:eastAsia="Calibri" w:hAnsi="Verdana" w:cs="Arial"/>
          <w:lang w:eastAsia="es-ES"/>
        </w:rPr>
        <w:t xml:space="preserve">De acuerdo con el contenido de su solicitud, esta Agencia resolverá el siguiente problema jurídico: </w:t>
      </w:r>
      <w:r w:rsidR="00EC77E5">
        <w:rPr>
          <w:rFonts w:ascii="Verdana" w:eastAsia="Calibri" w:hAnsi="Verdana" w:cs="Arial"/>
          <w:lang w:eastAsia="es-ES"/>
        </w:rPr>
        <w:t>Según</w:t>
      </w:r>
      <w:r w:rsidR="00F55648">
        <w:rPr>
          <w:rFonts w:ascii="Verdana" w:eastAsia="Calibri" w:hAnsi="Verdana" w:cs="Arial"/>
          <w:lang w:eastAsia="es-ES"/>
        </w:rPr>
        <w:t xml:space="preserve"> con</w:t>
      </w:r>
      <w:r w:rsidR="00EC77E5">
        <w:rPr>
          <w:rFonts w:ascii="Verdana" w:eastAsia="Calibri" w:hAnsi="Verdana" w:cs="Arial"/>
          <w:lang w:eastAsia="es-ES"/>
        </w:rPr>
        <w:t xml:space="preserve"> las consideraciones</w:t>
      </w:r>
      <w:r w:rsidR="00632048">
        <w:rPr>
          <w:rFonts w:ascii="Verdana" w:eastAsia="Calibri" w:hAnsi="Verdana" w:cs="Arial"/>
          <w:lang w:eastAsia="es-ES"/>
        </w:rPr>
        <w:t xml:space="preserve"> el</w:t>
      </w:r>
      <w:r w:rsidR="006B55A9">
        <w:rPr>
          <w:rFonts w:ascii="Verdana" w:eastAsia="Calibri" w:hAnsi="Verdana" w:cs="Arial"/>
          <w:lang w:eastAsia="es-ES"/>
        </w:rPr>
        <w:t xml:space="preserve"> </w:t>
      </w:r>
      <w:r w:rsidR="00632048">
        <w:rPr>
          <w:rFonts w:ascii="Verdana" w:eastAsia="Arial" w:hAnsi="Verdana" w:cs="Arial"/>
          <w:lang w:val="es-ES"/>
        </w:rPr>
        <w:t xml:space="preserve">fallo de </w:t>
      </w:r>
      <w:r w:rsidR="00632048" w:rsidRPr="00280E68">
        <w:rPr>
          <w:rFonts w:ascii="Verdana" w:eastAsia="Arial" w:hAnsi="Verdana" w:cs="Arial"/>
          <w:lang w:val="es-ES"/>
        </w:rPr>
        <w:t>22 de mayo de 2024</w:t>
      </w:r>
      <w:r w:rsidR="00632048">
        <w:rPr>
          <w:rFonts w:ascii="Verdana" w:eastAsia="Arial" w:hAnsi="Verdana" w:cs="Arial"/>
          <w:lang w:val="es-ES"/>
        </w:rPr>
        <w:t xml:space="preserve">, </w:t>
      </w:r>
      <w:r w:rsidR="00F55648">
        <w:rPr>
          <w:rFonts w:ascii="Verdana" w:eastAsia="Arial" w:hAnsi="Verdana" w:cs="Arial"/>
          <w:lang w:val="es-ES"/>
        </w:rPr>
        <w:t xml:space="preserve">de la </w:t>
      </w:r>
      <w:r w:rsidR="00632048" w:rsidRPr="00280E68">
        <w:rPr>
          <w:rFonts w:ascii="Verdana" w:eastAsia="Arial" w:hAnsi="Verdana" w:cs="Arial"/>
          <w:lang w:val="es-ES"/>
        </w:rPr>
        <w:t>Subsección C</w:t>
      </w:r>
      <w:r w:rsidR="00632048">
        <w:rPr>
          <w:rFonts w:ascii="Verdana" w:eastAsia="Arial" w:hAnsi="Verdana" w:cs="Arial"/>
          <w:lang w:val="es-ES"/>
        </w:rPr>
        <w:t xml:space="preserve"> de la</w:t>
      </w:r>
      <w:r w:rsidR="00632048" w:rsidRPr="00280E68">
        <w:rPr>
          <w:rFonts w:ascii="Verdana" w:eastAsia="Arial" w:hAnsi="Verdana" w:cs="Arial"/>
          <w:lang w:val="es-ES"/>
        </w:rPr>
        <w:t xml:space="preserve"> Sección Tercera</w:t>
      </w:r>
      <w:r w:rsidR="00632048">
        <w:rPr>
          <w:rFonts w:ascii="Verdana" w:eastAsia="Arial" w:hAnsi="Verdana" w:cs="Arial"/>
          <w:lang w:val="es-ES"/>
        </w:rPr>
        <w:t xml:space="preserve"> del Con</w:t>
      </w:r>
      <w:r w:rsidR="00F55648">
        <w:rPr>
          <w:rFonts w:ascii="Verdana" w:eastAsia="Arial" w:hAnsi="Verdana" w:cs="Arial"/>
          <w:lang w:val="es-ES"/>
        </w:rPr>
        <w:t>sejo de Estado</w:t>
      </w:r>
      <w:r w:rsidR="00632048" w:rsidRPr="00280E68">
        <w:rPr>
          <w:rFonts w:ascii="Verdana" w:eastAsia="Arial" w:hAnsi="Verdana" w:cs="Arial"/>
          <w:lang w:val="es-ES"/>
        </w:rPr>
        <w:t>,</w:t>
      </w:r>
      <w:r w:rsidR="00632048">
        <w:rPr>
          <w:rFonts w:ascii="Verdana" w:eastAsia="Arial" w:hAnsi="Verdana" w:cs="Arial"/>
          <w:lang w:val="es-ES"/>
        </w:rPr>
        <w:t xml:space="preserve"> </w:t>
      </w:r>
      <w:proofErr w:type="spellStart"/>
      <w:r w:rsidR="00F55648">
        <w:rPr>
          <w:rFonts w:ascii="Verdana" w:eastAsia="Arial" w:hAnsi="Verdana" w:cs="Arial"/>
          <w:lang w:val="es-ES"/>
        </w:rPr>
        <w:t>E</w:t>
      </w:r>
      <w:r w:rsidR="00632048">
        <w:rPr>
          <w:rFonts w:ascii="Verdana" w:eastAsia="Arial" w:hAnsi="Verdana" w:cs="Arial"/>
          <w:lang w:val="es-ES"/>
        </w:rPr>
        <w:t>xp</w:t>
      </w:r>
      <w:proofErr w:type="spellEnd"/>
      <w:r w:rsidR="00F55648">
        <w:rPr>
          <w:rFonts w:ascii="Verdana" w:eastAsia="Arial" w:hAnsi="Verdana" w:cs="Arial"/>
          <w:lang w:val="es-ES"/>
        </w:rPr>
        <w:t xml:space="preserve">. </w:t>
      </w:r>
      <w:r w:rsidR="00632048">
        <w:rPr>
          <w:rFonts w:ascii="Verdana" w:eastAsia="Arial" w:hAnsi="Verdana" w:cs="Arial"/>
          <w:lang w:val="es-ES"/>
        </w:rPr>
        <w:t xml:space="preserve">No. </w:t>
      </w:r>
      <w:r w:rsidR="00632048" w:rsidRPr="00D76834">
        <w:rPr>
          <w:rFonts w:ascii="Verdana" w:eastAsia="Arial" w:hAnsi="Verdana" w:cs="Arial"/>
          <w:lang w:val="es-ES"/>
        </w:rPr>
        <w:t>66</w:t>
      </w:r>
      <w:r w:rsidR="00632048">
        <w:rPr>
          <w:rFonts w:ascii="Verdana" w:eastAsia="Arial" w:hAnsi="Verdana" w:cs="Arial"/>
          <w:lang w:val="es-ES"/>
        </w:rPr>
        <w:t>.</w:t>
      </w:r>
      <w:r w:rsidR="00632048" w:rsidRPr="00D76834">
        <w:rPr>
          <w:rFonts w:ascii="Verdana" w:eastAsia="Arial" w:hAnsi="Verdana" w:cs="Arial"/>
          <w:lang w:val="es-ES"/>
        </w:rPr>
        <w:t>391</w:t>
      </w:r>
      <w:r w:rsidR="00F55648">
        <w:rPr>
          <w:rFonts w:ascii="Verdana" w:eastAsia="Arial" w:hAnsi="Verdana" w:cs="Arial"/>
          <w:lang w:val="es-ES"/>
        </w:rPr>
        <w:t>:</w:t>
      </w:r>
      <w:r w:rsidR="006B55A9">
        <w:rPr>
          <w:rFonts w:ascii="Verdana" w:eastAsia="Arial" w:hAnsi="Verdana" w:cs="Arial"/>
          <w:lang w:val="es-ES"/>
        </w:rPr>
        <w:t xml:space="preserve"> </w:t>
      </w:r>
      <w:r w:rsidR="00914B85">
        <w:rPr>
          <w:rFonts w:ascii="Verdana" w:hAnsi="Verdana"/>
        </w:rPr>
        <w:t>¿Cuáles son</w:t>
      </w:r>
      <w:r w:rsidRPr="00AF0D07">
        <w:rPr>
          <w:rFonts w:ascii="Verdana" w:hAnsi="Verdana"/>
        </w:rPr>
        <w:t xml:space="preserve"> las diferencias entre los </w:t>
      </w:r>
      <w:r w:rsidRPr="005F67B3">
        <w:rPr>
          <w:rFonts w:ascii="Verdana" w:hAnsi="Verdana"/>
          <w:i/>
        </w:rPr>
        <w:t>convenios de asociación</w:t>
      </w:r>
      <w:r w:rsidRPr="00AF0D07">
        <w:rPr>
          <w:rFonts w:ascii="Verdana" w:hAnsi="Verdana"/>
        </w:rPr>
        <w:t xml:space="preserve"> y los </w:t>
      </w:r>
      <w:r w:rsidRPr="005F67B3">
        <w:rPr>
          <w:rFonts w:ascii="Verdana" w:hAnsi="Verdana"/>
          <w:i/>
        </w:rPr>
        <w:t xml:space="preserve">contratos de </w:t>
      </w:r>
      <w:proofErr w:type="gramStart"/>
      <w:r w:rsidRPr="005F67B3">
        <w:rPr>
          <w:rFonts w:ascii="Verdana" w:hAnsi="Verdana"/>
          <w:i/>
        </w:rPr>
        <w:t>fomento</w:t>
      </w:r>
      <w:r w:rsidR="00FE5963">
        <w:rPr>
          <w:rFonts w:ascii="Verdana" w:hAnsi="Verdana"/>
        </w:rPr>
        <w:t>?</w:t>
      </w:r>
      <w:r w:rsidRPr="00AF0D07">
        <w:rPr>
          <w:rFonts w:ascii="Verdana" w:hAnsi="Verdana"/>
        </w:rPr>
        <w:t>.</w:t>
      </w:r>
      <w:proofErr w:type="gramEnd"/>
      <w:r w:rsidRPr="00480725">
        <w:rPr>
          <w:rFonts w:ascii="Verdana" w:hAnsi="Verdana"/>
        </w:rPr>
        <w:t xml:space="preserve"> </w:t>
      </w:r>
    </w:p>
    <w:p w14:paraId="648525B2" w14:textId="77777777" w:rsidR="00C9367E" w:rsidRPr="00480725" w:rsidRDefault="00C9367E" w:rsidP="00C9367E">
      <w:pPr>
        <w:spacing w:after="0" w:line="276" w:lineRule="auto"/>
        <w:jc w:val="both"/>
        <w:rPr>
          <w:rFonts w:ascii="Verdana" w:eastAsia="Calibri" w:hAnsi="Verdana" w:cs="Times New Roman"/>
          <w:i/>
          <w:iCs/>
        </w:rPr>
      </w:pPr>
    </w:p>
    <w:p w14:paraId="630417A5" w14:textId="77777777" w:rsidR="00C9367E" w:rsidRPr="00480725" w:rsidRDefault="00C9367E" w:rsidP="00C9367E">
      <w:pPr>
        <w:spacing w:after="0" w:line="276" w:lineRule="auto"/>
        <w:jc w:val="both"/>
        <w:rPr>
          <w:rFonts w:ascii="Verdana" w:eastAsia="Century Gothic" w:hAnsi="Verdana" w:cs="Century Gothic"/>
          <w:b/>
          <w:bCs/>
        </w:rPr>
      </w:pPr>
      <w:r w:rsidRPr="00480725">
        <w:rPr>
          <w:rFonts w:ascii="Verdana" w:eastAsia="Century Gothic" w:hAnsi="Verdana" w:cs="Century Gothic"/>
          <w:b/>
          <w:bCs/>
        </w:rPr>
        <w:t>2. Respuesta:</w:t>
      </w:r>
    </w:p>
    <w:p w14:paraId="2F0C0A0E" w14:textId="77777777" w:rsidR="00C9367E" w:rsidRPr="005D67BA" w:rsidRDefault="00C9367E" w:rsidP="00C9367E">
      <w:pPr>
        <w:tabs>
          <w:tab w:val="left" w:pos="142"/>
          <w:tab w:val="left" w:pos="284"/>
        </w:tabs>
        <w:spacing w:after="0" w:line="276" w:lineRule="auto"/>
        <w:jc w:val="both"/>
        <w:rPr>
          <w:rFonts w:ascii="Verdana" w:eastAsia="Century Gothic" w:hAnsi="Verdana" w:cs="Century Gothic"/>
          <w:b/>
          <w:bCs/>
          <w:color w:val="00B0F0"/>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C9367E" w:rsidRPr="005D67BA" w14:paraId="0317ED4A" w14:textId="77777777">
        <w:tc>
          <w:tcPr>
            <w:tcW w:w="8828" w:type="dxa"/>
          </w:tcPr>
          <w:p w14:paraId="193275D8" w14:textId="567E293D" w:rsidR="00D8422A" w:rsidRDefault="00B00444" w:rsidP="00D4286D">
            <w:pPr>
              <w:tabs>
                <w:tab w:val="left" w:pos="0"/>
              </w:tabs>
              <w:spacing w:after="120" w:line="276" w:lineRule="auto"/>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De acuerdo con el fallo de la referencia</w:t>
            </w:r>
            <w:r w:rsidR="007757E6" w:rsidRPr="007757E6">
              <w:rPr>
                <w:rFonts w:ascii="Verdana" w:eastAsia="Times New Roman" w:hAnsi="Verdana" w:cs="Arial"/>
                <w:color w:val="000000" w:themeColor="text1"/>
                <w:lang w:val="es-ES" w:eastAsia="es-ES_tradnl"/>
              </w:rPr>
              <w:t xml:space="preserve">, los </w:t>
            </w:r>
            <w:r w:rsidR="007757E6" w:rsidRPr="007757E6">
              <w:rPr>
                <w:rFonts w:ascii="Verdana" w:eastAsia="Times New Roman" w:hAnsi="Verdana" w:cs="Arial"/>
                <w:i/>
                <w:iCs/>
                <w:color w:val="000000" w:themeColor="text1"/>
                <w:lang w:val="es-ES" w:eastAsia="es-ES_tradnl"/>
              </w:rPr>
              <w:t>convenios de asociación</w:t>
            </w:r>
            <w:r w:rsidR="007757E6" w:rsidRPr="007757E6">
              <w:rPr>
                <w:rFonts w:ascii="Verdana" w:eastAsia="Times New Roman" w:hAnsi="Verdana" w:cs="Arial"/>
                <w:color w:val="000000" w:themeColor="text1"/>
                <w:lang w:val="es-ES" w:eastAsia="es-ES_tradnl"/>
              </w:rPr>
              <w:t xml:space="preserve"> y los </w:t>
            </w:r>
            <w:r w:rsidR="007757E6" w:rsidRPr="007757E6">
              <w:rPr>
                <w:rFonts w:ascii="Verdana" w:eastAsia="Times New Roman" w:hAnsi="Verdana" w:cs="Arial"/>
                <w:i/>
                <w:iCs/>
                <w:color w:val="000000" w:themeColor="text1"/>
                <w:lang w:val="es-ES" w:eastAsia="es-ES_tradnl"/>
              </w:rPr>
              <w:t xml:space="preserve">contratos de fomento o —de interés público— </w:t>
            </w:r>
            <w:r w:rsidR="007757E6" w:rsidRPr="007757E6">
              <w:rPr>
                <w:rFonts w:ascii="Verdana" w:eastAsia="Times New Roman" w:hAnsi="Verdana" w:cs="Arial"/>
                <w:color w:val="000000" w:themeColor="text1"/>
                <w:lang w:val="es-ES" w:eastAsia="es-ES_tradnl"/>
              </w:rPr>
              <w:t>se diferencian en varios aspectos</w:t>
            </w:r>
            <w:r w:rsidR="00A17361">
              <w:rPr>
                <w:rFonts w:ascii="Verdana" w:eastAsia="Times New Roman" w:hAnsi="Verdana" w:cs="Arial"/>
                <w:color w:val="000000" w:themeColor="text1"/>
                <w:lang w:val="es-ES" w:eastAsia="es-ES_tradnl"/>
              </w:rPr>
              <w:t>:</w:t>
            </w:r>
            <w:r w:rsidR="007757E6" w:rsidRPr="007757E6">
              <w:rPr>
                <w:rFonts w:ascii="Verdana" w:eastAsia="Times New Roman" w:hAnsi="Verdana" w:cs="Arial"/>
                <w:color w:val="000000" w:themeColor="text1"/>
                <w:lang w:val="es-ES" w:eastAsia="es-ES_tradnl"/>
              </w:rPr>
              <w:t xml:space="preserve"> </w:t>
            </w:r>
            <w:r w:rsidR="00A17361" w:rsidRPr="005F67B3">
              <w:rPr>
                <w:rFonts w:ascii="Verdana" w:eastAsia="Times New Roman" w:hAnsi="Verdana" w:cs="Arial"/>
                <w:i/>
                <w:iCs/>
                <w:color w:val="000000" w:themeColor="text1"/>
                <w:lang w:val="es-ES" w:eastAsia="es-ES_tradnl"/>
              </w:rPr>
              <w:t>(i)</w:t>
            </w:r>
            <w:r w:rsidR="007757E6" w:rsidRPr="007757E6">
              <w:rPr>
                <w:rFonts w:ascii="Verdana" w:eastAsia="Times New Roman" w:hAnsi="Verdana" w:cs="Arial"/>
                <w:color w:val="000000" w:themeColor="text1"/>
                <w:lang w:val="es-ES" w:eastAsia="es-ES_tradnl"/>
              </w:rPr>
              <w:t xml:space="preserve"> </w:t>
            </w:r>
            <w:r w:rsidR="003D5135" w:rsidRPr="005F67B3">
              <w:rPr>
                <w:rFonts w:ascii="Verdana" w:eastAsia="Times New Roman" w:hAnsi="Verdana" w:cs="Arial"/>
                <w:color w:val="000000" w:themeColor="text1"/>
                <w:lang w:val="es-ES" w:eastAsia="es-ES_tradnl"/>
              </w:rPr>
              <w:t>S</w:t>
            </w:r>
            <w:r w:rsidR="007757E6" w:rsidRPr="005F67B3">
              <w:rPr>
                <w:rFonts w:ascii="Verdana" w:eastAsia="Times New Roman" w:hAnsi="Verdana" w:cs="Arial"/>
                <w:color w:val="000000" w:themeColor="text1"/>
                <w:lang w:val="es-ES" w:eastAsia="es-ES_tradnl"/>
              </w:rPr>
              <w:t>u</w:t>
            </w:r>
            <w:r w:rsidR="007757E6" w:rsidRPr="007757E6">
              <w:rPr>
                <w:rFonts w:ascii="Verdana" w:eastAsia="Times New Roman" w:hAnsi="Verdana" w:cs="Arial"/>
                <w:i/>
                <w:iCs/>
                <w:color w:val="000000" w:themeColor="text1"/>
                <w:lang w:val="es-ES" w:eastAsia="es-ES_tradnl"/>
              </w:rPr>
              <w:t xml:space="preserve"> fundamento normativo</w:t>
            </w:r>
            <w:r w:rsidR="00A17361">
              <w:rPr>
                <w:rFonts w:ascii="Verdana" w:eastAsia="Times New Roman" w:hAnsi="Verdana" w:cs="Arial"/>
                <w:color w:val="000000" w:themeColor="text1"/>
                <w:lang w:val="es-ES" w:eastAsia="es-ES_tradnl"/>
              </w:rPr>
              <w:t xml:space="preserve">, ya que </w:t>
            </w:r>
            <w:r w:rsidR="007757E6" w:rsidRPr="007757E6">
              <w:rPr>
                <w:rFonts w:ascii="Verdana" w:eastAsia="Times New Roman" w:hAnsi="Verdana" w:cs="Arial"/>
                <w:color w:val="000000" w:themeColor="text1"/>
                <w:lang w:val="es-ES" w:eastAsia="es-ES_tradnl"/>
              </w:rPr>
              <w:t xml:space="preserve">los convenios de asociación tienen </w:t>
            </w:r>
            <w:r w:rsidR="00A17361">
              <w:rPr>
                <w:rFonts w:ascii="Verdana" w:eastAsia="Times New Roman" w:hAnsi="Verdana" w:cs="Arial"/>
                <w:color w:val="000000" w:themeColor="text1"/>
                <w:lang w:val="es-ES" w:eastAsia="es-ES_tradnl"/>
              </w:rPr>
              <w:t>se sustentan principalmente</w:t>
            </w:r>
            <w:r w:rsidR="007757E6" w:rsidRPr="007757E6">
              <w:rPr>
                <w:rFonts w:ascii="Verdana" w:eastAsia="Times New Roman" w:hAnsi="Verdana" w:cs="Arial"/>
                <w:color w:val="000000" w:themeColor="text1"/>
                <w:lang w:val="es-ES" w:eastAsia="es-ES_tradnl"/>
              </w:rPr>
              <w:t xml:space="preserve"> en el artículo 96 de la Ley 489 de 1998, mientras que los </w:t>
            </w:r>
            <w:r w:rsidR="007757E6" w:rsidRPr="005F67B3">
              <w:rPr>
                <w:rFonts w:ascii="Verdana" w:eastAsia="Times New Roman" w:hAnsi="Verdana" w:cs="Arial"/>
                <w:i/>
                <w:color w:val="000000" w:themeColor="text1"/>
                <w:lang w:val="es-ES" w:eastAsia="es-ES_tradnl"/>
              </w:rPr>
              <w:t>contratos de fomento</w:t>
            </w:r>
            <w:r w:rsidR="007757E6" w:rsidRPr="007757E6">
              <w:rPr>
                <w:rFonts w:ascii="Verdana" w:eastAsia="Times New Roman" w:hAnsi="Verdana" w:cs="Arial"/>
                <w:color w:val="000000" w:themeColor="text1"/>
                <w:lang w:val="es-ES" w:eastAsia="es-ES_tradnl"/>
              </w:rPr>
              <w:t xml:space="preserve"> tienen un origen constitucional, al estar previstos en el artículo 355 de la Constitución Política</w:t>
            </w:r>
            <w:r w:rsidR="00A17361">
              <w:rPr>
                <w:rFonts w:ascii="Verdana" w:eastAsia="Times New Roman" w:hAnsi="Verdana" w:cs="Arial"/>
                <w:color w:val="000000" w:themeColor="text1"/>
                <w:lang w:val="es-ES" w:eastAsia="es-ES_tradnl"/>
              </w:rPr>
              <w:t xml:space="preserve">; </w:t>
            </w:r>
            <w:r w:rsidR="003D5135" w:rsidRPr="005F67B3">
              <w:rPr>
                <w:rFonts w:ascii="Verdana" w:eastAsia="Times New Roman" w:hAnsi="Verdana" w:cs="Arial"/>
                <w:i/>
                <w:iCs/>
                <w:color w:val="000000" w:themeColor="text1"/>
                <w:lang w:val="es-ES" w:eastAsia="es-ES_tradnl"/>
              </w:rPr>
              <w:t>(</w:t>
            </w:r>
            <w:proofErr w:type="spellStart"/>
            <w:r w:rsidR="00A17361" w:rsidRPr="005F67B3">
              <w:rPr>
                <w:rFonts w:ascii="Verdana" w:eastAsia="Times New Roman" w:hAnsi="Verdana" w:cs="Arial"/>
                <w:i/>
                <w:iCs/>
                <w:color w:val="000000" w:themeColor="text1"/>
                <w:lang w:val="es-ES" w:eastAsia="es-ES_tradnl"/>
              </w:rPr>
              <w:t>ii</w:t>
            </w:r>
            <w:proofErr w:type="spellEnd"/>
            <w:r w:rsidR="003D5135" w:rsidRPr="005F67B3">
              <w:rPr>
                <w:rFonts w:ascii="Verdana" w:eastAsia="Times New Roman" w:hAnsi="Verdana" w:cs="Arial"/>
                <w:i/>
                <w:iCs/>
                <w:color w:val="000000" w:themeColor="text1"/>
                <w:lang w:val="es-ES" w:eastAsia="es-ES_tradnl"/>
              </w:rPr>
              <w:t>)</w:t>
            </w:r>
            <w:r w:rsidR="003D5135">
              <w:rPr>
                <w:rFonts w:ascii="Verdana" w:eastAsia="Times New Roman" w:hAnsi="Verdana" w:cs="Arial"/>
                <w:color w:val="000000" w:themeColor="text1"/>
                <w:lang w:val="es-ES" w:eastAsia="es-ES_tradnl"/>
              </w:rPr>
              <w:t xml:space="preserve"> L</w:t>
            </w:r>
            <w:r w:rsidR="007757E6" w:rsidRPr="007757E6">
              <w:rPr>
                <w:rFonts w:ascii="Verdana" w:eastAsia="Times New Roman" w:hAnsi="Verdana" w:cs="Arial"/>
                <w:color w:val="000000" w:themeColor="text1"/>
                <w:lang w:val="es-ES" w:eastAsia="es-ES_tradnl"/>
              </w:rPr>
              <w:t xml:space="preserve">os </w:t>
            </w:r>
            <w:r w:rsidR="007757E6" w:rsidRPr="007757E6">
              <w:rPr>
                <w:rFonts w:ascii="Verdana" w:eastAsia="Times New Roman" w:hAnsi="Verdana" w:cs="Arial"/>
                <w:i/>
                <w:iCs/>
                <w:color w:val="000000" w:themeColor="text1"/>
                <w:lang w:val="es-ES" w:eastAsia="es-ES_tradnl"/>
              </w:rPr>
              <w:t>sujetos que los celebran</w:t>
            </w:r>
            <w:r w:rsidR="003D5135">
              <w:rPr>
                <w:rFonts w:ascii="Verdana" w:eastAsia="Times New Roman" w:hAnsi="Verdana" w:cs="Arial"/>
                <w:color w:val="000000" w:themeColor="text1"/>
                <w:lang w:val="es-ES" w:eastAsia="es-ES_tradnl"/>
              </w:rPr>
              <w:t xml:space="preserve">, toda vez que, </w:t>
            </w:r>
            <w:r w:rsidR="002C6CA0">
              <w:rPr>
                <w:rFonts w:ascii="Verdana" w:eastAsia="Times New Roman" w:hAnsi="Verdana" w:cs="Arial"/>
                <w:color w:val="000000" w:themeColor="text1"/>
                <w:lang w:val="es-ES" w:eastAsia="es-ES_tradnl"/>
              </w:rPr>
              <w:t xml:space="preserve">en </w:t>
            </w:r>
            <w:r w:rsidR="003D5135">
              <w:rPr>
                <w:rFonts w:ascii="Verdana" w:eastAsia="Times New Roman" w:hAnsi="Verdana" w:cs="Arial"/>
                <w:color w:val="000000" w:themeColor="text1"/>
                <w:lang w:val="es-ES" w:eastAsia="es-ES_tradnl"/>
              </w:rPr>
              <w:t xml:space="preserve">los </w:t>
            </w:r>
            <w:r w:rsidR="007757E6" w:rsidRPr="005F67B3">
              <w:rPr>
                <w:rFonts w:ascii="Verdana" w:eastAsia="Times New Roman" w:hAnsi="Verdana" w:cs="Arial"/>
                <w:i/>
                <w:color w:val="000000" w:themeColor="text1"/>
                <w:lang w:val="es-ES" w:eastAsia="es-ES_tradnl"/>
              </w:rPr>
              <w:t>contratos de fomento</w:t>
            </w:r>
            <w:r w:rsidR="007757E6" w:rsidRPr="007757E6">
              <w:rPr>
                <w:rFonts w:ascii="Verdana" w:eastAsia="Times New Roman" w:hAnsi="Verdana" w:cs="Arial"/>
                <w:color w:val="000000" w:themeColor="text1"/>
                <w:lang w:val="es-ES" w:eastAsia="es-ES_tradnl"/>
              </w:rPr>
              <w:t xml:space="preserve">, la relación se da entre Entidades Estales </w:t>
            </w:r>
            <w:r w:rsidR="002C6CA0">
              <w:rPr>
                <w:rFonts w:ascii="Verdana" w:eastAsia="Times New Roman" w:hAnsi="Verdana" w:cs="Arial"/>
                <w:color w:val="000000" w:themeColor="text1"/>
                <w:lang w:val="es-ES" w:eastAsia="es-ES_tradnl"/>
              </w:rPr>
              <w:t>que hacen parte del gobierno</w:t>
            </w:r>
            <w:r w:rsidR="007757E6" w:rsidRPr="007757E6">
              <w:rPr>
                <w:rFonts w:ascii="Verdana" w:eastAsia="Times New Roman" w:hAnsi="Verdana" w:cs="Arial"/>
                <w:color w:val="000000" w:themeColor="text1"/>
                <w:lang w:val="es-ES" w:eastAsia="es-ES_tradnl"/>
              </w:rPr>
              <w:t xml:space="preserve"> —en sus distintos niveles— y entidades sin ánimo de lucro de reconocida idoneidad</w:t>
            </w:r>
            <w:r w:rsidR="003D5135">
              <w:rPr>
                <w:rFonts w:ascii="Verdana" w:eastAsia="Times New Roman" w:hAnsi="Verdana" w:cs="Arial"/>
                <w:color w:val="000000" w:themeColor="text1"/>
                <w:lang w:val="es-ES" w:eastAsia="es-ES_tradnl"/>
              </w:rPr>
              <w:t>, a diferencia</w:t>
            </w:r>
            <w:r w:rsidR="007757E6" w:rsidRPr="007757E6">
              <w:rPr>
                <w:rFonts w:ascii="Verdana" w:eastAsia="Times New Roman" w:hAnsi="Verdana" w:cs="Arial"/>
                <w:color w:val="000000" w:themeColor="text1"/>
                <w:lang w:val="es-ES" w:eastAsia="es-ES_tradnl"/>
              </w:rPr>
              <w:t xml:space="preserve"> </w:t>
            </w:r>
            <w:r w:rsidR="003D5135">
              <w:rPr>
                <w:rFonts w:ascii="Verdana" w:eastAsia="Times New Roman" w:hAnsi="Verdana" w:cs="Arial"/>
                <w:color w:val="000000" w:themeColor="text1"/>
                <w:lang w:val="es-ES" w:eastAsia="es-ES_tradnl"/>
              </w:rPr>
              <w:t xml:space="preserve">de </w:t>
            </w:r>
            <w:r w:rsidR="007757E6" w:rsidRPr="007757E6">
              <w:rPr>
                <w:rFonts w:ascii="Verdana" w:eastAsia="Times New Roman" w:hAnsi="Verdana" w:cs="Arial"/>
                <w:color w:val="000000" w:themeColor="text1"/>
                <w:lang w:val="es-ES" w:eastAsia="es-ES_tradnl"/>
              </w:rPr>
              <w:t xml:space="preserve">los </w:t>
            </w:r>
            <w:r w:rsidR="007757E6" w:rsidRPr="005F67B3">
              <w:rPr>
                <w:rFonts w:ascii="Verdana" w:eastAsia="Times New Roman" w:hAnsi="Verdana" w:cs="Arial"/>
                <w:i/>
                <w:color w:val="000000" w:themeColor="text1"/>
                <w:lang w:val="es-ES" w:eastAsia="es-ES_tradnl"/>
              </w:rPr>
              <w:t>convenios de asociación</w:t>
            </w:r>
            <w:r w:rsidR="003D5135">
              <w:rPr>
                <w:rFonts w:ascii="Verdana" w:eastAsia="Times New Roman" w:hAnsi="Verdana" w:cs="Arial"/>
                <w:i/>
                <w:iCs/>
                <w:color w:val="000000" w:themeColor="text1"/>
                <w:lang w:val="es-ES" w:eastAsia="es-ES_tradnl"/>
              </w:rPr>
              <w:t xml:space="preserve">, </w:t>
            </w:r>
            <w:r w:rsidR="003D5135" w:rsidRPr="005F67B3">
              <w:rPr>
                <w:rFonts w:ascii="Verdana" w:eastAsia="Times New Roman" w:hAnsi="Verdana" w:cs="Arial"/>
                <w:color w:val="000000" w:themeColor="text1"/>
                <w:lang w:val="es-ES" w:eastAsia="es-ES_tradnl"/>
              </w:rPr>
              <w:t>que</w:t>
            </w:r>
            <w:r w:rsidR="007F3CC1">
              <w:rPr>
                <w:rFonts w:ascii="Verdana" w:eastAsia="Times New Roman" w:hAnsi="Verdana" w:cs="Arial"/>
                <w:color w:val="000000" w:themeColor="text1"/>
                <w:lang w:val="es-ES" w:eastAsia="es-ES_tradnl"/>
              </w:rPr>
              <w:t>, juicio del Consejo de Estado,</w:t>
            </w:r>
            <w:r w:rsidR="003D5135" w:rsidRPr="005F67B3">
              <w:rPr>
                <w:rFonts w:ascii="Verdana" w:eastAsia="Times New Roman" w:hAnsi="Verdana" w:cs="Arial"/>
                <w:color w:val="000000" w:themeColor="text1"/>
                <w:lang w:val="es-ES" w:eastAsia="es-ES_tradnl"/>
              </w:rPr>
              <w:t xml:space="preserve"> </w:t>
            </w:r>
            <w:r w:rsidR="007757E6" w:rsidRPr="007757E6">
              <w:rPr>
                <w:rFonts w:ascii="Verdana" w:eastAsia="Times New Roman" w:hAnsi="Verdana" w:cs="Arial"/>
                <w:color w:val="000000" w:themeColor="text1"/>
                <w:lang w:val="es-ES" w:eastAsia="es-ES_tradnl"/>
              </w:rPr>
              <w:t xml:space="preserve">pueden ser celebrados por cualquier </w:t>
            </w:r>
            <w:r w:rsidR="002C6CA0" w:rsidRPr="007757E6">
              <w:rPr>
                <w:rFonts w:ascii="Verdana" w:eastAsia="Times New Roman" w:hAnsi="Verdana" w:cs="Arial"/>
                <w:color w:val="000000" w:themeColor="text1"/>
                <w:lang w:val="es-ES" w:eastAsia="es-ES_tradnl"/>
              </w:rPr>
              <w:t>Entidad Estatal</w:t>
            </w:r>
            <w:r w:rsidR="007757E6" w:rsidRPr="007757E6">
              <w:rPr>
                <w:rFonts w:ascii="Verdana" w:eastAsia="Times New Roman" w:hAnsi="Verdana" w:cs="Arial"/>
                <w:color w:val="000000" w:themeColor="text1"/>
                <w:lang w:val="es-ES" w:eastAsia="es-ES_tradnl"/>
              </w:rPr>
              <w:t xml:space="preserve"> con personas jurídicas particulares </w:t>
            </w:r>
            <w:r w:rsidR="007757E6" w:rsidRPr="007757E6">
              <w:rPr>
                <w:rFonts w:ascii="Verdana" w:eastAsia="Times New Roman" w:hAnsi="Verdana" w:cs="Arial"/>
                <w:color w:val="000000" w:themeColor="text1"/>
                <w:lang w:eastAsia="es-ES_tradnl"/>
              </w:rPr>
              <w:lastRenderedPageBreak/>
              <w:t>sean o no sin ánimo de lucro</w:t>
            </w:r>
            <w:r w:rsidR="007F3CC1">
              <w:rPr>
                <w:rFonts w:ascii="Verdana" w:eastAsia="Times New Roman" w:hAnsi="Verdana" w:cs="Arial"/>
                <w:color w:val="000000" w:themeColor="text1"/>
                <w:lang w:eastAsia="es-ES_tradnl"/>
              </w:rPr>
              <w:t>;</w:t>
            </w:r>
            <w:r w:rsidR="00434994">
              <w:rPr>
                <w:rFonts w:ascii="Verdana" w:eastAsia="Times New Roman" w:hAnsi="Verdana" w:cs="Arial"/>
                <w:color w:val="000000" w:themeColor="text1"/>
                <w:lang w:val="es-ES" w:eastAsia="es-ES_tradnl"/>
              </w:rPr>
              <w:t xml:space="preserve"> </w:t>
            </w:r>
            <w:r w:rsidR="007F3CC1" w:rsidRPr="005F67B3">
              <w:rPr>
                <w:rFonts w:ascii="Verdana" w:eastAsia="Times New Roman" w:hAnsi="Verdana" w:cs="Arial"/>
                <w:i/>
                <w:iCs/>
                <w:color w:val="000000" w:themeColor="text1"/>
                <w:lang w:val="es-ES" w:eastAsia="es-ES_tradnl"/>
              </w:rPr>
              <w:t>(</w:t>
            </w:r>
            <w:proofErr w:type="spellStart"/>
            <w:r w:rsidR="007F3CC1" w:rsidRPr="005F67B3">
              <w:rPr>
                <w:rFonts w:ascii="Verdana" w:eastAsia="Times New Roman" w:hAnsi="Verdana" w:cs="Arial"/>
                <w:i/>
                <w:iCs/>
                <w:color w:val="000000" w:themeColor="text1"/>
                <w:lang w:val="es-ES" w:eastAsia="es-ES_tradnl"/>
              </w:rPr>
              <w:t>iii</w:t>
            </w:r>
            <w:proofErr w:type="spellEnd"/>
            <w:r w:rsidR="007F3CC1" w:rsidRPr="005F67B3">
              <w:rPr>
                <w:rFonts w:ascii="Verdana" w:eastAsia="Times New Roman" w:hAnsi="Verdana" w:cs="Arial"/>
                <w:i/>
                <w:iCs/>
                <w:color w:val="000000" w:themeColor="text1"/>
                <w:lang w:val="es-ES" w:eastAsia="es-ES_tradnl"/>
              </w:rPr>
              <w:t xml:space="preserve">) </w:t>
            </w:r>
            <w:r w:rsidR="007757E6" w:rsidRPr="005F67B3">
              <w:rPr>
                <w:rFonts w:ascii="Verdana" w:eastAsia="Times New Roman" w:hAnsi="Verdana" w:cs="Arial"/>
                <w:i/>
                <w:color w:val="000000" w:themeColor="text1"/>
                <w:lang w:val="es-ES" w:eastAsia="es-ES_tradnl"/>
              </w:rPr>
              <w:t xml:space="preserve">el </w:t>
            </w:r>
            <w:r w:rsidR="007757E6" w:rsidRPr="007757E6">
              <w:rPr>
                <w:rFonts w:ascii="Verdana" w:eastAsia="Times New Roman" w:hAnsi="Verdana" w:cs="Arial"/>
                <w:i/>
                <w:iCs/>
                <w:color w:val="000000" w:themeColor="text1"/>
                <w:lang w:val="es-ES" w:eastAsia="es-ES_tradnl"/>
              </w:rPr>
              <w:t>objeto y la finalidad</w:t>
            </w:r>
            <w:r w:rsidR="007F3CC1" w:rsidRPr="005F67B3">
              <w:rPr>
                <w:rFonts w:ascii="Verdana" w:eastAsia="Times New Roman" w:hAnsi="Verdana" w:cs="Arial"/>
                <w:i/>
                <w:iCs/>
                <w:color w:val="000000" w:themeColor="text1"/>
                <w:lang w:val="es-ES" w:eastAsia="es-ES_tradnl"/>
              </w:rPr>
              <w:t xml:space="preserve">, </w:t>
            </w:r>
            <w:r w:rsidR="00C8217A" w:rsidRPr="00434994">
              <w:rPr>
                <w:rFonts w:ascii="Verdana" w:eastAsia="Times New Roman" w:hAnsi="Verdana" w:cs="Arial"/>
                <w:color w:val="000000" w:themeColor="text1"/>
                <w:lang w:val="es-ES" w:eastAsia="es-ES_tradnl"/>
              </w:rPr>
              <w:t>debido a que l</w:t>
            </w:r>
            <w:r w:rsidR="007757E6" w:rsidRPr="007757E6">
              <w:rPr>
                <w:rFonts w:ascii="Verdana" w:eastAsia="Times New Roman" w:hAnsi="Verdana" w:cs="Arial"/>
                <w:color w:val="000000" w:themeColor="text1"/>
                <w:lang w:val="es-ES" w:eastAsia="es-ES_tradnl"/>
              </w:rPr>
              <w:t xml:space="preserve">os </w:t>
            </w:r>
            <w:r w:rsidR="007757E6" w:rsidRPr="005F67B3">
              <w:rPr>
                <w:rFonts w:ascii="Verdana" w:eastAsia="Times New Roman" w:hAnsi="Verdana" w:cs="Arial"/>
                <w:i/>
                <w:color w:val="000000" w:themeColor="text1"/>
                <w:lang w:val="es-ES" w:eastAsia="es-ES_tradnl"/>
              </w:rPr>
              <w:t>contratos de fomento</w:t>
            </w:r>
            <w:r w:rsidR="007757E6" w:rsidRPr="007757E6">
              <w:rPr>
                <w:rFonts w:ascii="Verdana" w:eastAsia="Times New Roman" w:hAnsi="Verdana" w:cs="Arial"/>
                <w:color w:val="000000" w:themeColor="text1"/>
                <w:lang w:val="es-ES" w:eastAsia="es-ES_tradnl"/>
              </w:rPr>
              <w:t xml:space="preserve"> buscan impulsar programas o actividades de interés público acordes con los planes de desarrollo, los cuales son ejecutados por la entidad privada</w:t>
            </w:r>
            <w:r w:rsidR="00C8217A" w:rsidRPr="00434994">
              <w:rPr>
                <w:rFonts w:ascii="Verdana" w:eastAsia="Times New Roman" w:hAnsi="Verdana" w:cs="Arial"/>
                <w:color w:val="000000" w:themeColor="text1"/>
                <w:lang w:val="es-ES" w:eastAsia="es-ES_tradnl"/>
              </w:rPr>
              <w:t xml:space="preserve">, diferente de lo </w:t>
            </w:r>
            <w:r w:rsidR="000802F2" w:rsidRPr="00434994">
              <w:rPr>
                <w:rFonts w:ascii="Verdana" w:eastAsia="Times New Roman" w:hAnsi="Verdana" w:cs="Arial"/>
                <w:color w:val="000000" w:themeColor="text1"/>
                <w:lang w:val="es-ES" w:eastAsia="es-ES_tradnl"/>
              </w:rPr>
              <w:t xml:space="preserve">sucede con los </w:t>
            </w:r>
            <w:r w:rsidR="007757E6" w:rsidRPr="007757E6">
              <w:rPr>
                <w:rFonts w:ascii="Verdana" w:eastAsia="Times New Roman" w:hAnsi="Verdana" w:cs="Arial"/>
                <w:color w:val="000000" w:themeColor="text1"/>
                <w:lang w:eastAsia="es-ES_tradnl"/>
              </w:rPr>
              <w:t xml:space="preserve">convenios </w:t>
            </w:r>
            <w:r w:rsidR="000802F2" w:rsidRPr="00434994">
              <w:rPr>
                <w:rFonts w:ascii="Verdana" w:eastAsia="Times New Roman" w:hAnsi="Verdana" w:cs="Arial"/>
                <w:color w:val="000000" w:themeColor="text1"/>
                <w:lang w:eastAsia="es-ES_tradnl"/>
              </w:rPr>
              <w:t xml:space="preserve">de asociación, </w:t>
            </w:r>
            <w:r w:rsidR="00470754" w:rsidRPr="00434994">
              <w:rPr>
                <w:rFonts w:ascii="Verdana" w:eastAsia="Times New Roman" w:hAnsi="Verdana" w:cs="Arial"/>
                <w:color w:val="000000" w:themeColor="text1"/>
                <w:lang w:eastAsia="es-ES_tradnl"/>
              </w:rPr>
              <w:t xml:space="preserve">que </w:t>
            </w:r>
            <w:r w:rsidR="007757E6" w:rsidRPr="007757E6">
              <w:rPr>
                <w:rFonts w:ascii="Verdana" w:eastAsia="Times New Roman" w:hAnsi="Verdana" w:cs="Arial"/>
                <w:color w:val="000000" w:themeColor="text1"/>
                <w:lang w:eastAsia="es-ES_tradnl"/>
              </w:rPr>
              <w:t>se celebran para el desarrollo mancomunado de actividades en relación con los cometidos y las funciones que les asigna la ley a las entidades públicas</w:t>
            </w:r>
            <w:r w:rsidR="00470754" w:rsidRPr="005F67B3">
              <w:rPr>
                <w:rFonts w:ascii="Verdana" w:eastAsia="Times New Roman" w:hAnsi="Verdana" w:cs="Arial"/>
                <w:i/>
                <w:iCs/>
                <w:color w:val="000000" w:themeColor="text1"/>
                <w:lang w:eastAsia="es-ES_tradnl"/>
              </w:rPr>
              <w:t>;</w:t>
            </w:r>
            <w:r w:rsidR="00434994">
              <w:rPr>
                <w:rFonts w:ascii="Verdana" w:eastAsia="Times New Roman" w:hAnsi="Verdana" w:cs="Arial"/>
                <w:i/>
                <w:iCs/>
                <w:color w:val="000000" w:themeColor="text1"/>
                <w:lang w:eastAsia="es-ES_tradnl"/>
              </w:rPr>
              <w:t xml:space="preserve"> y</w:t>
            </w:r>
            <w:r w:rsidR="00434994" w:rsidRPr="00DC1A79">
              <w:rPr>
                <w:rFonts w:ascii="Verdana" w:eastAsia="Times New Roman" w:hAnsi="Verdana" w:cs="Arial"/>
                <w:i/>
                <w:iCs/>
                <w:color w:val="000000" w:themeColor="text1"/>
                <w:lang w:eastAsia="es-ES_tradnl"/>
              </w:rPr>
              <w:t xml:space="preserve"> </w:t>
            </w:r>
            <w:r w:rsidR="00287FDB" w:rsidRPr="00DC1A79">
              <w:rPr>
                <w:rFonts w:ascii="Verdana" w:eastAsia="Times New Roman" w:hAnsi="Verdana" w:cs="Arial"/>
                <w:i/>
                <w:iCs/>
                <w:color w:val="000000" w:themeColor="text1"/>
                <w:lang w:eastAsia="es-ES_tradnl"/>
              </w:rPr>
              <w:t>(</w:t>
            </w:r>
            <w:proofErr w:type="spellStart"/>
            <w:r w:rsidR="00434994">
              <w:rPr>
                <w:rFonts w:ascii="Verdana" w:eastAsia="Times New Roman" w:hAnsi="Verdana" w:cs="Arial"/>
                <w:i/>
                <w:iCs/>
                <w:color w:val="000000" w:themeColor="text1"/>
                <w:lang w:eastAsia="es-ES_tradnl"/>
              </w:rPr>
              <w:t>iv</w:t>
            </w:r>
            <w:proofErr w:type="spellEnd"/>
            <w:r w:rsidR="00434994">
              <w:rPr>
                <w:rFonts w:ascii="Verdana" w:eastAsia="Times New Roman" w:hAnsi="Verdana" w:cs="Arial"/>
                <w:i/>
                <w:iCs/>
                <w:color w:val="000000" w:themeColor="text1"/>
                <w:lang w:eastAsia="es-ES_tradnl"/>
              </w:rPr>
              <w:t>)</w:t>
            </w:r>
            <w:r w:rsidR="00434994">
              <w:rPr>
                <w:rFonts w:ascii="Verdana" w:eastAsia="Times New Roman" w:hAnsi="Verdana" w:cs="Arial"/>
                <w:color w:val="000000" w:themeColor="text1"/>
                <w:lang w:val="es-ES" w:eastAsia="es-ES_tradnl"/>
              </w:rPr>
              <w:t xml:space="preserve"> </w:t>
            </w:r>
            <w:r w:rsidR="007757E6" w:rsidRPr="007757E6">
              <w:rPr>
                <w:rFonts w:ascii="Verdana" w:eastAsia="Times New Roman" w:hAnsi="Verdana" w:cs="Arial"/>
                <w:color w:val="000000" w:themeColor="text1"/>
                <w:lang w:val="es-ES" w:eastAsia="es-ES_tradnl"/>
              </w:rPr>
              <w:t xml:space="preserve">la </w:t>
            </w:r>
            <w:r w:rsidR="007757E6" w:rsidRPr="007757E6">
              <w:rPr>
                <w:rFonts w:ascii="Verdana" w:eastAsia="Times New Roman" w:hAnsi="Verdana" w:cs="Arial"/>
                <w:i/>
                <w:iCs/>
                <w:color w:val="000000" w:themeColor="text1"/>
                <w:lang w:val="es-ES" w:eastAsia="es-ES_tradnl"/>
              </w:rPr>
              <w:t>participación en la ejecución</w:t>
            </w:r>
            <w:r w:rsidR="00434994">
              <w:rPr>
                <w:rFonts w:ascii="Verdana" w:eastAsia="Times New Roman" w:hAnsi="Verdana" w:cs="Arial"/>
                <w:color w:val="000000" w:themeColor="text1"/>
                <w:lang w:val="es-ES" w:eastAsia="es-ES_tradnl"/>
              </w:rPr>
              <w:t xml:space="preserve">, habida cuenta </w:t>
            </w:r>
            <w:r w:rsidR="00FC625D">
              <w:rPr>
                <w:rFonts w:ascii="Verdana" w:eastAsia="Times New Roman" w:hAnsi="Verdana" w:cs="Arial"/>
                <w:color w:val="000000" w:themeColor="text1"/>
                <w:lang w:val="es-ES" w:eastAsia="es-ES_tradnl"/>
              </w:rPr>
              <w:t xml:space="preserve">que, en </w:t>
            </w:r>
            <w:r w:rsidR="007757E6" w:rsidRPr="007757E6">
              <w:rPr>
                <w:rFonts w:ascii="Verdana" w:eastAsia="Times New Roman" w:hAnsi="Verdana" w:cs="Arial"/>
                <w:color w:val="000000" w:themeColor="text1"/>
                <w:lang w:val="es-ES" w:eastAsia="es-ES_tradnl"/>
              </w:rPr>
              <w:t xml:space="preserve">los contratos de fomento, la entidad sin ánimo de lucro ejecuta el programa con un alto grado de </w:t>
            </w:r>
            <w:r w:rsidR="00FC625D">
              <w:rPr>
                <w:rFonts w:ascii="Verdana" w:eastAsia="Times New Roman" w:hAnsi="Verdana" w:cs="Arial"/>
                <w:color w:val="000000" w:themeColor="text1"/>
                <w:lang w:val="es-ES" w:eastAsia="es-ES_tradnl"/>
              </w:rPr>
              <w:t xml:space="preserve">independencia y </w:t>
            </w:r>
            <w:r w:rsidR="007757E6" w:rsidRPr="007757E6">
              <w:rPr>
                <w:rFonts w:ascii="Verdana" w:eastAsia="Times New Roman" w:hAnsi="Verdana" w:cs="Arial"/>
                <w:color w:val="000000" w:themeColor="text1"/>
                <w:lang w:val="es-ES" w:eastAsia="es-ES_tradnl"/>
              </w:rPr>
              <w:t xml:space="preserve">autonomía, </w:t>
            </w:r>
            <w:r w:rsidR="00FC625D">
              <w:rPr>
                <w:rFonts w:ascii="Verdana" w:eastAsia="Times New Roman" w:hAnsi="Verdana" w:cs="Arial"/>
                <w:color w:val="000000" w:themeColor="text1"/>
                <w:lang w:val="es-ES" w:eastAsia="es-ES_tradnl"/>
              </w:rPr>
              <w:t xml:space="preserve">en comparación con los </w:t>
            </w:r>
            <w:r w:rsidR="007757E6" w:rsidRPr="005F67B3">
              <w:rPr>
                <w:rFonts w:ascii="Verdana" w:eastAsia="Times New Roman" w:hAnsi="Verdana" w:cs="Arial"/>
                <w:i/>
                <w:iCs/>
                <w:color w:val="000000" w:themeColor="text1"/>
                <w:lang w:val="es-ES" w:eastAsia="es-ES_tradnl"/>
              </w:rPr>
              <w:t>convenios de asociación</w:t>
            </w:r>
            <w:r w:rsidR="007757E6" w:rsidRPr="007757E6">
              <w:rPr>
                <w:rFonts w:ascii="Verdana" w:eastAsia="Times New Roman" w:hAnsi="Verdana" w:cs="Arial"/>
                <w:color w:val="000000" w:themeColor="text1"/>
                <w:lang w:val="es-ES" w:eastAsia="es-ES_tradnl"/>
              </w:rPr>
              <w:t xml:space="preserve">, en </w:t>
            </w:r>
            <w:r w:rsidR="00FC625D">
              <w:rPr>
                <w:rFonts w:ascii="Verdana" w:eastAsia="Times New Roman" w:hAnsi="Verdana" w:cs="Arial"/>
                <w:color w:val="000000" w:themeColor="text1"/>
                <w:lang w:val="es-ES" w:eastAsia="es-ES_tradnl"/>
              </w:rPr>
              <w:t xml:space="preserve">los que el </w:t>
            </w:r>
            <w:r w:rsidR="007757E6" w:rsidRPr="007757E6">
              <w:rPr>
                <w:rFonts w:ascii="Verdana" w:eastAsia="Times New Roman" w:hAnsi="Verdana" w:cs="Arial"/>
                <w:color w:val="000000" w:themeColor="text1"/>
                <w:lang w:val="es-ES" w:eastAsia="es-ES_tradnl"/>
              </w:rPr>
              <w:t>particular ve limitada su autonomía, dado que se trata de actividades que corresponden a funciones legales de la entidad pública, las cuales deben ser dirigidas y controladas por esta</w:t>
            </w:r>
            <w:r w:rsidR="00FC625D">
              <w:rPr>
                <w:rFonts w:ascii="Verdana" w:eastAsia="Times New Roman" w:hAnsi="Verdana" w:cs="Arial"/>
                <w:color w:val="000000" w:themeColor="text1"/>
                <w:lang w:val="es-ES" w:eastAsia="es-ES_tradnl"/>
              </w:rPr>
              <w:t xml:space="preserve">. </w:t>
            </w:r>
          </w:p>
          <w:p w14:paraId="2D38126A" w14:textId="4B3BA0EF" w:rsidR="00457694" w:rsidRPr="005F67B3" w:rsidRDefault="00D8422A" w:rsidP="005F67B3">
            <w:pPr>
              <w:tabs>
                <w:tab w:val="left" w:pos="0"/>
              </w:tabs>
              <w:spacing w:after="120" w:line="276" w:lineRule="auto"/>
              <w:ind w:firstLine="709"/>
              <w:jc w:val="both"/>
              <w:rPr>
                <w:rFonts w:ascii="Verdana" w:eastAsia="Calibri" w:hAnsi="Verdana" w:cs="Arial"/>
                <w:lang w:val="es-ES" w:eastAsia="es-ES"/>
              </w:rPr>
            </w:pPr>
            <w:r>
              <w:rPr>
                <w:rFonts w:ascii="Verdana" w:eastAsia="Calibri" w:hAnsi="Verdana" w:cs="Arial"/>
                <w:lang w:val="es-ES" w:eastAsia="es-ES"/>
              </w:rPr>
              <w:t xml:space="preserve">Sin perjuicio de lo anterior, para comprender el </w:t>
            </w:r>
            <w:r w:rsidR="00612523">
              <w:rPr>
                <w:rFonts w:ascii="Verdana" w:eastAsia="Calibri" w:hAnsi="Verdana" w:cs="Arial"/>
                <w:lang w:val="es-ES" w:eastAsia="es-ES"/>
              </w:rPr>
              <w:t>alcance de lo</w:t>
            </w:r>
            <w:r w:rsidR="00DC1A79">
              <w:rPr>
                <w:rFonts w:ascii="Verdana" w:eastAsia="Calibri" w:hAnsi="Verdana" w:cs="Arial"/>
                <w:lang w:val="es-ES" w:eastAsia="es-ES"/>
              </w:rPr>
              <w:t xml:space="preserve"> dicho por el Consejo de Estado</w:t>
            </w:r>
            <w:r w:rsidR="00612523">
              <w:rPr>
                <w:rFonts w:ascii="Verdana" w:eastAsia="Calibri" w:hAnsi="Verdana" w:cs="Arial"/>
                <w:lang w:val="es-ES" w:eastAsia="es-ES"/>
              </w:rPr>
              <w:t xml:space="preserve">, es importante comprender que </w:t>
            </w:r>
            <w:r>
              <w:rPr>
                <w:rFonts w:ascii="Verdana" w:eastAsia="Calibri" w:hAnsi="Verdana" w:cs="Arial"/>
                <w:lang w:val="es-ES" w:eastAsia="es-ES"/>
              </w:rPr>
              <w:t xml:space="preserve">el negocio jurídico sobre el que versaron las consideraciones de la Sentencia del 22 de mayo de 2024 fue un </w:t>
            </w:r>
            <w:r w:rsidRPr="005F67B3">
              <w:rPr>
                <w:rFonts w:ascii="Verdana" w:eastAsia="Calibri" w:hAnsi="Verdana" w:cs="Arial"/>
                <w:i/>
                <w:iCs/>
                <w:lang w:val="es-ES" w:eastAsia="es-ES"/>
              </w:rPr>
              <w:t>convenio de asociación</w:t>
            </w:r>
            <w:r>
              <w:rPr>
                <w:rFonts w:ascii="Verdana" w:eastAsia="Calibri" w:hAnsi="Verdana" w:cs="Arial"/>
                <w:lang w:val="es-ES" w:eastAsia="es-ES"/>
              </w:rPr>
              <w:t xml:space="preserve"> celebrado en vigencia del Decreto 777 de 1992</w:t>
            </w:r>
            <w:r w:rsidR="00612523">
              <w:rPr>
                <w:rFonts w:ascii="Verdana" w:eastAsia="Calibri" w:hAnsi="Verdana" w:cs="Arial"/>
                <w:lang w:val="es-ES" w:eastAsia="es-ES"/>
              </w:rPr>
              <w:t>, norma que fue derogada por el Decreto 092 de 2017.</w:t>
            </w:r>
            <w:r w:rsidR="00007CEA">
              <w:rPr>
                <w:rFonts w:ascii="Verdana" w:eastAsia="Calibri" w:hAnsi="Verdana" w:cs="Arial"/>
                <w:lang w:val="es-ES" w:eastAsia="es-ES"/>
              </w:rPr>
              <w:t xml:space="preserve"> </w:t>
            </w:r>
            <w:r w:rsidR="007F03B5">
              <w:rPr>
                <w:rFonts w:ascii="Verdana" w:eastAsia="Calibri" w:hAnsi="Verdana" w:cs="Arial"/>
                <w:lang w:val="es-ES" w:eastAsia="es-ES"/>
              </w:rPr>
              <w:t>El</w:t>
            </w:r>
            <w:r w:rsidR="00007CEA">
              <w:rPr>
                <w:rFonts w:ascii="Verdana" w:eastAsia="Calibri" w:hAnsi="Verdana" w:cs="Arial"/>
                <w:lang w:val="es-ES" w:eastAsia="es-ES"/>
              </w:rPr>
              <w:t xml:space="preserve"> </w:t>
            </w:r>
            <w:r w:rsidR="007F03B5">
              <w:rPr>
                <w:rFonts w:ascii="Verdana" w:eastAsia="Calibri" w:hAnsi="Verdana" w:cs="Arial"/>
                <w:lang w:val="es-ES" w:eastAsia="es-ES"/>
              </w:rPr>
              <w:t xml:space="preserve">decreto </w:t>
            </w:r>
            <w:r w:rsidR="00007CEA">
              <w:rPr>
                <w:rFonts w:ascii="Verdana" w:eastAsia="Calibri" w:hAnsi="Verdana" w:cs="Arial"/>
                <w:lang w:val="es-ES" w:eastAsia="es-ES"/>
              </w:rPr>
              <w:t>derogad</w:t>
            </w:r>
            <w:r w:rsidR="007F03B5">
              <w:rPr>
                <w:rFonts w:ascii="Verdana" w:eastAsia="Calibri" w:hAnsi="Verdana" w:cs="Arial"/>
                <w:lang w:val="es-ES" w:eastAsia="es-ES"/>
              </w:rPr>
              <w:t>o</w:t>
            </w:r>
            <w:r w:rsidR="00007CEA">
              <w:rPr>
                <w:rFonts w:ascii="Verdana" w:eastAsia="Calibri" w:hAnsi="Verdana" w:cs="Arial"/>
                <w:lang w:val="es-ES" w:eastAsia="es-ES"/>
              </w:rPr>
              <w:t xml:space="preserve"> regula</w:t>
            </w:r>
            <w:r w:rsidR="007F03B5">
              <w:rPr>
                <w:rFonts w:ascii="Verdana" w:eastAsia="Calibri" w:hAnsi="Verdana" w:cs="Arial"/>
                <w:lang w:val="es-ES" w:eastAsia="es-ES"/>
              </w:rPr>
              <w:t>ba de manera general</w:t>
            </w:r>
            <w:r w:rsidR="00007CEA">
              <w:rPr>
                <w:rFonts w:ascii="Verdana" w:eastAsia="Calibri" w:hAnsi="Verdana" w:cs="Arial"/>
                <w:lang w:val="es-ES" w:eastAsia="es-ES"/>
              </w:rPr>
              <w:t xml:space="preserve"> la c</w:t>
            </w:r>
            <w:r w:rsidR="00FB5747">
              <w:rPr>
                <w:rFonts w:ascii="Verdana" w:eastAsia="Calibri" w:hAnsi="Verdana" w:cs="Arial"/>
                <w:lang w:val="es-ES" w:eastAsia="es-ES"/>
              </w:rPr>
              <w:t xml:space="preserve">elebración de contratos de fomento, </w:t>
            </w:r>
            <w:r w:rsidR="00381DF2">
              <w:rPr>
                <w:rFonts w:ascii="Verdana" w:eastAsia="Calibri" w:hAnsi="Verdana" w:cs="Arial"/>
                <w:lang w:val="es-ES" w:eastAsia="es-ES"/>
              </w:rPr>
              <w:t xml:space="preserve">mediante disposiciones </w:t>
            </w:r>
            <w:r w:rsidR="00FB5747">
              <w:rPr>
                <w:rFonts w:ascii="Verdana" w:eastAsia="Calibri" w:hAnsi="Verdana" w:cs="Arial"/>
                <w:lang w:val="es-ES" w:eastAsia="es-ES"/>
              </w:rPr>
              <w:t xml:space="preserve">que </w:t>
            </w:r>
            <w:r w:rsidR="00381DF2">
              <w:rPr>
                <w:rFonts w:ascii="Verdana" w:eastAsia="Calibri" w:hAnsi="Verdana" w:cs="Arial"/>
                <w:lang w:val="es-ES" w:eastAsia="es-ES"/>
              </w:rPr>
              <w:t xml:space="preserve">fueron aplicables a </w:t>
            </w:r>
            <w:r w:rsidR="00FB5747">
              <w:rPr>
                <w:rFonts w:ascii="Verdana" w:eastAsia="Calibri" w:hAnsi="Verdana" w:cs="Arial"/>
                <w:lang w:val="es-ES" w:eastAsia="es-ES"/>
              </w:rPr>
              <w:t xml:space="preserve">los </w:t>
            </w:r>
            <w:r w:rsidR="00FB5747" w:rsidRPr="005F67B3">
              <w:rPr>
                <w:rFonts w:ascii="Verdana" w:eastAsia="Calibri" w:hAnsi="Verdana" w:cs="Arial"/>
                <w:i/>
                <w:iCs/>
                <w:lang w:val="es-ES" w:eastAsia="es-ES"/>
              </w:rPr>
              <w:t>convenios de asociación</w:t>
            </w:r>
            <w:r w:rsidR="00FB5747">
              <w:rPr>
                <w:rFonts w:ascii="Verdana" w:eastAsia="Calibri" w:hAnsi="Verdana" w:cs="Arial"/>
                <w:lang w:val="es-ES" w:eastAsia="es-ES"/>
              </w:rPr>
              <w:t xml:space="preserve"> en virtud de la remisión </w:t>
            </w:r>
            <w:r w:rsidR="00980BD6">
              <w:rPr>
                <w:rFonts w:ascii="Verdana" w:eastAsia="Calibri" w:hAnsi="Verdana" w:cs="Arial"/>
                <w:lang w:val="es-ES" w:eastAsia="es-ES"/>
              </w:rPr>
              <w:t xml:space="preserve">expresa que establece el artículo </w:t>
            </w:r>
            <w:r w:rsidR="00930502">
              <w:rPr>
                <w:rFonts w:ascii="Verdana" w:eastAsia="Calibri" w:hAnsi="Verdana" w:cs="Arial"/>
                <w:lang w:val="es-ES" w:eastAsia="es-ES"/>
              </w:rPr>
              <w:t>96 de la Ley 489 de 1992</w:t>
            </w:r>
            <w:r w:rsidR="00381DF2">
              <w:rPr>
                <w:rFonts w:ascii="Verdana" w:eastAsia="Calibri" w:hAnsi="Verdana" w:cs="Arial"/>
                <w:lang w:val="es-ES" w:eastAsia="es-ES"/>
              </w:rPr>
              <w:t xml:space="preserve"> al artículo 355 superior</w:t>
            </w:r>
            <w:r w:rsidR="00930502">
              <w:rPr>
                <w:rFonts w:ascii="Verdana" w:eastAsia="Calibri" w:hAnsi="Verdana" w:cs="Arial"/>
                <w:lang w:val="es-ES" w:eastAsia="es-ES"/>
              </w:rPr>
              <w:t xml:space="preserve">. Por su parte, el Decreto 092 de 2017 estableció unas reglas </w:t>
            </w:r>
            <w:r w:rsidR="00C00FB5">
              <w:rPr>
                <w:rFonts w:ascii="Verdana" w:eastAsia="Calibri" w:hAnsi="Verdana" w:cs="Arial"/>
                <w:lang w:val="es-ES" w:eastAsia="es-ES"/>
              </w:rPr>
              <w:t>específicas</w:t>
            </w:r>
            <w:r w:rsidR="00930502">
              <w:rPr>
                <w:rFonts w:ascii="Verdana" w:eastAsia="Calibri" w:hAnsi="Verdana" w:cs="Arial"/>
                <w:lang w:val="es-ES" w:eastAsia="es-ES"/>
              </w:rPr>
              <w:t xml:space="preserve"> aplicables a los contratos de fomento</w:t>
            </w:r>
            <w:r w:rsidR="00C00FB5">
              <w:rPr>
                <w:rFonts w:ascii="Verdana" w:eastAsia="Calibri" w:hAnsi="Verdana" w:cs="Arial"/>
                <w:lang w:val="es-ES" w:eastAsia="es-ES"/>
              </w:rPr>
              <w:t xml:space="preserve"> en su</w:t>
            </w:r>
            <w:r w:rsidR="00635A24">
              <w:rPr>
                <w:rFonts w:ascii="Verdana" w:eastAsia="Calibri" w:hAnsi="Verdana" w:cs="Arial"/>
                <w:lang w:val="es-ES" w:eastAsia="es-ES"/>
              </w:rPr>
              <w:t>s</w:t>
            </w:r>
            <w:r w:rsidR="00C00FB5">
              <w:rPr>
                <w:rFonts w:ascii="Verdana" w:eastAsia="Calibri" w:hAnsi="Verdana" w:cs="Arial"/>
                <w:lang w:val="es-ES" w:eastAsia="es-ES"/>
              </w:rPr>
              <w:t xml:space="preserve"> artículos 2, 3, 4 y</w:t>
            </w:r>
            <w:r w:rsidR="00906170">
              <w:rPr>
                <w:rFonts w:ascii="Verdana" w:eastAsia="Calibri" w:hAnsi="Verdana" w:cs="Arial"/>
                <w:lang w:val="es-ES" w:eastAsia="es-ES"/>
              </w:rPr>
              <w:t xml:space="preserve"> otras para los convenios de </w:t>
            </w:r>
            <w:r w:rsidR="00C00FB5">
              <w:rPr>
                <w:rFonts w:ascii="Verdana" w:eastAsia="Calibri" w:hAnsi="Verdana" w:cs="Arial"/>
                <w:lang w:val="es-ES" w:eastAsia="es-ES"/>
              </w:rPr>
              <w:t>asociación</w:t>
            </w:r>
            <w:r w:rsidR="00906170">
              <w:rPr>
                <w:rFonts w:ascii="Verdana" w:eastAsia="Calibri" w:hAnsi="Verdana" w:cs="Arial"/>
                <w:lang w:val="es-ES" w:eastAsia="es-ES"/>
              </w:rPr>
              <w:t xml:space="preserve"> en el artículo 5</w:t>
            </w:r>
            <w:r w:rsidR="006C4A52">
              <w:rPr>
                <w:rFonts w:ascii="Verdana" w:eastAsia="Calibri" w:hAnsi="Verdana" w:cs="Arial"/>
                <w:lang w:val="es-ES" w:eastAsia="es-ES"/>
              </w:rPr>
              <w:t>,</w:t>
            </w:r>
            <w:r w:rsidR="00906170">
              <w:rPr>
                <w:rFonts w:ascii="Verdana" w:eastAsia="Calibri" w:hAnsi="Verdana" w:cs="Arial"/>
                <w:lang w:val="es-ES" w:eastAsia="es-ES"/>
              </w:rPr>
              <w:t xml:space="preserve"> </w:t>
            </w:r>
            <w:r w:rsidR="00C00FB5">
              <w:rPr>
                <w:rFonts w:ascii="Verdana" w:eastAsia="Calibri" w:hAnsi="Verdana" w:cs="Arial"/>
                <w:lang w:val="es-ES" w:eastAsia="es-ES"/>
              </w:rPr>
              <w:t>así como unas disposiciones comunes</w:t>
            </w:r>
            <w:r w:rsidR="00457694">
              <w:rPr>
                <w:rFonts w:ascii="Verdana" w:eastAsia="Calibri" w:hAnsi="Verdana" w:cs="Arial"/>
                <w:lang w:val="es-ES" w:eastAsia="es-ES"/>
              </w:rPr>
              <w:t xml:space="preserve"> </w:t>
            </w:r>
            <w:r w:rsidR="00FB1609">
              <w:rPr>
                <w:rFonts w:ascii="Verdana" w:eastAsia="Calibri" w:hAnsi="Verdana" w:cs="Arial"/>
                <w:lang w:val="es-ES" w:eastAsia="es-ES"/>
              </w:rPr>
              <w:t xml:space="preserve">en los artículos </w:t>
            </w:r>
            <w:r w:rsidR="00C52D2F">
              <w:rPr>
                <w:rFonts w:ascii="Verdana" w:eastAsia="Calibri" w:hAnsi="Verdana" w:cs="Arial"/>
                <w:lang w:val="es-ES" w:eastAsia="es-ES"/>
              </w:rPr>
              <w:t xml:space="preserve">6, </w:t>
            </w:r>
            <w:r w:rsidR="00457694">
              <w:rPr>
                <w:rFonts w:ascii="Verdana" w:eastAsia="Calibri" w:hAnsi="Verdana" w:cs="Arial"/>
                <w:lang w:val="es-ES" w:eastAsia="es-ES"/>
              </w:rPr>
              <w:t>7</w:t>
            </w:r>
            <w:r w:rsidR="00C52D2F">
              <w:rPr>
                <w:rFonts w:ascii="Verdana" w:eastAsia="Calibri" w:hAnsi="Verdana" w:cs="Arial"/>
                <w:lang w:val="es-ES" w:eastAsia="es-ES"/>
              </w:rPr>
              <w:t xml:space="preserve"> y</w:t>
            </w:r>
            <w:r w:rsidR="00457694">
              <w:rPr>
                <w:rFonts w:ascii="Verdana" w:eastAsia="Calibri" w:hAnsi="Verdana" w:cs="Arial"/>
                <w:lang w:val="es-ES" w:eastAsia="es-ES"/>
              </w:rPr>
              <w:t xml:space="preserve"> 8</w:t>
            </w:r>
            <w:r w:rsidR="00C52D2F">
              <w:rPr>
                <w:rFonts w:ascii="Verdana" w:eastAsia="Calibri" w:hAnsi="Verdana" w:cs="Arial"/>
                <w:lang w:val="es-ES" w:eastAsia="es-ES"/>
              </w:rPr>
              <w:t xml:space="preserve">. </w:t>
            </w:r>
          </w:p>
          <w:p w14:paraId="59CC546F" w14:textId="4A9D4E94" w:rsidR="00D20744" w:rsidRDefault="00C52D2F" w:rsidP="005F67B3">
            <w:pPr>
              <w:spacing w:after="120" w:line="276" w:lineRule="auto"/>
              <w:ind w:firstLine="709"/>
              <w:jc w:val="both"/>
              <w:rPr>
                <w:rFonts w:ascii="Verdana" w:eastAsia="Times New Roman" w:hAnsi="Verdana" w:cs="Arial"/>
                <w:color w:val="000000" w:themeColor="text1"/>
                <w:lang w:val="es-ES" w:eastAsia="es-ES_tradnl"/>
              </w:rPr>
            </w:pPr>
            <w:r>
              <w:rPr>
                <w:rFonts w:ascii="Verdana" w:eastAsia="Times New Roman" w:hAnsi="Verdana" w:cs="Arial"/>
                <w:color w:val="000000" w:themeColor="text1"/>
                <w:lang w:val="es-ES" w:eastAsia="es-ES_tradnl"/>
              </w:rPr>
              <w:t xml:space="preserve">En atención a esto, </w:t>
            </w:r>
            <w:r w:rsidR="006A43B3">
              <w:rPr>
                <w:rFonts w:ascii="Verdana" w:eastAsia="Times New Roman" w:hAnsi="Verdana" w:cs="Arial"/>
                <w:color w:val="000000" w:themeColor="text1"/>
                <w:lang w:val="es-ES" w:eastAsia="es-ES_tradnl"/>
              </w:rPr>
              <w:t>en cuanto a los</w:t>
            </w:r>
            <w:r w:rsidR="002A059A">
              <w:rPr>
                <w:rFonts w:ascii="Verdana" w:hAnsi="Verdana"/>
              </w:rPr>
              <w:t xml:space="preserve"> extremos de la relación</w:t>
            </w:r>
            <w:r w:rsidR="00291213">
              <w:rPr>
                <w:rFonts w:ascii="Verdana" w:hAnsi="Verdana"/>
              </w:rPr>
              <w:t xml:space="preserve"> negocial que se present</w:t>
            </w:r>
            <w:r w:rsidR="00381DF2">
              <w:rPr>
                <w:rFonts w:ascii="Verdana" w:hAnsi="Verdana"/>
              </w:rPr>
              <w:t>a</w:t>
            </w:r>
            <w:r w:rsidR="00291213">
              <w:rPr>
                <w:rFonts w:ascii="Verdana" w:hAnsi="Verdana"/>
              </w:rPr>
              <w:t xml:space="preserve"> </w:t>
            </w:r>
            <w:r w:rsidR="00381DF2">
              <w:rPr>
                <w:rFonts w:ascii="Verdana" w:hAnsi="Verdana"/>
              </w:rPr>
              <w:t xml:space="preserve">en el marco de </w:t>
            </w:r>
            <w:r w:rsidR="00291213">
              <w:rPr>
                <w:rFonts w:ascii="Verdana" w:hAnsi="Verdana"/>
              </w:rPr>
              <w:t xml:space="preserve">un </w:t>
            </w:r>
            <w:r w:rsidR="00291213" w:rsidRPr="005F67B3">
              <w:rPr>
                <w:rFonts w:ascii="Verdana" w:hAnsi="Verdana"/>
                <w:i/>
                <w:iCs/>
              </w:rPr>
              <w:t>convenio de asociación</w:t>
            </w:r>
            <w:r w:rsidR="002A059A">
              <w:rPr>
                <w:rFonts w:ascii="Verdana" w:hAnsi="Verdana"/>
              </w:rPr>
              <w:t>,</w:t>
            </w:r>
            <w:r w:rsidR="007D3392">
              <w:rPr>
                <w:rFonts w:ascii="Verdana" w:hAnsi="Verdana"/>
              </w:rPr>
              <w:t xml:space="preserve"> sin perjuicio de lo indicado en el fallo de la referencia,</w:t>
            </w:r>
            <w:r w:rsidR="002A059A">
              <w:rPr>
                <w:rFonts w:ascii="Verdana" w:hAnsi="Verdana"/>
              </w:rPr>
              <w:t xml:space="preserve"> es necesario indicar que, </w:t>
            </w:r>
            <w:r w:rsidR="002A059A">
              <w:rPr>
                <w:rFonts w:ascii="Verdana" w:eastAsia="Calibri" w:hAnsi="Verdana" w:cs="Arial"/>
                <w:lang w:val="es-ES" w:eastAsia="es-ES"/>
              </w:rPr>
              <w:t>si bien el artículo 96 de la Ley 489 de 1998 se refiere a la posibilidad de celebrar  convenios de asociación con personas jurídicas de derecho privado en general– sin aludir o distinguir su ánimo lucrativo–,</w:t>
            </w:r>
            <w:r w:rsidR="007D3392">
              <w:rPr>
                <w:rFonts w:ascii="Verdana" w:eastAsia="Calibri" w:hAnsi="Verdana" w:cs="Arial"/>
                <w:lang w:val="es-ES" w:eastAsia="es-ES"/>
              </w:rPr>
              <w:t xml:space="preserve"> la reglamentación hoy día vigente para su celebración, esto es, el </w:t>
            </w:r>
            <w:r w:rsidR="004D1730">
              <w:rPr>
                <w:rFonts w:ascii="Verdana" w:eastAsia="Calibri" w:hAnsi="Verdana" w:cs="Arial"/>
                <w:lang w:val="es-ES" w:eastAsia="es-ES"/>
              </w:rPr>
              <w:t>artículo 5 del</w:t>
            </w:r>
            <w:r w:rsidR="002A059A">
              <w:rPr>
                <w:rFonts w:ascii="Verdana" w:eastAsia="Calibri" w:hAnsi="Verdana" w:cs="Arial"/>
                <w:lang w:val="es-ES" w:eastAsia="es-ES"/>
              </w:rPr>
              <w:t xml:space="preserve"> Decreto 092 de 2017, solo contempla la posibilidad de celebrar convenios de asociación con personas jurídicas de derecho privado que no tengan ánimo de lucro. </w:t>
            </w:r>
          </w:p>
          <w:p w14:paraId="56FEABF6" w14:textId="71B4A072" w:rsidR="00C9367E" w:rsidRPr="00FD3451" w:rsidRDefault="00381DF2">
            <w:pPr>
              <w:spacing w:after="120" w:line="276" w:lineRule="auto"/>
              <w:ind w:firstLine="567"/>
              <w:jc w:val="both"/>
              <w:rPr>
                <w:rFonts w:ascii="Verdana" w:eastAsia="Times New Roman" w:hAnsi="Verdana" w:cs="Arial"/>
                <w:color w:val="000000" w:themeColor="text1"/>
                <w:lang w:val="es-ES" w:eastAsia="es-ES_tradnl"/>
              </w:rPr>
            </w:pPr>
            <w:r>
              <w:rPr>
                <w:rFonts w:ascii="Verdana" w:eastAsia="Calibri" w:hAnsi="Verdana" w:cs="Arial"/>
                <w:lang w:val="es-ES" w:eastAsia="es-ES"/>
              </w:rPr>
              <w:t>Adicionalmente, t</w:t>
            </w:r>
            <w:r w:rsidR="0029433A">
              <w:rPr>
                <w:rFonts w:ascii="Verdana" w:eastAsia="Calibri" w:hAnsi="Verdana" w:cs="Arial"/>
                <w:lang w:val="es-ES" w:eastAsia="es-ES"/>
              </w:rPr>
              <w:t xml:space="preserve">al derogatoria </w:t>
            </w:r>
            <w:r w:rsidR="00D20744">
              <w:rPr>
                <w:rFonts w:ascii="Verdana" w:eastAsia="Calibri" w:hAnsi="Verdana" w:cs="Arial"/>
                <w:lang w:val="es-ES" w:eastAsia="es-ES"/>
              </w:rPr>
              <w:t xml:space="preserve">resulta relevante </w:t>
            </w:r>
            <w:r w:rsidR="00B5490C">
              <w:rPr>
                <w:rFonts w:ascii="Verdana" w:eastAsia="Calibri" w:hAnsi="Verdana" w:cs="Arial"/>
                <w:lang w:val="es-ES" w:eastAsia="es-ES"/>
              </w:rPr>
              <w:t xml:space="preserve">a efectos de precisar el régimen de </w:t>
            </w:r>
            <w:r w:rsidR="00B5490C" w:rsidRPr="005F67B3">
              <w:rPr>
                <w:rFonts w:ascii="Verdana" w:eastAsia="Calibri" w:hAnsi="Verdana" w:cs="Arial"/>
                <w:i/>
                <w:iCs/>
                <w:lang w:val="es-ES" w:eastAsia="es-ES"/>
              </w:rPr>
              <w:t>contratos de fomento</w:t>
            </w:r>
            <w:r w:rsidR="00B5490C">
              <w:rPr>
                <w:rFonts w:ascii="Verdana" w:eastAsia="Calibri" w:hAnsi="Verdana" w:cs="Arial"/>
                <w:lang w:val="es-ES" w:eastAsia="es-ES"/>
              </w:rPr>
              <w:t xml:space="preserve"> y </w:t>
            </w:r>
            <w:r w:rsidR="00B5490C" w:rsidRPr="005F67B3">
              <w:rPr>
                <w:rFonts w:ascii="Verdana" w:eastAsia="Calibri" w:hAnsi="Verdana" w:cs="Arial"/>
                <w:i/>
                <w:iCs/>
                <w:lang w:val="es-ES" w:eastAsia="es-ES"/>
              </w:rPr>
              <w:t xml:space="preserve">convenios de </w:t>
            </w:r>
            <w:r w:rsidR="00B5490C" w:rsidRPr="00B5490C">
              <w:rPr>
                <w:rFonts w:ascii="Verdana" w:eastAsia="Calibri" w:hAnsi="Verdana" w:cs="Arial"/>
                <w:i/>
                <w:iCs/>
                <w:lang w:val="es-ES" w:eastAsia="es-ES"/>
              </w:rPr>
              <w:t>asociación</w:t>
            </w:r>
            <w:r w:rsidR="00D4517C">
              <w:rPr>
                <w:rFonts w:ascii="Verdana" w:eastAsia="Calibri" w:hAnsi="Verdana" w:cs="Arial"/>
                <w:i/>
                <w:iCs/>
                <w:lang w:val="es-ES" w:eastAsia="es-ES"/>
              </w:rPr>
              <w:t xml:space="preserve"> </w:t>
            </w:r>
            <w:r w:rsidR="00D4517C" w:rsidRPr="005F67B3">
              <w:rPr>
                <w:rFonts w:ascii="Verdana" w:eastAsia="Calibri" w:hAnsi="Verdana" w:cs="Arial"/>
                <w:lang w:val="es-ES" w:eastAsia="es-ES"/>
              </w:rPr>
              <w:t>en la actualidad</w:t>
            </w:r>
            <w:r w:rsidR="00B5490C">
              <w:rPr>
                <w:rFonts w:ascii="Verdana" w:eastAsia="Calibri" w:hAnsi="Verdana" w:cs="Arial"/>
                <w:i/>
                <w:iCs/>
                <w:lang w:val="es-ES" w:eastAsia="es-ES"/>
              </w:rPr>
              <w:t xml:space="preserve">, </w:t>
            </w:r>
            <w:proofErr w:type="gramStart"/>
            <w:r w:rsidR="00B5490C">
              <w:rPr>
                <w:rFonts w:ascii="Verdana" w:eastAsia="Calibri" w:hAnsi="Verdana" w:cs="Arial"/>
                <w:lang w:val="es-ES" w:eastAsia="es-ES"/>
              </w:rPr>
              <w:t>ya</w:t>
            </w:r>
            <w:r w:rsidR="00FB1609">
              <w:rPr>
                <w:rFonts w:ascii="Verdana" w:eastAsia="Calibri" w:hAnsi="Verdana" w:cs="Arial"/>
                <w:lang w:val="es-ES" w:eastAsia="es-ES"/>
              </w:rPr>
              <w:t xml:space="preserve"> que</w:t>
            </w:r>
            <w:proofErr w:type="gramEnd"/>
            <w:r w:rsidR="00FB1609">
              <w:rPr>
                <w:rFonts w:ascii="Verdana" w:eastAsia="Calibri" w:hAnsi="Verdana" w:cs="Arial"/>
                <w:lang w:val="es-ES" w:eastAsia="es-ES"/>
              </w:rPr>
              <w:t xml:space="preserve"> si</w:t>
            </w:r>
            <w:r w:rsidR="00B5490C">
              <w:rPr>
                <w:rFonts w:ascii="Verdana" w:eastAsia="Calibri" w:hAnsi="Verdana" w:cs="Arial"/>
                <w:lang w:val="es-ES" w:eastAsia="es-ES"/>
              </w:rPr>
              <w:t xml:space="preserve"> bien</w:t>
            </w:r>
            <w:r w:rsidR="00FB1609">
              <w:rPr>
                <w:rFonts w:ascii="Verdana" w:eastAsia="Calibri" w:hAnsi="Verdana" w:cs="Arial"/>
                <w:lang w:val="es-ES" w:eastAsia="es-ES"/>
              </w:rPr>
              <w:t xml:space="preserve"> </w:t>
            </w:r>
            <w:r w:rsidR="00D20744">
              <w:rPr>
                <w:rFonts w:ascii="Verdana" w:hAnsi="Verdana"/>
                <w:lang w:val="es-ES"/>
              </w:rPr>
              <w:t xml:space="preserve">la Sentencia de 22 de mayo de 2024 concluye que </w:t>
            </w:r>
            <w:r w:rsidR="00B5490C">
              <w:rPr>
                <w:rFonts w:ascii="Verdana" w:hAnsi="Verdana"/>
                <w:lang w:val="es-ES"/>
              </w:rPr>
              <w:t xml:space="preserve">estos </w:t>
            </w:r>
            <w:r w:rsidR="00D4517C">
              <w:rPr>
                <w:rFonts w:ascii="Verdana" w:hAnsi="Verdana"/>
                <w:lang w:val="es-ES"/>
              </w:rPr>
              <w:lastRenderedPageBreak/>
              <w:t xml:space="preserve">acuerdos están </w:t>
            </w:r>
            <w:r w:rsidR="00B5490C">
              <w:rPr>
                <w:rFonts w:ascii="Verdana" w:hAnsi="Verdana"/>
                <w:lang w:val="es-ES"/>
              </w:rPr>
              <w:t>sometid</w:t>
            </w:r>
            <w:r w:rsidR="00D4517C">
              <w:rPr>
                <w:rFonts w:ascii="Verdana" w:hAnsi="Verdana"/>
                <w:lang w:val="es-ES"/>
              </w:rPr>
              <w:t>o</w:t>
            </w:r>
            <w:r w:rsidR="00B5490C">
              <w:rPr>
                <w:rFonts w:ascii="Verdana" w:hAnsi="Verdana"/>
                <w:lang w:val="es-ES"/>
              </w:rPr>
              <w:t xml:space="preserve">s </w:t>
            </w:r>
            <w:r w:rsidR="00B5490C">
              <w:rPr>
                <w:rFonts w:ascii="Verdana" w:hAnsi="Verdana"/>
              </w:rPr>
              <w:t>a un r</w:t>
            </w:r>
            <w:r w:rsidR="00D4517C">
              <w:rPr>
                <w:rFonts w:ascii="Verdana" w:hAnsi="Verdana"/>
              </w:rPr>
              <w:t>é</w:t>
            </w:r>
            <w:r w:rsidR="00B5490C">
              <w:rPr>
                <w:rFonts w:ascii="Verdana" w:hAnsi="Verdana"/>
              </w:rPr>
              <w:t>gimen de derecho privado</w:t>
            </w:r>
            <w:r w:rsidR="0018323B">
              <w:rPr>
                <w:rFonts w:ascii="Verdana" w:hAnsi="Verdana"/>
              </w:rPr>
              <w:t xml:space="preserve">, </w:t>
            </w:r>
            <w:r w:rsidR="00D4517C">
              <w:rPr>
                <w:rFonts w:ascii="Verdana" w:hAnsi="Verdana"/>
              </w:rPr>
              <w:t>tal consideración se soporta</w:t>
            </w:r>
            <w:r w:rsidR="00D20744">
              <w:rPr>
                <w:rFonts w:ascii="Verdana" w:hAnsi="Verdana"/>
              </w:rPr>
              <w:t xml:space="preserve"> en lo dispuesto en el artículo </w:t>
            </w:r>
            <w:r>
              <w:rPr>
                <w:rFonts w:ascii="Verdana" w:hAnsi="Verdana"/>
              </w:rPr>
              <w:t xml:space="preserve">1 </w:t>
            </w:r>
            <w:r w:rsidR="00D20744">
              <w:rPr>
                <w:rFonts w:ascii="Verdana" w:hAnsi="Verdana"/>
              </w:rPr>
              <w:t>del Decreto 777 de 1992</w:t>
            </w:r>
            <w:r w:rsidR="004F5F69">
              <w:rPr>
                <w:rFonts w:ascii="Verdana" w:hAnsi="Verdana"/>
              </w:rPr>
              <w:t xml:space="preserve">. </w:t>
            </w:r>
            <w:r w:rsidR="00D20744">
              <w:rPr>
                <w:rFonts w:ascii="Verdana" w:hAnsi="Verdana"/>
              </w:rPr>
              <w:t xml:space="preserve">Tras ser derogada dicha disposición, el régimen jurídico de </w:t>
            </w:r>
            <w:r w:rsidR="004F5F69">
              <w:rPr>
                <w:rFonts w:ascii="Verdana" w:hAnsi="Verdana"/>
              </w:rPr>
              <w:t xml:space="preserve">los </w:t>
            </w:r>
            <w:r w:rsidR="00D20744">
              <w:rPr>
                <w:rFonts w:ascii="Verdana" w:hAnsi="Verdana"/>
              </w:rPr>
              <w:t>convenios de asociación</w:t>
            </w:r>
            <w:r w:rsidR="004F5F69">
              <w:rPr>
                <w:rFonts w:ascii="Verdana" w:hAnsi="Verdana"/>
              </w:rPr>
              <w:t xml:space="preserve"> que se celebren en la actualidad</w:t>
            </w:r>
            <w:r w:rsidR="00D20744">
              <w:rPr>
                <w:rFonts w:ascii="Verdana" w:hAnsi="Verdana"/>
              </w:rPr>
              <w:t xml:space="preserve"> </w:t>
            </w:r>
            <w:r w:rsidR="004F5F69">
              <w:rPr>
                <w:rFonts w:ascii="Verdana" w:hAnsi="Verdana"/>
              </w:rPr>
              <w:t>está determinado</w:t>
            </w:r>
            <w:r w:rsidR="00D20744">
              <w:rPr>
                <w:rFonts w:ascii="Verdana" w:hAnsi="Verdana"/>
              </w:rPr>
              <w:t xml:space="preserve"> por el artículo 8 del Decreto 092 de 2017, el cual indica que</w:t>
            </w:r>
            <w:r w:rsidR="004F5F69">
              <w:rPr>
                <w:rFonts w:ascii="Verdana" w:hAnsi="Verdana"/>
              </w:rPr>
              <w:t>:</w:t>
            </w:r>
            <w:r w:rsidR="00D20744">
              <w:rPr>
                <w:rFonts w:ascii="Verdana" w:hAnsi="Verdana"/>
              </w:rPr>
              <w:t xml:space="preserve"> </w:t>
            </w:r>
            <w:r w:rsidR="00D20744" w:rsidRPr="00A6373F">
              <w:rPr>
                <w:rFonts w:ascii="Verdana" w:hAnsi="Verdana"/>
                <w:i/>
                <w:iCs/>
              </w:rPr>
              <w:t>“La contratación a la que hace referencia el presente decreto está sujeta a las normas generales aplicables a la contratación pública excepto en lo reglamentado en el presente decreto</w:t>
            </w:r>
            <w:r w:rsidR="00D20744">
              <w:rPr>
                <w:rFonts w:ascii="Verdana" w:hAnsi="Verdana"/>
              </w:rPr>
              <w:t>”</w:t>
            </w:r>
            <w:r w:rsidR="00D20744" w:rsidRPr="00E75018">
              <w:rPr>
                <w:rFonts w:ascii="Verdana" w:hAnsi="Verdana"/>
              </w:rPr>
              <w:t>.</w:t>
            </w:r>
            <w:r w:rsidR="00D20744">
              <w:rPr>
                <w:rFonts w:ascii="Verdana" w:hAnsi="Verdana"/>
              </w:rPr>
              <w:t xml:space="preserve">  Adicionalmente, el artículo 6 dispone la aplicación de l</w:t>
            </w:r>
            <w:r w:rsidR="00D20744" w:rsidRPr="00EB341B">
              <w:rPr>
                <w:rFonts w:ascii="Verdana" w:hAnsi="Verdana"/>
              </w:rPr>
              <w:t>as prohibiciones, inhabilidades e incompatibilidades establecidas en la Constitución y en las Leyes 80 de 1993, 1150 de 2007 y 1474 de 2011,</w:t>
            </w:r>
            <w:r w:rsidR="00D20744">
              <w:rPr>
                <w:rFonts w:ascii="Verdana" w:hAnsi="Verdana"/>
              </w:rPr>
              <w:t xml:space="preserve"> mientras que el artículo 7 dispone la aplicación de las </w:t>
            </w:r>
            <w:r w:rsidR="00D20744" w:rsidRPr="00A6373F">
              <w:rPr>
                <w:rFonts w:ascii="Verdana" w:hAnsi="Verdana"/>
                <w:i/>
                <w:iCs/>
              </w:rPr>
              <w:t>“los principios de la contratación estatal y a las normas presupuestales aplicables”</w:t>
            </w:r>
            <w:r w:rsidR="00D20744">
              <w:rPr>
                <w:rFonts w:ascii="Verdana" w:hAnsi="Verdana"/>
                <w:i/>
                <w:iCs/>
              </w:rPr>
              <w:t xml:space="preserve">. </w:t>
            </w:r>
          </w:p>
        </w:tc>
      </w:tr>
    </w:tbl>
    <w:p w14:paraId="47F6D918" w14:textId="77777777" w:rsidR="00C9367E" w:rsidRPr="005A3C7D" w:rsidRDefault="00C9367E" w:rsidP="00C9367E">
      <w:pPr>
        <w:tabs>
          <w:tab w:val="left" w:pos="142"/>
          <w:tab w:val="left" w:pos="284"/>
        </w:tabs>
        <w:spacing w:after="0" w:line="276" w:lineRule="auto"/>
        <w:jc w:val="both"/>
        <w:rPr>
          <w:rFonts w:ascii="Verdana" w:eastAsia="Century Gothic" w:hAnsi="Verdana" w:cs="Century Gothic"/>
          <w:b/>
          <w:bCs/>
        </w:rPr>
      </w:pPr>
    </w:p>
    <w:p w14:paraId="63F343D0" w14:textId="77777777" w:rsidR="00C9367E" w:rsidRPr="0008617F" w:rsidRDefault="00C9367E" w:rsidP="00C9367E">
      <w:pPr>
        <w:tabs>
          <w:tab w:val="left" w:pos="142"/>
          <w:tab w:val="left" w:pos="284"/>
        </w:tabs>
        <w:spacing w:after="0" w:line="276" w:lineRule="auto"/>
        <w:jc w:val="both"/>
        <w:rPr>
          <w:rFonts w:ascii="Verdana" w:eastAsia="Century Gothic" w:hAnsi="Verdana" w:cs="Century Gothic"/>
          <w:b/>
          <w:bCs/>
        </w:rPr>
      </w:pPr>
      <w:r w:rsidRPr="0008617F">
        <w:rPr>
          <w:rFonts w:ascii="Verdana" w:eastAsia="Century Gothic" w:hAnsi="Verdana" w:cs="Century Gothic"/>
          <w:b/>
          <w:bCs/>
        </w:rPr>
        <w:t>3. Razones de la respuesta:</w:t>
      </w:r>
    </w:p>
    <w:p w14:paraId="067D6818" w14:textId="77777777" w:rsidR="00C9367E" w:rsidRPr="0008617F" w:rsidRDefault="00C9367E" w:rsidP="00C9367E">
      <w:pPr>
        <w:spacing w:after="0" w:line="276" w:lineRule="auto"/>
        <w:jc w:val="both"/>
        <w:rPr>
          <w:rFonts w:ascii="Verdana" w:eastAsia="Calibri" w:hAnsi="Verdana" w:cs="Arial"/>
          <w:lang w:val="es-ES"/>
        </w:rPr>
      </w:pPr>
      <w:bookmarkStart w:id="3" w:name="_Hlk204854194"/>
    </w:p>
    <w:p w14:paraId="140F18EB" w14:textId="77777777" w:rsidR="00C9367E" w:rsidRPr="0008617F" w:rsidRDefault="00C9367E" w:rsidP="00C9367E">
      <w:pPr>
        <w:spacing w:after="0" w:line="276" w:lineRule="auto"/>
        <w:jc w:val="both"/>
        <w:rPr>
          <w:rFonts w:ascii="Verdana" w:eastAsia="Calibri" w:hAnsi="Verdana" w:cs="Arial"/>
          <w:lang w:val="es-ES"/>
        </w:rPr>
      </w:pPr>
      <w:r w:rsidRPr="005A3C7D">
        <w:rPr>
          <w:rFonts w:ascii="Verdana" w:eastAsia="Calibri" w:hAnsi="Verdana" w:cs="Arial"/>
          <w:lang w:val="es-ES"/>
        </w:rPr>
        <w:t xml:space="preserve">Lo anterior se sustenta en las siguientes consideraciones: </w:t>
      </w:r>
    </w:p>
    <w:p w14:paraId="223BABB1" w14:textId="77777777" w:rsidR="00C9367E" w:rsidRPr="0008617F" w:rsidRDefault="00C9367E" w:rsidP="00C9367E">
      <w:pPr>
        <w:spacing w:after="0" w:line="276" w:lineRule="auto"/>
        <w:jc w:val="both"/>
        <w:rPr>
          <w:rFonts w:ascii="Verdana" w:eastAsia="Calibri" w:hAnsi="Verdana" w:cs="Arial"/>
          <w:lang w:val="es-ES"/>
        </w:rPr>
      </w:pPr>
    </w:p>
    <w:p w14:paraId="6636613E" w14:textId="77777777" w:rsidR="00C9367E" w:rsidRDefault="00C9367E" w:rsidP="00C9367E">
      <w:pPr>
        <w:spacing w:after="0" w:line="276" w:lineRule="auto"/>
        <w:jc w:val="both"/>
        <w:rPr>
          <w:rFonts w:ascii="Verdana" w:eastAsia="Arial" w:hAnsi="Verdana" w:cs="Arial"/>
        </w:rPr>
      </w:pPr>
      <w:r w:rsidRPr="00BC3380">
        <w:rPr>
          <w:rFonts w:ascii="Verdana" w:eastAsia="Arial" w:hAnsi="Verdana" w:cs="Arial"/>
        </w:rPr>
        <w:t xml:space="preserve">Como punto de partida, resulta pertinente abordar la posición adoptada por la Subdirección de Gestión Contractual de la ANCP – Colombia Compra Eficiente, en ejercicio de su función consultiva, frente a los procesos de contratación con </w:t>
      </w:r>
      <w:r w:rsidRPr="00BB5124">
        <w:rPr>
          <w:rFonts w:ascii="Verdana" w:eastAsia="Arial" w:hAnsi="Verdana" w:cs="Arial"/>
          <w:i/>
          <w:iCs/>
        </w:rPr>
        <w:t>Entidades Sin Ánimo de Lucro (ESAL)</w:t>
      </w:r>
      <w:r w:rsidRPr="00BC3380">
        <w:rPr>
          <w:rFonts w:ascii="Verdana" w:eastAsia="Arial" w:hAnsi="Verdana" w:cs="Arial"/>
        </w:rPr>
        <w:t xml:space="preserve">. De igual manera, es necesario revisar la distinción establecida entre los </w:t>
      </w:r>
      <w:r w:rsidRPr="00BC3380">
        <w:rPr>
          <w:rFonts w:ascii="Verdana" w:eastAsia="Arial" w:hAnsi="Verdana" w:cs="Arial"/>
          <w:i/>
          <w:iCs/>
        </w:rPr>
        <w:t>convenios de asociación</w:t>
      </w:r>
      <w:r w:rsidRPr="00BC3380">
        <w:rPr>
          <w:rFonts w:ascii="Verdana" w:eastAsia="Arial" w:hAnsi="Verdana" w:cs="Arial"/>
        </w:rPr>
        <w:t xml:space="preserve"> y los </w:t>
      </w:r>
      <w:r w:rsidRPr="00BC3380">
        <w:rPr>
          <w:rFonts w:ascii="Verdana" w:eastAsia="Arial" w:hAnsi="Verdana" w:cs="Arial"/>
          <w:i/>
          <w:iCs/>
        </w:rPr>
        <w:t>contratos de fomento</w:t>
      </w:r>
      <w:r w:rsidRPr="00BC3380">
        <w:rPr>
          <w:rFonts w:ascii="Verdana" w:eastAsia="Arial" w:hAnsi="Verdana" w:cs="Arial"/>
        </w:rPr>
        <w:t>, con el fin de orientar las nociones que servirán para la aplicación de la normativa vigente y el abordaje de los pronunciamientos jurisprudenciales sobre el tema.</w:t>
      </w:r>
    </w:p>
    <w:p w14:paraId="0298E9C5" w14:textId="0542D754" w:rsidR="00C9367E" w:rsidRPr="007B1015" w:rsidRDefault="00C9367E" w:rsidP="00C9367E">
      <w:pPr>
        <w:spacing w:line="276" w:lineRule="auto"/>
        <w:ind w:firstLine="709"/>
        <w:jc w:val="both"/>
        <w:rPr>
          <w:rFonts w:ascii="Verdana" w:eastAsia="Arial" w:hAnsi="Verdana" w:cs="Arial"/>
          <w:lang w:val="es-ES"/>
        </w:rPr>
      </w:pPr>
      <w:r w:rsidRPr="00AD1990">
        <w:rPr>
          <w:rFonts w:ascii="Verdana" w:eastAsia="Arial" w:hAnsi="Verdana" w:cs="Arial"/>
        </w:rPr>
        <w:t xml:space="preserve">En </w:t>
      </w:r>
      <w:r>
        <w:rPr>
          <w:rFonts w:ascii="Verdana" w:eastAsia="Arial" w:hAnsi="Verdana" w:cs="Arial"/>
        </w:rPr>
        <w:t>primer lugar</w:t>
      </w:r>
      <w:r w:rsidRPr="00AD1990">
        <w:rPr>
          <w:rFonts w:ascii="Verdana" w:eastAsia="Arial" w:hAnsi="Verdana" w:cs="Arial"/>
        </w:rPr>
        <w:t xml:space="preserve">, </w:t>
      </w:r>
      <w:r>
        <w:rPr>
          <w:rFonts w:ascii="Verdana" w:eastAsia="Arial" w:hAnsi="Verdana" w:cs="Arial"/>
        </w:rPr>
        <w:t xml:space="preserve">se debe mencionar que </w:t>
      </w:r>
      <w:r>
        <w:rPr>
          <w:rFonts w:ascii="Verdana" w:eastAsia="Arial" w:hAnsi="Verdana" w:cs="Arial"/>
          <w:lang w:val="es-ES"/>
        </w:rPr>
        <w:t>l</w:t>
      </w:r>
      <w:r w:rsidRPr="007B1015">
        <w:rPr>
          <w:rFonts w:ascii="Verdana" w:eastAsia="Arial" w:hAnsi="Verdana" w:cs="Arial"/>
          <w:lang w:val="es-ES"/>
        </w:rPr>
        <w:t>as ESAL justifican su existencia en la medida que ayudan al Estado en el cumplimiento de las finalidades, esto es, 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defender la independencia nacional, mantener la integridad territorial y asegurar la convivencia pacífica y la vigencia de un orden justo</w:t>
      </w:r>
      <w:r>
        <w:rPr>
          <w:rFonts w:ascii="Verdana" w:eastAsia="Arial" w:hAnsi="Verdana" w:cs="Arial"/>
          <w:lang w:val="es-ES"/>
        </w:rPr>
        <w:t>.</w:t>
      </w:r>
      <w:r w:rsidR="00021DDB">
        <w:rPr>
          <w:rFonts w:ascii="Verdana" w:eastAsia="Arial" w:hAnsi="Verdana" w:cs="Arial"/>
          <w:lang w:val="es-ES"/>
        </w:rPr>
        <w:t xml:space="preserve"> </w:t>
      </w:r>
      <w:r w:rsidRPr="007B1015">
        <w:rPr>
          <w:rFonts w:ascii="Verdana" w:eastAsia="Arial" w:hAnsi="Verdana" w:cs="Arial"/>
          <w:lang w:val="es-ES"/>
        </w:rPr>
        <w:t>El elemento característico de estas entidades es la ausencia de lucro, el cual está relacionado con que no haya una distribución o reparto de utilidades a sus miembros. Al respecto, el Consejo de Estado ha precisado:</w:t>
      </w:r>
    </w:p>
    <w:p w14:paraId="3F4CD666" w14:textId="77777777" w:rsidR="00C9367E" w:rsidRPr="007B1015" w:rsidRDefault="00C9367E" w:rsidP="00C9367E">
      <w:pPr>
        <w:spacing w:line="240" w:lineRule="auto"/>
        <w:ind w:left="709" w:right="709"/>
        <w:jc w:val="both"/>
        <w:rPr>
          <w:rFonts w:ascii="Verdana" w:eastAsia="Times New Roman" w:hAnsi="Verdana" w:cs="Arial"/>
          <w:sz w:val="20"/>
          <w:szCs w:val="20"/>
          <w:lang w:val="es-ES"/>
        </w:rPr>
      </w:pPr>
      <w:r w:rsidRPr="00F00DAF">
        <w:rPr>
          <w:rFonts w:ascii="Verdana" w:eastAsia="Times New Roman" w:hAnsi="Verdana" w:cs="Arial"/>
          <w:sz w:val="20"/>
          <w:szCs w:val="20"/>
          <w:lang w:val="es-ES"/>
        </w:rPr>
        <w:lastRenderedPageBreak/>
        <w:t>“El criterio de lucro o las finalidades de lucro no se relacionan, no pueden relacionarse a las utilidades obtenidas, sino a la destinación que se les dé. La estipulación o norma, que elimina los fines de lucro, es la que tiene como consecuencia, la de que los rendimientos o utilidades obtenidas no sean objeto de distribución o reparto entre socios o integrantes de la persona moral que las genera. Este criterio o concepto ha sido tradicionalmente concebido y respetado siempre.</w:t>
      </w:r>
      <w:r w:rsidRPr="00F00DAF">
        <w:rPr>
          <w:rFonts w:ascii="Verdana" w:eastAsia="Times New Roman" w:hAnsi="Verdana" w:cs="Arial"/>
          <w:sz w:val="20"/>
          <w:szCs w:val="20"/>
          <w:vertAlign w:val="superscript"/>
          <w:lang w:val="es-ES"/>
        </w:rPr>
        <w:footnoteReference w:id="1"/>
      </w:r>
      <w:r w:rsidRPr="00F00DAF">
        <w:rPr>
          <w:rFonts w:ascii="Verdana" w:eastAsia="Times New Roman" w:hAnsi="Verdana" w:cs="Arial"/>
          <w:sz w:val="20"/>
          <w:szCs w:val="20"/>
          <w:lang w:val="es-ES"/>
        </w:rPr>
        <w:t xml:space="preserve">” </w:t>
      </w:r>
    </w:p>
    <w:p w14:paraId="01C9EADE" w14:textId="77777777" w:rsidR="00C9367E" w:rsidRPr="004549C3" w:rsidRDefault="00C9367E" w:rsidP="00C9367E">
      <w:pPr>
        <w:spacing w:line="276" w:lineRule="auto"/>
        <w:ind w:firstLine="709"/>
        <w:jc w:val="both"/>
        <w:rPr>
          <w:rFonts w:ascii="Verdana" w:eastAsia="Arial" w:hAnsi="Verdana" w:cs="Arial"/>
          <w:color w:val="000000" w:themeColor="text1"/>
          <w:lang w:val="es-ES"/>
        </w:rPr>
      </w:pPr>
      <w:r w:rsidRPr="004549C3">
        <w:rPr>
          <w:rFonts w:ascii="Verdana" w:eastAsia="Arial" w:hAnsi="Verdana" w:cs="Arial"/>
          <w:color w:val="000000" w:themeColor="text1"/>
          <w:lang w:val="es-ES"/>
        </w:rPr>
        <w:t>Es pertinente señalar que, las ESAL tienen capacidad para contratar bajo las reglas del EGCAP al ser personas jurídicas consideradas legalmente capaces, en los términos del artículo 6 de la Ley 80 de 1993. Incluso, el Decreto 092 de 2017 reguló un régimen especial de contratación con este tipo personas jurídicas. Sin embargo, es importante aclarar que nada obsta para que las ESAL participen, en términos de igualdad con los demás oferentes, en los diferentes procesos contractuales que regula el EGCAP, siempre que cumplan con los requisitos exigidos en cada proceso, donde competirán con los demás proponentes. En este orden de ideas, las ESAL tienen capacidad jurídica para contratar con el Estado tanto en los procesos de selección regidos por las reglas del EGCAP, caso en el cual participan con las mismas reglas aplicables a los demás oferentes, como a través de las figuras reguladas en el Decreto 092 de 2017.</w:t>
      </w:r>
    </w:p>
    <w:p w14:paraId="3A43E8AB" w14:textId="77777777" w:rsidR="00C9367E" w:rsidRPr="004549C3" w:rsidRDefault="00C9367E" w:rsidP="00C9367E">
      <w:pPr>
        <w:spacing w:line="276" w:lineRule="auto"/>
        <w:ind w:firstLine="709"/>
        <w:jc w:val="both"/>
        <w:rPr>
          <w:rFonts w:ascii="Verdana" w:eastAsia="Arial" w:hAnsi="Verdana" w:cs="Arial"/>
          <w:color w:val="000000" w:themeColor="text1"/>
          <w:lang w:val="es-ES"/>
        </w:rPr>
      </w:pPr>
      <w:r w:rsidRPr="004549C3">
        <w:rPr>
          <w:rFonts w:ascii="Verdana" w:eastAsia="Arial" w:hAnsi="Verdana" w:cs="Arial"/>
          <w:color w:val="000000" w:themeColor="text1"/>
          <w:lang w:val="es-ES"/>
        </w:rPr>
        <w:t>Respecto a su participación en figuras como los contratos del artículo 355 superior y los convenios de asociación del Decreto 092 de 2017; es pertinente mencionar que en términos generales que el artículo 355 constitucional se refiere a la celebración de contratos con “entidades privadas sin ánimo de lucro y de reconocida idoneidad”,  el artículo 96 de la Ley 489 de 1998</w:t>
      </w:r>
      <w:r w:rsidRPr="004549C3">
        <w:rPr>
          <w:rFonts w:ascii="Verdana" w:eastAsia="Arial" w:hAnsi="Verdana" w:cs="Arial"/>
          <w:color w:val="000000" w:themeColor="text1"/>
          <w:vertAlign w:val="superscript"/>
          <w:lang w:val="es-ES"/>
        </w:rPr>
        <w:footnoteReference w:id="2"/>
      </w:r>
      <w:r w:rsidRPr="004549C3">
        <w:rPr>
          <w:rFonts w:ascii="Verdana" w:eastAsia="Arial" w:hAnsi="Verdana" w:cs="Arial"/>
          <w:color w:val="000000" w:themeColor="text1"/>
          <w:lang w:val="es-ES"/>
        </w:rPr>
        <w:t xml:space="preserve"> permite a las entidades asociarse con “personas jurídicas particulares”; por su parte, el Decreto 092 de 2017 es concordante con lo anterior, de modo que se refiere, en términos generales, a la contratación con entidades privadas sin ánimo de lucro y de reconocida idoneidad. </w:t>
      </w:r>
    </w:p>
    <w:p w14:paraId="5A41AD6E" w14:textId="77777777" w:rsidR="00C9367E" w:rsidRPr="00514DA6" w:rsidRDefault="00C9367E" w:rsidP="00C9367E">
      <w:pPr>
        <w:spacing w:line="276" w:lineRule="auto"/>
        <w:ind w:firstLine="708"/>
        <w:jc w:val="both"/>
        <w:rPr>
          <w:rFonts w:ascii="Verdana" w:eastAsia="Arial" w:hAnsi="Verdana" w:cs="Arial"/>
          <w:color w:val="000000" w:themeColor="text1"/>
          <w:lang w:val="es-ES"/>
        </w:rPr>
      </w:pPr>
      <w:r w:rsidRPr="00514DA6">
        <w:rPr>
          <w:rFonts w:ascii="Verdana" w:eastAsia="Arial" w:hAnsi="Verdana" w:cs="Arial"/>
          <w:color w:val="000000" w:themeColor="text1"/>
          <w:lang w:val="es-ES"/>
        </w:rPr>
        <w:lastRenderedPageBreak/>
        <w:t xml:space="preserve">En este contexto, es necesario precisar que toda ESAL que participe en los procesos contractuales antes referidos debe acreditar el cumplimiento de los requisitos exigidos por la normativa </w:t>
      </w:r>
      <w:r>
        <w:rPr>
          <w:rFonts w:ascii="Verdana" w:eastAsia="Arial" w:hAnsi="Verdana" w:cs="Arial"/>
          <w:color w:val="000000" w:themeColor="text1"/>
          <w:lang w:val="es-ES"/>
        </w:rPr>
        <w:t>vigente</w:t>
      </w:r>
      <w:r w:rsidRPr="00514DA6">
        <w:rPr>
          <w:rFonts w:ascii="Verdana" w:eastAsia="Arial" w:hAnsi="Verdana" w:cs="Arial"/>
          <w:color w:val="000000" w:themeColor="text1"/>
          <w:lang w:val="es-ES"/>
        </w:rPr>
        <w:t xml:space="preserve"> para su existencia y funcionamiento, de manera que pueda ser considerada una persona jurídica legalmente capaz. En efecto, bajo este régimen jurídico, las ESAL son personas jurídicas con aptitud para ejercer derechos y contraer obligaciones, cuya característica esencial radica en que las utilidades o beneficios que eventualmente generen deben reinvertirse en el desarrollo de su objeto social, sin que sea posible su distribución entre asociados, fundadores o cooperados.</w:t>
      </w:r>
    </w:p>
    <w:p w14:paraId="24A7467B" w14:textId="54B39AA6" w:rsidR="00C9367E" w:rsidRPr="00647DC6" w:rsidRDefault="00C9367E" w:rsidP="00C9367E">
      <w:pPr>
        <w:spacing w:line="276" w:lineRule="auto"/>
        <w:ind w:firstLine="708"/>
        <w:jc w:val="both"/>
        <w:rPr>
          <w:rFonts w:ascii="Verdana" w:eastAsia="Arial" w:hAnsi="Verdana" w:cs="Arial"/>
          <w:color w:val="000000" w:themeColor="text1"/>
          <w:lang w:val="es-ES"/>
        </w:rPr>
      </w:pPr>
      <w:r w:rsidRPr="00514DA6">
        <w:rPr>
          <w:rFonts w:ascii="Verdana" w:eastAsia="Arial" w:hAnsi="Verdana" w:cs="Arial"/>
          <w:color w:val="000000" w:themeColor="text1"/>
          <w:lang w:val="es-ES"/>
        </w:rPr>
        <w:t>Ahora bien, el hecho de que las ESAL no persigan fines de lucro no implica que les esté vedada la celebración de contratos o la realización de actividades económicas que generen ingresos. Por el contrario, dichas actividades resultan compatibles con su naturaleza jurídica, siempre que los recursos obtenidos se destinen exclusivamente al cumplimiento de sus fines estatutarios. En consecuencia, las ESAL cuentan con plena capacidad jurídica para contratar con el Estado, siempre que dicha contratación se enmarque en su objeto social, se encuentre debidamente autorizada por su representante legal y no concurra ninguna causal de inhabilidad, incompatibilidad o prohibición legal para contratar</w:t>
      </w:r>
      <w:r>
        <w:rPr>
          <w:rFonts w:ascii="Verdana" w:eastAsia="Arial" w:hAnsi="Verdana" w:cs="Arial"/>
          <w:color w:val="000000" w:themeColor="text1"/>
          <w:lang w:val="es-ES"/>
        </w:rPr>
        <w:t>.</w:t>
      </w:r>
      <w:r w:rsidR="00E67B14">
        <w:rPr>
          <w:rFonts w:ascii="Verdana" w:eastAsia="Arial" w:hAnsi="Verdana" w:cs="Arial"/>
          <w:color w:val="000000" w:themeColor="text1"/>
          <w:lang w:val="es-ES"/>
        </w:rPr>
        <w:t xml:space="preserve"> </w:t>
      </w:r>
      <w:r w:rsidRPr="005F0036">
        <w:rPr>
          <w:rFonts w:ascii="Verdana" w:eastAsia="Arial" w:hAnsi="Verdana" w:cs="Arial"/>
          <w:lang w:val="es-ES"/>
        </w:rPr>
        <w:t>Establecida la capacidad jurídica de las ESAL para contratar con el Estado y los límites derivados de su naturaleza, resulta pertinente examinar el marco constitucional y legal que regula las formas específicas de colaboración entre estas</w:t>
      </w:r>
      <w:r>
        <w:rPr>
          <w:rFonts w:ascii="Verdana" w:eastAsia="Arial" w:hAnsi="Verdana" w:cs="Arial"/>
          <w:lang w:val="es-ES"/>
        </w:rPr>
        <w:t xml:space="preserve"> </w:t>
      </w:r>
      <w:r w:rsidRPr="005F0036">
        <w:rPr>
          <w:rFonts w:ascii="Verdana" w:eastAsia="Arial" w:hAnsi="Verdana" w:cs="Arial"/>
          <w:lang w:val="es-ES"/>
        </w:rPr>
        <w:t xml:space="preserve">y las </w:t>
      </w:r>
      <w:r>
        <w:rPr>
          <w:rFonts w:ascii="Verdana" w:eastAsia="Arial" w:hAnsi="Verdana" w:cs="Arial"/>
          <w:lang w:val="es-ES"/>
        </w:rPr>
        <w:t>entidades estatales</w:t>
      </w:r>
      <w:r w:rsidRPr="005F0036">
        <w:rPr>
          <w:rFonts w:ascii="Verdana" w:eastAsia="Arial" w:hAnsi="Verdana" w:cs="Arial"/>
          <w:lang w:val="es-ES"/>
        </w:rPr>
        <w:t>.</w:t>
      </w:r>
    </w:p>
    <w:p w14:paraId="40479747" w14:textId="77777777" w:rsidR="00C9367E" w:rsidRPr="00B17F81" w:rsidRDefault="00C9367E" w:rsidP="00C9367E">
      <w:pPr>
        <w:spacing w:line="276" w:lineRule="auto"/>
        <w:ind w:firstLine="708"/>
        <w:jc w:val="both"/>
        <w:rPr>
          <w:rFonts w:ascii="Verdana" w:eastAsia="Arial" w:hAnsi="Verdana" w:cs="Arial"/>
          <w:lang w:val="es-ES"/>
        </w:rPr>
      </w:pPr>
      <w:r w:rsidRPr="00B17F81">
        <w:rPr>
          <w:rFonts w:ascii="Verdana" w:eastAsia="Arial" w:hAnsi="Verdana" w:cs="Arial"/>
        </w:rPr>
        <w:t>En este sentido,</w:t>
      </w:r>
      <w:r>
        <w:rPr>
          <w:rFonts w:ascii="Verdana" w:eastAsia="Arial" w:hAnsi="Verdana" w:cs="Arial"/>
        </w:rPr>
        <w:t xml:space="preserve"> </w:t>
      </w:r>
      <w:r w:rsidRPr="00AD1990">
        <w:rPr>
          <w:rFonts w:ascii="Verdana" w:eastAsia="Arial" w:hAnsi="Verdana" w:cs="Arial"/>
        </w:rPr>
        <w:t xml:space="preserve">el artículo 355 de la Constitución Política, </w:t>
      </w:r>
      <w:r>
        <w:rPr>
          <w:rFonts w:ascii="Verdana" w:eastAsia="Arial" w:hAnsi="Verdana" w:cs="Arial"/>
        </w:rPr>
        <w:t xml:space="preserve">señala como regla general, </w:t>
      </w:r>
      <w:r w:rsidRPr="00AD1990">
        <w:rPr>
          <w:rFonts w:ascii="Verdana" w:eastAsia="Arial" w:hAnsi="Verdana" w:cs="Arial"/>
        </w:rPr>
        <w:t xml:space="preserve">que prohíbe a las ramas y órganos del poder público decretar auxilios o donaciones en favor de personas naturales o jurídicas. </w:t>
      </w:r>
      <w:r>
        <w:rPr>
          <w:rFonts w:ascii="Verdana" w:eastAsia="Arial" w:hAnsi="Verdana" w:cs="Arial"/>
        </w:rPr>
        <w:t xml:space="preserve">Sin embargo, </w:t>
      </w:r>
      <w:r w:rsidRPr="000E0CCD">
        <w:rPr>
          <w:rFonts w:ascii="Verdana" w:eastAsia="Arial" w:hAnsi="Verdana" w:cs="Arial"/>
        </w:rPr>
        <w:t>a</w:t>
      </w:r>
      <w:r w:rsidRPr="00AD1990">
        <w:rPr>
          <w:rFonts w:ascii="Verdana" w:eastAsia="Arial" w:hAnsi="Verdana" w:cs="Arial"/>
        </w:rPr>
        <w:t>l mismo tiempo, establece que las entidades del orden nacional, departamental, distrital y municipal podrán, con sus propios recursos, contratar con entidades privadas sin ánimo de lucro (ESAL) de reconocida idoneidad, con el fin de impulsar programas y actividades de interés público acordes con el Plan Nacional de Desarrollo y los planes seccionales de desarrollo</w:t>
      </w:r>
      <w:r w:rsidRPr="000E0CCD">
        <w:rPr>
          <w:rStyle w:val="Refdenotaalpie"/>
          <w:rFonts w:ascii="Verdana" w:eastAsia="Arial" w:hAnsi="Verdana" w:cs="Arial"/>
        </w:rPr>
        <w:footnoteReference w:id="3"/>
      </w:r>
      <w:r w:rsidRPr="00AD1990">
        <w:rPr>
          <w:rFonts w:ascii="Verdana" w:eastAsia="Arial" w:hAnsi="Verdana" w:cs="Arial"/>
        </w:rPr>
        <w:t>.</w:t>
      </w:r>
      <w:r w:rsidRPr="000E0CCD">
        <w:rPr>
          <w:rFonts w:ascii="Verdana" w:eastAsia="Arial" w:hAnsi="Verdana" w:cs="Arial"/>
        </w:rPr>
        <w:t xml:space="preserve"> </w:t>
      </w:r>
      <w:r w:rsidRPr="00A7161B">
        <w:rPr>
          <w:rFonts w:ascii="Verdana" w:eastAsia="Arial" w:hAnsi="Verdana" w:cs="Arial"/>
        </w:rPr>
        <w:t xml:space="preserve">Por su parte, el </w:t>
      </w:r>
      <w:r w:rsidRPr="00AD1990">
        <w:rPr>
          <w:rFonts w:ascii="Verdana" w:eastAsia="Arial" w:hAnsi="Verdana" w:cs="Arial"/>
        </w:rPr>
        <w:t xml:space="preserve">artículo 96 de la Ley 489 de 1998 permite a las entidades, cualquiera que sea su naturaleza y orden administrativo, asociarse con </w:t>
      </w:r>
      <w:r w:rsidRPr="00AD1990">
        <w:rPr>
          <w:rFonts w:ascii="Verdana" w:eastAsia="Arial" w:hAnsi="Verdana" w:cs="Arial"/>
          <w:i/>
          <w:iCs/>
        </w:rPr>
        <w:t>personas jurídicas particulares</w:t>
      </w:r>
      <w:r w:rsidRPr="00AD1990">
        <w:rPr>
          <w:rFonts w:ascii="Verdana" w:eastAsia="Arial" w:hAnsi="Verdana" w:cs="Arial"/>
        </w:rPr>
        <w:t xml:space="preserve"> mediante la celebración de convenios de asociación o la creación de personas jurídicas. </w:t>
      </w:r>
      <w:r w:rsidRPr="00AD1990">
        <w:rPr>
          <w:rFonts w:ascii="Verdana" w:eastAsia="Arial" w:hAnsi="Verdana" w:cs="Arial"/>
        </w:rPr>
        <w:lastRenderedPageBreak/>
        <w:t>Ambas figuras tienen como finalidad desarrollar conjuntamente actividades relacionadas con los cometidos y funciones legales asignadas a la entidad.</w:t>
      </w:r>
    </w:p>
    <w:p w14:paraId="15835A49" w14:textId="77777777" w:rsidR="00C9367E" w:rsidRPr="002B055A" w:rsidRDefault="00C9367E" w:rsidP="00C9367E">
      <w:pPr>
        <w:spacing w:line="276" w:lineRule="auto"/>
        <w:ind w:firstLine="708"/>
        <w:jc w:val="both"/>
        <w:rPr>
          <w:rFonts w:ascii="Verdana" w:eastAsia="Arial" w:hAnsi="Verdana" w:cs="Arial"/>
          <w:lang w:val="es-ES"/>
        </w:rPr>
      </w:pPr>
      <w:r w:rsidRPr="002B055A">
        <w:rPr>
          <w:rFonts w:ascii="Verdana" w:eastAsia="Arial" w:hAnsi="Verdana" w:cs="Arial"/>
          <w:lang w:val="es-ES"/>
        </w:rPr>
        <w:t xml:space="preserve">En desarrollo de lo dispuesto en el artículo 355 de la Constitución Política, el Gobierno Nacional expidió el Decreto 092 de 2017, mediante el cual se establecen las reglas aplicables a la contratación que realizan las entidades estatales con las entidades sin ánimo de lucro. Dicho decreto regula dos modalidades de vinculación: (i) los contratos previstos en el artículo 355 superior, también denominados </w:t>
      </w:r>
      <w:r w:rsidRPr="002B055A">
        <w:rPr>
          <w:rFonts w:ascii="Verdana" w:eastAsia="Arial" w:hAnsi="Verdana" w:cs="Arial"/>
          <w:i/>
          <w:iCs/>
          <w:lang w:val="es-ES"/>
        </w:rPr>
        <w:t>contratos de colaboración o de interés público</w:t>
      </w:r>
      <w:r w:rsidRPr="002B055A">
        <w:rPr>
          <w:rFonts w:ascii="Verdana" w:eastAsia="Arial" w:hAnsi="Verdana" w:cs="Arial"/>
          <w:lang w:val="es-ES"/>
        </w:rPr>
        <w:t>, orientados a impulsar programas y actividades de interés público acordes con el Plan Nacional de Desarrollo o los planes seccionales de desarrollo, y (</w:t>
      </w:r>
      <w:proofErr w:type="spellStart"/>
      <w:r w:rsidRPr="002B055A">
        <w:rPr>
          <w:rFonts w:ascii="Verdana" w:eastAsia="Arial" w:hAnsi="Verdana" w:cs="Arial"/>
          <w:lang w:val="es-ES"/>
        </w:rPr>
        <w:t>ii</w:t>
      </w:r>
      <w:proofErr w:type="spellEnd"/>
      <w:r w:rsidRPr="002B055A">
        <w:rPr>
          <w:rFonts w:ascii="Verdana" w:eastAsia="Arial" w:hAnsi="Verdana" w:cs="Arial"/>
          <w:lang w:val="es-ES"/>
        </w:rPr>
        <w:t xml:space="preserve">) los </w:t>
      </w:r>
      <w:r w:rsidRPr="002B055A">
        <w:rPr>
          <w:rFonts w:ascii="Verdana" w:eastAsia="Arial" w:hAnsi="Verdana" w:cs="Arial"/>
          <w:i/>
          <w:iCs/>
          <w:lang w:val="es-ES"/>
        </w:rPr>
        <w:t>convenios de asociación</w:t>
      </w:r>
      <w:r w:rsidRPr="002B055A">
        <w:rPr>
          <w:rFonts w:ascii="Verdana" w:eastAsia="Arial" w:hAnsi="Verdana" w:cs="Arial"/>
          <w:lang w:val="es-ES"/>
        </w:rPr>
        <w:t>, destinados al desarrollo conjunto de actividades relacionadas con las funciones de las entidades estatales, en aplicación del artículo 96 de la Ley 489 de 1998.</w:t>
      </w:r>
    </w:p>
    <w:p w14:paraId="6B2B4DAD" w14:textId="77777777" w:rsidR="00C9367E" w:rsidRPr="002B055A" w:rsidRDefault="00C9367E" w:rsidP="00C9367E">
      <w:pPr>
        <w:spacing w:line="276" w:lineRule="auto"/>
        <w:ind w:firstLine="708"/>
        <w:jc w:val="both"/>
        <w:rPr>
          <w:rFonts w:ascii="Verdana" w:eastAsia="Arial" w:hAnsi="Verdana" w:cs="Arial"/>
          <w:lang w:val="es-ES"/>
        </w:rPr>
      </w:pPr>
      <w:r w:rsidRPr="002B055A">
        <w:rPr>
          <w:rFonts w:ascii="Verdana" w:eastAsia="Arial" w:hAnsi="Verdana" w:cs="Arial"/>
          <w:lang w:val="es-ES"/>
        </w:rPr>
        <w:t>En cuanto a su regulación específica, los contratos de interés público se encuentran previstos en el artículo 2 del Decreto 092 de 2017, mientras que los convenios de asociación están desarrollados en los artículos 5, 6, 7 y 8 del mismo decreto.</w:t>
      </w:r>
    </w:p>
    <w:p w14:paraId="774FD7A9" w14:textId="77777777" w:rsidR="00C9367E" w:rsidRPr="003F3870" w:rsidRDefault="00C9367E" w:rsidP="00C9367E">
      <w:pPr>
        <w:spacing w:line="276" w:lineRule="auto"/>
        <w:ind w:firstLine="708"/>
        <w:jc w:val="both"/>
        <w:rPr>
          <w:rFonts w:ascii="Verdana" w:eastAsia="Arial" w:hAnsi="Verdana" w:cs="Arial"/>
          <w:lang w:val="es-ES"/>
        </w:rPr>
      </w:pPr>
      <w:r>
        <w:rPr>
          <w:rFonts w:ascii="Verdana" w:eastAsia="Arial" w:hAnsi="Verdana" w:cs="Arial"/>
          <w:lang w:val="es-ES"/>
        </w:rPr>
        <w:t xml:space="preserve">En relación con los </w:t>
      </w:r>
      <w:r w:rsidRPr="00AB6C3D">
        <w:rPr>
          <w:rFonts w:ascii="Verdana" w:eastAsia="Arial" w:hAnsi="Verdana" w:cs="Arial"/>
          <w:i/>
          <w:iCs/>
          <w:lang w:val="es-ES"/>
        </w:rPr>
        <w:t>contratos del artículo 355 de la Constitución Política, también denominados contratos de colaboración o interés público</w:t>
      </w:r>
      <w:r w:rsidRPr="00AB6C3D">
        <w:rPr>
          <w:rFonts w:ascii="Verdana" w:eastAsia="Arial" w:hAnsi="Verdana" w:cs="Arial"/>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ésta y la ESAL, toda vez que el beneficio directo lo recibirán, en últimas, los sectores de este tipo de acciones de fomento. </w:t>
      </w:r>
    </w:p>
    <w:p w14:paraId="4D116B4D" w14:textId="77777777"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lang w:val="es-ES"/>
        </w:rPr>
        <w:t xml:space="preserve">Por otra parte, los </w:t>
      </w:r>
      <w:r w:rsidRPr="007B1015">
        <w:rPr>
          <w:rFonts w:ascii="Verdana" w:eastAsia="Arial" w:hAnsi="Verdana" w:cs="Arial"/>
          <w:i/>
          <w:iCs/>
          <w:lang w:val="es-ES"/>
        </w:rPr>
        <w:t xml:space="preserve">convenios de asociación </w:t>
      </w:r>
      <w:r w:rsidRPr="007B1015">
        <w:rPr>
          <w:rFonts w:ascii="Verdana" w:eastAsia="Arial" w:hAnsi="Verdana" w:cs="Arial"/>
          <w:lang w:val="es-ES"/>
        </w:rPr>
        <w:t>“[t]</w:t>
      </w:r>
      <w:proofErr w:type="spellStart"/>
      <w:r w:rsidRPr="007B1015">
        <w:rPr>
          <w:rFonts w:ascii="Verdana" w:eastAsia="Arial" w:hAnsi="Verdana" w:cs="Arial"/>
          <w:lang w:val="es-ES"/>
        </w:rPr>
        <w:t>ienen</w:t>
      </w:r>
      <w:proofErr w:type="spellEnd"/>
      <w:r w:rsidRPr="007B1015">
        <w:rPr>
          <w:rFonts w:ascii="Verdana" w:eastAsia="Arial" w:hAnsi="Verdana" w:cs="Arial"/>
          <w:lang w:val="es-ES"/>
        </w:rPr>
        <w:t xml:space="preserve"> como finalidad que la entidad estatal, cualquiera que sea su naturaleza y orden administrativo, se asocien con </w:t>
      </w:r>
      <w:r w:rsidRPr="007B1015">
        <w:rPr>
          <w:rFonts w:ascii="Verdana" w:eastAsia="Arial" w:hAnsi="Verdana" w:cs="Arial"/>
          <w:i/>
          <w:iCs/>
          <w:u w:val="single"/>
          <w:lang w:val="es-ES"/>
        </w:rPr>
        <w:t>personas jurídicas particulares</w:t>
      </w:r>
      <w:r w:rsidRPr="007B1015">
        <w:rPr>
          <w:rFonts w:ascii="Verdana" w:eastAsia="Arial" w:hAnsi="Verdana" w:cs="Arial"/>
          <w:lang w:val="es-ES"/>
        </w:rPr>
        <w:t xml:space="preserve"> para el desarrollo conjunto de actividades relacionadas con los cometidos y funciones asignadas a aquellas conforme a la Constitución y a la Ley”</w:t>
      </w:r>
      <w:r w:rsidRPr="007B1015">
        <w:rPr>
          <w:rFonts w:ascii="Verdana" w:eastAsia="Arial" w:hAnsi="Verdana" w:cs="Arial"/>
          <w:vertAlign w:val="superscript"/>
          <w:lang w:val="es-ES"/>
        </w:rPr>
        <w:footnoteReference w:id="4"/>
      </w:r>
      <w:r w:rsidRPr="007B1015">
        <w:rPr>
          <w:rFonts w:ascii="Verdana" w:eastAsia="Arial" w:hAnsi="Verdana" w:cs="Arial"/>
          <w:lang w:val="es-ES"/>
        </w:rPr>
        <w:t xml:space="preserve"> [Énfasis propio]. Por esta razón, en los convenios de asociación no existen contraprestaciones o pagos, sino </w:t>
      </w:r>
      <w:r w:rsidRPr="007B1015">
        <w:rPr>
          <w:rFonts w:ascii="Verdana" w:eastAsia="Arial" w:hAnsi="Verdana" w:cs="Arial"/>
          <w:i/>
          <w:iCs/>
          <w:lang w:val="es-ES"/>
        </w:rPr>
        <w:t>aportes</w:t>
      </w:r>
      <w:r w:rsidRPr="007B1015">
        <w:rPr>
          <w:rFonts w:ascii="Verdana" w:eastAsia="Arial" w:hAnsi="Verdana" w:cs="Arial"/>
          <w:lang w:val="es-ES"/>
        </w:rPr>
        <w:t xml:space="preserve">, los </w:t>
      </w:r>
      <w:r w:rsidRPr="007B1015">
        <w:rPr>
          <w:rFonts w:ascii="Verdana" w:eastAsia="Arial" w:hAnsi="Verdana" w:cs="Arial"/>
          <w:lang w:val="es-ES"/>
        </w:rPr>
        <w:lastRenderedPageBreak/>
        <w:t xml:space="preserve">cuales están dirigidos exclusivamente a lograr la ejecución del convenio, no a remunerar la actividad o actuaciones del asociado. </w:t>
      </w:r>
    </w:p>
    <w:p w14:paraId="304E3B05" w14:textId="77777777"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bCs/>
          <w:lang w:val="es-ES"/>
        </w:rPr>
        <w:t xml:space="preserve">En efecto, en estos convenios las partes asociadas suman voluntades y recursos con la finalidad de cumplir con el objetivo del acuerdo. Por lo anterior, no es propio de los convenios de asociación que se pacte algún tipo de remuneración o de utilidad; de forma similar, no se configuran pagos, sino que se realiza el desembolso. De esta forma, es inherente a estos acuerdos que las partes realicen aportes que pueden pactarse en dinero o en especie, siempre que sean destinados al desarrollo del acuerdo. En concreto, </w:t>
      </w:r>
      <w:r w:rsidRPr="007B1015">
        <w:rPr>
          <w:rFonts w:ascii="Verdana" w:eastAsia="Arial" w:hAnsi="Verdana" w:cs="Arial"/>
          <w:lang w:val="es-ES"/>
        </w:rPr>
        <w:t xml:space="preserve">las ESAL deben realizar aportes a los convenios que suscriban, los cuales pueden ser en dinero, en porcentajes inferiores o superiores al treinta por ciento (30%) del valor total, o en especie, los cuales deben servir a los objetivos comunes de la asociación. </w:t>
      </w:r>
    </w:p>
    <w:p w14:paraId="443B04AF" w14:textId="77777777"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lang w:val="es-ES"/>
        </w:rPr>
        <w:t>En los términos contenidos en el convenio, cada parte deberá ejecutar las obligaciones correspondientes a los aportes comprometidos para satisfacer sus finalidades, esto es, el desarrollo conjunto de actividades relacionadas con los cometidos y funciones asignadas a la Entidad Estatal, cualquiera que sea su naturaleza y orden administrativo, conforme a la Constitución y a la Ley</w:t>
      </w:r>
      <w:r w:rsidRPr="007B1015">
        <w:rPr>
          <w:rFonts w:ascii="Verdana" w:eastAsia="Arial" w:hAnsi="Verdana" w:cs="Arial"/>
          <w:i/>
          <w:iCs/>
          <w:vertAlign w:val="superscript"/>
          <w:lang w:val="es-ES"/>
        </w:rPr>
        <w:footnoteReference w:id="5"/>
      </w:r>
      <w:r w:rsidRPr="007B1015">
        <w:rPr>
          <w:rFonts w:ascii="Verdana" w:eastAsia="Arial" w:hAnsi="Verdana" w:cs="Arial"/>
          <w:lang w:val="es-ES"/>
        </w:rPr>
        <w:t>. En línea con lo anterior, los aportes pueden incluir distintos bienes y servicios como, por ejemplo, el pago de equipo de trabajo, alquiler aulas, alquiler equipos de cómputo, refrigerios, material didáctico, logística, cursos académicos, seminarios, transporte, impresiones, entre otros. Se reitera, la destinación de los recursos en dinero o del aporte en especie aportado dependerá del objeto del convenio y se realizará en los términos pactados en el mismo.</w:t>
      </w:r>
    </w:p>
    <w:p w14:paraId="272F8D8F" w14:textId="77777777"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lang w:val="es-ES"/>
        </w:rPr>
        <w:t>De todos modos, la entidad deberá adelantar un proceso competitivo, salvo cuando la ESAL comprometa recursos en dinero para la ejecución de estas actividades, en una proporción no inferior al treinta por ciento (30%) del valor total del convenio. El convenio de asociación no es conmutativo y, por tanto, la entidad no instruye al contratista para desarrollar los programas o actividades previstas, sino que se asocia con él para el cumplimiento de objetivos comunes</w:t>
      </w:r>
      <w:r w:rsidRPr="007B1015">
        <w:rPr>
          <w:rFonts w:ascii="Verdana" w:eastAsia="Arial" w:hAnsi="Verdana" w:cs="Arial"/>
          <w:vertAlign w:val="superscript"/>
          <w:lang w:val="es-ES"/>
        </w:rPr>
        <w:footnoteReference w:id="6"/>
      </w:r>
      <w:r w:rsidRPr="007B1015">
        <w:rPr>
          <w:rFonts w:ascii="Verdana" w:eastAsia="Arial" w:hAnsi="Verdana" w:cs="Arial"/>
          <w:lang w:val="es-ES"/>
        </w:rPr>
        <w:t>.</w:t>
      </w:r>
    </w:p>
    <w:p w14:paraId="5EB5614C" w14:textId="3D4A6511"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lang w:val="es-ES"/>
        </w:rPr>
        <w:t>Sobe la estipulación de los aportes, el inciso segundo del artículo 96 de la Ley 489 de 1998 señala lo siguiente:</w:t>
      </w:r>
      <w:r w:rsidR="00DC3CD6" w:rsidRPr="005F67B3">
        <w:rPr>
          <w:rFonts w:ascii="Verdana" w:eastAsia="Times New Roman" w:hAnsi="Verdana" w:cs="Century Gothic"/>
          <w:bCs/>
          <w:lang w:val="es-ES"/>
        </w:rPr>
        <w:t xml:space="preserve"> </w:t>
      </w:r>
      <w:r w:rsidRPr="005F67B3">
        <w:rPr>
          <w:rFonts w:ascii="Verdana" w:eastAsia="Times New Roman" w:hAnsi="Verdana" w:cs="Century Gothic"/>
          <w:lang w:val="es-ES"/>
        </w:rPr>
        <w:t xml:space="preserve">“Los convenios de asociación a que se </w:t>
      </w:r>
      <w:r w:rsidRPr="005F67B3">
        <w:rPr>
          <w:rFonts w:ascii="Verdana" w:eastAsia="Times New Roman" w:hAnsi="Verdana" w:cs="Century Gothic"/>
          <w:lang w:val="es-ES"/>
        </w:rPr>
        <w:lastRenderedPageBreak/>
        <w:t>refiere el presente artículo se celebrarán de conformidad con lo dispuesto en el artículo 355 de la Constitución Política, </w:t>
      </w:r>
      <w:r w:rsidRPr="005F67B3">
        <w:rPr>
          <w:rFonts w:ascii="Verdana" w:eastAsia="Times New Roman" w:hAnsi="Verdana" w:cs="Century Gothic"/>
          <w:i/>
          <w:lang w:val="es-ES"/>
        </w:rPr>
        <w:t>se determinará con precisión su objeto, término, obligaciones de las partes, aportes, coordinación y todos aquellos aspectos que se consideren pertinentes</w:t>
      </w:r>
      <w:r w:rsidRPr="005F67B3">
        <w:rPr>
          <w:rFonts w:ascii="Verdana" w:eastAsia="Times New Roman" w:hAnsi="Verdana" w:cs="Century Gothic"/>
          <w:lang w:val="es-ES"/>
        </w:rPr>
        <w:t> […]” [Énfasis fuera del texto original]</w:t>
      </w:r>
      <w:r w:rsidR="00DC3CD6" w:rsidRPr="00DC3CD6">
        <w:rPr>
          <w:rFonts w:ascii="Verdana" w:eastAsia="Arial" w:hAnsi="Verdana" w:cs="Arial"/>
          <w:lang w:val="es-ES"/>
        </w:rPr>
        <w:t xml:space="preserve">. </w:t>
      </w:r>
      <w:r w:rsidRPr="007B1015">
        <w:rPr>
          <w:rFonts w:ascii="Verdana" w:eastAsia="Arial" w:hAnsi="Verdana" w:cs="Arial"/>
          <w:lang w:val="es-ES"/>
        </w:rPr>
        <w:t xml:space="preserve">De esta manera, la norma resalta que las entidades que suscriban convenios de asociación tienen la obligación de determinar </w:t>
      </w:r>
      <w:r w:rsidRPr="007B1015">
        <w:rPr>
          <w:rFonts w:ascii="Verdana" w:eastAsia="Arial" w:hAnsi="Verdana" w:cs="Arial"/>
          <w:i/>
          <w:iCs/>
          <w:lang w:val="es-ES"/>
        </w:rPr>
        <w:t>de forma precisa</w:t>
      </w:r>
      <w:r w:rsidRPr="007B1015">
        <w:rPr>
          <w:rFonts w:ascii="Verdana" w:eastAsia="Arial" w:hAnsi="Verdana" w:cs="Arial"/>
          <w:lang w:val="es-ES"/>
        </w:rPr>
        <w:t xml:space="preserve"> las obligaciones de las partes y sus aportes, así como otros factores que sean necesarios para su correcta ejecución. </w:t>
      </w:r>
    </w:p>
    <w:p w14:paraId="6F627E7E" w14:textId="77777777" w:rsidR="00C9367E" w:rsidRPr="007B1015" w:rsidRDefault="00C9367E" w:rsidP="00C9367E">
      <w:pPr>
        <w:spacing w:line="276" w:lineRule="auto"/>
        <w:ind w:firstLine="709"/>
        <w:jc w:val="both"/>
        <w:rPr>
          <w:rFonts w:ascii="Verdana" w:eastAsia="Arial" w:hAnsi="Verdana" w:cs="Arial"/>
          <w:bCs/>
          <w:lang w:val="es-ES"/>
        </w:rPr>
      </w:pPr>
      <w:r w:rsidRPr="007B1015">
        <w:rPr>
          <w:rFonts w:ascii="Verdana" w:eastAsia="Arial" w:hAnsi="Verdana" w:cs="Arial"/>
          <w:bCs/>
          <w:lang w:val="es-ES"/>
        </w:rPr>
        <w:t xml:space="preserve">Sin embargo, es importante aclarar ninguna de las normas señaladas establece la forma o condiciones en que las entidades deben precisar los aportes en especie del convenio o los mecanismos que deben implementar para verificar que efectivamente sean aportados para el cumplimiento de sus fines. De esta forma, las partes cuentan con autonomía plena para determinar y configurar los aportes que realicen al convenio, así como los entregables que verificarán para determinar su cumplimiento, según se considere más adecuado y conveniente para asegurar su debida ejecución. De cualquier modo, en cumplimiento de la norma, tales determinaciones deben ser específicas, de modo que sea claro para los asociados en qué consiste el aporte de cada uno y cómo se hará la verificación durante la ejecución del convenio de asociación. </w:t>
      </w:r>
    </w:p>
    <w:p w14:paraId="309B9878" w14:textId="77777777"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lang w:val="es-ES"/>
        </w:rPr>
        <w:t>De cualquier manera, los convenios de asociación “[…]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5C34EE43" w14:textId="77777777" w:rsidR="00C9367E" w:rsidRPr="007B1015" w:rsidRDefault="00C9367E" w:rsidP="00C9367E">
      <w:pPr>
        <w:spacing w:line="276" w:lineRule="auto"/>
        <w:ind w:firstLine="709"/>
        <w:jc w:val="both"/>
        <w:rPr>
          <w:rFonts w:ascii="Verdana" w:eastAsia="Arial" w:hAnsi="Verdana" w:cs="Arial"/>
          <w:lang w:val="es-ES"/>
        </w:rPr>
      </w:pPr>
      <w:r w:rsidRPr="007B1015">
        <w:rPr>
          <w:rFonts w:ascii="Verdana" w:eastAsia="Arial" w:hAnsi="Verdana" w:cs="Arial"/>
          <w:lang w:val="es-ES"/>
        </w:rPr>
        <w:t xml:space="preserve">La noción </w:t>
      </w:r>
      <w:r w:rsidRPr="005F67B3">
        <w:rPr>
          <w:rFonts w:ascii="Verdana" w:eastAsia="Arial" w:hAnsi="Verdana" w:cs="Arial"/>
          <w:i/>
          <w:lang w:val="es-ES"/>
        </w:rPr>
        <w:t xml:space="preserve">“seleccionar de forma objetiva”, </w:t>
      </w:r>
      <w:r w:rsidRPr="007B1015">
        <w:rPr>
          <w:rFonts w:ascii="Verdana" w:eastAsia="Arial" w:hAnsi="Verdana" w:cs="Arial"/>
          <w:lang w:val="es-ES"/>
        </w:rPr>
        <w:t xml:space="preserve">contenida en el artículo 5 del Decreto 092 de 2017 no puede ser entendida como una remisión total a las Leyes 80 de 1993 y 1150 de 2007. A lo que se refiere la norma es a que la Entidad Estatal debe diseñar herramientas que permitan una comparación </w:t>
      </w:r>
      <w:r w:rsidRPr="007B1015">
        <w:rPr>
          <w:rFonts w:ascii="Verdana" w:eastAsia="Arial" w:hAnsi="Verdana" w:cs="Arial"/>
          <w:lang w:val="es-ES"/>
        </w:rPr>
        <w:lastRenderedPageBreak/>
        <w:t>objetiva de las ESAL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26718B91" w14:textId="77777777" w:rsidR="00F07BF3" w:rsidRDefault="00C9367E" w:rsidP="00F07BF3">
      <w:pPr>
        <w:spacing w:after="120" w:line="276" w:lineRule="auto"/>
        <w:ind w:firstLine="708"/>
        <w:jc w:val="both"/>
        <w:textAlignment w:val="baseline"/>
        <w:rPr>
          <w:rFonts w:ascii="Verdana" w:eastAsia="Calibri" w:hAnsi="Verdana" w:cs="Arial"/>
          <w:lang w:val="es-MX"/>
        </w:rPr>
      </w:pPr>
      <w:r w:rsidRPr="007B1015">
        <w:rPr>
          <w:rFonts w:ascii="Verdana" w:eastAsia="Arial" w:hAnsi="Verdana" w:cs="Arial"/>
          <w:lang w:val="es-ES"/>
        </w:rPr>
        <w:t xml:space="preserve">En suma, si se pretende realizar un </w:t>
      </w:r>
      <w:r w:rsidRPr="007B1015">
        <w:rPr>
          <w:rFonts w:ascii="Verdana" w:eastAsia="Arial" w:hAnsi="Verdana" w:cs="Arial"/>
          <w:i/>
          <w:iCs/>
          <w:lang w:val="es-ES"/>
        </w:rPr>
        <w:t>convenio de asociación</w:t>
      </w:r>
      <w:r w:rsidRPr="007B1015">
        <w:rPr>
          <w:rFonts w:ascii="Verdana" w:eastAsia="Arial" w:hAnsi="Verdana" w:cs="Arial"/>
          <w:lang w:val="es-ES"/>
        </w:rPr>
        <w:t xml:space="preserve"> con ESAL de reconocida idoneidad para el cumplimiento de las funciones que la ley les asigna a las entidades públicas, deberá aplicarse lo dispuesto en el artículo 5 del Decreto 092 de 2017. De esta manera, deben estar sujetos a competencia, salvo en aquellos casos en que una entidad sin ánimo de lucro comprometa recursos en dinero por un valor igual o superior al 30% del valor total del convenio</w:t>
      </w:r>
      <w:r w:rsidRPr="007B1015">
        <w:rPr>
          <w:rFonts w:ascii="Verdana" w:eastAsia="Arial" w:hAnsi="Verdana" w:cs="Arial"/>
          <w:vertAlign w:val="superscript"/>
          <w:lang w:val="es-ES"/>
        </w:rPr>
        <w:footnoteReference w:id="7"/>
      </w:r>
      <w:r w:rsidRPr="007B1015">
        <w:rPr>
          <w:rFonts w:ascii="Verdana" w:eastAsia="Arial" w:hAnsi="Verdana" w:cs="Arial"/>
          <w:lang w:val="es-ES"/>
        </w:rPr>
        <w:t xml:space="preserve">, y siempre que la entidad estatal verifique previamente que no existe ninguna otra entidad sin ánimo de lucro que ofrezca aportes iguales o superiores al 30%. </w:t>
      </w:r>
      <w:r w:rsidR="00F07BF3" w:rsidRPr="00E9090B">
        <w:rPr>
          <w:rFonts w:ascii="Verdana" w:eastAsia="Arial" w:hAnsi="Verdana" w:cs="Arial"/>
          <w:lang w:val="es-ES"/>
        </w:rPr>
        <w:t>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sidR="00F07BF3">
        <w:rPr>
          <w:rFonts w:ascii="Verdana" w:eastAsia="Calibri" w:hAnsi="Verdana" w:cs="Arial"/>
          <w:lang w:val="es-MX"/>
        </w:rPr>
        <w:t>.</w:t>
      </w:r>
    </w:p>
    <w:p w14:paraId="4869E5E9" w14:textId="77777777" w:rsidR="002079CB" w:rsidRPr="003356E7" w:rsidRDefault="002079CB" w:rsidP="002079CB">
      <w:pPr>
        <w:spacing w:after="120" w:line="276" w:lineRule="auto"/>
        <w:ind w:firstLine="708"/>
        <w:jc w:val="both"/>
        <w:textAlignment w:val="baseline"/>
        <w:rPr>
          <w:rFonts w:ascii="Verdana" w:eastAsia="Calibri" w:hAnsi="Verdana" w:cs="Arial"/>
        </w:rPr>
      </w:pPr>
      <w:r>
        <w:rPr>
          <w:rFonts w:ascii="Verdana" w:eastAsia="Calibri" w:hAnsi="Verdana" w:cs="Arial"/>
          <w:lang w:val="es-MX"/>
        </w:rPr>
        <w:t xml:space="preserve">A partir de lo expuesto, se encuentra que en la Nueva </w:t>
      </w:r>
      <w:r w:rsidRPr="00886DAE">
        <w:rPr>
          <w:rFonts w:ascii="Verdana" w:eastAsia="Calibri" w:hAnsi="Verdana" w:cs="Arial"/>
          <w:bCs/>
        </w:rPr>
        <w:t>“</w:t>
      </w:r>
      <w:r w:rsidRPr="00886DAE">
        <w:rPr>
          <w:rFonts w:ascii="Verdana" w:eastAsia="Calibri" w:hAnsi="Verdana" w:cs="Arial"/>
          <w:bCs/>
          <w:i/>
          <w:iCs/>
        </w:rPr>
        <w:t>Guía para la contratación con entidades privadas sin ánimo de lucro y de reconocida idoneidad”</w:t>
      </w:r>
      <w:r>
        <w:rPr>
          <w:rFonts w:ascii="Verdana" w:eastAsia="Calibri" w:hAnsi="Verdana" w:cs="Arial"/>
          <w:bCs/>
          <w:i/>
          <w:iCs/>
        </w:rPr>
        <w:t xml:space="preserve"> </w:t>
      </w:r>
      <w:r>
        <w:rPr>
          <w:rFonts w:ascii="Verdana" w:eastAsia="Calibri" w:hAnsi="Verdana" w:cs="Arial"/>
          <w:lang w:val="es-MX"/>
        </w:rPr>
        <w:t>se establece tres condiciones para contratar mediante convenios de asociación: en primer lugar, e</w:t>
      </w:r>
      <w:r w:rsidRPr="0033599C">
        <w:rPr>
          <w:rFonts w:ascii="Verdana" w:eastAsia="Calibri" w:hAnsi="Verdana" w:cs="Arial"/>
        </w:rPr>
        <w:t xml:space="preserve">l </w:t>
      </w:r>
      <w:r>
        <w:rPr>
          <w:rFonts w:ascii="Verdana" w:eastAsia="Calibri" w:hAnsi="Verdana" w:cs="Arial"/>
        </w:rPr>
        <w:t xml:space="preserve">convenio de asociación debe suscribirse mediante un proceso competitivo </w:t>
      </w:r>
      <w:r w:rsidRPr="0033599C">
        <w:rPr>
          <w:rFonts w:ascii="Verdana" w:eastAsia="Calibri" w:hAnsi="Verdana" w:cs="Arial"/>
        </w:rPr>
        <w:t>con</w:t>
      </w:r>
      <w:r>
        <w:rPr>
          <w:rFonts w:ascii="Verdana" w:eastAsia="Calibri" w:hAnsi="Verdana" w:cs="Arial"/>
        </w:rPr>
        <w:t xml:space="preserve"> </w:t>
      </w:r>
      <w:r w:rsidRPr="0033599C">
        <w:rPr>
          <w:rFonts w:ascii="Verdana" w:eastAsia="Calibri" w:hAnsi="Verdana" w:cs="Arial"/>
        </w:rPr>
        <w:t>Entidades Privadas Sin Ánimo de Lucro de</w:t>
      </w:r>
      <w:r>
        <w:rPr>
          <w:rFonts w:ascii="Verdana" w:eastAsia="Calibri" w:hAnsi="Verdana" w:cs="Arial"/>
        </w:rPr>
        <w:t xml:space="preserve"> </w:t>
      </w:r>
      <w:r w:rsidRPr="0033599C">
        <w:rPr>
          <w:rFonts w:ascii="Verdana" w:eastAsia="Calibri" w:hAnsi="Verdana" w:cs="Arial"/>
        </w:rPr>
        <w:t xml:space="preserve">reconocida idoneidad, </w:t>
      </w:r>
      <w:r>
        <w:rPr>
          <w:rFonts w:ascii="Verdana" w:eastAsia="Calibri" w:hAnsi="Verdana" w:cs="Arial"/>
        </w:rPr>
        <w:t xml:space="preserve">con la condición de que el </w:t>
      </w:r>
      <w:r w:rsidRPr="0033599C">
        <w:rPr>
          <w:rFonts w:ascii="Verdana" w:eastAsia="Calibri" w:hAnsi="Verdana" w:cs="Arial"/>
        </w:rPr>
        <w:t>aporte de la Entidad Privada Sin Ánimo de</w:t>
      </w:r>
      <w:r>
        <w:rPr>
          <w:rFonts w:ascii="Verdana" w:eastAsia="Calibri" w:hAnsi="Verdana" w:cs="Arial"/>
        </w:rPr>
        <w:t xml:space="preserve"> </w:t>
      </w:r>
      <w:r w:rsidRPr="0033599C">
        <w:rPr>
          <w:rFonts w:ascii="Verdana" w:eastAsia="Calibri" w:hAnsi="Verdana" w:cs="Arial"/>
        </w:rPr>
        <w:t>Lucro sea inferior al 30% en dinero propio o</w:t>
      </w:r>
      <w:r>
        <w:rPr>
          <w:rFonts w:ascii="Verdana" w:eastAsia="Calibri" w:hAnsi="Verdana" w:cs="Arial"/>
        </w:rPr>
        <w:t xml:space="preserve"> </w:t>
      </w:r>
      <w:r w:rsidRPr="0033599C">
        <w:rPr>
          <w:rFonts w:ascii="Verdana" w:eastAsia="Calibri" w:hAnsi="Verdana" w:cs="Arial"/>
        </w:rPr>
        <w:t>de cooperación internacional.</w:t>
      </w:r>
      <w:r>
        <w:rPr>
          <w:rFonts w:ascii="Verdana" w:eastAsia="Calibri" w:hAnsi="Verdana" w:cs="Arial"/>
        </w:rPr>
        <w:t xml:space="preserve"> En segundo lugar, la suscripción del convenio de asociación d</w:t>
      </w:r>
      <w:r w:rsidRPr="0033599C">
        <w:rPr>
          <w:rFonts w:ascii="Verdana" w:eastAsia="Calibri" w:hAnsi="Verdana" w:cs="Arial"/>
        </w:rPr>
        <w:t>el convenio de asociación</w:t>
      </w:r>
      <w:r>
        <w:rPr>
          <w:rFonts w:ascii="Verdana" w:eastAsia="Calibri" w:hAnsi="Verdana" w:cs="Arial"/>
        </w:rPr>
        <w:t xml:space="preserve"> no está </w:t>
      </w:r>
      <w:r w:rsidRPr="0033599C">
        <w:rPr>
          <w:rFonts w:ascii="Verdana" w:eastAsia="Calibri" w:hAnsi="Verdana" w:cs="Arial"/>
        </w:rPr>
        <w:t>sujeto a un proceso competitivo</w:t>
      </w:r>
      <w:r>
        <w:rPr>
          <w:rFonts w:ascii="Verdana" w:eastAsia="Calibri" w:hAnsi="Verdana" w:cs="Arial"/>
        </w:rPr>
        <w:t xml:space="preserve"> </w:t>
      </w:r>
      <w:r w:rsidRPr="0033599C">
        <w:rPr>
          <w:rFonts w:ascii="Verdana" w:eastAsia="Calibri" w:hAnsi="Verdana" w:cs="Arial"/>
        </w:rPr>
        <w:t>cuando la Entidad Privada Sin Ánimo de Lucro</w:t>
      </w:r>
      <w:r>
        <w:rPr>
          <w:rFonts w:ascii="Verdana" w:eastAsia="Calibri" w:hAnsi="Verdana" w:cs="Arial"/>
        </w:rPr>
        <w:t xml:space="preserve"> </w:t>
      </w:r>
      <w:r w:rsidRPr="0033599C">
        <w:rPr>
          <w:rFonts w:ascii="Verdana" w:eastAsia="Calibri" w:hAnsi="Verdana" w:cs="Arial"/>
        </w:rPr>
        <w:t>comprometa recursos en dinero propio o de</w:t>
      </w:r>
      <w:r>
        <w:rPr>
          <w:rFonts w:ascii="Verdana" w:eastAsia="Calibri" w:hAnsi="Verdana" w:cs="Arial"/>
        </w:rPr>
        <w:t xml:space="preserve"> </w:t>
      </w:r>
      <w:r w:rsidRPr="0033599C">
        <w:rPr>
          <w:rFonts w:ascii="Verdana" w:eastAsia="Calibri" w:hAnsi="Verdana" w:cs="Arial"/>
        </w:rPr>
        <w:t>cooperación internacional para la ejecución</w:t>
      </w:r>
      <w:r>
        <w:rPr>
          <w:rFonts w:ascii="Verdana" w:eastAsia="Calibri" w:hAnsi="Verdana" w:cs="Arial"/>
        </w:rPr>
        <w:t xml:space="preserve"> </w:t>
      </w:r>
      <w:r w:rsidRPr="0033599C">
        <w:rPr>
          <w:rFonts w:ascii="Verdana" w:eastAsia="Calibri" w:hAnsi="Verdana" w:cs="Arial"/>
        </w:rPr>
        <w:t>de las actividades en un porcentaje no inferior</w:t>
      </w:r>
      <w:r>
        <w:rPr>
          <w:rFonts w:ascii="Verdana" w:eastAsia="Calibri" w:hAnsi="Verdana" w:cs="Arial"/>
        </w:rPr>
        <w:t xml:space="preserve"> </w:t>
      </w:r>
      <w:r w:rsidRPr="0033599C">
        <w:rPr>
          <w:rFonts w:ascii="Verdana" w:eastAsia="Calibri" w:hAnsi="Verdana" w:cs="Arial"/>
        </w:rPr>
        <w:t>al 3</w:t>
      </w:r>
      <w:r>
        <w:rPr>
          <w:rFonts w:ascii="Verdana" w:eastAsia="Calibri" w:hAnsi="Verdana" w:cs="Arial"/>
        </w:rPr>
        <w:t>0% del valor total del convenio. Por último, s</w:t>
      </w:r>
      <w:r w:rsidRPr="0033599C">
        <w:rPr>
          <w:rFonts w:ascii="Verdana" w:eastAsia="Calibri" w:hAnsi="Verdana" w:cs="Arial"/>
        </w:rPr>
        <w:t>i más de una Entidad Privada Sin Ánimo</w:t>
      </w:r>
      <w:r>
        <w:rPr>
          <w:rFonts w:ascii="Verdana" w:eastAsia="Calibri" w:hAnsi="Verdana" w:cs="Arial"/>
        </w:rPr>
        <w:t xml:space="preserve"> </w:t>
      </w:r>
      <w:r w:rsidRPr="0033599C">
        <w:rPr>
          <w:rFonts w:ascii="Verdana" w:eastAsia="Calibri" w:hAnsi="Verdana" w:cs="Arial"/>
        </w:rPr>
        <w:t>de Lucro promete recursos en dinero para el</w:t>
      </w:r>
      <w:r>
        <w:rPr>
          <w:rFonts w:ascii="Verdana" w:eastAsia="Calibri" w:hAnsi="Verdana" w:cs="Arial"/>
        </w:rPr>
        <w:t xml:space="preserve"> </w:t>
      </w:r>
      <w:r w:rsidRPr="0033599C">
        <w:rPr>
          <w:rFonts w:ascii="Verdana" w:eastAsia="Calibri" w:hAnsi="Verdana" w:cs="Arial"/>
        </w:rPr>
        <w:t xml:space="preserve">desarrollo de las </w:t>
      </w:r>
      <w:r w:rsidRPr="0033599C">
        <w:rPr>
          <w:rFonts w:ascii="Verdana" w:eastAsia="Calibri" w:hAnsi="Verdana" w:cs="Arial"/>
        </w:rPr>
        <w:lastRenderedPageBreak/>
        <w:t>actividades del convenio de</w:t>
      </w:r>
      <w:r>
        <w:rPr>
          <w:rFonts w:ascii="Verdana" w:eastAsia="Calibri" w:hAnsi="Verdana" w:cs="Arial"/>
        </w:rPr>
        <w:t xml:space="preserve"> </w:t>
      </w:r>
      <w:r w:rsidRPr="0033599C">
        <w:rPr>
          <w:rFonts w:ascii="Verdana" w:eastAsia="Calibri" w:hAnsi="Verdana" w:cs="Arial"/>
        </w:rPr>
        <w:t>asociación en un porcentaje no inferior al 30%</w:t>
      </w:r>
      <w:r>
        <w:rPr>
          <w:rFonts w:ascii="Verdana" w:eastAsia="Calibri" w:hAnsi="Verdana" w:cs="Arial"/>
        </w:rPr>
        <w:t xml:space="preserve"> </w:t>
      </w:r>
      <w:r w:rsidRPr="0033599C">
        <w:rPr>
          <w:rFonts w:ascii="Verdana" w:eastAsia="Calibri" w:hAnsi="Verdana" w:cs="Arial"/>
        </w:rPr>
        <w:t xml:space="preserve">del valor total del convenio, la Entidad </w:t>
      </w:r>
      <w:r>
        <w:rPr>
          <w:rFonts w:ascii="Verdana" w:eastAsia="Calibri" w:hAnsi="Verdana" w:cs="Arial"/>
        </w:rPr>
        <w:t>debe</w:t>
      </w:r>
      <w:r w:rsidRPr="0033599C">
        <w:rPr>
          <w:rFonts w:ascii="Verdana" w:eastAsia="Calibri" w:hAnsi="Verdana" w:cs="Arial"/>
        </w:rPr>
        <w:t xml:space="preserve"> seleccionar </w:t>
      </w:r>
      <w:r>
        <w:rPr>
          <w:rFonts w:ascii="Verdana" w:eastAsia="Calibri" w:hAnsi="Verdana" w:cs="Arial"/>
        </w:rPr>
        <w:t xml:space="preserve">de forma objetiva y con justificación las razones </w:t>
      </w:r>
      <w:r w:rsidRPr="0033599C">
        <w:rPr>
          <w:rFonts w:ascii="Verdana" w:eastAsia="Calibri" w:hAnsi="Verdana" w:cs="Arial"/>
        </w:rPr>
        <w:t>para dicha</w:t>
      </w:r>
      <w:r>
        <w:rPr>
          <w:rFonts w:ascii="Verdana" w:eastAsia="Calibri" w:hAnsi="Verdana" w:cs="Arial"/>
        </w:rPr>
        <w:t xml:space="preserve"> </w:t>
      </w:r>
      <w:r w:rsidRPr="003356E7">
        <w:rPr>
          <w:rFonts w:ascii="Verdana" w:eastAsia="Calibri" w:hAnsi="Verdana" w:cs="Arial"/>
        </w:rPr>
        <w:t>selección</w:t>
      </w:r>
      <w:r w:rsidRPr="003356E7">
        <w:rPr>
          <w:rFonts w:ascii="Verdana" w:eastAsia="Calibri" w:hAnsi="Verdana" w:cs="Arial"/>
          <w:bCs/>
          <w:i/>
          <w:iCs/>
          <w:vertAlign w:val="superscript"/>
        </w:rPr>
        <w:footnoteReference w:id="8"/>
      </w:r>
      <w:r w:rsidRPr="003356E7">
        <w:rPr>
          <w:rFonts w:ascii="Verdana" w:eastAsia="Calibri" w:hAnsi="Verdana" w:cs="Arial"/>
        </w:rPr>
        <w:t>.</w:t>
      </w:r>
    </w:p>
    <w:p w14:paraId="21A5EF31" w14:textId="77777777" w:rsidR="002079CB" w:rsidRPr="00E9090B" w:rsidRDefault="002079CB" w:rsidP="002079CB">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Ahora bien, el Consejo de Estado, en el Auto del 6 de agosto de 2019 de la Sección Tercera, Subsección A –</w:t>
      </w:r>
      <w:proofErr w:type="spellStart"/>
      <w:r w:rsidRPr="00E9090B">
        <w:rPr>
          <w:rFonts w:ascii="Verdana" w:eastAsia="Calibri" w:hAnsi="Verdana" w:cs="Arial"/>
          <w:lang w:val="es-MX"/>
        </w:rPr>
        <w:t>Exp</w:t>
      </w:r>
      <w:proofErr w:type="spellEnd"/>
      <w:r w:rsidRPr="00E9090B">
        <w:rPr>
          <w:rFonts w:ascii="Verdana" w:eastAsia="Calibri" w:hAnsi="Verdana" w:cs="Arial"/>
          <w:lang w:val="es-MX"/>
        </w:rPr>
        <w:t>. 62.003–, estudió la solicitud de suspensión provisional</w:t>
      </w:r>
      <w:r w:rsidRPr="00E9090B">
        <w:rPr>
          <w:rFonts w:ascii="Verdana" w:eastAsia="Calibri" w:hAnsi="Verdana" w:cs="Arial"/>
          <w:vertAlign w:val="superscript"/>
          <w:lang w:val="es-MX"/>
        </w:rPr>
        <w:footnoteReference w:id="9"/>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10"/>
      </w:r>
      <w:r w:rsidRPr="00E9090B">
        <w:rPr>
          <w:rFonts w:ascii="Verdana" w:eastAsia="Calibri" w:hAnsi="Verdana"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11"/>
      </w:r>
      <w:r w:rsidRPr="00E9090B">
        <w:rPr>
          <w:rFonts w:ascii="Verdana" w:eastAsia="Calibri" w:hAnsi="Verdana" w:cs="Arial"/>
          <w:lang w:val="es-ES_tradnl"/>
        </w:rPr>
        <w:t>.</w:t>
      </w:r>
    </w:p>
    <w:p w14:paraId="002FE27F" w14:textId="04551D13" w:rsidR="00C9367E" w:rsidRDefault="00B236DB" w:rsidP="00C9367E">
      <w:pPr>
        <w:spacing w:line="276" w:lineRule="auto"/>
        <w:ind w:firstLine="709"/>
        <w:jc w:val="both"/>
        <w:rPr>
          <w:rFonts w:ascii="Verdana" w:eastAsia="Arial" w:hAnsi="Verdana" w:cs="Arial"/>
          <w:lang w:val="es-ES"/>
        </w:rPr>
      </w:pPr>
      <w:r>
        <w:rPr>
          <w:rFonts w:ascii="Verdana" w:eastAsia="Arial" w:hAnsi="Verdana" w:cs="Arial"/>
          <w:lang w:val="es-ES"/>
        </w:rPr>
        <w:lastRenderedPageBreak/>
        <w:t>Sin perjuicio de lo anterior</w:t>
      </w:r>
      <w:r w:rsidR="00C9367E" w:rsidRPr="00280E68">
        <w:rPr>
          <w:rFonts w:ascii="Verdana" w:eastAsia="Arial" w:hAnsi="Verdana" w:cs="Arial"/>
          <w:lang w:val="es-ES"/>
        </w:rPr>
        <w:t xml:space="preserve">, las diferencias entre los </w:t>
      </w:r>
      <w:r w:rsidR="00C9367E" w:rsidRPr="00280E68">
        <w:rPr>
          <w:rFonts w:ascii="Verdana" w:eastAsia="Arial" w:hAnsi="Verdana" w:cs="Arial"/>
          <w:i/>
          <w:iCs/>
          <w:lang w:val="es-ES"/>
        </w:rPr>
        <w:t>contratos de fomento —también denominados contratos de interés público—</w:t>
      </w:r>
      <w:r w:rsidR="00C9367E" w:rsidRPr="00280E68">
        <w:rPr>
          <w:rFonts w:ascii="Verdana" w:eastAsia="Arial" w:hAnsi="Verdana" w:cs="Arial"/>
          <w:lang w:val="es-ES"/>
        </w:rPr>
        <w:t xml:space="preserve"> y los </w:t>
      </w:r>
      <w:r w:rsidR="00C9367E" w:rsidRPr="00280E68">
        <w:rPr>
          <w:rFonts w:ascii="Verdana" w:eastAsia="Arial" w:hAnsi="Verdana" w:cs="Arial"/>
          <w:i/>
          <w:iCs/>
          <w:lang w:val="es-ES"/>
        </w:rPr>
        <w:t>convenios de asociación</w:t>
      </w:r>
      <w:r w:rsidR="00C9367E" w:rsidRPr="00280E68">
        <w:rPr>
          <w:rFonts w:ascii="Verdana" w:eastAsia="Arial" w:hAnsi="Verdana" w:cs="Arial"/>
          <w:lang w:val="es-ES"/>
        </w:rPr>
        <w:t xml:space="preserve"> </w:t>
      </w:r>
      <w:r w:rsidR="00C775DF">
        <w:rPr>
          <w:rFonts w:ascii="Verdana" w:eastAsia="Arial" w:hAnsi="Verdana" w:cs="Arial"/>
          <w:lang w:val="es-ES"/>
        </w:rPr>
        <w:t xml:space="preserve">también ha </w:t>
      </w:r>
      <w:r w:rsidR="00C9367E" w:rsidRPr="00280E68">
        <w:rPr>
          <w:rFonts w:ascii="Verdana" w:eastAsia="Arial" w:hAnsi="Verdana" w:cs="Arial"/>
          <w:lang w:val="es-ES"/>
        </w:rPr>
        <w:t>si</w:t>
      </w:r>
      <w:r w:rsidR="00C775DF">
        <w:rPr>
          <w:rFonts w:ascii="Verdana" w:eastAsia="Arial" w:hAnsi="Verdana" w:cs="Arial"/>
          <w:lang w:val="es-ES"/>
        </w:rPr>
        <w:t>d</w:t>
      </w:r>
      <w:r w:rsidR="00C9367E" w:rsidRPr="00280E68">
        <w:rPr>
          <w:rFonts w:ascii="Verdana" w:eastAsia="Arial" w:hAnsi="Verdana" w:cs="Arial"/>
          <w:lang w:val="es-ES"/>
        </w:rPr>
        <w:t>o precis</w:t>
      </w:r>
      <w:r w:rsidR="00C775DF">
        <w:rPr>
          <w:rFonts w:ascii="Verdana" w:eastAsia="Arial" w:hAnsi="Verdana" w:cs="Arial"/>
          <w:lang w:val="es-ES"/>
        </w:rPr>
        <w:t>adas</w:t>
      </w:r>
      <w:r w:rsidR="00C9367E" w:rsidRPr="00280E68">
        <w:rPr>
          <w:rFonts w:ascii="Verdana" w:eastAsia="Arial" w:hAnsi="Verdana" w:cs="Arial"/>
          <w:lang w:val="es-ES"/>
        </w:rPr>
        <w:t xml:space="preserve"> </w:t>
      </w:r>
      <w:r w:rsidR="00C775DF">
        <w:rPr>
          <w:rFonts w:ascii="Verdana" w:eastAsia="Arial" w:hAnsi="Verdana" w:cs="Arial"/>
          <w:lang w:val="es-ES"/>
        </w:rPr>
        <w:t>por la jurisprudencia del Consejo de Estado</w:t>
      </w:r>
      <w:r w:rsidR="004E4693">
        <w:rPr>
          <w:rFonts w:ascii="Verdana" w:eastAsia="Arial" w:hAnsi="Verdana" w:cs="Arial"/>
          <w:lang w:val="es-ES"/>
        </w:rPr>
        <w:t xml:space="preserve">, en las que se han dado luces sobre la naturaleza jurídica de </w:t>
      </w:r>
      <w:r w:rsidR="00FA5A6E">
        <w:rPr>
          <w:rFonts w:ascii="Verdana" w:eastAsia="Arial" w:hAnsi="Verdana" w:cs="Arial"/>
          <w:lang w:val="es-ES"/>
        </w:rPr>
        <w:t>estos negocios jurídicos, dando lugar a</w:t>
      </w:r>
      <w:r w:rsidR="00C9367E" w:rsidRPr="00280E68">
        <w:rPr>
          <w:rFonts w:ascii="Verdana" w:eastAsia="Arial" w:hAnsi="Verdana" w:cs="Arial"/>
          <w:lang w:val="es-ES"/>
        </w:rPr>
        <w:t xml:space="preserve"> criterios </w:t>
      </w:r>
      <w:r w:rsidR="00D712C9">
        <w:rPr>
          <w:rFonts w:ascii="Verdana" w:eastAsia="Arial" w:hAnsi="Verdana" w:cs="Arial"/>
          <w:lang w:val="es-ES"/>
        </w:rPr>
        <w:t>que permiten</w:t>
      </w:r>
      <w:r w:rsidR="00D712C9" w:rsidRPr="00280E68">
        <w:rPr>
          <w:rFonts w:ascii="Verdana" w:eastAsia="Arial" w:hAnsi="Verdana" w:cs="Arial"/>
          <w:lang w:val="es-ES"/>
        </w:rPr>
        <w:t xml:space="preserve"> </w:t>
      </w:r>
      <w:r w:rsidR="00C9367E" w:rsidRPr="00280E68">
        <w:rPr>
          <w:rFonts w:ascii="Verdana" w:eastAsia="Arial" w:hAnsi="Verdana" w:cs="Arial"/>
          <w:lang w:val="es-ES"/>
        </w:rPr>
        <w:t xml:space="preserve">evitar </w:t>
      </w:r>
      <w:r w:rsidR="00FA5A6E">
        <w:rPr>
          <w:rFonts w:ascii="Verdana" w:eastAsia="Arial" w:hAnsi="Verdana" w:cs="Arial"/>
          <w:lang w:val="es-ES"/>
        </w:rPr>
        <w:t>identificar ambas</w:t>
      </w:r>
      <w:r w:rsidR="00C9367E" w:rsidRPr="00280E68">
        <w:rPr>
          <w:rFonts w:ascii="Verdana" w:eastAsia="Arial" w:hAnsi="Verdana" w:cs="Arial"/>
          <w:lang w:val="es-ES"/>
        </w:rPr>
        <w:t>.</w:t>
      </w:r>
      <w:r w:rsidR="0057125E">
        <w:rPr>
          <w:rFonts w:ascii="Verdana" w:eastAsia="Arial" w:hAnsi="Verdana" w:cs="Arial"/>
          <w:lang w:val="es-ES"/>
        </w:rPr>
        <w:t xml:space="preserve"> Al respecto</w:t>
      </w:r>
      <w:r w:rsidR="00C9367E" w:rsidRPr="00280E68">
        <w:rPr>
          <w:rFonts w:ascii="Verdana" w:eastAsia="Arial" w:hAnsi="Verdana" w:cs="Arial"/>
          <w:lang w:val="es-ES"/>
        </w:rPr>
        <w:t xml:space="preserve">, </w:t>
      </w:r>
      <w:r w:rsidR="00BD530E">
        <w:rPr>
          <w:rFonts w:ascii="Verdana" w:eastAsia="Arial" w:hAnsi="Verdana" w:cs="Arial"/>
          <w:lang w:val="es-ES"/>
        </w:rPr>
        <w:t xml:space="preserve">además de los </w:t>
      </w:r>
      <w:r w:rsidR="00B5585B">
        <w:rPr>
          <w:rFonts w:ascii="Verdana" w:eastAsia="Arial" w:hAnsi="Verdana" w:cs="Arial"/>
          <w:lang w:val="es-ES"/>
        </w:rPr>
        <w:t xml:space="preserve">autos </w:t>
      </w:r>
      <w:r w:rsidR="00C4398E">
        <w:rPr>
          <w:rFonts w:ascii="Verdana" w:eastAsia="Arial" w:hAnsi="Verdana" w:cs="Arial"/>
          <w:lang w:val="es-ES"/>
        </w:rPr>
        <w:t>antes señalados, resulta</w:t>
      </w:r>
      <w:r w:rsidR="00980C2A">
        <w:rPr>
          <w:rFonts w:ascii="Verdana" w:eastAsia="Arial" w:hAnsi="Verdana" w:cs="Arial"/>
          <w:lang w:val="es-ES"/>
        </w:rPr>
        <w:t>n</w:t>
      </w:r>
      <w:r w:rsidR="00C4398E">
        <w:rPr>
          <w:rFonts w:ascii="Verdana" w:eastAsia="Arial" w:hAnsi="Verdana" w:cs="Arial"/>
          <w:lang w:val="es-ES"/>
        </w:rPr>
        <w:t xml:space="preserve"> particularmente relevante</w:t>
      </w:r>
      <w:r w:rsidR="00980C2A">
        <w:rPr>
          <w:rFonts w:ascii="Verdana" w:eastAsia="Arial" w:hAnsi="Verdana" w:cs="Arial"/>
          <w:lang w:val="es-ES"/>
        </w:rPr>
        <w:t>s</w:t>
      </w:r>
      <w:r w:rsidR="00C4398E">
        <w:rPr>
          <w:rFonts w:ascii="Verdana" w:eastAsia="Arial" w:hAnsi="Verdana" w:cs="Arial"/>
          <w:lang w:val="es-ES"/>
        </w:rPr>
        <w:t xml:space="preserve"> l</w:t>
      </w:r>
      <w:r w:rsidR="00980C2A">
        <w:rPr>
          <w:rFonts w:ascii="Verdana" w:eastAsia="Arial" w:hAnsi="Verdana" w:cs="Arial"/>
          <w:lang w:val="es-ES"/>
        </w:rPr>
        <w:t>as</w:t>
      </w:r>
      <w:r w:rsidR="00C4398E">
        <w:rPr>
          <w:rFonts w:ascii="Verdana" w:eastAsia="Arial" w:hAnsi="Verdana" w:cs="Arial"/>
          <w:lang w:val="es-ES"/>
        </w:rPr>
        <w:t xml:space="preserve"> </w:t>
      </w:r>
      <w:r w:rsidR="00980C2A">
        <w:rPr>
          <w:rFonts w:ascii="Verdana" w:eastAsia="Arial" w:hAnsi="Verdana" w:cs="Arial"/>
          <w:lang w:val="es-ES"/>
        </w:rPr>
        <w:t>consideraciones realizadas</w:t>
      </w:r>
      <w:r w:rsidR="00C4398E">
        <w:rPr>
          <w:rFonts w:ascii="Verdana" w:eastAsia="Arial" w:hAnsi="Verdana" w:cs="Arial"/>
          <w:lang w:val="es-ES"/>
        </w:rPr>
        <w:t xml:space="preserve"> en el fallo de </w:t>
      </w:r>
      <w:r w:rsidR="00C4398E" w:rsidRPr="00280E68">
        <w:rPr>
          <w:rFonts w:ascii="Verdana" w:eastAsia="Arial" w:hAnsi="Verdana" w:cs="Arial"/>
          <w:lang w:val="es-ES"/>
        </w:rPr>
        <w:t>22 de mayo de 2024</w:t>
      </w:r>
      <w:r w:rsidR="00980C2A">
        <w:rPr>
          <w:rFonts w:ascii="Verdana" w:eastAsia="Arial" w:hAnsi="Verdana" w:cs="Arial"/>
          <w:lang w:val="es-ES"/>
        </w:rPr>
        <w:t xml:space="preserve">, expedido por la </w:t>
      </w:r>
      <w:r w:rsidR="00B962E5">
        <w:rPr>
          <w:rFonts w:ascii="Verdana" w:eastAsia="Arial" w:hAnsi="Verdana" w:cs="Arial"/>
          <w:lang w:val="es-ES"/>
        </w:rPr>
        <w:t xml:space="preserve"> </w:t>
      </w:r>
      <w:r w:rsidR="0057125E">
        <w:rPr>
          <w:rFonts w:ascii="Verdana" w:eastAsia="Arial" w:hAnsi="Verdana" w:cs="Arial"/>
          <w:lang w:val="es-ES"/>
        </w:rPr>
        <w:t xml:space="preserve"> </w:t>
      </w:r>
      <w:r w:rsidR="00980C2A" w:rsidRPr="00280E68">
        <w:rPr>
          <w:rFonts w:ascii="Verdana" w:eastAsia="Arial" w:hAnsi="Verdana" w:cs="Arial"/>
          <w:lang w:val="es-ES"/>
        </w:rPr>
        <w:t>Subsección C</w:t>
      </w:r>
      <w:r w:rsidR="00C9367E" w:rsidRPr="00280E68">
        <w:rPr>
          <w:rFonts w:ascii="Verdana" w:eastAsia="Arial" w:hAnsi="Verdana" w:cs="Arial"/>
          <w:lang w:val="es-ES"/>
        </w:rPr>
        <w:t xml:space="preserve"> </w:t>
      </w:r>
      <w:r w:rsidR="00980C2A">
        <w:rPr>
          <w:rFonts w:ascii="Verdana" w:eastAsia="Arial" w:hAnsi="Verdana" w:cs="Arial"/>
          <w:lang w:val="es-ES"/>
        </w:rPr>
        <w:t>de la</w:t>
      </w:r>
      <w:r w:rsidR="00C9367E" w:rsidRPr="00280E68">
        <w:rPr>
          <w:rFonts w:ascii="Verdana" w:eastAsia="Arial" w:hAnsi="Verdana" w:cs="Arial"/>
          <w:lang w:val="es-ES"/>
        </w:rPr>
        <w:t xml:space="preserve"> Sección Tercera, </w:t>
      </w:r>
      <w:r w:rsidR="00980C2A">
        <w:rPr>
          <w:rFonts w:ascii="Verdana" w:eastAsia="Arial" w:hAnsi="Verdana" w:cs="Arial"/>
          <w:lang w:val="es-ES"/>
        </w:rPr>
        <w:t>en el marco del medio de control de</w:t>
      </w:r>
      <w:r w:rsidR="00C9367E" w:rsidRPr="00280E68">
        <w:rPr>
          <w:rFonts w:ascii="Verdana" w:eastAsia="Arial" w:hAnsi="Verdana" w:cs="Arial"/>
          <w:lang w:val="es-ES"/>
        </w:rPr>
        <w:t xml:space="preserve"> controversias contractuales </w:t>
      </w:r>
      <w:r w:rsidR="00CE32FB">
        <w:rPr>
          <w:rFonts w:ascii="Verdana" w:eastAsia="Arial" w:hAnsi="Verdana" w:cs="Arial"/>
          <w:lang w:val="es-ES"/>
        </w:rPr>
        <w:t xml:space="preserve">con expediente No. </w:t>
      </w:r>
      <w:r w:rsidR="00C9367E" w:rsidRPr="005F67B3">
        <w:rPr>
          <w:rFonts w:ascii="Verdana" w:eastAsia="Arial" w:hAnsi="Verdana" w:cs="Arial"/>
          <w:lang w:val="es-ES"/>
        </w:rPr>
        <w:t>66</w:t>
      </w:r>
      <w:r w:rsidR="00CE32FB">
        <w:rPr>
          <w:rFonts w:ascii="Verdana" w:eastAsia="Arial" w:hAnsi="Verdana" w:cs="Arial"/>
          <w:lang w:val="es-ES"/>
        </w:rPr>
        <w:t>.</w:t>
      </w:r>
      <w:r w:rsidR="00C9367E" w:rsidRPr="005F67B3">
        <w:rPr>
          <w:rFonts w:ascii="Verdana" w:eastAsia="Arial" w:hAnsi="Verdana" w:cs="Arial"/>
          <w:lang w:val="es-ES"/>
        </w:rPr>
        <w:t>391</w:t>
      </w:r>
      <w:r w:rsidR="00C9367E" w:rsidRPr="00280E68">
        <w:rPr>
          <w:rFonts w:ascii="Verdana" w:eastAsia="Arial" w:hAnsi="Verdana" w:cs="Arial"/>
          <w:lang w:val="es-ES"/>
        </w:rPr>
        <w:t xml:space="preserve">, </w:t>
      </w:r>
      <w:r w:rsidR="006F4852">
        <w:rPr>
          <w:rFonts w:ascii="Verdana" w:eastAsia="Arial" w:hAnsi="Verdana" w:cs="Arial"/>
          <w:lang w:val="es-ES"/>
        </w:rPr>
        <w:t>indicando:</w:t>
      </w:r>
      <w:r w:rsidR="00C9367E" w:rsidRPr="00280E68">
        <w:rPr>
          <w:rFonts w:ascii="Verdana" w:eastAsia="Arial" w:hAnsi="Verdana" w:cs="Arial"/>
          <w:lang w:val="es-ES"/>
        </w:rPr>
        <w:t xml:space="preserve"> </w:t>
      </w:r>
    </w:p>
    <w:p w14:paraId="3087A519" w14:textId="582501B3" w:rsidR="009C66FC" w:rsidRPr="005F67B3" w:rsidRDefault="00723E4C" w:rsidP="005F67B3">
      <w:pPr>
        <w:spacing w:after="0" w:line="240" w:lineRule="auto"/>
        <w:ind w:left="709" w:right="709"/>
        <w:jc w:val="both"/>
        <w:rPr>
          <w:rFonts w:ascii="Verdana" w:eastAsia="Arial" w:hAnsi="Verdana" w:cs="Arial"/>
          <w:sz w:val="20"/>
          <w:szCs w:val="20"/>
          <w:lang w:val="es-ES"/>
        </w:rPr>
      </w:pPr>
      <w:r w:rsidRPr="005F67B3">
        <w:rPr>
          <w:rFonts w:ascii="Verdana" w:eastAsia="Arial" w:hAnsi="Verdana" w:cs="Arial"/>
          <w:sz w:val="20"/>
          <w:szCs w:val="20"/>
        </w:rPr>
        <w:t xml:space="preserve">“[…] </w:t>
      </w:r>
      <w:r w:rsidR="006F4852" w:rsidRPr="005F67B3">
        <w:rPr>
          <w:rFonts w:ascii="Verdana" w:eastAsia="Arial" w:hAnsi="Verdana" w:cs="Arial"/>
          <w:sz w:val="20"/>
          <w:szCs w:val="20"/>
        </w:rPr>
        <w:t xml:space="preserve">los convenios de asociación tienen origen en el artículo 96 de la Ley 489 de 1998, norma que previó dicho acuerdo de voluntades bajo los siguientes parámetros: </w:t>
      </w:r>
      <w:r w:rsidR="006F4852" w:rsidRPr="005F67B3">
        <w:rPr>
          <w:rFonts w:ascii="Verdana" w:eastAsia="Arial" w:hAnsi="Verdana" w:cs="Arial"/>
          <w:b/>
          <w:bCs/>
          <w:sz w:val="20"/>
          <w:szCs w:val="20"/>
        </w:rPr>
        <w:t xml:space="preserve">(i) </w:t>
      </w:r>
      <w:r w:rsidR="006F4852" w:rsidRPr="005F67B3">
        <w:rPr>
          <w:rFonts w:ascii="Verdana" w:eastAsia="Arial" w:hAnsi="Verdana" w:cs="Arial"/>
          <w:sz w:val="20"/>
          <w:szCs w:val="20"/>
        </w:rPr>
        <w:t xml:space="preserve">cualquier entidad estatal puede celebrar el convenio con personas jurídicas particulares, con observancia de los principios de la función administrativa consagrados en el artículo 209 de la </w:t>
      </w:r>
      <w:r w:rsidRPr="005F67B3">
        <w:rPr>
          <w:rFonts w:ascii="Verdana" w:eastAsia="Arial" w:hAnsi="Verdana" w:cs="Arial"/>
          <w:sz w:val="20"/>
          <w:szCs w:val="20"/>
        </w:rPr>
        <w:t xml:space="preserve">Constitución Política; </w:t>
      </w:r>
      <w:r w:rsidRPr="005F67B3">
        <w:rPr>
          <w:rFonts w:ascii="Verdana" w:eastAsia="Arial" w:hAnsi="Verdana" w:cs="Arial"/>
          <w:b/>
          <w:bCs/>
          <w:sz w:val="20"/>
          <w:szCs w:val="20"/>
        </w:rPr>
        <w:t>(</w:t>
      </w:r>
      <w:proofErr w:type="spellStart"/>
      <w:r w:rsidRPr="005F67B3">
        <w:rPr>
          <w:rFonts w:ascii="Verdana" w:eastAsia="Arial" w:hAnsi="Verdana" w:cs="Arial"/>
          <w:b/>
          <w:bCs/>
          <w:sz w:val="20"/>
          <w:szCs w:val="20"/>
        </w:rPr>
        <w:t>ii</w:t>
      </w:r>
      <w:proofErr w:type="spellEnd"/>
      <w:r w:rsidRPr="005F67B3">
        <w:rPr>
          <w:rFonts w:ascii="Verdana" w:eastAsia="Arial" w:hAnsi="Verdana" w:cs="Arial"/>
          <w:b/>
          <w:bCs/>
          <w:sz w:val="20"/>
          <w:szCs w:val="20"/>
        </w:rPr>
        <w:t xml:space="preserve">) </w:t>
      </w:r>
      <w:r w:rsidRPr="005F67B3">
        <w:rPr>
          <w:rFonts w:ascii="Verdana" w:eastAsia="Arial" w:hAnsi="Verdana" w:cs="Arial"/>
          <w:sz w:val="20"/>
          <w:szCs w:val="20"/>
        </w:rPr>
        <w:t>la finalidad este tipo de acuerdos es el desarrollo conjunto de actividades en relación con los cometidos y funciones de la entidad estatal; según esta Sala de Subsección, “</w:t>
      </w:r>
      <w:r w:rsidRPr="005F67B3">
        <w:rPr>
          <w:rFonts w:ascii="Verdana" w:eastAsia="Arial" w:hAnsi="Verdana" w:cs="Arial"/>
          <w:i/>
          <w:iCs/>
          <w:sz w:val="20"/>
          <w:szCs w:val="20"/>
        </w:rPr>
        <w:t>estos convenios se caracterizan porque ambas partes cooperan mutuamente en el cumplimiento del objeto pactado. No existe, en consecuencia, un intercambio ni una relación conmutativa en la que las partes asuman obligaciones equivalente</w:t>
      </w:r>
      <w:r w:rsidRPr="005F67B3">
        <w:rPr>
          <w:rFonts w:ascii="Verdana" w:eastAsia="Arial" w:hAnsi="Verdana" w:cs="Arial"/>
          <w:sz w:val="20"/>
          <w:szCs w:val="20"/>
        </w:rPr>
        <w:t xml:space="preserve">”; y </w:t>
      </w:r>
      <w:r w:rsidRPr="005F67B3">
        <w:rPr>
          <w:rFonts w:ascii="Verdana" w:eastAsia="Arial" w:hAnsi="Verdana" w:cs="Arial"/>
          <w:b/>
          <w:bCs/>
          <w:sz w:val="20"/>
          <w:szCs w:val="20"/>
        </w:rPr>
        <w:t>(</w:t>
      </w:r>
      <w:proofErr w:type="spellStart"/>
      <w:r w:rsidRPr="005F67B3">
        <w:rPr>
          <w:rFonts w:ascii="Verdana" w:eastAsia="Arial" w:hAnsi="Verdana" w:cs="Arial"/>
          <w:b/>
          <w:bCs/>
          <w:sz w:val="20"/>
          <w:szCs w:val="20"/>
        </w:rPr>
        <w:t>iii</w:t>
      </w:r>
      <w:proofErr w:type="spellEnd"/>
      <w:r w:rsidRPr="005F67B3">
        <w:rPr>
          <w:rFonts w:ascii="Verdana" w:eastAsia="Arial" w:hAnsi="Verdana" w:cs="Arial"/>
          <w:b/>
          <w:bCs/>
          <w:sz w:val="20"/>
          <w:szCs w:val="20"/>
        </w:rPr>
        <w:t xml:space="preserve">) </w:t>
      </w:r>
      <w:r w:rsidRPr="005F67B3">
        <w:rPr>
          <w:rFonts w:ascii="Verdana" w:eastAsia="Arial" w:hAnsi="Verdana" w:cs="Arial"/>
          <w:sz w:val="20"/>
          <w:szCs w:val="20"/>
        </w:rPr>
        <w:t>los convenios deben establecer con precisión su objeto, término de duración, obligaciones de las partes, los aportes que cada uno debe hacer y la forma en que coordinaran sus esfuerzos […]”</w:t>
      </w:r>
    </w:p>
    <w:p w14:paraId="431702BD" w14:textId="77777777" w:rsidR="004F02B2" w:rsidRDefault="004F02B2" w:rsidP="005F67B3">
      <w:pPr>
        <w:spacing w:after="0" w:line="276" w:lineRule="auto"/>
        <w:ind w:firstLine="709"/>
        <w:jc w:val="both"/>
        <w:rPr>
          <w:rFonts w:ascii="Verdana" w:eastAsia="Arial" w:hAnsi="Verdana" w:cs="Arial"/>
          <w:lang w:val="es-ES"/>
        </w:rPr>
      </w:pPr>
    </w:p>
    <w:p w14:paraId="3BA0EB5F" w14:textId="18EB42D2" w:rsidR="00D94D85" w:rsidRDefault="004F02B2" w:rsidP="00D94D85">
      <w:pPr>
        <w:spacing w:line="276" w:lineRule="auto"/>
        <w:ind w:firstLine="709"/>
        <w:jc w:val="both"/>
        <w:rPr>
          <w:rFonts w:ascii="Verdana" w:eastAsia="Arial" w:hAnsi="Verdana" w:cs="Arial"/>
          <w:lang w:val="es-ES"/>
        </w:rPr>
      </w:pPr>
      <w:r>
        <w:rPr>
          <w:rFonts w:ascii="Verdana" w:eastAsia="Arial" w:hAnsi="Verdana" w:cs="Arial"/>
        </w:rPr>
        <w:t xml:space="preserve">Conforme </w:t>
      </w:r>
      <w:r w:rsidR="008A1D52">
        <w:rPr>
          <w:rFonts w:ascii="Verdana" w:eastAsia="Arial" w:hAnsi="Verdana" w:cs="Arial"/>
        </w:rPr>
        <w:t xml:space="preserve">explica </w:t>
      </w:r>
      <w:r w:rsidR="00C9367E" w:rsidRPr="00BC42BF">
        <w:rPr>
          <w:rFonts w:ascii="Verdana" w:eastAsia="Arial" w:hAnsi="Verdana" w:cs="Arial"/>
        </w:rPr>
        <w:t xml:space="preserve">la Sección Tercera del Consejo de </w:t>
      </w:r>
      <w:proofErr w:type="gramStart"/>
      <w:r w:rsidR="00C9367E" w:rsidRPr="00BC42BF">
        <w:rPr>
          <w:rFonts w:ascii="Verdana" w:eastAsia="Arial" w:hAnsi="Verdana" w:cs="Arial"/>
        </w:rPr>
        <w:t xml:space="preserve">Estado </w:t>
      </w:r>
      <w:r w:rsidR="008A1D52">
        <w:rPr>
          <w:rFonts w:ascii="Verdana" w:hAnsi="Verdana"/>
        </w:rPr>
        <w:t xml:space="preserve"> el</w:t>
      </w:r>
      <w:proofErr w:type="gramEnd"/>
      <w:r w:rsidR="008A1D52">
        <w:rPr>
          <w:rFonts w:ascii="Verdana" w:hAnsi="Verdana"/>
        </w:rPr>
        <w:t xml:space="preserve"> fundamento </w:t>
      </w:r>
      <w:r w:rsidR="006C4960">
        <w:rPr>
          <w:rFonts w:ascii="Verdana" w:hAnsi="Verdana"/>
        </w:rPr>
        <w:t>jurídico</w:t>
      </w:r>
      <w:r w:rsidR="008A1D52">
        <w:rPr>
          <w:rFonts w:ascii="Verdana" w:hAnsi="Verdana"/>
        </w:rPr>
        <w:t xml:space="preserve"> </w:t>
      </w:r>
      <w:r w:rsidR="00C9367E" w:rsidRPr="005F67B3">
        <w:rPr>
          <w:rFonts w:ascii="Verdana" w:hAnsi="Verdana"/>
        </w:rPr>
        <w:t>los convenios de asociación</w:t>
      </w:r>
      <w:r w:rsidR="008A1D52">
        <w:rPr>
          <w:rFonts w:ascii="Verdana" w:hAnsi="Verdana"/>
        </w:rPr>
        <w:t xml:space="preserve"> entre entidades estatales y personas jurídicas de derecho privado</w:t>
      </w:r>
      <w:r w:rsidR="001C0DA2">
        <w:rPr>
          <w:rFonts w:ascii="Verdana" w:hAnsi="Verdana"/>
        </w:rPr>
        <w:t xml:space="preserve"> se fundamentan en el</w:t>
      </w:r>
      <w:r w:rsidR="00C9367E" w:rsidRPr="005F67B3">
        <w:rPr>
          <w:rFonts w:ascii="Verdana" w:hAnsi="Verdana"/>
        </w:rPr>
        <w:t xml:space="preserve"> artículo 96 de la Ley 489 de 1998</w:t>
      </w:r>
      <w:r w:rsidR="00623CEE">
        <w:rPr>
          <w:rFonts w:ascii="Verdana" w:hAnsi="Verdana"/>
        </w:rPr>
        <w:t xml:space="preserve">, se caracterizan además por el hecho de que son relaciones </w:t>
      </w:r>
      <w:r w:rsidR="008E66E6">
        <w:rPr>
          <w:rFonts w:ascii="Verdana" w:hAnsi="Verdana"/>
        </w:rPr>
        <w:t>colaborativas</w:t>
      </w:r>
      <w:r w:rsidR="00623CEE">
        <w:rPr>
          <w:rFonts w:ascii="Verdana" w:hAnsi="Verdana"/>
        </w:rPr>
        <w:t xml:space="preserve"> </w:t>
      </w:r>
      <w:r w:rsidR="005E2A85">
        <w:rPr>
          <w:rFonts w:ascii="Verdana" w:hAnsi="Verdana"/>
        </w:rPr>
        <w:t>dirigidas a desarrollar actividades</w:t>
      </w:r>
      <w:r w:rsidR="000A2F7B">
        <w:rPr>
          <w:rFonts w:ascii="Verdana" w:hAnsi="Verdana"/>
        </w:rPr>
        <w:t xml:space="preserve"> asociadas al interés general</w:t>
      </w:r>
      <w:r w:rsidR="009B2BAB">
        <w:rPr>
          <w:rFonts w:ascii="Verdana" w:hAnsi="Verdana"/>
        </w:rPr>
        <w:t>, así como a los cometidos y funciones de la entidad estatal involucrada</w:t>
      </w:r>
      <w:r w:rsidR="008E66E6">
        <w:rPr>
          <w:rFonts w:ascii="Verdana" w:hAnsi="Verdana"/>
        </w:rPr>
        <w:t xml:space="preserve">, sin </w:t>
      </w:r>
      <w:r w:rsidR="006C4960">
        <w:rPr>
          <w:rFonts w:ascii="Verdana" w:hAnsi="Verdana"/>
        </w:rPr>
        <w:t xml:space="preserve">que se genere una contraprestación. </w:t>
      </w:r>
      <w:r w:rsidR="002358B8" w:rsidRPr="005F67B3">
        <w:rPr>
          <w:rFonts w:ascii="Verdana" w:hAnsi="Verdana"/>
        </w:rPr>
        <w:t xml:space="preserve"> </w:t>
      </w:r>
      <w:r w:rsidR="00D94D85" w:rsidRPr="001E06EA">
        <w:rPr>
          <w:rFonts w:ascii="Verdana" w:eastAsia="Arial" w:hAnsi="Verdana" w:cs="Arial"/>
        </w:rPr>
        <w:t xml:space="preserve">De este criterio se desprende que la esencia de los convenios de asociación no radica en un intercambio de prestaciones, sino en la unión de esfuerzos para la consecución de un fin común de carácter público. En consecuencia, las obligaciones asumidas por las partes no son equivalentes ni </w:t>
      </w:r>
      <w:r w:rsidR="00D94D85" w:rsidRPr="001E06EA">
        <w:rPr>
          <w:rFonts w:ascii="Verdana" w:eastAsia="Arial" w:hAnsi="Verdana" w:cs="Arial"/>
        </w:rPr>
        <w:lastRenderedPageBreak/>
        <w:t>recíprocas en sentido económico, sino funcionales al cumplimiento del objeto pactado, lo que excluye la existencia de una contraprestación o precio.</w:t>
      </w:r>
    </w:p>
    <w:p w14:paraId="674A5D7D" w14:textId="700C587B" w:rsidR="001C0DA2" w:rsidRDefault="00FE0157" w:rsidP="001C0DA2">
      <w:pPr>
        <w:spacing w:line="276" w:lineRule="auto"/>
        <w:ind w:firstLine="708"/>
        <w:jc w:val="both"/>
        <w:rPr>
          <w:rFonts w:ascii="Verdana" w:hAnsi="Verdana"/>
        </w:rPr>
      </w:pPr>
      <w:r>
        <w:rPr>
          <w:rFonts w:ascii="Verdana" w:hAnsi="Verdana"/>
        </w:rPr>
        <w:t xml:space="preserve">Explicado lo anterior, </w:t>
      </w:r>
      <w:r w:rsidR="00004BB1">
        <w:rPr>
          <w:rFonts w:ascii="Verdana" w:hAnsi="Verdana"/>
        </w:rPr>
        <w:t xml:space="preserve">en la referida providencia, el Consejo de Estado realiza un esfuerzo por distinguir los </w:t>
      </w:r>
      <w:r w:rsidR="00004BB1" w:rsidRPr="005F67B3">
        <w:rPr>
          <w:rFonts w:ascii="Verdana" w:hAnsi="Verdana"/>
          <w:i/>
          <w:iCs/>
        </w:rPr>
        <w:t>convenios de asociaci</w:t>
      </w:r>
      <w:r w:rsidR="00067252" w:rsidRPr="005F67B3">
        <w:rPr>
          <w:rFonts w:ascii="Verdana" w:hAnsi="Verdana"/>
          <w:i/>
          <w:iCs/>
        </w:rPr>
        <w:t>ón</w:t>
      </w:r>
      <w:r w:rsidR="00067252">
        <w:rPr>
          <w:rFonts w:ascii="Verdana" w:hAnsi="Verdana"/>
        </w:rPr>
        <w:t xml:space="preserve"> de los </w:t>
      </w:r>
      <w:r w:rsidR="00067252" w:rsidRPr="005F67B3">
        <w:rPr>
          <w:rFonts w:ascii="Verdana" w:hAnsi="Verdana"/>
          <w:i/>
          <w:iCs/>
        </w:rPr>
        <w:t>contratos de fomento</w:t>
      </w:r>
      <w:r w:rsidR="00D6479E">
        <w:rPr>
          <w:rFonts w:ascii="Verdana" w:hAnsi="Verdana"/>
        </w:rPr>
        <w:t>–</w:t>
      </w:r>
      <w:r w:rsidR="00A957F9">
        <w:rPr>
          <w:rFonts w:ascii="Verdana" w:hAnsi="Verdana"/>
        </w:rPr>
        <w:t>también</w:t>
      </w:r>
      <w:r w:rsidR="00D6479E">
        <w:rPr>
          <w:rFonts w:ascii="Verdana" w:hAnsi="Verdana"/>
        </w:rPr>
        <w:t xml:space="preserve"> conocidos como </w:t>
      </w:r>
      <w:r w:rsidR="00A957F9">
        <w:rPr>
          <w:rFonts w:ascii="Verdana" w:hAnsi="Verdana"/>
        </w:rPr>
        <w:t xml:space="preserve">contratos de interés público–, </w:t>
      </w:r>
      <w:r w:rsidR="000C5843">
        <w:rPr>
          <w:rFonts w:ascii="Verdana" w:hAnsi="Verdana"/>
        </w:rPr>
        <w:t xml:space="preserve">figuras que se encuentran reguladas en el Decreto 092 de 2017. </w:t>
      </w:r>
      <w:r w:rsidR="00F65324">
        <w:rPr>
          <w:rFonts w:ascii="Verdana" w:hAnsi="Verdana"/>
        </w:rPr>
        <w:t xml:space="preserve">Sobre </w:t>
      </w:r>
      <w:r w:rsidR="00230313">
        <w:rPr>
          <w:rFonts w:ascii="Verdana" w:hAnsi="Verdana"/>
        </w:rPr>
        <w:t>la naturaleza jurídica de estas dos figuras,</w:t>
      </w:r>
      <w:r w:rsidR="00811180">
        <w:rPr>
          <w:rFonts w:ascii="Verdana" w:hAnsi="Verdana"/>
        </w:rPr>
        <w:t xml:space="preserve"> </w:t>
      </w:r>
      <w:r w:rsidR="00F65324">
        <w:rPr>
          <w:rFonts w:ascii="Verdana" w:hAnsi="Verdana"/>
        </w:rPr>
        <w:t xml:space="preserve">el Alto Tribunal indica que: </w:t>
      </w:r>
      <w:r w:rsidR="00F65324" w:rsidRPr="005F67B3">
        <w:rPr>
          <w:rFonts w:ascii="Verdana" w:hAnsi="Verdana"/>
          <w:i/>
          <w:iCs/>
        </w:rPr>
        <w:t xml:space="preserve">“[…] </w:t>
      </w:r>
      <w:r w:rsidR="00F65324" w:rsidRPr="006D512C">
        <w:rPr>
          <w:rFonts w:ascii="Verdana" w:hAnsi="Verdana"/>
        </w:rPr>
        <w:t xml:space="preserve">en múltiples ocasiones, incluso en esta Corporación, se les ha dado un tratamiento idéntico, como si fueran lo mismo, cuando lo cierto es que, </w:t>
      </w:r>
      <w:r w:rsidR="006D512C" w:rsidRPr="006D512C">
        <w:rPr>
          <w:rFonts w:ascii="Verdana" w:hAnsi="Verdana"/>
        </w:rPr>
        <w:t xml:space="preserve">[…] </w:t>
      </w:r>
      <w:r w:rsidR="00F65324" w:rsidRPr="006D512C">
        <w:rPr>
          <w:rFonts w:ascii="Verdana" w:hAnsi="Verdana"/>
        </w:rPr>
        <w:t>tales acuerdos</w:t>
      </w:r>
      <w:r w:rsidR="00230313" w:rsidRPr="006D512C">
        <w:rPr>
          <w:rFonts w:ascii="Verdana" w:hAnsi="Verdana"/>
        </w:rPr>
        <w:t xml:space="preserve"> </w:t>
      </w:r>
      <w:r w:rsidR="00F65324" w:rsidRPr="006D512C">
        <w:rPr>
          <w:rFonts w:ascii="Verdana" w:hAnsi="Verdana"/>
        </w:rPr>
        <w:t xml:space="preserve">de voluntades, </w:t>
      </w:r>
      <w:r w:rsidR="006D512C" w:rsidRPr="005F67B3">
        <w:rPr>
          <w:rFonts w:ascii="Verdana" w:hAnsi="Verdana"/>
          <w:i/>
          <w:iCs/>
        </w:rPr>
        <w:t xml:space="preserve">[…] </w:t>
      </w:r>
      <w:r w:rsidR="00F65324" w:rsidRPr="005F67B3">
        <w:rPr>
          <w:rFonts w:ascii="Verdana" w:hAnsi="Verdana"/>
          <w:i/>
          <w:iCs/>
        </w:rPr>
        <w:t>claramente</w:t>
      </w:r>
      <w:r w:rsidR="00230313" w:rsidRPr="005F67B3">
        <w:rPr>
          <w:rFonts w:ascii="Verdana" w:hAnsi="Verdana"/>
          <w:i/>
          <w:iCs/>
        </w:rPr>
        <w:t xml:space="preserve"> </w:t>
      </w:r>
      <w:r w:rsidR="00F65324" w:rsidRPr="005F67B3">
        <w:rPr>
          <w:rFonts w:ascii="Verdana" w:hAnsi="Verdana"/>
          <w:i/>
          <w:iCs/>
        </w:rPr>
        <w:t>se diferencian el uno del otro en cuanto a las autoridades y particulares que los</w:t>
      </w:r>
      <w:r w:rsidR="00230313" w:rsidRPr="005F67B3">
        <w:rPr>
          <w:rFonts w:ascii="Verdana" w:hAnsi="Verdana"/>
          <w:i/>
          <w:iCs/>
        </w:rPr>
        <w:t xml:space="preserve"> </w:t>
      </w:r>
      <w:r w:rsidR="00F65324" w:rsidRPr="005F67B3">
        <w:rPr>
          <w:rFonts w:ascii="Verdana" w:hAnsi="Verdana"/>
          <w:i/>
          <w:iCs/>
        </w:rPr>
        <w:t>celebran; el objeto contractual y su finalidad y la forma como pueden participar las</w:t>
      </w:r>
      <w:r w:rsidR="00230313" w:rsidRPr="005F67B3">
        <w:rPr>
          <w:rFonts w:ascii="Verdana" w:hAnsi="Verdana"/>
          <w:i/>
          <w:iCs/>
        </w:rPr>
        <w:t xml:space="preserve"> </w:t>
      </w:r>
      <w:r w:rsidR="00F65324" w:rsidRPr="005F67B3">
        <w:rPr>
          <w:rFonts w:ascii="Verdana" w:hAnsi="Verdana"/>
          <w:i/>
          <w:iCs/>
        </w:rPr>
        <w:t>entidades y los particulares durante la ejecución</w:t>
      </w:r>
      <w:r w:rsidR="006D512C" w:rsidRPr="005F67B3">
        <w:rPr>
          <w:rFonts w:ascii="Verdana" w:hAnsi="Verdana"/>
          <w:i/>
          <w:iCs/>
        </w:rPr>
        <w:t>”</w:t>
      </w:r>
      <w:r w:rsidR="00F65324" w:rsidRPr="00F65324">
        <w:rPr>
          <w:rFonts w:ascii="Verdana" w:hAnsi="Verdana"/>
        </w:rPr>
        <w:t>.</w:t>
      </w:r>
      <w:r w:rsidR="00067252">
        <w:rPr>
          <w:rFonts w:ascii="Verdana" w:hAnsi="Verdana"/>
        </w:rPr>
        <w:t xml:space="preserve"> </w:t>
      </w:r>
      <w:r w:rsidR="00662FE7">
        <w:rPr>
          <w:rFonts w:ascii="Verdana" w:hAnsi="Verdana"/>
        </w:rPr>
        <w:t xml:space="preserve"> En ese sentido, el Consejo de Estado </w:t>
      </w:r>
      <w:r w:rsidR="00E67B14">
        <w:rPr>
          <w:rFonts w:ascii="Verdana" w:hAnsi="Verdana"/>
        </w:rPr>
        <w:t xml:space="preserve">establece unos elementos distintos entre las referidas figuras explicando lo siguiente: </w:t>
      </w:r>
      <w:r w:rsidR="00FF4A30">
        <w:rPr>
          <w:rFonts w:ascii="Verdana" w:hAnsi="Verdana"/>
        </w:rPr>
        <w:t xml:space="preserve"> </w:t>
      </w:r>
    </w:p>
    <w:p w14:paraId="1F3A8EB7" w14:textId="6F023268" w:rsidR="001C0DA2" w:rsidRPr="005F67B3" w:rsidRDefault="00695D7C" w:rsidP="005F67B3">
      <w:pPr>
        <w:spacing w:line="240" w:lineRule="auto"/>
        <w:ind w:left="709" w:right="709"/>
        <w:jc w:val="both"/>
        <w:rPr>
          <w:rFonts w:ascii="Verdana" w:hAnsi="Verdana"/>
          <w:sz w:val="20"/>
          <w:szCs w:val="20"/>
        </w:rPr>
      </w:pPr>
      <w:r w:rsidRPr="005F67B3">
        <w:rPr>
          <w:rFonts w:ascii="Verdana" w:hAnsi="Verdana"/>
          <w:sz w:val="20"/>
          <w:szCs w:val="20"/>
        </w:rPr>
        <w:t xml:space="preserve">“En efecto, los contratos de fomento tienen origen constitucional </w:t>
      </w:r>
      <w:r w:rsidRPr="005F67B3">
        <w:rPr>
          <w:rFonts w:ascii="Verdana" w:hAnsi="Verdana"/>
          <w:i/>
          <w:iCs/>
          <w:sz w:val="20"/>
          <w:szCs w:val="20"/>
        </w:rPr>
        <w:t>–artículo 355 de la CP-</w:t>
      </w:r>
      <w:r w:rsidRPr="005F67B3">
        <w:rPr>
          <w:rFonts w:ascii="Verdana" w:hAnsi="Verdana"/>
          <w:sz w:val="20"/>
          <w:szCs w:val="20"/>
        </w:rPr>
        <w:t>, mientras que los convenios de asociación son de creación legal -</w:t>
      </w:r>
      <w:r w:rsidRPr="005F67B3">
        <w:rPr>
          <w:rFonts w:ascii="Verdana" w:hAnsi="Verdana"/>
          <w:i/>
          <w:iCs/>
          <w:sz w:val="20"/>
          <w:szCs w:val="20"/>
        </w:rPr>
        <w:t>artículo 96 de la Ley 489 de 1998</w:t>
      </w:r>
      <w:r w:rsidRPr="005F67B3">
        <w:rPr>
          <w:rFonts w:ascii="Verdana" w:hAnsi="Verdana"/>
          <w:sz w:val="20"/>
          <w:szCs w:val="20"/>
        </w:rPr>
        <w:t xml:space="preserve">- </w:t>
      </w:r>
      <w:r w:rsidRPr="005F67B3">
        <w:rPr>
          <w:rFonts w:ascii="Verdana" w:hAnsi="Verdana"/>
          <w:b/>
          <w:bCs/>
          <w:sz w:val="20"/>
          <w:szCs w:val="20"/>
        </w:rPr>
        <w:t>(fundamento normativo)</w:t>
      </w:r>
      <w:r w:rsidRPr="005F67B3">
        <w:rPr>
          <w:rFonts w:ascii="Verdana" w:hAnsi="Verdana"/>
          <w:sz w:val="20"/>
          <w:szCs w:val="20"/>
        </w:rPr>
        <w:t xml:space="preserve">. Los extremos en los contratos son el Gobierno, en sus distintos órdenes, nacional y territorial, y las entidades sin ánimo de lucro de reconocida idoneidad; en cambio, los convenios pueden ser celebrados por cualquier entidad estatal con personas jurídicas particulares, bien sean o no sin ánimo de lucro, porque el legislador no distinguió al respecto </w:t>
      </w:r>
      <w:r w:rsidRPr="005F67B3">
        <w:rPr>
          <w:rFonts w:ascii="Verdana" w:hAnsi="Verdana"/>
          <w:b/>
          <w:bCs/>
          <w:sz w:val="20"/>
          <w:szCs w:val="20"/>
        </w:rPr>
        <w:t>(aspecto subjetivo)</w:t>
      </w:r>
      <w:r w:rsidRPr="005F67B3">
        <w:rPr>
          <w:rFonts w:ascii="Verdana" w:hAnsi="Verdana"/>
          <w:sz w:val="20"/>
          <w:szCs w:val="20"/>
        </w:rPr>
        <w:t>.</w:t>
      </w:r>
    </w:p>
    <w:p w14:paraId="4D5293D9" w14:textId="12CCAA10" w:rsidR="00085F64" w:rsidRPr="005F67B3" w:rsidRDefault="00085F64" w:rsidP="005F67B3">
      <w:pPr>
        <w:spacing w:line="240" w:lineRule="auto"/>
        <w:ind w:left="709" w:right="709"/>
        <w:jc w:val="both"/>
        <w:rPr>
          <w:rFonts w:ascii="Verdana" w:hAnsi="Verdana"/>
          <w:sz w:val="20"/>
          <w:szCs w:val="20"/>
        </w:rPr>
      </w:pPr>
      <w:r w:rsidRPr="005F67B3">
        <w:rPr>
          <w:rFonts w:ascii="Verdana" w:hAnsi="Verdana"/>
          <w:sz w:val="20"/>
          <w:szCs w:val="20"/>
        </w:rPr>
        <w:t xml:space="preserve">El objeto de los contratos consiste en el impulso de programas y actividades de interés público acordes con los planes de desarrollo, las cuales son desarrolladas por entidades privadas sin ánimo de lucro y de reconocida idoneidad. Por su parte, los convenios se celebran para el desarrollo mancomunado de actividades en relación con los cometidos y las funciones que les asigna la ley a las entidades públicas. Esto significa que en los contratos se apoyan las actividades del particular, mientras que en los convenios se desarrollan actividades de los entes públicos, pero con asocio de personas jurídicas privadas </w:t>
      </w:r>
      <w:r w:rsidRPr="005F67B3">
        <w:rPr>
          <w:rFonts w:ascii="Verdana" w:hAnsi="Verdana"/>
          <w:b/>
          <w:bCs/>
          <w:sz w:val="20"/>
          <w:szCs w:val="20"/>
        </w:rPr>
        <w:t>(objeto y finalidad contractual)</w:t>
      </w:r>
      <w:r w:rsidRPr="005F67B3">
        <w:rPr>
          <w:rFonts w:ascii="Verdana" w:hAnsi="Verdana"/>
          <w:sz w:val="20"/>
          <w:szCs w:val="20"/>
        </w:rPr>
        <w:t xml:space="preserve">. Así, como lo ha dicho la jurisprudencia y partiendo del hecho de que en los contratos de fomento el particular es el que ejecuta el programa de interés público, aquel tiene la potestad de desempeñarse con autonomía, pese a los recursos entregados por la entidad pública. En los convenios de asociación el particular sí ve limitada su autonomía en la ejecución, dado que la finalidad de estos acuerdos de voluntades consiste en desarrollar actividades asignadas por la ley a la entidad estatal, sobre las cuales, por supuesto, el ente público es el que debe dirigirlas y controlarlas para lograr su cometido </w:t>
      </w:r>
      <w:r w:rsidRPr="005F67B3">
        <w:rPr>
          <w:rFonts w:ascii="Verdana" w:hAnsi="Verdana"/>
          <w:b/>
          <w:bCs/>
          <w:sz w:val="20"/>
          <w:szCs w:val="20"/>
        </w:rPr>
        <w:t>(participación de los sujetos en la ejecución)”.</w:t>
      </w:r>
    </w:p>
    <w:p w14:paraId="4EBA8C2C" w14:textId="77777777" w:rsidR="00B334FF" w:rsidRDefault="00626056" w:rsidP="001C0DA2">
      <w:pPr>
        <w:spacing w:line="276" w:lineRule="auto"/>
        <w:ind w:firstLine="708"/>
        <w:jc w:val="both"/>
        <w:rPr>
          <w:rFonts w:ascii="Verdana" w:eastAsia="Arial" w:hAnsi="Verdana" w:cs="Arial"/>
          <w:lang w:val="es-ES"/>
        </w:rPr>
      </w:pPr>
      <w:bookmarkStart w:id="4" w:name="_Hlk219452546"/>
      <w:r w:rsidRPr="00CC59F2">
        <w:rPr>
          <w:rFonts w:ascii="Verdana" w:hAnsi="Verdana"/>
        </w:rPr>
        <w:lastRenderedPageBreak/>
        <w:t>En síntesis, según l</w:t>
      </w:r>
      <w:r w:rsidR="006E6114" w:rsidRPr="00CC59F2">
        <w:rPr>
          <w:rFonts w:ascii="Verdana" w:hAnsi="Verdana"/>
        </w:rPr>
        <w:t xml:space="preserve">as consideraciones expresadas por el Consejo de Estado en </w:t>
      </w:r>
      <w:r w:rsidR="00B05927" w:rsidRPr="00CC59F2">
        <w:rPr>
          <w:rFonts w:ascii="Verdana" w:hAnsi="Verdana"/>
        </w:rPr>
        <w:t xml:space="preserve">el </w:t>
      </w:r>
      <w:r w:rsidR="006E6114" w:rsidRPr="00CC59F2">
        <w:rPr>
          <w:rFonts w:ascii="Verdana" w:eastAsia="Arial" w:hAnsi="Verdana" w:cs="Arial"/>
          <w:lang w:val="es-ES"/>
        </w:rPr>
        <w:t>fallo de</w:t>
      </w:r>
      <w:r w:rsidR="00B05927" w:rsidRPr="00CC59F2">
        <w:rPr>
          <w:rFonts w:ascii="Verdana" w:eastAsia="Arial" w:hAnsi="Verdana" w:cs="Arial"/>
          <w:lang w:val="es-ES"/>
        </w:rPr>
        <w:t>l</w:t>
      </w:r>
      <w:r w:rsidR="006E6114" w:rsidRPr="00CC59F2">
        <w:rPr>
          <w:rFonts w:ascii="Verdana" w:eastAsia="Arial" w:hAnsi="Verdana" w:cs="Arial"/>
          <w:lang w:val="es-ES"/>
        </w:rPr>
        <w:t xml:space="preserve"> 22 de mayo de 2024</w:t>
      </w:r>
      <w:r w:rsidR="00B05927" w:rsidRPr="00CC59F2">
        <w:rPr>
          <w:rFonts w:ascii="Verdana" w:eastAsia="Arial" w:hAnsi="Verdana" w:cs="Arial"/>
          <w:lang w:val="es-ES"/>
        </w:rPr>
        <w:t xml:space="preserve"> –</w:t>
      </w:r>
      <w:proofErr w:type="spellStart"/>
      <w:r w:rsidR="00B05927" w:rsidRPr="00CC59F2">
        <w:rPr>
          <w:rFonts w:ascii="Verdana" w:eastAsia="Arial" w:hAnsi="Verdana" w:cs="Arial"/>
          <w:lang w:val="es-ES"/>
        </w:rPr>
        <w:t>E</w:t>
      </w:r>
      <w:r w:rsidR="006E6114" w:rsidRPr="00CC59F2">
        <w:rPr>
          <w:rFonts w:ascii="Verdana" w:eastAsia="Arial" w:hAnsi="Verdana" w:cs="Arial"/>
          <w:lang w:val="es-ES"/>
        </w:rPr>
        <w:t>xp</w:t>
      </w:r>
      <w:proofErr w:type="spellEnd"/>
      <w:r w:rsidR="00B05927" w:rsidRPr="00CC59F2">
        <w:rPr>
          <w:rFonts w:ascii="Verdana" w:eastAsia="Arial" w:hAnsi="Verdana" w:cs="Arial"/>
          <w:lang w:val="es-ES"/>
        </w:rPr>
        <w:t>.</w:t>
      </w:r>
      <w:r w:rsidR="006E6114" w:rsidRPr="00CC59F2">
        <w:rPr>
          <w:rFonts w:ascii="Verdana" w:eastAsia="Arial" w:hAnsi="Verdana" w:cs="Arial"/>
          <w:lang w:val="es-ES"/>
        </w:rPr>
        <w:t xml:space="preserve"> No. 66.391</w:t>
      </w:r>
      <w:r w:rsidR="00B05927" w:rsidRPr="00CC59F2">
        <w:rPr>
          <w:rFonts w:ascii="Verdana" w:eastAsia="Arial" w:hAnsi="Verdana" w:cs="Arial"/>
          <w:lang w:val="es-ES"/>
        </w:rPr>
        <w:t>–,</w:t>
      </w:r>
      <w:r w:rsidR="00F83016" w:rsidRPr="00CC59F2">
        <w:rPr>
          <w:rFonts w:ascii="Verdana" w:eastAsia="Arial" w:hAnsi="Verdana" w:cs="Arial"/>
          <w:lang w:val="es-ES"/>
        </w:rPr>
        <w:t xml:space="preserve"> l</w:t>
      </w:r>
      <w:r w:rsidR="00510811" w:rsidRPr="00CC59F2">
        <w:rPr>
          <w:rFonts w:ascii="Verdana" w:eastAsia="Arial" w:hAnsi="Verdana" w:cs="Arial"/>
          <w:lang w:val="es-ES"/>
        </w:rPr>
        <w:t>as principales diferencias</w:t>
      </w:r>
      <w:r w:rsidR="00F83016" w:rsidRPr="00CC59F2">
        <w:rPr>
          <w:rFonts w:ascii="Verdana" w:eastAsia="Arial" w:hAnsi="Verdana" w:cs="Arial"/>
          <w:lang w:val="es-ES"/>
        </w:rPr>
        <w:t xml:space="preserve"> entre </w:t>
      </w:r>
      <w:r w:rsidR="00DF3858" w:rsidRPr="00CC59F2">
        <w:rPr>
          <w:rFonts w:ascii="Verdana" w:eastAsia="Arial" w:hAnsi="Verdana" w:cs="Arial"/>
          <w:lang w:val="es-ES"/>
        </w:rPr>
        <w:t xml:space="preserve">los </w:t>
      </w:r>
      <w:r w:rsidR="00DF3858" w:rsidRPr="005F67B3">
        <w:rPr>
          <w:rFonts w:ascii="Verdana" w:eastAsia="Arial" w:hAnsi="Verdana" w:cs="Arial"/>
          <w:i/>
          <w:iCs/>
          <w:lang w:val="es-ES"/>
        </w:rPr>
        <w:t xml:space="preserve">convenios asociación </w:t>
      </w:r>
      <w:r w:rsidR="00510811" w:rsidRPr="00CC59F2">
        <w:rPr>
          <w:rFonts w:ascii="Verdana" w:eastAsia="Arial" w:hAnsi="Verdana" w:cs="Arial"/>
          <w:lang w:val="es-ES"/>
        </w:rPr>
        <w:t xml:space="preserve">y los </w:t>
      </w:r>
      <w:r w:rsidR="00510811" w:rsidRPr="005F67B3">
        <w:rPr>
          <w:rFonts w:ascii="Verdana" w:eastAsia="Arial" w:hAnsi="Verdana" w:cs="Arial"/>
          <w:i/>
          <w:iCs/>
          <w:lang w:val="es-ES"/>
        </w:rPr>
        <w:t>contratos de fomento</w:t>
      </w:r>
      <w:r w:rsidR="00510811" w:rsidRPr="00CC59F2">
        <w:rPr>
          <w:rFonts w:ascii="Verdana" w:eastAsia="Arial" w:hAnsi="Verdana" w:cs="Arial"/>
          <w:lang w:val="es-ES"/>
        </w:rPr>
        <w:t xml:space="preserve"> se relacionan con</w:t>
      </w:r>
      <w:r w:rsidR="00DF3858" w:rsidRPr="00CC59F2">
        <w:rPr>
          <w:rFonts w:ascii="Verdana" w:eastAsia="Arial" w:hAnsi="Verdana" w:cs="Arial"/>
          <w:lang w:val="es-ES"/>
        </w:rPr>
        <w:t xml:space="preserve">: </w:t>
      </w:r>
    </w:p>
    <w:p w14:paraId="682CFD9D" w14:textId="07ACF06D" w:rsidR="00224CDE" w:rsidRDefault="00DF3858" w:rsidP="001C0DA2">
      <w:pPr>
        <w:spacing w:line="276" w:lineRule="auto"/>
        <w:ind w:firstLine="708"/>
        <w:jc w:val="both"/>
        <w:rPr>
          <w:rFonts w:ascii="Verdana" w:eastAsia="Arial" w:hAnsi="Verdana" w:cs="Arial"/>
          <w:lang w:val="es-ES"/>
        </w:rPr>
      </w:pPr>
      <w:r w:rsidRPr="005F67B3">
        <w:rPr>
          <w:rFonts w:ascii="Verdana" w:eastAsia="Arial" w:hAnsi="Verdana" w:cs="Arial"/>
          <w:i/>
          <w:iCs/>
          <w:lang w:val="es-ES"/>
        </w:rPr>
        <w:t>(i)</w:t>
      </w:r>
      <w:r w:rsidRPr="00CC59F2">
        <w:rPr>
          <w:rFonts w:ascii="Verdana" w:eastAsia="Arial" w:hAnsi="Verdana" w:cs="Arial"/>
          <w:lang w:val="es-ES"/>
        </w:rPr>
        <w:t xml:space="preserve"> su </w:t>
      </w:r>
      <w:r w:rsidR="00D96A65" w:rsidRPr="005F67B3">
        <w:rPr>
          <w:rFonts w:ascii="Verdana" w:eastAsia="Arial" w:hAnsi="Verdana" w:cs="Arial"/>
          <w:i/>
          <w:iCs/>
          <w:lang w:val="es-ES"/>
        </w:rPr>
        <w:t>fundamento normativo</w:t>
      </w:r>
      <w:r w:rsidR="00D96A65" w:rsidRPr="00CC59F2">
        <w:rPr>
          <w:rFonts w:ascii="Verdana" w:eastAsia="Arial" w:hAnsi="Verdana" w:cs="Arial"/>
          <w:i/>
          <w:iCs/>
          <w:lang w:val="es-ES"/>
        </w:rPr>
        <w:t xml:space="preserve">, </w:t>
      </w:r>
      <w:r w:rsidR="00D96A65" w:rsidRPr="00CC59F2">
        <w:rPr>
          <w:rFonts w:ascii="Verdana" w:eastAsia="Arial" w:hAnsi="Verdana" w:cs="Arial"/>
          <w:lang w:val="es-ES"/>
        </w:rPr>
        <w:t>ya que mientras que los</w:t>
      </w:r>
      <w:r w:rsidR="005020CD">
        <w:rPr>
          <w:rFonts w:ascii="Verdana" w:eastAsia="Arial" w:hAnsi="Verdana" w:cs="Arial"/>
          <w:lang w:val="es-ES"/>
        </w:rPr>
        <w:t xml:space="preserve"> </w:t>
      </w:r>
      <w:r w:rsidR="005020CD" w:rsidRPr="005F67B3">
        <w:rPr>
          <w:rFonts w:ascii="Verdana" w:eastAsia="Arial" w:hAnsi="Verdana" w:cs="Arial"/>
          <w:i/>
          <w:iCs/>
          <w:lang w:val="es-ES"/>
        </w:rPr>
        <w:t>convenios de asociación</w:t>
      </w:r>
      <w:r w:rsidR="00D96A65" w:rsidRPr="00CC59F2">
        <w:rPr>
          <w:rFonts w:ascii="Verdana" w:eastAsia="Arial" w:hAnsi="Verdana" w:cs="Arial"/>
          <w:lang w:val="es-ES"/>
        </w:rPr>
        <w:t xml:space="preserve"> tienen </w:t>
      </w:r>
      <w:r w:rsidR="009C009D">
        <w:rPr>
          <w:rFonts w:ascii="Verdana" w:eastAsia="Arial" w:hAnsi="Verdana" w:cs="Arial"/>
          <w:lang w:val="es-ES"/>
        </w:rPr>
        <w:t>su</w:t>
      </w:r>
      <w:r w:rsidR="00D96A65" w:rsidRPr="00CC59F2">
        <w:rPr>
          <w:rFonts w:ascii="Verdana" w:eastAsia="Arial" w:hAnsi="Verdana" w:cs="Arial"/>
          <w:lang w:val="es-ES"/>
        </w:rPr>
        <w:t xml:space="preserve"> fundamento de origen legal </w:t>
      </w:r>
      <w:r w:rsidR="00985953" w:rsidRPr="00CC59F2">
        <w:rPr>
          <w:rFonts w:ascii="Verdana" w:eastAsia="Arial" w:hAnsi="Verdana" w:cs="Arial"/>
          <w:lang w:val="es-ES"/>
        </w:rPr>
        <w:t xml:space="preserve">en el artículo 96 de la Ley 489 de 1998, los </w:t>
      </w:r>
      <w:r w:rsidR="009C009D">
        <w:rPr>
          <w:rFonts w:ascii="Verdana" w:eastAsia="Arial" w:hAnsi="Verdana" w:cs="Arial"/>
          <w:lang w:val="es-ES"/>
        </w:rPr>
        <w:t>contratos de fomento</w:t>
      </w:r>
      <w:r w:rsidR="00985953" w:rsidRPr="00CC59F2">
        <w:rPr>
          <w:rFonts w:ascii="Verdana" w:eastAsia="Arial" w:hAnsi="Verdana" w:cs="Arial"/>
          <w:lang w:val="es-ES"/>
        </w:rPr>
        <w:t xml:space="preserve"> se fundamentan en </w:t>
      </w:r>
      <w:r w:rsidR="00E529E0" w:rsidRPr="00CC59F2">
        <w:rPr>
          <w:rFonts w:ascii="Verdana" w:eastAsia="Arial" w:hAnsi="Verdana" w:cs="Arial"/>
          <w:lang w:val="es-ES"/>
        </w:rPr>
        <w:t xml:space="preserve">el artículo 355 de la Constitución </w:t>
      </w:r>
      <w:r w:rsidR="0081078A" w:rsidRPr="00CC59F2">
        <w:rPr>
          <w:rFonts w:ascii="Verdana" w:eastAsia="Arial" w:hAnsi="Verdana" w:cs="Arial"/>
          <w:lang w:val="es-ES"/>
        </w:rPr>
        <w:t>Política</w:t>
      </w:r>
      <w:r w:rsidR="00AE5813">
        <w:rPr>
          <w:rFonts w:ascii="Verdana" w:eastAsia="Arial" w:hAnsi="Verdana" w:cs="Arial"/>
          <w:lang w:val="es-ES"/>
        </w:rPr>
        <w:t xml:space="preserve">. Esto sin perjuicio de la remisión expresa realizada por el artículo 96 de la Ley 489 de 1998 al </w:t>
      </w:r>
      <w:r w:rsidR="00B6168A">
        <w:rPr>
          <w:rFonts w:ascii="Verdana" w:eastAsia="Arial" w:hAnsi="Verdana" w:cs="Arial"/>
          <w:lang w:val="es-ES"/>
        </w:rPr>
        <w:t xml:space="preserve">artículo 355 superior. </w:t>
      </w:r>
      <w:r w:rsidR="0081078A" w:rsidRPr="00CC59F2">
        <w:rPr>
          <w:rFonts w:ascii="Verdana" w:eastAsia="Arial" w:hAnsi="Verdana" w:cs="Arial"/>
          <w:lang w:val="es-ES"/>
        </w:rPr>
        <w:t xml:space="preserve"> </w:t>
      </w:r>
    </w:p>
    <w:p w14:paraId="60D28095" w14:textId="11C23835" w:rsidR="00224CDE" w:rsidRDefault="00D96A65" w:rsidP="00224CDE">
      <w:pPr>
        <w:spacing w:line="276" w:lineRule="auto"/>
        <w:ind w:firstLine="708"/>
        <w:jc w:val="both"/>
        <w:rPr>
          <w:rFonts w:ascii="Verdana" w:eastAsia="Arial" w:hAnsi="Verdana" w:cs="Arial"/>
          <w:lang w:val="es-ES"/>
        </w:rPr>
      </w:pPr>
      <w:r w:rsidRPr="005F67B3">
        <w:rPr>
          <w:rFonts w:ascii="Verdana" w:eastAsia="Arial" w:hAnsi="Verdana" w:cs="Arial"/>
          <w:i/>
          <w:iCs/>
          <w:lang w:val="es-ES"/>
        </w:rPr>
        <w:t>(</w:t>
      </w:r>
      <w:proofErr w:type="spellStart"/>
      <w:r w:rsidRPr="005F67B3">
        <w:rPr>
          <w:rFonts w:ascii="Verdana" w:eastAsia="Arial" w:hAnsi="Verdana" w:cs="Arial"/>
          <w:i/>
          <w:iCs/>
          <w:lang w:val="es-ES"/>
        </w:rPr>
        <w:t>ii</w:t>
      </w:r>
      <w:proofErr w:type="spellEnd"/>
      <w:r w:rsidRPr="005F67B3">
        <w:rPr>
          <w:rFonts w:ascii="Verdana" w:eastAsia="Arial" w:hAnsi="Verdana" w:cs="Arial"/>
          <w:i/>
          <w:iCs/>
          <w:lang w:val="es-ES"/>
        </w:rPr>
        <w:t>)</w:t>
      </w:r>
      <w:r w:rsidRPr="00CC59F2">
        <w:rPr>
          <w:rFonts w:ascii="Verdana" w:eastAsia="Arial" w:hAnsi="Verdana" w:cs="Arial"/>
          <w:lang w:val="es-ES"/>
        </w:rPr>
        <w:t xml:space="preserve"> </w:t>
      </w:r>
      <w:r w:rsidR="00224CDE" w:rsidRPr="005F67B3">
        <w:rPr>
          <w:rFonts w:ascii="Verdana" w:eastAsia="Arial" w:hAnsi="Verdana" w:cs="Arial"/>
          <w:i/>
          <w:iCs/>
          <w:lang w:val="es-ES"/>
        </w:rPr>
        <w:t>los sujetos que los celebran</w:t>
      </w:r>
      <w:r w:rsidR="00664DAA">
        <w:rPr>
          <w:rFonts w:ascii="Verdana" w:eastAsia="Arial" w:hAnsi="Verdana" w:cs="Arial"/>
          <w:lang w:val="es-ES"/>
        </w:rPr>
        <w:t xml:space="preserve">, </w:t>
      </w:r>
      <w:r w:rsidR="00591546">
        <w:rPr>
          <w:rFonts w:ascii="Verdana" w:eastAsia="Arial" w:hAnsi="Verdana" w:cs="Arial"/>
          <w:lang w:val="es-ES"/>
        </w:rPr>
        <w:t>ya que</w:t>
      </w:r>
      <w:r w:rsidR="00664DAA">
        <w:rPr>
          <w:rFonts w:ascii="Verdana" w:eastAsia="Arial" w:hAnsi="Verdana" w:cs="Arial"/>
          <w:lang w:val="es-ES"/>
        </w:rPr>
        <w:t xml:space="preserve"> en los contratos de fomento </w:t>
      </w:r>
      <w:r w:rsidR="00CC2FB2">
        <w:rPr>
          <w:rFonts w:ascii="Verdana" w:eastAsia="Arial" w:hAnsi="Verdana" w:cs="Arial"/>
          <w:lang w:val="es-ES"/>
        </w:rPr>
        <w:t xml:space="preserve">los extremos de la relación son </w:t>
      </w:r>
      <w:r w:rsidR="00A816BE">
        <w:rPr>
          <w:rFonts w:ascii="Verdana" w:eastAsia="Arial" w:hAnsi="Verdana" w:cs="Arial"/>
        </w:rPr>
        <w:t>entidades que hacen del</w:t>
      </w:r>
      <w:r w:rsidR="00A816BE" w:rsidRPr="00A816BE">
        <w:rPr>
          <w:rFonts w:ascii="Verdana" w:eastAsia="Arial" w:hAnsi="Verdana" w:cs="Arial"/>
        </w:rPr>
        <w:t xml:space="preserve"> Gobierno</w:t>
      </w:r>
      <w:r w:rsidR="00A816BE">
        <w:rPr>
          <w:rFonts w:ascii="Verdana" w:eastAsia="Arial" w:hAnsi="Verdana" w:cs="Arial"/>
        </w:rPr>
        <w:t xml:space="preserve"> en sus distintos </w:t>
      </w:r>
      <w:r w:rsidR="00866437">
        <w:rPr>
          <w:rFonts w:ascii="Verdana" w:eastAsia="Arial" w:hAnsi="Verdana" w:cs="Arial"/>
        </w:rPr>
        <w:t>órdenes y</w:t>
      </w:r>
      <w:r w:rsidR="00B6168A">
        <w:rPr>
          <w:rFonts w:ascii="Verdana" w:eastAsia="Arial" w:hAnsi="Verdana" w:cs="Arial"/>
        </w:rPr>
        <w:t xml:space="preserve"> niveles </w:t>
      </w:r>
      <w:r w:rsidR="00A816BE">
        <w:rPr>
          <w:rFonts w:ascii="Verdana" w:eastAsia="Arial" w:hAnsi="Verdana" w:cs="Arial"/>
        </w:rPr>
        <w:t>de descentralización</w:t>
      </w:r>
      <w:r w:rsidR="00A816BE" w:rsidRPr="00A816BE">
        <w:rPr>
          <w:rFonts w:ascii="Verdana" w:eastAsia="Arial" w:hAnsi="Verdana" w:cs="Arial"/>
        </w:rPr>
        <w:t xml:space="preserve"> </w:t>
      </w:r>
      <w:r w:rsidR="00CC2FB2">
        <w:rPr>
          <w:rFonts w:ascii="Verdana" w:eastAsia="Arial" w:hAnsi="Verdana" w:cs="Arial"/>
          <w:lang w:val="es-ES"/>
        </w:rPr>
        <w:t xml:space="preserve">y una entidad privada sin </w:t>
      </w:r>
      <w:r w:rsidR="00591546">
        <w:rPr>
          <w:rFonts w:ascii="Verdana" w:eastAsia="Arial" w:hAnsi="Verdana" w:cs="Arial"/>
          <w:lang w:val="es-ES"/>
        </w:rPr>
        <w:t>ánimo</w:t>
      </w:r>
      <w:r w:rsidR="00CC2FB2">
        <w:rPr>
          <w:rFonts w:ascii="Verdana" w:eastAsia="Arial" w:hAnsi="Verdana" w:cs="Arial"/>
          <w:lang w:val="es-ES"/>
        </w:rPr>
        <w:t xml:space="preserve"> de lucro,</w:t>
      </w:r>
      <w:r w:rsidR="00B6168A">
        <w:rPr>
          <w:rFonts w:ascii="Verdana" w:eastAsia="Arial" w:hAnsi="Verdana" w:cs="Arial"/>
          <w:lang w:val="es-ES"/>
        </w:rPr>
        <w:t xml:space="preserve"> a diferencia </w:t>
      </w:r>
      <w:r w:rsidR="00866437">
        <w:rPr>
          <w:rFonts w:ascii="Verdana" w:eastAsia="Arial" w:hAnsi="Verdana" w:cs="Arial"/>
          <w:lang w:val="es-ES"/>
        </w:rPr>
        <w:t xml:space="preserve">de </w:t>
      </w:r>
      <w:r w:rsidR="00224CDE" w:rsidRPr="00224CDE">
        <w:rPr>
          <w:rFonts w:ascii="Verdana" w:eastAsia="Arial" w:hAnsi="Verdana" w:cs="Arial"/>
        </w:rPr>
        <w:t>los convenios</w:t>
      </w:r>
      <w:r w:rsidR="00C3415A">
        <w:rPr>
          <w:rFonts w:ascii="Verdana" w:eastAsia="Arial" w:hAnsi="Verdana" w:cs="Arial"/>
        </w:rPr>
        <w:t xml:space="preserve"> de asociación</w:t>
      </w:r>
      <w:r w:rsidR="00866437">
        <w:rPr>
          <w:rFonts w:ascii="Verdana" w:eastAsia="Arial" w:hAnsi="Verdana" w:cs="Arial"/>
        </w:rPr>
        <w:t xml:space="preserve">, los cuales, </w:t>
      </w:r>
      <w:r w:rsidR="00866437">
        <w:rPr>
          <w:rFonts w:ascii="Verdana" w:eastAsia="Arial" w:hAnsi="Verdana" w:cs="Arial"/>
          <w:lang w:val="es-ES"/>
        </w:rPr>
        <w:t xml:space="preserve">que, a juicio del Consejo de Estado, </w:t>
      </w:r>
      <w:r w:rsidR="00224CDE" w:rsidRPr="00224CDE">
        <w:rPr>
          <w:rFonts w:ascii="Verdana" w:eastAsia="Arial" w:hAnsi="Verdana" w:cs="Arial"/>
        </w:rPr>
        <w:t>pueden ser celebrados</w:t>
      </w:r>
      <w:r w:rsidR="00C3415A">
        <w:rPr>
          <w:rFonts w:ascii="Verdana" w:eastAsia="Arial" w:hAnsi="Verdana" w:cs="Arial"/>
        </w:rPr>
        <w:t xml:space="preserve"> </w:t>
      </w:r>
      <w:r w:rsidR="00224CDE" w:rsidRPr="00224CDE">
        <w:rPr>
          <w:rFonts w:ascii="Verdana" w:eastAsia="Arial" w:hAnsi="Verdana" w:cs="Arial"/>
        </w:rPr>
        <w:t xml:space="preserve">por cualquier entidad estatal con personas jurídicas particulares, </w:t>
      </w:r>
      <w:r w:rsidR="00FE158E">
        <w:rPr>
          <w:rFonts w:ascii="Verdana" w:eastAsia="Arial" w:hAnsi="Verdana" w:cs="Arial"/>
        </w:rPr>
        <w:t>s</w:t>
      </w:r>
      <w:r w:rsidR="00224CDE" w:rsidRPr="00224CDE">
        <w:rPr>
          <w:rFonts w:ascii="Verdana" w:eastAsia="Arial" w:hAnsi="Verdana" w:cs="Arial"/>
        </w:rPr>
        <w:t>in</w:t>
      </w:r>
      <w:r w:rsidR="00FE158E">
        <w:rPr>
          <w:rFonts w:ascii="Verdana" w:eastAsia="Arial" w:hAnsi="Verdana" w:cs="Arial"/>
        </w:rPr>
        <w:t xml:space="preserve"> importar </w:t>
      </w:r>
      <w:r w:rsidR="00224CDE" w:rsidRPr="00224CDE">
        <w:rPr>
          <w:rFonts w:ascii="Verdana" w:eastAsia="Arial" w:hAnsi="Verdana" w:cs="Arial"/>
        </w:rPr>
        <w:t xml:space="preserve">ánimo de lucro </w:t>
      </w:r>
    </w:p>
    <w:p w14:paraId="29596445" w14:textId="1185FB01" w:rsidR="00695D7C" w:rsidRDefault="00B334FF" w:rsidP="001C0DA2">
      <w:pPr>
        <w:spacing w:line="276" w:lineRule="auto"/>
        <w:ind w:firstLine="708"/>
        <w:jc w:val="both"/>
        <w:rPr>
          <w:rFonts w:ascii="Verdana" w:hAnsi="Verdana"/>
        </w:rPr>
      </w:pPr>
      <w:r w:rsidRPr="005F67B3">
        <w:rPr>
          <w:rFonts w:ascii="Verdana" w:eastAsia="Arial" w:hAnsi="Verdana" w:cs="Arial"/>
          <w:i/>
          <w:iCs/>
          <w:lang w:val="es-ES"/>
        </w:rPr>
        <w:t>(</w:t>
      </w:r>
      <w:proofErr w:type="spellStart"/>
      <w:r w:rsidRPr="005F67B3">
        <w:rPr>
          <w:rFonts w:ascii="Verdana" w:eastAsia="Arial" w:hAnsi="Verdana" w:cs="Arial"/>
          <w:i/>
          <w:iCs/>
          <w:lang w:val="es-ES"/>
        </w:rPr>
        <w:t>iii</w:t>
      </w:r>
      <w:proofErr w:type="spellEnd"/>
      <w:r w:rsidRPr="005F67B3">
        <w:rPr>
          <w:rFonts w:ascii="Verdana" w:eastAsia="Arial" w:hAnsi="Verdana" w:cs="Arial"/>
          <w:i/>
          <w:iCs/>
          <w:lang w:val="es-ES"/>
        </w:rPr>
        <w:t>)</w:t>
      </w:r>
      <w:r>
        <w:rPr>
          <w:rFonts w:ascii="Verdana" w:eastAsia="Arial" w:hAnsi="Verdana" w:cs="Arial"/>
          <w:i/>
          <w:iCs/>
          <w:lang w:val="es-ES"/>
        </w:rPr>
        <w:t xml:space="preserve"> </w:t>
      </w:r>
      <w:r>
        <w:rPr>
          <w:rFonts w:ascii="Verdana" w:eastAsia="Arial" w:hAnsi="Verdana" w:cs="Arial"/>
          <w:lang w:val="es-ES"/>
        </w:rPr>
        <w:t>S</w:t>
      </w:r>
      <w:r w:rsidR="0081078A" w:rsidRPr="00CC59F2">
        <w:rPr>
          <w:rFonts w:ascii="Verdana" w:eastAsia="Arial" w:hAnsi="Verdana" w:cs="Arial"/>
          <w:lang w:val="es-ES"/>
        </w:rPr>
        <w:t xml:space="preserve">u </w:t>
      </w:r>
      <w:r w:rsidR="00DF3858" w:rsidRPr="005F67B3">
        <w:rPr>
          <w:rFonts w:ascii="Verdana" w:eastAsia="Arial" w:hAnsi="Verdana" w:cs="Arial"/>
          <w:i/>
          <w:iCs/>
          <w:lang w:val="es-ES"/>
        </w:rPr>
        <w:t>objeto o</w:t>
      </w:r>
      <w:r w:rsidR="00510811" w:rsidRPr="005F67B3">
        <w:rPr>
          <w:rFonts w:ascii="Verdana" w:eastAsia="Arial" w:hAnsi="Verdana" w:cs="Arial"/>
          <w:i/>
          <w:iCs/>
          <w:lang w:val="es-ES"/>
        </w:rPr>
        <w:t xml:space="preserve"> finalidad</w:t>
      </w:r>
      <w:r w:rsidR="00510811" w:rsidRPr="00CC59F2">
        <w:rPr>
          <w:rFonts w:ascii="Verdana" w:eastAsia="Arial" w:hAnsi="Verdana" w:cs="Arial"/>
          <w:lang w:val="es-ES"/>
        </w:rPr>
        <w:t>,</w:t>
      </w:r>
      <w:r w:rsidR="0081078A" w:rsidRPr="00CC59F2">
        <w:rPr>
          <w:rFonts w:ascii="Verdana" w:eastAsia="Arial" w:hAnsi="Verdana" w:cs="Arial"/>
          <w:lang w:val="es-ES"/>
        </w:rPr>
        <w:t xml:space="preserve"> </w:t>
      </w:r>
      <w:r w:rsidR="002D7475" w:rsidRPr="00CC59F2">
        <w:rPr>
          <w:rFonts w:ascii="Verdana" w:eastAsia="Arial" w:hAnsi="Verdana" w:cs="Arial"/>
          <w:lang w:val="es-ES"/>
        </w:rPr>
        <w:t>en la medida en que, los convenios de asociación</w:t>
      </w:r>
      <w:r w:rsidR="00BC24CA" w:rsidRPr="00CC59F2">
        <w:rPr>
          <w:rFonts w:ascii="Verdana" w:eastAsia="Arial" w:hAnsi="Verdana" w:cs="Arial"/>
          <w:lang w:val="es-ES"/>
        </w:rPr>
        <w:t xml:space="preserve"> tienen </w:t>
      </w:r>
      <w:r w:rsidR="002E073E" w:rsidRPr="00CC59F2">
        <w:rPr>
          <w:rFonts w:ascii="Verdana" w:eastAsia="Arial" w:hAnsi="Verdana" w:cs="Arial"/>
          <w:lang w:val="es-ES"/>
        </w:rPr>
        <w:t>por finalidad el</w:t>
      </w:r>
      <w:r w:rsidR="00B05927" w:rsidRPr="00CC59F2">
        <w:rPr>
          <w:rFonts w:ascii="Verdana" w:eastAsia="Arial" w:hAnsi="Verdana" w:cs="Arial"/>
          <w:lang w:val="es-ES"/>
        </w:rPr>
        <w:t xml:space="preserve"> </w:t>
      </w:r>
      <w:r w:rsidR="00BC24CA" w:rsidRPr="005F67B3">
        <w:rPr>
          <w:rFonts w:ascii="Verdana" w:hAnsi="Verdana"/>
        </w:rPr>
        <w:t>desarrollo conjunto de actividades que se desprenden de los cometidos y las funciones que les asigna la ley a la entidad estatal</w:t>
      </w:r>
      <w:r w:rsidR="00D71EA2">
        <w:rPr>
          <w:rFonts w:ascii="Verdana" w:hAnsi="Verdana"/>
        </w:rPr>
        <w:t xml:space="preserve"> involucrada</w:t>
      </w:r>
      <w:r w:rsidR="00BC24CA" w:rsidRPr="005F67B3">
        <w:rPr>
          <w:rFonts w:ascii="Verdana" w:hAnsi="Verdana"/>
        </w:rPr>
        <w:t>,</w:t>
      </w:r>
      <w:r w:rsidR="006B27EA" w:rsidRPr="005F67B3">
        <w:rPr>
          <w:rFonts w:ascii="Verdana" w:hAnsi="Verdana"/>
        </w:rPr>
        <w:t xml:space="preserve"> de manera que </w:t>
      </w:r>
      <w:r w:rsidR="00D71EA2">
        <w:rPr>
          <w:rFonts w:ascii="Verdana" w:hAnsi="Verdana"/>
        </w:rPr>
        <w:t xml:space="preserve">tales </w:t>
      </w:r>
      <w:r w:rsidR="0026393B">
        <w:rPr>
          <w:rFonts w:ascii="Verdana" w:hAnsi="Verdana"/>
        </w:rPr>
        <w:t xml:space="preserve">actividades se </w:t>
      </w:r>
      <w:r w:rsidR="004E7C3E" w:rsidRPr="005F67B3">
        <w:rPr>
          <w:rFonts w:ascii="Verdana" w:hAnsi="Verdana"/>
        </w:rPr>
        <w:t xml:space="preserve">desarrollan con la colaboración </w:t>
      </w:r>
      <w:r w:rsidR="0026393B">
        <w:rPr>
          <w:rFonts w:ascii="Verdana" w:hAnsi="Verdana"/>
        </w:rPr>
        <w:t>de</w:t>
      </w:r>
      <w:r w:rsidR="004E7C3E" w:rsidRPr="005F67B3">
        <w:rPr>
          <w:rFonts w:ascii="Verdana" w:hAnsi="Verdana"/>
        </w:rPr>
        <w:t xml:space="preserve"> particulares, </w:t>
      </w:r>
      <w:r w:rsidR="002E073E" w:rsidRPr="005F67B3">
        <w:rPr>
          <w:rFonts w:ascii="Verdana" w:hAnsi="Verdana"/>
        </w:rPr>
        <w:t>lo que difiere de los contratos de fomento, cuy</w:t>
      </w:r>
      <w:r w:rsidR="004E7C3E" w:rsidRPr="005F67B3">
        <w:rPr>
          <w:rFonts w:ascii="Verdana" w:hAnsi="Verdana"/>
        </w:rPr>
        <w:t xml:space="preserve">o objeto </w:t>
      </w:r>
      <w:r w:rsidR="00C435DC" w:rsidRPr="005F67B3">
        <w:rPr>
          <w:rFonts w:ascii="Verdana" w:hAnsi="Verdana"/>
        </w:rPr>
        <w:t>debe estar directamente dirigido a</w:t>
      </w:r>
      <w:r w:rsidR="002E073E" w:rsidRPr="005F67B3">
        <w:rPr>
          <w:rFonts w:ascii="Verdana" w:hAnsi="Verdana"/>
        </w:rPr>
        <w:t>l impulso de programas y actividades de interés público acordes con los planes de desarrollo,</w:t>
      </w:r>
      <w:r w:rsidR="00C435DC" w:rsidRPr="005F67B3">
        <w:rPr>
          <w:rFonts w:ascii="Verdana" w:hAnsi="Verdana"/>
        </w:rPr>
        <w:t xml:space="preserve"> las cuales son desarrolladas por particula</w:t>
      </w:r>
      <w:r w:rsidR="00CC59F2" w:rsidRPr="005F67B3">
        <w:rPr>
          <w:rFonts w:ascii="Verdana" w:hAnsi="Verdana"/>
        </w:rPr>
        <w:t>r;</w:t>
      </w:r>
      <w:r w:rsidR="00CC59F2">
        <w:rPr>
          <w:rFonts w:ascii="Verdana" w:hAnsi="Verdana"/>
        </w:rPr>
        <w:t xml:space="preserve"> </w:t>
      </w:r>
    </w:p>
    <w:p w14:paraId="5CF64426" w14:textId="0625C85C" w:rsidR="00A85A07" w:rsidRDefault="00891FD7" w:rsidP="001C0DA2">
      <w:pPr>
        <w:spacing w:line="276" w:lineRule="auto"/>
        <w:ind w:firstLine="708"/>
        <w:jc w:val="both"/>
        <w:rPr>
          <w:rFonts w:ascii="Verdana" w:hAnsi="Verdana"/>
        </w:rPr>
      </w:pPr>
      <w:r w:rsidRPr="005F67B3">
        <w:rPr>
          <w:rFonts w:ascii="Verdana" w:hAnsi="Verdana"/>
          <w:i/>
          <w:iCs/>
        </w:rPr>
        <w:t>(</w:t>
      </w:r>
      <w:proofErr w:type="spellStart"/>
      <w:r w:rsidRPr="005F67B3">
        <w:rPr>
          <w:rFonts w:ascii="Verdana" w:hAnsi="Verdana"/>
          <w:i/>
          <w:iCs/>
        </w:rPr>
        <w:t>iv</w:t>
      </w:r>
      <w:proofErr w:type="spellEnd"/>
      <w:r w:rsidRPr="005F67B3">
        <w:rPr>
          <w:rFonts w:ascii="Verdana" w:hAnsi="Verdana"/>
          <w:i/>
          <w:iCs/>
        </w:rPr>
        <w:t>)</w:t>
      </w:r>
      <w:r>
        <w:rPr>
          <w:rFonts w:ascii="Verdana" w:hAnsi="Verdana"/>
        </w:rPr>
        <w:t xml:space="preserve"> </w:t>
      </w:r>
      <w:r w:rsidR="00AC3A71">
        <w:rPr>
          <w:rFonts w:ascii="Verdana" w:hAnsi="Verdana"/>
        </w:rPr>
        <w:t>La</w:t>
      </w:r>
      <w:r>
        <w:rPr>
          <w:rFonts w:ascii="Verdana" w:hAnsi="Verdana"/>
        </w:rPr>
        <w:t xml:space="preserve"> </w:t>
      </w:r>
      <w:r w:rsidRPr="005F67B3">
        <w:rPr>
          <w:rFonts w:ascii="Verdana" w:hAnsi="Verdana"/>
          <w:i/>
          <w:iCs/>
        </w:rPr>
        <w:t>participación de los sujetos en la ejecución</w:t>
      </w:r>
      <w:r w:rsidR="00640487">
        <w:rPr>
          <w:rFonts w:ascii="Verdana" w:hAnsi="Verdana"/>
        </w:rPr>
        <w:t xml:space="preserve">, </w:t>
      </w:r>
      <w:r w:rsidR="00CE22CD">
        <w:rPr>
          <w:rFonts w:ascii="Verdana" w:hAnsi="Verdana"/>
        </w:rPr>
        <w:t xml:space="preserve">toda vez </w:t>
      </w:r>
      <w:r w:rsidR="00637AF4">
        <w:rPr>
          <w:rFonts w:ascii="Verdana" w:hAnsi="Verdana"/>
        </w:rPr>
        <w:t>que,</w:t>
      </w:r>
      <w:r w:rsidR="00CE22CD">
        <w:rPr>
          <w:rFonts w:ascii="Verdana" w:hAnsi="Verdana"/>
        </w:rPr>
        <w:t xml:space="preserve"> en los contratos de fomento, </w:t>
      </w:r>
      <w:r w:rsidR="00AD0E69">
        <w:rPr>
          <w:rFonts w:ascii="Verdana" w:hAnsi="Verdana"/>
        </w:rPr>
        <w:t xml:space="preserve">la entidad sin </w:t>
      </w:r>
      <w:r w:rsidR="008B7256">
        <w:rPr>
          <w:rFonts w:ascii="Verdana" w:hAnsi="Verdana"/>
        </w:rPr>
        <w:t>ánimo</w:t>
      </w:r>
      <w:r w:rsidR="00AD0E69">
        <w:rPr>
          <w:rFonts w:ascii="Verdana" w:hAnsi="Verdana"/>
        </w:rPr>
        <w:t xml:space="preserve"> de lucro</w:t>
      </w:r>
      <w:r w:rsidR="005A1D7E">
        <w:rPr>
          <w:rFonts w:ascii="Verdana" w:hAnsi="Verdana"/>
        </w:rPr>
        <w:t xml:space="preserve"> es la encargada de ejecutar el programa con </w:t>
      </w:r>
      <w:r w:rsidR="00D65EEB">
        <w:rPr>
          <w:rFonts w:ascii="Verdana" w:hAnsi="Verdana"/>
        </w:rPr>
        <w:t xml:space="preserve">una considerable </w:t>
      </w:r>
      <w:r w:rsidR="005A1D7E">
        <w:rPr>
          <w:rFonts w:ascii="Verdana" w:hAnsi="Verdana"/>
        </w:rPr>
        <w:t>autonom</w:t>
      </w:r>
      <w:r w:rsidR="00D65EEB">
        <w:rPr>
          <w:rFonts w:ascii="Verdana" w:hAnsi="Verdana"/>
        </w:rPr>
        <w:t>ía,</w:t>
      </w:r>
      <w:r w:rsidR="00EC0C14">
        <w:rPr>
          <w:rFonts w:ascii="Verdana" w:hAnsi="Verdana"/>
        </w:rPr>
        <w:t xml:space="preserve"> en comparación con los convenios de asociación, </w:t>
      </w:r>
      <w:r w:rsidR="00637AF4">
        <w:rPr>
          <w:rFonts w:ascii="Verdana" w:hAnsi="Verdana"/>
        </w:rPr>
        <w:t>que,</w:t>
      </w:r>
      <w:r w:rsidR="00EC0C14">
        <w:rPr>
          <w:rFonts w:ascii="Verdana" w:hAnsi="Verdana"/>
        </w:rPr>
        <w:t xml:space="preserve"> al estar dirigidos a ejecutar funciones atribuidas </w:t>
      </w:r>
      <w:r w:rsidR="00FD1385">
        <w:rPr>
          <w:rFonts w:ascii="Verdana" w:hAnsi="Verdana"/>
        </w:rPr>
        <w:t xml:space="preserve">por la ley </w:t>
      </w:r>
      <w:r w:rsidR="00F10EAE">
        <w:rPr>
          <w:rFonts w:ascii="Verdana" w:hAnsi="Verdana"/>
        </w:rPr>
        <w:t>a un ente públic</w:t>
      </w:r>
      <w:r w:rsidR="00637AF4">
        <w:rPr>
          <w:rFonts w:ascii="Verdana" w:hAnsi="Verdana"/>
        </w:rPr>
        <w:t xml:space="preserve">o, suponen la necesaria participación de este en la ejecución. </w:t>
      </w:r>
    </w:p>
    <w:bookmarkEnd w:id="4"/>
    <w:p w14:paraId="7C459352" w14:textId="77777777" w:rsidR="00E256C9" w:rsidRDefault="00637AF4" w:rsidP="00E256C9">
      <w:pPr>
        <w:spacing w:line="276" w:lineRule="auto"/>
        <w:ind w:firstLine="709"/>
        <w:jc w:val="both"/>
        <w:rPr>
          <w:rFonts w:ascii="Verdana" w:eastAsia="Calibri" w:hAnsi="Verdana" w:cs="Arial"/>
          <w:lang w:val="es-ES" w:eastAsia="es-ES"/>
        </w:rPr>
      </w:pPr>
      <w:r>
        <w:rPr>
          <w:rFonts w:ascii="Verdana" w:hAnsi="Verdana"/>
        </w:rPr>
        <w:t xml:space="preserve">Ahora bien, </w:t>
      </w:r>
      <w:r w:rsidR="00D2207B">
        <w:rPr>
          <w:rFonts w:ascii="Verdana" w:hAnsi="Verdana"/>
        </w:rPr>
        <w:t xml:space="preserve">en cuanto al segundo punto, relacionado con el aspecto subjetivo, es necesario indicar que, </w:t>
      </w:r>
      <w:r w:rsidR="00E256C9">
        <w:rPr>
          <w:rFonts w:ascii="Verdana" w:eastAsia="Calibri" w:hAnsi="Verdana" w:cs="Arial"/>
          <w:lang w:val="es-ES" w:eastAsia="es-ES"/>
        </w:rPr>
        <w:t xml:space="preserve">esta Subdirección ha precisado que, si bien, el artículo 96 de la Ley 489 de 1998 se refiere a la posibilidad de celebrar  convenios de asociación con personas jurídicas de derecho privado en general– sin aludir o distinguir su ánimo lucrativo–, en virtud de la remisión realizada por dicha norma al artículo 355 superior y al alcance del Decreto 092 de 2017, la reglamentación vigente solo contempla la posibilidad de celebrar convenios de </w:t>
      </w:r>
      <w:r w:rsidR="00E256C9">
        <w:rPr>
          <w:rFonts w:ascii="Verdana" w:eastAsia="Calibri" w:hAnsi="Verdana" w:cs="Arial"/>
          <w:lang w:val="es-ES" w:eastAsia="es-ES"/>
        </w:rPr>
        <w:lastRenderedPageBreak/>
        <w:t xml:space="preserve">asociación con personas jurídicas de derecho privado que no tengan ánimo de lucro. Al respecto se pronunció esta Subdirección en el concepto C-967 del 1 de agosto de 2025: </w:t>
      </w:r>
    </w:p>
    <w:p w14:paraId="1431B2DE" w14:textId="77777777" w:rsidR="00E256C9" w:rsidRPr="00D76834" w:rsidRDefault="00E256C9" w:rsidP="00E256C9">
      <w:pPr>
        <w:spacing w:after="120" w:line="240" w:lineRule="auto"/>
        <w:ind w:left="709" w:right="709"/>
        <w:jc w:val="both"/>
        <w:rPr>
          <w:rFonts w:ascii="Verdana" w:eastAsia="Calibri" w:hAnsi="Verdana" w:cs="Arial"/>
          <w:sz w:val="20"/>
          <w:szCs w:val="20"/>
        </w:rPr>
      </w:pPr>
      <w:r w:rsidRPr="00D76834">
        <w:rPr>
          <w:rFonts w:ascii="Verdana" w:eastAsia="Calibri" w:hAnsi="Verdana" w:cs="Arial"/>
          <w:sz w:val="20"/>
          <w:szCs w:val="20"/>
        </w:rPr>
        <w:t xml:space="preserve">“Aunque el artículo 96 de la Ley 489 de 1998 se refiere genéricamente a la noción “personas jurídicas particulares”, lo cierto es que los </w:t>
      </w:r>
      <w:r w:rsidRPr="00D76834">
        <w:rPr>
          <w:rFonts w:ascii="Verdana" w:eastAsia="Calibri" w:hAnsi="Verdana" w:cs="Arial"/>
          <w:i/>
          <w:iCs/>
          <w:sz w:val="20"/>
          <w:szCs w:val="20"/>
        </w:rPr>
        <w:t xml:space="preserve">convenios de asociación </w:t>
      </w:r>
      <w:r w:rsidRPr="00D76834">
        <w:rPr>
          <w:rFonts w:ascii="Verdana" w:eastAsia="Calibri" w:hAnsi="Verdana" w:cs="Arial"/>
          <w:sz w:val="20"/>
          <w:szCs w:val="20"/>
        </w:rPr>
        <w:t xml:space="preserve">que regula esa norma únicamente pueden celebrarse con ESAL. Esto es así porque el inciso segundo de la misma disposición establece que tales convenios “se celebrarán de conformidad con lo dispuesto en el artículo 355 de la Constitución Política”, norma que le permite al “Gobierno, en los niveles nacional, departamental, distrital y municipal podrá, con recursos de los respectivos presupuestos, celebrar contratos </w:t>
      </w:r>
      <w:r w:rsidRPr="00D76834">
        <w:rPr>
          <w:rFonts w:ascii="Verdana" w:eastAsia="Calibri" w:hAnsi="Verdana" w:cs="Arial"/>
          <w:i/>
          <w:iCs/>
          <w:sz w:val="20"/>
          <w:szCs w:val="20"/>
        </w:rPr>
        <w:t>con entidades privadas sin ánimo de lucro y de reconocida idoneidad</w:t>
      </w:r>
      <w:r w:rsidRPr="00D76834">
        <w:rPr>
          <w:rFonts w:ascii="Verdana" w:eastAsia="Calibri" w:hAnsi="Verdana" w:cs="Arial"/>
          <w:sz w:val="20"/>
          <w:szCs w:val="20"/>
        </w:rPr>
        <w:t xml:space="preserve"> con el fin de impulsar programas y actividades de interés público acordes con el Plan Nacional y los planes seccionales de Desarrollo” (Énfasis fuera de texto). Es de resaltar que el artículo 355 de la Constitución fue desarrollado por el Decreto 92 de 2017, cuyo artículo 5 señala concretamente que los negocios jurídicos se deben celebrar únicamente con las ESAL. Por ello, en el Concepto C-057 </w:t>
      </w:r>
      <w:r w:rsidRPr="00D76834">
        <w:rPr>
          <w:rFonts w:ascii="Verdana" w:eastAsia="Calibri" w:hAnsi="Verdana" w:cs="Arial"/>
          <w:sz w:val="20"/>
          <w:szCs w:val="20"/>
          <w:lang w:val="es-ES" w:eastAsia="es-ES"/>
        </w:rPr>
        <w:t>del 10 de marzo de 2021, la Agencia sostuvo que “[…] debe destacarse el requisito consistente en que los convenios de que trata el Decreto 092 de 2017 solamente se pueden celebrar con entidades privadas sin ánimo de lucro –ESAL–, por lo que no es posible celebrarlos con personas con ánimo de lucro”</w:t>
      </w:r>
      <w:r>
        <w:rPr>
          <w:rStyle w:val="Refdenotaalpie"/>
          <w:rFonts w:ascii="Verdana" w:eastAsia="Calibri" w:hAnsi="Verdana" w:cs="Arial"/>
          <w:sz w:val="20"/>
          <w:szCs w:val="20"/>
          <w:lang w:val="es-ES" w:eastAsia="es-ES"/>
        </w:rPr>
        <w:footnoteReference w:id="12"/>
      </w:r>
      <w:r w:rsidRPr="00D76834">
        <w:rPr>
          <w:rFonts w:ascii="Verdana" w:eastAsia="Calibri" w:hAnsi="Verdana" w:cs="Arial"/>
          <w:sz w:val="20"/>
          <w:szCs w:val="20"/>
          <w:lang w:val="es-ES" w:eastAsia="es-ES"/>
        </w:rPr>
        <w:t>.</w:t>
      </w:r>
      <w:r w:rsidRPr="00D76834">
        <w:rPr>
          <w:rFonts w:ascii="Verdana" w:eastAsia="Calibri" w:hAnsi="Verdana" w:cs="Arial"/>
          <w:sz w:val="20"/>
          <w:szCs w:val="20"/>
        </w:rPr>
        <w:t xml:space="preserve"> </w:t>
      </w:r>
    </w:p>
    <w:p w14:paraId="51A7AEB6" w14:textId="339B6BDA" w:rsidR="00E256C9" w:rsidRDefault="00E256C9" w:rsidP="00E256C9">
      <w:pPr>
        <w:spacing w:line="276" w:lineRule="auto"/>
        <w:ind w:firstLine="709"/>
        <w:jc w:val="both"/>
        <w:rPr>
          <w:rFonts w:ascii="Verdana" w:eastAsia="Calibri" w:hAnsi="Verdana" w:cs="Arial"/>
          <w:lang w:val="es-ES" w:eastAsia="es-ES"/>
        </w:rPr>
      </w:pPr>
      <w:r>
        <w:rPr>
          <w:rFonts w:ascii="Verdana" w:eastAsia="Calibri" w:hAnsi="Verdana" w:cs="Arial"/>
          <w:lang w:val="es-ES" w:eastAsia="es-ES"/>
        </w:rPr>
        <w:t>En tales términos, sin perjuicio de lo sostenido por la Sección Tercera del Consejo de Estado en las sentencias</w:t>
      </w:r>
      <w:r w:rsidRPr="005427E7">
        <w:rPr>
          <w:rFonts w:ascii="Verdana" w:eastAsia="Calibri" w:hAnsi="Verdana" w:cs="Arial"/>
          <w:lang w:val="es-ES" w:eastAsia="es-ES"/>
        </w:rPr>
        <w:t xml:space="preserve"> del 13 de marzo</w:t>
      </w:r>
      <w:r w:rsidR="000D1F37">
        <w:rPr>
          <w:rFonts w:ascii="Verdana" w:eastAsia="Calibri" w:hAnsi="Verdana" w:cs="Arial"/>
          <w:lang w:val="es-ES" w:eastAsia="es-ES"/>
        </w:rPr>
        <w:t xml:space="preserve">, 22 de mayo, </w:t>
      </w:r>
      <w:r>
        <w:rPr>
          <w:rFonts w:ascii="Verdana" w:eastAsia="Calibri" w:hAnsi="Verdana" w:cs="Arial"/>
          <w:lang w:val="es-ES" w:eastAsia="es-ES"/>
        </w:rPr>
        <w:t>13 de agosto de 2024,</w:t>
      </w:r>
      <w:r w:rsidR="00D773DE">
        <w:rPr>
          <w:rFonts w:ascii="Verdana" w:eastAsia="Calibri" w:hAnsi="Verdana" w:cs="Arial"/>
          <w:lang w:val="es-ES" w:eastAsia="es-ES"/>
        </w:rPr>
        <w:t xml:space="preserve"> entre otras,</w:t>
      </w:r>
      <w:r>
        <w:rPr>
          <w:rFonts w:ascii="Verdana" w:eastAsia="Calibri" w:hAnsi="Verdana" w:cs="Arial"/>
          <w:lang w:val="es-ES" w:eastAsia="es-ES"/>
        </w:rPr>
        <w:t xml:space="preserve"> de acuerdo con lo precisado por la doctrina de esta Subdirección, es claro que, el artículo 355 superior, norma a la que remite íntegramente el artículo 96 de la Ley 489 de 1998, así como el artículo 5 del Decreto 092 de 2017, disposición que reglamenta la celebración de convenios de asociación, solo hacen referencia a entidades privadas sin ánimo de lucro.</w:t>
      </w:r>
      <w:r w:rsidR="00D773DE">
        <w:rPr>
          <w:rFonts w:ascii="Verdana" w:eastAsia="Calibri" w:hAnsi="Verdana" w:cs="Arial"/>
          <w:lang w:val="es-ES" w:eastAsia="es-ES"/>
        </w:rPr>
        <w:t xml:space="preserve"> </w:t>
      </w:r>
    </w:p>
    <w:p w14:paraId="1622C76A" w14:textId="23D0259D" w:rsidR="00391AF3" w:rsidRPr="007E6A42" w:rsidRDefault="006C08BC" w:rsidP="00E256C9">
      <w:pPr>
        <w:spacing w:line="276" w:lineRule="auto"/>
        <w:ind w:firstLine="709"/>
        <w:jc w:val="both"/>
        <w:rPr>
          <w:rFonts w:ascii="Verdana" w:eastAsia="Arial" w:hAnsi="Verdana" w:cs="Arial"/>
          <w:lang w:val="es-ES"/>
        </w:rPr>
      </w:pPr>
      <w:r>
        <w:rPr>
          <w:rFonts w:ascii="Verdana" w:eastAsia="Calibri" w:hAnsi="Verdana" w:cs="Arial"/>
          <w:lang w:val="es-ES" w:eastAsia="es-ES"/>
        </w:rPr>
        <w:t xml:space="preserve">Sobre este punto en particular, conviene llamar la atención sobre el hecho de que, el </w:t>
      </w:r>
      <w:r w:rsidR="00C5181A">
        <w:rPr>
          <w:rFonts w:ascii="Verdana" w:eastAsia="Calibri" w:hAnsi="Verdana" w:cs="Arial"/>
          <w:lang w:val="es-ES" w:eastAsia="es-ES"/>
        </w:rPr>
        <w:t xml:space="preserve">negocio jurídico sobre el que versaron </w:t>
      </w:r>
      <w:r w:rsidR="001F1898">
        <w:rPr>
          <w:rFonts w:ascii="Verdana" w:eastAsia="Calibri" w:hAnsi="Verdana" w:cs="Arial"/>
          <w:lang w:val="es-ES" w:eastAsia="es-ES"/>
        </w:rPr>
        <w:t xml:space="preserve">las consideraciones de la Sentencia del 22 de mayo de </w:t>
      </w:r>
      <w:r w:rsidR="00D10CEC">
        <w:rPr>
          <w:rFonts w:ascii="Verdana" w:eastAsia="Calibri" w:hAnsi="Verdana" w:cs="Arial"/>
          <w:lang w:val="es-ES" w:eastAsia="es-ES"/>
        </w:rPr>
        <w:t>2024</w:t>
      </w:r>
      <w:r w:rsidR="005532BE">
        <w:rPr>
          <w:rFonts w:ascii="Verdana" w:eastAsia="Calibri" w:hAnsi="Verdana" w:cs="Arial"/>
          <w:lang w:val="es-ES" w:eastAsia="es-ES"/>
        </w:rPr>
        <w:t xml:space="preserve"> fue un convenio de asociación </w:t>
      </w:r>
      <w:r w:rsidR="00223308">
        <w:rPr>
          <w:rFonts w:ascii="Verdana" w:eastAsia="Calibri" w:hAnsi="Verdana" w:cs="Arial"/>
          <w:lang w:val="es-ES" w:eastAsia="es-ES"/>
        </w:rPr>
        <w:t xml:space="preserve">celebrado </w:t>
      </w:r>
      <w:r w:rsidR="00A22342">
        <w:rPr>
          <w:rFonts w:ascii="Verdana" w:eastAsia="Calibri" w:hAnsi="Verdana" w:cs="Arial"/>
          <w:lang w:val="es-ES" w:eastAsia="es-ES"/>
        </w:rPr>
        <w:t xml:space="preserve">en vigencia del Decreto </w:t>
      </w:r>
      <w:r w:rsidR="002C13FA">
        <w:rPr>
          <w:rFonts w:ascii="Verdana" w:eastAsia="Calibri" w:hAnsi="Verdana" w:cs="Arial"/>
          <w:lang w:val="es-ES" w:eastAsia="es-ES"/>
        </w:rPr>
        <w:t>777 de 1992, norma que aplicaba a su celebración, en atención a la remisión expresa que el artículo</w:t>
      </w:r>
      <w:r w:rsidR="00D3627A">
        <w:rPr>
          <w:rFonts w:ascii="Verdana" w:eastAsia="Calibri" w:hAnsi="Verdana" w:cs="Arial"/>
          <w:lang w:val="es-ES" w:eastAsia="es-ES"/>
        </w:rPr>
        <w:t xml:space="preserve"> 96 de la Ley 489 de 1998 realiza al artículo</w:t>
      </w:r>
      <w:r w:rsidR="002C13FA">
        <w:rPr>
          <w:rFonts w:ascii="Verdana" w:eastAsia="Calibri" w:hAnsi="Verdana" w:cs="Arial"/>
          <w:lang w:val="es-ES" w:eastAsia="es-ES"/>
        </w:rPr>
        <w:t xml:space="preserve"> 355 </w:t>
      </w:r>
      <w:r w:rsidR="00D3627A">
        <w:rPr>
          <w:rFonts w:ascii="Verdana" w:eastAsia="Calibri" w:hAnsi="Verdana" w:cs="Arial"/>
          <w:lang w:val="es-ES" w:eastAsia="es-ES"/>
        </w:rPr>
        <w:t>superior</w:t>
      </w:r>
      <w:r w:rsidR="00D523B5">
        <w:rPr>
          <w:rFonts w:ascii="Verdana" w:eastAsia="Calibri" w:hAnsi="Verdana" w:cs="Arial"/>
          <w:lang w:val="es-ES" w:eastAsia="es-ES"/>
        </w:rPr>
        <w:t>.</w:t>
      </w:r>
      <w:r w:rsidR="002C13FA">
        <w:rPr>
          <w:rFonts w:ascii="Verdana" w:eastAsia="Calibri" w:hAnsi="Verdana" w:cs="Arial"/>
          <w:lang w:val="es-ES" w:eastAsia="es-ES"/>
        </w:rPr>
        <w:t xml:space="preserve"> </w:t>
      </w:r>
      <w:r w:rsidR="00967493">
        <w:rPr>
          <w:rFonts w:ascii="Verdana" w:eastAsia="Calibri" w:hAnsi="Verdana" w:cs="Arial"/>
          <w:lang w:val="es-ES" w:eastAsia="es-ES"/>
        </w:rPr>
        <w:t xml:space="preserve">No obstante, </w:t>
      </w:r>
      <w:r w:rsidR="007D4DCC">
        <w:rPr>
          <w:rFonts w:ascii="Verdana" w:eastAsia="Calibri" w:hAnsi="Verdana" w:cs="Arial"/>
          <w:lang w:val="es-ES" w:eastAsia="es-ES"/>
        </w:rPr>
        <w:t>el Decreto 092 de 2017</w:t>
      </w:r>
      <w:r w:rsidR="006D1EA5">
        <w:rPr>
          <w:rFonts w:ascii="Verdana" w:eastAsia="Calibri" w:hAnsi="Verdana" w:cs="Arial"/>
          <w:lang w:val="es-ES" w:eastAsia="es-ES"/>
        </w:rPr>
        <w:t xml:space="preserve">, no solo derogó el Decreto 777 de 1992, estableciendo un nuevo régimen para la celebración de </w:t>
      </w:r>
      <w:r w:rsidR="006D1EA5">
        <w:rPr>
          <w:rFonts w:ascii="Verdana" w:eastAsia="Calibri" w:hAnsi="Verdana" w:cs="Arial"/>
          <w:lang w:val="es-ES" w:eastAsia="es-ES"/>
        </w:rPr>
        <w:lastRenderedPageBreak/>
        <w:t>contratos de fomento</w:t>
      </w:r>
      <w:r w:rsidR="001F7F11">
        <w:rPr>
          <w:rFonts w:ascii="Verdana" w:eastAsia="Calibri" w:hAnsi="Verdana" w:cs="Arial"/>
          <w:lang w:val="es-ES" w:eastAsia="es-ES"/>
        </w:rPr>
        <w:t xml:space="preserve"> </w:t>
      </w:r>
      <w:r w:rsidR="00895BA3">
        <w:rPr>
          <w:rFonts w:ascii="Verdana" w:eastAsia="Calibri" w:hAnsi="Verdana" w:cs="Arial"/>
          <w:lang w:val="es-ES" w:eastAsia="es-ES"/>
        </w:rPr>
        <w:t>–</w:t>
      </w:r>
      <w:r w:rsidR="00B366C3">
        <w:rPr>
          <w:rFonts w:ascii="Verdana" w:eastAsia="Calibri" w:hAnsi="Verdana" w:cs="Arial"/>
          <w:lang w:val="es-ES" w:eastAsia="es-ES"/>
        </w:rPr>
        <w:t>art</w:t>
      </w:r>
      <w:r w:rsidR="00895BA3">
        <w:rPr>
          <w:rFonts w:ascii="Verdana" w:eastAsia="Calibri" w:hAnsi="Verdana" w:cs="Arial"/>
          <w:lang w:val="es-ES" w:eastAsia="es-ES"/>
        </w:rPr>
        <w:t>ículos</w:t>
      </w:r>
      <w:r w:rsidR="00B366C3">
        <w:rPr>
          <w:rFonts w:ascii="Verdana" w:eastAsia="Calibri" w:hAnsi="Verdana" w:cs="Arial"/>
          <w:lang w:val="es-ES" w:eastAsia="es-ES"/>
        </w:rPr>
        <w:t>. 2</w:t>
      </w:r>
      <w:r w:rsidR="00364779">
        <w:rPr>
          <w:rFonts w:ascii="Verdana" w:eastAsia="Calibri" w:hAnsi="Verdana" w:cs="Arial"/>
          <w:lang w:val="es-ES" w:eastAsia="es-ES"/>
        </w:rPr>
        <w:t>, 3, y 4</w:t>
      </w:r>
      <w:r w:rsidR="00895BA3">
        <w:rPr>
          <w:rFonts w:ascii="Verdana" w:eastAsia="Calibri" w:hAnsi="Verdana" w:cs="Arial"/>
          <w:lang w:val="es-ES" w:eastAsia="es-ES"/>
        </w:rPr>
        <w:t>–</w:t>
      </w:r>
      <w:r w:rsidR="00364779">
        <w:rPr>
          <w:rFonts w:ascii="Verdana" w:eastAsia="Calibri" w:hAnsi="Verdana" w:cs="Arial"/>
          <w:lang w:val="es-ES" w:eastAsia="es-ES"/>
        </w:rPr>
        <w:t>, sino que estableció en su artículo 5 una regulación específica para la celebración de asociación</w:t>
      </w:r>
      <w:r w:rsidR="009E37D7">
        <w:rPr>
          <w:rFonts w:ascii="Verdana" w:eastAsia="Calibri" w:hAnsi="Verdana" w:cs="Arial"/>
          <w:lang w:val="es-ES" w:eastAsia="es-ES"/>
        </w:rPr>
        <w:t xml:space="preserve"> a los que se refiere el artículo 96 de la Ley 489 de 1998</w:t>
      </w:r>
      <w:r w:rsidR="00364779">
        <w:rPr>
          <w:rFonts w:ascii="Verdana" w:eastAsia="Calibri" w:hAnsi="Verdana" w:cs="Arial"/>
          <w:lang w:val="es-ES" w:eastAsia="es-ES"/>
        </w:rPr>
        <w:t>,</w:t>
      </w:r>
      <w:r w:rsidR="00475E93">
        <w:rPr>
          <w:rFonts w:ascii="Verdana" w:eastAsia="Calibri" w:hAnsi="Verdana" w:cs="Arial"/>
          <w:lang w:val="es-ES" w:eastAsia="es-ES"/>
        </w:rPr>
        <w:t xml:space="preserve"> la cual</w:t>
      </w:r>
      <w:r w:rsidR="00353B55">
        <w:rPr>
          <w:rFonts w:ascii="Verdana" w:eastAsia="Calibri" w:hAnsi="Verdana" w:cs="Arial"/>
          <w:lang w:val="es-ES" w:eastAsia="es-ES"/>
        </w:rPr>
        <w:t xml:space="preserve"> </w:t>
      </w:r>
      <w:r w:rsidR="005E27D7">
        <w:rPr>
          <w:rFonts w:ascii="Verdana" w:eastAsia="Calibri" w:hAnsi="Verdana" w:cs="Arial"/>
          <w:lang w:val="es-ES" w:eastAsia="es-ES"/>
        </w:rPr>
        <w:t xml:space="preserve">no contempla la posibilidad </w:t>
      </w:r>
      <w:r w:rsidR="00550C4F">
        <w:rPr>
          <w:rFonts w:ascii="Verdana" w:eastAsia="Calibri" w:hAnsi="Verdana" w:cs="Arial"/>
          <w:lang w:val="es-ES" w:eastAsia="es-ES"/>
        </w:rPr>
        <w:t xml:space="preserve">de celebrar convenios de asociación con personas jurídicas con </w:t>
      </w:r>
      <w:r w:rsidR="00733378">
        <w:rPr>
          <w:rFonts w:ascii="Verdana" w:eastAsia="Calibri" w:hAnsi="Verdana" w:cs="Arial"/>
          <w:lang w:val="es-ES" w:eastAsia="es-ES"/>
        </w:rPr>
        <w:t>ánimo</w:t>
      </w:r>
      <w:r w:rsidR="00550C4F">
        <w:rPr>
          <w:rFonts w:ascii="Verdana" w:eastAsia="Calibri" w:hAnsi="Verdana" w:cs="Arial"/>
          <w:lang w:val="es-ES" w:eastAsia="es-ES"/>
        </w:rPr>
        <w:t xml:space="preserve"> de lucro. </w:t>
      </w:r>
      <w:r w:rsidR="009E37D7">
        <w:rPr>
          <w:rFonts w:ascii="Verdana" w:eastAsia="Calibri" w:hAnsi="Verdana" w:cs="Arial"/>
          <w:lang w:val="es-ES" w:eastAsia="es-ES"/>
        </w:rPr>
        <w:t xml:space="preserve"> </w:t>
      </w:r>
      <w:r w:rsidR="00B366C3">
        <w:rPr>
          <w:rFonts w:ascii="Verdana" w:eastAsia="Calibri" w:hAnsi="Verdana" w:cs="Arial"/>
          <w:lang w:val="es-ES" w:eastAsia="es-ES"/>
        </w:rPr>
        <w:t xml:space="preserve"> </w:t>
      </w:r>
    </w:p>
    <w:p w14:paraId="3FB50EC4" w14:textId="69323672" w:rsidR="00637AF4" w:rsidRPr="005F67B3" w:rsidRDefault="00DD5BAC" w:rsidP="007847A5">
      <w:pPr>
        <w:spacing w:line="276" w:lineRule="auto"/>
        <w:ind w:firstLine="708"/>
        <w:jc w:val="both"/>
        <w:rPr>
          <w:rFonts w:ascii="Verdana" w:hAnsi="Verdana"/>
          <w:lang w:val="es-ES"/>
        </w:rPr>
      </w:pPr>
      <w:r>
        <w:rPr>
          <w:rFonts w:ascii="Verdana" w:hAnsi="Verdana"/>
          <w:lang w:val="es-ES"/>
        </w:rPr>
        <w:t xml:space="preserve">En ese sentido, también es </w:t>
      </w:r>
      <w:r w:rsidR="00A4409C">
        <w:rPr>
          <w:rFonts w:ascii="Verdana" w:hAnsi="Verdana"/>
          <w:lang w:val="es-ES"/>
        </w:rPr>
        <w:t xml:space="preserve">pertinente </w:t>
      </w:r>
      <w:r w:rsidR="00E46563">
        <w:rPr>
          <w:rFonts w:ascii="Verdana" w:hAnsi="Verdana"/>
          <w:lang w:val="es-ES"/>
        </w:rPr>
        <w:t>traer a colación</w:t>
      </w:r>
      <w:r w:rsidR="00A4409C">
        <w:rPr>
          <w:rFonts w:ascii="Verdana" w:hAnsi="Verdana"/>
          <w:lang w:val="es-ES"/>
        </w:rPr>
        <w:t xml:space="preserve"> </w:t>
      </w:r>
      <w:r w:rsidR="00E46563">
        <w:rPr>
          <w:rFonts w:ascii="Verdana" w:hAnsi="Verdana"/>
          <w:lang w:val="es-ES"/>
        </w:rPr>
        <w:t xml:space="preserve">que </w:t>
      </w:r>
      <w:r w:rsidR="002339FE">
        <w:rPr>
          <w:rFonts w:ascii="Verdana" w:hAnsi="Verdana"/>
          <w:lang w:val="es-ES"/>
        </w:rPr>
        <w:t>la Sentencia</w:t>
      </w:r>
      <w:r w:rsidR="00417B43">
        <w:rPr>
          <w:rFonts w:ascii="Verdana" w:hAnsi="Verdana"/>
          <w:lang w:val="es-ES"/>
        </w:rPr>
        <w:t xml:space="preserve"> de 22 de mayo de 2024 concluye que los</w:t>
      </w:r>
      <w:r w:rsidR="002339FE">
        <w:rPr>
          <w:rFonts w:ascii="Verdana" w:hAnsi="Verdana"/>
          <w:lang w:val="es-ES"/>
        </w:rPr>
        <w:t xml:space="preserve"> </w:t>
      </w:r>
      <w:r w:rsidR="002339FE" w:rsidRPr="005F67B3">
        <w:rPr>
          <w:rFonts w:ascii="Verdana" w:hAnsi="Verdana"/>
          <w:i/>
          <w:iCs/>
        </w:rPr>
        <w:t>convenios de asociación</w:t>
      </w:r>
      <w:r w:rsidR="002339FE" w:rsidRPr="002339FE">
        <w:rPr>
          <w:rFonts w:ascii="Verdana" w:hAnsi="Verdana"/>
        </w:rPr>
        <w:t xml:space="preserve"> </w:t>
      </w:r>
      <w:r w:rsidR="00472B84">
        <w:rPr>
          <w:rFonts w:ascii="Verdana" w:hAnsi="Verdana"/>
        </w:rPr>
        <w:t>se celebra</w:t>
      </w:r>
      <w:r w:rsidR="00597791">
        <w:rPr>
          <w:rFonts w:ascii="Verdana" w:hAnsi="Verdana"/>
        </w:rPr>
        <w:t>n</w:t>
      </w:r>
      <w:r w:rsidR="00472B84">
        <w:rPr>
          <w:rFonts w:ascii="Verdana" w:hAnsi="Verdana"/>
        </w:rPr>
        <w:t xml:space="preserve"> </w:t>
      </w:r>
      <w:r w:rsidR="00472B84" w:rsidRPr="005F67B3">
        <w:rPr>
          <w:rFonts w:ascii="Verdana" w:hAnsi="Verdana"/>
          <w:i/>
          <w:iCs/>
        </w:rPr>
        <w:t xml:space="preserve">“[…] </w:t>
      </w:r>
      <w:r w:rsidR="002339FE" w:rsidRPr="005F67B3">
        <w:rPr>
          <w:rFonts w:ascii="Verdana" w:hAnsi="Verdana"/>
          <w:i/>
          <w:iCs/>
        </w:rPr>
        <w:t>bajo los mismos requisitos y formalidades que los contratos de fomento, que son los concernientes para la contratación entre particulares (derecho privado</w:t>
      </w:r>
      <w:r w:rsidR="00472B84" w:rsidRPr="005F67B3">
        <w:rPr>
          <w:rFonts w:ascii="Verdana" w:hAnsi="Verdana"/>
          <w:i/>
          <w:iCs/>
        </w:rPr>
        <w:t>”</w:t>
      </w:r>
      <w:r w:rsidR="00176182">
        <w:rPr>
          <w:rFonts w:ascii="Verdana" w:hAnsi="Verdana"/>
        </w:rPr>
        <w:t>, consideración se soporta a en l</w:t>
      </w:r>
      <w:r w:rsidR="00AF5EC6">
        <w:rPr>
          <w:rFonts w:ascii="Verdana" w:hAnsi="Verdana"/>
        </w:rPr>
        <w:t xml:space="preserve">o dispuesto en el artículo del Decreto </w:t>
      </w:r>
      <w:r w:rsidR="00460364">
        <w:rPr>
          <w:rFonts w:ascii="Verdana" w:hAnsi="Verdana"/>
        </w:rPr>
        <w:t>777 de 1992</w:t>
      </w:r>
      <w:r w:rsidR="00460364">
        <w:rPr>
          <w:rStyle w:val="Refdenotaalpie"/>
          <w:rFonts w:ascii="Verdana" w:hAnsi="Verdana"/>
        </w:rPr>
        <w:footnoteReference w:id="13"/>
      </w:r>
      <w:r w:rsidR="00941519">
        <w:rPr>
          <w:rFonts w:ascii="Verdana" w:hAnsi="Verdana"/>
        </w:rPr>
        <w:t>.</w:t>
      </w:r>
      <w:r w:rsidR="00460364">
        <w:rPr>
          <w:rFonts w:ascii="Verdana" w:hAnsi="Verdana"/>
        </w:rPr>
        <w:t xml:space="preserve"> </w:t>
      </w:r>
      <w:r w:rsidR="00CE734C">
        <w:rPr>
          <w:rFonts w:ascii="Verdana" w:hAnsi="Verdana"/>
        </w:rPr>
        <w:t xml:space="preserve">Tras ser derogada dicha disposición, el régimen </w:t>
      </w:r>
      <w:r w:rsidR="007847A5">
        <w:rPr>
          <w:rFonts w:ascii="Verdana" w:hAnsi="Verdana"/>
        </w:rPr>
        <w:t>jurídico</w:t>
      </w:r>
      <w:r w:rsidR="00CE734C">
        <w:rPr>
          <w:rFonts w:ascii="Verdana" w:hAnsi="Verdana"/>
        </w:rPr>
        <w:t xml:space="preserve"> d</w:t>
      </w:r>
      <w:r w:rsidR="007847A5">
        <w:rPr>
          <w:rFonts w:ascii="Verdana" w:hAnsi="Verdana"/>
        </w:rPr>
        <w:t>e</w:t>
      </w:r>
      <w:r w:rsidR="00CE734C">
        <w:rPr>
          <w:rFonts w:ascii="Verdana" w:hAnsi="Verdana"/>
        </w:rPr>
        <w:t xml:space="preserve"> ellos convenios de asociación paso a ser determinado por el</w:t>
      </w:r>
      <w:r w:rsidR="002B47A9">
        <w:rPr>
          <w:rFonts w:ascii="Verdana" w:hAnsi="Verdana"/>
        </w:rPr>
        <w:t xml:space="preserve"> artículo</w:t>
      </w:r>
      <w:r w:rsidR="00E75018">
        <w:rPr>
          <w:rFonts w:ascii="Verdana" w:hAnsi="Verdana"/>
        </w:rPr>
        <w:t xml:space="preserve"> 8 del</w:t>
      </w:r>
      <w:r w:rsidR="00CE734C">
        <w:rPr>
          <w:rFonts w:ascii="Verdana" w:hAnsi="Verdana"/>
        </w:rPr>
        <w:t xml:space="preserve"> Decreto 092 de 2017</w:t>
      </w:r>
      <w:r w:rsidR="00E75018">
        <w:rPr>
          <w:rFonts w:ascii="Verdana" w:hAnsi="Verdana"/>
        </w:rPr>
        <w:t xml:space="preserve">, el cual indica que </w:t>
      </w:r>
      <w:r w:rsidR="00E75018" w:rsidRPr="005F67B3">
        <w:rPr>
          <w:rFonts w:ascii="Verdana" w:hAnsi="Verdana"/>
          <w:i/>
          <w:iCs/>
        </w:rPr>
        <w:t>“La contratación a la que hace referencia el presente decreto está sujeta a las normas generales aplicables a la contratación pública excepto en lo reglamentado en el presente decreto</w:t>
      </w:r>
      <w:r w:rsidR="00E75018">
        <w:rPr>
          <w:rFonts w:ascii="Verdana" w:hAnsi="Verdana"/>
        </w:rPr>
        <w:t>”</w:t>
      </w:r>
      <w:r w:rsidR="00E75018" w:rsidRPr="00E75018">
        <w:rPr>
          <w:rFonts w:ascii="Verdana" w:hAnsi="Verdana"/>
        </w:rPr>
        <w:t>.</w:t>
      </w:r>
      <w:r w:rsidR="00CE734C">
        <w:rPr>
          <w:rFonts w:ascii="Verdana" w:hAnsi="Verdana"/>
        </w:rPr>
        <w:t xml:space="preserve"> </w:t>
      </w:r>
      <w:r w:rsidR="00E75018">
        <w:rPr>
          <w:rFonts w:ascii="Verdana" w:hAnsi="Verdana"/>
        </w:rPr>
        <w:t xml:space="preserve"> Adicionalmente, el artículo 6 </w:t>
      </w:r>
      <w:r w:rsidR="00EB341B">
        <w:rPr>
          <w:rFonts w:ascii="Verdana" w:hAnsi="Verdana"/>
        </w:rPr>
        <w:t>dispone la aplicación de l</w:t>
      </w:r>
      <w:r w:rsidR="00EB341B" w:rsidRPr="00EB341B">
        <w:rPr>
          <w:rFonts w:ascii="Verdana" w:hAnsi="Verdana"/>
        </w:rPr>
        <w:t>as prohibiciones, inhabilidades e incompatibilidades establecidas en la Constitución y en las Leyes 80 de 1993, 1150 de 2007 y 1474 de 2011,</w:t>
      </w:r>
      <w:r w:rsidR="00690AB3">
        <w:rPr>
          <w:rFonts w:ascii="Verdana" w:hAnsi="Verdana"/>
        </w:rPr>
        <w:t xml:space="preserve"> mientras que el artículo 7</w:t>
      </w:r>
      <w:r w:rsidR="00B37389">
        <w:rPr>
          <w:rFonts w:ascii="Verdana" w:hAnsi="Verdana"/>
        </w:rPr>
        <w:t xml:space="preserve"> dispone la aplicación de las </w:t>
      </w:r>
      <w:r w:rsidR="007847A5" w:rsidRPr="005F67B3">
        <w:rPr>
          <w:rFonts w:ascii="Verdana" w:hAnsi="Verdana"/>
          <w:i/>
          <w:iCs/>
        </w:rPr>
        <w:t>“los principios de la contratación estatal y a las normas presupuestales aplicables”</w:t>
      </w:r>
      <w:r w:rsidR="007847A5">
        <w:rPr>
          <w:rFonts w:ascii="Verdana" w:hAnsi="Verdana"/>
          <w:i/>
          <w:iCs/>
        </w:rPr>
        <w:t xml:space="preserve">. </w:t>
      </w:r>
      <w:r w:rsidR="001B6D64">
        <w:rPr>
          <w:rFonts w:ascii="Verdana" w:hAnsi="Verdana"/>
        </w:rPr>
        <w:t xml:space="preserve">Conforme a esto, a diferencia de los convenios de asociación </w:t>
      </w:r>
      <w:r w:rsidR="009E2136">
        <w:rPr>
          <w:rFonts w:ascii="Verdana" w:hAnsi="Verdana"/>
        </w:rPr>
        <w:t xml:space="preserve">celebrados conforme al Decreto 777 de 1992, los cuales en los no reglamentado por este se regían por el derecho privado, </w:t>
      </w:r>
      <w:r w:rsidR="00733378">
        <w:rPr>
          <w:rFonts w:ascii="Verdana" w:hAnsi="Verdana"/>
        </w:rPr>
        <w:t xml:space="preserve">los que se celebre en vigencia del Decreto 092 de 2017, en lo no contemplado por este, se encuentra sujetos a las normas y principio del régimen general de contratación pública. </w:t>
      </w:r>
    </w:p>
    <w:p w14:paraId="618E2C83" w14:textId="77777777" w:rsidR="00C9367E" w:rsidRPr="000C21C6" w:rsidRDefault="00C9367E" w:rsidP="00C9367E">
      <w:pPr>
        <w:tabs>
          <w:tab w:val="left" w:pos="142"/>
          <w:tab w:val="left" w:pos="284"/>
        </w:tabs>
        <w:spacing w:after="0" w:line="276" w:lineRule="auto"/>
        <w:rPr>
          <w:rFonts w:ascii="Verdana" w:eastAsia="Century Gothic" w:hAnsi="Verdana" w:cs="Century Gothic"/>
          <w:b/>
          <w:bCs/>
        </w:rPr>
      </w:pPr>
      <w:r w:rsidRPr="000C21C6">
        <w:rPr>
          <w:rFonts w:ascii="Verdana" w:eastAsia="Century Gothic" w:hAnsi="Verdana" w:cs="Century Gothic"/>
          <w:b/>
          <w:bCs/>
        </w:rPr>
        <w:t>4. Referencias normativas:</w:t>
      </w:r>
      <w:bookmarkEnd w:id="3"/>
    </w:p>
    <w:p w14:paraId="264E8A2A" w14:textId="77777777" w:rsidR="00C9367E" w:rsidRPr="005D67BA" w:rsidRDefault="00C9367E" w:rsidP="00C9367E">
      <w:pPr>
        <w:widowControl w:val="0"/>
        <w:autoSpaceDE w:val="0"/>
        <w:autoSpaceDN w:val="0"/>
        <w:spacing w:after="0" w:line="276" w:lineRule="auto"/>
        <w:jc w:val="both"/>
        <w:rPr>
          <w:rFonts w:ascii="Verdana" w:hAnsi="Verdana" w:cs="Arial"/>
          <w:color w:val="00B0F0"/>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C9367E" w:rsidRPr="005D67BA" w14:paraId="5789CA34" w14:textId="77777777" w:rsidTr="005F67B3">
        <w:trPr>
          <w:trHeight w:val="1162"/>
          <w:jc w:val="center"/>
        </w:trPr>
        <w:tc>
          <w:tcPr>
            <w:tcW w:w="8647" w:type="dxa"/>
          </w:tcPr>
          <w:p w14:paraId="2E17284D" w14:textId="77777777" w:rsidR="00C9367E" w:rsidRPr="00247EE5" w:rsidRDefault="00C9367E" w:rsidP="005F67B3">
            <w:pPr>
              <w:pStyle w:val="Prrafodelista"/>
              <w:widowControl w:val="0"/>
              <w:numPr>
                <w:ilvl w:val="0"/>
                <w:numId w:val="17"/>
              </w:numPr>
              <w:autoSpaceDE w:val="0"/>
              <w:autoSpaceDN w:val="0"/>
              <w:spacing w:line="276" w:lineRule="auto"/>
              <w:contextualSpacing w:val="0"/>
              <w:jc w:val="both"/>
              <w:rPr>
                <w:rFonts w:ascii="Verdana" w:hAnsi="Verdana" w:cs="Arial"/>
              </w:rPr>
            </w:pPr>
            <w:r w:rsidRPr="00247EE5">
              <w:rPr>
                <w:rFonts w:ascii="Verdana" w:hAnsi="Verdana" w:cs="Arial"/>
              </w:rPr>
              <w:t>Constitución Política de 1991, artículo 355.</w:t>
            </w:r>
          </w:p>
          <w:p w14:paraId="4971F0E8" w14:textId="77777777" w:rsidR="00C9367E" w:rsidRPr="00247EE5" w:rsidRDefault="00C9367E" w:rsidP="005F67B3">
            <w:pPr>
              <w:pStyle w:val="Prrafodelista"/>
              <w:widowControl w:val="0"/>
              <w:numPr>
                <w:ilvl w:val="0"/>
                <w:numId w:val="17"/>
              </w:numPr>
              <w:autoSpaceDE w:val="0"/>
              <w:autoSpaceDN w:val="0"/>
              <w:spacing w:line="276" w:lineRule="auto"/>
              <w:contextualSpacing w:val="0"/>
              <w:jc w:val="both"/>
              <w:rPr>
                <w:rFonts w:ascii="Verdana" w:hAnsi="Verdana" w:cs="Arial"/>
              </w:rPr>
            </w:pPr>
            <w:r w:rsidRPr="00247EE5">
              <w:rPr>
                <w:rFonts w:ascii="Verdana" w:hAnsi="Verdana" w:cs="Arial"/>
              </w:rPr>
              <w:t>Ley 80 de 1993, artículo 6.</w:t>
            </w:r>
          </w:p>
          <w:p w14:paraId="255B7243" w14:textId="48092658" w:rsidR="00523E8E" w:rsidRPr="00124433" w:rsidRDefault="00523E8E" w:rsidP="005F67B3">
            <w:pPr>
              <w:pStyle w:val="Prrafodelista"/>
              <w:widowControl w:val="0"/>
              <w:numPr>
                <w:ilvl w:val="0"/>
                <w:numId w:val="17"/>
              </w:numPr>
              <w:autoSpaceDE w:val="0"/>
              <w:autoSpaceDN w:val="0"/>
              <w:spacing w:line="276" w:lineRule="auto"/>
              <w:contextualSpacing w:val="0"/>
              <w:jc w:val="both"/>
              <w:rPr>
                <w:rFonts w:ascii="Verdana" w:hAnsi="Verdana" w:cs="Arial"/>
              </w:rPr>
            </w:pPr>
            <w:r>
              <w:rPr>
                <w:rFonts w:ascii="Verdana" w:hAnsi="Verdana" w:cs="Arial"/>
              </w:rPr>
              <w:t xml:space="preserve">Ley 489 de 1998, artículo 96. </w:t>
            </w:r>
          </w:p>
          <w:p w14:paraId="3333D371" w14:textId="77777777" w:rsidR="00C9367E" w:rsidRDefault="00C9367E" w:rsidP="005F67B3">
            <w:pPr>
              <w:pStyle w:val="Prrafodelista"/>
              <w:widowControl w:val="0"/>
              <w:numPr>
                <w:ilvl w:val="0"/>
                <w:numId w:val="17"/>
              </w:numPr>
              <w:autoSpaceDE w:val="0"/>
              <w:autoSpaceDN w:val="0"/>
              <w:spacing w:line="276" w:lineRule="auto"/>
              <w:contextualSpacing w:val="0"/>
              <w:jc w:val="both"/>
              <w:rPr>
                <w:rFonts w:ascii="Verdana" w:hAnsi="Verdana" w:cs="Arial"/>
              </w:rPr>
            </w:pPr>
            <w:r w:rsidRPr="00247EE5">
              <w:rPr>
                <w:rFonts w:ascii="Verdana" w:hAnsi="Verdana" w:cs="Arial"/>
              </w:rPr>
              <w:t>Decreto 092 de 2017, artículos 2, 3, 4, 5, 6, 7</w:t>
            </w:r>
            <w:r>
              <w:rPr>
                <w:rFonts w:ascii="Verdana" w:hAnsi="Verdana" w:cs="Arial"/>
              </w:rPr>
              <w:t xml:space="preserve">, </w:t>
            </w:r>
            <w:r w:rsidRPr="00247EE5">
              <w:rPr>
                <w:rFonts w:ascii="Verdana" w:hAnsi="Verdana" w:cs="Arial"/>
              </w:rPr>
              <w:t>8</w:t>
            </w:r>
            <w:r>
              <w:rPr>
                <w:rFonts w:ascii="Verdana" w:hAnsi="Verdana" w:cs="Arial"/>
              </w:rPr>
              <w:t xml:space="preserve"> y 9</w:t>
            </w:r>
            <w:r w:rsidRPr="00247EE5">
              <w:rPr>
                <w:rFonts w:ascii="Verdana" w:hAnsi="Verdana" w:cs="Arial"/>
              </w:rPr>
              <w:t xml:space="preserve">. </w:t>
            </w:r>
          </w:p>
          <w:p w14:paraId="0179E91D" w14:textId="0C50AD8D" w:rsidR="00A3743C" w:rsidRPr="00124433" w:rsidRDefault="00A3743C" w:rsidP="005F67B3">
            <w:pPr>
              <w:pStyle w:val="Prrafodelista"/>
              <w:widowControl w:val="0"/>
              <w:numPr>
                <w:ilvl w:val="0"/>
                <w:numId w:val="17"/>
              </w:numPr>
              <w:autoSpaceDE w:val="0"/>
              <w:autoSpaceDN w:val="0"/>
              <w:spacing w:line="276" w:lineRule="auto"/>
              <w:contextualSpacing w:val="0"/>
              <w:jc w:val="both"/>
              <w:rPr>
                <w:rFonts w:ascii="Verdana" w:hAnsi="Verdana" w:cs="Arial"/>
              </w:rPr>
            </w:pPr>
            <w:r w:rsidRPr="00124433">
              <w:rPr>
                <w:rFonts w:ascii="Verdana" w:eastAsia="Calibri" w:hAnsi="Verdana" w:cs="Arial"/>
                <w:lang w:val="es-MX"/>
              </w:rPr>
              <w:t>CONSEJO DE ESTADO, Sección Tercera, Subsección A</w:t>
            </w:r>
            <w:r w:rsidR="0047754E" w:rsidRPr="00124433">
              <w:rPr>
                <w:rFonts w:ascii="Verdana" w:eastAsia="Calibri" w:hAnsi="Verdana" w:cs="Arial"/>
                <w:lang w:val="es-MX"/>
              </w:rPr>
              <w:t>.</w:t>
            </w:r>
            <w:r w:rsidRPr="00124433">
              <w:rPr>
                <w:rFonts w:ascii="Verdana" w:eastAsia="Calibri" w:hAnsi="Verdana" w:cs="Arial"/>
                <w:lang w:val="es-MX"/>
              </w:rPr>
              <w:t xml:space="preserve"> Auto del 6 de agosto de 2019</w:t>
            </w:r>
            <w:r w:rsidR="0047754E" w:rsidRPr="00124433">
              <w:rPr>
                <w:rFonts w:ascii="Verdana" w:eastAsia="Calibri" w:hAnsi="Verdana" w:cs="Arial"/>
                <w:lang w:val="es-MX"/>
              </w:rPr>
              <w:t>,</w:t>
            </w:r>
            <w:r w:rsidR="00124433" w:rsidRPr="00124433">
              <w:rPr>
                <w:rFonts w:ascii="Verdana" w:eastAsia="Calibri" w:hAnsi="Verdana" w:cs="Arial"/>
                <w:lang w:val="es-MX"/>
              </w:rPr>
              <w:t xml:space="preserve"> C.P.</w:t>
            </w:r>
            <w:r w:rsidR="0047754E" w:rsidRPr="00124433">
              <w:rPr>
                <w:rFonts w:ascii="Verdana" w:eastAsia="Calibri" w:hAnsi="Verdana" w:cs="Arial"/>
                <w:lang w:val="es-MX"/>
              </w:rPr>
              <w:t xml:space="preserve"> Carlos Alberto Zambrano Barrera</w:t>
            </w:r>
            <w:r w:rsidR="00124433" w:rsidRPr="00124433">
              <w:rPr>
                <w:rFonts w:ascii="Verdana" w:eastAsia="Calibri" w:hAnsi="Verdana" w:cs="Arial"/>
                <w:lang w:val="es-MX"/>
              </w:rPr>
              <w:t xml:space="preserve">, </w:t>
            </w:r>
            <w:proofErr w:type="spellStart"/>
            <w:r w:rsidRPr="00124433">
              <w:rPr>
                <w:rFonts w:ascii="Verdana" w:eastAsia="Calibri" w:hAnsi="Verdana" w:cs="Arial"/>
                <w:lang w:val="es-MX"/>
              </w:rPr>
              <w:t>Exp</w:t>
            </w:r>
            <w:proofErr w:type="spellEnd"/>
            <w:r w:rsidRPr="00124433">
              <w:rPr>
                <w:rFonts w:ascii="Verdana" w:eastAsia="Calibri" w:hAnsi="Verdana" w:cs="Arial"/>
                <w:lang w:val="es-MX"/>
              </w:rPr>
              <w:t>.</w:t>
            </w:r>
            <w:r w:rsidR="00124433" w:rsidRPr="00124433">
              <w:rPr>
                <w:rFonts w:ascii="Verdana" w:eastAsia="Calibri" w:hAnsi="Verdana" w:cs="Arial"/>
                <w:lang w:val="es-MX"/>
              </w:rPr>
              <w:t xml:space="preserve"> No.</w:t>
            </w:r>
            <w:r w:rsidRPr="00124433">
              <w:rPr>
                <w:rFonts w:ascii="Verdana" w:eastAsia="Calibri" w:hAnsi="Verdana" w:cs="Arial"/>
                <w:lang w:val="es-MX"/>
              </w:rPr>
              <w:t xml:space="preserve"> </w:t>
            </w:r>
            <w:r w:rsidRPr="00124433">
              <w:rPr>
                <w:rFonts w:ascii="Verdana" w:eastAsia="Calibri" w:hAnsi="Verdana" w:cs="Arial"/>
                <w:lang w:val="es-MX"/>
              </w:rPr>
              <w:lastRenderedPageBreak/>
              <w:t>62.003</w:t>
            </w:r>
            <w:r w:rsidR="00124433" w:rsidRPr="00124433">
              <w:rPr>
                <w:rFonts w:ascii="Verdana" w:eastAsia="Calibri" w:hAnsi="Verdana" w:cs="Arial"/>
                <w:lang w:val="es-MX"/>
              </w:rPr>
              <w:t>.</w:t>
            </w:r>
          </w:p>
          <w:p w14:paraId="7CC13802" w14:textId="63EB66C7" w:rsidR="00A61EA4" w:rsidRPr="005F67B3" w:rsidRDefault="00A61EA4" w:rsidP="005F67B3">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24433">
              <w:rPr>
                <w:rFonts w:ascii="Verdana" w:hAnsi="Verdana" w:cs="Arial"/>
                <w:color w:val="000000" w:themeColor="text1"/>
                <w:sz w:val="22"/>
                <w:szCs w:val="22"/>
                <w:lang w:val="es-ES"/>
              </w:rPr>
              <w:t xml:space="preserve">CONSEJO DE ESTADO. Sala Plena. Auto del 15 de marzo de 2022. C.P. Rocío Araujo Oñate. </w:t>
            </w:r>
            <w:proofErr w:type="spellStart"/>
            <w:r w:rsidRPr="00124433">
              <w:rPr>
                <w:rFonts w:ascii="Verdana" w:hAnsi="Verdana" w:cs="Arial"/>
                <w:color w:val="000000" w:themeColor="text1"/>
                <w:sz w:val="22"/>
                <w:szCs w:val="22"/>
                <w:lang w:val="es-ES"/>
              </w:rPr>
              <w:t>Exp</w:t>
            </w:r>
            <w:proofErr w:type="spellEnd"/>
            <w:r w:rsidRPr="00124433">
              <w:rPr>
                <w:rFonts w:ascii="Verdana" w:hAnsi="Verdana" w:cs="Arial"/>
                <w:color w:val="000000" w:themeColor="text1"/>
                <w:sz w:val="22"/>
                <w:szCs w:val="22"/>
                <w:lang w:val="es-ES"/>
              </w:rPr>
              <w:t>. No. 62.003.</w:t>
            </w:r>
          </w:p>
          <w:p w14:paraId="44FBD968" w14:textId="71625513" w:rsidR="00725FE1" w:rsidRPr="00124433" w:rsidRDefault="00725FE1" w:rsidP="005F67B3">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24433">
              <w:rPr>
                <w:rFonts w:ascii="Verdana" w:hAnsi="Verdana" w:cs="Arial"/>
                <w:color w:val="000000" w:themeColor="text1"/>
                <w:sz w:val="22"/>
                <w:szCs w:val="22"/>
                <w:lang w:val="es-ES"/>
              </w:rPr>
              <w:t xml:space="preserve">CONSEJO DE ESTADO. Sección Tercera. Subsección A. Sentencia de 13 de marzo de 2024, C.P. Jaime Enrique Rodríguez Navas, </w:t>
            </w:r>
            <w:proofErr w:type="spellStart"/>
            <w:r w:rsidRPr="00124433">
              <w:rPr>
                <w:rFonts w:ascii="Verdana" w:hAnsi="Verdana" w:cs="Arial"/>
                <w:color w:val="000000" w:themeColor="text1"/>
                <w:sz w:val="22"/>
                <w:szCs w:val="22"/>
                <w:lang w:val="es-ES"/>
              </w:rPr>
              <w:t>Exp</w:t>
            </w:r>
            <w:proofErr w:type="spellEnd"/>
            <w:r w:rsidRPr="00124433">
              <w:rPr>
                <w:rFonts w:ascii="Verdana" w:hAnsi="Verdana" w:cs="Arial"/>
                <w:color w:val="000000" w:themeColor="text1"/>
                <w:sz w:val="22"/>
                <w:szCs w:val="22"/>
                <w:lang w:val="es-ES"/>
              </w:rPr>
              <w:t xml:space="preserve">. No. 55.596. </w:t>
            </w:r>
          </w:p>
          <w:p w14:paraId="4256A473" w14:textId="6F9EFD0C" w:rsidR="00C9367E" w:rsidRPr="007F095C" w:rsidRDefault="008F54EE" w:rsidP="00A92BB2">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24433">
              <w:rPr>
                <w:rFonts w:ascii="Verdana" w:hAnsi="Verdana" w:cs="Arial"/>
                <w:color w:val="000000" w:themeColor="text1"/>
                <w:sz w:val="22"/>
                <w:szCs w:val="22"/>
                <w:lang w:val="es-ES"/>
              </w:rPr>
              <w:t>CONSEJO DE ESTADO</w:t>
            </w:r>
            <w:r w:rsidR="00C9367E" w:rsidRPr="00124433">
              <w:rPr>
                <w:rFonts w:ascii="Verdana" w:hAnsi="Verdana" w:cs="Arial"/>
                <w:color w:val="000000" w:themeColor="text1"/>
                <w:sz w:val="22"/>
                <w:szCs w:val="22"/>
                <w:lang w:val="es-ES"/>
              </w:rPr>
              <w:t>.</w:t>
            </w:r>
            <w:r w:rsidR="00C9367E" w:rsidRPr="007F095C">
              <w:rPr>
                <w:rFonts w:ascii="Verdana" w:hAnsi="Verdana" w:cs="Arial"/>
                <w:color w:val="000000" w:themeColor="text1"/>
                <w:sz w:val="22"/>
                <w:szCs w:val="22"/>
                <w:lang w:val="es-ES"/>
              </w:rPr>
              <w:t xml:space="preserve"> Sección Tercera. Subsección A. Sentencia de 22 de mayo de 202</w:t>
            </w:r>
            <w:r w:rsidRPr="00124433">
              <w:rPr>
                <w:rFonts w:ascii="Verdana" w:hAnsi="Verdana" w:cs="Arial"/>
                <w:color w:val="000000" w:themeColor="text1"/>
                <w:sz w:val="22"/>
                <w:szCs w:val="22"/>
                <w:lang w:val="es-ES"/>
              </w:rPr>
              <w:t>4</w:t>
            </w:r>
            <w:r w:rsidR="00C9367E" w:rsidRPr="00124433">
              <w:rPr>
                <w:rFonts w:ascii="Verdana" w:hAnsi="Verdana" w:cs="Arial"/>
                <w:color w:val="000000" w:themeColor="text1"/>
                <w:sz w:val="22"/>
                <w:szCs w:val="22"/>
                <w:lang w:val="es-ES"/>
              </w:rPr>
              <w:t>,</w:t>
            </w:r>
            <w:r w:rsidR="003A7EDD" w:rsidRPr="00124433">
              <w:rPr>
                <w:rFonts w:ascii="Verdana" w:hAnsi="Verdana" w:cs="Arial"/>
                <w:color w:val="000000" w:themeColor="text1"/>
                <w:sz w:val="22"/>
                <w:szCs w:val="22"/>
                <w:lang w:val="es-ES"/>
              </w:rPr>
              <w:t xml:space="preserve"> C.P. Nicolás Yepes Corrales,</w:t>
            </w:r>
            <w:r w:rsidR="00C9367E" w:rsidRPr="007F095C">
              <w:rPr>
                <w:rFonts w:ascii="Verdana" w:hAnsi="Verdana" w:cs="Arial"/>
                <w:color w:val="000000" w:themeColor="text1"/>
                <w:sz w:val="22"/>
                <w:szCs w:val="22"/>
                <w:lang w:val="es-ES"/>
              </w:rPr>
              <w:t xml:space="preserve"> </w:t>
            </w:r>
            <w:proofErr w:type="spellStart"/>
            <w:r w:rsidRPr="00124433">
              <w:rPr>
                <w:rFonts w:ascii="Verdana" w:hAnsi="Verdana" w:cs="Arial"/>
                <w:color w:val="000000" w:themeColor="text1"/>
                <w:sz w:val="22"/>
                <w:szCs w:val="22"/>
                <w:lang w:val="es-ES"/>
              </w:rPr>
              <w:t>Exp</w:t>
            </w:r>
            <w:proofErr w:type="spellEnd"/>
            <w:r w:rsidRPr="00124433">
              <w:rPr>
                <w:rFonts w:ascii="Verdana" w:hAnsi="Verdana" w:cs="Arial"/>
                <w:color w:val="000000" w:themeColor="text1"/>
                <w:sz w:val="22"/>
                <w:szCs w:val="22"/>
                <w:lang w:val="es-ES"/>
              </w:rPr>
              <w:t xml:space="preserve">. No. </w:t>
            </w:r>
            <w:r w:rsidR="00C9367E" w:rsidRPr="00124433">
              <w:rPr>
                <w:rFonts w:ascii="Verdana" w:hAnsi="Verdana" w:cs="Arial"/>
                <w:color w:val="000000" w:themeColor="text1"/>
                <w:sz w:val="22"/>
                <w:szCs w:val="22"/>
                <w:lang w:val="es-ES"/>
              </w:rPr>
              <w:t>66</w:t>
            </w:r>
            <w:r w:rsidR="003A7EDD" w:rsidRPr="00124433">
              <w:rPr>
                <w:rFonts w:ascii="Verdana" w:hAnsi="Verdana" w:cs="Arial"/>
                <w:color w:val="000000" w:themeColor="text1"/>
                <w:sz w:val="22"/>
                <w:szCs w:val="22"/>
                <w:lang w:val="es-ES"/>
              </w:rPr>
              <w:t>.</w:t>
            </w:r>
            <w:r w:rsidR="00C9367E" w:rsidRPr="00124433">
              <w:rPr>
                <w:rFonts w:ascii="Verdana" w:hAnsi="Verdana" w:cs="Arial"/>
                <w:color w:val="000000" w:themeColor="text1"/>
                <w:sz w:val="22"/>
                <w:szCs w:val="22"/>
                <w:lang w:val="es-ES"/>
              </w:rPr>
              <w:t>391</w:t>
            </w:r>
            <w:r w:rsidR="00C9367E" w:rsidRPr="007F095C">
              <w:rPr>
                <w:rFonts w:ascii="Verdana" w:hAnsi="Verdana" w:cs="Arial"/>
                <w:color w:val="000000" w:themeColor="text1"/>
                <w:sz w:val="22"/>
                <w:szCs w:val="22"/>
                <w:lang w:val="es-ES"/>
              </w:rPr>
              <w:t xml:space="preserve">. </w:t>
            </w:r>
          </w:p>
          <w:p w14:paraId="4F6C65EE" w14:textId="37501B94" w:rsidR="000D581B" w:rsidRPr="00124433" w:rsidRDefault="000D581B" w:rsidP="005F67B3">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124433">
              <w:rPr>
                <w:rFonts w:ascii="Verdana" w:hAnsi="Verdana" w:cs="Arial"/>
                <w:color w:val="000000" w:themeColor="text1"/>
                <w:sz w:val="22"/>
                <w:szCs w:val="22"/>
                <w:lang w:val="es-ES"/>
              </w:rPr>
              <w:t xml:space="preserve">CONSEJO DE ESTADO. Sección Tercera. Subsección A. Sentencia de 13 de </w:t>
            </w:r>
            <w:r w:rsidR="00F20576" w:rsidRPr="00124433">
              <w:rPr>
                <w:rFonts w:ascii="Verdana" w:hAnsi="Verdana" w:cs="Arial"/>
                <w:color w:val="000000" w:themeColor="text1"/>
                <w:sz w:val="22"/>
                <w:szCs w:val="22"/>
                <w:lang w:val="es-ES"/>
              </w:rPr>
              <w:t>agosto</w:t>
            </w:r>
            <w:r w:rsidRPr="00124433">
              <w:rPr>
                <w:rFonts w:ascii="Verdana" w:hAnsi="Verdana" w:cs="Arial"/>
                <w:color w:val="000000" w:themeColor="text1"/>
                <w:sz w:val="22"/>
                <w:szCs w:val="22"/>
                <w:lang w:val="es-ES"/>
              </w:rPr>
              <w:t xml:space="preserve"> de 2024, C.P. </w:t>
            </w:r>
            <w:r w:rsidR="00725FE1" w:rsidRPr="00124433">
              <w:rPr>
                <w:rFonts w:ascii="Verdana" w:eastAsia="Calibri" w:hAnsi="Verdana" w:cs="Arial"/>
                <w:lang w:val="es-ES" w:eastAsia="es-ES"/>
              </w:rPr>
              <w:t>Fernando Alexei Pardo Flórez</w:t>
            </w:r>
            <w:r w:rsidRPr="00124433">
              <w:rPr>
                <w:rFonts w:ascii="Verdana" w:hAnsi="Verdana" w:cs="Arial"/>
                <w:color w:val="000000" w:themeColor="text1"/>
                <w:sz w:val="22"/>
                <w:szCs w:val="22"/>
                <w:lang w:val="es-ES"/>
              </w:rPr>
              <w:t xml:space="preserve">, </w:t>
            </w:r>
            <w:proofErr w:type="spellStart"/>
            <w:r w:rsidRPr="00124433">
              <w:rPr>
                <w:rFonts w:ascii="Verdana" w:hAnsi="Verdana" w:cs="Arial"/>
                <w:color w:val="000000" w:themeColor="text1"/>
                <w:sz w:val="22"/>
                <w:szCs w:val="22"/>
                <w:lang w:val="es-ES"/>
              </w:rPr>
              <w:t>Exp</w:t>
            </w:r>
            <w:proofErr w:type="spellEnd"/>
            <w:r w:rsidRPr="00124433">
              <w:rPr>
                <w:rFonts w:ascii="Verdana" w:hAnsi="Verdana" w:cs="Arial"/>
                <w:color w:val="000000" w:themeColor="text1"/>
                <w:sz w:val="22"/>
                <w:szCs w:val="22"/>
                <w:lang w:val="es-ES"/>
              </w:rPr>
              <w:t xml:space="preserve">. No. </w:t>
            </w:r>
            <w:bookmarkStart w:id="6" w:name="_Hlk218850867"/>
            <w:r w:rsidR="008B05F0" w:rsidRPr="00124433">
              <w:rPr>
                <w:rFonts w:ascii="Verdana" w:eastAsia="Calibri" w:hAnsi="Verdana" w:cs="Arial"/>
                <w:lang w:val="es-ES" w:eastAsia="es-ES"/>
              </w:rPr>
              <w:t>70.470</w:t>
            </w:r>
            <w:bookmarkEnd w:id="6"/>
            <w:r w:rsidRPr="00124433">
              <w:rPr>
                <w:rFonts w:ascii="Verdana" w:hAnsi="Verdana" w:cs="Arial"/>
                <w:color w:val="000000" w:themeColor="text1"/>
                <w:sz w:val="22"/>
                <w:szCs w:val="22"/>
                <w:lang w:val="es-ES"/>
              </w:rPr>
              <w:t xml:space="preserve">. </w:t>
            </w:r>
          </w:p>
          <w:p w14:paraId="10EFB89B" w14:textId="64BC645F" w:rsidR="00BC7B91" w:rsidRPr="007F095C" w:rsidRDefault="00725FE1" w:rsidP="005F67B3">
            <w:pPr>
              <w:pStyle w:val="NormalWeb"/>
              <w:numPr>
                <w:ilvl w:val="0"/>
                <w:numId w:val="17"/>
              </w:numPr>
              <w:spacing w:beforeAutospacing="0" w:after="0" w:afterAutospacing="0" w:line="276" w:lineRule="auto"/>
              <w:jc w:val="both"/>
              <w:rPr>
                <w:rFonts w:ascii="Verdana" w:hAnsi="Verdana" w:cs="Arial"/>
                <w:color w:val="000000" w:themeColor="text1"/>
                <w:sz w:val="22"/>
                <w:szCs w:val="22"/>
                <w:lang w:val="es-ES"/>
              </w:rPr>
            </w:pPr>
            <w:r w:rsidRPr="00523E8E">
              <w:rPr>
                <w:rFonts w:ascii="Verdana" w:hAnsi="Verdana" w:cs="Arial"/>
                <w:sz w:val="22"/>
                <w:szCs w:val="22"/>
              </w:rPr>
              <w:t>Agencia Nacional de Contratación Pública –Colombia Compra Eficiente</w:t>
            </w:r>
            <w:r w:rsidR="00124433" w:rsidRPr="00523E8E">
              <w:rPr>
                <w:rFonts w:ascii="Verdana" w:hAnsi="Verdana" w:cs="Arial"/>
                <w:sz w:val="22"/>
                <w:szCs w:val="22"/>
              </w:rPr>
              <w:t>–</w:t>
            </w:r>
            <w:r w:rsidRPr="00523E8E">
              <w:rPr>
                <w:rFonts w:ascii="Verdana" w:hAnsi="Verdana" w:cs="Arial"/>
                <w:sz w:val="22"/>
                <w:szCs w:val="22"/>
              </w:rPr>
              <w:t xml:space="preserve">. </w:t>
            </w:r>
            <w:r w:rsidRPr="00523E8E">
              <w:rPr>
                <w:rFonts w:ascii="Verdana" w:hAnsi="Verdana"/>
                <w:sz w:val="22"/>
                <w:szCs w:val="22"/>
              </w:rPr>
              <w:t xml:space="preserve">Guía para la contratación con entidades privadas sin ánimo de lucro y de reconocida idoneidad. Disponible en: </w:t>
            </w:r>
            <w:hyperlink r:id="rId13" w:history="1">
              <w:r w:rsidRPr="00523E8E">
                <w:rPr>
                  <w:rStyle w:val="Hipervnculo"/>
                  <w:rFonts w:ascii="Verdana" w:hAnsi="Verdana"/>
                  <w:sz w:val="22"/>
                  <w:szCs w:val="22"/>
                </w:rPr>
                <w:t>https://www.colombiacompra.gov.co/archivos/manual/guia-para-la-contratacion-con-entidades-sin-animo-de-lucro-y-de-reconocida-idoneidad</w:t>
              </w:r>
            </w:hyperlink>
          </w:p>
        </w:tc>
      </w:tr>
    </w:tbl>
    <w:p w14:paraId="5C1F1A0F" w14:textId="77777777" w:rsidR="00C9367E" w:rsidRPr="005D67BA" w:rsidRDefault="00C9367E" w:rsidP="00C9367E">
      <w:pPr>
        <w:widowControl w:val="0"/>
        <w:autoSpaceDE w:val="0"/>
        <w:autoSpaceDN w:val="0"/>
        <w:spacing w:after="0" w:line="276" w:lineRule="auto"/>
        <w:jc w:val="both"/>
        <w:rPr>
          <w:rFonts w:ascii="Verdana" w:hAnsi="Verdana" w:cs="Arial"/>
          <w:color w:val="00B0F0"/>
        </w:rPr>
      </w:pPr>
    </w:p>
    <w:p w14:paraId="3037A43E" w14:textId="77777777" w:rsidR="00C9367E" w:rsidRPr="007F095C" w:rsidRDefault="00C9367E" w:rsidP="00C9367E">
      <w:pPr>
        <w:tabs>
          <w:tab w:val="left" w:pos="142"/>
          <w:tab w:val="left" w:pos="284"/>
        </w:tabs>
        <w:spacing w:after="0" w:line="276" w:lineRule="auto"/>
        <w:jc w:val="both"/>
        <w:rPr>
          <w:rFonts w:ascii="Verdana" w:eastAsia="Century Gothic" w:hAnsi="Verdana" w:cs="Century Gothic"/>
          <w:b/>
          <w:bCs/>
        </w:rPr>
      </w:pPr>
      <w:r w:rsidRPr="00955516">
        <w:rPr>
          <w:rFonts w:ascii="Verdana" w:eastAsia="Century Gothic" w:hAnsi="Verdana" w:cs="Century Gothic"/>
          <w:b/>
          <w:bCs/>
        </w:rPr>
        <w:t>5. Doctrina de la Agencia Nacional de Contratación Pública:</w:t>
      </w:r>
    </w:p>
    <w:p w14:paraId="61A49C7D" w14:textId="77777777" w:rsidR="00C9367E" w:rsidRPr="000C21C6" w:rsidRDefault="00C9367E" w:rsidP="00C9367E">
      <w:pPr>
        <w:widowControl w:val="0"/>
        <w:autoSpaceDE w:val="0"/>
        <w:autoSpaceDN w:val="0"/>
        <w:spacing w:after="0" w:line="276" w:lineRule="auto"/>
        <w:jc w:val="both"/>
        <w:rPr>
          <w:rFonts w:ascii="Verdana" w:eastAsia="Aptos" w:hAnsi="Verdana" w:cs="Arial"/>
          <w:shd w:val="clear" w:color="auto" w:fill="FFFFFF"/>
          <w:lang w:val="es-ES"/>
        </w:rPr>
      </w:pPr>
    </w:p>
    <w:p w14:paraId="03144992" w14:textId="77777777" w:rsidR="00C9367E" w:rsidRPr="000C21C6" w:rsidRDefault="00C9367E" w:rsidP="00C9367E">
      <w:pPr>
        <w:widowControl w:val="0"/>
        <w:autoSpaceDE w:val="0"/>
        <w:autoSpaceDN w:val="0"/>
        <w:spacing w:after="0" w:line="276" w:lineRule="auto"/>
        <w:jc w:val="both"/>
        <w:rPr>
          <w:rFonts w:ascii="Verdana" w:eastAsia="Aptos" w:hAnsi="Verdana" w:cs="Arial"/>
          <w:b/>
          <w:bCs/>
          <w:shd w:val="clear" w:color="auto" w:fill="FFFFFF"/>
          <w:lang w:val="es-ES"/>
        </w:rPr>
      </w:pPr>
      <w:r w:rsidRPr="000C21C6">
        <w:rPr>
          <w:rFonts w:ascii="Verdana" w:eastAsia="Aptos" w:hAnsi="Verdana" w:cs="Arial"/>
          <w:shd w:val="clear" w:color="auto" w:fill="FFFFFF"/>
          <w:lang w:val="es-ES"/>
        </w:rPr>
        <w:t xml:space="preserve">La Agencia Nacional de Contratación Pública – Colombia Compra Eficiente se ha referido a </w:t>
      </w:r>
      <w:proofErr w:type="spellStart"/>
      <w:r w:rsidRPr="000C21C6">
        <w:rPr>
          <w:rFonts w:ascii="Verdana" w:eastAsia="Aptos" w:hAnsi="Verdana" w:cs="Arial"/>
          <w:shd w:val="clear" w:color="auto" w:fill="FFFFFF"/>
          <w:lang w:val="es-ES"/>
        </w:rPr>
        <w:t>el</w:t>
      </w:r>
      <w:proofErr w:type="spellEnd"/>
      <w:r w:rsidRPr="000C21C6">
        <w:rPr>
          <w:rFonts w:ascii="Verdana" w:eastAsia="Aptos" w:hAnsi="Verdana" w:cs="Arial"/>
          <w:shd w:val="clear" w:color="auto" w:fill="FFFFFF"/>
          <w:lang w:val="es-ES"/>
        </w:rPr>
        <w:t xml:space="preserve"> 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0C21C6">
        <w:rPr>
          <w:rFonts w:ascii="Verdana" w:eastAsia="Aptos" w:hAnsi="Verdana" w:cs="Arial"/>
          <w:b/>
          <w:bCs/>
          <w:shd w:val="clear" w:color="auto" w:fill="FFFFFF"/>
          <w:lang w:val="es-ES"/>
        </w:rPr>
        <w:t xml:space="preserve"> </w:t>
      </w:r>
      <w:r w:rsidRPr="000C21C6">
        <w:rPr>
          <w:rFonts w:ascii="Verdana" w:eastAsia="Aptos" w:hAnsi="Verdana" w:cs="Arial"/>
          <w:shd w:val="clear" w:color="auto" w:fill="FFFFFF"/>
          <w:lang w:val="es-ES"/>
        </w:rPr>
        <w:t>C-875 del 13 de agosto de 2025</w:t>
      </w:r>
      <w:r w:rsidRPr="00FA312E">
        <w:rPr>
          <w:rFonts w:ascii="Verdana" w:eastAsia="Aptos" w:hAnsi="Verdana" w:cs="Arial"/>
          <w:shd w:val="clear" w:color="auto" w:fill="FFFFFF"/>
          <w:lang w:val="es-ES"/>
        </w:rPr>
        <w:t xml:space="preserve">, </w:t>
      </w:r>
      <w:r w:rsidRPr="000C21C6">
        <w:rPr>
          <w:rFonts w:ascii="Verdana" w:eastAsia="Aptos" w:hAnsi="Verdana" w:cs="Arial"/>
          <w:shd w:val="clear" w:color="auto" w:fill="FFFFFF"/>
          <w:lang w:val="es-ES"/>
        </w:rPr>
        <w:t>C-1384 del 5 de noviembre de 2025</w:t>
      </w:r>
      <w:r w:rsidRPr="00FA312E">
        <w:rPr>
          <w:rFonts w:ascii="Verdana" w:eastAsia="Aptos" w:hAnsi="Verdana" w:cs="Arial"/>
          <w:shd w:val="clear" w:color="auto" w:fill="FFFFFF"/>
          <w:lang w:val="es-ES"/>
        </w:rPr>
        <w:t xml:space="preserve"> y </w:t>
      </w:r>
      <w:r w:rsidRPr="000C21C6">
        <w:rPr>
          <w:rFonts w:ascii="Verdana" w:eastAsia="Aptos" w:hAnsi="Verdana" w:cs="Arial"/>
          <w:shd w:val="clear" w:color="auto" w:fill="FFFFFF"/>
          <w:lang w:val="es-ES"/>
        </w:rPr>
        <w:t>C-1</w:t>
      </w:r>
      <w:r w:rsidRPr="00FA312E">
        <w:rPr>
          <w:rFonts w:ascii="Verdana" w:eastAsia="Aptos" w:hAnsi="Verdana" w:cs="Arial"/>
          <w:shd w:val="clear" w:color="auto" w:fill="FFFFFF"/>
          <w:lang w:val="es-ES"/>
        </w:rPr>
        <w:t>498</w:t>
      </w:r>
      <w:r w:rsidRPr="000C21C6">
        <w:rPr>
          <w:rFonts w:ascii="Verdana" w:eastAsia="Aptos" w:hAnsi="Verdana" w:cs="Arial"/>
          <w:shd w:val="clear" w:color="auto" w:fill="FFFFFF"/>
          <w:lang w:val="es-ES"/>
        </w:rPr>
        <w:t xml:space="preserve"> del </w:t>
      </w:r>
      <w:r w:rsidRPr="00FA312E">
        <w:rPr>
          <w:rFonts w:ascii="Verdana" w:eastAsia="Aptos" w:hAnsi="Verdana" w:cs="Arial"/>
          <w:shd w:val="clear" w:color="auto" w:fill="FFFFFF"/>
          <w:lang w:val="es-ES"/>
        </w:rPr>
        <w:t>26</w:t>
      </w:r>
      <w:r w:rsidRPr="000C21C6">
        <w:rPr>
          <w:rFonts w:ascii="Verdana" w:eastAsia="Aptos" w:hAnsi="Verdana" w:cs="Arial"/>
          <w:shd w:val="clear" w:color="auto" w:fill="FFFFFF"/>
          <w:lang w:val="es-ES"/>
        </w:rPr>
        <w:t xml:space="preserve"> de noviembre de 2025, entre otros. </w:t>
      </w:r>
    </w:p>
    <w:p w14:paraId="3C571791" w14:textId="77777777" w:rsidR="00C9367E" w:rsidRPr="00FA312E" w:rsidRDefault="00C9367E" w:rsidP="00C9367E">
      <w:pPr>
        <w:widowControl w:val="0"/>
        <w:autoSpaceDE w:val="0"/>
        <w:autoSpaceDN w:val="0"/>
        <w:spacing w:after="0" w:line="276" w:lineRule="auto"/>
        <w:jc w:val="both"/>
        <w:rPr>
          <w:rFonts w:ascii="Verdana" w:eastAsia="Aptos" w:hAnsi="Verdana" w:cs="Arial"/>
          <w:shd w:val="clear" w:color="auto" w:fill="FFFFFF"/>
          <w:lang w:val="es-ES"/>
        </w:rPr>
      </w:pPr>
    </w:p>
    <w:p w14:paraId="742FF1FD" w14:textId="77777777" w:rsidR="00C9367E" w:rsidRPr="00FA312E" w:rsidRDefault="00C9367E" w:rsidP="00C9367E">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Por último, lo invitamos a seguirnos en las redes sociales en las cuales se difunde información institucional:  </w:t>
      </w:r>
    </w:p>
    <w:p w14:paraId="6E635F5C" w14:textId="77777777" w:rsidR="00C9367E" w:rsidRPr="00FA312E" w:rsidRDefault="00C9367E" w:rsidP="00C9367E">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Twitter: </w:t>
      </w:r>
      <w:r w:rsidRPr="00FA312E">
        <w:rPr>
          <w:rFonts w:ascii="Verdana" w:hAnsi="Verdana" w:cs="Arial"/>
          <w:u w:val="single"/>
          <w:shd w:val="clear" w:color="auto" w:fill="FFFFFF"/>
        </w:rPr>
        <w:t>@colombiacompra</w:t>
      </w:r>
      <w:r w:rsidRPr="00FA312E">
        <w:rPr>
          <w:rFonts w:ascii="Verdana" w:hAnsi="Verdana" w:cs="Arial"/>
          <w:shd w:val="clear" w:color="auto" w:fill="FFFFFF"/>
        </w:rPr>
        <w:t>  </w:t>
      </w:r>
    </w:p>
    <w:p w14:paraId="754E2E5A" w14:textId="77777777" w:rsidR="00C9367E" w:rsidRPr="00FA312E" w:rsidRDefault="00C9367E" w:rsidP="00C9367E">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Facebook: </w:t>
      </w:r>
      <w:proofErr w:type="spellStart"/>
      <w:r w:rsidRPr="00FA312E">
        <w:rPr>
          <w:rFonts w:ascii="Verdana" w:hAnsi="Verdana" w:cs="Arial"/>
          <w:u w:val="single"/>
          <w:shd w:val="clear" w:color="auto" w:fill="FFFFFF"/>
        </w:rPr>
        <w:t>ColombiaCompraEficiente</w:t>
      </w:r>
      <w:proofErr w:type="spellEnd"/>
      <w:r w:rsidRPr="00FA312E">
        <w:rPr>
          <w:rFonts w:ascii="Verdana" w:hAnsi="Verdana" w:cs="Arial"/>
          <w:shd w:val="clear" w:color="auto" w:fill="FFFFFF"/>
        </w:rPr>
        <w:t> </w:t>
      </w:r>
    </w:p>
    <w:p w14:paraId="53551C1E" w14:textId="77777777" w:rsidR="00C9367E" w:rsidRPr="00FA312E" w:rsidRDefault="00C9367E" w:rsidP="00C9367E">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LinkedIn: Agencia Nacional de Contratación Pública - Colombia Compra Eficiente</w:t>
      </w:r>
    </w:p>
    <w:p w14:paraId="03249A9F" w14:textId="77777777" w:rsidR="00C9367E" w:rsidRPr="00FA312E" w:rsidRDefault="00C9367E" w:rsidP="00C9367E">
      <w:pPr>
        <w:widowControl w:val="0"/>
        <w:autoSpaceDE w:val="0"/>
        <w:autoSpaceDN w:val="0"/>
        <w:spacing w:after="0" w:line="276" w:lineRule="auto"/>
        <w:jc w:val="both"/>
        <w:rPr>
          <w:rFonts w:ascii="Verdana" w:hAnsi="Verdana" w:cs="Arial"/>
          <w:shd w:val="clear" w:color="auto" w:fill="FFFFFF"/>
        </w:rPr>
      </w:pPr>
      <w:r w:rsidRPr="00FA312E">
        <w:rPr>
          <w:rFonts w:ascii="Verdana" w:hAnsi="Verdana" w:cs="Arial"/>
          <w:shd w:val="clear" w:color="auto" w:fill="FFFFFF"/>
        </w:rPr>
        <w:t>Instagram: </w:t>
      </w:r>
      <w:r w:rsidRPr="00FA312E">
        <w:rPr>
          <w:rFonts w:ascii="Verdana" w:hAnsi="Verdana" w:cs="Arial"/>
          <w:u w:val="single"/>
          <w:shd w:val="clear" w:color="auto" w:fill="FFFFFF"/>
        </w:rPr>
        <w:t>@colombiacompraeficiente_cce</w:t>
      </w:r>
    </w:p>
    <w:p w14:paraId="2E4C7292" w14:textId="77777777" w:rsidR="00C9367E" w:rsidRPr="00FA312E" w:rsidRDefault="00C9367E" w:rsidP="00C9367E">
      <w:pPr>
        <w:widowControl w:val="0"/>
        <w:autoSpaceDE w:val="0"/>
        <w:autoSpaceDN w:val="0"/>
        <w:spacing w:after="0" w:line="276" w:lineRule="auto"/>
        <w:jc w:val="both"/>
        <w:rPr>
          <w:rFonts w:ascii="Verdana" w:hAnsi="Verdana" w:cs="Arial"/>
          <w:shd w:val="clear" w:color="auto" w:fill="FFFFFF"/>
        </w:rPr>
      </w:pPr>
    </w:p>
    <w:p w14:paraId="45D41658" w14:textId="77777777" w:rsidR="00C9367E" w:rsidRPr="005D67BA" w:rsidRDefault="00C9367E" w:rsidP="00C9367E">
      <w:pPr>
        <w:spacing w:after="0" w:line="276" w:lineRule="auto"/>
        <w:jc w:val="both"/>
        <w:rPr>
          <w:rFonts w:ascii="Verdana" w:hAnsi="Verdana"/>
        </w:rPr>
      </w:pPr>
      <w:r w:rsidRPr="00FA312E">
        <w:rPr>
          <w:rFonts w:ascii="Verdana" w:hAnsi="Verdana"/>
        </w:rPr>
        <w:t xml:space="preserve">Este concepto tiene el alcance previsto en el artículo 28 del Código de Procedimiento Administrativo y de lo Contencioso </w:t>
      </w:r>
      <w:r w:rsidRPr="005D67BA">
        <w:rPr>
          <w:rFonts w:ascii="Verdana" w:hAnsi="Verdana"/>
        </w:rPr>
        <w:t>Administrativo y las expresiones utilizadas con mayúscula inicial deben ser entendidas con el significado que les otorga el artículo 2.2.1.1.1.3.1 del Decreto 1082 de 2015.</w:t>
      </w:r>
    </w:p>
    <w:p w14:paraId="746A0D80" w14:textId="77777777" w:rsidR="00C9367E" w:rsidRPr="005D67BA" w:rsidRDefault="00C9367E" w:rsidP="00C9367E">
      <w:pPr>
        <w:spacing w:after="0" w:line="276" w:lineRule="auto"/>
        <w:jc w:val="both"/>
        <w:rPr>
          <w:rFonts w:ascii="Verdana" w:eastAsia="Calibri" w:hAnsi="Verdana" w:cs="Times New Roman"/>
        </w:rPr>
      </w:pPr>
    </w:p>
    <w:p w14:paraId="2394D80B" w14:textId="77777777" w:rsidR="00C9367E" w:rsidRPr="005D67BA" w:rsidRDefault="00C9367E" w:rsidP="00C9367E">
      <w:pPr>
        <w:spacing w:after="0" w:line="276" w:lineRule="auto"/>
        <w:jc w:val="both"/>
        <w:rPr>
          <w:rFonts w:ascii="Verdana" w:eastAsia="Calibri" w:hAnsi="Verdana" w:cs="Times New Roman"/>
        </w:rPr>
      </w:pPr>
      <w:r w:rsidRPr="005D67BA">
        <w:rPr>
          <w:rFonts w:ascii="Verdana" w:eastAsia="Calibri" w:hAnsi="Verdana" w:cs="Times New Roman"/>
        </w:rPr>
        <w:t>Atentamente,</w:t>
      </w:r>
    </w:p>
    <w:p w14:paraId="2030F13E" w14:textId="77777777" w:rsidR="00C9367E" w:rsidRPr="005D67BA" w:rsidRDefault="00C9367E" w:rsidP="00C9367E">
      <w:pPr>
        <w:spacing w:after="0" w:line="276" w:lineRule="auto"/>
        <w:jc w:val="both"/>
        <w:rPr>
          <w:rFonts w:ascii="Verdana" w:eastAsia="Calibri" w:hAnsi="Verdana" w:cs="Times New Roman"/>
        </w:rPr>
      </w:pPr>
    </w:p>
    <w:p w14:paraId="10A3A9CC" w14:textId="63AC0A76" w:rsidR="00C9367E" w:rsidRPr="005D67BA" w:rsidRDefault="00B23D71" w:rsidP="00C9367E">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5A1A3160" wp14:editId="4136A769">
            <wp:extent cx="3493311" cy="1298561"/>
            <wp:effectExtent l="0" t="0" r="0" b="0"/>
            <wp:docPr id="86596124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5961245" name="Imagen 1" descr="Texto&#10;&#10;El contenido generado por IA puede ser incorrecto."/>
                    <pic:cNvPicPr/>
                  </pic:nvPicPr>
                  <pic:blipFill>
                    <a:blip r:embed="rId14">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71B5BB84" w14:textId="77777777" w:rsidR="00C9367E" w:rsidRPr="005D67BA" w:rsidRDefault="00C9367E" w:rsidP="00C9367E">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C9367E" w:rsidRPr="005D67BA" w14:paraId="15050E8E" w14:textId="77777777">
        <w:trPr>
          <w:trHeight w:val="315"/>
        </w:trPr>
        <w:tc>
          <w:tcPr>
            <w:tcW w:w="893" w:type="dxa"/>
            <w:vAlign w:val="center"/>
            <w:hideMark/>
          </w:tcPr>
          <w:p w14:paraId="63E7B0EF" w14:textId="77777777" w:rsidR="00C9367E" w:rsidRPr="005D67BA" w:rsidRDefault="00C9367E">
            <w:pPr>
              <w:contextualSpacing/>
              <w:rPr>
                <w:rFonts w:ascii="Verdana" w:hAnsi="Verdana" w:cs="Arial"/>
                <w:sz w:val="16"/>
                <w:szCs w:val="16"/>
                <w:lang w:eastAsia="es-ES"/>
              </w:rPr>
            </w:pPr>
            <w:r w:rsidRPr="005D67B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4A7BB5F0" w14:textId="77777777" w:rsidR="00C9367E" w:rsidRPr="005D67BA" w:rsidRDefault="00C9367E">
            <w:pPr>
              <w:contextualSpacing/>
              <w:rPr>
                <w:rFonts w:ascii="Verdana" w:hAnsi="Verdana"/>
                <w:sz w:val="16"/>
                <w:szCs w:val="16"/>
              </w:rPr>
            </w:pPr>
            <w:r w:rsidRPr="005D67BA">
              <w:rPr>
                <w:rFonts w:ascii="Verdana" w:hAnsi="Verdana"/>
                <w:sz w:val="16"/>
                <w:szCs w:val="16"/>
              </w:rPr>
              <w:t>Denis Andrea Cárdenas Hernández</w:t>
            </w:r>
          </w:p>
          <w:p w14:paraId="06FF8E5C" w14:textId="77777777" w:rsidR="00C9367E" w:rsidRPr="005D67BA" w:rsidRDefault="00C9367E">
            <w:pPr>
              <w:contextualSpacing/>
              <w:rPr>
                <w:rFonts w:ascii="Verdana" w:eastAsia="Arial" w:hAnsi="Verdana" w:cs="Arial"/>
                <w:sz w:val="16"/>
                <w:szCs w:val="16"/>
              </w:rPr>
            </w:pPr>
            <w:r w:rsidRPr="005D67BA">
              <w:rPr>
                <w:rFonts w:ascii="Verdana" w:hAnsi="Verdana"/>
                <w:sz w:val="16"/>
                <w:szCs w:val="16"/>
              </w:rPr>
              <w:t xml:space="preserve">Analista </w:t>
            </w:r>
            <w:r w:rsidRPr="005D67BA">
              <w:rPr>
                <w:rFonts w:ascii="Verdana" w:hAnsi="Verdana" w:cs="Arial"/>
                <w:sz w:val="16"/>
                <w:szCs w:val="16"/>
                <w:lang w:val="es-ES_tradnl"/>
              </w:rPr>
              <w:t xml:space="preserve">T2 ‒ </w:t>
            </w:r>
            <w:r>
              <w:rPr>
                <w:rFonts w:ascii="Verdana" w:hAnsi="Verdana" w:cs="Arial"/>
                <w:sz w:val="16"/>
                <w:szCs w:val="16"/>
                <w:lang w:val="es-ES_tradnl"/>
              </w:rPr>
              <w:t>1</w:t>
            </w:r>
            <w:r w:rsidRPr="005D67BA">
              <w:rPr>
                <w:rFonts w:ascii="Verdana" w:hAnsi="Verdana" w:cs="Arial"/>
                <w:sz w:val="16"/>
                <w:szCs w:val="16"/>
                <w:lang w:val="es-ES_tradnl"/>
              </w:rPr>
              <w:t xml:space="preserve"> de la Subdirección de Gestión Contractual</w:t>
            </w:r>
          </w:p>
        </w:tc>
      </w:tr>
      <w:tr w:rsidR="00C9367E" w:rsidRPr="005D67BA" w14:paraId="33655AF1" w14:textId="77777777">
        <w:trPr>
          <w:trHeight w:val="330"/>
        </w:trPr>
        <w:tc>
          <w:tcPr>
            <w:tcW w:w="893" w:type="dxa"/>
            <w:vAlign w:val="center"/>
            <w:hideMark/>
          </w:tcPr>
          <w:p w14:paraId="7E0C1AB9" w14:textId="77777777" w:rsidR="00C9367E" w:rsidRPr="005D67BA" w:rsidRDefault="00C9367E">
            <w:pPr>
              <w:contextualSpacing/>
              <w:rPr>
                <w:rFonts w:ascii="Verdana" w:hAnsi="Verdana" w:cs="Arial"/>
                <w:sz w:val="16"/>
                <w:szCs w:val="16"/>
                <w:lang w:eastAsia="es-ES"/>
              </w:rPr>
            </w:pPr>
            <w:r w:rsidRPr="005D67B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6A33CD" w14:textId="77777777" w:rsidR="00C9367E" w:rsidRPr="005D67BA" w:rsidRDefault="00C9367E">
            <w:pPr>
              <w:rPr>
                <w:rFonts w:ascii="Verdana" w:eastAsia="Aptos" w:hAnsi="Verdana" w:cs="Arial"/>
                <w:sz w:val="16"/>
                <w:szCs w:val="16"/>
                <w:lang w:eastAsia="es-ES"/>
              </w:rPr>
            </w:pPr>
            <w:r w:rsidRPr="005D67BA">
              <w:rPr>
                <w:rFonts w:ascii="Verdana" w:eastAsia="Aptos" w:hAnsi="Verdana" w:cs="Arial"/>
                <w:sz w:val="16"/>
                <w:szCs w:val="16"/>
                <w:lang w:eastAsia="es-ES"/>
              </w:rPr>
              <w:t>Alejandro Sarmiento Cantillo</w:t>
            </w:r>
          </w:p>
          <w:p w14:paraId="52521E68" w14:textId="77777777" w:rsidR="00C9367E" w:rsidRPr="005D67BA" w:rsidRDefault="00C9367E">
            <w:pPr>
              <w:contextualSpacing/>
              <w:textAlignment w:val="baseline"/>
              <w:rPr>
                <w:rFonts w:ascii="Verdana" w:eastAsia="Times New Roman" w:hAnsi="Verdana" w:cs="Segoe UI"/>
                <w:sz w:val="16"/>
                <w:szCs w:val="16"/>
                <w:lang w:eastAsia="es-ES_tradnl"/>
              </w:rPr>
            </w:pPr>
            <w:r w:rsidRPr="005D67BA">
              <w:rPr>
                <w:rFonts w:ascii="Verdana" w:eastAsia="Aptos" w:hAnsi="Verdana" w:cs="Arial"/>
                <w:sz w:val="16"/>
                <w:szCs w:val="16"/>
                <w:lang w:eastAsia="es-ES"/>
              </w:rPr>
              <w:t>Gestor T1 – 15 de la Subdirección de Gestión Contractual</w:t>
            </w:r>
          </w:p>
        </w:tc>
      </w:tr>
      <w:tr w:rsidR="00C9367E" w:rsidRPr="005D67BA" w14:paraId="1D7DE9B5" w14:textId="77777777">
        <w:trPr>
          <w:trHeight w:val="300"/>
        </w:trPr>
        <w:tc>
          <w:tcPr>
            <w:tcW w:w="893" w:type="dxa"/>
            <w:vAlign w:val="center"/>
          </w:tcPr>
          <w:p w14:paraId="525E9D40" w14:textId="77777777" w:rsidR="00C9367E" w:rsidRPr="005D67BA" w:rsidRDefault="00C9367E">
            <w:pPr>
              <w:contextualSpacing/>
              <w:rPr>
                <w:rFonts w:ascii="Verdana" w:hAnsi="Verdana" w:cs="Arial"/>
                <w:sz w:val="16"/>
                <w:szCs w:val="16"/>
                <w:lang w:eastAsia="es-ES"/>
              </w:rPr>
            </w:pPr>
            <w:r w:rsidRPr="005D67B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2C387F4" w14:textId="77777777" w:rsidR="00C9367E" w:rsidRPr="005D67BA" w:rsidRDefault="00C9367E">
            <w:pPr>
              <w:contextualSpacing/>
              <w:rPr>
                <w:rFonts w:ascii="Verdana" w:eastAsia="Calibri" w:hAnsi="Verdana" w:cs="Arial"/>
                <w:sz w:val="16"/>
                <w:szCs w:val="16"/>
                <w:lang w:eastAsia="es-ES"/>
              </w:rPr>
            </w:pPr>
            <w:r w:rsidRPr="005D67BA">
              <w:rPr>
                <w:rFonts w:ascii="Verdana" w:eastAsia="Calibri" w:hAnsi="Verdana" w:cs="Arial"/>
                <w:sz w:val="16"/>
                <w:szCs w:val="16"/>
                <w:lang w:eastAsia="es-ES"/>
              </w:rPr>
              <w:t>Carolina Quintero Gacharná</w:t>
            </w:r>
          </w:p>
          <w:p w14:paraId="72435E19" w14:textId="77777777" w:rsidR="00C9367E" w:rsidRPr="005D67BA" w:rsidRDefault="00C9367E">
            <w:pPr>
              <w:contextualSpacing/>
              <w:rPr>
                <w:rFonts w:ascii="Verdana" w:eastAsia="Calibri" w:hAnsi="Verdana" w:cs="Arial"/>
                <w:sz w:val="16"/>
                <w:szCs w:val="16"/>
                <w:lang w:eastAsia="es-ES"/>
              </w:rPr>
            </w:pPr>
            <w:r w:rsidRPr="005D67BA">
              <w:rPr>
                <w:rFonts w:ascii="Verdana" w:eastAsia="Calibri" w:hAnsi="Verdana" w:cs="Arial"/>
                <w:sz w:val="16"/>
                <w:szCs w:val="16"/>
                <w:lang w:eastAsia="es-ES"/>
              </w:rPr>
              <w:t>Subdirectora de Gestión Contractual ANCP – CCE</w:t>
            </w:r>
          </w:p>
        </w:tc>
      </w:tr>
    </w:tbl>
    <w:p w14:paraId="027B8BB7" w14:textId="77777777" w:rsidR="00C9367E" w:rsidRPr="005D67BA" w:rsidRDefault="00C9367E" w:rsidP="00C9367E">
      <w:pPr>
        <w:spacing w:after="0"/>
        <w:rPr>
          <w:rFonts w:ascii="Verdana" w:eastAsia="Times New Roman" w:hAnsi="Verdana" w:cs="Segoe UI"/>
          <w:lang w:eastAsia="es-CO"/>
        </w:rPr>
      </w:pPr>
    </w:p>
    <w:p w14:paraId="0F293BF4" w14:textId="4EE9144A" w:rsidR="00127233" w:rsidRPr="00930A44" w:rsidRDefault="00127233" w:rsidP="00930A44"/>
    <w:sectPr w:rsidR="00127233" w:rsidRPr="00930A44" w:rsidSect="00E82AEB">
      <w:headerReference w:type="default" r:id="rId15"/>
      <w:footerReference w:type="default" r:id="rId16"/>
      <w:pgSz w:w="12240" w:h="15840" w:code="1"/>
      <w:pgMar w:top="1417" w:right="1701" w:bottom="1417" w:left="1701" w:header="709" w:footer="60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1376F" w14:textId="77777777" w:rsidR="00A609E0" w:rsidRDefault="00A609E0" w:rsidP="004A1847">
      <w:pPr>
        <w:spacing w:after="0" w:line="240" w:lineRule="auto"/>
      </w:pPr>
      <w:r>
        <w:separator/>
      </w:r>
    </w:p>
  </w:endnote>
  <w:endnote w:type="continuationSeparator" w:id="0">
    <w:p w14:paraId="1024B93E" w14:textId="77777777" w:rsidR="00A609E0" w:rsidRDefault="00A609E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5F67B3" w:rsidRDefault="356CEDFD" w:rsidP="356CEDFD">
    <w:pPr>
      <w:pBdr>
        <w:top w:val="nil"/>
        <w:left w:val="nil"/>
        <w:bottom w:val="nil"/>
        <w:right w:val="nil"/>
        <w:between w:val="nil"/>
      </w:pBdr>
      <w:tabs>
        <w:tab w:val="center" w:pos="4419"/>
        <w:tab w:val="right" w:pos="8838"/>
        <w:tab w:val="center" w:pos="5400"/>
      </w:tabs>
      <w:spacing w:after="0"/>
      <w:jc w:val="right"/>
      <w:rPr>
        <w:lang w:val="pt-BR"/>
      </w:rPr>
    </w:pPr>
    <w:r w:rsidRPr="005F67B3">
      <w:rPr>
        <w:rFonts w:ascii="Century Gothic" w:eastAsia="Geo" w:hAnsi="Century Gothic" w:cs="Geo"/>
        <w:b/>
        <w:color w:val="000000" w:themeColor="text1"/>
        <w:sz w:val="16"/>
        <w:szCs w:val="16"/>
        <w:lang w:val="pt-BR" w:eastAsia="es-CO"/>
      </w:rPr>
      <w:t xml:space="preserve">Código: </w:t>
    </w:r>
    <w:r w:rsidRPr="005F67B3">
      <w:rPr>
        <w:rFonts w:ascii="Century Gothic" w:eastAsia="Geo" w:hAnsi="Century Gothic" w:cs="Geo"/>
        <w:color w:val="000000" w:themeColor="text1"/>
        <w:sz w:val="16"/>
        <w:szCs w:val="16"/>
        <w:lang w:val="pt-BR" w:eastAsia="es-CO"/>
      </w:rPr>
      <w:t xml:space="preserve">CCE-REC-FM-17 </w:t>
    </w:r>
    <w:r w:rsidRPr="005F67B3">
      <w:rPr>
        <w:rFonts w:ascii="Century Gothic" w:eastAsia="Geo" w:hAnsi="Century Gothic" w:cs="Geo"/>
        <w:b/>
        <w:color w:val="000000" w:themeColor="text1"/>
        <w:sz w:val="16"/>
        <w:szCs w:val="16"/>
        <w:lang w:val="pt-BR" w:eastAsia="es-CO"/>
      </w:rPr>
      <w:t>V</w:t>
    </w:r>
    <w:r w:rsidRPr="005F67B3">
      <w:rPr>
        <w:rFonts w:ascii="Century Gothic" w:eastAsia="Arial Nova" w:hAnsi="Century Gothic" w:cs="Arial Nova"/>
        <w:b/>
        <w:color w:val="000000" w:themeColor="text1"/>
        <w:sz w:val="16"/>
        <w:szCs w:val="16"/>
        <w:lang w:val="pt-BR" w:eastAsia="es-CO"/>
      </w:rPr>
      <w:t xml:space="preserve">: </w:t>
    </w:r>
    <w:r w:rsidRPr="005F67B3">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DDF53E" w14:textId="77777777" w:rsidR="00A609E0" w:rsidRDefault="00A609E0" w:rsidP="004A1847">
      <w:pPr>
        <w:spacing w:after="0" w:line="240" w:lineRule="auto"/>
      </w:pPr>
      <w:r>
        <w:separator/>
      </w:r>
    </w:p>
  </w:footnote>
  <w:footnote w:type="continuationSeparator" w:id="0">
    <w:p w14:paraId="53D309F0" w14:textId="77777777" w:rsidR="00A609E0" w:rsidRDefault="00A609E0" w:rsidP="004A1847">
      <w:pPr>
        <w:spacing w:after="0" w:line="240" w:lineRule="auto"/>
      </w:pPr>
      <w:r>
        <w:continuationSeparator/>
      </w:r>
    </w:p>
  </w:footnote>
  <w:footnote w:id="1">
    <w:p w14:paraId="0EA7387A" w14:textId="77777777" w:rsidR="00C9367E" w:rsidRPr="005F67B3" w:rsidRDefault="00C9367E" w:rsidP="00C9367E">
      <w:pPr>
        <w:pStyle w:val="Textonotapie"/>
        <w:ind w:firstLine="709"/>
        <w:jc w:val="both"/>
        <w:rPr>
          <w:rFonts w:ascii="Verdana" w:hAnsi="Verdana"/>
          <w:sz w:val="16"/>
          <w:szCs w:val="16"/>
        </w:rPr>
      </w:pPr>
      <w:r w:rsidRPr="008B7256">
        <w:rPr>
          <w:rFonts w:ascii="Verdana" w:hAnsi="Verdana"/>
          <w:sz w:val="16"/>
          <w:szCs w:val="16"/>
          <w:vertAlign w:val="superscript"/>
        </w:rPr>
        <w:footnoteRef/>
      </w:r>
      <w:r w:rsidRPr="008B7256">
        <w:rPr>
          <w:rFonts w:ascii="Verdana" w:hAnsi="Verdana"/>
          <w:sz w:val="16"/>
          <w:szCs w:val="16"/>
        </w:rPr>
        <w:t xml:space="preserve"> Consejo de Estado. Sentencia No. 1444 del 6 de febrero de 1987, M.P. POLICARPO CASTILLO DÁVILA</w:t>
      </w:r>
    </w:p>
  </w:footnote>
  <w:footnote w:id="2">
    <w:p w14:paraId="402E681A" w14:textId="77777777" w:rsidR="00C9367E" w:rsidRPr="005F67B3" w:rsidRDefault="00C9367E" w:rsidP="00C9367E">
      <w:pPr>
        <w:pStyle w:val="Textonotapie"/>
        <w:ind w:firstLine="709"/>
        <w:jc w:val="both"/>
        <w:rPr>
          <w:rFonts w:ascii="Verdana" w:hAnsi="Verdana" w:cs="Arial"/>
          <w:sz w:val="16"/>
          <w:szCs w:val="16"/>
        </w:rPr>
      </w:pPr>
      <w:r w:rsidRPr="005F67B3">
        <w:rPr>
          <w:rFonts w:ascii="Verdana" w:hAnsi="Verdana" w:cs="Arial"/>
          <w:sz w:val="16"/>
          <w:szCs w:val="16"/>
          <w:vertAlign w:val="superscript"/>
        </w:rPr>
        <w:footnoteRef/>
      </w:r>
      <w:r w:rsidRPr="005F67B3">
        <w:rPr>
          <w:rFonts w:ascii="Verdana" w:hAnsi="Verdana" w:cs="Arial"/>
          <w:sz w:val="16"/>
          <w:szCs w:val="16"/>
        </w:rPr>
        <w:t xml:space="preserve"> Al respecto, la Ley 489 de 1998 dispone que “Artículo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F5C87BC" w14:textId="77777777" w:rsidR="00C9367E" w:rsidRPr="005F67B3" w:rsidRDefault="00C9367E" w:rsidP="00C9367E">
      <w:pPr>
        <w:pStyle w:val="Textonotapie"/>
        <w:ind w:firstLine="709"/>
        <w:jc w:val="both"/>
        <w:rPr>
          <w:rFonts w:ascii="Verdana" w:hAnsi="Verdana" w:cs="Arial"/>
          <w:sz w:val="16"/>
          <w:szCs w:val="16"/>
        </w:rPr>
      </w:pPr>
      <w:r w:rsidRPr="005F67B3">
        <w:rPr>
          <w:rFonts w:ascii="Verdana" w:hAnsi="Verdana" w:cs="Arial"/>
          <w:sz w:val="16"/>
          <w:szCs w:val="16"/>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p w14:paraId="2BD00C6B" w14:textId="77777777" w:rsidR="00C9367E" w:rsidRPr="005F67B3" w:rsidRDefault="00C9367E" w:rsidP="00C9367E">
      <w:pPr>
        <w:pStyle w:val="Textonotapie"/>
        <w:ind w:firstLine="709"/>
        <w:jc w:val="both"/>
        <w:rPr>
          <w:rFonts w:ascii="Verdana" w:hAnsi="Verdana"/>
          <w:sz w:val="16"/>
          <w:szCs w:val="16"/>
        </w:rPr>
      </w:pPr>
      <w:r w:rsidRPr="005F67B3">
        <w:rPr>
          <w:rFonts w:ascii="Verdana" w:hAnsi="Verdana" w:cs="Arial"/>
          <w:sz w:val="16"/>
          <w:szCs w:val="16"/>
        </w:rPr>
        <w:t xml:space="preserve"> </w:t>
      </w:r>
    </w:p>
  </w:footnote>
  <w:footnote w:id="3">
    <w:p w14:paraId="67792588" w14:textId="77777777" w:rsidR="00C9367E" w:rsidRPr="008B7256" w:rsidRDefault="00C9367E" w:rsidP="005F67B3">
      <w:pPr>
        <w:pStyle w:val="Textonotapie"/>
        <w:ind w:firstLine="708"/>
        <w:jc w:val="both"/>
        <w:rPr>
          <w:rFonts w:ascii="Verdana" w:hAnsi="Verdana"/>
          <w:sz w:val="16"/>
          <w:szCs w:val="16"/>
        </w:rPr>
      </w:pPr>
      <w:r w:rsidRPr="008B7256">
        <w:rPr>
          <w:rStyle w:val="Refdenotaalpie"/>
          <w:rFonts w:ascii="Verdana" w:hAnsi="Verdana"/>
          <w:sz w:val="16"/>
          <w:szCs w:val="16"/>
        </w:rPr>
        <w:footnoteRef/>
      </w:r>
      <w:r w:rsidRPr="008B7256">
        <w:rPr>
          <w:rFonts w:ascii="Verdana" w:hAnsi="Verdana"/>
          <w:sz w:val="16"/>
          <w:szCs w:val="16"/>
        </w:rPr>
        <w:t xml:space="preserve"> </w:t>
      </w:r>
      <w:r w:rsidRPr="005F67B3">
        <w:rPr>
          <w:rFonts w:ascii="Verdana" w:hAnsi="Verdana" w:cs="Arial"/>
          <w:sz w:val="16"/>
          <w:szCs w:val="16"/>
        </w:rPr>
        <w:t>Sobre esta norma, consultar los conceptos del 8 de octubre de 2019, con radicado No. 2201913000007532, y del 20 de diciembre de 2019, con radicado No. 4201913000008240, dictados por la Agencia Nacional de Contratación Pública – Colombia Compra Eficiente.</w:t>
      </w:r>
    </w:p>
  </w:footnote>
  <w:footnote w:id="4">
    <w:p w14:paraId="2DA1C93E" w14:textId="77777777" w:rsidR="00C9367E" w:rsidRPr="005F67B3" w:rsidRDefault="00C9367E" w:rsidP="00C9367E">
      <w:pPr>
        <w:pStyle w:val="Textonotapie"/>
        <w:ind w:firstLine="709"/>
        <w:jc w:val="both"/>
        <w:rPr>
          <w:rFonts w:ascii="Verdana" w:hAnsi="Verdana" w:cs="Arial"/>
          <w:sz w:val="16"/>
          <w:szCs w:val="16"/>
        </w:rPr>
      </w:pPr>
      <w:r w:rsidRPr="005F67B3">
        <w:rPr>
          <w:rFonts w:ascii="Verdana" w:hAnsi="Verdana" w:cs="Arial"/>
          <w:sz w:val="16"/>
          <w:szCs w:val="16"/>
          <w:vertAlign w:val="superscript"/>
        </w:rPr>
        <w:footnoteRef/>
      </w:r>
      <w:r w:rsidRPr="005F67B3">
        <w:rPr>
          <w:rFonts w:ascii="Verdana" w:hAnsi="Verdana" w:cs="Arial"/>
          <w:sz w:val="16"/>
          <w:szCs w:val="16"/>
        </w:rPr>
        <w:t xml:space="preserve"> Agencia Nacional de Contratación Pública – Colombia Compra Eficiente. Concepto del 3 de septiembre de 2019, con radicado No. 2201913000006512.</w:t>
      </w:r>
    </w:p>
    <w:p w14:paraId="32B22C83" w14:textId="77777777" w:rsidR="00C9367E" w:rsidRPr="005F67B3" w:rsidRDefault="00C9367E" w:rsidP="00C9367E">
      <w:pPr>
        <w:pStyle w:val="Textonotapie"/>
        <w:ind w:firstLine="709"/>
        <w:jc w:val="both"/>
        <w:rPr>
          <w:rFonts w:ascii="Verdana" w:hAnsi="Verdana"/>
          <w:sz w:val="16"/>
          <w:szCs w:val="16"/>
        </w:rPr>
      </w:pPr>
    </w:p>
  </w:footnote>
  <w:footnote w:id="5">
    <w:p w14:paraId="71310F4C" w14:textId="68A60E91" w:rsidR="00C9367E" w:rsidRPr="005F67B3" w:rsidRDefault="00C9367E" w:rsidP="00C9367E">
      <w:pPr>
        <w:pStyle w:val="Textonotapie"/>
        <w:ind w:firstLine="708"/>
        <w:jc w:val="both"/>
        <w:rPr>
          <w:rFonts w:ascii="Verdana" w:hAnsi="Verdana"/>
          <w:sz w:val="16"/>
          <w:szCs w:val="16"/>
        </w:rPr>
      </w:pPr>
      <w:r w:rsidRPr="008B7256">
        <w:rPr>
          <w:rFonts w:ascii="Verdana" w:hAnsi="Verdana"/>
          <w:sz w:val="16"/>
          <w:szCs w:val="16"/>
          <w:vertAlign w:val="superscript"/>
        </w:rPr>
        <w:footnoteRef/>
      </w:r>
      <w:r w:rsidRPr="008B7256">
        <w:rPr>
          <w:rFonts w:ascii="Verdana" w:hAnsi="Verdana"/>
          <w:sz w:val="16"/>
          <w:szCs w:val="16"/>
        </w:rPr>
        <w:t xml:space="preserve"> Agencia Nacional de Contratación Pública – Colombia Compra Eficiente. Concepto C-560 del 7 de septiembre de 2022.</w:t>
      </w:r>
    </w:p>
  </w:footnote>
  <w:footnote w:id="6">
    <w:p w14:paraId="6034E807" w14:textId="7783BE47" w:rsidR="000F5724" w:rsidRPr="005F67B3" w:rsidRDefault="00C9367E" w:rsidP="000F5724">
      <w:pPr>
        <w:pStyle w:val="Textonotapie"/>
        <w:ind w:firstLine="709"/>
        <w:jc w:val="both"/>
        <w:rPr>
          <w:rFonts w:ascii="Verdana" w:hAnsi="Verdana" w:cs="Arial"/>
          <w:sz w:val="16"/>
          <w:szCs w:val="16"/>
        </w:rPr>
      </w:pPr>
      <w:r w:rsidRPr="008B7256">
        <w:rPr>
          <w:rFonts w:ascii="Verdana" w:hAnsi="Verdana" w:cs="Arial"/>
          <w:sz w:val="16"/>
          <w:szCs w:val="16"/>
          <w:vertAlign w:val="superscript"/>
        </w:rPr>
        <w:footnoteRef/>
      </w:r>
      <w:r w:rsidRPr="008B7256">
        <w:rPr>
          <w:rFonts w:ascii="Verdana" w:hAnsi="Verdana" w:cs="Arial"/>
          <w:sz w:val="16"/>
          <w:szCs w:val="16"/>
        </w:rPr>
        <w:t xml:space="preserve"> </w:t>
      </w:r>
      <w:r w:rsidRPr="005F67B3">
        <w:rPr>
          <w:rFonts w:ascii="Verdana" w:hAnsi="Verdana" w:cs="Arial"/>
          <w:sz w:val="16"/>
          <w:szCs w:val="16"/>
        </w:rPr>
        <w:t xml:space="preserve">Sobre la naturaleza de los convenios de asociación, se reitera lo expuesto en el concepto </w:t>
      </w:r>
      <w:r w:rsidR="000F5724" w:rsidRPr="005F67B3">
        <w:rPr>
          <w:rFonts w:ascii="Verdana" w:hAnsi="Verdana" w:cs="Arial"/>
          <w:sz w:val="16"/>
          <w:szCs w:val="16"/>
        </w:rPr>
        <w:t>C- 1498 26 de noviembre 2025.</w:t>
      </w:r>
    </w:p>
    <w:p w14:paraId="5AF2B411" w14:textId="77777777" w:rsidR="00C9367E" w:rsidRPr="005F67B3" w:rsidRDefault="00C9367E" w:rsidP="00C9367E">
      <w:pPr>
        <w:pStyle w:val="Textonotapie"/>
        <w:ind w:firstLine="709"/>
        <w:jc w:val="both"/>
        <w:rPr>
          <w:rFonts w:ascii="Verdana" w:hAnsi="Verdana"/>
          <w:sz w:val="16"/>
          <w:szCs w:val="16"/>
        </w:rPr>
      </w:pPr>
    </w:p>
  </w:footnote>
  <w:footnote w:id="7">
    <w:p w14:paraId="2BF2CFF0" w14:textId="3E335D93" w:rsidR="00C9367E" w:rsidRPr="005F67B3" w:rsidRDefault="00C9367E" w:rsidP="00E800CC">
      <w:pPr>
        <w:pStyle w:val="Textonotapie"/>
        <w:ind w:firstLine="708"/>
        <w:jc w:val="both"/>
        <w:rPr>
          <w:rFonts w:ascii="Verdana" w:hAnsi="Verdana"/>
          <w:sz w:val="16"/>
          <w:szCs w:val="16"/>
        </w:rPr>
      </w:pPr>
      <w:r w:rsidRPr="005F67B3">
        <w:rPr>
          <w:rFonts w:ascii="Verdana" w:hAnsi="Verdana" w:cs="Arial"/>
          <w:sz w:val="16"/>
          <w:szCs w:val="16"/>
          <w:vertAlign w:val="superscript"/>
        </w:rPr>
        <w:footnoteRef/>
      </w:r>
      <w:r w:rsidRPr="005F67B3">
        <w:rPr>
          <w:rFonts w:ascii="Verdana" w:hAnsi="Verdana" w:cs="Arial"/>
          <w:sz w:val="16"/>
          <w:szCs w:val="16"/>
        </w:rPr>
        <w:t xml:space="preserve"> Decreto </w:t>
      </w:r>
      <w:r w:rsidR="00E67B14" w:rsidRPr="005F67B3">
        <w:rPr>
          <w:rFonts w:ascii="Verdana" w:hAnsi="Verdana" w:cs="Arial"/>
          <w:sz w:val="16"/>
          <w:szCs w:val="16"/>
        </w:rPr>
        <w:t>092 de 2017:</w:t>
      </w:r>
      <w:r w:rsidRPr="005F67B3">
        <w:rPr>
          <w:rFonts w:ascii="Verdana" w:hAnsi="Verdana" w:cs="Arial"/>
          <w:sz w:val="16"/>
          <w:szCs w:val="16"/>
        </w:rPr>
        <w:t xml:space="preserve"> </w:t>
      </w:r>
      <w:r w:rsidR="00E67B14" w:rsidRPr="005F67B3">
        <w:rPr>
          <w:rFonts w:ascii="Verdana" w:hAnsi="Verdana" w:cs="Arial"/>
          <w:sz w:val="16"/>
          <w:szCs w:val="16"/>
        </w:rPr>
        <w:t>A</w:t>
      </w:r>
      <w:r w:rsidRPr="005F67B3">
        <w:rPr>
          <w:rFonts w:ascii="Verdana" w:hAnsi="Verdana" w:cs="Arial"/>
          <w:sz w:val="16"/>
          <w:szCs w:val="16"/>
        </w:rPr>
        <w:t>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8">
    <w:p w14:paraId="75D5F294" w14:textId="4791CF10" w:rsidR="002079CB" w:rsidRPr="005F67B3" w:rsidRDefault="002079CB" w:rsidP="005F67B3">
      <w:pPr>
        <w:pStyle w:val="Textonotapie"/>
        <w:ind w:firstLine="708"/>
        <w:jc w:val="both"/>
        <w:rPr>
          <w:rFonts w:ascii="Verdana" w:hAnsi="Verdana"/>
          <w:sz w:val="16"/>
          <w:szCs w:val="16"/>
          <w:lang w:val="es-ES"/>
        </w:rPr>
      </w:pPr>
      <w:r w:rsidRPr="005F67B3">
        <w:rPr>
          <w:rStyle w:val="Refdenotaalpie"/>
          <w:rFonts w:ascii="Verdana" w:hAnsi="Verdana"/>
          <w:sz w:val="16"/>
          <w:szCs w:val="16"/>
        </w:rPr>
        <w:footnoteRef/>
      </w:r>
      <w:r w:rsidRPr="005F67B3">
        <w:rPr>
          <w:rFonts w:ascii="Verdana" w:hAnsi="Verdana"/>
          <w:sz w:val="16"/>
          <w:szCs w:val="16"/>
        </w:rPr>
        <w:t xml:space="preserve"> Agencia Nacional de Contratación Pública –Colombia Compra Eficiente</w:t>
      </w:r>
      <w:r w:rsidR="00E67B14" w:rsidRPr="005F67B3">
        <w:rPr>
          <w:rFonts w:ascii="Verdana" w:hAnsi="Verdana"/>
          <w:sz w:val="16"/>
          <w:szCs w:val="16"/>
        </w:rPr>
        <w:t>–</w:t>
      </w:r>
      <w:r w:rsidRPr="005F67B3">
        <w:rPr>
          <w:rFonts w:ascii="Verdana" w:hAnsi="Verdana"/>
          <w:sz w:val="16"/>
          <w:szCs w:val="16"/>
        </w:rPr>
        <w:t xml:space="preserve">. </w:t>
      </w:r>
      <w:r w:rsidRPr="005F67B3">
        <w:rPr>
          <w:rFonts w:ascii="Verdana" w:hAnsi="Verdana"/>
          <w:sz w:val="16"/>
          <w:szCs w:val="16"/>
          <w:lang w:val="es-CO"/>
        </w:rPr>
        <w:t>Guía para la contratación con entidades privadas sin ánimo de lucro y de reconocida idoneidad, 2025. p. 14.</w:t>
      </w:r>
      <w:r w:rsidRPr="005F67B3">
        <w:rPr>
          <w:rFonts w:ascii="Verdana" w:hAnsi="Verdana"/>
          <w:i/>
          <w:sz w:val="16"/>
          <w:szCs w:val="16"/>
          <w:lang w:val="es-CO"/>
        </w:rPr>
        <w:t xml:space="preserve"> </w:t>
      </w:r>
    </w:p>
  </w:footnote>
  <w:footnote w:id="9">
    <w:p w14:paraId="6AB82559" w14:textId="0245ED0D" w:rsidR="00B825B6" w:rsidRPr="005F67B3" w:rsidRDefault="002079CB" w:rsidP="00954C19">
      <w:pPr>
        <w:pStyle w:val="Textonotapie"/>
        <w:ind w:firstLine="708"/>
        <w:jc w:val="both"/>
        <w:rPr>
          <w:rFonts w:ascii="Verdana" w:hAnsi="Verdana" w:cs="Arial"/>
          <w:sz w:val="16"/>
          <w:szCs w:val="16"/>
        </w:rPr>
      </w:pPr>
      <w:r w:rsidRPr="005F67B3">
        <w:rPr>
          <w:rStyle w:val="Refdenotaalpie"/>
          <w:rFonts w:ascii="Verdana" w:hAnsi="Verdana" w:cs="Arial"/>
          <w:sz w:val="16"/>
          <w:szCs w:val="16"/>
        </w:rPr>
        <w:footnoteRef/>
      </w:r>
      <w:r w:rsidRPr="005F67B3">
        <w:rPr>
          <w:rFonts w:ascii="Verdana" w:hAnsi="Verdana" w:cs="Arial"/>
          <w:sz w:val="16"/>
          <w:szCs w:val="16"/>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footnote>
  <w:footnote w:id="10">
    <w:p w14:paraId="6747BE8D" w14:textId="69C84335" w:rsidR="00954C19" w:rsidRPr="005F67B3" w:rsidRDefault="002079CB" w:rsidP="00954C19">
      <w:pPr>
        <w:pStyle w:val="Textonotapie"/>
        <w:ind w:firstLine="708"/>
        <w:jc w:val="both"/>
        <w:rPr>
          <w:rFonts w:ascii="Verdana" w:hAnsi="Verdana" w:cs="Arial"/>
          <w:sz w:val="16"/>
          <w:szCs w:val="16"/>
          <w:lang w:val="es-ES"/>
        </w:rPr>
      </w:pPr>
      <w:r w:rsidRPr="005F67B3">
        <w:rPr>
          <w:rStyle w:val="Refdenotaalpie"/>
          <w:rFonts w:ascii="Verdana" w:hAnsi="Verdana" w:cs="Arial"/>
          <w:sz w:val="16"/>
          <w:szCs w:val="16"/>
        </w:rPr>
        <w:footnoteRef/>
      </w:r>
      <w:r w:rsidRPr="005F67B3">
        <w:rPr>
          <w:rFonts w:ascii="Verdana" w:hAnsi="Verdana" w:cs="Arial"/>
          <w:sz w:val="16"/>
          <w:szCs w:val="16"/>
        </w:rPr>
        <w:t xml:space="preserve"> </w:t>
      </w:r>
      <w:r w:rsidR="00980C2A" w:rsidRPr="005F67B3">
        <w:rPr>
          <w:rFonts w:ascii="Verdana" w:hAnsi="Verdana" w:cs="Arial"/>
          <w:sz w:val="16"/>
          <w:szCs w:val="16"/>
          <w:lang w:val="es-ES"/>
        </w:rPr>
        <w:t xml:space="preserve">CONSEJO DE ESTADO. </w:t>
      </w:r>
      <w:r w:rsidRPr="005F67B3">
        <w:rPr>
          <w:rFonts w:ascii="Verdana" w:hAnsi="Verdana" w:cs="Arial"/>
          <w:sz w:val="16"/>
          <w:szCs w:val="16"/>
          <w:lang w:val="es-ES"/>
        </w:rPr>
        <w:t>Sala Plena. Auto del 15 de marzo de 2022. C</w:t>
      </w:r>
      <w:r w:rsidR="00B9598D" w:rsidRPr="005F67B3">
        <w:rPr>
          <w:rFonts w:ascii="Verdana" w:hAnsi="Verdana" w:cs="Arial"/>
          <w:sz w:val="16"/>
          <w:szCs w:val="16"/>
          <w:lang w:val="es-ES"/>
        </w:rPr>
        <w:t>.P.</w:t>
      </w:r>
      <w:r w:rsidRPr="005F67B3">
        <w:rPr>
          <w:rFonts w:ascii="Verdana" w:hAnsi="Verdana" w:cs="Arial"/>
          <w:sz w:val="16"/>
          <w:szCs w:val="16"/>
          <w:lang w:val="es-ES"/>
        </w:rPr>
        <w:t xml:space="preserv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footnote>
  <w:footnote w:id="11">
    <w:p w14:paraId="1D3A7C0A" w14:textId="0FE7EF0D" w:rsidR="00B9598D" w:rsidRPr="005F67B3" w:rsidRDefault="002079CB" w:rsidP="00E800CC">
      <w:pPr>
        <w:spacing w:after="0" w:line="240" w:lineRule="auto"/>
        <w:ind w:firstLine="708"/>
        <w:jc w:val="both"/>
        <w:textAlignment w:val="baseline"/>
        <w:rPr>
          <w:rFonts w:ascii="Verdana" w:hAnsi="Verdana" w:cs="Arial"/>
          <w:sz w:val="16"/>
          <w:szCs w:val="16"/>
        </w:rPr>
      </w:pPr>
      <w:r w:rsidRPr="005F67B3">
        <w:rPr>
          <w:rStyle w:val="Refdenotaalpie"/>
          <w:rFonts w:ascii="Verdana" w:hAnsi="Verdana" w:cs="Arial"/>
          <w:sz w:val="16"/>
          <w:szCs w:val="16"/>
        </w:rPr>
        <w:footnoteRef/>
      </w:r>
      <w:r w:rsidRPr="005F67B3">
        <w:rPr>
          <w:rFonts w:ascii="Verdana" w:hAnsi="Verdana" w:cs="Arial"/>
          <w:sz w:val="16"/>
          <w:szCs w:val="16"/>
        </w:rPr>
        <w:t xml:space="preserve"> </w:t>
      </w:r>
      <w:r w:rsidRPr="005F67B3">
        <w:rPr>
          <w:rFonts w:ascii="Verdana" w:eastAsia="Calibri" w:hAnsi="Verdana" w:cs="Arial"/>
          <w:sz w:val="16"/>
          <w:szCs w:val="16"/>
          <w:lang w:val="es-MX"/>
        </w:rPr>
        <w:t>E</w:t>
      </w:r>
      <w:r w:rsidRPr="005F67B3">
        <w:rPr>
          <w:rFonts w:ascii="Verdana" w:eastAsia="Calibri" w:hAnsi="Verdana" w:cs="Arial"/>
          <w:sz w:val="16"/>
          <w:szCs w:val="16"/>
          <w:lang w:val="es-ES_tradnl" w:eastAsia="es-ES_tradnl"/>
        </w:rPr>
        <w:t xml:space="preserve">n armonía con lo anterior, las siguientes son las conclusiones que dedujo esta Agencia en relación con los </w:t>
      </w:r>
      <w:r w:rsidRPr="005F67B3">
        <w:rPr>
          <w:rFonts w:ascii="Verdana" w:eastAsia="Calibri" w:hAnsi="Verdana" w:cs="Arial"/>
          <w:i/>
          <w:sz w:val="16"/>
          <w:szCs w:val="16"/>
          <w:lang w:val="es-ES_tradnl" w:eastAsia="es-ES_tradnl"/>
        </w:rPr>
        <w:t>contratos de colaboración</w:t>
      </w:r>
      <w:r w:rsidRPr="005F67B3">
        <w:rPr>
          <w:rFonts w:ascii="Verdana" w:eastAsia="Calibri" w:hAnsi="Verdana" w:cs="Arial"/>
          <w:sz w:val="16"/>
          <w:szCs w:val="16"/>
          <w:lang w:val="es-ES_tradnl" w:eastAsia="es-ES_tradnl"/>
        </w:rPr>
        <w:t>, tal como se expresa, por ejemplo, en el concepto C-529 del 11 de agosto de 2020: “</w:t>
      </w:r>
      <w:r w:rsidRPr="005F67B3">
        <w:rPr>
          <w:rFonts w:ascii="Verdana" w:eastAsia="Calibri" w:hAnsi="Verdana" w:cs="Arial"/>
          <w:sz w:val="16"/>
          <w:szCs w:val="16"/>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footnote>
  <w:footnote w:id="12">
    <w:p w14:paraId="2939F5A2" w14:textId="77777777" w:rsidR="00E256C9" w:rsidRPr="005F67B3" w:rsidRDefault="00E256C9" w:rsidP="00E256C9">
      <w:pPr>
        <w:pStyle w:val="Textonotapie"/>
        <w:ind w:firstLine="708"/>
        <w:jc w:val="both"/>
        <w:rPr>
          <w:rFonts w:ascii="Verdana" w:eastAsia="Calibri" w:hAnsi="Verdana" w:cs="Arial"/>
          <w:sz w:val="16"/>
          <w:szCs w:val="16"/>
          <w:lang w:val="es-ES" w:eastAsia="es-ES"/>
        </w:rPr>
      </w:pPr>
      <w:r w:rsidRPr="005F67B3">
        <w:rPr>
          <w:rStyle w:val="Refdenotaalpie"/>
          <w:rFonts w:ascii="Verdana" w:hAnsi="Verdana"/>
          <w:sz w:val="16"/>
          <w:szCs w:val="16"/>
        </w:rPr>
        <w:footnoteRef/>
      </w:r>
      <w:r w:rsidRPr="005F67B3">
        <w:rPr>
          <w:rFonts w:ascii="Verdana" w:hAnsi="Verdana"/>
          <w:sz w:val="16"/>
          <w:szCs w:val="16"/>
        </w:rPr>
        <w:t xml:space="preserve"> Agencia Nacional de Contratación Pública–Colombia Compra Eficiente–.  Concepto </w:t>
      </w:r>
      <w:r w:rsidRPr="005F67B3">
        <w:rPr>
          <w:rFonts w:ascii="Verdana" w:eastAsia="Calibri" w:hAnsi="Verdana" w:cs="Arial"/>
          <w:sz w:val="16"/>
          <w:szCs w:val="16"/>
          <w:lang w:val="es-ES" w:eastAsia="es-ES"/>
        </w:rPr>
        <w:t xml:space="preserve">C-967 del 1 de agosto de 2025, radicado de salida No. 2_2025_08_01_007791. </w:t>
      </w:r>
    </w:p>
    <w:p w14:paraId="2F91084B" w14:textId="77777777" w:rsidR="00E256C9" w:rsidRPr="005F67B3" w:rsidRDefault="00E256C9" w:rsidP="00E256C9">
      <w:pPr>
        <w:pStyle w:val="Textonotapie"/>
        <w:ind w:firstLine="708"/>
        <w:jc w:val="both"/>
        <w:rPr>
          <w:rFonts w:ascii="Verdana" w:hAnsi="Verdana"/>
          <w:sz w:val="16"/>
          <w:szCs w:val="16"/>
        </w:rPr>
      </w:pPr>
    </w:p>
  </w:footnote>
  <w:footnote w:id="13">
    <w:p w14:paraId="75B24956" w14:textId="7A2A3E29" w:rsidR="00460364" w:rsidRPr="005F67B3" w:rsidRDefault="00460364" w:rsidP="005F67B3">
      <w:pPr>
        <w:pStyle w:val="Textonotapie"/>
        <w:ind w:firstLine="708"/>
        <w:jc w:val="both"/>
        <w:rPr>
          <w:rFonts w:ascii="Verdana" w:hAnsi="Verdana"/>
          <w:sz w:val="16"/>
          <w:szCs w:val="16"/>
        </w:rPr>
      </w:pPr>
      <w:r w:rsidRPr="005F67B3">
        <w:rPr>
          <w:rStyle w:val="Refdenotaalpie"/>
          <w:rFonts w:ascii="Verdana" w:hAnsi="Verdana"/>
          <w:sz w:val="16"/>
          <w:szCs w:val="16"/>
        </w:rPr>
        <w:footnoteRef/>
      </w:r>
      <w:r w:rsidRPr="005F67B3">
        <w:rPr>
          <w:rFonts w:ascii="Verdana" w:hAnsi="Verdana"/>
          <w:sz w:val="16"/>
          <w:szCs w:val="16"/>
        </w:rPr>
        <w:t xml:space="preserve"> Decreto 777 de 1992</w:t>
      </w:r>
      <w:r w:rsidR="00941519" w:rsidRPr="005F67B3">
        <w:rPr>
          <w:rFonts w:ascii="Verdana" w:hAnsi="Verdana"/>
          <w:sz w:val="16"/>
          <w:szCs w:val="16"/>
        </w:rPr>
        <w:t>: “</w:t>
      </w:r>
      <w:r w:rsidR="00941519" w:rsidRPr="005F67B3">
        <w:rPr>
          <w:rFonts w:ascii="Verdana" w:hAnsi="Verdana"/>
          <w:sz w:val="16"/>
          <w:szCs w:val="16"/>
          <w:lang w:val="es-CO"/>
        </w:rPr>
        <w:t>Artículo </w:t>
      </w:r>
      <w:bookmarkStart w:id="5" w:name="1"/>
      <w:r w:rsidR="00941519" w:rsidRPr="005F67B3">
        <w:rPr>
          <w:rFonts w:ascii="Verdana" w:hAnsi="Verdana"/>
          <w:sz w:val="16"/>
          <w:szCs w:val="16"/>
          <w:lang w:val="es-CO"/>
        </w:rPr>
        <w:t> </w:t>
      </w:r>
      <w:bookmarkEnd w:id="5"/>
      <w:r w:rsidR="00941519" w:rsidRPr="005F67B3">
        <w:rPr>
          <w:rFonts w:ascii="Verdana" w:hAnsi="Verdana"/>
          <w:sz w:val="16"/>
          <w:szCs w:val="16"/>
          <w:lang w:val="es-CO"/>
        </w:rPr>
        <w:t>1º</w:t>
      </w:r>
      <w:r w:rsidR="00941519" w:rsidRPr="005F67B3">
        <w:rPr>
          <w:rFonts w:ascii="Verdana" w:hAnsi="Verdana"/>
          <w:b/>
          <w:sz w:val="16"/>
          <w:szCs w:val="16"/>
          <w:lang w:val="es-CO"/>
        </w:rPr>
        <w:t>.- </w:t>
      </w:r>
      <w:r w:rsidR="00941519" w:rsidRPr="005F67B3">
        <w:rPr>
          <w:rFonts w:ascii="Verdana" w:hAnsi="Verdana"/>
          <w:sz w:val="16"/>
          <w:szCs w:val="16"/>
          <w:lang w:val="es-CO"/>
        </w:rPr>
        <w:t>Los contratos que en desarrollo de lo dispuesto en el segundo inciso del artículo 355 de la Constitución Política celebren la Nación, los Departamentos, Distritos y Municipios con entidades privadas sin ánimo de lucro y de reconocida idoneidad, con el propósito de impulsar programas y actividades de interés público</w:t>
      </w:r>
      <w:r w:rsidR="00941519" w:rsidRPr="005F67B3">
        <w:rPr>
          <w:rFonts w:ascii="Verdana" w:hAnsi="Verdana"/>
          <w:i/>
          <w:sz w:val="16"/>
          <w:szCs w:val="16"/>
          <w:lang w:val="es-CO"/>
        </w:rPr>
        <w:t>, deberán constar por escrito y se sujetarán a los requisitos y formalidades que exige la ley para la contratación entre los particulares, salvo lo previsto en el presente Decreto y sin perjuicio de que puedan incluirse las cláusulas exorbitantes previstas por el Decreto 222 de 1983”.</w:t>
      </w:r>
      <w:r w:rsidRPr="005F67B3">
        <w:rPr>
          <w:rFonts w:ascii="Verdana" w:hAnsi="Verdana"/>
          <w:i/>
          <w:sz w:val="16"/>
          <w:szCs w:val="16"/>
        </w:rPr>
        <w:t xml:space="preserve"> </w:t>
      </w:r>
      <w:r w:rsidR="00C813A5" w:rsidRPr="005F67B3">
        <w:rPr>
          <w:rFonts w:ascii="Verdana" w:hAnsi="Verdana"/>
          <w:sz w:val="16"/>
          <w:szCs w:val="16"/>
        </w:rPr>
        <w:t>[Énfasis fuera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2144438601"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310310280" name="Imagen 1310310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E1D4C7B"/>
    <w:multiLevelType w:val="hybridMultilevel"/>
    <w:tmpl w:val="E5F44588"/>
    <w:lvl w:ilvl="0" w:tplc="72B270B2">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009600534">
    <w:abstractNumId w:val="9"/>
  </w:num>
  <w:num w:numId="18" w16cid:durableId="126395335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4BB1"/>
    <w:rsid w:val="00007CEA"/>
    <w:rsid w:val="00016F78"/>
    <w:rsid w:val="00021DDB"/>
    <w:rsid w:val="000377D7"/>
    <w:rsid w:val="00040151"/>
    <w:rsid w:val="00046945"/>
    <w:rsid w:val="000560B6"/>
    <w:rsid w:val="00057F16"/>
    <w:rsid w:val="00061B2A"/>
    <w:rsid w:val="00062515"/>
    <w:rsid w:val="00062D1F"/>
    <w:rsid w:val="00067252"/>
    <w:rsid w:val="000757CE"/>
    <w:rsid w:val="000802F2"/>
    <w:rsid w:val="00082362"/>
    <w:rsid w:val="00085515"/>
    <w:rsid w:val="00085F64"/>
    <w:rsid w:val="00094F52"/>
    <w:rsid w:val="000A2817"/>
    <w:rsid w:val="000A2F7B"/>
    <w:rsid w:val="000A683E"/>
    <w:rsid w:val="000B19B9"/>
    <w:rsid w:val="000B2E40"/>
    <w:rsid w:val="000C5843"/>
    <w:rsid w:val="000D0334"/>
    <w:rsid w:val="000D1F37"/>
    <w:rsid w:val="000D581B"/>
    <w:rsid w:val="000D5DA7"/>
    <w:rsid w:val="000E2ADA"/>
    <w:rsid w:val="000F5724"/>
    <w:rsid w:val="000F6486"/>
    <w:rsid w:val="00102DF2"/>
    <w:rsid w:val="00116940"/>
    <w:rsid w:val="00124424"/>
    <w:rsid w:val="00124433"/>
    <w:rsid w:val="00124C08"/>
    <w:rsid w:val="00125105"/>
    <w:rsid w:val="00127233"/>
    <w:rsid w:val="00146C84"/>
    <w:rsid w:val="0015699B"/>
    <w:rsid w:val="001569CB"/>
    <w:rsid w:val="001669BD"/>
    <w:rsid w:val="001679BC"/>
    <w:rsid w:val="00176182"/>
    <w:rsid w:val="0018159B"/>
    <w:rsid w:val="00182FFE"/>
    <w:rsid w:val="0018323B"/>
    <w:rsid w:val="001A33BF"/>
    <w:rsid w:val="001A5096"/>
    <w:rsid w:val="001B2950"/>
    <w:rsid w:val="001B6D64"/>
    <w:rsid w:val="001C0DA2"/>
    <w:rsid w:val="001C2926"/>
    <w:rsid w:val="001E4177"/>
    <w:rsid w:val="001F0B24"/>
    <w:rsid w:val="001F1898"/>
    <w:rsid w:val="001F2D77"/>
    <w:rsid w:val="001F3D0F"/>
    <w:rsid w:val="001F7DC6"/>
    <w:rsid w:val="001F7F11"/>
    <w:rsid w:val="002079CB"/>
    <w:rsid w:val="00211550"/>
    <w:rsid w:val="00223308"/>
    <w:rsid w:val="0022400B"/>
    <w:rsid w:val="00224CDE"/>
    <w:rsid w:val="00230313"/>
    <w:rsid w:val="002339FE"/>
    <w:rsid w:val="002358B8"/>
    <w:rsid w:val="002421BB"/>
    <w:rsid w:val="0025796E"/>
    <w:rsid w:val="00257F3C"/>
    <w:rsid w:val="0026393B"/>
    <w:rsid w:val="002707A2"/>
    <w:rsid w:val="002861F8"/>
    <w:rsid w:val="00287FDB"/>
    <w:rsid w:val="00291213"/>
    <w:rsid w:val="0029433A"/>
    <w:rsid w:val="002951A0"/>
    <w:rsid w:val="002962BC"/>
    <w:rsid w:val="002A059A"/>
    <w:rsid w:val="002A093D"/>
    <w:rsid w:val="002A0DD0"/>
    <w:rsid w:val="002A49AC"/>
    <w:rsid w:val="002A5086"/>
    <w:rsid w:val="002A64FD"/>
    <w:rsid w:val="002B47A9"/>
    <w:rsid w:val="002B4E0B"/>
    <w:rsid w:val="002C13FA"/>
    <w:rsid w:val="002C6CA0"/>
    <w:rsid w:val="002C7A84"/>
    <w:rsid w:val="002D4620"/>
    <w:rsid w:val="002D7475"/>
    <w:rsid w:val="002D7611"/>
    <w:rsid w:val="002E073E"/>
    <w:rsid w:val="002E2BF8"/>
    <w:rsid w:val="002E4253"/>
    <w:rsid w:val="002E4477"/>
    <w:rsid w:val="002E4FD9"/>
    <w:rsid w:val="00301D97"/>
    <w:rsid w:val="00302084"/>
    <w:rsid w:val="0030657A"/>
    <w:rsid w:val="0031067B"/>
    <w:rsid w:val="00313CE5"/>
    <w:rsid w:val="0031446D"/>
    <w:rsid w:val="00316554"/>
    <w:rsid w:val="00322A85"/>
    <w:rsid w:val="00323E38"/>
    <w:rsid w:val="00324168"/>
    <w:rsid w:val="00330834"/>
    <w:rsid w:val="00341F73"/>
    <w:rsid w:val="003448F4"/>
    <w:rsid w:val="00353B55"/>
    <w:rsid w:val="00355A2C"/>
    <w:rsid w:val="00364779"/>
    <w:rsid w:val="0036521D"/>
    <w:rsid w:val="00367656"/>
    <w:rsid w:val="00370316"/>
    <w:rsid w:val="00374F5E"/>
    <w:rsid w:val="00377C36"/>
    <w:rsid w:val="00377E3E"/>
    <w:rsid w:val="00377F4B"/>
    <w:rsid w:val="00381105"/>
    <w:rsid w:val="00381DF2"/>
    <w:rsid w:val="00391AF3"/>
    <w:rsid w:val="003A779E"/>
    <w:rsid w:val="003A7EDD"/>
    <w:rsid w:val="003D0F4D"/>
    <w:rsid w:val="003D1763"/>
    <w:rsid w:val="003D17E2"/>
    <w:rsid w:val="003D5135"/>
    <w:rsid w:val="003D5136"/>
    <w:rsid w:val="003D5B0D"/>
    <w:rsid w:val="003D62F2"/>
    <w:rsid w:val="003E0499"/>
    <w:rsid w:val="003E4F80"/>
    <w:rsid w:val="003E6439"/>
    <w:rsid w:val="003F3941"/>
    <w:rsid w:val="003F715D"/>
    <w:rsid w:val="00406575"/>
    <w:rsid w:val="004109FD"/>
    <w:rsid w:val="00414C74"/>
    <w:rsid w:val="00417B43"/>
    <w:rsid w:val="0042722E"/>
    <w:rsid w:val="00434994"/>
    <w:rsid w:val="00435F5C"/>
    <w:rsid w:val="0044139D"/>
    <w:rsid w:val="00443E78"/>
    <w:rsid w:val="0044528D"/>
    <w:rsid w:val="004534F2"/>
    <w:rsid w:val="00457694"/>
    <w:rsid w:val="00460364"/>
    <w:rsid w:val="00466E39"/>
    <w:rsid w:val="004700B2"/>
    <w:rsid w:val="00470754"/>
    <w:rsid w:val="00472B84"/>
    <w:rsid w:val="004741E3"/>
    <w:rsid w:val="00475E93"/>
    <w:rsid w:val="0047754E"/>
    <w:rsid w:val="00477EAD"/>
    <w:rsid w:val="00483ABA"/>
    <w:rsid w:val="004A1847"/>
    <w:rsid w:val="004A305D"/>
    <w:rsid w:val="004A3162"/>
    <w:rsid w:val="004D1730"/>
    <w:rsid w:val="004D4052"/>
    <w:rsid w:val="004D5CA8"/>
    <w:rsid w:val="004E4693"/>
    <w:rsid w:val="004E7C3E"/>
    <w:rsid w:val="004F02B2"/>
    <w:rsid w:val="004F21C4"/>
    <w:rsid w:val="004F3C2F"/>
    <w:rsid w:val="004F5F69"/>
    <w:rsid w:val="004F685F"/>
    <w:rsid w:val="00500CFF"/>
    <w:rsid w:val="005020CD"/>
    <w:rsid w:val="00510811"/>
    <w:rsid w:val="00523E8E"/>
    <w:rsid w:val="005414D9"/>
    <w:rsid w:val="005427E7"/>
    <w:rsid w:val="00544BE9"/>
    <w:rsid w:val="0054677E"/>
    <w:rsid w:val="00550C4F"/>
    <w:rsid w:val="005530C2"/>
    <w:rsid w:val="005532BE"/>
    <w:rsid w:val="005566E8"/>
    <w:rsid w:val="0057125E"/>
    <w:rsid w:val="00574867"/>
    <w:rsid w:val="00577D8F"/>
    <w:rsid w:val="00584E6D"/>
    <w:rsid w:val="00591460"/>
    <w:rsid w:val="00591546"/>
    <w:rsid w:val="00597791"/>
    <w:rsid w:val="005A1D7E"/>
    <w:rsid w:val="005A65E0"/>
    <w:rsid w:val="005C0421"/>
    <w:rsid w:val="005C3777"/>
    <w:rsid w:val="005C5CDC"/>
    <w:rsid w:val="005D476C"/>
    <w:rsid w:val="005E27D7"/>
    <w:rsid w:val="005E2A85"/>
    <w:rsid w:val="005F2EB9"/>
    <w:rsid w:val="005F67B3"/>
    <w:rsid w:val="006006D7"/>
    <w:rsid w:val="0060743C"/>
    <w:rsid w:val="00612523"/>
    <w:rsid w:val="006200BF"/>
    <w:rsid w:val="006219F8"/>
    <w:rsid w:val="00623CEE"/>
    <w:rsid w:val="00626056"/>
    <w:rsid w:val="006302F7"/>
    <w:rsid w:val="00632048"/>
    <w:rsid w:val="00633165"/>
    <w:rsid w:val="00635A24"/>
    <w:rsid w:val="00637AF4"/>
    <w:rsid w:val="00640487"/>
    <w:rsid w:val="00646B9F"/>
    <w:rsid w:val="00662FE7"/>
    <w:rsid w:val="00664DAA"/>
    <w:rsid w:val="00665D70"/>
    <w:rsid w:val="00666BAD"/>
    <w:rsid w:val="00685EC2"/>
    <w:rsid w:val="006900D9"/>
    <w:rsid w:val="00690AB3"/>
    <w:rsid w:val="00695D7C"/>
    <w:rsid w:val="0069745E"/>
    <w:rsid w:val="006A43B3"/>
    <w:rsid w:val="006B27EA"/>
    <w:rsid w:val="006B55A9"/>
    <w:rsid w:val="006C08BC"/>
    <w:rsid w:val="006C4960"/>
    <w:rsid w:val="006C4A52"/>
    <w:rsid w:val="006C7CA5"/>
    <w:rsid w:val="006D1EA5"/>
    <w:rsid w:val="006D512C"/>
    <w:rsid w:val="006E1C4B"/>
    <w:rsid w:val="006E1D04"/>
    <w:rsid w:val="006E4D61"/>
    <w:rsid w:val="006E6114"/>
    <w:rsid w:val="006F4852"/>
    <w:rsid w:val="006F4BDD"/>
    <w:rsid w:val="0070413C"/>
    <w:rsid w:val="00706C16"/>
    <w:rsid w:val="00723E4C"/>
    <w:rsid w:val="00725FE1"/>
    <w:rsid w:val="00733378"/>
    <w:rsid w:val="007340C3"/>
    <w:rsid w:val="007441BF"/>
    <w:rsid w:val="0075235A"/>
    <w:rsid w:val="00756841"/>
    <w:rsid w:val="007649AB"/>
    <w:rsid w:val="00771D0C"/>
    <w:rsid w:val="0077567E"/>
    <w:rsid w:val="007757E6"/>
    <w:rsid w:val="007833AC"/>
    <w:rsid w:val="007833BA"/>
    <w:rsid w:val="007847A5"/>
    <w:rsid w:val="00790850"/>
    <w:rsid w:val="00794236"/>
    <w:rsid w:val="00794F1B"/>
    <w:rsid w:val="007961B6"/>
    <w:rsid w:val="007A3CF3"/>
    <w:rsid w:val="007B268C"/>
    <w:rsid w:val="007B7171"/>
    <w:rsid w:val="007B7B92"/>
    <w:rsid w:val="007C0C0F"/>
    <w:rsid w:val="007C3DC2"/>
    <w:rsid w:val="007D3392"/>
    <w:rsid w:val="007D4DCC"/>
    <w:rsid w:val="007E5497"/>
    <w:rsid w:val="007E6A42"/>
    <w:rsid w:val="007F03B5"/>
    <w:rsid w:val="007F39BA"/>
    <w:rsid w:val="007F3CC1"/>
    <w:rsid w:val="00806F5F"/>
    <w:rsid w:val="0081078A"/>
    <w:rsid w:val="00811180"/>
    <w:rsid w:val="00816784"/>
    <w:rsid w:val="00817F4A"/>
    <w:rsid w:val="00820278"/>
    <w:rsid w:val="008258C9"/>
    <w:rsid w:val="0082602D"/>
    <w:rsid w:val="0082623F"/>
    <w:rsid w:val="00835037"/>
    <w:rsid w:val="00844AE9"/>
    <w:rsid w:val="00847AC7"/>
    <w:rsid w:val="008549CE"/>
    <w:rsid w:val="00861D68"/>
    <w:rsid w:val="00866437"/>
    <w:rsid w:val="00867F95"/>
    <w:rsid w:val="00873104"/>
    <w:rsid w:val="008750AE"/>
    <w:rsid w:val="008843B6"/>
    <w:rsid w:val="00887E70"/>
    <w:rsid w:val="00891928"/>
    <w:rsid w:val="00891FD7"/>
    <w:rsid w:val="00895BA3"/>
    <w:rsid w:val="008971E6"/>
    <w:rsid w:val="008A1D52"/>
    <w:rsid w:val="008A446D"/>
    <w:rsid w:val="008B05F0"/>
    <w:rsid w:val="008B25F1"/>
    <w:rsid w:val="008B3F14"/>
    <w:rsid w:val="008B7256"/>
    <w:rsid w:val="008D180B"/>
    <w:rsid w:val="008E66E6"/>
    <w:rsid w:val="008F0EA7"/>
    <w:rsid w:val="008F54EE"/>
    <w:rsid w:val="00906170"/>
    <w:rsid w:val="00906506"/>
    <w:rsid w:val="00914B85"/>
    <w:rsid w:val="00915CD3"/>
    <w:rsid w:val="009204D9"/>
    <w:rsid w:val="00923475"/>
    <w:rsid w:val="00923EEF"/>
    <w:rsid w:val="00930502"/>
    <w:rsid w:val="00930A44"/>
    <w:rsid w:val="00941519"/>
    <w:rsid w:val="009419F9"/>
    <w:rsid w:val="0094607F"/>
    <w:rsid w:val="00954C19"/>
    <w:rsid w:val="0095685E"/>
    <w:rsid w:val="00961B09"/>
    <w:rsid w:val="00965334"/>
    <w:rsid w:val="00967493"/>
    <w:rsid w:val="00967EC4"/>
    <w:rsid w:val="0097093E"/>
    <w:rsid w:val="00980BD6"/>
    <w:rsid w:val="00980C2A"/>
    <w:rsid w:val="00985953"/>
    <w:rsid w:val="009A0DFA"/>
    <w:rsid w:val="009A1C6F"/>
    <w:rsid w:val="009B2BAB"/>
    <w:rsid w:val="009B2D26"/>
    <w:rsid w:val="009B5088"/>
    <w:rsid w:val="009B6C73"/>
    <w:rsid w:val="009C009D"/>
    <w:rsid w:val="009C66FC"/>
    <w:rsid w:val="009C71FA"/>
    <w:rsid w:val="009C72E7"/>
    <w:rsid w:val="009C7F7E"/>
    <w:rsid w:val="009D3058"/>
    <w:rsid w:val="009D4380"/>
    <w:rsid w:val="009E2136"/>
    <w:rsid w:val="009E21C8"/>
    <w:rsid w:val="009E37D7"/>
    <w:rsid w:val="009F36F2"/>
    <w:rsid w:val="009F3A13"/>
    <w:rsid w:val="009F5484"/>
    <w:rsid w:val="00A10E15"/>
    <w:rsid w:val="00A122D3"/>
    <w:rsid w:val="00A14468"/>
    <w:rsid w:val="00A16420"/>
    <w:rsid w:val="00A16C8F"/>
    <w:rsid w:val="00A17361"/>
    <w:rsid w:val="00A17F13"/>
    <w:rsid w:val="00A20739"/>
    <w:rsid w:val="00A22342"/>
    <w:rsid w:val="00A23AF9"/>
    <w:rsid w:val="00A24451"/>
    <w:rsid w:val="00A2553B"/>
    <w:rsid w:val="00A33C78"/>
    <w:rsid w:val="00A36D4A"/>
    <w:rsid w:val="00A3743C"/>
    <w:rsid w:val="00A4409C"/>
    <w:rsid w:val="00A609E0"/>
    <w:rsid w:val="00A61EA4"/>
    <w:rsid w:val="00A70EFC"/>
    <w:rsid w:val="00A711B5"/>
    <w:rsid w:val="00A77445"/>
    <w:rsid w:val="00A816BE"/>
    <w:rsid w:val="00A85A07"/>
    <w:rsid w:val="00A86B38"/>
    <w:rsid w:val="00A92BB2"/>
    <w:rsid w:val="00A957F9"/>
    <w:rsid w:val="00AB0ADB"/>
    <w:rsid w:val="00AB1ABA"/>
    <w:rsid w:val="00AB3F62"/>
    <w:rsid w:val="00AC3A71"/>
    <w:rsid w:val="00AD0E69"/>
    <w:rsid w:val="00AE2F8F"/>
    <w:rsid w:val="00AE5813"/>
    <w:rsid w:val="00AF5EC6"/>
    <w:rsid w:val="00AF7DDA"/>
    <w:rsid w:val="00B00444"/>
    <w:rsid w:val="00B00C0E"/>
    <w:rsid w:val="00B01B1A"/>
    <w:rsid w:val="00B0381D"/>
    <w:rsid w:val="00B05927"/>
    <w:rsid w:val="00B22185"/>
    <w:rsid w:val="00B23522"/>
    <w:rsid w:val="00B236DB"/>
    <w:rsid w:val="00B23D71"/>
    <w:rsid w:val="00B3031D"/>
    <w:rsid w:val="00B334FF"/>
    <w:rsid w:val="00B366C3"/>
    <w:rsid w:val="00B37389"/>
    <w:rsid w:val="00B43006"/>
    <w:rsid w:val="00B44A47"/>
    <w:rsid w:val="00B50CF7"/>
    <w:rsid w:val="00B5490C"/>
    <w:rsid w:val="00B54F42"/>
    <w:rsid w:val="00B5585B"/>
    <w:rsid w:val="00B6168A"/>
    <w:rsid w:val="00B72CD3"/>
    <w:rsid w:val="00B72FFF"/>
    <w:rsid w:val="00B734BC"/>
    <w:rsid w:val="00B825B6"/>
    <w:rsid w:val="00B93B68"/>
    <w:rsid w:val="00B9598D"/>
    <w:rsid w:val="00B962E5"/>
    <w:rsid w:val="00BA4591"/>
    <w:rsid w:val="00BB7859"/>
    <w:rsid w:val="00BC24CA"/>
    <w:rsid w:val="00BC293D"/>
    <w:rsid w:val="00BC3D36"/>
    <w:rsid w:val="00BC42BF"/>
    <w:rsid w:val="00BC7B91"/>
    <w:rsid w:val="00BD07AF"/>
    <w:rsid w:val="00BD530E"/>
    <w:rsid w:val="00BD54A6"/>
    <w:rsid w:val="00BD6042"/>
    <w:rsid w:val="00BD7F72"/>
    <w:rsid w:val="00BF45AF"/>
    <w:rsid w:val="00BF7425"/>
    <w:rsid w:val="00C00FB5"/>
    <w:rsid w:val="00C04FB3"/>
    <w:rsid w:val="00C11D8B"/>
    <w:rsid w:val="00C15139"/>
    <w:rsid w:val="00C2053F"/>
    <w:rsid w:val="00C22074"/>
    <w:rsid w:val="00C330EB"/>
    <w:rsid w:val="00C3415A"/>
    <w:rsid w:val="00C435DC"/>
    <w:rsid w:val="00C4398E"/>
    <w:rsid w:val="00C46172"/>
    <w:rsid w:val="00C50D69"/>
    <w:rsid w:val="00C5181A"/>
    <w:rsid w:val="00C52D2F"/>
    <w:rsid w:val="00C5365C"/>
    <w:rsid w:val="00C754BE"/>
    <w:rsid w:val="00C76B1C"/>
    <w:rsid w:val="00C76B5F"/>
    <w:rsid w:val="00C775DF"/>
    <w:rsid w:val="00C813A5"/>
    <w:rsid w:val="00C8217A"/>
    <w:rsid w:val="00C861C5"/>
    <w:rsid w:val="00C925AC"/>
    <w:rsid w:val="00C9367E"/>
    <w:rsid w:val="00C97F56"/>
    <w:rsid w:val="00CB3AC3"/>
    <w:rsid w:val="00CB6357"/>
    <w:rsid w:val="00CC1019"/>
    <w:rsid w:val="00CC1B26"/>
    <w:rsid w:val="00CC2FB2"/>
    <w:rsid w:val="00CC47E3"/>
    <w:rsid w:val="00CC59F2"/>
    <w:rsid w:val="00CD7CE4"/>
    <w:rsid w:val="00CE22CD"/>
    <w:rsid w:val="00CE32FB"/>
    <w:rsid w:val="00CE734C"/>
    <w:rsid w:val="00D10CEC"/>
    <w:rsid w:val="00D142A9"/>
    <w:rsid w:val="00D14A77"/>
    <w:rsid w:val="00D20744"/>
    <w:rsid w:val="00D2207B"/>
    <w:rsid w:val="00D361FD"/>
    <w:rsid w:val="00D3627A"/>
    <w:rsid w:val="00D423A2"/>
    <w:rsid w:val="00D4286D"/>
    <w:rsid w:val="00D44E26"/>
    <w:rsid w:val="00D4517C"/>
    <w:rsid w:val="00D520D8"/>
    <w:rsid w:val="00D523B5"/>
    <w:rsid w:val="00D63AC2"/>
    <w:rsid w:val="00D643FC"/>
    <w:rsid w:val="00D6479E"/>
    <w:rsid w:val="00D65EEB"/>
    <w:rsid w:val="00D712C9"/>
    <w:rsid w:val="00D71EA2"/>
    <w:rsid w:val="00D7383B"/>
    <w:rsid w:val="00D74F69"/>
    <w:rsid w:val="00D773DE"/>
    <w:rsid w:val="00D7788A"/>
    <w:rsid w:val="00D83695"/>
    <w:rsid w:val="00D8422A"/>
    <w:rsid w:val="00D94D85"/>
    <w:rsid w:val="00D95534"/>
    <w:rsid w:val="00D96A65"/>
    <w:rsid w:val="00DA231B"/>
    <w:rsid w:val="00DB60CE"/>
    <w:rsid w:val="00DC1A79"/>
    <w:rsid w:val="00DC39FC"/>
    <w:rsid w:val="00DC3CD6"/>
    <w:rsid w:val="00DC760C"/>
    <w:rsid w:val="00DD5BAC"/>
    <w:rsid w:val="00DD76DA"/>
    <w:rsid w:val="00DF3858"/>
    <w:rsid w:val="00DF5254"/>
    <w:rsid w:val="00E00613"/>
    <w:rsid w:val="00E02524"/>
    <w:rsid w:val="00E16408"/>
    <w:rsid w:val="00E20894"/>
    <w:rsid w:val="00E245AB"/>
    <w:rsid w:val="00E256C9"/>
    <w:rsid w:val="00E2764C"/>
    <w:rsid w:val="00E27F2E"/>
    <w:rsid w:val="00E343CE"/>
    <w:rsid w:val="00E44638"/>
    <w:rsid w:val="00E44B51"/>
    <w:rsid w:val="00E46563"/>
    <w:rsid w:val="00E50AFE"/>
    <w:rsid w:val="00E529E0"/>
    <w:rsid w:val="00E60A8A"/>
    <w:rsid w:val="00E67B14"/>
    <w:rsid w:val="00E75018"/>
    <w:rsid w:val="00E75BF4"/>
    <w:rsid w:val="00E75C92"/>
    <w:rsid w:val="00E771DC"/>
    <w:rsid w:val="00E800CC"/>
    <w:rsid w:val="00E82AEB"/>
    <w:rsid w:val="00E8772A"/>
    <w:rsid w:val="00E90F6B"/>
    <w:rsid w:val="00E92C27"/>
    <w:rsid w:val="00EA0E3D"/>
    <w:rsid w:val="00EA4CF3"/>
    <w:rsid w:val="00EB341B"/>
    <w:rsid w:val="00EC0C14"/>
    <w:rsid w:val="00EC38A7"/>
    <w:rsid w:val="00EC77E5"/>
    <w:rsid w:val="00ED1483"/>
    <w:rsid w:val="00ED2D75"/>
    <w:rsid w:val="00EE0C8A"/>
    <w:rsid w:val="00EE1AA8"/>
    <w:rsid w:val="00EE338B"/>
    <w:rsid w:val="00EF0A90"/>
    <w:rsid w:val="00F07BF3"/>
    <w:rsid w:val="00F10EAE"/>
    <w:rsid w:val="00F121AA"/>
    <w:rsid w:val="00F15087"/>
    <w:rsid w:val="00F20576"/>
    <w:rsid w:val="00F23FEA"/>
    <w:rsid w:val="00F31EDC"/>
    <w:rsid w:val="00F40F02"/>
    <w:rsid w:val="00F40F35"/>
    <w:rsid w:val="00F462B3"/>
    <w:rsid w:val="00F47099"/>
    <w:rsid w:val="00F55648"/>
    <w:rsid w:val="00F5664F"/>
    <w:rsid w:val="00F65324"/>
    <w:rsid w:val="00F66668"/>
    <w:rsid w:val="00F666C4"/>
    <w:rsid w:val="00F72845"/>
    <w:rsid w:val="00F76AFC"/>
    <w:rsid w:val="00F83016"/>
    <w:rsid w:val="00F926F8"/>
    <w:rsid w:val="00F9689F"/>
    <w:rsid w:val="00FA2E13"/>
    <w:rsid w:val="00FA47C0"/>
    <w:rsid w:val="00FA5A6E"/>
    <w:rsid w:val="00FB1609"/>
    <w:rsid w:val="00FB346C"/>
    <w:rsid w:val="00FB4A9D"/>
    <w:rsid w:val="00FB5747"/>
    <w:rsid w:val="00FB5DD1"/>
    <w:rsid w:val="00FC2B5D"/>
    <w:rsid w:val="00FC625D"/>
    <w:rsid w:val="00FD0CDF"/>
    <w:rsid w:val="00FD1385"/>
    <w:rsid w:val="00FD405A"/>
    <w:rsid w:val="00FE0157"/>
    <w:rsid w:val="00FE158E"/>
    <w:rsid w:val="00FE5963"/>
    <w:rsid w:val="00FF1449"/>
    <w:rsid w:val="00FF4A30"/>
    <w:rsid w:val="00FF6DA7"/>
    <w:rsid w:val="00FF7384"/>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227E5FF-6DBA-4163-9E18-3851BEAAB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1D97"/>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C9367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C9367E"/>
    <w:rPr>
      <w:rFonts w:ascii="Geomanist Light" w:hAnsi="Geomanist Light"/>
      <w:lang w:val="es-ES"/>
    </w:rPr>
  </w:style>
  <w:style w:type="character" w:customStyle="1" w:styleId="NormalWebCar">
    <w:name w:val="Normal (Web) Car"/>
    <w:link w:val="NormalWeb"/>
    <w:uiPriority w:val="99"/>
    <w:locked/>
    <w:rsid w:val="00C9367E"/>
    <w:rPr>
      <w:rFonts w:ascii="Times New Roman" w:eastAsia="Times New Roman" w:hAnsi="Times New Roman" w:cs="Times New Roman"/>
      <w:sz w:val="24"/>
      <w:szCs w:val="24"/>
      <w:lang w:eastAsia="es-CO"/>
    </w:rPr>
  </w:style>
  <w:style w:type="character" w:styleId="Refdecomentario">
    <w:name w:val="annotation reference"/>
    <w:basedOn w:val="Fuentedeprrafopredeter"/>
    <w:uiPriority w:val="99"/>
    <w:semiHidden/>
    <w:unhideWhenUsed/>
    <w:rsid w:val="00BC42BF"/>
    <w:rPr>
      <w:sz w:val="16"/>
      <w:szCs w:val="16"/>
    </w:rPr>
  </w:style>
  <w:style w:type="paragraph" w:styleId="Textocomentario">
    <w:name w:val="annotation text"/>
    <w:basedOn w:val="Normal"/>
    <w:link w:val="TextocomentarioCar"/>
    <w:uiPriority w:val="99"/>
    <w:unhideWhenUsed/>
    <w:rsid w:val="00BC42BF"/>
    <w:pPr>
      <w:spacing w:line="240" w:lineRule="auto"/>
    </w:pPr>
    <w:rPr>
      <w:sz w:val="20"/>
      <w:szCs w:val="20"/>
    </w:rPr>
  </w:style>
  <w:style w:type="character" w:customStyle="1" w:styleId="TextocomentarioCar">
    <w:name w:val="Texto comentario Car"/>
    <w:basedOn w:val="Fuentedeprrafopredeter"/>
    <w:link w:val="Textocomentario"/>
    <w:uiPriority w:val="99"/>
    <w:rsid w:val="00BC42BF"/>
    <w:rPr>
      <w:sz w:val="20"/>
      <w:szCs w:val="20"/>
    </w:rPr>
  </w:style>
  <w:style w:type="paragraph" w:styleId="Asuntodelcomentario">
    <w:name w:val="annotation subject"/>
    <w:basedOn w:val="Textocomentario"/>
    <w:next w:val="Textocomentario"/>
    <w:link w:val="AsuntodelcomentarioCar"/>
    <w:uiPriority w:val="99"/>
    <w:semiHidden/>
    <w:unhideWhenUsed/>
    <w:rsid w:val="00BC42BF"/>
    <w:rPr>
      <w:b/>
      <w:bCs/>
    </w:rPr>
  </w:style>
  <w:style w:type="character" w:customStyle="1" w:styleId="AsuntodelcomentarioCar">
    <w:name w:val="Asunto del comentario Car"/>
    <w:basedOn w:val="TextocomentarioCar"/>
    <w:link w:val="Asuntodelcomentario"/>
    <w:uiPriority w:val="99"/>
    <w:semiHidden/>
    <w:rsid w:val="00BC42B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ontratacion-con-entidades-sin-animo-de-lucro-y-de-reconocida-idoneidad"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4545A969-BFBF-4B1A-813A-DEB8C1FE1F5D}">
  <ds:schemaRefs>
    <ds:schemaRef ds:uri="http://schemas.openxmlformats.org/officeDocument/2006/bibliography"/>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803456FD-6928-47C8-876F-370991AD09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52</TotalTime>
  <Pages>21</Pages>
  <Words>7571</Words>
  <Characters>39525</Characters>
  <Application>Microsoft Office Word</Application>
  <DocSecurity>0</DocSecurity>
  <Lines>745</Lines>
  <Paragraphs>127</Paragraphs>
  <ScaleCrop>false</ScaleCrop>
  <Company/>
  <LinksUpToDate>false</LinksUpToDate>
  <CharactersWithSpaces>46969</CharactersWithSpaces>
  <SharedDoc>false</SharedDoc>
  <HLinks>
    <vt:vector size="12" baseType="variant">
      <vt:variant>
        <vt:i4>7798899</vt:i4>
      </vt:variant>
      <vt:variant>
        <vt:i4>3</vt:i4>
      </vt:variant>
      <vt:variant>
        <vt:i4>0</vt:i4>
      </vt:variant>
      <vt:variant>
        <vt:i4>5</vt:i4>
      </vt:variant>
      <vt:variant>
        <vt:lpwstr>https://www.colombiacompra.gov.co/archivos/manual/guia-para-la-contratacion-con-entidades-sin-animo-de-lucro-y-de-reconocida-idoneidad</vt:lpwstr>
      </vt:variant>
      <vt:variant>
        <vt:lpwstr/>
      </vt:variant>
      <vt:variant>
        <vt:i4>7929935</vt:i4>
      </vt:variant>
      <vt:variant>
        <vt:i4>0</vt:i4>
      </vt:variant>
      <vt:variant>
        <vt:i4>0</vt:i4>
      </vt:variant>
      <vt:variant>
        <vt:i4>5</vt:i4>
      </vt:variant>
      <vt:variant>
        <vt:lpwstr>mailto:ivandariog@hotmail.com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22</cp:revision>
  <cp:lastPrinted>2023-01-10T21:18:00Z</cp:lastPrinted>
  <dcterms:created xsi:type="dcterms:W3CDTF">2026-01-16T15:16:00Z</dcterms:created>
  <dcterms:modified xsi:type="dcterms:W3CDTF">2026-01-21T20:31:00Z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