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87844" w14:textId="77777777" w:rsidR="005B2CC5" w:rsidRDefault="005B2CC5" w:rsidP="005B2CC5">
      <w:pPr>
        <w:spacing w:after="0"/>
        <w:rPr>
          <w:rFonts w:ascii="Verdana" w:hAnsi="Verdana"/>
          <w:b/>
          <w:bCs/>
        </w:rPr>
      </w:pPr>
      <w:bookmarkStart w:id="0" w:name="_Hlk143780582"/>
      <w:r w:rsidRPr="005B2CC5">
        <w:rPr>
          <w:rFonts w:ascii="Verdana" w:hAnsi="Verdana"/>
          <w:b/>
          <w:bCs/>
        </w:rPr>
        <w:t>SELECCIÓN ABREVIADA – Modalidad de selección – Naturaleza</w:t>
      </w:r>
    </w:p>
    <w:p w14:paraId="5D4D455B" w14:textId="77777777" w:rsidR="005B2CC5" w:rsidRPr="005B2CC5" w:rsidRDefault="005B2CC5" w:rsidP="005B2CC5">
      <w:pPr>
        <w:spacing w:after="0"/>
        <w:jc w:val="both"/>
        <w:rPr>
          <w:rFonts w:ascii="Verdana" w:hAnsi="Verdana"/>
          <w:sz w:val="20"/>
          <w:szCs w:val="20"/>
        </w:rPr>
      </w:pPr>
    </w:p>
    <w:p w14:paraId="02AA85EC" w14:textId="77777777" w:rsidR="005B2CC5" w:rsidRDefault="005B2CC5" w:rsidP="005B2CC5">
      <w:pPr>
        <w:spacing w:after="0"/>
        <w:jc w:val="both"/>
        <w:rPr>
          <w:rFonts w:ascii="Verdana" w:hAnsi="Verdana"/>
          <w:sz w:val="20"/>
          <w:szCs w:val="20"/>
        </w:rPr>
      </w:pPr>
      <w:r w:rsidRPr="005B2CC5">
        <w:rPr>
          <w:rFonts w:ascii="Verdana" w:hAnsi="Verdana"/>
          <w:sz w:val="20"/>
          <w:szCs w:val="20"/>
        </w:rPr>
        <w:t>Respecto de la selección abreviada, el numeral 2° del artículo 2 de Ley 1150 de 2007 la define en los siguientes términos: “2. Selección abreviada.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w:t>
      </w:r>
    </w:p>
    <w:p w14:paraId="420BEEF7" w14:textId="77777777" w:rsidR="009D1E9A" w:rsidRPr="005B2CC5" w:rsidRDefault="009D1E9A" w:rsidP="005B2CC5">
      <w:pPr>
        <w:spacing w:after="0"/>
        <w:jc w:val="both"/>
        <w:rPr>
          <w:rFonts w:ascii="Verdana" w:hAnsi="Verdana"/>
          <w:sz w:val="20"/>
          <w:szCs w:val="20"/>
        </w:rPr>
      </w:pPr>
    </w:p>
    <w:p w14:paraId="62E07192" w14:textId="77777777" w:rsidR="005B2CC5" w:rsidRPr="005B2CC5" w:rsidRDefault="005B2CC5" w:rsidP="005B2CC5">
      <w:pPr>
        <w:spacing w:after="0"/>
        <w:jc w:val="both"/>
        <w:rPr>
          <w:rFonts w:ascii="Verdana" w:hAnsi="Verdana"/>
          <w:sz w:val="20"/>
          <w:szCs w:val="20"/>
        </w:rPr>
      </w:pPr>
      <w:r w:rsidRPr="005B2CC5">
        <w:rPr>
          <w:rFonts w:ascii="Verdana" w:hAnsi="Verdana"/>
          <w:sz w:val="20"/>
          <w:szCs w:val="20"/>
        </w:rPr>
        <w:t>Esta norma contempla una modalidad de selección que se caracteriza por tener etapas simplificadas y términos más cortos que la licitación pública, lo cual se justifica por la complejidad de los asuntos que se contratan a través de esta modalidad, que requieren de procedimientos ágiles y eficientes.</w:t>
      </w:r>
    </w:p>
    <w:p w14:paraId="5639201B" w14:textId="77777777" w:rsidR="005B2CC5" w:rsidRDefault="005B2CC5" w:rsidP="006678D3">
      <w:pPr>
        <w:spacing w:after="0"/>
        <w:rPr>
          <w:rFonts w:ascii="Verdana" w:hAnsi="Verdana"/>
        </w:rPr>
      </w:pPr>
    </w:p>
    <w:p w14:paraId="32567C41" w14:textId="517ACD20" w:rsidR="005B2CC5" w:rsidRPr="00150C89" w:rsidRDefault="009D1E9A" w:rsidP="006678D3">
      <w:pPr>
        <w:spacing w:after="0"/>
        <w:rPr>
          <w:rFonts w:ascii="Verdana" w:hAnsi="Verdana"/>
          <w:b/>
          <w:bCs/>
        </w:rPr>
      </w:pPr>
      <w:r w:rsidRPr="00150C89">
        <w:rPr>
          <w:rFonts w:ascii="Verdana" w:hAnsi="Verdana"/>
          <w:b/>
          <w:bCs/>
        </w:rPr>
        <w:t xml:space="preserve">SELECCIÓN ABREVIADA MENOR CUANTÍA – </w:t>
      </w:r>
      <w:r w:rsidR="00352349" w:rsidRPr="00150C89">
        <w:rPr>
          <w:rFonts w:ascii="Verdana" w:hAnsi="Verdana"/>
          <w:b/>
          <w:bCs/>
        </w:rPr>
        <w:t>Manifestación de interés</w:t>
      </w:r>
      <w:r w:rsidRPr="00150C89">
        <w:rPr>
          <w:rFonts w:ascii="Verdana" w:hAnsi="Verdana"/>
          <w:b/>
          <w:bCs/>
        </w:rPr>
        <w:t xml:space="preserve"> – </w:t>
      </w:r>
      <w:r w:rsidR="00352349" w:rsidRPr="00150C89">
        <w:rPr>
          <w:rFonts w:ascii="Verdana" w:hAnsi="Verdana"/>
          <w:b/>
          <w:bCs/>
        </w:rPr>
        <w:t>Sorteo</w:t>
      </w:r>
    </w:p>
    <w:p w14:paraId="1C124B03" w14:textId="77777777" w:rsidR="009D1E9A" w:rsidRPr="005F642C" w:rsidRDefault="009D1E9A" w:rsidP="006678D3">
      <w:pPr>
        <w:spacing w:after="0"/>
        <w:rPr>
          <w:rFonts w:ascii="Verdana" w:hAnsi="Verdana"/>
          <w:b/>
          <w:bCs/>
          <w:highlight w:val="yellow"/>
        </w:rPr>
      </w:pPr>
    </w:p>
    <w:p w14:paraId="334DC9BE" w14:textId="77777777" w:rsidR="00B12086" w:rsidRDefault="00B12086" w:rsidP="00B12086">
      <w:pPr>
        <w:spacing w:after="0"/>
        <w:jc w:val="both"/>
        <w:rPr>
          <w:rFonts w:ascii="Verdana" w:hAnsi="Verdana"/>
          <w:sz w:val="20"/>
          <w:szCs w:val="20"/>
        </w:rPr>
      </w:pPr>
      <w:r w:rsidRPr="00B12086">
        <w:rPr>
          <w:rFonts w:ascii="Verdana" w:hAnsi="Verdana"/>
          <w:sz w:val="20"/>
          <w:szCs w:val="20"/>
        </w:rPr>
        <w:t>Respecto al problema jurídico planteado debe señalarse que, la manifestación de interés es un requisito especial para las modalidades de concurso de méritos con precalificación y la selección abreviada de menor cuantía. Tratándose de esta última modalidad, la manifestación de interés es un acto de comunicación del interesado, en virtud del cual, como su nombre lo indica, expresa el interés en participar en el proceso de selección, sin que le sea exigida la presentación de requisitos habilitantes como ocurre en el concurso de méritos con precalificación. Dicha manifestación de interés debe ser presentada en la forma establecida en el pliego de condiciones físico o electrónico, según corresponda a la plataforma del SECOP I o el SECOP II en que se adelante el proceso.</w:t>
      </w:r>
    </w:p>
    <w:p w14:paraId="1E364427" w14:textId="77777777" w:rsidR="00B12086" w:rsidRPr="00B12086" w:rsidRDefault="00B12086" w:rsidP="00B12086">
      <w:pPr>
        <w:spacing w:after="0"/>
        <w:jc w:val="both"/>
        <w:rPr>
          <w:rFonts w:ascii="Verdana" w:hAnsi="Verdana"/>
          <w:sz w:val="20"/>
          <w:szCs w:val="20"/>
        </w:rPr>
      </w:pPr>
    </w:p>
    <w:p w14:paraId="4A413DB6" w14:textId="77777777" w:rsidR="00B12086" w:rsidRDefault="00B12086" w:rsidP="00B12086">
      <w:pPr>
        <w:spacing w:after="0"/>
        <w:jc w:val="both"/>
        <w:rPr>
          <w:rFonts w:ascii="Verdana" w:hAnsi="Verdana"/>
          <w:sz w:val="20"/>
          <w:szCs w:val="20"/>
        </w:rPr>
      </w:pPr>
      <w:r w:rsidRPr="00B12086">
        <w:rPr>
          <w:rFonts w:ascii="Verdana" w:hAnsi="Verdana"/>
          <w:sz w:val="20"/>
          <w:szCs w:val="20"/>
        </w:rPr>
        <w:t>El artículo 2.2.1.2.1.2.20 del Decreto 1082 de 2015 al fijar las reglas para el proceso de selección abreviada de menor cuantía, no establece expresamente la obligación de publicar el listado de las manifestaciones de interés recibidas antes de la realización del sorteo, como si lo hace en el proceso de concurso de méritos con precalificación, no obstante, esta Subdirección considera que una interpretación ajustada a los principios que orientan la contratación pública, especialmente los de transparencia y publicidad, exige que la entidad estatal publique la lista de las manifestaciones de interés recibidas y las que se ajustan a las exigencias del pliego de condiciones para participar en el sorteo, según corresponda.</w:t>
      </w:r>
    </w:p>
    <w:p w14:paraId="3A2D6241" w14:textId="77777777" w:rsidR="00B12086" w:rsidRPr="00B12086" w:rsidRDefault="00B12086" w:rsidP="00B12086">
      <w:pPr>
        <w:spacing w:after="0"/>
        <w:jc w:val="both"/>
        <w:rPr>
          <w:rFonts w:ascii="Verdana" w:hAnsi="Verdana"/>
          <w:sz w:val="20"/>
          <w:szCs w:val="20"/>
        </w:rPr>
      </w:pPr>
    </w:p>
    <w:p w14:paraId="65B3418A" w14:textId="646F5604" w:rsidR="009D1E9A" w:rsidRDefault="00B12086" w:rsidP="00B12086">
      <w:pPr>
        <w:spacing w:after="0"/>
        <w:jc w:val="both"/>
        <w:rPr>
          <w:rFonts w:ascii="Verdana" w:hAnsi="Verdana"/>
          <w:b/>
          <w:bCs/>
        </w:rPr>
      </w:pPr>
      <w:r w:rsidRPr="00B12086">
        <w:rPr>
          <w:rFonts w:ascii="Verdana" w:hAnsi="Verdana"/>
          <w:sz w:val="20"/>
          <w:szCs w:val="20"/>
        </w:rPr>
        <w:t>De la misma manera, el Decreto 1082 de 2015 no establece reglas para la realización del sorteo, por lo que será la entidad contratante la encargada de definir el procedimiento en modo, tiempo y lugar, lo cual deberá ser orientado por los principios que rigen la contratación pública.</w:t>
      </w:r>
      <w:r>
        <w:rPr>
          <w:rFonts w:ascii="Verdana" w:hAnsi="Verdana"/>
          <w:sz w:val="20"/>
          <w:szCs w:val="20"/>
        </w:rPr>
        <w:t xml:space="preserve"> (…)</w:t>
      </w:r>
    </w:p>
    <w:p w14:paraId="2546DB07" w14:textId="77777777" w:rsidR="009D1E9A" w:rsidRDefault="009D1E9A" w:rsidP="006678D3">
      <w:pPr>
        <w:spacing w:after="0"/>
        <w:rPr>
          <w:rFonts w:ascii="Verdana" w:hAnsi="Verdana"/>
          <w:b/>
          <w:bCs/>
        </w:rPr>
      </w:pPr>
    </w:p>
    <w:p w14:paraId="3D27D595" w14:textId="6CB2BF02" w:rsidR="005468CB" w:rsidRDefault="005468CB" w:rsidP="005468CB">
      <w:pPr>
        <w:rPr>
          <w:rFonts w:ascii="Verdana" w:hAnsi="Verdana"/>
        </w:rPr>
      </w:pPr>
      <w:r w:rsidRPr="005468CB">
        <w:rPr>
          <w:rFonts w:ascii="Verdana" w:hAnsi="Verdana"/>
        </w:rPr>
        <w:lastRenderedPageBreak/>
        <w:t xml:space="preserve">Bogotá D.C., </w:t>
      </w:r>
      <w:r w:rsidR="004763B9">
        <w:rPr>
          <w:rFonts w:ascii="Verdana" w:hAnsi="Verdana"/>
        </w:rPr>
        <w:t>20 de enero de 2026</w:t>
      </w:r>
    </w:p>
    <w:p w14:paraId="36B6C5A8" w14:textId="77777777" w:rsidR="004763B9" w:rsidRDefault="004763B9" w:rsidP="005468CB">
      <w:pPr>
        <w:rPr>
          <w:rFonts w:ascii="Verdana" w:hAnsi="Verdana"/>
        </w:rPr>
      </w:pPr>
    </w:p>
    <w:p w14:paraId="7C753BF3" w14:textId="49F29977" w:rsidR="004763B9" w:rsidRPr="005468CB" w:rsidRDefault="004763B9" w:rsidP="004763B9">
      <w:pPr>
        <w:jc w:val="right"/>
        <w:rPr>
          <w:rFonts w:ascii="Verdana" w:hAnsi="Verdana"/>
        </w:rPr>
      </w:pPr>
    </w:p>
    <w:p w14:paraId="3F20228D" w14:textId="063A81A1" w:rsidR="008B414A" w:rsidRPr="00065B81" w:rsidRDefault="008B414A" w:rsidP="008B414A">
      <w:pPr>
        <w:spacing w:after="0"/>
        <w:jc w:val="right"/>
        <w:rPr>
          <w:rFonts w:ascii="Verdana" w:hAnsi="Verdana"/>
        </w:rPr>
      </w:pPr>
    </w:p>
    <w:p w14:paraId="6877028E" w14:textId="7AF63934" w:rsidR="006678D3" w:rsidRPr="0044528D" w:rsidRDefault="00306610" w:rsidP="006678D3">
      <w:pPr>
        <w:spacing w:after="0"/>
        <w:rPr>
          <w:rFonts w:ascii="Verdana" w:hAnsi="Verdana"/>
        </w:rPr>
      </w:pPr>
      <w:r w:rsidRPr="004763B9">
        <w:rPr>
          <w:rFonts w:ascii="Verdana" w:hAnsi="Verdana"/>
          <w:noProof/>
        </w:rPr>
        <w:drawing>
          <wp:anchor distT="0" distB="0" distL="114300" distR="114300" simplePos="0" relativeHeight="251658240" behindDoc="0" locked="0" layoutInCell="1" allowOverlap="1" wp14:anchorId="7FE3A81C" wp14:editId="52FD6AF6">
            <wp:simplePos x="0" y="0"/>
            <wp:positionH relativeFrom="margin">
              <wp:align>right</wp:align>
            </wp:positionH>
            <wp:positionV relativeFrom="paragraph">
              <wp:posOffset>4086</wp:posOffset>
            </wp:positionV>
            <wp:extent cx="2346960" cy="682625"/>
            <wp:effectExtent l="0" t="0" r="0" b="3175"/>
            <wp:wrapSquare wrapText="bothSides"/>
            <wp:docPr id="200162536"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62536" name="Imagen 1" descr="Interfaz de usuario gráfica, 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346960" cy="682625"/>
                    </a:xfrm>
                    <a:prstGeom prst="rect">
                      <a:avLst/>
                    </a:prstGeom>
                  </pic:spPr>
                </pic:pic>
              </a:graphicData>
            </a:graphic>
            <wp14:sizeRelH relativeFrom="margin">
              <wp14:pctWidth>0</wp14:pctWidth>
            </wp14:sizeRelH>
            <wp14:sizeRelV relativeFrom="margin">
              <wp14:pctHeight>0</wp14:pctHeight>
            </wp14:sizeRelV>
          </wp:anchor>
        </w:drawing>
      </w:r>
    </w:p>
    <w:p w14:paraId="38AA0323" w14:textId="77777777" w:rsidR="006678D3" w:rsidRPr="008D179B" w:rsidRDefault="006678D3" w:rsidP="006678D3">
      <w:pPr>
        <w:spacing w:after="0" w:line="240" w:lineRule="auto"/>
        <w:jc w:val="both"/>
        <w:rPr>
          <w:rFonts w:ascii="Verdana" w:eastAsia="Calibri" w:hAnsi="Verdana" w:cs="Arial"/>
          <w:lang w:val="es-ES" w:eastAsia="es-ES"/>
        </w:rPr>
      </w:pPr>
      <w:r w:rsidRPr="008D179B">
        <w:rPr>
          <w:rFonts w:ascii="Verdana" w:eastAsia="Calibri" w:hAnsi="Verdana" w:cs="Arial"/>
          <w:lang w:val="es-ES" w:eastAsia="es-ES"/>
        </w:rPr>
        <w:t>Señor</w:t>
      </w:r>
      <w:r>
        <w:rPr>
          <w:rFonts w:ascii="Verdana" w:eastAsia="Calibri" w:hAnsi="Verdana" w:cs="Arial"/>
          <w:lang w:val="es-ES" w:eastAsia="es-ES"/>
        </w:rPr>
        <w:t>a</w:t>
      </w:r>
    </w:p>
    <w:p w14:paraId="6D4731B9" w14:textId="42780397" w:rsidR="006678D3" w:rsidRPr="008D179B" w:rsidRDefault="000722B8" w:rsidP="006678D3">
      <w:pPr>
        <w:spacing w:after="0" w:line="240" w:lineRule="auto"/>
        <w:rPr>
          <w:rFonts w:ascii="Verdana" w:eastAsia="Calibri" w:hAnsi="Verdana" w:cs="Arial"/>
          <w:b/>
          <w:lang w:val="es-ES" w:eastAsia="es-ES"/>
        </w:rPr>
      </w:pPr>
      <w:proofErr w:type="spellStart"/>
      <w:r>
        <w:rPr>
          <w:rFonts w:ascii="Verdana" w:eastAsia="Calibri" w:hAnsi="Verdana" w:cs="Arial"/>
          <w:b/>
          <w:lang w:val="es-ES" w:eastAsia="es-ES"/>
        </w:rPr>
        <w:t>Nicolle</w:t>
      </w:r>
      <w:proofErr w:type="spellEnd"/>
      <w:r>
        <w:rPr>
          <w:rFonts w:ascii="Verdana" w:eastAsia="Calibri" w:hAnsi="Verdana" w:cs="Arial"/>
          <w:b/>
          <w:lang w:val="es-ES" w:eastAsia="es-ES"/>
        </w:rPr>
        <w:t xml:space="preserve"> Daniela Rueda Fernández</w:t>
      </w:r>
    </w:p>
    <w:p w14:paraId="6FC0B845" w14:textId="4ECFFCB8" w:rsidR="006678D3" w:rsidRPr="008D179B" w:rsidRDefault="00995FC0" w:rsidP="006678D3">
      <w:pPr>
        <w:spacing w:after="0" w:line="240" w:lineRule="auto"/>
        <w:rPr>
          <w:rFonts w:ascii="Verdana" w:hAnsi="Verdana" w:cs="ArialMT"/>
        </w:rPr>
      </w:pPr>
      <w:r>
        <w:rPr>
          <w:rFonts w:ascii="Verdana" w:eastAsia="Calibri" w:hAnsi="Verdana" w:cs="Arial"/>
          <w:lang w:val="es-ES" w:eastAsia="es-ES"/>
        </w:rPr>
        <w:t>Bucaramanga, Santa</w:t>
      </w:r>
      <w:r w:rsidR="00A271A9">
        <w:rPr>
          <w:rFonts w:ascii="Verdana" w:eastAsia="Calibri" w:hAnsi="Verdana" w:cs="Arial"/>
          <w:lang w:val="es-ES" w:eastAsia="es-ES"/>
        </w:rPr>
        <w:t>nder</w:t>
      </w:r>
    </w:p>
    <w:p w14:paraId="4F6A0F20" w14:textId="77777777" w:rsidR="006678D3" w:rsidRDefault="006678D3" w:rsidP="006678D3">
      <w:pPr>
        <w:spacing w:after="0" w:line="240" w:lineRule="auto"/>
        <w:rPr>
          <w:rFonts w:ascii="Verdana" w:eastAsia="Calibri" w:hAnsi="Verdana" w:cs="Arial"/>
          <w:b/>
          <w:bCs/>
          <w:color w:val="000000"/>
          <w:lang w:val="es-ES_tradnl" w:eastAsia="es-ES_tradnl"/>
        </w:rPr>
      </w:pPr>
    </w:p>
    <w:p w14:paraId="32D3135F" w14:textId="77777777" w:rsidR="006678D3" w:rsidRDefault="006678D3" w:rsidP="006678D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678D3" w14:paraId="0D79398A" w14:textId="77777777" w:rsidTr="00BE41CC">
        <w:trPr>
          <w:trHeight w:val="218"/>
        </w:trPr>
        <w:tc>
          <w:tcPr>
            <w:tcW w:w="2689" w:type="dxa"/>
          </w:tcPr>
          <w:p w14:paraId="669AE7B2" w14:textId="77777777" w:rsidR="006678D3" w:rsidRDefault="006678D3" w:rsidP="00BE41CC">
            <w:pPr>
              <w:jc w:val="both"/>
              <w:rPr>
                <w:rFonts w:ascii="Verdana" w:eastAsia="Calibri" w:hAnsi="Verdana" w:cs="Arial"/>
                <w:b/>
                <w:bCs/>
                <w:color w:val="7030A0"/>
                <w:lang w:val="es-ES_tradnl" w:eastAsia="es-ES_tradnl"/>
              </w:rPr>
            </w:pPr>
          </w:p>
        </w:tc>
        <w:tc>
          <w:tcPr>
            <w:tcW w:w="6100" w:type="dxa"/>
            <w:hideMark/>
          </w:tcPr>
          <w:p w14:paraId="5FB77CBE" w14:textId="2C1298A7" w:rsidR="006678D3" w:rsidRDefault="006678D3" w:rsidP="00BE41CC">
            <w:pPr>
              <w:jc w:val="both"/>
              <w:rPr>
                <w:rFonts w:ascii="Verdana" w:eastAsia="Calibri" w:hAnsi="Verdana" w:cs="Arial"/>
                <w:b/>
                <w:bCs/>
                <w:lang w:val="es-ES" w:eastAsia="es-ES"/>
              </w:rPr>
            </w:pPr>
            <w:r>
              <w:rPr>
                <w:rFonts w:ascii="Verdana" w:eastAsia="Calibri" w:hAnsi="Verdana" w:cs="Arial"/>
                <w:b/>
                <w:bCs/>
                <w:lang w:val="es-ES" w:eastAsia="es-ES"/>
              </w:rPr>
              <w:t>Concepto C-1</w:t>
            </w:r>
            <w:r w:rsidR="001B14C0">
              <w:rPr>
                <w:rFonts w:ascii="Verdana" w:eastAsia="Calibri" w:hAnsi="Verdana" w:cs="Arial"/>
                <w:b/>
                <w:bCs/>
                <w:lang w:val="es-ES" w:eastAsia="es-ES"/>
              </w:rPr>
              <w:t>862</w:t>
            </w:r>
            <w:r>
              <w:rPr>
                <w:rFonts w:ascii="Verdana" w:eastAsia="Calibri" w:hAnsi="Verdana" w:cs="Arial"/>
                <w:b/>
                <w:bCs/>
                <w:lang w:val="es-ES" w:eastAsia="es-ES"/>
              </w:rPr>
              <w:t xml:space="preserve"> de 2025</w:t>
            </w:r>
          </w:p>
          <w:p w14:paraId="1D396024" w14:textId="77777777" w:rsidR="006678D3" w:rsidRDefault="006678D3" w:rsidP="00BE41CC">
            <w:pPr>
              <w:jc w:val="both"/>
              <w:rPr>
                <w:rFonts w:ascii="Verdana" w:eastAsia="Calibri" w:hAnsi="Verdana" w:cs="Arial"/>
                <w:b/>
                <w:bCs/>
                <w:lang w:val="es-ES" w:eastAsia="es-ES"/>
              </w:rPr>
            </w:pPr>
          </w:p>
          <w:p w14:paraId="3D29F3C2" w14:textId="77777777" w:rsidR="006678D3" w:rsidRDefault="006678D3" w:rsidP="00BE41CC">
            <w:pPr>
              <w:jc w:val="both"/>
              <w:rPr>
                <w:rFonts w:ascii="Verdana" w:eastAsia="Calibri" w:hAnsi="Verdana" w:cs="Arial"/>
                <w:b/>
                <w:bCs/>
                <w:lang w:val="es-ES" w:eastAsia="es-ES"/>
              </w:rPr>
            </w:pPr>
          </w:p>
        </w:tc>
      </w:tr>
      <w:tr w:rsidR="006678D3" w14:paraId="34B29E74" w14:textId="77777777" w:rsidTr="00BE41CC">
        <w:trPr>
          <w:trHeight w:val="884"/>
        </w:trPr>
        <w:tc>
          <w:tcPr>
            <w:tcW w:w="2689" w:type="dxa"/>
            <w:hideMark/>
          </w:tcPr>
          <w:p w14:paraId="7EA1115C" w14:textId="77777777" w:rsidR="006678D3" w:rsidRDefault="006678D3" w:rsidP="00BE41CC">
            <w:pPr>
              <w:jc w:val="both"/>
              <w:rPr>
                <w:rFonts w:ascii="Verdana" w:eastAsia="Calibri" w:hAnsi="Verdana" w:cs="Arial"/>
                <w:color w:val="000000"/>
                <w:lang w:val="es-ES_tradnl" w:eastAsia="es-ES_tradnl"/>
              </w:rPr>
            </w:pPr>
            <w:r>
              <w:rPr>
                <w:rFonts w:ascii="Verdana" w:eastAsia="Calibri" w:hAnsi="Verdana" w:cs="Arial"/>
                <w:b/>
                <w:color w:val="000000"/>
                <w:lang w:val="es-ES_tradnl" w:eastAsia="es-ES_tradnl"/>
              </w:rPr>
              <w:t>Temas:</w:t>
            </w:r>
            <w:r>
              <w:rPr>
                <w:rFonts w:ascii="Verdana" w:eastAsia="Calibri" w:hAnsi="Verdana" w:cs="Arial"/>
                <w:color w:val="000000"/>
                <w:lang w:val="es-ES_tradnl" w:eastAsia="es-ES_tradnl"/>
              </w:rPr>
              <w:t xml:space="preserve">                   </w:t>
            </w:r>
          </w:p>
        </w:tc>
        <w:tc>
          <w:tcPr>
            <w:tcW w:w="6100" w:type="dxa"/>
            <w:hideMark/>
          </w:tcPr>
          <w:p w14:paraId="0423F967" w14:textId="14C839E3" w:rsidR="006678D3" w:rsidRPr="002168A0" w:rsidRDefault="006678D3" w:rsidP="00BE41CC">
            <w:pPr>
              <w:jc w:val="both"/>
              <w:rPr>
                <w:rFonts w:ascii="Verdana" w:hAnsi="Verdana" w:cs="Arial"/>
                <w:lang w:val="es-ES" w:eastAsia="es-ES"/>
              </w:rPr>
            </w:pPr>
            <w:r w:rsidRPr="0049500E">
              <w:rPr>
                <w:rFonts w:ascii="Verdana" w:eastAsia="Times New Roman" w:hAnsi="Verdana" w:cs="Arial"/>
                <w:lang w:val="es-MX" w:eastAsia="es-CO"/>
              </w:rPr>
              <w:t>SELECCIÓN ABREVIADA – Modalidad de selección – Naturaleza </w:t>
            </w:r>
            <w:r w:rsidRPr="0049500E">
              <w:rPr>
                <w:rFonts w:ascii="Verdana" w:eastAsia="Times New Roman" w:hAnsi="Verdana" w:cs="Arial"/>
                <w:lang w:eastAsia="es-CO"/>
              </w:rPr>
              <w:t xml:space="preserve">/ </w:t>
            </w:r>
            <w:r w:rsidR="00352349" w:rsidRPr="00352349">
              <w:rPr>
                <w:rFonts w:ascii="Verdana" w:eastAsia="Times New Roman" w:hAnsi="Verdana" w:cs="Arial"/>
                <w:lang w:val="es-MX" w:eastAsia="es-CO"/>
              </w:rPr>
              <w:t>SELECCIÓN ABREVIADA MENOR CUANTÍA – Manifestación de interés – Sorteo</w:t>
            </w:r>
          </w:p>
          <w:p w14:paraId="73238502" w14:textId="77777777" w:rsidR="006678D3" w:rsidRDefault="006678D3" w:rsidP="00BE41CC">
            <w:pPr>
              <w:spacing w:line="276" w:lineRule="auto"/>
              <w:jc w:val="both"/>
              <w:rPr>
                <w:rFonts w:ascii="Verdana" w:eastAsia="Calibri" w:hAnsi="Verdana" w:cs="Arial"/>
                <w:lang w:val="es-ES" w:eastAsia="es-ES"/>
              </w:rPr>
            </w:pPr>
          </w:p>
        </w:tc>
      </w:tr>
      <w:tr w:rsidR="006678D3" w14:paraId="2FD94673" w14:textId="77777777" w:rsidTr="00BE41CC">
        <w:tc>
          <w:tcPr>
            <w:tcW w:w="2689" w:type="dxa"/>
            <w:hideMark/>
          </w:tcPr>
          <w:p w14:paraId="4375A461" w14:textId="77777777" w:rsidR="006678D3" w:rsidRDefault="006678D3" w:rsidP="00BE41CC">
            <w:pPr>
              <w:jc w:val="both"/>
              <w:rPr>
                <w:rFonts w:ascii="Verdana" w:eastAsia="Calibri" w:hAnsi="Verdana" w:cs="Arial"/>
                <w:b/>
                <w:color w:val="7030A0"/>
                <w:lang w:val="es-ES_tradnl" w:eastAsia="es-ES_tradnl"/>
              </w:rPr>
            </w:pPr>
            <w:r>
              <w:rPr>
                <w:rFonts w:ascii="Verdana" w:eastAsia="Calibri" w:hAnsi="Verdana" w:cs="Arial"/>
                <w:b/>
                <w:lang w:val="es-ES_tradnl" w:eastAsia="es-ES_tradnl"/>
              </w:rPr>
              <w:t>Radicación:</w:t>
            </w:r>
            <w:r>
              <w:rPr>
                <w:rFonts w:ascii="Verdana" w:eastAsia="Calibri" w:hAnsi="Verdana" w:cs="Arial"/>
                <w:lang w:val="es-ES_tradnl" w:eastAsia="es-ES_tradnl"/>
              </w:rPr>
              <w:t xml:space="preserve">               </w:t>
            </w:r>
          </w:p>
        </w:tc>
        <w:tc>
          <w:tcPr>
            <w:tcW w:w="6100" w:type="dxa"/>
          </w:tcPr>
          <w:p w14:paraId="132FE7B8" w14:textId="1D9A2573" w:rsidR="006678D3" w:rsidRDefault="006678D3" w:rsidP="00BE41CC">
            <w:pPr>
              <w:jc w:val="both"/>
              <w:rPr>
                <w:rFonts w:ascii="Verdana" w:eastAsia="Calibri" w:hAnsi="Verdana" w:cs="Arial"/>
                <w:lang w:val="es-ES_tradnl" w:eastAsia="es-ES_tradnl"/>
              </w:rPr>
            </w:pPr>
            <w:r>
              <w:rPr>
                <w:rFonts w:ascii="Verdana" w:eastAsia="Calibri" w:hAnsi="Verdana" w:cs="Arial"/>
                <w:lang w:val="es-ES_tradnl" w:eastAsia="es-ES_tradnl"/>
              </w:rPr>
              <w:t xml:space="preserve">Respuesta a consulta con radicado No. </w:t>
            </w:r>
            <w:r w:rsidR="001B14C0" w:rsidRPr="001B14C0">
              <w:rPr>
                <w:rFonts w:ascii="Verdana" w:hAnsi="Verdana" w:cs="Calibri"/>
              </w:rPr>
              <w:t>1_2025_12_23_014290</w:t>
            </w:r>
          </w:p>
        </w:tc>
      </w:tr>
    </w:tbl>
    <w:p w14:paraId="3D7083FE" w14:textId="77777777" w:rsidR="006678D3" w:rsidRDefault="006678D3" w:rsidP="006678D3">
      <w:pPr>
        <w:spacing w:after="0" w:line="240" w:lineRule="auto"/>
        <w:jc w:val="both"/>
        <w:rPr>
          <w:rFonts w:ascii="Verdana" w:eastAsia="Calibri" w:hAnsi="Verdana" w:cs="Arial"/>
          <w:color w:val="000000"/>
          <w:lang w:val="es-ES_tradnl" w:eastAsia="es-ES_tradnl"/>
        </w:rPr>
      </w:pPr>
    </w:p>
    <w:p w14:paraId="2084756D" w14:textId="77777777" w:rsidR="006678D3" w:rsidRDefault="006678D3" w:rsidP="006678D3">
      <w:pPr>
        <w:spacing w:after="0" w:line="240" w:lineRule="auto"/>
        <w:jc w:val="both"/>
        <w:rPr>
          <w:rFonts w:ascii="Verdana" w:eastAsia="Calibri" w:hAnsi="Verdana" w:cs="Arial"/>
          <w:color w:val="000000"/>
          <w:lang w:val="es-ES_tradnl" w:eastAsia="es-ES_tradnl"/>
        </w:rPr>
      </w:pPr>
    </w:p>
    <w:p w14:paraId="14999B63" w14:textId="27A3E38F" w:rsidR="006678D3" w:rsidRDefault="006678D3" w:rsidP="006678D3">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Estimada señora </w:t>
      </w:r>
      <w:r w:rsidR="00995FC0">
        <w:rPr>
          <w:rFonts w:ascii="Verdana" w:eastAsia="Calibri" w:hAnsi="Verdana" w:cs="Arial"/>
          <w:color w:val="000000" w:themeColor="text1"/>
          <w:lang w:val="es-ES" w:eastAsia="es-ES"/>
        </w:rPr>
        <w:t>Rueda</w:t>
      </w:r>
      <w:r>
        <w:rPr>
          <w:rFonts w:ascii="Verdana" w:eastAsia="Calibri" w:hAnsi="Verdana" w:cs="Arial"/>
          <w:color w:val="000000" w:themeColor="text1"/>
          <w:lang w:val="es-ES" w:eastAsia="es-ES"/>
        </w:rPr>
        <w:t>,</w:t>
      </w:r>
    </w:p>
    <w:p w14:paraId="63EACEB3" w14:textId="77777777" w:rsidR="006678D3" w:rsidRDefault="006678D3" w:rsidP="006678D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2088989" w14:textId="0F4B9B71" w:rsidR="006678D3" w:rsidRDefault="006678D3" w:rsidP="006678D3">
      <w:pPr>
        <w:spacing w:after="0" w:line="276" w:lineRule="auto"/>
        <w:ind w:right="49"/>
        <w:jc w:val="both"/>
        <w:rPr>
          <w:rFonts w:ascii="Verdana" w:eastAsia="Calibri" w:hAnsi="Verdana" w:cs="Arial"/>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la Agencia Nacional de Contratación Pública – Colombia Compra Eficiente– responde su solicitud de consulta de fecha</w:t>
      </w:r>
      <w:r w:rsidR="007853BF">
        <w:rPr>
          <w:rFonts w:ascii="Verdana" w:eastAsia="Calibri" w:hAnsi="Verdana" w:cs="Arial"/>
          <w:lang w:val="es-ES" w:eastAsia="es-ES"/>
        </w:rPr>
        <w:t xml:space="preserve"> 23</w:t>
      </w:r>
      <w:r>
        <w:rPr>
          <w:rFonts w:ascii="Verdana" w:eastAsia="Calibri" w:hAnsi="Verdana" w:cs="Arial"/>
          <w:lang w:val="es-ES" w:eastAsia="es-ES"/>
        </w:rPr>
        <w:t xml:space="preserve"> de </w:t>
      </w:r>
      <w:r w:rsidR="007853BF">
        <w:rPr>
          <w:rFonts w:ascii="Verdana" w:eastAsia="Calibri" w:hAnsi="Verdana" w:cs="Arial"/>
          <w:lang w:val="es-ES" w:eastAsia="es-ES"/>
        </w:rPr>
        <w:t>dic</w:t>
      </w:r>
      <w:r>
        <w:rPr>
          <w:rFonts w:ascii="Verdana" w:eastAsia="Calibri" w:hAnsi="Verdana" w:cs="Arial"/>
          <w:lang w:val="es-ES" w:eastAsia="es-ES"/>
        </w:rPr>
        <w:t xml:space="preserve">iembre de 2025, en la cual manifiesta lo siguiente: </w:t>
      </w:r>
    </w:p>
    <w:p w14:paraId="5C9124CF" w14:textId="77777777" w:rsidR="006678D3" w:rsidRDefault="006678D3" w:rsidP="006678D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ECE5AE5" w14:textId="4CA22D7D" w:rsidR="00E87028" w:rsidRPr="00E87028" w:rsidRDefault="006678D3" w:rsidP="00E87028">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00E87028" w:rsidRPr="00E87028">
        <w:rPr>
          <w:rFonts w:ascii="Verdana" w:eastAsia="Century Gothic" w:hAnsi="Verdana" w:cs="Century Gothic"/>
          <w:sz w:val="20"/>
          <w:szCs w:val="20"/>
          <w:lang w:val="es-ES"/>
        </w:rPr>
        <w:t>1. Las entidades estales que adelantan un proceso contractual de selección abreviada de menor cuantía, y reciben por SECOP II más de diez (10) manifestaciones de interés en virtud del artículo 2.2.1.2.1.2.20 del Decreto 1082 de 2015, les obliga a hacer el sorteo con las más de diez (10) manifestaciones de interés o las entidades en su libre albedrio puede hacerlo con quienes solamente</w:t>
      </w:r>
      <w:r w:rsidR="00E87028">
        <w:rPr>
          <w:rFonts w:ascii="Verdana" w:eastAsia="Century Gothic" w:hAnsi="Verdana" w:cs="Century Gothic"/>
          <w:sz w:val="20"/>
          <w:szCs w:val="20"/>
          <w:lang w:val="es-ES"/>
        </w:rPr>
        <w:t xml:space="preserve"> </w:t>
      </w:r>
      <w:r w:rsidR="00E87028" w:rsidRPr="00E87028">
        <w:rPr>
          <w:rFonts w:ascii="Verdana" w:eastAsia="Century Gothic" w:hAnsi="Verdana" w:cs="Century Gothic"/>
          <w:sz w:val="20"/>
          <w:szCs w:val="20"/>
          <w:lang w:val="es-ES"/>
        </w:rPr>
        <w:t>se conecten en audiencia pública virtual para realizar dicho sorteo?</w:t>
      </w:r>
    </w:p>
    <w:p w14:paraId="68AB0AA3" w14:textId="70DE08FC" w:rsidR="00E87028" w:rsidRPr="00E87028" w:rsidRDefault="00E87028" w:rsidP="00E87028">
      <w:pPr>
        <w:spacing w:after="0" w:line="240" w:lineRule="auto"/>
        <w:ind w:left="709" w:right="709"/>
        <w:jc w:val="both"/>
        <w:rPr>
          <w:rFonts w:ascii="Verdana" w:eastAsia="Century Gothic" w:hAnsi="Verdana" w:cs="Century Gothic"/>
          <w:sz w:val="20"/>
          <w:szCs w:val="20"/>
          <w:lang w:val="es-ES"/>
        </w:rPr>
      </w:pPr>
      <w:r w:rsidRPr="00E87028">
        <w:rPr>
          <w:rFonts w:ascii="Verdana" w:eastAsia="Century Gothic" w:hAnsi="Verdana" w:cs="Century Gothic"/>
          <w:sz w:val="20"/>
          <w:szCs w:val="20"/>
          <w:lang w:val="es-ES"/>
        </w:rPr>
        <w:t>2. La entidad es autónoma de hacer el sorteo en audiencia pública virtual sobre las diez (10) manifestaciones que se conectaron o se puede exigir que se haga de manera presencial?</w:t>
      </w:r>
    </w:p>
    <w:p w14:paraId="473E0373" w14:textId="67CD5694" w:rsidR="006678D3" w:rsidRDefault="00E87028" w:rsidP="00E87028">
      <w:pPr>
        <w:spacing w:after="0" w:line="240" w:lineRule="auto"/>
        <w:ind w:left="709" w:right="709"/>
        <w:jc w:val="both"/>
        <w:rPr>
          <w:rStyle w:val="normaltextrun"/>
          <w:rFonts w:ascii="Verdana" w:hAnsi="Verdana" w:cs="Arial"/>
          <w:sz w:val="20"/>
          <w:szCs w:val="20"/>
          <w:shd w:val="clear" w:color="auto" w:fill="FFFFFF"/>
          <w:lang w:val="es-ES"/>
        </w:rPr>
      </w:pPr>
      <w:r w:rsidRPr="00E87028">
        <w:rPr>
          <w:rFonts w:ascii="Verdana" w:eastAsia="Century Gothic" w:hAnsi="Verdana" w:cs="Century Gothic"/>
          <w:sz w:val="20"/>
          <w:szCs w:val="20"/>
          <w:lang w:val="es-ES"/>
        </w:rPr>
        <w:lastRenderedPageBreak/>
        <w:t>3. Si es virtual el sorteo, pero se observa que no se está realizando clara y transparentemente con el sorteo, se puede solicitar la ilegalidad y hacerse otro sorteo?</w:t>
      </w:r>
      <w:r w:rsidR="006678D3">
        <w:rPr>
          <w:rStyle w:val="normaltextrun"/>
          <w:rFonts w:ascii="Verdana" w:hAnsi="Verdana" w:cs="Arial"/>
          <w:sz w:val="20"/>
          <w:szCs w:val="20"/>
          <w:shd w:val="clear" w:color="auto" w:fill="FFFFFF"/>
          <w:lang w:val="es-ES"/>
        </w:rPr>
        <w:t>”</w:t>
      </w:r>
    </w:p>
    <w:p w14:paraId="31171BFC" w14:textId="77777777" w:rsidR="006678D3" w:rsidRDefault="006678D3" w:rsidP="006678D3">
      <w:pPr>
        <w:spacing w:after="0" w:line="240" w:lineRule="auto"/>
        <w:ind w:left="709" w:right="1858"/>
        <w:jc w:val="both"/>
        <w:rPr>
          <w:rStyle w:val="normaltextrun"/>
          <w:rFonts w:ascii="Verdana" w:hAnsi="Verdana" w:cs="Arial"/>
          <w:sz w:val="20"/>
          <w:szCs w:val="20"/>
          <w:shd w:val="clear" w:color="auto" w:fill="FFFFFF"/>
          <w:lang w:val="es-ES"/>
        </w:rPr>
      </w:pPr>
    </w:p>
    <w:p w14:paraId="5E9957C7" w14:textId="77777777" w:rsidR="006678D3" w:rsidRDefault="006678D3" w:rsidP="006678D3">
      <w:pPr>
        <w:spacing w:after="120" w:line="276" w:lineRule="auto"/>
        <w:ind w:right="49"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3BC96734" w14:textId="77777777" w:rsidR="006678D3" w:rsidRDefault="006678D3" w:rsidP="006678D3">
      <w:pPr>
        <w:spacing w:after="0" w:line="276" w:lineRule="auto"/>
        <w:ind w:right="49"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3888FDAC" w14:textId="77777777" w:rsidR="006678D3" w:rsidRDefault="006678D3" w:rsidP="006678D3">
      <w:pPr>
        <w:spacing w:after="0" w:line="276" w:lineRule="auto"/>
        <w:ind w:right="49" w:firstLine="709"/>
        <w:jc w:val="both"/>
        <w:rPr>
          <w:rFonts w:ascii="Verdana" w:eastAsia="Calibri" w:hAnsi="Verdana" w:cs="Arial"/>
          <w:color w:val="000000"/>
          <w:lang w:val="es-ES" w:eastAsia="es-ES"/>
        </w:rPr>
      </w:pPr>
    </w:p>
    <w:p w14:paraId="7A7889C5" w14:textId="77777777" w:rsidR="006678D3" w:rsidRDefault="006678D3" w:rsidP="006678D3">
      <w:pPr>
        <w:pStyle w:val="Prrafodelista"/>
        <w:numPr>
          <w:ilvl w:val="0"/>
          <w:numId w:val="16"/>
        </w:numPr>
        <w:tabs>
          <w:tab w:val="left" w:pos="142"/>
          <w:tab w:val="left" w:pos="284"/>
        </w:tabs>
        <w:spacing w:after="0" w:line="276" w:lineRule="auto"/>
        <w:ind w:left="0" w:right="49" w:firstLine="0"/>
        <w:jc w:val="both"/>
        <w:rPr>
          <w:rFonts w:ascii="Verdana" w:eastAsia="Century Gothic" w:hAnsi="Verdana" w:cs="Century Gothic"/>
          <w:b/>
          <w:bCs/>
        </w:rPr>
      </w:pPr>
      <w:r>
        <w:rPr>
          <w:rFonts w:ascii="Verdana" w:eastAsia="Century Gothic" w:hAnsi="Verdana" w:cs="Century Gothic"/>
          <w:b/>
          <w:bCs/>
        </w:rPr>
        <w:t>Problema planteado:</w:t>
      </w:r>
    </w:p>
    <w:p w14:paraId="7D4A460B" w14:textId="77777777" w:rsidR="006678D3" w:rsidRDefault="006678D3" w:rsidP="006678D3">
      <w:pPr>
        <w:tabs>
          <w:tab w:val="left" w:pos="426"/>
        </w:tabs>
        <w:spacing w:after="0" w:line="276" w:lineRule="auto"/>
        <w:ind w:right="49"/>
        <w:jc w:val="both"/>
        <w:rPr>
          <w:rFonts w:ascii="Verdana" w:eastAsia="Century Gothic" w:hAnsi="Verdana" w:cs="Century Gothic"/>
          <w:lang w:val="es-ES"/>
        </w:rPr>
      </w:pPr>
    </w:p>
    <w:p w14:paraId="256E2163" w14:textId="43D624CF" w:rsidR="006678D3" w:rsidRPr="00FC7531" w:rsidRDefault="006678D3" w:rsidP="006678D3">
      <w:pPr>
        <w:spacing w:after="0" w:line="276" w:lineRule="auto"/>
        <w:ind w:right="49"/>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49500E">
        <w:rPr>
          <w:rFonts w:ascii="Verdana" w:eastAsia="Calibri" w:hAnsi="Verdana" w:cs="Arial"/>
          <w:shd w:val="clear" w:color="auto" w:fill="FFFFFF"/>
          <w:lang w:val="es-MX" w:eastAsia="es-ES_tradnl"/>
        </w:rPr>
        <w:t>¿</w:t>
      </w:r>
      <w:r>
        <w:rPr>
          <w:rFonts w:ascii="Verdana" w:eastAsia="Calibri" w:hAnsi="Verdana" w:cs="Arial"/>
          <w:shd w:val="clear" w:color="auto" w:fill="FFFFFF"/>
          <w:lang w:val="es-MX" w:eastAsia="es-ES_tradnl"/>
        </w:rPr>
        <w:t xml:space="preserve">Cómo se </w:t>
      </w:r>
      <w:r w:rsidR="007A79FB">
        <w:rPr>
          <w:rFonts w:ascii="Verdana" w:eastAsia="Calibri" w:hAnsi="Verdana" w:cs="Arial"/>
          <w:shd w:val="clear" w:color="auto" w:fill="FFFFFF"/>
          <w:lang w:val="es-MX" w:eastAsia="es-ES_tradnl"/>
        </w:rPr>
        <w:t>debe realizar el sorteo cuando se reciben más de 10 manifestaciones de interés en la modalidad de selección abreviada de menor cuantía</w:t>
      </w:r>
      <w:r w:rsidRPr="0049500E">
        <w:rPr>
          <w:rFonts w:ascii="Verdana" w:eastAsia="Calibri" w:hAnsi="Verdana" w:cs="Arial"/>
          <w:shd w:val="clear" w:color="auto" w:fill="FFFFFF"/>
          <w:lang w:val="es-MX" w:eastAsia="es-ES_tradnl"/>
        </w:rPr>
        <w:t>?</w:t>
      </w:r>
    </w:p>
    <w:p w14:paraId="0D03A384" w14:textId="77777777" w:rsidR="006678D3" w:rsidRDefault="006678D3" w:rsidP="006678D3">
      <w:pPr>
        <w:spacing w:after="0" w:line="276" w:lineRule="auto"/>
        <w:jc w:val="both"/>
        <w:rPr>
          <w:rFonts w:ascii="Verdana" w:eastAsia="Calibri" w:hAnsi="Verdana" w:cs="Arial"/>
          <w:color w:val="7030A0"/>
          <w:lang w:val="es-ES"/>
        </w:rPr>
      </w:pPr>
    </w:p>
    <w:p w14:paraId="5FA4BC8B" w14:textId="77777777" w:rsidR="006678D3" w:rsidRDefault="006678D3" w:rsidP="006678D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Respuesta:</w:t>
      </w:r>
    </w:p>
    <w:p w14:paraId="4DE2062C" w14:textId="77777777" w:rsidR="006678D3" w:rsidRDefault="006678D3" w:rsidP="006678D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678D3" w14:paraId="3E921515" w14:textId="77777777" w:rsidTr="00BE41CC">
        <w:tc>
          <w:tcPr>
            <w:tcW w:w="8828" w:type="dxa"/>
            <w:tcBorders>
              <w:top w:val="dotted" w:sz="4" w:space="0" w:color="auto"/>
              <w:left w:val="dotted" w:sz="4" w:space="0" w:color="auto"/>
              <w:bottom w:val="dotted" w:sz="4" w:space="0" w:color="auto"/>
              <w:right w:val="dotted" w:sz="4" w:space="0" w:color="auto"/>
            </w:tcBorders>
          </w:tcPr>
          <w:p w14:paraId="35065D9E" w14:textId="0B6825AC" w:rsidR="000F79DD" w:rsidRPr="000F79DD" w:rsidRDefault="001F7FC2" w:rsidP="000F79DD">
            <w:pPr>
              <w:widowControl w:val="0"/>
              <w:autoSpaceDE w:val="0"/>
              <w:autoSpaceDN w:val="0"/>
              <w:spacing w:after="120" w:line="276" w:lineRule="auto"/>
              <w:ind w:right="49"/>
              <w:jc w:val="both"/>
              <w:rPr>
                <w:rFonts w:ascii="Verdana" w:eastAsia="Calibri" w:hAnsi="Verdana" w:cs="Arial"/>
                <w:lang w:val="es-ES"/>
              </w:rPr>
            </w:pPr>
            <w:r>
              <w:rPr>
                <w:rFonts w:ascii="Verdana" w:eastAsia="Calibri" w:hAnsi="Verdana" w:cs="Arial"/>
                <w:lang w:val="es-ES"/>
              </w:rPr>
              <w:t>Respecto al problema jurídico planteado debe señalarse que,</w:t>
            </w:r>
            <w:r w:rsidR="006678D3">
              <w:rPr>
                <w:rFonts w:ascii="Verdana" w:eastAsia="Calibri" w:hAnsi="Verdana" w:cs="Arial"/>
                <w:lang w:val="es-ES"/>
              </w:rPr>
              <w:t xml:space="preserve"> </w:t>
            </w:r>
            <w:r w:rsidR="000F79DD">
              <w:rPr>
                <w:rFonts w:ascii="Verdana" w:eastAsia="Calibri" w:hAnsi="Verdana" w:cs="Arial"/>
                <w:lang w:val="es-ES"/>
              </w:rPr>
              <w:t>la</w:t>
            </w:r>
            <w:r w:rsidR="000F79DD" w:rsidRPr="000F79DD">
              <w:rPr>
                <w:rFonts w:ascii="Verdana" w:eastAsia="Calibri" w:hAnsi="Verdana" w:cs="Arial"/>
                <w:lang w:val="es-ES"/>
              </w:rPr>
              <w:t xml:space="preserve"> manifestación de interés es un requisito especial para las modalidades de concurso de méritos con precalificación y la selección abreviada de menor cuantía. </w:t>
            </w:r>
            <w:r w:rsidR="000F79DD" w:rsidRPr="000F79DD">
              <w:rPr>
                <w:rFonts w:ascii="Verdana" w:eastAsia="Calibri" w:hAnsi="Verdana" w:cs="Arial"/>
                <w:lang w:val="es-ES"/>
              </w:rPr>
              <w:lastRenderedPageBreak/>
              <w:t>Tratándose de esta última modalidad, la manifestación de interés es un acto de comunicación del interesado, en virtud del cual, como su nombre lo indica, expresa el interés en participar en el proceso de selección, sin que le sea exigida la presentación de requisitos habilitantes como ocurre en el concurso de méritos con precalificación. Dicha manifestación de interés debe ser presentada en la forma establecida en el pliego de condiciones físico o electrónico, según corresponda a la plataforma del SECOP I o el SECOP II en que se adelante el proceso.</w:t>
            </w:r>
          </w:p>
          <w:p w14:paraId="7E3AB58A" w14:textId="684279E9" w:rsidR="00DE2B15" w:rsidRDefault="000F79DD" w:rsidP="00DE2B15">
            <w:pPr>
              <w:spacing w:after="120" w:line="276" w:lineRule="auto"/>
              <w:ind w:firstLine="709"/>
              <w:jc w:val="both"/>
              <w:rPr>
                <w:rFonts w:ascii="Verdana" w:eastAsia="Calibri" w:hAnsi="Verdana" w:cs="Arial"/>
                <w:lang w:val="es-ES"/>
              </w:rPr>
            </w:pPr>
            <w:r w:rsidRPr="000F79DD">
              <w:rPr>
                <w:rFonts w:ascii="Verdana" w:eastAsia="Calibri" w:hAnsi="Verdana" w:cs="Arial"/>
                <w:lang w:val="es-ES"/>
              </w:rPr>
              <w:t>El artículo 2.2.1.2.1.2.20 del Decreto 1082 de 2015 al fijar las reglas para el proceso de selección abreviada de menor cuantía, no establece expresamente la obligación de publicar el listado de las manifestaciones de interés recibidas antes de la realización del sorteo, como si lo hace en el proceso de concurso de méritos con precalificación, no obstante, esta Subdirección considera que una interpretación ajustada a los principios que orientan la contratación pública, especialmente los de transparencia y publicidad, exige que la entidad estatal publique la lista de las manifestaciones de interés recibidas y las que se ajustan a las exigencias del pliego de condiciones para participar en el sorteo, según corresponda.</w:t>
            </w:r>
          </w:p>
          <w:p w14:paraId="4D25CF64" w14:textId="684B23F5" w:rsidR="006678D3" w:rsidRPr="0049500E" w:rsidRDefault="00DE2B15" w:rsidP="001B0432">
            <w:pPr>
              <w:spacing w:after="120" w:line="276" w:lineRule="auto"/>
              <w:ind w:firstLine="709"/>
              <w:jc w:val="both"/>
              <w:rPr>
                <w:rFonts w:ascii="Verdana" w:eastAsia="Calibri" w:hAnsi="Verdana" w:cs="Arial"/>
                <w:color w:val="7030A0"/>
              </w:rPr>
            </w:pPr>
            <w:r>
              <w:rPr>
                <w:rFonts w:ascii="Verdana" w:eastAsia="Calibri" w:hAnsi="Verdana" w:cs="Arial"/>
                <w:lang w:val="es-ES"/>
              </w:rPr>
              <w:t xml:space="preserve">De la misma manera, el Decreto 1082 de 2015 no establece reglas para la realización del sorteo, </w:t>
            </w:r>
            <w:r w:rsidR="008E2D81">
              <w:rPr>
                <w:rFonts w:ascii="Verdana" w:eastAsia="Calibri" w:hAnsi="Verdana" w:cs="Arial"/>
                <w:lang w:val="es-ES"/>
              </w:rPr>
              <w:t>por lo que será la entidad contratante la encargada de definir el procedimiento en modo, tiempo y lugar</w:t>
            </w:r>
            <w:r w:rsidR="001B0432">
              <w:rPr>
                <w:rFonts w:ascii="Verdana" w:eastAsia="Calibri" w:hAnsi="Verdana" w:cs="Arial"/>
                <w:lang w:val="es-ES"/>
              </w:rPr>
              <w:t xml:space="preserve">, lo cual deberá ser orientado por los principios que rigen la </w:t>
            </w:r>
            <w:r w:rsidR="001B0432" w:rsidRPr="000F79DD">
              <w:rPr>
                <w:rFonts w:ascii="Verdana" w:eastAsia="Calibri" w:hAnsi="Verdana" w:cs="Arial"/>
                <w:lang w:val="es-ES"/>
              </w:rPr>
              <w:t>contratación pública</w:t>
            </w:r>
            <w:r w:rsidR="001B0432">
              <w:rPr>
                <w:rFonts w:ascii="Verdana" w:eastAsia="Calibri" w:hAnsi="Verdana" w:cs="Arial"/>
                <w:lang w:val="es-ES"/>
              </w:rPr>
              <w:t>. En todo caso,</w:t>
            </w:r>
            <w:r w:rsidR="006678D3" w:rsidRPr="00082754">
              <w:rPr>
                <w:rFonts w:ascii="Verdana" w:eastAsia="Calibri" w:hAnsi="Verdana" w:cs="Arial"/>
                <w:color w:val="000000"/>
                <w:lang w:val="es-ES_tradnl"/>
              </w:rPr>
              <w:t xml:space="preserve"> es importante advertir que compete a cada Entidad Estatal definir cómo adelantará el procedimiento correspondiente. 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tc>
      </w:tr>
    </w:tbl>
    <w:p w14:paraId="053F93BC" w14:textId="77777777" w:rsidR="006678D3" w:rsidRDefault="006678D3" w:rsidP="001F7FC2">
      <w:pPr>
        <w:tabs>
          <w:tab w:val="left" w:pos="142"/>
          <w:tab w:val="left" w:pos="284"/>
        </w:tabs>
        <w:spacing w:after="0" w:line="276" w:lineRule="auto"/>
        <w:jc w:val="both"/>
        <w:rPr>
          <w:rFonts w:ascii="Verdana" w:eastAsia="Century Gothic" w:hAnsi="Verdana" w:cs="Century Gothic"/>
          <w:b/>
          <w:bCs/>
          <w:lang w:val="es-ES"/>
        </w:rPr>
      </w:pPr>
    </w:p>
    <w:p w14:paraId="73134340" w14:textId="77777777" w:rsidR="006678D3" w:rsidRDefault="006678D3" w:rsidP="00A566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4507D1AE" w14:textId="77777777" w:rsidR="006678D3" w:rsidRDefault="006678D3">
      <w:pPr>
        <w:spacing w:after="0" w:line="276" w:lineRule="auto"/>
        <w:jc w:val="both"/>
        <w:rPr>
          <w:rFonts w:ascii="Verdana" w:eastAsia="Calibri" w:hAnsi="Verdana" w:cs="Arial"/>
          <w:color w:val="7030A0"/>
          <w:lang w:val="es-ES"/>
        </w:rPr>
      </w:pPr>
    </w:p>
    <w:p w14:paraId="5803DB8C" w14:textId="4A066A4E" w:rsidR="006678D3" w:rsidRDefault="006678D3">
      <w:pPr>
        <w:spacing w:after="0" w:line="276" w:lineRule="auto"/>
        <w:ind w:right="49"/>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7329019B" w14:textId="77777777" w:rsidR="001F7FC2" w:rsidRDefault="001F7FC2" w:rsidP="00A566A9">
      <w:pPr>
        <w:spacing w:after="0" w:line="276" w:lineRule="auto"/>
        <w:ind w:right="49"/>
        <w:jc w:val="both"/>
        <w:rPr>
          <w:rFonts w:ascii="Verdana" w:eastAsia="Calibri" w:hAnsi="Verdana" w:cs="Arial"/>
          <w:lang w:val="es-ES"/>
        </w:rPr>
      </w:pPr>
    </w:p>
    <w:p w14:paraId="270A73CF" w14:textId="77777777" w:rsidR="006678D3" w:rsidRPr="007033D5" w:rsidRDefault="006678D3" w:rsidP="001F7FC2">
      <w:pPr>
        <w:spacing w:after="120" w:line="276" w:lineRule="auto"/>
        <w:jc w:val="both"/>
        <w:rPr>
          <w:rFonts w:ascii="Verdana" w:hAnsi="Verdana" w:cs="Arial"/>
          <w:bCs/>
          <w:lang w:val="es-ES_tradnl"/>
        </w:rPr>
      </w:pPr>
      <w:r w:rsidRPr="007033D5">
        <w:rPr>
          <w:rFonts w:ascii="Verdana" w:hAnsi="Verdana" w:cs="Arial"/>
          <w:bCs/>
          <w:lang w:val="es-ES_tradnl"/>
        </w:rPr>
        <w:t>La contratación pública comprende, entre otros aspectos, la toma de decisiones del gasto que las entidades realizan como ejecución de los recursos públicos asignados para adquirir bienes, obras o servicios que satisfacen sus necesidades, y en esa medida cumplen el interés general, que es la finalidad que la ley les confía a través de las funciones que se les encomiendan. Para las adquisiciones, las entidades estructuran procedimientos de contratación previamente definidos por la ley, consultando las normas que los rigen para determinar la forma que el ordenamiento prevé para adelantarlos. En esta medida, conforme el artículo 29 de la Constitución Política, los procesos de selección son una manifestación de la legalidad de las formas de cada proceso en sede administrativa</w:t>
      </w:r>
      <w:r w:rsidRPr="007033D5">
        <w:rPr>
          <w:rStyle w:val="Refdenotaalpie"/>
          <w:rFonts w:ascii="Verdana" w:hAnsi="Verdana" w:cs="Arial"/>
          <w:bCs/>
          <w:lang w:val="es-ES_tradnl"/>
        </w:rPr>
        <w:footnoteReference w:id="1"/>
      </w:r>
      <w:r w:rsidRPr="007033D5">
        <w:rPr>
          <w:rFonts w:ascii="Verdana" w:hAnsi="Verdana" w:cs="Arial"/>
          <w:bCs/>
          <w:lang w:val="es-ES_tradnl"/>
        </w:rPr>
        <w:t>.</w:t>
      </w:r>
    </w:p>
    <w:p w14:paraId="57099FE5" w14:textId="77777777" w:rsidR="006678D3" w:rsidRPr="007033D5" w:rsidRDefault="006678D3">
      <w:pPr>
        <w:spacing w:after="120" w:line="276" w:lineRule="auto"/>
        <w:ind w:firstLine="709"/>
        <w:jc w:val="both"/>
        <w:rPr>
          <w:rFonts w:ascii="Verdana" w:eastAsia="Calibri" w:hAnsi="Verdana" w:cs="Arial"/>
        </w:rPr>
      </w:pPr>
      <w:r>
        <w:rPr>
          <w:rFonts w:ascii="Verdana" w:hAnsi="Verdana" w:cs="Arial"/>
          <w:lang w:val="es-ES"/>
        </w:rPr>
        <w:t>De conformidad c</w:t>
      </w:r>
      <w:r w:rsidRPr="2D0A47FB">
        <w:rPr>
          <w:rFonts w:ascii="Verdana" w:hAnsi="Verdana" w:cs="Arial"/>
          <w:lang w:val="es-ES"/>
        </w:rPr>
        <w:t xml:space="preserve">on el artículo 2 de la Ley 1150, los procedimientos actualmente regulados son los siguientes: i) licitación pública, </w:t>
      </w:r>
      <w:proofErr w:type="spellStart"/>
      <w:r w:rsidRPr="2D0A47FB">
        <w:rPr>
          <w:rFonts w:ascii="Verdana" w:hAnsi="Verdana" w:cs="Arial"/>
          <w:lang w:val="es-ES"/>
        </w:rPr>
        <w:t>ii</w:t>
      </w:r>
      <w:proofErr w:type="spellEnd"/>
      <w:r w:rsidRPr="2D0A47FB">
        <w:rPr>
          <w:rFonts w:ascii="Verdana" w:hAnsi="Verdana" w:cs="Arial"/>
          <w:lang w:val="es-ES"/>
        </w:rPr>
        <w:t xml:space="preserve">) selección abreviada, </w:t>
      </w:r>
      <w:proofErr w:type="spellStart"/>
      <w:r w:rsidRPr="2D0A47FB">
        <w:rPr>
          <w:rFonts w:ascii="Verdana" w:hAnsi="Verdana" w:cs="Arial"/>
          <w:lang w:val="es-ES"/>
        </w:rPr>
        <w:t>iii</w:t>
      </w:r>
      <w:proofErr w:type="spellEnd"/>
      <w:r w:rsidRPr="2D0A47FB">
        <w:rPr>
          <w:rFonts w:ascii="Verdana" w:hAnsi="Verdana" w:cs="Arial"/>
          <w:lang w:val="es-ES"/>
        </w:rPr>
        <w:t xml:space="preserve">) concurso de méritos, </w:t>
      </w:r>
      <w:proofErr w:type="spellStart"/>
      <w:r w:rsidRPr="2D0A47FB">
        <w:rPr>
          <w:rFonts w:ascii="Verdana" w:hAnsi="Verdana" w:cs="Arial"/>
          <w:lang w:val="es-ES"/>
        </w:rPr>
        <w:t>iv</w:t>
      </w:r>
      <w:proofErr w:type="spellEnd"/>
      <w:r w:rsidRPr="2D0A47FB">
        <w:rPr>
          <w:rFonts w:ascii="Verdana" w:hAnsi="Verdana" w:cs="Arial"/>
          <w:lang w:val="es-ES"/>
        </w:rPr>
        <w:t xml:space="preserve">) mínima cuantía y v) contratación directa. En dichos procedimientos constan </w:t>
      </w:r>
      <w:r w:rsidRPr="2D0A47FB">
        <w:rPr>
          <w:rFonts w:ascii="Verdana" w:eastAsia="Calibri" w:hAnsi="Verdana" w:cs="Arial"/>
        </w:rPr>
        <w:t>las etapas para la adquisición de obras, bienes y servicios, por lo que cada entidad es responsable de estructurar los procedimientos de contratación, siempre que respete el principio de legalidad.</w:t>
      </w:r>
    </w:p>
    <w:p w14:paraId="2747E9E9" w14:textId="77777777" w:rsidR="006678D3" w:rsidRPr="007033D5" w:rsidRDefault="006678D3" w:rsidP="006678D3">
      <w:pPr>
        <w:spacing w:after="120" w:line="276" w:lineRule="auto"/>
        <w:ind w:firstLine="709"/>
        <w:jc w:val="both"/>
        <w:rPr>
          <w:rFonts w:ascii="Verdana" w:eastAsia="Calibri" w:hAnsi="Verdana" w:cs="Arial"/>
        </w:rPr>
      </w:pPr>
      <w:bookmarkStart w:id="1" w:name="_Hlk39596760"/>
      <w:r w:rsidRPr="007033D5">
        <w:rPr>
          <w:rFonts w:ascii="Verdana" w:eastAsia="Calibri" w:hAnsi="Verdana" w:cs="Arial"/>
        </w:rPr>
        <w:t xml:space="preserve">Respecto a la selección abreviada, </w:t>
      </w:r>
      <w:bookmarkStart w:id="2" w:name="_Hlk39070608"/>
      <w:r w:rsidRPr="007033D5">
        <w:rPr>
          <w:rFonts w:ascii="Verdana" w:eastAsia="Calibri" w:hAnsi="Verdana" w:cs="Arial"/>
        </w:rPr>
        <w:t>el numeral 2 del artículo 2 de la Ley 1150 de 2007</w:t>
      </w:r>
      <w:bookmarkEnd w:id="2"/>
      <w:r w:rsidRPr="007033D5">
        <w:rPr>
          <w:rFonts w:ascii="Verdana" w:eastAsia="Calibri" w:hAnsi="Verdana" w:cs="Arial"/>
        </w:rPr>
        <w:t xml:space="preserve">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7033D5">
        <w:rPr>
          <w:rStyle w:val="Refdenotaalpie"/>
          <w:rFonts w:ascii="Verdana" w:eastAsia="Calibri" w:hAnsi="Verdana" w:cs="Arial"/>
        </w:rPr>
        <w:footnoteReference w:id="2"/>
      </w:r>
      <w:r w:rsidRPr="007033D5">
        <w:rPr>
          <w:rFonts w:ascii="Verdana" w:eastAsia="Calibri" w:hAnsi="Verdana" w:cs="Arial"/>
        </w:rPr>
        <w:t xml:space="preserve">. </w:t>
      </w:r>
    </w:p>
    <w:p w14:paraId="0CE561B2" w14:textId="59A77C95" w:rsidR="006678D3" w:rsidRDefault="006678D3" w:rsidP="001F7FC2">
      <w:pPr>
        <w:spacing w:after="0" w:line="276" w:lineRule="auto"/>
        <w:ind w:firstLine="709"/>
        <w:jc w:val="both"/>
        <w:rPr>
          <w:rFonts w:ascii="Verdana" w:eastAsia="Calibri" w:hAnsi="Verdana" w:cs="Arial"/>
        </w:rPr>
      </w:pPr>
      <w:bookmarkStart w:id="3" w:name="_Hlk39174727"/>
      <w:r w:rsidRPr="007033D5">
        <w:rPr>
          <w:rFonts w:ascii="Verdana" w:eastAsia="Calibri" w:hAnsi="Verdana" w:cs="Arial"/>
        </w:rPr>
        <w:lastRenderedPageBreak/>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bookmarkEnd w:id="1"/>
      <w:bookmarkEnd w:id="3"/>
      <w:r w:rsidRPr="007033D5">
        <w:rPr>
          <w:rFonts w:ascii="Verdana" w:eastAsia="Calibri" w:hAnsi="Verdana" w:cs="Arial"/>
        </w:rPr>
        <w:t>. En la exposición de motivos se explica lo siguiente:</w:t>
      </w:r>
    </w:p>
    <w:p w14:paraId="096333C1" w14:textId="77777777" w:rsidR="001F7FC2" w:rsidRPr="007033D5" w:rsidRDefault="001F7FC2" w:rsidP="00A566A9">
      <w:pPr>
        <w:spacing w:after="0" w:line="276" w:lineRule="auto"/>
        <w:ind w:firstLine="709"/>
        <w:jc w:val="both"/>
        <w:rPr>
          <w:rFonts w:ascii="Verdana" w:eastAsia="Calibri" w:hAnsi="Verdana" w:cs="Arial"/>
        </w:rPr>
      </w:pPr>
    </w:p>
    <w:p w14:paraId="56E1992B" w14:textId="77777777" w:rsidR="006678D3" w:rsidRPr="0049500E" w:rsidRDefault="006678D3" w:rsidP="00A566A9">
      <w:pPr>
        <w:spacing w:after="0" w:line="240" w:lineRule="auto"/>
        <w:ind w:left="709" w:right="709"/>
        <w:jc w:val="both"/>
        <w:rPr>
          <w:rFonts w:ascii="Verdana" w:eastAsia="Calibri" w:hAnsi="Verdana" w:cs="Arial"/>
          <w:sz w:val="20"/>
          <w:szCs w:val="20"/>
        </w:rPr>
      </w:pPr>
      <w:r w:rsidRPr="0049500E">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27BDE69B" w14:textId="77777777" w:rsidR="006678D3" w:rsidRPr="0049500E" w:rsidRDefault="006678D3" w:rsidP="00A566A9">
      <w:pPr>
        <w:spacing w:after="0" w:line="240" w:lineRule="auto"/>
        <w:ind w:left="709" w:right="709"/>
        <w:jc w:val="both"/>
        <w:rPr>
          <w:rFonts w:ascii="Verdana" w:eastAsia="Calibri" w:hAnsi="Verdana" w:cs="Arial"/>
          <w:sz w:val="20"/>
          <w:szCs w:val="20"/>
        </w:rPr>
      </w:pPr>
      <w:r w:rsidRPr="0049500E">
        <w:rPr>
          <w:rFonts w:ascii="Verdana" w:eastAsia="Calibri" w:hAnsi="Verdana" w:cs="Arial"/>
          <w:sz w:val="20"/>
          <w:szCs w:val="20"/>
        </w:rPr>
        <w:lastRenderedPageBreak/>
        <w:t>– Se crea la llamada “selección abreviada”, para permitir la existencia de procedimientos de selección que, basados estrictamente en los principios cardinales de la contratación pública, permitan de manera ágil la adopción de decisiones de selección. En el sentido antedicho, las innovaciones del proceso de selección abreviada empiezan por una medida trascendental, para llevar a sólo horas los contratos referidos a la adquisición bienes de “características técnicas uniformes y de común utilización” […].</w:t>
      </w:r>
    </w:p>
    <w:p w14:paraId="3B4495EF" w14:textId="69783FFB" w:rsidR="006678D3" w:rsidRDefault="006678D3" w:rsidP="001F7FC2">
      <w:pPr>
        <w:spacing w:after="0" w:line="240" w:lineRule="auto"/>
        <w:ind w:left="709" w:right="709"/>
        <w:jc w:val="both"/>
        <w:rPr>
          <w:rFonts w:ascii="Verdana" w:eastAsia="Calibri" w:hAnsi="Verdana" w:cs="Arial"/>
          <w:sz w:val="20"/>
          <w:szCs w:val="20"/>
        </w:rPr>
      </w:pPr>
      <w:r w:rsidRPr="0049500E">
        <w:rPr>
          <w:rFonts w:ascii="Verdana" w:eastAsia="Calibri" w:hAnsi="Verdana" w:cs="Arial"/>
          <w:sz w:val="20"/>
          <w:szCs w:val="20"/>
        </w:rPr>
        <w:t>– Adicionalmente en esta categoría se recoge la llamada “menor cuantía” (sólo aplicable en lo sucesivo a bienes o servicios diferentes de los anteriores), así como otros procesos que por su naturaleza o circunstancias deben ser objeto de tratamiento expedido, tales como la defensa y seguridad nacional, entre otras”</w:t>
      </w:r>
      <w:r w:rsidRPr="0049500E">
        <w:rPr>
          <w:rStyle w:val="Refdenotaalpie"/>
          <w:rFonts w:ascii="Verdana" w:eastAsia="Calibri" w:hAnsi="Verdana" w:cs="Arial"/>
          <w:sz w:val="20"/>
          <w:szCs w:val="20"/>
        </w:rPr>
        <w:footnoteReference w:id="3"/>
      </w:r>
      <w:r w:rsidRPr="0049500E">
        <w:rPr>
          <w:rFonts w:ascii="Verdana" w:eastAsia="Calibri" w:hAnsi="Verdana" w:cs="Arial"/>
          <w:sz w:val="20"/>
          <w:szCs w:val="20"/>
        </w:rPr>
        <w:t>.</w:t>
      </w:r>
    </w:p>
    <w:p w14:paraId="453B7C1D" w14:textId="77777777" w:rsidR="001F7FC2" w:rsidRPr="00A566A9" w:rsidRDefault="001F7FC2" w:rsidP="00A566A9">
      <w:pPr>
        <w:spacing w:after="0" w:line="276" w:lineRule="auto"/>
        <w:ind w:left="709" w:right="709"/>
        <w:jc w:val="both"/>
        <w:rPr>
          <w:rFonts w:ascii="Verdana" w:eastAsia="Calibri" w:hAnsi="Verdana" w:cs="Arial"/>
        </w:rPr>
      </w:pPr>
    </w:p>
    <w:p w14:paraId="5138D28E" w14:textId="77777777" w:rsidR="006678D3" w:rsidRPr="007033D5" w:rsidRDefault="006678D3" w:rsidP="006678D3">
      <w:pPr>
        <w:spacing w:after="120" w:line="276" w:lineRule="auto"/>
        <w:ind w:firstLine="709"/>
        <w:jc w:val="both"/>
        <w:rPr>
          <w:rFonts w:ascii="Verdana" w:eastAsia="Calibri" w:hAnsi="Verdana" w:cs="Arial"/>
        </w:rPr>
      </w:pPr>
      <w:r w:rsidRPr="007033D5">
        <w:rPr>
          <w:rFonts w:ascii="Verdana" w:eastAsia="Calibri" w:hAnsi="Verdana" w:cs="Arial"/>
        </w:rPr>
        <w:t>De esta manera, la selección abreviada se caracteriza por tener etapas más sencillas y términos relativamente más cortos que los de la licitación pública, lo cual se justifica por las circunstancias, la naturaleza y los objetos que se contratan a través de esta modalidad, los cuales requieren de procedimientos más agiles, sencillos y eficientes. A continuación, el Decreto 1082 de 2015 desarrolla las causales, regulando el pliego de condiciones, el procedimiento, las etapas, entre otros.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7033D5">
        <w:rPr>
          <w:rStyle w:val="Refdenotaalpie"/>
          <w:rFonts w:ascii="Verdana" w:eastAsia="Calibri" w:hAnsi="Verdana" w:cs="Arial"/>
        </w:rPr>
        <w:footnoteReference w:id="4"/>
      </w:r>
      <w:r w:rsidRPr="007033D5">
        <w:rPr>
          <w:rFonts w:ascii="Verdana" w:eastAsia="Calibri" w:hAnsi="Verdana" w:cs="Arial"/>
        </w:rPr>
        <w:t xml:space="preserve">. </w:t>
      </w:r>
    </w:p>
    <w:p w14:paraId="0BF27E89" w14:textId="77777777" w:rsidR="006678D3" w:rsidRPr="0049500E" w:rsidRDefault="006678D3" w:rsidP="006678D3">
      <w:pPr>
        <w:spacing w:after="0" w:line="276" w:lineRule="auto"/>
        <w:ind w:firstLine="708"/>
        <w:contextualSpacing/>
        <w:jc w:val="both"/>
        <w:rPr>
          <w:rFonts w:ascii="Verdana" w:eastAsia="Calibri" w:hAnsi="Verdana" w:cs="Arial"/>
          <w:lang w:val="es-MX" w:eastAsia="es-ES_tradnl"/>
        </w:rPr>
      </w:pPr>
      <w:r w:rsidRPr="007033D5">
        <w:rPr>
          <w:rFonts w:ascii="Verdana" w:eastAsia="Calibri" w:hAnsi="Verdana" w:cs="Arial"/>
          <w:color w:val="000000" w:themeColor="text1"/>
          <w:lang w:val="es-MX"/>
        </w:rPr>
        <w:t xml:space="preserve">Conforme al literal b) del artículo 2.2 de la Ley 1150 de 2007, una de las causales de selección abreviada es la de menor cuantía. </w:t>
      </w:r>
      <w:r w:rsidRPr="0049500E">
        <w:rPr>
          <w:rFonts w:ascii="Verdana" w:eastAsia="Calibri" w:hAnsi="Verdana" w:cs="Arial"/>
          <w:lang w:val="es-MX" w:eastAsia="es-ES_tradnl"/>
        </w:rPr>
        <w:t>Los objetos respecto de los cuales procede el adelantamiento de procesos de selección abreviada están asociados a unas circunstancias diversas y concretas, delimitadas por unas causales expresamente consagradas en el numeral 2 del artículo 2 de la Ley 1150 de 2007. Una de las de mayor relevancia es la referida</w:t>
      </w:r>
      <w:r w:rsidRPr="0049500E">
        <w:rPr>
          <w:rFonts w:ascii="Verdana" w:eastAsia="Calibri" w:hAnsi="Verdana" w:cs="Arial"/>
          <w:b/>
          <w:bCs/>
          <w:lang w:val="es-MX" w:eastAsia="es-ES_tradnl"/>
        </w:rPr>
        <w:t xml:space="preserve"> </w:t>
      </w:r>
      <w:r w:rsidRPr="0049500E">
        <w:rPr>
          <w:rFonts w:ascii="Verdana" w:eastAsia="Calibri" w:hAnsi="Verdana" w:cs="Arial"/>
          <w:lang w:val="es-MX" w:eastAsia="es-ES_tradnl"/>
        </w:rPr>
        <w:t xml:space="preserve">a los negocios que no superan la menor cuantía de la entidad, la cual aplica en función de unos rangos y topes señalados por la propia norma, y medibles respecto del presupuesto anual de la entidad. El numeral 2° del artículo 2 de la Ley 1150 de 2007 regula esta causal de la siguiente forma:  </w:t>
      </w:r>
    </w:p>
    <w:p w14:paraId="70ED054A" w14:textId="77777777" w:rsidR="006678D3" w:rsidRPr="0049500E" w:rsidRDefault="006678D3" w:rsidP="006678D3">
      <w:pPr>
        <w:spacing w:after="0" w:line="240" w:lineRule="auto"/>
        <w:jc w:val="both"/>
        <w:rPr>
          <w:rFonts w:ascii="Verdana" w:eastAsia="Calibri" w:hAnsi="Verdana" w:cs="Arial"/>
          <w:lang w:val="es-MX" w:eastAsia="es-ES_tradnl"/>
        </w:rPr>
      </w:pPr>
    </w:p>
    <w:p w14:paraId="4FF0D893" w14:textId="77777777" w:rsidR="006678D3" w:rsidRPr="0049500E" w:rsidRDefault="006678D3" w:rsidP="001F7FC2">
      <w:pPr>
        <w:spacing w:after="0" w:line="240" w:lineRule="auto"/>
        <w:ind w:left="709" w:right="709"/>
        <w:contextualSpacing/>
        <w:jc w:val="both"/>
        <w:rPr>
          <w:rFonts w:ascii="Verdana" w:eastAsia="Calibri" w:hAnsi="Verdana" w:cs="Arial"/>
          <w:sz w:val="20"/>
          <w:szCs w:val="20"/>
          <w:lang w:val="es-MX" w:eastAsia="es-ES_tradnl"/>
        </w:rPr>
      </w:pPr>
      <w:r w:rsidRPr="0049500E">
        <w:rPr>
          <w:rFonts w:ascii="Verdana" w:eastAsia="Calibri" w:hAnsi="Verdana" w:cs="Arial"/>
          <w:sz w:val="20"/>
          <w:szCs w:val="20"/>
          <w:shd w:val="clear" w:color="auto" w:fill="FFFFFF"/>
          <w:lang w:eastAsia="es-ES_tradnl"/>
        </w:rPr>
        <w:t>“</w:t>
      </w:r>
      <w:r w:rsidRPr="0049500E">
        <w:rPr>
          <w:rFonts w:ascii="Verdana" w:eastAsia="Calibri" w:hAnsi="Verdana" w:cs="Arial"/>
          <w:sz w:val="20"/>
          <w:szCs w:val="20"/>
          <w:lang w:val="es-MX" w:eastAsia="es-ES_tradnl"/>
        </w:rPr>
        <w:t xml:space="preserve">Serán causales de selección abreviada las siguientes: </w:t>
      </w:r>
    </w:p>
    <w:p w14:paraId="65B1606F" w14:textId="77777777" w:rsidR="006678D3" w:rsidRPr="0049500E" w:rsidRDefault="006678D3" w:rsidP="006678D3">
      <w:pPr>
        <w:spacing w:after="0" w:line="240" w:lineRule="auto"/>
        <w:ind w:left="709" w:right="709"/>
        <w:contextualSpacing/>
        <w:jc w:val="both"/>
        <w:rPr>
          <w:rFonts w:ascii="Verdana" w:eastAsia="Calibri" w:hAnsi="Verdana" w:cs="Arial"/>
          <w:sz w:val="20"/>
          <w:szCs w:val="20"/>
          <w:lang w:val="es-MX" w:eastAsia="es-ES_tradnl"/>
        </w:rPr>
      </w:pPr>
    </w:p>
    <w:p w14:paraId="60CD64C7" w14:textId="77777777" w:rsidR="006678D3" w:rsidRPr="0049500E" w:rsidRDefault="006678D3" w:rsidP="006678D3">
      <w:pPr>
        <w:spacing w:after="0" w:line="240" w:lineRule="auto"/>
        <w:ind w:left="709" w:right="709"/>
        <w:contextualSpacing/>
        <w:jc w:val="both"/>
        <w:rPr>
          <w:rFonts w:ascii="Verdana" w:eastAsia="Calibri" w:hAnsi="Verdana" w:cs="Arial"/>
          <w:sz w:val="20"/>
          <w:szCs w:val="20"/>
          <w:lang w:val="es-MX" w:eastAsia="es-ES_tradnl"/>
        </w:rPr>
      </w:pPr>
      <w:r w:rsidRPr="0049500E">
        <w:rPr>
          <w:rFonts w:ascii="Verdana" w:eastAsia="Calibri" w:hAnsi="Verdana" w:cs="Arial"/>
          <w:sz w:val="20"/>
          <w:szCs w:val="20"/>
          <w:lang w:val="es-MX" w:eastAsia="es-ES_tradnl"/>
        </w:rPr>
        <w:t>[….]</w:t>
      </w:r>
    </w:p>
    <w:p w14:paraId="42A01A0F" w14:textId="77777777" w:rsidR="006678D3" w:rsidRPr="0049500E" w:rsidRDefault="006678D3" w:rsidP="006678D3">
      <w:pPr>
        <w:spacing w:after="0" w:line="240" w:lineRule="auto"/>
        <w:ind w:left="709" w:right="709"/>
        <w:contextualSpacing/>
        <w:jc w:val="both"/>
        <w:rPr>
          <w:rFonts w:ascii="Verdana" w:eastAsia="Calibri" w:hAnsi="Verdana" w:cs="Arial"/>
          <w:sz w:val="20"/>
          <w:szCs w:val="20"/>
          <w:lang w:val="es-MX" w:eastAsia="es-ES_tradnl"/>
        </w:rPr>
      </w:pPr>
    </w:p>
    <w:p w14:paraId="13147D48" w14:textId="77777777" w:rsidR="006678D3" w:rsidRPr="0049500E" w:rsidRDefault="006678D3" w:rsidP="006678D3">
      <w:pPr>
        <w:spacing w:after="0" w:line="240" w:lineRule="auto"/>
        <w:ind w:left="709" w:right="709"/>
        <w:contextualSpacing/>
        <w:jc w:val="both"/>
        <w:rPr>
          <w:rFonts w:ascii="Verdana" w:eastAsia="Calibri" w:hAnsi="Verdana" w:cs="Arial"/>
          <w:sz w:val="20"/>
          <w:szCs w:val="20"/>
          <w:lang w:val="es-MX" w:eastAsia="es-ES_tradnl"/>
        </w:rPr>
      </w:pPr>
      <w:r w:rsidRPr="0049500E">
        <w:rPr>
          <w:rFonts w:ascii="Verdana" w:eastAsia="Calibri" w:hAnsi="Verdana" w:cs="Arial"/>
          <w:sz w:val="20"/>
          <w:szCs w:val="20"/>
          <w:lang w:val="es-MX" w:eastAsia="es-ES_tradnl"/>
        </w:rPr>
        <w:t xml:space="preserve">b) La contratación de menor cuantía. Se entenderá por menor cuantía los valores que a continuación se relacionan, determinados en función de los presupuestos anuales de las entidades públicas expresados en salarios mínimos legales mensuales. </w:t>
      </w:r>
    </w:p>
    <w:p w14:paraId="1416DFBE" w14:textId="77777777" w:rsidR="006678D3" w:rsidRPr="0049500E" w:rsidRDefault="006678D3" w:rsidP="006678D3">
      <w:pPr>
        <w:spacing w:after="0" w:line="240" w:lineRule="auto"/>
        <w:ind w:left="709" w:right="709"/>
        <w:contextualSpacing/>
        <w:jc w:val="both"/>
        <w:rPr>
          <w:rFonts w:ascii="Verdana" w:eastAsia="Calibri" w:hAnsi="Verdana" w:cs="Arial"/>
          <w:sz w:val="20"/>
          <w:szCs w:val="20"/>
          <w:lang w:val="es-MX" w:eastAsia="es-ES_tradnl"/>
        </w:rPr>
      </w:pPr>
    </w:p>
    <w:p w14:paraId="4C92326C" w14:textId="77777777" w:rsidR="006678D3" w:rsidRPr="0049500E" w:rsidRDefault="006678D3" w:rsidP="006678D3">
      <w:pPr>
        <w:spacing w:after="0" w:line="240" w:lineRule="auto"/>
        <w:ind w:left="709" w:right="709"/>
        <w:contextualSpacing/>
        <w:jc w:val="both"/>
        <w:rPr>
          <w:rFonts w:ascii="Verdana" w:eastAsia="Calibri" w:hAnsi="Verdana" w:cs="Arial"/>
          <w:sz w:val="20"/>
          <w:szCs w:val="20"/>
          <w:lang w:val="es-MX" w:eastAsia="es-ES_tradnl"/>
        </w:rPr>
      </w:pPr>
      <w:r w:rsidRPr="0049500E">
        <w:rPr>
          <w:rFonts w:ascii="Verdana" w:eastAsia="Calibri" w:hAnsi="Verdana" w:cs="Arial"/>
          <w:sz w:val="20"/>
          <w:szCs w:val="20"/>
          <w:lang w:val="es-MX" w:eastAsia="es-ES_tradnl"/>
        </w:rPr>
        <w:t xml:space="preserve">Para las entidades que tengan un presupuesto anual superior o igual a 1.200.000 salarios mínimos legales mensuales, la menor cuantía será hasta 1.000 salarios mínimos legales mensuales. </w:t>
      </w:r>
    </w:p>
    <w:p w14:paraId="1FA52E21"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p>
    <w:p w14:paraId="1EE77A1D"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r w:rsidRPr="00EC37AA">
        <w:rPr>
          <w:rFonts w:ascii="Verdana" w:eastAsia="Calibri" w:hAnsi="Verdana" w:cs="Arial"/>
          <w:color w:val="000000" w:themeColor="text1"/>
          <w:sz w:val="20"/>
          <w:szCs w:val="20"/>
        </w:rPr>
        <w:t xml:space="preserve">Las que tengan un presupuesto anual superior o igual a 850.000 salarios mínimos legales mensuales e inferiores a 1.200.000 salarios mínimos legales mensuales, la menor cuantía será hasta 850 salarios mínimos legales mensuales. </w:t>
      </w:r>
    </w:p>
    <w:p w14:paraId="31446102"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p>
    <w:p w14:paraId="274A6597"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r w:rsidRPr="00EC37AA">
        <w:rPr>
          <w:rFonts w:ascii="Verdana" w:eastAsia="Calibri" w:hAnsi="Verdana" w:cs="Arial"/>
          <w:color w:val="000000" w:themeColor="text1"/>
          <w:sz w:val="20"/>
          <w:szCs w:val="20"/>
        </w:rPr>
        <w:t xml:space="preserve">Las que tengan un presupuesto anual superior o igual a 400.000 salarios mínimos legales mensuales e inferior a 850.000 salarios mínimos legales mensuales, la menor cuantía será hasta 650 salarios mínimos legales mensuales. </w:t>
      </w:r>
    </w:p>
    <w:p w14:paraId="6C281FDA"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p>
    <w:p w14:paraId="5A5AF1C5"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r w:rsidRPr="00EC37AA">
        <w:rPr>
          <w:rFonts w:ascii="Verdana" w:eastAsia="Calibri" w:hAnsi="Verdana" w:cs="Arial"/>
          <w:color w:val="000000" w:themeColor="text1"/>
          <w:sz w:val="20"/>
          <w:szCs w:val="20"/>
        </w:rPr>
        <w:t xml:space="preserve">Las que tengan un presupuesto anual superior o igual a 120.000 salarios mínimos legales mensuales e inferior a 400.000 salarios mínimos legales mensuales, la menor cuantía será hasta 450 salarios mínimos legales mensuales. </w:t>
      </w:r>
    </w:p>
    <w:p w14:paraId="6DF9EAE8"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p>
    <w:p w14:paraId="27B5A60B" w14:textId="77777777" w:rsidR="006678D3" w:rsidRPr="00EC37AA" w:rsidRDefault="006678D3" w:rsidP="006678D3">
      <w:pPr>
        <w:spacing w:after="0" w:line="240" w:lineRule="auto"/>
        <w:ind w:left="709" w:right="709"/>
        <w:contextualSpacing/>
        <w:jc w:val="both"/>
        <w:rPr>
          <w:rFonts w:ascii="Verdana" w:eastAsia="Calibri" w:hAnsi="Verdana" w:cs="Arial"/>
          <w:color w:val="000000" w:themeColor="text1"/>
          <w:sz w:val="20"/>
          <w:szCs w:val="20"/>
        </w:rPr>
      </w:pPr>
      <w:r w:rsidRPr="00EC37AA">
        <w:rPr>
          <w:rFonts w:ascii="Verdana" w:eastAsia="Calibri" w:hAnsi="Verdana" w:cs="Arial"/>
          <w:color w:val="000000" w:themeColor="text1"/>
          <w:sz w:val="20"/>
          <w:szCs w:val="20"/>
        </w:rPr>
        <w:t>Las que tengan un presupuesto anual inferior a 120.000 salarios mínimos legales mensuales, la menor cuantía será hasta 280 salarios mínimos legales mensuales”.</w:t>
      </w:r>
    </w:p>
    <w:p w14:paraId="7EAFACDD" w14:textId="77777777" w:rsidR="006678D3" w:rsidRPr="0082023C" w:rsidRDefault="006678D3" w:rsidP="006678D3">
      <w:pPr>
        <w:spacing w:after="0" w:line="276" w:lineRule="auto"/>
        <w:ind w:left="709" w:right="680"/>
        <w:jc w:val="both"/>
        <w:rPr>
          <w:rFonts w:ascii="Arial" w:eastAsia="Calibri" w:hAnsi="Arial" w:cs="Arial"/>
          <w:lang w:val="es-MX" w:eastAsia="es-ES_tradnl"/>
        </w:rPr>
      </w:pPr>
    </w:p>
    <w:p w14:paraId="34879552" w14:textId="77777777" w:rsidR="006678D3" w:rsidRPr="0049500E" w:rsidRDefault="006678D3" w:rsidP="006678D3">
      <w:pPr>
        <w:spacing w:after="120" w:line="276" w:lineRule="auto"/>
        <w:ind w:firstLine="709"/>
        <w:jc w:val="both"/>
        <w:rPr>
          <w:rFonts w:ascii="Verdana" w:eastAsia="Calibri" w:hAnsi="Verdana" w:cs="Arial"/>
          <w:shd w:val="clear" w:color="auto" w:fill="FFFFFF"/>
          <w:lang w:eastAsia="es-ES"/>
        </w:rPr>
      </w:pPr>
      <w:r w:rsidRPr="4E641234">
        <w:rPr>
          <w:rFonts w:ascii="Verdana" w:eastAsia="Calibri" w:hAnsi="Verdana" w:cs="Arial"/>
          <w:shd w:val="clear" w:color="auto" w:fill="FFFFFF"/>
          <w:lang w:eastAsia="es-ES"/>
        </w:rPr>
        <w:t>De este modo, se evidencia que la procedencia de la causal de selección abreviada de menor cuantía se encuentra directamente vinculada con el presupuesto anual de cada Entidad Estatal, de manera que los procedimientos de selección cuyo presupuesto oficial no superen el tope de la menor cuantía, se adelantarán bajo la modalidad de selección abreviada, ya que si se supera este tope corresponderá adelantar una licitación pública, siempre y cuando el único factor que pueda o deba tenerse en consideración es el valor estimado del contrato, esto es, sin considerar factores tales como la naturaleza de los productos, su destinación o características</w:t>
      </w:r>
      <w:r>
        <w:rPr>
          <w:rFonts w:ascii="Verdana" w:eastAsia="Calibri" w:hAnsi="Verdana" w:cs="Arial"/>
          <w:shd w:val="clear" w:color="auto" w:fill="FFFFFF"/>
          <w:lang w:eastAsia="es-ES"/>
        </w:rPr>
        <w:t>.</w:t>
      </w:r>
    </w:p>
    <w:p w14:paraId="09F63855" w14:textId="377DB5A6" w:rsidR="0046339D" w:rsidRPr="0046339D" w:rsidRDefault="006678D3" w:rsidP="0046339D">
      <w:pPr>
        <w:spacing w:after="120" w:line="276" w:lineRule="auto"/>
        <w:ind w:firstLine="708"/>
        <w:jc w:val="both"/>
        <w:rPr>
          <w:rFonts w:ascii="Verdana" w:eastAsia="Calibri" w:hAnsi="Verdana" w:cs="Arial"/>
        </w:rPr>
      </w:pPr>
      <w:r>
        <w:rPr>
          <w:rFonts w:ascii="Verdana" w:eastAsia="Calibri" w:hAnsi="Verdana" w:cs="Arial"/>
          <w:lang w:val="es-ES_tradnl"/>
        </w:rPr>
        <w:lastRenderedPageBreak/>
        <w:t>Por otra parte,</w:t>
      </w:r>
      <w:r w:rsidRPr="00E54703">
        <w:rPr>
          <w:rFonts w:ascii="Verdana" w:eastAsia="Calibri" w:hAnsi="Verdana" w:cs="Arial"/>
        </w:rPr>
        <w:t xml:space="preserve"> </w:t>
      </w:r>
      <w:r w:rsidRPr="004B0BDE">
        <w:rPr>
          <w:rFonts w:ascii="Verdana" w:eastAsia="Calibri" w:hAnsi="Verdana" w:cs="Arial"/>
        </w:rPr>
        <w:t xml:space="preserve">en relación con el problema jurídico planteado se tiene que, el </w:t>
      </w:r>
      <w:r w:rsidR="00851EC3">
        <w:rPr>
          <w:rFonts w:ascii="Verdana" w:eastAsia="Calibri" w:hAnsi="Verdana" w:cs="Arial"/>
        </w:rPr>
        <w:t xml:space="preserve">artículo </w:t>
      </w:r>
      <w:r w:rsidR="00393518" w:rsidRPr="00393518">
        <w:rPr>
          <w:rFonts w:ascii="Verdana" w:eastAsia="Calibri" w:hAnsi="Verdana" w:cs="Arial"/>
        </w:rPr>
        <w:t>2.2.1.2.1.2.20.</w:t>
      </w:r>
      <w:r w:rsidR="00393518">
        <w:rPr>
          <w:rFonts w:ascii="Verdana" w:eastAsia="Calibri" w:hAnsi="Verdana" w:cs="Arial"/>
        </w:rPr>
        <w:t xml:space="preserve"> del Decreto 1082 de 2015 define el procedimiento para la selección abreviada de menor cuantía</w:t>
      </w:r>
      <w:r w:rsidR="0046339D">
        <w:rPr>
          <w:rFonts w:ascii="Verdana" w:eastAsia="Calibri" w:hAnsi="Verdana" w:cs="Arial"/>
        </w:rPr>
        <w:t>,</w:t>
      </w:r>
      <w:r w:rsidR="0046339D" w:rsidRPr="0046339D">
        <w:rPr>
          <w:rFonts w:ascii="Verdana" w:eastAsia="Calibri" w:hAnsi="Verdana" w:cs="Arial"/>
        </w:rPr>
        <w:t xml:space="preserve"> de la siguiente manera:</w:t>
      </w:r>
    </w:p>
    <w:p w14:paraId="45DBC5A8" w14:textId="77777777" w:rsidR="0046339D" w:rsidRPr="00B96894" w:rsidRDefault="0046339D" w:rsidP="00B96894">
      <w:pPr>
        <w:spacing w:after="0" w:line="240" w:lineRule="auto"/>
        <w:ind w:left="709" w:right="709"/>
        <w:contextualSpacing/>
        <w:jc w:val="both"/>
        <w:rPr>
          <w:rFonts w:ascii="Verdana" w:eastAsia="Calibri" w:hAnsi="Verdana" w:cs="Arial"/>
          <w:color w:val="000000" w:themeColor="text1"/>
          <w:sz w:val="20"/>
          <w:szCs w:val="20"/>
        </w:rPr>
      </w:pPr>
      <w:r w:rsidRPr="00B96894">
        <w:rPr>
          <w:rFonts w:ascii="Verdana" w:eastAsia="Calibri" w:hAnsi="Verdana" w:cs="Arial"/>
          <w:color w:val="000000" w:themeColor="text1"/>
          <w:sz w:val="20"/>
          <w:szCs w:val="20"/>
        </w:rPr>
        <w:t>Artículo 2.2.1.2.1.2.20. Procedimiento para la selección abreviada de menor cuantía. Además de las normas generales establecidas en el presente título, las siguientes reglas son aplicables a la selección abreviada de menor cuantía:</w:t>
      </w:r>
    </w:p>
    <w:p w14:paraId="1B3AA164" w14:textId="77777777" w:rsidR="0046339D" w:rsidRPr="00B96894" w:rsidRDefault="0046339D" w:rsidP="00B96894">
      <w:pPr>
        <w:spacing w:after="0" w:line="240" w:lineRule="auto"/>
        <w:ind w:left="709" w:right="709"/>
        <w:contextualSpacing/>
        <w:jc w:val="both"/>
        <w:rPr>
          <w:rFonts w:ascii="Verdana" w:eastAsia="Calibri" w:hAnsi="Verdana" w:cs="Arial"/>
          <w:color w:val="000000" w:themeColor="text1"/>
          <w:sz w:val="20"/>
          <w:szCs w:val="20"/>
        </w:rPr>
      </w:pPr>
    </w:p>
    <w:p w14:paraId="334E2743" w14:textId="77777777" w:rsidR="0046339D" w:rsidRPr="00B96894" w:rsidRDefault="0046339D" w:rsidP="00B96894">
      <w:pPr>
        <w:spacing w:after="0" w:line="240" w:lineRule="auto"/>
        <w:ind w:left="709" w:right="709"/>
        <w:contextualSpacing/>
        <w:jc w:val="both"/>
        <w:rPr>
          <w:rFonts w:ascii="Verdana" w:eastAsia="Calibri" w:hAnsi="Verdana" w:cs="Arial"/>
          <w:color w:val="000000" w:themeColor="text1"/>
          <w:sz w:val="20"/>
          <w:szCs w:val="20"/>
        </w:rPr>
      </w:pPr>
      <w:r w:rsidRPr="00B96894">
        <w:rPr>
          <w:rFonts w:ascii="Verdana" w:eastAsia="Calibri" w:hAnsi="Verdana" w:cs="Arial"/>
          <w:color w:val="000000" w:themeColor="text1"/>
          <w:sz w:val="20"/>
          <w:szCs w:val="20"/>
        </w:rPr>
        <w:t>1.    En un término no mayor a tres (3) días hábiles contados a partir de la fecha de apertura del Proceso de Contratación los interesados deben manifestar su intención de participar, a través del mecanismo establecido para el efecto en los pliegos de condiciones.</w:t>
      </w:r>
    </w:p>
    <w:p w14:paraId="5844F614" w14:textId="77777777" w:rsidR="0046339D" w:rsidRPr="00B96894" w:rsidRDefault="0046339D" w:rsidP="00B96894">
      <w:pPr>
        <w:spacing w:after="0" w:line="240" w:lineRule="auto"/>
        <w:ind w:left="709" w:right="709"/>
        <w:contextualSpacing/>
        <w:jc w:val="both"/>
        <w:rPr>
          <w:rFonts w:ascii="Verdana" w:eastAsia="Calibri" w:hAnsi="Verdana" w:cs="Arial"/>
          <w:color w:val="000000" w:themeColor="text1"/>
          <w:sz w:val="20"/>
          <w:szCs w:val="20"/>
        </w:rPr>
      </w:pPr>
    </w:p>
    <w:p w14:paraId="68A134B4" w14:textId="77777777" w:rsidR="0046339D" w:rsidRPr="00B96894" w:rsidRDefault="0046339D" w:rsidP="00B96894">
      <w:pPr>
        <w:spacing w:after="0" w:line="240" w:lineRule="auto"/>
        <w:ind w:left="709" w:right="709"/>
        <w:contextualSpacing/>
        <w:jc w:val="both"/>
        <w:rPr>
          <w:rFonts w:ascii="Verdana" w:eastAsia="Calibri" w:hAnsi="Verdana" w:cs="Arial"/>
          <w:color w:val="000000" w:themeColor="text1"/>
          <w:sz w:val="20"/>
          <w:szCs w:val="20"/>
        </w:rPr>
      </w:pPr>
      <w:r w:rsidRPr="00B96894">
        <w:rPr>
          <w:rFonts w:ascii="Verdana" w:eastAsia="Calibri" w:hAnsi="Verdana" w:cs="Arial"/>
          <w:color w:val="000000" w:themeColor="text1"/>
          <w:sz w:val="20"/>
          <w:szCs w:val="20"/>
        </w:rPr>
        <w:t>2.    Si la Entidad Estatal recibe más de diez (10) manifestaciones de interés puede continuar el proceso o hacer un sorteo para seleccionar máximo diez (10) interesados con quienes continuará el Proceso de Contratación. La Entidad Estatal debe establecer en los pliegos de condiciones si hay lugar a sorteo y la forma en la cual lo hará.</w:t>
      </w:r>
    </w:p>
    <w:p w14:paraId="0B6FDC9F" w14:textId="77777777" w:rsidR="0046339D" w:rsidRPr="00B96894" w:rsidRDefault="0046339D" w:rsidP="00B96894">
      <w:pPr>
        <w:spacing w:after="0" w:line="240" w:lineRule="auto"/>
        <w:ind w:left="709" w:right="709"/>
        <w:contextualSpacing/>
        <w:jc w:val="both"/>
        <w:rPr>
          <w:rFonts w:ascii="Verdana" w:eastAsia="Calibri" w:hAnsi="Verdana" w:cs="Arial"/>
          <w:color w:val="000000" w:themeColor="text1"/>
          <w:sz w:val="20"/>
          <w:szCs w:val="20"/>
        </w:rPr>
      </w:pPr>
    </w:p>
    <w:p w14:paraId="5D6F8392" w14:textId="77777777" w:rsidR="0046339D" w:rsidRPr="00B96894" w:rsidRDefault="0046339D" w:rsidP="00B96894">
      <w:pPr>
        <w:spacing w:after="0" w:line="240" w:lineRule="auto"/>
        <w:ind w:left="709" w:right="709"/>
        <w:contextualSpacing/>
        <w:jc w:val="both"/>
        <w:rPr>
          <w:rFonts w:ascii="Verdana" w:eastAsia="Calibri" w:hAnsi="Verdana" w:cs="Arial"/>
          <w:color w:val="000000" w:themeColor="text1"/>
          <w:sz w:val="20"/>
          <w:szCs w:val="20"/>
        </w:rPr>
      </w:pPr>
      <w:r w:rsidRPr="00B96894">
        <w:rPr>
          <w:rFonts w:ascii="Verdana" w:eastAsia="Calibri" w:hAnsi="Verdana" w:cs="Arial"/>
          <w:color w:val="000000" w:themeColor="text1"/>
          <w:sz w:val="20"/>
          <w:szCs w:val="20"/>
        </w:rPr>
        <w:t>3.    Si hay lugar a sorteo, el plazo para la presentación de las ofertas empezará a correr el día hábil siguiente a la fecha en la cual la Entidad Estatal informe a los interesados el resultado del sorteo.</w:t>
      </w:r>
    </w:p>
    <w:p w14:paraId="1A1760A4" w14:textId="77777777" w:rsidR="0046339D" w:rsidRPr="00B96894" w:rsidRDefault="0046339D" w:rsidP="00B96894">
      <w:pPr>
        <w:spacing w:after="0" w:line="240" w:lineRule="auto"/>
        <w:ind w:left="709" w:right="709"/>
        <w:contextualSpacing/>
        <w:jc w:val="both"/>
        <w:rPr>
          <w:rFonts w:ascii="Verdana" w:eastAsia="Calibri" w:hAnsi="Verdana" w:cs="Arial"/>
          <w:color w:val="000000" w:themeColor="text1"/>
          <w:sz w:val="20"/>
          <w:szCs w:val="20"/>
        </w:rPr>
      </w:pPr>
    </w:p>
    <w:p w14:paraId="0DE33CF0" w14:textId="77777777" w:rsidR="0046339D" w:rsidRPr="00B96894" w:rsidRDefault="0046339D" w:rsidP="00B96894">
      <w:pPr>
        <w:spacing w:after="0" w:line="240" w:lineRule="auto"/>
        <w:ind w:left="709" w:right="709"/>
        <w:contextualSpacing/>
        <w:jc w:val="both"/>
        <w:rPr>
          <w:rFonts w:ascii="Verdana" w:eastAsia="Calibri" w:hAnsi="Verdana" w:cs="Arial"/>
          <w:color w:val="000000" w:themeColor="text1"/>
          <w:sz w:val="20"/>
          <w:szCs w:val="20"/>
        </w:rPr>
      </w:pPr>
      <w:r w:rsidRPr="00B96894">
        <w:rPr>
          <w:rFonts w:ascii="Verdana" w:eastAsia="Calibri" w:hAnsi="Verdana" w:cs="Arial"/>
          <w:color w:val="000000" w:themeColor="text1"/>
          <w:sz w:val="20"/>
          <w:szCs w:val="20"/>
        </w:rPr>
        <w:t>[…]</w:t>
      </w:r>
    </w:p>
    <w:p w14:paraId="61A56FFE" w14:textId="77777777" w:rsidR="0046339D" w:rsidRPr="0046339D" w:rsidRDefault="0046339D" w:rsidP="0046339D">
      <w:pPr>
        <w:spacing w:after="120" w:line="276" w:lineRule="auto"/>
        <w:ind w:firstLine="708"/>
        <w:jc w:val="both"/>
        <w:rPr>
          <w:rFonts w:ascii="Verdana" w:eastAsia="Calibri" w:hAnsi="Verdana" w:cs="Arial"/>
        </w:rPr>
      </w:pPr>
    </w:p>
    <w:p w14:paraId="22C654F1" w14:textId="6008F626" w:rsidR="0046339D" w:rsidRPr="0046339D" w:rsidRDefault="0046339D" w:rsidP="0046339D">
      <w:pPr>
        <w:spacing w:after="120" w:line="276" w:lineRule="auto"/>
        <w:ind w:firstLine="708"/>
        <w:jc w:val="both"/>
        <w:rPr>
          <w:rFonts w:ascii="Verdana" w:eastAsia="Calibri" w:hAnsi="Verdana" w:cs="Arial"/>
        </w:rPr>
      </w:pPr>
      <w:r w:rsidRPr="0046339D">
        <w:rPr>
          <w:rFonts w:ascii="Verdana" w:eastAsia="Calibri" w:hAnsi="Verdana" w:cs="Arial"/>
        </w:rPr>
        <w:t xml:space="preserve">El numeral primero del artículo citado, dispone que el interesado debe manifestar su </w:t>
      </w:r>
      <w:r w:rsidR="00B96894">
        <w:rPr>
          <w:rFonts w:ascii="Verdana" w:eastAsia="Calibri" w:hAnsi="Verdana" w:cs="Arial"/>
        </w:rPr>
        <w:t>“</w:t>
      </w:r>
      <w:r w:rsidRPr="0046339D">
        <w:rPr>
          <w:rFonts w:ascii="Verdana" w:eastAsia="Calibri" w:hAnsi="Verdana" w:cs="Arial"/>
        </w:rPr>
        <w:t>intención</w:t>
      </w:r>
      <w:r w:rsidR="00B96894">
        <w:rPr>
          <w:rFonts w:ascii="Verdana" w:eastAsia="Calibri" w:hAnsi="Verdana" w:cs="Arial"/>
        </w:rPr>
        <w:t>”</w:t>
      </w:r>
      <w:r w:rsidRPr="0046339D">
        <w:rPr>
          <w:rFonts w:ascii="Verdana" w:eastAsia="Calibri" w:hAnsi="Verdana" w:cs="Arial"/>
        </w:rPr>
        <w:t xml:space="preserve"> de participar en los procesos de selección abreviada de menor cuantía. Conviene precisar que el fin de esta disposición es que quienes estén interesados expresen a la entidad la intención de hacer parte del procedimiento. Por ello, la finalidad es que los interesados puedan participar, en igualdad de condiciones, en el procedimiento de contratación, de manera que, permite que expresen a la entidad pública su interés de presentarse al proceso de selección abreviada de menor cuantía. En tal sentido, la manifestación de interés presentada dentro de un proceso de selección abreviada de menor cuantía es un acto de comunicación del interesado, en virtud del cual, como su nombre lo indica, expresa el interés en participar en el proceso de selección, sin que le sea exigida la presentación de requisitos habilitantes como ocurre en el concurso de méritos, no obstante, requiere que se verifique que haya sido presentada en la forma y oportunidad establecida en el pliego de condiciones.</w:t>
      </w:r>
    </w:p>
    <w:p w14:paraId="55094A52" w14:textId="5821F248" w:rsidR="00EF4464" w:rsidRDefault="0046339D" w:rsidP="00EF4464">
      <w:pPr>
        <w:spacing w:after="120" w:line="276" w:lineRule="auto"/>
        <w:ind w:firstLine="709"/>
        <w:jc w:val="both"/>
        <w:rPr>
          <w:rFonts w:ascii="Verdana" w:eastAsia="Calibri" w:hAnsi="Verdana" w:cs="Arial"/>
          <w:lang w:val="es-ES"/>
        </w:rPr>
      </w:pPr>
      <w:r w:rsidRPr="0046339D">
        <w:rPr>
          <w:rFonts w:ascii="Verdana" w:eastAsia="Calibri" w:hAnsi="Verdana" w:cs="Arial"/>
        </w:rPr>
        <w:lastRenderedPageBreak/>
        <w:t xml:space="preserve">En lo que tiene que ver con </w:t>
      </w:r>
      <w:r w:rsidR="005D24B7">
        <w:rPr>
          <w:rFonts w:ascii="Verdana" w:eastAsia="Calibri" w:hAnsi="Verdana" w:cs="Arial"/>
        </w:rPr>
        <w:t>la recepción de manifestaciones de interés, se observa que la norma</w:t>
      </w:r>
      <w:r w:rsidR="004452BD">
        <w:rPr>
          <w:rFonts w:ascii="Verdana" w:eastAsia="Calibri" w:hAnsi="Verdana" w:cs="Arial"/>
        </w:rPr>
        <w:t xml:space="preserve"> señala un número máximo de diez (10)</w:t>
      </w:r>
      <w:r w:rsidR="005F017E">
        <w:rPr>
          <w:rFonts w:ascii="Verdana" w:eastAsia="Calibri" w:hAnsi="Verdana" w:cs="Arial"/>
        </w:rPr>
        <w:t>, y que en caso de que la entidad contratante reciba un número superior, debe adelantar un sorteo, respecto del cual no se señalan reglas a seguir.</w:t>
      </w:r>
      <w:r w:rsidR="00EF4464">
        <w:rPr>
          <w:rFonts w:ascii="Verdana" w:eastAsia="Calibri" w:hAnsi="Verdana" w:cs="Arial"/>
        </w:rPr>
        <w:t xml:space="preserve"> Así mismo, e</w:t>
      </w:r>
      <w:r w:rsidR="00EF4464" w:rsidRPr="000F79DD">
        <w:rPr>
          <w:rFonts w:ascii="Verdana" w:eastAsia="Calibri" w:hAnsi="Verdana" w:cs="Arial"/>
          <w:lang w:val="es-ES"/>
        </w:rPr>
        <w:t>l artículo 2.2.1.2.1.2.20 del Decreto 1082 de 2015 al fijar las reglas para el proceso de selección abreviada de menor cuantía, no establece expresamente la obligación de publicar el listado de las manifestaciones de interés recibidas antes de la realización del sorteo, como si lo hace en el proceso de concurso de méritos con precalificación, no obstante, esta Subdirección considera que una interpretación ajustada a los principios que orientan la contratación pública, especialmente los de transparencia y publicidad, exige que la entidad estatal publique la lista de las manifestaciones de interés recibidas y las que se ajustan a las exigencias del pliego de condiciones para participar en el sorteo, según corresponda.</w:t>
      </w:r>
    </w:p>
    <w:p w14:paraId="2CA9574E" w14:textId="17E85D4A" w:rsidR="006678D3" w:rsidRDefault="00EF4464" w:rsidP="00EF4464">
      <w:pPr>
        <w:spacing w:after="120" w:line="276" w:lineRule="auto"/>
        <w:ind w:firstLine="708"/>
        <w:jc w:val="both"/>
        <w:rPr>
          <w:rFonts w:ascii="Verdana" w:eastAsia="Calibri" w:hAnsi="Verdana" w:cs="Arial"/>
          <w:lang w:eastAsia="es-MX"/>
        </w:rPr>
      </w:pPr>
      <w:r>
        <w:rPr>
          <w:rFonts w:ascii="Verdana" w:eastAsia="Calibri" w:hAnsi="Verdana" w:cs="Arial"/>
          <w:lang w:val="es-ES"/>
        </w:rPr>
        <w:t xml:space="preserve">De la misma manera, el Decreto 1082 de 2015 </w:t>
      </w:r>
      <w:r w:rsidR="007B53FC">
        <w:rPr>
          <w:rFonts w:ascii="Verdana" w:eastAsia="Calibri" w:hAnsi="Verdana" w:cs="Arial"/>
          <w:lang w:val="es-ES"/>
        </w:rPr>
        <w:t xml:space="preserve">al </w:t>
      </w:r>
      <w:r>
        <w:rPr>
          <w:rFonts w:ascii="Verdana" w:eastAsia="Calibri" w:hAnsi="Verdana" w:cs="Arial"/>
          <w:lang w:val="es-ES"/>
        </w:rPr>
        <w:t xml:space="preserve">no establece reglas para la realización del sorteo, será la entidad contratante la encargada de definir el procedimiento en modo, tiempo y lugar, lo cual deberá ser orientado por los principios que rigen la </w:t>
      </w:r>
      <w:r w:rsidRPr="000F79DD">
        <w:rPr>
          <w:rFonts w:ascii="Verdana" w:eastAsia="Calibri" w:hAnsi="Verdana" w:cs="Arial"/>
          <w:lang w:val="es-ES"/>
        </w:rPr>
        <w:t>contratación pública</w:t>
      </w:r>
      <w:r>
        <w:rPr>
          <w:rFonts w:ascii="Verdana" w:eastAsia="Calibri" w:hAnsi="Verdana" w:cs="Arial"/>
          <w:lang w:val="es-ES"/>
        </w:rPr>
        <w:t>. En todo caso,</w:t>
      </w:r>
      <w:r w:rsidRPr="00082754">
        <w:rPr>
          <w:rFonts w:ascii="Verdana" w:eastAsia="Calibri" w:hAnsi="Verdana" w:cs="Arial"/>
          <w:color w:val="000000"/>
          <w:lang w:val="es-ES_tradnl"/>
        </w:rPr>
        <w:t xml:space="preserve"> es importante advertir que compete a cada Entidad Estatal definir cómo adelantará el procedimiento correspondiente. 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p w14:paraId="77871DD4" w14:textId="77777777" w:rsidR="006678D3" w:rsidRPr="001F7FC2" w:rsidRDefault="006678D3" w:rsidP="001F7FC2">
      <w:pPr>
        <w:widowControl w:val="0"/>
        <w:autoSpaceDE w:val="0"/>
        <w:autoSpaceDN w:val="0"/>
        <w:spacing w:after="0" w:line="276" w:lineRule="auto"/>
        <w:jc w:val="both"/>
        <w:rPr>
          <w:rFonts w:ascii="Verdana" w:hAnsi="Verdana" w:cs="Arial"/>
        </w:rPr>
      </w:pPr>
    </w:p>
    <w:p w14:paraId="15904DB2" w14:textId="77777777" w:rsidR="006678D3" w:rsidRPr="003E229F" w:rsidRDefault="006678D3" w:rsidP="003E229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F7FC2">
        <w:rPr>
          <w:rFonts w:ascii="Verdana" w:eastAsia="Century Gothic" w:hAnsi="Verdana" w:cs="Century Gothic"/>
          <w:b/>
          <w:bCs/>
        </w:rPr>
        <w:t>Referencias normativas, jurisprudenciales y otras fuentes:</w:t>
      </w:r>
    </w:p>
    <w:p w14:paraId="5C016CEB" w14:textId="77777777" w:rsidR="006678D3" w:rsidRPr="001F7FC2" w:rsidRDefault="006678D3">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678D3" w:rsidRPr="001F7FC2" w14:paraId="7CD3097F" w14:textId="77777777" w:rsidTr="00BE41CC">
        <w:trPr>
          <w:trHeight w:val="870"/>
        </w:trPr>
        <w:tc>
          <w:tcPr>
            <w:tcW w:w="8647" w:type="dxa"/>
            <w:tcBorders>
              <w:top w:val="dotted" w:sz="4" w:space="0" w:color="auto"/>
              <w:left w:val="dotted" w:sz="4" w:space="0" w:color="auto"/>
              <w:bottom w:val="dotted" w:sz="4" w:space="0" w:color="auto"/>
              <w:right w:val="dotted" w:sz="4" w:space="0" w:color="auto"/>
            </w:tcBorders>
            <w:hideMark/>
          </w:tcPr>
          <w:p w14:paraId="002C5147" w14:textId="543B1E67" w:rsidR="006678D3" w:rsidRPr="001F7FC2" w:rsidRDefault="006678D3" w:rsidP="00A566A9">
            <w:pPr>
              <w:widowControl w:val="0"/>
              <w:numPr>
                <w:ilvl w:val="0"/>
                <w:numId w:val="17"/>
              </w:numPr>
              <w:autoSpaceDE w:val="0"/>
              <w:autoSpaceDN w:val="0"/>
              <w:spacing w:line="276" w:lineRule="auto"/>
              <w:contextualSpacing/>
              <w:jc w:val="both"/>
              <w:rPr>
                <w:rFonts w:ascii="Verdana" w:eastAsia="Calibri" w:hAnsi="Verdana" w:cs="Arial"/>
                <w:lang w:val="es-ES"/>
              </w:rPr>
            </w:pPr>
            <w:r w:rsidRPr="001F7FC2">
              <w:rPr>
                <w:rFonts w:ascii="Verdana" w:eastAsia="Calibri" w:hAnsi="Verdana" w:cs="Arial"/>
                <w:lang w:val="es-ES"/>
              </w:rPr>
              <w:t xml:space="preserve">Ley 1150 de 2007. Artículo </w:t>
            </w:r>
            <w:r w:rsidR="00811F78">
              <w:rPr>
                <w:rFonts w:ascii="Verdana" w:eastAsia="Calibri" w:hAnsi="Verdana" w:cs="Arial"/>
                <w:lang w:val="es-ES"/>
              </w:rPr>
              <w:t>2.</w:t>
            </w:r>
          </w:p>
          <w:p w14:paraId="3F36CED5" w14:textId="5784F2DB" w:rsidR="006678D3" w:rsidRPr="001F7FC2" w:rsidRDefault="006678D3" w:rsidP="00A566A9">
            <w:pPr>
              <w:widowControl w:val="0"/>
              <w:numPr>
                <w:ilvl w:val="0"/>
                <w:numId w:val="17"/>
              </w:numPr>
              <w:autoSpaceDE w:val="0"/>
              <w:autoSpaceDN w:val="0"/>
              <w:spacing w:line="276" w:lineRule="auto"/>
              <w:contextualSpacing/>
              <w:jc w:val="both"/>
              <w:rPr>
                <w:rFonts w:ascii="Verdana" w:eastAsia="Calibri" w:hAnsi="Verdana" w:cs="Arial"/>
                <w:lang w:val="es-ES"/>
              </w:rPr>
            </w:pPr>
            <w:r w:rsidRPr="001F7FC2">
              <w:rPr>
                <w:rFonts w:ascii="Verdana" w:eastAsia="Arial" w:hAnsi="Verdana" w:cs="Arial"/>
                <w:color w:val="000000" w:themeColor="text1"/>
              </w:rPr>
              <w:t xml:space="preserve">Decreto 1082 de 2015. Artículo </w:t>
            </w:r>
            <w:r w:rsidR="009913CB" w:rsidRPr="009913CB">
              <w:rPr>
                <w:rFonts w:ascii="Verdana" w:eastAsia="Arial" w:hAnsi="Verdana" w:cs="Arial"/>
                <w:color w:val="000000" w:themeColor="text1"/>
              </w:rPr>
              <w:t>2.2.1.2.1.2.20.</w:t>
            </w:r>
          </w:p>
          <w:p w14:paraId="2FA40CB5" w14:textId="492B6492" w:rsidR="006678D3" w:rsidRPr="001F7FC2" w:rsidRDefault="00D313B6" w:rsidP="003E229F">
            <w:pPr>
              <w:widowControl w:val="0"/>
              <w:numPr>
                <w:ilvl w:val="0"/>
                <w:numId w:val="17"/>
              </w:numPr>
              <w:autoSpaceDE w:val="0"/>
              <w:autoSpaceDN w:val="0"/>
              <w:spacing w:line="276" w:lineRule="auto"/>
              <w:contextualSpacing/>
              <w:jc w:val="both"/>
              <w:rPr>
                <w:rFonts w:ascii="Verdana" w:eastAsia="Aptos" w:hAnsi="Verdana" w:cs="Arial"/>
              </w:rPr>
            </w:pPr>
            <w:r w:rsidRPr="00D313B6">
              <w:rPr>
                <w:rFonts w:ascii="Verdana" w:hAnsi="Verdana"/>
                <w:lang w:val="es-ES"/>
              </w:rPr>
              <w:t>CONSEJO DE ESTADO. Sección Tercera. Sentencia del 23 de junio de 2010. Rad. 16.367. C.P. Enrique Gil Botero</w:t>
            </w:r>
            <w:r w:rsidR="006678D3" w:rsidRPr="001F7FC2">
              <w:rPr>
                <w:rFonts w:ascii="Verdana" w:eastAsia="Aptos" w:hAnsi="Verdana" w:cs="Arial"/>
              </w:rPr>
              <w:t>.</w:t>
            </w:r>
          </w:p>
          <w:p w14:paraId="43885824" w14:textId="77777777" w:rsidR="006678D3" w:rsidRPr="001F7FC2" w:rsidRDefault="006678D3">
            <w:pPr>
              <w:widowControl w:val="0"/>
              <w:numPr>
                <w:ilvl w:val="0"/>
                <w:numId w:val="17"/>
              </w:numPr>
              <w:autoSpaceDE w:val="0"/>
              <w:autoSpaceDN w:val="0"/>
              <w:spacing w:line="276" w:lineRule="auto"/>
              <w:contextualSpacing/>
              <w:jc w:val="both"/>
              <w:rPr>
                <w:rFonts w:ascii="Verdana" w:eastAsia="Aptos" w:hAnsi="Verdana" w:cs="Arial"/>
              </w:rPr>
            </w:pPr>
            <w:r w:rsidRPr="001F7FC2">
              <w:rPr>
                <w:rFonts w:ascii="Verdana" w:eastAsia="Aptos" w:hAnsi="Verdana" w:cs="Arial"/>
              </w:rPr>
              <w:t xml:space="preserve">CONSEJO DE ESTADO. Sección Tercera. Subsección A. Sentencia del </w:t>
            </w:r>
            <w:r w:rsidRPr="001F7FC2">
              <w:rPr>
                <w:rFonts w:ascii="Verdana" w:eastAsia="Aptos" w:hAnsi="Verdana" w:cs="Arial"/>
              </w:rPr>
              <w:lastRenderedPageBreak/>
              <w:t xml:space="preserve">23 de julio de 2015. </w:t>
            </w:r>
            <w:proofErr w:type="spellStart"/>
            <w:r w:rsidRPr="001F7FC2">
              <w:rPr>
                <w:rFonts w:ascii="Verdana" w:eastAsia="Aptos" w:hAnsi="Verdana" w:cs="Arial"/>
              </w:rPr>
              <w:t>Exp</w:t>
            </w:r>
            <w:proofErr w:type="spellEnd"/>
            <w:r w:rsidRPr="001F7FC2">
              <w:rPr>
                <w:rFonts w:ascii="Verdana" w:eastAsia="Aptos" w:hAnsi="Verdana" w:cs="Arial"/>
              </w:rPr>
              <w:t>. 36.805. C. P. Hernán Andrade Rincón.</w:t>
            </w:r>
          </w:p>
          <w:p w14:paraId="60AA357E" w14:textId="77777777" w:rsidR="006678D3" w:rsidRPr="001F7FC2" w:rsidRDefault="006678D3">
            <w:pPr>
              <w:widowControl w:val="0"/>
              <w:autoSpaceDE w:val="0"/>
              <w:autoSpaceDN w:val="0"/>
              <w:spacing w:line="276" w:lineRule="auto"/>
              <w:ind w:left="720"/>
              <w:contextualSpacing/>
              <w:jc w:val="both"/>
              <w:rPr>
                <w:rFonts w:ascii="Verdana" w:eastAsia="Aptos" w:hAnsi="Verdana" w:cs="Arial"/>
              </w:rPr>
            </w:pPr>
          </w:p>
        </w:tc>
      </w:tr>
    </w:tbl>
    <w:p w14:paraId="47204E76" w14:textId="77777777" w:rsidR="006678D3" w:rsidRPr="001F7FC2" w:rsidRDefault="006678D3" w:rsidP="001F7FC2">
      <w:pPr>
        <w:widowControl w:val="0"/>
        <w:autoSpaceDE w:val="0"/>
        <w:autoSpaceDN w:val="0"/>
        <w:spacing w:after="0" w:line="276" w:lineRule="auto"/>
        <w:jc w:val="both"/>
        <w:rPr>
          <w:rFonts w:ascii="Verdana" w:hAnsi="Verdana" w:cs="Arial"/>
        </w:rPr>
      </w:pPr>
    </w:p>
    <w:p w14:paraId="3D6EF27D" w14:textId="77777777" w:rsidR="006678D3" w:rsidRPr="003E229F" w:rsidRDefault="006678D3" w:rsidP="003E229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F7FC2">
        <w:rPr>
          <w:rFonts w:ascii="Verdana" w:eastAsia="Century Gothic" w:hAnsi="Verdana" w:cs="Century Gothic"/>
          <w:b/>
          <w:bCs/>
        </w:rPr>
        <w:t>Doctrina de la Agencia Nacional de Contratación Pública:</w:t>
      </w:r>
    </w:p>
    <w:p w14:paraId="64597548" w14:textId="77777777" w:rsidR="006678D3" w:rsidRPr="001F7FC2" w:rsidRDefault="006678D3">
      <w:pPr>
        <w:widowControl w:val="0"/>
        <w:autoSpaceDE w:val="0"/>
        <w:autoSpaceDN w:val="0"/>
        <w:spacing w:after="0" w:line="276" w:lineRule="auto"/>
        <w:jc w:val="both"/>
        <w:rPr>
          <w:rFonts w:ascii="Verdana" w:hAnsi="Verdana" w:cs="Arial"/>
        </w:rPr>
      </w:pPr>
    </w:p>
    <w:p w14:paraId="56F53D1F" w14:textId="1571047A" w:rsidR="006678D3" w:rsidRPr="00A566A9" w:rsidRDefault="006678D3">
      <w:pPr>
        <w:widowControl w:val="0"/>
        <w:autoSpaceDE w:val="0"/>
        <w:autoSpaceDN w:val="0"/>
        <w:spacing w:after="0" w:line="276" w:lineRule="auto"/>
        <w:jc w:val="both"/>
        <w:rPr>
          <w:rStyle w:val="normaltextrun"/>
          <w:rFonts w:ascii="Verdana" w:hAnsi="Verdana"/>
          <w:color w:val="FF0000"/>
          <w:shd w:val="clear" w:color="auto" w:fill="FFFFFF"/>
          <w:lang w:val="es-ES"/>
        </w:rPr>
      </w:pPr>
      <w:r w:rsidRPr="001F7FC2">
        <w:rPr>
          <w:rFonts w:ascii="Verdana" w:eastAsia="Calibri" w:hAnsi="Verdana" w:cs="Times New Roman"/>
        </w:rPr>
        <w:t xml:space="preserve">Sobre la modalidad de selección abreviada de menor cuantía, esta Subdirección se ha pronunciado en conceptos </w:t>
      </w:r>
      <w:r w:rsidR="006D563B">
        <w:rPr>
          <w:rFonts w:ascii="Verdana" w:eastAsia="Calibri" w:hAnsi="Verdana" w:cs="Times New Roman"/>
        </w:rPr>
        <w:t xml:space="preserve">C-425 del </w:t>
      </w:r>
      <w:r w:rsidR="00A6670D">
        <w:rPr>
          <w:rFonts w:ascii="Verdana" w:eastAsia="Calibri" w:hAnsi="Verdana" w:cs="Times New Roman"/>
        </w:rPr>
        <w:t xml:space="preserve">6 de julio de 2022, </w:t>
      </w:r>
      <w:r w:rsidRPr="001F7FC2">
        <w:rPr>
          <w:rFonts w:ascii="Verdana" w:eastAsia="Calibri" w:hAnsi="Verdana" w:cs="Times New Roman"/>
        </w:rPr>
        <w:t>C-687 del 20 de octubre de 2022, C-313 del 31 de julio de 2023, C-377 del 8 de agosto de 2024, C- 535 del 24 de septiembre de 2024, C-840 del 11 de diciembre de 2024, C-716 del 15 de julio de 2025, C-803 del 31 de julio 2025 y C-1150 del 26 de agosto de 2025,</w:t>
      </w:r>
      <w:r w:rsidR="004C0640">
        <w:rPr>
          <w:rFonts w:ascii="Verdana" w:eastAsia="Calibri" w:hAnsi="Verdana" w:cs="Times New Roman"/>
        </w:rPr>
        <w:t xml:space="preserve"> C-1639 del 17 de diciembre de 2025,</w:t>
      </w:r>
      <w:r w:rsidRPr="001F7FC2">
        <w:rPr>
          <w:rFonts w:ascii="Verdana" w:eastAsia="Calibri" w:hAnsi="Verdana" w:cs="Times New Roman"/>
        </w:rPr>
        <w:t xml:space="preserve"> entre otros. </w:t>
      </w:r>
      <w:r w:rsidRPr="001F7FC2">
        <w:rPr>
          <w:rStyle w:val="normaltextrun"/>
          <w:rFonts w:ascii="Verdana" w:hAnsi="Verdana" w:cs="Arial"/>
          <w:shd w:val="clear" w:color="auto" w:fill="FFFFFF"/>
          <w:lang w:val="es-ES"/>
        </w:rPr>
        <w:t>Es</w:t>
      </w:r>
      <w:r w:rsidRPr="001F7FC2">
        <w:rPr>
          <w:rFonts w:ascii="Verdana" w:hAnsi="Verdana"/>
        </w:rPr>
        <w:t>tos y otros conceptos se encuentran disponibles para consulta en el Sistema de relatoría de la Agencia, al cual se puede acceder a través del siguiente enlace:</w:t>
      </w:r>
      <w:r w:rsidRPr="001F7FC2">
        <w:rPr>
          <w:rStyle w:val="normaltextrun"/>
          <w:rFonts w:ascii="Verdana" w:hAnsi="Verdana" w:cs="Arial"/>
          <w:shd w:val="clear" w:color="auto" w:fill="FFFFFF"/>
          <w:lang w:val="es-ES"/>
        </w:rPr>
        <w:t xml:space="preserve"> </w:t>
      </w:r>
      <w:hyperlink r:id="rId12" w:history="1">
        <w:r w:rsidRPr="001F7FC2">
          <w:rPr>
            <w:rStyle w:val="Hipervnculo"/>
            <w:rFonts w:ascii="Verdana" w:hAnsi="Verdana" w:cs="Arial"/>
            <w:shd w:val="clear" w:color="auto" w:fill="FFFFFF"/>
            <w:lang w:val="es-ES"/>
          </w:rPr>
          <w:t>https://relatoria.colombiacompra.gov.co/busqueda/conceptos</w:t>
        </w:r>
      </w:hyperlink>
    </w:p>
    <w:p w14:paraId="1936B2AB" w14:textId="77777777" w:rsidR="006678D3" w:rsidRPr="001F7FC2" w:rsidRDefault="006678D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2710CE1" w14:textId="77777777" w:rsidR="006678D3" w:rsidRPr="00A566A9" w:rsidRDefault="006678D3">
      <w:pPr>
        <w:shd w:val="clear" w:color="auto" w:fill="FFFFFF"/>
        <w:spacing w:after="0" w:line="276" w:lineRule="auto"/>
        <w:jc w:val="both"/>
        <w:textAlignment w:val="baseline"/>
        <w:rPr>
          <w:rFonts w:ascii="Verdana" w:hAnsi="Verdana"/>
          <w:color w:val="467886"/>
          <w:u w:val="single"/>
          <w:bdr w:val="none" w:sz="0" w:space="0" w:color="auto" w:frame="1"/>
        </w:rPr>
      </w:pPr>
      <w:r w:rsidRPr="001F7FC2">
        <w:rPr>
          <w:rFonts w:ascii="Verdana" w:hAnsi="Verdana"/>
          <w:color w:val="000000"/>
          <w:bdr w:val="none" w:sz="0" w:space="0" w:color="auto" w:frame="1"/>
        </w:rPr>
        <w:t>Le contamos que ya se encuentra disponible la </w:t>
      </w:r>
      <w:r w:rsidRPr="001F7FC2">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sidRPr="001F7FC2">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F7FC2">
        <w:rPr>
          <w:rFonts w:ascii="Verdana" w:hAnsi="Verdana"/>
          <w:color w:val="000000"/>
          <w:bdr w:val="none" w:sz="0" w:space="0" w:color="auto" w:frame="1"/>
        </w:rPr>
        <w:t>Wayúu</w:t>
      </w:r>
      <w:proofErr w:type="spellEnd"/>
      <w:r w:rsidRPr="001F7FC2">
        <w:rPr>
          <w:rFonts w:ascii="Verdana" w:hAnsi="Verdana"/>
          <w:color w:val="000000"/>
          <w:bdr w:val="none" w:sz="0" w:space="0" w:color="auto" w:frame="1"/>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1F7FC2">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1F7FC2">
        <w:rPr>
          <w:rFonts w:ascii="Verdana" w:hAnsi="Verdana"/>
          <w:color w:val="467886"/>
          <w:u w:val="single"/>
          <w:bdr w:val="none" w:sz="0" w:space="0" w:color="auto" w:frame="1"/>
        </w:rPr>
        <w:t>"</w:t>
      </w:r>
    </w:p>
    <w:p w14:paraId="26080DE0" w14:textId="77777777" w:rsidR="006678D3" w:rsidRPr="001F7FC2" w:rsidRDefault="006678D3">
      <w:pPr>
        <w:spacing w:after="0" w:line="276" w:lineRule="auto"/>
        <w:jc w:val="both"/>
        <w:rPr>
          <w:rFonts w:ascii="Verdana" w:hAnsi="Verdana"/>
        </w:rPr>
      </w:pPr>
    </w:p>
    <w:p w14:paraId="1E0900B3" w14:textId="77777777" w:rsidR="006678D3" w:rsidRPr="001F7FC2" w:rsidRDefault="006678D3">
      <w:pPr>
        <w:spacing w:after="0" w:line="276" w:lineRule="auto"/>
        <w:jc w:val="both"/>
        <w:rPr>
          <w:rFonts w:ascii="Verdana" w:hAnsi="Verdana"/>
        </w:rPr>
      </w:pPr>
      <w:r w:rsidRPr="001F7FC2">
        <w:rPr>
          <w:rFonts w:ascii="Verdana" w:hAnsi="Verdana"/>
        </w:rPr>
        <w:t xml:space="preserve">Por último, lo invitamos a seguirnos en las redes sociales en las cuales se difunde información institucional: </w:t>
      </w:r>
    </w:p>
    <w:p w14:paraId="5A6CA0F4" w14:textId="77777777" w:rsidR="006678D3" w:rsidRPr="001F7FC2" w:rsidRDefault="006678D3">
      <w:pPr>
        <w:spacing w:after="0" w:line="276" w:lineRule="auto"/>
        <w:jc w:val="both"/>
        <w:rPr>
          <w:rFonts w:ascii="Verdana" w:hAnsi="Verdana"/>
        </w:rPr>
      </w:pPr>
    </w:p>
    <w:p w14:paraId="146786E3" w14:textId="77777777" w:rsidR="006678D3" w:rsidRPr="001F7FC2" w:rsidRDefault="006678D3">
      <w:pPr>
        <w:spacing w:after="0" w:line="276" w:lineRule="auto"/>
        <w:jc w:val="both"/>
        <w:rPr>
          <w:rFonts w:ascii="Verdana" w:hAnsi="Verdana"/>
        </w:rPr>
      </w:pPr>
      <w:r w:rsidRPr="001F7FC2">
        <w:rPr>
          <w:rFonts w:ascii="Verdana" w:hAnsi="Verdana"/>
        </w:rPr>
        <w:t xml:space="preserve">Twitter: </w:t>
      </w:r>
      <w:r w:rsidRPr="001F7FC2">
        <w:rPr>
          <w:rStyle w:val="Hipervnculo"/>
          <w:rFonts w:ascii="Verdana" w:hAnsi="Verdana"/>
          <w:color w:val="4472C4" w:themeColor="accent1"/>
        </w:rPr>
        <w:t>@colombiacompra</w:t>
      </w:r>
      <w:r w:rsidRPr="001F7FC2">
        <w:rPr>
          <w:rFonts w:ascii="Verdana" w:hAnsi="Verdana"/>
          <w:color w:val="4472C4" w:themeColor="accent1"/>
        </w:rPr>
        <w:t xml:space="preserve"> </w:t>
      </w:r>
    </w:p>
    <w:p w14:paraId="62AE6890" w14:textId="77777777" w:rsidR="006678D3" w:rsidRPr="001F7FC2" w:rsidRDefault="006678D3">
      <w:pPr>
        <w:spacing w:after="0" w:line="276" w:lineRule="auto"/>
        <w:jc w:val="both"/>
        <w:rPr>
          <w:rFonts w:ascii="Verdana" w:hAnsi="Verdana"/>
        </w:rPr>
      </w:pPr>
      <w:r w:rsidRPr="001F7FC2">
        <w:rPr>
          <w:rFonts w:ascii="Verdana" w:hAnsi="Verdana"/>
        </w:rPr>
        <w:t xml:space="preserve">Facebook: </w:t>
      </w:r>
      <w:proofErr w:type="spellStart"/>
      <w:r w:rsidRPr="001F7FC2">
        <w:rPr>
          <w:rStyle w:val="Hipervnculo"/>
          <w:rFonts w:ascii="Verdana" w:hAnsi="Verdana"/>
          <w:color w:val="4472C4" w:themeColor="accent1"/>
        </w:rPr>
        <w:t>ColombiaCompraEficiente</w:t>
      </w:r>
      <w:proofErr w:type="spellEnd"/>
    </w:p>
    <w:p w14:paraId="57EE3BB2" w14:textId="77777777" w:rsidR="006678D3" w:rsidRPr="001F7FC2" w:rsidRDefault="006678D3">
      <w:pPr>
        <w:spacing w:after="0" w:line="276" w:lineRule="auto"/>
        <w:jc w:val="both"/>
        <w:rPr>
          <w:rFonts w:ascii="Verdana" w:hAnsi="Verdana"/>
        </w:rPr>
      </w:pPr>
      <w:r w:rsidRPr="001F7FC2">
        <w:rPr>
          <w:rFonts w:ascii="Verdana" w:hAnsi="Verdana"/>
        </w:rPr>
        <w:t xml:space="preserve">LinkedIn: </w:t>
      </w:r>
      <w:r w:rsidRPr="001F7FC2">
        <w:rPr>
          <w:rStyle w:val="Hipervnculo"/>
          <w:rFonts w:ascii="Verdana" w:hAnsi="Verdana"/>
          <w:color w:val="4472C4" w:themeColor="accent1"/>
        </w:rPr>
        <w:t>Agencia Nacional de Contratación Pública - Colombia Compra Eficiente</w:t>
      </w:r>
      <w:r w:rsidRPr="001F7FC2">
        <w:rPr>
          <w:rFonts w:ascii="Verdana" w:hAnsi="Verdana"/>
          <w:color w:val="4472C4" w:themeColor="accent1"/>
        </w:rPr>
        <w:t xml:space="preserve"> </w:t>
      </w:r>
      <w:r w:rsidRPr="001F7FC2">
        <w:rPr>
          <w:rFonts w:ascii="Verdana" w:hAnsi="Verdana"/>
        </w:rPr>
        <w:t xml:space="preserve">Instagram: </w:t>
      </w:r>
      <w:r w:rsidRPr="001F7FC2">
        <w:rPr>
          <w:rStyle w:val="Hipervnculo"/>
          <w:rFonts w:ascii="Verdana" w:hAnsi="Verdana"/>
          <w:color w:val="4472C4" w:themeColor="accent1"/>
        </w:rPr>
        <w:t>@colombiacompraeficiente_cce</w:t>
      </w:r>
    </w:p>
    <w:p w14:paraId="6974FE44" w14:textId="77777777" w:rsidR="006678D3" w:rsidRPr="001F7FC2" w:rsidRDefault="006678D3">
      <w:pPr>
        <w:widowControl w:val="0"/>
        <w:autoSpaceDE w:val="0"/>
        <w:autoSpaceDN w:val="0"/>
        <w:spacing w:after="0" w:line="276" w:lineRule="auto"/>
        <w:jc w:val="both"/>
        <w:rPr>
          <w:rFonts w:ascii="Verdana" w:hAnsi="Verdana" w:cs="Arial"/>
        </w:rPr>
      </w:pPr>
    </w:p>
    <w:bookmarkEnd w:id="0"/>
    <w:p w14:paraId="582A5444" w14:textId="77777777" w:rsidR="00F55E7C" w:rsidRPr="00F55E7C" w:rsidRDefault="00F55E7C" w:rsidP="00F55E7C">
      <w:pPr>
        <w:widowControl w:val="0"/>
        <w:autoSpaceDE w:val="0"/>
        <w:autoSpaceDN w:val="0"/>
        <w:spacing w:after="0" w:line="276" w:lineRule="auto"/>
        <w:jc w:val="both"/>
        <w:rPr>
          <w:rFonts w:ascii="Verdana" w:eastAsia="Calibri" w:hAnsi="Verdana" w:cs="Arial"/>
          <w:lang w:val="es-ES_tradnl"/>
        </w:rPr>
      </w:pPr>
      <w:r w:rsidRPr="00F55E7C">
        <w:rPr>
          <w:rFonts w:ascii="Verdana" w:eastAsia="Calibri" w:hAnsi="Verdana" w:cs="Arial"/>
        </w:rPr>
        <w:lastRenderedPageBreak/>
        <w:t xml:space="preserve">Este concepto tiene el alcance previsto en el artículo 28 del Código de Procedimiento Administrativo y de lo Contencioso Administrativo </w:t>
      </w:r>
      <w:r w:rsidRPr="00F55E7C">
        <w:rPr>
          <w:rFonts w:ascii="Verdana" w:eastAsia="Calibri" w:hAnsi="Verdana" w:cs="Arial"/>
          <w:lang w:val="es-ES_tradnl"/>
        </w:rPr>
        <w:t>y las expresiones aquí utilizadas con mayúscula inicial deben ser entendidas con el significado que les otorga el artículo 2.2.1.1.1.3.1. del Decreto 1082 de 2015.</w:t>
      </w:r>
    </w:p>
    <w:p w14:paraId="6AEF8805" w14:textId="77777777" w:rsidR="00F55E7C" w:rsidRPr="00F55E7C" w:rsidRDefault="00F55E7C" w:rsidP="00F55E7C">
      <w:pPr>
        <w:widowControl w:val="0"/>
        <w:autoSpaceDE w:val="0"/>
        <w:autoSpaceDN w:val="0"/>
        <w:spacing w:after="0" w:line="276" w:lineRule="auto"/>
        <w:jc w:val="both"/>
        <w:rPr>
          <w:rFonts w:ascii="Verdana" w:eastAsia="Calibri" w:hAnsi="Verdana" w:cs="Arial"/>
        </w:rPr>
      </w:pPr>
    </w:p>
    <w:p w14:paraId="0242276C" w14:textId="77777777" w:rsidR="00F55E7C" w:rsidRPr="00F55E7C" w:rsidRDefault="00F55E7C" w:rsidP="00F55E7C">
      <w:pPr>
        <w:spacing w:after="0" w:line="276" w:lineRule="auto"/>
        <w:rPr>
          <w:rFonts w:ascii="Verdana" w:eastAsia="Calibri" w:hAnsi="Verdana" w:cs="Arial"/>
          <w:lang w:eastAsia="es-CO"/>
        </w:rPr>
      </w:pPr>
      <w:r w:rsidRPr="00F55E7C">
        <w:rPr>
          <w:rFonts w:ascii="Verdana" w:eastAsia="Times New Roman" w:hAnsi="Verdana" w:cs="Arial"/>
          <w:lang w:eastAsia="es-CO"/>
        </w:rPr>
        <w:t>Atentamente,</w:t>
      </w:r>
      <w:r w:rsidRPr="00F55E7C">
        <w:rPr>
          <w:rFonts w:ascii="Verdana" w:eastAsia="Calibri" w:hAnsi="Verdana" w:cs="Arial"/>
          <w:lang w:eastAsia="es-CO"/>
        </w:rPr>
        <w:t xml:space="preserve"> </w:t>
      </w:r>
    </w:p>
    <w:p w14:paraId="3EEF1A99" w14:textId="6600E72B" w:rsidR="00F55E7C" w:rsidRPr="00F55E7C" w:rsidRDefault="00D00664" w:rsidP="00F55E7C">
      <w:pPr>
        <w:spacing w:line="276" w:lineRule="auto"/>
        <w:jc w:val="center"/>
        <w:rPr>
          <w:rFonts w:ascii="Verdana" w:eastAsia="Times New Roman" w:hAnsi="Verdana" w:cs="Arial"/>
          <w:sz w:val="24"/>
          <w:szCs w:val="24"/>
          <w:lang w:eastAsia="es-ES"/>
        </w:rPr>
      </w:pPr>
      <w:r>
        <w:rPr>
          <w:noProof/>
        </w:rPr>
        <w:drawing>
          <wp:inline distT="0" distB="0" distL="0" distR="0" wp14:anchorId="4BB14479" wp14:editId="6A9CA65A">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F55E7C" w:rsidRPr="00F55E7C" w14:paraId="04446A30" w14:textId="77777777">
        <w:trPr>
          <w:trHeight w:val="315"/>
        </w:trPr>
        <w:tc>
          <w:tcPr>
            <w:tcW w:w="993" w:type="dxa"/>
            <w:vAlign w:val="center"/>
            <w:hideMark/>
          </w:tcPr>
          <w:p w14:paraId="75DC3A8B" w14:textId="77777777" w:rsidR="00F55E7C" w:rsidRPr="00F55E7C" w:rsidRDefault="00F55E7C" w:rsidP="00F55E7C">
            <w:pPr>
              <w:spacing w:after="0" w:line="276" w:lineRule="auto"/>
              <w:rPr>
                <w:rFonts w:ascii="Verdana" w:eastAsia="Calibri" w:hAnsi="Verdana" w:cs="Arial"/>
                <w:bCs/>
                <w:sz w:val="16"/>
                <w:szCs w:val="16"/>
                <w:lang w:eastAsia="es-CO"/>
              </w:rPr>
            </w:pPr>
            <w:r w:rsidRPr="00F55E7C">
              <w:rPr>
                <w:rFonts w:ascii="Verdana" w:eastAsia="Calibri" w:hAnsi="Verdana" w:cs="Arial"/>
                <w:bCs/>
                <w:sz w:val="16"/>
                <w:szCs w:val="16"/>
                <w:lang w:eastAsia="es-CO"/>
              </w:rPr>
              <w:t>Elaboró:</w:t>
            </w:r>
          </w:p>
        </w:tc>
        <w:tc>
          <w:tcPr>
            <w:tcW w:w="4677" w:type="dxa"/>
            <w:tcBorders>
              <w:top w:val="nil"/>
              <w:left w:val="nil"/>
              <w:bottom w:val="dotted" w:sz="4" w:space="0" w:color="7F7F7F"/>
              <w:right w:val="nil"/>
            </w:tcBorders>
            <w:vAlign w:val="center"/>
            <w:hideMark/>
          </w:tcPr>
          <w:p w14:paraId="1CBEEAF9" w14:textId="77777777" w:rsidR="00F55E7C" w:rsidRPr="00F55E7C" w:rsidRDefault="00F55E7C" w:rsidP="00F55E7C">
            <w:pPr>
              <w:spacing w:after="0" w:line="240" w:lineRule="auto"/>
              <w:rPr>
                <w:rFonts w:ascii="Verdana" w:eastAsia="Calibri" w:hAnsi="Verdana" w:cs="Arial"/>
                <w:sz w:val="16"/>
                <w:szCs w:val="16"/>
                <w:lang w:eastAsia="es-CO"/>
              </w:rPr>
            </w:pPr>
            <w:r w:rsidRPr="00F55E7C">
              <w:rPr>
                <w:rFonts w:ascii="Verdana" w:eastAsia="Calibri" w:hAnsi="Verdana" w:cs="Arial"/>
                <w:sz w:val="16"/>
                <w:szCs w:val="16"/>
                <w:lang w:eastAsia="es-CO"/>
              </w:rPr>
              <w:t>Ximena Ríos López</w:t>
            </w:r>
          </w:p>
          <w:p w14:paraId="63490B53" w14:textId="77777777" w:rsidR="00F55E7C" w:rsidRPr="00F55E7C" w:rsidRDefault="00F55E7C" w:rsidP="00F55E7C">
            <w:pPr>
              <w:spacing w:after="0" w:line="240" w:lineRule="auto"/>
              <w:rPr>
                <w:rFonts w:ascii="Verdana" w:eastAsia="Calibri" w:hAnsi="Verdana" w:cs="Arial"/>
                <w:sz w:val="16"/>
                <w:szCs w:val="16"/>
                <w:lang w:eastAsia="es-CO"/>
              </w:rPr>
            </w:pPr>
            <w:r w:rsidRPr="00F55E7C">
              <w:rPr>
                <w:rFonts w:ascii="Verdana" w:eastAsia="Calibri" w:hAnsi="Verdana" w:cs="Arial"/>
                <w:sz w:val="16"/>
                <w:szCs w:val="16"/>
                <w:lang w:eastAsia="es-CO"/>
              </w:rPr>
              <w:t>Gestor T1 -11 Subdirección de Gestión Contractual</w:t>
            </w:r>
          </w:p>
        </w:tc>
      </w:tr>
      <w:tr w:rsidR="00F55E7C" w:rsidRPr="00F55E7C" w14:paraId="7C86C887" w14:textId="77777777">
        <w:trPr>
          <w:trHeight w:val="330"/>
        </w:trPr>
        <w:tc>
          <w:tcPr>
            <w:tcW w:w="993" w:type="dxa"/>
            <w:vAlign w:val="center"/>
            <w:hideMark/>
          </w:tcPr>
          <w:p w14:paraId="4FAA70A7" w14:textId="77777777" w:rsidR="00F55E7C" w:rsidRPr="00F55E7C" w:rsidRDefault="00F55E7C" w:rsidP="00F55E7C">
            <w:pPr>
              <w:spacing w:after="0" w:line="276" w:lineRule="auto"/>
              <w:rPr>
                <w:rFonts w:ascii="Verdana" w:eastAsia="Calibri" w:hAnsi="Verdana" w:cs="Arial"/>
                <w:bCs/>
                <w:sz w:val="16"/>
                <w:szCs w:val="16"/>
                <w:lang w:eastAsia="es-CO"/>
              </w:rPr>
            </w:pPr>
            <w:r w:rsidRPr="00F55E7C">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58B09FDE" w14:textId="77777777" w:rsidR="00F55E7C" w:rsidRPr="00F55E7C" w:rsidRDefault="00F55E7C" w:rsidP="00F55E7C">
            <w:pPr>
              <w:spacing w:after="0" w:line="240" w:lineRule="auto"/>
              <w:rPr>
                <w:rFonts w:ascii="Verdana" w:eastAsia="Calibri" w:hAnsi="Verdana" w:cs="Arial"/>
                <w:sz w:val="16"/>
                <w:szCs w:val="16"/>
                <w:lang w:eastAsia="es-CO"/>
              </w:rPr>
            </w:pPr>
            <w:r w:rsidRPr="00F55E7C">
              <w:rPr>
                <w:rFonts w:ascii="Verdana" w:eastAsia="Calibri" w:hAnsi="Verdana" w:cs="Arial"/>
                <w:sz w:val="16"/>
                <w:szCs w:val="16"/>
                <w:lang w:eastAsia="es-CO"/>
              </w:rPr>
              <w:t>Martha Romero</w:t>
            </w:r>
          </w:p>
          <w:p w14:paraId="0AF1E264" w14:textId="77777777" w:rsidR="00F55E7C" w:rsidRPr="00F55E7C" w:rsidRDefault="00F55E7C" w:rsidP="00F55E7C">
            <w:pPr>
              <w:spacing w:after="0" w:line="240" w:lineRule="auto"/>
              <w:rPr>
                <w:rFonts w:ascii="Verdana" w:eastAsia="Calibri" w:hAnsi="Verdana" w:cs="Arial"/>
                <w:sz w:val="16"/>
                <w:szCs w:val="16"/>
                <w:lang w:eastAsia="es-CO"/>
              </w:rPr>
            </w:pPr>
            <w:r w:rsidRPr="00F55E7C">
              <w:rPr>
                <w:rFonts w:ascii="Verdana" w:eastAsia="Calibri" w:hAnsi="Verdana" w:cs="Arial"/>
                <w:sz w:val="16"/>
                <w:szCs w:val="16"/>
                <w:lang w:eastAsia="es-CO"/>
              </w:rPr>
              <w:t>Gestor T1 -15 Subdirección de Gestión Contractual</w:t>
            </w:r>
          </w:p>
        </w:tc>
      </w:tr>
      <w:tr w:rsidR="00F55E7C" w:rsidRPr="00F55E7C" w14:paraId="73E90E7E" w14:textId="77777777">
        <w:trPr>
          <w:trHeight w:val="300"/>
        </w:trPr>
        <w:tc>
          <w:tcPr>
            <w:tcW w:w="993" w:type="dxa"/>
            <w:vAlign w:val="center"/>
            <w:hideMark/>
          </w:tcPr>
          <w:p w14:paraId="59C7D7B4" w14:textId="77777777" w:rsidR="00F55E7C" w:rsidRPr="00F55E7C" w:rsidRDefault="00F55E7C" w:rsidP="00F55E7C">
            <w:pPr>
              <w:spacing w:after="0" w:line="276" w:lineRule="auto"/>
              <w:rPr>
                <w:rFonts w:ascii="Verdana" w:eastAsia="Calibri" w:hAnsi="Verdana" w:cs="Arial"/>
                <w:bCs/>
                <w:sz w:val="16"/>
                <w:szCs w:val="16"/>
                <w:lang w:eastAsia="es-CO"/>
              </w:rPr>
            </w:pPr>
            <w:r w:rsidRPr="00F55E7C">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62AB0D8C" w14:textId="77777777" w:rsidR="00F55E7C" w:rsidRPr="00F55E7C" w:rsidRDefault="00F55E7C" w:rsidP="00F55E7C">
            <w:pPr>
              <w:spacing w:after="0" w:line="240" w:lineRule="auto"/>
              <w:rPr>
                <w:rFonts w:ascii="Verdana" w:eastAsia="Calibri" w:hAnsi="Verdana" w:cs="Arial"/>
                <w:sz w:val="16"/>
                <w:szCs w:val="16"/>
                <w:lang w:eastAsia="es-CO"/>
              </w:rPr>
            </w:pPr>
            <w:r w:rsidRPr="00F55E7C">
              <w:rPr>
                <w:rFonts w:ascii="Verdana" w:eastAsia="Calibri" w:hAnsi="Verdana" w:cs="Arial"/>
                <w:sz w:val="16"/>
                <w:szCs w:val="16"/>
                <w:lang w:eastAsia="es-CO"/>
              </w:rPr>
              <w:t>Carolina Quintero Gacharná</w:t>
            </w:r>
          </w:p>
          <w:p w14:paraId="5733A90C" w14:textId="77777777" w:rsidR="00F55E7C" w:rsidRPr="00F55E7C" w:rsidRDefault="00F55E7C" w:rsidP="00F55E7C">
            <w:pPr>
              <w:spacing w:after="0" w:line="240" w:lineRule="auto"/>
              <w:rPr>
                <w:rFonts w:ascii="Verdana" w:eastAsia="Calibri" w:hAnsi="Verdana" w:cs="Arial"/>
                <w:sz w:val="16"/>
                <w:szCs w:val="16"/>
                <w:lang w:eastAsia="es-CO"/>
              </w:rPr>
            </w:pPr>
            <w:r w:rsidRPr="00F55E7C">
              <w:rPr>
                <w:rFonts w:ascii="Verdana" w:eastAsia="Calibri" w:hAnsi="Verdana" w:cs="Arial"/>
                <w:sz w:val="16"/>
                <w:szCs w:val="16"/>
                <w:lang w:eastAsia="es-CO"/>
              </w:rPr>
              <w:t>Subdirectora de Gestión Contractual ANCP – CCE</w:t>
            </w:r>
          </w:p>
        </w:tc>
      </w:tr>
    </w:tbl>
    <w:p w14:paraId="0F293BF4" w14:textId="3B235537" w:rsidR="00127233" w:rsidRPr="00F55E7C" w:rsidRDefault="00127233" w:rsidP="00F55E7C">
      <w:pPr>
        <w:widowControl w:val="0"/>
        <w:autoSpaceDE w:val="0"/>
        <w:autoSpaceDN w:val="0"/>
        <w:spacing w:after="0" w:line="276" w:lineRule="auto"/>
        <w:jc w:val="both"/>
      </w:pPr>
    </w:p>
    <w:sectPr w:rsidR="00127233" w:rsidRPr="00F55E7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DC7F42" w14:textId="77777777" w:rsidR="00FD16C9" w:rsidRDefault="00FD16C9" w:rsidP="004A1847">
      <w:pPr>
        <w:spacing w:after="0" w:line="240" w:lineRule="auto"/>
      </w:pPr>
      <w:r>
        <w:separator/>
      </w:r>
    </w:p>
  </w:endnote>
  <w:endnote w:type="continuationSeparator" w:id="0">
    <w:p w14:paraId="25211FFF" w14:textId="77777777" w:rsidR="00FD16C9" w:rsidRDefault="00FD16C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Klee One"/>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CB6A7" w14:textId="77777777" w:rsidR="00FD16C9" w:rsidRDefault="00FD16C9" w:rsidP="004A1847">
      <w:pPr>
        <w:spacing w:after="0" w:line="240" w:lineRule="auto"/>
      </w:pPr>
      <w:r>
        <w:separator/>
      </w:r>
    </w:p>
  </w:footnote>
  <w:footnote w:type="continuationSeparator" w:id="0">
    <w:p w14:paraId="5CD38038" w14:textId="77777777" w:rsidR="00FD16C9" w:rsidRDefault="00FD16C9" w:rsidP="004A1847">
      <w:pPr>
        <w:spacing w:after="0" w:line="240" w:lineRule="auto"/>
      </w:pPr>
      <w:r>
        <w:continuationSeparator/>
      </w:r>
    </w:p>
  </w:footnote>
  <w:footnote w:id="1">
    <w:p w14:paraId="3E94AEB8" w14:textId="77777777" w:rsidR="006678D3" w:rsidRPr="0049500E" w:rsidRDefault="006678D3" w:rsidP="006678D3">
      <w:pPr>
        <w:pStyle w:val="Textonotapie"/>
        <w:ind w:firstLine="708"/>
        <w:jc w:val="both"/>
        <w:rPr>
          <w:rFonts w:ascii="Verdana" w:hAnsi="Verdana" w:cs="Arial"/>
          <w:sz w:val="18"/>
          <w:szCs w:val="18"/>
        </w:rPr>
      </w:pPr>
      <w:r w:rsidRPr="0049500E">
        <w:rPr>
          <w:rStyle w:val="Refdenotaalpie"/>
          <w:rFonts w:ascii="Verdana" w:hAnsi="Verdana" w:cs="Arial"/>
          <w:sz w:val="18"/>
          <w:szCs w:val="18"/>
        </w:rPr>
        <w:footnoteRef/>
      </w:r>
      <w:r w:rsidRPr="0049500E">
        <w:rPr>
          <w:rFonts w:ascii="Verdana" w:hAnsi="Verdana" w:cs="Arial"/>
          <w:sz w:val="18"/>
          <w:szCs w:val="18"/>
        </w:rPr>
        <w:t xml:space="preserve"> Al respecto, la jurisprudencia explica que la garantía del debido proceso “[…]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(CONSEJO DE ESTADO. Sección Tercera. Sentencia del 23 de junio de 2010. Rad. 16.367. C.P. Enrique Gil Botero). </w:t>
      </w:r>
    </w:p>
  </w:footnote>
  <w:footnote w:id="2">
    <w:p w14:paraId="68FFAC6C" w14:textId="77777777" w:rsidR="006678D3" w:rsidRPr="00604039" w:rsidRDefault="006678D3" w:rsidP="006678D3">
      <w:pPr>
        <w:pStyle w:val="Textonotapie"/>
        <w:ind w:firstLine="708"/>
        <w:jc w:val="both"/>
        <w:rPr>
          <w:rFonts w:ascii="Verdana" w:hAnsi="Verdana" w:cs="Arial"/>
          <w:sz w:val="16"/>
          <w:szCs w:val="16"/>
        </w:rPr>
      </w:pPr>
      <w:r w:rsidRPr="0049500E">
        <w:rPr>
          <w:rStyle w:val="Refdenotaalpie"/>
          <w:rFonts w:ascii="Verdana" w:hAnsi="Verdana" w:cs="Arial"/>
          <w:sz w:val="18"/>
          <w:szCs w:val="18"/>
        </w:rPr>
        <w:footnoteRef/>
      </w:r>
      <w:r w:rsidRPr="0049500E">
        <w:rPr>
          <w:rFonts w:ascii="Verdana" w:hAnsi="Verdana" w:cs="Arial"/>
          <w:sz w:val="18"/>
          <w:szCs w:val="18"/>
        </w:rPr>
        <w:t xml:space="preserve"> El numeral 2 del artículo 2 de la Ley 1150 de 2007 prescribe: “[…] Serán causales de selección abreviada las siguientes</w:t>
      </w:r>
      <w:r w:rsidRPr="00604039">
        <w:rPr>
          <w:rFonts w:ascii="Verdana" w:hAnsi="Verdana" w:cs="Arial"/>
          <w:sz w:val="16"/>
          <w:szCs w:val="16"/>
        </w:rPr>
        <w:t>:</w:t>
      </w:r>
    </w:p>
    <w:p w14:paraId="3386946F"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4CF94110"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1141DB62"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2689E68A"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w:t>
      </w:r>
    </w:p>
    <w:p w14:paraId="135E0EDB"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1A6CAF6B"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569256C4"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e) La enajenación de bienes del Estado, con excepción de aquellos a que se refiere la Ley 226 de 1995.</w:t>
      </w:r>
    </w:p>
    <w:p w14:paraId="47176E33"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 xml:space="preserve">[…]; </w:t>
      </w:r>
    </w:p>
    <w:p w14:paraId="68EB81ED"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 xml:space="preserve">f) Productos de origen o destinación agropecuarios que se ofrezcan en las bolsas de productos legalmente constituidas; </w:t>
      </w:r>
    </w:p>
    <w:p w14:paraId="2DE4546A"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2B872EE4" w14:textId="77777777" w:rsidR="006678D3" w:rsidRPr="007D48B0"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7C1EA622" w14:textId="77777777" w:rsidR="006678D3" w:rsidRDefault="006678D3" w:rsidP="006678D3">
      <w:pPr>
        <w:pStyle w:val="Textonotapie"/>
        <w:ind w:firstLine="708"/>
        <w:jc w:val="both"/>
        <w:rPr>
          <w:rFonts w:ascii="Verdana" w:hAnsi="Verdana" w:cs="Arial"/>
          <w:sz w:val="16"/>
          <w:szCs w:val="16"/>
        </w:rPr>
      </w:pPr>
      <w:r w:rsidRPr="007D48B0">
        <w:rPr>
          <w:rFonts w:ascii="Verdana" w:hAnsi="Verdana" w:cs="Arial"/>
          <w:sz w:val="16"/>
          <w:szCs w:val="16"/>
        </w:rPr>
        <w:t>i) La contratación de bienes y servicios que se requieran para la defensa y seguridad nacional</w:t>
      </w:r>
      <w:r>
        <w:rPr>
          <w:rFonts w:ascii="Verdana" w:hAnsi="Verdana" w:cs="Arial"/>
          <w:sz w:val="16"/>
          <w:szCs w:val="16"/>
        </w:rPr>
        <w:t>.</w:t>
      </w:r>
    </w:p>
    <w:p w14:paraId="3ED8673B" w14:textId="77777777" w:rsidR="006678D3" w:rsidRPr="007D48B0" w:rsidRDefault="006678D3" w:rsidP="006678D3">
      <w:pPr>
        <w:pStyle w:val="Textonotapie"/>
        <w:ind w:firstLine="708"/>
        <w:jc w:val="both"/>
        <w:rPr>
          <w:rFonts w:ascii="Verdana" w:hAnsi="Verdana" w:cs="Arial"/>
          <w:sz w:val="16"/>
          <w:szCs w:val="16"/>
        </w:rPr>
      </w:pPr>
      <w:r>
        <w:rPr>
          <w:rFonts w:ascii="Verdana" w:hAnsi="Verdana" w:cs="Arial"/>
          <w:sz w:val="16"/>
          <w:szCs w:val="16"/>
        </w:rPr>
        <w:t xml:space="preserve">j) </w:t>
      </w:r>
      <w:r w:rsidRPr="000B48EE">
        <w:rPr>
          <w:rFonts w:ascii="Verdana" w:hAnsi="Verdana" w:cs="Arial"/>
          <w:sz w:val="16"/>
          <w:szCs w:val="16"/>
        </w:rPr>
        <w:t>Los bienes y servicios no uniformes de común utilización por parte de las entidades públicas, para lo cual la Agencia Nacional de Contratación Pública Colombia Compra Eficiente-podrá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r>
        <w:rPr>
          <w:rFonts w:ascii="Verdana" w:hAnsi="Verdana" w:cs="Arial"/>
          <w:sz w:val="16"/>
          <w:szCs w:val="16"/>
        </w:rPr>
        <w:t>”</w:t>
      </w:r>
      <w:r w:rsidRPr="007D48B0">
        <w:rPr>
          <w:rFonts w:ascii="Verdana" w:hAnsi="Verdana" w:cs="Arial"/>
          <w:sz w:val="16"/>
          <w:szCs w:val="16"/>
        </w:rPr>
        <w:t>.</w:t>
      </w:r>
    </w:p>
  </w:footnote>
  <w:footnote w:id="3">
    <w:p w14:paraId="0EFD0619" w14:textId="77777777" w:rsidR="006678D3" w:rsidRDefault="006678D3" w:rsidP="006678D3">
      <w:pPr>
        <w:pStyle w:val="Textonotapie"/>
        <w:ind w:firstLine="708"/>
        <w:jc w:val="both"/>
        <w:rPr>
          <w:rFonts w:ascii="Verdana" w:hAnsi="Verdana" w:cs="Arial"/>
          <w:sz w:val="18"/>
          <w:szCs w:val="18"/>
        </w:rPr>
      </w:pPr>
      <w:r w:rsidRPr="0049500E">
        <w:rPr>
          <w:rStyle w:val="Refdenotaalpie"/>
          <w:rFonts w:ascii="Verdana" w:hAnsi="Verdana" w:cs="Arial"/>
          <w:sz w:val="18"/>
          <w:szCs w:val="18"/>
        </w:rPr>
        <w:footnoteRef/>
      </w:r>
      <w:r w:rsidRPr="0049500E">
        <w:rPr>
          <w:rFonts w:ascii="Verdana" w:hAnsi="Verdana" w:cs="Arial"/>
          <w:sz w:val="18"/>
          <w:szCs w:val="18"/>
        </w:rPr>
        <w:t xml:space="preserve"> CONGRESO DE LA REPÚBLICA. Exposición de motivos de la Ley 1150 de 2007. Gaceta del Congreso No. 458 del 1º de agosto de 2005. p. 8. </w:t>
      </w:r>
    </w:p>
    <w:p w14:paraId="61723564" w14:textId="77777777" w:rsidR="009913CB" w:rsidRPr="0049500E" w:rsidRDefault="009913CB" w:rsidP="006678D3">
      <w:pPr>
        <w:pStyle w:val="Textonotapie"/>
        <w:ind w:firstLine="708"/>
        <w:jc w:val="both"/>
        <w:rPr>
          <w:rFonts w:ascii="Verdana" w:hAnsi="Verdana" w:cs="Arial"/>
          <w:sz w:val="18"/>
          <w:szCs w:val="18"/>
        </w:rPr>
      </w:pPr>
    </w:p>
  </w:footnote>
  <w:footnote w:id="4">
    <w:p w14:paraId="1BDFA162" w14:textId="77777777" w:rsidR="006678D3" w:rsidRPr="0049500E" w:rsidRDefault="006678D3" w:rsidP="006678D3">
      <w:pPr>
        <w:pStyle w:val="Textonotapie"/>
        <w:ind w:firstLine="708"/>
        <w:jc w:val="both"/>
        <w:rPr>
          <w:rFonts w:ascii="Verdana" w:hAnsi="Verdana" w:cs="Arial"/>
          <w:sz w:val="18"/>
          <w:szCs w:val="18"/>
        </w:rPr>
      </w:pPr>
      <w:r w:rsidRPr="0049500E">
        <w:rPr>
          <w:rStyle w:val="Refdenotaalpie"/>
          <w:rFonts w:ascii="Verdana" w:hAnsi="Verdana" w:cs="Arial"/>
          <w:sz w:val="18"/>
          <w:szCs w:val="18"/>
        </w:rPr>
        <w:footnoteRef/>
      </w:r>
      <w:r w:rsidRPr="0049500E">
        <w:rPr>
          <w:rFonts w:ascii="Verdana" w:hAnsi="Verdana" w:cs="Arial"/>
          <w:sz w:val="18"/>
          <w:szCs w:val="18"/>
        </w:rPr>
        <w:t xml:space="preserve"> CONSEJO DE ESTADO. Sección Tercera. Subsección A. Sentencia del 23 de julio de 2015. Exp. 36.805. C. P. Hernán Andrade Rincón.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5pt;height:13.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8850070">
    <w:abstractNumId w:val="7"/>
  </w:num>
  <w:num w:numId="2" w16cid:durableId="588540783">
    <w:abstractNumId w:val="2"/>
  </w:num>
  <w:num w:numId="3" w16cid:durableId="2016371672">
    <w:abstractNumId w:val="5"/>
  </w:num>
  <w:num w:numId="4" w16cid:durableId="20247008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34502758">
    <w:abstractNumId w:val="2"/>
  </w:num>
  <w:num w:numId="6" w16cid:durableId="1669290739">
    <w:abstractNumId w:val="13"/>
  </w:num>
  <w:num w:numId="7" w16cid:durableId="2091461913">
    <w:abstractNumId w:val="6"/>
  </w:num>
  <w:num w:numId="8" w16cid:durableId="2011253351">
    <w:abstractNumId w:val="12"/>
  </w:num>
  <w:num w:numId="9" w16cid:durableId="427237548">
    <w:abstractNumId w:val="8"/>
  </w:num>
  <w:num w:numId="10" w16cid:durableId="1175922361">
    <w:abstractNumId w:val="11"/>
  </w:num>
  <w:num w:numId="11" w16cid:durableId="67505353">
    <w:abstractNumId w:val="9"/>
  </w:num>
  <w:num w:numId="12" w16cid:durableId="1007757619">
    <w:abstractNumId w:val="1"/>
  </w:num>
  <w:num w:numId="13" w16cid:durableId="2000305011">
    <w:abstractNumId w:val="4"/>
  </w:num>
  <w:num w:numId="14" w16cid:durableId="1533224921">
    <w:abstractNumId w:val="14"/>
  </w:num>
  <w:num w:numId="15" w16cid:durableId="1005862593">
    <w:abstractNumId w:val="10"/>
  </w:num>
  <w:num w:numId="16" w16cid:durableId="345833623">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825416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477C3"/>
    <w:rsid w:val="00061B2A"/>
    <w:rsid w:val="000722B8"/>
    <w:rsid w:val="00082362"/>
    <w:rsid w:val="00092580"/>
    <w:rsid w:val="000A683E"/>
    <w:rsid w:val="000B19B9"/>
    <w:rsid w:val="000D0334"/>
    <w:rsid w:val="000D5DA7"/>
    <w:rsid w:val="000F6486"/>
    <w:rsid w:val="000F79DD"/>
    <w:rsid w:val="0011522C"/>
    <w:rsid w:val="00116940"/>
    <w:rsid w:val="00125105"/>
    <w:rsid w:val="00127233"/>
    <w:rsid w:val="00140714"/>
    <w:rsid w:val="00150C89"/>
    <w:rsid w:val="0015699B"/>
    <w:rsid w:val="00167390"/>
    <w:rsid w:val="00185C13"/>
    <w:rsid w:val="001A33BF"/>
    <w:rsid w:val="001B0432"/>
    <w:rsid w:val="001B14C0"/>
    <w:rsid w:val="001E4177"/>
    <w:rsid w:val="001F0B24"/>
    <w:rsid w:val="001F7DC6"/>
    <w:rsid w:val="001F7FC2"/>
    <w:rsid w:val="0020581E"/>
    <w:rsid w:val="0022400B"/>
    <w:rsid w:val="002421BB"/>
    <w:rsid w:val="00250D51"/>
    <w:rsid w:val="00255861"/>
    <w:rsid w:val="0025796E"/>
    <w:rsid w:val="002707A2"/>
    <w:rsid w:val="002951A0"/>
    <w:rsid w:val="002962BC"/>
    <w:rsid w:val="002A093D"/>
    <w:rsid w:val="002A0DD0"/>
    <w:rsid w:val="002A49AC"/>
    <w:rsid w:val="002A64FD"/>
    <w:rsid w:val="002C7A84"/>
    <w:rsid w:val="002E2BF8"/>
    <w:rsid w:val="002E4FD9"/>
    <w:rsid w:val="0030657A"/>
    <w:rsid w:val="00306610"/>
    <w:rsid w:val="00322A85"/>
    <w:rsid w:val="00324168"/>
    <w:rsid w:val="00330834"/>
    <w:rsid w:val="003448F4"/>
    <w:rsid w:val="00352349"/>
    <w:rsid w:val="00374F5E"/>
    <w:rsid w:val="00377E3E"/>
    <w:rsid w:val="00393518"/>
    <w:rsid w:val="003A779E"/>
    <w:rsid w:val="003C7A44"/>
    <w:rsid w:val="003D0F4D"/>
    <w:rsid w:val="003D5B0D"/>
    <w:rsid w:val="003E0499"/>
    <w:rsid w:val="003E229F"/>
    <w:rsid w:val="003E4F80"/>
    <w:rsid w:val="003E6439"/>
    <w:rsid w:val="003F3941"/>
    <w:rsid w:val="00406575"/>
    <w:rsid w:val="00414C74"/>
    <w:rsid w:val="0042722E"/>
    <w:rsid w:val="0044528D"/>
    <w:rsid w:val="004452BD"/>
    <w:rsid w:val="0046339D"/>
    <w:rsid w:val="00466E39"/>
    <w:rsid w:val="004763B9"/>
    <w:rsid w:val="004A1847"/>
    <w:rsid w:val="004A305D"/>
    <w:rsid w:val="004C0640"/>
    <w:rsid w:val="004F21C4"/>
    <w:rsid w:val="004F685F"/>
    <w:rsid w:val="005468CB"/>
    <w:rsid w:val="005566E8"/>
    <w:rsid w:val="00564FEB"/>
    <w:rsid w:val="00574867"/>
    <w:rsid w:val="00591460"/>
    <w:rsid w:val="005A65E0"/>
    <w:rsid w:val="005B2CC5"/>
    <w:rsid w:val="005C3777"/>
    <w:rsid w:val="005C5CDC"/>
    <w:rsid w:val="005D24B7"/>
    <w:rsid w:val="005D476C"/>
    <w:rsid w:val="005F017E"/>
    <w:rsid w:val="005F642C"/>
    <w:rsid w:val="006200BF"/>
    <w:rsid w:val="006219F8"/>
    <w:rsid w:val="006302F7"/>
    <w:rsid w:val="00646B9F"/>
    <w:rsid w:val="00665D70"/>
    <w:rsid w:val="006678D3"/>
    <w:rsid w:val="006900D9"/>
    <w:rsid w:val="006D563B"/>
    <w:rsid w:val="00706C16"/>
    <w:rsid w:val="007340C3"/>
    <w:rsid w:val="00750CC2"/>
    <w:rsid w:val="0075235A"/>
    <w:rsid w:val="00756841"/>
    <w:rsid w:val="007649AB"/>
    <w:rsid w:val="00771D0C"/>
    <w:rsid w:val="007759ED"/>
    <w:rsid w:val="007833AC"/>
    <w:rsid w:val="007853BF"/>
    <w:rsid w:val="007A79FB"/>
    <w:rsid w:val="007B268C"/>
    <w:rsid w:val="007B53FC"/>
    <w:rsid w:val="007B7171"/>
    <w:rsid w:val="007C0C0F"/>
    <w:rsid w:val="007C3DC2"/>
    <w:rsid w:val="007E5497"/>
    <w:rsid w:val="00806F5F"/>
    <w:rsid w:val="00811F78"/>
    <w:rsid w:val="008123B8"/>
    <w:rsid w:val="00820278"/>
    <w:rsid w:val="008258C9"/>
    <w:rsid w:val="00843F89"/>
    <w:rsid w:val="00844AE9"/>
    <w:rsid w:val="00851EC3"/>
    <w:rsid w:val="00861E35"/>
    <w:rsid w:val="00867F95"/>
    <w:rsid w:val="008843B6"/>
    <w:rsid w:val="00891928"/>
    <w:rsid w:val="008A446D"/>
    <w:rsid w:val="008B25F1"/>
    <w:rsid w:val="008B414A"/>
    <w:rsid w:val="008D180B"/>
    <w:rsid w:val="008E2D81"/>
    <w:rsid w:val="008F0EA7"/>
    <w:rsid w:val="00923EEF"/>
    <w:rsid w:val="009419F9"/>
    <w:rsid w:val="00952154"/>
    <w:rsid w:val="0095685E"/>
    <w:rsid w:val="00961B09"/>
    <w:rsid w:val="00965334"/>
    <w:rsid w:val="0097093E"/>
    <w:rsid w:val="009913CB"/>
    <w:rsid w:val="00995FC0"/>
    <w:rsid w:val="009A0DFA"/>
    <w:rsid w:val="009A1C6F"/>
    <w:rsid w:val="009B2D26"/>
    <w:rsid w:val="009C4CA3"/>
    <w:rsid w:val="009C71FA"/>
    <w:rsid w:val="009C72E7"/>
    <w:rsid w:val="009C7F7E"/>
    <w:rsid w:val="009D1E9A"/>
    <w:rsid w:val="009D3058"/>
    <w:rsid w:val="009F3A13"/>
    <w:rsid w:val="00A01303"/>
    <w:rsid w:val="00A122D3"/>
    <w:rsid w:val="00A14468"/>
    <w:rsid w:val="00A17F13"/>
    <w:rsid w:val="00A20739"/>
    <w:rsid w:val="00A23AF9"/>
    <w:rsid w:val="00A271A9"/>
    <w:rsid w:val="00A33C78"/>
    <w:rsid w:val="00A566A9"/>
    <w:rsid w:val="00A6670D"/>
    <w:rsid w:val="00AB0ADB"/>
    <w:rsid w:val="00B00C0E"/>
    <w:rsid w:val="00B01B1A"/>
    <w:rsid w:val="00B0381D"/>
    <w:rsid w:val="00B12086"/>
    <w:rsid w:val="00B44A47"/>
    <w:rsid w:val="00B72CD3"/>
    <w:rsid w:val="00B72FFF"/>
    <w:rsid w:val="00B96894"/>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70E8"/>
    <w:rsid w:val="00D00664"/>
    <w:rsid w:val="00D313B6"/>
    <w:rsid w:val="00D3617A"/>
    <w:rsid w:val="00D361FD"/>
    <w:rsid w:val="00D423A2"/>
    <w:rsid w:val="00D44E26"/>
    <w:rsid w:val="00D520D8"/>
    <w:rsid w:val="00D63AC2"/>
    <w:rsid w:val="00D67E18"/>
    <w:rsid w:val="00D7383B"/>
    <w:rsid w:val="00D7788A"/>
    <w:rsid w:val="00D82A44"/>
    <w:rsid w:val="00DA231B"/>
    <w:rsid w:val="00DC39FC"/>
    <w:rsid w:val="00DE2B15"/>
    <w:rsid w:val="00DF5254"/>
    <w:rsid w:val="00E02524"/>
    <w:rsid w:val="00E16408"/>
    <w:rsid w:val="00E20894"/>
    <w:rsid w:val="00E245AB"/>
    <w:rsid w:val="00E2764C"/>
    <w:rsid w:val="00E27F2E"/>
    <w:rsid w:val="00E50AFE"/>
    <w:rsid w:val="00E75C92"/>
    <w:rsid w:val="00E771DC"/>
    <w:rsid w:val="00E87028"/>
    <w:rsid w:val="00E8772A"/>
    <w:rsid w:val="00E90F6B"/>
    <w:rsid w:val="00E92C27"/>
    <w:rsid w:val="00EA0E3D"/>
    <w:rsid w:val="00EC38A7"/>
    <w:rsid w:val="00EE1AA8"/>
    <w:rsid w:val="00EF4464"/>
    <w:rsid w:val="00F23FEA"/>
    <w:rsid w:val="00F31EDC"/>
    <w:rsid w:val="00F40166"/>
    <w:rsid w:val="00F462B3"/>
    <w:rsid w:val="00F55E7C"/>
    <w:rsid w:val="00F5664F"/>
    <w:rsid w:val="00F666C4"/>
    <w:rsid w:val="00F76AFC"/>
    <w:rsid w:val="00FA47C0"/>
    <w:rsid w:val="00FB5DD1"/>
    <w:rsid w:val="00FC2B5D"/>
    <w:rsid w:val="00FD16C9"/>
    <w:rsid w:val="00FE1668"/>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6678D3"/>
    <w:rPr>
      <w:rFonts w:ascii="Geomanist Light" w:hAnsi="Geomanist Light"/>
      <w:lang w:val="es-ES"/>
    </w:rPr>
  </w:style>
  <w:style w:type="paragraph" w:customStyle="1" w:styleId="Appelnotedebasde">
    <w:name w:val="Appel note de bas de..."/>
    <w:basedOn w:val="Normal"/>
    <w:link w:val="Refdenotaalpie"/>
    <w:uiPriority w:val="99"/>
    <w:rsid w:val="006678D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914CE76-BD7C-9C4C-8712-049ACCEA798E}">
  <ds:schemaRefs>
    <ds:schemaRef ds:uri="http://schemas.openxmlformats.org/officeDocument/2006/bibliography"/>
  </ds:schemaRefs>
</ds:datastoreItem>
</file>

<file path=customXml/itemProps3.xml><?xml version="1.0" encoding="utf-8"?>
<ds:datastoreItem xmlns:ds="http://schemas.openxmlformats.org/officeDocument/2006/customXml" ds:itemID="{A45F8282-B758-40D7-9847-BF4DD4EE11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46</TotalTime>
  <Pages>12</Pages>
  <Words>3671</Words>
  <Characters>19864</Characters>
  <Application>Microsoft Office Word</Application>
  <DocSecurity>0</DocSecurity>
  <Lines>413</Lines>
  <Paragraphs>99</Paragraphs>
  <ScaleCrop>false</ScaleCrop>
  <Company/>
  <LinksUpToDate>false</LinksUpToDate>
  <CharactersWithSpaces>23436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52</cp:revision>
  <cp:lastPrinted>2023-01-10T21:18:00Z</cp:lastPrinted>
  <dcterms:created xsi:type="dcterms:W3CDTF">2026-01-13T18:51:00Z</dcterms:created>
  <dcterms:modified xsi:type="dcterms:W3CDTF">2026-01-27T18:33:00Z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