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AA2AD" w14:textId="77777777" w:rsidR="00301943" w:rsidRDefault="00301943" w:rsidP="00301943">
      <w:pPr>
        <w:snapToGrid w:val="0"/>
        <w:spacing w:after="0" w:line="240" w:lineRule="auto"/>
        <w:contextualSpacing/>
        <w:jc w:val="both"/>
        <w:rPr>
          <w:rFonts w:ascii="Verdana" w:eastAsia="Aptos" w:hAnsi="Verdana" w:cs="Arial"/>
          <w:b/>
          <w:bCs/>
          <w:kern w:val="2"/>
          <w:lang w:val="es-MX"/>
          <w14:ligatures w14:val="standardContextual"/>
        </w:rPr>
      </w:pPr>
      <w:bookmarkStart w:id="0" w:name="_Hlk143780582"/>
      <w:r w:rsidRPr="007A2BBB">
        <w:rPr>
          <w:rFonts w:ascii="Verdana" w:eastAsia="Aptos" w:hAnsi="Verdana" w:cs="Arial"/>
          <w:b/>
          <w:bCs/>
          <w:kern w:val="2"/>
          <w:lang w:val="es-MX"/>
          <w14:ligatures w14:val="standardContextual"/>
        </w:rPr>
        <w:t>CONTRATO DE INTERVENTORÍA – Características – Finalidad</w:t>
      </w:r>
    </w:p>
    <w:p w14:paraId="510F9705" w14:textId="77777777" w:rsidR="00301943" w:rsidRDefault="00301943" w:rsidP="00301943">
      <w:pPr>
        <w:tabs>
          <w:tab w:val="left" w:pos="709"/>
        </w:tabs>
        <w:snapToGrid w:val="0"/>
        <w:spacing w:after="0" w:line="240" w:lineRule="auto"/>
        <w:contextualSpacing/>
        <w:jc w:val="both"/>
        <w:rPr>
          <w:rFonts w:ascii="Verdana" w:eastAsia="Aptos" w:hAnsi="Verdana" w:cs="Arial"/>
          <w:bCs/>
          <w:sz w:val="20"/>
          <w:szCs w:val="20"/>
        </w:rPr>
      </w:pPr>
    </w:p>
    <w:p w14:paraId="5E21824A" w14:textId="77777777" w:rsidR="00301943" w:rsidRPr="00A90B76" w:rsidRDefault="00301943" w:rsidP="00301943">
      <w:pPr>
        <w:tabs>
          <w:tab w:val="left" w:pos="709"/>
        </w:tabs>
        <w:snapToGrid w:val="0"/>
        <w:spacing w:after="0" w:line="240" w:lineRule="auto"/>
        <w:contextualSpacing/>
        <w:jc w:val="both"/>
        <w:rPr>
          <w:rFonts w:ascii="Verdana" w:eastAsia="Aptos" w:hAnsi="Verdana" w:cs="Arial"/>
          <w:bCs/>
          <w:sz w:val="20"/>
          <w:szCs w:val="20"/>
        </w:rPr>
      </w:pPr>
      <w:r w:rsidRPr="00A90B76">
        <w:rPr>
          <w:rFonts w:ascii="Verdana" w:eastAsia="Aptos" w:hAnsi="Verdana" w:cs="Arial"/>
          <w:bCs/>
          <w:sz w:val="20"/>
          <w:szCs w:val="20"/>
        </w:rPr>
        <w:t xml:space="preserve">De este modo, 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A90B76">
        <w:rPr>
          <w:rFonts w:ascii="Verdana" w:eastAsia="Aptos" w:hAnsi="Verdana" w:cs="Arial"/>
          <w:bCs/>
          <w:sz w:val="20"/>
          <w:szCs w:val="20"/>
        </w:rPr>
        <w:t>del mismo</w:t>
      </w:r>
      <w:proofErr w:type="gramEnd"/>
      <w:r w:rsidRPr="00A90B76">
        <w:rPr>
          <w:rFonts w:ascii="Verdana" w:eastAsia="Aptos" w:hAnsi="Verdana" w:cs="Arial"/>
          <w:bCs/>
          <w:sz w:val="20"/>
          <w:szCs w:val="20"/>
        </w:rPr>
        <w:t xml:space="preserve"> lo justifique” –art, 83, Ley 1474 de 2011–. (</w:t>
      </w:r>
      <w:proofErr w:type="spellStart"/>
      <w:r w:rsidRPr="00A90B76">
        <w:rPr>
          <w:rFonts w:ascii="Verdana" w:eastAsia="Aptos" w:hAnsi="Verdana" w:cs="Arial"/>
          <w:bCs/>
          <w:sz w:val="20"/>
          <w:szCs w:val="20"/>
        </w:rPr>
        <w:t>ii</w:t>
      </w:r>
      <w:proofErr w:type="spellEnd"/>
      <w:r w:rsidRPr="00A90B76">
        <w:rPr>
          <w:rFonts w:ascii="Verdana" w:eastAsia="Aptos" w:hAnsi="Verdana" w:cs="Arial"/>
          <w:bCs/>
          <w:sz w:val="20"/>
          <w:szCs w:val="20"/>
        </w:rPr>
        <w:t>) También es un mecanismo de vigilancia que exige, en su ejecución, la utilización de conocimientos especializados. (</w:t>
      </w:r>
      <w:proofErr w:type="spellStart"/>
      <w:r w:rsidRPr="00A90B76">
        <w:rPr>
          <w:rFonts w:ascii="Verdana" w:eastAsia="Aptos" w:hAnsi="Verdana" w:cs="Arial"/>
          <w:bCs/>
          <w:sz w:val="20"/>
          <w:szCs w:val="20"/>
        </w:rPr>
        <w:t>iii</w:t>
      </w:r>
      <w:proofErr w:type="spellEnd"/>
      <w:r w:rsidRPr="00A90B76">
        <w:rPr>
          <w:rFonts w:ascii="Verdana" w:eastAsia="Aptos" w:hAnsi="Verdana" w:cs="Arial"/>
          <w:bCs/>
          <w:sz w:val="20"/>
          <w:szCs w:val="20"/>
        </w:rPr>
        <w:t>) Por lo anterior, la entidad contrata un experto, por regla general, mediante la modalidad de selección de concurso de méritos, al tratarse de una especie del contrato de consultoría –art. 32, numeral 2, inciso 2, Ley 80 de 1993‒, de manera que la interventoría es realizada por “una persona natural o jurídica contratada para tal fin por la Entidad Estatal” –art. 83, Ley 1474–. Adicionalmente, (</w:t>
      </w:r>
      <w:proofErr w:type="spellStart"/>
      <w:r w:rsidRPr="00A90B76">
        <w:rPr>
          <w:rFonts w:ascii="Verdana" w:eastAsia="Aptos" w:hAnsi="Verdana" w:cs="Arial"/>
          <w:bCs/>
          <w:sz w:val="20"/>
          <w:szCs w:val="20"/>
        </w:rPr>
        <w:t>iv</w:t>
      </w:r>
      <w:proofErr w:type="spellEnd"/>
      <w:r w:rsidRPr="00A90B76">
        <w:rPr>
          <w:rFonts w:ascii="Verdana" w:eastAsia="Aptos" w:hAnsi="Verdana" w:cs="Arial"/>
          <w:bCs/>
          <w:sz w:val="20"/>
          <w:szCs w:val="20"/>
        </w:rPr>
        <w:t>) el seguimiento técnico es inherente a la interventoría para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46904B2A" w14:textId="77777777" w:rsidR="00301943" w:rsidRPr="007A2BBB" w:rsidRDefault="00301943" w:rsidP="00301943">
      <w:pPr>
        <w:snapToGrid w:val="0"/>
        <w:spacing w:after="0" w:line="240" w:lineRule="auto"/>
        <w:contextualSpacing/>
        <w:jc w:val="both"/>
        <w:rPr>
          <w:rFonts w:ascii="Verdana" w:eastAsia="Aptos" w:hAnsi="Verdana" w:cs="Arial"/>
          <w:b/>
          <w:bCs/>
          <w:kern w:val="2"/>
          <w:lang w:val="es-MX"/>
          <w14:ligatures w14:val="standardContextual"/>
        </w:rPr>
      </w:pPr>
    </w:p>
    <w:p w14:paraId="28A074E2" w14:textId="77777777" w:rsidR="00301943" w:rsidRDefault="00301943" w:rsidP="00301943">
      <w:pPr>
        <w:snapToGrid w:val="0"/>
        <w:spacing w:after="0" w:line="240" w:lineRule="auto"/>
        <w:contextualSpacing/>
        <w:jc w:val="both"/>
        <w:rPr>
          <w:rFonts w:ascii="Verdana" w:eastAsia="Geomanist Light" w:hAnsi="Verdana" w:cs="Arial"/>
          <w:b/>
          <w:bCs/>
          <w:lang w:val="es-MX"/>
        </w:rPr>
      </w:pPr>
      <w:r w:rsidRPr="007A2BBB">
        <w:rPr>
          <w:rFonts w:ascii="Verdana" w:eastAsia="Geomanist Light" w:hAnsi="Verdana" w:cs="Arial"/>
          <w:b/>
          <w:bCs/>
          <w:lang w:val="es-MX"/>
        </w:rPr>
        <w:t>CONTRATO DE INTERVENTORÍA – Término – Plazo – Contrato objeto de seguimiento</w:t>
      </w:r>
    </w:p>
    <w:p w14:paraId="2EB0C7C9" w14:textId="77777777" w:rsidR="00301943" w:rsidRDefault="00301943" w:rsidP="00301943">
      <w:pPr>
        <w:snapToGrid w:val="0"/>
        <w:spacing w:after="0" w:line="240" w:lineRule="auto"/>
        <w:contextualSpacing/>
        <w:jc w:val="both"/>
        <w:rPr>
          <w:rFonts w:ascii="Verdana" w:eastAsia="Geomanist Light" w:hAnsi="Verdana" w:cs="Arial"/>
          <w:b/>
          <w:bCs/>
          <w:lang w:val="es-MX"/>
        </w:rPr>
      </w:pPr>
    </w:p>
    <w:p w14:paraId="4EED4103"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A90B76">
        <w:rPr>
          <w:rFonts w:ascii="Verdana" w:eastAsia="Calibri" w:hAnsi="Verdana" w:cs="Arial"/>
          <w:color w:val="000000"/>
          <w:kern w:val="2"/>
          <w:sz w:val="20"/>
          <w:szCs w:val="20"/>
          <w14:ligatures w14:val="standardContextual"/>
        </w:rPr>
        <w:t xml:space="preserve">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 No obstante, a pesar de lo anterior, el contrato de interventoría es </w:t>
      </w:r>
      <w:r w:rsidRPr="00A90B76">
        <w:rPr>
          <w:rFonts w:ascii="Verdana" w:eastAsia="Calibri" w:hAnsi="Verdana" w:cs="Arial"/>
          <w:i/>
          <w:iCs/>
          <w:color w:val="000000"/>
          <w:kern w:val="2"/>
          <w:sz w:val="20"/>
          <w:szCs w:val="20"/>
          <w14:ligatures w14:val="standardContextual"/>
        </w:rPr>
        <w:t xml:space="preserve">independiente del otro contrato </w:t>
      </w:r>
      <w:r w:rsidRPr="00A90B76">
        <w:rPr>
          <w:rFonts w:ascii="Verdana" w:eastAsia="Calibri" w:hAnsi="Verdana" w:cs="Arial"/>
          <w:color w:val="000000"/>
          <w:kern w:val="2"/>
          <w:sz w:val="20"/>
          <w:szCs w:val="20"/>
          <w14:ligatures w14:val="standardContextual"/>
        </w:rPr>
        <w:t xml:space="preserve">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7EE3E581"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Pr>
          <w:rFonts w:ascii="Verdana" w:eastAsia="Calibri" w:hAnsi="Verdana" w:cs="Arial"/>
          <w:color w:val="000000"/>
          <w:kern w:val="2"/>
          <w:sz w:val="20"/>
          <w:szCs w:val="20"/>
          <w14:ligatures w14:val="standardContextual"/>
        </w:rPr>
        <w:t>(…)</w:t>
      </w:r>
    </w:p>
    <w:p w14:paraId="07E888C4"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p>
    <w:p w14:paraId="7ED38743"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F8031E">
        <w:rPr>
          <w:rFonts w:ascii="Verdana" w:eastAsia="Calibri" w:hAnsi="Verdana" w:cs="Arial"/>
          <w:color w:val="000000"/>
          <w:kern w:val="2"/>
          <w:sz w:val="20"/>
          <w:szCs w:val="20"/>
          <w14:ligatures w14:val="standardContextual"/>
        </w:rPr>
        <w:t xml:space="preserve">Por tanto, respecto de su pregunta, desde la etapa de planeación, en la fase precontractual, las entidades estatales deben fijar el plazo del contrato, mediante la realización del análisis del sector –que incluye el estudio del mercado– y definir la metodología con la cual estructurarán el contrato, procurando que el contrato de interventoría cumpla con su finalidad de vigilancia del contrato de obra, esto es, teniendo en cuenta el plazo de este último. De esta manera, la definición del plazo hace parte de los estudios previos. En todo caso, el interventor y la entidad cuentan con libertad </w:t>
      </w:r>
      <w:r w:rsidRPr="00F8031E">
        <w:rPr>
          <w:rFonts w:ascii="Verdana" w:eastAsia="Calibri" w:hAnsi="Verdana" w:cs="Arial"/>
          <w:color w:val="000000"/>
          <w:kern w:val="2"/>
          <w:sz w:val="20"/>
          <w:szCs w:val="20"/>
          <w14:ligatures w14:val="standardContextual"/>
        </w:rPr>
        <w:lastRenderedPageBreak/>
        <w:t>negocial para determinar los aspectos del contrato, entendiéndose incluida en esta libertad la capacidad de definir el plazo para satisfacer los fines de la contratación y cumplir con los objetivos de vigilancia del contrato de interventoría. Para las entidades que se rigen por el Estatuto General de Contratación de la Administración Pública, esta autonomía está reconocida en los artículos 13, 32 y 40 de la Ley 80 de 1993. En virtud de su autonomía negocial, pueden incluir las condiciones que consideren necesarias y convenientes, siempre que no contraríen el ordenamiento jurídico.</w:t>
      </w:r>
    </w:p>
    <w:p w14:paraId="13F92129"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p>
    <w:p w14:paraId="5779D345" w14:textId="77777777" w:rsidR="00301943" w:rsidRDefault="00301943" w:rsidP="00301943">
      <w:pPr>
        <w:snapToGrid w:val="0"/>
        <w:spacing w:after="0" w:line="240" w:lineRule="auto"/>
        <w:contextualSpacing/>
        <w:jc w:val="both"/>
        <w:rPr>
          <w:rFonts w:ascii="Verdana" w:eastAsia="Geomanist Light" w:hAnsi="Verdana" w:cs="Arial"/>
          <w:b/>
          <w:bCs/>
          <w:lang w:val="es-MX"/>
        </w:rPr>
      </w:pPr>
      <w:r>
        <w:rPr>
          <w:rFonts w:ascii="Verdana" w:eastAsia="Geomanist Light" w:hAnsi="Verdana" w:cs="Arial"/>
          <w:b/>
          <w:bCs/>
          <w:lang w:val="es-MX"/>
        </w:rPr>
        <w:t>DOCUMENTOS TIPO</w:t>
      </w:r>
      <w:r w:rsidRPr="007A2BBB">
        <w:rPr>
          <w:rFonts w:ascii="Verdana" w:eastAsia="Geomanist Light" w:hAnsi="Verdana" w:cs="Arial"/>
          <w:b/>
          <w:bCs/>
          <w:lang w:val="es-MX"/>
        </w:rPr>
        <w:t xml:space="preserve"> – </w:t>
      </w:r>
      <w:r>
        <w:rPr>
          <w:rFonts w:ascii="Verdana" w:eastAsia="Geomanist Light" w:hAnsi="Verdana" w:cs="Arial"/>
          <w:b/>
          <w:bCs/>
          <w:lang w:val="es-MX"/>
        </w:rPr>
        <w:t>Infraestructura de Transporte</w:t>
      </w:r>
      <w:r w:rsidRPr="007A2BBB">
        <w:rPr>
          <w:rFonts w:ascii="Verdana" w:eastAsia="Geomanist Light" w:hAnsi="Verdana" w:cs="Arial"/>
          <w:b/>
          <w:bCs/>
          <w:lang w:val="es-MX"/>
        </w:rPr>
        <w:t xml:space="preserve"> –</w:t>
      </w:r>
      <w:r>
        <w:rPr>
          <w:rFonts w:ascii="Verdana" w:eastAsia="Geomanist Light" w:hAnsi="Verdana" w:cs="Arial"/>
          <w:b/>
          <w:bCs/>
          <w:lang w:val="es-MX"/>
        </w:rPr>
        <w:t xml:space="preserve"> Interventoría</w:t>
      </w:r>
      <w:r w:rsidRPr="007A2BBB">
        <w:rPr>
          <w:rFonts w:ascii="Verdana" w:eastAsia="Geomanist Light" w:hAnsi="Verdana" w:cs="Arial"/>
          <w:b/>
          <w:bCs/>
          <w:lang w:val="es-MX"/>
        </w:rPr>
        <w:t xml:space="preserve"> – </w:t>
      </w:r>
      <w:r>
        <w:rPr>
          <w:rFonts w:ascii="Verdana" w:eastAsia="Geomanist Light" w:hAnsi="Verdana" w:cs="Arial"/>
          <w:b/>
          <w:bCs/>
          <w:lang w:val="es-MX"/>
        </w:rPr>
        <w:t>Plazo</w:t>
      </w:r>
    </w:p>
    <w:p w14:paraId="77AAF2CD" w14:textId="77777777" w:rsidR="00301943" w:rsidRPr="00A90B76" w:rsidRDefault="00301943" w:rsidP="00301943">
      <w:pPr>
        <w:pStyle w:val="Sinespaciado"/>
        <w:snapToGrid w:val="0"/>
        <w:contextualSpacing/>
        <w:jc w:val="both"/>
        <w:rPr>
          <w:rFonts w:ascii="Verdana" w:hAnsi="Verdana" w:cs="Arial"/>
          <w:sz w:val="20"/>
          <w:szCs w:val="20"/>
        </w:rPr>
      </w:pPr>
    </w:p>
    <w:p w14:paraId="7431A286"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2F6256">
        <w:rPr>
          <w:rFonts w:ascii="Verdana" w:eastAsia="Calibri" w:hAnsi="Verdana" w:cs="Arial"/>
          <w:color w:val="000000"/>
          <w:kern w:val="2"/>
          <w:sz w:val="20"/>
          <w:szCs w:val="20"/>
          <w14:ligatures w14:val="standardContextual"/>
        </w:rPr>
        <w:t>En su consulta, usted menciona los pliegos tipo de interventoría sin mencionar el sector o la versión de estos, por lo que para absolver su consulta nos referiremos a los Documentos Tipo de interventoría de obra pública de infraestructura de transporte – versión 3, cuyo ANEXO 5 – MINUTA DEL CONTRATO DE INTERVENTORÍA, señala en la cláusula 4:</w:t>
      </w:r>
    </w:p>
    <w:p w14:paraId="2F34D8DB"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2F6256">
        <w:rPr>
          <w:rFonts w:ascii="Verdana" w:eastAsia="Calibri" w:hAnsi="Verdana" w:cs="Arial"/>
          <w:color w:val="000000"/>
          <w:kern w:val="2"/>
          <w:sz w:val="20"/>
          <w:szCs w:val="20"/>
          <w14:ligatures w14:val="standardContextual"/>
        </w:rPr>
        <w:t>“CLÁUSULA 4.</w:t>
      </w:r>
      <w:r w:rsidRPr="002F6256">
        <w:rPr>
          <w:rFonts w:ascii="Verdana" w:eastAsia="Calibri" w:hAnsi="Verdana" w:cs="Arial"/>
          <w:color w:val="000000"/>
          <w:kern w:val="2"/>
          <w:sz w:val="20"/>
          <w:szCs w:val="20"/>
          <w14:ligatures w14:val="standardContextual"/>
        </w:rPr>
        <w:tab/>
        <w:t>PLAZO DEL CONTRATO</w:t>
      </w:r>
    </w:p>
    <w:p w14:paraId="19700BDF"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2F6256">
        <w:rPr>
          <w:rFonts w:ascii="Verdana" w:eastAsia="Calibri" w:hAnsi="Verdana" w:cs="Arial"/>
          <w:color w:val="000000"/>
          <w:kern w:val="2"/>
          <w:sz w:val="20"/>
          <w:szCs w:val="20"/>
          <w14:ligatures w14:val="standardContextual"/>
        </w:rPr>
        <w:t xml:space="preserve">El plazo estimado para la ejecución del contrato será de [incluir plazo], contados a partir de [punto de inicio], previo el cumplimiento de los requisitos de perfeccionamiento y ejecución </w:t>
      </w:r>
      <w:proofErr w:type="gramStart"/>
      <w:r w:rsidRPr="002F6256">
        <w:rPr>
          <w:rFonts w:ascii="Verdana" w:eastAsia="Calibri" w:hAnsi="Verdana" w:cs="Arial"/>
          <w:color w:val="000000"/>
          <w:kern w:val="2"/>
          <w:sz w:val="20"/>
          <w:szCs w:val="20"/>
          <w14:ligatures w14:val="standardContextual"/>
        </w:rPr>
        <w:t>del mismo</w:t>
      </w:r>
      <w:proofErr w:type="gramEnd"/>
      <w:r w:rsidRPr="002F6256">
        <w:rPr>
          <w:rFonts w:ascii="Verdana" w:eastAsia="Calibri" w:hAnsi="Verdana" w:cs="Arial"/>
          <w:color w:val="000000"/>
          <w:kern w:val="2"/>
          <w:sz w:val="20"/>
          <w:szCs w:val="20"/>
          <w14:ligatures w14:val="standardContextual"/>
        </w:rPr>
        <w:t xml:space="preserve"> y aprobación de los documentos previstos en el Pliego de Condiciones.</w:t>
      </w:r>
    </w:p>
    <w:p w14:paraId="7A843A55"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p>
    <w:p w14:paraId="3DBEC44B" w14:textId="77777777" w:rsidR="00301943"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2F6256">
        <w:rPr>
          <w:rFonts w:ascii="Verdana" w:eastAsia="Calibri" w:hAnsi="Verdana" w:cs="Arial"/>
          <w:color w:val="000000"/>
          <w:kern w:val="2"/>
          <w:sz w:val="20"/>
          <w:szCs w:val="20"/>
          <w14:ligatures w14:val="standardContextual"/>
        </w:rPr>
        <w:t>Excepcionalmente, por causas que constituyan fuerza mayor o caso fortuito, las partes de común acuerdo podrán suspender el plazo de ejecución del contrato, siempre que la naturaleza de las obligaciones lo admita, no se contraríen normas de orden público y se adopten medidas para superar las causas que motivaron la suspensión en el menor tiempo posible”.</w:t>
      </w:r>
    </w:p>
    <w:p w14:paraId="5A7D3CFF"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p>
    <w:p w14:paraId="1199F4FB" w14:textId="77777777" w:rsidR="00301943" w:rsidRPr="002F6256" w:rsidRDefault="00301943" w:rsidP="00301943">
      <w:pPr>
        <w:pStyle w:val="Sinespaciado"/>
        <w:snapToGrid w:val="0"/>
        <w:contextualSpacing/>
        <w:jc w:val="both"/>
        <w:rPr>
          <w:rFonts w:ascii="Verdana" w:eastAsia="Calibri" w:hAnsi="Verdana" w:cs="Arial"/>
          <w:color w:val="000000"/>
          <w:kern w:val="2"/>
          <w:sz w:val="20"/>
          <w:szCs w:val="20"/>
          <w14:ligatures w14:val="standardContextual"/>
        </w:rPr>
      </w:pPr>
      <w:r w:rsidRPr="002F6256">
        <w:rPr>
          <w:rFonts w:ascii="Verdana" w:eastAsia="Calibri" w:hAnsi="Verdana" w:cs="Arial"/>
          <w:color w:val="000000"/>
          <w:kern w:val="2"/>
          <w:sz w:val="20"/>
          <w:szCs w:val="20"/>
          <w14:ligatures w14:val="standardContextual"/>
        </w:rPr>
        <w:t>Sin embargo, en ejercicio de la autonomía mencionada en la respuesta anterior, las entidades deberán diligenciar los espacios marcados en corchetes y gris, de acuerdo con el estudio previo, que, para responder su pregunta sobre el momento de fijar el plazo del contrato, es en la etapa de planeación el momento para fijar el plazo del contrato de interventoría, teniendo en cuenta que la interventoría vigila la ejecución o cumplimiento del contrato de obra vigilado.</w:t>
      </w:r>
    </w:p>
    <w:p w14:paraId="5A57FBB4" w14:textId="77777777" w:rsidR="00301943" w:rsidRDefault="00301943" w:rsidP="00301943">
      <w:pPr>
        <w:spacing w:after="0"/>
        <w:rPr>
          <w:rFonts w:ascii="Verdana" w:eastAsia="Calibri" w:hAnsi="Verdana" w:cs="Arial"/>
          <w:lang w:val="es-ES" w:eastAsia="es-ES"/>
        </w:rPr>
      </w:pPr>
    </w:p>
    <w:p w14:paraId="7C5FFCE8" w14:textId="77777777" w:rsidR="00301943" w:rsidRDefault="00301943" w:rsidP="00301943">
      <w:pPr>
        <w:spacing w:after="0"/>
        <w:rPr>
          <w:rFonts w:ascii="Verdana" w:eastAsia="Calibri" w:hAnsi="Verdana" w:cs="Arial"/>
          <w:lang w:val="es-ES" w:eastAsia="es-ES"/>
        </w:rPr>
      </w:pPr>
    </w:p>
    <w:p w14:paraId="09764C4B" w14:textId="77777777" w:rsidR="00301943" w:rsidRDefault="00301943" w:rsidP="00301943">
      <w:pPr>
        <w:spacing w:after="0"/>
        <w:rPr>
          <w:rFonts w:ascii="Verdana" w:eastAsia="Calibri" w:hAnsi="Verdana" w:cs="Arial"/>
          <w:lang w:val="es-ES" w:eastAsia="es-ES"/>
        </w:rPr>
      </w:pPr>
    </w:p>
    <w:p w14:paraId="1A597E0A" w14:textId="77777777" w:rsidR="00301943" w:rsidRDefault="00301943" w:rsidP="00301943">
      <w:pPr>
        <w:spacing w:after="0"/>
        <w:rPr>
          <w:rFonts w:ascii="Verdana" w:eastAsia="Calibri" w:hAnsi="Verdana" w:cs="Arial"/>
          <w:lang w:val="es-ES" w:eastAsia="es-ES"/>
        </w:rPr>
      </w:pPr>
    </w:p>
    <w:p w14:paraId="76450039" w14:textId="77777777" w:rsidR="00301943" w:rsidRDefault="00301943" w:rsidP="00301943">
      <w:pPr>
        <w:spacing w:after="0"/>
        <w:rPr>
          <w:rFonts w:ascii="Verdana" w:eastAsia="Calibri" w:hAnsi="Verdana" w:cs="Arial"/>
          <w:lang w:val="es-ES" w:eastAsia="es-ES"/>
        </w:rPr>
      </w:pPr>
    </w:p>
    <w:p w14:paraId="50268C8F" w14:textId="77777777" w:rsidR="00301943" w:rsidRDefault="00301943" w:rsidP="00301943">
      <w:pPr>
        <w:spacing w:after="0"/>
        <w:rPr>
          <w:rFonts w:ascii="Verdana" w:eastAsia="Calibri" w:hAnsi="Verdana" w:cs="Arial"/>
          <w:lang w:val="es-ES" w:eastAsia="es-ES"/>
        </w:rPr>
      </w:pPr>
    </w:p>
    <w:p w14:paraId="71EB1B8B" w14:textId="77777777" w:rsidR="00301943" w:rsidRDefault="00301943" w:rsidP="00301943">
      <w:pPr>
        <w:spacing w:after="0"/>
        <w:rPr>
          <w:rFonts w:ascii="Verdana" w:eastAsia="Calibri" w:hAnsi="Verdana" w:cs="Arial"/>
          <w:lang w:val="es-ES" w:eastAsia="es-ES"/>
        </w:rPr>
      </w:pPr>
    </w:p>
    <w:p w14:paraId="638C9C47" w14:textId="77777777" w:rsidR="00301943" w:rsidRDefault="00301943" w:rsidP="00301943">
      <w:pPr>
        <w:spacing w:after="0"/>
        <w:rPr>
          <w:rFonts w:ascii="Verdana" w:eastAsia="Calibri" w:hAnsi="Verdana" w:cs="Arial"/>
          <w:lang w:val="es-ES" w:eastAsia="es-ES"/>
        </w:rPr>
      </w:pPr>
    </w:p>
    <w:p w14:paraId="24544881" w14:textId="77777777" w:rsidR="00301943" w:rsidRDefault="00301943" w:rsidP="00301943">
      <w:pPr>
        <w:spacing w:after="0"/>
        <w:rPr>
          <w:rFonts w:ascii="Verdana" w:eastAsia="Calibri" w:hAnsi="Verdana" w:cs="Arial"/>
          <w:lang w:val="es-ES" w:eastAsia="es-ES"/>
        </w:rPr>
      </w:pPr>
    </w:p>
    <w:p w14:paraId="506E483E" w14:textId="77777777" w:rsidR="00301943" w:rsidRDefault="00301943" w:rsidP="00301943">
      <w:pPr>
        <w:spacing w:after="0"/>
        <w:rPr>
          <w:rFonts w:ascii="Verdana" w:eastAsia="Calibri" w:hAnsi="Verdana" w:cs="Arial"/>
          <w:lang w:val="es-ES" w:eastAsia="es-ES"/>
        </w:rPr>
      </w:pPr>
    </w:p>
    <w:p w14:paraId="31D64206" w14:textId="77777777" w:rsidR="00301943" w:rsidRDefault="00301943" w:rsidP="00301943">
      <w:pPr>
        <w:spacing w:after="0"/>
        <w:rPr>
          <w:rFonts w:ascii="Verdana" w:eastAsia="Calibri" w:hAnsi="Verdana" w:cs="Arial"/>
          <w:lang w:val="es-ES" w:eastAsia="es-ES"/>
        </w:rPr>
      </w:pPr>
    </w:p>
    <w:p w14:paraId="03AFAF4F" w14:textId="77777777" w:rsidR="00301943" w:rsidRDefault="00301943" w:rsidP="00301943">
      <w:pPr>
        <w:spacing w:after="0"/>
        <w:rPr>
          <w:rFonts w:ascii="Verdana" w:eastAsia="Calibri" w:hAnsi="Verdana" w:cs="Arial"/>
          <w:lang w:val="es-ES" w:eastAsia="es-ES"/>
        </w:rPr>
      </w:pPr>
    </w:p>
    <w:p w14:paraId="05E515FC" w14:textId="17434043" w:rsidR="00301943" w:rsidRDefault="00301943" w:rsidP="00301943">
      <w:pPr>
        <w:spacing w:after="0"/>
        <w:rPr>
          <w:rFonts w:ascii="Verdana" w:eastAsia="Calibri" w:hAnsi="Verdana" w:cs="Arial"/>
          <w:lang w:val="es-ES" w:eastAsia="es-ES"/>
        </w:rPr>
      </w:pPr>
      <w:r w:rsidRPr="00EB0D86">
        <w:rPr>
          <w:rFonts w:ascii="Verdana" w:eastAsia="Calibri" w:hAnsi="Verdana" w:cs="Arial"/>
          <w:lang w:val="es-ES" w:eastAsia="es-ES"/>
        </w:rPr>
        <w:t xml:space="preserve">Bogotá D.C., </w:t>
      </w:r>
      <w:r w:rsidR="009D49BE">
        <w:rPr>
          <w:rFonts w:ascii="Verdana" w:eastAsia="Calibri" w:hAnsi="Verdana" w:cs="Arial"/>
          <w:lang w:val="es-ES" w:eastAsia="es-ES"/>
        </w:rPr>
        <w:t>26 de enero de 2026</w:t>
      </w:r>
    </w:p>
    <w:p w14:paraId="00F97985" w14:textId="77777777" w:rsidR="009D49BE" w:rsidRDefault="009D49BE" w:rsidP="00301943">
      <w:pPr>
        <w:spacing w:after="0"/>
        <w:rPr>
          <w:rFonts w:ascii="Verdana" w:eastAsia="Calibri" w:hAnsi="Verdana" w:cs="Arial"/>
          <w:lang w:val="es-ES" w:eastAsia="es-ES"/>
        </w:rPr>
      </w:pPr>
    </w:p>
    <w:p w14:paraId="049438C8" w14:textId="029BED6B" w:rsidR="009D49BE" w:rsidRDefault="009D49BE" w:rsidP="009D49BE">
      <w:pPr>
        <w:spacing w:after="0"/>
        <w:jc w:val="right"/>
        <w:rPr>
          <w:rFonts w:ascii="Verdana" w:eastAsia="Calibri" w:hAnsi="Verdana" w:cs="Arial"/>
          <w:lang w:val="es-ES" w:eastAsia="es-ES"/>
        </w:rPr>
      </w:pPr>
    </w:p>
    <w:p w14:paraId="4089256F" w14:textId="384D802B" w:rsidR="00301943" w:rsidRDefault="00301943" w:rsidP="00301943">
      <w:pPr>
        <w:spacing w:after="0"/>
        <w:rPr>
          <w:rFonts w:ascii="Verdana" w:eastAsia="Calibri" w:hAnsi="Verdana" w:cs="Arial"/>
          <w:lang w:val="es-ES" w:eastAsia="es-ES"/>
        </w:rPr>
      </w:pPr>
    </w:p>
    <w:p w14:paraId="686DF8B3" w14:textId="32EFD13A" w:rsidR="00301943" w:rsidRPr="0044528D" w:rsidRDefault="00427458" w:rsidP="00301943">
      <w:pPr>
        <w:spacing w:after="0"/>
        <w:rPr>
          <w:rFonts w:ascii="Verdana" w:hAnsi="Verdana"/>
        </w:rPr>
      </w:pPr>
      <w:r w:rsidRPr="009D49BE">
        <w:rPr>
          <w:rFonts w:ascii="Verdana" w:eastAsia="Calibri" w:hAnsi="Verdana" w:cs="Arial"/>
          <w:noProof/>
          <w:lang w:val="es-ES" w:eastAsia="es-ES"/>
        </w:rPr>
        <w:drawing>
          <wp:anchor distT="0" distB="0" distL="114300" distR="114300" simplePos="0" relativeHeight="251658240" behindDoc="0" locked="0" layoutInCell="1" allowOverlap="1" wp14:anchorId="6C42BEB8" wp14:editId="26E58F42">
            <wp:simplePos x="0" y="0"/>
            <wp:positionH relativeFrom="column">
              <wp:posOffset>3228975</wp:posOffset>
            </wp:positionH>
            <wp:positionV relativeFrom="paragraph">
              <wp:posOffset>6985</wp:posOffset>
            </wp:positionV>
            <wp:extent cx="2377440" cy="763270"/>
            <wp:effectExtent l="0" t="0" r="3810" b="0"/>
            <wp:wrapSquare wrapText="bothSides"/>
            <wp:docPr id="20828745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7458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377440" cy="763270"/>
                    </a:xfrm>
                    <a:prstGeom prst="rect">
                      <a:avLst/>
                    </a:prstGeom>
                  </pic:spPr>
                </pic:pic>
              </a:graphicData>
            </a:graphic>
            <wp14:sizeRelH relativeFrom="margin">
              <wp14:pctWidth>0</wp14:pctWidth>
            </wp14:sizeRelH>
            <wp14:sizeRelV relativeFrom="margin">
              <wp14:pctHeight>0</wp14:pctHeight>
            </wp14:sizeRelV>
          </wp:anchor>
        </w:drawing>
      </w:r>
    </w:p>
    <w:p w14:paraId="5DEAE203" w14:textId="77777777" w:rsidR="00301943" w:rsidRPr="00FE5A24" w:rsidRDefault="00301943" w:rsidP="00301943">
      <w:pPr>
        <w:spacing w:after="0" w:line="240"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Señor</w:t>
      </w:r>
    </w:p>
    <w:p w14:paraId="16ED7804" w14:textId="77777777" w:rsidR="00301943" w:rsidRPr="00542214" w:rsidRDefault="00301943" w:rsidP="00301943">
      <w:pPr>
        <w:spacing w:after="0" w:line="240" w:lineRule="auto"/>
        <w:rPr>
          <w:rFonts w:ascii="Verdana" w:eastAsia="Calibri" w:hAnsi="Verdana" w:cs="Arial"/>
          <w:b/>
          <w:color w:val="000000" w:themeColor="text1"/>
          <w:lang w:eastAsia="es-ES_tradnl"/>
        </w:rPr>
      </w:pPr>
      <w:r>
        <w:rPr>
          <w:rFonts w:ascii="Verdana" w:eastAsia="Calibri" w:hAnsi="Verdana" w:cs="Arial"/>
          <w:b/>
          <w:color w:val="000000" w:themeColor="text1"/>
          <w:lang w:eastAsia="es-ES_tradnl"/>
        </w:rPr>
        <w:t>Julian Tovar</w:t>
      </w:r>
    </w:p>
    <w:p w14:paraId="2F21ECA6" w14:textId="77777777" w:rsidR="00301943" w:rsidRDefault="00301943" w:rsidP="00301943">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Tunja, Boyacá</w:t>
      </w:r>
    </w:p>
    <w:p w14:paraId="438062D0" w14:textId="77777777" w:rsidR="00301943" w:rsidRPr="00542214" w:rsidRDefault="00301943" w:rsidP="00301943">
      <w:pPr>
        <w:spacing w:after="0" w:line="240" w:lineRule="auto"/>
        <w:rPr>
          <w:rFonts w:ascii="Verdana" w:eastAsia="Calibri" w:hAnsi="Verdana" w:cs="Arial"/>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01943" w:rsidRPr="00FE5A24" w14:paraId="4D929E02" w14:textId="77777777" w:rsidTr="00D8057A">
        <w:trPr>
          <w:trHeight w:val="559"/>
        </w:trPr>
        <w:tc>
          <w:tcPr>
            <w:tcW w:w="2689" w:type="dxa"/>
          </w:tcPr>
          <w:p w14:paraId="2F5B9C7B" w14:textId="77777777" w:rsidR="00301943" w:rsidRPr="00FE5A24" w:rsidRDefault="00301943" w:rsidP="00D8057A">
            <w:pPr>
              <w:jc w:val="both"/>
              <w:rPr>
                <w:rFonts w:ascii="Verdana" w:eastAsia="Calibri" w:hAnsi="Verdana" w:cs="Arial"/>
                <w:b/>
                <w:bCs/>
                <w:color w:val="000000" w:themeColor="text1"/>
                <w:lang w:val="es-ES_tradnl" w:eastAsia="es-ES_tradnl"/>
              </w:rPr>
            </w:pPr>
          </w:p>
        </w:tc>
        <w:tc>
          <w:tcPr>
            <w:tcW w:w="6100" w:type="dxa"/>
          </w:tcPr>
          <w:p w14:paraId="688EE922" w14:textId="77777777" w:rsidR="00301943" w:rsidRPr="00FE5A24" w:rsidRDefault="00301943" w:rsidP="00D8057A">
            <w:pPr>
              <w:contextualSpacing/>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1866</w:t>
            </w:r>
            <w:r w:rsidRPr="00FE5A24">
              <w:rPr>
                <w:rFonts w:ascii="Verdana" w:eastAsia="Calibri" w:hAnsi="Verdana" w:cs="Arial"/>
                <w:b/>
                <w:bCs/>
                <w:color w:val="000000" w:themeColor="text1"/>
                <w:lang w:val="es-ES" w:eastAsia="es-ES"/>
              </w:rPr>
              <w:t xml:space="preserve"> de 2025</w:t>
            </w:r>
          </w:p>
        </w:tc>
      </w:tr>
      <w:tr w:rsidR="00301943" w:rsidRPr="00FE5A24" w14:paraId="75ABFA02" w14:textId="77777777" w:rsidTr="00D8057A">
        <w:trPr>
          <w:trHeight w:val="884"/>
        </w:trPr>
        <w:tc>
          <w:tcPr>
            <w:tcW w:w="2689" w:type="dxa"/>
          </w:tcPr>
          <w:p w14:paraId="0CC498B5" w14:textId="77777777" w:rsidR="00301943" w:rsidRPr="00FE5A24" w:rsidRDefault="00301943" w:rsidP="00D8057A">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6D231365" w14:textId="77777777" w:rsidR="00301943" w:rsidRPr="002A1163" w:rsidRDefault="00301943" w:rsidP="00D8057A">
            <w:pPr>
              <w:spacing w:line="276" w:lineRule="auto"/>
              <w:jc w:val="both"/>
              <w:rPr>
                <w:rFonts w:ascii="Verdana" w:eastAsia="Calibri" w:hAnsi="Verdana" w:cs="Arial"/>
                <w:color w:val="000000" w:themeColor="text1"/>
                <w:lang w:val="es-ES" w:eastAsia="es-ES"/>
              </w:rPr>
            </w:pPr>
            <w:r w:rsidRPr="00C86A50">
              <w:rPr>
                <w:rFonts w:ascii="Verdana" w:eastAsia="Aptos" w:hAnsi="Verdana" w:cs="Arial"/>
                <w:kern w:val="2"/>
                <w:lang w:val="es-MX"/>
                <w14:ligatures w14:val="standardContextual"/>
              </w:rPr>
              <w:t xml:space="preserve">CONTRATO DE INTERVENTORÍA – Características – Finalidad / </w:t>
            </w:r>
            <w:r w:rsidRPr="00C86A50">
              <w:rPr>
                <w:rFonts w:ascii="Verdana" w:eastAsia="Geomanist Light" w:hAnsi="Verdana" w:cs="Arial"/>
                <w:lang w:val="es-MX"/>
              </w:rPr>
              <w:t xml:space="preserve">CONTRATO DE INTERVENTORÍA – Término – Plazo – Contrato objeto de seguimiento </w:t>
            </w:r>
            <w:r>
              <w:rPr>
                <w:rFonts w:ascii="Verdana" w:eastAsia="Geomanist Light" w:hAnsi="Verdana" w:cs="Arial"/>
                <w:lang w:val="es-MX"/>
              </w:rPr>
              <w:t xml:space="preserve">/ </w:t>
            </w:r>
            <w:r w:rsidRPr="00F8031E">
              <w:rPr>
                <w:rFonts w:ascii="Verdana" w:eastAsia="Geomanist Light" w:hAnsi="Verdana" w:cs="Arial"/>
                <w:lang w:val="es-MX"/>
              </w:rPr>
              <w:t>DOCUMENTOS TIPO – Infraestructura de Transporte – Interventoría – Plazo</w:t>
            </w:r>
          </w:p>
        </w:tc>
      </w:tr>
      <w:tr w:rsidR="00301943" w:rsidRPr="00744CC5" w14:paraId="211A33DA" w14:textId="77777777" w:rsidTr="00D8057A">
        <w:tc>
          <w:tcPr>
            <w:tcW w:w="2689" w:type="dxa"/>
          </w:tcPr>
          <w:p w14:paraId="61A3035B" w14:textId="77777777" w:rsidR="00301943" w:rsidRPr="00FE5A24" w:rsidRDefault="00301943" w:rsidP="00D8057A">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45C491CD" w14:textId="77777777" w:rsidR="00301943" w:rsidRPr="00FE5A24" w:rsidRDefault="00301943" w:rsidP="00D8057A">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65510A">
              <w:rPr>
                <w:rFonts w:ascii="Verdana" w:eastAsia="Calibri" w:hAnsi="Verdana" w:cs="Arial"/>
                <w:color w:val="000000" w:themeColor="text1"/>
                <w:lang w:val="es-ES_tradnl" w:eastAsia="es-ES_tradnl"/>
              </w:rPr>
              <w:t>1_2025_12_26_014366</w:t>
            </w:r>
          </w:p>
        </w:tc>
      </w:tr>
    </w:tbl>
    <w:p w14:paraId="0543E586" w14:textId="77777777" w:rsidR="00301943" w:rsidRPr="00FE5A24" w:rsidRDefault="00301943" w:rsidP="00301943">
      <w:pPr>
        <w:spacing w:after="0" w:line="240" w:lineRule="auto"/>
        <w:jc w:val="both"/>
        <w:rPr>
          <w:rFonts w:ascii="Verdana" w:eastAsia="Calibri" w:hAnsi="Verdana" w:cs="Arial"/>
          <w:color w:val="000000" w:themeColor="text1"/>
          <w:lang w:val="es-ES_tradnl" w:eastAsia="es-ES_tradnl"/>
        </w:rPr>
      </w:pPr>
    </w:p>
    <w:p w14:paraId="18C9096B" w14:textId="77777777" w:rsidR="00301943" w:rsidRPr="00FE5A24" w:rsidRDefault="00301943" w:rsidP="00301943">
      <w:pPr>
        <w:spacing w:after="0" w:line="240" w:lineRule="auto"/>
        <w:jc w:val="both"/>
        <w:rPr>
          <w:rFonts w:ascii="Verdana" w:eastAsia="Calibri" w:hAnsi="Verdana" w:cs="Arial"/>
          <w:color w:val="000000" w:themeColor="text1"/>
          <w:lang w:val="es-ES_tradnl" w:eastAsia="es-ES_tradnl"/>
        </w:rPr>
      </w:pPr>
    </w:p>
    <w:p w14:paraId="737B0923" w14:textId="77777777" w:rsidR="00301943" w:rsidRPr="00FE5A24" w:rsidRDefault="00301943" w:rsidP="00301943">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E5A2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Tovar</w:t>
      </w:r>
      <w:r w:rsidRPr="00FE5A24">
        <w:rPr>
          <w:rFonts w:ascii="Verdana" w:eastAsia="Calibri" w:hAnsi="Verdana" w:cs="Arial"/>
          <w:color w:val="000000" w:themeColor="text1"/>
          <w:lang w:val="es-ES" w:eastAsia="es-ES"/>
        </w:rPr>
        <w:t xml:space="preserve">: </w:t>
      </w:r>
    </w:p>
    <w:p w14:paraId="521A778E" w14:textId="77777777" w:rsidR="00301943" w:rsidRPr="00FE5A24" w:rsidRDefault="00301943" w:rsidP="00301943">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5C695588" w14:textId="77777777" w:rsidR="00301943" w:rsidRDefault="00301943" w:rsidP="00301943">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 xml:space="preserve">de consulta de fecha 26 </w:t>
      </w:r>
      <w:r w:rsidRPr="00FE5A24">
        <w:rPr>
          <w:rFonts w:ascii="Verdana" w:hAnsi="Verdana" w:cs="Arial"/>
          <w:color w:val="000000" w:themeColor="text1"/>
        </w:rPr>
        <w:t xml:space="preserve">de </w:t>
      </w:r>
      <w:r>
        <w:rPr>
          <w:rFonts w:ascii="Verdana" w:hAnsi="Verdana" w:cs="Arial"/>
          <w:color w:val="000000" w:themeColor="text1"/>
        </w:rPr>
        <w:t>diciembre</w:t>
      </w:r>
      <w:r w:rsidRPr="00FE5A24">
        <w:rPr>
          <w:rFonts w:ascii="Verdana" w:hAnsi="Verdana" w:cs="Arial"/>
          <w:color w:val="000000" w:themeColor="text1"/>
        </w:rPr>
        <w:t xml:space="preserve"> de 2025, en la cual manifiesta lo siguiente:</w:t>
      </w:r>
      <w:r w:rsidRPr="00FE5A24">
        <w:rPr>
          <w:rFonts w:ascii="Verdana" w:eastAsia="Calibri" w:hAnsi="Verdana" w:cs="Arial"/>
          <w:color w:val="000000" w:themeColor="text1"/>
          <w:lang w:val="es-ES" w:eastAsia="es-ES"/>
        </w:rPr>
        <w:t xml:space="preserve"> </w:t>
      </w:r>
    </w:p>
    <w:p w14:paraId="50031F2B" w14:textId="77777777" w:rsidR="00301943" w:rsidRPr="00FE5A24" w:rsidRDefault="00301943" w:rsidP="00301943">
      <w:pPr>
        <w:spacing w:after="0" w:line="276" w:lineRule="auto"/>
        <w:jc w:val="both"/>
        <w:rPr>
          <w:rFonts w:ascii="Verdana" w:eastAsia="Calibri" w:hAnsi="Verdana" w:cs="Arial"/>
          <w:color w:val="000000" w:themeColor="text1"/>
          <w:lang w:val="es-ES" w:eastAsia="es-ES"/>
        </w:rPr>
      </w:pPr>
    </w:p>
    <w:p w14:paraId="22CF8984" w14:textId="77777777" w:rsidR="00301943" w:rsidRDefault="00301943" w:rsidP="00301943">
      <w:pPr>
        <w:snapToGrid w:val="0"/>
        <w:spacing w:after="0" w:line="240" w:lineRule="auto"/>
        <w:ind w:left="709" w:right="709"/>
        <w:contextualSpacing/>
        <w:jc w:val="both"/>
        <w:rPr>
          <w:rFonts w:ascii="Verdana" w:hAnsi="Verdana" w:cs="Arial"/>
          <w:color w:val="000000" w:themeColor="text1"/>
          <w:sz w:val="20"/>
          <w:szCs w:val="20"/>
        </w:rPr>
      </w:pPr>
      <w:r>
        <w:rPr>
          <w:rFonts w:ascii="Verdana" w:hAnsi="Verdana" w:cs="Arial"/>
          <w:color w:val="000000" w:themeColor="text1"/>
          <w:sz w:val="20"/>
          <w:szCs w:val="20"/>
        </w:rPr>
        <w:t>“</w:t>
      </w:r>
      <w:r w:rsidRPr="005D0897">
        <w:rPr>
          <w:rFonts w:ascii="Verdana" w:hAnsi="Verdana" w:cs="Arial"/>
          <w:i/>
          <w:iCs/>
          <w:color w:val="000000" w:themeColor="text1"/>
          <w:sz w:val="20"/>
          <w:szCs w:val="20"/>
        </w:rPr>
        <w:t>Los pliegos tipo para interventoría contienen dentro de su minuta:</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CLÁUSULA 4.</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PLAZO DEL CONTRATO El plazo estimado para la ejecución del contrato será de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tendrá un plazo correspondiente a la</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ejecución del contrato de obra y su liquidación, contados a partir de la firma del acta</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de inicio.</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De manera respetuosa elevo la siguiente consulta: el contrato de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interventoría y el contrato de obra, cuentan con la misma fecha de terminación. No</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obstante, la Alcaldía de Tunja ha indicado que la fecha del acta de terminación del</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contrato de interventoría debe coincidir con la fecha de liquidación del contrato de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obra. Considero que dicha exigencia no es procedente, en la medida en que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 xml:space="preserve">implicaría la imposición de cargas </w:t>
      </w:r>
      <w:r w:rsidRPr="005D0897">
        <w:rPr>
          <w:rFonts w:ascii="Verdana" w:hAnsi="Verdana" w:cs="Arial"/>
          <w:i/>
          <w:iCs/>
          <w:color w:val="000000" w:themeColor="text1"/>
          <w:sz w:val="20"/>
          <w:szCs w:val="20"/>
        </w:rPr>
        <w:lastRenderedPageBreak/>
        <w:t>no previstas contractualmente, tales como el pago</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de la seguridad social del equipo de interventoría hasta una nueva fecha de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terminación. Adicionalmente, no resulta jurídicamente viable modificar la fecha de</w:t>
      </w:r>
      <w:r>
        <w:rPr>
          <w:rFonts w:ascii="Verdana" w:hAnsi="Verdana" w:cs="Arial"/>
          <w:i/>
          <w:iCs/>
          <w:color w:val="000000" w:themeColor="text1"/>
          <w:sz w:val="20"/>
          <w:szCs w:val="20"/>
        </w:rPr>
        <w:t xml:space="preserve"> </w:t>
      </w:r>
      <w:r w:rsidRPr="005D0897">
        <w:rPr>
          <w:rFonts w:ascii="Verdana" w:hAnsi="Verdana" w:cs="Arial"/>
          <w:i/>
          <w:iCs/>
          <w:color w:val="000000" w:themeColor="text1"/>
          <w:sz w:val="20"/>
          <w:szCs w:val="20"/>
        </w:rPr>
        <w:t>un acta que ya fue debidamente aprobada y publicada en la plataforma S</w:t>
      </w:r>
      <w:r>
        <w:rPr>
          <w:rFonts w:ascii="Verdana" w:hAnsi="Verdana" w:cs="Arial"/>
          <w:color w:val="000000" w:themeColor="text1"/>
          <w:sz w:val="20"/>
          <w:szCs w:val="20"/>
        </w:rPr>
        <w:t>” (sic)</w:t>
      </w:r>
    </w:p>
    <w:p w14:paraId="0EDB5F14" w14:textId="77777777" w:rsidR="00301943" w:rsidRPr="00192243" w:rsidRDefault="00301943" w:rsidP="00301943">
      <w:pPr>
        <w:snapToGrid w:val="0"/>
        <w:spacing w:after="0" w:line="240" w:lineRule="auto"/>
        <w:ind w:left="709" w:right="709"/>
        <w:contextualSpacing/>
        <w:jc w:val="both"/>
        <w:rPr>
          <w:rFonts w:ascii="Verdana" w:hAnsi="Verdana" w:cs="Arial"/>
          <w:color w:val="000000" w:themeColor="text1"/>
          <w:sz w:val="20"/>
          <w:szCs w:val="20"/>
        </w:rPr>
      </w:pPr>
    </w:p>
    <w:p w14:paraId="10DB38BE" w14:textId="77777777" w:rsidR="00301943" w:rsidRPr="00FE5A24" w:rsidRDefault="00301943" w:rsidP="00301943">
      <w:pPr>
        <w:spacing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451C8686" w14:textId="77777777" w:rsidR="00301943" w:rsidRDefault="00301943" w:rsidP="00301943">
      <w:pPr>
        <w:spacing w:after="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26190AD" w14:textId="77777777" w:rsidR="00301943" w:rsidRPr="00FE5A24" w:rsidRDefault="00301943" w:rsidP="00301943">
      <w:pPr>
        <w:spacing w:after="0" w:line="276" w:lineRule="auto"/>
        <w:ind w:firstLine="709"/>
        <w:jc w:val="both"/>
        <w:rPr>
          <w:rFonts w:ascii="Verdana" w:eastAsia="Calibri" w:hAnsi="Verdana" w:cs="Arial"/>
          <w:color w:val="000000" w:themeColor="text1"/>
          <w:lang w:val="es-ES" w:eastAsia="es-ES"/>
        </w:rPr>
      </w:pPr>
    </w:p>
    <w:p w14:paraId="23F8406C" w14:textId="77777777" w:rsidR="00301943" w:rsidRPr="00FE5A24" w:rsidRDefault="00301943" w:rsidP="0030194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 xml:space="preserve"> planteado</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w:t>
      </w:r>
    </w:p>
    <w:p w14:paraId="05CC4794" w14:textId="77777777" w:rsidR="00301943" w:rsidRPr="00FE5A24" w:rsidRDefault="00301943" w:rsidP="00301943">
      <w:pPr>
        <w:tabs>
          <w:tab w:val="left" w:pos="426"/>
        </w:tabs>
        <w:spacing w:after="0" w:line="276" w:lineRule="auto"/>
        <w:jc w:val="both"/>
        <w:rPr>
          <w:rFonts w:ascii="Verdana" w:eastAsia="Century Gothic" w:hAnsi="Verdana" w:cs="Century Gothic"/>
          <w:color w:val="000000" w:themeColor="text1"/>
          <w:lang w:val="es-ES"/>
        </w:rPr>
      </w:pPr>
    </w:p>
    <w:p w14:paraId="08E2B22A" w14:textId="77777777" w:rsidR="00301943" w:rsidRPr="00FE5A24" w:rsidRDefault="00301943" w:rsidP="00301943">
      <w:pPr>
        <w:spacing w:after="0" w:line="276" w:lineRule="auto"/>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los</w:t>
      </w:r>
      <w:r w:rsidRPr="00FE5A24">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i) </w:t>
      </w:r>
      <w:r w:rsidRPr="0015183A">
        <w:rPr>
          <w:rFonts w:ascii="Verdana" w:eastAsia="Century Gothic" w:hAnsi="Verdana" w:cs="Century Gothic"/>
          <w:color w:val="000000" w:themeColor="text1"/>
        </w:rPr>
        <w:t>¿El contrato de interventoría debe tener la misma fecha de finalización del contrato de obra</w:t>
      </w:r>
      <w:r>
        <w:rPr>
          <w:rFonts w:ascii="Verdana" w:eastAsia="Century Gothic" w:hAnsi="Verdana" w:cs="Century Gothic"/>
          <w:color w:val="000000" w:themeColor="text1"/>
        </w:rPr>
        <w:t xml:space="preserve">? y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 xml:space="preserve">) </w:t>
      </w:r>
      <w:r w:rsidRPr="00FE5A24">
        <w:rPr>
          <w:rFonts w:ascii="Verdana" w:eastAsia="Century Gothic" w:hAnsi="Verdana" w:cs="Century Gothic"/>
          <w:color w:val="000000" w:themeColor="text1"/>
        </w:rPr>
        <w:t>¿</w:t>
      </w:r>
      <w:r>
        <w:rPr>
          <w:rFonts w:ascii="Verdana" w:eastAsia="Century Gothic" w:hAnsi="Verdana" w:cs="Century Gothic"/>
          <w:color w:val="000000" w:themeColor="text1"/>
        </w:rPr>
        <w:t>En qué momento se fija el plazo de un contrato de interventoría</w:t>
      </w:r>
      <w:r w:rsidRPr="00FE5A24">
        <w:rPr>
          <w:rFonts w:ascii="Verdana" w:eastAsia="Century Gothic" w:hAnsi="Verdana" w:cs="Century Gothic"/>
          <w:color w:val="000000" w:themeColor="text1"/>
        </w:rPr>
        <w:t>?</w:t>
      </w:r>
    </w:p>
    <w:p w14:paraId="7BD9ADFA" w14:textId="77777777" w:rsidR="00301943" w:rsidRPr="00FE5A24" w:rsidRDefault="00301943" w:rsidP="00301943">
      <w:pPr>
        <w:spacing w:after="0" w:line="276" w:lineRule="auto"/>
        <w:jc w:val="both"/>
        <w:rPr>
          <w:rFonts w:ascii="Verdana" w:eastAsia="Calibri" w:hAnsi="Verdana" w:cs="Arial"/>
          <w:color w:val="000000" w:themeColor="text1"/>
          <w:lang w:val="es-ES"/>
        </w:rPr>
      </w:pPr>
    </w:p>
    <w:p w14:paraId="68F43CEA" w14:textId="77777777" w:rsidR="00301943" w:rsidRPr="00FE5A24" w:rsidRDefault="00301943" w:rsidP="003019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w:t>
      </w:r>
    </w:p>
    <w:p w14:paraId="7CD1C8D4" w14:textId="77777777" w:rsidR="00301943" w:rsidRPr="00FE5A24" w:rsidRDefault="00301943" w:rsidP="0030194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01943" w:rsidRPr="00FE5A24" w14:paraId="20B25516" w14:textId="77777777" w:rsidTr="00D8057A">
        <w:tc>
          <w:tcPr>
            <w:tcW w:w="8828" w:type="dxa"/>
          </w:tcPr>
          <w:p w14:paraId="17125578" w14:textId="751681FE" w:rsidR="00301943" w:rsidRDefault="00301943" w:rsidP="00D8057A">
            <w:pPr>
              <w:spacing w:before="120" w:after="120" w:line="276" w:lineRule="auto"/>
              <w:jc w:val="both"/>
              <w:rPr>
                <w:rFonts w:ascii="Verdana" w:eastAsia="Calibri" w:hAnsi="Verdana" w:cs="Arial"/>
                <w:color w:val="000000"/>
                <w:kern w:val="2"/>
                <w14:ligatures w14:val="standardContextual"/>
              </w:rPr>
            </w:pPr>
            <w:r>
              <w:rPr>
                <w:rFonts w:ascii="Verdana" w:eastAsia="Calibri" w:hAnsi="Verdana" w:cs="Arial"/>
                <w:color w:val="000000"/>
                <w:kern w:val="2"/>
                <w14:ligatures w14:val="standardContextual"/>
              </w:rPr>
              <w:t>i) E</w:t>
            </w:r>
            <w:r w:rsidRPr="007873B5">
              <w:rPr>
                <w:rFonts w:ascii="Verdana" w:eastAsia="Calibri" w:hAnsi="Verdana" w:cs="Arial"/>
                <w:color w:val="000000"/>
                <w:kern w:val="2"/>
                <w14:ligatures w14:val="standardContextual"/>
              </w:rPr>
              <w:t xml:space="preserve">l contrato de interventoría supone la existencia de otro contrato –es decir, el contrato vigilado–, y por eso la jurisprudencia ha caracterizado la </w:t>
            </w:r>
            <w:r w:rsidRPr="007873B5">
              <w:rPr>
                <w:rFonts w:ascii="Verdana" w:eastAsia="Calibri" w:hAnsi="Verdana" w:cs="Arial"/>
                <w:color w:val="000000"/>
                <w:kern w:val="2"/>
                <w14:ligatures w14:val="standardContextual"/>
              </w:rPr>
              <w:lastRenderedPageBreak/>
              <w:t xml:space="preserve">interventoría como un negocio jurídico íntimamente relacionado en su objeto con el contrato respecto del que ejerce las actividades del interventor. No obstante, el contrato de interventoría es </w:t>
            </w:r>
            <w:r w:rsidRPr="002E4D8E">
              <w:rPr>
                <w:rFonts w:ascii="Verdana" w:eastAsia="Calibri" w:hAnsi="Verdana" w:cs="Arial"/>
                <w:i/>
                <w:iCs/>
                <w:color w:val="000000"/>
                <w:kern w:val="2"/>
                <w14:ligatures w14:val="standardContextual"/>
              </w:rPr>
              <w:t xml:space="preserve">independiente del otro contrato </w:t>
            </w:r>
            <w:r w:rsidRPr="007873B5">
              <w:rPr>
                <w:rFonts w:ascii="Verdana" w:eastAsia="Calibri" w:hAnsi="Verdana" w:cs="Arial"/>
                <w:color w:val="000000"/>
                <w:kern w:val="2"/>
                <w14:ligatures w14:val="standardContextual"/>
              </w:rPr>
              <w:t xml:space="preserve">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3565982A" w14:textId="77777777" w:rsidR="00301943" w:rsidRPr="007873B5" w:rsidRDefault="00301943" w:rsidP="00D8057A">
            <w:pPr>
              <w:pStyle w:val="Sinespaciado"/>
              <w:spacing w:before="120" w:line="276" w:lineRule="auto"/>
              <w:ind w:firstLine="708"/>
              <w:jc w:val="both"/>
              <w:rPr>
                <w:rFonts w:ascii="Verdana" w:hAnsi="Verdana" w:cs="Arial"/>
                <w:sz w:val="22"/>
              </w:rPr>
            </w:pPr>
            <w:r w:rsidRPr="007873B5">
              <w:rPr>
                <w:rFonts w:ascii="Verdana" w:hAnsi="Verdana" w:cs="Arial"/>
                <w:sz w:val="22"/>
              </w:rPr>
              <w:t xml:space="preserve">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w:t>
            </w:r>
          </w:p>
          <w:p w14:paraId="76B621B6" w14:textId="7B85DB7D" w:rsidR="008C5A49" w:rsidRDefault="00301943" w:rsidP="00D8057A">
            <w:pPr>
              <w:spacing w:before="120" w:after="120" w:line="276" w:lineRule="auto"/>
              <w:ind w:firstLine="742"/>
              <w:jc w:val="both"/>
              <w:rPr>
                <w:rFonts w:ascii="Verdana" w:eastAsia="Arial" w:hAnsi="Verdana" w:cstheme="majorHAnsi"/>
                <w:lang w:val="es-ES"/>
              </w:rPr>
            </w:pPr>
            <w:r>
              <w:rPr>
                <w:rFonts w:ascii="Verdana" w:eastAsia="Arial" w:hAnsi="Verdana" w:cstheme="majorHAnsi"/>
                <w:lang w:val="es-ES"/>
              </w:rPr>
              <w:t>Por tanto, respecto de su pregunta, d</w:t>
            </w:r>
            <w:r w:rsidRPr="007873B5">
              <w:rPr>
                <w:rFonts w:ascii="Verdana" w:eastAsia="Arial" w:hAnsi="Verdana" w:cstheme="majorHAnsi"/>
                <w:lang w:val="es-ES"/>
              </w:rPr>
              <w:t xml:space="preserve">esde la etapa de planeación, en la fase precontractual, las entidades estatales deben </w:t>
            </w:r>
            <w:r>
              <w:rPr>
                <w:rFonts w:ascii="Verdana" w:eastAsia="Arial" w:hAnsi="Verdana" w:cstheme="majorHAnsi"/>
                <w:lang w:val="es-ES"/>
              </w:rPr>
              <w:t>fijar el plazo del contrato</w:t>
            </w:r>
            <w:r w:rsidRPr="007873B5">
              <w:rPr>
                <w:rFonts w:ascii="Verdana" w:eastAsia="Arial" w:hAnsi="Verdana" w:cstheme="majorHAnsi"/>
                <w:lang w:val="es-ES"/>
              </w:rPr>
              <w:t>, mediante la realización del análisis del sector –y definir la metodología con la cual estructurarán el contrato</w:t>
            </w:r>
            <w:r>
              <w:rPr>
                <w:rFonts w:ascii="Verdana" w:eastAsia="Arial" w:hAnsi="Verdana" w:cstheme="majorHAnsi"/>
                <w:lang w:val="es-ES"/>
              </w:rPr>
              <w:t>, procurando que el contrato de interventoría cumpla con su finalidad de vigilancia del contrato de obra, esto es, teniendo en cuenta el plazo de este último. De esta manera, la</w:t>
            </w:r>
            <w:r w:rsidRPr="007873B5">
              <w:rPr>
                <w:rFonts w:ascii="Verdana" w:eastAsia="Arial" w:hAnsi="Verdana" w:cstheme="majorHAnsi"/>
                <w:lang w:val="es-ES"/>
              </w:rPr>
              <w:t xml:space="preserve"> definición del </w:t>
            </w:r>
            <w:r>
              <w:rPr>
                <w:rFonts w:ascii="Verdana" w:eastAsia="Arial" w:hAnsi="Verdana" w:cstheme="majorHAnsi"/>
                <w:lang w:val="es-ES"/>
              </w:rPr>
              <w:t xml:space="preserve">plazo hace parte de los estudios previos. </w:t>
            </w:r>
          </w:p>
          <w:p w14:paraId="158B463F" w14:textId="2C5C9468" w:rsidR="00301943" w:rsidRDefault="00301943" w:rsidP="00D8057A">
            <w:pPr>
              <w:spacing w:before="120" w:after="120" w:line="276" w:lineRule="auto"/>
              <w:ind w:firstLine="742"/>
              <w:jc w:val="both"/>
              <w:rPr>
                <w:rFonts w:ascii="Verdana" w:eastAsia="Arial" w:hAnsi="Verdana" w:cstheme="majorHAnsi"/>
                <w:lang w:val="es-ES"/>
              </w:rPr>
            </w:pPr>
            <w:r>
              <w:rPr>
                <w:rFonts w:ascii="Verdana" w:eastAsia="Arial" w:hAnsi="Verdana" w:cstheme="majorHAnsi"/>
                <w:lang w:val="es-ES"/>
              </w:rPr>
              <w:t xml:space="preserve">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w:t>
            </w:r>
            <w:r w:rsidRPr="002E4D8E">
              <w:rPr>
                <w:rFonts w:ascii="Verdana" w:hAnsi="Verdana" w:cs="Arial"/>
                <w:i/>
                <w:iCs/>
              </w:rPr>
              <w:t>libertad negocial</w:t>
            </w:r>
            <w:r w:rsidRPr="007873B5">
              <w:rPr>
                <w:rFonts w:ascii="Verdana" w:hAnsi="Verdana" w:cs="Arial"/>
              </w:rPr>
              <w:t xml:space="preserve"> para determinar </w:t>
            </w:r>
            <w:r>
              <w:rPr>
                <w:rFonts w:ascii="Verdana" w:hAnsi="Verdana" w:cs="Arial"/>
              </w:rPr>
              <w:t xml:space="preserve">los </w:t>
            </w:r>
            <w:r w:rsidRPr="007873B5">
              <w:rPr>
                <w:rFonts w:ascii="Verdana" w:hAnsi="Verdana" w:cs="Arial"/>
              </w:rPr>
              <w:t xml:space="preserve">aspectos del contrato, entendiéndose incluida en esta libertad la capacidad de definir </w:t>
            </w:r>
            <w:r>
              <w:rPr>
                <w:rFonts w:ascii="Verdana" w:hAnsi="Verdana" w:cs="Arial"/>
              </w:rPr>
              <w:t>el plazo</w:t>
            </w:r>
            <w:r w:rsidRPr="007873B5">
              <w:rPr>
                <w:rFonts w:ascii="Verdana" w:eastAsia="Arial" w:hAnsi="Verdana" w:cstheme="majorHAnsi"/>
                <w:lang w:val="es-ES"/>
              </w:rPr>
              <w:t xml:space="preserve"> para satisfacer los fines de la contratación</w:t>
            </w:r>
            <w:r>
              <w:rPr>
                <w:rFonts w:ascii="Verdana" w:eastAsia="Arial" w:hAnsi="Verdana" w:cstheme="majorHAnsi"/>
                <w:lang w:val="es-ES"/>
              </w:rPr>
              <w:t xml:space="preserve"> y cumplir con los objetivos de vigilancia del contrato de interventoría</w:t>
            </w:r>
            <w:r w:rsidRPr="007873B5">
              <w:rPr>
                <w:rFonts w:ascii="Verdana" w:eastAsia="Arial" w:hAnsi="Verdana" w:cstheme="majorHAnsi"/>
                <w:lang w:val="es-ES"/>
              </w:rPr>
              <w:t xml:space="preserve">.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 32 y 40 de la Ley 80 de 1993.</w:t>
            </w:r>
            <w:r>
              <w:rPr>
                <w:rFonts w:ascii="Verdana" w:eastAsia="Arial" w:hAnsi="Verdana" w:cstheme="majorHAnsi"/>
                <w:lang w:val="es-ES"/>
              </w:rPr>
              <w:t xml:space="preserve"> En virtud de su autonomía negocial, </w:t>
            </w:r>
            <w:r w:rsidRPr="00063B02">
              <w:rPr>
                <w:rFonts w:ascii="Verdana" w:eastAsia="Arial" w:hAnsi="Verdana" w:cstheme="majorHAnsi"/>
                <w:lang w:val="es-ES"/>
              </w:rPr>
              <w:t>pueden incluir las condiciones que consideren necesarias y convenientes, siempre que no contraríen el ordenamiento jurídico.</w:t>
            </w:r>
            <w:r>
              <w:rPr>
                <w:rFonts w:ascii="Verdana" w:eastAsia="Arial" w:hAnsi="Verdana" w:cstheme="majorHAnsi"/>
                <w:lang w:val="es-ES"/>
              </w:rPr>
              <w:t xml:space="preserve"> </w:t>
            </w:r>
          </w:p>
          <w:p w14:paraId="1B12A133" w14:textId="5942521B" w:rsidR="00301943" w:rsidRDefault="00301943" w:rsidP="00D8057A">
            <w:pPr>
              <w:spacing w:before="120" w:after="120" w:line="276" w:lineRule="auto"/>
              <w:ind w:firstLine="87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cualquier caso, las entidades sujetas al EGCAP deberán verificar si el proceso para contratar la interventoría de una obra pública se encuentra sujeto a los documentos tipo adoptados por la Agencia Nacional de Contratación Pública – Colombia Compra Eficiente. En estos casos, las entidades deberán aplicar las cláusulas de precio y forma de pago que </w:t>
            </w:r>
            <w:r>
              <w:rPr>
                <w:rFonts w:ascii="Verdana" w:eastAsia="Calibri" w:hAnsi="Verdana" w:cs="Arial"/>
                <w:color w:val="000000" w:themeColor="text1"/>
                <w:lang w:val="es-ES"/>
              </w:rPr>
              <w:lastRenderedPageBreak/>
              <w:t xml:space="preserve">establezca </w:t>
            </w:r>
            <w:r w:rsidR="00B604EA">
              <w:rPr>
                <w:rFonts w:ascii="Verdana" w:eastAsia="Calibri" w:hAnsi="Verdana" w:cs="Arial"/>
                <w:color w:val="000000" w:themeColor="text1"/>
                <w:lang w:val="es-ES"/>
              </w:rPr>
              <w:t xml:space="preserve">el Anexo - </w:t>
            </w:r>
            <w:r>
              <w:rPr>
                <w:rFonts w:ascii="Verdana" w:eastAsia="Calibri" w:hAnsi="Verdana" w:cs="Arial"/>
                <w:color w:val="000000" w:themeColor="text1"/>
                <w:lang w:val="es-ES"/>
              </w:rPr>
              <w:t>Minuta</w:t>
            </w:r>
            <w:r w:rsidR="00B604EA">
              <w:rPr>
                <w:rFonts w:ascii="Verdana" w:eastAsia="Calibri" w:hAnsi="Verdana" w:cs="Arial"/>
                <w:color w:val="000000" w:themeColor="text1"/>
                <w:lang w:val="es-ES"/>
              </w:rPr>
              <w:t xml:space="preserve"> del contrato</w:t>
            </w:r>
            <w:r>
              <w:rPr>
                <w:rFonts w:ascii="Verdana" w:eastAsia="Calibri" w:hAnsi="Verdana" w:cs="Arial"/>
                <w:color w:val="000000" w:themeColor="text1"/>
                <w:lang w:val="es-ES"/>
              </w:rPr>
              <w:t xml:space="preserve"> de dichos documentos sin alterar su contenido, salvo en aquellos aspectos que los mismos lo permitan.</w:t>
            </w:r>
          </w:p>
          <w:p w14:paraId="34BEF1DA" w14:textId="6054ADD9" w:rsidR="00301943" w:rsidRDefault="00301943" w:rsidP="00D8057A">
            <w:pPr>
              <w:spacing w:before="120" w:after="120" w:line="276" w:lineRule="auto"/>
              <w:ind w:firstLine="708"/>
              <w:jc w:val="both"/>
              <w:rPr>
                <w:rFonts w:ascii="Verdana" w:eastAsia="Arial" w:hAnsi="Verdana" w:cstheme="majorHAnsi"/>
                <w:lang w:val="es-ES"/>
              </w:rPr>
            </w:pPr>
            <w:proofErr w:type="spellStart"/>
            <w:r>
              <w:rPr>
                <w:rFonts w:ascii="Verdana" w:eastAsia="Arial" w:hAnsi="Verdana" w:cstheme="majorHAnsi"/>
                <w:lang w:val="es-ES"/>
              </w:rPr>
              <w:t>ii</w:t>
            </w:r>
            <w:proofErr w:type="spellEnd"/>
            <w:r>
              <w:rPr>
                <w:rFonts w:ascii="Verdana" w:eastAsia="Arial" w:hAnsi="Verdana" w:cstheme="majorHAnsi"/>
                <w:lang w:val="es-ES"/>
              </w:rPr>
              <w:t xml:space="preserve">) En su consulta, usted menciona los </w:t>
            </w:r>
            <w:r w:rsidR="00B604EA">
              <w:rPr>
                <w:rFonts w:ascii="Verdana" w:eastAsia="Arial" w:hAnsi="Verdana" w:cstheme="majorHAnsi"/>
                <w:lang w:val="es-ES"/>
              </w:rPr>
              <w:t xml:space="preserve">documentos </w:t>
            </w:r>
            <w:r>
              <w:rPr>
                <w:rFonts w:ascii="Verdana" w:eastAsia="Arial" w:hAnsi="Verdana" w:cstheme="majorHAnsi"/>
                <w:lang w:val="es-ES"/>
              </w:rPr>
              <w:t xml:space="preserve">tipo de interventoría sin mencionar el sector o la versión de estos, por lo que para absolver su consulta nos referiremos a los Documentos Tipo de </w:t>
            </w:r>
            <w:r w:rsidRPr="00BA2FA6">
              <w:rPr>
                <w:rFonts w:ascii="Verdana" w:eastAsia="Arial" w:hAnsi="Verdana" w:cstheme="majorHAnsi"/>
                <w:lang w:val="es-ES"/>
              </w:rPr>
              <w:t>interventoría de obra pública de infraestructura de transporte – versión 3</w:t>
            </w:r>
            <w:r>
              <w:rPr>
                <w:rFonts w:ascii="Verdana" w:eastAsia="Arial" w:hAnsi="Verdana" w:cstheme="majorHAnsi"/>
                <w:lang w:val="es-ES"/>
              </w:rPr>
              <w:t xml:space="preserve">, cuyo </w:t>
            </w:r>
            <w:r w:rsidRPr="006E6E77">
              <w:rPr>
                <w:rFonts w:ascii="Verdana" w:eastAsia="Arial" w:hAnsi="Verdana" w:cstheme="majorHAnsi"/>
                <w:lang w:val="es-ES"/>
              </w:rPr>
              <w:t>ANEXO 5 – MINUTA DEL CONTRATO DE INTERVENTORÍA</w:t>
            </w:r>
            <w:r>
              <w:rPr>
                <w:rFonts w:ascii="Verdana" w:eastAsia="Arial" w:hAnsi="Verdana" w:cstheme="majorHAnsi"/>
                <w:lang w:val="es-ES"/>
              </w:rPr>
              <w:t>, señala en la cláusula 4:</w:t>
            </w:r>
          </w:p>
          <w:p w14:paraId="1C51073F" w14:textId="77777777" w:rsidR="00301943" w:rsidRPr="00CF27CD" w:rsidRDefault="00301943" w:rsidP="00D8057A">
            <w:pPr>
              <w:snapToGrid w:val="0"/>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“CLÁUSULA 4.</w:t>
            </w:r>
            <w:r w:rsidRPr="00CF27CD">
              <w:rPr>
                <w:rFonts w:ascii="Verdana" w:eastAsia="Aptos" w:hAnsi="Verdana" w:cs="Arial"/>
                <w:sz w:val="20"/>
                <w:szCs w:val="20"/>
                <w:lang w:val="es-ES" w:eastAsia="es-MX"/>
              </w:rPr>
              <w:tab/>
              <w:t>PLAZO DEL CONTRATO</w:t>
            </w:r>
          </w:p>
          <w:p w14:paraId="6B8FC790" w14:textId="77777777" w:rsidR="00301943" w:rsidRPr="00CF27CD" w:rsidRDefault="00301943" w:rsidP="00D8057A">
            <w:pPr>
              <w:snapToGrid w:val="0"/>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 xml:space="preserve">El plazo estimado para la ejecución del contrato será de </w:t>
            </w:r>
            <w:r w:rsidRPr="003E3C3B">
              <w:rPr>
                <w:rFonts w:ascii="Verdana" w:eastAsia="Aptos" w:hAnsi="Verdana" w:cs="Arial"/>
                <w:sz w:val="20"/>
                <w:szCs w:val="20"/>
                <w:highlight w:val="darkGray"/>
                <w:lang w:val="es-ES" w:eastAsia="es-MX"/>
              </w:rPr>
              <w:t>[incluir plazo]</w:t>
            </w:r>
            <w:r w:rsidRPr="00CF27CD">
              <w:rPr>
                <w:rFonts w:ascii="Verdana" w:eastAsia="Aptos" w:hAnsi="Verdana" w:cs="Arial"/>
                <w:sz w:val="20"/>
                <w:szCs w:val="20"/>
                <w:lang w:val="es-ES" w:eastAsia="es-MX"/>
              </w:rPr>
              <w:t xml:space="preserve">, contados a partir de </w:t>
            </w:r>
            <w:r w:rsidRPr="003E3C3B">
              <w:rPr>
                <w:rFonts w:ascii="Verdana" w:eastAsia="Aptos" w:hAnsi="Verdana" w:cs="Arial"/>
                <w:sz w:val="20"/>
                <w:szCs w:val="20"/>
                <w:highlight w:val="darkGray"/>
                <w:lang w:val="es-ES" w:eastAsia="es-MX"/>
              </w:rPr>
              <w:t>[punto de inicio],</w:t>
            </w:r>
            <w:r w:rsidRPr="00CF27CD">
              <w:rPr>
                <w:rFonts w:ascii="Verdana" w:eastAsia="Aptos" w:hAnsi="Verdana" w:cs="Arial"/>
                <w:sz w:val="20"/>
                <w:szCs w:val="20"/>
                <w:lang w:val="es-ES" w:eastAsia="es-MX"/>
              </w:rPr>
              <w:t xml:space="preserve"> previo el cumplimiento de los requisitos de perfeccionamiento y ejecución </w:t>
            </w:r>
            <w:proofErr w:type="gramStart"/>
            <w:r w:rsidRPr="00CF27CD">
              <w:rPr>
                <w:rFonts w:ascii="Verdana" w:eastAsia="Aptos" w:hAnsi="Verdana" w:cs="Arial"/>
                <w:sz w:val="20"/>
                <w:szCs w:val="20"/>
                <w:lang w:val="es-ES" w:eastAsia="es-MX"/>
              </w:rPr>
              <w:t>del mismo</w:t>
            </w:r>
            <w:proofErr w:type="gramEnd"/>
            <w:r w:rsidRPr="00CF27CD">
              <w:rPr>
                <w:rFonts w:ascii="Verdana" w:eastAsia="Aptos" w:hAnsi="Verdana" w:cs="Arial"/>
                <w:sz w:val="20"/>
                <w:szCs w:val="20"/>
                <w:lang w:val="es-ES" w:eastAsia="es-MX"/>
              </w:rPr>
              <w:t xml:space="preserve"> y aprobación de los documentos previstos en el Pliego de Condiciones.</w:t>
            </w:r>
          </w:p>
          <w:p w14:paraId="05E7CAB0" w14:textId="77777777" w:rsidR="00301943" w:rsidRPr="00CF27CD" w:rsidRDefault="00301943" w:rsidP="00D8057A">
            <w:pPr>
              <w:snapToGrid w:val="0"/>
              <w:ind w:left="709" w:right="709"/>
              <w:jc w:val="both"/>
              <w:textAlignment w:val="baseline"/>
              <w:rPr>
                <w:rFonts w:ascii="Verdana" w:eastAsia="Aptos" w:hAnsi="Verdana" w:cs="Arial"/>
                <w:sz w:val="20"/>
                <w:szCs w:val="20"/>
                <w:lang w:val="es-ES" w:eastAsia="es-MX"/>
              </w:rPr>
            </w:pPr>
          </w:p>
          <w:p w14:paraId="285780A7" w14:textId="77777777" w:rsidR="00301943" w:rsidRPr="00CF27CD" w:rsidRDefault="00301943" w:rsidP="00D8057A">
            <w:pPr>
              <w:snapToGrid w:val="0"/>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Excepcionalmente, por causas que constituyan fuerza mayor o caso fortuito, las partes de común acuerdo podrán suspender el plazo de ejecución del contrato, siempre que la naturaleza de las obligaciones lo admita, no se contraríen normas de orden público y se adopten medidas para superar las causas que motivaron la suspensión en el menor tiempo posible”.</w:t>
            </w:r>
          </w:p>
          <w:p w14:paraId="602D9484" w14:textId="77777777" w:rsidR="00865188" w:rsidRDefault="00A92E77" w:rsidP="00373554">
            <w:pPr>
              <w:spacing w:before="120" w:after="120" w:line="276" w:lineRule="auto"/>
              <w:jc w:val="both"/>
              <w:rPr>
                <w:rFonts w:ascii="Verdana" w:eastAsia="Arial" w:hAnsi="Verdana" w:cstheme="majorHAnsi"/>
                <w:lang w:val="es-ES"/>
              </w:rPr>
            </w:pPr>
            <w:r>
              <w:rPr>
                <w:rFonts w:ascii="Verdana" w:eastAsia="Arial" w:hAnsi="Verdana" w:cstheme="majorHAnsi"/>
                <w:lang w:val="es-ES"/>
              </w:rPr>
              <w:t xml:space="preserve">         </w:t>
            </w:r>
          </w:p>
          <w:p w14:paraId="03C832CC" w14:textId="5DE974AA" w:rsidR="00373554" w:rsidRPr="00373554" w:rsidRDefault="00373554" w:rsidP="00447AE8">
            <w:pPr>
              <w:spacing w:before="120" w:after="120" w:line="276" w:lineRule="auto"/>
              <w:ind w:firstLine="709"/>
              <w:jc w:val="both"/>
              <w:rPr>
                <w:rFonts w:ascii="Verdana" w:eastAsia="Arial" w:hAnsi="Verdana" w:cstheme="majorHAnsi"/>
              </w:rPr>
            </w:pPr>
            <w:r w:rsidRPr="00373554">
              <w:rPr>
                <w:rFonts w:ascii="Verdana" w:eastAsia="Arial" w:hAnsi="Verdana" w:cstheme="majorHAnsi"/>
              </w:rPr>
              <w:t xml:space="preserve">Ahora bien, en ejercicio de la autonomía reconocida a las entidades estatales, estas deberán </w:t>
            </w:r>
            <w:r w:rsidRPr="00865188">
              <w:rPr>
                <w:rFonts w:ascii="Verdana" w:eastAsia="Arial" w:hAnsi="Verdana" w:cstheme="majorHAnsi"/>
              </w:rPr>
              <w:t>diligenciar los espacios señalados en corchetes y resaltados en gris</w:t>
            </w:r>
            <w:r w:rsidRPr="00373554">
              <w:rPr>
                <w:rFonts w:ascii="Verdana" w:eastAsia="Arial" w:hAnsi="Verdana" w:cstheme="majorHAnsi"/>
              </w:rPr>
              <w:t xml:space="preserve">, </w:t>
            </w:r>
            <w:r w:rsidR="008D61B5">
              <w:rPr>
                <w:rFonts w:ascii="Verdana" w:eastAsia="Arial" w:hAnsi="Verdana" w:cstheme="majorHAnsi"/>
              </w:rPr>
              <w:t>de acuerdo con el resultado de os estudios realizados en la etapa de planeación</w:t>
            </w:r>
            <w:r w:rsidRPr="00373554">
              <w:rPr>
                <w:rFonts w:ascii="Verdana" w:eastAsia="Arial" w:hAnsi="Verdana" w:cstheme="majorHAnsi"/>
              </w:rPr>
              <w:t xml:space="preserve">. En este sentido, y atendiendo su pregunta sobre el momento en el cual debe fijarse el plazo del contrato, es claro que dicha determinación debe realizarse </w:t>
            </w:r>
            <w:r w:rsidRPr="00865188">
              <w:rPr>
                <w:rFonts w:ascii="Verdana" w:eastAsia="Arial" w:hAnsi="Verdana" w:cstheme="majorHAnsi"/>
              </w:rPr>
              <w:t xml:space="preserve">en la etapa </w:t>
            </w:r>
            <w:r w:rsidR="008D61B5">
              <w:rPr>
                <w:rFonts w:ascii="Verdana" w:eastAsia="Arial" w:hAnsi="Verdana" w:cstheme="majorHAnsi"/>
              </w:rPr>
              <w:t>en la referida etapa</w:t>
            </w:r>
            <w:r w:rsidRPr="00865188">
              <w:rPr>
                <w:rFonts w:ascii="Verdana" w:eastAsia="Arial" w:hAnsi="Verdana" w:cstheme="majorHAnsi"/>
              </w:rPr>
              <w:t xml:space="preserve"> del proceso de contratación</w:t>
            </w:r>
            <w:r w:rsidR="008D61B5">
              <w:rPr>
                <w:rFonts w:ascii="Verdana" w:eastAsia="Arial" w:hAnsi="Verdana" w:cstheme="majorHAnsi"/>
              </w:rPr>
              <w:t xml:space="preserve"> y se de plasmar en los estudios y documentos previos</w:t>
            </w:r>
            <w:r w:rsidRPr="00373554">
              <w:rPr>
                <w:rFonts w:ascii="Verdana" w:eastAsia="Arial" w:hAnsi="Verdana" w:cstheme="majorHAnsi"/>
              </w:rPr>
              <w:t>.</w:t>
            </w:r>
          </w:p>
          <w:p w14:paraId="2755795D" w14:textId="14040BBE" w:rsidR="00373554" w:rsidRDefault="00373554" w:rsidP="00373554">
            <w:pPr>
              <w:spacing w:before="120" w:after="120" w:line="276" w:lineRule="auto"/>
              <w:jc w:val="both"/>
              <w:rPr>
                <w:rFonts w:ascii="Verdana" w:eastAsia="Arial" w:hAnsi="Verdana" w:cstheme="majorHAnsi"/>
              </w:rPr>
            </w:pPr>
            <w:r>
              <w:rPr>
                <w:rFonts w:ascii="Verdana" w:eastAsia="Arial" w:hAnsi="Verdana" w:cstheme="majorHAnsi"/>
              </w:rPr>
              <w:t xml:space="preserve">         </w:t>
            </w:r>
            <w:r w:rsidRPr="00373554">
              <w:rPr>
                <w:rFonts w:ascii="Verdana" w:eastAsia="Arial" w:hAnsi="Verdana" w:cstheme="majorHAnsi"/>
              </w:rPr>
              <w:t xml:space="preserve">Lo anterior obedece a que el contrato de interventoría tiene como finalidad </w:t>
            </w:r>
            <w:r w:rsidRPr="00865188">
              <w:rPr>
                <w:rFonts w:ascii="Verdana" w:eastAsia="Arial" w:hAnsi="Verdana" w:cstheme="majorHAnsi"/>
              </w:rPr>
              <w:t>vigilar la ejecución y el cumplimiento del contrato de obra objeto de supervisión</w:t>
            </w:r>
            <w:r w:rsidRPr="00373554">
              <w:rPr>
                <w:rFonts w:ascii="Verdana" w:eastAsia="Arial" w:hAnsi="Verdana" w:cstheme="majorHAnsi"/>
              </w:rPr>
              <w:t>, razón por la cual su plazo debe guardar coherencia y correspondencia con la duración estimada del contrato de obra vigilado.</w:t>
            </w:r>
          </w:p>
          <w:p w14:paraId="377E35DD" w14:textId="0FBE705A" w:rsidR="004522FC" w:rsidRPr="004522FC" w:rsidRDefault="00BC7B25" w:rsidP="00BC7B25">
            <w:pPr>
              <w:spacing w:before="120" w:after="120" w:line="276" w:lineRule="auto"/>
              <w:ind w:firstLine="709"/>
              <w:jc w:val="both"/>
              <w:rPr>
                <w:rFonts w:ascii="Verdana" w:eastAsia="Arial" w:hAnsi="Verdana" w:cstheme="majorHAnsi"/>
              </w:rPr>
            </w:pPr>
            <w:r>
              <w:rPr>
                <w:rFonts w:ascii="Verdana" w:eastAsia="Arial" w:hAnsi="Verdana" w:cstheme="majorHAnsi"/>
              </w:rPr>
              <w:t>Asimismo</w:t>
            </w:r>
            <w:r w:rsidR="00290539">
              <w:rPr>
                <w:rFonts w:ascii="Verdana" w:eastAsia="Arial" w:hAnsi="Verdana" w:cstheme="majorHAnsi"/>
              </w:rPr>
              <w:t xml:space="preserve">, </w:t>
            </w:r>
            <w:r w:rsidR="004522FC" w:rsidRPr="004522FC">
              <w:rPr>
                <w:rFonts w:ascii="Verdana" w:eastAsia="Arial" w:hAnsi="Verdana" w:cstheme="majorHAnsi"/>
              </w:rPr>
              <w:t>dentro del proceso de selección existen varios periodos en los que los proponentes puede</w:t>
            </w:r>
            <w:r w:rsidR="00AB3C56">
              <w:rPr>
                <w:rFonts w:ascii="Verdana" w:eastAsia="Arial" w:hAnsi="Verdana" w:cstheme="majorHAnsi"/>
              </w:rPr>
              <w:t>n</w:t>
            </w:r>
            <w:r w:rsidR="004522FC" w:rsidRPr="004522FC">
              <w:rPr>
                <w:rFonts w:ascii="Verdana" w:eastAsia="Arial" w:hAnsi="Verdana" w:cstheme="majorHAnsi"/>
              </w:rPr>
              <w:t xml:space="preserve"> realizar observaciones respecto a todos los aspectos del futuro contrato. Así, en el momento en que presentan su oferta aceptan las condiciones establecidas en los pliegos de condiciones una vez surtidas estas etapas.</w:t>
            </w:r>
          </w:p>
          <w:p w14:paraId="5D870AB3" w14:textId="77777777" w:rsidR="00301943" w:rsidRPr="00494206" w:rsidRDefault="00301943" w:rsidP="00D8057A">
            <w:pPr>
              <w:widowControl w:val="0"/>
              <w:autoSpaceDE w:val="0"/>
              <w:autoSpaceDN w:val="0"/>
              <w:spacing w:before="120" w:after="120" w:line="276" w:lineRule="auto"/>
              <w:ind w:firstLine="709"/>
              <w:jc w:val="both"/>
              <w:rPr>
                <w:rFonts w:ascii="Verdana" w:hAnsi="Verdana" w:cs="Arial"/>
              </w:rPr>
            </w:pPr>
            <w:r>
              <w:rPr>
                <w:rFonts w:ascii="Verdana" w:eastAsia="Calibri" w:hAnsi="Verdana" w:cs="Arial"/>
                <w:color w:val="000000" w:themeColor="text1"/>
                <w:lang w:val="es-ES"/>
              </w:rPr>
              <w:lastRenderedPageBreak/>
              <w:t xml:space="preserve">Finalmente, se advierte que </w:t>
            </w:r>
            <w:r w:rsidRPr="002C6323">
              <w:rPr>
                <w:rFonts w:ascii="Verdana" w:hAnsi="Verdana" w:cs="Arial"/>
              </w:rPr>
              <w:t xml:space="preserve">el análisis requerido para </w:t>
            </w:r>
            <w:r w:rsidRPr="002C6323">
              <w:rPr>
                <w:rFonts w:ascii="Verdana" w:eastAsia="Calibri" w:hAnsi="Verdana" w:cs="Arial"/>
                <w:color w:val="000000"/>
                <w:lang w:val="es-ES" w:eastAsia="es-ES"/>
              </w:rPr>
              <w:t xml:space="preserve">estipular el </w:t>
            </w:r>
            <w:r>
              <w:rPr>
                <w:rFonts w:ascii="Verdana" w:eastAsia="Calibri" w:hAnsi="Verdana" w:cs="Arial"/>
                <w:color w:val="000000"/>
                <w:lang w:val="es-ES" w:eastAsia="es-ES"/>
              </w:rPr>
              <w:t xml:space="preserve">plazo de la interventoría </w:t>
            </w:r>
            <w:r w:rsidRPr="002C6323">
              <w:rPr>
                <w:rFonts w:ascii="Verdana" w:hAnsi="Verdana" w:cs="Arial"/>
              </w:rPr>
              <w:t>debe ser realizado por quienes tengan interés en ello</w:t>
            </w:r>
            <w:r>
              <w:rPr>
                <w:rFonts w:ascii="Verdana" w:hAnsi="Verdana" w:cs="Arial"/>
              </w:rPr>
              <w:t xml:space="preserve"> según las particularidades del caso</w:t>
            </w:r>
            <w:r w:rsidRPr="002C6323">
              <w:rPr>
                <w:rFonts w:ascii="Verdana" w:hAnsi="Verdana" w:cs="Arial"/>
              </w:rPr>
              <w:t xml:space="preserve">, de acuerdo con lo explicado </w:t>
            </w:r>
            <w:r>
              <w:rPr>
                <w:rFonts w:ascii="Verdana" w:hAnsi="Verdana" w:cs="Arial"/>
              </w:rPr>
              <w:t>anteriormente</w:t>
            </w:r>
            <w:r w:rsidRPr="002C6323">
              <w:rPr>
                <w:rFonts w:ascii="Verdana" w:hAnsi="Verdana" w:cs="Arial"/>
              </w:rPr>
              <w:t>. De esta manera, la entidad contratante definirá en cada caso concreto lo relacionado con</w:t>
            </w:r>
            <w:r>
              <w:rPr>
                <w:rFonts w:ascii="Verdana" w:hAnsi="Verdana" w:cs="Arial"/>
              </w:rPr>
              <w:t xml:space="preserve"> el plazo, considerando en todo caso la procedencia e inalterabilidad de las condiciones que para ello establezcan los Documentos Tipo adoptados por esta Agencia.</w:t>
            </w:r>
          </w:p>
        </w:tc>
      </w:tr>
    </w:tbl>
    <w:p w14:paraId="74770195" w14:textId="77777777" w:rsidR="00301943" w:rsidRPr="00FE5A24" w:rsidRDefault="00301943" w:rsidP="0030194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484B41B" w14:textId="77777777" w:rsidR="00301943" w:rsidRPr="00D55655" w:rsidRDefault="00301943" w:rsidP="003019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 xml:space="preserve"> respuesta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w:t>
      </w:r>
    </w:p>
    <w:p w14:paraId="41FE36C4" w14:textId="77777777" w:rsidR="00301943" w:rsidRPr="00FE5A24" w:rsidRDefault="00301943" w:rsidP="00301943">
      <w:pPr>
        <w:spacing w:before="120" w:after="12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5087D791" w14:textId="77777777" w:rsidR="00301943" w:rsidRPr="00A641BB" w:rsidRDefault="00301943" w:rsidP="00301943">
      <w:pPr>
        <w:snapToGrid w:val="0"/>
        <w:spacing w:before="120" w:after="120" w:line="276" w:lineRule="auto"/>
        <w:jc w:val="both"/>
        <w:rPr>
          <w:rFonts w:ascii="Verdana" w:eastAsia="Calibri" w:hAnsi="Verdana" w:cs="Arial"/>
          <w:shd w:val="clear" w:color="auto" w:fill="FFFFFF"/>
        </w:rPr>
      </w:pPr>
      <w:r>
        <w:rPr>
          <w:rFonts w:ascii="Verdana" w:eastAsia="Calibri" w:hAnsi="Verdana" w:cs="Arial"/>
          <w:shd w:val="clear" w:color="auto" w:fill="FFFFFF"/>
        </w:rPr>
        <w:t xml:space="preserve">i) </w:t>
      </w:r>
      <w:r w:rsidRPr="009A644A">
        <w:rPr>
          <w:rFonts w:ascii="Verdana" w:eastAsia="Calibri" w:hAnsi="Verdana" w:cs="Arial"/>
          <w:shd w:val="clear" w:color="auto" w:fill="FFFFFF"/>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0665B1C4" w14:textId="77777777" w:rsidR="00301943" w:rsidRPr="000A15AB" w:rsidRDefault="00301943" w:rsidP="00301943">
      <w:pPr>
        <w:snapToGrid w:val="0"/>
        <w:spacing w:before="120" w:after="120" w:line="276" w:lineRule="auto"/>
        <w:ind w:firstLine="708"/>
        <w:jc w:val="both"/>
        <w:textAlignment w:val="baseline"/>
        <w:rPr>
          <w:rFonts w:ascii="Verdana" w:eastAsia="Aptos" w:hAnsi="Verdana" w:cs="Arial"/>
          <w:lang w:val="es-ES_tradnl" w:eastAsia="es-MX"/>
        </w:rPr>
      </w:pPr>
      <w:r>
        <w:rPr>
          <w:rFonts w:ascii="Verdana" w:eastAsia="Aptos" w:hAnsi="Verdana" w:cs="Arial"/>
          <w:lang w:val="es-ES_tradnl" w:eastAsia="es-MX"/>
        </w:rPr>
        <w:t>Por su parte</w:t>
      </w:r>
      <w:r w:rsidRPr="000A15AB">
        <w:rPr>
          <w:rFonts w:ascii="Verdana" w:eastAsia="Aptos" w:hAnsi="Verdana" w:cs="Arial"/>
          <w:lang w:val="es-ES_tradnl" w:eastAsia="es-MX"/>
        </w:rPr>
        <w:t>, las Leyes 1150 de 2007 y 1474 de 2011, complementan el régimen jurídico de la obligación de vigilar la correcta ejecución de los contratos estatales. En dichas normas</w:t>
      </w:r>
      <w:r>
        <w:rPr>
          <w:rFonts w:ascii="Verdana" w:eastAsia="Aptos" w:hAnsi="Verdana" w:cs="Arial"/>
          <w:lang w:val="es-ES_tradnl" w:eastAsia="es-MX"/>
        </w:rPr>
        <w:t xml:space="preserve"> </w:t>
      </w:r>
      <w:r w:rsidRPr="000A15AB">
        <w:rPr>
          <w:rFonts w:ascii="Verdana" w:eastAsia="Aptos" w:hAnsi="Verdana" w:cs="Arial"/>
          <w:lang w:val="es-ES_tradnl" w:eastAsia="es-MX"/>
        </w:rPr>
        <w:t>se establecen los límites de la responsabilidad del representante legal ante la delegación de sus funciones en materia contractual</w:t>
      </w:r>
      <w:r w:rsidRPr="000A15AB">
        <w:rPr>
          <w:rFonts w:ascii="Aptos" w:eastAsia="Aptos" w:hAnsi="Aptos" w:cs="Times New Roman"/>
          <w:kern w:val="2"/>
          <w:sz w:val="24"/>
          <w:szCs w:val="24"/>
          <w:vertAlign w:val="superscript"/>
          <w:lang w:val="es-ES_tradnl" w:eastAsia="es-MX"/>
          <w14:ligatures w14:val="standardContextual"/>
        </w:rPr>
        <w:footnoteReference w:id="1"/>
      </w:r>
      <w:r w:rsidRPr="000A15AB">
        <w:rPr>
          <w:rFonts w:ascii="Verdana" w:eastAsia="Aptos" w:hAnsi="Verdana" w:cs="Arial"/>
          <w:lang w:val="es-ES_tradnl" w:eastAsia="es-MX"/>
        </w:rPr>
        <w:t xml:space="preserve"> y se regula la supervisión y la interventoría de los contratos estatales</w:t>
      </w:r>
      <w:r w:rsidRPr="000A15AB">
        <w:rPr>
          <w:rFonts w:ascii="Aptos" w:eastAsia="Aptos" w:hAnsi="Aptos" w:cs="Times New Roman"/>
          <w:kern w:val="2"/>
          <w:sz w:val="24"/>
          <w:szCs w:val="24"/>
          <w:vertAlign w:val="superscript"/>
          <w:lang w:val="es-ES_tradnl" w:eastAsia="es-MX"/>
          <w14:ligatures w14:val="standardContextual"/>
        </w:rPr>
        <w:footnoteReference w:id="2"/>
      </w:r>
      <w:r w:rsidRPr="000A15AB">
        <w:rPr>
          <w:rFonts w:ascii="Verdana" w:eastAsia="Aptos" w:hAnsi="Verdana" w:cs="Arial"/>
          <w:lang w:val="es-ES_tradnl" w:eastAsia="es-MX"/>
        </w:rPr>
        <w:t>.</w:t>
      </w:r>
    </w:p>
    <w:p w14:paraId="066168C0" w14:textId="77777777" w:rsidR="00301943" w:rsidRDefault="00301943" w:rsidP="00301943">
      <w:pPr>
        <w:snapToGrid w:val="0"/>
        <w:spacing w:before="120" w:after="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En particular, </w:t>
      </w:r>
      <w:r w:rsidRPr="000A15AB">
        <w:rPr>
          <w:rFonts w:ascii="Verdana" w:eastAsia="Aptos" w:hAnsi="Verdana" w:cs="Arial"/>
          <w:lang w:eastAsia="es-MX"/>
        </w:rPr>
        <w:t xml:space="preserve">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w:t>
      </w:r>
      <w:r w:rsidRPr="000A15AB">
        <w:rPr>
          <w:rFonts w:ascii="Verdana" w:eastAsia="Aptos" w:hAnsi="Verdana" w:cs="Arial"/>
          <w:lang w:eastAsia="es-MX"/>
        </w:rPr>
        <w:lastRenderedPageBreak/>
        <w:t xml:space="preserve">interventoría como mecanismos que pueden usar las Entidades Estatales para vigilar el contrato, en estos términos: </w:t>
      </w:r>
    </w:p>
    <w:p w14:paraId="61FC383C" w14:textId="77777777" w:rsidR="00301943" w:rsidRPr="003160BA" w:rsidRDefault="00301943" w:rsidP="00301943">
      <w:pPr>
        <w:snapToGrid w:val="0"/>
        <w:spacing w:after="0" w:line="276" w:lineRule="auto"/>
        <w:ind w:firstLine="708"/>
        <w:jc w:val="both"/>
        <w:textAlignment w:val="baseline"/>
        <w:rPr>
          <w:rFonts w:ascii="Verdana" w:eastAsia="Aptos" w:hAnsi="Verdana" w:cs="Arial"/>
          <w:lang w:eastAsia="es-MX"/>
        </w:rPr>
      </w:pPr>
    </w:p>
    <w:p w14:paraId="24062F43" w14:textId="77777777" w:rsidR="00301943" w:rsidRPr="005F111C" w:rsidRDefault="00301943" w:rsidP="00301943">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_tradnl" w:eastAsia="es-MX"/>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1C4FF289" w14:textId="77777777" w:rsidR="00301943" w:rsidRPr="005F111C"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r w:rsidRPr="005F111C">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42183967" w14:textId="77777777" w:rsidR="00301943" w:rsidRDefault="00301943" w:rsidP="00301943">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5F111C">
        <w:rPr>
          <w:rFonts w:ascii="Verdana" w:eastAsia="Aptos" w:hAnsi="Verdana" w:cs="Arial"/>
          <w:sz w:val="20"/>
          <w:szCs w:val="20"/>
          <w:lang w:val="es-ES" w:eastAsia="es-MX"/>
        </w:rPr>
        <w:t>del mismo</w:t>
      </w:r>
      <w:proofErr w:type="gramEnd"/>
      <w:r w:rsidRPr="005F111C">
        <w:rPr>
          <w:rFonts w:ascii="Verdana" w:eastAsia="Aptos"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 </w:t>
      </w:r>
      <w:r w:rsidRPr="005F111C">
        <w:rPr>
          <w:rFonts w:ascii="Verdana" w:eastAsia="Aptos" w:hAnsi="Verdana" w:cs="Arial"/>
          <w:sz w:val="20"/>
          <w:szCs w:val="20"/>
          <w:lang w:val="es-ES_tradnl" w:eastAsia="es-MX"/>
        </w:rPr>
        <w:t>[…]”.</w:t>
      </w:r>
      <w:r w:rsidRPr="005F111C">
        <w:rPr>
          <w:rFonts w:ascii="Verdana" w:eastAsia="Aptos" w:hAnsi="Verdana" w:cs="Arial"/>
          <w:sz w:val="20"/>
          <w:szCs w:val="20"/>
          <w:vertAlign w:val="superscript"/>
          <w:lang w:val="es-ES" w:eastAsia="es-MX"/>
        </w:rPr>
        <w:footnoteReference w:id="3"/>
      </w:r>
    </w:p>
    <w:p w14:paraId="365EF0C5" w14:textId="77777777" w:rsidR="00301943" w:rsidRPr="005F111C"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p>
    <w:p w14:paraId="734792ED" w14:textId="77777777" w:rsidR="00301943" w:rsidRPr="007873B5" w:rsidRDefault="00301943" w:rsidP="00301943">
      <w:pPr>
        <w:tabs>
          <w:tab w:val="left" w:pos="709"/>
        </w:tabs>
        <w:snapToGrid w:val="0"/>
        <w:spacing w:after="120" w:line="276" w:lineRule="auto"/>
        <w:jc w:val="both"/>
        <w:rPr>
          <w:rFonts w:ascii="Verdana" w:eastAsia="Aptos" w:hAnsi="Verdana" w:cs="Arial"/>
          <w:bCs/>
        </w:rPr>
      </w:pPr>
      <w:r>
        <w:rPr>
          <w:rFonts w:ascii="Verdana" w:eastAsia="Aptos" w:hAnsi="Verdana" w:cs="Arial"/>
          <w:bCs/>
        </w:rPr>
        <w:tab/>
      </w:r>
      <w:r w:rsidRPr="000A15AB">
        <w:rPr>
          <w:rFonts w:ascii="Verdana" w:eastAsia="Aptos" w:hAnsi="Verdana" w:cs="Arial"/>
          <w:bCs/>
        </w:rPr>
        <w:t xml:space="preserve">De este modo, la interventoría puede caracterizarse de la siguiente manera: </w:t>
      </w:r>
      <w:r>
        <w:rPr>
          <w:rFonts w:ascii="Verdana" w:eastAsia="Aptos" w:hAnsi="Verdana" w:cs="Arial"/>
          <w:bCs/>
        </w:rPr>
        <w:t>(</w:t>
      </w:r>
      <w:r w:rsidRPr="000A15AB">
        <w:rPr>
          <w:rFonts w:ascii="Verdana" w:eastAsia="Aptos" w:hAnsi="Verdana" w:cs="Arial"/>
          <w:bCs/>
        </w:rPr>
        <w:t xml:space="preserve">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A15AB">
        <w:rPr>
          <w:rFonts w:ascii="Verdana" w:eastAsia="Aptos" w:hAnsi="Verdana" w:cs="Arial"/>
          <w:bCs/>
        </w:rPr>
        <w:t>del mismo</w:t>
      </w:r>
      <w:proofErr w:type="gramEnd"/>
      <w:r w:rsidRPr="000A15AB">
        <w:rPr>
          <w:rFonts w:ascii="Verdana" w:eastAsia="Aptos" w:hAnsi="Verdana" w:cs="Arial"/>
          <w:bCs/>
        </w:rPr>
        <w:t xml:space="preserve"> lo justifique” –art, 83, Ley 1474 de 2011–</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w:t>
      </w:r>
      <w:proofErr w:type="spellEnd"/>
      <w:r w:rsidRPr="000A15AB">
        <w:rPr>
          <w:rFonts w:ascii="Verdana" w:eastAsia="Aptos" w:hAnsi="Verdana" w:cs="Arial"/>
          <w:bCs/>
        </w:rPr>
        <w:t xml:space="preserve">) </w:t>
      </w:r>
      <w:r>
        <w:rPr>
          <w:rFonts w:ascii="Verdana" w:eastAsia="Aptos" w:hAnsi="Verdana" w:cs="Arial"/>
          <w:bCs/>
        </w:rPr>
        <w:t xml:space="preserve">También </w:t>
      </w:r>
      <w:r w:rsidRPr="000A15AB">
        <w:rPr>
          <w:rFonts w:ascii="Verdana" w:eastAsia="Aptos" w:hAnsi="Verdana" w:cs="Arial"/>
          <w:bCs/>
        </w:rPr>
        <w:t>es un mecanismo de vigilancia que exige, en su ejecución, la utilización de conocimientos especializados</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iii</w:t>
      </w:r>
      <w:proofErr w:type="spellEnd"/>
      <w:r w:rsidRPr="000A15AB">
        <w:rPr>
          <w:rFonts w:ascii="Verdana" w:eastAsia="Aptos" w:hAnsi="Verdana" w:cs="Arial"/>
          <w:bCs/>
        </w:rPr>
        <w:t xml:space="preserve">) </w:t>
      </w:r>
      <w:r>
        <w:rPr>
          <w:rFonts w:ascii="Verdana" w:eastAsia="Aptos" w:hAnsi="Verdana" w:cs="Arial"/>
          <w:bCs/>
        </w:rPr>
        <w:t>P</w:t>
      </w:r>
      <w:r w:rsidRPr="000A15AB">
        <w:rPr>
          <w:rFonts w:ascii="Verdana" w:eastAsia="Aptos" w:hAnsi="Verdana" w:cs="Arial"/>
          <w:bCs/>
        </w:rPr>
        <w:t>or lo anterior, la entidad contrata un experto, por regla general, mediante la modalidad de selección de concurso de méritos, al tratarse de una especie del contrato de consultoría –art. 32, numeral 2, inciso 2, Ley 80 de 1993</w:t>
      </w:r>
      <w:r w:rsidRPr="000A15AB">
        <w:rPr>
          <w:rFonts w:ascii="Aptos" w:eastAsia="Aptos" w:hAnsi="Aptos" w:cs="Times New Roman"/>
          <w:kern w:val="2"/>
          <w:sz w:val="24"/>
          <w:szCs w:val="24"/>
          <w:vertAlign w:val="superscript"/>
          <w14:ligatures w14:val="standardContextual"/>
        </w:rPr>
        <w:footnoteReference w:id="4"/>
      </w:r>
      <w:r w:rsidRPr="000A15AB">
        <w:rPr>
          <w:rFonts w:ascii="Verdana" w:eastAsia="Aptos" w:hAnsi="Verdana" w:cs="Arial"/>
          <w:bCs/>
        </w:rPr>
        <w:t>‒, de manera que la interventoría es realizada por “</w:t>
      </w:r>
      <w:r w:rsidRPr="007873B5">
        <w:rPr>
          <w:rFonts w:ascii="Verdana" w:eastAsia="Aptos" w:hAnsi="Verdana" w:cs="Arial"/>
          <w:bCs/>
        </w:rPr>
        <w:t>una persona natural o jurídica contratada para tal fin por la Entidad Estatal” –art. 83, Ley 1474–. Adicionalmente, (</w:t>
      </w:r>
      <w:proofErr w:type="spellStart"/>
      <w:r w:rsidRPr="007873B5">
        <w:rPr>
          <w:rFonts w:ascii="Verdana" w:eastAsia="Aptos" w:hAnsi="Verdana" w:cs="Arial"/>
          <w:bCs/>
        </w:rPr>
        <w:t>iv</w:t>
      </w:r>
      <w:proofErr w:type="spellEnd"/>
      <w:r w:rsidRPr="007873B5">
        <w:rPr>
          <w:rFonts w:ascii="Verdana" w:eastAsia="Aptos" w:hAnsi="Verdana" w:cs="Arial"/>
          <w:bCs/>
        </w:rPr>
        <w:t xml:space="preserve">) el seguimiento técnico es inherente a la interventoría para la vigilancia de la </w:t>
      </w:r>
      <w:r w:rsidRPr="007873B5">
        <w:rPr>
          <w:rFonts w:ascii="Verdana" w:eastAsia="Aptos" w:hAnsi="Verdana" w:cs="Arial"/>
          <w:bCs/>
        </w:rPr>
        <w:lastRenderedPageBreak/>
        <w:t>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1BDC7461" w14:textId="77777777" w:rsidR="00301943" w:rsidRDefault="00301943" w:rsidP="00301943">
      <w:pPr>
        <w:tabs>
          <w:tab w:val="left" w:pos="709"/>
        </w:tabs>
        <w:snapToGrid w:val="0"/>
        <w:spacing w:before="120" w:after="0" w:line="276" w:lineRule="auto"/>
        <w:jc w:val="both"/>
        <w:rPr>
          <w:rFonts w:ascii="Verdana" w:eastAsia="Aptos" w:hAnsi="Verdana" w:cs="Arial"/>
          <w:bCs/>
        </w:rPr>
      </w:pPr>
      <w:r w:rsidRPr="007873B5">
        <w:rPr>
          <w:rFonts w:ascii="Verdana" w:eastAsia="Aptos" w:hAnsi="Verdana" w:cs="Arial"/>
          <w:bCs/>
        </w:rPr>
        <w:tab/>
        <w:t xml:space="preserve">De lo anterior, se </w:t>
      </w:r>
      <w:r>
        <w:rPr>
          <w:rFonts w:ascii="Verdana" w:eastAsia="Aptos" w:hAnsi="Verdana" w:cs="Arial"/>
          <w:bCs/>
        </w:rPr>
        <w:t xml:space="preserve">concluye </w:t>
      </w:r>
      <w:r w:rsidRPr="007873B5">
        <w:rPr>
          <w:rFonts w:ascii="Verdana" w:eastAsia="Aptos" w:hAnsi="Verdana" w:cs="Arial"/>
          <w:bCs/>
        </w:rPr>
        <w:t xml:space="preserve">que el interventor es un contratista externo a la Entidad Estatal y al contratista vigilado, de manera que es seleccionado por la entidad mediante los procedimientos del artículo 2 de la Ley 1150 de 2007, en principio, a través de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73695E77" w14:textId="77777777" w:rsidR="00301943" w:rsidRPr="007873B5" w:rsidRDefault="00301943" w:rsidP="00301943">
      <w:pPr>
        <w:tabs>
          <w:tab w:val="left" w:pos="709"/>
        </w:tabs>
        <w:snapToGrid w:val="0"/>
        <w:spacing w:after="0" w:line="276" w:lineRule="auto"/>
        <w:jc w:val="both"/>
        <w:rPr>
          <w:rFonts w:ascii="Verdana" w:eastAsia="Aptos" w:hAnsi="Verdana" w:cs="Arial"/>
          <w:bCs/>
        </w:rPr>
      </w:pPr>
      <w:r w:rsidRPr="007873B5">
        <w:rPr>
          <w:rFonts w:ascii="Verdana" w:eastAsia="Calibri" w:hAnsi="Verdana" w:cs="Arial"/>
          <w:color w:val="000000"/>
          <w:kern w:val="2"/>
          <w:lang w:val="es-MX"/>
          <w14:ligatures w14:val="standardContextual"/>
        </w:rPr>
        <w:t xml:space="preserve"> </w:t>
      </w:r>
    </w:p>
    <w:p w14:paraId="2C59E209" w14:textId="77777777" w:rsidR="00301943" w:rsidRPr="007873B5" w:rsidRDefault="00301943" w:rsidP="00301943">
      <w:pPr>
        <w:pStyle w:val="Sinespaciado"/>
        <w:spacing w:line="276" w:lineRule="auto"/>
        <w:jc w:val="both"/>
        <w:rPr>
          <w:rFonts w:ascii="Verdana" w:hAnsi="Verdana" w:cs="Arial"/>
          <w:sz w:val="22"/>
        </w:rPr>
      </w:pPr>
      <w:proofErr w:type="spellStart"/>
      <w:r w:rsidRPr="007873B5">
        <w:rPr>
          <w:rFonts w:ascii="Verdana" w:eastAsia="Calibri" w:hAnsi="Verdana" w:cs="Arial"/>
          <w:color w:val="000000"/>
          <w:kern w:val="2"/>
          <w:sz w:val="22"/>
          <w14:ligatures w14:val="standardContextual"/>
        </w:rPr>
        <w:t>ii</w:t>
      </w:r>
      <w:proofErr w:type="spellEnd"/>
      <w:r w:rsidRPr="007873B5">
        <w:rPr>
          <w:rFonts w:ascii="Verdana" w:eastAsia="Calibri" w:hAnsi="Verdana" w:cs="Arial"/>
          <w:color w:val="000000"/>
          <w:kern w:val="2"/>
          <w:sz w:val="22"/>
          <w14:ligatures w14:val="standardContextual"/>
        </w:rPr>
        <w:t>)</w:t>
      </w:r>
      <w:r w:rsidRPr="007873B5">
        <w:rPr>
          <w:rFonts w:ascii="Verdana" w:hAnsi="Verdana" w:cs="Arial"/>
          <w:sz w:val="22"/>
        </w:rPr>
        <w:t xml:space="preserve"> </w:t>
      </w:r>
      <w:r w:rsidRPr="007873B5">
        <w:rPr>
          <w:rFonts w:ascii="Verdana" w:eastAsia="Calibri" w:hAnsi="Verdana" w:cs="Arial"/>
          <w:color w:val="000000"/>
          <w:kern w:val="2"/>
          <w:sz w:val="22"/>
          <w14:ligatures w14:val="standardContextual"/>
        </w:rPr>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7873B5">
        <w:rPr>
          <w:rFonts w:ascii="Verdana" w:eastAsia="Aptos" w:hAnsi="Verdana" w:cs="Times New Roman"/>
          <w:kern w:val="2"/>
          <w:sz w:val="22"/>
          <w:vertAlign w:val="superscript"/>
          <w14:ligatures w14:val="standardContextual"/>
        </w:rPr>
        <w:footnoteReference w:id="5"/>
      </w:r>
      <w:r w:rsidRPr="007873B5">
        <w:rPr>
          <w:rFonts w:ascii="Verdana" w:eastAsia="Calibri" w:hAnsi="Verdana" w:cs="Arial"/>
          <w:color w:val="000000"/>
          <w:kern w:val="2"/>
          <w:sz w:val="22"/>
          <w14:ligatures w14:val="standardContextual"/>
        </w:rPr>
        <w:t xml:space="preserve">. No obstante, a pesar de lo anterior, el contrato de interventoría es </w:t>
      </w:r>
      <w:r w:rsidRPr="002E4D8E">
        <w:rPr>
          <w:rFonts w:ascii="Verdana" w:eastAsia="Calibri" w:hAnsi="Verdana" w:cs="Arial"/>
          <w:i/>
          <w:iCs/>
          <w:color w:val="000000"/>
          <w:kern w:val="2"/>
          <w:sz w:val="22"/>
          <w14:ligatures w14:val="standardContextual"/>
        </w:rPr>
        <w:t xml:space="preserve">independiente del otro contrato </w:t>
      </w:r>
      <w:r w:rsidRPr="007873B5">
        <w:rPr>
          <w:rFonts w:ascii="Verdana" w:eastAsia="Calibri" w:hAnsi="Verdana" w:cs="Arial"/>
          <w:color w:val="000000"/>
          <w:kern w:val="2"/>
          <w:sz w:val="22"/>
          <w14:ligatures w14:val="standardContextual"/>
        </w:rPr>
        <w:t>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w:t>
      </w:r>
      <w:r w:rsidRPr="007873B5">
        <w:rPr>
          <w:rFonts w:ascii="Verdana" w:eastAsia="Aptos" w:hAnsi="Verdana" w:cs="Times New Roman"/>
          <w:kern w:val="2"/>
          <w:sz w:val="22"/>
          <w:vertAlign w:val="superscript"/>
          <w14:ligatures w14:val="standardContextual"/>
        </w:rPr>
        <w:footnoteReference w:id="6"/>
      </w:r>
      <w:r w:rsidRPr="007873B5">
        <w:rPr>
          <w:rFonts w:ascii="Verdana" w:eastAsia="Calibri" w:hAnsi="Verdana" w:cs="Arial"/>
          <w:color w:val="000000"/>
          <w:kern w:val="2"/>
          <w:sz w:val="22"/>
          <w14:ligatures w14:val="standardContextual"/>
        </w:rPr>
        <w:t xml:space="preserve">.  </w:t>
      </w:r>
    </w:p>
    <w:p w14:paraId="0F412ED7" w14:textId="77777777" w:rsidR="00301943" w:rsidRDefault="00301943" w:rsidP="00301943">
      <w:pPr>
        <w:spacing w:before="120" w:after="120" w:line="276" w:lineRule="auto"/>
        <w:ind w:firstLine="742"/>
        <w:jc w:val="both"/>
        <w:rPr>
          <w:rFonts w:ascii="Verdana" w:hAnsi="Verdana" w:cs="Arial"/>
        </w:rPr>
      </w:pPr>
      <w:r w:rsidRPr="007873B5">
        <w:rPr>
          <w:rFonts w:ascii="Verdana" w:hAnsi="Verdana" w:cs="Arial"/>
        </w:rPr>
        <w:lastRenderedPageBreak/>
        <w:t xml:space="preserve">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w:t>
      </w:r>
    </w:p>
    <w:p w14:paraId="52AEB117" w14:textId="77777777" w:rsidR="00301943" w:rsidRDefault="00301943" w:rsidP="00301943">
      <w:pPr>
        <w:spacing w:before="120" w:after="120" w:line="276" w:lineRule="auto"/>
        <w:ind w:firstLine="742"/>
        <w:jc w:val="both"/>
        <w:rPr>
          <w:rFonts w:ascii="Verdana" w:eastAsia="Arial" w:hAnsi="Verdana" w:cstheme="majorHAnsi"/>
          <w:lang w:val="es-ES"/>
        </w:rPr>
      </w:pPr>
      <w:r>
        <w:rPr>
          <w:rFonts w:ascii="Verdana" w:eastAsia="Arial" w:hAnsi="Verdana" w:cstheme="majorHAnsi"/>
          <w:lang w:val="es-ES"/>
        </w:rPr>
        <w:t>Por tanto, respecto de su pregunta, d</w:t>
      </w:r>
      <w:r w:rsidRPr="007873B5">
        <w:rPr>
          <w:rFonts w:ascii="Verdana" w:eastAsia="Arial" w:hAnsi="Verdana" w:cstheme="majorHAnsi"/>
          <w:lang w:val="es-ES"/>
        </w:rPr>
        <w:t xml:space="preserve">esde la etapa de planeación, en la fase precontractual, las entidades estatales deben </w:t>
      </w:r>
      <w:r>
        <w:rPr>
          <w:rFonts w:ascii="Verdana" w:eastAsia="Arial" w:hAnsi="Verdana" w:cstheme="majorHAnsi"/>
          <w:lang w:val="es-ES"/>
        </w:rPr>
        <w:t>fijar el plazo del contrato</w:t>
      </w:r>
      <w:r w:rsidRPr="007873B5">
        <w:rPr>
          <w:rFonts w:ascii="Verdana" w:eastAsia="Arial" w:hAnsi="Verdana" w:cstheme="majorHAnsi"/>
          <w:lang w:val="es-ES"/>
        </w:rPr>
        <w:t>, mediante la realización del análisis del sector –que incluye el estudio del mercado– y definir la metodología con la cual estructurarán el contrato</w:t>
      </w:r>
      <w:r>
        <w:rPr>
          <w:rFonts w:ascii="Verdana" w:eastAsia="Arial" w:hAnsi="Verdana" w:cstheme="majorHAnsi"/>
          <w:lang w:val="es-ES"/>
        </w:rPr>
        <w:t>, procurando que el contrato de interventoría cumpla con su finalidad de vigilancia del contrato de obra, esto es, teniendo en cuenta el plazo de este último. De esta manera, la</w:t>
      </w:r>
      <w:r w:rsidRPr="007873B5">
        <w:rPr>
          <w:rFonts w:ascii="Verdana" w:eastAsia="Arial" w:hAnsi="Verdana" w:cstheme="majorHAnsi"/>
          <w:lang w:val="es-ES"/>
        </w:rPr>
        <w:t xml:space="preserve"> definición del </w:t>
      </w:r>
      <w:r>
        <w:rPr>
          <w:rFonts w:ascii="Verdana" w:eastAsia="Arial" w:hAnsi="Verdana" w:cstheme="majorHAnsi"/>
          <w:lang w:val="es-ES"/>
        </w:rPr>
        <w:t xml:space="preserve">plazo hace parte de los estudios previos. 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w:t>
      </w:r>
      <w:r w:rsidRPr="002E4D8E">
        <w:rPr>
          <w:rFonts w:ascii="Verdana" w:hAnsi="Verdana" w:cs="Arial"/>
          <w:i/>
          <w:iCs/>
        </w:rPr>
        <w:t>libertad negocial</w:t>
      </w:r>
      <w:r w:rsidRPr="007873B5">
        <w:rPr>
          <w:rFonts w:ascii="Verdana" w:hAnsi="Verdana" w:cs="Arial"/>
        </w:rPr>
        <w:t xml:space="preserve"> para determinar </w:t>
      </w:r>
      <w:r>
        <w:rPr>
          <w:rFonts w:ascii="Verdana" w:hAnsi="Verdana" w:cs="Arial"/>
        </w:rPr>
        <w:t xml:space="preserve">los </w:t>
      </w:r>
      <w:r w:rsidRPr="007873B5">
        <w:rPr>
          <w:rFonts w:ascii="Verdana" w:hAnsi="Verdana" w:cs="Arial"/>
        </w:rPr>
        <w:t xml:space="preserve">aspectos del contrato, entendiéndose incluida en esta libertad la capacidad de definir </w:t>
      </w:r>
      <w:r>
        <w:rPr>
          <w:rFonts w:ascii="Verdana" w:hAnsi="Verdana" w:cs="Arial"/>
        </w:rPr>
        <w:t>el plazo</w:t>
      </w:r>
      <w:r w:rsidRPr="007873B5">
        <w:rPr>
          <w:rFonts w:ascii="Verdana" w:eastAsia="Arial" w:hAnsi="Verdana" w:cstheme="majorHAnsi"/>
          <w:lang w:val="es-ES"/>
        </w:rPr>
        <w:t xml:space="preserve"> para satisfacer los fines de la contratación</w:t>
      </w:r>
      <w:r>
        <w:rPr>
          <w:rFonts w:ascii="Verdana" w:eastAsia="Arial" w:hAnsi="Verdana" w:cstheme="majorHAnsi"/>
          <w:lang w:val="es-ES"/>
        </w:rPr>
        <w:t xml:space="preserve"> y cumplir con los objetivos de vigilancia del contrato de interventoría</w:t>
      </w:r>
      <w:r w:rsidRPr="007873B5">
        <w:rPr>
          <w:rFonts w:ascii="Verdana" w:eastAsia="Arial" w:hAnsi="Verdana" w:cstheme="majorHAnsi"/>
          <w:lang w:val="es-ES"/>
        </w:rPr>
        <w:t xml:space="preserve">.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 32 y 40 de la Ley 80 de 1993.</w:t>
      </w:r>
      <w:r>
        <w:rPr>
          <w:rFonts w:ascii="Verdana" w:eastAsia="Arial" w:hAnsi="Verdana" w:cstheme="majorHAnsi"/>
          <w:lang w:val="es-ES"/>
        </w:rPr>
        <w:t xml:space="preserve"> En virtud de su autonomía negocial, </w:t>
      </w:r>
      <w:r w:rsidRPr="00063B02">
        <w:rPr>
          <w:rFonts w:ascii="Verdana" w:eastAsia="Arial" w:hAnsi="Verdana" w:cstheme="majorHAnsi"/>
          <w:lang w:val="es-ES"/>
        </w:rPr>
        <w:t>pueden incluir las condiciones que consideren necesarias y convenientes, siempre que no contraríen el ordenamiento jurídico.</w:t>
      </w:r>
      <w:r>
        <w:rPr>
          <w:rFonts w:ascii="Verdana" w:eastAsia="Arial" w:hAnsi="Verdana" w:cstheme="majorHAnsi"/>
          <w:lang w:val="es-ES"/>
        </w:rPr>
        <w:t xml:space="preserve"> </w:t>
      </w:r>
      <w:bookmarkStart w:id="1" w:name="_Hlk117864904"/>
      <w:bookmarkStart w:id="2" w:name="_Hlk117864746"/>
    </w:p>
    <w:p w14:paraId="12CCA809" w14:textId="77777777" w:rsidR="00301943" w:rsidRDefault="00301943" w:rsidP="00301943">
      <w:pPr>
        <w:spacing w:before="120" w:after="120" w:line="276" w:lineRule="auto"/>
        <w:ind w:firstLine="742"/>
        <w:jc w:val="both"/>
        <w:rPr>
          <w:rFonts w:ascii="Verdana" w:eastAsia="Arial" w:hAnsi="Verdana" w:cstheme="majorHAnsi"/>
          <w:lang w:val="es-ES"/>
        </w:rPr>
      </w:pPr>
      <w:r w:rsidRPr="007873B5">
        <w:rPr>
          <w:rFonts w:ascii="Verdana" w:eastAsia="Arial" w:hAnsi="Verdana" w:cstheme="majorHAnsi"/>
          <w:lang w:val="es-ES"/>
        </w:rPr>
        <w:t xml:space="preserve">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w:t>
      </w:r>
      <w:r>
        <w:rPr>
          <w:rStyle w:val="Refdenotaalpie"/>
          <w:rFonts w:ascii="Verdana" w:eastAsia="Arial" w:hAnsi="Verdana" w:cstheme="majorHAnsi"/>
          <w:lang w:val="es-ES"/>
        </w:rPr>
        <w:footnoteReference w:id="7"/>
      </w:r>
      <w:r w:rsidRPr="007873B5">
        <w:rPr>
          <w:rFonts w:ascii="Verdana" w:eastAsia="Arial" w:hAnsi="Verdana" w:cstheme="majorHAnsi"/>
          <w:lang w:val="es-ES"/>
        </w:rPr>
        <w:t>, 32</w:t>
      </w:r>
      <w:r>
        <w:rPr>
          <w:rStyle w:val="Refdenotaalpie"/>
          <w:rFonts w:ascii="Verdana" w:eastAsia="Arial" w:hAnsi="Verdana" w:cstheme="majorHAnsi"/>
          <w:lang w:val="es-ES"/>
        </w:rPr>
        <w:footnoteReference w:id="8"/>
      </w:r>
      <w:r w:rsidRPr="007873B5">
        <w:rPr>
          <w:rFonts w:ascii="Verdana" w:eastAsia="Arial" w:hAnsi="Verdana" w:cstheme="majorHAnsi"/>
          <w:lang w:val="es-ES"/>
        </w:rPr>
        <w:t xml:space="preserve"> y 40 de la Ley 80 de 1993.</w:t>
      </w:r>
      <w:r>
        <w:rPr>
          <w:rFonts w:ascii="Verdana" w:eastAsia="Arial" w:hAnsi="Verdana" w:cstheme="majorHAnsi"/>
          <w:lang w:val="es-ES"/>
        </w:rPr>
        <w:t xml:space="preserve"> En particular, éste último señala que:</w:t>
      </w:r>
    </w:p>
    <w:p w14:paraId="50570B3B" w14:textId="77777777" w:rsidR="00301943" w:rsidRDefault="00301943" w:rsidP="00301943">
      <w:pPr>
        <w:spacing w:after="0" w:line="276" w:lineRule="auto"/>
        <w:ind w:firstLine="708"/>
        <w:jc w:val="both"/>
        <w:rPr>
          <w:rFonts w:ascii="Verdana" w:eastAsia="Arial" w:hAnsi="Verdana" w:cstheme="majorHAnsi"/>
          <w:lang w:val="es-ES"/>
        </w:rPr>
      </w:pPr>
    </w:p>
    <w:p w14:paraId="3656A57C" w14:textId="77777777" w:rsidR="00301943" w:rsidRPr="002E4D8E" w:rsidRDefault="00301943" w:rsidP="00301943">
      <w:pPr>
        <w:snapToGrid w:val="0"/>
        <w:spacing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“Las estipulaciones de los contratos serán las que de acuerdo con las normas civiles, comerciales y las previstas en esta Ley, correspondan a su esencia y naturaleza.</w:t>
      </w:r>
    </w:p>
    <w:p w14:paraId="351751BA" w14:textId="77777777" w:rsidR="00301943" w:rsidRPr="002E4D8E" w:rsidRDefault="00301943" w:rsidP="00301943">
      <w:pPr>
        <w:snapToGrid w:val="0"/>
        <w:spacing w:before="120" w:after="12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lastRenderedPageBreak/>
        <w:t>Las entidades podrán celebrar los contratos y acuerdos que permitan la autonomía de la voluntad y requieran el cumplimiento de los fines estatales.</w:t>
      </w:r>
    </w:p>
    <w:p w14:paraId="5AA71194" w14:textId="77777777" w:rsidR="00301943" w:rsidRPr="002E4D8E" w:rsidRDefault="00301943" w:rsidP="00301943">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565A3FC5" w14:textId="77777777" w:rsidR="00301943" w:rsidRDefault="00301943" w:rsidP="00301943">
      <w:pPr>
        <w:snapToGrid w:val="0"/>
        <w:spacing w:before="120" w:after="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t>En los contratos de empréstito o cualquier otra forma de financiación de organismos multilaterales, podrán incluirse las previsiones y particularidades contempladas en los reglamentos de tales entidades, que no sean contrarias a la Constitución o a la ley</w:t>
      </w:r>
      <w:r>
        <w:rPr>
          <w:rFonts w:ascii="Verdana" w:eastAsia="Aptos" w:hAnsi="Verdana" w:cs="Arial"/>
          <w:sz w:val="20"/>
          <w:szCs w:val="20"/>
          <w:lang w:val="es-ES_tradnl" w:eastAsia="es-MX"/>
        </w:rPr>
        <w:t xml:space="preserve"> </w:t>
      </w:r>
      <w:r w:rsidRPr="002E4D8E">
        <w:rPr>
          <w:rFonts w:ascii="Verdana" w:eastAsia="Aptos" w:hAnsi="Verdana" w:cs="Arial"/>
          <w:sz w:val="20"/>
          <w:szCs w:val="20"/>
          <w:lang w:val="es-ES_tradnl" w:eastAsia="es-MX"/>
        </w:rPr>
        <w:t>[…]”</w:t>
      </w:r>
    </w:p>
    <w:p w14:paraId="5F4D3CB6" w14:textId="77777777" w:rsidR="00301943" w:rsidRPr="00CB2065" w:rsidRDefault="00301943" w:rsidP="00301943">
      <w:pPr>
        <w:widowControl w:val="0"/>
        <w:tabs>
          <w:tab w:val="left" w:pos="709"/>
        </w:tabs>
        <w:autoSpaceDE w:val="0"/>
        <w:autoSpaceDN w:val="0"/>
        <w:spacing w:after="0" w:line="276" w:lineRule="auto"/>
        <w:jc w:val="both"/>
        <w:outlineLvl w:val="0"/>
        <w:rPr>
          <w:rFonts w:ascii="Verdana" w:hAnsi="Verdana" w:cs="Arial"/>
        </w:rPr>
      </w:pPr>
      <w:bookmarkStart w:id="5" w:name="_Hlk90968338"/>
      <w:bookmarkEnd w:id="1"/>
      <w:r w:rsidRPr="00063B02">
        <w:rPr>
          <w:rFonts w:ascii="Verdana" w:eastAsia="Arial" w:hAnsi="Verdana" w:cstheme="majorHAnsi"/>
          <w:lang w:val="es-ES"/>
        </w:rPr>
        <w:tab/>
      </w:r>
      <w:bookmarkEnd w:id="2"/>
      <w:bookmarkEnd w:id="5"/>
    </w:p>
    <w:p w14:paraId="311EEB48" w14:textId="77777777" w:rsidR="00301943" w:rsidRDefault="00301943" w:rsidP="00301943">
      <w:pPr>
        <w:pStyle w:val="NormalWeb"/>
        <w:spacing w:before="0" w:beforeAutospacing="0" w:after="120" w:afterAutospacing="0" w:line="276" w:lineRule="auto"/>
        <w:jc w:val="both"/>
        <w:rPr>
          <w:rFonts w:ascii="Verdana" w:eastAsia="Calibri" w:hAnsi="Verdana" w:cs="Arial"/>
          <w:color w:val="000000"/>
          <w:kern w:val="2"/>
          <w:sz w:val="22"/>
          <w:szCs w:val="22"/>
          <w:lang w:val="es-MX" w:eastAsia="en-US"/>
          <w14:ligatures w14:val="standardContextual"/>
        </w:rPr>
      </w:pPr>
      <w:proofErr w:type="spellStart"/>
      <w:r>
        <w:rPr>
          <w:rFonts w:ascii="Verdana" w:eastAsia="Calibri" w:hAnsi="Verdana" w:cs="Arial"/>
          <w:color w:val="000000"/>
          <w:kern w:val="2"/>
          <w:sz w:val="22"/>
          <w:szCs w:val="22"/>
          <w:lang w:val="es-MX" w:eastAsia="en-US"/>
          <w14:ligatures w14:val="standardContextual"/>
        </w:rPr>
        <w:t>iii</w:t>
      </w:r>
      <w:proofErr w:type="spellEnd"/>
      <w:r>
        <w:rPr>
          <w:rFonts w:ascii="Verdana" w:eastAsia="Calibri" w:hAnsi="Verdana" w:cs="Arial"/>
          <w:color w:val="000000"/>
          <w:kern w:val="2"/>
          <w:sz w:val="22"/>
          <w:szCs w:val="22"/>
          <w:lang w:val="es-MX" w:eastAsia="en-US"/>
          <w14:ligatures w14:val="standardContextual"/>
        </w:rPr>
        <w:t xml:space="preserve">) </w:t>
      </w:r>
      <w:r w:rsidRPr="00CB2065">
        <w:rPr>
          <w:rFonts w:ascii="Verdana" w:eastAsia="Calibri" w:hAnsi="Verdana" w:cs="Arial"/>
          <w:color w:val="000000"/>
          <w:kern w:val="2"/>
          <w:sz w:val="22"/>
          <w:szCs w:val="22"/>
          <w:lang w:val="es-MX" w:eastAsia="en-US"/>
          <w14:ligatures w14:val="standardContextual"/>
        </w:rPr>
        <w:t>Al margen de la explicación precedente debe advertirse que</w:t>
      </w:r>
      <w:r>
        <w:rPr>
          <w:rFonts w:ascii="Verdana" w:eastAsia="Calibri" w:hAnsi="Verdana" w:cs="Arial"/>
          <w:color w:val="000000"/>
          <w:kern w:val="2"/>
          <w:sz w:val="22"/>
          <w:szCs w:val="22"/>
          <w:lang w:val="es-MX" w:eastAsia="en-US"/>
          <w14:ligatures w14:val="standardContextual"/>
        </w:rPr>
        <w:t xml:space="preserve">, en virtud de la </w:t>
      </w:r>
      <w:r w:rsidRPr="00603095">
        <w:rPr>
          <w:rFonts w:ascii="Verdana" w:eastAsia="Calibri" w:hAnsi="Verdana" w:cs="Arial"/>
          <w:color w:val="000000"/>
          <w:kern w:val="2"/>
          <w:sz w:val="22"/>
          <w:szCs w:val="22"/>
          <w:lang w:val="es-MX" w:eastAsia="en-US"/>
          <w14:ligatures w14:val="standardContextual"/>
        </w:rPr>
        <w:t>Ley 2022 de 2020</w:t>
      </w:r>
      <w:r>
        <w:rPr>
          <w:rFonts w:ascii="Verdana" w:eastAsia="Calibri" w:hAnsi="Verdana" w:cs="Arial"/>
          <w:color w:val="000000"/>
          <w:kern w:val="2"/>
          <w:sz w:val="22"/>
          <w:szCs w:val="22"/>
          <w:lang w:val="es-MX" w:eastAsia="en-US"/>
          <w14:ligatures w14:val="standardContextual"/>
        </w:rPr>
        <w:t xml:space="preserve">, la cual modificó el artículo 4 de la </w:t>
      </w:r>
      <w:r w:rsidRPr="00603095">
        <w:rPr>
          <w:rFonts w:ascii="Verdana" w:eastAsia="Calibri" w:hAnsi="Verdana" w:cs="Arial"/>
          <w:color w:val="000000"/>
          <w:kern w:val="2"/>
          <w:sz w:val="22"/>
          <w:szCs w:val="22"/>
          <w:lang w:val="es-MX" w:eastAsia="en-US"/>
          <w14:ligatures w14:val="standardContextual"/>
        </w:rPr>
        <w:t>Ley 1882 de 2018</w:t>
      </w:r>
      <w:r>
        <w:rPr>
          <w:rFonts w:ascii="Verdana" w:eastAsia="Calibri" w:hAnsi="Verdana" w:cs="Arial"/>
          <w:color w:val="000000"/>
          <w:kern w:val="2"/>
          <w:sz w:val="22"/>
          <w:szCs w:val="22"/>
          <w:lang w:val="es-MX" w:eastAsia="en-US"/>
          <w14:ligatures w14:val="standardContextual"/>
        </w:rPr>
        <w:t xml:space="preserve">, las Entidades Estatales cuya contratación se rige por el Estatuto General de Contratación de la Administración Pública -EGCAP- deberán aplicar de manera obligatoria los Documentos Tipo adoptados por </w:t>
      </w:r>
      <w:r w:rsidRPr="00603095">
        <w:rPr>
          <w:rFonts w:ascii="Verdana" w:eastAsia="Calibri" w:hAnsi="Verdana" w:cs="Arial"/>
          <w:color w:val="000000"/>
          <w:kern w:val="2"/>
          <w:sz w:val="22"/>
          <w:szCs w:val="22"/>
          <w:lang w:val="es-MX" w:eastAsia="en-US"/>
          <w14:ligatures w14:val="standardContextual"/>
        </w:rPr>
        <w:t>la Agencia Nacional de Contratación Pública – Colombia Compra Eficiente</w:t>
      </w:r>
      <w:r>
        <w:rPr>
          <w:rFonts w:ascii="Verdana" w:eastAsia="Calibri" w:hAnsi="Verdana" w:cs="Arial"/>
          <w:color w:val="000000"/>
          <w:kern w:val="2"/>
          <w:sz w:val="22"/>
          <w:szCs w:val="22"/>
          <w:lang w:val="es-MX" w:eastAsia="en-US"/>
          <w14:ligatures w14:val="standardContextual"/>
        </w:rPr>
        <w:t>.</w:t>
      </w:r>
    </w:p>
    <w:p w14:paraId="0A3508D8" w14:textId="77777777" w:rsidR="00301943" w:rsidRPr="003160BA" w:rsidRDefault="00301943" w:rsidP="00301943">
      <w:pPr>
        <w:pStyle w:val="NormalWeb"/>
        <w:spacing w:before="120" w:beforeAutospacing="0" w:after="120" w:afterAutospacing="0" w:line="276" w:lineRule="auto"/>
        <w:ind w:firstLine="708"/>
        <w:jc w:val="both"/>
        <w:rPr>
          <w:rFonts w:ascii="Verdana" w:eastAsia="Calibri" w:hAnsi="Verdana" w:cs="Arial"/>
          <w:color w:val="000000"/>
          <w:kern w:val="2"/>
          <w:sz w:val="22"/>
          <w:szCs w:val="22"/>
          <w:lang w:val="es-MX" w:eastAsia="en-US"/>
          <w14:ligatures w14:val="standardContextual"/>
        </w:rPr>
      </w:pPr>
      <w:r w:rsidRPr="003160BA">
        <w:rPr>
          <w:rFonts w:ascii="Verdana" w:eastAsia="Calibri" w:hAnsi="Verdana" w:cs="Arial"/>
          <w:color w:val="000000"/>
          <w:kern w:val="2"/>
          <w:sz w:val="22"/>
          <w:szCs w:val="22"/>
          <w:lang w:val="es-MX" w:eastAsia="en-US"/>
          <w14:ligatures w14:val="standardContextual"/>
        </w:rPr>
        <w:t>Con sustento en esta competencia, esta Agencia ha expedido diversos grupos de Documentos Tipo aplicables principalmente a la contratación de obras públicas de infraestructura de transporte, agua potable, saneamiento básico y social, pero también para interventoría y consultoría de estudios de ingeniería. Así mismo, la Agencia también ha expedido Documentos Tipo para la modalidad de selección de contratación directa, para los procesos de gestión catastral con enfoque multipropósito que se celebren a través de contratos interadministrativos y para la contratación directa de convenios solidarios para la ejecución de obras hasta la menor cuantía con organismos de acción comunal.</w:t>
      </w:r>
    </w:p>
    <w:p w14:paraId="2FA0F839" w14:textId="77777777" w:rsidR="00301943" w:rsidRDefault="00301943" w:rsidP="00301943">
      <w:pPr>
        <w:tabs>
          <w:tab w:val="left" w:pos="709"/>
        </w:tabs>
        <w:snapToGrid w:val="0"/>
        <w:spacing w:before="120" w:after="120" w:line="276" w:lineRule="auto"/>
        <w:ind w:firstLine="708"/>
        <w:jc w:val="both"/>
        <w:rPr>
          <w:rFonts w:ascii="Verdana" w:eastAsia="Calibri" w:hAnsi="Verdana" w:cs="Arial"/>
          <w:bCs/>
          <w:lang w:val="es-ES"/>
        </w:rPr>
      </w:pPr>
      <w:r>
        <w:rPr>
          <w:rFonts w:ascii="Verdana" w:eastAsia="Calibri" w:hAnsi="Verdana" w:cs="Arial"/>
          <w:lang w:val="es-ES_tradnl"/>
        </w:rPr>
        <w:t>En este sentido, las entidades deberán verificar si los procesos de contratación de interventoría que adelanten se encuentran cobijados por l</w:t>
      </w:r>
      <w:r w:rsidRPr="00454626">
        <w:rPr>
          <w:rFonts w:ascii="Verdana" w:eastAsia="Calibri" w:hAnsi="Verdana" w:cs="Arial"/>
          <w:lang w:val="es-ES_tradnl"/>
        </w:rPr>
        <w:t xml:space="preserve">os Documentos Tipo expedidos por </w:t>
      </w:r>
      <w:r>
        <w:rPr>
          <w:rFonts w:ascii="Verdana" w:eastAsia="Calibri" w:hAnsi="Verdana" w:cs="Arial"/>
          <w:lang w:val="es-ES_tradnl"/>
        </w:rPr>
        <w:t xml:space="preserve">la Agencia Nacional de Contratación Pública </w:t>
      </w:r>
      <w:r>
        <w:rPr>
          <w:rFonts w:ascii="Symbol" w:eastAsia="Symbol" w:hAnsi="Symbol" w:cs="Symbol"/>
          <w:lang w:val="es-ES_tradnl"/>
        </w:rPr>
        <w:t>-</w:t>
      </w:r>
      <w:r>
        <w:rPr>
          <w:rFonts w:ascii="Verdana" w:eastAsia="Calibri" w:hAnsi="Verdana" w:cs="Arial"/>
          <w:lang w:val="es-ES_tradnl"/>
        </w:rPr>
        <w:t xml:space="preserve"> Colombia Compra Eficiente</w:t>
      </w:r>
      <w:r>
        <w:rPr>
          <w:rStyle w:val="Refdenotaalpie"/>
          <w:rFonts w:ascii="Verdana" w:eastAsia="Calibri" w:hAnsi="Verdana" w:cs="Arial"/>
          <w:lang w:val="es-ES_tradnl"/>
        </w:rPr>
        <w:footnoteReference w:id="9"/>
      </w:r>
      <w:r>
        <w:rPr>
          <w:rFonts w:ascii="Verdana" w:eastAsia="Calibri" w:hAnsi="Verdana" w:cs="Arial"/>
          <w:lang w:val="es-ES_tradnl"/>
        </w:rPr>
        <w:t xml:space="preserve">. De esta manera, si </w:t>
      </w:r>
      <w:r w:rsidRPr="008E79FF">
        <w:rPr>
          <w:rFonts w:ascii="Verdana" w:eastAsia="Calibri" w:hAnsi="Verdana" w:cs="Arial"/>
          <w:bCs/>
          <w:lang w:val="es-ES"/>
        </w:rPr>
        <w:t xml:space="preserve">el objeto contractual y la modalidad en la que debe contratarse están dentro del ámbito de aplicación de </w:t>
      </w:r>
      <w:r>
        <w:rPr>
          <w:rFonts w:ascii="Verdana" w:eastAsia="Calibri" w:hAnsi="Verdana" w:cs="Arial"/>
          <w:bCs/>
          <w:lang w:val="es-ES"/>
        </w:rPr>
        <w:lastRenderedPageBreak/>
        <w:t>sus</w:t>
      </w:r>
      <w:r w:rsidRPr="008E79FF">
        <w:rPr>
          <w:rFonts w:ascii="Verdana" w:eastAsia="Calibri" w:hAnsi="Verdana" w:cs="Arial"/>
          <w:bCs/>
          <w:lang w:val="es-ES"/>
        </w:rPr>
        <w:t xml:space="preserve"> resoluciones</w:t>
      </w:r>
      <w:r>
        <w:rPr>
          <w:rFonts w:ascii="Verdana" w:eastAsia="Calibri" w:hAnsi="Verdana" w:cs="Arial"/>
          <w:bCs/>
          <w:lang w:val="es-ES"/>
        </w:rPr>
        <w:t>, el proceso de contratación deberá adelantarse de acuerdo con las condiciones que allí se señalen.</w:t>
      </w:r>
    </w:p>
    <w:p w14:paraId="4D5F6D8F" w14:textId="77777777" w:rsidR="00301943" w:rsidRDefault="00301943" w:rsidP="00301943">
      <w:pPr>
        <w:spacing w:before="120" w:after="120" w:line="276" w:lineRule="auto"/>
        <w:ind w:firstLine="708"/>
        <w:jc w:val="both"/>
        <w:rPr>
          <w:rFonts w:ascii="Verdana" w:eastAsia="Arial" w:hAnsi="Verdana" w:cstheme="majorHAnsi"/>
          <w:lang w:val="es-ES"/>
        </w:rPr>
      </w:pPr>
      <w:r>
        <w:rPr>
          <w:rFonts w:ascii="Verdana" w:eastAsia="Calibri" w:hAnsi="Verdana" w:cs="Arial"/>
          <w:bCs/>
          <w:lang w:val="es-ES"/>
        </w:rPr>
        <w:t xml:space="preserve">Cuando el proceso para contratar la interventoría se encuentre cobijado por los Documentos Tipo, las entidades deberán aplicar de forma obligatoria las disposiciones que señalen para determinar el plazo. </w:t>
      </w:r>
      <w:r>
        <w:rPr>
          <w:rFonts w:ascii="Verdana" w:eastAsia="Times New Roman" w:hAnsi="Verdana" w:cs="Arial"/>
          <w:kern w:val="2"/>
          <w:shd w:val="clear" w:color="auto" w:fill="FFFFFF"/>
          <w:lang w:val="es-ES" w:eastAsia="es-ES"/>
          <w14:ligatures w14:val="standardContextual"/>
        </w:rPr>
        <w:t>Es decir, que no podrán alterar en contenido de estas cláusulas, salvo en</w:t>
      </w:r>
      <w:r w:rsidRPr="000F540C">
        <w:rPr>
          <w:rFonts w:ascii="Verdana" w:eastAsia="Times New Roman" w:hAnsi="Verdana" w:cs="Arial"/>
          <w:kern w:val="2"/>
          <w:shd w:val="clear" w:color="auto" w:fill="FFFFFF"/>
          <w:lang w:val="es-ES" w:eastAsia="es-ES"/>
          <w14:ligatures w14:val="standardContextual"/>
        </w:rPr>
        <w:t xml:space="preserve"> aquellos aspectos </w:t>
      </w:r>
      <w:r>
        <w:rPr>
          <w:rFonts w:ascii="Verdana" w:eastAsia="Times New Roman" w:hAnsi="Verdana" w:cs="Arial"/>
          <w:kern w:val="2"/>
          <w:shd w:val="clear" w:color="auto" w:fill="FFFFFF"/>
          <w:lang w:val="es-ES" w:eastAsia="es-ES"/>
          <w14:ligatures w14:val="standardContextual"/>
        </w:rPr>
        <w:t xml:space="preserve">que el documento lo permita, es decir, en las disposiciones que </w:t>
      </w:r>
      <w:r w:rsidRPr="000F540C">
        <w:rPr>
          <w:rFonts w:ascii="Verdana" w:eastAsia="Times New Roman" w:hAnsi="Verdana" w:cs="Arial"/>
          <w:kern w:val="2"/>
          <w:shd w:val="clear" w:color="auto" w:fill="FFFFFF"/>
          <w:lang w:val="es-ES" w:eastAsia="es-ES"/>
          <w14:ligatures w14:val="standardContextual"/>
        </w:rPr>
        <w:t xml:space="preserve">se encuentran entre corchetes y resaltados en gris </w:t>
      </w:r>
      <w:r w:rsidRPr="000F540C">
        <w:rPr>
          <w:rFonts w:ascii="Verdana" w:eastAsia="Times New Roman" w:hAnsi="Verdana" w:cs="Arial"/>
          <w:kern w:val="2"/>
          <w:highlight w:val="lightGray"/>
          <w:shd w:val="clear" w:color="auto" w:fill="FFFFFF"/>
          <w:lang w:val="es-ES" w:eastAsia="es-ES"/>
          <w14:ligatures w14:val="standardContextual"/>
        </w:rPr>
        <w:t>–[texto]–</w:t>
      </w:r>
      <w:r>
        <w:rPr>
          <w:rFonts w:ascii="Verdana" w:eastAsia="Times New Roman" w:hAnsi="Verdana" w:cs="Arial"/>
          <w:kern w:val="2"/>
          <w:shd w:val="clear" w:color="auto" w:fill="FFFFFF"/>
          <w:lang w:val="es-ES" w:eastAsia="es-ES"/>
          <w14:ligatures w14:val="standardContextual"/>
        </w:rPr>
        <w:t>.</w:t>
      </w:r>
      <w:r>
        <w:rPr>
          <w:rFonts w:ascii="Verdana" w:eastAsia="Calibri" w:hAnsi="Verdana" w:cs="Arial"/>
          <w:lang w:val="es-ES_tradnl"/>
        </w:rPr>
        <w:t xml:space="preserve"> </w:t>
      </w:r>
      <w:r w:rsidRPr="00FA11F3">
        <w:rPr>
          <w:rFonts w:ascii="Verdana" w:eastAsia="Times New Roman" w:hAnsi="Verdana" w:cs="Arial"/>
          <w:kern w:val="2"/>
          <w:shd w:val="clear" w:color="auto" w:fill="FFFFFF"/>
          <w:lang w:val="es-ES_tradnl" w:eastAsia="es-ES_tradnl"/>
          <w14:ligatures w14:val="standardContextual"/>
        </w:rPr>
        <w:t>Así por</w:t>
      </w:r>
      <w:r>
        <w:rPr>
          <w:rFonts w:ascii="Verdana" w:eastAsia="Times New Roman" w:hAnsi="Verdana" w:cs="Arial"/>
          <w:kern w:val="2"/>
          <w:shd w:val="clear" w:color="auto" w:fill="FFFFFF"/>
          <w:lang w:val="es-ES_tradnl" w:eastAsia="es-ES_tradnl"/>
          <w14:ligatures w14:val="standardContextual"/>
        </w:rPr>
        <w:t xml:space="preserve"> ejemplo, y teniendo en cuenta que</w:t>
      </w:r>
      <w:r w:rsidRPr="00FA11F3">
        <w:rPr>
          <w:rFonts w:ascii="Verdana" w:eastAsia="Arial" w:hAnsi="Verdana" w:cstheme="majorHAnsi"/>
          <w:lang w:val="es-ES"/>
        </w:rPr>
        <w:t xml:space="preserve"> </w:t>
      </w:r>
      <w:r>
        <w:rPr>
          <w:rFonts w:ascii="Verdana" w:eastAsia="Arial" w:hAnsi="Verdana" w:cstheme="majorHAnsi"/>
          <w:lang w:val="es-ES"/>
        </w:rPr>
        <w:t xml:space="preserve">en su consulta usted menciona los pliegos tipo de interventoría sin mencionar el sector o la versión de estos, para absolver su consulta nos referiremos a los Documentos Tipo de </w:t>
      </w:r>
      <w:r w:rsidRPr="00BA2FA6">
        <w:rPr>
          <w:rFonts w:ascii="Verdana" w:eastAsia="Arial" w:hAnsi="Verdana" w:cstheme="majorHAnsi"/>
          <w:lang w:val="es-ES"/>
        </w:rPr>
        <w:t>interventoría de obra pública de infraestructura de transporte – versión 3</w:t>
      </w:r>
      <w:r>
        <w:rPr>
          <w:rFonts w:ascii="Verdana" w:eastAsia="Arial" w:hAnsi="Verdana" w:cstheme="majorHAnsi"/>
          <w:lang w:val="es-ES"/>
        </w:rPr>
        <w:t xml:space="preserve">, cuyo </w:t>
      </w:r>
      <w:r w:rsidRPr="006E6E77">
        <w:rPr>
          <w:rFonts w:ascii="Verdana" w:eastAsia="Arial" w:hAnsi="Verdana" w:cstheme="majorHAnsi"/>
          <w:lang w:val="es-ES"/>
        </w:rPr>
        <w:t>ANEXO 5 – MINUTA DEL CONTRATO DE INTERVENTORÍA</w:t>
      </w:r>
      <w:r>
        <w:rPr>
          <w:rFonts w:ascii="Verdana" w:eastAsia="Arial" w:hAnsi="Verdana" w:cstheme="majorHAnsi"/>
          <w:lang w:val="es-ES"/>
        </w:rPr>
        <w:t>, señala en la cláusula 4:</w:t>
      </w:r>
    </w:p>
    <w:p w14:paraId="60FAF265" w14:textId="77777777" w:rsidR="00301943" w:rsidRPr="00CF27CD"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“CLÁUSULA 4.</w:t>
      </w:r>
      <w:r w:rsidRPr="00CF27CD">
        <w:rPr>
          <w:rFonts w:ascii="Verdana" w:eastAsia="Aptos" w:hAnsi="Verdana" w:cs="Arial"/>
          <w:sz w:val="20"/>
          <w:szCs w:val="20"/>
          <w:lang w:val="es-ES" w:eastAsia="es-MX"/>
        </w:rPr>
        <w:tab/>
        <w:t>PLAZO DEL CONTRATO</w:t>
      </w:r>
    </w:p>
    <w:p w14:paraId="1631F8AA" w14:textId="77777777" w:rsidR="00301943" w:rsidRPr="00CF27CD"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 xml:space="preserve">El plazo estimado para la ejecución del contrato será de </w:t>
      </w:r>
      <w:r w:rsidRPr="003E3C3B">
        <w:rPr>
          <w:rFonts w:ascii="Verdana" w:eastAsia="Aptos" w:hAnsi="Verdana" w:cs="Arial"/>
          <w:sz w:val="20"/>
          <w:szCs w:val="20"/>
          <w:highlight w:val="darkGray"/>
          <w:lang w:val="es-ES" w:eastAsia="es-MX"/>
        </w:rPr>
        <w:t>[incluir plazo]</w:t>
      </w:r>
      <w:r w:rsidRPr="00CF27CD">
        <w:rPr>
          <w:rFonts w:ascii="Verdana" w:eastAsia="Aptos" w:hAnsi="Verdana" w:cs="Arial"/>
          <w:sz w:val="20"/>
          <w:szCs w:val="20"/>
          <w:lang w:val="es-ES" w:eastAsia="es-MX"/>
        </w:rPr>
        <w:t xml:space="preserve">, contados a partir de </w:t>
      </w:r>
      <w:r w:rsidRPr="003E3C3B">
        <w:rPr>
          <w:rFonts w:ascii="Verdana" w:eastAsia="Aptos" w:hAnsi="Verdana" w:cs="Arial"/>
          <w:sz w:val="20"/>
          <w:szCs w:val="20"/>
          <w:highlight w:val="darkGray"/>
          <w:lang w:val="es-ES" w:eastAsia="es-MX"/>
        </w:rPr>
        <w:t>[punto de inicio],</w:t>
      </w:r>
      <w:r w:rsidRPr="00CF27CD">
        <w:rPr>
          <w:rFonts w:ascii="Verdana" w:eastAsia="Aptos" w:hAnsi="Verdana" w:cs="Arial"/>
          <w:sz w:val="20"/>
          <w:szCs w:val="20"/>
          <w:lang w:val="es-ES" w:eastAsia="es-MX"/>
        </w:rPr>
        <w:t xml:space="preserve"> previo el cumplimiento de los requisitos de perfeccionamiento y ejecución </w:t>
      </w:r>
      <w:proofErr w:type="gramStart"/>
      <w:r w:rsidRPr="00CF27CD">
        <w:rPr>
          <w:rFonts w:ascii="Verdana" w:eastAsia="Aptos" w:hAnsi="Verdana" w:cs="Arial"/>
          <w:sz w:val="20"/>
          <w:szCs w:val="20"/>
          <w:lang w:val="es-ES" w:eastAsia="es-MX"/>
        </w:rPr>
        <w:t>del mismo</w:t>
      </w:r>
      <w:proofErr w:type="gramEnd"/>
      <w:r w:rsidRPr="00CF27CD">
        <w:rPr>
          <w:rFonts w:ascii="Verdana" w:eastAsia="Aptos" w:hAnsi="Verdana" w:cs="Arial"/>
          <w:sz w:val="20"/>
          <w:szCs w:val="20"/>
          <w:lang w:val="es-ES" w:eastAsia="es-MX"/>
        </w:rPr>
        <w:t xml:space="preserve"> y aprobación de los documentos previstos en el Pliego de Condiciones.</w:t>
      </w:r>
    </w:p>
    <w:p w14:paraId="161D61C9" w14:textId="77777777" w:rsidR="00301943" w:rsidRPr="00CF27CD"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p>
    <w:p w14:paraId="003D0F33" w14:textId="77777777" w:rsidR="00301943" w:rsidRPr="00CF27CD" w:rsidRDefault="00301943" w:rsidP="00301943">
      <w:pPr>
        <w:snapToGrid w:val="0"/>
        <w:spacing w:after="0" w:line="240" w:lineRule="auto"/>
        <w:ind w:left="709" w:right="709"/>
        <w:jc w:val="both"/>
        <w:textAlignment w:val="baseline"/>
        <w:rPr>
          <w:rFonts w:ascii="Verdana" w:eastAsia="Aptos" w:hAnsi="Verdana" w:cs="Arial"/>
          <w:sz w:val="20"/>
          <w:szCs w:val="20"/>
          <w:lang w:val="es-ES" w:eastAsia="es-MX"/>
        </w:rPr>
      </w:pPr>
      <w:r w:rsidRPr="00CF27CD">
        <w:rPr>
          <w:rFonts w:ascii="Verdana" w:eastAsia="Aptos" w:hAnsi="Verdana" w:cs="Arial"/>
          <w:sz w:val="20"/>
          <w:szCs w:val="20"/>
          <w:lang w:val="es-ES" w:eastAsia="es-MX"/>
        </w:rPr>
        <w:t>Excepcionalmente, por causas que constituyan fuerza mayor o caso fortuito, las partes de común acuerdo podrán suspender el plazo de ejecución del contrato, siempre que la naturaleza de las obligaciones lo admita, no se contraríen normas de orden público y se adopten medidas para superar las causas que motivaron la suspensión en el menor tiempo posible”.</w:t>
      </w:r>
    </w:p>
    <w:p w14:paraId="417CCD53" w14:textId="77777777" w:rsidR="00301943" w:rsidRDefault="00301943" w:rsidP="00301943">
      <w:pPr>
        <w:spacing w:before="120" w:after="120" w:line="276" w:lineRule="auto"/>
        <w:ind w:firstLine="879"/>
        <w:jc w:val="both"/>
        <w:rPr>
          <w:rFonts w:ascii="Verdana" w:eastAsia="Calibri" w:hAnsi="Verdana" w:cs="Arial"/>
          <w:kern w:val="2"/>
          <w:lang w:val="es-ES_tradnl"/>
          <w14:ligatures w14:val="standardContextual"/>
        </w:rPr>
      </w:pPr>
      <w:r>
        <w:rPr>
          <w:rFonts w:ascii="Verdana" w:eastAsia="Arial" w:hAnsi="Verdana" w:cstheme="majorHAnsi"/>
          <w:lang w:val="es-ES"/>
        </w:rPr>
        <w:t xml:space="preserve">Sin embargo, en ejercicio de la autonomía mencionada anteriormente, las entidades deberán diligenciar los espacios marcados en corchetes y gris, de acuerdo con el estudio previo, que, para responder su pregunta sobre el momento de fijar el plazo del contrato, es en la etapa de planeación el momento para fijar el plazo del contrato de interventoría, teniendo en cuenta que la interventoría vigila la ejecución o cumplimiento del contrato de obra vigilado, donde </w:t>
      </w:r>
      <w:r>
        <w:rPr>
          <w:rFonts w:ascii="Verdana" w:eastAsia="Times New Roman" w:hAnsi="Verdana" w:cs="Arial"/>
          <w:kern w:val="2"/>
          <w:shd w:val="clear" w:color="auto" w:fill="FFFFFF"/>
          <w:lang w:val="es-ES_tradnl" w:eastAsia="es-ES_tradnl"/>
          <w14:ligatures w14:val="standardContextual"/>
        </w:rPr>
        <w:t xml:space="preserve">las entidades estatales deberán fijar el plazo del contrato en los términos establecidos en la Cláusula 4 del Anexo 5 – Minuta del contrato de interventoría de obra pública de infraestructura de transporte. </w:t>
      </w:r>
    </w:p>
    <w:p w14:paraId="6BDDD306" w14:textId="77777777" w:rsidR="00301943" w:rsidRDefault="00301943" w:rsidP="00301943">
      <w:pPr>
        <w:tabs>
          <w:tab w:val="left" w:pos="709"/>
        </w:tabs>
        <w:snapToGrid w:val="0"/>
        <w:spacing w:after="0" w:line="276" w:lineRule="auto"/>
        <w:contextualSpacing/>
        <w:jc w:val="both"/>
        <w:rPr>
          <w:rFonts w:ascii="Verdana" w:hAnsi="Verdana" w:cs="Arial"/>
        </w:rPr>
      </w:pPr>
      <w:r>
        <w:rPr>
          <w:rFonts w:ascii="Verdana" w:eastAsia="Aptos" w:hAnsi="Verdana" w:cs="Arial"/>
          <w:bCs/>
        </w:rPr>
        <w:tab/>
      </w:r>
      <w:r>
        <w:rPr>
          <w:rFonts w:ascii="Verdana" w:eastAsia="Calibri" w:hAnsi="Verdana" w:cs="Arial"/>
          <w:color w:val="000000" w:themeColor="text1"/>
          <w:lang w:val="es-ES" w:eastAsia="es-ES" w:bidi="es-ES"/>
        </w:rPr>
        <w:t xml:space="preserve">En cualquier caso, </w:t>
      </w:r>
      <w:r w:rsidRPr="002C6323">
        <w:rPr>
          <w:rFonts w:ascii="Verdana" w:hAnsi="Verdana" w:cs="Arial"/>
        </w:rPr>
        <w:t xml:space="preserve">el análisis requerido para </w:t>
      </w:r>
      <w:r w:rsidRPr="002C6323">
        <w:rPr>
          <w:rFonts w:ascii="Verdana" w:eastAsia="Calibri" w:hAnsi="Verdana" w:cs="Arial"/>
          <w:color w:val="000000"/>
          <w:lang w:val="es-ES" w:eastAsia="es-ES"/>
        </w:rPr>
        <w:t xml:space="preserve">estipular el </w:t>
      </w:r>
      <w:r>
        <w:rPr>
          <w:rFonts w:ascii="Verdana" w:eastAsia="Calibri" w:hAnsi="Verdana" w:cs="Arial"/>
          <w:color w:val="000000"/>
          <w:lang w:val="es-ES" w:eastAsia="es-ES"/>
        </w:rPr>
        <w:t xml:space="preserve">plazo de la interventoría </w:t>
      </w:r>
      <w:r w:rsidRPr="002C6323">
        <w:rPr>
          <w:rFonts w:ascii="Verdana" w:hAnsi="Verdana" w:cs="Arial"/>
        </w:rPr>
        <w:t>debe ser realizado por quienes tengan interés en ello</w:t>
      </w:r>
      <w:r>
        <w:rPr>
          <w:rFonts w:ascii="Verdana" w:hAnsi="Verdana" w:cs="Arial"/>
        </w:rPr>
        <w:t xml:space="preserve"> según las particularidades del caso</w:t>
      </w:r>
      <w:r w:rsidRPr="002C6323">
        <w:rPr>
          <w:rFonts w:ascii="Verdana" w:hAnsi="Verdana" w:cs="Arial"/>
        </w:rPr>
        <w:t xml:space="preserve">, de acuerdo con lo explicado </w:t>
      </w:r>
      <w:r>
        <w:rPr>
          <w:rFonts w:ascii="Verdana" w:hAnsi="Verdana" w:cs="Arial"/>
        </w:rPr>
        <w:t>anteriormente</w:t>
      </w:r>
      <w:r w:rsidRPr="002C6323">
        <w:rPr>
          <w:rFonts w:ascii="Verdana" w:hAnsi="Verdana" w:cs="Arial"/>
        </w:rPr>
        <w:t xml:space="preserve">. De esta </w:t>
      </w:r>
      <w:r w:rsidRPr="002C6323">
        <w:rPr>
          <w:rFonts w:ascii="Verdana" w:hAnsi="Verdana" w:cs="Arial"/>
        </w:rPr>
        <w:lastRenderedPageBreak/>
        <w:t>manera, la entidad contratante definirá en cada caso concreto lo relacionado con</w:t>
      </w:r>
      <w:r>
        <w:rPr>
          <w:rFonts w:ascii="Verdana" w:hAnsi="Verdana" w:cs="Arial"/>
        </w:rPr>
        <w:t xml:space="preserve"> el plazo, considerando en todo caso la procedencia e inalterabilidad de las condiciones que para ello establezcan los Documentos Tipo adoptados por esta Agencia.</w:t>
      </w:r>
    </w:p>
    <w:p w14:paraId="37F58EA8" w14:textId="77777777" w:rsidR="00301943" w:rsidRPr="00AE193D" w:rsidRDefault="00301943" w:rsidP="00301943">
      <w:pPr>
        <w:tabs>
          <w:tab w:val="left" w:pos="709"/>
        </w:tabs>
        <w:snapToGrid w:val="0"/>
        <w:spacing w:after="0" w:line="276" w:lineRule="auto"/>
        <w:contextualSpacing/>
        <w:jc w:val="both"/>
        <w:rPr>
          <w:rFonts w:ascii="Verdana" w:hAnsi="Verdana" w:cs="Arial"/>
        </w:rPr>
      </w:pPr>
    </w:p>
    <w:p w14:paraId="626E9813" w14:textId="77777777" w:rsidR="00301943" w:rsidRPr="00FE5A24" w:rsidRDefault="00301943" w:rsidP="003019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47CCF0F6" w14:textId="77777777" w:rsidR="00301943" w:rsidRPr="00FE5A24" w:rsidRDefault="00301943" w:rsidP="00301943">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01943" w:rsidRPr="00FE5A24" w14:paraId="7B7DEEC7" w14:textId="77777777" w:rsidTr="00D8057A">
        <w:trPr>
          <w:trHeight w:val="870"/>
        </w:trPr>
        <w:tc>
          <w:tcPr>
            <w:tcW w:w="8647" w:type="dxa"/>
          </w:tcPr>
          <w:p w14:paraId="1C44E1F7" w14:textId="77777777" w:rsidR="00301943" w:rsidRPr="00C86A50"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C86A50">
              <w:rPr>
                <w:rFonts w:ascii="Verdana" w:hAnsi="Verdana" w:cs="Arial"/>
                <w:color w:val="000000" w:themeColor="text1"/>
              </w:rPr>
              <w:t>Ley 80 de 1993, artículos 4, 5, 12,</w:t>
            </w:r>
            <w:r>
              <w:rPr>
                <w:rFonts w:ascii="Verdana" w:hAnsi="Verdana" w:cs="Arial"/>
                <w:color w:val="000000" w:themeColor="text1"/>
              </w:rPr>
              <w:t xml:space="preserve"> 13,</w:t>
            </w:r>
            <w:r w:rsidRPr="00C86A50">
              <w:rPr>
                <w:rFonts w:ascii="Verdana" w:hAnsi="Verdana" w:cs="Arial"/>
                <w:color w:val="000000" w:themeColor="text1"/>
              </w:rPr>
              <w:t xml:space="preserve"> 14,</w:t>
            </w:r>
            <w:r>
              <w:rPr>
                <w:rFonts w:ascii="Verdana" w:hAnsi="Verdana" w:cs="Arial"/>
                <w:color w:val="000000" w:themeColor="text1"/>
              </w:rPr>
              <w:t xml:space="preserve"> 24,</w:t>
            </w:r>
            <w:r w:rsidRPr="00C86A50">
              <w:rPr>
                <w:rFonts w:ascii="Verdana" w:hAnsi="Verdana" w:cs="Arial"/>
                <w:color w:val="000000" w:themeColor="text1"/>
              </w:rPr>
              <w:t xml:space="preserve"> 26</w:t>
            </w:r>
            <w:r>
              <w:rPr>
                <w:rFonts w:ascii="Verdana" w:hAnsi="Verdana" w:cs="Arial"/>
                <w:color w:val="000000" w:themeColor="text1"/>
              </w:rPr>
              <w:t>, 32, 40</w:t>
            </w:r>
            <w:r w:rsidRPr="00C86A50">
              <w:rPr>
                <w:rFonts w:ascii="Verdana" w:hAnsi="Verdana" w:cs="Arial"/>
                <w:color w:val="000000" w:themeColor="text1"/>
              </w:rPr>
              <w:t xml:space="preserve"> y 53.</w:t>
            </w:r>
          </w:p>
          <w:p w14:paraId="199D76FB" w14:textId="77777777" w:rsidR="00301943" w:rsidRPr="00C86A50"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C86A50">
              <w:rPr>
                <w:rFonts w:ascii="Verdana" w:hAnsi="Verdana" w:cs="Arial"/>
                <w:color w:val="000000" w:themeColor="text1"/>
              </w:rPr>
              <w:t>Ley 1150 de 2007, artículos 2, 17 y 21.</w:t>
            </w:r>
          </w:p>
          <w:p w14:paraId="48EA4224" w14:textId="77777777" w:rsidR="00301943"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C86A50">
              <w:rPr>
                <w:rFonts w:ascii="Verdana" w:hAnsi="Verdana" w:cs="Arial"/>
                <w:color w:val="000000" w:themeColor="text1"/>
              </w:rPr>
              <w:t>Ley 1474 de 2011, artículos 83 a 86.</w:t>
            </w:r>
          </w:p>
          <w:p w14:paraId="5DF83971" w14:textId="77777777" w:rsidR="00301943" w:rsidRPr="00D6495A"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6495A">
              <w:rPr>
                <w:rFonts w:ascii="Verdana" w:hAnsi="Verdana" w:cs="Arial"/>
                <w:color w:val="000000" w:themeColor="text1"/>
              </w:rPr>
              <w:t xml:space="preserve">Código Civil, artículos: </w:t>
            </w:r>
            <w:r w:rsidRPr="00DC1DA9">
              <w:rPr>
                <w:rFonts w:ascii="Verdana" w:hAnsi="Verdana" w:cs="Arial"/>
                <w:color w:val="000000" w:themeColor="text1"/>
              </w:rPr>
              <w:t>1530, 1531, 1532 y 1534</w:t>
            </w:r>
          </w:p>
          <w:p w14:paraId="16C08024" w14:textId="77777777" w:rsidR="00301943" w:rsidRPr="00DC1DA9"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C1DA9">
              <w:rPr>
                <w:rFonts w:ascii="Verdana" w:hAnsi="Verdana" w:cs="Arial"/>
                <w:color w:val="000000" w:themeColor="text1"/>
              </w:rPr>
              <w:t xml:space="preserve">Consejo de Estado, Sección Tercera. Sentencia del 8 de marzo de 1996,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C1DA9">
              <w:rPr>
                <w:rFonts w:ascii="Verdana" w:hAnsi="Verdana" w:cs="Arial"/>
                <w:color w:val="000000" w:themeColor="text1"/>
              </w:rPr>
              <w:t>8070</w:t>
            </w:r>
            <w:r>
              <w:rPr>
                <w:rFonts w:ascii="Verdana" w:hAnsi="Verdana" w:cs="Arial"/>
                <w:color w:val="000000" w:themeColor="text1"/>
              </w:rPr>
              <w:t>.</w:t>
            </w:r>
            <w:r w:rsidRPr="00DC1DA9">
              <w:rPr>
                <w:rFonts w:ascii="Verdana" w:hAnsi="Verdana" w:cs="Arial"/>
                <w:color w:val="000000" w:themeColor="text1"/>
              </w:rPr>
              <w:t xml:space="preserve"> C.P. Jesús María Carrillo</w:t>
            </w:r>
          </w:p>
          <w:p w14:paraId="7200A19E" w14:textId="77777777" w:rsidR="00301943" w:rsidRPr="00DC1DA9"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pPr>
            <w:r w:rsidRPr="00DC1DA9">
              <w:rPr>
                <w:rFonts w:ascii="Verdana" w:hAnsi="Verdana" w:cs="Arial"/>
                <w:color w:val="000000" w:themeColor="text1"/>
              </w:rPr>
              <w:t xml:space="preserve">Consejo de Estado. Sección Tercera. Sentencia del 28 de febrero de 2013. </w:t>
            </w:r>
            <w:proofErr w:type="spellStart"/>
            <w:r w:rsidRPr="00DC1DA9">
              <w:rPr>
                <w:rFonts w:ascii="Verdana" w:hAnsi="Verdana" w:cs="Arial"/>
                <w:color w:val="000000" w:themeColor="text1"/>
              </w:rPr>
              <w:t>Exp</w:t>
            </w:r>
            <w:proofErr w:type="spellEnd"/>
            <w:r w:rsidRPr="00DC1DA9">
              <w:rPr>
                <w:rFonts w:ascii="Verdana" w:hAnsi="Verdana" w:cs="Arial"/>
                <w:color w:val="000000" w:themeColor="text1"/>
              </w:rPr>
              <w:t>. 24.266</w:t>
            </w:r>
            <w:r>
              <w:rPr>
                <w:rFonts w:ascii="Verdana" w:hAnsi="Verdana" w:cs="Arial"/>
                <w:color w:val="000000" w:themeColor="text1"/>
              </w:rPr>
              <w:t>.</w:t>
            </w:r>
            <w:r w:rsidRPr="00DC1DA9">
              <w:rPr>
                <w:rFonts w:ascii="Verdana" w:hAnsi="Verdana" w:cs="Arial"/>
                <w:color w:val="000000" w:themeColor="text1"/>
              </w:rPr>
              <w:t xml:space="preserve"> C.P. Danilo Rojas Betancourth.</w:t>
            </w:r>
          </w:p>
          <w:p w14:paraId="1D45219D" w14:textId="77777777" w:rsidR="00301943" w:rsidRPr="00DC1DA9"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C1DA9">
              <w:rPr>
                <w:rFonts w:ascii="Verdana" w:hAnsi="Verdana" w:cs="Arial"/>
                <w:color w:val="000000" w:themeColor="text1"/>
              </w:rPr>
              <w:t xml:space="preserve">Consejo de Estado, Sección Tercera. Sentencia del 20 de noviembre de 2019,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C1DA9">
              <w:rPr>
                <w:rFonts w:ascii="Verdana" w:hAnsi="Verdana" w:cs="Arial"/>
                <w:color w:val="000000" w:themeColor="text1"/>
              </w:rPr>
              <w:t>25000-23-36-000-2016-00955-01(62369)</w:t>
            </w:r>
            <w:r>
              <w:rPr>
                <w:rFonts w:ascii="Verdana" w:hAnsi="Verdana" w:cs="Arial"/>
                <w:color w:val="000000" w:themeColor="text1"/>
              </w:rPr>
              <w:t>.</w:t>
            </w:r>
            <w:r w:rsidRPr="00DC1DA9">
              <w:rPr>
                <w:rFonts w:ascii="Verdana" w:hAnsi="Verdana" w:cs="Arial"/>
                <w:color w:val="000000" w:themeColor="text1"/>
              </w:rPr>
              <w:t xml:space="preserve"> C.P. Marta Nubia Velazquez Rico</w:t>
            </w:r>
          </w:p>
          <w:p w14:paraId="00273737" w14:textId="77777777" w:rsidR="00301943" w:rsidRPr="00DC1DA9" w:rsidRDefault="00301943" w:rsidP="00D8057A">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6495A">
              <w:rPr>
                <w:rFonts w:ascii="Verdana" w:hAnsi="Verdana" w:cs="Arial"/>
                <w:color w:val="000000" w:themeColor="text1"/>
              </w:rPr>
              <w:t xml:space="preserve">Consejo </w:t>
            </w:r>
            <w:r>
              <w:rPr>
                <w:rFonts w:ascii="Verdana" w:hAnsi="Verdana" w:cs="Arial"/>
                <w:color w:val="000000" w:themeColor="text1"/>
              </w:rPr>
              <w:t>d</w:t>
            </w:r>
            <w:r w:rsidRPr="00D6495A">
              <w:rPr>
                <w:rFonts w:ascii="Verdana" w:hAnsi="Verdana" w:cs="Arial"/>
                <w:color w:val="000000" w:themeColor="text1"/>
              </w:rPr>
              <w:t xml:space="preserve">e Estado, </w:t>
            </w:r>
            <w:proofErr w:type="spellStart"/>
            <w:r w:rsidRPr="00D6495A">
              <w:rPr>
                <w:rFonts w:ascii="Verdana" w:hAnsi="Verdana" w:cs="Arial"/>
                <w:color w:val="000000" w:themeColor="text1"/>
              </w:rPr>
              <w:t>Sección</w:t>
            </w:r>
            <w:proofErr w:type="spellEnd"/>
            <w:r w:rsidRPr="00D6495A">
              <w:rPr>
                <w:rFonts w:ascii="Verdana" w:hAnsi="Verdana" w:cs="Arial"/>
                <w:color w:val="000000" w:themeColor="text1"/>
              </w:rPr>
              <w:t xml:space="preserve"> Tercera</w:t>
            </w:r>
            <w:r>
              <w:rPr>
                <w:rFonts w:ascii="Verdana" w:hAnsi="Verdana" w:cs="Arial"/>
                <w:color w:val="000000" w:themeColor="text1"/>
              </w:rPr>
              <w:t xml:space="preserve">. Sentencia del </w:t>
            </w:r>
            <w:r w:rsidRPr="00D6495A">
              <w:rPr>
                <w:rFonts w:ascii="Verdana" w:hAnsi="Verdana" w:cs="Arial"/>
                <w:color w:val="000000" w:themeColor="text1"/>
              </w:rPr>
              <w:t>17 de octubre de 2023</w:t>
            </w:r>
            <w:r>
              <w:rPr>
                <w:rFonts w:ascii="Verdana" w:hAnsi="Verdana" w:cs="Arial"/>
                <w:color w:val="000000" w:themeColor="text1"/>
              </w:rPr>
              <w:t xml:space="preserve">.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6495A">
              <w:rPr>
                <w:rFonts w:ascii="Verdana" w:hAnsi="Verdana" w:cs="Arial"/>
                <w:color w:val="000000" w:themeColor="text1"/>
              </w:rPr>
              <w:t>69492</w:t>
            </w:r>
            <w:r>
              <w:rPr>
                <w:rFonts w:ascii="Verdana" w:hAnsi="Verdana" w:cs="Arial"/>
                <w:color w:val="000000" w:themeColor="text1"/>
              </w:rPr>
              <w:t>.</w:t>
            </w:r>
            <w:r w:rsidRPr="00D6495A">
              <w:rPr>
                <w:rFonts w:ascii="Verdana" w:hAnsi="Verdana" w:cs="Arial"/>
                <w:color w:val="000000" w:themeColor="text1"/>
              </w:rPr>
              <w:t xml:space="preserve"> C.P. Marta Nubia </w:t>
            </w:r>
            <w:proofErr w:type="spellStart"/>
            <w:r w:rsidRPr="00D6495A">
              <w:rPr>
                <w:rFonts w:ascii="Verdana" w:hAnsi="Verdana" w:cs="Arial"/>
                <w:color w:val="000000" w:themeColor="text1"/>
              </w:rPr>
              <w:t>Velásquez</w:t>
            </w:r>
            <w:proofErr w:type="spellEnd"/>
            <w:r w:rsidRPr="00D6495A">
              <w:rPr>
                <w:rFonts w:ascii="Verdana" w:hAnsi="Verdana" w:cs="Arial"/>
                <w:color w:val="000000" w:themeColor="text1"/>
              </w:rPr>
              <w:t xml:space="preserve"> Rico</w:t>
            </w:r>
            <w:r>
              <w:rPr>
                <w:rFonts w:ascii="Verdana" w:hAnsi="Verdana" w:cs="Arial"/>
                <w:color w:val="000000" w:themeColor="text1"/>
              </w:rPr>
              <w:t>.</w:t>
            </w:r>
          </w:p>
        </w:tc>
      </w:tr>
    </w:tbl>
    <w:p w14:paraId="293E322B" w14:textId="77777777" w:rsidR="00301943" w:rsidRPr="00FE5A24" w:rsidRDefault="00301943" w:rsidP="00301943">
      <w:pPr>
        <w:widowControl w:val="0"/>
        <w:autoSpaceDE w:val="0"/>
        <w:autoSpaceDN w:val="0"/>
        <w:spacing w:after="0" w:line="276" w:lineRule="auto"/>
        <w:jc w:val="both"/>
        <w:rPr>
          <w:rFonts w:ascii="Verdana" w:hAnsi="Verdana" w:cs="Arial"/>
          <w:color w:val="000000" w:themeColor="text1"/>
        </w:rPr>
      </w:pPr>
    </w:p>
    <w:p w14:paraId="521776CF" w14:textId="77777777" w:rsidR="00301943" w:rsidRPr="00FE5A24" w:rsidRDefault="00301943" w:rsidP="0030194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6935BF35" w14:textId="77777777" w:rsidR="00301943" w:rsidRPr="00FE5A24" w:rsidRDefault="00301943" w:rsidP="00301943">
      <w:pPr>
        <w:widowControl w:val="0"/>
        <w:autoSpaceDE w:val="0"/>
        <w:autoSpaceDN w:val="0"/>
        <w:spacing w:after="0" w:line="276" w:lineRule="auto"/>
        <w:jc w:val="both"/>
        <w:rPr>
          <w:rFonts w:ascii="Verdana" w:hAnsi="Verdana" w:cs="Arial"/>
          <w:color w:val="000000" w:themeColor="text1"/>
        </w:rPr>
      </w:pPr>
    </w:p>
    <w:p w14:paraId="4DF5568E" w14:textId="77777777" w:rsidR="00301943" w:rsidRPr="00824BAD" w:rsidRDefault="00301943" w:rsidP="00301943">
      <w:pPr>
        <w:widowControl w:val="0"/>
        <w:autoSpaceDE w:val="0"/>
        <w:autoSpaceDN w:val="0"/>
        <w:spacing w:after="0" w:line="276" w:lineRule="auto"/>
        <w:jc w:val="both"/>
        <w:rPr>
          <w:rStyle w:val="normaltextrun"/>
          <w:rFonts w:ascii="Verdana" w:eastAsia="Times New Roman" w:hAnsi="Verdana" w:cs="Arial"/>
          <w:shd w:val="clear" w:color="auto" w:fill="FFFFFF"/>
          <w:lang w:val="es-ES"/>
        </w:rPr>
      </w:pPr>
      <w:r w:rsidRPr="00AA40D8">
        <w:rPr>
          <w:rFonts w:ascii="Verdana" w:eastAsia="Calibri" w:hAnsi="Verdana" w:cs="Arial"/>
          <w:color w:val="000000" w:themeColor="text1"/>
          <w:lang w:val="es-ES" w:eastAsia="es-ES_tradnl"/>
        </w:rPr>
        <w:t xml:space="preserve">La Agencia Nacional de Contratación Pública – Colombia Compra Eficiente </w:t>
      </w:r>
      <w:r w:rsidRPr="00AA40D8">
        <w:rPr>
          <w:rFonts w:ascii="Verdana" w:eastAsia="Arial" w:hAnsi="Verdana" w:cs="Arial"/>
          <w:lang w:val="es-ES" w:eastAsia="es-ES_tradnl"/>
        </w:rPr>
        <w:t>se ha referido</w:t>
      </w:r>
      <w:r w:rsidRPr="00AA40D8">
        <w:rPr>
          <w:rFonts w:ascii="Verdana" w:eastAsia="Calibri" w:hAnsi="Verdana" w:cs="Arial"/>
          <w:lang w:val="es-ES"/>
        </w:rPr>
        <w:t xml:space="preserve"> </w:t>
      </w:r>
      <w:r w:rsidRPr="00AA40D8">
        <w:rPr>
          <w:rFonts w:ascii="Verdana" w:eastAsia="Calibri" w:hAnsi="Verdana" w:cs="Arial"/>
          <w:lang w:val="es-ES" w:eastAsia="es-ES"/>
        </w:rPr>
        <w:t xml:space="preserve">a </w:t>
      </w:r>
      <w:r>
        <w:rPr>
          <w:rFonts w:ascii="Verdana" w:eastAsia="Calibri" w:hAnsi="Verdana" w:cs="Arial"/>
          <w:shd w:val="clear" w:color="auto" w:fill="FFFFFF"/>
          <w:lang w:val="es-ES"/>
        </w:rPr>
        <w:t xml:space="preserve">la interventoría en los contratos estatales en los conceptos: </w:t>
      </w:r>
      <w:r w:rsidRPr="000A15AB">
        <w:rPr>
          <w:rFonts w:ascii="Verdana" w:eastAsia="Calibri" w:hAnsi="Verdana" w:cs="Arial"/>
          <w:kern w:val="2"/>
          <w:lang w:val="es-ES_tradnl" w:eastAsia="es-ES_tradnl"/>
          <w14:ligatures w14:val="standardContextual"/>
        </w:rPr>
        <w:t>C‒064 del 28 de febrero de 2020, C‒150 del 18 de marzo de 2020, C‒075 del 26 de marzo de 2020, C‒180 del 13 de abril de 2020, C‒344 del 26 de mayo de 2020 y en el C‒765 del 7 de enero de 2021, C-411 del 17 de agosto de 2021, C-650 del 22 de diciembre de 2021, C-238 del 27 de abril de 2022, C-432 del 13 de julio de 2022, C- 590 del 20 de septiembre de 2022,</w:t>
      </w:r>
      <w:r>
        <w:rPr>
          <w:rFonts w:ascii="Verdana" w:eastAsia="Calibri" w:hAnsi="Verdana" w:cs="Arial"/>
          <w:kern w:val="2"/>
          <w:lang w:val="es-ES_tradnl" w:eastAsia="es-ES_tradnl"/>
          <w14:ligatures w14:val="standardContextual"/>
        </w:rPr>
        <w:t xml:space="preserve"> </w:t>
      </w:r>
      <w:r w:rsidRPr="00654E3E">
        <w:rPr>
          <w:rFonts w:ascii="Verdana" w:eastAsia="Calibri" w:hAnsi="Verdana" w:cs="Arial"/>
          <w:kern w:val="2"/>
          <w:lang w:val="es-ES_tradnl" w:eastAsia="es-ES_tradnl"/>
          <w14:ligatures w14:val="standardContextual"/>
        </w:rPr>
        <w:t>Concepto C – 690 de</w:t>
      </w:r>
      <w:r>
        <w:rPr>
          <w:rFonts w:ascii="Verdana" w:eastAsia="Calibri" w:hAnsi="Verdana" w:cs="Arial"/>
          <w:kern w:val="2"/>
          <w:lang w:val="es-ES_tradnl" w:eastAsia="es-ES_tradnl"/>
          <w14:ligatures w14:val="standardContextual"/>
        </w:rPr>
        <w:t>l 19 de octubre de</w:t>
      </w:r>
      <w:r w:rsidRPr="00654E3E">
        <w:rPr>
          <w:rFonts w:ascii="Verdana" w:eastAsia="Calibri" w:hAnsi="Verdana" w:cs="Arial"/>
          <w:kern w:val="2"/>
          <w:lang w:val="es-ES_tradnl" w:eastAsia="es-ES_tradnl"/>
          <w14:ligatures w14:val="standardContextual"/>
        </w:rPr>
        <w:t xml:space="preserve"> 2022</w:t>
      </w:r>
      <w:r>
        <w:rPr>
          <w:rFonts w:ascii="Verdana" w:eastAsia="Calibri" w:hAnsi="Verdana" w:cs="Arial"/>
          <w:kern w:val="2"/>
          <w:lang w:val="es-ES_tradnl" w:eastAsia="es-ES_tradnl"/>
          <w14:ligatures w14:val="standardContextual"/>
        </w:rPr>
        <w:t>,</w:t>
      </w:r>
      <w:r w:rsidRPr="000A15AB">
        <w:rPr>
          <w:rFonts w:ascii="Verdana" w:eastAsia="Calibri" w:hAnsi="Verdana" w:cs="Arial"/>
          <w:kern w:val="2"/>
          <w:lang w:val="es-ES_tradnl" w:eastAsia="es-ES_tradnl"/>
          <w14:ligatures w14:val="standardContextual"/>
        </w:rPr>
        <w:t xml:space="preserve"> C-713 del 7 de noviembre de 2024, C-711 del 21 de noviembre de 2024</w:t>
      </w:r>
      <w:r>
        <w:rPr>
          <w:rFonts w:ascii="Verdana" w:eastAsia="Calibri" w:hAnsi="Verdana" w:cs="Arial"/>
          <w:kern w:val="2"/>
          <w:lang w:val="es-ES_tradnl" w:eastAsia="es-ES_tradnl"/>
          <w14:ligatures w14:val="standardContextual"/>
        </w:rPr>
        <w:t xml:space="preserve"> y </w:t>
      </w:r>
      <w:r w:rsidRPr="009D1512">
        <w:rPr>
          <w:rFonts w:ascii="Verdana" w:eastAsia="Calibri" w:hAnsi="Verdana" w:cs="Arial"/>
          <w:lang w:val="es-ES" w:eastAsia="es-ES"/>
        </w:rPr>
        <w:t xml:space="preserve">C – 800 del 13 de diciembre de 2024, entre otros. De igual forma, sobre el fundamento normativo de los documentos tipo se pronunció </w:t>
      </w:r>
      <w:r>
        <w:rPr>
          <w:rFonts w:ascii="Verdana" w:eastAsia="Calibri" w:hAnsi="Verdana" w:cs="Arial"/>
          <w:lang w:val="es-ES" w:eastAsia="es-ES"/>
        </w:rPr>
        <w:t xml:space="preserve">recientemente </w:t>
      </w:r>
      <w:r w:rsidRPr="009D1512">
        <w:rPr>
          <w:rFonts w:ascii="Verdana" w:eastAsia="Calibri" w:hAnsi="Verdana" w:cs="Arial"/>
          <w:lang w:val="es-ES" w:eastAsia="es-ES"/>
        </w:rPr>
        <w:t xml:space="preserve">en </w:t>
      </w:r>
      <w:r w:rsidRPr="009D1512">
        <w:rPr>
          <w:rFonts w:ascii="Verdana" w:eastAsia="Calibri" w:hAnsi="Verdana" w:cs="Arial"/>
          <w:lang w:val="es-ES" w:eastAsia="es-ES"/>
        </w:rPr>
        <w:lastRenderedPageBreak/>
        <w:t>los conceptos</w:t>
      </w:r>
      <w:r>
        <w:rPr>
          <w:rFonts w:ascii="Verdana" w:eastAsia="Calibri" w:hAnsi="Verdana" w:cs="Arial"/>
          <w:b/>
          <w:bCs/>
          <w:lang w:val="es-ES" w:eastAsia="es-ES"/>
        </w:rPr>
        <w:t xml:space="preserve"> </w:t>
      </w:r>
      <w:r w:rsidRPr="00484D44">
        <w:rPr>
          <w:rFonts w:ascii="Verdana" w:eastAsia="Times New Roman" w:hAnsi="Verdana" w:cs="Arial"/>
          <w:shd w:val="clear" w:color="auto" w:fill="FFFFFF"/>
          <w:lang w:val="es-ES"/>
        </w:rPr>
        <w:t>C-042 del 29 de marzo de 2023, C-051 del 28 de abril de 2023, C-299 del 24 de julio de 2023</w:t>
      </w:r>
      <w:r>
        <w:rPr>
          <w:rFonts w:ascii="Verdana" w:eastAsia="Times New Roman" w:hAnsi="Verdana" w:cs="Arial"/>
          <w:shd w:val="clear" w:color="auto" w:fill="FFFFFF"/>
          <w:lang w:val="es-ES"/>
        </w:rPr>
        <w:t>, C- 272 del 22 de agosto de 2024, C- 516 del 07 de octubre de 2024, C- 481 del 09 de noviembre de 2024, C- 692 del 19 de noviembre de 2024 y C-753 del 4 de enero de 2024</w:t>
      </w:r>
      <w:r>
        <w:rPr>
          <w:rStyle w:val="normaltextrun"/>
          <w:rFonts w:ascii="Verdana" w:hAnsi="Verdana" w:cs="Arial"/>
          <w:color w:val="000000" w:themeColor="text1"/>
          <w:shd w:val="clear" w:color="auto" w:fill="FFFFFF"/>
          <w:lang w:val="es-ES"/>
        </w:rPr>
        <w:t xml:space="preserve">, </w:t>
      </w:r>
      <w:r w:rsidRPr="00D6495A">
        <w:rPr>
          <w:rFonts w:ascii="Verdana" w:hAnsi="Verdana" w:cs="Arial"/>
          <w:lang w:val="es-ES" w:eastAsia="es-ES"/>
        </w:rPr>
        <w:t>C</w:t>
      </w:r>
      <w:r w:rsidRPr="00715647">
        <w:rPr>
          <w:rFonts w:ascii="Verdana" w:hAnsi="Verdana" w:cs="Arial"/>
          <w:lang w:val="es-ES" w:eastAsia="es-ES"/>
        </w:rPr>
        <w:t xml:space="preserve">-110 de 7 de marzo de 2025 y </w:t>
      </w:r>
      <w:r w:rsidRPr="00715647">
        <w:rPr>
          <w:rFonts w:ascii="Verdana" w:eastAsia="Calibri" w:hAnsi="Verdana" w:cs="Arial"/>
          <w:lang w:val="es-ES" w:eastAsia="es-ES"/>
        </w:rPr>
        <w:t>C –249 del 10 de marzo de 2025,</w:t>
      </w:r>
      <w:r>
        <w:rPr>
          <w:rFonts w:ascii="Verdana" w:eastAsia="Calibri" w:hAnsi="Verdana" w:cs="Arial"/>
          <w:lang w:val="es-ES" w:eastAsia="es-ES"/>
        </w:rPr>
        <w:t xml:space="preserve"> C-1006 del 28 de agosto de 2025,</w:t>
      </w:r>
      <w:r>
        <w:rPr>
          <w:rFonts w:ascii="Verdana" w:eastAsia="Calibri" w:hAnsi="Verdana" w:cs="Arial"/>
          <w:b/>
          <w:bCs/>
          <w:lang w:val="es-ES" w:eastAsia="es-ES"/>
        </w:rPr>
        <w:t xml:space="preserve"> </w:t>
      </w:r>
      <w:r>
        <w:rPr>
          <w:rStyle w:val="normaltextrun"/>
          <w:rFonts w:ascii="Verdana" w:hAnsi="Verdana" w:cs="Arial"/>
          <w:color w:val="000000" w:themeColor="text1"/>
          <w:shd w:val="clear" w:color="auto" w:fill="FFFFFF"/>
          <w:lang w:val="es-ES"/>
        </w:rPr>
        <w:t>entre otros</w:t>
      </w:r>
      <w:r w:rsidRPr="00FE5A24">
        <w:rPr>
          <w:rFonts w:ascii="Verdana" w:hAnsi="Verdana"/>
          <w:color w:val="000000" w:themeColor="text1"/>
        </w:rPr>
        <w:t>.</w:t>
      </w:r>
      <w:r w:rsidRPr="00FE5A24">
        <w:rPr>
          <w:rFonts w:ascii="Verdana" w:hAnsi="Verdana" w:cs="Arial"/>
          <w:color w:val="000000" w:themeColor="text1"/>
          <w:shd w:val="clear" w:color="auto" w:fill="FFFFFF"/>
        </w:rPr>
        <w:t xml:space="preserve"> 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1" w:history="1">
        <w:r w:rsidRPr="00401F64">
          <w:rPr>
            <w:rStyle w:val="Hipervnculo"/>
            <w:rFonts w:ascii="Verdana" w:hAnsi="Verdana" w:cs="Arial"/>
            <w:shd w:val="clear" w:color="auto" w:fill="FFFFFF"/>
          </w:rPr>
          <w:t>https://relatoria.colombiacompra.gov.co/busqueda/conceptos</w:t>
        </w:r>
      </w:hyperlink>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58065A8E" w14:textId="77777777" w:rsidR="00301943" w:rsidRPr="00FE5A24" w:rsidRDefault="00301943" w:rsidP="0030194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06CCD2AE" w14:textId="77777777" w:rsidR="00301943" w:rsidRPr="00AA40D8" w:rsidRDefault="00301943" w:rsidP="00301943">
      <w:pPr>
        <w:spacing w:after="0" w:line="276" w:lineRule="auto"/>
        <w:contextualSpacing/>
        <w:jc w:val="both"/>
        <w:rPr>
          <w:rFonts w:ascii="Verdana" w:hAnsi="Verdana"/>
          <w:lang w:val="es-ES"/>
        </w:rPr>
      </w:pPr>
      <w:r w:rsidRPr="00AA40D8">
        <w:rPr>
          <w:rFonts w:ascii="Verdana" w:hAnsi="Verdana"/>
          <w:lang w:val="es-ES"/>
        </w:rPr>
        <w:t>También le contamos que ya se encuentra disponible la </w:t>
      </w:r>
      <w:r w:rsidRPr="00AA40D8">
        <w:rPr>
          <w:rFonts w:ascii="Verdana" w:hAnsi="Verdana"/>
          <w:b/>
          <w:bCs/>
          <w:lang w:val="es-ES"/>
        </w:rPr>
        <w:t>Guía de lineamientos de transparencia y selección objetiva para el departamento de La Guajira – Objetivo sexto constitucional de la Sentencia T-302 del 2017. </w:t>
      </w:r>
      <w:r w:rsidRPr="00AA40D8">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A40D8">
        <w:rPr>
          <w:rFonts w:ascii="Verdana" w:hAnsi="Verdana"/>
          <w:lang w:val="es-ES"/>
        </w:rPr>
        <w:t>Wayúu</w:t>
      </w:r>
      <w:proofErr w:type="spellEnd"/>
      <w:r w:rsidRPr="00AA40D8">
        <w:rPr>
          <w:rFonts w:ascii="Verdana" w:hAnsi="Verdana"/>
          <w:lang w:val="es-ES"/>
        </w:rPr>
        <w:t>. Puede consultar la guía en el siguiente enlace: </w:t>
      </w:r>
      <w:hyperlink r:id="rId12" w:tgtFrame="_blank" w:tooltip="Original URL: https://www.colombiacompra.gov.co/wp-content/uploads/2025/05/GUIA-DE-LINEAMIENTOS-DE-TRANSPARENCIA-Y-SELECCION-OBJETIVA-1.0.pdf. Click or tap if you trust this link." w:history="1">
        <w:r w:rsidRPr="00AA40D8">
          <w:rPr>
            <w:rStyle w:val="Hipervnculo"/>
            <w:rFonts w:ascii="Verdana" w:hAnsi="Verdana"/>
            <w:lang w:val="es-ES"/>
          </w:rPr>
          <w:t>Guía de lineamientos de transparencia y selección objetiva para el departamento de La Guajira – Objetivo sexto constitucional de la Sentencia T-302 del 2017</w:t>
        </w:r>
      </w:hyperlink>
      <w:r w:rsidRPr="00AA40D8">
        <w:rPr>
          <w:rFonts w:ascii="Verdana" w:hAnsi="Verdana"/>
          <w:u w:val="single"/>
          <w:lang w:val="es-ES"/>
        </w:rPr>
        <w:t>"</w:t>
      </w:r>
    </w:p>
    <w:p w14:paraId="7ABB0F8F" w14:textId="77777777" w:rsidR="00301943" w:rsidRDefault="00301943" w:rsidP="0030194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550E38C" w14:textId="77777777" w:rsidR="00301943" w:rsidRPr="003E2460" w:rsidRDefault="00301943" w:rsidP="00301943">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3B3662C7" w14:textId="77777777" w:rsidR="00301943" w:rsidRPr="003E2460" w:rsidRDefault="00301943" w:rsidP="00301943">
      <w:pPr>
        <w:spacing w:after="0" w:line="240" w:lineRule="auto"/>
        <w:jc w:val="both"/>
        <w:rPr>
          <w:rFonts w:ascii="Verdana" w:hAnsi="Verdana"/>
        </w:rPr>
      </w:pPr>
    </w:p>
    <w:p w14:paraId="30783BF1" w14:textId="77777777" w:rsidR="00301943" w:rsidRPr="003E2460" w:rsidRDefault="00301943" w:rsidP="00301943">
      <w:pPr>
        <w:spacing w:after="0" w:line="240"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0FA0699D" w14:textId="77777777" w:rsidR="00301943" w:rsidRPr="003E2460" w:rsidRDefault="00301943" w:rsidP="00301943">
      <w:pPr>
        <w:spacing w:after="0" w:line="240"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18007671" w14:textId="77777777" w:rsidR="00301943" w:rsidRPr="003E2460" w:rsidRDefault="00301943" w:rsidP="00301943">
      <w:pPr>
        <w:spacing w:after="0" w:line="240"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86BAA">
        <w:rPr>
          <w:rStyle w:val="Hipervnculo"/>
          <w:rFonts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64CC8EB0" w14:textId="77777777" w:rsidR="00301943" w:rsidRPr="00FE5A24" w:rsidRDefault="00301943" w:rsidP="00301943">
      <w:pPr>
        <w:widowControl w:val="0"/>
        <w:autoSpaceDE w:val="0"/>
        <w:autoSpaceDN w:val="0"/>
        <w:spacing w:after="0" w:line="276" w:lineRule="auto"/>
        <w:jc w:val="both"/>
        <w:rPr>
          <w:rFonts w:ascii="Verdana" w:hAnsi="Verdana" w:cs="Arial"/>
          <w:color w:val="000000" w:themeColor="text1"/>
        </w:rPr>
      </w:pPr>
    </w:p>
    <w:bookmarkEnd w:id="0"/>
    <w:p w14:paraId="168AD446" w14:textId="77777777" w:rsidR="00301943" w:rsidRPr="00D16D83" w:rsidRDefault="00301943" w:rsidP="00301943">
      <w:pPr>
        <w:widowControl w:val="0"/>
        <w:autoSpaceDE w:val="0"/>
        <w:autoSpaceDN w:val="0"/>
        <w:spacing w:after="0" w:line="276" w:lineRule="auto"/>
        <w:jc w:val="both"/>
        <w:rPr>
          <w:rFonts w:ascii="Verdana" w:eastAsia="Calibri" w:hAnsi="Verdana" w:cs="Arial"/>
          <w:lang w:val="es-ES_tradnl"/>
        </w:rPr>
      </w:pPr>
      <w:r w:rsidRPr="00D16D83">
        <w:rPr>
          <w:rFonts w:ascii="Verdana" w:eastAsia="Calibri" w:hAnsi="Verdana" w:cs="Arial"/>
        </w:rPr>
        <w:t xml:space="preserve">Este concepto tiene el alcance previsto en el artículo 28 del Código de Procedimiento Administrativo y de lo Contencioso Administrativo </w:t>
      </w:r>
      <w:r w:rsidRPr="00D16D83">
        <w:rPr>
          <w:rFonts w:ascii="Verdana" w:eastAsia="Calibri" w:hAnsi="Verdana" w:cs="Arial"/>
          <w:lang w:val="es-ES_tradnl"/>
        </w:rPr>
        <w:t>y las expresiones aquí utilizadas con mayúscula inicial deben ser entendidas con el significado que les otorga el artículo 2.2.1.1.1.3.1. del Decreto 1082 de 2015.</w:t>
      </w:r>
    </w:p>
    <w:p w14:paraId="66FE4F34" w14:textId="77777777" w:rsidR="00301943" w:rsidRPr="00D16D83" w:rsidRDefault="00301943" w:rsidP="00301943">
      <w:pPr>
        <w:widowControl w:val="0"/>
        <w:autoSpaceDE w:val="0"/>
        <w:autoSpaceDN w:val="0"/>
        <w:spacing w:after="0" w:line="276" w:lineRule="auto"/>
        <w:jc w:val="both"/>
        <w:rPr>
          <w:rFonts w:ascii="Verdana" w:eastAsia="Calibri" w:hAnsi="Verdana" w:cs="Arial"/>
        </w:rPr>
      </w:pPr>
    </w:p>
    <w:p w14:paraId="45316C8F" w14:textId="77777777" w:rsidR="00301943" w:rsidRPr="00D16D83" w:rsidRDefault="00301943" w:rsidP="00301943">
      <w:pPr>
        <w:spacing w:after="0" w:line="276" w:lineRule="auto"/>
        <w:rPr>
          <w:rFonts w:ascii="Verdana" w:eastAsia="Calibri" w:hAnsi="Verdana" w:cs="Arial"/>
          <w:lang w:eastAsia="es-CO"/>
        </w:rPr>
      </w:pPr>
      <w:r w:rsidRPr="00D16D83">
        <w:rPr>
          <w:rFonts w:ascii="Verdana" w:eastAsia="Times New Roman" w:hAnsi="Verdana" w:cs="Arial"/>
          <w:lang w:eastAsia="es-CO"/>
        </w:rPr>
        <w:t>Atentamente,</w:t>
      </w:r>
      <w:r w:rsidRPr="00D16D83">
        <w:rPr>
          <w:rFonts w:ascii="Verdana" w:eastAsia="Calibri" w:hAnsi="Verdana" w:cs="Arial"/>
          <w:lang w:eastAsia="es-CO"/>
        </w:rPr>
        <w:t xml:space="preserve"> </w:t>
      </w:r>
    </w:p>
    <w:p w14:paraId="141E8EA8" w14:textId="4AFB304C" w:rsidR="00301943" w:rsidRPr="00D16D83" w:rsidRDefault="00465D30" w:rsidP="00301943">
      <w:pPr>
        <w:spacing w:line="276" w:lineRule="auto"/>
        <w:jc w:val="center"/>
        <w:rPr>
          <w:rFonts w:ascii="Verdana" w:eastAsia="Times New Roman" w:hAnsi="Verdana" w:cs="Arial"/>
          <w:sz w:val="24"/>
          <w:szCs w:val="24"/>
          <w:lang w:eastAsia="es-ES"/>
        </w:rPr>
      </w:pPr>
      <w:r>
        <w:rPr>
          <w:noProof/>
        </w:rPr>
        <w:lastRenderedPageBreak/>
        <w:drawing>
          <wp:inline distT="0" distB="0" distL="0" distR="0" wp14:anchorId="2178A1E9" wp14:editId="2BE83A5E">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301943" w:rsidRPr="00D16D83" w14:paraId="63A3E8DB" w14:textId="77777777" w:rsidTr="00D8057A">
        <w:trPr>
          <w:trHeight w:val="315"/>
        </w:trPr>
        <w:tc>
          <w:tcPr>
            <w:tcW w:w="993" w:type="dxa"/>
            <w:vAlign w:val="center"/>
            <w:hideMark/>
          </w:tcPr>
          <w:p w14:paraId="73537B4D" w14:textId="77777777" w:rsidR="00301943" w:rsidRPr="00D16D83" w:rsidRDefault="00301943" w:rsidP="00D8057A">
            <w:pPr>
              <w:spacing w:after="0" w:line="276" w:lineRule="auto"/>
              <w:rPr>
                <w:rFonts w:ascii="Verdana" w:eastAsia="Calibri" w:hAnsi="Verdana" w:cs="Arial"/>
                <w:bCs/>
                <w:sz w:val="16"/>
                <w:szCs w:val="16"/>
                <w:lang w:eastAsia="es-CO"/>
              </w:rPr>
            </w:pPr>
            <w:r w:rsidRPr="00D16D83">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64AE229F"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Ximena Ríos López</w:t>
            </w:r>
          </w:p>
          <w:p w14:paraId="07730C1A"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Gestor T1 -11 Subdirección de Gestión Contractual</w:t>
            </w:r>
          </w:p>
        </w:tc>
      </w:tr>
      <w:tr w:rsidR="00301943" w:rsidRPr="00D16D83" w14:paraId="7912C4F5" w14:textId="77777777" w:rsidTr="00D8057A">
        <w:trPr>
          <w:trHeight w:val="330"/>
        </w:trPr>
        <w:tc>
          <w:tcPr>
            <w:tcW w:w="993" w:type="dxa"/>
            <w:vAlign w:val="center"/>
            <w:hideMark/>
          </w:tcPr>
          <w:p w14:paraId="2229083B" w14:textId="77777777" w:rsidR="00301943" w:rsidRPr="00D16D83" w:rsidRDefault="00301943" w:rsidP="00D8057A">
            <w:pPr>
              <w:spacing w:after="0" w:line="276" w:lineRule="auto"/>
              <w:rPr>
                <w:rFonts w:ascii="Verdana" w:eastAsia="Calibri" w:hAnsi="Verdana" w:cs="Arial"/>
                <w:bCs/>
                <w:sz w:val="16"/>
                <w:szCs w:val="16"/>
                <w:lang w:eastAsia="es-CO"/>
              </w:rPr>
            </w:pPr>
            <w:r w:rsidRPr="00D16D83">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1B2D7DC7"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Martha Romero</w:t>
            </w:r>
          </w:p>
          <w:p w14:paraId="3B3EF391"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Gestor T1 -15 Subdirección de Gestión Contractual</w:t>
            </w:r>
          </w:p>
        </w:tc>
      </w:tr>
      <w:tr w:rsidR="00301943" w:rsidRPr="00D16D83" w14:paraId="44B4D149" w14:textId="77777777" w:rsidTr="00D8057A">
        <w:trPr>
          <w:trHeight w:val="300"/>
        </w:trPr>
        <w:tc>
          <w:tcPr>
            <w:tcW w:w="993" w:type="dxa"/>
            <w:vAlign w:val="center"/>
            <w:hideMark/>
          </w:tcPr>
          <w:p w14:paraId="601AEF8D" w14:textId="77777777" w:rsidR="00301943" w:rsidRPr="00D16D83" w:rsidRDefault="00301943" w:rsidP="00D8057A">
            <w:pPr>
              <w:spacing w:after="0" w:line="276" w:lineRule="auto"/>
              <w:rPr>
                <w:rFonts w:ascii="Verdana" w:eastAsia="Calibri" w:hAnsi="Verdana" w:cs="Arial"/>
                <w:bCs/>
                <w:sz w:val="16"/>
                <w:szCs w:val="16"/>
                <w:lang w:eastAsia="es-CO"/>
              </w:rPr>
            </w:pPr>
            <w:r w:rsidRPr="00D16D83">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0464DA81"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Carolina Quintero Gacharná</w:t>
            </w:r>
          </w:p>
          <w:p w14:paraId="2C1F3805" w14:textId="77777777" w:rsidR="00301943" w:rsidRPr="00D16D83" w:rsidRDefault="00301943" w:rsidP="00D8057A">
            <w:pPr>
              <w:spacing w:after="0" w:line="240" w:lineRule="auto"/>
              <w:rPr>
                <w:rFonts w:ascii="Verdana" w:eastAsia="Calibri" w:hAnsi="Verdana" w:cs="Arial"/>
                <w:sz w:val="16"/>
                <w:szCs w:val="16"/>
                <w:lang w:eastAsia="es-CO"/>
              </w:rPr>
            </w:pPr>
            <w:r w:rsidRPr="00D16D83">
              <w:rPr>
                <w:rFonts w:ascii="Verdana" w:eastAsia="Calibri" w:hAnsi="Verdana" w:cs="Arial"/>
                <w:sz w:val="16"/>
                <w:szCs w:val="16"/>
                <w:lang w:eastAsia="es-CO"/>
              </w:rPr>
              <w:t>Subdirectora de Gestión Contractual ANCP – CCE</w:t>
            </w:r>
          </w:p>
        </w:tc>
      </w:tr>
    </w:tbl>
    <w:p w14:paraId="67CDC392" w14:textId="77777777" w:rsidR="00301943" w:rsidRPr="00D16D83" w:rsidRDefault="00301943" w:rsidP="00301943">
      <w:pPr>
        <w:widowControl w:val="0"/>
        <w:autoSpaceDE w:val="0"/>
        <w:autoSpaceDN w:val="0"/>
        <w:spacing w:after="0" w:line="276" w:lineRule="auto"/>
        <w:jc w:val="both"/>
        <w:rPr>
          <w:rFonts w:ascii="Calibri" w:eastAsia="Calibri" w:hAnsi="Calibri" w:cs="Times New Roman"/>
        </w:rPr>
      </w:pPr>
    </w:p>
    <w:p w14:paraId="5BD4A103" w14:textId="77777777" w:rsidR="00301943" w:rsidRPr="0044528D" w:rsidRDefault="00301943" w:rsidP="00301943">
      <w:pPr>
        <w:spacing w:after="0"/>
        <w:rPr>
          <w:rFonts w:ascii="Verdana" w:hAnsi="Verdana"/>
        </w:rPr>
      </w:pPr>
    </w:p>
    <w:p w14:paraId="0731DC4A" w14:textId="77777777" w:rsidR="00301943" w:rsidRPr="00DB1E49" w:rsidRDefault="00301943" w:rsidP="00301943"/>
    <w:p w14:paraId="0F293BF4" w14:textId="6197A7E6" w:rsidR="00127233" w:rsidRPr="00301943" w:rsidRDefault="00127233" w:rsidP="00301943"/>
    <w:sectPr w:rsidR="00127233" w:rsidRPr="0030194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FCF0E" w14:textId="77777777" w:rsidR="00511B09" w:rsidRDefault="00511B09" w:rsidP="004A1847">
      <w:pPr>
        <w:spacing w:after="0" w:line="240" w:lineRule="auto"/>
      </w:pPr>
      <w:r>
        <w:separator/>
      </w:r>
    </w:p>
  </w:endnote>
  <w:endnote w:type="continuationSeparator" w:id="0">
    <w:p w14:paraId="625ECACB" w14:textId="77777777" w:rsidR="00511B09" w:rsidRDefault="00511B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6044C" w14:textId="77777777" w:rsidR="00511B09" w:rsidRDefault="00511B09" w:rsidP="004A1847">
      <w:pPr>
        <w:spacing w:after="0" w:line="240" w:lineRule="auto"/>
      </w:pPr>
      <w:r>
        <w:separator/>
      </w:r>
    </w:p>
  </w:footnote>
  <w:footnote w:type="continuationSeparator" w:id="0">
    <w:p w14:paraId="7D5D2EFE" w14:textId="77777777" w:rsidR="00511B09" w:rsidRDefault="00511B09" w:rsidP="004A1847">
      <w:pPr>
        <w:spacing w:after="0" w:line="240" w:lineRule="auto"/>
      </w:pPr>
      <w:r>
        <w:continuationSeparator/>
      </w:r>
    </w:p>
  </w:footnote>
  <w:footnote w:id="1">
    <w:p w14:paraId="1F1ADEEE" w14:textId="77777777" w:rsidR="00301943" w:rsidRPr="002E4D8E" w:rsidRDefault="00301943" w:rsidP="00301943">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 21 de la Ley 1150 de 2007</w:t>
      </w:r>
    </w:p>
  </w:footnote>
  <w:footnote w:id="2">
    <w:p w14:paraId="64E70968" w14:textId="77777777" w:rsidR="00301943" w:rsidRPr="002E4D8E" w:rsidRDefault="00301943" w:rsidP="00301943">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Artículos 83 a 86 de la Ley 1474 de 2011</w:t>
      </w:r>
    </w:p>
  </w:footnote>
  <w:footnote w:id="3">
    <w:p w14:paraId="0E60B66C" w14:textId="77777777" w:rsidR="00301943" w:rsidRPr="003428BC" w:rsidRDefault="00301943" w:rsidP="00301943">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 83 de la Ley 1474 de 2011</w:t>
      </w:r>
    </w:p>
  </w:footnote>
  <w:footnote w:id="4">
    <w:p w14:paraId="2F430655" w14:textId="77777777" w:rsidR="00301943" w:rsidRPr="00A641BB" w:rsidRDefault="00301943" w:rsidP="00301943">
      <w:pPr>
        <w:pStyle w:val="Textonotapie"/>
        <w:adjustRightInd w:val="0"/>
        <w:snapToGrid w:val="0"/>
        <w:ind w:firstLine="709"/>
        <w:jc w:val="both"/>
        <w:rPr>
          <w:rFonts w:ascii="Verdana" w:hAnsi="Verdana" w:cs="Arial"/>
          <w:color w:val="161616"/>
          <w:sz w:val="16"/>
          <w:szCs w:val="16"/>
        </w:rPr>
      </w:pPr>
      <w:r w:rsidRPr="003428BC">
        <w:rPr>
          <w:rStyle w:val="Refdenotaalpie"/>
          <w:rFonts w:ascii="Verdana" w:hAnsi="Verdana"/>
          <w:sz w:val="16"/>
          <w:szCs w:val="16"/>
        </w:rPr>
        <w:footnoteRef/>
      </w:r>
      <w:r w:rsidRPr="003428BC">
        <w:rPr>
          <w:rFonts w:ascii="Verdana" w:hAnsi="Verdana"/>
          <w:sz w:val="16"/>
          <w:szCs w:val="16"/>
        </w:rPr>
        <w:t xml:space="preserve"> </w:t>
      </w:r>
      <w:r w:rsidRPr="003428BC">
        <w:rPr>
          <w:rFonts w:ascii="Verdana" w:hAnsi="Verdana" w:cs="Arial"/>
          <w:color w:val="161616"/>
          <w:sz w:val="16"/>
          <w:szCs w:val="16"/>
        </w:rPr>
        <w:t>“Son también contratos de consultoría los que tienen por objeto la interventoría […]”</w:t>
      </w:r>
    </w:p>
  </w:footnote>
  <w:footnote w:id="5">
    <w:p w14:paraId="3956AE17" w14:textId="77777777" w:rsidR="00301943" w:rsidRPr="00DC1DA9" w:rsidRDefault="00301943" w:rsidP="00301943">
      <w:pPr>
        <w:pStyle w:val="Textonotapie"/>
        <w:adjustRightInd w:val="0"/>
        <w:snapToGrid w:val="0"/>
        <w:ind w:firstLine="709"/>
        <w:jc w:val="both"/>
        <w:rPr>
          <w:rFonts w:ascii="Verdana" w:hAnsi="Verdana" w:cs="Arial"/>
          <w:color w:val="161616"/>
          <w:sz w:val="16"/>
          <w:szCs w:val="16"/>
        </w:rPr>
      </w:pPr>
      <w:r w:rsidRPr="003428BC">
        <w:rPr>
          <w:rStyle w:val="Refdenotaalpie"/>
          <w:rFonts w:ascii="Verdana" w:hAnsi="Verdana" w:cs="Arial"/>
          <w:sz w:val="16"/>
          <w:szCs w:val="16"/>
        </w:rPr>
        <w:footnoteRef/>
      </w:r>
      <w:r w:rsidRPr="003428BC">
        <w:rPr>
          <w:rFonts w:ascii="Verdana" w:hAnsi="Verdana" w:cs="Arial"/>
          <w:sz w:val="16"/>
          <w:szCs w:val="16"/>
        </w:rPr>
        <w:t xml:space="preserve"> </w:t>
      </w:r>
      <w:r w:rsidRPr="003428BC">
        <w:rPr>
          <w:rFonts w:ascii="Verdana" w:hAnsi="Verdana" w:cs="Arial"/>
          <w:color w:val="161616"/>
          <w:sz w:val="16"/>
          <w:szCs w:val="16"/>
        </w:rPr>
        <w:t xml:space="preserve">Consejo de Estado. Sección Tercera. Sentencia del 28 de febrero de 2013. </w:t>
      </w:r>
      <w:proofErr w:type="spellStart"/>
      <w:r w:rsidRPr="003428BC">
        <w:rPr>
          <w:rFonts w:ascii="Verdana" w:hAnsi="Verdana" w:cs="Arial"/>
          <w:color w:val="161616"/>
          <w:sz w:val="16"/>
          <w:szCs w:val="16"/>
        </w:rPr>
        <w:t>Exp</w:t>
      </w:r>
      <w:proofErr w:type="spellEnd"/>
      <w:r w:rsidRPr="003428BC">
        <w:rPr>
          <w:rFonts w:ascii="Verdana" w:hAnsi="Verdana" w:cs="Arial"/>
          <w:color w:val="161616"/>
          <w:sz w:val="16"/>
          <w:szCs w:val="16"/>
        </w:rPr>
        <w:t>. 24.266 C.P. Danilo Rojas Betancourth.</w:t>
      </w:r>
    </w:p>
  </w:footnote>
  <w:footnote w:id="6">
    <w:p w14:paraId="4D617F92" w14:textId="77777777" w:rsidR="00301943" w:rsidRPr="003428BC" w:rsidRDefault="00301943" w:rsidP="00301943">
      <w:pPr>
        <w:pStyle w:val="Textonotapie"/>
        <w:adjustRightInd w:val="0"/>
        <w:snapToGrid w:val="0"/>
        <w:ind w:firstLine="709"/>
        <w:jc w:val="both"/>
        <w:rPr>
          <w:rFonts w:ascii="Verdana" w:hAnsi="Verdana" w:cs="Arial"/>
          <w:color w:val="161616"/>
          <w:sz w:val="16"/>
          <w:szCs w:val="16"/>
        </w:rPr>
      </w:pPr>
      <w:r w:rsidRPr="003428BC">
        <w:rPr>
          <w:rStyle w:val="Refdenotaalpie"/>
          <w:rFonts w:ascii="Verdana" w:hAnsi="Verdana" w:cs="Arial"/>
          <w:sz w:val="16"/>
          <w:szCs w:val="16"/>
        </w:rPr>
        <w:footnoteRef/>
      </w:r>
      <w:r w:rsidRPr="003428BC">
        <w:rPr>
          <w:rFonts w:ascii="Verdana" w:hAnsi="Verdana" w:cs="Arial"/>
          <w:sz w:val="16"/>
          <w:szCs w:val="16"/>
        </w:rPr>
        <w:t xml:space="preserve"> </w:t>
      </w:r>
      <w:r w:rsidRPr="003428BC">
        <w:rPr>
          <w:rFonts w:ascii="Verdana" w:hAnsi="Verdana" w:cs="Arial"/>
          <w:color w:val="161616"/>
          <w:sz w:val="16"/>
          <w:szCs w:val="16"/>
        </w:rPr>
        <w:t xml:space="preserve">Consejo de Estado, Sección Tercera. Sentencia del 8 de marzo de 1996, expediente </w:t>
      </w:r>
      <w:proofErr w:type="spellStart"/>
      <w:r w:rsidRPr="003428BC">
        <w:rPr>
          <w:rFonts w:ascii="Verdana" w:hAnsi="Verdana" w:cs="Arial"/>
          <w:color w:val="161616"/>
          <w:sz w:val="16"/>
          <w:szCs w:val="16"/>
        </w:rPr>
        <w:t>n.°</w:t>
      </w:r>
      <w:proofErr w:type="spellEnd"/>
      <w:r w:rsidRPr="003428BC">
        <w:rPr>
          <w:rFonts w:ascii="Verdana" w:hAnsi="Verdana" w:cs="Arial"/>
          <w:color w:val="161616"/>
          <w:sz w:val="16"/>
          <w:szCs w:val="16"/>
        </w:rPr>
        <w:t xml:space="preserve"> 8070, C.P. Jesús María Carrillo: “el interventor carece de facultades para exigir del contratante un supuesto derecho a prórrogas, como queriendo hacer valer el contrato de </w:t>
      </w:r>
      <w:proofErr w:type="spellStart"/>
      <w:r w:rsidRPr="003428BC">
        <w:rPr>
          <w:rFonts w:ascii="Verdana" w:hAnsi="Verdana" w:cs="Arial"/>
          <w:color w:val="161616"/>
          <w:sz w:val="16"/>
          <w:szCs w:val="16"/>
        </w:rPr>
        <w:t>interventoria</w:t>
      </w:r>
      <w:proofErr w:type="spellEnd"/>
      <w:r w:rsidRPr="003428BC">
        <w:rPr>
          <w:rFonts w:ascii="Verdana" w:hAnsi="Verdana" w:cs="Arial"/>
          <w:color w:val="161616"/>
          <w:sz w:val="16"/>
          <w:szCs w:val="16"/>
        </w:rPr>
        <w:t xml:space="preserve"> como un contrato accesorio del contrato de obra, y con esa perspectiva alegar que por la sola naturaleza accesoria "debe" obtener la misma suerte que la del contrato principal”. Consejo de Estado, Sala de lo Contencioso Administrativo, Sección Tercera, sentencia del 13 de septiembre de 1991, expediente </w:t>
      </w:r>
      <w:proofErr w:type="spellStart"/>
      <w:r w:rsidRPr="003428BC">
        <w:rPr>
          <w:rFonts w:ascii="Verdana" w:hAnsi="Verdana" w:cs="Arial"/>
          <w:color w:val="161616"/>
          <w:sz w:val="16"/>
          <w:szCs w:val="16"/>
        </w:rPr>
        <w:t>n.°</w:t>
      </w:r>
      <w:proofErr w:type="spellEnd"/>
      <w:r w:rsidRPr="003428BC">
        <w:rPr>
          <w:rFonts w:ascii="Verdana" w:hAnsi="Verdana" w:cs="Arial"/>
          <w:color w:val="161616"/>
          <w:sz w:val="16"/>
          <w:szCs w:val="16"/>
        </w:rPr>
        <w:t xml:space="preserve"> 5127, C.P. Carlos Betancur: “Debe distinguirse entre el contrato de obra pública y el de interventoría, pues el incumplimiento del contratista de obra no puede imputarse al del interventor como si éste fuera obligado a la ejecución de la obra”.</w:t>
      </w:r>
      <w:r w:rsidRPr="003428BC">
        <w:rPr>
          <w:rFonts w:ascii="Verdana" w:hAnsi="Verdana" w:cs="Arial"/>
          <w:sz w:val="16"/>
          <w:szCs w:val="16"/>
        </w:rPr>
        <w:t xml:space="preserve">  </w:t>
      </w:r>
    </w:p>
  </w:footnote>
  <w:footnote w:id="7">
    <w:p w14:paraId="3067EE5D" w14:textId="77777777" w:rsidR="00301943" w:rsidRPr="003428BC" w:rsidRDefault="00301943" w:rsidP="00301943">
      <w:pPr>
        <w:pStyle w:val="Textonotapie"/>
        <w:ind w:firstLine="708"/>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13: “L</w:t>
      </w:r>
      <w:r w:rsidRPr="003428BC">
        <w:rPr>
          <w:rFonts w:ascii="Verdana" w:hAnsi="Verdana"/>
          <w:sz w:val="16"/>
          <w:szCs w:val="16"/>
          <w:lang w:val="es-CO"/>
        </w:rPr>
        <w:t>os contratos que celebren las entidades a que se refiere el artículo 2 del presente estatuto se regirán por las disposiciones comerciales y civiles pertinentes, salvo en las materias particularmente reguladas en esta Ley […]”.</w:t>
      </w:r>
    </w:p>
  </w:footnote>
  <w:footnote w:id="8">
    <w:p w14:paraId="1E3035F6" w14:textId="77777777" w:rsidR="00301943" w:rsidRPr="003428BC" w:rsidRDefault="00301943" w:rsidP="00301943">
      <w:pPr>
        <w:pStyle w:val="Textonotapie"/>
        <w:ind w:firstLine="708"/>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w:t>
      </w:r>
      <w:bookmarkStart w:id="3" w:name="BM32"/>
      <w:bookmarkStart w:id="4" w:name="32"/>
      <w:bookmarkEnd w:id="3"/>
      <w:bookmarkEnd w:id="4"/>
      <w:r w:rsidRPr="003428BC">
        <w:rPr>
          <w:rFonts w:ascii="Verdana" w:hAnsi="Verdana"/>
          <w:sz w:val="16"/>
          <w:szCs w:val="16"/>
        </w:rPr>
        <w:t>32: “</w:t>
      </w:r>
      <w:r w:rsidRPr="003428BC">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9">
    <w:p w14:paraId="3A92DF7B" w14:textId="77777777" w:rsidR="00301943" w:rsidRPr="00295EFD" w:rsidRDefault="00301943" w:rsidP="00301943">
      <w:pPr>
        <w:pStyle w:val="Textonotapie"/>
        <w:ind w:firstLine="708"/>
        <w:jc w:val="both"/>
        <w:rPr>
          <w:rFonts w:ascii="Verdana" w:hAnsi="Verdana" w:cs="Arial"/>
          <w:color w:val="000000" w:themeColor="text1"/>
          <w:sz w:val="16"/>
          <w:szCs w:val="16"/>
        </w:rPr>
      </w:pPr>
      <w:r w:rsidRPr="00295EFD">
        <w:rPr>
          <w:rStyle w:val="Refdenotaalpie"/>
          <w:rFonts w:ascii="Verdana" w:hAnsi="Verdana"/>
          <w:sz w:val="16"/>
          <w:szCs w:val="16"/>
        </w:rPr>
        <w:footnoteRef/>
      </w:r>
      <w:r w:rsidRPr="00295EFD">
        <w:rPr>
          <w:rFonts w:ascii="Verdana" w:hAnsi="Verdana"/>
          <w:sz w:val="16"/>
          <w:szCs w:val="16"/>
        </w:rPr>
        <w:t xml:space="preserve"> </w:t>
      </w:r>
      <w:r w:rsidRPr="00295EFD">
        <w:rPr>
          <w:rFonts w:ascii="Verdana" w:hAnsi="Verdana" w:cs="Arial"/>
          <w:color w:val="000000" w:themeColor="text1"/>
          <w:sz w:val="16"/>
          <w:szCs w:val="16"/>
        </w:rPr>
        <w:t xml:space="preserve">Los Documentos Tipo expedidos por la Agencia Nacional de Contratación Pública – Colombia Compra Eficiente pueden ser consultados en el siguiente enlace: </w:t>
      </w:r>
      <w:hyperlink r:id="rId1" w:history="1">
        <w:r w:rsidRPr="003D1A46">
          <w:rPr>
            <w:rStyle w:val="Hipervnculo"/>
            <w:rFonts w:ascii="Verdana" w:hAnsi="Verdana" w:cs="Arial"/>
            <w:sz w:val="16"/>
            <w:szCs w:val="16"/>
          </w:rPr>
          <w:t>https://www.colombiacompra.gov.co/documentos-tipo/documentos-tipo</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2F65"/>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44C6F"/>
    <w:rsid w:val="0025796E"/>
    <w:rsid w:val="002707A2"/>
    <w:rsid w:val="00290539"/>
    <w:rsid w:val="002951A0"/>
    <w:rsid w:val="002962BC"/>
    <w:rsid w:val="002A093D"/>
    <w:rsid w:val="002A0DD0"/>
    <w:rsid w:val="002A49AC"/>
    <w:rsid w:val="002A64FD"/>
    <w:rsid w:val="002C7A84"/>
    <w:rsid w:val="002E2BF8"/>
    <w:rsid w:val="002E4FD9"/>
    <w:rsid w:val="00301943"/>
    <w:rsid w:val="0030657A"/>
    <w:rsid w:val="00322A85"/>
    <w:rsid w:val="00324168"/>
    <w:rsid w:val="00330834"/>
    <w:rsid w:val="003448F4"/>
    <w:rsid w:val="00373554"/>
    <w:rsid w:val="00374F5E"/>
    <w:rsid w:val="00377E3E"/>
    <w:rsid w:val="003A779E"/>
    <w:rsid w:val="003D0F4D"/>
    <w:rsid w:val="003D5B0D"/>
    <w:rsid w:val="003E0499"/>
    <w:rsid w:val="003E4F80"/>
    <w:rsid w:val="003E6439"/>
    <w:rsid w:val="003F3941"/>
    <w:rsid w:val="00406575"/>
    <w:rsid w:val="00414C74"/>
    <w:rsid w:val="0042722E"/>
    <w:rsid w:val="00427458"/>
    <w:rsid w:val="0044528D"/>
    <w:rsid w:val="00447AE8"/>
    <w:rsid w:val="004522FC"/>
    <w:rsid w:val="00465D30"/>
    <w:rsid w:val="00466E39"/>
    <w:rsid w:val="00476093"/>
    <w:rsid w:val="004A1847"/>
    <w:rsid w:val="004A305D"/>
    <w:rsid w:val="004A7B34"/>
    <w:rsid w:val="004F21C4"/>
    <w:rsid w:val="004F685F"/>
    <w:rsid w:val="00511B09"/>
    <w:rsid w:val="00554E64"/>
    <w:rsid w:val="005566E8"/>
    <w:rsid w:val="00574867"/>
    <w:rsid w:val="00591460"/>
    <w:rsid w:val="005A65E0"/>
    <w:rsid w:val="005C3777"/>
    <w:rsid w:val="005C5CDC"/>
    <w:rsid w:val="005D476C"/>
    <w:rsid w:val="006200BF"/>
    <w:rsid w:val="006219F8"/>
    <w:rsid w:val="006302F7"/>
    <w:rsid w:val="00646B9F"/>
    <w:rsid w:val="00665D70"/>
    <w:rsid w:val="006900D9"/>
    <w:rsid w:val="006A65B2"/>
    <w:rsid w:val="006B7E40"/>
    <w:rsid w:val="00706C16"/>
    <w:rsid w:val="00711624"/>
    <w:rsid w:val="007340C3"/>
    <w:rsid w:val="0075235A"/>
    <w:rsid w:val="00756841"/>
    <w:rsid w:val="007649AB"/>
    <w:rsid w:val="00771D0C"/>
    <w:rsid w:val="007833AC"/>
    <w:rsid w:val="007A2DFE"/>
    <w:rsid w:val="007A521D"/>
    <w:rsid w:val="007B268C"/>
    <w:rsid w:val="007B7171"/>
    <w:rsid w:val="007C0C0F"/>
    <w:rsid w:val="007C11D8"/>
    <w:rsid w:val="007C3DC2"/>
    <w:rsid w:val="007D7D85"/>
    <w:rsid w:val="007E5497"/>
    <w:rsid w:val="00806F5F"/>
    <w:rsid w:val="008175DE"/>
    <w:rsid w:val="00820278"/>
    <w:rsid w:val="008258C9"/>
    <w:rsid w:val="00844AE9"/>
    <w:rsid w:val="00865188"/>
    <w:rsid w:val="00866847"/>
    <w:rsid w:val="00867F95"/>
    <w:rsid w:val="008843B6"/>
    <w:rsid w:val="00891928"/>
    <w:rsid w:val="008A446D"/>
    <w:rsid w:val="008B25F1"/>
    <w:rsid w:val="008B6237"/>
    <w:rsid w:val="008C5A49"/>
    <w:rsid w:val="008D180B"/>
    <w:rsid w:val="008D61B5"/>
    <w:rsid w:val="008F0EA7"/>
    <w:rsid w:val="00923EEF"/>
    <w:rsid w:val="009419F9"/>
    <w:rsid w:val="009526EF"/>
    <w:rsid w:val="0095685E"/>
    <w:rsid w:val="00961B09"/>
    <w:rsid w:val="00965334"/>
    <w:rsid w:val="0097093E"/>
    <w:rsid w:val="009A0DFA"/>
    <w:rsid w:val="009A1C6F"/>
    <w:rsid w:val="009B2D26"/>
    <w:rsid w:val="009C71FA"/>
    <w:rsid w:val="009C72E7"/>
    <w:rsid w:val="009C7F7E"/>
    <w:rsid w:val="009D3058"/>
    <w:rsid w:val="009D49BE"/>
    <w:rsid w:val="009F3A13"/>
    <w:rsid w:val="00A122D3"/>
    <w:rsid w:val="00A14468"/>
    <w:rsid w:val="00A17F13"/>
    <w:rsid w:val="00A20739"/>
    <w:rsid w:val="00A23AF9"/>
    <w:rsid w:val="00A33C78"/>
    <w:rsid w:val="00A92E77"/>
    <w:rsid w:val="00AB0ADB"/>
    <w:rsid w:val="00AB3C56"/>
    <w:rsid w:val="00B00C0E"/>
    <w:rsid w:val="00B01B1A"/>
    <w:rsid w:val="00B0381D"/>
    <w:rsid w:val="00B44A47"/>
    <w:rsid w:val="00B604EA"/>
    <w:rsid w:val="00B72CD3"/>
    <w:rsid w:val="00B72FFF"/>
    <w:rsid w:val="00BC3D36"/>
    <w:rsid w:val="00BC7B25"/>
    <w:rsid w:val="00BD54A6"/>
    <w:rsid w:val="00BD7F72"/>
    <w:rsid w:val="00BE5975"/>
    <w:rsid w:val="00BF7425"/>
    <w:rsid w:val="00C04FB3"/>
    <w:rsid w:val="00C11D8B"/>
    <w:rsid w:val="00C15139"/>
    <w:rsid w:val="00C330EB"/>
    <w:rsid w:val="00C50D69"/>
    <w:rsid w:val="00C5365C"/>
    <w:rsid w:val="00C754BE"/>
    <w:rsid w:val="00C76B1C"/>
    <w:rsid w:val="00C925AC"/>
    <w:rsid w:val="00CB6357"/>
    <w:rsid w:val="00CC1B26"/>
    <w:rsid w:val="00D006BB"/>
    <w:rsid w:val="00D361FD"/>
    <w:rsid w:val="00D423A2"/>
    <w:rsid w:val="00D44E26"/>
    <w:rsid w:val="00D520D8"/>
    <w:rsid w:val="00D63AC2"/>
    <w:rsid w:val="00D706B6"/>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2B8F"/>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0194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1943"/>
    <w:rPr>
      <w:rFonts w:ascii="Geomanist Light" w:hAnsi="Geomanist Light"/>
      <w:lang w:val="es-ES"/>
    </w:rPr>
  </w:style>
  <w:style w:type="paragraph" w:styleId="Sinespaciado">
    <w:name w:val="No Spacing"/>
    <w:aliases w:val="No Indent"/>
    <w:link w:val="SinespaciadoCar"/>
    <w:uiPriority w:val="3"/>
    <w:qFormat/>
    <w:rsid w:val="00301943"/>
    <w:pPr>
      <w:spacing w:after="0" w:line="240" w:lineRule="auto"/>
    </w:pPr>
    <w:rPr>
      <w:sz w:val="24"/>
      <w:lang w:val="es-MX"/>
    </w:rPr>
  </w:style>
  <w:style w:type="character" w:customStyle="1" w:styleId="SinespaciadoCar">
    <w:name w:val="Sin espaciado Car"/>
    <w:aliases w:val="No Indent Car"/>
    <w:link w:val="Sinespaciado"/>
    <w:uiPriority w:val="3"/>
    <w:rsid w:val="00301943"/>
    <w:rPr>
      <w:sz w:val="24"/>
      <w:lang w:val="es-MX"/>
    </w:rPr>
  </w:style>
  <w:style w:type="character" w:styleId="Refdecomentario">
    <w:name w:val="annotation reference"/>
    <w:basedOn w:val="Fuentedeprrafopredeter"/>
    <w:uiPriority w:val="99"/>
    <w:semiHidden/>
    <w:unhideWhenUsed/>
    <w:rsid w:val="007D7D85"/>
    <w:rPr>
      <w:sz w:val="16"/>
      <w:szCs w:val="16"/>
    </w:rPr>
  </w:style>
  <w:style w:type="paragraph" w:styleId="Textocomentario">
    <w:name w:val="annotation text"/>
    <w:basedOn w:val="Normal"/>
    <w:link w:val="TextocomentarioCar"/>
    <w:uiPriority w:val="99"/>
    <w:unhideWhenUsed/>
    <w:rsid w:val="007D7D85"/>
    <w:pPr>
      <w:spacing w:line="240" w:lineRule="auto"/>
    </w:pPr>
    <w:rPr>
      <w:sz w:val="20"/>
      <w:szCs w:val="20"/>
    </w:rPr>
  </w:style>
  <w:style w:type="character" w:customStyle="1" w:styleId="TextocomentarioCar">
    <w:name w:val="Texto comentario Car"/>
    <w:basedOn w:val="Fuentedeprrafopredeter"/>
    <w:link w:val="Textocomentario"/>
    <w:uiPriority w:val="99"/>
    <w:rsid w:val="007D7D85"/>
    <w:rPr>
      <w:sz w:val="20"/>
      <w:szCs w:val="20"/>
    </w:rPr>
  </w:style>
  <w:style w:type="paragraph" w:styleId="Asuntodelcomentario">
    <w:name w:val="annotation subject"/>
    <w:basedOn w:val="Textocomentario"/>
    <w:next w:val="Textocomentario"/>
    <w:link w:val="AsuntodelcomentarioCar"/>
    <w:uiPriority w:val="99"/>
    <w:semiHidden/>
    <w:unhideWhenUsed/>
    <w:rsid w:val="007D7D85"/>
    <w:rPr>
      <w:b/>
      <w:bCs/>
    </w:rPr>
  </w:style>
  <w:style w:type="character" w:customStyle="1" w:styleId="AsuntodelcomentarioCar">
    <w:name w:val="Asunto del comentario Car"/>
    <w:basedOn w:val="TextocomentarioCar"/>
    <w:link w:val="Asuntodelcomentario"/>
    <w:uiPriority w:val="99"/>
    <w:semiHidden/>
    <w:rsid w:val="007D7D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F0D9FAF4-B88C-4A91-A55B-D933E0F1E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15</Pages>
  <Words>5084</Words>
  <Characters>27204</Characters>
  <Application>Microsoft Office Word</Application>
  <DocSecurity>0</DocSecurity>
  <Lines>533</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2026-01-26T16:15:00Z</dcterms:created>
  <dcterms:modified xsi:type="dcterms:W3CDTF">2026-01-30T15:56:00Z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