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B44CB3" w14:textId="77777777" w:rsidR="005F4C77" w:rsidRDefault="005F4C77" w:rsidP="005F4C77">
      <w:pPr>
        <w:spacing w:after="0" w:line="240" w:lineRule="auto"/>
        <w:jc w:val="both"/>
        <w:rPr>
          <w:rFonts w:ascii="Verdana" w:hAnsi="Verdana" w:cs="Arial"/>
          <w:b/>
          <w:bCs/>
          <w:lang w:val="es-MX" w:eastAsia="es-ES_tradnl"/>
        </w:rPr>
      </w:pPr>
      <w:r w:rsidRPr="00A249CD">
        <w:rPr>
          <w:rFonts w:ascii="Verdana" w:hAnsi="Verdana" w:cs="Arial"/>
          <w:b/>
          <w:bCs/>
          <w:lang w:val="es-MX" w:eastAsia="es-ES_tradnl"/>
        </w:rPr>
        <w:t>LEY DE GARANTÍAS ELECTORALES ‒ Finalidad</w:t>
      </w:r>
    </w:p>
    <w:p w14:paraId="50EF603E" w14:textId="77777777" w:rsidR="005F4C77" w:rsidRDefault="005F4C77" w:rsidP="005F4C77">
      <w:pPr>
        <w:spacing w:after="0" w:line="240" w:lineRule="auto"/>
        <w:jc w:val="both"/>
        <w:rPr>
          <w:rFonts w:ascii="Verdana" w:hAnsi="Verdana" w:cs="Arial"/>
          <w:b/>
          <w:bCs/>
          <w:lang w:val="es-MX" w:eastAsia="es-ES_tradnl"/>
        </w:rPr>
      </w:pPr>
    </w:p>
    <w:p w14:paraId="0A4C15F9" w14:textId="77777777" w:rsidR="005F4C77" w:rsidRDefault="005F4C77" w:rsidP="005F4C77">
      <w:pPr>
        <w:spacing w:after="0" w:line="240" w:lineRule="auto"/>
        <w:jc w:val="both"/>
        <w:rPr>
          <w:rFonts w:ascii="Verdana" w:eastAsia="Times New Roman" w:hAnsi="Verdana" w:cs="Arial"/>
          <w:bCs/>
          <w:sz w:val="20"/>
          <w:szCs w:val="20"/>
          <w:lang w:eastAsia="es-CO"/>
        </w:rPr>
      </w:pPr>
      <w:r w:rsidRPr="00A249CD">
        <w:rPr>
          <w:rFonts w:ascii="Verdana" w:eastAsia="Times New Roman" w:hAnsi="Verdana" w:cs="Arial"/>
          <w:bCs/>
          <w:sz w:val="20"/>
          <w:szCs w:val="20"/>
          <w:lang w:eastAsia="es-CO"/>
        </w:rPr>
        <w:t>La Ley 996 de 2005, conocida como “Ley de Garantías Electorales”, tiene como propósito evitar la injerencia inadecuada de intereses particulares en el ejercicio de la función pública. Esta ley busca evitar cualquier tipo de arbitrariedad, de ventaja injustificada, de uso irregular de los recursos del Estado en las campañas o falta de garantías en la elección presidencial</w:t>
      </w:r>
      <w:r>
        <w:rPr>
          <w:rFonts w:ascii="Verdana" w:eastAsia="Times New Roman" w:hAnsi="Verdana" w:cs="Arial"/>
          <w:bCs/>
          <w:sz w:val="20"/>
          <w:szCs w:val="20"/>
          <w:lang w:eastAsia="es-CO"/>
        </w:rPr>
        <w:t>.</w:t>
      </w:r>
    </w:p>
    <w:p w14:paraId="1AFEBFC4" w14:textId="77777777" w:rsidR="005F4C77" w:rsidRDefault="005F4C77" w:rsidP="005F4C77">
      <w:pPr>
        <w:spacing w:after="0" w:line="240" w:lineRule="auto"/>
        <w:jc w:val="both"/>
        <w:rPr>
          <w:rFonts w:ascii="Verdana" w:eastAsia="Times New Roman" w:hAnsi="Verdana" w:cs="Arial"/>
          <w:sz w:val="20"/>
          <w:szCs w:val="20"/>
          <w:lang w:val="es-MX" w:eastAsia="x-none"/>
        </w:rPr>
      </w:pPr>
    </w:p>
    <w:p w14:paraId="3A0F8D48" w14:textId="77777777" w:rsidR="005F4C77" w:rsidRPr="000855C8" w:rsidRDefault="005F4C77" w:rsidP="005F4C77">
      <w:pPr>
        <w:spacing w:after="0" w:line="240" w:lineRule="auto"/>
        <w:jc w:val="both"/>
        <w:rPr>
          <w:rFonts w:ascii="Verdana" w:eastAsia="Times New Roman" w:hAnsi="Verdana" w:cs="Arial"/>
          <w:b/>
          <w:bCs/>
          <w:lang w:eastAsia="es-ES_tradnl"/>
        </w:rPr>
      </w:pPr>
      <w:r w:rsidRPr="000855C8">
        <w:rPr>
          <w:rFonts w:ascii="Verdana" w:eastAsia="Times New Roman" w:hAnsi="Verdana" w:cs="Arial"/>
          <w:b/>
          <w:bCs/>
          <w:lang w:eastAsia="es-ES_tradnl"/>
        </w:rPr>
        <w:t>DECRETO 092 DE 2017 – Finalidad – Clases de contratos</w:t>
      </w:r>
    </w:p>
    <w:p w14:paraId="01ABDD26" w14:textId="77777777" w:rsidR="005F4C77" w:rsidRDefault="005F4C77" w:rsidP="005F4C77">
      <w:pPr>
        <w:spacing w:after="0" w:line="240" w:lineRule="auto"/>
        <w:jc w:val="both"/>
        <w:rPr>
          <w:rFonts w:ascii="Verdana" w:eastAsia="Calibri" w:hAnsi="Verdana" w:cs="Arial"/>
          <w:lang w:val="es-ES"/>
        </w:rPr>
      </w:pPr>
    </w:p>
    <w:p w14:paraId="394FB40D" w14:textId="77777777" w:rsidR="005F4C77" w:rsidRPr="000855C8" w:rsidRDefault="005F4C77" w:rsidP="005F4C77">
      <w:pPr>
        <w:spacing w:after="0" w:line="240" w:lineRule="auto"/>
        <w:jc w:val="both"/>
        <w:rPr>
          <w:rFonts w:ascii="Verdana" w:eastAsia="Calibri" w:hAnsi="Verdana" w:cs="Arial"/>
          <w:sz w:val="20"/>
          <w:szCs w:val="20"/>
          <w:lang w:val="es-ES"/>
        </w:rPr>
      </w:pPr>
      <w:r w:rsidRPr="000855C8">
        <w:rPr>
          <w:rFonts w:ascii="Verdana" w:eastAsia="Calibri" w:hAnsi="Verdana" w:cs="Arial"/>
          <w:sz w:val="20"/>
          <w:szCs w:val="20"/>
          <w:lang w:val="es-ES"/>
        </w:rPr>
        <w:t xml:space="preserve">El Decreto 092 de 2017 dispone reglas para las contrataciones que realicen las entidades estatales con las ESAL. El Decreto regula dos (2) eventos: i) los contratos del artículo 355 de la Constitución Política con el fin impulsar programas y actividades de interés público de acuerdo con el Plan Nacional o los planes seccionales de desarrollo; y </w:t>
      </w:r>
      <w:proofErr w:type="spellStart"/>
      <w:r w:rsidRPr="000855C8">
        <w:rPr>
          <w:rFonts w:ascii="Verdana" w:eastAsia="Calibri" w:hAnsi="Verdana" w:cs="Arial"/>
          <w:sz w:val="20"/>
          <w:szCs w:val="20"/>
          <w:lang w:val="es-ES"/>
        </w:rPr>
        <w:t>ii</w:t>
      </w:r>
      <w:proofErr w:type="spellEnd"/>
      <w:r w:rsidRPr="000855C8">
        <w:rPr>
          <w:rFonts w:ascii="Verdana" w:eastAsia="Calibri" w:hAnsi="Verdana" w:cs="Arial"/>
          <w:sz w:val="20"/>
          <w:szCs w:val="20"/>
          <w:lang w:val="es-ES"/>
        </w:rPr>
        <w:t xml:space="preserve">) los convenios de asociación, para el desarrollo conjunto de actividades relacionadas con las funciones de las entidades estatales, en desarrollo del artículo 96 de la Ley 489 de 1998. </w:t>
      </w:r>
    </w:p>
    <w:p w14:paraId="41BB27DF" w14:textId="77777777" w:rsidR="005F4C77" w:rsidRDefault="005F4C77" w:rsidP="005F4C77">
      <w:pPr>
        <w:spacing w:after="0" w:line="240" w:lineRule="auto"/>
        <w:jc w:val="both"/>
        <w:rPr>
          <w:rFonts w:ascii="Verdana" w:eastAsia="Times New Roman" w:hAnsi="Verdana" w:cs="Arial"/>
          <w:b/>
          <w:bCs/>
          <w:lang w:eastAsia="es-ES_tradnl"/>
        </w:rPr>
      </w:pPr>
    </w:p>
    <w:p w14:paraId="43F57BFD" w14:textId="77777777" w:rsidR="005F4C77" w:rsidRPr="000855C8" w:rsidRDefault="005F4C77" w:rsidP="005F4C77">
      <w:pPr>
        <w:spacing w:after="0" w:line="240" w:lineRule="auto"/>
        <w:jc w:val="both"/>
        <w:rPr>
          <w:rFonts w:ascii="Verdana" w:eastAsia="Calibri" w:hAnsi="Verdana" w:cs="Arial"/>
          <w:b/>
          <w:bCs/>
          <w:lang w:val="es-ES"/>
        </w:rPr>
      </w:pPr>
      <w:r w:rsidRPr="000855C8">
        <w:rPr>
          <w:rFonts w:ascii="Verdana" w:eastAsia="Times New Roman" w:hAnsi="Verdana" w:cs="Arial"/>
          <w:b/>
          <w:bCs/>
          <w:lang w:eastAsia="es-ES_tradnl"/>
        </w:rPr>
        <w:t>CONTRATACIÓN CON ESAL – Contrato de colaboración – Objeto – Alcance</w:t>
      </w:r>
    </w:p>
    <w:p w14:paraId="3BA27AEB" w14:textId="77777777" w:rsidR="005F4C77" w:rsidRDefault="005F4C77" w:rsidP="005F4C77">
      <w:pPr>
        <w:spacing w:after="0" w:line="240" w:lineRule="auto"/>
        <w:jc w:val="both"/>
        <w:rPr>
          <w:rFonts w:ascii="Verdana" w:eastAsia="Calibri" w:hAnsi="Verdana" w:cs="Arial"/>
          <w:sz w:val="20"/>
          <w:szCs w:val="20"/>
          <w:lang w:val="es-ES"/>
        </w:rPr>
      </w:pPr>
    </w:p>
    <w:p w14:paraId="63525353" w14:textId="77777777" w:rsidR="005F4C77" w:rsidRPr="000855C8" w:rsidRDefault="005F4C77" w:rsidP="005F4C77">
      <w:pPr>
        <w:spacing w:after="0" w:line="240" w:lineRule="auto"/>
        <w:jc w:val="both"/>
        <w:rPr>
          <w:rFonts w:ascii="Verdana" w:eastAsia="Calibri" w:hAnsi="Verdana" w:cs="Arial"/>
          <w:sz w:val="20"/>
          <w:szCs w:val="20"/>
          <w:lang w:val="es-ES"/>
        </w:rPr>
      </w:pPr>
      <w:r w:rsidRPr="000855C8">
        <w:rPr>
          <w:rFonts w:ascii="Verdana" w:eastAsia="Calibri" w:hAnsi="Verdana" w:cs="Arial"/>
          <w:sz w:val="20"/>
          <w:szCs w:val="20"/>
          <w:lang w:val="es-ES"/>
        </w:rPr>
        <w:t xml:space="preserve">Los </w:t>
      </w:r>
      <w:r w:rsidRPr="000855C8">
        <w:rPr>
          <w:rFonts w:ascii="Verdana" w:eastAsia="Calibri" w:hAnsi="Verdana" w:cs="Arial"/>
          <w:i/>
          <w:iCs/>
          <w:sz w:val="20"/>
          <w:szCs w:val="20"/>
          <w:lang w:val="es-ES"/>
        </w:rPr>
        <w:t>contratos del artículo 355 de la Constitución Política</w:t>
      </w:r>
      <w:r w:rsidRPr="000855C8">
        <w:rPr>
          <w:rFonts w:ascii="Verdana" w:eastAsia="Calibri" w:hAnsi="Verdana" w:cs="Arial"/>
          <w:sz w:val="20"/>
          <w:szCs w:val="20"/>
          <w:lang w:val="es-ES"/>
        </w:rPr>
        <w:t xml:space="preserve"> tienen como objeto promover acciones de fomento social en beneficio de los sectores más desprotegidos de la población, siempre que estén previstas en los planes de desarrollo, motivo por el cual no dan lugar a una contraprestación directa a favor de la entidad y tampoco a una relación conmutativa entre ésta y la ESAL, toda vez que el beneficio directo lo recibirán, en últimas, los sectores de este tipo de acciones de fomento. </w:t>
      </w:r>
    </w:p>
    <w:p w14:paraId="68537BB4" w14:textId="77777777" w:rsidR="005F4C77" w:rsidRPr="000855C8" w:rsidRDefault="005F4C77" w:rsidP="005F4C77">
      <w:pPr>
        <w:spacing w:after="0" w:line="240" w:lineRule="auto"/>
        <w:jc w:val="both"/>
        <w:rPr>
          <w:rFonts w:ascii="Verdana" w:eastAsia="Times New Roman" w:hAnsi="Verdana" w:cs="Arial"/>
          <w:sz w:val="20"/>
          <w:szCs w:val="20"/>
          <w:lang w:val="es-ES" w:eastAsia="x-none"/>
        </w:rPr>
      </w:pPr>
    </w:p>
    <w:p w14:paraId="65BD9F73" w14:textId="77777777" w:rsidR="005F4C77" w:rsidRDefault="005F4C77" w:rsidP="005F4C77">
      <w:pPr>
        <w:spacing w:after="0" w:line="240" w:lineRule="auto"/>
        <w:jc w:val="both"/>
        <w:rPr>
          <w:rFonts w:ascii="Verdana" w:eastAsia="Calibri" w:hAnsi="Verdana" w:cs="Arial"/>
          <w:sz w:val="20"/>
          <w:szCs w:val="20"/>
          <w:lang w:val="es-ES"/>
        </w:rPr>
      </w:pPr>
      <w:r w:rsidRPr="000855C8">
        <w:rPr>
          <w:rFonts w:ascii="Verdana" w:eastAsia="Calibri" w:hAnsi="Verdana" w:cs="Arial"/>
          <w:sz w:val="20"/>
          <w:szCs w:val="20"/>
          <w:lang w:val="es-ES"/>
        </w:rPr>
        <w:t>Para celebrar estos contratos, según lo establece el artículo 3 del Decreto 092 de 2017, por regla general, la entidad debe adelantar un proceso competitivo para seleccionar la entidad sin ánimo de lucro contratista</w:t>
      </w:r>
      <w:r>
        <w:rPr>
          <w:rFonts w:ascii="Verdana" w:eastAsia="Calibri" w:hAnsi="Verdana" w:cs="Arial"/>
          <w:sz w:val="20"/>
          <w:szCs w:val="20"/>
          <w:lang w:val="es-ES"/>
        </w:rPr>
        <w:t>.</w:t>
      </w:r>
    </w:p>
    <w:p w14:paraId="369AF0AB" w14:textId="77777777" w:rsidR="005F4C77" w:rsidRDefault="005F4C77" w:rsidP="005F4C77">
      <w:pPr>
        <w:spacing w:after="0" w:line="240" w:lineRule="auto"/>
        <w:jc w:val="both"/>
        <w:rPr>
          <w:rFonts w:ascii="Verdana" w:eastAsia="Calibri" w:hAnsi="Verdana" w:cs="Arial"/>
          <w:sz w:val="20"/>
          <w:szCs w:val="20"/>
          <w:lang w:val="es-ES"/>
        </w:rPr>
      </w:pPr>
    </w:p>
    <w:p w14:paraId="710FAD8E" w14:textId="77777777" w:rsidR="005F4C77" w:rsidRPr="001D68DC" w:rsidRDefault="005F4C77" w:rsidP="005F4C77">
      <w:pPr>
        <w:spacing w:after="0" w:line="240" w:lineRule="auto"/>
        <w:jc w:val="both"/>
        <w:rPr>
          <w:rFonts w:ascii="Verdana" w:eastAsia="Calibri" w:hAnsi="Verdana" w:cs="Arial"/>
          <w:sz w:val="20"/>
          <w:szCs w:val="20"/>
          <w:lang w:val="es-ES"/>
        </w:rPr>
      </w:pPr>
      <w:r w:rsidRPr="001D68DC">
        <w:rPr>
          <w:rFonts w:ascii="Verdana" w:eastAsia="Calibri" w:hAnsi="Verdana" w:cs="Arial"/>
          <w:sz w:val="20"/>
          <w:szCs w:val="20"/>
          <w:lang w:val="es-ES"/>
        </w:rPr>
        <w:t>[…] Ahora bien, por disposición del artículo 4 del Decreto 092 de 2017, las entidades estatales deberán adelantar procesos competitivos cuando en el marco de planeación se evidencie que el programa o actividad que se requiere desarrollar es ofrecido por más de una ESAL. Para tales casos el referido artículo establece que, en el desarrollo de los respectivos procedimientos, la entidad estatal deberá garantizar las siguientes fases: (i) definición y publicación de los indicadores de idoneidad, experiencia, eficacia, eficiencia, economía y de manejo del Riesgo y los criterios de ponderación para comparar las ofertas; (</w:t>
      </w:r>
      <w:proofErr w:type="spellStart"/>
      <w:r w:rsidRPr="001D68DC">
        <w:rPr>
          <w:rFonts w:ascii="Verdana" w:eastAsia="Calibri" w:hAnsi="Verdana" w:cs="Arial"/>
          <w:sz w:val="20"/>
          <w:szCs w:val="20"/>
          <w:lang w:val="es-ES"/>
        </w:rPr>
        <w:t>ii</w:t>
      </w:r>
      <w:proofErr w:type="spellEnd"/>
      <w:r w:rsidRPr="001D68DC">
        <w:rPr>
          <w:rFonts w:ascii="Verdana" w:eastAsia="Calibri" w:hAnsi="Verdana" w:cs="Arial"/>
          <w:sz w:val="20"/>
          <w:szCs w:val="20"/>
          <w:lang w:val="es-ES"/>
        </w:rPr>
        <w:t>) definición de un plazo razonable para que las entidades privadas sin ánimo de lucro de reconocida idoneidad presenten a la Entidad Estatal sus ofertas y los documentos que acrediten su idoneidad, y (</w:t>
      </w:r>
      <w:proofErr w:type="spellStart"/>
      <w:r w:rsidRPr="001D68DC">
        <w:rPr>
          <w:rFonts w:ascii="Verdana" w:eastAsia="Calibri" w:hAnsi="Verdana" w:cs="Arial"/>
          <w:sz w:val="20"/>
          <w:szCs w:val="20"/>
          <w:lang w:val="es-ES"/>
        </w:rPr>
        <w:t>iii</w:t>
      </w:r>
      <w:proofErr w:type="spellEnd"/>
      <w:r w:rsidRPr="001D68DC">
        <w:rPr>
          <w:rFonts w:ascii="Verdana" w:eastAsia="Calibri" w:hAnsi="Verdana" w:cs="Arial"/>
          <w:sz w:val="20"/>
          <w:szCs w:val="20"/>
          <w:lang w:val="es-ES"/>
        </w:rPr>
        <w:t xml:space="preserve">) evaluación de las ofertas por parte de la Entidad Estatal teniendo en cuenta los criterios definidos para el efecto. </w:t>
      </w:r>
    </w:p>
    <w:p w14:paraId="01820DD6" w14:textId="77777777" w:rsidR="005F4C77" w:rsidRPr="001D68DC" w:rsidRDefault="005F4C77" w:rsidP="005F4C77">
      <w:pPr>
        <w:spacing w:after="0" w:line="240" w:lineRule="auto"/>
        <w:jc w:val="both"/>
        <w:rPr>
          <w:rFonts w:ascii="Verdana" w:eastAsia="Calibri" w:hAnsi="Verdana" w:cs="Arial"/>
          <w:sz w:val="20"/>
          <w:szCs w:val="20"/>
          <w:lang w:val="es-ES"/>
        </w:rPr>
      </w:pPr>
      <w:r w:rsidRPr="001D68DC">
        <w:rPr>
          <w:rFonts w:ascii="Verdana" w:eastAsia="Calibri" w:hAnsi="Verdana" w:cs="Arial"/>
          <w:sz w:val="20"/>
          <w:szCs w:val="20"/>
          <w:lang w:val="es-ES"/>
        </w:rPr>
        <w:t xml:space="preserve">De acuerdo con esto, la celebración de los contratos los que se refiere el artículo 355 superior, regidos por los artículos 2, 3 y 4 del Decreto 092 de 2017, no se afecta por la </w:t>
      </w:r>
      <w:r w:rsidRPr="001D68DC">
        <w:rPr>
          <w:rFonts w:ascii="Verdana" w:eastAsia="Calibri" w:hAnsi="Verdana" w:cs="Arial"/>
          <w:sz w:val="20"/>
          <w:szCs w:val="20"/>
          <w:lang w:val="es-ES"/>
        </w:rPr>
        <w:lastRenderedPageBreak/>
        <w:t xml:space="preserve">restricción del artículo 33 de la Ley 996 de 2005, en la medida en que su suscripción debe darse previo desarrollo de proceso competitivo.  </w:t>
      </w:r>
    </w:p>
    <w:p w14:paraId="755977EC" w14:textId="77777777" w:rsidR="005F4C77" w:rsidRPr="001D68DC" w:rsidRDefault="005F4C77" w:rsidP="005F4C77">
      <w:pPr>
        <w:spacing w:after="0" w:line="240" w:lineRule="auto"/>
        <w:jc w:val="both"/>
        <w:rPr>
          <w:rFonts w:ascii="Verdana" w:eastAsia="Times New Roman" w:hAnsi="Verdana" w:cs="Arial"/>
          <w:sz w:val="20"/>
          <w:szCs w:val="20"/>
          <w:lang w:val="es-ES" w:eastAsia="x-none"/>
        </w:rPr>
      </w:pPr>
    </w:p>
    <w:p w14:paraId="5C000EEA" w14:textId="77777777" w:rsidR="00AB5073" w:rsidRDefault="00AB5073" w:rsidP="005F4C77">
      <w:pPr>
        <w:spacing w:after="0" w:line="240" w:lineRule="auto"/>
        <w:jc w:val="both"/>
        <w:rPr>
          <w:rFonts w:ascii="Verdana" w:eastAsia="Times New Roman" w:hAnsi="Verdana" w:cs="Arial"/>
          <w:b/>
          <w:bCs/>
          <w:lang w:eastAsia="es-ES_tradnl"/>
        </w:rPr>
      </w:pPr>
      <w:r w:rsidRPr="00AB5073">
        <w:rPr>
          <w:rFonts w:ascii="Verdana" w:eastAsia="Times New Roman" w:hAnsi="Verdana" w:cs="Arial"/>
          <w:b/>
          <w:bCs/>
          <w:lang w:eastAsia="es-ES_tradnl"/>
        </w:rPr>
        <w:t xml:space="preserve">LEY DE GARANTÍAS - Aplicación a procesos a contratación con ESALES </w:t>
      </w:r>
    </w:p>
    <w:p w14:paraId="514D8F85" w14:textId="77777777" w:rsidR="00AB5073" w:rsidRDefault="00AB5073" w:rsidP="005F4C77">
      <w:pPr>
        <w:spacing w:after="0" w:line="240" w:lineRule="auto"/>
        <w:jc w:val="both"/>
        <w:rPr>
          <w:rFonts w:ascii="Verdana" w:eastAsia="Times New Roman" w:hAnsi="Verdana" w:cs="Arial"/>
          <w:b/>
          <w:bCs/>
          <w:lang w:eastAsia="es-ES_tradnl"/>
        </w:rPr>
      </w:pPr>
    </w:p>
    <w:p w14:paraId="12D809D4" w14:textId="77777777" w:rsidR="0054026C" w:rsidRDefault="0054026C" w:rsidP="0054026C">
      <w:pPr>
        <w:spacing w:after="0" w:line="240" w:lineRule="auto"/>
        <w:jc w:val="both"/>
        <w:rPr>
          <w:rFonts w:ascii="Verdana" w:eastAsia="Calibri" w:hAnsi="Verdana" w:cs="Arial"/>
          <w:color w:val="000000" w:themeColor="text1"/>
          <w:sz w:val="20"/>
          <w:szCs w:val="20"/>
        </w:rPr>
      </w:pPr>
      <w:r w:rsidRPr="0054026C">
        <w:rPr>
          <w:rFonts w:ascii="Verdana" w:eastAsia="Calibri" w:hAnsi="Verdana" w:cs="Arial"/>
          <w:color w:val="000000" w:themeColor="text1"/>
          <w:sz w:val="20"/>
          <w:szCs w:val="20"/>
        </w:rPr>
        <w:t xml:space="preserve">En respuesta al objeto de la consulta se debe advertir que ni la prohibición del artículo 33 de la Ley 996 de 2005, ni la consagrada en el parágrafo del artículo 38, son aplicables a los procedimientos competitivos que se adelanten en desarrollo de lo dispuesto en el Decreto 092 de 2017. Debido a esto, es posible afirmar que, en los periodos prelectorales durante los que rigen tales restricciones, las entidades estatales a las que se refiere dicha reglamentación pueden adelantar con normalidad procesos competitivos para la contratación u asociación con entidades privadas sin ánimo de lucro, garantizando selección objetiva y pluralidad de oferentes. </w:t>
      </w:r>
    </w:p>
    <w:p w14:paraId="4B4AF58B" w14:textId="77777777" w:rsidR="0054026C" w:rsidRPr="0054026C" w:rsidRDefault="0054026C" w:rsidP="0054026C">
      <w:pPr>
        <w:spacing w:after="0" w:line="240" w:lineRule="auto"/>
        <w:jc w:val="both"/>
        <w:rPr>
          <w:rFonts w:ascii="Verdana" w:eastAsia="Calibri" w:hAnsi="Verdana" w:cs="Arial"/>
          <w:color w:val="000000" w:themeColor="text1"/>
          <w:sz w:val="20"/>
          <w:szCs w:val="20"/>
        </w:rPr>
      </w:pPr>
    </w:p>
    <w:p w14:paraId="21B60CC1" w14:textId="04FDC537" w:rsidR="005F4C77" w:rsidRDefault="0054026C" w:rsidP="0054026C">
      <w:pPr>
        <w:spacing w:after="0" w:line="240" w:lineRule="auto"/>
        <w:jc w:val="both"/>
        <w:rPr>
          <w:rFonts w:ascii="Verdana" w:eastAsia="Calibri" w:hAnsi="Verdana" w:cs="Arial"/>
          <w:color w:val="000000" w:themeColor="text1"/>
          <w:sz w:val="20"/>
          <w:szCs w:val="20"/>
        </w:rPr>
      </w:pPr>
      <w:r w:rsidRPr="0054026C">
        <w:rPr>
          <w:rFonts w:ascii="Verdana" w:eastAsia="Calibri" w:hAnsi="Verdana" w:cs="Arial"/>
          <w:color w:val="000000" w:themeColor="text1"/>
          <w:sz w:val="20"/>
          <w:szCs w:val="20"/>
        </w:rPr>
        <w:t xml:space="preserve">Lo anterior comoquiera que, la restricción del artículo 33 se aplica únicamente a la “contratación directa”, la cual se refiere a “cualquier sistema que no implique convocatoria pública y posibilidad de pluralidad de oferentes”, definición que excluye las tanto a las modalidades de selección competitivas previstas en el artículo 2 de la Ley 1150 de 2007, es decir, la licitación pública, la selección abreviada, el concurso de méritos y la mínima cuantía, así como a los procesos con pluralidad de oferentes contemplados en normas especiales, como, por ejemplo, los artículos 4 y 5 del Decreto 092 de 2017. Tampoco resulta aplicable la prohibición prevista en el parágrafo del artículo 38, en la medida que, lo que esta proscribe es que los Alcaldes, Gobernadores, Secretarios, Gerentes y Directores de las entidades del orden municipal, departamental o distrital celebren convenios interadministrativos para la ejecución de recursos públicos durante el periodo prelectoral, supuesto de hecho que no se configura respecto de la contratación  a la que se refieren los artículos 355 superior y 96 de la Ley 489 de 1998, reglamentada por el Decreto 092 de 2017, en la medida en que, en los negocios jurídicos que regula dicha normativa, uno de los extremos de la relación es una entidad sin ánimo de lucro de naturaleza privada, lo que significa que no son convenios interadministrativos.   </w:t>
      </w:r>
    </w:p>
    <w:p w14:paraId="6014107E" w14:textId="77777777" w:rsidR="005F4C77" w:rsidRDefault="005F4C77" w:rsidP="005F4C77">
      <w:pPr>
        <w:rPr>
          <w:rFonts w:ascii="Verdana" w:hAnsi="Verdana"/>
        </w:rPr>
      </w:pPr>
    </w:p>
    <w:p w14:paraId="7CC99D71" w14:textId="77777777" w:rsidR="005F4C77" w:rsidRDefault="005F4C77" w:rsidP="005F4C77">
      <w:pPr>
        <w:rPr>
          <w:rFonts w:ascii="Verdana" w:hAnsi="Verdana"/>
        </w:rPr>
      </w:pPr>
    </w:p>
    <w:p w14:paraId="34305B93" w14:textId="77777777" w:rsidR="0054026C" w:rsidRDefault="0054026C" w:rsidP="005F4C77">
      <w:pPr>
        <w:rPr>
          <w:rFonts w:ascii="Verdana" w:hAnsi="Verdana"/>
        </w:rPr>
      </w:pPr>
    </w:p>
    <w:p w14:paraId="32603976" w14:textId="77777777" w:rsidR="0054026C" w:rsidRDefault="0054026C" w:rsidP="005F4C77">
      <w:pPr>
        <w:rPr>
          <w:rFonts w:ascii="Verdana" w:hAnsi="Verdana"/>
        </w:rPr>
      </w:pPr>
    </w:p>
    <w:p w14:paraId="19AFB5D8" w14:textId="77777777" w:rsidR="0054026C" w:rsidRDefault="0054026C" w:rsidP="005F4C77">
      <w:pPr>
        <w:rPr>
          <w:rFonts w:ascii="Verdana" w:hAnsi="Verdana"/>
        </w:rPr>
      </w:pPr>
    </w:p>
    <w:p w14:paraId="5DA9F8ED" w14:textId="77777777" w:rsidR="005F4C77" w:rsidRDefault="005F4C77" w:rsidP="005F4C77">
      <w:pPr>
        <w:rPr>
          <w:rFonts w:ascii="Verdana" w:hAnsi="Verdana"/>
        </w:rPr>
      </w:pPr>
    </w:p>
    <w:p w14:paraId="1E37B2CA" w14:textId="77777777" w:rsidR="00AB5073" w:rsidRDefault="00AB5073" w:rsidP="005F4C77">
      <w:pPr>
        <w:rPr>
          <w:rFonts w:ascii="Verdana" w:hAnsi="Verdana"/>
        </w:rPr>
      </w:pPr>
    </w:p>
    <w:p w14:paraId="5CBF861F" w14:textId="77777777" w:rsidR="005F4C77" w:rsidRDefault="005F4C77" w:rsidP="005F4C77">
      <w:pPr>
        <w:rPr>
          <w:rFonts w:ascii="Verdana" w:hAnsi="Verdana"/>
        </w:rPr>
      </w:pPr>
    </w:p>
    <w:p w14:paraId="1A395472" w14:textId="08C4FD4A" w:rsidR="00890E1B" w:rsidRDefault="00890E1B" w:rsidP="00890E1B">
      <w:pPr>
        <w:spacing w:after="0" w:line="240" w:lineRule="auto"/>
        <w:rPr>
          <w:rFonts w:ascii="Verdana" w:eastAsia="Geomanist Light" w:hAnsi="Verdana" w:cs="Arial"/>
        </w:rPr>
      </w:pPr>
      <w:r w:rsidRPr="00960F72">
        <w:rPr>
          <w:rFonts w:ascii="Verdana" w:eastAsia="Geomanist Light" w:hAnsi="Verdana" w:cs="Arial"/>
        </w:rPr>
        <w:lastRenderedPageBreak/>
        <w:t>Bogotá D.C., </w:t>
      </w:r>
      <w:r w:rsidR="007F4444">
        <w:rPr>
          <w:rFonts w:ascii="Verdana" w:eastAsia="Geomanist Light" w:hAnsi="Verdana" w:cs="Arial"/>
        </w:rPr>
        <w:t>15 de enero de 2026</w:t>
      </w:r>
    </w:p>
    <w:p w14:paraId="02BCB982" w14:textId="77777777" w:rsidR="007F4444" w:rsidRDefault="007F4444" w:rsidP="00890E1B">
      <w:pPr>
        <w:spacing w:after="0" w:line="240" w:lineRule="auto"/>
        <w:rPr>
          <w:rFonts w:ascii="Verdana" w:eastAsia="Geomanist Light" w:hAnsi="Verdana" w:cs="Arial"/>
        </w:rPr>
      </w:pPr>
    </w:p>
    <w:p w14:paraId="40576C14" w14:textId="6D9E1E3F" w:rsidR="007F4444" w:rsidRPr="00960F72" w:rsidRDefault="0072359F" w:rsidP="0072359F">
      <w:pPr>
        <w:spacing w:after="0" w:line="240" w:lineRule="auto"/>
        <w:jc w:val="right"/>
        <w:rPr>
          <w:rFonts w:ascii="Verdana" w:eastAsia="Calibri" w:hAnsi="Verdana" w:cs="Arial"/>
          <w:bCs/>
          <w:sz w:val="20"/>
          <w:szCs w:val="20"/>
          <w:lang w:eastAsia="es-ES_tradnl"/>
        </w:rPr>
      </w:pPr>
      <w:r w:rsidRPr="0072359F">
        <w:rPr>
          <w:rFonts w:ascii="Verdana" w:eastAsia="Calibri" w:hAnsi="Verdana" w:cs="Arial"/>
          <w:bCs/>
          <w:sz w:val="20"/>
          <w:szCs w:val="20"/>
          <w:lang w:eastAsia="es-ES_tradnl"/>
        </w:rPr>
        <w:drawing>
          <wp:inline distT="0" distB="0" distL="0" distR="0" wp14:anchorId="65FB5477" wp14:editId="75E4438D">
            <wp:extent cx="3391373" cy="981212"/>
            <wp:effectExtent l="0" t="0" r="0" b="9525"/>
            <wp:docPr id="103393575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3935751" name=""/>
                    <pic:cNvPicPr/>
                  </pic:nvPicPr>
                  <pic:blipFill>
                    <a:blip r:embed="rId10"/>
                    <a:stretch>
                      <a:fillRect/>
                    </a:stretch>
                  </pic:blipFill>
                  <pic:spPr>
                    <a:xfrm>
                      <a:off x="0" y="0"/>
                      <a:ext cx="3391373" cy="981212"/>
                    </a:xfrm>
                    <a:prstGeom prst="rect">
                      <a:avLst/>
                    </a:prstGeom>
                  </pic:spPr>
                </pic:pic>
              </a:graphicData>
            </a:graphic>
          </wp:inline>
        </w:drawing>
      </w:r>
    </w:p>
    <w:p w14:paraId="24696B2A" w14:textId="77777777" w:rsidR="00890E1B" w:rsidRDefault="00890E1B" w:rsidP="00890E1B">
      <w:pPr>
        <w:spacing w:after="0" w:line="240" w:lineRule="auto"/>
        <w:jc w:val="both"/>
        <w:rPr>
          <w:rFonts w:ascii="Verdana" w:eastAsia="Calibri" w:hAnsi="Verdana" w:cs="Arial"/>
        </w:rPr>
      </w:pPr>
    </w:p>
    <w:p w14:paraId="7B40E440" w14:textId="77777777" w:rsidR="00890E1B" w:rsidRDefault="00890E1B" w:rsidP="00890E1B">
      <w:pPr>
        <w:spacing w:after="0" w:line="240" w:lineRule="auto"/>
        <w:jc w:val="both"/>
        <w:rPr>
          <w:rFonts w:ascii="Verdana" w:eastAsia="Calibri" w:hAnsi="Verdana" w:cs="Arial"/>
        </w:rPr>
      </w:pPr>
    </w:p>
    <w:p w14:paraId="03815BB9" w14:textId="77777777" w:rsidR="00890E1B" w:rsidRPr="00960F72" w:rsidRDefault="00890E1B" w:rsidP="00890E1B">
      <w:pPr>
        <w:spacing w:after="0" w:line="240" w:lineRule="auto"/>
        <w:jc w:val="both"/>
        <w:rPr>
          <w:rFonts w:ascii="Verdana" w:eastAsia="Calibri" w:hAnsi="Verdana" w:cs="Arial"/>
        </w:rPr>
      </w:pPr>
    </w:p>
    <w:p w14:paraId="14A86E0C" w14:textId="77777777" w:rsidR="00890E1B" w:rsidRPr="00A518F4" w:rsidRDefault="00890E1B" w:rsidP="00890E1B">
      <w:pPr>
        <w:spacing w:after="0" w:line="240" w:lineRule="auto"/>
        <w:jc w:val="both"/>
        <w:rPr>
          <w:rFonts w:ascii="Verdana" w:eastAsia="Calibri" w:hAnsi="Verdana" w:cs="Arial"/>
          <w:lang w:eastAsia="es-ES"/>
        </w:rPr>
      </w:pPr>
      <w:r w:rsidRPr="00A518F4">
        <w:rPr>
          <w:rFonts w:ascii="Verdana" w:eastAsia="Calibri" w:hAnsi="Verdana" w:cs="Arial"/>
          <w:lang w:eastAsia="es-ES"/>
        </w:rPr>
        <w:t>Señor</w:t>
      </w:r>
    </w:p>
    <w:p w14:paraId="1C9291C9" w14:textId="77777777" w:rsidR="00890E1B" w:rsidRDefault="00890E1B" w:rsidP="00890E1B">
      <w:pPr>
        <w:spacing w:after="0" w:line="240" w:lineRule="auto"/>
        <w:jc w:val="both"/>
        <w:rPr>
          <w:rFonts w:ascii="Verdana" w:eastAsia="Calibri" w:hAnsi="Verdana" w:cs="Arial"/>
          <w:b/>
          <w:bCs/>
          <w:lang w:eastAsia="es-ES"/>
        </w:rPr>
      </w:pPr>
      <w:r>
        <w:rPr>
          <w:rFonts w:ascii="Verdana" w:eastAsia="Calibri" w:hAnsi="Verdana" w:cs="Arial"/>
          <w:b/>
          <w:bCs/>
          <w:lang w:eastAsia="es-ES"/>
        </w:rPr>
        <w:t xml:space="preserve">Fernando José </w:t>
      </w:r>
      <w:r w:rsidRPr="21FECA91">
        <w:rPr>
          <w:rFonts w:ascii="Verdana" w:eastAsia="Calibri" w:hAnsi="Verdana" w:cs="Arial"/>
          <w:b/>
          <w:bCs/>
          <w:lang w:eastAsia="es-ES"/>
        </w:rPr>
        <w:t>Gutiérrez</w:t>
      </w:r>
      <w:r>
        <w:rPr>
          <w:rFonts w:ascii="Verdana" w:eastAsia="Calibri" w:hAnsi="Verdana" w:cs="Arial"/>
          <w:b/>
          <w:bCs/>
          <w:lang w:eastAsia="es-ES"/>
        </w:rPr>
        <w:t xml:space="preserve"> Ibañez</w:t>
      </w:r>
    </w:p>
    <w:p w14:paraId="3DEF942D" w14:textId="77777777" w:rsidR="00890E1B" w:rsidRPr="00A518F4" w:rsidRDefault="00890E1B" w:rsidP="00890E1B">
      <w:pPr>
        <w:spacing w:after="0" w:line="240" w:lineRule="auto"/>
        <w:rPr>
          <w:rFonts w:ascii="Verdana" w:eastAsia="Calibri" w:hAnsi="Verdana" w:cs="Arial"/>
          <w:b/>
          <w:bCs/>
          <w:lang w:eastAsia="es-ES"/>
        </w:rPr>
      </w:pPr>
      <w:r>
        <w:rPr>
          <w:rFonts w:ascii="Verdana" w:eastAsia="Calibri" w:hAnsi="Verdana" w:cs="Arial"/>
          <w:lang w:eastAsia="es-ES"/>
        </w:rPr>
        <w:t>Valledupar, Cesar</w:t>
      </w: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355"/>
        <w:gridCol w:w="6434"/>
      </w:tblGrid>
      <w:tr w:rsidR="00890E1B" w:rsidRPr="00960F72" w14:paraId="56339048" w14:textId="77777777" w:rsidTr="000E0B41">
        <w:trPr>
          <w:trHeight w:val="190"/>
        </w:trPr>
        <w:tc>
          <w:tcPr>
            <w:tcW w:w="2355" w:type="dxa"/>
          </w:tcPr>
          <w:p w14:paraId="2B14591E" w14:textId="77777777" w:rsidR="00890E1B" w:rsidRDefault="00890E1B" w:rsidP="000E0B41">
            <w:pPr>
              <w:jc w:val="both"/>
              <w:rPr>
                <w:rFonts w:ascii="Verdana" w:eastAsia="Calibri" w:hAnsi="Verdana" w:cs="Arial"/>
                <w:b/>
                <w:bCs/>
                <w:lang w:eastAsia="es-ES_tradnl"/>
              </w:rPr>
            </w:pPr>
          </w:p>
          <w:p w14:paraId="46AB9469" w14:textId="77777777" w:rsidR="00890E1B" w:rsidRDefault="00890E1B" w:rsidP="000E0B41">
            <w:pPr>
              <w:jc w:val="both"/>
              <w:rPr>
                <w:rFonts w:ascii="Verdana" w:eastAsia="Calibri" w:hAnsi="Verdana" w:cs="Arial"/>
                <w:b/>
                <w:bCs/>
                <w:lang w:eastAsia="es-ES_tradnl"/>
              </w:rPr>
            </w:pPr>
          </w:p>
          <w:p w14:paraId="3F69690B" w14:textId="77777777" w:rsidR="00890E1B" w:rsidRDefault="00890E1B" w:rsidP="000E0B41">
            <w:pPr>
              <w:jc w:val="both"/>
              <w:rPr>
                <w:rFonts w:ascii="Verdana" w:eastAsia="Calibri" w:hAnsi="Verdana" w:cs="Arial"/>
                <w:b/>
                <w:bCs/>
                <w:lang w:eastAsia="es-ES_tradnl"/>
              </w:rPr>
            </w:pPr>
          </w:p>
          <w:p w14:paraId="49EFB039" w14:textId="77777777" w:rsidR="00890E1B" w:rsidRDefault="00890E1B" w:rsidP="000E0B41">
            <w:pPr>
              <w:jc w:val="both"/>
              <w:rPr>
                <w:rFonts w:ascii="Verdana" w:eastAsia="Calibri" w:hAnsi="Verdana" w:cs="Arial"/>
                <w:b/>
                <w:bCs/>
                <w:lang w:eastAsia="es-ES_tradnl"/>
              </w:rPr>
            </w:pPr>
          </w:p>
          <w:p w14:paraId="0B4863C3" w14:textId="77777777" w:rsidR="00890E1B" w:rsidRDefault="00890E1B" w:rsidP="000E0B41">
            <w:pPr>
              <w:jc w:val="both"/>
              <w:rPr>
                <w:rFonts w:ascii="Verdana" w:eastAsia="Calibri" w:hAnsi="Verdana" w:cs="Arial"/>
                <w:b/>
                <w:bCs/>
                <w:lang w:eastAsia="es-ES_tradnl"/>
              </w:rPr>
            </w:pPr>
          </w:p>
          <w:p w14:paraId="7327D646" w14:textId="77777777" w:rsidR="00890E1B" w:rsidRDefault="00890E1B" w:rsidP="000E0B41">
            <w:pPr>
              <w:jc w:val="both"/>
              <w:rPr>
                <w:rFonts w:ascii="Verdana" w:eastAsia="Calibri" w:hAnsi="Verdana" w:cs="Arial"/>
                <w:b/>
                <w:bCs/>
                <w:lang w:eastAsia="es-ES_tradnl"/>
              </w:rPr>
            </w:pPr>
          </w:p>
          <w:p w14:paraId="5A544299" w14:textId="77777777" w:rsidR="00890E1B" w:rsidRDefault="00890E1B" w:rsidP="000E0B41">
            <w:pPr>
              <w:jc w:val="both"/>
              <w:rPr>
                <w:rFonts w:ascii="Verdana" w:eastAsia="Calibri" w:hAnsi="Verdana" w:cs="Arial"/>
                <w:b/>
                <w:bCs/>
                <w:lang w:eastAsia="es-ES_tradnl"/>
              </w:rPr>
            </w:pPr>
          </w:p>
          <w:p w14:paraId="6D8BDB7E" w14:textId="77777777" w:rsidR="00890E1B" w:rsidRPr="00960F72" w:rsidRDefault="00890E1B" w:rsidP="000E0B41">
            <w:pPr>
              <w:jc w:val="both"/>
              <w:rPr>
                <w:rFonts w:ascii="Verdana" w:eastAsia="Calibri" w:hAnsi="Verdana" w:cs="Arial"/>
                <w:b/>
                <w:bCs/>
                <w:lang w:eastAsia="es-ES_tradnl"/>
              </w:rPr>
            </w:pPr>
          </w:p>
        </w:tc>
        <w:tc>
          <w:tcPr>
            <w:tcW w:w="6434" w:type="dxa"/>
          </w:tcPr>
          <w:p w14:paraId="297070E7" w14:textId="77777777" w:rsidR="00890E1B" w:rsidRDefault="00890E1B" w:rsidP="000E0B41">
            <w:pPr>
              <w:jc w:val="both"/>
              <w:rPr>
                <w:rFonts w:ascii="Verdana" w:eastAsia="Calibri" w:hAnsi="Verdana" w:cs="Arial"/>
                <w:b/>
                <w:bCs/>
                <w:lang w:eastAsia="es-ES"/>
              </w:rPr>
            </w:pPr>
          </w:p>
          <w:p w14:paraId="59A818C5" w14:textId="77777777" w:rsidR="00890E1B" w:rsidRDefault="00890E1B" w:rsidP="000E0B41">
            <w:pPr>
              <w:jc w:val="both"/>
              <w:rPr>
                <w:rFonts w:ascii="Verdana" w:eastAsia="Calibri" w:hAnsi="Verdana" w:cs="Arial"/>
                <w:b/>
                <w:bCs/>
                <w:lang w:eastAsia="es-ES"/>
              </w:rPr>
            </w:pPr>
          </w:p>
          <w:p w14:paraId="20CB2904" w14:textId="77777777" w:rsidR="00890E1B" w:rsidRDefault="00890E1B" w:rsidP="000E0B41">
            <w:pPr>
              <w:jc w:val="both"/>
              <w:rPr>
                <w:rFonts w:ascii="Verdana" w:eastAsia="Calibri" w:hAnsi="Verdana" w:cs="Arial"/>
                <w:b/>
                <w:bCs/>
                <w:lang w:eastAsia="es-ES"/>
              </w:rPr>
            </w:pPr>
          </w:p>
          <w:p w14:paraId="2CF14410" w14:textId="77777777" w:rsidR="00890E1B" w:rsidRPr="00960F72" w:rsidRDefault="00890E1B" w:rsidP="000E0B41">
            <w:pPr>
              <w:jc w:val="both"/>
              <w:rPr>
                <w:rFonts w:ascii="Verdana" w:eastAsia="Calibri" w:hAnsi="Verdana" w:cs="Arial"/>
                <w:b/>
                <w:bCs/>
                <w:lang w:eastAsia="es-ES"/>
              </w:rPr>
            </w:pPr>
            <w:r w:rsidRPr="00960F72">
              <w:rPr>
                <w:rFonts w:ascii="Verdana" w:eastAsia="Calibri" w:hAnsi="Verdana" w:cs="Arial"/>
                <w:b/>
                <w:bCs/>
                <w:lang w:eastAsia="es-ES"/>
              </w:rPr>
              <w:t>Concepto C- 1</w:t>
            </w:r>
            <w:r>
              <w:rPr>
                <w:rFonts w:ascii="Verdana" w:eastAsia="Calibri" w:hAnsi="Verdana" w:cs="Arial"/>
                <w:b/>
                <w:bCs/>
                <w:lang w:eastAsia="es-ES"/>
              </w:rPr>
              <w:t xml:space="preserve">869 </w:t>
            </w:r>
            <w:r w:rsidRPr="00960F72">
              <w:rPr>
                <w:rFonts w:ascii="Verdana" w:eastAsia="Calibri" w:hAnsi="Verdana" w:cs="Arial"/>
                <w:b/>
                <w:bCs/>
                <w:lang w:eastAsia="es-ES"/>
              </w:rPr>
              <w:t>de 2025</w:t>
            </w:r>
          </w:p>
          <w:p w14:paraId="3ECCE9D6" w14:textId="77777777" w:rsidR="00890E1B" w:rsidRPr="00960F72" w:rsidRDefault="00890E1B" w:rsidP="000E0B41">
            <w:pPr>
              <w:jc w:val="both"/>
              <w:rPr>
                <w:rFonts w:ascii="Verdana" w:eastAsia="Calibri" w:hAnsi="Verdana" w:cs="Arial"/>
                <w:b/>
                <w:bCs/>
                <w:lang w:eastAsia="es-ES"/>
              </w:rPr>
            </w:pPr>
          </w:p>
        </w:tc>
      </w:tr>
      <w:tr w:rsidR="00890E1B" w:rsidRPr="00960F72" w14:paraId="7A35EDDD" w14:textId="77777777" w:rsidTr="000E0B41">
        <w:trPr>
          <w:trHeight w:val="884"/>
        </w:trPr>
        <w:tc>
          <w:tcPr>
            <w:tcW w:w="2355" w:type="dxa"/>
          </w:tcPr>
          <w:p w14:paraId="1332F652" w14:textId="77777777" w:rsidR="00890E1B" w:rsidRPr="00960F72" w:rsidRDefault="00890E1B" w:rsidP="000E0B41">
            <w:pPr>
              <w:jc w:val="both"/>
              <w:rPr>
                <w:rFonts w:ascii="Verdana" w:eastAsia="Calibri" w:hAnsi="Verdana" w:cs="Arial"/>
                <w:lang w:eastAsia="es-ES_tradnl"/>
              </w:rPr>
            </w:pPr>
            <w:r w:rsidRPr="00960F72">
              <w:rPr>
                <w:rFonts w:ascii="Verdana" w:eastAsia="Calibri" w:hAnsi="Verdana" w:cs="Arial"/>
                <w:b/>
                <w:lang w:eastAsia="es-ES_tradnl"/>
              </w:rPr>
              <w:t>Tema:</w:t>
            </w:r>
            <w:r w:rsidRPr="00960F72">
              <w:rPr>
                <w:rFonts w:ascii="Verdana" w:eastAsia="Calibri" w:hAnsi="Verdana" w:cs="Arial"/>
                <w:lang w:eastAsia="es-ES_tradnl"/>
              </w:rPr>
              <w:t xml:space="preserve">                   </w:t>
            </w:r>
          </w:p>
        </w:tc>
        <w:tc>
          <w:tcPr>
            <w:tcW w:w="6434" w:type="dxa"/>
          </w:tcPr>
          <w:p w14:paraId="25206B4D" w14:textId="77777777" w:rsidR="00890E1B" w:rsidRDefault="00890E1B" w:rsidP="000E0B41">
            <w:pPr>
              <w:spacing w:line="276" w:lineRule="auto"/>
              <w:jc w:val="both"/>
              <w:rPr>
                <w:rFonts w:ascii="Verdana" w:eastAsia="Times New Roman" w:hAnsi="Verdana" w:cs="Arial"/>
                <w:lang w:eastAsia="es-ES_tradnl"/>
              </w:rPr>
            </w:pPr>
            <w:r w:rsidRPr="00284B9D">
              <w:rPr>
                <w:rFonts w:ascii="Verdana" w:hAnsi="Verdana" w:cs="Arial"/>
                <w:lang w:val="es-MX" w:eastAsia="es-ES_tradnl"/>
              </w:rPr>
              <w:t xml:space="preserve">LEY DE GARANTÍAS ELECTORALES </w:t>
            </w:r>
            <w:r w:rsidRPr="00284B9D">
              <w:rPr>
                <w:rFonts w:ascii="Verdana" w:hAnsi="Verdana" w:cs="Arial"/>
                <w:bCs/>
                <w:lang w:val="es-MX" w:eastAsia="es-ES_tradnl"/>
              </w:rPr>
              <w:t>‒</w:t>
            </w:r>
            <w:r w:rsidRPr="00284B9D">
              <w:rPr>
                <w:rFonts w:ascii="Verdana" w:hAnsi="Verdana" w:cs="Arial"/>
                <w:lang w:val="es-MX" w:eastAsia="es-ES_tradnl"/>
              </w:rPr>
              <w:t xml:space="preserve"> Finalidad </w:t>
            </w:r>
            <w:r>
              <w:rPr>
                <w:rFonts w:ascii="Verdana" w:eastAsia="Times New Roman" w:hAnsi="Verdana" w:cs="Arial"/>
                <w:lang w:eastAsia="es-ES_tradnl"/>
              </w:rPr>
              <w:t xml:space="preserve">/ </w:t>
            </w:r>
            <w:r w:rsidRPr="00376467">
              <w:rPr>
                <w:rFonts w:ascii="Verdana" w:eastAsia="Times New Roman" w:hAnsi="Verdana" w:cs="Arial"/>
                <w:lang w:eastAsia="es-ES_tradnl"/>
              </w:rPr>
              <w:t xml:space="preserve">DECRETO 092 DE 2017 – Finalidad – Clases de contratos / CONTRATACIÓN CON ESAL – Contrato de colaboración – Objeto – Alcance </w:t>
            </w:r>
            <w:r>
              <w:rPr>
                <w:rFonts w:ascii="Verdana" w:eastAsia="Times New Roman" w:hAnsi="Verdana" w:cs="Arial"/>
                <w:lang w:eastAsia="es-ES_tradnl"/>
              </w:rPr>
              <w:t>/ LEY DE GARANTÍAS - Aplicación a procesos a contratación con ESALES</w:t>
            </w:r>
          </w:p>
          <w:p w14:paraId="67C135B2" w14:textId="77777777" w:rsidR="00890E1B" w:rsidRPr="00E3405D" w:rsidRDefault="00890E1B" w:rsidP="000E0B41">
            <w:pPr>
              <w:spacing w:line="276" w:lineRule="auto"/>
              <w:jc w:val="both"/>
              <w:rPr>
                <w:rFonts w:ascii="Verdana" w:eastAsia="Calibri" w:hAnsi="Verdana" w:cs="Arial"/>
                <w:lang w:val="es-ES"/>
              </w:rPr>
            </w:pPr>
          </w:p>
        </w:tc>
      </w:tr>
      <w:tr w:rsidR="00890E1B" w:rsidRPr="00960F72" w14:paraId="511010AE" w14:textId="77777777" w:rsidTr="000E0B41">
        <w:tc>
          <w:tcPr>
            <w:tcW w:w="2355" w:type="dxa"/>
          </w:tcPr>
          <w:p w14:paraId="01F32F53" w14:textId="77777777" w:rsidR="00890E1B" w:rsidRPr="00960F72" w:rsidRDefault="00890E1B" w:rsidP="000E0B41">
            <w:pPr>
              <w:jc w:val="both"/>
              <w:rPr>
                <w:rFonts w:ascii="Verdana" w:eastAsia="Calibri" w:hAnsi="Verdana" w:cs="Arial"/>
                <w:b/>
                <w:lang w:eastAsia="es-ES_tradnl"/>
              </w:rPr>
            </w:pPr>
            <w:r w:rsidRPr="00960F72">
              <w:rPr>
                <w:rFonts w:ascii="Verdana" w:eastAsia="Calibri" w:hAnsi="Verdana" w:cs="Arial"/>
                <w:b/>
                <w:lang w:eastAsia="es-ES_tradnl"/>
              </w:rPr>
              <w:t>Radicación:</w:t>
            </w:r>
            <w:r w:rsidRPr="00960F72">
              <w:rPr>
                <w:rFonts w:ascii="Verdana" w:eastAsia="Calibri" w:hAnsi="Verdana" w:cs="Arial"/>
                <w:lang w:eastAsia="es-ES_tradnl"/>
              </w:rPr>
              <w:t xml:space="preserve">               </w:t>
            </w:r>
          </w:p>
        </w:tc>
        <w:tc>
          <w:tcPr>
            <w:tcW w:w="6434" w:type="dxa"/>
          </w:tcPr>
          <w:p w14:paraId="696B3653" w14:textId="77777777" w:rsidR="00890E1B" w:rsidRPr="00960F72" w:rsidRDefault="00890E1B" w:rsidP="000E0B41">
            <w:pPr>
              <w:jc w:val="both"/>
              <w:rPr>
                <w:rFonts w:ascii="Verdana" w:eastAsia="Calibri" w:hAnsi="Verdana" w:cs="Arial"/>
                <w:lang w:eastAsia="es-ES_tradnl"/>
              </w:rPr>
            </w:pPr>
            <w:r w:rsidRPr="00960F72">
              <w:rPr>
                <w:rFonts w:ascii="Verdana" w:eastAsia="Calibri" w:hAnsi="Verdana" w:cs="Arial"/>
                <w:lang w:eastAsia="es-ES_tradnl"/>
              </w:rPr>
              <w:t>Respuesta a consulta con radicado No.</w:t>
            </w:r>
            <w:r>
              <w:rPr>
                <w:rFonts w:ascii="Verdana" w:eastAsia="Calibri" w:hAnsi="Verdana" w:cs="Arial"/>
                <w:lang w:eastAsia="es-ES_tradnl"/>
              </w:rPr>
              <w:t xml:space="preserve"> </w:t>
            </w:r>
            <w:r w:rsidRPr="00FC4B69">
              <w:rPr>
                <w:rFonts w:ascii="Verdana" w:eastAsia="Calibri" w:hAnsi="Verdana" w:cs="Arial"/>
                <w:lang w:eastAsia="es-ES_tradnl"/>
              </w:rPr>
              <w:t>1_2025_12_27_014380</w:t>
            </w:r>
          </w:p>
        </w:tc>
      </w:tr>
    </w:tbl>
    <w:p w14:paraId="705CBDB9" w14:textId="77777777" w:rsidR="00890E1B" w:rsidRPr="00960F72" w:rsidRDefault="00890E1B" w:rsidP="00890E1B">
      <w:pPr>
        <w:spacing w:after="0" w:line="240" w:lineRule="auto"/>
        <w:jc w:val="both"/>
        <w:rPr>
          <w:rFonts w:ascii="Verdana" w:eastAsia="Calibri" w:hAnsi="Verdana" w:cs="Arial"/>
          <w:lang w:eastAsia="es-ES_tradnl"/>
        </w:rPr>
      </w:pPr>
    </w:p>
    <w:p w14:paraId="30E74C3B" w14:textId="77777777" w:rsidR="00890E1B" w:rsidRDefault="00890E1B" w:rsidP="00890E1B">
      <w:pPr>
        <w:spacing w:after="0" w:line="240" w:lineRule="auto"/>
        <w:jc w:val="both"/>
        <w:rPr>
          <w:rFonts w:ascii="Verdana" w:eastAsia="Calibri" w:hAnsi="Verdana" w:cs="Arial"/>
          <w:lang w:eastAsia="es-ES_tradnl"/>
        </w:rPr>
      </w:pPr>
    </w:p>
    <w:p w14:paraId="34644E2C" w14:textId="77777777" w:rsidR="00890E1B" w:rsidRDefault="00890E1B" w:rsidP="00890E1B">
      <w:pPr>
        <w:spacing w:after="0" w:line="240" w:lineRule="auto"/>
        <w:jc w:val="both"/>
        <w:rPr>
          <w:rFonts w:ascii="Verdana" w:eastAsia="Calibri" w:hAnsi="Verdana" w:cs="Arial"/>
          <w:lang w:eastAsia="es-ES_tradnl"/>
        </w:rPr>
      </w:pPr>
    </w:p>
    <w:p w14:paraId="0717C68E" w14:textId="77777777" w:rsidR="00890E1B" w:rsidRDefault="00890E1B" w:rsidP="00890E1B">
      <w:pPr>
        <w:spacing w:after="0" w:line="240" w:lineRule="auto"/>
        <w:jc w:val="both"/>
        <w:rPr>
          <w:rFonts w:ascii="Verdana" w:eastAsia="Calibri" w:hAnsi="Verdana" w:cs="Arial"/>
          <w:lang w:eastAsia="es-ES_tradnl"/>
        </w:rPr>
      </w:pPr>
    </w:p>
    <w:p w14:paraId="3628DD86" w14:textId="77777777" w:rsidR="00890E1B" w:rsidRDefault="00890E1B" w:rsidP="00890E1B">
      <w:pPr>
        <w:spacing w:after="0" w:line="240" w:lineRule="auto"/>
        <w:jc w:val="both"/>
        <w:rPr>
          <w:rFonts w:ascii="Verdana" w:eastAsia="Calibri" w:hAnsi="Verdana" w:cs="Arial"/>
          <w:lang w:eastAsia="es-ES_tradnl"/>
        </w:rPr>
      </w:pPr>
    </w:p>
    <w:p w14:paraId="58C73066" w14:textId="77777777" w:rsidR="00890E1B" w:rsidRDefault="00890E1B" w:rsidP="00890E1B">
      <w:pPr>
        <w:spacing w:after="0" w:line="240" w:lineRule="auto"/>
        <w:jc w:val="both"/>
        <w:rPr>
          <w:rFonts w:ascii="Verdana" w:eastAsia="Calibri" w:hAnsi="Verdana" w:cs="Arial"/>
          <w:lang w:eastAsia="es-ES_tradnl"/>
        </w:rPr>
      </w:pPr>
    </w:p>
    <w:p w14:paraId="6C98A746" w14:textId="77777777" w:rsidR="00890E1B" w:rsidRPr="00960F72" w:rsidRDefault="00890E1B" w:rsidP="00890E1B">
      <w:pPr>
        <w:spacing w:after="0" w:line="240" w:lineRule="auto"/>
        <w:jc w:val="both"/>
        <w:rPr>
          <w:rFonts w:ascii="Verdana" w:eastAsia="Calibri" w:hAnsi="Verdana" w:cs="Arial"/>
          <w:lang w:eastAsia="es-ES_tradnl"/>
        </w:rPr>
      </w:pPr>
    </w:p>
    <w:p w14:paraId="375609B0" w14:textId="77777777" w:rsidR="00890E1B" w:rsidRPr="00960F72" w:rsidRDefault="00890E1B" w:rsidP="00890E1B">
      <w:pPr>
        <w:spacing w:after="0" w:line="276" w:lineRule="auto"/>
        <w:jc w:val="both"/>
        <w:rPr>
          <w:rFonts w:ascii="Verdana" w:eastAsia="Calibri" w:hAnsi="Verdana" w:cs="Arial"/>
          <w:lang w:eastAsia="es-ES"/>
        </w:rPr>
      </w:pPr>
      <w:r w:rsidRPr="00960F72">
        <w:rPr>
          <w:rFonts w:ascii="Verdana" w:eastAsia="Calibri" w:hAnsi="Verdana" w:cs="Arial"/>
          <w:lang w:eastAsia="es-ES"/>
        </w:rPr>
        <w:t>Estimad</w:t>
      </w:r>
      <w:r>
        <w:rPr>
          <w:rFonts w:ascii="Verdana" w:eastAsia="Calibri" w:hAnsi="Verdana" w:cs="Arial"/>
          <w:lang w:eastAsia="es-ES"/>
        </w:rPr>
        <w:t xml:space="preserve">o </w:t>
      </w:r>
      <w:r w:rsidRPr="00960F72">
        <w:rPr>
          <w:rFonts w:ascii="Verdana" w:eastAsia="Calibri" w:hAnsi="Verdana" w:cs="Arial"/>
          <w:lang w:eastAsia="es-ES"/>
        </w:rPr>
        <w:t>señor</w:t>
      </w:r>
      <w:r>
        <w:rPr>
          <w:rFonts w:ascii="Verdana" w:eastAsia="Calibri" w:hAnsi="Verdana" w:cs="Arial"/>
          <w:lang w:eastAsia="es-ES"/>
        </w:rPr>
        <w:t xml:space="preserve"> Gutierrez</w:t>
      </w:r>
      <w:r w:rsidRPr="00960F72">
        <w:rPr>
          <w:rFonts w:ascii="Verdana" w:eastAsia="Calibri" w:hAnsi="Verdana" w:cs="Arial"/>
          <w:lang w:eastAsia="es-ES"/>
        </w:rPr>
        <w:t xml:space="preserve">: </w:t>
      </w:r>
    </w:p>
    <w:p w14:paraId="7ABE7615" w14:textId="77777777" w:rsidR="00890E1B" w:rsidRPr="00960F72" w:rsidRDefault="00890E1B" w:rsidP="00890E1B">
      <w:pPr>
        <w:tabs>
          <w:tab w:val="left" w:pos="3768"/>
        </w:tabs>
        <w:spacing w:after="0" w:line="276" w:lineRule="auto"/>
        <w:jc w:val="both"/>
        <w:rPr>
          <w:rFonts w:ascii="Verdana" w:eastAsia="Calibri" w:hAnsi="Verdana" w:cs="Arial"/>
          <w:lang w:eastAsia="es-ES"/>
        </w:rPr>
      </w:pPr>
    </w:p>
    <w:p w14:paraId="77C4F8F7" w14:textId="77777777" w:rsidR="00890E1B" w:rsidRDefault="00890E1B" w:rsidP="00890E1B">
      <w:pPr>
        <w:spacing w:after="120" w:line="276" w:lineRule="auto"/>
        <w:jc w:val="both"/>
        <w:rPr>
          <w:rFonts w:ascii="Verdana" w:eastAsia="Calibri" w:hAnsi="Verdana" w:cs="Arial"/>
          <w:sz w:val="20"/>
          <w:szCs w:val="20"/>
          <w:lang w:eastAsia="es-ES"/>
        </w:rPr>
      </w:pPr>
      <w:r w:rsidRPr="00960F72">
        <w:rPr>
          <w:rFonts w:ascii="Verdana" w:eastAsia="Calibri" w:hAnsi="Verdana" w:cs="Arial"/>
          <w:lang w:eastAsia="es-ES"/>
        </w:rPr>
        <w:lastRenderedPageBreak/>
        <w:t>En ejercicio de la competencia otorgada por los artículos 3, numeral 5º, y 11, numeral 8º, del Decreto Ley 4170 de 2011,</w:t>
      </w:r>
      <w:r w:rsidRPr="00960F72">
        <w:rPr>
          <w:rFonts w:ascii="Verdana" w:eastAsia="Arial MT" w:hAnsi="Verdana" w:cs="Arial MT"/>
          <w:lang w:eastAsia="es-ES"/>
        </w:rPr>
        <w:t xml:space="preserve"> </w:t>
      </w:r>
      <w:r w:rsidRPr="00960F72">
        <w:rPr>
          <w:rFonts w:ascii="Verdana" w:hAnsi="Verdana" w:cs="Arial"/>
        </w:rPr>
        <w:t xml:space="preserve">así como lo establecido en el artículo 4 de la Resolución 1707 de 2018 expedida por esta Entidad, </w:t>
      </w:r>
      <w:r w:rsidRPr="00960F72">
        <w:rPr>
          <w:rFonts w:ascii="Verdana" w:eastAsia="Calibri" w:hAnsi="Verdana" w:cs="Arial"/>
          <w:lang w:eastAsia="es-ES"/>
        </w:rPr>
        <w:t xml:space="preserve">la Agencia Nacional de Contratación Pública – Colombia Compra Eficiente– responde su solicitud de consulta de fecha del </w:t>
      </w:r>
      <w:r>
        <w:rPr>
          <w:rFonts w:ascii="Verdana" w:eastAsia="Calibri" w:hAnsi="Verdana" w:cs="Arial"/>
          <w:lang w:eastAsia="es-ES"/>
        </w:rPr>
        <w:t>27</w:t>
      </w:r>
      <w:r w:rsidRPr="00960F72">
        <w:rPr>
          <w:rFonts w:ascii="Verdana" w:eastAsia="Calibri" w:hAnsi="Verdana" w:cs="Arial"/>
          <w:lang w:eastAsia="es-ES"/>
        </w:rPr>
        <w:t xml:space="preserve"> de </w:t>
      </w:r>
      <w:r>
        <w:rPr>
          <w:rFonts w:ascii="Verdana" w:eastAsia="Calibri" w:hAnsi="Verdana" w:cs="Arial"/>
          <w:lang w:eastAsia="es-ES"/>
        </w:rPr>
        <w:t xml:space="preserve">diciembre </w:t>
      </w:r>
      <w:r w:rsidRPr="00960F72">
        <w:rPr>
          <w:rFonts w:ascii="Verdana" w:eastAsia="Calibri" w:hAnsi="Verdana" w:cs="Arial"/>
          <w:lang w:eastAsia="es-ES"/>
        </w:rPr>
        <w:t>de 2025, en la cual manifiesta lo siguiente:</w:t>
      </w:r>
      <w:r>
        <w:rPr>
          <w:rFonts w:ascii="Verdana" w:eastAsia="Calibri" w:hAnsi="Verdana" w:cs="Arial"/>
          <w:sz w:val="20"/>
          <w:szCs w:val="20"/>
          <w:lang w:eastAsia="es-ES"/>
        </w:rPr>
        <w:t xml:space="preserve"> </w:t>
      </w:r>
      <w:r w:rsidRPr="00AE18AA">
        <w:rPr>
          <w:rFonts w:ascii="Verdana" w:eastAsia="Calibri" w:hAnsi="Verdana" w:cs="Arial"/>
          <w:i/>
          <w:sz w:val="20"/>
          <w:szCs w:val="20"/>
          <w:lang w:eastAsia="es-ES"/>
        </w:rPr>
        <w:t>“LOS PROCESOS COMPETITIVOS DESCRITOS EN EL DECRETO 092 DE 2017 SE ENCUENTRA PROHIBIDOS EN LEY DE GARANTIAS ELECTORAL?”</w:t>
      </w:r>
      <w:r>
        <w:rPr>
          <w:rFonts w:ascii="Verdana" w:eastAsia="Calibri" w:hAnsi="Verdana" w:cs="Arial"/>
          <w:i/>
          <w:iCs/>
          <w:sz w:val="20"/>
          <w:szCs w:val="20"/>
          <w:lang w:eastAsia="es-ES"/>
        </w:rPr>
        <w:t xml:space="preserve"> </w:t>
      </w:r>
      <w:r>
        <w:rPr>
          <w:rFonts w:ascii="Verdana" w:eastAsia="Calibri" w:hAnsi="Verdana" w:cs="Arial"/>
          <w:sz w:val="20"/>
          <w:szCs w:val="20"/>
          <w:lang w:eastAsia="es-ES"/>
        </w:rPr>
        <w:t>(sic)</w:t>
      </w:r>
      <w:r>
        <w:rPr>
          <w:rFonts w:ascii="Verdana" w:eastAsia="Calibri" w:hAnsi="Verdana" w:cs="Arial"/>
          <w:i/>
          <w:iCs/>
          <w:sz w:val="20"/>
          <w:szCs w:val="20"/>
          <w:lang w:eastAsia="es-ES"/>
        </w:rPr>
        <w:t>.</w:t>
      </w:r>
    </w:p>
    <w:p w14:paraId="5A9006F4" w14:textId="77777777" w:rsidR="00890E1B" w:rsidRPr="00960F72" w:rsidRDefault="00890E1B" w:rsidP="00890E1B">
      <w:pPr>
        <w:spacing w:after="120" w:line="276" w:lineRule="auto"/>
        <w:ind w:firstLine="709"/>
        <w:jc w:val="both"/>
        <w:rPr>
          <w:rFonts w:ascii="Verdana" w:eastAsia="Calibri" w:hAnsi="Verdana" w:cs="Arial"/>
          <w:szCs w:val="24"/>
          <w:lang w:eastAsia="es-ES_tradnl"/>
        </w:rPr>
      </w:pPr>
      <w:r w:rsidRPr="00960F72">
        <w:rPr>
          <w:rFonts w:ascii="Verdana" w:eastAsia="Calibri" w:hAnsi="Verdana" w:cs="Arial"/>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la Agencia Nacional de Contratación Pública –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960F72">
        <w:rPr>
          <w:rFonts w:ascii="Verdana" w:eastAsia="Calibri" w:hAnsi="Verdana" w:cs="Arial"/>
          <w:szCs w:val="24"/>
          <w:lang w:eastAsia="es-ES_tradnl"/>
        </w:rPr>
        <w:tab/>
      </w:r>
    </w:p>
    <w:p w14:paraId="626795C8" w14:textId="77777777" w:rsidR="00890E1B" w:rsidRPr="00960F72" w:rsidRDefault="00890E1B" w:rsidP="00890E1B">
      <w:pPr>
        <w:spacing w:after="0" w:line="276" w:lineRule="auto"/>
        <w:ind w:firstLine="709"/>
        <w:jc w:val="both"/>
        <w:rPr>
          <w:rFonts w:ascii="Verdana" w:eastAsia="Calibri" w:hAnsi="Verdana" w:cs="Arial"/>
          <w:lang w:eastAsia="es-ES"/>
        </w:rPr>
      </w:pPr>
      <w:r w:rsidRPr="00960F72">
        <w:rPr>
          <w:rFonts w:ascii="Verdana" w:eastAsia="Calibri" w:hAnsi="Verdana" w:cs="Arial"/>
          <w:lang w:eastAsia="es-ES"/>
        </w:rPr>
        <w:t>Conforme lo expuesto, en aras de satisfacer el derecho fundamental de petición</w:t>
      </w:r>
      <w:r>
        <w:rPr>
          <w:rFonts w:ascii="Verdana" w:eastAsia="Calibri" w:hAnsi="Verdana" w:cs="Arial"/>
          <w:lang w:eastAsia="es-ES"/>
        </w:rPr>
        <w:t>,</w:t>
      </w:r>
      <w:r w:rsidRPr="00960F72">
        <w:rPr>
          <w:rFonts w:ascii="Verdana" w:eastAsia="Calibri" w:hAnsi="Verdana" w:cs="Arial"/>
          <w:lang w:eastAsia="es-ES"/>
        </w:rPr>
        <w:t xml:space="preserve"> se resolverá su consulta dentro de los límites de la referida competencia consultiva, esto es, haciendo abstracción de las circunstancias particulares y concretas mencionadas en su petición, pero </w:t>
      </w:r>
      <w:r>
        <w:rPr>
          <w:rFonts w:ascii="Verdana" w:eastAsia="Calibri" w:hAnsi="Verdana" w:cs="Arial"/>
          <w:lang w:eastAsia="es-ES"/>
        </w:rPr>
        <w:t>señalando</w:t>
      </w:r>
      <w:r w:rsidRPr="00960F72">
        <w:rPr>
          <w:rFonts w:ascii="Verdana" w:eastAsia="Calibri" w:hAnsi="Verdana" w:cs="Arial"/>
          <w:lang w:eastAsia="es-ES"/>
        </w:rPr>
        <w:t xml:space="preserve"> </w:t>
      </w:r>
      <w:r>
        <w:rPr>
          <w:rFonts w:ascii="Verdana" w:eastAsia="Calibri" w:hAnsi="Verdana" w:cs="Arial"/>
          <w:lang w:eastAsia="es-ES"/>
        </w:rPr>
        <w:t>alg</w:t>
      </w:r>
      <w:r w:rsidRPr="00960F72">
        <w:rPr>
          <w:rFonts w:ascii="Verdana" w:eastAsia="Calibri" w:hAnsi="Verdana" w:cs="Arial"/>
          <w:lang w:eastAsia="es-ES"/>
        </w:rPr>
        <w:t xml:space="preserve">unas consideraciones sobre las normas generales relacionadas con el problema jurídico de su consulta. </w:t>
      </w:r>
    </w:p>
    <w:p w14:paraId="3AE9FD03" w14:textId="77777777" w:rsidR="00890E1B" w:rsidRPr="00960F72" w:rsidRDefault="00890E1B" w:rsidP="00890E1B">
      <w:pPr>
        <w:spacing w:after="0" w:line="276" w:lineRule="auto"/>
        <w:ind w:firstLine="709"/>
        <w:jc w:val="both"/>
        <w:rPr>
          <w:rFonts w:ascii="Verdana" w:eastAsia="Calibri" w:hAnsi="Verdana" w:cs="Arial"/>
          <w:lang w:eastAsia="es-ES"/>
        </w:rPr>
      </w:pPr>
    </w:p>
    <w:p w14:paraId="3D9C3062" w14:textId="77777777" w:rsidR="00890E1B" w:rsidRPr="00960F72" w:rsidRDefault="00890E1B" w:rsidP="00890E1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960F72">
        <w:rPr>
          <w:rFonts w:ascii="Verdana" w:eastAsia="Century Gothic" w:hAnsi="Verdana" w:cs="Century Gothic"/>
          <w:b/>
          <w:bCs/>
          <w:lang w:val="es-CO"/>
        </w:rPr>
        <w:t>Problema planteado:</w:t>
      </w:r>
    </w:p>
    <w:p w14:paraId="2BF906B4" w14:textId="77777777" w:rsidR="00890E1B" w:rsidRPr="00960F72" w:rsidRDefault="00890E1B" w:rsidP="00890E1B">
      <w:pPr>
        <w:tabs>
          <w:tab w:val="left" w:pos="426"/>
        </w:tabs>
        <w:spacing w:after="0" w:line="276" w:lineRule="auto"/>
        <w:jc w:val="both"/>
        <w:rPr>
          <w:rFonts w:ascii="Verdana" w:eastAsia="Century Gothic" w:hAnsi="Verdana" w:cs="Century Gothic"/>
        </w:rPr>
      </w:pPr>
    </w:p>
    <w:p w14:paraId="0B82FED6" w14:textId="77777777" w:rsidR="00890E1B" w:rsidRDefault="00890E1B" w:rsidP="00890E1B">
      <w:pPr>
        <w:spacing w:after="0" w:line="276" w:lineRule="auto"/>
        <w:jc w:val="both"/>
        <w:rPr>
          <w:rFonts w:ascii="Verdana" w:eastAsia="Century Gothic" w:hAnsi="Verdana" w:cs="Century Gothic"/>
        </w:rPr>
      </w:pPr>
      <w:r w:rsidRPr="00960F72">
        <w:rPr>
          <w:rFonts w:ascii="Verdana" w:eastAsia="Century Gothic" w:hAnsi="Verdana" w:cs="Century Gothic"/>
        </w:rPr>
        <w:t>De acuerdo con el contenido de su solicitud, esta Agencia resolverá el siguiente problema jurídico</w:t>
      </w:r>
      <w:r>
        <w:rPr>
          <w:rFonts w:ascii="Verdana" w:eastAsia="Century Gothic" w:hAnsi="Verdana" w:cs="Century Gothic"/>
        </w:rPr>
        <w:t xml:space="preserve">: </w:t>
      </w:r>
      <w:r w:rsidRPr="00D644AF">
        <w:rPr>
          <w:rFonts w:ascii="Verdana" w:eastAsia="Century Gothic" w:hAnsi="Verdana" w:cs="Century Gothic"/>
        </w:rPr>
        <w:t>¿</w:t>
      </w:r>
      <w:r w:rsidRPr="004A4F18">
        <w:rPr>
          <w:rFonts w:ascii="Verdana" w:eastAsia="Century Gothic" w:hAnsi="Verdana" w:cs="Century Gothic"/>
        </w:rPr>
        <w:t>La</w:t>
      </w:r>
      <w:r>
        <w:rPr>
          <w:rFonts w:ascii="Verdana" w:eastAsia="Century Gothic" w:hAnsi="Verdana" w:cs="Century Gothic"/>
        </w:rPr>
        <w:t>s</w:t>
      </w:r>
      <w:r w:rsidRPr="00382CF7">
        <w:rPr>
          <w:rFonts w:ascii="Verdana" w:eastAsia="Century Gothic" w:hAnsi="Verdana" w:cs="Century Gothic"/>
        </w:rPr>
        <w:t xml:space="preserve"> restricci</w:t>
      </w:r>
      <w:r>
        <w:rPr>
          <w:rFonts w:ascii="Verdana" w:eastAsia="Century Gothic" w:hAnsi="Verdana" w:cs="Century Gothic"/>
        </w:rPr>
        <w:t>o</w:t>
      </w:r>
      <w:r w:rsidRPr="00382CF7">
        <w:rPr>
          <w:rFonts w:ascii="Verdana" w:eastAsia="Century Gothic" w:hAnsi="Verdana" w:cs="Century Gothic"/>
        </w:rPr>
        <w:t>n</w:t>
      </w:r>
      <w:r>
        <w:rPr>
          <w:rFonts w:ascii="Verdana" w:eastAsia="Century Gothic" w:hAnsi="Verdana" w:cs="Century Gothic"/>
        </w:rPr>
        <w:t>es</w:t>
      </w:r>
      <w:r w:rsidRPr="00382CF7">
        <w:rPr>
          <w:rFonts w:ascii="Verdana" w:eastAsia="Century Gothic" w:hAnsi="Verdana" w:cs="Century Gothic"/>
        </w:rPr>
        <w:t xml:space="preserve"> </w:t>
      </w:r>
      <w:r>
        <w:rPr>
          <w:rFonts w:ascii="Verdana" w:eastAsia="Century Gothic" w:hAnsi="Verdana" w:cs="Century Gothic"/>
        </w:rPr>
        <w:t>contenidas en los artículos 33 y</w:t>
      </w:r>
      <w:r w:rsidRPr="00D644AF">
        <w:rPr>
          <w:rFonts w:ascii="Verdana" w:eastAsia="Century Gothic" w:hAnsi="Verdana" w:cs="Century Gothic"/>
        </w:rPr>
        <w:t xml:space="preserve"> artículo 38 </w:t>
      </w:r>
      <w:r>
        <w:rPr>
          <w:rFonts w:ascii="Verdana" w:eastAsia="Century Gothic" w:hAnsi="Verdana" w:cs="Century Gothic"/>
        </w:rPr>
        <w:t>– parágrafo –</w:t>
      </w:r>
      <w:r w:rsidRPr="00382CF7">
        <w:rPr>
          <w:rFonts w:ascii="Verdana" w:eastAsia="Century Gothic" w:hAnsi="Verdana" w:cs="Century Gothic"/>
        </w:rPr>
        <w:t xml:space="preserve"> </w:t>
      </w:r>
      <w:r w:rsidRPr="00D644AF">
        <w:rPr>
          <w:rFonts w:ascii="Verdana" w:eastAsia="Century Gothic" w:hAnsi="Verdana" w:cs="Century Gothic"/>
        </w:rPr>
        <w:t xml:space="preserve">de la Ley 996 de 2005 </w:t>
      </w:r>
      <w:r>
        <w:rPr>
          <w:rFonts w:ascii="Verdana" w:eastAsia="Century Gothic" w:hAnsi="Verdana" w:cs="Century Gothic"/>
        </w:rPr>
        <w:t>son aplicables a</w:t>
      </w:r>
      <w:r w:rsidRPr="00D644AF">
        <w:rPr>
          <w:rFonts w:ascii="Verdana" w:eastAsia="Century Gothic" w:hAnsi="Verdana" w:cs="Century Gothic"/>
        </w:rPr>
        <w:t xml:space="preserve"> </w:t>
      </w:r>
      <w:r>
        <w:rPr>
          <w:rFonts w:ascii="Verdana" w:eastAsia="Century Gothic" w:hAnsi="Verdana" w:cs="Century Gothic"/>
        </w:rPr>
        <w:t>los procedimientos competitivos</w:t>
      </w:r>
      <w:r w:rsidRPr="00D644AF">
        <w:rPr>
          <w:rFonts w:ascii="Verdana" w:eastAsia="Century Gothic" w:hAnsi="Verdana" w:cs="Century Gothic"/>
        </w:rPr>
        <w:t xml:space="preserve"> de </w:t>
      </w:r>
      <w:r w:rsidRPr="00382CF7">
        <w:rPr>
          <w:rFonts w:ascii="Verdana" w:eastAsia="Century Gothic" w:hAnsi="Verdana" w:cs="Century Gothic"/>
        </w:rPr>
        <w:t xml:space="preserve">que trata el </w:t>
      </w:r>
      <w:r>
        <w:rPr>
          <w:rFonts w:ascii="Verdana" w:eastAsia="Century Gothic" w:hAnsi="Verdana" w:cs="Century Gothic"/>
        </w:rPr>
        <w:t>Decreto 092 de 2017</w:t>
      </w:r>
      <w:r w:rsidRPr="00D644AF">
        <w:rPr>
          <w:rFonts w:ascii="Verdana" w:eastAsia="Century Gothic" w:hAnsi="Verdana" w:cs="Century Gothic"/>
        </w:rPr>
        <w:t>?</w:t>
      </w:r>
    </w:p>
    <w:p w14:paraId="3B770A3F" w14:textId="77777777" w:rsidR="00890E1B" w:rsidRPr="00960F72" w:rsidRDefault="00890E1B" w:rsidP="00890E1B">
      <w:pPr>
        <w:spacing w:after="0" w:line="276" w:lineRule="auto"/>
        <w:jc w:val="both"/>
        <w:rPr>
          <w:rFonts w:ascii="Verdana" w:eastAsia="Century Gothic" w:hAnsi="Verdana" w:cs="Century Gothic"/>
        </w:rPr>
      </w:pPr>
    </w:p>
    <w:p w14:paraId="60D0D6B2" w14:textId="77777777" w:rsidR="00890E1B" w:rsidRPr="00E3405D" w:rsidRDefault="00890E1B" w:rsidP="00890E1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960F72">
        <w:rPr>
          <w:rFonts w:ascii="Verdana" w:eastAsia="Century Gothic" w:hAnsi="Verdana" w:cs="Century Gothic"/>
          <w:b/>
          <w:bCs/>
          <w:lang w:val="es-CO"/>
        </w:rPr>
        <w:t>Respuesta</w:t>
      </w:r>
      <w:r>
        <w:rPr>
          <w:rFonts w:ascii="Verdana" w:eastAsia="Century Gothic" w:hAnsi="Verdana" w:cs="Century Gothic"/>
          <w:b/>
          <w:bCs/>
          <w:lang w:val="es-CO"/>
        </w:rPr>
        <w:t xml:space="preserve">: </w:t>
      </w:r>
    </w:p>
    <w:p w14:paraId="46C95344" w14:textId="77777777" w:rsidR="00890E1B" w:rsidRPr="00E3405D" w:rsidRDefault="00890E1B" w:rsidP="00890E1B">
      <w:pPr>
        <w:pStyle w:val="Prrafodelista"/>
        <w:tabs>
          <w:tab w:val="left" w:pos="142"/>
          <w:tab w:val="left" w:pos="284"/>
        </w:tabs>
        <w:spacing w:after="0" w:line="276" w:lineRule="auto"/>
        <w:ind w:left="0"/>
        <w:contextualSpacing w:val="0"/>
        <w:jc w:val="both"/>
        <w:rPr>
          <w:rFonts w:ascii="Verdana" w:eastAsia="Century Gothic" w:hAnsi="Verdana" w:cs="Century Gothic"/>
          <w:b/>
          <w:bCs/>
          <w:lang w:val="es-CO"/>
        </w:rPr>
      </w:pPr>
    </w:p>
    <w:tbl>
      <w:tblPr>
        <w:tblStyle w:val="Tablaconcuadrcula"/>
        <w:tblW w:w="8931" w:type="dxa"/>
        <w:tblInd w:w="-5"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931"/>
      </w:tblGrid>
      <w:tr w:rsidR="00890E1B" w:rsidRPr="00960F72" w14:paraId="01AD1212" w14:textId="77777777" w:rsidTr="000E0B41">
        <w:tc>
          <w:tcPr>
            <w:tcW w:w="8931" w:type="dxa"/>
          </w:tcPr>
          <w:p w14:paraId="348C210F" w14:textId="77777777" w:rsidR="00890E1B" w:rsidRDefault="00890E1B" w:rsidP="000E0B41">
            <w:pPr>
              <w:spacing w:after="120" w:line="276" w:lineRule="auto"/>
              <w:jc w:val="both"/>
              <w:rPr>
                <w:rFonts w:ascii="Verdana" w:eastAsia="Times New Roman" w:hAnsi="Verdana" w:cs="Arial"/>
                <w:bCs/>
                <w:lang w:eastAsia="es-CO"/>
              </w:rPr>
            </w:pPr>
            <w:r>
              <w:rPr>
                <w:rFonts w:ascii="Verdana" w:eastAsia="Times New Roman" w:hAnsi="Verdana" w:cs="Arial"/>
                <w:bCs/>
                <w:lang w:eastAsia="es-CO"/>
              </w:rPr>
              <w:lastRenderedPageBreak/>
              <w:t xml:space="preserve">En respuesta al objeto de la consulta se debe advertir que ni la prohibición del artículo 33 de la Ley 996 de 2005, ni la consagrada en el parágrafo del artículo 38, son aplicables a los procedimientos competitivos que se adelanten en desarrollo de lo dispuesto en el Decreto 092 de 2017. Debido a esto, es posible afirmar que, en los periodos prelectorales durante los que rigen tales restricciones, las entidades estatales a las que se refiere dicha reglamentación pueden adelantar con normalidad procesos competitivos para la contratación u asociación con entidades privadas sin ánimo de lucro, garantizando selección objetiva y pluralidad de oferentes. </w:t>
            </w:r>
          </w:p>
          <w:p w14:paraId="7EDD0F9E" w14:textId="77777777" w:rsidR="00890E1B" w:rsidRPr="004513DD" w:rsidRDefault="00890E1B" w:rsidP="000E0B41">
            <w:pPr>
              <w:spacing w:after="120" w:line="276" w:lineRule="auto"/>
              <w:ind w:firstLine="709"/>
              <w:jc w:val="both"/>
              <w:rPr>
                <w:rFonts w:ascii="Verdana" w:eastAsia="Times New Roman" w:hAnsi="Verdana" w:cs="Arial"/>
                <w:lang w:val="es-MX" w:eastAsia="es-CO"/>
              </w:rPr>
            </w:pPr>
            <w:r>
              <w:rPr>
                <w:rFonts w:ascii="Verdana" w:eastAsia="Times New Roman" w:hAnsi="Verdana" w:cs="Arial"/>
                <w:bCs/>
                <w:lang w:eastAsia="es-CO"/>
              </w:rPr>
              <w:t xml:space="preserve">Lo anterior comoquiera que, la restricción del artículo 33 se </w:t>
            </w:r>
            <w:r>
              <w:rPr>
                <w:rFonts w:ascii="Verdana" w:eastAsia="Times New Roman" w:hAnsi="Verdana" w:cs="Arial"/>
                <w:lang w:val="es-MX" w:eastAsia="x-none"/>
              </w:rPr>
              <w:t xml:space="preserve">aplica únicamente a la </w:t>
            </w:r>
            <w:r w:rsidRPr="00095A2F">
              <w:rPr>
                <w:rFonts w:ascii="Verdana" w:eastAsia="Calibri" w:hAnsi="Verdana" w:cs="Arial"/>
                <w:i/>
                <w:lang w:val="es-MX"/>
              </w:rPr>
              <w:t>“</w:t>
            </w:r>
            <w:r w:rsidRPr="00095A2F">
              <w:rPr>
                <w:rFonts w:ascii="Verdana" w:eastAsia="Times New Roman" w:hAnsi="Verdana" w:cs="Arial"/>
                <w:i/>
                <w:lang w:val="es-MX" w:eastAsia="x-none"/>
              </w:rPr>
              <w:t>contratación directa</w:t>
            </w:r>
            <w:r w:rsidRPr="00095A2F">
              <w:rPr>
                <w:rFonts w:ascii="Verdana" w:eastAsia="Calibri" w:hAnsi="Verdana" w:cs="Arial"/>
                <w:i/>
                <w:lang w:val="es-MX"/>
              </w:rPr>
              <w:t>”,</w:t>
            </w:r>
            <w:r w:rsidRPr="003F4079">
              <w:rPr>
                <w:rFonts w:ascii="Verdana" w:eastAsia="Calibri" w:hAnsi="Verdana" w:cs="Arial"/>
                <w:lang w:val="es-MX"/>
              </w:rPr>
              <w:t xml:space="preserve"> </w:t>
            </w:r>
            <w:r>
              <w:rPr>
                <w:rFonts w:ascii="Verdana" w:eastAsia="Calibri" w:hAnsi="Verdana" w:cs="Arial"/>
                <w:lang w:val="es-MX"/>
              </w:rPr>
              <w:t>la cual</w:t>
            </w:r>
            <w:r w:rsidRPr="003F4079">
              <w:rPr>
                <w:rFonts w:ascii="Verdana" w:eastAsia="Calibri" w:hAnsi="Verdana" w:cs="Arial"/>
                <w:lang w:val="es-MX"/>
              </w:rPr>
              <w:t xml:space="preserve"> </w:t>
            </w:r>
            <w:r w:rsidRPr="003F4079">
              <w:rPr>
                <w:rFonts w:ascii="Verdana" w:eastAsia="Times New Roman" w:hAnsi="Verdana" w:cs="Arial"/>
                <w:lang w:eastAsia="x-none"/>
              </w:rPr>
              <w:t>se refiere a</w:t>
            </w:r>
            <w:r w:rsidRPr="00095A2F">
              <w:rPr>
                <w:rFonts w:ascii="Verdana" w:eastAsia="Times New Roman" w:hAnsi="Verdana" w:cs="Arial"/>
                <w:i/>
                <w:lang w:eastAsia="x-none"/>
              </w:rPr>
              <w:t xml:space="preserve"> </w:t>
            </w:r>
            <w:r w:rsidRPr="00095A2F">
              <w:rPr>
                <w:rFonts w:ascii="Verdana" w:eastAsia="Times New Roman" w:hAnsi="Verdana" w:cs="Arial"/>
                <w:i/>
                <w:lang w:eastAsia="en-GB"/>
              </w:rPr>
              <w:t>“</w:t>
            </w:r>
            <w:r w:rsidRPr="00095A2F">
              <w:rPr>
                <w:rFonts w:ascii="Verdana" w:eastAsia="Times New Roman" w:hAnsi="Verdana" w:cs="Arial"/>
                <w:i/>
                <w:lang w:eastAsia="x-none"/>
              </w:rPr>
              <w:t>cualquier sistema que no implique convocatoria pública y posibilidad de pluralidad de oferentes</w:t>
            </w:r>
            <w:r w:rsidRPr="00095A2F">
              <w:rPr>
                <w:rFonts w:ascii="Verdana" w:eastAsia="Times New Roman" w:hAnsi="Verdana" w:cs="Arial"/>
                <w:i/>
                <w:lang w:eastAsia="en-GB"/>
              </w:rPr>
              <w:t>”</w:t>
            </w:r>
            <w:r w:rsidRPr="003F4079">
              <w:rPr>
                <w:rFonts w:ascii="Verdana" w:eastAsia="Times New Roman" w:hAnsi="Verdana" w:cs="Arial"/>
                <w:lang w:eastAsia="x-none"/>
              </w:rPr>
              <w:t xml:space="preserve">, </w:t>
            </w:r>
            <w:r>
              <w:rPr>
                <w:rFonts w:ascii="Verdana" w:eastAsia="Times New Roman" w:hAnsi="Verdana" w:cs="Arial"/>
                <w:lang w:eastAsia="x-none"/>
              </w:rPr>
              <w:t xml:space="preserve">definición </w:t>
            </w:r>
            <w:r w:rsidRPr="003F4079">
              <w:rPr>
                <w:rFonts w:ascii="Verdana" w:eastAsia="Times New Roman" w:hAnsi="Verdana" w:cs="Arial"/>
                <w:lang w:eastAsia="x-none"/>
              </w:rPr>
              <w:t>que excluye las</w:t>
            </w:r>
            <w:r>
              <w:rPr>
                <w:rFonts w:ascii="Verdana" w:eastAsia="Times New Roman" w:hAnsi="Verdana" w:cs="Arial"/>
                <w:lang w:eastAsia="x-none"/>
              </w:rPr>
              <w:t xml:space="preserve"> tanto a las</w:t>
            </w:r>
            <w:r w:rsidRPr="003F4079">
              <w:rPr>
                <w:rFonts w:ascii="Verdana" w:eastAsia="Times New Roman" w:hAnsi="Verdana" w:cs="Arial"/>
                <w:lang w:eastAsia="x-none"/>
              </w:rPr>
              <w:t xml:space="preserve"> modalidades de </w:t>
            </w:r>
            <w:r>
              <w:rPr>
                <w:rFonts w:ascii="Verdana" w:eastAsia="Times New Roman" w:hAnsi="Verdana" w:cs="Arial"/>
                <w:lang w:eastAsia="x-none"/>
              </w:rPr>
              <w:t>selección competitivas</w:t>
            </w:r>
            <w:r w:rsidRPr="003F4079">
              <w:rPr>
                <w:rFonts w:ascii="Verdana" w:eastAsia="Times New Roman" w:hAnsi="Verdana" w:cs="Arial"/>
                <w:lang w:eastAsia="x-none"/>
              </w:rPr>
              <w:t xml:space="preserve"> previstas en </w:t>
            </w:r>
            <w:r>
              <w:rPr>
                <w:rFonts w:ascii="Verdana" w:eastAsia="Times New Roman" w:hAnsi="Verdana" w:cs="Arial"/>
                <w:lang w:eastAsia="x-none"/>
              </w:rPr>
              <w:t>el artículo 2 de la</w:t>
            </w:r>
            <w:r w:rsidRPr="003F4079">
              <w:rPr>
                <w:rFonts w:ascii="Verdana" w:eastAsia="Times New Roman" w:hAnsi="Verdana" w:cs="Arial"/>
                <w:lang w:eastAsia="x-none"/>
              </w:rPr>
              <w:t xml:space="preserve"> Ley 1150 de 2007, es decir, la licitación pública, la selección abreviada</w:t>
            </w:r>
            <w:r>
              <w:rPr>
                <w:rFonts w:ascii="Verdana" w:eastAsia="Times New Roman" w:hAnsi="Verdana" w:cs="Arial"/>
                <w:lang w:eastAsia="x-none"/>
              </w:rPr>
              <w:t xml:space="preserve">, </w:t>
            </w:r>
            <w:r w:rsidRPr="003F4079">
              <w:rPr>
                <w:rFonts w:ascii="Verdana" w:eastAsia="Times New Roman" w:hAnsi="Verdana" w:cs="Arial"/>
                <w:lang w:eastAsia="x-none"/>
              </w:rPr>
              <w:t xml:space="preserve">el concurso de méritos </w:t>
            </w:r>
            <w:r>
              <w:rPr>
                <w:rFonts w:ascii="Verdana" w:eastAsia="Times New Roman" w:hAnsi="Verdana" w:cs="Arial"/>
                <w:lang w:eastAsia="x-none"/>
              </w:rPr>
              <w:t>y la mínima cuantía, así como a los procesos con pluralidad de oferentes contemplados en normas</w:t>
            </w:r>
            <w:r w:rsidRPr="003F4079">
              <w:rPr>
                <w:rFonts w:ascii="Verdana" w:eastAsia="Times New Roman" w:hAnsi="Verdana" w:cs="Arial"/>
                <w:lang w:eastAsia="x-none"/>
              </w:rPr>
              <w:t xml:space="preserve"> especiales</w:t>
            </w:r>
            <w:r>
              <w:rPr>
                <w:rFonts w:ascii="Verdana" w:eastAsia="Times New Roman" w:hAnsi="Verdana" w:cs="Arial"/>
                <w:lang w:eastAsia="x-none"/>
              </w:rPr>
              <w:t>, como, por ejemplo, los artículos 4 y 5 del Decreto 092 de 2017. Tampoco resulta aplicable la prohibición prevista en el</w:t>
            </w:r>
            <w:r w:rsidRPr="00AA31F3">
              <w:rPr>
                <w:rFonts w:ascii="Verdana" w:hAnsi="Verdana" w:cs="Arial"/>
                <w:lang w:val="es-ES"/>
              </w:rPr>
              <w:t xml:space="preserve"> parágrafo </w:t>
            </w:r>
            <w:r w:rsidRPr="00AA31F3">
              <w:rPr>
                <w:rFonts w:ascii="Verdana" w:eastAsia="Times New Roman" w:hAnsi="Verdana" w:cs="Arial"/>
                <w:lang w:eastAsia="es-CO"/>
              </w:rPr>
              <w:t xml:space="preserve">del artículo 38, </w:t>
            </w:r>
            <w:r>
              <w:rPr>
                <w:rFonts w:ascii="Verdana" w:eastAsia="Times New Roman" w:hAnsi="Verdana" w:cs="Arial"/>
                <w:lang w:eastAsia="es-CO"/>
              </w:rPr>
              <w:t>en la medida</w:t>
            </w:r>
            <w:r w:rsidRPr="00AA31F3">
              <w:rPr>
                <w:rFonts w:ascii="Verdana" w:eastAsia="Times New Roman" w:hAnsi="Verdana" w:cs="Arial"/>
                <w:lang w:eastAsia="es-CO"/>
              </w:rPr>
              <w:t xml:space="preserve"> que, </w:t>
            </w:r>
            <w:r>
              <w:rPr>
                <w:rFonts w:ascii="Verdana" w:eastAsia="Times New Roman" w:hAnsi="Verdana" w:cs="Arial"/>
                <w:lang w:eastAsia="es-CO"/>
              </w:rPr>
              <w:t xml:space="preserve">lo que </w:t>
            </w:r>
            <w:r w:rsidRPr="00AA31F3">
              <w:rPr>
                <w:rFonts w:ascii="Verdana" w:eastAsia="Times New Roman" w:hAnsi="Verdana" w:cs="Arial"/>
                <w:lang w:eastAsia="es-CO"/>
              </w:rPr>
              <w:t>est</w:t>
            </w:r>
            <w:r>
              <w:rPr>
                <w:rFonts w:ascii="Verdana" w:eastAsia="Times New Roman" w:hAnsi="Verdana" w:cs="Arial"/>
                <w:lang w:eastAsia="es-CO"/>
              </w:rPr>
              <w:t>a</w:t>
            </w:r>
            <w:r w:rsidRPr="00AA31F3">
              <w:rPr>
                <w:rFonts w:ascii="Verdana" w:eastAsia="Times New Roman" w:hAnsi="Verdana" w:cs="Arial"/>
                <w:lang w:eastAsia="es-CO"/>
              </w:rPr>
              <w:t xml:space="preserve"> </w:t>
            </w:r>
            <w:r>
              <w:rPr>
                <w:rFonts w:ascii="Verdana" w:eastAsia="Times New Roman" w:hAnsi="Verdana" w:cs="Arial"/>
                <w:lang w:eastAsia="es-CO"/>
              </w:rPr>
              <w:t>proscribe es que</w:t>
            </w:r>
            <w:r w:rsidRPr="00AA31F3">
              <w:rPr>
                <w:rFonts w:ascii="Verdana" w:eastAsia="Times New Roman" w:hAnsi="Verdana" w:cs="Arial"/>
                <w:lang w:eastAsia="es-CO"/>
              </w:rPr>
              <w:t xml:space="preserve"> los Alcaldes, Gobernadores, Secretarios, Gerentes y Directores de las entidades del orden municipal, departamental o distrital celebr</w:t>
            </w:r>
            <w:r>
              <w:rPr>
                <w:rFonts w:ascii="Verdana" w:eastAsia="Times New Roman" w:hAnsi="Verdana" w:cs="Arial"/>
                <w:lang w:eastAsia="es-CO"/>
              </w:rPr>
              <w:t>en</w:t>
            </w:r>
            <w:r w:rsidRPr="00AA31F3">
              <w:rPr>
                <w:rFonts w:ascii="Verdana" w:eastAsia="Times New Roman" w:hAnsi="Verdana" w:cs="Arial"/>
                <w:lang w:eastAsia="es-CO"/>
              </w:rPr>
              <w:t xml:space="preserve"> </w:t>
            </w:r>
            <w:r w:rsidRPr="00AA31F3">
              <w:rPr>
                <w:rFonts w:ascii="Verdana" w:eastAsia="Times New Roman" w:hAnsi="Verdana" w:cs="Arial"/>
                <w:i/>
                <w:iCs/>
                <w:lang w:eastAsia="es-CO"/>
              </w:rPr>
              <w:t>convenios interadministrativos</w:t>
            </w:r>
            <w:r w:rsidRPr="00AA31F3">
              <w:rPr>
                <w:rFonts w:ascii="Verdana" w:eastAsia="Times New Roman" w:hAnsi="Verdana" w:cs="Arial"/>
                <w:lang w:eastAsia="es-CO"/>
              </w:rPr>
              <w:t xml:space="preserve"> </w:t>
            </w:r>
            <w:r w:rsidRPr="00AA31F3">
              <w:rPr>
                <w:rFonts w:ascii="Verdana" w:eastAsia="Times New Roman" w:hAnsi="Verdana" w:cs="Arial"/>
                <w:i/>
                <w:iCs/>
                <w:lang w:eastAsia="es-CO"/>
              </w:rPr>
              <w:t>para la ejecución de recursos públicos</w:t>
            </w:r>
            <w:r>
              <w:rPr>
                <w:rFonts w:ascii="Verdana" w:eastAsia="Times New Roman" w:hAnsi="Verdana" w:cs="Arial"/>
                <w:i/>
                <w:iCs/>
                <w:lang w:eastAsia="es-CO"/>
              </w:rPr>
              <w:t xml:space="preserve"> </w:t>
            </w:r>
            <w:r>
              <w:rPr>
                <w:rFonts w:ascii="Verdana" w:eastAsia="Times New Roman" w:hAnsi="Verdana" w:cs="Arial"/>
                <w:lang w:eastAsia="es-CO"/>
              </w:rPr>
              <w:t xml:space="preserve">durante el periodo prelectoral, supuesto de hecho que no se configura respecto de la contratación  a la que se refieren los artículos 355 superior y 96 de la Ley 489 de 1998, reglamentada por el Decreto 092 de 2017, en la medida en que, en los negocios jurídicos que regula dicha normativa, uno de los extremos de la relación es una entidad sin ánimo de lucro de naturaleza </w:t>
            </w:r>
            <w:r w:rsidRPr="00AE18AA">
              <w:rPr>
                <w:rFonts w:ascii="Verdana" w:eastAsia="Times New Roman" w:hAnsi="Verdana" w:cs="Arial"/>
                <w:i/>
                <w:iCs/>
                <w:lang w:eastAsia="es-CO"/>
              </w:rPr>
              <w:t>privada</w:t>
            </w:r>
            <w:r>
              <w:rPr>
                <w:rFonts w:ascii="Verdana" w:eastAsia="Times New Roman" w:hAnsi="Verdana" w:cs="Arial"/>
                <w:lang w:eastAsia="es-CO"/>
              </w:rPr>
              <w:t xml:space="preserve">, lo que significa que no son </w:t>
            </w:r>
            <w:r w:rsidRPr="00AE18AA">
              <w:rPr>
                <w:rFonts w:ascii="Verdana" w:eastAsia="Times New Roman" w:hAnsi="Verdana" w:cs="Arial"/>
                <w:i/>
                <w:iCs/>
                <w:lang w:eastAsia="es-CO"/>
              </w:rPr>
              <w:t>convenios interadministrativos</w:t>
            </w:r>
            <w:r>
              <w:rPr>
                <w:rFonts w:ascii="Verdana" w:eastAsia="Times New Roman" w:hAnsi="Verdana" w:cs="Arial"/>
                <w:lang w:eastAsia="es-CO"/>
              </w:rPr>
              <w:t xml:space="preserve">.  </w:t>
            </w:r>
            <w:r>
              <w:rPr>
                <w:rFonts w:ascii="Verdana" w:eastAsia="Times New Roman" w:hAnsi="Verdana" w:cs="Arial"/>
                <w:lang w:val="es-MX" w:eastAsia="es-CO"/>
              </w:rPr>
              <w:t xml:space="preserve"> </w:t>
            </w:r>
          </w:p>
        </w:tc>
      </w:tr>
    </w:tbl>
    <w:p w14:paraId="679ADEC7" w14:textId="77777777" w:rsidR="00890E1B" w:rsidRDefault="00890E1B" w:rsidP="00890E1B">
      <w:pPr>
        <w:tabs>
          <w:tab w:val="left" w:pos="142"/>
          <w:tab w:val="left" w:pos="284"/>
        </w:tabs>
        <w:spacing w:after="0" w:line="276" w:lineRule="auto"/>
        <w:jc w:val="both"/>
        <w:rPr>
          <w:rFonts w:ascii="Verdana" w:eastAsia="Century Gothic" w:hAnsi="Verdana" w:cs="Century Gothic"/>
          <w:b/>
          <w:bCs/>
        </w:rPr>
      </w:pPr>
    </w:p>
    <w:p w14:paraId="3B6178DF" w14:textId="77777777" w:rsidR="00890E1B" w:rsidRDefault="00890E1B" w:rsidP="00890E1B">
      <w:pPr>
        <w:tabs>
          <w:tab w:val="left" w:pos="142"/>
          <w:tab w:val="left" w:pos="284"/>
        </w:tabs>
        <w:spacing w:after="0" w:line="276" w:lineRule="auto"/>
        <w:jc w:val="both"/>
        <w:rPr>
          <w:rFonts w:ascii="Verdana" w:eastAsia="Century Gothic" w:hAnsi="Verdana" w:cs="Century Gothic"/>
          <w:b/>
          <w:bCs/>
        </w:rPr>
      </w:pPr>
    </w:p>
    <w:p w14:paraId="2566E82B" w14:textId="77777777" w:rsidR="00890E1B" w:rsidRPr="00960F72" w:rsidRDefault="00890E1B" w:rsidP="00890E1B">
      <w:pPr>
        <w:tabs>
          <w:tab w:val="left" w:pos="142"/>
          <w:tab w:val="left" w:pos="284"/>
        </w:tabs>
        <w:spacing w:after="0" w:line="276" w:lineRule="auto"/>
        <w:jc w:val="both"/>
        <w:rPr>
          <w:rFonts w:ascii="Verdana" w:eastAsia="Century Gothic" w:hAnsi="Verdana" w:cs="Century Gothic"/>
          <w:b/>
          <w:bCs/>
        </w:rPr>
      </w:pPr>
    </w:p>
    <w:p w14:paraId="77E57556" w14:textId="77777777" w:rsidR="00890E1B" w:rsidRDefault="00890E1B" w:rsidP="00890E1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960F72">
        <w:rPr>
          <w:rFonts w:ascii="Verdana" w:eastAsia="Century Gothic" w:hAnsi="Verdana" w:cs="Century Gothic"/>
          <w:b/>
          <w:bCs/>
          <w:lang w:val="es-CO"/>
        </w:rPr>
        <w:t>Razones de la respuesta:</w:t>
      </w:r>
    </w:p>
    <w:p w14:paraId="38D35B87" w14:textId="77777777" w:rsidR="00890E1B" w:rsidRDefault="00890E1B" w:rsidP="00890E1B">
      <w:pPr>
        <w:pStyle w:val="Prrafodelista"/>
        <w:tabs>
          <w:tab w:val="left" w:pos="142"/>
          <w:tab w:val="left" w:pos="284"/>
        </w:tabs>
        <w:spacing w:after="0" w:line="276" w:lineRule="auto"/>
        <w:ind w:left="0"/>
        <w:contextualSpacing w:val="0"/>
        <w:jc w:val="both"/>
        <w:rPr>
          <w:rFonts w:ascii="Verdana" w:eastAsia="Century Gothic" w:hAnsi="Verdana" w:cs="Century Gothic"/>
          <w:b/>
          <w:bCs/>
          <w:lang w:val="es-CO"/>
        </w:rPr>
      </w:pPr>
    </w:p>
    <w:p w14:paraId="1F6B2A7A" w14:textId="77777777" w:rsidR="00890E1B" w:rsidRDefault="00890E1B" w:rsidP="00890E1B">
      <w:pPr>
        <w:spacing w:after="0" w:line="276" w:lineRule="auto"/>
        <w:jc w:val="both"/>
        <w:rPr>
          <w:rFonts w:ascii="Verdana" w:eastAsia="Calibri" w:hAnsi="Verdana" w:cs="Arial"/>
          <w:lang w:val="es-ES"/>
        </w:rPr>
      </w:pPr>
      <w:r w:rsidRPr="00045AE0">
        <w:rPr>
          <w:rFonts w:ascii="Verdana" w:eastAsia="Calibri" w:hAnsi="Verdana" w:cs="Arial"/>
          <w:lang w:val="es-ES"/>
        </w:rPr>
        <w:t xml:space="preserve">Lo anterior se sustenta en las siguientes consideraciones: </w:t>
      </w:r>
    </w:p>
    <w:p w14:paraId="6D495B64" w14:textId="77777777" w:rsidR="00890E1B" w:rsidRPr="004A4F18" w:rsidRDefault="00890E1B" w:rsidP="00890E1B">
      <w:pPr>
        <w:spacing w:after="0" w:line="276" w:lineRule="auto"/>
        <w:jc w:val="both"/>
        <w:rPr>
          <w:rFonts w:ascii="Verdana" w:eastAsia="Calibri" w:hAnsi="Verdana" w:cs="Arial"/>
          <w:lang w:val="es-ES"/>
        </w:rPr>
      </w:pPr>
    </w:p>
    <w:p w14:paraId="3243F9B3" w14:textId="77777777" w:rsidR="00890E1B" w:rsidRDefault="00890E1B" w:rsidP="00890E1B">
      <w:pPr>
        <w:tabs>
          <w:tab w:val="left" w:pos="426"/>
        </w:tabs>
        <w:spacing w:after="120" w:line="276" w:lineRule="auto"/>
        <w:jc w:val="both"/>
        <w:rPr>
          <w:rFonts w:ascii="Verdana" w:eastAsia="Calibri" w:hAnsi="Verdana" w:cs="Arial"/>
          <w:noProof/>
          <w:lang w:val="es-ES_tradnl"/>
        </w:rPr>
      </w:pPr>
      <w:r>
        <w:rPr>
          <w:rFonts w:ascii="Verdana" w:eastAsia="Times New Roman" w:hAnsi="Verdana" w:cs="Arial"/>
          <w:bCs/>
          <w:lang w:eastAsia="es-CO"/>
        </w:rPr>
        <w:lastRenderedPageBreak/>
        <w:t>i. La</w:t>
      </w:r>
      <w:r w:rsidRPr="003E638E">
        <w:rPr>
          <w:rFonts w:ascii="Verdana" w:eastAsia="Times New Roman" w:hAnsi="Verdana" w:cs="Arial"/>
          <w:bCs/>
          <w:lang w:eastAsia="es-CO"/>
        </w:rPr>
        <w:t xml:space="preserve"> Ley 996 de 2005, conocida como </w:t>
      </w:r>
      <w:r>
        <w:rPr>
          <w:rFonts w:ascii="Verdana" w:eastAsia="Times New Roman" w:hAnsi="Verdana" w:cs="Arial"/>
          <w:bCs/>
          <w:lang w:eastAsia="es-CO"/>
        </w:rPr>
        <w:t>“</w:t>
      </w:r>
      <w:r w:rsidRPr="003E638E">
        <w:rPr>
          <w:rFonts w:ascii="Verdana" w:eastAsia="Times New Roman" w:hAnsi="Verdana" w:cs="Arial"/>
          <w:bCs/>
          <w:lang w:eastAsia="es-CO"/>
        </w:rPr>
        <w:t>Ley de Garantías Electorales</w:t>
      </w:r>
      <w:r>
        <w:rPr>
          <w:rFonts w:ascii="Verdana" w:eastAsia="Times New Roman" w:hAnsi="Verdana" w:cs="Arial"/>
          <w:bCs/>
          <w:lang w:eastAsia="es-CO"/>
        </w:rPr>
        <w:t>”</w:t>
      </w:r>
      <w:r w:rsidRPr="003E638E">
        <w:rPr>
          <w:rFonts w:ascii="Verdana" w:eastAsia="Times New Roman" w:hAnsi="Verdana" w:cs="Arial"/>
          <w:bCs/>
          <w:lang w:eastAsia="es-CO"/>
        </w:rPr>
        <w:t xml:space="preserve">, </w:t>
      </w:r>
      <w:r>
        <w:rPr>
          <w:rFonts w:ascii="Verdana" w:eastAsia="Times New Roman" w:hAnsi="Verdana" w:cs="Arial"/>
          <w:bCs/>
          <w:lang w:eastAsia="es-CO"/>
        </w:rPr>
        <w:t xml:space="preserve">tiene como propósito </w:t>
      </w:r>
      <w:r w:rsidRPr="003E638E">
        <w:rPr>
          <w:rFonts w:ascii="Verdana" w:eastAsia="Times New Roman" w:hAnsi="Verdana" w:cs="Arial"/>
          <w:bCs/>
          <w:lang w:eastAsia="es-CO"/>
        </w:rPr>
        <w:t xml:space="preserve">evitar la injerencia inadecuada de intereses particulares en el ejercicio de la función pública. Esta ley </w:t>
      </w:r>
      <w:r>
        <w:rPr>
          <w:rFonts w:ascii="Verdana" w:eastAsia="Times New Roman" w:hAnsi="Verdana" w:cs="Arial"/>
          <w:bCs/>
          <w:lang w:eastAsia="es-CO"/>
        </w:rPr>
        <w:t>busca</w:t>
      </w:r>
      <w:r w:rsidRPr="003E638E">
        <w:rPr>
          <w:rFonts w:ascii="Verdana" w:eastAsia="Times New Roman" w:hAnsi="Verdana" w:cs="Arial"/>
          <w:bCs/>
          <w:lang w:eastAsia="es-CO"/>
        </w:rPr>
        <w:t xml:space="preserve"> evitar cualquier tipo de arbitrariedad, de ventaja injustificada, de uso irregular de los recursos del Estado en las campañas o falta de garantías en la elección presidencial</w:t>
      </w:r>
      <w:r w:rsidRPr="003E638E">
        <w:rPr>
          <w:rStyle w:val="Refdenotaalpie"/>
          <w:rFonts w:ascii="Verdana" w:eastAsia="Times New Roman" w:hAnsi="Verdana" w:cs="Arial"/>
          <w:bCs/>
          <w:lang w:eastAsia="es-CO"/>
        </w:rPr>
        <w:footnoteReference w:id="2"/>
      </w:r>
      <w:r w:rsidRPr="003E638E">
        <w:rPr>
          <w:rFonts w:ascii="Verdana" w:eastAsia="Times New Roman" w:hAnsi="Verdana" w:cs="Arial"/>
          <w:bCs/>
          <w:lang w:eastAsia="es-CO"/>
        </w:rPr>
        <w:t>. En esta medida, introduce limitaciones para realizar nombramientos, postulaciones, contrataciones o cualquier otro tipo de actividad que implique destinación de recursos públicos bajo el devenir propio de las entidades estatales.</w:t>
      </w:r>
      <w:r w:rsidRPr="003E638E">
        <w:rPr>
          <w:rFonts w:ascii="Verdana" w:eastAsia="Calibri" w:hAnsi="Verdana" w:cs="Arial"/>
          <w:noProof/>
          <w:lang w:val="es-ES_tradnl"/>
        </w:rPr>
        <w:t xml:space="preserve"> </w:t>
      </w:r>
    </w:p>
    <w:p w14:paraId="74CF10EE" w14:textId="77777777" w:rsidR="00890E1B" w:rsidRPr="003E638E" w:rsidRDefault="00890E1B" w:rsidP="00890E1B">
      <w:pPr>
        <w:tabs>
          <w:tab w:val="left" w:pos="426"/>
        </w:tabs>
        <w:spacing w:after="0" w:line="276" w:lineRule="auto"/>
        <w:ind w:firstLine="709"/>
        <w:jc w:val="both"/>
        <w:rPr>
          <w:rFonts w:ascii="Verdana" w:eastAsia="Times New Roman" w:hAnsi="Verdana" w:cs="Arial"/>
          <w:bCs/>
          <w:lang w:eastAsia="es-CO"/>
        </w:rPr>
      </w:pPr>
      <w:r w:rsidRPr="003E638E">
        <w:rPr>
          <w:rFonts w:ascii="Verdana" w:eastAsia="Times New Roman" w:hAnsi="Verdana" w:cs="Arial"/>
          <w:bCs/>
          <w:lang w:eastAsia="es-CO"/>
        </w:rPr>
        <w:t>En armonía con lo anterior, la Corte Constitucional ha abordado la definición de la Ley de Garantías Electorales. De esta manera, explica que tiene como propósito:</w:t>
      </w:r>
    </w:p>
    <w:p w14:paraId="46C9708C" w14:textId="77777777" w:rsidR="00890E1B" w:rsidRPr="004513DD" w:rsidRDefault="00890E1B" w:rsidP="00890E1B">
      <w:pPr>
        <w:spacing w:after="0" w:line="240" w:lineRule="auto"/>
        <w:ind w:right="709"/>
        <w:rPr>
          <w:rFonts w:ascii="Verdana" w:eastAsia="Times New Roman" w:hAnsi="Verdana" w:cs="Arial"/>
          <w:sz w:val="21"/>
          <w:szCs w:val="21"/>
          <w:lang w:val="es-ES" w:eastAsia="es-CO"/>
        </w:rPr>
      </w:pPr>
    </w:p>
    <w:p w14:paraId="38EF8EE4" w14:textId="77777777" w:rsidR="00890E1B" w:rsidRPr="003E638E" w:rsidRDefault="00890E1B" w:rsidP="00890E1B">
      <w:pPr>
        <w:spacing w:after="0" w:line="240" w:lineRule="auto"/>
        <w:ind w:left="709" w:right="709"/>
        <w:jc w:val="both"/>
        <w:rPr>
          <w:rFonts w:ascii="Verdana" w:eastAsia="Times New Roman" w:hAnsi="Verdana" w:cs="Arial"/>
          <w:bCs/>
          <w:sz w:val="20"/>
          <w:szCs w:val="20"/>
          <w:lang w:eastAsia="es-CO"/>
        </w:rPr>
      </w:pPr>
      <w:r>
        <w:rPr>
          <w:rFonts w:ascii="Verdana" w:eastAsia="Times New Roman" w:hAnsi="Verdana" w:cs="Arial"/>
          <w:sz w:val="20"/>
          <w:szCs w:val="20"/>
          <w:lang w:val="es-ES" w:eastAsia="es-CO"/>
        </w:rPr>
        <w:t>“(…)</w:t>
      </w:r>
      <w:r>
        <w:rPr>
          <w:rFonts w:ascii="Verdana" w:eastAsia="Times New Roman" w:hAnsi="Verdana" w:cs="Arial"/>
          <w:bCs/>
          <w:sz w:val="20"/>
          <w:szCs w:val="20"/>
          <w:lang w:val="es-ES" w:eastAsia="es-CO"/>
        </w:rPr>
        <w:t xml:space="preserve"> </w:t>
      </w:r>
      <w:r w:rsidRPr="003E638E">
        <w:rPr>
          <w:rFonts w:ascii="Verdana" w:eastAsia="Times New Roman" w:hAnsi="Verdana" w:cs="Arial"/>
          <w:bCs/>
          <w:sz w:val="20"/>
          <w:szCs w:val="20"/>
          <w:lang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Pr>
          <w:rFonts w:ascii="Verdana" w:eastAsia="Times New Roman" w:hAnsi="Verdana" w:cs="Arial"/>
          <w:bCs/>
          <w:sz w:val="20"/>
          <w:szCs w:val="20"/>
          <w:lang w:eastAsia="es-CO"/>
        </w:rPr>
        <w:t>”</w:t>
      </w:r>
      <w:r w:rsidRPr="003E638E">
        <w:rPr>
          <w:rFonts w:ascii="Verdana" w:eastAsia="Times New Roman" w:hAnsi="Verdana" w:cs="Arial"/>
          <w:bCs/>
          <w:sz w:val="20"/>
          <w:szCs w:val="20"/>
          <w:lang w:eastAsia="es-CO"/>
        </w:rPr>
        <w:t>.</w:t>
      </w:r>
      <w:r w:rsidRPr="003E638E">
        <w:rPr>
          <w:rStyle w:val="Refdenotaalpie"/>
          <w:rFonts w:ascii="Verdana" w:hAnsi="Verdana" w:cs="Arial"/>
          <w:sz w:val="20"/>
          <w:szCs w:val="20"/>
        </w:rPr>
        <w:footnoteReference w:id="3"/>
      </w:r>
    </w:p>
    <w:p w14:paraId="5949871C" w14:textId="77777777" w:rsidR="00890E1B" w:rsidRPr="003E638E" w:rsidRDefault="00890E1B" w:rsidP="00890E1B">
      <w:pPr>
        <w:spacing w:after="0"/>
        <w:ind w:left="709" w:right="709"/>
        <w:jc w:val="both"/>
        <w:rPr>
          <w:rFonts w:ascii="Verdana" w:eastAsia="Times New Roman" w:hAnsi="Verdana" w:cs="Arial"/>
          <w:bCs/>
          <w:sz w:val="21"/>
          <w:szCs w:val="21"/>
          <w:lang w:eastAsia="es-CO"/>
        </w:rPr>
      </w:pPr>
    </w:p>
    <w:p w14:paraId="74D1258B" w14:textId="77777777" w:rsidR="00890E1B" w:rsidRPr="004A4F18" w:rsidRDefault="00890E1B" w:rsidP="00890E1B">
      <w:pPr>
        <w:spacing w:after="120" w:line="276" w:lineRule="auto"/>
        <w:ind w:firstLine="709"/>
        <w:jc w:val="both"/>
        <w:rPr>
          <w:rFonts w:ascii="Verdana" w:eastAsia="Times New Roman" w:hAnsi="Verdana" w:cs="Arial"/>
          <w:bCs/>
          <w:lang w:eastAsia="es-CO"/>
        </w:rPr>
      </w:pPr>
      <w:bookmarkStart w:id="0" w:name="_Hlk78818186"/>
      <w:r w:rsidRPr="003E638E">
        <w:rPr>
          <w:rFonts w:ascii="Verdana" w:eastAsia="Times New Roman" w:hAnsi="Verdana" w:cs="Arial"/>
          <w:bCs/>
          <w:lang w:eastAsia="es-CO"/>
        </w:rPr>
        <w:t xml:space="preserve">En este contexto, la Ley de Garantías Electorales establece el marco jurídico para el desarrollo de las elecciones, procurando condiciones de igualdad y transparencia para los aspirantes y paralelamente se incluyen restricciones en el actuar de los servidores públicos, evitando interferencias en la contienda electoral, así como la posible desviación de recursos públicos en aspiraciones electorales. </w:t>
      </w:r>
      <w:bookmarkEnd w:id="0"/>
      <w:r w:rsidRPr="003E638E">
        <w:rPr>
          <w:rFonts w:ascii="Verdana" w:eastAsia="Times New Roman" w:hAnsi="Verdana" w:cs="Arial"/>
          <w:bCs/>
          <w:lang w:eastAsia="es-CO"/>
        </w:rPr>
        <w:t xml:space="preserve">Por ello, varias de las disposiciones de la Ley 996 de 2005, al contener normas prohibitivas, no admiten una interpretación amplia, sino que deben interpretarse restrictivamente. </w:t>
      </w:r>
    </w:p>
    <w:p w14:paraId="169A46AD" w14:textId="77777777" w:rsidR="00890E1B" w:rsidRPr="003E638E" w:rsidRDefault="00890E1B" w:rsidP="00890E1B">
      <w:pPr>
        <w:spacing w:after="0" w:line="276" w:lineRule="auto"/>
        <w:ind w:firstLine="709"/>
        <w:jc w:val="both"/>
        <w:rPr>
          <w:rFonts w:ascii="Verdana" w:eastAsia="Times New Roman" w:hAnsi="Verdana" w:cs="Arial"/>
          <w:bCs/>
          <w:lang w:eastAsia="es-CO"/>
        </w:rPr>
      </w:pPr>
      <w:r w:rsidRPr="003E638E">
        <w:rPr>
          <w:rFonts w:ascii="Verdana" w:eastAsia="Times New Roman" w:hAnsi="Verdana" w:cs="Arial"/>
          <w:bCs/>
          <w:lang w:eastAsia="es-CO"/>
        </w:rPr>
        <w:t>En efecto, la Sala de Consulta y Servicio Civil del Consejo de Estado al analizar la referida ley, precisó lo siguiente:</w:t>
      </w:r>
    </w:p>
    <w:p w14:paraId="37961405" w14:textId="77777777" w:rsidR="00890E1B" w:rsidRPr="003E638E" w:rsidRDefault="00890E1B" w:rsidP="00890E1B">
      <w:pPr>
        <w:spacing w:after="0"/>
        <w:ind w:firstLine="709"/>
        <w:jc w:val="both"/>
        <w:rPr>
          <w:rFonts w:ascii="Verdana" w:eastAsia="Times New Roman" w:hAnsi="Verdana" w:cs="Arial"/>
          <w:bCs/>
          <w:lang w:eastAsia="es-CO"/>
        </w:rPr>
      </w:pPr>
    </w:p>
    <w:p w14:paraId="138ACE00" w14:textId="77777777" w:rsidR="00890E1B" w:rsidRDefault="00890E1B" w:rsidP="00890E1B">
      <w:pPr>
        <w:spacing w:after="0" w:line="240" w:lineRule="auto"/>
        <w:ind w:left="709" w:right="709"/>
        <w:jc w:val="both"/>
        <w:rPr>
          <w:rFonts w:ascii="Verdana" w:eastAsia="Times New Roman" w:hAnsi="Verdana" w:cs="Arial"/>
          <w:bCs/>
          <w:sz w:val="20"/>
          <w:szCs w:val="20"/>
          <w:lang w:eastAsia="es-CO"/>
        </w:rPr>
      </w:pPr>
      <w:r>
        <w:rPr>
          <w:rFonts w:ascii="Verdana" w:eastAsia="Times New Roman" w:hAnsi="Verdana" w:cs="Arial"/>
          <w:bCs/>
          <w:sz w:val="20"/>
          <w:szCs w:val="20"/>
          <w:lang w:eastAsia="es-CO"/>
        </w:rPr>
        <w:lastRenderedPageBreak/>
        <w:t xml:space="preserve">“(…) </w:t>
      </w:r>
      <w:r w:rsidRPr="003E638E">
        <w:rPr>
          <w:rFonts w:ascii="Verdana" w:eastAsia="Times New Roman" w:hAnsi="Verdana" w:cs="Arial"/>
          <w:bCs/>
          <w:sz w:val="20"/>
          <w:szCs w:val="20"/>
          <w:lang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3E638E">
        <w:rPr>
          <w:rFonts w:ascii="Verdana" w:eastAsia="Times New Roman" w:hAnsi="Verdana" w:cs="Arial"/>
          <w:bCs/>
          <w:sz w:val="20"/>
          <w:szCs w:val="20"/>
          <w:lang w:eastAsia="es-CO"/>
        </w:rPr>
        <w:t>legis</w:t>
      </w:r>
      <w:proofErr w:type="spellEnd"/>
      <w:r w:rsidRPr="003E638E">
        <w:rPr>
          <w:rFonts w:ascii="Verdana" w:eastAsia="Times New Roman" w:hAnsi="Verdana" w:cs="Arial"/>
          <w:bCs/>
          <w:sz w:val="20"/>
          <w:szCs w:val="20"/>
          <w:lang w:eastAsia="es-CO"/>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4F0D82BB" w14:textId="77777777" w:rsidR="00890E1B" w:rsidRPr="003E638E" w:rsidRDefault="00890E1B" w:rsidP="00890E1B">
      <w:pPr>
        <w:spacing w:after="0" w:line="240" w:lineRule="auto"/>
        <w:ind w:left="709" w:right="709"/>
        <w:jc w:val="both"/>
        <w:rPr>
          <w:rFonts w:ascii="Verdana" w:eastAsia="Times New Roman" w:hAnsi="Verdana" w:cs="Arial"/>
          <w:bCs/>
          <w:sz w:val="20"/>
          <w:szCs w:val="20"/>
          <w:lang w:eastAsia="es-CO"/>
        </w:rPr>
      </w:pPr>
      <w:r w:rsidRPr="003E638E">
        <w:rPr>
          <w:rFonts w:ascii="Verdana" w:eastAsia="Times New Roman" w:hAnsi="Verdana" w:cs="Arial"/>
          <w:bCs/>
          <w:sz w:val="20"/>
          <w:szCs w:val="20"/>
          <w:lang w:eastAsia="es-CO"/>
        </w:rPr>
        <w:t>La jurisprudencia de la Corte Constitucional</w:t>
      </w:r>
      <w:r w:rsidRPr="003E638E">
        <w:rPr>
          <w:rStyle w:val="Refdenotaalpie"/>
          <w:rFonts w:ascii="Verdana" w:eastAsia="Times New Roman" w:hAnsi="Verdana" w:cs="Arial"/>
          <w:bCs/>
          <w:sz w:val="20"/>
          <w:szCs w:val="20"/>
          <w:lang w:eastAsia="es-CO"/>
        </w:rPr>
        <w:footnoteReference w:id="4"/>
      </w:r>
      <w:r w:rsidRPr="003E638E">
        <w:rPr>
          <w:rFonts w:ascii="Verdana" w:eastAsia="Times New Roman" w:hAnsi="Verdana" w:cs="Arial"/>
          <w:bCs/>
          <w:sz w:val="20"/>
          <w:szCs w:val="20"/>
          <w:lang w:eastAsia="es-CO"/>
        </w:rPr>
        <w:t> y del Consejo de Estado</w:t>
      </w:r>
      <w:r w:rsidRPr="003E638E">
        <w:rPr>
          <w:rStyle w:val="Refdenotaalpie"/>
          <w:rFonts w:ascii="Verdana" w:eastAsia="Times New Roman" w:hAnsi="Verdana" w:cs="Arial"/>
          <w:bCs/>
          <w:sz w:val="20"/>
          <w:szCs w:val="20"/>
          <w:lang w:eastAsia="es-CO"/>
        </w:rPr>
        <w:footnoteReference w:id="5"/>
      </w:r>
      <w:r w:rsidRPr="003E638E">
        <w:rPr>
          <w:rFonts w:ascii="Verdana" w:eastAsia="Times New Roman" w:hAnsi="Verdana" w:cs="Arial"/>
          <w:bCs/>
          <w:sz w:val="20"/>
          <w:szCs w:val="20"/>
          <w:lang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Pr>
          <w:rFonts w:ascii="Verdana" w:eastAsia="Times New Roman" w:hAnsi="Verdana" w:cs="Arial"/>
          <w:bCs/>
          <w:sz w:val="20"/>
          <w:szCs w:val="20"/>
          <w:lang w:eastAsia="es-CO"/>
        </w:rPr>
        <w:t>”</w:t>
      </w:r>
      <w:r w:rsidRPr="003E638E">
        <w:rPr>
          <w:rStyle w:val="Refdenotaalpie"/>
          <w:rFonts w:ascii="Verdana" w:eastAsia="Times New Roman" w:hAnsi="Verdana" w:cs="Arial"/>
          <w:bCs/>
          <w:sz w:val="20"/>
          <w:szCs w:val="20"/>
          <w:lang w:eastAsia="es-CO"/>
        </w:rPr>
        <w:footnoteReference w:id="6"/>
      </w:r>
      <w:r w:rsidRPr="003E638E">
        <w:rPr>
          <w:rFonts w:ascii="Verdana" w:eastAsia="Times New Roman" w:hAnsi="Verdana" w:cs="Arial"/>
          <w:bCs/>
          <w:sz w:val="20"/>
          <w:szCs w:val="20"/>
          <w:lang w:eastAsia="es-CO"/>
        </w:rPr>
        <w:t>.</w:t>
      </w:r>
    </w:p>
    <w:p w14:paraId="545D2AA1" w14:textId="77777777" w:rsidR="00890E1B" w:rsidRPr="004513DD" w:rsidRDefault="00890E1B" w:rsidP="00890E1B">
      <w:pPr>
        <w:spacing w:after="0" w:line="276" w:lineRule="auto"/>
        <w:ind w:right="709"/>
        <w:rPr>
          <w:rFonts w:ascii="Verdana" w:eastAsia="Times New Roman" w:hAnsi="Verdana" w:cs="Arial"/>
          <w:lang w:eastAsia="es-CO"/>
        </w:rPr>
      </w:pPr>
    </w:p>
    <w:p w14:paraId="15395582" w14:textId="77777777" w:rsidR="00890E1B" w:rsidRPr="003E638E" w:rsidRDefault="00890E1B" w:rsidP="00890E1B">
      <w:pPr>
        <w:spacing w:after="0" w:line="276" w:lineRule="auto"/>
        <w:jc w:val="both"/>
        <w:rPr>
          <w:rFonts w:ascii="Verdana" w:eastAsia="Arial" w:hAnsi="Verdana" w:cs="Arial"/>
          <w:lang w:val="es-ES" w:eastAsia="es-ES" w:bidi="es-ES"/>
        </w:rPr>
      </w:pPr>
      <w:r w:rsidRPr="004513DD">
        <w:rPr>
          <w:rFonts w:ascii="Verdana" w:eastAsia="Times New Roman" w:hAnsi="Verdana" w:cs="Arial"/>
          <w:lang w:eastAsia="es-CO"/>
        </w:rPr>
        <w:tab/>
      </w:r>
      <w:r w:rsidRPr="003E638E">
        <w:rPr>
          <w:rFonts w:ascii="Verdana" w:eastAsia="Times New Roman" w:hAnsi="Verdana" w:cs="Arial"/>
          <w:bCs/>
          <w:lang w:eastAsia="es-CO"/>
        </w:rPr>
        <w:t>De</w:t>
      </w:r>
      <w:r w:rsidRPr="003E638E">
        <w:rPr>
          <w:rFonts w:ascii="Verdana" w:eastAsia="Arial" w:hAnsi="Verdana" w:cs="Arial"/>
          <w:lang w:val="es-ES" w:eastAsia="es-ES" w:bidi="es-ES"/>
        </w:rPr>
        <w:t xml:space="preserve"> conformidad con lo anterior, </w:t>
      </w:r>
      <w:bookmarkStart w:id="1" w:name="_Hlk77236098"/>
      <w:r w:rsidRPr="003E638E">
        <w:rPr>
          <w:rFonts w:ascii="Verdana" w:eastAsia="Arial" w:hAnsi="Verdana" w:cs="Arial"/>
          <w:lang w:val="es-ES" w:eastAsia="es-ES" w:bidi="es-ES"/>
        </w:rPr>
        <w:t>la Ley de Garantías Electorales fijó una serie de regulaciones y prohibiciones dirigidas a los servidores públicos. Así,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Específicamente, las restricciones consagradas en la citada ley se dirigen a dos (2) tipos de campañas electorales claramente diferenciadas: las presidenciales y las demás que se adelanten para la elección de los demás cargos de elección popular, tanto a nivel nacional como a nivel territorial.</w:t>
      </w:r>
      <w:bookmarkEnd w:id="1"/>
    </w:p>
    <w:p w14:paraId="539208BC" w14:textId="77777777" w:rsidR="00890E1B" w:rsidRDefault="00890E1B" w:rsidP="00890E1B">
      <w:pPr>
        <w:spacing w:after="0" w:line="276" w:lineRule="auto"/>
        <w:jc w:val="both"/>
        <w:rPr>
          <w:rFonts w:ascii="Verdana" w:eastAsia="Calibri" w:hAnsi="Verdana" w:cs="Arial"/>
        </w:rPr>
      </w:pPr>
    </w:p>
    <w:p w14:paraId="2465EA17" w14:textId="77777777" w:rsidR="00890E1B" w:rsidRPr="003E638E" w:rsidRDefault="00890E1B" w:rsidP="00890E1B">
      <w:pPr>
        <w:spacing w:after="120" w:line="276" w:lineRule="auto"/>
        <w:jc w:val="both"/>
        <w:rPr>
          <w:rFonts w:ascii="Verdana" w:eastAsia="Calibri" w:hAnsi="Verdana" w:cs="Arial"/>
        </w:rPr>
      </w:pPr>
      <w:proofErr w:type="spellStart"/>
      <w:r>
        <w:rPr>
          <w:rFonts w:ascii="Verdana" w:eastAsia="Calibri" w:hAnsi="Verdana" w:cs="Arial"/>
        </w:rPr>
        <w:t>ii</w:t>
      </w:r>
      <w:proofErr w:type="spellEnd"/>
      <w:r>
        <w:rPr>
          <w:rFonts w:ascii="Verdana" w:eastAsia="Calibri" w:hAnsi="Verdana" w:cs="Arial"/>
        </w:rPr>
        <w:t xml:space="preserve">. El </w:t>
      </w:r>
      <w:r w:rsidRPr="003E638E">
        <w:rPr>
          <w:rFonts w:ascii="Verdana" w:eastAsia="Calibri" w:hAnsi="Verdana" w:cs="Arial"/>
        </w:rPr>
        <w:t xml:space="preserve">artículo 33 de la Ley 996 de 2005 prohíbe </w:t>
      </w:r>
      <w:r>
        <w:rPr>
          <w:rFonts w:ascii="Verdana" w:eastAsia="Calibri" w:hAnsi="Verdana" w:cs="Arial"/>
          <w:bCs/>
        </w:rPr>
        <w:t>“(…)</w:t>
      </w:r>
      <w:r w:rsidRPr="003E638E">
        <w:rPr>
          <w:rFonts w:ascii="Verdana" w:eastAsia="Calibri" w:hAnsi="Verdana" w:cs="Arial"/>
          <w:bCs/>
        </w:rPr>
        <w:t xml:space="preserve"> </w:t>
      </w:r>
      <w:r w:rsidRPr="003E638E">
        <w:rPr>
          <w:rFonts w:ascii="Verdana" w:eastAsia="Calibri" w:hAnsi="Verdana" w:cs="Arial"/>
        </w:rPr>
        <w:t>la contratación directa por parte de todos los entes del Estado</w:t>
      </w:r>
      <w:r>
        <w:rPr>
          <w:rFonts w:ascii="Verdana" w:eastAsia="Calibri" w:hAnsi="Verdana" w:cs="Arial"/>
        </w:rPr>
        <w:t>”</w:t>
      </w:r>
      <w:r w:rsidRPr="003E638E">
        <w:rPr>
          <w:rFonts w:ascii="Verdana" w:eastAsia="Calibri" w:hAnsi="Verdana" w:cs="Arial"/>
        </w:rPr>
        <w:t xml:space="preserve"> durante los cuatro (4) meses anteriores a las elecciones presidenciales, salvo </w:t>
      </w:r>
      <w:r>
        <w:rPr>
          <w:rFonts w:ascii="Verdana" w:eastAsia="Calibri" w:hAnsi="Verdana" w:cs="Arial"/>
          <w:bCs/>
        </w:rPr>
        <w:t>“(…) l</w:t>
      </w:r>
      <w:r w:rsidRPr="003E638E">
        <w:rPr>
          <w:rFonts w:ascii="Verdana" w:eastAsia="Calibri" w:hAnsi="Verdana" w:cs="Arial"/>
        </w:rPr>
        <w:t>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Pr>
          <w:rFonts w:ascii="Verdana" w:eastAsia="Calibri" w:hAnsi="Verdana" w:cs="Arial"/>
        </w:rPr>
        <w:t>”</w:t>
      </w:r>
      <w:r w:rsidRPr="003E638E">
        <w:rPr>
          <w:rFonts w:ascii="Verdana" w:eastAsia="Calibri" w:hAnsi="Verdana" w:cs="Arial"/>
          <w:bCs/>
          <w:vertAlign w:val="superscript"/>
        </w:rPr>
        <w:footnoteReference w:id="7"/>
      </w:r>
      <w:r w:rsidRPr="003E638E">
        <w:rPr>
          <w:rFonts w:ascii="Verdana" w:eastAsia="Calibri" w:hAnsi="Verdana" w:cs="Arial"/>
        </w:rPr>
        <w:t>.</w:t>
      </w:r>
    </w:p>
    <w:p w14:paraId="74D24D5E" w14:textId="77777777" w:rsidR="00890E1B" w:rsidRPr="00F02C5A" w:rsidRDefault="00890E1B" w:rsidP="00890E1B">
      <w:pPr>
        <w:spacing w:after="0" w:line="276" w:lineRule="auto"/>
        <w:ind w:firstLine="708"/>
        <w:contextualSpacing/>
        <w:jc w:val="both"/>
        <w:rPr>
          <w:rFonts w:ascii="Verdana" w:eastAsia="Times New Roman" w:hAnsi="Verdana" w:cs="Arial"/>
          <w:lang w:val="es-MX" w:eastAsia="es-CO"/>
        </w:rPr>
      </w:pPr>
      <w:r w:rsidRPr="00F02C5A">
        <w:rPr>
          <w:rFonts w:ascii="Verdana" w:eastAsia="Times New Roman" w:hAnsi="Verdana" w:cs="Arial"/>
          <w:lang w:val="es-MX" w:eastAsia="x-none"/>
        </w:rPr>
        <w:t xml:space="preserve">El ámbito material de la prohibición contenida </w:t>
      </w:r>
      <w:bookmarkStart w:id="3" w:name="_Hlk75628761"/>
      <w:r w:rsidRPr="00F02C5A">
        <w:rPr>
          <w:rFonts w:ascii="Verdana" w:eastAsia="Times New Roman" w:hAnsi="Verdana" w:cs="Arial"/>
          <w:lang w:val="es-MX" w:eastAsia="x-none"/>
        </w:rPr>
        <w:t xml:space="preserve">en el artículo 33 de la Ley 996 de 2005 </w:t>
      </w:r>
      <w:bookmarkEnd w:id="3"/>
      <w:r w:rsidRPr="00F02C5A">
        <w:rPr>
          <w:rFonts w:ascii="Verdana" w:eastAsia="Times New Roman" w:hAnsi="Verdana" w:cs="Arial"/>
          <w:lang w:val="es-MX" w:eastAsia="x-none"/>
        </w:rPr>
        <w:t xml:space="preserve">está delimitado por la expresión </w:t>
      </w:r>
      <w:r w:rsidRPr="002817AD">
        <w:rPr>
          <w:rFonts w:ascii="Verdana" w:eastAsia="Calibri" w:hAnsi="Verdana" w:cs="Arial"/>
          <w:i/>
          <w:sz w:val="20"/>
          <w:szCs w:val="20"/>
          <w:lang w:val="es-MX"/>
        </w:rPr>
        <w:t>“</w:t>
      </w:r>
      <w:r w:rsidRPr="002817AD">
        <w:rPr>
          <w:rFonts w:ascii="Verdana" w:eastAsia="Times New Roman" w:hAnsi="Verdana" w:cs="Arial"/>
          <w:i/>
          <w:lang w:val="es-MX" w:eastAsia="x-none"/>
        </w:rPr>
        <w:t>queda prohibida la contratación directa</w:t>
      </w:r>
      <w:r w:rsidRPr="002817AD">
        <w:rPr>
          <w:rFonts w:ascii="Verdana" w:eastAsia="Calibri" w:hAnsi="Verdana" w:cs="Arial"/>
          <w:i/>
          <w:sz w:val="20"/>
          <w:szCs w:val="20"/>
          <w:lang w:val="es-MX"/>
        </w:rPr>
        <w:t>”</w:t>
      </w:r>
      <w:r w:rsidRPr="002817AD">
        <w:rPr>
          <w:rFonts w:ascii="Verdana" w:eastAsia="Times New Roman" w:hAnsi="Verdana" w:cs="Arial"/>
          <w:i/>
          <w:lang w:val="es-MX" w:eastAsia="x-none"/>
        </w:rPr>
        <w:t>.</w:t>
      </w:r>
      <w:r w:rsidRPr="002817AD">
        <w:rPr>
          <w:rFonts w:ascii="Verdana" w:eastAsia="Times New Roman" w:hAnsi="Verdana" w:cs="Arial"/>
          <w:i/>
          <w:lang w:val="es-MX" w:eastAsia="es-CO"/>
        </w:rPr>
        <w:t xml:space="preserve"> </w:t>
      </w:r>
      <w:r w:rsidRPr="00F02C5A">
        <w:rPr>
          <w:rFonts w:ascii="Verdana" w:eastAsia="Times New Roman" w:hAnsi="Verdana" w:cs="Arial"/>
          <w:lang w:val="es-MX" w:eastAsia="es-CO"/>
        </w:rPr>
        <w:t xml:space="preserve">A propósito de </w:t>
      </w:r>
      <w:r w:rsidRPr="00F02C5A">
        <w:rPr>
          <w:rFonts w:ascii="Verdana" w:eastAsia="Times New Roman" w:hAnsi="Verdana" w:cs="Arial"/>
          <w:lang w:eastAsia="es-CO"/>
        </w:rPr>
        <w:t>esta restricción de la Ley de Garantías Electorales, la Sala de Consulta y Servicio Civil del Consejo de Estado ha considerado que:</w:t>
      </w:r>
    </w:p>
    <w:p w14:paraId="42EF0742" w14:textId="77777777" w:rsidR="00890E1B" w:rsidRPr="00F02C5A" w:rsidRDefault="00890E1B" w:rsidP="00890E1B">
      <w:pPr>
        <w:spacing w:after="0" w:line="276" w:lineRule="auto"/>
        <w:ind w:left="708" w:right="709"/>
        <w:contextualSpacing/>
        <w:jc w:val="both"/>
        <w:rPr>
          <w:rFonts w:ascii="Verdana" w:eastAsia="Calibri" w:hAnsi="Verdana" w:cs="Arial"/>
          <w:sz w:val="21"/>
          <w:szCs w:val="21"/>
          <w:lang w:val="es-MX"/>
        </w:rPr>
      </w:pPr>
    </w:p>
    <w:p w14:paraId="66F64F68" w14:textId="77777777" w:rsidR="00890E1B" w:rsidRPr="002817AD" w:rsidRDefault="00890E1B" w:rsidP="00890E1B">
      <w:pPr>
        <w:spacing w:after="0" w:line="240" w:lineRule="auto"/>
        <w:ind w:left="709" w:right="709"/>
        <w:contextualSpacing/>
        <w:jc w:val="both"/>
        <w:rPr>
          <w:rFonts w:ascii="Verdana" w:eastAsia="Calibri" w:hAnsi="Verdana" w:cs="Arial"/>
          <w:sz w:val="20"/>
          <w:szCs w:val="20"/>
          <w:lang w:val="es-MX"/>
        </w:rPr>
      </w:pPr>
      <w:r w:rsidRPr="002817AD">
        <w:rPr>
          <w:rFonts w:ascii="Verdana" w:eastAsia="Calibri" w:hAnsi="Verdana" w:cs="Arial"/>
          <w:sz w:val="20"/>
          <w:szCs w:val="20"/>
          <w:lang w:val="es-MX"/>
        </w:rPr>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r w:rsidRPr="002817AD">
        <w:rPr>
          <w:rFonts w:ascii="Verdana" w:eastAsia="Times New Roman" w:hAnsi="Verdana" w:cs="Arial"/>
          <w:sz w:val="20"/>
          <w:szCs w:val="20"/>
          <w:vertAlign w:val="superscript"/>
          <w:lang w:eastAsia="es-CO"/>
        </w:rPr>
        <w:footnoteReference w:id="8"/>
      </w:r>
      <w:r w:rsidRPr="002817AD">
        <w:rPr>
          <w:rFonts w:ascii="Verdana" w:eastAsia="Calibri" w:hAnsi="Verdana" w:cs="Arial"/>
          <w:sz w:val="20"/>
          <w:szCs w:val="20"/>
          <w:lang w:val="es-MX"/>
        </w:rPr>
        <w:t>.</w:t>
      </w:r>
    </w:p>
    <w:p w14:paraId="12514038" w14:textId="77777777" w:rsidR="00890E1B" w:rsidRPr="002817AD" w:rsidRDefault="00890E1B" w:rsidP="00890E1B">
      <w:pPr>
        <w:spacing w:after="0" w:line="240" w:lineRule="auto"/>
        <w:ind w:left="709" w:right="709"/>
        <w:contextualSpacing/>
        <w:jc w:val="both"/>
        <w:rPr>
          <w:rFonts w:ascii="Verdana" w:eastAsia="Calibri" w:hAnsi="Verdana" w:cs="Arial"/>
          <w:sz w:val="20"/>
          <w:szCs w:val="20"/>
          <w:lang w:val="es-MX"/>
        </w:rPr>
      </w:pPr>
    </w:p>
    <w:p w14:paraId="52196C59" w14:textId="77777777" w:rsidR="00890E1B" w:rsidRPr="002817AD" w:rsidRDefault="00890E1B" w:rsidP="00890E1B">
      <w:pPr>
        <w:spacing w:after="0" w:line="240" w:lineRule="auto"/>
        <w:ind w:left="708" w:right="709"/>
        <w:contextualSpacing/>
        <w:jc w:val="both"/>
        <w:rPr>
          <w:rFonts w:ascii="Verdana" w:eastAsia="Calibri" w:hAnsi="Verdana" w:cs="Arial"/>
          <w:sz w:val="20"/>
          <w:szCs w:val="20"/>
          <w:lang w:val="es-MX"/>
        </w:rPr>
      </w:pPr>
      <w:r w:rsidRPr="002817AD">
        <w:rPr>
          <w:rFonts w:ascii="Verdana" w:eastAsia="Calibri" w:hAnsi="Verdana" w:cs="Arial"/>
          <w:sz w:val="20"/>
          <w:szCs w:val="20"/>
          <w:lang w:val="es-MX"/>
        </w:rPr>
        <w:t xml:space="preserve">Esta Sala ha entendido que para los efectos de la ley de garantías, y dada su finalidad, el enunciado ´contratación directa´ es sinónimo </w:t>
      </w:r>
      <w:bookmarkStart w:id="4" w:name="_Hlk75741738"/>
      <w:r w:rsidRPr="002817AD">
        <w:rPr>
          <w:rFonts w:ascii="Verdana" w:eastAsia="Calibri" w:hAnsi="Verdana" w:cs="Arial"/>
          <w:sz w:val="20"/>
          <w:szCs w:val="20"/>
          <w:lang w:val="es-MX"/>
        </w:rPr>
        <w:t xml:space="preserve">de cualquier sistema que no implique convocatoria pública y posibilidad de pluralidad de oferentes, </w:t>
      </w:r>
      <w:bookmarkEnd w:id="4"/>
      <w:r w:rsidRPr="002817AD">
        <w:rPr>
          <w:rFonts w:ascii="Verdana" w:eastAsia="Calibri" w:hAnsi="Verdana" w:cs="Arial"/>
          <w:sz w:val="20"/>
          <w:szCs w:val="20"/>
          <w:lang w:val="es-MX"/>
        </w:rPr>
        <w:t xml:space="preserve">y que, además, no necesariamente hace referencia al procedimiento especial regulado por la ley de contratación estatal, sino a cualquier otro que prescinda de un proceso de licitación pública o </w:t>
      </w:r>
      <w:r w:rsidRPr="002817AD">
        <w:rPr>
          <w:rFonts w:ascii="Verdana" w:eastAsia="Calibri" w:hAnsi="Verdana" w:cs="Arial"/>
          <w:sz w:val="20"/>
          <w:szCs w:val="20"/>
          <w:lang w:val="es-MX"/>
        </w:rPr>
        <w:lastRenderedPageBreak/>
        <w:t>concurso</w:t>
      </w:r>
      <w:r w:rsidRPr="002817AD">
        <w:rPr>
          <w:rFonts w:ascii="Verdana" w:eastAsia="Times New Roman" w:hAnsi="Verdana" w:cs="Arial"/>
          <w:sz w:val="20"/>
          <w:szCs w:val="20"/>
          <w:vertAlign w:val="superscript"/>
          <w:lang w:val="es-MX"/>
        </w:rPr>
        <w:footnoteReference w:id="9"/>
      </w:r>
      <w:r w:rsidRPr="002817AD">
        <w:rPr>
          <w:rFonts w:ascii="Verdana" w:eastAsia="Times New Roman" w:hAnsi="Verdana" w:cs="Arial"/>
          <w:sz w:val="20"/>
          <w:szCs w:val="20"/>
          <w:vertAlign w:val="superscript"/>
          <w:lang w:val="es-MX"/>
        </w:rPr>
        <w:t>.</w:t>
      </w:r>
      <w:r w:rsidRPr="002817AD">
        <w:rPr>
          <w:rFonts w:ascii="Verdana" w:eastAsia="Calibri" w:hAnsi="Verdana" w:cs="Arial"/>
          <w:sz w:val="20"/>
          <w:szCs w:val="20"/>
          <w:lang w:val="es-MX"/>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sidRPr="002817AD">
        <w:rPr>
          <w:rFonts w:ascii="Verdana" w:eastAsia="Times New Roman" w:hAnsi="Verdana" w:cs="Arial"/>
          <w:sz w:val="20"/>
          <w:szCs w:val="20"/>
          <w:vertAlign w:val="superscript"/>
          <w:lang w:eastAsia="es-CO"/>
        </w:rPr>
        <w:footnoteReference w:id="10"/>
      </w:r>
      <w:r w:rsidRPr="002817AD">
        <w:rPr>
          <w:rFonts w:ascii="Verdana" w:eastAsia="Calibri" w:hAnsi="Verdana" w:cs="Arial"/>
          <w:sz w:val="20"/>
          <w:szCs w:val="20"/>
          <w:lang w:val="es-MX"/>
        </w:rPr>
        <w:t>”.</w:t>
      </w:r>
    </w:p>
    <w:p w14:paraId="345E8187" w14:textId="77777777" w:rsidR="00890E1B" w:rsidRPr="00F02C5A" w:rsidRDefault="00890E1B" w:rsidP="00890E1B">
      <w:pPr>
        <w:shd w:val="clear" w:color="auto" w:fill="FFFFFF"/>
        <w:spacing w:after="0" w:line="276" w:lineRule="auto"/>
        <w:ind w:firstLine="709"/>
        <w:contextualSpacing/>
        <w:jc w:val="both"/>
        <w:rPr>
          <w:rFonts w:ascii="Verdana" w:eastAsia="Times New Roman" w:hAnsi="Verdana" w:cs="Arial"/>
          <w:lang w:eastAsia="x-none"/>
        </w:rPr>
      </w:pPr>
    </w:p>
    <w:p w14:paraId="289BE0CD" w14:textId="77777777" w:rsidR="00890E1B" w:rsidRPr="00F02C5A" w:rsidRDefault="00890E1B" w:rsidP="00890E1B">
      <w:pPr>
        <w:spacing w:after="120" w:line="276" w:lineRule="auto"/>
        <w:ind w:firstLine="709"/>
        <w:jc w:val="both"/>
        <w:rPr>
          <w:rFonts w:ascii="Verdana" w:eastAsia="Times New Roman" w:hAnsi="Verdana" w:cs="Arial"/>
          <w:lang w:eastAsia="x-none"/>
        </w:rPr>
      </w:pPr>
      <w:bookmarkStart w:id="6" w:name="_Hlk94521748"/>
      <w:r w:rsidRPr="00F02C5A">
        <w:rPr>
          <w:rFonts w:ascii="Verdana" w:eastAsia="Times New Roman" w:hAnsi="Verdana" w:cs="Arial"/>
          <w:lang w:eastAsia="x-none"/>
        </w:rPr>
        <w:t xml:space="preserve">De conformidad con el citado concepto, la prohibición del artículo 33 de la Ley de Garantías Electorales se refiere a </w:t>
      </w:r>
      <w:r w:rsidRPr="00F02C5A">
        <w:rPr>
          <w:rFonts w:ascii="Verdana" w:eastAsia="Times New Roman" w:hAnsi="Verdana" w:cs="Arial"/>
          <w:sz w:val="19"/>
          <w:szCs w:val="19"/>
          <w:lang w:eastAsia="en-GB"/>
        </w:rPr>
        <w:t>“</w:t>
      </w:r>
      <w:r w:rsidRPr="00F02C5A">
        <w:rPr>
          <w:rFonts w:ascii="Verdana" w:eastAsia="Times New Roman" w:hAnsi="Verdana" w:cs="Arial"/>
          <w:lang w:eastAsia="x-none"/>
        </w:rPr>
        <w:t>cualquier sistema que no implique convocatoria pública y posibilidad de pluralidad de oferentes</w:t>
      </w:r>
      <w:r w:rsidRPr="00F02C5A">
        <w:rPr>
          <w:rFonts w:ascii="Verdana" w:eastAsia="Times New Roman" w:hAnsi="Verdana" w:cs="Arial"/>
          <w:lang w:eastAsia="en-GB"/>
        </w:rPr>
        <w:t>”</w:t>
      </w:r>
      <w:r w:rsidRPr="00F02C5A">
        <w:rPr>
          <w:rFonts w:ascii="Verdana" w:eastAsia="Times New Roman" w:hAnsi="Verdana" w:cs="Arial"/>
          <w:lang w:eastAsia="x-none"/>
        </w:rPr>
        <w:t xml:space="preserve">, por lo que excluye las demás modalidades de contratación previstas en la Ley 1150 de 2007, es decir, la licitación pública, la selección abreviada y el concurso de méritos u otros previstos en normas especiales. </w:t>
      </w:r>
      <w:bookmarkEnd w:id="6"/>
      <w:r w:rsidRPr="00F02C5A">
        <w:rPr>
          <w:rFonts w:ascii="Verdana" w:eastAsia="Times New Roman" w:hAnsi="Verdana" w:cs="Arial"/>
          <w:lang w:eastAsia="x-none"/>
        </w:rPr>
        <w:t>Esta posición es congruente con la expedición de la Ley 1150 de 2007 que, entre otras reformas, introdujo la selección abreviada, rediseñó el concurso de méritos</w:t>
      </w:r>
      <w:r w:rsidRPr="00F02C5A">
        <w:rPr>
          <w:rFonts w:ascii="Verdana" w:eastAsia="Times New Roman" w:hAnsi="Verdana" w:cs="Arial"/>
          <w:vertAlign w:val="superscript"/>
          <w:lang w:val="en-GB" w:eastAsia="x-none"/>
        </w:rPr>
        <w:footnoteReference w:id="11"/>
      </w:r>
      <w:r w:rsidRPr="00F02C5A">
        <w:rPr>
          <w:rFonts w:ascii="Verdana" w:eastAsia="Times New Roman" w:hAnsi="Verdana" w:cs="Arial"/>
          <w:lang w:eastAsia="x-none"/>
        </w:rPr>
        <w:t xml:space="preserve"> y sistematizó las causales de contratación directa</w:t>
      </w:r>
      <w:r w:rsidRPr="00F02C5A">
        <w:rPr>
          <w:rFonts w:ascii="Verdana" w:eastAsia="Times New Roman" w:hAnsi="Verdana" w:cs="Arial"/>
          <w:vertAlign w:val="superscript"/>
          <w:lang w:val="en-GB" w:eastAsia="x-none"/>
        </w:rPr>
        <w:footnoteReference w:id="12"/>
      </w:r>
      <w:r w:rsidRPr="00F02C5A">
        <w:rPr>
          <w:rFonts w:ascii="Verdana" w:eastAsia="Times New Roman" w:hAnsi="Verdana" w:cs="Arial"/>
          <w:lang w:eastAsia="x-none"/>
        </w:rPr>
        <w:t xml:space="preserve">. </w:t>
      </w:r>
    </w:p>
    <w:p w14:paraId="7F0BDA42" w14:textId="77777777" w:rsidR="00890E1B" w:rsidRPr="00F02C5A" w:rsidRDefault="00890E1B" w:rsidP="00890E1B">
      <w:pPr>
        <w:spacing w:after="120" w:line="276" w:lineRule="auto"/>
        <w:ind w:firstLine="709"/>
        <w:jc w:val="both"/>
        <w:rPr>
          <w:rFonts w:ascii="Verdana" w:eastAsia="Times New Roman" w:hAnsi="Verdana" w:cs="Arial"/>
          <w:lang w:val="es-MX" w:eastAsia="x-none"/>
        </w:rPr>
      </w:pPr>
      <w:r w:rsidRPr="00F02C5A">
        <w:rPr>
          <w:rFonts w:ascii="Verdana" w:eastAsia="Times New Roman" w:hAnsi="Verdana" w:cs="Arial"/>
          <w:lang w:eastAsia="x-none"/>
        </w:rPr>
        <w:t xml:space="preserve">De esta forma, se ha depurado la noción de </w:t>
      </w:r>
      <w:r w:rsidRPr="00F02C5A">
        <w:rPr>
          <w:rFonts w:ascii="Verdana" w:eastAsia="Times New Roman" w:hAnsi="Verdana" w:cs="Arial"/>
          <w:sz w:val="19"/>
          <w:szCs w:val="19"/>
          <w:lang w:eastAsia="en-GB"/>
        </w:rPr>
        <w:t>“</w:t>
      </w:r>
      <w:r w:rsidRPr="00F02C5A">
        <w:rPr>
          <w:rFonts w:ascii="Verdana" w:eastAsia="Times New Roman" w:hAnsi="Verdana" w:cs="Arial"/>
          <w:lang w:eastAsia="x-none"/>
        </w:rPr>
        <w:t>contratación directa</w:t>
      </w:r>
      <w:r w:rsidRPr="00F02C5A">
        <w:rPr>
          <w:rFonts w:ascii="Verdana" w:eastAsia="Times New Roman" w:hAnsi="Verdana" w:cs="Arial"/>
          <w:lang w:eastAsia="en-GB"/>
        </w:rPr>
        <w:t>”</w:t>
      </w:r>
      <w:r w:rsidRPr="00F02C5A">
        <w:rPr>
          <w:rFonts w:ascii="Verdana" w:eastAsia="Times New Roman" w:hAnsi="Verdana" w:cs="Arial"/>
          <w:lang w:eastAsia="x-none"/>
        </w:rPr>
        <w:t>, precisando el Consejo de Estado –en el concepto citado– que, “aun cuando no coincide única y exactamente con la regulación que de dicho sistema de selección hace el artículo 2º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w:t>
      </w:r>
      <w:r w:rsidRPr="00F02C5A">
        <w:rPr>
          <w:rFonts w:ascii="Verdana" w:eastAsia="Times New Roman" w:hAnsi="Verdana" w:cs="Arial"/>
          <w:vertAlign w:val="superscript"/>
          <w:lang w:val="en-GB" w:eastAsia="x-none"/>
        </w:rPr>
        <w:footnoteReference w:id="13"/>
      </w:r>
      <w:r w:rsidRPr="00F02C5A">
        <w:rPr>
          <w:rFonts w:ascii="Verdana" w:eastAsia="Times New Roman" w:hAnsi="Verdana" w:cs="Arial"/>
          <w:lang w:eastAsia="x-none"/>
        </w:rPr>
        <w:t>, han establecido sistemas de contratación que implican convocatoria pública y participación de varios oferentes</w:t>
      </w:r>
      <w:r w:rsidRPr="00F02C5A">
        <w:rPr>
          <w:rFonts w:ascii="Verdana" w:eastAsia="Times New Roman" w:hAnsi="Verdana" w:cs="Arial"/>
          <w:lang w:eastAsia="en-GB"/>
        </w:rPr>
        <w:t>”</w:t>
      </w:r>
      <w:r w:rsidRPr="00F02C5A">
        <w:rPr>
          <w:rFonts w:ascii="Verdana" w:eastAsia="Times New Roman" w:hAnsi="Verdana" w:cs="Arial"/>
          <w:lang w:eastAsia="x-none"/>
        </w:rPr>
        <w:t xml:space="preserve">. </w:t>
      </w:r>
    </w:p>
    <w:p w14:paraId="04C10240" w14:textId="77777777" w:rsidR="00890E1B" w:rsidRPr="00F02C5A" w:rsidRDefault="00890E1B" w:rsidP="00890E1B">
      <w:pPr>
        <w:spacing w:after="120" w:line="276" w:lineRule="auto"/>
        <w:ind w:firstLine="709"/>
        <w:jc w:val="both"/>
        <w:rPr>
          <w:rFonts w:ascii="Verdana" w:eastAsia="Times New Roman" w:hAnsi="Verdana" w:cs="Arial"/>
          <w:lang w:val="es-MX" w:eastAsia="es-CO"/>
        </w:rPr>
      </w:pPr>
      <w:r w:rsidRPr="00F02C5A">
        <w:rPr>
          <w:rFonts w:ascii="Verdana" w:eastAsia="Times New Roman" w:hAnsi="Verdana" w:cs="Arial"/>
          <w:lang w:val="es-MX" w:eastAsia="x-none"/>
        </w:rPr>
        <w:t>E</w:t>
      </w:r>
      <w:r w:rsidRPr="00F02C5A">
        <w:rPr>
          <w:rFonts w:ascii="Verdana" w:eastAsia="Times New Roman" w:hAnsi="Verdana" w:cs="Arial"/>
          <w:lang w:eastAsia="x-none"/>
        </w:rPr>
        <w:t xml:space="preserve">n efecto, vale la pena mencionar que, </w:t>
      </w:r>
      <w:bookmarkStart w:id="7" w:name="_Hlk75636073"/>
      <w:r w:rsidRPr="00F02C5A">
        <w:rPr>
          <w:rFonts w:ascii="Verdana" w:eastAsia="Times New Roman" w:hAnsi="Verdana" w:cs="Arial"/>
          <w:lang w:eastAsia="x-none"/>
        </w:rPr>
        <w:t xml:space="preserve">en algunos sistemas de contratación, utilizados por entidades públicas con regímenes especiales, o </w:t>
      </w:r>
      <w:r w:rsidRPr="00F02C5A">
        <w:rPr>
          <w:rFonts w:ascii="Verdana" w:eastAsia="Times New Roman" w:hAnsi="Verdana" w:cs="Arial"/>
          <w:lang w:eastAsia="x-none"/>
        </w:rPr>
        <w:lastRenderedPageBreak/>
        <w:t>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“contratación directa”, es que la convocatoria para inscribirse en forma previa se haga de manera pública, y que se permita la participación de una pluralidad de oferentes</w:t>
      </w:r>
      <w:bookmarkEnd w:id="7"/>
      <w:r w:rsidRPr="00F02C5A">
        <w:rPr>
          <w:rFonts w:ascii="Verdana" w:eastAsia="Times New Roman" w:hAnsi="Verdana" w:cs="Arial"/>
          <w:vertAlign w:val="superscript"/>
          <w:lang w:eastAsia="x-none"/>
        </w:rPr>
        <w:footnoteReference w:id="14"/>
      </w:r>
      <w:r w:rsidRPr="00F02C5A">
        <w:rPr>
          <w:rFonts w:ascii="Verdana" w:eastAsia="Times New Roman" w:hAnsi="Verdana" w:cs="Arial"/>
          <w:lang w:eastAsia="x-none"/>
        </w:rPr>
        <w:t xml:space="preserve">. </w:t>
      </w:r>
    </w:p>
    <w:p w14:paraId="7B8016DB" w14:textId="77777777" w:rsidR="00890E1B" w:rsidRPr="00F02C5A" w:rsidRDefault="00890E1B" w:rsidP="00890E1B">
      <w:pPr>
        <w:spacing w:after="120" w:line="276" w:lineRule="auto"/>
        <w:ind w:firstLine="709"/>
        <w:jc w:val="both"/>
        <w:rPr>
          <w:rFonts w:ascii="Verdana" w:eastAsia="Times New Roman" w:hAnsi="Verdana" w:cs="Arial"/>
          <w:lang w:val="es-MX" w:eastAsia="es-CO"/>
        </w:rPr>
      </w:pPr>
      <w:r w:rsidRPr="00F02C5A">
        <w:rPr>
          <w:rFonts w:ascii="Verdana" w:eastAsia="Times New Roman" w:hAnsi="Verdana" w:cs="Arial"/>
          <w:lang w:val="es-MX" w:eastAsia="es-CO"/>
        </w:rPr>
        <w:t>Como se advierte de lo anterior, el Consejo de Estado realiza una interpretación amplia de la contratación directa, para efectos de aplicar las restricciones establecidas en la Ley de Garantías Electorales, al señalar que no solo aplica frente a las entidades sometidas al Estatuto General de Contratación de la Administración Pública, sino también frente a las entidades que tengan un régimen especial de contratación. No obstante, también se observa que luego de la expedición de Ley 1150 de 2007, el Consejo de Estado comenzó a delimitar con mayor precisión el término de “contratación directa”.</w:t>
      </w:r>
    </w:p>
    <w:p w14:paraId="7BF9C5F1" w14:textId="77777777" w:rsidR="00890E1B" w:rsidRPr="00F02C5A" w:rsidRDefault="00890E1B" w:rsidP="00890E1B">
      <w:pPr>
        <w:spacing w:after="120" w:line="276" w:lineRule="auto"/>
        <w:ind w:firstLine="709"/>
        <w:jc w:val="both"/>
        <w:rPr>
          <w:rFonts w:ascii="Verdana" w:eastAsia="Times New Roman" w:hAnsi="Verdana" w:cs="Arial"/>
          <w:lang w:val="es-MX" w:eastAsia="x-none"/>
        </w:rPr>
      </w:pPr>
      <w:bookmarkStart w:id="8" w:name="_Hlk78818796"/>
      <w:r w:rsidRPr="00F02C5A">
        <w:rPr>
          <w:rFonts w:ascii="Verdana" w:eastAsia="Times New Roman" w:hAnsi="Verdana" w:cs="Arial"/>
          <w:lang w:val="es-MX" w:eastAsia="x-none"/>
        </w:rPr>
        <w:t xml:space="preserve"> Así las cosas, </w:t>
      </w:r>
      <w:bookmarkStart w:id="9" w:name="_Hlk99577798"/>
      <w:r w:rsidRPr="00F02C5A">
        <w:rPr>
          <w:rFonts w:ascii="Verdana" w:eastAsia="Times New Roman" w:hAnsi="Verdana" w:cs="Arial"/>
          <w:lang w:val="es-MX" w:eastAsia="x-none"/>
        </w:rPr>
        <w:t>ha de entenderse que, para los efectos de la Ley de Garantías Electorales y, en particular, para la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r w:rsidRPr="00F02C5A">
        <w:rPr>
          <w:rFonts w:ascii="Verdana" w:eastAsia="Times New Roman" w:hAnsi="Verdana" w:cs="Arial"/>
          <w:vertAlign w:val="superscript"/>
          <w:lang w:eastAsia="x-none"/>
        </w:rPr>
        <w:footnoteReference w:id="15"/>
      </w:r>
      <w:r w:rsidRPr="00F02C5A">
        <w:rPr>
          <w:rFonts w:ascii="Verdana" w:eastAsia="Times New Roman" w:hAnsi="Verdana" w:cs="Arial"/>
          <w:lang w:val="es-MX" w:eastAsia="x-none"/>
        </w:rPr>
        <w:t>.</w:t>
      </w:r>
      <w:r w:rsidRPr="00F02C5A">
        <w:rPr>
          <w:rFonts w:ascii="Verdana" w:eastAsia="Times New Roman" w:hAnsi="Verdana" w:cs="Arial"/>
          <w:vertAlign w:val="superscript"/>
          <w:lang w:eastAsia="x-none"/>
        </w:rPr>
        <w:t xml:space="preserve"> </w:t>
      </w:r>
    </w:p>
    <w:bookmarkEnd w:id="8"/>
    <w:p w14:paraId="382BAE74" w14:textId="77777777" w:rsidR="00890E1B" w:rsidRPr="00F02C5A" w:rsidRDefault="00890E1B" w:rsidP="00890E1B">
      <w:pPr>
        <w:spacing w:after="120" w:line="276" w:lineRule="auto"/>
        <w:ind w:firstLine="709"/>
        <w:jc w:val="both"/>
        <w:rPr>
          <w:rFonts w:ascii="Verdana" w:eastAsia="Times New Roman" w:hAnsi="Verdana" w:cs="Arial"/>
          <w:lang w:eastAsia="x-none"/>
        </w:rPr>
      </w:pPr>
      <w:r w:rsidRPr="00F02C5A">
        <w:rPr>
          <w:rFonts w:ascii="Verdana" w:eastAsia="Times New Roman" w:hAnsi="Verdana" w:cs="Arial"/>
          <w:lang w:val="es-MX" w:eastAsia="x-none"/>
        </w:rPr>
        <w:t>De lo anterior se desprende que la restricción aplica, sin perjuicio de las excepciones establecidas en la misma ley, para celebrar cualquier contrato de forma directa, esto es, sin que exista un proceso abierto y competitivo.</w:t>
      </w:r>
      <w:r w:rsidRPr="00F02C5A">
        <w:rPr>
          <w:rFonts w:ascii="Verdana" w:eastAsia="Times New Roman" w:hAnsi="Verdana" w:cs="Arial"/>
          <w:lang w:eastAsia="x-none"/>
        </w:rPr>
        <w:t xml:space="preserve"> Por tanto, no son materia de la prohibición las demás modalidades de selección previstas en la Ley 1150 de 2007, es decir, la licitación pública, el concurso de méritos, la selección abreviada y la mínima cuantía, razón por la cual en ese período preelectoral de que trata la disposición las entidades públicas pueden seguir contratando bajo estos sistemas.</w:t>
      </w:r>
    </w:p>
    <w:p w14:paraId="7ED07460" w14:textId="77777777" w:rsidR="00890E1B" w:rsidRPr="00F02C5A" w:rsidRDefault="00890E1B" w:rsidP="00890E1B">
      <w:pPr>
        <w:spacing w:after="120" w:line="276" w:lineRule="auto"/>
        <w:ind w:firstLine="709"/>
        <w:jc w:val="both"/>
        <w:rPr>
          <w:rFonts w:ascii="Verdana" w:eastAsia="Times New Roman" w:hAnsi="Verdana" w:cs="Arial"/>
          <w:lang w:val="es-MX" w:eastAsia="x-none"/>
        </w:rPr>
      </w:pPr>
      <w:bookmarkStart w:id="10" w:name="_Hlk77237094"/>
      <w:bookmarkEnd w:id="9"/>
      <w:r w:rsidRPr="00F02C5A">
        <w:rPr>
          <w:rFonts w:ascii="Verdana" w:eastAsia="Times New Roman" w:hAnsi="Verdana" w:cs="Arial"/>
          <w:lang w:val="es-MX" w:eastAsia="es-CO"/>
        </w:rPr>
        <w:lastRenderedPageBreak/>
        <w:t xml:space="preserve">Como en otras oportunidades lo ha manifestado esta Agencia, las prórrogas, modificaciones o adiciones de los contratos suscritos antes de la entrada en vigencia de las prohibiciones anotadas, así como la cesión de </w:t>
      </w:r>
      <w:proofErr w:type="gramStart"/>
      <w:r w:rsidRPr="00F02C5A">
        <w:rPr>
          <w:rFonts w:ascii="Verdana" w:eastAsia="Times New Roman" w:hAnsi="Verdana" w:cs="Arial"/>
          <w:lang w:val="es-MX" w:eastAsia="es-CO"/>
        </w:rPr>
        <w:t>los mismos</w:t>
      </w:r>
      <w:proofErr w:type="gramEnd"/>
      <w:r w:rsidRPr="00F02C5A">
        <w:rPr>
          <w:rFonts w:ascii="Verdana" w:eastAsia="Times New Roman" w:hAnsi="Verdana" w:cs="Arial"/>
          <w:lang w:val="es-MX" w:eastAsia="es-CO"/>
        </w:rPr>
        <w:t>, pueden tener lugar en el período de aplicación de la Ley de Garantías, sin que ello haga nugatoria la restricción de la contratación directa y siempre que cumplan los principios de planeación, transparencia y responsabilidad.</w:t>
      </w:r>
      <w:bookmarkEnd w:id="10"/>
    </w:p>
    <w:p w14:paraId="1E0D77B8" w14:textId="77777777" w:rsidR="00890E1B" w:rsidRPr="00F02C5A" w:rsidRDefault="00890E1B" w:rsidP="00890E1B">
      <w:pPr>
        <w:spacing w:after="120" w:line="276" w:lineRule="auto"/>
        <w:ind w:firstLine="709"/>
        <w:jc w:val="both"/>
        <w:rPr>
          <w:rFonts w:ascii="Verdana" w:eastAsia="Times New Roman" w:hAnsi="Verdana" w:cs="Arial"/>
          <w:lang w:val="es-MX" w:eastAsia="es-CO"/>
        </w:rPr>
      </w:pPr>
      <w:r w:rsidRPr="00F02C5A">
        <w:rPr>
          <w:rFonts w:ascii="Verdana" w:eastAsia="Times New Roman" w:hAnsi="Verdana" w:cs="Arial"/>
          <w:lang w:val="es-MX" w:eastAsia="x-none"/>
        </w:rPr>
        <w:t xml:space="preserve">De otro lado, </w:t>
      </w:r>
      <w:bookmarkStart w:id="11" w:name="_Hlk99577887"/>
      <w:bookmarkStart w:id="12" w:name="_Hlk100679762"/>
      <w:r w:rsidRPr="00F02C5A">
        <w:rPr>
          <w:rFonts w:ascii="Verdana" w:eastAsia="Times New Roman" w:hAnsi="Verdana" w:cs="Arial"/>
          <w:lang w:val="es-MX" w:eastAsia="x-none"/>
        </w:rPr>
        <w:t xml:space="preserve">las excepciones a la restricción prevista en la Ley de Garantías Electorales, con fundamento en las cuales podrán las entidades públicas adelantar procedimientos de selección directa en períodos previos a la contienda electoral por la Presidencia, se encuentran consagradas de manera taxativa en el inciso final del citado artículo 33 de la Ley 996 de 2005 en lo referente a: i) la defensa y seguridad del Estado; </w:t>
      </w:r>
      <w:proofErr w:type="spellStart"/>
      <w:r w:rsidRPr="00F02C5A">
        <w:rPr>
          <w:rFonts w:ascii="Verdana" w:eastAsia="Times New Roman" w:hAnsi="Verdana" w:cs="Arial"/>
          <w:lang w:val="es-MX" w:eastAsia="x-none"/>
        </w:rPr>
        <w:t>ii</w:t>
      </w:r>
      <w:proofErr w:type="spellEnd"/>
      <w:r w:rsidRPr="00F02C5A">
        <w:rPr>
          <w:rFonts w:ascii="Verdana" w:eastAsia="Times New Roman" w:hAnsi="Verdana" w:cs="Arial"/>
          <w:lang w:val="es-MX" w:eastAsia="x-none"/>
        </w:rPr>
        <w:t xml:space="preserve">) los contratos de crédito público; </w:t>
      </w:r>
      <w:proofErr w:type="spellStart"/>
      <w:r w:rsidRPr="00F02C5A">
        <w:rPr>
          <w:rFonts w:ascii="Verdana" w:eastAsia="Times New Roman" w:hAnsi="Verdana" w:cs="Arial"/>
          <w:lang w:val="es-MX" w:eastAsia="x-none"/>
        </w:rPr>
        <w:t>iii</w:t>
      </w:r>
      <w:proofErr w:type="spellEnd"/>
      <w:r w:rsidRPr="00F02C5A">
        <w:rPr>
          <w:rFonts w:ascii="Verdana" w:eastAsia="Times New Roman" w:hAnsi="Verdana" w:cs="Arial"/>
          <w:lang w:val="es-MX" w:eastAsia="x-none"/>
        </w:rPr>
        <w:t xml:space="preserve">) los requeridos para cubrir las emergencias educativas, sanitarias y desastres; </w:t>
      </w:r>
      <w:proofErr w:type="spellStart"/>
      <w:r w:rsidRPr="00F02C5A">
        <w:rPr>
          <w:rFonts w:ascii="Verdana" w:eastAsia="Times New Roman" w:hAnsi="Verdana" w:cs="Arial"/>
          <w:lang w:val="es-MX" w:eastAsia="x-none"/>
        </w:rPr>
        <w:t>iv</w:t>
      </w:r>
      <w:proofErr w:type="spellEnd"/>
      <w:r w:rsidRPr="00F02C5A">
        <w:rPr>
          <w:rFonts w:ascii="Verdana" w:eastAsia="Times New Roman" w:hAnsi="Verdana" w:cs="Arial"/>
          <w:lang w:val="es-MX"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F02C5A">
        <w:rPr>
          <w:rFonts w:ascii="Verdana" w:eastAsia="Times New Roman" w:hAnsi="Verdana" w:cs="Arial"/>
          <w:lang w:val="es-MX" w:eastAsia="es-CO"/>
        </w:rPr>
        <w:t xml:space="preserve">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bookmarkEnd w:id="11"/>
    </w:p>
    <w:bookmarkEnd w:id="12"/>
    <w:p w14:paraId="05B6969A" w14:textId="77777777" w:rsidR="00890E1B" w:rsidRPr="00D42A84" w:rsidRDefault="00890E1B" w:rsidP="00890E1B">
      <w:pPr>
        <w:spacing w:after="0" w:line="276" w:lineRule="auto"/>
        <w:ind w:firstLine="709"/>
        <w:jc w:val="both"/>
        <w:rPr>
          <w:rFonts w:ascii="Verdana" w:eastAsia="Times New Roman" w:hAnsi="Verdana" w:cs="Arial"/>
          <w:lang w:val="es-MX" w:eastAsia="x-none"/>
        </w:rPr>
      </w:pPr>
      <w:r w:rsidRPr="00F02C5A">
        <w:rPr>
          <w:rFonts w:ascii="Verdana" w:eastAsia="Times New Roman" w:hAnsi="Verdana" w:cs="Arial"/>
          <w:lang w:val="es-MX" w:eastAsia="x-none"/>
        </w:rPr>
        <w:t>En esta labor es importante tener en cuenta, como lo anotó la Corte Constitucional, en Sentencia C-1153 de noviembre 11 de 2005</w:t>
      </w:r>
      <w:r w:rsidRPr="00F02C5A">
        <w:rPr>
          <w:rFonts w:ascii="Verdana" w:eastAsia="Calibri" w:hAnsi="Verdana" w:cs="Arial"/>
          <w:sz w:val="24"/>
          <w:lang w:val="es-MX"/>
        </w:rPr>
        <w:t>,</w:t>
      </w:r>
      <w:r w:rsidRPr="00F02C5A">
        <w:rPr>
          <w:rFonts w:ascii="Verdana" w:eastAsia="Times New Roman" w:hAnsi="Verdana" w:cs="Arial"/>
          <w:lang w:val="es-MX" w:eastAsia="x-none"/>
        </w:rPr>
        <w:t xml:space="preserve"> </w:t>
      </w:r>
      <w:bookmarkStart w:id="13" w:name="_Hlk74309042"/>
      <w:r w:rsidRPr="00F02C5A">
        <w:rPr>
          <w:rFonts w:ascii="Verdana" w:eastAsia="Times New Roman" w:hAnsi="Verdana" w:cs="Arial"/>
          <w:lang w:val="es-MX" w:eastAsia="x-none"/>
        </w:rPr>
        <w:t>que “</w:t>
      </w:r>
      <w:bookmarkEnd w:id="13"/>
      <w:r w:rsidRPr="00F02C5A">
        <w:rPr>
          <w:rFonts w:ascii="Verdana" w:eastAsia="Times New Roman" w:hAnsi="Verdana" w:cs="Arial"/>
          <w:lang w:val="es-MX" w:eastAsia="x-none"/>
        </w:rPr>
        <w:t xml:space="preserve">si bien la limitación garantiza la igualdad de condiciones, también es necesario que tal limitación que pretende la igualdad </w:t>
      </w:r>
      <w:bookmarkStart w:id="14" w:name="_Hlk75768308"/>
      <w:r w:rsidRPr="00F02C5A">
        <w:rPr>
          <w:rFonts w:ascii="Verdana" w:eastAsia="Times New Roman" w:hAnsi="Verdana" w:cs="Arial"/>
          <w:lang w:val="es-MX" w:eastAsia="x-none"/>
        </w:rPr>
        <w:t>no termine yendo en detrimento de intereses públicos, cuya garantía está en cabeza del ejecutivo, como son los inmersos en las excepciones para la prohibición de contratación”</w:t>
      </w:r>
      <w:r w:rsidRPr="00F02C5A">
        <w:rPr>
          <w:rFonts w:ascii="Verdana" w:eastAsia="Calibri" w:hAnsi="Verdana" w:cs="Arial"/>
          <w:vertAlign w:val="superscript"/>
          <w:lang w:val="es-MX"/>
        </w:rPr>
        <w:footnoteReference w:id="16"/>
      </w:r>
      <w:r w:rsidRPr="00F02C5A">
        <w:rPr>
          <w:rFonts w:ascii="Verdana" w:eastAsia="Times New Roman" w:hAnsi="Verdana" w:cs="Arial"/>
          <w:lang w:val="es-MX" w:eastAsia="x-none"/>
        </w:rPr>
        <w:t xml:space="preserve">. De ahí que la Corte haya hecho particular énfasis en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w:t>
      </w:r>
      <w:r w:rsidRPr="00F02C5A">
        <w:rPr>
          <w:rFonts w:ascii="Verdana" w:eastAsia="Times New Roman" w:hAnsi="Verdana" w:cs="Arial"/>
          <w:lang w:val="es-MX" w:eastAsia="es-CO"/>
        </w:rPr>
        <w:t>candidatos</w:t>
      </w:r>
      <w:r w:rsidRPr="00F02C5A">
        <w:rPr>
          <w:rFonts w:ascii="Verdana" w:eastAsia="Times New Roman" w:hAnsi="Verdana" w:cs="Arial"/>
          <w:lang w:val="es-MX" w:eastAsia="x-none"/>
        </w:rPr>
        <w:t xml:space="preserve"> como garantía electoral.</w:t>
      </w:r>
      <w:bookmarkEnd w:id="14"/>
    </w:p>
    <w:p w14:paraId="48BC53BB" w14:textId="77777777" w:rsidR="00890E1B" w:rsidRDefault="00890E1B" w:rsidP="00890E1B">
      <w:pPr>
        <w:spacing w:after="0" w:line="276" w:lineRule="auto"/>
        <w:jc w:val="both"/>
        <w:rPr>
          <w:rFonts w:ascii="Verdana" w:eastAsia="Times New Roman" w:hAnsi="Verdana" w:cs="Arial"/>
          <w:bCs/>
          <w:lang w:eastAsia="es-CO"/>
        </w:rPr>
      </w:pPr>
    </w:p>
    <w:p w14:paraId="7BE51934" w14:textId="77777777" w:rsidR="00890E1B" w:rsidRPr="00AA31F3" w:rsidRDefault="00890E1B" w:rsidP="00890E1B">
      <w:pPr>
        <w:spacing w:after="120" w:line="276" w:lineRule="auto"/>
        <w:jc w:val="both"/>
        <w:rPr>
          <w:rFonts w:ascii="Verdana" w:hAnsi="Verdana" w:cs="Arial"/>
          <w:lang w:val="es-ES"/>
        </w:rPr>
      </w:pPr>
      <w:proofErr w:type="spellStart"/>
      <w:r w:rsidRPr="00382CF7">
        <w:rPr>
          <w:rFonts w:ascii="Verdana" w:eastAsia="Times New Roman" w:hAnsi="Verdana" w:cs="Arial"/>
          <w:bCs/>
          <w:lang w:eastAsia="es-CO"/>
        </w:rPr>
        <w:t>ii</w:t>
      </w:r>
      <w:r>
        <w:rPr>
          <w:rFonts w:ascii="Verdana" w:eastAsia="Times New Roman" w:hAnsi="Verdana" w:cs="Arial"/>
          <w:bCs/>
          <w:lang w:eastAsia="es-CO"/>
        </w:rPr>
        <w:t>i</w:t>
      </w:r>
      <w:proofErr w:type="spellEnd"/>
      <w:r w:rsidRPr="009A4996">
        <w:rPr>
          <w:rFonts w:ascii="Verdana" w:eastAsia="Times New Roman" w:hAnsi="Verdana" w:cs="Arial"/>
          <w:bCs/>
          <w:lang w:eastAsia="es-CO"/>
        </w:rPr>
        <w:t xml:space="preserve">. </w:t>
      </w:r>
      <w:r w:rsidRPr="00AA31F3">
        <w:rPr>
          <w:rFonts w:ascii="Verdana" w:hAnsi="Verdana" w:cs="Arial"/>
          <w:lang w:val="es-ES"/>
        </w:rPr>
        <w:t xml:space="preserve">Ahora bien, respecto del alcance del parágrafo </w:t>
      </w:r>
      <w:r w:rsidRPr="00AA31F3">
        <w:rPr>
          <w:rFonts w:ascii="Verdana" w:hAnsi="Verdana" w:cs="Arial"/>
        </w:rPr>
        <w:t xml:space="preserve">del artículo 38 de la Ley 996 de 2005, esta prohibición dispone en primera medida que: “[l]os Gobernadores, Alcaldes Municipales y/o Distritales, Secretarios, Gerentes y directores de Entidades Descentralizadas del orden Municipal, Departamental o Distrital, dentro de los cuatro (4) meses anteriores a las elecciones, no podrán celebrar </w:t>
      </w:r>
      <w:r w:rsidRPr="00AA31F3">
        <w:rPr>
          <w:rFonts w:ascii="Verdana" w:hAnsi="Verdana" w:cs="Arial"/>
          <w:i/>
          <w:iCs/>
        </w:rPr>
        <w:t>convenios interadministrativos</w:t>
      </w:r>
      <w:r w:rsidRPr="00AA31F3">
        <w:rPr>
          <w:rFonts w:ascii="Verdana" w:hAnsi="Verdana" w:cs="Arial"/>
        </w:rPr>
        <w:t xml:space="preserve"> </w:t>
      </w:r>
      <w:r w:rsidRPr="00AA31F3">
        <w:rPr>
          <w:rFonts w:ascii="Verdana" w:hAnsi="Verdana" w:cs="Arial"/>
          <w:i/>
          <w:iCs/>
        </w:rPr>
        <w:t>para la ejecución de recursos públicos</w:t>
      </w:r>
      <w:r w:rsidRPr="00AA31F3">
        <w:rPr>
          <w:rFonts w:ascii="Verdana" w:hAnsi="Verdana" w:cs="Arial"/>
        </w:rPr>
        <w:t>”.</w:t>
      </w:r>
      <w:r w:rsidRPr="00AA31F3">
        <w:rPr>
          <w:rFonts w:ascii="Verdana" w:eastAsia="Times New Roman" w:hAnsi="Verdana" w:cs="Arial"/>
          <w:lang w:val="es-MX" w:eastAsia="x-none"/>
        </w:rPr>
        <w:t xml:space="preserve"> [Énfasis fuera del texto original]</w:t>
      </w:r>
    </w:p>
    <w:p w14:paraId="1F04CBCA" w14:textId="77777777" w:rsidR="00890E1B" w:rsidRPr="00AA31F3" w:rsidRDefault="00890E1B" w:rsidP="00890E1B">
      <w:pPr>
        <w:spacing w:after="120" w:line="276" w:lineRule="auto"/>
        <w:ind w:firstLine="709"/>
        <w:jc w:val="both"/>
        <w:rPr>
          <w:rFonts w:ascii="Verdana" w:hAnsi="Verdana" w:cs="Arial"/>
          <w:lang w:eastAsia="es-ES"/>
        </w:rPr>
      </w:pPr>
      <w:r w:rsidRPr="00AA31F3">
        <w:rPr>
          <w:rFonts w:ascii="Verdana" w:eastAsia="Times New Roman" w:hAnsi="Verdana" w:cs="Arial"/>
          <w:lang w:val="es-ES" w:eastAsia="es-ES"/>
        </w:rPr>
        <w:t xml:space="preserve">Para tales efectos, debe precisarse que </w:t>
      </w:r>
      <w:r w:rsidRPr="00AA31F3">
        <w:rPr>
          <w:rFonts w:ascii="Verdana" w:eastAsia="Times New Roman" w:hAnsi="Verdana" w:cs="Arial"/>
          <w:color w:val="000000" w:themeColor="text1"/>
          <w:lang w:val="es-ES" w:eastAsia="es-CO"/>
        </w:rPr>
        <w:t xml:space="preserve">los contratos o convenios interadministrativos están determinados por un criterio orgánico, pues es necesario que los extremos de la relación contractual sean entidades públicas, </w:t>
      </w:r>
      <w:r w:rsidRPr="00AA31F3">
        <w:rPr>
          <w:rFonts w:ascii="Verdana" w:hAnsi="Verdana" w:cs="Arial"/>
          <w:lang w:eastAsia="es-ES"/>
        </w:rPr>
        <w:t>independientemente de las normas que regulan la relación contractual. En este sentido, los convenios interadministrativos solo pueden ser celebrados entre entidades públicas, pues a éstas corresponde la realización de los fines y tareas que el legislador les ha asignado</w:t>
      </w:r>
      <w:r w:rsidRPr="00AA31F3">
        <w:rPr>
          <w:rFonts w:ascii="Verdana" w:hAnsi="Verdana" w:cs="Arial"/>
          <w:vertAlign w:val="superscript"/>
          <w:lang w:eastAsia="es-ES"/>
        </w:rPr>
        <w:footnoteReference w:id="17"/>
      </w:r>
      <w:r w:rsidRPr="00AA31F3">
        <w:rPr>
          <w:rFonts w:ascii="Verdana" w:hAnsi="Verdana" w:cs="Arial"/>
          <w:lang w:eastAsia="es-ES"/>
        </w:rPr>
        <w:t>.</w:t>
      </w:r>
    </w:p>
    <w:p w14:paraId="160ACD71" w14:textId="77777777" w:rsidR="00890E1B" w:rsidRPr="00AA31F3" w:rsidRDefault="00890E1B" w:rsidP="00890E1B">
      <w:pPr>
        <w:spacing w:after="120" w:line="276" w:lineRule="auto"/>
        <w:ind w:firstLine="709"/>
        <w:jc w:val="both"/>
        <w:rPr>
          <w:rFonts w:ascii="Verdana" w:hAnsi="Verdana" w:cs="Arial"/>
          <w:color w:val="000000" w:themeColor="text1"/>
          <w:lang w:val="es-ES_tradnl"/>
        </w:rPr>
      </w:pPr>
      <w:r w:rsidRPr="00AA31F3">
        <w:rPr>
          <w:rFonts w:ascii="Verdana" w:hAnsi="Verdana" w:cs="Arial"/>
          <w:color w:val="000000" w:themeColor="text1"/>
          <w:lang w:val="es-ES_tradnl"/>
        </w:rPr>
        <w:t>Si bien los contratos o convenios interadministrativos están previstos en la Ley 80 de 1993, en la Ley 1150 de 2007 y en el Decreto 1082 de 2015, no quiere decir que solo puedan celebrarse entre Entidades Estatales que apliquen el régimen de contratación allí previsto. En efecto, una Entidad Estatal de la Ley 80 de 1993 – como es el caso de un municipio – bien puede celebrar esta clase de convenios con una Entidad Estatal de régimen especial y no por ello dejará de ser un contrato o convenio interadministrativo.</w:t>
      </w:r>
    </w:p>
    <w:p w14:paraId="37781F59" w14:textId="77777777" w:rsidR="00890E1B" w:rsidRPr="00AA31F3" w:rsidRDefault="00890E1B" w:rsidP="00890E1B">
      <w:pPr>
        <w:spacing w:before="120" w:after="0" w:line="276" w:lineRule="auto"/>
        <w:ind w:firstLine="708"/>
        <w:jc w:val="both"/>
        <w:rPr>
          <w:rFonts w:ascii="Verdana" w:hAnsi="Verdana" w:cs="Arial"/>
          <w:lang w:val="es-ES_tradnl"/>
        </w:rPr>
      </w:pPr>
      <w:r w:rsidRPr="00AA31F3">
        <w:rPr>
          <w:rFonts w:ascii="Verdana" w:hAnsi="Verdana" w:cs="Arial"/>
          <w:lang w:val="es-ES"/>
        </w:rPr>
        <w:t>Un contrato o convenio interadministrativo no está determinado por la modalidad de selección utilizada para celebrarlo. La Ley 1150 de 2007 establece que pueden celebrarse directamente, siempre que las obligaciones derivadas del mismo tengan relación directa con el objeto de la entidad ejecutora, señalado en la ley o en sus reglamentos, a menos que, según las excepciones previstas en dicha Ley, deba adelantarse un procedimiento susceptible de pluralidad de oferentes</w:t>
      </w:r>
      <w:r w:rsidRPr="00AA31F3">
        <w:rPr>
          <w:rFonts w:ascii="Verdana" w:hAnsi="Verdana" w:cs="Arial"/>
          <w:vertAlign w:val="superscript"/>
          <w:lang w:val="es-ES"/>
        </w:rPr>
        <w:footnoteReference w:id="18"/>
      </w:r>
      <w:r w:rsidRPr="00AA31F3">
        <w:rPr>
          <w:rFonts w:ascii="Verdana" w:hAnsi="Verdana" w:cs="Arial"/>
          <w:lang w:val="es-ES"/>
        </w:rPr>
        <w:t>. Nótese que, en este caso, lo que cambia es la modalidad de selección y no la naturaleza de contrato interadministrativo.</w:t>
      </w:r>
    </w:p>
    <w:p w14:paraId="1657751F" w14:textId="77777777" w:rsidR="00890E1B" w:rsidRPr="00AA31F3" w:rsidRDefault="00890E1B" w:rsidP="00890E1B">
      <w:pPr>
        <w:spacing w:before="120" w:after="0" w:line="276" w:lineRule="auto"/>
        <w:ind w:firstLine="708"/>
        <w:jc w:val="both"/>
        <w:rPr>
          <w:rFonts w:ascii="Verdana" w:hAnsi="Verdana" w:cs="Arial"/>
          <w:lang w:val="es-ES_tradnl"/>
        </w:rPr>
      </w:pPr>
      <w:r w:rsidRPr="00AA31F3">
        <w:rPr>
          <w:rFonts w:ascii="Verdana" w:hAnsi="Verdana" w:cs="Arial"/>
          <w:lang w:val="es-ES"/>
        </w:rPr>
        <w:lastRenderedPageBreak/>
        <w:t>Además, es necesario tener en cuenta que para que un contrato o convenio interadministrativo exista debe cumplir con los siguientes elementos: acuerdo sobre el objeto y la contraprestación y que conste por escrito</w:t>
      </w:r>
      <w:r w:rsidRPr="00AA31F3">
        <w:rPr>
          <w:rFonts w:ascii="Verdana" w:hAnsi="Verdana" w:cs="Arial"/>
          <w:vertAlign w:val="superscript"/>
          <w:lang w:val="es-ES"/>
        </w:rPr>
        <w:footnoteReference w:id="19"/>
      </w:r>
      <w:r w:rsidRPr="00AA31F3">
        <w:rPr>
          <w:rFonts w:ascii="Verdana" w:hAnsi="Verdana" w:cs="Arial"/>
          <w:lang w:val="es-ES"/>
        </w:rPr>
        <w:t>. Entonces, si ambas partes son entidades estatales, pueden celebrar convenios interadministrativos, porque las disposiciones que regulan esta tipología hacen referencia a la calidad de los sujetos que intervienen en la contratación, que deben ser entidades estatales o de derecho público.</w:t>
      </w:r>
    </w:p>
    <w:p w14:paraId="3434ED4B" w14:textId="77777777" w:rsidR="00890E1B" w:rsidRPr="00AA31F3" w:rsidRDefault="00890E1B" w:rsidP="00890E1B">
      <w:pPr>
        <w:spacing w:before="120" w:after="0" w:line="276" w:lineRule="auto"/>
        <w:ind w:firstLine="708"/>
        <w:jc w:val="both"/>
        <w:rPr>
          <w:rFonts w:ascii="Verdana" w:hAnsi="Verdana"/>
          <w:sz w:val="24"/>
          <w:szCs w:val="24"/>
          <w:lang w:eastAsia="es-CO"/>
        </w:rPr>
      </w:pPr>
      <w:r w:rsidRPr="00AA31F3">
        <w:rPr>
          <w:rFonts w:ascii="Verdana" w:hAnsi="Verdana" w:cs="Arial"/>
          <w:lang w:val="es-ES"/>
        </w:rPr>
        <w:t>Sobre este aspecto, se resalta que la Corte Constitucional señaló en la Sentencia C–671 de 2015 que “Lo que hace interadministrativo a un contrato o convenio no es el procedimiento de selección aplicable, sino la calidad de los sujetos contratantes, esto es que las dos partes de la relación jurídica contractual formen parte de la administración pública”. Así las cosas, atendiendo a la literalidad de las normas enunciadas, no cabe una interpretación diferente</w:t>
      </w:r>
      <w:r w:rsidRPr="00AA31F3">
        <w:rPr>
          <w:rFonts w:ascii="Verdana" w:hAnsi="Verdana" w:cs="Arial"/>
          <w:vertAlign w:val="superscript"/>
          <w:lang w:val="es-ES"/>
        </w:rPr>
        <w:footnoteReference w:id="20"/>
      </w:r>
      <w:r w:rsidRPr="00AA31F3">
        <w:rPr>
          <w:rFonts w:ascii="Verdana" w:hAnsi="Verdana" w:cs="Arial"/>
          <w:lang w:val="es-ES"/>
        </w:rPr>
        <w:t>, pues, de acuerdo con lo anotado, esta clase de acuerdos de voluntades se definen por un criterio orgánico, por lo que uno de sus elementos esenciales es que en los extremos de la relación jurídico negocial concurran personas de derecho público</w:t>
      </w:r>
      <w:r w:rsidRPr="00AA31F3">
        <w:rPr>
          <w:rFonts w:ascii="Verdana" w:hAnsi="Verdana"/>
          <w:sz w:val="24"/>
          <w:szCs w:val="24"/>
          <w:lang w:eastAsia="es-CO"/>
        </w:rPr>
        <w:t>.</w:t>
      </w:r>
    </w:p>
    <w:p w14:paraId="6D803793" w14:textId="77777777" w:rsidR="00890E1B" w:rsidRPr="00AA31F3" w:rsidRDefault="00890E1B" w:rsidP="00890E1B">
      <w:pPr>
        <w:spacing w:before="120" w:after="0" w:line="276" w:lineRule="auto"/>
        <w:ind w:firstLine="708"/>
        <w:jc w:val="both"/>
        <w:rPr>
          <w:rFonts w:ascii="Verdana" w:eastAsia="Times New Roman" w:hAnsi="Verdana" w:cs="Arial"/>
          <w:lang w:val="es-MX" w:eastAsia="es-CO"/>
        </w:rPr>
      </w:pPr>
      <w:r w:rsidRPr="00AA31F3">
        <w:rPr>
          <w:rFonts w:ascii="Verdana" w:eastAsia="Arial" w:hAnsi="Verdana" w:cs="Arial"/>
          <w:lang w:val="es-MX" w:eastAsia="es-ES" w:bidi="es-ES"/>
        </w:rPr>
        <w:t>De esta manera, se</w:t>
      </w:r>
      <w:r w:rsidRPr="00AA31F3">
        <w:rPr>
          <w:rFonts w:ascii="Verdana" w:eastAsia="Times New Roman" w:hAnsi="Verdana" w:cs="Arial"/>
          <w:lang w:eastAsia="es-CO"/>
        </w:rPr>
        <w:t xml:space="preserve"> observa entonces que </w:t>
      </w:r>
      <w:r w:rsidRPr="00AA31F3">
        <w:rPr>
          <w:rFonts w:ascii="Verdana" w:eastAsia="Times New Roman" w:hAnsi="Verdana" w:cs="Arial"/>
          <w:lang w:val="es-MX" w:eastAsia="es-CO"/>
        </w:rPr>
        <w:t xml:space="preserve">el parágrafo del artículo 38 de la Ley 996 de 2005 prohíbe a los Alcaldes, Gobernadores, Secretarios, Gerentes y Directores de las entidades del orden municipal, departamental o distrital celebrar </w:t>
      </w:r>
      <w:r w:rsidRPr="00AA31F3">
        <w:rPr>
          <w:rFonts w:ascii="Verdana" w:eastAsia="Times New Roman" w:hAnsi="Verdana" w:cs="Arial"/>
          <w:i/>
          <w:iCs/>
          <w:lang w:val="es-MX" w:eastAsia="es-CO"/>
        </w:rPr>
        <w:t>convenios interadministrativos</w:t>
      </w:r>
      <w:r w:rsidRPr="00AA31F3">
        <w:rPr>
          <w:rFonts w:ascii="Verdana" w:eastAsia="Times New Roman" w:hAnsi="Verdana" w:cs="Arial"/>
          <w:lang w:val="es-MX" w:eastAsia="es-CO"/>
        </w:rPr>
        <w:t xml:space="preserve"> para la ejecución de recursos públicos. En este sentido, si una o ambas partes de la relación contractual es una entidad de aquellas descritas en el parágrafo </w:t>
      </w:r>
      <w:r w:rsidRPr="00AA31F3">
        <w:rPr>
          <w:rFonts w:ascii="Verdana" w:eastAsia="Times New Roman" w:hAnsi="Verdana" w:cs="Arial"/>
          <w:i/>
          <w:lang w:val="es-MX" w:eastAsia="es-CO"/>
        </w:rPr>
        <w:t>ibidem</w:t>
      </w:r>
      <w:r w:rsidRPr="00AA31F3">
        <w:rPr>
          <w:rFonts w:ascii="Verdana" w:eastAsia="Times New Roman" w:hAnsi="Verdana" w:cs="Arial"/>
          <w:lang w:val="es-MX" w:eastAsia="es-CO"/>
        </w:rPr>
        <w:t xml:space="preserve">, no podrá celebrar tales </w:t>
      </w:r>
      <w:r w:rsidRPr="00AA31F3">
        <w:rPr>
          <w:rFonts w:ascii="Verdana" w:eastAsia="Times New Roman" w:hAnsi="Verdana" w:cs="Arial"/>
          <w:i/>
          <w:iCs/>
          <w:lang w:val="es-MX" w:eastAsia="es-CO"/>
        </w:rPr>
        <w:t>convenios</w:t>
      </w:r>
      <w:r w:rsidRPr="00AA31F3">
        <w:rPr>
          <w:rFonts w:ascii="Verdana" w:eastAsia="Times New Roman" w:hAnsi="Verdana" w:cs="Arial"/>
          <w:lang w:val="es-MX" w:eastAsia="es-CO"/>
        </w:rPr>
        <w:t xml:space="preserve"> durante la aplicación de la Ley de Garantías Electorales, toda vez que la citada </w:t>
      </w:r>
      <w:r w:rsidRPr="00AA31F3">
        <w:rPr>
          <w:rFonts w:ascii="Verdana" w:eastAsia="Times New Roman" w:hAnsi="Verdana" w:cs="Arial"/>
          <w:lang w:val="es-MX" w:eastAsia="es-CO"/>
        </w:rPr>
        <w:lastRenderedPageBreak/>
        <w:t xml:space="preserve">disposición hace referencia a dicha tipología contractual sin que el legislador hubiere contemplado un efecto extensivo a otra tipología. </w:t>
      </w:r>
    </w:p>
    <w:p w14:paraId="6AE100BB" w14:textId="77777777" w:rsidR="00890E1B" w:rsidRPr="00AA31F3" w:rsidRDefault="00890E1B" w:rsidP="00890E1B">
      <w:pPr>
        <w:spacing w:before="120" w:after="0" w:line="276" w:lineRule="auto"/>
        <w:ind w:firstLine="708"/>
        <w:jc w:val="both"/>
        <w:rPr>
          <w:rFonts w:ascii="Verdana" w:eastAsia="Times New Roman" w:hAnsi="Verdana" w:cs="Arial"/>
          <w:lang w:eastAsia="es-CO"/>
        </w:rPr>
      </w:pPr>
      <w:r w:rsidRPr="00AA31F3">
        <w:rPr>
          <w:rFonts w:ascii="Verdana" w:eastAsia="Times New Roman" w:hAnsi="Verdana" w:cs="Arial"/>
          <w:lang w:val="es-MX" w:eastAsia="es-CO"/>
        </w:rPr>
        <w:t xml:space="preserve">Respecto del alcance de esta prohibición la Circular Externa No. 006 de 2025 expedida por la ANCP -CCE, en los literales </w:t>
      </w:r>
      <w:proofErr w:type="spellStart"/>
      <w:r w:rsidRPr="00AA31F3">
        <w:rPr>
          <w:rFonts w:ascii="Verdana" w:eastAsia="Times New Roman" w:hAnsi="Verdana" w:cs="Arial"/>
          <w:lang w:val="es-MX" w:eastAsia="es-CO"/>
        </w:rPr>
        <w:t>ii</w:t>
      </w:r>
      <w:proofErr w:type="spellEnd"/>
      <w:r w:rsidRPr="00AA31F3">
        <w:rPr>
          <w:rFonts w:ascii="Verdana" w:eastAsia="Times New Roman" w:hAnsi="Verdana" w:cs="Arial"/>
          <w:lang w:val="es-MX" w:eastAsia="es-CO"/>
        </w:rPr>
        <w:t xml:space="preserve">) y </w:t>
      </w:r>
      <w:proofErr w:type="spellStart"/>
      <w:r w:rsidRPr="00AA31F3">
        <w:rPr>
          <w:rFonts w:ascii="Verdana" w:eastAsia="Times New Roman" w:hAnsi="Verdana" w:cs="Arial"/>
          <w:lang w:val="es-MX" w:eastAsia="es-CO"/>
        </w:rPr>
        <w:t>iv</w:t>
      </w:r>
      <w:proofErr w:type="spellEnd"/>
      <w:r w:rsidRPr="00AA31F3">
        <w:rPr>
          <w:rFonts w:ascii="Verdana" w:eastAsia="Times New Roman" w:hAnsi="Verdana" w:cs="Arial"/>
          <w:lang w:val="es-MX" w:eastAsia="es-CO"/>
        </w:rPr>
        <w:t>) del numeral 2</w:t>
      </w:r>
      <w:r w:rsidRPr="00AA31F3">
        <w:rPr>
          <w:rFonts w:ascii="Verdana" w:eastAsia="Times New Roman" w:hAnsi="Verdana" w:cs="Arial"/>
          <w:lang w:eastAsia="es-CO"/>
        </w:rPr>
        <w:t>,</w:t>
      </w:r>
      <w:r w:rsidRPr="00AA31F3">
        <w:rPr>
          <w:rFonts w:ascii="Verdana" w:eastAsia="Times New Roman" w:hAnsi="Verdana" w:cs="Arial"/>
          <w:lang w:val="es-MX" w:eastAsia="es-CO"/>
        </w:rPr>
        <w:t xml:space="preserve"> indica que el </w:t>
      </w:r>
      <w:r w:rsidRPr="00AA31F3">
        <w:rPr>
          <w:rFonts w:ascii="Verdana" w:eastAsia="Times New Roman" w:hAnsi="Verdana" w:cs="Arial"/>
          <w:lang w:eastAsia="es-CO"/>
        </w:rPr>
        <w:t xml:space="preserve">parágrafo del artículo 38 de la Ley 996 de 2005 cobija expresamente a los </w:t>
      </w:r>
      <w:r w:rsidRPr="00AA31F3">
        <w:rPr>
          <w:rFonts w:ascii="Verdana" w:eastAsia="Times New Roman" w:hAnsi="Verdana" w:cs="Arial"/>
          <w:i/>
          <w:iCs/>
          <w:lang w:eastAsia="es-CO"/>
        </w:rPr>
        <w:t>convenios interadministrativos</w:t>
      </w:r>
      <w:r w:rsidRPr="00AA31F3">
        <w:rPr>
          <w:rFonts w:ascii="Verdana" w:eastAsia="Times New Roman" w:hAnsi="Verdana" w:cs="Arial"/>
          <w:lang w:eastAsia="es-CO"/>
        </w:rPr>
        <w:t xml:space="preserve"> en los que se contemple la ejecución de recursos públicos. Además, precisa que el parágrafo referido no estableció ningún supuesto que exceptúe la aplicación de esta prohibición, por lo que la restricción referida a la celebración de convenios interadministrativos aplicará a los sujetos allí señalados, </w:t>
      </w:r>
      <w:r w:rsidRPr="00AA31F3">
        <w:rPr>
          <w:rFonts w:ascii="Verdana" w:eastAsia="Times New Roman" w:hAnsi="Verdana" w:cs="Arial"/>
          <w:i/>
          <w:iCs/>
          <w:lang w:eastAsia="es-CO"/>
        </w:rPr>
        <w:t>“aunque se configure alguno de los supuestos de excepción que señaló el inciso final del artículo 33”.</w:t>
      </w:r>
      <w:r w:rsidRPr="00AA31F3">
        <w:rPr>
          <w:rFonts w:ascii="Verdana" w:eastAsia="Times New Roman" w:hAnsi="Verdana" w:cs="Arial"/>
          <w:lang w:eastAsia="es-CO"/>
        </w:rPr>
        <w:t xml:space="preserve"> </w:t>
      </w:r>
    </w:p>
    <w:p w14:paraId="54E5E95D" w14:textId="77777777" w:rsidR="00890E1B" w:rsidRPr="00AA31F3" w:rsidRDefault="00890E1B" w:rsidP="00890E1B">
      <w:pPr>
        <w:spacing w:before="120" w:after="0" w:line="276" w:lineRule="auto"/>
        <w:ind w:firstLine="708"/>
        <w:jc w:val="both"/>
        <w:rPr>
          <w:rFonts w:ascii="Verdana" w:eastAsia="Times New Roman" w:hAnsi="Verdana" w:cs="Arial"/>
          <w:lang w:val="es-MX" w:eastAsia="es-CO"/>
        </w:rPr>
      </w:pPr>
      <w:r w:rsidRPr="00AA31F3">
        <w:rPr>
          <w:rFonts w:ascii="Verdana" w:eastAsia="Times New Roman" w:hAnsi="Verdana" w:cs="Arial"/>
          <w:lang w:eastAsia="es-CO"/>
        </w:rPr>
        <w:t xml:space="preserve">Sin embargo, es importante tener en cuenta que el ámbito de aplicación de la restricción prevista en el parágrafo del artículo 38 de la Ley 996 de 2005 solo se extiende a los </w:t>
      </w:r>
      <w:r w:rsidRPr="00AA31F3">
        <w:rPr>
          <w:rFonts w:ascii="Verdana" w:eastAsia="Times New Roman" w:hAnsi="Verdana" w:cs="Arial"/>
          <w:i/>
          <w:iCs/>
          <w:lang w:eastAsia="es-CO"/>
        </w:rPr>
        <w:t>convenios interadministrativos</w:t>
      </w:r>
      <w:r w:rsidRPr="00AA31F3">
        <w:rPr>
          <w:rFonts w:ascii="Verdana" w:eastAsia="Times New Roman" w:hAnsi="Verdana" w:cs="Arial"/>
          <w:lang w:eastAsia="es-CO"/>
        </w:rPr>
        <w:t xml:space="preserve"> en los que se contemple la </w:t>
      </w:r>
      <w:r w:rsidRPr="00AA31F3">
        <w:rPr>
          <w:rFonts w:ascii="Verdana" w:eastAsia="Times New Roman" w:hAnsi="Verdana" w:cs="Arial"/>
          <w:i/>
          <w:iCs/>
          <w:lang w:eastAsia="es-CO"/>
        </w:rPr>
        <w:t>ejecución de recursos públicos</w:t>
      </w:r>
      <w:r w:rsidRPr="00AA31F3">
        <w:rPr>
          <w:rFonts w:ascii="Verdana" w:eastAsia="Times New Roman" w:hAnsi="Verdana" w:cs="Arial"/>
          <w:lang w:eastAsia="es-CO"/>
        </w:rPr>
        <w:t xml:space="preserve">. Esto significa que la prohibición no resulta aplicable a </w:t>
      </w:r>
      <w:r w:rsidRPr="00AA31F3">
        <w:rPr>
          <w:rFonts w:ascii="Verdana" w:eastAsia="Times New Roman" w:hAnsi="Verdana" w:cs="Arial"/>
          <w:i/>
          <w:iCs/>
          <w:lang w:eastAsia="es-CO"/>
        </w:rPr>
        <w:t>convenios interadministrativos a título gratuito,</w:t>
      </w:r>
      <w:r w:rsidRPr="00AA31F3">
        <w:rPr>
          <w:rFonts w:ascii="Verdana" w:eastAsia="Times New Roman" w:hAnsi="Verdana" w:cs="Arial"/>
          <w:lang w:eastAsia="es-CO"/>
        </w:rPr>
        <w:t xml:space="preserve"> los cuales pueden celebrarse válidamente durante la vigencia de la mencionada restricción. </w:t>
      </w:r>
    </w:p>
    <w:p w14:paraId="13367020" w14:textId="77777777" w:rsidR="00890E1B" w:rsidRPr="00AA31F3" w:rsidRDefault="00890E1B" w:rsidP="00890E1B">
      <w:pPr>
        <w:spacing w:before="120" w:after="0" w:line="276" w:lineRule="auto"/>
        <w:ind w:firstLine="708"/>
        <w:jc w:val="both"/>
        <w:rPr>
          <w:rFonts w:ascii="Verdana" w:eastAsia="Times New Roman" w:hAnsi="Verdana" w:cs="Arial"/>
          <w:lang w:eastAsia="es-CO"/>
        </w:rPr>
      </w:pPr>
      <w:r w:rsidRPr="00AA31F3">
        <w:rPr>
          <w:rFonts w:ascii="Verdana" w:eastAsia="Times New Roman" w:hAnsi="Verdana" w:cs="Arial"/>
          <w:lang w:eastAsia="es-CO"/>
        </w:rPr>
        <w:t xml:space="preserve">De esta manera, conforme a lo dispuesto en la Circular referida, si se suscriben </w:t>
      </w:r>
      <w:r w:rsidRPr="00AA31F3">
        <w:rPr>
          <w:rFonts w:ascii="Verdana" w:eastAsia="Times New Roman" w:hAnsi="Verdana" w:cs="Arial"/>
          <w:i/>
          <w:iCs/>
          <w:lang w:eastAsia="es-CO"/>
        </w:rPr>
        <w:t>convenios interadministrativos para la ejecución de recursos públicos</w:t>
      </w:r>
      <w:r w:rsidRPr="00AA31F3">
        <w:rPr>
          <w:rFonts w:ascii="Verdana" w:eastAsia="Times New Roman" w:hAnsi="Verdana" w:cs="Arial"/>
          <w:lang w:eastAsia="es-CO"/>
        </w:rPr>
        <w:t xml:space="preserve"> por los alcaldes, gobernadores, secretarios, gerentes y directores de las entidades del orden municipal, departamental o distrital, aplicará la prohibición del parágrafo del artículo 38 </w:t>
      </w:r>
      <w:r w:rsidRPr="00AA31F3">
        <w:rPr>
          <w:rFonts w:ascii="Verdana" w:eastAsia="Times New Roman" w:hAnsi="Verdana" w:cs="Arial"/>
          <w:i/>
          <w:iCs/>
          <w:lang w:eastAsia="es-CO"/>
        </w:rPr>
        <w:t>ibidem</w:t>
      </w:r>
      <w:r w:rsidRPr="00AA31F3">
        <w:rPr>
          <w:rFonts w:ascii="Verdana" w:eastAsia="Times New Roman" w:hAnsi="Verdana" w:cs="Arial"/>
          <w:lang w:eastAsia="es-CO"/>
        </w:rPr>
        <w:t>, independientemente de que se configure alguno de los supuestos de excepción que señaló el inciso final del artículo 33, es decir, que se trate de:</w:t>
      </w:r>
      <w:r w:rsidRPr="00AA31F3">
        <w:rPr>
          <w:rFonts w:ascii="Verdana" w:hAnsi="Verdana" w:cs="Arial"/>
          <w:bCs/>
          <w:lang w:val="es-MX" w:eastAsia="x-none"/>
        </w:rPr>
        <w:t xml:space="preserve"> i) la defensa y seguridad del Estado; </w:t>
      </w:r>
      <w:proofErr w:type="spellStart"/>
      <w:r w:rsidRPr="00AA31F3">
        <w:rPr>
          <w:rFonts w:ascii="Verdana" w:hAnsi="Verdana" w:cs="Arial"/>
          <w:bCs/>
          <w:lang w:val="es-MX" w:eastAsia="x-none"/>
        </w:rPr>
        <w:t>ii</w:t>
      </w:r>
      <w:proofErr w:type="spellEnd"/>
      <w:r w:rsidRPr="00AA31F3">
        <w:rPr>
          <w:rFonts w:ascii="Verdana" w:hAnsi="Verdana" w:cs="Arial"/>
          <w:bCs/>
          <w:lang w:val="es-MX" w:eastAsia="x-none"/>
        </w:rPr>
        <w:t xml:space="preserve">) los contratos de crédito público; </w:t>
      </w:r>
      <w:proofErr w:type="spellStart"/>
      <w:r w:rsidRPr="00AA31F3">
        <w:rPr>
          <w:rFonts w:ascii="Verdana" w:hAnsi="Verdana" w:cs="Arial"/>
          <w:bCs/>
          <w:lang w:val="es-MX" w:eastAsia="x-none"/>
        </w:rPr>
        <w:t>iii</w:t>
      </w:r>
      <w:proofErr w:type="spellEnd"/>
      <w:r w:rsidRPr="00AA31F3">
        <w:rPr>
          <w:rFonts w:ascii="Verdana" w:hAnsi="Verdana" w:cs="Arial"/>
          <w:bCs/>
          <w:lang w:val="es-MX" w:eastAsia="x-none"/>
        </w:rPr>
        <w:t xml:space="preserve">) los requeridos para cubrir las emergencias educativas, sanitarias y desastres; </w:t>
      </w:r>
      <w:proofErr w:type="spellStart"/>
      <w:r w:rsidRPr="00AA31F3">
        <w:rPr>
          <w:rFonts w:ascii="Verdana" w:hAnsi="Verdana" w:cs="Arial"/>
          <w:bCs/>
          <w:lang w:val="es-MX" w:eastAsia="x-none"/>
        </w:rPr>
        <w:t>iv</w:t>
      </w:r>
      <w:proofErr w:type="spellEnd"/>
      <w:r w:rsidRPr="00AA31F3">
        <w:rPr>
          <w:rFonts w:ascii="Verdana" w:hAnsi="Verdana" w:cs="Arial"/>
          <w:bCs/>
          <w:lang w:val="es-MX"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AA31F3">
        <w:rPr>
          <w:rFonts w:ascii="Verdana" w:hAnsi="Verdana" w:cs="Arial"/>
          <w:bCs/>
          <w:lang w:val="es-MX" w:eastAsia="es-CO"/>
        </w:rPr>
        <w:t xml:space="preserve"> </w:t>
      </w:r>
      <w:r w:rsidRPr="00AA31F3">
        <w:rPr>
          <w:rFonts w:ascii="Verdana" w:eastAsia="Times New Roman" w:hAnsi="Verdana" w:cs="Arial"/>
          <w:lang w:eastAsia="es-CO"/>
        </w:rPr>
        <w:t xml:space="preserve">  </w:t>
      </w:r>
    </w:p>
    <w:p w14:paraId="2A783F36" w14:textId="77777777" w:rsidR="00890E1B" w:rsidRPr="00AA31F3" w:rsidRDefault="00890E1B" w:rsidP="00890E1B">
      <w:pPr>
        <w:spacing w:before="120" w:after="0" w:line="276" w:lineRule="auto"/>
        <w:ind w:firstLine="708"/>
        <w:jc w:val="both"/>
        <w:rPr>
          <w:rFonts w:ascii="Verdana" w:eastAsia="Times New Roman" w:hAnsi="Verdana" w:cs="Arial"/>
          <w:lang w:eastAsia="es-CO"/>
        </w:rPr>
      </w:pPr>
      <w:r w:rsidRPr="00AA31F3">
        <w:rPr>
          <w:rFonts w:ascii="Verdana" w:eastAsia="Times New Roman" w:hAnsi="Verdana" w:cs="Arial"/>
          <w:lang w:eastAsia="es-CO"/>
        </w:rPr>
        <w:t xml:space="preserve">En este punto, teniendo en cuenta lo señalado en el contenido de su petición, vale la pena destacar que </w:t>
      </w:r>
      <w:r w:rsidRPr="00AA31F3">
        <w:rPr>
          <w:rFonts w:ascii="Verdana" w:eastAsia="Arial" w:hAnsi="Verdana" w:cs="Arial"/>
          <w:lang w:val="es-MX" w:eastAsia="es-ES" w:bidi="es-ES"/>
        </w:rPr>
        <w:t xml:space="preserve">mediante auto de 4 de octubre del 2024, el Consejo de Estado, Subsección C de la Sección Tercera, decretó medida de suspensión provisional parcial del </w:t>
      </w:r>
      <w:r w:rsidRPr="00AA31F3">
        <w:rPr>
          <w:rFonts w:ascii="Verdana" w:hAnsi="Verdana" w:cs="Arial"/>
        </w:rPr>
        <w:t xml:space="preserve">numeral 16.2 de la Circular Externa Única de 2022 expedida por la Agencia Nacional de Contratación Pública -Colombia </w:t>
      </w:r>
      <w:r w:rsidRPr="00AA31F3">
        <w:rPr>
          <w:rFonts w:ascii="Verdana" w:hAnsi="Verdana" w:cs="Arial"/>
        </w:rPr>
        <w:lastRenderedPageBreak/>
        <w:t>Compra Eficiente-, concretamente, respecto de los siguientes apartes normativos</w:t>
      </w:r>
      <w:r w:rsidRPr="00AA31F3">
        <w:rPr>
          <w:rFonts w:ascii="Verdana" w:hAnsi="Verdana" w:cs="Arial"/>
          <w:vertAlign w:val="superscript"/>
        </w:rPr>
        <w:footnoteReference w:id="21"/>
      </w:r>
      <w:r w:rsidRPr="00AA31F3">
        <w:rPr>
          <w:rFonts w:ascii="Verdana" w:hAnsi="Verdana" w:cs="Arial"/>
        </w:rPr>
        <w:t xml:space="preserve">: </w:t>
      </w:r>
    </w:p>
    <w:p w14:paraId="621DCE4F" w14:textId="77777777" w:rsidR="00890E1B" w:rsidRPr="00AA31F3" w:rsidRDefault="00890E1B" w:rsidP="00890E1B">
      <w:pPr>
        <w:spacing w:after="0" w:line="276" w:lineRule="auto"/>
        <w:ind w:firstLine="709"/>
        <w:jc w:val="both"/>
        <w:rPr>
          <w:rFonts w:ascii="Verdana" w:hAnsi="Verdana" w:cs="Arial"/>
        </w:rPr>
      </w:pPr>
    </w:p>
    <w:p w14:paraId="2C80A8C8" w14:textId="77777777" w:rsidR="00890E1B" w:rsidRPr="00AA31F3" w:rsidRDefault="00890E1B" w:rsidP="00890E1B">
      <w:pPr>
        <w:spacing w:after="0" w:line="240" w:lineRule="auto"/>
        <w:ind w:left="709" w:right="709"/>
        <w:jc w:val="both"/>
        <w:rPr>
          <w:rFonts w:ascii="Verdana" w:hAnsi="Verdana" w:cs="Arial"/>
          <w:sz w:val="20"/>
          <w:szCs w:val="20"/>
        </w:rPr>
      </w:pPr>
      <w:r w:rsidRPr="00AA31F3">
        <w:rPr>
          <w:rFonts w:ascii="Verdana" w:hAnsi="Verdana" w:cs="Arial"/>
          <w:sz w:val="20"/>
          <w:szCs w:val="20"/>
          <w:lang w:val="es-MX"/>
        </w:rPr>
        <w:t>“i)</w:t>
      </w:r>
      <w:r w:rsidRPr="00AA31F3">
        <w:rPr>
          <w:rFonts w:ascii="Verdana" w:hAnsi="Verdana" w:cs="Arial"/>
          <w:sz w:val="20"/>
          <w:szCs w:val="20"/>
        </w:rPr>
        <w:t xml:space="preserve"> el inciso segundo 2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w:t>
      </w:r>
    </w:p>
    <w:p w14:paraId="5ED7D2B4" w14:textId="77777777" w:rsidR="00890E1B" w:rsidRPr="00AA31F3" w:rsidRDefault="00890E1B" w:rsidP="00890E1B">
      <w:pPr>
        <w:spacing w:after="0" w:line="240" w:lineRule="auto"/>
        <w:ind w:left="709" w:right="709"/>
        <w:jc w:val="both"/>
        <w:rPr>
          <w:rFonts w:ascii="Verdana" w:hAnsi="Verdana" w:cs="Arial"/>
          <w:sz w:val="20"/>
          <w:szCs w:val="20"/>
        </w:rPr>
      </w:pPr>
    </w:p>
    <w:p w14:paraId="18BB1943" w14:textId="77777777" w:rsidR="00890E1B" w:rsidRPr="00AA31F3" w:rsidRDefault="00890E1B" w:rsidP="00890E1B">
      <w:pPr>
        <w:spacing w:after="0" w:line="240" w:lineRule="auto"/>
        <w:ind w:left="709" w:right="709"/>
        <w:jc w:val="both"/>
        <w:rPr>
          <w:rFonts w:ascii="Verdana" w:hAnsi="Verdana" w:cs="Arial"/>
          <w:sz w:val="20"/>
          <w:szCs w:val="20"/>
        </w:rPr>
      </w:pPr>
      <w:proofErr w:type="spellStart"/>
      <w:r w:rsidRPr="00AA31F3">
        <w:rPr>
          <w:rFonts w:ascii="Verdana" w:hAnsi="Verdana" w:cs="Arial"/>
          <w:sz w:val="20"/>
          <w:szCs w:val="20"/>
        </w:rPr>
        <w:t>ii</w:t>
      </w:r>
      <w:proofErr w:type="spellEnd"/>
      <w:r w:rsidRPr="00AA31F3">
        <w:rPr>
          <w:rFonts w:ascii="Verdana" w:hAnsi="Verdana" w:cs="Arial"/>
          <w:sz w:val="20"/>
          <w:szCs w:val="20"/>
        </w:rPr>
        <w:t xml:space="preserve">) la expresión y el siguiente párrafo contenidos en el inciso cuarto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 </w:t>
      </w:r>
    </w:p>
    <w:p w14:paraId="5CC4D8F5" w14:textId="77777777" w:rsidR="00890E1B" w:rsidRPr="00AA31F3" w:rsidRDefault="00890E1B" w:rsidP="00890E1B">
      <w:pPr>
        <w:spacing w:after="0" w:line="276" w:lineRule="auto"/>
        <w:ind w:left="709" w:right="709"/>
        <w:jc w:val="both"/>
        <w:rPr>
          <w:rFonts w:ascii="Verdana" w:hAnsi="Verdana" w:cs="Arial"/>
        </w:rPr>
      </w:pPr>
    </w:p>
    <w:p w14:paraId="06C422FF" w14:textId="77777777" w:rsidR="00890E1B" w:rsidRDefault="00890E1B" w:rsidP="00890E1B">
      <w:pPr>
        <w:spacing w:after="120" w:line="276" w:lineRule="auto"/>
        <w:ind w:firstLine="709"/>
        <w:jc w:val="both"/>
        <w:rPr>
          <w:rFonts w:ascii="Verdana" w:eastAsia="Arial" w:hAnsi="Verdana" w:cs="Arial"/>
          <w:lang w:val="es-MX" w:eastAsia="es-ES" w:bidi="es-ES"/>
        </w:rPr>
      </w:pPr>
    </w:p>
    <w:p w14:paraId="2D7F4B02" w14:textId="77777777" w:rsidR="00890E1B" w:rsidRDefault="00890E1B" w:rsidP="00890E1B">
      <w:pPr>
        <w:spacing w:after="120" w:line="276" w:lineRule="auto"/>
        <w:ind w:firstLine="709"/>
        <w:jc w:val="both"/>
        <w:rPr>
          <w:rFonts w:ascii="Verdana" w:eastAsia="Arial" w:hAnsi="Verdana" w:cs="Arial"/>
          <w:lang w:val="es-MX" w:eastAsia="es-ES" w:bidi="es-ES"/>
        </w:rPr>
      </w:pPr>
    </w:p>
    <w:p w14:paraId="076D5250" w14:textId="77777777" w:rsidR="00890E1B" w:rsidRDefault="00890E1B" w:rsidP="00890E1B">
      <w:pPr>
        <w:spacing w:after="120" w:line="276" w:lineRule="auto"/>
        <w:ind w:firstLine="709"/>
        <w:jc w:val="both"/>
        <w:rPr>
          <w:rFonts w:ascii="Verdana" w:eastAsia="Arial" w:hAnsi="Verdana" w:cs="Arial"/>
          <w:lang w:val="es-MX" w:eastAsia="es-ES" w:bidi="es-ES"/>
        </w:rPr>
      </w:pPr>
    </w:p>
    <w:p w14:paraId="07FB7E97" w14:textId="77777777" w:rsidR="00890E1B" w:rsidRPr="00AA31F3" w:rsidRDefault="00890E1B" w:rsidP="00890E1B">
      <w:pPr>
        <w:spacing w:after="120" w:line="276" w:lineRule="auto"/>
        <w:ind w:firstLine="709"/>
        <w:jc w:val="both"/>
        <w:rPr>
          <w:rFonts w:ascii="Verdana" w:eastAsia="Arial" w:hAnsi="Verdana" w:cs="Arial"/>
          <w:i/>
          <w:iCs/>
          <w:lang w:eastAsia="es-ES" w:bidi="es-ES"/>
        </w:rPr>
      </w:pPr>
      <w:r w:rsidRPr="00AA31F3">
        <w:rPr>
          <w:rFonts w:ascii="Verdana" w:eastAsia="Arial" w:hAnsi="Verdana" w:cs="Arial"/>
          <w:lang w:val="es-MX" w:eastAsia="es-ES" w:bidi="es-ES"/>
        </w:rPr>
        <w:t xml:space="preserve">De conformidad con los argumentos de dicha providencia, se parte de la distinción entre los conceptos </w:t>
      </w:r>
      <w:r w:rsidRPr="00AA31F3">
        <w:rPr>
          <w:rFonts w:ascii="Verdana" w:eastAsia="Arial" w:hAnsi="Verdana" w:cs="Arial"/>
          <w:lang w:eastAsia="es-ES" w:bidi="es-ES"/>
        </w:rPr>
        <w:t>de “convenio” y “contrato” interadministrativos, para diferenciarlos en su naturaleza, contenido y alcance, lo cual ha servido de fundamento para que tanto la Sección Tercera como también la Sala de Consulta y Servicio Civil de esa Corporación hayan realzado la distinción entre uno y otro negocio jurídico.</w:t>
      </w:r>
      <w:r w:rsidRPr="00AA31F3">
        <w:rPr>
          <w:rFonts w:ascii="Verdana" w:hAnsi="Verdana"/>
          <w:sz w:val="24"/>
          <w:szCs w:val="24"/>
          <w:lang w:eastAsia="es-CO"/>
        </w:rPr>
        <w:t xml:space="preserve"> </w:t>
      </w:r>
      <w:r w:rsidRPr="00AA31F3">
        <w:rPr>
          <w:rFonts w:ascii="Verdana" w:eastAsia="Arial" w:hAnsi="Verdana" w:cs="Arial"/>
          <w:lang w:eastAsia="es-ES" w:bidi="es-ES"/>
        </w:rPr>
        <w:t xml:space="preserve">En este sentido, en relación con el parágrafo del artículo 38 de la Ley 996 de 2005 concluyó que </w:t>
      </w:r>
      <w:r w:rsidRPr="00AA31F3">
        <w:rPr>
          <w:rFonts w:ascii="Verdana" w:eastAsia="Arial" w:hAnsi="Verdana" w:cs="Arial"/>
          <w:i/>
          <w:iCs/>
          <w:lang w:eastAsia="es-ES" w:bidi="es-ES"/>
        </w:rPr>
        <w:t xml:space="preserve">“si el legislador no diferenció al establecer la prohibición o la restricción, mal haría el reglamento en aplicar un efecto expansivo o extensivo para incluir una categoría no cobijada con la limitación, (…)”. </w:t>
      </w:r>
      <w:r w:rsidRPr="00AA31F3">
        <w:rPr>
          <w:rFonts w:ascii="Verdana" w:eastAsia="Arial" w:hAnsi="Verdana" w:cs="Arial"/>
          <w:lang w:eastAsia="es-ES" w:bidi="es-ES"/>
        </w:rPr>
        <w:t xml:space="preserve">Por tal motivo, para efectos de decretar la medida de suspensión provisional de los apartes señalados del numeral 16.2 de la Circular Externa Única, argumentó que </w:t>
      </w:r>
      <w:r w:rsidRPr="00AA31F3">
        <w:rPr>
          <w:rFonts w:ascii="Verdana" w:eastAsia="Arial" w:hAnsi="Verdana" w:cs="Arial"/>
          <w:i/>
          <w:iCs/>
          <w:lang w:eastAsia="es-ES" w:bidi="es-ES"/>
        </w:rPr>
        <w:t xml:space="preserve">“con independencia del propósito loable o plausible de la disposición ya que, procura que no se usen los recursos estatales para incidir o </w:t>
      </w:r>
      <w:r w:rsidRPr="00AA31F3">
        <w:rPr>
          <w:rFonts w:ascii="Verdana" w:eastAsia="Arial" w:hAnsi="Verdana" w:cs="Arial"/>
          <w:i/>
          <w:iCs/>
          <w:lang w:eastAsia="es-ES" w:bidi="es-ES"/>
        </w:rPr>
        <w:lastRenderedPageBreak/>
        <w:t xml:space="preserve">afectar la contienda electoral, no cabe duda de que la entidad demandada incorporó en la prohibición una categoría que no quedó comprendida expresa e inequívocamente en la ley. </w:t>
      </w:r>
    </w:p>
    <w:p w14:paraId="56340AD2" w14:textId="77777777" w:rsidR="00890E1B" w:rsidRPr="00AA31F3" w:rsidRDefault="00890E1B" w:rsidP="00890E1B">
      <w:pPr>
        <w:spacing w:after="120" w:line="276" w:lineRule="auto"/>
        <w:ind w:firstLine="709"/>
        <w:jc w:val="both"/>
        <w:rPr>
          <w:rFonts w:ascii="Verdana" w:eastAsia="Arial" w:hAnsi="Verdana" w:cs="Arial"/>
          <w:lang w:eastAsia="es-ES" w:bidi="es-ES"/>
        </w:rPr>
      </w:pPr>
      <w:r w:rsidRPr="00AA31F3">
        <w:rPr>
          <w:rFonts w:ascii="Verdana" w:eastAsia="Arial" w:hAnsi="Verdana" w:cs="Arial"/>
          <w:lang w:eastAsia="es-ES" w:bidi="es-ES"/>
        </w:rPr>
        <w:t>De igual manera, mediante auto del 6 de noviembre de 2025, el Consejo de Estado, Subsección A de la Sección Tercera, decretó</w:t>
      </w:r>
      <w:r w:rsidRPr="00AA31F3">
        <w:rPr>
          <w:rFonts w:ascii="Verdana" w:eastAsia="Arial" w:hAnsi="Verdana" w:cs="Arial"/>
          <w:b/>
          <w:bCs/>
          <w:lang w:eastAsia="es-ES" w:bidi="es-ES"/>
        </w:rPr>
        <w:t xml:space="preserve"> </w:t>
      </w:r>
      <w:r w:rsidRPr="00AA31F3">
        <w:rPr>
          <w:rFonts w:ascii="Verdana" w:eastAsia="Arial" w:hAnsi="Verdana" w:cs="Arial"/>
          <w:lang w:eastAsia="es-ES" w:bidi="es-ES"/>
        </w:rPr>
        <w:t>la suspensión provisional de los apartes cuestionados del inciso segundo y del inciso cuarto del numeral 16.2 de la Circular Externa Única, versión 3 del 27 de diciembre de 2023, expedida por la Agencia Nacional de Contratación Pública – Colombia Compra Eficiente relacionados con los contratos interadministrativos</w:t>
      </w:r>
      <w:r w:rsidRPr="00AA31F3">
        <w:rPr>
          <w:rFonts w:ascii="Verdana" w:eastAsia="Arial" w:hAnsi="Verdana" w:cs="Arial"/>
          <w:vertAlign w:val="superscript"/>
          <w:lang w:eastAsia="es-ES" w:bidi="es-ES"/>
        </w:rPr>
        <w:footnoteReference w:id="22"/>
      </w:r>
      <w:r w:rsidRPr="00AA31F3">
        <w:rPr>
          <w:rFonts w:ascii="Verdana" w:eastAsia="Arial" w:hAnsi="Verdana" w:cs="Arial"/>
          <w:lang w:eastAsia="es-ES" w:bidi="es-ES"/>
        </w:rPr>
        <w:t xml:space="preserve">. Para tales efectos, el alto tribunal resaltó la interpretación restrictiva de las normas que contienen prohibiciones, como la del parágrafo del artículo 38 de la Ley 996 de 2005, por manera que se excluye la analogía </w:t>
      </w:r>
      <w:proofErr w:type="spellStart"/>
      <w:r w:rsidRPr="00AA31F3">
        <w:rPr>
          <w:rFonts w:ascii="Verdana" w:eastAsia="Arial" w:hAnsi="Verdana" w:cs="Arial"/>
          <w:lang w:eastAsia="es-ES" w:bidi="es-ES"/>
        </w:rPr>
        <w:t>legis</w:t>
      </w:r>
      <w:proofErr w:type="spellEnd"/>
      <w:r w:rsidRPr="00AA31F3">
        <w:rPr>
          <w:rFonts w:ascii="Verdana" w:eastAsia="Arial" w:hAnsi="Verdana" w:cs="Arial"/>
          <w:lang w:eastAsia="es-ES" w:bidi="es-ES"/>
        </w:rPr>
        <w:t xml:space="preserve"> o iuris y la interpretación extensiva y reiteró los argumentos sobre la diferencia entre contratos y convenios interadministrativos. </w:t>
      </w:r>
    </w:p>
    <w:p w14:paraId="258FFB53" w14:textId="77777777" w:rsidR="00890E1B" w:rsidRPr="00AA31F3" w:rsidRDefault="00890E1B" w:rsidP="00890E1B">
      <w:pPr>
        <w:spacing w:after="120" w:line="276" w:lineRule="auto"/>
        <w:ind w:firstLine="709"/>
        <w:jc w:val="both"/>
        <w:rPr>
          <w:rFonts w:ascii="Verdana" w:eastAsia="Times New Roman" w:hAnsi="Verdana" w:cs="Times New Roman"/>
          <w:lang w:eastAsia="es-ES"/>
        </w:rPr>
      </w:pPr>
      <w:r w:rsidRPr="00AA31F3">
        <w:rPr>
          <w:rFonts w:ascii="Verdana" w:eastAsia="Arial" w:hAnsi="Verdana" w:cs="Arial"/>
          <w:lang w:eastAsia="es-ES" w:bidi="es-ES"/>
        </w:rPr>
        <w:t xml:space="preserve">Finalmente, mediante sentencia del 17 de octubre de 2025, emitida por la Sala de lo Contencioso Administrativo del Consejo de Estado, dentro del expediente </w:t>
      </w:r>
      <w:r w:rsidRPr="00AA31F3">
        <w:rPr>
          <w:rFonts w:ascii="Verdana" w:eastAsia="Times New Roman" w:hAnsi="Verdana" w:cs="Times New Roman"/>
          <w:lang w:eastAsia="es-ES"/>
        </w:rPr>
        <w:t xml:space="preserve">11001-03-26-000-2023-00139-00, se declaró la nulidad parcial del numeral 16.2 de la Circular Externa Única de 2022 expedida por la Agencia Nacional de Contratación Pública - Colombia Compra Eficiente que indicaba: “Esta restricción es aplicable tanto a los convenios como a los contratos interadministrativos…”. </w:t>
      </w:r>
    </w:p>
    <w:p w14:paraId="1FA95B3F" w14:textId="77777777" w:rsidR="00890E1B" w:rsidRPr="00AA31F3" w:rsidRDefault="00890E1B" w:rsidP="00890E1B">
      <w:pPr>
        <w:spacing w:after="120" w:line="276" w:lineRule="auto"/>
        <w:ind w:firstLine="709"/>
        <w:jc w:val="both"/>
        <w:rPr>
          <w:rFonts w:ascii="Verdana" w:eastAsia="Times New Roman" w:hAnsi="Verdana" w:cs="Times New Roman"/>
          <w:lang w:eastAsia="es-ES"/>
        </w:rPr>
      </w:pPr>
      <w:r w:rsidRPr="00AA31F3">
        <w:rPr>
          <w:rFonts w:ascii="Verdana" w:eastAsia="Times New Roman" w:hAnsi="Verdana" w:cs="Times New Roman"/>
          <w:lang w:eastAsia="es-ES"/>
        </w:rPr>
        <w:lastRenderedPageBreak/>
        <w:t>La anterior decisión se adoptó al considerar que la Agencia excedió su competencia material al incluir contratos en una restricción que la Ley de Garantías Electorales solo previó para convenios, cuando no es posible aplicar por analogía o extensión una norma que establece prohibiciones</w:t>
      </w:r>
      <w:r w:rsidRPr="00AA31F3">
        <w:rPr>
          <w:rStyle w:val="Refdenotaalpie"/>
          <w:rFonts w:ascii="Verdana" w:eastAsia="Times New Roman" w:hAnsi="Verdana" w:cs="Times New Roman"/>
          <w:lang w:eastAsia="es-ES"/>
        </w:rPr>
        <w:footnoteReference w:id="23"/>
      </w:r>
      <w:r w:rsidRPr="00AA31F3">
        <w:rPr>
          <w:rFonts w:ascii="Verdana" w:eastAsia="Times New Roman" w:hAnsi="Verdana" w:cs="Times New Roman"/>
          <w:lang w:eastAsia="es-ES"/>
        </w:rPr>
        <w:t xml:space="preserve">. Sobre el particular, la Sala concluyó que contratos y convenios interadministrativos son figuras distintas en naturaleza, objeto y efectos, pues mientras los contratos implican obligaciones patrimoniales y contraprestación, los convenios se basan en cooperación sin ánimo económico. Por ello, la restricción legal no podía aplicarse extensivamente a los contratos. </w:t>
      </w:r>
    </w:p>
    <w:p w14:paraId="3F1E4D4A" w14:textId="77777777" w:rsidR="00890E1B" w:rsidRPr="00AA31F3" w:rsidRDefault="00890E1B" w:rsidP="00890E1B">
      <w:pPr>
        <w:spacing w:after="120" w:line="276" w:lineRule="auto"/>
        <w:ind w:firstLine="709"/>
        <w:jc w:val="both"/>
        <w:rPr>
          <w:rFonts w:ascii="Verdana" w:eastAsia="Times New Roman" w:hAnsi="Verdana" w:cs="Times New Roman"/>
          <w:lang w:eastAsia="es-ES"/>
        </w:rPr>
      </w:pPr>
      <w:r w:rsidRPr="00AA31F3">
        <w:rPr>
          <w:rFonts w:ascii="Verdana" w:eastAsia="Times New Roman" w:hAnsi="Verdana" w:cs="Times New Roman"/>
          <w:lang w:eastAsia="es-ES"/>
        </w:rPr>
        <w:t xml:space="preserve">A juicio de la Sala, aunque el propósito de la Circular Externa era legítimo —evitar el uso indebido de recursos en época electoral—, el numeral 16.2. desconoció el alcance literal del artículo 38 de la Ley 996 de 2005 y los límites de la potestad reglamentaria, lo que configuró un vicio de contenido. </w:t>
      </w:r>
    </w:p>
    <w:p w14:paraId="0887DBB7" w14:textId="77777777" w:rsidR="00890E1B" w:rsidRPr="00382CF7" w:rsidRDefault="00890E1B" w:rsidP="00890E1B">
      <w:pPr>
        <w:spacing w:after="0" w:line="276" w:lineRule="auto"/>
        <w:ind w:firstLine="709"/>
        <w:jc w:val="both"/>
        <w:rPr>
          <w:rFonts w:ascii="Verdana" w:eastAsia="Times New Roman" w:hAnsi="Verdana" w:cs="Arial"/>
          <w:lang w:eastAsia="es-CO"/>
        </w:rPr>
      </w:pPr>
      <w:r w:rsidRPr="00AA31F3">
        <w:rPr>
          <w:rFonts w:ascii="Verdana" w:eastAsia="Times New Roman" w:hAnsi="Verdana" w:cs="Arial"/>
          <w:lang w:eastAsia="es-CO"/>
        </w:rPr>
        <w:t xml:space="preserve">Así las cosas, a la luz de lo expuesto por el Consejo de Estado, en la sentencia expedida por la Sección Tercera de la Sala de lo Contencioso Administrativo del 17 de octubre de 2025, en los autos del 4 de octubre de 2024 y 6 de noviembre de 2025, no resultaría aplicable la prohibición del parágrafo del artículo 38 de la Ley de Garantías Electorales a los </w:t>
      </w:r>
      <w:r w:rsidRPr="00AA31F3">
        <w:rPr>
          <w:rFonts w:ascii="Verdana" w:eastAsia="Times New Roman" w:hAnsi="Verdana" w:cs="Arial"/>
          <w:i/>
          <w:iCs/>
          <w:lang w:eastAsia="es-CO"/>
        </w:rPr>
        <w:t>contratos interadministrativos</w:t>
      </w:r>
      <w:r w:rsidRPr="00AA31F3">
        <w:rPr>
          <w:rFonts w:ascii="Verdana" w:eastAsia="Times New Roman" w:hAnsi="Verdana" w:cs="Arial"/>
          <w:lang w:eastAsia="es-CO"/>
        </w:rPr>
        <w:t>, esta prohibición solo aplicaría a los convenios interadministrativos que impliquen la ejecución de recursos públicos</w:t>
      </w:r>
      <w:r w:rsidRPr="00AA31F3">
        <w:rPr>
          <w:rStyle w:val="Refdenotaalpie"/>
          <w:rFonts w:ascii="Verdana" w:eastAsia="Times New Roman" w:hAnsi="Verdana" w:cs="Arial"/>
          <w:lang w:eastAsia="es-CO"/>
        </w:rPr>
        <w:footnoteReference w:id="24"/>
      </w:r>
      <w:r w:rsidRPr="00AA31F3">
        <w:rPr>
          <w:rFonts w:ascii="Verdana" w:eastAsia="Times New Roman" w:hAnsi="Verdana" w:cs="Arial"/>
          <w:lang w:eastAsia="es-CO"/>
        </w:rPr>
        <w:t>.</w:t>
      </w:r>
    </w:p>
    <w:p w14:paraId="5F04A810" w14:textId="77777777" w:rsidR="00890E1B" w:rsidRDefault="00890E1B" w:rsidP="00890E1B">
      <w:pPr>
        <w:spacing w:after="0" w:line="276" w:lineRule="auto"/>
        <w:jc w:val="both"/>
        <w:rPr>
          <w:rFonts w:ascii="Verdana" w:eastAsia="Times New Roman" w:hAnsi="Verdana" w:cs="Arial"/>
          <w:bCs/>
          <w:lang w:eastAsia="es-CO"/>
        </w:rPr>
      </w:pPr>
    </w:p>
    <w:p w14:paraId="50B04A93" w14:textId="77777777" w:rsidR="00890E1B" w:rsidRPr="00A90DCC" w:rsidRDefault="00890E1B" w:rsidP="00890E1B">
      <w:pPr>
        <w:spacing w:before="120" w:after="120" w:line="276" w:lineRule="auto"/>
        <w:jc w:val="both"/>
        <w:rPr>
          <w:rFonts w:ascii="Verdana" w:eastAsia="Calibri" w:hAnsi="Verdana" w:cs="Arial"/>
          <w:lang w:val="es-ES"/>
        </w:rPr>
      </w:pPr>
      <w:proofErr w:type="spellStart"/>
      <w:r>
        <w:rPr>
          <w:rFonts w:ascii="Verdana" w:eastAsia="Times New Roman" w:hAnsi="Verdana" w:cs="Arial"/>
          <w:bCs/>
          <w:lang w:eastAsia="es-CO"/>
        </w:rPr>
        <w:t>iv</w:t>
      </w:r>
      <w:proofErr w:type="spellEnd"/>
      <w:r>
        <w:rPr>
          <w:rFonts w:ascii="Verdana" w:eastAsia="Times New Roman" w:hAnsi="Verdana" w:cs="Arial"/>
          <w:bCs/>
          <w:lang w:eastAsia="es-CO"/>
        </w:rPr>
        <w:t xml:space="preserve">. Ahora bien, para dar respuesta al problema jurídico planteado, </w:t>
      </w:r>
      <w:r w:rsidRPr="00A90DCC">
        <w:rPr>
          <w:rFonts w:ascii="Verdana" w:eastAsia="Times New Roman" w:hAnsi="Verdana" w:cs="Arial"/>
          <w:bCs/>
          <w:lang w:eastAsia="es-CO"/>
        </w:rPr>
        <w:t xml:space="preserve">es necesario poner en contexto los contratos del artículo 355 de la Constitución Política y los convenios de asociación </w:t>
      </w:r>
      <w:r w:rsidRPr="00A90DCC">
        <w:rPr>
          <w:rFonts w:ascii="Verdana" w:eastAsia="Calibri" w:hAnsi="Verdana" w:cs="Arial"/>
          <w:lang w:val="es-ES"/>
        </w:rPr>
        <w:t>del artículo 96 de la Ley 489 de 19</w:t>
      </w:r>
      <w:r w:rsidRPr="00377ED6">
        <w:rPr>
          <w:rFonts w:ascii="Verdana" w:eastAsia="Calibri" w:hAnsi="Verdana" w:cs="Arial"/>
          <w:lang w:val="es-ES"/>
        </w:rPr>
        <w:t>98</w:t>
      </w:r>
      <w:r>
        <w:rPr>
          <w:rFonts w:ascii="Verdana" w:eastAsia="Calibri" w:hAnsi="Verdana" w:cs="Arial"/>
          <w:lang w:val="es-ES"/>
        </w:rPr>
        <w:t>, con el fin de determinar si a este tipo de negocios jurídicos le es aplicable el artículo 33 o el artículo 38</w:t>
      </w:r>
      <w:r w:rsidRPr="009A4996">
        <w:rPr>
          <w:rFonts w:ascii="Verdana" w:eastAsia="Calibri" w:hAnsi="Verdana" w:cs="Arial"/>
          <w:lang w:val="es-ES"/>
        </w:rPr>
        <w:t xml:space="preserve"> </w:t>
      </w:r>
      <w:r>
        <w:rPr>
          <w:rFonts w:ascii="Verdana" w:eastAsia="Calibri" w:hAnsi="Verdana" w:cs="Arial"/>
          <w:lang w:val="es-ES"/>
        </w:rPr>
        <w:t>de la Ley 996 de 2005.</w:t>
      </w:r>
      <w:r w:rsidRPr="00377ED6">
        <w:rPr>
          <w:rFonts w:ascii="Verdana" w:eastAsia="Calibri" w:hAnsi="Verdana" w:cs="Arial"/>
          <w:lang w:val="es-ES"/>
        </w:rPr>
        <w:t xml:space="preserve"> </w:t>
      </w:r>
    </w:p>
    <w:p w14:paraId="1629BE4D" w14:textId="77777777" w:rsidR="00890E1B" w:rsidRPr="00377ED6" w:rsidRDefault="00890E1B" w:rsidP="00890E1B">
      <w:pPr>
        <w:spacing w:before="120" w:after="120" w:line="276" w:lineRule="auto"/>
        <w:ind w:firstLine="709"/>
        <w:jc w:val="both"/>
        <w:rPr>
          <w:rFonts w:ascii="Verdana" w:eastAsia="Calibri" w:hAnsi="Verdana" w:cs="Arial"/>
          <w:lang w:val="es-ES"/>
        </w:rPr>
      </w:pPr>
      <w:bookmarkStart w:id="15" w:name="_Hlk38819155"/>
      <w:r w:rsidRPr="00377ED6">
        <w:rPr>
          <w:rFonts w:ascii="Verdana" w:eastAsia="Calibri" w:hAnsi="Verdana" w:cs="Arial"/>
          <w:lang w:val="es-ES"/>
        </w:rPr>
        <w:t xml:space="preserve">El Decreto 092 de 2017 dispone reglas para las contrataciones que realicen las entidades estatales con las ESAL. El Decreto regula dos (2) eventos: i) los contratos del artículo 355 de la Constitución Política con el fin impulsar programas y actividades de interés público de acuerdo con el Plan Nacional o los planes seccionales de desarrollo; y </w:t>
      </w:r>
      <w:proofErr w:type="spellStart"/>
      <w:r w:rsidRPr="00377ED6">
        <w:rPr>
          <w:rFonts w:ascii="Verdana" w:eastAsia="Calibri" w:hAnsi="Verdana" w:cs="Arial"/>
          <w:lang w:val="es-ES"/>
        </w:rPr>
        <w:t>ii</w:t>
      </w:r>
      <w:proofErr w:type="spellEnd"/>
      <w:r w:rsidRPr="00377ED6">
        <w:rPr>
          <w:rFonts w:ascii="Verdana" w:eastAsia="Calibri" w:hAnsi="Verdana" w:cs="Arial"/>
          <w:lang w:val="es-ES"/>
        </w:rPr>
        <w:t xml:space="preserve">) los convenios de asociación, para el desarrollo conjunto de actividades relacionadas con las funciones de las entidades estatales, en desarrollo del artículo 96 de la Ley 489 de 1998. </w:t>
      </w:r>
      <w:bookmarkEnd w:id="15"/>
    </w:p>
    <w:p w14:paraId="5A763BBB" w14:textId="77777777" w:rsidR="00890E1B" w:rsidRDefault="00890E1B" w:rsidP="00890E1B">
      <w:pPr>
        <w:spacing w:before="120" w:after="120" w:line="276" w:lineRule="auto"/>
        <w:ind w:firstLine="709"/>
        <w:jc w:val="both"/>
        <w:rPr>
          <w:rFonts w:ascii="Verdana" w:eastAsia="Calibri" w:hAnsi="Verdana" w:cs="Arial"/>
          <w:lang w:val="es-ES"/>
        </w:rPr>
      </w:pPr>
      <w:bookmarkStart w:id="16" w:name="_Hlk95756032"/>
      <w:r w:rsidRPr="00377ED6">
        <w:rPr>
          <w:rFonts w:ascii="Verdana" w:eastAsia="Calibri" w:hAnsi="Verdana" w:cs="Arial"/>
          <w:lang w:val="es-ES"/>
        </w:rPr>
        <w:t xml:space="preserve">Los </w:t>
      </w:r>
      <w:r w:rsidRPr="00377ED6">
        <w:rPr>
          <w:rFonts w:ascii="Verdana" w:eastAsia="Calibri" w:hAnsi="Verdana" w:cs="Arial"/>
          <w:i/>
          <w:iCs/>
          <w:lang w:val="es-ES"/>
        </w:rPr>
        <w:t>contratos del artículo 355 de la Constitución Política</w:t>
      </w:r>
      <w:r w:rsidRPr="00377ED6">
        <w:rPr>
          <w:rFonts w:ascii="Verdana" w:eastAsia="Calibri" w:hAnsi="Verdana" w:cs="Arial"/>
          <w:lang w:val="es-ES"/>
        </w:rPr>
        <w:t xml:space="preserve"> tienen como objeto promover acciones de fomento social en beneficio de los sectores más desprotegidos de la población, siempre que estén previstas en los planes de desarrollo, motivo por el cual no dan lugar a una contraprestación directa a favor de la entidad y tampoco a una relación conmutativa entre ésta y la ESAL, toda vez que el beneficio directo lo recibirán, en últimas, los sectores de este tipo de acciones de fomento. </w:t>
      </w:r>
    </w:p>
    <w:p w14:paraId="04DE51C6" w14:textId="77777777" w:rsidR="00890E1B" w:rsidRDefault="00890E1B" w:rsidP="00890E1B">
      <w:pPr>
        <w:spacing w:before="120" w:after="120" w:line="276" w:lineRule="auto"/>
        <w:ind w:firstLine="709"/>
        <w:jc w:val="both"/>
        <w:rPr>
          <w:rFonts w:ascii="Verdana" w:eastAsia="Calibri" w:hAnsi="Verdana" w:cs="Arial"/>
          <w:lang w:val="es-ES"/>
        </w:rPr>
      </w:pPr>
      <w:r w:rsidRPr="00377ED6">
        <w:rPr>
          <w:rFonts w:ascii="Verdana" w:eastAsia="Calibri" w:hAnsi="Verdana" w:cs="Arial"/>
          <w:lang w:val="es-ES"/>
        </w:rPr>
        <w:t xml:space="preserve">Para celebrar estos contratos, según lo establece el artículo 3 del Decreto 092 de 2017, por regla general, la entidad debe adelantar un proceso competitivo para seleccionar la entidad sin ánimo de lucro contratista. En particular, debe verificar el cumplimiento de los siguientes requisitos: i) que el objeto del contrato corresponda a programas y actividades de interés público acordes con el Plan Nacional o Seccional de Desarrollo; y </w:t>
      </w:r>
      <w:proofErr w:type="spellStart"/>
      <w:r w:rsidRPr="00377ED6">
        <w:rPr>
          <w:rFonts w:ascii="Verdana" w:eastAsia="Calibri" w:hAnsi="Verdana" w:cs="Arial"/>
          <w:lang w:val="es-ES"/>
        </w:rPr>
        <w:t>ii</w:t>
      </w:r>
      <w:proofErr w:type="spellEnd"/>
      <w:r w:rsidRPr="00377ED6">
        <w:rPr>
          <w:rFonts w:ascii="Verdana" w:eastAsia="Calibri" w:hAnsi="Verdana" w:cs="Arial"/>
          <w:lang w:val="es-ES"/>
        </w:rPr>
        <w:t xml:space="preserve">) que no haya una contraprestación directa a favor de la entidad estatal, es decir, que el programa o actividad a desarrollar este dirigida al beneficio de la población en general, ya que cuando se adquieren bienes o servicios o se ejecutan obras en una relación conmutativa, las normas aplicables son las del Estatuto General de Contratación. Solo cuando se reúnan estas condiciones es procedente celebrar contratos del </w:t>
      </w:r>
      <w:r w:rsidRPr="00377ED6">
        <w:rPr>
          <w:rFonts w:ascii="Verdana" w:eastAsia="Calibri" w:hAnsi="Verdana" w:cs="Arial"/>
          <w:lang w:val="es-ES"/>
        </w:rPr>
        <w:lastRenderedPageBreak/>
        <w:t>artículo 355 de la Constitución Política; de lo contrario, se aplicarán las normas del Estatuto General de Contratación de la Administración Pública.</w:t>
      </w:r>
    </w:p>
    <w:p w14:paraId="5FF3CE6D" w14:textId="77777777" w:rsidR="00890E1B" w:rsidRDefault="00890E1B" w:rsidP="00890E1B">
      <w:pPr>
        <w:spacing w:before="120" w:line="276" w:lineRule="auto"/>
        <w:ind w:firstLine="708"/>
        <w:jc w:val="both"/>
        <w:rPr>
          <w:rFonts w:ascii="Verdana" w:eastAsia="Calibri" w:hAnsi="Verdana" w:cs="Arial"/>
          <w:lang w:val="es-ES"/>
        </w:rPr>
      </w:pPr>
      <w:r w:rsidRPr="5F8BC1B5">
        <w:rPr>
          <w:rFonts w:ascii="Verdana" w:eastAsia="Calibri" w:hAnsi="Verdana" w:cs="Arial"/>
          <w:lang w:val="es-ES"/>
        </w:rPr>
        <w:t xml:space="preserve">Ahora bien, por disposición del artículo 4 del Decreto </w:t>
      </w:r>
      <w:r>
        <w:rPr>
          <w:rFonts w:ascii="Verdana" w:eastAsia="Calibri" w:hAnsi="Verdana" w:cs="Arial"/>
          <w:lang w:val="es-ES"/>
        </w:rPr>
        <w:t>0</w:t>
      </w:r>
      <w:r w:rsidRPr="5F8BC1B5">
        <w:rPr>
          <w:rFonts w:ascii="Verdana" w:eastAsia="Calibri" w:hAnsi="Verdana" w:cs="Arial"/>
          <w:lang w:val="es-ES"/>
        </w:rPr>
        <w:t>92 de 2017, las entidades estatales deberán adelantar procesos competitivos cuando en el marco de planeación se evidencie que el programa o actividad que se requiere desarrollar es ofrecido por más de una ESAL. Para tales casos el referido artículo establece que, en el desarrollo de los respectivos procedimientos, la entidad estatal deberá garantizar las siguientes fases: (i) definición y publicación de los indicadores de idoneidad, experiencia, eficacia, eficiencia, economía y de manejo del Riesgo y los criterios de ponderación para comparar las ofertas; (</w:t>
      </w:r>
      <w:proofErr w:type="spellStart"/>
      <w:r w:rsidRPr="5F8BC1B5">
        <w:rPr>
          <w:rFonts w:ascii="Verdana" w:eastAsia="Calibri" w:hAnsi="Verdana" w:cs="Arial"/>
          <w:lang w:val="es-ES"/>
        </w:rPr>
        <w:t>ii</w:t>
      </w:r>
      <w:proofErr w:type="spellEnd"/>
      <w:r w:rsidRPr="5F8BC1B5">
        <w:rPr>
          <w:rFonts w:ascii="Verdana" w:eastAsia="Calibri" w:hAnsi="Verdana" w:cs="Arial"/>
          <w:lang w:val="es-ES"/>
        </w:rPr>
        <w:t>) definición de un plazo razonable para que las entidades privadas sin ánimo de lucro de reconocida idoneidad presenten a la Entidad Estatal sus ofertas y los documentos que acrediten su idoneidad, y (</w:t>
      </w:r>
      <w:proofErr w:type="spellStart"/>
      <w:r w:rsidRPr="5F8BC1B5">
        <w:rPr>
          <w:rFonts w:ascii="Verdana" w:eastAsia="Calibri" w:hAnsi="Verdana" w:cs="Arial"/>
          <w:lang w:val="es-ES"/>
        </w:rPr>
        <w:t>iii</w:t>
      </w:r>
      <w:proofErr w:type="spellEnd"/>
      <w:r w:rsidRPr="5F8BC1B5">
        <w:rPr>
          <w:rFonts w:ascii="Verdana" w:eastAsia="Calibri" w:hAnsi="Verdana" w:cs="Arial"/>
          <w:lang w:val="es-ES"/>
        </w:rPr>
        <w:t xml:space="preserve">) evaluación de las ofertas por parte de la Entidad Estatal teniendo en cuenta los criterios definidos para el efecto. </w:t>
      </w:r>
    </w:p>
    <w:p w14:paraId="27431FF7" w14:textId="77777777" w:rsidR="00890E1B" w:rsidRDefault="00890E1B" w:rsidP="00890E1B">
      <w:pPr>
        <w:spacing w:before="120" w:after="120" w:line="276" w:lineRule="auto"/>
        <w:ind w:firstLine="709"/>
        <w:jc w:val="both"/>
        <w:rPr>
          <w:rFonts w:ascii="Verdana" w:eastAsia="Calibri" w:hAnsi="Verdana" w:cs="Arial"/>
          <w:lang w:val="es-ES"/>
        </w:rPr>
      </w:pPr>
      <w:r>
        <w:rPr>
          <w:rFonts w:ascii="Verdana" w:eastAsia="Calibri" w:hAnsi="Verdana" w:cs="Arial"/>
          <w:lang w:val="es-ES"/>
        </w:rPr>
        <w:t xml:space="preserve">De acuerdo con esto, la celebración de los contratos los que se refiere el artículo 355 superior, regidos por los artículos 2, 3 y 4 del Decreto 092 de 2017, no se afecta por la restricción del artículo 33 de la Ley 996 de 2005, en la medida en que su suscripción debe darse previo desarrollo de proceso competitivo.  </w:t>
      </w:r>
    </w:p>
    <w:bookmarkEnd w:id="16"/>
    <w:p w14:paraId="552DFD94" w14:textId="77777777" w:rsidR="00890E1B" w:rsidRPr="00377ED6" w:rsidRDefault="00890E1B" w:rsidP="00890E1B">
      <w:pPr>
        <w:spacing w:before="120" w:after="120" w:line="276" w:lineRule="auto"/>
        <w:ind w:firstLine="709"/>
        <w:jc w:val="both"/>
        <w:rPr>
          <w:rFonts w:ascii="Verdana" w:eastAsia="Calibri" w:hAnsi="Verdana" w:cs="Arial"/>
          <w:bCs/>
          <w:lang w:val="es-ES_tradnl"/>
        </w:rPr>
      </w:pPr>
      <w:r w:rsidRPr="00377ED6">
        <w:rPr>
          <w:rFonts w:ascii="Verdana" w:eastAsia="Calibri" w:hAnsi="Verdana" w:cs="Arial"/>
          <w:bCs/>
          <w:lang w:val="es-ES_tradnl"/>
        </w:rPr>
        <w:t xml:space="preserve">De otro lado, </w:t>
      </w:r>
      <w:r>
        <w:rPr>
          <w:rFonts w:ascii="Verdana" w:eastAsia="Calibri" w:hAnsi="Verdana" w:cs="Arial"/>
          <w:bCs/>
          <w:lang w:val="es-ES_tradnl"/>
        </w:rPr>
        <w:t xml:space="preserve">la celebración de </w:t>
      </w:r>
      <w:r w:rsidRPr="00377ED6">
        <w:rPr>
          <w:rFonts w:ascii="Verdana" w:eastAsia="Calibri" w:hAnsi="Verdana" w:cs="Arial"/>
          <w:bCs/>
          <w:lang w:val="es-ES_tradnl"/>
        </w:rPr>
        <w:t xml:space="preserve">los </w:t>
      </w:r>
      <w:r w:rsidRPr="00377ED6">
        <w:rPr>
          <w:rFonts w:ascii="Verdana" w:eastAsia="Calibri" w:hAnsi="Verdana" w:cs="Arial"/>
          <w:bCs/>
          <w:i/>
          <w:lang w:val="es-ES_tradnl"/>
        </w:rPr>
        <w:t>convenios de asociación</w:t>
      </w:r>
      <w:r w:rsidRPr="00377ED6">
        <w:rPr>
          <w:rFonts w:ascii="Verdana" w:eastAsia="Calibri" w:hAnsi="Verdana" w:cs="Arial"/>
          <w:bCs/>
          <w:lang w:val="es-ES_tradnl"/>
        </w:rPr>
        <w:t xml:space="preserve"> “[t]</w:t>
      </w:r>
      <w:proofErr w:type="spellStart"/>
      <w:r w:rsidRPr="00377ED6">
        <w:rPr>
          <w:rFonts w:ascii="Verdana" w:eastAsia="Calibri" w:hAnsi="Verdana" w:cs="Arial"/>
          <w:bCs/>
          <w:lang w:val="es-ES_tradnl"/>
        </w:rPr>
        <w:t>ienen</w:t>
      </w:r>
      <w:proofErr w:type="spellEnd"/>
      <w:r w:rsidRPr="00377ED6">
        <w:rPr>
          <w:rFonts w:ascii="Verdana" w:eastAsia="Calibri" w:hAnsi="Verdana" w:cs="Arial"/>
          <w:bCs/>
          <w:lang w:val="es-ES_tradnl"/>
        </w:rPr>
        <w:t xml:space="preserve"> como finalidad que la entidad estatal, cualquiera que sea su naturaleza y orden administrativo, se asocien con personas jurídicas particulares para el desarrollo conjunto de actividades relacionadas con los cometidos y funciones asignadas a aquellas conforme a la Constitución y a la Ley”</w:t>
      </w:r>
      <w:r w:rsidRPr="00377ED6">
        <w:rPr>
          <w:rFonts w:ascii="Verdana" w:hAnsi="Verdana" w:cs="Arial"/>
          <w:vertAlign w:val="superscript"/>
        </w:rPr>
        <w:footnoteReference w:id="25"/>
      </w:r>
      <w:r w:rsidRPr="00377ED6">
        <w:rPr>
          <w:rFonts w:ascii="Verdana" w:eastAsia="Calibri" w:hAnsi="Verdana" w:cs="Arial"/>
          <w:bCs/>
          <w:lang w:val="es-ES_tradnl"/>
        </w:rPr>
        <w:t xml:space="preserve">. En estos convenios existen aportes dirigidos, especialmente, a lograr la ejecución del convenio. De todos modos, la entidad deberá adelantar un proceso competitivo, </w:t>
      </w:r>
      <w:r w:rsidRPr="00B47839">
        <w:rPr>
          <w:rFonts w:ascii="Verdana" w:eastAsia="Calibri" w:hAnsi="Verdana" w:cs="Arial"/>
          <w:bCs/>
          <w:lang w:val="es-ES_tradnl"/>
        </w:rPr>
        <w:t>salvo cuando la ESAL comprometa recursos en dinero para la ejecución de estas actividades, en una proporción no inferior al 30% del valor total del convenio.</w:t>
      </w:r>
      <w:r>
        <w:rPr>
          <w:rFonts w:ascii="Verdana" w:eastAsia="Calibri" w:hAnsi="Verdana" w:cs="Arial"/>
          <w:bCs/>
          <w:lang w:val="es-ES_tradnl"/>
        </w:rPr>
        <w:t xml:space="preserve"> </w:t>
      </w:r>
      <w:r w:rsidRPr="00377ED6">
        <w:rPr>
          <w:rFonts w:ascii="Verdana" w:eastAsia="Calibri" w:hAnsi="Verdana" w:cs="Arial"/>
          <w:bCs/>
          <w:lang w:val="es-ES_tradnl"/>
        </w:rPr>
        <w:t>El convenio de asociación no es conmutativo, y por tanto, la entidad no instruye al contratista para desarrollar los programas o actividades previstas, sino que se asocia con él para el cumplimiento de objetivos comunes</w:t>
      </w:r>
      <w:r w:rsidRPr="00377ED6">
        <w:rPr>
          <w:rFonts w:ascii="Verdana" w:hAnsi="Verdana" w:cs="Arial"/>
          <w:vertAlign w:val="superscript"/>
        </w:rPr>
        <w:footnoteReference w:id="26"/>
      </w:r>
      <w:r w:rsidRPr="00377ED6">
        <w:rPr>
          <w:rFonts w:ascii="Verdana" w:eastAsia="Calibri" w:hAnsi="Verdana" w:cs="Arial"/>
          <w:bCs/>
          <w:lang w:val="es-ES_tradnl"/>
        </w:rPr>
        <w:t>.</w:t>
      </w:r>
    </w:p>
    <w:p w14:paraId="6065EF1B" w14:textId="77777777" w:rsidR="00890E1B" w:rsidRDefault="00890E1B" w:rsidP="00890E1B">
      <w:pPr>
        <w:spacing w:before="120" w:after="120" w:line="276" w:lineRule="auto"/>
        <w:ind w:firstLine="709"/>
        <w:jc w:val="both"/>
        <w:rPr>
          <w:rFonts w:ascii="Verdana" w:eastAsia="Calibri" w:hAnsi="Verdana" w:cs="Arial"/>
          <w:bCs/>
        </w:rPr>
      </w:pPr>
      <w:r w:rsidRPr="00377ED6">
        <w:rPr>
          <w:rFonts w:ascii="Verdana" w:eastAsia="Calibri" w:hAnsi="Verdana" w:cs="Arial"/>
          <w:bCs/>
          <w:lang w:val="es-ES_tradnl"/>
        </w:rPr>
        <w:lastRenderedPageBreak/>
        <w:t>La normativa vigente no impide que varias entidades suscriban conjuntamente el convenio de asociación y tampoco que dos o más ESAL pueden hacerlo, a través de las figuras asociativas autorizadas por la ley, por ejemplo, como unión temporal o como consorcio</w:t>
      </w:r>
      <w:r w:rsidRPr="00377ED6">
        <w:rPr>
          <w:rFonts w:ascii="Verdana" w:eastAsia="Calibri" w:hAnsi="Verdana" w:cs="Arial"/>
          <w:bCs/>
        </w:rPr>
        <w:t xml:space="preserve">. Sin embargo, como el artículo 96 de la Ley 489 de 1998 determina que el convenio busca el desarrollo conjunto de actividades en relación con los cometidos y funciones que la ley les asigna a las entidades estatales, lo cierto es que las funciones legales de las entidades estatales que suscriben conjuntamente el convenio deben coincidir. </w:t>
      </w:r>
    </w:p>
    <w:p w14:paraId="4192BE91" w14:textId="77777777" w:rsidR="00890E1B" w:rsidRPr="00377ED6" w:rsidRDefault="00890E1B" w:rsidP="00890E1B">
      <w:pPr>
        <w:spacing w:before="120" w:after="120" w:line="276" w:lineRule="auto"/>
        <w:ind w:firstLine="709"/>
        <w:jc w:val="both"/>
        <w:rPr>
          <w:rFonts w:ascii="Verdana" w:eastAsia="Calibri" w:hAnsi="Verdana" w:cs="Arial"/>
          <w:bCs/>
        </w:rPr>
      </w:pPr>
      <w:r w:rsidRPr="00377ED6">
        <w:rPr>
          <w:rFonts w:ascii="Verdana" w:eastAsia="Calibri" w:hAnsi="Verdana" w:cs="Arial"/>
          <w:bCs/>
        </w:rPr>
        <w:t>Igualmente, atendiendo a que los convenios de asociación “no estarán sujetos a competencia cuando la entidad sin ánimo de lucro comprometa recursos en dinero para la ejecución de esas actividades en una proporción no inferior al 30% del valor total del convenio”, las entidades deben asegurarse de que su contratista, es decir, las ESAL, aporte al menos el treinta por ciento del valor del convenio para celebrarlo directamente. Además, en atención al inciso 2 del artículo 5 del Decreto 092 de 2017, deben asegurarse de que no haya otras ESAL que ofrezcan su compromiso de recursos en dinero en una proporción no inferior al 30% del valor total del convenio. En caso de que la entidad encuentre que más de una ESAL le ofrece al menos el 30% de recursos en dinero para el convenio de asociación, debe seleccionar objetivamente con cual asociarse.</w:t>
      </w:r>
    </w:p>
    <w:p w14:paraId="35A59FC3" w14:textId="77777777" w:rsidR="00890E1B" w:rsidRPr="00377ED6" w:rsidRDefault="00890E1B" w:rsidP="00890E1B">
      <w:pPr>
        <w:spacing w:before="120" w:after="120" w:line="276" w:lineRule="auto"/>
        <w:ind w:firstLine="709"/>
        <w:jc w:val="both"/>
        <w:rPr>
          <w:rFonts w:ascii="Verdana" w:hAnsi="Verdana"/>
        </w:rPr>
      </w:pPr>
      <w:r w:rsidRPr="00377ED6">
        <w:rPr>
          <w:rFonts w:ascii="Verdana" w:hAnsi="Verdana" w:cs="Arial"/>
          <w:color w:val="000000" w:themeColor="text1"/>
        </w:rPr>
        <w:t xml:space="preserve">La noción “seleccionar de forma objetiva”, contenida en la disposición </w:t>
      </w:r>
      <w:r w:rsidRPr="00377ED6">
        <w:rPr>
          <w:rFonts w:ascii="Verdana" w:hAnsi="Verdana" w:cs="Arial"/>
          <w:i/>
          <w:iCs/>
          <w:color w:val="000000" w:themeColor="text1"/>
        </w:rPr>
        <w:t xml:space="preserve">sub examine </w:t>
      </w:r>
      <w:r w:rsidRPr="00377ED6">
        <w:rPr>
          <w:rFonts w:ascii="Verdana" w:hAnsi="Verdana" w:cs="Arial"/>
          <w:color w:val="000000" w:themeColor="text1"/>
        </w:rPr>
        <w:t>no puede ser entendida como una remisión total a las Leyes 80 de 1993 y 1150 de 2007. A lo que se refiere la norma es a que la entidad estatal debe diseñar herramientas que permitan una comparación objetiva de las entidades sin ánimo de lucro para seleccionar objetivamente a aquella que tenga las mejores condiciones para alcanzar el resultado esperado con el proyecto de cooperación. Por ello, la entidad puede tomar la decisión de acudir a los procesos de selección de contratistas que establece el Estatuto General de Contratación de la Administración Pública o, incluso, al trámite que regula el inciso 2 del artículo 2 del Decreto 092 de 2017.</w:t>
      </w:r>
    </w:p>
    <w:p w14:paraId="2DEEC293" w14:textId="77777777" w:rsidR="00890E1B" w:rsidRPr="00377ED6" w:rsidRDefault="00890E1B" w:rsidP="00890E1B">
      <w:pPr>
        <w:spacing w:after="0" w:line="276" w:lineRule="auto"/>
        <w:ind w:firstLine="708"/>
        <w:jc w:val="both"/>
        <w:rPr>
          <w:rFonts w:ascii="Verdana" w:hAnsi="Verdana" w:cs="Arial"/>
          <w:color w:val="000000" w:themeColor="text1"/>
          <w:lang w:val="es-MX"/>
        </w:rPr>
      </w:pPr>
      <w:r w:rsidRPr="00377ED6">
        <w:rPr>
          <w:rFonts w:ascii="Verdana" w:hAnsi="Verdana" w:cs="Arial"/>
          <w:color w:val="000000" w:themeColor="text1"/>
          <w:lang w:val="es-MX"/>
        </w:rPr>
        <w:t>Es importante aclarar que los negocios jurídicos que regula el Decreto 092 de 2017 “</w:t>
      </w:r>
      <w:r>
        <w:rPr>
          <w:rFonts w:ascii="Verdana" w:hAnsi="Verdana" w:cs="Arial"/>
          <w:color w:val="000000" w:themeColor="text1"/>
          <w:lang w:val="es-MX"/>
        </w:rPr>
        <w:t xml:space="preserve">(…) </w:t>
      </w:r>
      <w:r w:rsidRPr="00377ED6">
        <w:rPr>
          <w:rFonts w:ascii="Verdana" w:hAnsi="Verdana" w:cs="Arial"/>
          <w:color w:val="000000" w:themeColor="text1"/>
          <w:lang w:val="es-MX"/>
        </w:rPr>
        <w:t>son esencialmente distintos a los contratos para la adquisición y aprovisionamiento de bienes, obras o servicios regulados por el estatuto de contratación y</w:t>
      </w:r>
      <w:r>
        <w:rPr>
          <w:rFonts w:ascii="Verdana" w:hAnsi="Verdana" w:cs="Arial"/>
          <w:color w:val="000000" w:themeColor="text1"/>
          <w:lang w:val="es-MX"/>
        </w:rPr>
        <w:t xml:space="preserve"> </w:t>
      </w:r>
      <w:r w:rsidRPr="00377ED6">
        <w:rPr>
          <w:rFonts w:ascii="Verdana" w:hAnsi="Verdana" w:cs="Arial"/>
          <w:color w:val="000000" w:themeColor="text1"/>
          <w:lang w:val="es-MX"/>
        </w:rPr>
        <w:t xml:space="preserve">[como tal,] no hacen parte del sistema de compra pública. </w:t>
      </w:r>
      <w:r>
        <w:rPr>
          <w:rFonts w:ascii="Verdana" w:hAnsi="Verdana" w:cs="Arial"/>
          <w:color w:val="000000" w:themeColor="text1"/>
          <w:lang w:val="es-MX"/>
        </w:rPr>
        <w:t xml:space="preserve">(…) </w:t>
      </w:r>
      <w:r w:rsidRPr="00377ED6">
        <w:rPr>
          <w:rFonts w:ascii="Verdana" w:hAnsi="Verdana" w:cs="Arial"/>
          <w:color w:val="000000" w:themeColor="text1"/>
          <w:lang w:val="es-MX"/>
        </w:rPr>
        <w:t xml:space="preserve">De acuerdo con lo anterior, si la entidad estatal adquiere o se abastece de un bien, obra o servicio en un contrato conmutativo en el cual el proveedor es una </w:t>
      </w:r>
      <w:r w:rsidRPr="00377ED6">
        <w:rPr>
          <w:rFonts w:ascii="Verdana" w:hAnsi="Verdana" w:cs="Arial"/>
          <w:color w:val="000000" w:themeColor="text1"/>
          <w:lang w:val="es-MX"/>
        </w:rPr>
        <w:lastRenderedPageBreak/>
        <w:t>[ESAL], debe aplicar el régimen contenido en las Leyes 80 de 1993 y 1150 de 2007, y no el Decreto 092 de 2017”</w:t>
      </w:r>
      <w:r w:rsidRPr="00377ED6">
        <w:rPr>
          <w:rFonts w:ascii="Verdana" w:hAnsi="Verdana" w:cs="Arial"/>
          <w:color w:val="000000" w:themeColor="text1"/>
          <w:vertAlign w:val="superscript"/>
          <w:lang w:val="es-MX"/>
        </w:rPr>
        <w:footnoteReference w:id="27"/>
      </w:r>
      <w:r w:rsidRPr="00377ED6">
        <w:rPr>
          <w:rFonts w:ascii="Verdana" w:hAnsi="Verdana" w:cs="Arial"/>
          <w:color w:val="000000" w:themeColor="text1"/>
          <w:lang w:val="es-MX"/>
        </w:rPr>
        <w:t>. Así lo consideró la Sala de Consulta y Servicio Civil del Consejo de Estado:</w:t>
      </w:r>
    </w:p>
    <w:p w14:paraId="3BAB46DD" w14:textId="77777777" w:rsidR="00890E1B" w:rsidRPr="00377ED6" w:rsidRDefault="00890E1B" w:rsidP="00890E1B">
      <w:pPr>
        <w:spacing w:after="0" w:line="276" w:lineRule="auto"/>
        <w:jc w:val="both"/>
        <w:rPr>
          <w:rFonts w:ascii="Verdana" w:hAnsi="Verdana" w:cs="Arial"/>
          <w:color w:val="000000" w:themeColor="text1"/>
          <w:lang w:val="es-MX"/>
        </w:rPr>
      </w:pPr>
    </w:p>
    <w:p w14:paraId="34CA4E5F" w14:textId="77777777" w:rsidR="00890E1B" w:rsidRPr="003E7CD1" w:rsidRDefault="00890E1B" w:rsidP="00890E1B">
      <w:pPr>
        <w:spacing w:line="240" w:lineRule="auto"/>
        <w:ind w:left="709" w:right="709"/>
        <w:jc w:val="both"/>
        <w:rPr>
          <w:rFonts w:ascii="Verdana" w:eastAsia="Calibri" w:hAnsi="Verdana" w:cs="Arial"/>
          <w:color w:val="000000" w:themeColor="text1"/>
          <w:sz w:val="20"/>
          <w:szCs w:val="20"/>
        </w:rPr>
      </w:pPr>
      <w:r w:rsidRPr="003E7CD1">
        <w:rPr>
          <w:rFonts w:ascii="Verdana" w:eastAsia="Calibri" w:hAnsi="Verdana" w:cs="Arial"/>
          <w:color w:val="000000" w:themeColor="text1"/>
          <w:sz w:val="20"/>
          <w:szCs w:val="20"/>
        </w:rPr>
        <w:t>“Como ya se indicó, el objeto de los contratos que autoriza el inciso segundo del artículo 355 Superior, se limita a la realización de actividades o programas de interés público que, conforme a los planes de desarrollo, adelanten instituciones privadas sin ánimo de lucro. Aquellos que generan una contraprestación directa a favor de la entidad contratante y los que tienen por objeto desarrollar proyectos específicos, corresponden al giro normal de las funciones propias de la entidad estatal, y por lo tanto, se tipifican dentro de cualquiera de las modalidades de contratación de la ley 80 de 1.993, debiendo sujetarse a los procedimientos allí previstos, en especial los de escogencia del contratista.</w:t>
      </w:r>
    </w:p>
    <w:p w14:paraId="502D744B" w14:textId="77777777" w:rsidR="00890E1B" w:rsidRPr="003E7CD1" w:rsidRDefault="00890E1B" w:rsidP="00890E1B">
      <w:pPr>
        <w:spacing w:after="0" w:line="240" w:lineRule="auto"/>
        <w:ind w:left="708" w:right="709"/>
        <w:jc w:val="both"/>
        <w:rPr>
          <w:rFonts w:ascii="Verdana" w:eastAsia="Calibri" w:hAnsi="Verdana" w:cs="Arial"/>
          <w:color w:val="000000" w:themeColor="text1"/>
          <w:sz w:val="20"/>
          <w:szCs w:val="20"/>
        </w:rPr>
      </w:pPr>
      <w:r w:rsidRPr="003E7CD1">
        <w:rPr>
          <w:rFonts w:ascii="Verdana" w:eastAsia="Calibri" w:hAnsi="Verdana" w:cs="Arial"/>
          <w:color w:val="000000" w:themeColor="text1"/>
          <w:sz w:val="20"/>
          <w:szCs w:val="20"/>
        </w:rPr>
        <w:t>Cuando el artículo 355 autoriza a las entidades estatales a celebrar contratos para “impulsar” programas y actividades de interés público, se refiere a los del ente privado y no a los del Estado, pues respecto de éste el deber constitucional es no sólo impulsarlos sino cumplirlos, conforme las disposiciones contractuales vigentes, como sería, por ejemplo, contratos de prestación de servicios o de obra pública”</w:t>
      </w:r>
      <w:r w:rsidRPr="003E7CD1">
        <w:rPr>
          <w:rFonts w:ascii="Verdana" w:hAnsi="Verdana" w:cs="Arial"/>
          <w:color w:val="000000" w:themeColor="text1"/>
          <w:sz w:val="20"/>
          <w:szCs w:val="20"/>
          <w:vertAlign w:val="superscript"/>
        </w:rPr>
        <w:t xml:space="preserve"> </w:t>
      </w:r>
      <w:r w:rsidRPr="003E7CD1">
        <w:rPr>
          <w:rFonts w:ascii="Verdana" w:hAnsi="Verdana" w:cs="Arial"/>
          <w:color w:val="000000" w:themeColor="text1"/>
          <w:sz w:val="20"/>
          <w:szCs w:val="20"/>
          <w:vertAlign w:val="superscript"/>
        </w:rPr>
        <w:footnoteReference w:id="28"/>
      </w:r>
      <w:r w:rsidRPr="003E7CD1">
        <w:rPr>
          <w:rFonts w:ascii="Verdana" w:eastAsia="Calibri" w:hAnsi="Verdana" w:cs="Arial"/>
          <w:color w:val="000000" w:themeColor="text1"/>
          <w:sz w:val="20"/>
          <w:szCs w:val="20"/>
        </w:rPr>
        <w:t>.</w:t>
      </w:r>
    </w:p>
    <w:p w14:paraId="7AD33CA8" w14:textId="77777777" w:rsidR="00890E1B" w:rsidRPr="00377ED6" w:rsidRDefault="00890E1B" w:rsidP="00890E1B">
      <w:pPr>
        <w:spacing w:after="0" w:line="276" w:lineRule="auto"/>
        <w:ind w:firstLine="708"/>
        <w:jc w:val="both"/>
        <w:rPr>
          <w:rFonts w:ascii="Verdana" w:eastAsia="Calibri" w:hAnsi="Verdana" w:cs="Arial"/>
          <w:color w:val="000000" w:themeColor="text1"/>
        </w:rPr>
      </w:pPr>
      <w:bookmarkStart w:id="17" w:name="_Hlk95756200"/>
    </w:p>
    <w:p w14:paraId="14CAE9F3" w14:textId="77777777" w:rsidR="00890E1B" w:rsidRPr="00377ED6" w:rsidRDefault="00890E1B" w:rsidP="00890E1B">
      <w:pPr>
        <w:spacing w:after="0" w:line="276" w:lineRule="auto"/>
        <w:ind w:firstLine="708"/>
        <w:jc w:val="both"/>
        <w:rPr>
          <w:rFonts w:ascii="Verdana" w:eastAsia="Calibri" w:hAnsi="Verdana" w:cs="Arial"/>
          <w:color w:val="000000" w:themeColor="text1"/>
        </w:rPr>
      </w:pPr>
      <w:r w:rsidRPr="00377ED6">
        <w:rPr>
          <w:rFonts w:ascii="Verdana" w:eastAsia="Calibri" w:hAnsi="Verdana" w:cs="Arial"/>
          <w:color w:val="000000" w:themeColor="text1"/>
        </w:rPr>
        <w:t xml:space="preserve">De acuerdo con lo anterior, no todas las actividades que las entidades estatales deben desarrollar para alcanzar sus objetivos misionales deben ejecutarse a través de la celebración de contratos del artículo 355 superior o convenios de asociación. Debe tenerse en cuenta que lo que determina la aplicación del Decreto 092 de 2017 no es únicamente el carácter de las ESAL sino el objeto del contrato o convenio que la entidad pretende adelantar. Por tanto, el hecho de que se trate de una entidad sin ánimo de lucro no implica que necesariamente deba celebrarse un contrato de colaboración o un convenio de asociación. </w:t>
      </w:r>
      <w:bookmarkEnd w:id="17"/>
      <w:r w:rsidRPr="00377ED6">
        <w:rPr>
          <w:rFonts w:ascii="Verdana" w:eastAsia="Calibri" w:hAnsi="Verdana" w:cs="Arial"/>
          <w:color w:val="000000" w:themeColor="text1"/>
        </w:rPr>
        <w:t>Así lo reconoció la Corte Constitucional en la sentencia C-287 del 18 de abril de 2012, en la que sostuvo lo siguiente:</w:t>
      </w:r>
    </w:p>
    <w:p w14:paraId="477DDEED" w14:textId="77777777" w:rsidR="00890E1B" w:rsidRPr="00377ED6" w:rsidRDefault="00890E1B" w:rsidP="00890E1B">
      <w:pPr>
        <w:spacing w:after="0" w:line="240" w:lineRule="auto"/>
        <w:ind w:firstLine="709"/>
        <w:jc w:val="both"/>
        <w:rPr>
          <w:rFonts w:ascii="Verdana" w:eastAsia="Calibri" w:hAnsi="Verdana" w:cs="Arial"/>
          <w:color w:val="000000" w:themeColor="text1"/>
        </w:rPr>
      </w:pPr>
    </w:p>
    <w:p w14:paraId="42DE0729" w14:textId="77777777" w:rsidR="00890E1B" w:rsidRPr="003E7CD1" w:rsidRDefault="00890E1B" w:rsidP="00890E1B">
      <w:pPr>
        <w:spacing w:line="240" w:lineRule="auto"/>
        <w:ind w:left="709" w:right="709"/>
        <w:jc w:val="both"/>
        <w:rPr>
          <w:rFonts w:ascii="Verdana" w:eastAsia="Calibri" w:hAnsi="Verdana" w:cs="Arial"/>
          <w:color w:val="000000" w:themeColor="text1"/>
          <w:sz w:val="20"/>
          <w:szCs w:val="20"/>
        </w:rPr>
      </w:pPr>
      <w:r w:rsidRPr="003E7CD1">
        <w:rPr>
          <w:rFonts w:ascii="Verdana" w:eastAsia="Calibri" w:hAnsi="Verdana" w:cs="Arial"/>
          <w:color w:val="000000" w:themeColor="text1"/>
          <w:sz w:val="20"/>
          <w:szCs w:val="20"/>
        </w:rPr>
        <w:t>“Las corporaciones o asociaciones sin ánimo de lucro han sido definas por la doctrina como personas jurídicas que surgen de la voluntad de un grupo de individuos que vinculan un capital a la obtención de un fin de interés general o de bienestar común no lucrativo, de manera que tienen como finalidad propia la satisfacción de intereses públicos y sociales.</w:t>
      </w:r>
    </w:p>
    <w:p w14:paraId="5AC57A4C" w14:textId="77777777" w:rsidR="00890E1B" w:rsidRPr="003E7CD1" w:rsidRDefault="00890E1B" w:rsidP="00890E1B">
      <w:pPr>
        <w:spacing w:after="0" w:line="240" w:lineRule="auto"/>
        <w:ind w:left="709" w:right="709"/>
        <w:jc w:val="both"/>
        <w:rPr>
          <w:rFonts w:ascii="Verdana" w:eastAsia="Calibri" w:hAnsi="Verdana" w:cs="Arial"/>
          <w:color w:val="000000" w:themeColor="text1"/>
          <w:sz w:val="20"/>
          <w:szCs w:val="20"/>
        </w:rPr>
      </w:pPr>
      <w:r w:rsidRPr="003E7CD1">
        <w:rPr>
          <w:rFonts w:ascii="Verdana" w:eastAsia="Calibri" w:hAnsi="Verdana" w:cs="Arial"/>
          <w:i/>
          <w:iCs/>
          <w:color w:val="000000" w:themeColor="text1"/>
          <w:sz w:val="20"/>
          <w:szCs w:val="20"/>
        </w:rPr>
        <w:lastRenderedPageBreak/>
        <w:t>Sin embargo, el hecho que no persigan una finalidad lucrativa, no significa que no desarrollen actividades que generen utilidades, lo que pasa es que a diferencia de las sociedades, el lucro o ganancia obtenida no se reparte entre sus miembros sino que se integra al patrimonio de la asociación para la obtención del fin deseado</w:t>
      </w:r>
      <w:r w:rsidRPr="003E7CD1">
        <w:rPr>
          <w:rFonts w:ascii="Verdana" w:eastAsia="Calibri" w:hAnsi="Verdana" w:cs="Arial"/>
          <w:color w:val="000000" w:themeColor="text1"/>
          <w:sz w:val="20"/>
          <w:szCs w:val="20"/>
        </w:rPr>
        <w:t xml:space="preserve">. Así, el elemento característico de las corporaciones o asociaciones sin ánimo de lucro radica, precisamente, en la determinación de sus miembros de desarrollar una actividad de interés general sin esperar a cambio repartición de utilidades en proporción a su aporte, ni la recuperación </w:t>
      </w:r>
      <w:proofErr w:type="gramStart"/>
      <w:r w:rsidRPr="003E7CD1">
        <w:rPr>
          <w:rFonts w:ascii="Verdana" w:eastAsia="Calibri" w:hAnsi="Verdana" w:cs="Arial"/>
          <w:color w:val="000000" w:themeColor="text1"/>
          <w:sz w:val="20"/>
          <w:szCs w:val="20"/>
        </w:rPr>
        <w:t>del mismo</w:t>
      </w:r>
      <w:proofErr w:type="gramEnd"/>
      <w:r w:rsidRPr="003E7CD1">
        <w:rPr>
          <w:rFonts w:ascii="Verdana" w:eastAsia="Calibri" w:hAnsi="Verdana" w:cs="Arial"/>
          <w:color w:val="000000" w:themeColor="text1"/>
          <w:sz w:val="20"/>
          <w:szCs w:val="20"/>
        </w:rPr>
        <w:t xml:space="preserve"> en el momento de su disolución o liquidación”. (Cursivas propias)</w:t>
      </w:r>
    </w:p>
    <w:p w14:paraId="64F19D9C" w14:textId="77777777" w:rsidR="00890E1B" w:rsidRPr="00377ED6" w:rsidRDefault="00890E1B" w:rsidP="00890E1B">
      <w:pPr>
        <w:spacing w:after="0" w:line="276" w:lineRule="auto"/>
        <w:ind w:firstLine="709"/>
        <w:jc w:val="both"/>
        <w:rPr>
          <w:rFonts w:ascii="Verdana" w:eastAsia="Calibri" w:hAnsi="Verdana" w:cs="Arial"/>
          <w:color w:val="000000" w:themeColor="text1"/>
        </w:rPr>
      </w:pPr>
    </w:p>
    <w:p w14:paraId="24384802" w14:textId="77777777" w:rsidR="00890E1B" w:rsidRPr="00377ED6" w:rsidRDefault="00890E1B" w:rsidP="00890E1B">
      <w:pPr>
        <w:spacing w:after="120" w:line="276" w:lineRule="auto"/>
        <w:ind w:firstLine="709"/>
        <w:jc w:val="both"/>
        <w:rPr>
          <w:rFonts w:ascii="Verdana" w:eastAsia="Calibri" w:hAnsi="Verdana" w:cs="Arial"/>
          <w:color w:val="000000" w:themeColor="text1"/>
        </w:rPr>
      </w:pPr>
      <w:r w:rsidRPr="00377ED6">
        <w:rPr>
          <w:rFonts w:ascii="Verdana" w:eastAsia="Calibri" w:hAnsi="Verdana" w:cs="Arial"/>
          <w:color w:val="000000" w:themeColor="text1"/>
        </w:rPr>
        <w:t>Lo anterior se justifica en que la principal característica de las ESAL es la ausencia de lucro, es decir, las ganancias o beneficios económicos no están destinados a repartirse en favor de los miembros ni de terceros, sino que permanecen dentro de la entidad incrementando su patrimonio. Con todo, las ESAL pueden participar en igualdad de condiciones en procesos de contratación regidos por la Ley 80 de 1993, la Ley 1150 de 2007 y el Decreto 1082 de 2015, siempre y cuando cumplan con los requisitos exigidos en los documentos del proceso. De esta manera, ni los contratos del artículo 355 de la Constitución Política ni los convenios de asociación del artículo 96 de la Ley 489 de 1998 generan utilidades para la ESAL, pues en dicho caso se trataría de un contrato en el que se debe remunerar al contratista por los servicios prestados, el cual, por eso mismo, tiene un régimen legal distinto.</w:t>
      </w:r>
    </w:p>
    <w:p w14:paraId="1E2F4281" w14:textId="77777777" w:rsidR="00890E1B" w:rsidRPr="00377ED6" w:rsidRDefault="00890E1B" w:rsidP="00890E1B">
      <w:pPr>
        <w:spacing w:line="276" w:lineRule="auto"/>
        <w:ind w:firstLine="709"/>
        <w:jc w:val="both"/>
        <w:rPr>
          <w:rFonts w:ascii="Verdana" w:eastAsia="Calibri" w:hAnsi="Verdana" w:cs="Arial"/>
          <w:color w:val="000000" w:themeColor="text1"/>
        </w:rPr>
      </w:pPr>
      <w:r w:rsidRPr="00377ED6">
        <w:rPr>
          <w:rFonts w:ascii="Verdana" w:hAnsi="Verdana" w:cs="Arial"/>
          <w:color w:val="000000" w:themeColor="text1"/>
        </w:rPr>
        <w:t xml:space="preserve">Es importante tener en cuenta que la contratación con </w:t>
      </w:r>
      <w:r>
        <w:rPr>
          <w:rFonts w:ascii="Verdana" w:hAnsi="Verdana" w:cs="Arial"/>
          <w:color w:val="000000" w:themeColor="text1"/>
        </w:rPr>
        <w:t xml:space="preserve">ESAL </w:t>
      </w:r>
      <w:r w:rsidRPr="00377ED6">
        <w:rPr>
          <w:rFonts w:ascii="Verdana" w:hAnsi="Verdana" w:cs="Arial"/>
          <w:color w:val="000000" w:themeColor="text1"/>
        </w:rPr>
        <w:t xml:space="preserve">se rige por el Decreto 092 de 2017, salvo lo que ha sido objeto de suspensión provisional por parte del Consejo de Estado. Por lo tanto, las entidades públicas que desean celebrar </w:t>
      </w:r>
      <w:r w:rsidRPr="00377ED6">
        <w:rPr>
          <w:rFonts w:ascii="Verdana" w:hAnsi="Verdana" w:cs="Arial"/>
          <w:i/>
          <w:iCs/>
          <w:color w:val="000000" w:themeColor="text1"/>
        </w:rPr>
        <w:t>contratos del artículo 355 de la Constitución Política</w:t>
      </w:r>
      <w:r w:rsidRPr="00377ED6">
        <w:rPr>
          <w:rFonts w:ascii="Verdana" w:hAnsi="Verdana" w:cs="Arial"/>
          <w:color w:val="000000" w:themeColor="text1"/>
        </w:rPr>
        <w:t xml:space="preserve"> deberán contratar con ESAL de reconocida idoneidad realizando un proceso competitivo, y teniendo en cuenta lo siguiente: i) no debe condicionarse el proceso de contratación a la inexistencia de oferta en el mercado de bienes y servicios; </w:t>
      </w:r>
      <w:proofErr w:type="spellStart"/>
      <w:r w:rsidRPr="00377ED6">
        <w:rPr>
          <w:rFonts w:ascii="Verdana" w:hAnsi="Verdana" w:cs="Arial"/>
          <w:color w:val="000000" w:themeColor="text1"/>
        </w:rPr>
        <w:t>ii</w:t>
      </w:r>
      <w:proofErr w:type="spellEnd"/>
      <w:r w:rsidRPr="00377ED6">
        <w:rPr>
          <w:rFonts w:ascii="Verdana" w:hAnsi="Verdana" w:cs="Arial"/>
          <w:color w:val="000000" w:themeColor="text1"/>
        </w:rPr>
        <w:t xml:space="preserve">) tampoco debe condicionarse a que la contratación con las ESAL garantice la optimización de los recursos públicos en términos de eficiencia, eficacia, economía y manejo del riesgo; </w:t>
      </w:r>
      <w:proofErr w:type="spellStart"/>
      <w:r w:rsidRPr="00377ED6">
        <w:rPr>
          <w:rFonts w:ascii="Verdana" w:hAnsi="Verdana" w:cs="Arial"/>
          <w:color w:val="000000" w:themeColor="text1"/>
        </w:rPr>
        <w:t>iii</w:t>
      </w:r>
      <w:proofErr w:type="spellEnd"/>
      <w:r w:rsidRPr="00377ED6">
        <w:rPr>
          <w:rFonts w:ascii="Verdana" w:hAnsi="Verdana" w:cs="Arial"/>
          <w:color w:val="000000" w:themeColor="text1"/>
        </w:rPr>
        <w:t xml:space="preserve">) el objeto del contrato debe estar acorde con el plan nacional o seccional de desarrollo; </w:t>
      </w:r>
      <w:proofErr w:type="spellStart"/>
      <w:r w:rsidRPr="00377ED6">
        <w:rPr>
          <w:rFonts w:ascii="Verdana" w:hAnsi="Verdana" w:cs="Arial"/>
          <w:color w:val="000000" w:themeColor="text1"/>
        </w:rPr>
        <w:t>iv</w:t>
      </w:r>
      <w:proofErr w:type="spellEnd"/>
      <w:r w:rsidRPr="00377ED6">
        <w:rPr>
          <w:rFonts w:ascii="Verdana" w:hAnsi="Verdana" w:cs="Arial"/>
          <w:color w:val="000000" w:themeColor="text1"/>
        </w:rPr>
        <w:t xml:space="preserve">) no puede condicionarse únicamente a que las actividades o programas correspondan exclusivamente a promover los derechos de personas en situación de debilidad manifiesta o indefensión, los derechos de las minorías, el derecho a la educación, el derecho a la paz, las manifestaciones artísticas, culturales, deportivas y de promoción de la diversidad étnica </w:t>
      </w:r>
      <w:r w:rsidRPr="00377ED6">
        <w:rPr>
          <w:rFonts w:ascii="Verdana" w:hAnsi="Verdana" w:cs="Arial"/>
          <w:color w:val="000000" w:themeColor="text1"/>
        </w:rPr>
        <w:lastRenderedPageBreak/>
        <w:t xml:space="preserve">colombiana, por lo que basta con cumplir el anterior numeral </w:t>
      </w:r>
      <w:proofErr w:type="spellStart"/>
      <w:r w:rsidRPr="00377ED6">
        <w:rPr>
          <w:rFonts w:ascii="Verdana" w:hAnsi="Verdana" w:cs="Arial"/>
          <w:color w:val="000000" w:themeColor="text1"/>
        </w:rPr>
        <w:t>iii</w:t>
      </w:r>
      <w:proofErr w:type="spellEnd"/>
      <w:r w:rsidRPr="00377ED6">
        <w:rPr>
          <w:rFonts w:ascii="Verdana" w:hAnsi="Verdana" w:cs="Arial"/>
          <w:color w:val="000000" w:themeColor="text1"/>
        </w:rPr>
        <w:t>); y v) el contrato no debe establecer una relación conmutativa en el cual haya una contraprestación directa a favor de la entidad, ni instrucciones precisas dadas por esta al contratista para cumplir con el objeto del contrato.</w:t>
      </w:r>
    </w:p>
    <w:p w14:paraId="1617172C" w14:textId="77777777" w:rsidR="00890E1B" w:rsidRPr="004513DD" w:rsidRDefault="00890E1B" w:rsidP="00890E1B">
      <w:pPr>
        <w:spacing w:after="120" w:line="276" w:lineRule="auto"/>
        <w:ind w:firstLine="709"/>
        <w:jc w:val="both"/>
        <w:rPr>
          <w:rFonts w:ascii="Verdana" w:eastAsia="Calibri" w:hAnsi="Verdana" w:cs="Arial"/>
          <w:color w:val="000000" w:themeColor="text1"/>
        </w:rPr>
      </w:pPr>
      <w:r>
        <w:rPr>
          <w:rFonts w:ascii="Verdana" w:eastAsia="Calibri" w:hAnsi="Verdana" w:cs="Arial"/>
          <w:color w:val="000000" w:themeColor="text1"/>
        </w:rPr>
        <w:t>De esta manera</w:t>
      </w:r>
      <w:r w:rsidRPr="00377ED6">
        <w:rPr>
          <w:rFonts w:ascii="Verdana" w:eastAsia="Calibri" w:hAnsi="Verdana" w:cs="Arial"/>
          <w:color w:val="000000" w:themeColor="text1"/>
        </w:rPr>
        <w:t xml:space="preserve">, si se pretende realizar un </w:t>
      </w:r>
      <w:r w:rsidRPr="00377ED6">
        <w:rPr>
          <w:rFonts w:ascii="Verdana" w:eastAsia="Calibri" w:hAnsi="Verdana" w:cs="Arial"/>
          <w:i/>
          <w:iCs/>
          <w:color w:val="000000" w:themeColor="text1"/>
        </w:rPr>
        <w:t>convenio de asociación</w:t>
      </w:r>
      <w:r w:rsidRPr="00377ED6">
        <w:rPr>
          <w:rFonts w:ascii="Verdana" w:eastAsia="Calibri" w:hAnsi="Verdana" w:cs="Arial"/>
          <w:color w:val="000000" w:themeColor="text1"/>
        </w:rPr>
        <w:t xml:space="preserve"> con ESAL de reconocida idoneidad para el cumplimiento de las funciones que la ley les asigna a las entidades públicas, deberá aplicarse lo dispuesto en el artículo 5 del Decreto 092 de 2017. </w:t>
      </w:r>
      <w:r>
        <w:rPr>
          <w:rFonts w:ascii="Verdana" w:eastAsia="Calibri" w:hAnsi="Verdana" w:cs="Arial"/>
          <w:color w:val="000000" w:themeColor="text1"/>
        </w:rPr>
        <w:t>Por lo tanto</w:t>
      </w:r>
      <w:r w:rsidRPr="00377ED6">
        <w:rPr>
          <w:rFonts w:ascii="Verdana" w:eastAsia="Calibri" w:hAnsi="Verdana" w:cs="Arial"/>
          <w:color w:val="000000" w:themeColor="text1"/>
        </w:rPr>
        <w:t xml:space="preserve">, deben estar sujetos a competencia, salvo en aquellos casos en que una </w:t>
      </w:r>
      <w:r>
        <w:rPr>
          <w:rFonts w:ascii="Verdana" w:eastAsia="Calibri" w:hAnsi="Verdana" w:cs="Arial"/>
          <w:color w:val="000000" w:themeColor="text1"/>
        </w:rPr>
        <w:t>ESAL</w:t>
      </w:r>
      <w:r w:rsidRPr="00377ED6">
        <w:rPr>
          <w:rFonts w:ascii="Verdana" w:eastAsia="Calibri" w:hAnsi="Verdana" w:cs="Arial"/>
          <w:color w:val="000000" w:themeColor="text1"/>
        </w:rPr>
        <w:t xml:space="preserve"> comprometa recursos en dinero por un valor igual o superior al </w:t>
      </w:r>
      <w:r>
        <w:rPr>
          <w:rFonts w:ascii="Verdana" w:eastAsia="Calibri" w:hAnsi="Verdana" w:cs="Arial"/>
          <w:color w:val="000000" w:themeColor="text1"/>
        </w:rPr>
        <w:t>treinta por ciento (</w:t>
      </w:r>
      <w:r w:rsidRPr="00377ED6">
        <w:rPr>
          <w:rFonts w:ascii="Verdana" w:eastAsia="Calibri" w:hAnsi="Verdana" w:cs="Arial"/>
          <w:color w:val="000000" w:themeColor="text1"/>
        </w:rPr>
        <w:t>30</w:t>
      </w:r>
      <w:r w:rsidRPr="009A4996">
        <w:rPr>
          <w:rFonts w:ascii="Verdana" w:eastAsia="Calibri" w:hAnsi="Verdana" w:cs="Arial"/>
          <w:color w:val="000000" w:themeColor="text1"/>
        </w:rPr>
        <w:t>%</w:t>
      </w:r>
      <w:r>
        <w:rPr>
          <w:rFonts w:ascii="Verdana" w:eastAsia="Calibri" w:hAnsi="Verdana" w:cs="Arial"/>
          <w:color w:val="000000" w:themeColor="text1"/>
        </w:rPr>
        <w:t>)</w:t>
      </w:r>
      <w:r w:rsidRPr="00377ED6">
        <w:rPr>
          <w:rFonts w:ascii="Verdana" w:eastAsia="Calibri" w:hAnsi="Verdana" w:cs="Arial"/>
          <w:color w:val="000000" w:themeColor="text1"/>
        </w:rPr>
        <w:t xml:space="preserve"> del valor total del convenio</w:t>
      </w:r>
      <w:r w:rsidRPr="00377ED6">
        <w:rPr>
          <w:rFonts w:ascii="Verdana" w:hAnsi="Verdana" w:cs="Arial"/>
          <w:color w:val="000000" w:themeColor="text1"/>
          <w:vertAlign w:val="superscript"/>
        </w:rPr>
        <w:footnoteReference w:id="29"/>
      </w:r>
      <w:r w:rsidRPr="00377ED6">
        <w:rPr>
          <w:rFonts w:ascii="Verdana" w:eastAsia="Calibri" w:hAnsi="Verdana" w:cs="Arial"/>
          <w:color w:val="000000" w:themeColor="text1"/>
        </w:rPr>
        <w:t xml:space="preserve">, y siempre que la entidad estatal verifique previamente que no existe ninguna otra entidad sin ánimo de lucro que ofrezca aportes iguales o superiores al 30%. </w:t>
      </w:r>
      <w:r>
        <w:rPr>
          <w:rFonts w:ascii="Verdana" w:eastAsia="Calibri" w:hAnsi="Verdana" w:cs="Arial"/>
          <w:color w:val="000000" w:themeColor="text1"/>
        </w:rPr>
        <w:t xml:space="preserve">En ese orden, en vigencia de la </w:t>
      </w:r>
      <w:r w:rsidRPr="00377ED6">
        <w:rPr>
          <w:rFonts w:ascii="Verdana" w:eastAsia="Calibri" w:hAnsi="Verdana" w:cs="Arial"/>
          <w:color w:val="000000"/>
        </w:rPr>
        <w:t>restricci</w:t>
      </w:r>
      <w:r>
        <w:rPr>
          <w:rFonts w:ascii="Verdana" w:eastAsia="Calibri" w:hAnsi="Verdana" w:cs="Arial"/>
          <w:color w:val="000000"/>
        </w:rPr>
        <w:t>ón</w:t>
      </w:r>
      <w:r w:rsidRPr="00377ED6">
        <w:rPr>
          <w:rFonts w:ascii="Verdana" w:eastAsia="Calibri" w:hAnsi="Verdana" w:cs="Arial"/>
          <w:color w:val="000000"/>
        </w:rPr>
        <w:t xml:space="preserve"> prevista en el artículo 33 de la Ley de Garantías</w:t>
      </w:r>
      <w:r>
        <w:rPr>
          <w:rFonts w:ascii="Verdana" w:eastAsia="Calibri" w:hAnsi="Verdana" w:cs="Arial"/>
          <w:color w:val="000000"/>
        </w:rPr>
        <w:t xml:space="preserve"> Electorales, según el artículo 5 del Decreto 092 de 2017, solo podrán celebrarse convenios previo desarrollo de proceso competitivo.</w:t>
      </w:r>
    </w:p>
    <w:p w14:paraId="0EE0B154" w14:textId="77777777" w:rsidR="00890E1B" w:rsidRDefault="00890E1B" w:rsidP="00890E1B">
      <w:pPr>
        <w:spacing w:before="120" w:after="120" w:line="276" w:lineRule="auto"/>
        <w:ind w:firstLine="709"/>
        <w:jc w:val="both"/>
        <w:rPr>
          <w:rFonts w:ascii="Verdana" w:eastAsia="Calibri" w:hAnsi="Verdana" w:cs="Arial"/>
          <w:lang w:val="es-ES"/>
        </w:rPr>
      </w:pPr>
      <w:r>
        <w:rPr>
          <w:rFonts w:ascii="Verdana" w:eastAsia="Calibri" w:hAnsi="Verdana" w:cs="Arial"/>
          <w:color w:val="000000"/>
        </w:rPr>
        <w:t xml:space="preserve">En otras palabras, los convenios de asociación </w:t>
      </w:r>
      <w:r w:rsidRPr="697BF333">
        <w:rPr>
          <w:rFonts w:ascii="Verdana" w:eastAsia="Calibri" w:hAnsi="Verdana" w:cs="Arial"/>
          <w:lang w:val="es-ES"/>
        </w:rPr>
        <w:t xml:space="preserve">regidos por el artículo 96 de la Ley 489 de 1998, así como por el artículo 5 del Decreto 092 de 2017, por regla general, también deben celebrarse previo desarrollo de un proceso competitivo, por lo que, en principio, su suscripción </w:t>
      </w:r>
      <w:r>
        <w:rPr>
          <w:rFonts w:ascii="Verdana" w:eastAsia="Calibri" w:hAnsi="Verdana" w:cs="Arial"/>
          <w:lang w:val="es-ES"/>
        </w:rPr>
        <w:t>no</w:t>
      </w:r>
      <w:r w:rsidRPr="697BF333">
        <w:rPr>
          <w:rFonts w:ascii="Verdana" w:eastAsia="Calibri" w:hAnsi="Verdana" w:cs="Arial"/>
          <w:lang w:val="es-ES"/>
        </w:rPr>
        <w:t xml:space="preserve"> debería verse afectada por la restricción del artículo 33 de la Ley 996 de 2005. Esto a excepción de la posibilidad celebrar convenios de asociación de manera directa, en aquellos casos en los que una </w:t>
      </w:r>
      <w:r>
        <w:rPr>
          <w:rFonts w:ascii="Verdana" w:eastAsia="Calibri" w:hAnsi="Verdana" w:cs="Arial"/>
          <w:lang w:val="es-ES"/>
        </w:rPr>
        <w:t>ESAL</w:t>
      </w:r>
      <w:r w:rsidRPr="697BF333">
        <w:rPr>
          <w:rFonts w:ascii="Verdana" w:eastAsia="Calibri" w:hAnsi="Verdana" w:cs="Arial"/>
          <w:lang w:val="es-ES"/>
        </w:rPr>
        <w:t xml:space="preserve"> aporte el </w:t>
      </w:r>
      <w:r>
        <w:rPr>
          <w:rFonts w:ascii="Verdana" w:eastAsia="Calibri" w:hAnsi="Verdana" w:cs="Arial"/>
          <w:lang w:val="es-ES"/>
        </w:rPr>
        <w:t>treinta por ciento (</w:t>
      </w:r>
      <w:r w:rsidRPr="697BF333">
        <w:rPr>
          <w:rFonts w:ascii="Verdana" w:eastAsia="Calibri" w:hAnsi="Verdana" w:cs="Arial"/>
          <w:lang w:val="es-ES"/>
        </w:rPr>
        <w:t>30</w:t>
      </w:r>
      <w:r w:rsidRPr="009A4996">
        <w:rPr>
          <w:rFonts w:ascii="Verdana" w:eastAsia="Calibri" w:hAnsi="Verdana" w:cs="Arial"/>
          <w:lang w:val="es-ES"/>
        </w:rPr>
        <w:t>%</w:t>
      </w:r>
      <w:r>
        <w:rPr>
          <w:rFonts w:ascii="Verdana" w:eastAsia="Calibri" w:hAnsi="Verdana" w:cs="Arial"/>
          <w:lang w:val="es-ES"/>
        </w:rPr>
        <w:t>)</w:t>
      </w:r>
      <w:r w:rsidRPr="697BF333">
        <w:rPr>
          <w:rFonts w:ascii="Verdana" w:eastAsia="Calibri" w:hAnsi="Verdana" w:cs="Arial"/>
          <w:lang w:val="es-ES"/>
        </w:rPr>
        <w:t xml:space="preserve"> de los recursos en dinero requeridos, supuesto que, al excluir la pluralidad de oferentes, </w:t>
      </w:r>
      <w:r>
        <w:rPr>
          <w:rFonts w:ascii="Verdana" w:eastAsia="Calibri" w:hAnsi="Verdana" w:cs="Arial"/>
          <w:lang w:val="es-ES"/>
        </w:rPr>
        <w:t>se encuadra</w:t>
      </w:r>
      <w:r w:rsidRPr="697BF333">
        <w:rPr>
          <w:rFonts w:ascii="Verdana" w:eastAsia="Calibri" w:hAnsi="Verdana" w:cs="Arial"/>
          <w:lang w:val="es-ES"/>
        </w:rPr>
        <w:t xml:space="preserve"> dentro del ámbito de aplicación de la mencionada prohibición, de manera que no es posible su aplicación en vigencia de la restricción a la contratación directa.</w:t>
      </w:r>
    </w:p>
    <w:p w14:paraId="5CFF9BC9" w14:textId="77777777" w:rsidR="00890E1B" w:rsidRDefault="00890E1B" w:rsidP="00890E1B">
      <w:pPr>
        <w:spacing w:before="120" w:after="120" w:line="276" w:lineRule="auto"/>
        <w:ind w:firstLine="709"/>
        <w:jc w:val="both"/>
        <w:rPr>
          <w:rFonts w:ascii="Verdana" w:eastAsia="Calibri" w:hAnsi="Verdana" w:cs="Arial"/>
          <w:lang w:val="es-ES"/>
        </w:rPr>
      </w:pPr>
      <w:r>
        <w:rPr>
          <w:rFonts w:ascii="Verdana" w:eastAsia="Times New Roman" w:hAnsi="Verdana" w:cs="Arial"/>
          <w:lang w:val="es-MX" w:eastAsia="x-none"/>
        </w:rPr>
        <w:t>Sin perjuicio de lo anterior</w:t>
      </w:r>
      <w:r w:rsidRPr="00F02C5A">
        <w:rPr>
          <w:rFonts w:ascii="Verdana" w:eastAsia="Times New Roman" w:hAnsi="Verdana" w:cs="Arial"/>
          <w:lang w:val="es-MX" w:eastAsia="x-none"/>
        </w:rPr>
        <w:t xml:space="preserve">, la restricción prevista en </w:t>
      </w:r>
      <w:r>
        <w:rPr>
          <w:rFonts w:ascii="Verdana" w:eastAsia="Times New Roman" w:hAnsi="Verdana" w:cs="Arial"/>
          <w:lang w:val="es-MX" w:eastAsia="x-none"/>
        </w:rPr>
        <w:t xml:space="preserve">el artículo 33 de la </w:t>
      </w:r>
      <w:r w:rsidRPr="00F02C5A">
        <w:rPr>
          <w:rFonts w:ascii="Verdana" w:eastAsia="Times New Roman" w:hAnsi="Verdana" w:cs="Arial"/>
          <w:lang w:val="es-MX" w:eastAsia="x-none"/>
        </w:rPr>
        <w:t>Ley de Garantías Electorales</w:t>
      </w:r>
      <w:r>
        <w:rPr>
          <w:rFonts w:ascii="Verdana" w:eastAsia="Times New Roman" w:hAnsi="Verdana" w:cs="Arial"/>
          <w:lang w:val="es-MX" w:eastAsia="x-none"/>
        </w:rPr>
        <w:t xml:space="preserve"> contempla algunas excepciones</w:t>
      </w:r>
      <w:r w:rsidRPr="00F02C5A">
        <w:rPr>
          <w:rFonts w:ascii="Verdana" w:eastAsia="Times New Roman" w:hAnsi="Verdana" w:cs="Arial"/>
          <w:lang w:val="es-MX" w:eastAsia="x-none"/>
        </w:rPr>
        <w:t xml:space="preserve">, con fundamento en las cuales podrán las entidades públicas adelantar procedimientos de </w:t>
      </w:r>
      <w:r>
        <w:rPr>
          <w:rFonts w:ascii="Verdana" w:eastAsia="Times New Roman" w:hAnsi="Verdana" w:cs="Arial"/>
          <w:lang w:val="es-MX" w:eastAsia="x-none"/>
        </w:rPr>
        <w:t>contratación</w:t>
      </w:r>
      <w:r w:rsidRPr="00F02C5A">
        <w:rPr>
          <w:rFonts w:ascii="Verdana" w:eastAsia="Times New Roman" w:hAnsi="Verdana" w:cs="Arial"/>
          <w:lang w:val="es-MX" w:eastAsia="x-none"/>
        </w:rPr>
        <w:t xml:space="preserve"> directa en períodos previos a la contienda electoral por la Presidencia, </w:t>
      </w:r>
      <w:r>
        <w:rPr>
          <w:rFonts w:ascii="Verdana" w:eastAsia="Times New Roman" w:hAnsi="Verdana" w:cs="Arial"/>
          <w:lang w:val="es-MX" w:eastAsia="x-none"/>
        </w:rPr>
        <w:t xml:space="preserve">siempre que se subsuma en los supuestos contemplados de </w:t>
      </w:r>
      <w:r w:rsidRPr="00F02C5A">
        <w:rPr>
          <w:rFonts w:ascii="Verdana" w:eastAsia="Times New Roman" w:hAnsi="Verdana" w:cs="Arial"/>
          <w:lang w:val="es-MX" w:eastAsia="x-none"/>
        </w:rPr>
        <w:t xml:space="preserve">manera </w:t>
      </w:r>
      <w:r w:rsidRPr="00F02C5A">
        <w:rPr>
          <w:rFonts w:ascii="Verdana" w:eastAsia="Times New Roman" w:hAnsi="Verdana" w:cs="Arial"/>
          <w:lang w:val="es-MX" w:eastAsia="x-none"/>
        </w:rPr>
        <w:lastRenderedPageBreak/>
        <w:t>taxativa en el inciso final del citado artículo 33 de la Ley 996 de 2005.</w:t>
      </w:r>
      <w:r>
        <w:rPr>
          <w:rFonts w:ascii="Verdana" w:eastAsia="Times New Roman" w:hAnsi="Verdana" w:cs="Arial"/>
          <w:lang w:val="es-MX" w:eastAsia="x-none"/>
        </w:rPr>
        <w:t xml:space="preserve"> Por lo tanto, será</w:t>
      </w:r>
      <w:r w:rsidRPr="00F02C5A">
        <w:rPr>
          <w:rFonts w:ascii="Verdana" w:eastAsia="Times New Roman" w:hAnsi="Verdana" w:cs="Arial"/>
          <w:lang w:val="es-MX" w:eastAsia="es-CO"/>
        </w:rPr>
        <w:t xml:space="preserve"> responsabilidad de</w:t>
      </w:r>
      <w:r>
        <w:rPr>
          <w:rFonts w:ascii="Verdana" w:eastAsia="Times New Roman" w:hAnsi="Verdana" w:cs="Arial"/>
          <w:lang w:val="es-MX" w:eastAsia="es-CO"/>
        </w:rPr>
        <w:t xml:space="preserve"> la entidad estatal</w:t>
      </w:r>
      <w:r w:rsidRPr="00F02C5A">
        <w:rPr>
          <w:rFonts w:ascii="Verdana" w:eastAsia="Times New Roman" w:hAnsi="Verdana" w:cs="Arial"/>
          <w:lang w:val="es-MX" w:eastAsia="es-CO"/>
        </w:rPr>
        <w:t>, examinar en cada caso la naturaleza de las actividades que adelanta y determinar si las mismas se enmarcan en alguna de las mencionadas excepciones</w:t>
      </w:r>
      <w:r>
        <w:rPr>
          <w:rFonts w:ascii="Verdana" w:eastAsia="Times New Roman" w:hAnsi="Verdana" w:cs="Arial"/>
          <w:lang w:val="es-MX" w:eastAsia="es-CO"/>
        </w:rPr>
        <w:t xml:space="preserve">. </w:t>
      </w:r>
      <w:r w:rsidRPr="697BF333">
        <w:rPr>
          <w:rFonts w:ascii="Verdana" w:eastAsia="Calibri" w:hAnsi="Verdana" w:cs="Arial"/>
          <w:lang w:val="es-ES"/>
        </w:rPr>
        <w:t xml:space="preserve"> </w:t>
      </w:r>
    </w:p>
    <w:p w14:paraId="550857AB" w14:textId="77777777" w:rsidR="00890E1B" w:rsidRPr="00B10400" w:rsidRDefault="00890E1B" w:rsidP="00890E1B">
      <w:pPr>
        <w:spacing w:before="120" w:after="120" w:line="276" w:lineRule="auto"/>
        <w:ind w:firstLine="709"/>
        <w:jc w:val="both"/>
        <w:rPr>
          <w:rFonts w:ascii="Verdana" w:eastAsia="Calibri" w:hAnsi="Verdana" w:cs="Arial"/>
          <w:lang w:val="es-ES"/>
        </w:rPr>
      </w:pPr>
      <w:r>
        <w:rPr>
          <w:rFonts w:ascii="Verdana" w:eastAsia="Times New Roman" w:hAnsi="Verdana" w:cs="Arial"/>
          <w:lang w:val="es-MX" w:eastAsia="es-CO"/>
        </w:rPr>
        <w:t>Ahora bien, en relación con el parágrafo del artículo 38 debe señalarse que, dado que este prohíbe la celebración de convenios interadministrativos, entendidos como aquellos que se celebran entre dos entidades estatales, no es aplicable a los contratos de colaboración – de que trata el artículo 355 de la Constitución Política – ni los convenios de asociación – del artículo 96 de la 489 – pues uno de los extremos es una ESAL de naturaleza privada, por lo que el negocio jurídico no se cataloga en aquellos que se prohíben.</w:t>
      </w:r>
    </w:p>
    <w:p w14:paraId="3C18194E" w14:textId="77777777" w:rsidR="00890E1B" w:rsidRDefault="00890E1B" w:rsidP="00890E1B">
      <w:pPr>
        <w:spacing w:after="120" w:line="276" w:lineRule="auto"/>
        <w:ind w:firstLine="709"/>
        <w:jc w:val="both"/>
        <w:rPr>
          <w:rFonts w:ascii="Verdana" w:eastAsia="Calibri" w:hAnsi="Verdana" w:cs="Arial"/>
          <w:color w:val="000000" w:themeColor="text1"/>
        </w:rPr>
      </w:pPr>
      <w:r w:rsidRPr="005E4C47">
        <w:rPr>
          <w:rFonts w:ascii="Verdana" w:eastAsia="Calibri" w:hAnsi="Verdana" w:cs="Arial"/>
          <w:color w:val="000000" w:themeColor="text1"/>
        </w:rPr>
        <w:t xml:space="preserve">Por último,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establecerá la forma de adelantar su gestión contractual, sin que sea atribución de la Agencia Nacional de Contratación Pública - Colombia Compra Eficiente validarla. </w:t>
      </w:r>
    </w:p>
    <w:p w14:paraId="038FAB8B" w14:textId="77777777" w:rsidR="00890E1B" w:rsidRPr="005E0657" w:rsidRDefault="00890E1B" w:rsidP="00890E1B">
      <w:pPr>
        <w:spacing w:after="120" w:line="276" w:lineRule="auto"/>
        <w:ind w:firstLine="709"/>
        <w:jc w:val="both"/>
        <w:rPr>
          <w:rFonts w:ascii="Verdana" w:eastAsia="Calibri" w:hAnsi="Verdana" w:cs="Arial"/>
          <w:color w:val="000000" w:themeColor="text1"/>
        </w:rPr>
      </w:pPr>
      <w:r w:rsidRPr="005E0657">
        <w:rPr>
          <w:rFonts w:ascii="Verdana" w:eastAsia="Calibri" w:hAnsi="Verdana" w:cs="Arial"/>
          <w:color w:val="000000" w:themeColor="text1"/>
        </w:rPr>
        <w:t xml:space="preserve">En síntesis, en respuesta al objeto de la consulta, es preciso señalar que </w:t>
      </w:r>
      <w:r w:rsidRPr="00AE18AA">
        <w:rPr>
          <w:rFonts w:ascii="Verdana" w:eastAsia="Calibri" w:hAnsi="Verdana" w:cs="Arial"/>
          <w:color w:val="000000" w:themeColor="text1"/>
        </w:rPr>
        <w:t>las prohibiciones previstas en el artículo 33 de la Ley 996 de 2005 y en el parágrafo del artículo 38 de la misma normativa no resultan aplicables</w:t>
      </w:r>
      <w:r w:rsidRPr="005E0657">
        <w:rPr>
          <w:rFonts w:ascii="Verdana" w:eastAsia="Calibri" w:hAnsi="Verdana" w:cs="Arial"/>
          <w:color w:val="000000" w:themeColor="text1"/>
        </w:rPr>
        <w:t xml:space="preserve"> a los </w:t>
      </w:r>
      <w:r w:rsidRPr="00AE18AA">
        <w:rPr>
          <w:rFonts w:ascii="Verdana" w:eastAsia="Calibri" w:hAnsi="Verdana" w:cs="Arial"/>
          <w:color w:val="000000" w:themeColor="text1"/>
        </w:rPr>
        <w:t>procedimientos competitivos</w:t>
      </w:r>
      <w:r w:rsidRPr="005E0657">
        <w:rPr>
          <w:rFonts w:ascii="Verdana" w:eastAsia="Calibri" w:hAnsi="Verdana" w:cs="Arial"/>
          <w:color w:val="000000" w:themeColor="text1"/>
        </w:rPr>
        <w:t xml:space="preserve"> que se adelanten en desarrollo del </w:t>
      </w:r>
      <w:r w:rsidRPr="00AE18AA">
        <w:rPr>
          <w:rFonts w:ascii="Verdana" w:eastAsia="Calibri" w:hAnsi="Verdana" w:cs="Arial"/>
          <w:color w:val="000000" w:themeColor="text1"/>
        </w:rPr>
        <w:t>Decreto 092 de 2017</w:t>
      </w:r>
      <w:r w:rsidRPr="005E0657">
        <w:rPr>
          <w:rFonts w:ascii="Verdana" w:eastAsia="Calibri" w:hAnsi="Verdana" w:cs="Arial"/>
          <w:color w:val="000000" w:themeColor="text1"/>
        </w:rPr>
        <w:t xml:space="preserve">. En consecuencia, durante los periodos preelectorales en los que operan dichas restricciones, </w:t>
      </w:r>
      <w:r w:rsidRPr="00AE18AA">
        <w:rPr>
          <w:rFonts w:ascii="Verdana" w:eastAsia="Calibri" w:hAnsi="Verdana" w:cs="Arial"/>
          <w:color w:val="000000" w:themeColor="text1"/>
        </w:rPr>
        <w:t>las entidades estatales cobijadas por esta reglamentación pueden continuar adelantando procesos competitivos</w:t>
      </w:r>
      <w:r w:rsidRPr="005E0657">
        <w:rPr>
          <w:rFonts w:ascii="Verdana" w:eastAsia="Calibri" w:hAnsi="Verdana" w:cs="Arial"/>
          <w:color w:val="000000" w:themeColor="text1"/>
        </w:rPr>
        <w:t xml:space="preserve"> para la contratación o asociación con entidades privadas sin ánimo de lucro, siempre que se garantice la </w:t>
      </w:r>
      <w:r w:rsidRPr="00AE18AA">
        <w:rPr>
          <w:rFonts w:ascii="Verdana" w:eastAsia="Calibri" w:hAnsi="Verdana" w:cs="Arial"/>
          <w:color w:val="000000" w:themeColor="text1"/>
        </w:rPr>
        <w:t>selección objetiva</w:t>
      </w:r>
      <w:r w:rsidRPr="005E0657">
        <w:rPr>
          <w:rFonts w:ascii="Verdana" w:eastAsia="Calibri" w:hAnsi="Verdana" w:cs="Arial"/>
          <w:color w:val="000000" w:themeColor="text1"/>
        </w:rPr>
        <w:t xml:space="preserve"> y la </w:t>
      </w:r>
      <w:r w:rsidRPr="00AE18AA">
        <w:rPr>
          <w:rFonts w:ascii="Verdana" w:eastAsia="Calibri" w:hAnsi="Verdana" w:cs="Arial"/>
          <w:color w:val="000000" w:themeColor="text1"/>
        </w:rPr>
        <w:t>pluralidad de oferentes</w:t>
      </w:r>
      <w:r w:rsidRPr="005E0657">
        <w:rPr>
          <w:rFonts w:ascii="Verdana" w:eastAsia="Calibri" w:hAnsi="Verdana" w:cs="Arial"/>
          <w:color w:val="000000" w:themeColor="text1"/>
        </w:rPr>
        <w:t>.</w:t>
      </w:r>
    </w:p>
    <w:p w14:paraId="39B49DAE" w14:textId="77777777" w:rsidR="00890E1B" w:rsidRPr="005E0657" w:rsidRDefault="00890E1B" w:rsidP="00890E1B">
      <w:pPr>
        <w:spacing w:after="0" w:line="276" w:lineRule="auto"/>
        <w:ind w:firstLine="709"/>
        <w:jc w:val="both"/>
        <w:rPr>
          <w:rFonts w:ascii="Verdana" w:eastAsia="Calibri" w:hAnsi="Verdana" w:cs="Arial"/>
          <w:color w:val="000000" w:themeColor="text1"/>
        </w:rPr>
      </w:pPr>
      <w:r w:rsidRPr="005E0657">
        <w:rPr>
          <w:rFonts w:ascii="Verdana" w:eastAsia="Calibri" w:hAnsi="Verdana" w:cs="Arial"/>
          <w:color w:val="000000" w:themeColor="text1"/>
        </w:rPr>
        <w:t xml:space="preserve">Lo anterior obedece a que la restricción contenida en el artículo 33 de la Ley 996 de 2005 </w:t>
      </w:r>
      <w:r w:rsidRPr="00AE18AA">
        <w:rPr>
          <w:rFonts w:ascii="Verdana" w:eastAsia="Calibri" w:hAnsi="Verdana" w:cs="Arial"/>
          <w:color w:val="000000" w:themeColor="text1"/>
        </w:rPr>
        <w:t>se circunscribe exclusivamente a la contratación directa</w:t>
      </w:r>
      <w:r w:rsidRPr="005E0657">
        <w:rPr>
          <w:rFonts w:ascii="Verdana" w:eastAsia="Calibri" w:hAnsi="Verdana" w:cs="Arial"/>
          <w:color w:val="000000" w:themeColor="text1"/>
        </w:rPr>
        <w:t xml:space="preserve">, entendida como aquella que </w:t>
      </w:r>
      <w:r w:rsidRPr="00AE18AA">
        <w:rPr>
          <w:rFonts w:ascii="Verdana" w:eastAsia="Calibri" w:hAnsi="Verdana" w:cs="Arial"/>
          <w:color w:val="000000" w:themeColor="text1"/>
        </w:rPr>
        <w:t>no comporta convocatoria pública ni posibilidad de concurrencia plural de oferentes</w:t>
      </w:r>
      <w:r w:rsidRPr="005E0657">
        <w:rPr>
          <w:rFonts w:ascii="Verdana" w:eastAsia="Calibri" w:hAnsi="Verdana" w:cs="Arial"/>
          <w:color w:val="000000" w:themeColor="text1"/>
        </w:rPr>
        <w:t xml:space="preserve">, noción que excluye tanto las modalidades de selección objetiva previstas en el artículo 2 de la Ley 1150 de 2007 —licitación pública, selección abreviada, concurso de méritos y mínima cuantía— como los procedimientos competitivos con pluralidad de oferentes regulados en </w:t>
      </w:r>
      <w:r w:rsidRPr="005E0657">
        <w:rPr>
          <w:rFonts w:ascii="Verdana" w:eastAsia="Calibri" w:hAnsi="Verdana" w:cs="Arial"/>
          <w:color w:val="000000" w:themeColor="text1"/>
        </w:rPr>
        <w:lastRenderedPageBreak/>
        <w:t>disposiciones especiales, entre ellas el Decreto 092 de 2017</w:t>
      </w:r>
      <w:r>
        <w:rPr>
          <w:rFonts w:ascii="Verdana" w:eastAsia="Calibri" w:hAnsi="Verdana" w:cs="Arial"/>
          <w:color w:val="000000" w:themeColor="text1"/>
        </w:rPr>
        <w:t>–artículos 4 y 5–</w:t>
      </w:r>
      <w:r w:rsidRPr="005E0657">
        <w:rPr>
          <w:rFonts w:ascii="Verdana" w:eastAsia="Calibri" w:hAnsi="Verdana" w:cs="Arial"/>
          <w:color w:val="000000" w:themeColor="text1"/>
        </w:rPr>
        <w:t xml:space="preserve">. De igual forma, </w:t>
      </w:r>
      <w:r w:rsidRPr="00AE18AA">
        <w:rPr>
          <w:rFonts w:ascii="Verdana" w:eastAsia="Calibri" w:hAnsi="Verdana" w:cs="Arial"/>
          <w:color w:val="000000" w:themeColor="text1"/>
        </w:rPr>
        <w:t>no resulta aplicable la prohibición prevista en el parágrafo del artículo 38</w:t>
      </w:r>
      <w:r w:rsidRPr="005E0657">
        <w:rPr>
          <w:rFonts w:ascii="Verdana" w:eastAsia="Calibri" w:hAnsi="Verdana" w:cs="Arial"/>
          <w:color w:val="000000" w:themeColor="text1"/>
        </w:rPr>
        <w:t xml:space="preserve">, toda vez que esta se refiere de manera específica a la celebración de </w:t>
      </w:r>
      <w:r w:rsidRPr="00AE18AA">
        <w:rPr>
          <w:rFonts w:ascii="Verdana" w:eastAsia="Calibri" w:hAnsi="Verdana" w:cs="Arial"/>
          <w:color w:val="000000" w:themeColor="text1"/>
        </w:rPr>
        <w:t>convenios interadministrativos</w:t>
      </w:r>
      <w:r w:rsidRPr="005E0657">
        <w:rPr>
          <w:rFonts w:ascii="Verdana" w:eastAsia="Calibri" w:hAnsi="Verdana" w:cs="Arial"/>
          <w:color w:val="000000" w:themeColor="text1"/>
        </w:rPr>
        <w:t xml:space="preserve"> para la ejecución de recursos públicos durante el periodo preelectoral por parte de determinadas autoridades territoriales, supuesto que </w:t>
      </w:r>
      <w:r w:rsidRPr="00AE18AA">
        <w:rPr>
          <w:rFonts w:ascii="Verdana" w:eastAsia="Calibri" w:hAnsi="Verdana" w:cs="Arial"/>
          <w:color w:val="000000" w:themeColor="text1"/>
        </w:rPr>
        <w:t>no se configura en la contratación regulada por los artículos 355 de la Constitución Política y 96 de la Ley 489 de 1998</w:t>
      </w:r>
      <w:r w:rsidRPr="005E0657">
        <w:rPr>
          <w:rFonts w:ascii="Verdana" w:eastAsia="Calibri" w:hAnsi="Verdana" w:cs="Arial"/>
          <w:color w:val="000000" w:themeColor="text1"/>
        </w:rPr>
        <w:t xml:space="preserve">, reglamentada por el Decreto 092 de 2017, en la medida en que uno de los sujetos de la relación contractual es una </w:t>
      </w:r>
      <w:r w:rsidRPr="00AE18AA">
        <w:rPr>
          <w:rFonts w:ascii="Verdana" w:eastAsia="Calibri" w:hAnsi="Verdana" w:cs="Arial"/>
          <w:color w:val="000000" w:themeColor="text1"/>
        </w:rPr>
        <w:t>entidad privada sin ánimo de lucro</w:t>
      </w:r>
      <w:r w:rsidRPr="005E0657">
        <w:rPr>
          <w:rFonts w:ascii="Verdana" w:eastAsia="Calibri" w:hAnsi="Verdana" w:cs="Arial"/>
          <w:color w:val="000000" w:themeColor="text1"/>
        </w:rPr>
        <w:t>, lo que excluye su calificación como convenio interadministrativo.</w:t>
      </w:r>
    </w:p>
    <w:p w14:paraId="6112002A" w14:textId="77777777" w:rsidR="00890E1B" w:rsidRDefault="00890E1B" w:rsidP="00890E1B">
      <w:pPr>
        <w:spacing w:after="0" w:line="276" w:lineRule="auto"/>
        <w:ind w:firstLine="709"/>
        <w:jc w:val="both"/>
        <w:rPr>
          <w:rFonts w:ascii="Verdana" w:eastAsia="Calibri" w:hAnsi="Verdana" w:cs="Arial"/>
          <w:color w:val="000000" w:themeColor="text1"/>
        </w:rPr>
      </w:pPr>
    </w:p>
    <w:p w14:paraId="0A9D30F0" w14:textId="77777777" w:rsidR="00890E1B" w:rsidRDefault="00890E1B" w:rsidP="00890E1B">
      <w:pPr>
        <w:tabs>
          <w:tab w:val="left" w:pos="142"/>
          <w:tab w:val="left" w:pos="284"/>
        </w:tabs>
        <w:spacing w:after="0" w:line="276" w:lineRule="auto"/>
        <w:rPr>
          <w:rFonts w:ascii="Verdana" w:eastAsia="Century Gothic" w:hAnsi="Verdana" w:cs="Century Gothic"/>
          <w:b/>
          <w:bCs/>
        </w:rPr>
      </w:pPr>
      <w:bookmarkStart w:id="18" w:name="_Hlk204854194"/>
      <w:r w:rsidRPr="00FF007A">
        <w:rPr>
          <w:rFonts w:ascii="Verdana" w:eastAsia="Century Gothic" w:hAnsi="Verdana" w:cs="Century Gothic"/>
          <w:b/>
          <w:bCs/>
        </w:rPr>
        <w:t>4. Referencias normativas:</w:t>
      </w:r>
    </w:p>
    <w:bookmarkEnd w:id="18"/>
    <w:p w14:paraId="4B6B2D52" w14:textId="77777777" w:rsidR="00890E1B" w:rsidRPr="00FF007A" w:rsidRDefault="00890E1B" w:rsidP="00890E1B">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890E1B" w:rsidRPr="00FF007A" w14:paraId="524C50C9" w14:textId="77777777" w:rsidTr="000E0B41">
        <w:trPr>
          <w:trHeight w:val="581"/>
          <w:jc w:val="center"/>
        </w:trPr>
        <w:tc>
          <w:tcPr>
            <w:tcW w:w="8647" w:type="dxa"/>
          </w:tcPr>
          <w:p w14:paraId="69B67D3A" w14:textId="77777777" w:rsidR="00890E1B" w:rsidRDefault="00890E1B" w:rsidP="000E0B41">
            <w:pPr>
              <w:pStyle w:val="Prrafodelista"/>
              <w:numPr>
                <w:ilvl w:val="0"/>
                <w:numId w:val="17"/>
              </w:numPr>
              <w:spacing w:line="276" w:lineRule="auto"/>
              <w:jc w:val="both"/>
              <w:rPr>
                <w:rFonts w:ascii="Verdana" w:eastAsia="Arial MT" w:hAnsi="Verdana" w:cs="Arial"/>
                <w:lang w:val="es-CO" w:eastAsia="es-ES" w:bidi="es-ES"/>
              </w:rPr>
            </w:pPr>
            <w:r>
              <w:rPr>
                <w:rFonts w:ascii="Verdana" w:eastAsia="Arial MT" w:hAnsi="Verdana" w:cs="Arial"/>
                <w:lang w:val="es-CO" w:eastAsia="es-ES" w:bidi="es-ES"/>
              </w:rPr>
              <w:t xml:space="preserve">Constitución Política. Artículo 355. </w:t>
            </w:r>
          </w:p>
          <w:p w14:paraId="18EEFD21" w14:textId="77777777" w:rsidR="00890E1B" w:rsidRDefault="00890E1B" w:rsidP="000E0B41">
            <w:pPr>
              <w:pStyle w:val="Prrafodelista"/>
              <w:numPr>
                <w:ilvl w:val="0"/>
                <w:numId w:val="17"/>
              </w:numPr>
              <w:spacing w:line="276" w:lineRule="auto"/>
              <w:jc w:val="both"/>
              <w:rPr>
                <w:rFonts w:ascii="Verdana" w:eastAsia="Arial MT" w:hAnsi="Verdana" w:cs="Arial"/>
                <w:lang w:val="es-CO" w:eastAsia="es-ES" w:bidi="es-ES"/>
              </w:rPr>
            </w:pPr>
            <w:r>
              <w:rPr>
                <w:rFonts w:ascii="Verdana" w:eastAsia="Arial MT" w:hAnsi="Verdana" w:cs="Arial"/>
                <w:lang w:val="es-CO" w:eastAsia="es-ES" w:bidi="es-ES"/>
              </w:rPr>
              <w:t xml:space="preserve">Ley 996 de 2005. </w:t>
            </w:r>
            <w:r w:rsidRPr="004A4F18">
              <w:rPr>
                <w:rFonts w:ascii="Verdana" w:eastAsia="Arial MT" w:hAnsi="Verdana" w:cs="Arial"/>
                <w:lang w:val="es-CO" w:eastAsia="es-ES" w:bidi="es-ES"/>
              </w:rPr>
              <w:t>Artículo 33</w:t>
            </w:r>
            <w:r>
              <w:rPr>
                <w:rFonts w:ascii="Verdana" w:eastAsia="Arial MT" w:hAnsi="Verdana" w:cs="Arial"/>
                <w:lang w:val="es-CO" w:eastAsia="es-ES" w:bidi="es-ES"/>
              </w:rPr>
              <w:t xml:space="preserve"> y parágrafo del artículo 38</w:t>
            </w:r>
            <w:r w:rsidRPr="00B10400">
              <w:rPr>
                <w:rFonts w:ascii="Verdana" w:eastAsia="Arial MT" w:hAnsi="Verdana" w:cs="Arial"/>
                <w:lang w:val="es-CO" w:eastAsia="es-ES" w:bidi="es-ES"/>
              </w:rPr>
              <w:t xml:space="preserve">. </w:t>
            </w:r>
          </w:p>
          <w:p w14:paraId="23719369" w14:textId="77777777" w:rsidR="00890E1B" w:rsidRDefault="00890E1B" w:rsidP="000E0B41">
            <w:pPr>
              <w:pStyle w:val="Prrafodelista"/>
              <w:numPr>
                <w:ilvl w:val="0"/>
                <w:numId w:val="17"/>
              </w:numPr>
              <w:spacing w:line="276" w:lineRule="auto"/>
              <w:jc w:val="both"/>
              <w:rPr>
                <w:rFonts w:ascii="Verdana" w:eastAsia="Arial MT" w:hAnsi="Verdana" w:cs="Arial"/>
                <w:lang w:val="es-CO" w:eastAsia="es-ES" w:bidi="es-ES"/>
              </w:rPr>
            </w:pPr>
            <w:r>
              <w:rPr>
                <w:rFonts w:ascii="Verdana" w:eastAsia="Arial MT" w:hAnsi="Verdana" w:cs="Arial"/>
                <w:lang w:val="es-CO" w:eastAsia="es-ES" w:bidi="es-ES"/>
              </w:rPr>
              <w:t xml:space="preserve">Ley 1150 de 2007. Artículo 2. </w:t>
            </w:r>
          </w:p>
          <w:p w14:paraId="5730F45E" w14:textId="77777777" w:rsidR="00890E1B" w:rsidRPr="00CB71FC" w:rsidRDefault="00890E1B" w:rsidP="000E0B41">
            <w:pPr>
              <w:pStyle w:val="Prrafodelista"/>
              <w:numPr>
                <w:ilvl w:val="0"/>
                <w:numId w:val="17"/>
              </w:numPr>
              <w:spacing w:line="276" w:lineRule="auto"/>
              <w:jc w:val="both"/>
              <w:rPr>
                <w:rFonts w:ascii="Verdana" w:eastAsia="Arial MT" w:hAnsi="Verdana" w:cs="Arial"/>
                <w:lang w:val="es-CO" w:eastAsia="es-ES" w:bidi="es-ES"/>
              </w:rPr>
            </w:pPr>
            <w:r w:rsidRPr="5F8BC1B5">
              <w:rPr>
                <w:rFonts w:ascii="Verdana" w:eastAsia="Calibri" w:hAnsi="Verdana" w:cs="Arial"/>
              </w:rPr>
              <w:t xml:space="preserve">Decreto </w:t>
            </w:r>
            <w:r>
              <w:rPr>
                <w:rFonts w:ascii="Verdana" w:eastAsia="Calibri" w:hAnsi="Verdana" w:cs="Arial"/>
              </w:rPr>
              <w:t>0</w:t>
            </w:r>
            <w:r w:rsidRPr="5F8BC1B5">
              <w:rPr>
                <w:rFonts w:ascii="Verdana" w:eastAsia="Calibri" w:hAnsi="Verdana" w:cs="Arial"/>
              </w:rPr>
              <w:t>92 de 2017</w:t>
            </w:r>
            <w:r>
              <w:rPr>
                <w:rFonts w:ascii="Verdana" w:eastAsia="Calibri" w:hAnsi="Verdana" w:cs="Arial"/>
              </w:rPr>
              <w:t xml:space="preserve">. </w:t>
            </w:r>
          </w:p>
          <w:p w14:paraId="0C1B9018" w14:textId="77777777" w:rsidR="00890E1B" w:rsidRDefault="00890E1B" w:rsidP="000E0B41">
            <w:pPr>
              <w:pStyle w:val="Prrafodelista"/>
              <w:numPr>
                <w:ilvl w:val="0"/>
                <w:numId w:val="17"/>
              </w:numPr>
              <w:spacing w:line="276" w:lineRule="auto"/>
              <w:jc w:val="both"/>
              <w:rPr>
                <w:rFonts w:ascii="Verdana" w:eastAsia="Arial MT" w:hAnsi="Verdana" w:cs="Arial"/>
                <w:lang w:val="es-CO" w:eastAsia="es-ES" w:bidi="es-ES"/>
              </w:rPr>
            </w:pPr>
            <w:r>
              <w:rPr>
                <w:rFonts w:ascii="Verdana" w:eastAsia="Calibri" w:hAnsi="Verdana" w:cs="Arial"/>
              </w:rPr>
              <w:t xml:space="preserve">Ley 489 de 1998. Artículo 96. </w:t>
            </w:r>
          </w:p>
          <w:p w14:paraId="1873A94F" w14:textId="77777777" w:rsidR="00890E1B" w:rsidRDefault="00890E1B" w:rsidP="000E0B41">
            <w:pPr>
              <w:pStyle w:val="Prrafodelista"/>
              <w:numPr>
                <w:ilvl w:val="0"/>
                <w:numId w:val="17"/>
              </w:numPr>
              <w:spacing w:line="276" w:lineRule="auto"/>
              <w:jc w:val="both"/>
              <w:rPr>
                <w:rFonts w:ascii="Verdana" w:eastAsia="Arial MT" w:hAnsi="Verdana" w:cs="Arial"/>
                <w:lang w:val="es-CO" w:eastAsia="es-ES" w:bidi="es-ES"/>
              </w:rPr>
            </w:pPr>
            <w:r w:rsidRPr="00FA68B6">
              <w:rPr>
                <w:rFonts w:ascii="Verdana" w:eastAsia="Arial MT" w:hAnsi="Verdana" w:cs="Arial"/>
                <w:lang w:val="es-CO" w:eastAsia="es-ES" w:bidi="es-ES"/>
              </w:rPr>
              <w:t xml:space="preserve">Consejo de Estado. Sala de lo Contencioso Administrativo. Sección Primera. Sentencia de 3 de marzo de 2005. Radicado: 25001-23-15-000-2004-00823-01 (PI). C.P: Camilo Arciniegas Andrade. </w:t>
            </w:r>
          </w:p>
          <w:p w14:paraId="28330535" w14:textId="77777777" w:rsidR="00890E1B" w:rsidRDefault="00890E1B" w:rsidP="000E0B41">
            <w:pPr>
              <w:pStyle w:val="Prrafodelista"/>
              <w:numPr>
                <w:ilvl w:val="0"/>
                <w:numId w:val="17"/>
              </w:numPr>
              <w:spacing w:line="276" w:lineRule="auto"/>
              <w:jc w:val="both"/>
              <w:rPr>
                <w:rFonts w:ascii="Verdana" w:eastAsia="Arial MT" w:hAnsi="Verdana" w:cs="Arial"/>
                <w:lang w:val="es-CO" w:eastAsia="es-ES" w:bidi="es-ES"/>
              </w:rPr>
            </w:pPr>
            <w:r w:rsidRPr="00FA68B6">
              <w:rPr>
                <w:rFonts w:ascii="Verdana" w:eastAsia="Arial MT" w:hAnsi="Verdana" w:cs="Arial"/>
                <w:lang w:val="es-CO" w:eastAsia="es-ES" w:bidi="es-ES"/>
              </w:rPr>
              <w:t>Consejo de Estado. Sala de lo Contencioso Administrativo. Sección Tercera. Sentencia de 22 de enero de 2002. Radicado: 2001-0148-01</w:t>
            </w:r>
            <w:r>
              <w:rPr>
                <w:rFonts w:ascii="Verdana" w:eastAsia="Arial MT" w:hAnsi="Verdana" w:cs="Arial"/>
                <w:lang w:val="es-CO" w:eastAsia="es-ES" w:bidi="es-ES"/>
              </w:rPr>
              <w:t>.</w:t>
            </w:r>
          </w:p>
          <w:p w14:paraId="485B7CFF" w14:textId="77777777" w:rsidR="00890E1B" w:rsidRDefault="00890E1B" w:rsidP="000E0B41">
            <w:pPr>
              <w:pStyle w:val="Prrafodelista"/>
              <w:numPr>
                <w:ilvl w:val="0"/>
                <w:numId w:val="17"/>
              </w:numPr>
              <w:spacing w:line="276" w:lineRule="auto"/>
              <w:jc w:val="both"/>
              <w:rPr>
                <w:rFonts w:ascii="Verdana" w:eastAsia="Arial MT" w:hAnsi="Verdana" w:cs="Arial"/>
                <w:lang w:val="es-CO" w:eastAsia="es-ES" w:bidi="es-ES"/>
              </w:rPr>
            </w:pPr>
            <w:r w:rsidRPr="00FA68B6">
              <w:rPr>
                <w:rFonts w:ascii="Verdana" w:eastAsia="Arial MT" w:hAnsi="Verdana" w:cs="Arial"/>
                <w:lang w:val="es-CO" w:eastAsia="es-ES" w:bidi="es-ES"/>
              </w:rPr>
              <w:t>Consejo de Estado. Sala de lo Contencioso Administrativo. Sección Tercera. Sentencia de 20 de noviembre de 2001. Radicado: 2001-0130-01(PI).</w:t>
            </w:r>
          </w:p>
          <w:p w14:paraId="78D72C0F" w14:textId="77777777" w:rsidR="00890E1B" w:rsidRDefault="00890E1B" w:rsidP="000E0B41">
            <w:pPr>
              <w:pStyle w:val="Prrafodelista"/>
              <w:numPr>
                <w:ilvl w:val="0"/>
                <w:numId w:val="17"/>
              </w:numPr>
              <w:spacing w:line="276" w:lineRule="auto"/>
              <w:jc w:val="both"/>
              <w:rPr>
                <w:rFonts w:ascii="Verdana" w:eastAsia="Arial MT" w:hAnsi="Verdana" w:cs="Arial"/>
                <w:lang w:val="es-CO" w:eastAsia="es-ES" w:bidi="es-ES"/>
              </w:rPr>
            </w:pPr>
            <w:r w:rsidRPr="00FA68B6">
              <w:rPr>
                <w:rFonts w:ascii="Verdana" w:eastAsia="Arial MT" w:hAnsi="Verdana" w:cs="Arial"/>
                <w:lang w:val="es-CO" w:eastAsia="es-ES" w:bidi="es-ES"/>
              </w:rPr>
              <w:t>Consejo de Estado, Sala de Consulta y Servicio Civil de fecha 24 de julio de 2013, radicado 2166, C</w:t>
            </w:r>
            <w:r>
              <w:rPr>
                <w:rFonts w:ascii="Verdana" w:eastAsia="Arial MT" w:hAnsi="Verdana" w:cs="Arial"/>
                <w:lang w:val="es-CO" w:eastAsia="es-ES" w:bidi="es-ES"/>
              </w:rPr>
              <w:t>.P:</w:t>
            </w:r>
            <w:r w:rsidRPr="00FA68B6">
              <w:rPr>
                <w:rFonts w:ascii="Verdana" w:eastAsia="Arial MT" w:hAnsi="Verdana" w:cs="Arial"/>
                <w:lang w:val="es-CO" w:eastAsia="es-ES" w:bidi="es-ES"/>
              </w:rPr>
              <w:t xml:space="preserve"> Álvaro Namén Vargas.  </w:t>
            </w:r>
          </w:p>
          <w:p w14:paraId="71C22B17" w14:textId="77777777" w:rsidR="00890E1B" w:rsidRDefault="00890E1B" w:rsidP="000E0B41">
            <w:pPr>
              <w:pStyle w:val="Prrafodelista"/>
              <w:numPr>
                <w:ilvl w:val="0"/>
                <w:numId w:val="17"/>
              </w:numPr>
              <w:spacing w:line="276" w:lineRule="auto"/>
              <w:jc w:val="both"/>
              <w:rPr>
                <w:rFonts w:ascii="Verdana" w:eastAsia="Arial MT" w:hAnsi="Verdana" w:cs="Arial"/>
                <w:lang w:val="es-CO" w:eastAsia="es-ES" w:bidi="es-ES"/>
              </w:rPr>
            </w:pPr>
            <w:r w:rsidRPr="00CB71FC">
              <w:rPr>
                <w:rFonts w:ascii="Verdana" w:eastAsia="Arial MT" w:hAnsi="Verdana" w:cs="Arial"/>
                <w:lang w:val="es-CO" w:eastAsia="es-ES" w:bidi="es-ES"/>
              </w:rPr>
              <w:t>Consejo de Estado. Sala de Consulta y Servicio Civil. Concepto del 2 de septiembre de 2013. Radicación número: 11001-03-06-000-2013-00412-00 (2168). Consejero Ponente: Álvaro Namén Vargas.</w:t>
            </w:r>
          </w:p>
          <w:p w14:paraId="40FC0412" w14:textId="77777777" w:rsidR="00890E1B" w:rsidRDefault="00890E1B" w:rsidP="000E0B41">
            <w:pPr>
              <w:pStyle w:val="Prrafodelista"/>
              <w:numPr>
                <w:ilvl w:val="0"/>
                <w:numId w:val="17"/>
              </w:numPr>
              <w:spacing w:line="276" w:lineRule="auto"/>
              <w:jc w:val="both"/>
              <w:rPr>
                <w:rFonts w:ascii="Verdana" w:eastAsia="Arial MT" w:hAnsi="Verdana" w:cs="Arial"/>
                <w:lang w:val="es-CO" w:eastAsia="es-ES" w:bidi="es-ES"/>
              </w:rPr>
            </w:pPr>
            <w:r w:rsidRPr="00CB71FC">
              <w:rPr>
                <w:rFonts w:ascii="Verdana" w:eastAsia="Arial MT" w:hAnsi="Verdana" w:cs="Arial"/>
                <w:lang w:val="es-CO" w:eastAsia="es-ES" w:bidi="es-ES"/>
              </w:rPr>
              <w:t>Consejo de Estado. Sala de Consulta y Servicio Civil, Concepto de 8 de mayo de 2018. Radicación Número: 11001-03-06-000-2018-00095-00(2382). Consejero Ponente: Álvaro Namén Vargas.</w:t>
            </w:r>
          </w:p>
          <w:p w14:paraId="1F3503FA" w14:textId="77777777" w:rsidR="00890E1B" w:rsidRDefault="00890E1B" w:rsidP="000E0B41">
            <w:pPr>
              <w:pStyle w:val="Prrafodelista"/>
              <w:numPr>
                <w:ilvl w:val="0"/>
                <w:numId w:val="17"/>
              </w:numPr>
              <w:spacing w:line="276" w:lineRule="auto"/>
              <w:jc w:val="both"/>
              <w:rPr>
                <w:rFonts w:ascii="Verdana" w:eastAsia="Arial MT" w:hAnsi="Verdana" w:cs="Arial"/>
                <w:lang w:val="es-CO" w:eastAsia="es-ES" w:bidi="es-ES"/>
              </w:rPr>
            </w:pPr>
            <w:r>
              <w:rPr>
                <w:rFonts w:ascii="Verdana" w:eastAsia="Arial MT" w:hAnsi="Verdana" w:cs="Arial"/>
                <w:lang w:val="es-CO" w:eastAsia="es-ES" w:bidi="es-ES"/>
              </w:rPr>
              <w:t xml:space="preserve">Consejo de Estado. Sala de Consulta y Servicio Civil. </w:t>
            </w:r>
            <w:r w:rsidRPr="00CB71FC">
              <w:rPr>
                <w:rFonts w:ascii="Verdana" w:eastAsia="Arial MT" w:hAnsi="Verdana" w:cs="Arial"/>
                <w:lang w:val="es-CO" w:eastAsia="es-ES" w:bidi="es-ES"/>
              </w:rPr>
              <w:t>Concepto del 24 de febrero de 2005. Radicado:1626, C.P. Gloria Duque Hernández.</w:t>
            </w:r>
          </w:p>
          <w:p w14:paraId="4FE654B4" w14:textId="77777777" w:rsidR="00890E1B" w:rsidRPr="00A877DF" w:rsidRDefault="00890E1B" w:rsidP="000E0B41">
            <w:pPr>
              <w:pStyle w:val="Prrafodelista"/>
              <w:numPr>
                <w:ilvl w:val="0"/>
                <w:numId w:val="17"/>
              </w:numPr>
              <w:spacing w:line="276" w:lineRule="auto"/>
              <w:jc w:val="both"/>
              <w:rPr>
                <w:rFonts w:ascii="Verdana" w:eastAsia="Arial MT" w:hAnsi="Verdana" w:cs="Arial"/>
                <w:lang w:val="es-CO" w:eastAsia="es-ES" w:bidi="es-ES"/>
              </w:rPr>
            </w:pPr>
            <w:r w:rsidRPr="00FA68B6">
              <w:rPr>
                <w:rFonts w:ascii="Verdana" w:eastAsia="Arial MT" w:hAnsi="Verdana" w:cs="Arial"/>
                <w:lang w:val="es-CO" w:eastAsia="es-ES" w:bidi="es-ES"/>
              </w:rPr>
              <w:lastRenderedPageBreak/>
              <w:t>Corte Constitucional, Sentencia C- 1153 de 2005, M.P. Marco Gerardo Monroy Cabra.</w:t>
            </w:r>
          </w:p>
        </w:tc>
      </w:tr>
    </w:tbl>
    <w:p w14:paraId="54C40F3A" w14:textId="77777777" w:rsidR="00890E1B" w:rsidRPr="00FF007A" w:rsidRDefault="00890E1B" w:rsidP="00890E1B">
      <w:pPr>
        <w:widowControl w:val="0"/>
        <w:autoSpaceDE w:val="0"/>
        <w:autoSpaceDN w:val="0"/>
        <w:spacing w:after="0" w:line="276" w:lineRule="auto"/>
        <w:jc w:val="both"/>
        <w:rPr>
          <w:rFonts w:ascii="Verdana" w:hAnsi="Verdana" w:cs="Arial"/>
        </w:rPr>
      </w:pPr>
    </w:p>
    <w:p w14:paraId="0089069B" w14:textId="77777777" w:rsidR="00890E1B" w:rsidRPr="00FF007A" w:rsidRDefault="00890E1B" w:rsidP="00890E1B">
      <w:pPr>
        <w:tabs>
          <w:tab w:val="left" w:pos="142"/>
          <w:tab w:val="left" w:pos="284"/>
        </w:tabs>
        <w:spacing w:after="0" w:line="276" w:lineRule="auto"/>
        <w:jc w:val="both"/>
        <w:rPr>
          <w:rFonts w:ascii="Verdana" w:eastAsia="Century Gothic" w:hAnsi="Verdana" w:cs="Century Gothic"/>
          <w:b/>
          <w:bCs/>
        </w:rPr>
      </w:pPr>
      <w:r w:rsidRPr="00FF007A">
        <w:rPr>
          <w:rFonts w:ascii="Verdana" w:eastAsia="Century Gothic" w:hAnsi="Verdana" w:cs="Century Gothic"/>
          <w:b/>
          <w:bCs/>
        </w:rPr>
        <w:t>5. Doctrina de la Agencia Nacional de Contratación Pública:</w:t>
      </w:r>
    </w:p>
    <w:p w14:paraId="23CF1651" w14:textId="77777777" w:rsidR="00890E1B" w:rsidRPr="00FF007A" w:rsidRDefault="00890E1B" w:rsidP="00890E1B">
      <w:pPr>
        <w:widowControl w:val="0"/>
        <w:autoSpaceDE w:val="0"/>
        <w:autoSpaceDN w:val="0"/>
        <w:spacing w:after="0" w:line="276" w:lineRule="auto"/>
        <w:jc w:val="both"/>
        <w:rPr>
          <w:rStyle w:val="normaltextrun"/>
          <w:rFonts w:ascii="Verdana" w:hAnsi="Verdana" w:cs="Arial"/>
          <w:shd w:val="clear" w:color="auto" w:fill="FFFFFF"/>
        </w:rPr>
      </w:pPr>
    </w:p>
    <w:p w14:paraId="5A97E922" w14:textId="77777777" w:rsidR="00890E1B" w:rsidRDefault="00890E1B" w:rsidP="00890E1B">
      <w:pPr>
        <w:widowControl w:val="0"/>
        <w:autoSpaceDE w:val="0"/>
        <w:autoSpaceDN w:val="0"/>
        <w:spacing w:after="0" w:line="276" w:lineRule="auto"/>
        <w:jc w:val="both"/>
        <w:rPr>
          <w:rFonts w:ascii="Verdana" w:hAnsi="Verdana" w:cs="Arial"/>
          <w:shd w:val="clear" w:color="auto" w:fill="FFFFFF"/>
        </w:rPr>
      </w:pPr>
      <w:r>
        <w:rPr>
          <w:rFonts w:ascii="Verdana" w:hAnsi="Verdana" w:cs="Arial"/>
          <w:shd w:val="clear" w:color="auto" w:fill="FFFFFF"/>
          <w:lang w:val="es-ES"/>
        </w:rPr>
        <w:t xml:space="preserve">Sobre la aplicación de la Ley de garantías en el marco de la celebración de contratos del artículo 355 de la Constitución Política y los convenios de asociación del Decreto 092 de 2017, la Subdirección se ha pronunciado en los conceptos C-584 del 24 de junio de 2025, C-986 del 23 de agosto de 2025, C-1015 del 4 de septiembre de 2025, C-1186 del 19 de septiembre de 2025, C-1697 del 23 de diciembre de 2025, entre otros. </w:t>
      </w:r>
      <w:r w:rsidRPr="00FF007A">
        <w:rPr>
          <w:rFonts w:ascii="Verdana" w:hAnsi="Verdana" w:cs="Arial"/>
        </w:rPr>
        <w:t xml:space="preserve">Estos </w:t>
      </w:r>
      <w:r w:rsidRPr="00FF007A">
        <w:rPr>
          <w:rFonts w:ascii="Verdana" w:hAnsi="Verdana"/>
        </w:rPr>
        <w:t>conceptos se encuentran disponibles para consulta en el Sistema de relatoría de la Agencia, al cual se puede acceder a través del siguiente enlace:</w:t>
      </w:r>
      <w:r w:rsidRPr="00FF007A">
        <w:rPr>
          <w:rFonts w:ascii="Verdana" w:hAnsi="Verdana" w:cs="Arial"/>
          <w:shd w:val="clear" w:color="auto" w:fill="FFFFFF"/>
        </w:rPr>
        <w:t xml:space="preserve"> </w:t>
      </w:r>
      <w:hyperlink r:id="rId11" w:history="1">
        <w:r w:rsidRPr="004A4F18">
          <w:rPr>
            <w:rFonts w:ascii="Verdana" w:hAnsi="Verdana" w:cs="Arial"/>
            <w:color w:val="0563C1" w:themeColor="hyperlink"/>
            <w:u w:val="single"/>
            <w:shd w:val="clear" w:color="auto" w:fill="FFFFFF"/>
          </w:rPr>
          <w:t>https://relatoria.colombiacompra.gov.co/busqueda/conceptos</w:t>
        </w:r>
      </w:hyperlink>
    </w:p>
    <w:p w14:paraId="10D79C2D" w14:textId="77777777" w:rsidR="00890E1B" w:rsidRDefault="00890E1B" w:rsidP="00890E1B">
      <w:pPr>
        <w:widowControl w:val="0"/>
        <w:autoSpaceDE w:val="0"/>
        <w:autoSpaceDN w:val="0"/>
        <w:spacing w:after="0" w:line="276" w:lineRule="auto"/>
        <w:jc w:val="both"/>
        <w:rPr>
          <w:rFonts w:ascii="Verdana" w:hAnsi="Verdana" w:cs="Arial"/>
          <w:shd w:val="clear" w:color="auto" w:fill="FFFFFF"/>
        </w:rPr>
      </w:pPr>
    </w:p>
    <w:p w14:paraId="3A8F2BD6" w14:textId="77777777" w:rsidR="00890E1B" w:rsidRPr="00904135" w:rsidRDefault="00890E1B" w:rsidP="00890E1B">
      <w:pPr>
        <w:widowControl w:val="0"/>
        <w:autoSpaceDE w:val="0"/>
        <w:autoSpaceDN w:val="0"/>
        <w:spacing w:after="120" w:line="276" w:lineRule="auto"/>
        <w:jc w:val="both"/>
        <w:rPr>
          <w:rFonts w:ascii="Verdana" w:eastAsia="Calibri" w:hAnsi="Verdana" w:cs="Times New Roman"/>
        </w:rPr>
      </w:pPr>
      <w:r w:rsidRPr="00904135">
        <w:rPr>
          <w:rFonts w:ascii="Verdana" w:eastAsia="Calibri" w:hAnsi="Verdana" w:cs="Times New Roman"/>
        </w:rPr>
        <w:t>También le contamos que ya se encuentra disponible la </w:t>
      </w:r>
      <w:r w:rsidRPr="00904135">
        <w:rPr>
          <w:rFonts w:ascii="Verdana" w:eastAsia="Calibri" w:hAnsi="Verdana" w:cs="Times New Roman"/>
          <w:b/>
          <w:bCs/>
        </w:rPr>
        <w:t>Guía de lineamientos de transparencia y selección objetiva para el departamento de La Guajira – Objetivo sexto constitucional de la Sentencia T-302 del 2017. </w:t>
      </w:r>
      <w:r w:rsidRPr="00904135">
        <w:rPr>
          <w:rFonts w:ascii="Verdana" w:eastAsia="Calibri" w:hAnsi="Verdana" w:cs="Times New Roman"/>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904135">
        <w:rPr>
          <w:rFonts w:ascii="Verdana" w:eastAsia="Calibri" w:hAnsi="Verdana" w:cs="Times New Roman"/>
        </w:rPr>
        <w:t>Wayúu</w:t>
      </w:r>
      <w:proofErr w:type="spellEnd"/>
      <w:r w:rsidRPr="00904135">
        <w:rPr>
          <w:rFonts w:ascii="Verdana" w:eastAsia="Calibri" w:hAnsi="Verdana" w:cs="Times New Roman"/>
        </w:rPr>
        <w:t>. Puede consultar la guía en el siguiente enlace: </w:t>
      </w:r>
      <w:hyperlink r:id="rId12" w:tgtFrame="_blank" w:tooltip="Dirección URL original: https://www.colombiacompra.gov.co/wp-content/uploads/2025/05/GUIA-DE-LINEAMIENTOS-DE-TRANSPARENCIA-Y-SELECCION-OBJETIVA-1.0.pdf. Haga clic o pulse si confía en este vínculo." w:history="1">
        <w:r w:rsidRPr="00904135">
          <w:rPr>
            <w:rFonts w:ascii="Verdana" w:eastAsia="Calibri" w:hAnsi="Verdana" w:cs="Times New Roman"/>
            <w:color w:val="0000FF"/>
            <w:u w:val="single"/>
          </w:rPr>
          <w:t>Guía de lineamientos de transparencia y selección objetiva para el departamento de La Guajira – Objetivo sexto constitucional de la Sentencia T-302 del 2017</w:t>
        </w:r>
      </w:hyperlink>
      <w:r w:rsidRPr="00904135">
        <w:rPr>
          <w:rFonts w:ascii="Verdana" w:eastAsia="Calibri" w:hAnsi="Verdana" w:cs="Times New Roman"/>
          <w:u w:val="single"/>
        </w:rPr>
        <w:t>"</w:t>
      </w:r>
    </w:p>
    <w:p w14:paraId="21918124" w14:textId="77777777" w:rsidR="00890E1B" w:rsidRPr="00904135" w:rsidRDefault="00890E1B" w:rsidP="00890E1B">
      <w:pPr>
        <w:spacing w:after="0" w:line="276" w:lineRule="auto"/>
        <w:jc w:val="both"/>
        <w:rPr>
          <w:rFonts w:ascii="Verdana" w:eastAsia="Calibri" w:hAnsi="Verdana" w:cs="Times New Roman"/>
        </w:rPr>
      </w:pPr>
    </w:p>
    <w:p w14:paraId="66141818" w14:textId="77777777" w:rsidR="00890E1B" w:rsidRPr="00904135" w:rsidRDefault="00890E1B" w:rsidP="00890E1B">
      <w:pPr>
        <w:spacing w:after="0" w:line="276" w:lineRule="auto"/>
        <w:jc w:val="both"/>
        <w:rPr>
          <w:rFonts w:ascii="Verdana" w:eastAsia="Calibri" w:hAnsi="Verdana" w:cs="Times New Roman"/>
        </w:rPr>
      </w:pPr>
      <w:r w:rsidRPr="00904135">
        <w:rPr>
          <w:rFonts w:ascii="Verdana" w:eastAsia="Calibri" w:hAnsi="Verdana" w:cs="Times New Roman"/>
        </w:rPr>
        <w:t xml:space="preserve">Por último, lo invitamos a seguirnos en las redes sociales en las cuales se difunde información institucional: </w:t>
      </w:r>
    </w:p>
    <w:p w14:paraId="2BED3EA4" w14:textId="77777777" w:rsidR="00890E1B" w:rsidRPr="00904135" w:rsidRDefault="00890E1B" w:rsidP="00890E1B">
      <w:pPr>
        <w:spacing w:after="0" w:line="240" w:lineRule="auto"/>
        <w:jc w:val="both"/>
        <w:rPr>
          <w:rFonts w:ascii="Verdana" w:eastAsia="Calibri" w:hAnsi="Verdana" w:cs="Times New Roman"/>
        </w:rPr>
      </w:pPr>
    </w:p>
    <w:p w14:paraId="4788DEF6" w14:textId="77777777" w:rsidR="00890E1B" w:rsidRPr="00904135" w:rsidRDefault="00890E1B" w:rsidP="00890E1B">
      <w:pPr>
        <w:spacing w:after="0" w:line="240" w:lineRule="auto"/>
        <w:jc w:val="both"/>
        <w:rPr>
          <w:rFonts w:ascii="Verdana" w:eastAsia="Calibri" w:hAnsi="Verdana" w:cs="Times New Roman"/>
        </w:rPr>
      </w:pPr>
      <w:r w:rsidRPr="00904135">
        <w:rPr>
          <w:rFonts w:ascii="Verdana" w:eastAsia="Calibri" w:hAnsi="Verdana" w:cs="Times New Roman"/>
        </w:rPr>
        <w:t xml:space="preserve">Twitter: </w:t>
      </w:r>
      <w:r w:rsidRPr="00904135">
        <w:rPr>
          <w:rFonts w:ascii="Verdana" w:eastAsia="Calibri" w:hAnsi="Verdana" w:cs="Times New Roman"/>
          <w:color w:val="4472C4" w:themeColor="accent1"/>
          <w:u w:val="single"/>
        </w:rPr>
        <w:t>@colombiacompra</w:t>
      </w:r>
      <w:r w:rsidRPr="00904135">
        <w:rPr>
          <w:rFonts w:ascii="Verdana" w:eastAsia="Calibri" w:hAnsi="Verdana" w:cs="Times New Roman"/>
          <w:color w:val="4472C4" w:themeColor="accent1"/>
        </w:rPr>
        <w:t xml:space="preserve"> </w:t>
      </w:r>
    </w:p>
    <w:p w14:paraId="68DE64D9" w14:textId="77777777" w:rsidR="00890E1B" w:rsidRPr="00904135" w:rsidRDefault="00890E1B" w:rsidP="00890E1B">
      <w:pPr>
        <w:spacing w:after="0" w:line="240" w:lineRule="auto"/>
        <w:jc w:val="both"/>
        <w:rPr>
          <w:rFonts w:ascii="Verdana" w:eastAsia="Calibri" w:hAnsi="Verdana" w:cs="Times New Roman"/>
        </w:rPr>
      </w:pPr>
      <w:r w:rsidRPr="00904135">
        <w:rPr>
          <w:rFonts w:ascii="Verdana" w:eastAsia="Calibri" w:hAnsi="Verdana" w:cs="Times New Roman"/>
        </w:rPr>
        <w:t xml:space="preserve">Facebook: </w:t>
      </w:r>
      <w:proofErr w:type="spellStart"/>
      <w:r w:rsidRPr="00904135">
        <w:rPr>
          <w:rFonts w:ascii="Verdana" w:eastAsia="Calibri" w:hAnsi="Verdana" w:cs="Times New Roman"/>
          <w:color w:val="4472C4" w:themeColor="accent1"/>
          <w:u w:val="single"/>
        </w:rPr>
        <w:t>ColombiaCompraEficiente</w:t>
      </w:r>
      <w:proofErr w:type="spellEnd"/>
    </w:p>
    <w:p w14:paraId="36CFBEBC" w14:textId="77777777" w:rsidR="00890E1B" w:rsidRPr="00904135" w:rsidRDefault="00890E1B" w:rsidP="00890E1B">
      <w:pPr>
        <w:spacing w:after="0" w:line="240" w:lineRule="auto"/>
        <w:jc w:val="both"/>
        <w:rPr>
          <w:rFonts w:ascii="Verdana" w:eastAsia="Calibri" w:hAnsi="Verdana" w:cs="Times New Roman"/>
        </w:rPr>
      </w:pPr>
      <w:r w:rsidRPr="00904135">
        <w:rPr>
          <w:rFonts w:ascii="Verdana" w:eastAsia="Calibri" w:hAnsi="Verdana" w:cs="Times New Roman"/>
        </w:rPr>
        <w:t xml:space="preserve">LinkedIn: </w:t>
      </w:r>
      <w:r w:rsidRPr="00904135">
        <w:rPr>
          <w:rFonts w:ascii="Verdana" w:eastAsia="Calibri" w:hAnsi="Verdana" w:cs="Times New Roman"/>
          <w:color w:val="4472C4" w:themeColor="accent1"/>
          <w:u w:val="single"/>
        </w:rPr>
        <w:t>Agencia Nacional de Contratación Pública - Colombia Compra Eficiente</w:t>
      </w:r>
      <w:r w:rsidRPr="00904135">
        <w:rPr>
          <w:rFonts w:ascii="Verdana" w:eastAsia="Calibri" w:hAnsi="Verdana" w:cs="Times New Roman"/>
          <w:color w:val="4472C4" w:themeColor="accent1"/>
        </w:rPr>
        <w:t xml:space="preserve"> </w:t>
      </w:r>
      <w:r w:rsidRPr="00904135">
        <w:rPr>
          <w:rFonts w:ascii="Verdana" w:eastAsia="Calibri" w:hAnsi="Verdana" w:cs="Times New Roman"/>
        </w:rPr>
        <w:t xml:space="preserve">Instagram: </w:t>
      </w:r>
      <w:r w:rsidRPr="00904135">
        <w:rPr>
          <w:rFonts w:ascii="Verdana" w:eastAsia="Calibri" w:hAnsi="Verdana" w:cs="Times New Roman"/>
          <w:color w:val="4472C4" w:themeColor="accent1"/>
          <w:u w:val="single"/>
        </w:rPr>
        <w:t>@colombiacompraeficiente_cce</w:t>
      </w:r>
    </w:p>
    <w:p w14:paraId="5AD50D55" w14:textId="77777777" w:rsidR="00890E1B" w:rsidRPr="00904135" w:rsidRDefault="00890E1B" w:rsidP="00890E1B">
      <w:pPr>
        <w:widowControl w:val="0"/>
        <w:autoSpaceDE w:val="0"/>
        <w:autoSpaceDN w:val="0"/>
        <w:spacing w:after="0" w:line="276" w:lineRule="auto"/>
        <w:jc w:val="both"/>
        <w:rPr>
          <w:rFonts w:ascii="Verdana" w:eastAsia="Calibri" w:hAnsi="Verdana" w:cs="Arial"/>
        </w:rPr>
      </w:pPr>
    </w:p>
    <w:p w14:paraId="3A6D6A51" w14:textId="77777777" w:rsidR="00890E1B" w:rsidRPr="00904135" w:rsidRDefault="00890E1B" w:rsidP="00890E1B">
      <w:pPr>
        <w:widowControl w:val="0"/>
        <w:autoSpaceDE w:val="0"/>
        <w:autoSpaceDN w:val="0"/>
        <w:spacing w:after="0" w:line="276" w:lineRule="auto"/>
        <w:jc w:val="both"/>
        <w:rPr>
          <w:rFonts w:ascii="Verdana" w:eastAsia="Calibri" w:hAnsi="Verdana" w:cs="Arial"/>
          <w:lang w:val="es-ES_tradnl"/>
        </w:rPr>
      </w:pPr>
      <w:r w:rsidRPr="00904135">
        <w:rPr>
          <w:rFonts w:ascii="Verdana" w:eastAsia="Calibri" w:hAnsi="Verdana" w:cs="Arial"/>
        </w:rPr>
        <w:t xml:space="preserve">Este concepto tiene el alcance previsto en el artículo 28 del Código de </w:t>
      </w:r>
      <w:r w:rsidRPr="00904135">
        <w:rPr>
          <w:rFonts w:ascii="Verdana" w:eastAsia="Calibri" w:hAnsi="Verdana" w:cs="Arial"/>
        </w:rPr>
        <w:lastRenderedPageBreak/>
        <w:t xml:space="preserve">Procedimiento Administrativo y de lo Contencioso Administrativo </w:t>
      </w:r>
      <w:r w:rsidRPr="00904135">
        <w:rPr>
          <w:rFonts w:ascii="Verdana" w:eastAsia="Calibri" w:hAnsi="Verdana" w:cs="Arial"/>
          <w:lang w:val="es-ES_tradnl"/>
        </w:rPr>
        <w:t>y las expresiones aquí utilizadas con mayúscula inicial deben ser entendidas con el significado que les otorga el artículo 2.2.1.1.1.3.1. del Decreto 1082 de 2015.</w:t>
      </w:r>
    </w:p>
    <w:p w14:paraId="1294899C" w14:textId="77777777" w:rsidR="00890E1B" w:rsidRPr="00904135" w:rsidRDefault="00890E1B" w:rsidP="00890E1B">
      <w:pPr>
        <w:widowControl w:val="0"/>
        <w:autoSpaceDE w:val="0"/>
        <w:autoSpaceDN w:val="0"/>
        <w:spacing w:after="0" w:line="276" w:lineRule="auto"/>
        <w:jc w:val="both"/>
        <w:rPr>
          <w:rFonts w:ascii="Verdana" w:eastAsia="Calibri" w:hAnsi="Verdana" w:cs="Arial"/>
        </w:rPr>
      </w:pPr>
    </w:p>
    <w:p w14:paraId="676FD387" w14:textId="77777777" w:rsidR="00890E1B" w:rsidRPr="00904135" w:rsidRDefault="00890E1B" w:rsidP="00890E1B">
      <w:pPr>
        <w:spacing w:after="0" w:line="276" w:lineRule="auto"/>
        <w:rPr>
          <w:rFonts w:ascii="Verdana" w:eastAsia="Calibri" w:hAnsi="Verdana" w:cs="Arial"/>
          <w:lang w:eastAsia="es-CO"/>
        </w:rPr>
      </w:pPr>
      <w:r w:rsidRPr="00904135">
        <w:rPr>
          <w:rFonts w:ascii="Verdana" w:eastAsia="Times New Roman" w:hAnsi="Verdana" w:cs="Arial"/>
          <w:lang w:eastAsia="es-CO"/>
        </w:rPr>
        <w:t>Atentamente,</w:t>
      </w:r>
      <w:r w:rsidRPr="00904135">
        <w:rPr>
          <w:rFonts w:ascii="Verdana" w:eastAsia="Calibri" w:hAnsi="Verdana" w:cs="Arial"/>
          <w:lang w:eastAsia="es-CO"/>
        </w:rPr>
        <w:t xml:space="preserve"> </w:t>
      </w:r>
    </w:p>
    <w:p w14:paraId="4812C22D" w14:textId="5DB718C3" w:rsidR="00890E1B" w:rsidRPr="00904135" w:rsidRDefault="007F4444" w:rsidP="00890E1B">
      <w:pPr>
        <w:spacing w:line="276" w:lineRule="auto"/>
        <w:jc w:val="center"/>
        <w:rPr>
          <w:rFonts w:ascii="Verdana" w:eastAsia="Times New Roman" w:hAnsi="Verdana" w:cs="Arial"/>
          <w:sz w:val="24"/>
          <w:szCs w:val="24"/>
          <w:lang w:eastAsia="es-ES"/>
        </w:rPr>
      </w:pPr>
      <w:r>
        <w:rPr>
          <w:noProof/>
        </w:rPr>
        <w:drawing>
          <wp:inline distT="0" distB="0" distL="0" distR="0" wp14:anchorId="543DE281" wp14:editId="65275DC1">
            <wp:extent cx="3771900" cy="1400175"/>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3"/>
                    <a:stretch>
                      <a:fillRect/>
                    </a:stretch>
                  </pic:blipFill>
                  <pic:spPr>
                    <a:xfrm>
                      <a:off x="0" y="0"/>
                      <a:ext cx="3771900" cy="1400175"/>
                    </a:xfrm>
                    <a:prstGeom prst="rect">
                      <a:avLst/>
                    </a:prstGeom>
                  </pic:spPr>
                </pic:pic>
              </a:graphicData>
            </a:graphic>
          </wp:inline>
        </w:drawing>
      </w:r>
    </w:p>
    <w:tbl>
      <w:tblPr>
        <w:tblW w:w="5670" w:type="dxa"/>
        <w:tblBorders>
          <w:insideH w:val="nil"/>
          <w:insideV w:val="nil"/>
        </w:tblBorders>
        <w:tblLayout w:type="fixed"/>
        <w:tblLook w:val="0400" w:firstRow="0" w:lastRow="0" w:firstColumn="0" w:lastColumn="0" w:noHBand="0" w:noVBand="1"/>
      </w:tblPr>
      <w:tblGrid>
        <w:gridCol w:w="993"/>
        <w:gridCol w:w="4677"/>
      </w:tblGrid>
      <w:tr w:rsidR="00890E1B" w:rsidRPr="00904135" w14:paraId="4B3E4B33" w14:textId="77777777" w:rsidTr="000E0B41">
        <w:trPr>
          <w:trHeight w:val="315"/>
        </w:trPr>
        <w:tc>
          <w:tcPr>
            <w:tcW w:w="993" w:type="dxa"/>
            <w:vAlign w:val="center"/>
            <w:hideMark/>
          </w:tcPr>
          <w:p w14:paraId="12B013EA" w14:textId="77777777" w:rsidR="00890E1B" w:rsidRPr="00904135" w:rsidRDefault="00890E1B" w:rsidP="000E0B41">
            <w:pPr>
              <w:spacing w:after="0" w:line="276" w:lineRule="auto"/>
              <w:rPr>
                <w:rFonts w:ascii="Verdana" w:eastAsia="Calibri" w:hAnsi="Verdana" w:cs="Arial"/>
                <w:bCs/>
                <w:sz w:val="16"/>
                <w:szCs w:val="16"/>
                <w:lang w:eastAsia="es-CO"/>
              </w:rPr>
            </w:pPr>
            <w:r w:rsidRPr="00904135">
              <w:rPr>
                <w:rFonts w:ascii="Verdana" w:eastAsia="Calibri" w:hAnsi="Verdana" w:cs="Arial"/>
                <w:bCs/>
                <w:sz w:val="16"/>
                <w:szCs w:val="16"/>
                <w:lang w:eastAsia="es-CO"/>
              </w:rPr>
              <w:t>Elaboró:</w:t>
            </w:r>
          </w:p>
        </w:tc>
        <w:tc>
          <w:tcPr>
            <w:tcW w:w="4677" w:type="dxa"/>
            <w:tcBorders>
              <w:top w:val="nil"/>
              <w:left w:val="nil"/>
              <w:bottom w:val="dotted" w:sz="4" w:space="0" w:color="7F7F7F"/>
              <w:right w:val="nil"/>
            </w:tcBorders>
            <w:vAlign w:val="center"/>
            <w:hideMark/>
          </w:tcPr>
          <w:p w14:paraId="07F8AA23" w14:textId="77777777" w:rsidR="00890E1B" w:rsidRPr="00904135" w:rsidRDefault="00890E1B" w:rsidP="000E0B41">
            <w:pPr>
              <w:spacing w:after="0" w:line="240" w:lineRule="auto"/>
              <w:rPr>
                <w:rFonts w:ascii="Verdana" w:eastAsia="Calibri" w:hAnsi="Verdana" w:cs="Arial"/>
                <w:sz w:val="16"/>
                <w:szCs w:val="16"/>
                <w:lang w:eastAsia="es-CO"/>
              </w:rPr>
            </w:pPr>
            <w:r w:rsidRPr="00904135">
              <w:rPr>
                <w:rFonts w:ascii="Verdana" w:eastAsia="Calibri" w:hAnsi="Verdana" w:cs="Arial"/>
                <w:sz w:val="16"/>
                <w:szCs w:val="16"/>
                <w:lang w:eastAsia="es-CO"/>
              </w:rPr>
              <w:t>Ximena Ríos López</w:t>
            </w:r>
          </w:p>
          <w:p w14:paraId="69A3C80B" w14:textId="77777777" w:rsidR="00890E1B" w:rsidRPr="00904135" w:rsidRDefault="00890E1B" w:rsidP="000E0B41">
            <w:pPr>
              <w:spacing w:after="0" w:line="240" w:lineRule="auto"/>
              <w:rPr>
                <w:rFonts w:ascii="Verdana" w:eastAsia="Calibri" w:hAnsi="Verdana" w:cs="Arial"/>
                <w:sz w:val="16"/>
                <w:szCs w:val="16"/>
                <w:lang w:eastAsia="es-CO"/>
              </w:rPr>
            </w:pPr>
            <w:r w:rsidRPr="00904135">
              <w:rPr>
                <w:rFonts w:ascii="Verdana" w:eastAsia="Calibri" w:hAnsi="Verdana" w:cs="Arial"/>
                <w:sz w:val="16"/>
                <w:szCs w:val="16"/>
                <w:lang w:eastAsia="es-CO"/>
              </w:rPr>
              <w:t>Gestor T1 -11 Subdirección de Gestión Contractual</w:t>
            </w:r>
          </w:p>
        </w:tc>
      </w:tr>
      <w:tr w:rsidR="00890E1B" w:rsidRPr="00904135" w14:paraId="3E670493" w14:textId="77777777" w:rsidTr="000E0B41">
        <w:trPr>
          <w:trHeight w:val="330"/>
        </w:trPr>
        <w:tc>
          <w:tcPr>
            <w:tcW w:w="993" w:type="dxa"/>
            <w:vAlign w:val="center"/>
            <w:hideMark/>
          </w:tcPr>
          <w:p w14:paraId="2FD7D160" w14:textId="77777777" w:rsidR="00890E1B" w:rsidRPr="00904135" w:rsidRDefault="00890E1B" w:rsidP="000E0B41">
            <w:pPr>
              <w:spacing w:after="0" w:line="276" w:lineRule="auto"/>
              <w:rPr>
                <w:rFonts w:ascii="Verdana" w:eastAsia="Calibri" w:hAnsi="Verdana" w:cs="Arial"/>
                <w:bCs/>
                <w:sz w:val="16"/>
                <w:szCs w:val="16"/>
                <w:lang w:eastAsia="es-CO"/>
              </w:rPr>
            </w:pPr>
            <w:r w:rsidRPr="00904135">
              <w:rPr>
                <w:rFonts w:ascii="Verdana" w:eastAsia="Calibri" w:hAnsi="Verdana" w:cs="Arial"/>
                <w:bCs/>
                <w:sz w:val="16"/>
                <w:szCs w:val="16"/>
                <w:lang w:eastAsia="es-CO"/>
              </w:rPr>
              <w:t>Revisó:</w:t>
            </w:r>
          </w:p>
        </w:tc>
        <w:tc>
          <w:tcPr>
            <w:tcW w:w="4677" w:type="dxa"/>
            <w:tcBorders>
              <w:top w:val="dotted" w:sz="4" w:space="0" w:color="7F7F7F"/>
              <w:left w:val="nil"/>
              <w:bottom w:val="dotted" w:sz="4" w:space="0" w:color="7F7F7F"/>
              <w:right w:val="nil"/>
            </w:tcBorders>
            <w:vAlign w:val="center"/>
            <w:hideMark/>
          </w:tcPr>
          <w:p w14:paraId="05880E4B" w14:textId="77777777" w:rsidR="00890E1B" w:rsidRPr="00904135" w:rsidRDefault="00890E1B" w:rsidP="000E0B41">
            <w:pPr>
              <w:spacing w:after="0" w:line="240" w:lineRule="auto"/>
              <w:rPr>
                <w:rFonts w:ascii="Verdana" w:eastAsia="Calibri" w:hAnsi="Verdana" w:cs="Arial"/>
                <w:sz w:val="16"/>
                <w:szCs w:val="16"/>
                <w:lang w:eastAsia="es-CO"/>
              </w:rPr>
            </w:pPr>
            <w:r>
              <w:rPr>
                <w:rFonts w:ascii="Verdana" w:eastAsia="Calibri" w:hAnsi="Verdana" w:cs="Arial"/>
                <w:sz w:val="16"/>
                <w:szCs w:val="16"/>
                <w:lang w:eastAsia="es-CO"/>
              </w:rPr>
              <w:t>Alejandro Sarmiento</w:t>
            </w:r>
          </w:p>
          <w:p w14:paraId="4F99127C" w14:textId="77777777" w:rsidR="00890E1B" w:rsidRPr="00904135" w:rsidRDefault="00890E1B" w:rsidP="000E0B41">
            <w:pPr>
              <w:spacing w:after="0" w:line="240" w:lineRule="auto"/>
              <w:rPr>
                <w:rFonts w:ascii="Verdana" w:eastAsia="Calibri" w:hAnsi="Verdana" w:cs="Arial"/>
                <w:sz w:val="16"/>
                <w:szCs w:val="16"/>
                <w:lang w:eastAsia="es-CO"/>
              </w:rPr>
            </w:pPr>
            <w:r w:rsidRPr="00904135">
              <w:rPr>
                <w:rFonts w:ascii="Verdana" w:eastAsia="Calibri" w:hAnsi="Verdana" w:cs="Arial"/>
                <w:sz w:val="16"/>
                <w:szCs w:val="16"/>
                <w:lang w:eastAsia="es-CO"/>
              </w:rPr>
              <w:t>Gestor T1 -15 Subdirección de Gestión Contractual</w:t>
            </w:r>
          </w:p>
        </w:tc>
      </w:tr>
      <w:tr w:rsidR="00890E1B" w:rsidRPr="00904135" w14:paraId="606C1295" w14:textId="77777777" w:rsidTr="000E0B41">
        <w:trPr>
          <w:trHeight w:val="300"/>
        </w:trPr>
        <w:tc>
          <w:tcPr>
            <w:tcW w:w="993" w:type="dxa"/>
            <w:vAlign w:val="center"/>
            <w:hideMark/>
          </w:tcPr>
          <w:p w14:paraId="112759F7" w14:textId="77777777" w:rsidR="00890E1B" w:rsidRPr="00904135" w:rsidRDefault="00890E1B" w:rsidP="000E0B41">
            <w:pPr>
              <w:spacing w:after="0" w:line="276" w:lineRule="auto"/>
              <w:rPr>
                <w:rFonts w:ascii="Verdana" w:eastAsia="Calibri" w:hAnsi="Verdana" w:cs="Arial"/>
                <w:bCs/>
                <w:sz w:val="16"/>
                <w:szCs w:val="16"/>
                <w:lang w:eastAsia="es-CO"/>
              </w:rPr>
            </w:pPr>
            <w:r w:rsidRPr="00904135">
              <w:rPr>
                <w:rFonts w:ascii="Verdana" w:eastAsia="Calibri" w:hAnsi="Verdana" w:cs="Arial"/>
                <w:bCs/>
                <w:sz w:val="16"/>
                <w:szCs w:val="16"/>
                <w:lang w:eastAsia="es-CO"/>
              </w:rPr>
              <w:t>Aprobó:</w:t>
            </w:r>
          </w:p>
        </w:tc>
        <w:tc>
          <w:tcPr>
            <w:tcW w:w="4677" w:type="dxa"/>
            <w:tcBorders>
              <w:top w:val="dotted" w:sz="4" w:space="0" w:color="7F7F7F"/>
              <w:left w:val="nil"/>
              <w:bottom w:val="dotted" w:sz="4" w:space="0" w:color="7F7F7F"/>
              <w:right w:val="nil"/>
            </w:tcBorders>
            <w:vAlign w:val="center"/>
            <w:hideMark/>
          </w:tcPr>
          <w:p w14:paraId="2DB3150D" w14:textId="77777777" w:rsidR="00890E1B" w:rsidRPr="00904135" w:rsidRDefault="00890E1B" w:rsidP="000E0B41">
            <w:pPr>
              <w:spacing w:after="0" w:line="240" w:lineRule="auto"/>
              <w:rPr>
                <w:rFonts w:ascii="Verdana" w:eastAsia="Calibri" w:hAnsi="Verdana" w:cs="Arial"/>
                <w:sz w:val="16"/>
                <w:szCs w:val="16"/>
                <w:lang w:eastAsia="es-CO"/>
              </w:rPr>
            </w:pPr>
            <w:r w:rsidRPr="00904135">
              <w:rPr>
                <w:rFonts w:ascii="Verdana" w:eastAsia="Calibri" w:hAnsi="Verdana" w:cs="Arial"/>
                <w:sz w:val="16"/>
                <w:szCs w:val="16"/>
                <w:lang w:eastAsia="es-CO"/>
              </w:rPr>
              <w:t>Carolina Quintero Gacharná</w:t>
            </w:r>
          </w:p>
          <w:p w14:paraId="4A3B4FAA" w14:textId="77777777" w:rsidR="00890E1B" w:rsidRPr="00904135" w:rsidRDefault="00890E1B" w:rsidP="000E0B41">
            <w:pPr>
              <w:spacing w:after="0" w:line="240" w:lineRule="auto"/>
              <w:rPr>
                <w:rFonts w:ascii="Verdana" w:eastAsia="Calibri" w:hAnsi="Verdana" w:cs="Arial"/>
                <w:sz w:val="16"/>
                <w:szCs w:val="16"/>
                <w:lang w:eastAsia="es-CO"/>
              </w:rPr>
            </w:pPr>
            <w:r w:rsidRPr="00904135">
              <w:rPr>
                <w:rFonts w:ascii="Verdana" w:eastAsia="Calibri" w:hAnsi="Verdana" w:cs="Arial"/>
                <w:sz w:val="16"/>
                <w:szCs w:val="16"/>
                <w:lang w:eastAsia="es-CO"/>
              </w:rPr>
              <w:t>Subdirectora de Gestión Contractual ANCP – CCE</w:t>
            </w:r>
          </w:p>
        </w:tc>
      </w:tr>
    </w:tbl>
    <w:p w14:paraId="2D11D890" w14:textId="77777777" w:rsidR="00890E1B" w:rsidRPr="00904135" w:rsidRDefault="00890E1B" w:rsidP="00890E1B">
      <w:pPr>
        <w:spacing w:after="0" w:line="276" w:lineRule="auto"/>
        <w:jc w:val="both"/>
        <w:rPr>
          <w:rFonts w:ascii="Calibri" w:eastAsia="Calibri" w:hAnsi="Calibri" w:cs="Times New Roman"/>
        </w:rPr>
      </w:pPr>
    </w:p>
    <w:p w14:paraId="20ADDE83" w14:textId="77777777" w:rsidR="00890E1B" w:rsidRPr="00904135" w:rsidRDefault="00890E1B" w:rsidP="00890E1B">
      <w:pPr>
        <w:spacing w:line="256" w:lineRule="auto"/>
        <w:rPr>
          <w:rFonts w:ascii="Calibri" w:eastAsia="Calibri" w:hAnsi="Calibri" w:cs="Times New Roman"/>
        </w:rPr>
      </w:pPr>
    </w:p>
    <w:p w14:paraId="493E0508" w14:textId="77777777" w:rsidR="00890E1B" w:rsidRPr="00904135" w:rsidRDefault="00890E1B" w:rsidP="00890E1B">
      <w:pPr>
        <w:spacing w:after="120" w:line="256" w:lineRule="auto"/>
        <w:jc w:val="both"/>
        <w:rPr>
          <w:rFonts w:ascii="Calibri" w:eastAsia="Calibri" w:hAnsi="Calibri" w:cs="Times New Roman"/>
        </w:rPr>
      </w:pPr>
    </w:p>
    <w:p w14:paraId="6B53DBA5" w14:textId="77777777" w:rsidR="00890E1B" w:rsidRPr="004513DD" w:rsidRDefault="00890E1B" w:rsidP="00890E1B">
      <w:pPr>
        <w:widowControl w:val="0"/>
        <w:autoSpaceDE w:val="0"/>
        <w:autoSpaceDN w:val="0"/>
        <w:spacing w:after="0" w:line="276" w:lineRule="auto"/>
        <w:jc w:val="both"/>
        <w:rPr>
          <w:rFonts w:ascii="Verdana" w:hAnsi="Verdana"/>
        </w:rPr>
      </w:pPr>
    </w:p>
    <w:p w14:paraId="0B1E3DAF" w14:textId="77777777" w:rsidR="00890E1B" w:rsidRPr="008018E1" w:rsidRDefault="00890E1B" w:rsidP="00890E1B"/>
    <w:p w14:paraId="7B7A3467" w14:textId="77777777" w:rsidR="00890E1B" w:rsidRDefault="00890E1B" w:rsidP="005F4C77">
      <w:pPr>
        <w:rPr>
          <w:rFonts w:ascii="Verdana" w:hAnsi="Verdana"/>
        </w:rPr>
      </w:pPr>
    </w:p>
    <w:sectPr w:rsidR="00890E1B" w:rsidSect="007C0C0F">
      <w:headerReference w:type="default" r:id="rId14"/>
      <w:footerReference w:type="default" r:id="rId1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5CA908" w14:textId="77777777" w:rsidR="009E3E0D" w:rsidRDefault="009E3E0D" w:rsidP="004A1847">
      <w:pPr>
        <w:spacing w:after="0" w:line="240" w:lineRule="auto"/>
      </w:pPr>
      <w:r>
        <w:separator/>
      </w:r>
    </w:p>
  </w:endnote>
  <w:endnote w:type="continuationSeparator" w:id="0">
    <w:p w14:paraId="5346ECEE" w14:textId="77777777" w:rsidR="009E3E0D" w:rsidRDefault="009E3E0D" w:rsidP="004A1847">
      <w:pPr>
        <w:spacing w:after="0" w:line="240" w:lineRule="auto"/>
      </w:pPr>
      <w:r>
        <w:continuationSeparator/>
      </w:r>
    </w:p>
  </w:endnote>
  <w:endnote w:type="continuationNotice" w:id="1">
    <w:p w14:paraId="0432A504" w14:textId="77777777" w:rsidR="009E3E0D" w:rsidRDefault="009E3E0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altName w:val="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4A0825" w14:textId="77777777" w:rsidR="009E3E0D" w:rsidRDefault="009E3E0D" w:rsidP="004A1847">
      <w:pPr>
        <w:spacing w:after="0" w:line="240" w:lineRule="auto"/>
      </w:pPr>
      <w:r>
        <w:separator/>
      </w:r>
    </w:p>
  </w:footnote>
  <w:footnote w:type="continuationSeparator" w:id="0">
    <w:p w14:paraId="3450A35F" w14:textId="77777777" w:rsidR="009E3E0D" w:rsidRDefault="009E3E0D" w:rsidP="004A1847">
      <w:pPr>
        <w:spacing w:after="0" w:line="240" w:lineRule="auto"/>
      </w:pPr>
      <w:r>
        <w:continuationSeparator/>
      </w:r>
    </w:p>
  </w:footnote>
  <w:footnote w:type="continuationNotice" w:id="1">
    <w:p w14:paraId="2EE84962" w14:textId="77777777" w:rsidR="009E3E0D" w:rsidRDefault="009E3E0D">
      <w:pPr>
        <w:spacing w:after="0" w:line="240" w:lineRule="auto"/>
      </w:pPr>
    </w:p>
  </w:footnote>
  <w:footnote w:id="2">
    <w:p w14:paraId="20597615" w14:textId="77777777" w:rsidR="00890E1B" w:rsidRPr="00D42A84" w:rsidRDefault="00890E1B" w:rsidP="00890E1B">
      <w:pPr>
        <w:pStyle w:val="Textonotapie"/>
        <w:ind w:firstLine="709"/>
        <w:rPr>
          <w:rFonts w:ascii="Verdana" w:hAnsi="Verdana" w:cs="Arial"/>
          <w:sz w:val="16"/>
          <w:szCs w:val="16"/>
        </w:rPr>
      </w:pPr>
      <w:r w:rsidRPr="00D42A84">
        <w:rPr>
          <w:rStyle w:val="Refdenotaalpie"/>
          <w:rFonts w:ascii="Verdana" w:hAnsi="Verdana" w:cs="Arial"/>
          <w:sz w:val="16"/>
          <w:szCs w:val="16"/>
        </w:rPr>
        <w:footnoteRef/>
      </w:r>
      <w:r w:rsidRPr="00D42A84">
        <w:rPr>
          <w:rFonts w:ascii="Verdana" w:hAnsi="Verdana" w:cs="Arial"/>
          <w:sz w:val="16"/>
          <w:szCs w:val="16"/>
        </w:rPr>
        <w:t xml:space="preserve"> Gaceta del Congreso de la República No. 71 del 2005.</w:t>
      </w:r>
    </w:p>
    <w:p w14:paraId="2313D1DB" w14:textId="77777777" w:rsidR="00890E1B" w:rsidRPr="00D42A84" w:rsidRDefault="00890E1B" w:rsidP="00890E1B">
      <w:pPr>
        <w:pStyle w:val="Textonotapie"/>
        <w:ind w:firstLine="709"/>
        <w:rPr>
          <w:rFonts w:ascii="Verdana" w:hAnsi="Verdana" w:cs="Arial"/>
          <w:sz w:val="16"/>
          <w:szCs w:val="16"/>
        </w:rPr>
      </w:pPr>
    </w:p>
  </w:footnote>
  <w:footnote w:id="3">
    <w:p w14:paraId="4A668A50" w14:textId="77777777" w:rsidR="00890E1B" w:rsidRDefault="00890E1B" w:rsidP="00890E1B">
      <w:pPr>
        <w:pStyle w:val="Textonotapie"/>
        <w:ind w:firstLine="709"/>
        <w:rPr>
          <w:rFonts w:ascii="Verdana" w:hAnsi="Verdana" w:cs="Arial"/>
          <w:sz w:val="16"/>
          <w:szCs w:val="16"/>
        </w:rPr>
      </w:pPr>
      <w:r w:rsidRPr="00D42A84">
        <w:rPr>
          <w:rStyle w:val="Refdenotaalpie"/>
          <w:rFonts w:ascii="Verdana" w:hAnsi="Verdana" w:cs="Arial"/>
          <w:sz w:val="16"/>
          <w:szCs w:val="16"/>
        </w:rPr>
        <w:footnoteRef/>
      </w:r>
      <w:r w:rsidRPr="00D42A84">
        <w:rPr>
          <w:rFonts w:ascii="Verdana" w:hAnsi="Verdana" w:cs="Arial"/>
          <w:sz w:val="16"/>
          <w:szCs w:val="16"/>
        </w:rPr>
        <w:t xml:space="preserve"> Corte Constitucional, Sentencia C- 1153 de 2005, M.P. Marco Gerardo Monroy Cabra.</w:t>
      </w:r>
    </w:p>
    <w:p w14:paraId="5AD4EB0A" w14:textId="77777777" w:rsidR="00890E1B" w:rsidRPr="002817AD" w:rsidRDefault="00890E1B" w:rsidP="00890E1B">
      <w:pPr>
        <w:pStyle w:val="Textonotapie"/>
        <w:ind w:firstLine="709"/>
        <w:rPr>
          <w:rFonts w:ascii="Verdana" w:hAnsi="Verdana" w:cs="Arial"/>
          <w:sz w:val="16"/>
          <w:szCs w:val="16"/>
        </w:rPr>
      </w:pPr>
    </w:p>
  </w:footnote>
  <w:footnote w:id="4">
    <w:p w14:paraId="3549BF84" w14:textId="77777777" w:rsidR="00890E1B" w:rsidRPr="00D42A84" w:rsidRDefault="00890E1B" w:rsidP="00890E1B">
      <w:pPr>
        <w:pStyle w:val="Textonotapie"/>
        <w:ind w:firstLine="709"/>
        <w:jc w:val="both"/>
        <w:rPr>
          <w:rFonts w:ascii="Verdana" w:hAnsi="Verdana" w:cs="Arial"/>
          <w:sz w:val="16"/>
          <w:szCs w:val="16"/>
          <w:lang w:val="es-CO"/>
        </w:rPr>
      </w:pPr>
      <w:r w:rsidRPr="00D42A84">
        <w:rPr>
          <w:rStyle w:val="Refdenotaalpie"/>
          <w:rFonts w:ascii="Verdana" w:hAnsi="Verdana" w:cs="Arial"/>
          <w:sz w:val="16"/>
          <w:szCs w:val="16"/>
        </w:rPr>
        <w:footnoteRef/>
      </w:r>
      <w:r w:rsidRPr="00D42A84">
        <w:rPr>
          <w:rFonts w:ascii="Verdana" w:hAnsi="Verdana" w:cs="Arial"/>
          <w:sz w:val="16"/>
          <w:szCs w:val="16"/>
        </w:rPr>
        <w:t xml:space="preserve"> </w:t>
      </w:r>
      <w:r w:rsidRPr="00D42A84">
        <w:rPr>
          <w:rFonts w:ascii="Verdana" w:hAnsi="Verdana" w:cs="Arial"/>
          <w:sz w:val="16"/>
          <w:szCs w:val="16"/>
          <w:lang w:val="es-CO"/>
        </w:rPr>
        <w:t>Corte Constitucional. Sentencias: C-233 de 4 de abril de 2002. M.P: Álvaro Tafur Galvis; C-551 de 9 de julio de 2003. M.P: Eduardo Montealegre Lynnet; C-353 de 20 de mayo de 2009. M.P: Jorge Iván Palacio Palacio; C-541 de 30 de junio de 2010. M.P: Gabriel Eduardo Mendoza Martelo; entre otras.</w:t>
      </w:r>
    </w:p>
    <w:p w14:paraId="6944FF78" w14:textId="77777777" w:rsidR="00890E1B" w:rsidRPr="00D42A84" w:rsidRDefault="00890E1B" w:rsidP="00890E1B">
      <w:pPr>
        <w:pStyle w:val="Textonotapie"/>
        <w:ind w:firstLine="709"/>
        <w:jc w:val="both"/>
        <w:rPr>
          <w:rFonts w:ascii="Verdana" w:hAnsi="Verdana" w:cs="Arial"/>
          <w:sz w:val="16"/>
          <w:szCs w:val="16"/>
        </w:rPr>
      </w:pPr>
    </w:p>
  </w:footnote>
  <w:footnote w:id="5">
    <w:p w14:paraId="17099A9A" w14:textId="77777777" w:rsidR="00890E1B" w:rsidRPr="00D42A84" w:rsidRDefault="00890E1B" w:rsidP="00890E1B">
      <w:pPr>
        <w:pStyle w:val="Textonotapie"/>
        <w:ind w:firstLine="709"/>
        <w:jc w:val="both"/>
        <w:rPr>
          <w:rFonts w:ascii="Verdana" w:hAnsi="Verdana" w:cs="Arial"/>
          <w:sz w:val="16"/>
          <w:szCs w:val="16"/>
          <w:lang w:val="es-CO"/>
        </w:rPr>
      </w:pPr>
      <w:r w:rsidRPr="00D42A84">
        <w:rPr>
          <w:rStyle w:val="Refdenotaalpie"/>
          <w:rFonts w:ascii="Verdana" w:hAnsi="Verdana" w:cs="Arial"/>
          <w:sz w:val="16"/>
          <w:szCs w:val="16"/>
        </w:rPr>
        <w:footnoteRef/>
      </w:r>
      <w:r w:rsidRPr="00D42A84">
        <w:rPr>
          <w:rFonts w:ascii="Verdana" w:hAnsi="Verdana" w:cs="Arial"/>
          <w:sz w:val="16"/>
          <w:szCs w:val="16"/>
          <w:lang w:val="es-CO"/>
        </w:rPr>
        <w:t xml:space="preserve"> Consejo de Estado. Sala de lo Contencioso Administrativo. Sección Primera. Sentencia de 3 de marzo de 2005. Radicado: 25001-23-15-000-2004-00823-01 (PI). C.P: Camilo Arciniegas Andrade. Ver también, Consejo de Estado. Sala de lo Contencioso Administrativo. Sección Tercera. Sentencia de 22 de enero de 2002. Radicado: 2001-0148-01 y, Consejo de Estado. Sala de lo Contencioso Administrativo. Sección Tercera. Sentencia de 20 de noviembre de 2001. Radicado: 2001-0130-01(PI), entre otras.</w:t>
      </w:r>
    </w:p>
    <w:p w14:paraId="667CD105" w14:textId="77777777" w:rsidR="00890E1B" w:rsidRPr="00D42A84" w:rsidRDefault="00890E1B" w:rsidP="00890E1B">
      <w:pPr>
        <w:pStyle w:val="Textonotapie"/>
        <w:ind w:firstLine="709"/>
        <w:jc w:val="both"/>
        <w:rPr>
          <w:rFonts w:ascii="Verdana" w:hAnsi="Verdana" w:cs="Arial"/>
          <w:sz w:val="16"/>
          <w:szCs w:val="16"/>
          <w:lang w:val="es-CO"/>
        </w:rPr>
      </w:pPr>
    </w:p>
  </w:footnote>
  <w:footnote w:id="6">
    <w:p w14:paraId="5D6BAD2B" w14:textId="77777777" w:rsidR="00890E1B" w:rsidRPr="002817AD" w:rsidRDefault="00890E1B" w:rsidP="00890E1B">
      <w:pPr>
        <w:pStyle w:val="Textonotapie"/>
        <w:ind w:firstLine="709"/>
        <w:jc w:val="both"/>
        <w:rPr>
          <w:rFonts w:ascii="Verdana" w:hAnsi="Verdana" w:cs="Arial"/>
          <w:sz w:val="16"/>
          <w:szCs w:val="16"/>
        </w:rPr>
      </w:pPr>
      <w:r w:rsidRPr="00D42A84">
        <w:rPr>
          <w:rStyle w:val="Refdenotaalpie"/>
          <w:rFonts w:ascii="Verdana" w:hAnsi="Verdana" w:cs="Arial"/>
          <w:sz w:val="16"/>
          <w:szCs w:val="16"/>
        </w:rPr>
        <w:footnoteRef/>
      </w:r>
      <w:r w:rsidRPr="00D42A84">
        <w:rPr>
          <w:rFonts w:ascii="Verdana" w:hAnsi="Verdana" w:cs="Arial"/>
          <w:sz w:val="16"/>
          <w:szCs w:val="16"/>
        </w:rPr>
        <w:t xml:space="preserve"> Consejo de Estado, Sala de Consulta y Servicio Civil de fecha 24 de julio de 2013, radicado 2166, Consejero Ponente: Álvaro Namén Vargas</w:t>
      </w:r>
      <w:r w:rsidRPr="002817AD">
        <w:rPr>
          <w:rFonts w:ascii="Verdana" w:hAnsi="Verdana" w:cs="Arial"/>
          <w:sz w:val="16"/>
          <w:szCs w:val="16"/>
        </w:rPr>
        <w:t xml:space="preserve">.  </w:t>
      </w:r>
    </w:p>
    <w:p w14:paraId="06DF2A3C" w14:textId="77777777" w:rsidR="00890E1B" w:rsidRPr="002817AD" w:rsidRDefault="00890E1B" w:rsidP="00890E1B">
      <w:pPr>
        <w:pStyle w:val="Textonotapie"/>
        <w:ind w:firstLine="709"/>
        <w:jc w:val="both"/>
        <w:rPr>
          <w:rFonts w:ascii="Verdana" w:hAnsi="Verdana" w:cs="Arial"/>
          <w:sz w:val="16"/>
          <w:szCs w:val="16"/>
        </w:rPr>
      </w:pPr>
    </w:p>
  </w:footnote>
  <w:footnote w:id="7">
    <w:p w14:paraId="3A63EA95" w14:textId="77777777" w:rsidR="00890E1B" w:rsidRPr="00D42A84" w:rsidRDefault="00890E1B" w:rsidP="00890E1B">
      <w:pPr>
        <w:spacing w:after="0" w:line="240" w:lineRule="auto"/>
        <w:ind w:firstLine="709"/>
        <w:jc w:val="both"/>
        <w:rPr>
          <w:rFonts w:ascii="Verdana" w:eastAsia="Times New Roman" w:hAnsi="Verdana" w:cs="Arial"/>
          <w:sz w:val="16"/>
          <w:szCs w:val="16"/>
        </w:rPr>
      </w:pPr>
      <w:r w:rsidRPr="00D42A84">
        <w:rPr>
          <w:rStyle w:val="Refdenotaalpie"/>
          <w:rFonts w:ascii="Verdana" w:hAnsi="Verdana" w:cs="Arial"/>
          <w:sz w:val="16"/>
          <w:szCs w:val="16"/>
        </w:rPr>
        <w:footnoteRef/>
      </w:r>
      <w:r w:rsidRPr="00D42A84">
        <w:rPr>
          <w:rFonts w:ascii="Verdana" w:hAnsi="Verdana" w:cs="Arial"/>
          <w:sz w:val="16"/>
          <w:szCs w:val="16"/>
        </w:rPr>
        <w:t xml:space="preserve"> </w:t>
      </w:r>
      <w:bookmarkStart w:id="2" w:name="33"/>
      <w:r w:rsidRPr="00D42A84">
        <w:rPr>
          <w:rFonts w:ascii="Verdana" w:eastAsia="Times New Roman" w:hAnsi="Verdana" w:cs="Arial"/>
          <w:sz w:val="16"/>
          <w:szCs w:val="16"/>
        </w:rPr>
        <w:t>Artículo 33. Restricciones a la contratación pública.</w:t>
      </w:r>
      <w:bookmarkEnd w:id="2"/>
      <w:r w:rsidRPr="00D42A84">
        <w:rPr>
          <w:rFonts w:ascii="Verdana" w:eastAsia="Times New Roman" w:hAnsi="Verdana" w:cs="Arial"/>
          <w:sz w:val="16"/>
          <w:szCs w:val="16"/>
        </w:rPr>
        <w:t> Durante los cuatro (4) meses anteriores a la elección presidencial y hasta la realización de la elección en la segunda vuelta, si fuere el caso, queda prohibida la contratación directa por parte de todos los entes del Estado.</w:t>
      </w:r>
    </w:p>
    <w:p w14:paraId="262B251B" w14:textId="77777777" w:rsidR="00890E1B" w:rsidRPr="00D42A84" w:rsidRDefault="00890E1B" w:rsidP="00890E1B">
      <w:pPr>
        <w:spacing w:after="0" w:line="240" w:lineRule="auto"/>
        <w:ind w:firstLine="709"/>
        <w:jc w:val="both"/>
        <w:rPr>
          <w:rFonts w:ascii="Verdana" w:eastAsia="Times New Roman" w:hAnsi="Verdana" w:cs="Arial"/>
          <w:sz w:val="16"/>
          <w:szCs w:val="16"/>
        </w:rPr>
      </w:pPr>
    </w:p>
    <w:p w14:paraId="603B4184" w14:textId="77777777" w:rsidR="00890E1B" w:rsidRPr="00D42A84" w:rsidRDefault="00890E1B" w:rsidP="00890E1B">
      <w:pPr>
        <w:spacing w:after="0" w:line="240" w:lineRule="auto"/>
        <w:ind w:firstLine="709"/>
        <w:jc w:val="both"/>
        <w:rPr>
          <w:rFonts w:ascii="Verdana" w:eastAsia="Times New Roman" w:hAnsi="Verdana" w:cs="Arial"/>
          <w:sz w:val="16"/>
          <w:szCs w:val="16"/>
        </w:rPr>
      </w:pPr>
      <w:r w:rsidRPr="00D42A84">
        <w:rPr>
          <w:rFonts w:ascii="Verdana" w:eastAsia="Times New Roman" w:hAnsi="Verdana" w:cs="Arial"/>
          <w:sz w:val="16"/>
          <w:szCs w:val="16"/>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5C4D5472" w14:textId="77777777" w:rsidR="00890E1B" w:rsidRPr="00D42A84" w:rsidRDefault="00890E1B" w:rsidP="00890E1B">
      <w:pPr>
        <w:spacing w:after="0" w:line="240" w:lineRule="auto"/>
        <w:ind w:firstLine="709"/>
        <w:jc w:val="both"/>
        <w:rPr>
          <w:rFonts w:ascii="Verdana" w:eastAsia="Times New Roman" w:hAnsi="Verdana" w:cs="Arial"/>
          <w:sz w:val="16"/>
          <w:szCs w:val="16"/>
        </w:rPr>
      </w:pPr>
    </w:p>
  </w:footnote>
  <w:footnote w:id="8">
    <w:p w14:paraId="1DAD7E0C" w14:textId="77777777" w:rsidR="00890E1B" w:rsidRDefault="00890E1B" w:rsidP="00890E1B">
      <w:pPr>
        <w:pStyle w:val="Textonotapie"/>
        <w:ind w:right="51" w:firstLine="709"/>
        <w:contextualSpacing/>
        <w:jc w:val="both"/>
        <w:rPr>
          <w:rFonts w:ascii="Verdana" w:hAnsi="Verdana" w:cs="Arial"/>
          <w:sz w:val="16"/>
          <w:szCs w:val="16"/>
        </w:rPr>
      </w:pPr>
      <w:r w:rsidRPr="00D42A84">
        <w:rPr>
          <w:rStyle w:val="Refdenotaalpie"/>
          <w:rFonts w:ascii="Verdana" w:hAnsi="Verdana" w:cs="Arial"/>
          <w:sz w:val="16"/>
          <w:szCs w:val="16"/>
        </w:rPr>
        <w:footnoteRef/>
      </w:r>
      <w:r w:rsidRPr="00D42A84">
        <w:rPr>
          <w:rFonts w:ascii="Verdana" w:hAnsi="Verdana" w:cs="Arial"/>
          <w:sz w:val="16"/>
          <w:szCs w:val="16"/>
        </w:rPr>
        <w:t xml:space="preserve"> “</w:t>
      </w:r>
      <w:r w:rsidRPr="00D42A84">
        <w:rPr>
          <w:rFonts w:ascii="Verdana" w:hAnsi="Verdana" w:cs="Arial"/>
          <w:sz w:val="16"/>
          <w:szCs w:val="16"/>
          <w:lang w:val="es-ES"/>
        </w:rPr>
        <w:t xml:space="preserve">[25] </w:t>
      </w:r>
      <w:r w:rsidRPr="00D42A84">
        <w:rPr>
          <w:rFonts w:ascii="Verdana" w:hAnsi="Verdana" w:cs="Arial"/>
          <w:sz w:val="16"/>
          <w:szCs w:val="16"/>
        </w:rPr>
        <w:t>Cfr. Consejo de Estado. Sección Tercera. Sentencia de 3 de diciembre de 2007. Radicados: 24.715, 25.206, 25.409, 24.524, 27.834, 25.410, 26.105, 28.244, 31.447 -acumulados-”.</w:t>
      </w:r>
    </w:p>
    <w:p w14:paraId="23C943AA" w14:textId="77777777" w:rsidR="00890E1B" w:rsidRPr="00D42A84" w:rsidRDefault="00890E1B" w:rsidP="00890E1B">
      <w:pPr>
        <w:pStyle w:val="Textonotapie"/>
        <w:ind w:right="51" w:firstLine="709"/>
        <w:contextualSpacing/>
        <w:jc w:val="both"/>
        <w:rPr>
          <w:rFonts w:ascii="Verdana" w:hAnsi="Verdana" w:cs="Arial"/>
          <w:sz w:val="16"/>
          <w:szCs w:val="16"/>
        </w:rPr>
      </w:pPr>
    </w:p>
  </w:footnote>
  <w:footnote w:id="9">
    <w:p w14:paraId="7B359829" w14:textId="77777777" w:rsidR="00890E1B" w:rsidRPr="00D42A84" w:rsidRDefault="00890E1B" w:rsidP="00890E1B">
      <w:pPr>
        <w:pStyle w:val="Textonotapie"/>
        <w:ind w:right="51" w:firstLine="709"/>
        <w:contextualSpacing/>
        <w:jc w:val="both"/>
        <w:rPr>
          <w:rFonts w:ascii="Verdana" w:hAnsi="Verdana" w:cs="Arial"/>
          <w:sz w:val="16"/>
          <w:szCs w:val="16"/>
        </w:rPr>
      </w:pPr>
      <w:r w:rsidRPr="00D42A84">
        <w:rPr>
          <w:rStyle w:val="Refdenotaalpie"/>
          <w:rFonts w:ascii="Verdana" w:hAnsi="Verdana" w:cs="Arial"/>
          <w:sz w:val="16"/>
          <w:szCs w:val="16"/>
        </w:rPr>
        <w:footnoteRef/>
      </w:r>
      <w:r w:rsidRPr="00D42A84">
        <w:rPr>
          <w:rFonts w:ascii="Verdana" w:hAnsi="Verdana" w:cs="Arial"/>
          <w:sz w:val="16"/>
          <w:szCs w:val="16"/>
        </w:rPr>
        <w:t xml:space="preserve"> </w:t>
      </w:r>
      <w:bookmarkStart w:id="5" w:name="_Hlk74294506"/>
      <w:r w:rsidRPr="00D42A84">
        <w:rPr>
          <w:rFonts w:ascii="Verdana" w:hAnsi="Verdana" w:cs="Arial"/>
          <w:sz w:val="16"/>
          <w:szCs w:val="16"/>
        </w:rPr>
        <w:t>“</w:t>
      </w:r>
      <w:r>
        <w:rPr>
          <w:rFonts w:ascii="Verdana" w:hAnsi="Verdana" w:cs="Arial"/>
          <w:sz w:val="16"/>
          <w:szCs w:val="16"/>
        </w:rPr>
        <w:t>(</w:t>
      </w:r>
      <w:r w:rsidRPr="00D42A84">
        <w:rPr>
          <w:rFonts w:ascii="Verdana" w:hAnsi="Verdana" w:cs="Arial"/>
          <w:sz w:val="16"/>
          <w:szCs w:val="16"/>
          <w:lang w:val="es-ES"/>
        </w:rPr>
        <w:t>26</w:t>
      </w:r>
      <w:r>
        <w:rPr>
          <w:rFonts w:ascii="Verdana" w:hAnsi="Verdana" w:cs="Arial"/>
          <w:sz w:val="16"/>
          <w:szCs w:val="16"/>
          <w:lang w:val="es-ES"/>
        </w:rPr>
        <w:t>)</w:t>
      </w:r>
      <w:r w:rsidRPr="00D42A84">
        <w:rPr>
          <w:rFonts w:ascii="Verdana" w:hAnsi="Verdana" w:cs="Arial"/>
          <w:sz w:val="16"/>
          <w:szCs w:val="16"/>
          <w:lang w:val="es-ES"/>
        </w:rPr>
        <w:t xml:space="preserve"> </w:t>
      </w:r>
      <w:bookmarkEnd w:id="5"/>
      <w:r w:rsidRPr="00D42A84">
        <w:rPr>
          <w:rFonts w:ascii="Verdana" w:hAnsi="Verdana" w:cs="Arial"/>
          <w:sz w:val="16"/>
          <w:szCs w:val="16"/>
        </w:rPr>
        <w:t>Al respecto ver el concepto 1712 de 2 de febrero de 2006. Consejo de Estado Sala de Consulta y Servicio Civil”.</w:t>
      </w:r>
    </w:p>
    <w:p w14:paraId="521B6111" w14:textId="77777777" w:rsidR="00890E1B" w:rsidRPr="00B93D47" w:rsidRDefault="00890E1B" w:rsidP="00890E1B">
      <w:pPr>
        <w:pStyle w:val="Textonotapie"/>
        <w:ind w:right="51" w:firstLine="709"/>
        <w:contextualSpacing/>
        <w:jc w:val="both"/>
        <w:rPr>
          <w:rFonts w:ascii="Verdana" w:hAnsi="Verdana" w:cs="Arial"/>
          <w:sz w:val="16"/>
          <w:szCs w:val="16"/>
        </w:rPr>
      </w:pPr>
    </w:p>
  </w:footnote>
  <w:footnote w:id="10">
    <w:p w14:paraId="7F67B2E5" w14:textId="77777777" w:rsidR="00890E1B" w:rsidRPr="00B93D47" w:rsidRDefault="00890E1B" w:rsidP="00890E1B">
      <w:pPr>
        <w:pStyle w:val="Textonotapie"/>
        <w:ind w:firstLine="709"/>
        <w:contextualSpacing/>
        <w:jc w:val="both"/>
        <w:rPr>
          <w:rFonts w:ascii="Verdana" w:hAnsi="Verdana" w:cs="Arial"/>
          <w:sz w:val="16"/>
          <w:szCs w:val="16"/>
        </w:rPr>
      </w:pPr>
      <w:r w:rsidRPr="00B93D47">
        <w:rPr>
          <w:rStyle w:val="Refdenotaalpie"/>
          <w:rFonts w:ascii="Verdana" w:hAnsi="Verdana" w:cs="Arial"/>
          <w:sz w:val="16"/>
          <w:szCs w:val="16"/>
        </w:rPr>
        <w:footnoteRef/>
      </w:r>
      <w:r w:rsidRPr="00B93D47">
        <w:rPr>
          <w:rFonts w:ascii="Verdana" w:hAnsi="Verdana" w:cs="Arial"/>
          <w:sz w:val="16"/>
          <w:szCs w:val="16"/>
        </w:rPr>
        <w:t xml:space="preserve"> Consejo de Estado. Sala de Consulta y Servicio Civil. Concepto del 2 de septiembre de 2013. Radicación número: 11001-03-06-000-2013-00412-00 (2168). Consejero Ponente: Álvaro Namén Vargas.</w:t>
      </w:r>
    </w:p>
    <w:p w14:paraId="484706B5" w14:textId="77777777" w:rsidR="00890E1B" w:rsidRPr="00B93D47" w:rsidRDefault="00890E1B" w:rsidP="00890E1B">
      <w:pPr>
        <w:pStyle w:val="Textonotapie"/>
        <w:ind w:firstLine="709"/>
        <w:contextualSpacing/>
        <w:jc w:val="both"/>
        <w:rPr>
          <w:rFonts w:ascii="Verdana" w:hAnsi="Verdana" w:cs="Arial"/>
          <w:sz w:val="16"/>
          <w:szCs w:val="16"/>
        </w:rPr>
      </w:pPr>
    </w:p>
  </w:footnote>
  <w:footnote w:id="11">
    <w:p w14:paraId="67D92FFC" w14:textId="77777777" w:rsidR="00890E1B" w:rsidRPr="00B93D47" w:rsidRDefault="00890E1B" w:rsidP="00890E1B">
      <w:pPr>
        <w:pStyle w:val="Textonotapie"/>
        <w:ind w:firstLine="709"/>
        <w:contextualSpacing/>
        <w:jc w:val="both"/>
        <w:rPr>
          <w:rFonts w:ascii="Verdana" w:hAnsi="Verdana" w:cs="Arial"/>
          <w:sz w:val="16"/>
          <w:szCs w:val="16"/>
          <w:lang w:val="es-ES"/>
        </w:rPr>
      </w:pPr>
      <w:r w:rsidRPr="00B93D47">
        <w:rPr>
          <w:rStyle w:val="Refdenotaalpie"/>
          <w:rFonts w:ascii="Verdana" w:hAnsi="Verdana" w:cs="Arial"/>
          <w:sz w:val="16"/>
          <w:szCs w:val="16"/>
        </w:rPr>
        <w:footnoteRef/>
      </w:r>
      <w:r w:rsidRPr="00B93D47">
        <w:rPr>
          <w:rFonts w:ascii="Verdana" w:hAnsi="Verdana" w:cs="Arial"/>
          <w:sz w:val="16"/>
          <w:szCs w:val="16"/>
        </w:rPr>
        <w:t xml:space="preserve"> </w:t>
      </w:r>
      <w:r w:rsidRPr="00B93D47">
        <w:rPr>
          <w:rFonts w:ascii="Verdana" w:hAnsi="Verdana" w:cs="Arial"/>
          <w:sz w:val="16"/>
          <w:szCs w:val="16"/>
          <w:lang w:val="es-ES"/>
        </w:rPr>
        <w:t xml:space="preserve">Artículo 2. </w:t>
      </w:r>
    </w:p>
  </w:footnote>
  <w:footnote w:id="12">
    <w:p w14:paraId="1212B569" w14:textId="77777777" w:rsidR="00890E1B" w:rsidRPr="00B93D47" w:rsidRDefault="00890E1B" w:rsidP="00890E1B">
      <w:pPr>
        <w:pStyle w:val="Textonotapie"/>
        <w:ind w:firstLine="709"/>
        <w:contextualSpacing/>
        <w:jc w:val="both"/>
        <w:rPr>
          <w:rFonts w:ascii="Verdana" w:hAnsi="Verdana" w:cs="Arial"/>
          <w:sz w:val="16"/>
          <w:szCs w:val="16"/>
        </w:rPr>
      </w:pPr>
    </w:p>
    <w:p w14:paraId="72C62EF8" w14:textId="77777777" w:rsidR="00890E1B" w:rsidRDefault="00890E1B" w:rsidP="00890E1B">
      <w:pPr>
        <w:pStyle w:val="Textonotapie"/>
        <w:ind w:firstLine="709"/>
        <w:contextualSpacing/>
        <w:jc w:val="both"/>
        <w:rPr>
          <w:rFonts w:ascii="Verdana" w:hAnsi="Verdana" w:cs="Arial"/>
          <w:sz w:val="16"/>
          <w:szCs w:val="16"/>
          <w:lang w:val="es-ES"/>
        </w:rPr>
      </w:pPr>
      <w:r w:rsidRPr="00B93D47">
        <w:rPr>
          <w:rStyle w:val="Refdenotaalpie"/>
          <w:rFonts w:ascii="Verdana" w:hAnsi="Verdana" w:cs="Arial"/>
          <w:sz w:val="16"/>
          <w:szCs w:val="16"/>
        </w:rPr>
        <w:footnoteRef/>
      </w:r>
      <w:r w:rsidRPr="00B93D47">
        <w:rPr>
          <w:rFonts w:ascii="Verdana" w:hAnsi="Verdana" w:cs="Arial"/>
          <w:sz w:val="16"/>
          <w:szCs w:val="16"/>
        </w:rPr>
        <w:t xml:space="preserve"> </w:t>
      </w:r>
      <w:r w:rsidRPr="00B93D47">
        <w:rPr>
          <w:rFonts w:ascii="Verdana" w:hAnsi="Verdana" w:cs="Arial"/>
          <w:i/>
          <w:sz w:val="16"/>
          <w:szCs w:val="16"/>
          <w:lang w:val="es-ES"/>
        </w:rPr>
        <w:t>Ídem</w:t>
      </w:r>
      <w:r w:rsidRPr="00B93D47">
        <w:rPr>
          <w:rFonts w:ascii="Verdana" w:hAnsi="Verdana" w:cs="Arial"/>
          <w:sz w:val="16"/>
          <w:szCs w:val="16"/>
          <w:lang w:val="es-ES"/>
        </w:rPr>
        <w:t>.</w:t>
      </w:r>
    </w:p>
    <w:p w14:paraId="3804D848" w14:textId="77777777" w:rsidR="00890E1B" w:rsidRPr="00B93D47" w:rsidRDefault="00890E1B" w:rsidP="00890E1B">
      <w:pPr>
        <w:pStyle w:val="Textonotapie"/>
        <w:ind w:firstLine="709"/>
        <w:contextualSpacing/>
        <w:jc w:val="both"/>
        <w:rPr>
          <w:rFonts w:ascii="Verdana" w:hAnsi="Verdana" w:cs="Arial"/>
          <w:sz w:val="16"/>
          <w:szCs w:val="16"/>
          <w:lang w:val="es-ES"/>
        </w:rPr>
      </w:pPr>
    </w:p>
  </w:footnote>
  <w:footnote w:id="13">
    <w:p w14:paraId="2CEA031F" w14:textId="77777777" w:rsidR="00890E1B" w:rsidRDefault="00890E1B" w:rsidP="00890E1B">
      <w:pPr>
        <w:pStyle w:val="Textonotapie"/>
        <w:ind w:firstLine="709"/>
        <w:contextualSpacing/>
        <w:jc w:val="both"/>
        <w:rPr>
          <w:rFonts w:ascii="Verdana" w:hAnsi="Verdana" w:cs="Arial"/>
          <w:sz w:val="16"/>
          <w:szCs w:val="16"/>
          <w:lang w:val="es-ES"/>
        </w:rPr>
      </w:pPr>
      <w:r w:rsidRPr="00B93D47">
        <w:rPr>
          <w:rStyle w:val="Refdenotaalpie"/>
          <w:rFonts w:ascii="Verdana" w:hAnsi="Verdana" w:cs="Arial"/>
          <w:sz w:val="16"/>
          <w:szCs w:val="16"/>
        </w:rPr>
        <w:footnoteRef/>
      </w:r>
      <w:r w:rsidRPr="00B93D47">
        <w:rPr>
          <w:rStyle w:val="Refdenotaalpie"/>
          <w:rFonts w:ascii="Verdana" w:hAnsi="Verdana" w:cs="Arial"/>
          <w:sz w:val="16"/>
          <w:szCs w:val="16"/>
        </w:rPr>
        <w:t xml:space="preserve"> </w:t>
      </w:r>
      <w:r w:rsidRPr="00B93D47">
        <w:rPr>
          <w:rFonts w:ascii="Verdana" w:hAnsi="Verdana" w:cs="Arial"/>
          <w:sz w:val="16"/>
          <w:szCs w:val="16"/>
          <w:lang w:val="es-ES"/>
        </w:rPr>
        <w:t>“</w:t>
      </w:r>
      <w:r>
        <w:rPr>
          <w:rFonts w:ascii="Verdana" w:hAnsi="Verdana" w:cs="Arial"/>
          <w:sz w:val="16"/>
          <w:szCs w:val="16"/>
          <w:lang w:val="es-ES"/>
        </w:rPr>
        <w:t xml:space="preserve">(…) </w:t>
      </w:r>
      <w:r w:rsidRPr="00B93D47">
        <w:rPr>
          <w:rFonts w:ascii="Verdana" w:hAnsi="Verdana" w:cs="Arial"/>
          <w:sz w:val="16"/>
          <w:szCs w:val="16"/>
          <w:lang w:val="es-ES"/>
        </w:rPr>
        <w:t xml:space="preserve">A este respecto, cabe recordar que el artículo 860 del Código de Comercio regula la licitación en el derecho privado”. </w:t>
      </w:r>
    </w:p>
    <w:p w14:paraId="2886823F" w14:textId="77777777" w:rsidR="00890E1B" w:rsidRPr="00B93D47" w:rsidRDefault="00890E1B" w:rsidP="00890E1B">
      <w:pPr>
        <w:pStyle w:val="Textonotapie"/>
        <w:ind w:firstLine="709"/>
        <w:contextualSpacing/>
        <w:jc w:val="both"/>
        <w:rPr>
          <w:rFonts w:ascii="Verdana" w:hAnsi="Verdana" w:cs="Arial"/>
          <w:sz w:val="16"/>
          <w:szCs w:val="16"/>
          <w:lang w:val="es-ES"/>
        </w:rPr>
      </w:pPr>
    </w:p>
  </w:footnote>
  <w:footnote w:id="14">
    <w:p w14:paraId="4B3F7763" w14:textId="77777777" w:rsidR="00890E1B" w:rsidRPr="00B93D47" w:rsidRDefault="00890E1B" w:rsidP="00890E1B">
      <w:pPr>
        <w:shd w:val="clear" w:color="auto" w:fill="FFFFFF"/>
        <w:spacing w:after="0" w:line="240" w:lineRule="auto"/>
        <w:ind w:firstLine="709"/>
        <w:contextualSpacing/>
        <w:jc w:val="both"/>
        <w:rPr>
          <w:rFonts w:ascii="Verdana" w:hAnsi="Verdana" w:cs="Arial"/>
          <w:sz w:val="16"/>
          <w:szCs w:val="16"/>
          <w:lang w:val="es-ES"/>
        </w:rPr>
      </w:pPr>
      <w:r w:rsidRPr="00B93D47">
        <w:rPr>
          <w:rStyle w:val="Refdenotaalpie"/>
          <w:rFonts w:ascii="Verdana" w:hAnsi="Verdana" w:cs="Arial"/>
          <w:sz w:val="16"/>
          <w:szCs w:val="16"/>
        </w:rPr>
        <w:footnoteRef/>
      </w:r>
      <w:r w:rsidRPr="00B93D47">
        <w:rPr>
          <w:rStyle w:val="Refdenotaalpie"/>
          <w:rFonts w:ascii="Verdana" w:hAnsi="Verdana" w:cs="Arial"/>
          <w:sz w:val="16"/>
          <w:szCs w:val="16"/>
        </w:rPr>
        <w:t xml:space="preserve"> </w:t>
      </w:r>
      <w:r w:rsidRPr="00B93D47">
        <w:rPr>
          <w:rFonts w:ascii="Verdana" w:hAnsi="Verdana" w:cs="Arial"/>
          <w:sz w:val="16"/>
          <w:szCs w:val="16"/>
          <w:lang w:val="es-ES"/>
        </w:rPr>
        <w:t>Consejo de Estado. Sala de Consulta y Servicio Civil, Concepto de 8 de mayo de 2018. Radicación Número: 11001-03-06-000-2018-00095-00(2382). Consejero Ponente: Álvaro Namén Vargas.</w:t>
      </w:r>
    </w:p>
  </w:footnote>
  <w:footnote w:id="15">
    <w:p w14:paraId="5CD3FC43" w14:textId="77777777" w:rsidR="00890E1B" w:rsidRDefault="00890E1B" w:rsidP="00890E1B">
      <w:pPr>
        <w:pStyle w:val="Textonotapie"/>
        <w:contextualSpacing/>
        <w:jc w:val="both"/>
        <w:rPr>
          <w:rFonts w:ascii="Verdana" w:hAnsi="Verdana" w:cs="Arial"/>
          <w:sz w:val="16"/>
          <w:szCs w:val="16"/>
        </w:rPr>
      </w:pPr>
    </w:p>
    <w:p w14:paraId="4B817460" w14:textId="77777777" w:rsidR="00890E1B" w:rsidRDefault="00890E1B" w:rsidP="00890E1B">
      <w:pPr>
        <w:pStyle w:val="Textonotapie"/>
        <w:ind w:firstLine="709"/>
        <w:contextualSpacing/>
        <w:jc w:val="both"/>
        <w:rPr>
          <w:rFonts w:ascii="Verdana" w:hAnsi="Verdana" w:cs="Arial"/>
          <w:sz w:val="16"/>
          <w:szCs w:val="16"/>
        </w:rPr>
      </w:pPr>
      <w:r w:rsidRPr="00B93D47">
        <w:rPr>
          <w:rStyle w:val="Refdenotaalpie"/>
          <w:rFonts w:ascii="Verdana" w:hAnsi="Verdana" w:cs="Arial"/>
          <w:sz w:val="16"/>
          <w:szCs w:val="16"/>
        </w:rPr>
        <w:footnoteRef/>
      </w:r>
      <w:r w:rsidRPr="00B93D47">
        <w:rPr>
          <w:rFonts w:ascii="Verdana" w:hAnsi="Verdana" w:cs="Arial"/>
          <w:sz w:val="16"/>
          <w:szCs w:val="16"/>
        </w:rPr>
        <w:t xml:space="preserve"> </w:t>
      </w:r>
      <w:r>
        <w:rPr>
          <w:rFonts w:ascii="Verdana" w:hAnsi="Verdana" w:cs="Arial"/>
          <w:sz w:val="16"/>
          <w:szCs w:val="16"/>
        </w:rPr>
        <w:t xml:space="preserve">Ibidem </w:t>
      </w:r>
    </w:p>
    <w:p w14:paraId="405A5F24" w14:textId="77777777" w:rsidR="00890E1B" w:rsidRPr="00B93D47" w:rsidRDefault="00890E1B" w:rsidP="00890E1B">
      <w:pPr>
        <w:pStyle w:val="Textonotapie"/>
        <w:ind w:firstLine="709"/>
        <w:contextualSpacing/>
        <w:jc w:val="both"/>
        <w:rPr>
          <w:rFonts w:ascii="Verdana" w:hAnsi="Verdana" w:cs="Arial"/>
          <w:sz w:val="16"/>
          <w:szCs w:val="16"/>
        </w:rPr>
      </w:pPr>
    </w:p>
  </w:footnote>
  <w:footnote w:id="16">
    <w:p w14:paraId="6600C0DE" w14:textId="77777777" w:rsidR="00890E1B" w:rsidRPr="00B93D47" w:rsidRDefault="00890E1B" w:rsidP="00890E1B">
      <w:pPr>
        <w:pStyle w:val="Textonotapie"/>
        <w:ind w:firstLine="709"/>
        <w:contextualSpacing/>
        <w:jc w:val="both"/>
        <w:rPr>
          <w:rFonts w:ascii="Verdana" w:hAnsi="Verdana" w:cs="Arial"/>
          <w:sz w:val="16"/>
          <w:szCs w:val="16"/>
        </w:rPr>
      </w:pPr>
      <w:r w:rsidRPr="00B93D47">
        <w:rPr>
          <w:rStyle w:val="Refdenotaalpie"/>
          <w:rFonts w:ascii="Verdana" w:hAnsi="Verdana" w:cs="Arial"/>
          <w:sz w:val="16"/>
          <w:szCs w:val="16"/>
        </w:rPr>
        <w:footnoteRef/>
      </w:r>
      <w:r w:rsidRPr="00B93D47">
        <w:rPr>
          <w:rFonts w:ascii="Verdana" w:hAnsi="Verdana" w:cs="Arial"/>
          <w:sz w:val="16"/>
          <w:szCs w:val="16"/>
        </w:rPr>
        <w:t xml:space="preserve"> La Corte Constitucional mediante Sentencia C-1153-05 de 11 de noviembre de 2005, Magistrado Ponente Marco Gerardo Monroy Cabra, efectuó el Control constitucional al Proyecto de Ley Estatutaria N° 216/05 Senado, N° 235-Cámara que dio lugar a la Ley de Garantías Electorales.</w:t>
      </w:r>
    </w:p>
  </w:footnote>
  <w:footnote w:id="17">
    <w:p w14:paraId="45F3E7DA" w14:textId="77777777" w:rsidR="00890E1B" w:rsidRPr="00B36BA8" w:rsidRDefault="00890E1B" w:rsidP="00890E1B">
      <w:pPr>
        <w:pStyle w:val="Textonotapie"/>
        <w:ind w:firstLine="709"/>
        <w:contextualSpacing/>
        <w:jc w:val="both"/>
        <w:rPr>
          <w:rFonts w:ascii="Verdana" w:hAnsi="Verdana" w:cs="Arial"/>
          <w:sz w:val="18"/>
          <w:szCs w:val="18"/>
        </w:rPr>
      </w:pPr>
      <w:r w:rsidRPr="00B36BA8">
        <w:rPr>
          <w:rStyle w:val="Refdenotaalpie"/>
          <w:rFonts w:ascii="Verdana" w:hAnsi="Verdana"/>
          <w:sz w:val="18"/>
          <w:szCs w:val="18"/>
        </w:rPr>
        <w:footnoteRef/>
      </w:r>
      <w:r w:rsidRPr="00B36BA8">
        <w:rPr>
          <w:rFonts w:ascii="Verdana" w:hAnsi="Verdana"/>
          <w:sz w:val="18"/>
          <w:szCs w:val="18"/>
        </w:rPr>
        <w:t xml:space="preserve"> </w:t>
      </w:r>
      <w:r w:rsidRPr="00B36BA8">
        <w:rPr>
          <w:rFonts w:ascii="Verdana" w:hAnsi="Verdana" w:cs="Arial"/>
          <w:sz w:val="18"/>
          <w:szCs w:val="18"/>
        </w:rPr>
        <w:t>Consejo de Estado -Sección Tercera-. Sentencia del 21 de febrero de 2025. Radicación Número: 68.280. CP: José Roberto Sáchica Méndez.</w:t>
      </w:r>
    </w:p>
    <w:p w14:paraId="391282EB" w14:textId="77777777" w:rsidR="00890E1B" w:rsidRPr="00B36BA8" w:rsidRDefault="00890E1B" w:rsidP="00890E1B">
      <w:pPr>
        <w:pStyle w:val="Textonotapie"/>
        <w:ind w:firstLine="709"/>
        <w:contextualSpacing/>
        <w:jc w:val="both"/>
        <w:rPr>
          <w:rFonts w:ascii="Verdana" w:hAnsi="Verdana" w:cs="Arial"/>
          <w:sz w:val="18"/>
          <w:szCs w:val="18"/>
        </w:rPr>
      </w:pPr>
    </w:p>
  </w:footnote>
  <w:footnote w:id="18">
    <w:p w14:paraId="16353A5B" w14:textId="77777777" w:rsidR="00890E1B" w:rsidRPr="00B36BA8" w:rsidRDefault="00890E1B" w:rsidP="00890E1B">
      <w:pPr>
        <w:pStyle w:val="Textonotapie"/>
        <w:ind w:firstLine="709"/>
        <w:contextualSpacing/>
        <w:jc w:val="both"/>
        <w:rPr>
          <w:rFonts w:ascii="Verdana" w:hAnsi="Verdana" w:cs="Arial"/>
          <w:sz w:val="18"/>
          <w:szCs w:val="18"/>
        </w:rPr>
      </w:pPr>
      <w:r w:rsidRPr="00B36BA8">
        <w:rPr>
          <w:rFonts w:ascii="Verdana" w:hAnsi="Verdana"/>
          <w:sz w:val="18"/>
          <w:szCs w:val="18"/>
          <w:vertAlign w:val="superscript"/>
        </w:rPr>
        <w:footnoteRef/>
      </w:r>
      <w:r w:rsidRPr="00B36BA8">
        <w:rPr>
          <w:rFonts w:ascii="Verdana" w:hAnsi="Verdana"/>
          <w:sz w:val="18"/>
          <w:szCs w:val="18"/>
          <w:vertAlign w:val="superscript"/>
        </w:rPr>
        <w:t xml:space="preserve"> </w:t>
      </w:r>
      <w:r w:rsidRPr="00B36BA8">
        <w:rPr>
          <w:rFonts w:ascii="Verdana" w:hAnsi="Verdana" w:cs="Arial"/>
          <w:sz w:val="18"/>
          <w:szCs w:val="18"/>
        </w:rPr>
        <w:t>Ley 1150 de 2007: Artículo 2, numeral 4, literal c. […] Se exceptúan los contratos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Estos contratos podrán ser ejecutados por las mismas, siempre que participen en procesos de licitación pública o contratación abreviada de acuerdo con lo dispuesto por los numerales 1 y 2 del presente artículo.</w:t>
      </w:r>
    </w:p>
    <w:p w14:paraId="130C6564" w14:textId="77777777" w:rsidR="00890E1B" w:rsidRPr="00B36BA8" w:rsidRDefault="00890E1B" w:rsidP="00890E1B">
      <w:pPr>
        <w:pStyle w:val="Textonotapie"/>
        <w:ind w:firstLine="709"/>
        <w:contextualSpacing/>
        <w:jc w:val="both"/>
        <w:rPr>
          <w:rFonts w:ascii="Verdana" w:hAnsi="Verdana" w:cs="Arial"/>
          <w:sz w:val="18"/>
          <w:szCs w:val="18"/>
        </w:rPr>
      </w:pPr>
    </w:p>
  </w:footnote>
  <w:footnote w:id="19">
    <w:p w14:paraId="5D9A66DF" w14:textId="77777777" w:rsidR="00890E1B" w:rsidRPr="00B36BA8" w:rsidRDefault="00890E1B" w:rsidP="00890E1B">
      <w:pPr>
        <w:pStyle w:val="Textonotapie"/>
        <w:ind w:firstLine="709"/>
        <w:contextualSpacing/>
        <w:jc w:val="both"/>
        <w:rPr>
          <w:rFonts w:ascii="Verdana" w:hAnsi="Verdana" w:cs="Arial"/>
          <w:sz w:val="18"/>
          <w:szCs w:val="18"/>
        </w:rPr>
      </w:pPr>
      <w:r w:rsidRPr="00B36BA8">
        <w:rPr>
          <w:rFonts w:ascii="Verdana" w:hAnsi="Verdana"/>
          <w:sz w:val="18"/>
          <w:szCs w:val="18"/>
          <w:vertAlign w:val="superscript"/>
        </w:rPr>
        <w:footnoteRef/>
      </w:r>
      <w:r w:rsidRPr="00B36BA8">
        <w:rPr>
          <w:rFonts w:ascii="Verdana" w:hAnsi="Verdana" w:cs="Arial"/>
          <w:sz w:val="18"/>
          <w:szCs w:val="18"/>
          <w:vertAlign w:val="superscript"/>
        </w:rPr>
        <w:t xml:space="preserve"> </w:t>
      </w:r>
      <w:r w:rsidRPr="00B36BA8">
        <w:rPr>
          <w:rFonts w:ascii="Verdana" w:hAnsi="Verdana" w:cs="Arial"/>
          <w:sz w:val="18"/>
          <w:szCs w:val="18"/>
        </w:rPr>
        <w:t>Ley 80 de 1993: “Artículo 41. Del perfeccionamiento del contrato. Los contratos del Estado se perfeccionan cuando se logre acuerdo sobre el objeto y la contraprestación y éste se eleve a escrito.</w:t>
      </w:r>
    </w:p>
    <w:p w14:paraId="07696609" w14:textId="77777777" w:rsidR="00890E1B" w:rsidRPr="00B36BA8" w:rsidRDefault="00890E1B" w:rsidP="00890E1B">
      <w:pPr>
        <w:pStyle w:val="Textonotapie"/>
        <w:ind w:firstLine="709"/>
        <w:contextualSpacing/>
        <w:jc w:val="both"/>
        <w:rPr>
          <w:rFonts w:ascii="Verdana" w:hAnsi="Verdana" w:cs="Arial"/>
          <w:sz w:val="18"/>
          <w:szCs w:val="18"/>
        </w:rPr>
      </w:pPr>
      <w:r w:rsidRPr="00B36BA8">
        <w:rPr>
          <w:rFonts w:ascii="Verdana" w:hAnsi="Verdana" w:cs="Arial"/>
          <w:sz w:val="18"/>
          <w:szCs w:val="18"/>
        </w:rPr>
        <w:t>[…]”.</w:t>
      </w:r>
    </w:p>
    <w:p w14:paraId="717C25C2" w14:textId="77777777" w:rsidR="00890E1B" w:rsidRPr="00B36BA8" w:rsidRDefault="00890E1B" w:rsidP="00890E1B">
      <w:pPr>
        <w:pStyle w:val="Textonotapie"/>
        <w:ind w:firstLine="709"/>
        <w:contextualSpacing/>
        <w:jc w:val="both"/>
        <w:rPr>
          <w:rFonts w:ascii="Verdana" w:hAnsi="Verdana" w:cs="Arial"/>
          <w:sz w:val="18"/>
          <w:szCs w:val="18"/>
        </w:rPr>
      </w:pPr>
    </w:p>
  </w:footnote>
  <w:footnote w:id="20">
    <w:p w14:paraId="42C1700C" w14:textId="77777777" w:rsidR="00890E1B" w:rsidRPr="00B36BA8" w:rsidRDefault="00890E1B" w:rsidP="00890E1B">
      <w:pPr>
        <w:pStyle w:val="Textonotapie"/>
        <w:ind w:firstLine="709"/>
        <w:contextualSpacing/>
        <w:jc w:val="both"/>
        <w:rPr>
          <w:rFonts w:ascii="Verdana" w:hAnsi="Verdana" w:cs="Arial"/>
          <w:sz w:val="18"/>
          <w:szCs w:val="18"/>
        </w:rPr>
      </w:pPr>
      <w:r w:rsidRPr="00B36BA8">
        <w:rPr>
          <w:rFonts w:ascii="Verdana" w:hAnsi="Verdana"/>
          <w:sz w:val="18"/>
          <w:szCs w:val="18"/>
          <w:vertAlign w:val="superscript"/>
        </w:rPr>
        <w:footnoteRef/>
      </w:r>
      <w:r w:rsidRPr="00B36BA8">
        <w:rPr>
          <w:rFonts w:ascii="Verdana" w:hAnsi="Verdana" w:cs="Arial"/>
          <w:sz w:val="18"/>
          <w:szCs w:val="18"/>
          <w:vertAlign w:val="superscript"/>
        </w:rPr>
        <w:t xml:space="preserve"> </w:t>
      </w:r>
      <w:r w:rsidRPr="00B36BA8">
        <w:rPr>
          <w:rFonts w:ascii="Verdana" w:hAnsi="Verdana" w:cs="Arial"/>
          <w:sz w:val="18"/>
          <w:szCs w:val="18"/>
        </w:rPr>
        <w:t>Código Civil: “Artículo 27. Cuando el sentido de la ley sea claro, no se desatenderá su tenor a pretexto de consultar su espíritu”.</w:t>
      </w:r>
    </w:p>
  </w:footnote>
  <w:footnote w:id="21">
    <w:p w14:paraId="11F45DD8" w14:textId="77777777" w:rsidR="00890E1B" w:rsidRPr="00B36BA8" w:rsidRDefault="00890E1B" w:rsidP="00890E1B">
      <w:pPr>
        <w:pStyle w:val="Textonotapie"/>
        <w:ind w:firstLine="709"/>
        <w:contextualSpacing/>
        <w:jc w:val="both"/>
        <w:rPr>
          <w:rFonts w:ascii="Verdana" w:hAnsi="Verdana"/>
          <w:sz w:val="18"/>
          <w:szCs w:val="18"/>
          <w:lang w:val="es-CO"/>
        </w:rPr>
      </w:pPr>
      <w:r w:rsidRPr="00B36BA8">
        <w:rPr>
          <w:rStyle w:val="Refdenotaalpie"/>
          <w:rFonts w:ascii="Verdana" w:hAnsi="Verdana"/>
          <w:sz w:val="18"/>
          <w:szCs w:val="18"/>
        </w:rPr>
        <w:footnoteRef/>
      </w:r>
      <w:r w:rsidRPr="00B36BA8">
        <w:rPr>
          <w:rFonts w:ascii="Verdana" w:hAnsi="Verdana"/>
          <w:sz w:val="18"/>
          <w:szCs w:val="18"/>
          <w:lang w:val="es-CO"/>
        </w:rPr>
        <w:t xml:space="preserve"> Consejo de Estado, Sección Tercera. Auto del 4 de octubre de 2024. Exp. 70.313. C.P: Fredy Ibarra Martínez.</w:t>
      </w:r>
    </w:p>
  </w:footnote>
  <w:footnote w:id="22">
    <w:p w14:paraId="66C0E702" w14:textId="77777777" w:rsidR="00890E1B" w:rsidRPr="00B36BA8" w:rsidRDefault="00890E1B" w:rsidP="00890E1B">
      <w:pPr>
        <w:pStyle w:val="Textonotapie"/>
        <w:ind w:firstLine="709"/>
        <w:contextualSpacing/>
        <w:jc w:val="both"/>
        <w:rPr>
          <w:rFonts w:ascii="Verdana" w:hAnsi="Verdana"/>
          <w:sz w:val="18"/>
          <w:szCs w:val="18"/>
          <w:lang w:val="es-CO"/>
        </w:rPr>
      </w:pPr>
      <w:r w:rsidRPr="00B36BA8">
        <w:rPr>
          <w:rStyle w:val="Refdenotaalpie"/>
          <w:rFonts w:ascii="Verdana" w:hAnsi="Verdana"/>
          <w:sz w:val="18"/>
          <w:szCs w:val="18"/>
        </w:rPr>
        <w:footnoteRef/>
      </w:r>
      <w:r w:rsidRPr="00B36BA8">
        <w:rPr>
          <w:rFonts w:ascii="Verdana" w:hAnsi="Verdana"/>
          <w:sz w:val="18"/>
          <w:szCs w:val="18"/>
        </w:rPr>
        <w:t xml:space="preserve"> La parte resolutiva del auto dispone lo siguiente; “</w:t>
      </w:r>
      <w:r w:rsidRPr="00B36BA8">
        <w:rPr>
          <w:rFonts w:ascii="Verdana" w:hAnsi="Verdana"/>
          <w:b/>
          <w:sz w:val="18"/>
          <w:szCs w:val="18"/>
          <w:lang w:val="es-CO"/>
        </w:rPr>
        <w:t xml:space="preserve">PRIMERO: DECRETAR </w:t>
      </w:r>
      <w:r w:rsidRPr="00B36BA8">
        <w:rPr>
          <w:rFonts w:ascii="Verdana" w:hAnsi="Verdana"/>
          <w:sz w:val="18"/>
          <w:szCs w:val="18"/>
          <w:lang w:val="es-CO"/>
        </w:rPr>
        <w:t xml:space="preserve">la suspensión provisional de los apartes cuestionados del inciso segundo del numeral 16.2 de la Circular Externa única, versión 3 del 27 de diciembre de 2023, expedida por la Agencia Nacional de Contratación Pública – Colombia Compra Eficiente, según el cual </w:t>
      </w:r>
      <w:r w:rsidRPr="00B36BA8">
        <w:rPr>
          <w:rFonts w:ascii="Verdana" w:hAnsi="Verdana"/>
          <w:i/>
          <w:sz w:val="18"/>
          <w:szCs w:val="18"/>
          <w:lang w:val="es-CO"/>
        </w:rPr>
        <w:t>“[e]sta restricción es aplicable (…)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w:t>
      </w:r>
      <w:r w:rsidRPr="00B36BA8">
        <w:rPr>
          <w:rFonts w:ascii="Verdana" w:hAnsi="Verdana"/>
          <w:sz w:val="18"/>
          <w:szCs w:val="18"/>
          <w:lang w:val="es-CO"/>
        </w:rPr>
        <w:t xml:space="preserve">, por las razones expuestas en precedencia. </w:t>
      </w:r>
    </w:p>
    <w:p w14:paraId="116B12C5" w14:textId="77777777" w:rsidR="00890E1B" w:rsidRPr="00B36BA8" w:rsidRDefault="00890E1B" w:rsidP="00890E1B">
      <w:pPr>
        <w:pStyle w:val="Textonotapie"/>
        <w:ind w:firstLine="709"/>
        <w:contextualSpacing/>
        <w:jc w:val="both"/>
        <w:rPr>
          <w:rFonts w:ascii="Verdana" w:hAnsi="Verdana"/>
          <w:sz w:val="18"/>
          <w:szCs w:val="18"/>
          <w:lang w:val="es-CO"/>
        </w:rPr>
      </w:pPr>
      <w:r w:rsidRPr="00B36BA8">
        <w:rPr>
          <w:rFonts w:ascii="Verdana" w:hAnsi="Verdana"/>
          <w:b/>
          <w:sz w:val="18"/>
          <w:szCs w:val="18"/>
          <w:lang w:val="es-CO"/>
        </w:rPr>
        <w:t xml:space="preserve">SEGUNDO: DECRETAR </w:t>
      </w:r>
      <w:r w:rsidRPr="00B36BA8">
        <w:rPr>
          <w:rFonts w:ascii="Verdana" w:hAnsi="Verdana"/>
          <w:sz w:val="18"/>
          <w:szCs w:val="18"/>
          <w:lang w:val="es-CO"/>
        </w:rPr>
        <w:t>la suspensión provisional de la expresión “</w:t>
      </w:r>
      <w:r w:rsidRPr="00B36BA8">
        <w:rPr>
          <w:rFonts w:ascii="Verdana" w:hAnsi="Verdana"/>
          <w:i/>
          <w:sz w:val="18"/>
          <w:szCs w:val="18"/>
          <w:lang w:val="es-CO"/>
        </w:rPr>
        <w:t>contratos</w:t>
      </w:r>
      <w:r w:rsidRPr="00B36BA8">
        <w:rPr>
          <w:rFonts w:ascii="Verdana" w:hAnsi="Verdana"/>
          <w:sz w:val="18"/>
          <w:szCs w:val="18"/>
          <w:lang w:val="es-CO"/>
        </w:rPr>
        <w:t xml:space="preserve">” y del párrafo </w:t>
      </w:r>
      <w:r w:rsidRPr="00B36BA8">
        <w:rPr>
          <w:rFonts w:ascii="Verdana" w:hAnsi="Verdana"/>
          <w:i/>
          <w:sz w:val="18"/>
          <w:szCs w:val="18"/>
          <w:lang w:val="es-CO"/>
        </w:rPr>
        <w:t>“[e]n este sentido, la prohibición que establece el parágrafo del artículo 38 de la Ley de Garantías consiste en evitar que los recursos del Estado se ejecuten para lograr apoyos indebidos mediante la suscripción de contratos (…) que, para efectos de la Ley de Garantías, tienen la misma connotación y propósito</w:t>
      </w:r>
      <w:r w:rsidRPr="00B36BA8">
        <w:rPr>
          <w:rFonts w:ascii="Verdana" w:hAnsi="Verdana"/>
          <w:sz w:val="18"/>
          <w:szCs w:val="18"/>
          <w:lang w:val="es-CO"/>
        </w:rPr>
        <w:t xml:space="preserve">”, contenidos en el inciso cuarto del numeral 16.2 de la Circular Externa única, versión 3 del 27 de diciembre de 2023, expedida por la Agencia Nacional de Contratación Pública – Colombia Compra Eficiente, por las razones expuestas de manera precedente”. Consejo de Estado, Sección Tercera. Auto del 6 de noviembre de 2025. Exp. 72.424. C.P: Fernando Alexei Pardo Florez. </w:t>
      </w:r>
    </w:p>
  </w:footnote>
  <w:footnote w:id="23">
    <w:p w14:paraId="53BBB747" w14:textId="77777777" w:rsidR="00890E1B" w:rsidRPr="00B36BA8" w:rsidRDefault="00890E1B" w:rsidP="00890E1B">
      <w:pPr>
        <w:spacing w:after="0" w:line="240" w:lineRule="auto"/>
        <w:ind w:firstLine="709"/>
        <w:contextualSpacing/>
        <w:jc w:val="both"/>
        <w:rPr>
          <w:rFonts w:ascii="Verdana" w:eastAsia="Times New Roman" w:hAnsi="Verdana" w:cs="Times New Roman"/>
          <w:sz w:val="18"/>
          <w:szCs w:val="18"/>
          <w:lang w:eastAsia="es-ES"/>
        </w:rPr>
      </w:pPr>
      <w:r w:rsidRPr="00B36BA8">
        <w:rPr>
          <w:rStyle w:val="Refdenotaalpie"/>
          <w:rFonts w:ascii="Verdana" w:hAnsi="Verdana"/>
          <w:sz w:val="18"/>
          <w:szCs w:val="18"/>
        </w:rPr>
        <w:footnoteRef/>
      </w:r>
      <w:r w:rsidRPr="00B36BA8">
        <w:rPr>
          <w:rFonts w:ascii="Verdana" w:hAnsi="Verdana"/>
          <w:sz w:val="18"/>
          <w:szCs w:val="18"/>
        </w:rPr>
        <w:t xml:space="preserve"> </w:t>
      </w:r>
      <w:r w:rsidRPr="00B36BA8">
        <w:rPr>
          <w:rFonts w:ascii="Verdana" w:eastAsia="Times New Roman" w:hAnsi="Verdana" w:cs="Times New Roman"/>
          <w:sz w:val="18"/>
          <w:szCs w:val="18"/>
          <w:lang w:eastAsia="es-ES"/>
        </w:rPr>
        <w:t xml:space="preserve">Consejo de Estado. Sala de lo Contencioso Administrativo. Sección Tercera. Subsección B. 17 de octubre de 2025. Magistrado Ponente: Fredy Ibarra Martínez.  </w:t>
      </w:r>
      <w:r w:rsidRPr="00B36BA8">
        <w:rPr>
          <w:rFonts w:ascii="Verdana" w:hAnsi="Verdana"/>
          <w:sz w:val="18"/>
          <w:szCs w:val="18"/>
        </w:rPr>
        <w:t xml:space="preserve">La parte de la providencia señala: </w:t>
      </w:r>
      <w:r w:rsidRPr="00B36BA8">
        <w:rPr>
          <w:rFonts w:ascii="Verdana" w:eastAsia="Times New Roman" w:hAnsi="Verdana" w:cs="Times New Roman"/>
          <w:sz w:val="18"/>
          <w:szCs w:val="18"/>
          <w:lang w:eastAsia="es-ES"/>
        </w:rPr>
        <w:t>Declárase la nulidad parcial del numeral 16.2 de la Circular Externa Única de 2022 expedida por la Agencia Nacional de Contratación Pública -Colombia Compra Eficiente-, concretamente, de los siguientes apartes normativos: i) el inciso tercero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ii) la expresión y el siguiente párrafo contenidos en el inciso quinto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w:t>
      </w:r>
    </w:p>
    <w:p w14:paraId="637302F8" w14:textId="77777777" w:rsidR="00890E1B" w:rsidRPr="00B36BA8" w:rsidRDefault="00890E1B" w:rsidP="00890E1B">
      <w:pPr>
        <w:spacing w:after="0" w:line="240" w:lineRule="auto"/>
        <w:ind w:firstLine="709"/>
        <w:contextualSpacing/>
        <w:jc w:val="both"/>
        <w:rPr>
          <w:rFonts w:ascii="Verdana" w:eastAsia="Times New Roman" w:hAnsi="Verdana" w:cs="Times New Roman"/>
          <w:sz w:val="18"/>
          <w:szCs w:val="18"/>
          <w:lang w:eastAsia="es-ES"/>
        </w:rPr>
      </w:pPr>
    </w:p>
  </w:footnote>
  <w:footnote w:id="24">
    <w:p w14:paraId="4E45DEAD" w14:textId="77777777" w:rsidR="00890E1B" w:rsidRPr="00454929" w:rsidRDefault="00890E1B" w:rsidP="00890E1B">
      <w:pPr>
        <w:pStyle w:val="Textonotapie"/>
        <w:ind w:firstLine="709"/>
        <w:rPr>
          <w:rFonts w:ascii="Verdana" w:hAnsi="Verdana"/>
          <w:sz w:val="16"/>
          <w:szCs w:val="16"/>
          <w:lang w:val="es-CO"/>
        </w:rPr>
      </w:pPr>
      <w:r w:rsidRPr="00B36BA8">
        <w:rPr>
          <w:rStyle w:val="Refdenotaalpie"/>
          <w:rFonts w:ascii="Verdana" w:hAnsi="Verdana"/>
          <w:sz w:val="18"/>
          <w:szCs w:val="18"/>
        </w:rPr>
        <w:footnoteRef/>
      </w:r>
      <w:r w:rsidRPr="00B36BA8">
        <w:rPr>
          <w:rFonts w:ascii="Verdana" w:hAnsi="Verdana"/>
          <w:sz w:val="18"/>
          <w:szCs w:val="18"/>
        </w:rPr>
        <w:t xml:space="preserve"> No obstante lo anterior, es importante mencionar que aún se encuentra por definir la demanda de nulidad simple, identificada con el Radicado número 11001-03-26-000-2025-00016-00, en la cual se cuestiona parcialmente el numeral 16.2 de la Circular Externa Única CCE-EICP-MA-06, Versión 03 del 27 de diciembre de 2023.</w:t>
      </w:r>
    </w:p>
  </w:footnote>
  <w:footnote w:id="25">
    <w:p w14:paraId="697C72FA" w14:textId="77777777" w:rsidR="00890E1B" w:rsidRPr="00B47839" w:rsidRDefault="00890E1B" w:rsidP="00890E1B">
      <w:pPr>
        <w:pStyle w:val="Textonotapie"/>
        <w:ind w:firstLine="708"/>
        <w:jc w:val="both"/>
        <w:rPr>
          <w:rFonts w:ascii="Verdana" w:hAnsi="Verdana" w:cs="Arial"/>
          <w:sz w:val="16"/>
          <w:szCs w:val="16"/>
        </w:rPr>
      </w:pPr>
      <w:r w:rsidRPr="00B47839">
        <w:rPr>
          <w:rStyle w:val="Refdenotaalpie"/>
          <w:rFonts w:ascii="Verdana" w:hAnsi="Verdana" w:cs="Arial"/>
          <w:sz w:val="16"/>
          <w:szCs w:val="16"/>
        </w:rPr>
        <w:footnoteRef/>
      </w:r>
      <w:r w:rsidRPr="00B47839">
        <w:rPr>
          <w:rFonts w:ascii="Verdana" w:hAnsi="Verdana" w:cs="Arial"/>
          <w:sz w:val="16"/>
          <w:szCs w:val="16"/>
        </w:rPr>
        <w:t xml:space="preserve"> Concepto del 3 de septiembre de 2019, con radicado No. 2201913000006512.</w:t>
      </w:r>
    </w:p>
    <w:p w14:paraId="6653E2BE" w14:textId="77777777" w:rsidR="00890E1B" w:rsidRPr="00B47839" w:rsidRDefault="00890E1B" w:rsidP="00890E1B">
      <w:pPr>
        <w:pStyle w:val="Textonotapie"/>
        <w:ind w:firstLine="708"/>
        <w:jc w:val="both"/>
        <w:rPr>
          <w:rFonts w:ascii="Verdana" w:hAnsi="Verdana" w:cs="Arial"/>
          <w:sz w:val="16"/>
          <w:szCs w:val="16"/>
        </w:rPr>
      </w:pPr>
    </w:p>
  </w:footnote>
  <w:footnote w:id="26">
    <w:p w14:paraId="3B2E91E1" w14:textId="77777777" w:rsidR="00890E1B" w:rsidRPr="00B47839" w:rsidRDefault="00890E1B" w:rsidP="00890E1B">
      <w:pPr>
        <w:pStyle w:val="Textonotapie"/>
        <w:ind w:firstLine="708"/>
        <w:jc w:val="both"/>
        <w:rPr>
          <w:rFonts w:ascii="Verdana" w:hAnsi="Verdana" w:cs="Arial"/>
          <w:sz w:val="16"/>
          <w:szCs w:val="16"/>
        </w:rPr>
      </w:pPr>
      <w:r w:rsidRPr="00B47839">
        <w:rPr>
          <w:rStyle w:val="Refdenotaalpie"/>
          <w:rFonts w:ascii="Verdana" w:hAnsi="Verdana" w:cs="Arial"/>
          <w:sz w:val="16"/>
          <w:szCs w:val="16"/>
        </w:rPr>
        <w:footnoteRef/>
      </w:r>
      <w:r w:rsidRPr="00B47839">
        <w:rPr>
          <w:rFonts w:ascii="Verdana" w:hAnsi="Verdana" w:cs="Arial"/>
          <w:sz w:val="16"/>
          <w:szCs w:val="16"/>
        </w:rPr>
        <w:t xml:space="preserve"> Sobre la naturaleza de los convenios de asociación, se reitera lo expuesto en el concepto del 19 de noviembre de 2019, con radicado No. 2201913000008611.</w:t>
      </w:r>
    </w:p>
  </w:footnote>
  <w:footnote w:id="27">
    <w:p w14:paraId="049F2C13" w14:textId="77777777" w:rsidR="00890E1B" w:rsidRPr="00B47839" w:rsidRDefault="00890E1B" w:rsidP="00890E1B">
      <w:pPr>
        <w:pStyle w:val="Textonotapie"/>
        <w:ind w:firstLine="708"/>
        <w:jc w:val="both"/>
        <w:rPr>
          <w:rFonts w:ascii="Verdana" w:hAnsi="Verdana" w:cs="Arial"/>
          <w:color w:val="000000" w:themeColor="text1"/>
          <w:sz w:val="16"/>
          <w:szCs w:val="16"/>
        </w:rPr>
      </w:pPr>
      <w:r w:rsidRPr="00B47839">
        <w:rPr>
          <w:rStyle w:val="Refdenotaalpie"/>
          <w:rFonts w:ascii="Verdana" w:hAnsi="Verdana" w:cs="Arial"/>
          <w:color w:val="000000" w:themeColor="text1"/>
          <w:sz w:val="16"/>
          <w:szCs w:val="16"/>
        </w:rPr>
        <w:footnoteRef/>
      </w:r>
      <w:r w:rsidRPr="00B47839">
        <w:rPr>
          <w:rFonts w:ascii="Verdana" w:hAnsi="Verdana" w:cs="Arial"/>
          <w:color w:val="000000" w:themeColor="text1"/>
          <w:sz w:val="16"/>
          <w:szCs w:val="16"/>
        </w:rPr>
        <w:t xml:space="preserve"> Cfr. Concepto del 21 de agosto de 2019, dictado dentro del radicado No. 2201913000006047.</w:t>
      </w:r>
    </w:p>
    <w:p w14:paraId="696A8561" w14:textId="77777777" w:rsidR="00890E1B" w:rsidRPr="00B47839" w:rsidRDefault="00890E1B" w:rsidP="00890E1B">
      <w:pPr>
        <w:pStyle w:val="Textonotapie"/>
        <w:ind w:firstLine="708"/>
        <w:jc w:val="both"/>
        <w:rPr>
          <w:rFonts w:ascii="Verdana" w:hAnsi="Verdana" w:cs="Arial"/>
          <w:color w:val="000000" w:themeColor="text1"/>
          <w:sz w:val="16"/>
          <w:szCs w:val="16"/>
        </w:rPr>
      </w:pPr>
    </w:p>
  </w:footnote>
  <w:footnote w:id="28">
    <w:p w14:paraId="368BC816" w14:textId="77777777" w:rsidR="00890E1B" w:rsidRPr="00B47839" w:rsidRDefault="00890E1B" w:rsidP="00890E1B">
      <w:pPr>
        <w:pStyle w:val="Textonotapie"/>
        <w:ind w:firstLine="708"/>
        <w:jc w:val="both"/>
        <w:rPr>
          <w:rFonts w:ascii="Verdana" w:hAnsi="Verdana" w:cs="Arial"/>
          <w:color w:val="000000" w:themeColor="text1"/>
          <w:sz w:val="16"/>
          <w:szCs w:val="16"/>
          <w:lang w:val="es-ES"/>
        </w:rPr>
      </w:pPr>
      <w:r w:rsidRPr="00B47839">
        <w:rPr>
          <w:rStyle w:val="Refdenotaalpie"/>
          <w:rFonts w:ascii="Verdana" w:hAnsi="Verdana" w:cs="Arial"/>
          <w:color w:val="000000" w:themeColor="text1"/>
          <w:sz w:val="16"/>
          <w:szCs w:val="16"/>
        </w:rPr>
        <w:footnoteRef/>
      </w:r>
      <w:r w:rsidRPr="00B47839">
        <w:rPr>
          <w:rFonts w:ascii="Verdana" w:hAnsi="Verdana" w:cs="Arial"/>
          <w:color w:val="000000" w:themeColor="text1"/>
          <w:sz w:val="16"/>
          <w:szCs w:val="16"/>
        </w:rPr>
        <w:t xml:space="preserve"> Concepto del 24 de febrero de 2005. Radicado:1626, C.P. Gloria Duque Hernández.</w:t>
      </w:r>
    </w:p>
  </w:footnote>
  <w:footnote w:id="29">
    <w:p w14:paraId="2B87B269" w14:textId="77777777" w:rsidR="00890E1B" w:rsidRPr="00B47839" w:rsidRDefault="00890E1B" w:rsidP="00890E1B">
      <w:pPr>
        <w:pStyle w:val="Textonotapie"/>
        <w:ind w:firstLine="708"/>
        <w:jc w:val="both"/>
        <w:rPr>
          <w:rFonts w:ascii="Verdana" w:hAnsi="Verdana" w:cs="Arial"/>
          <w:color w:val="000000" w:themeColor="text1"/>
          <w:sz w:val="16"/>
          <w:szCs w:val="16"/>
        </w:rPr>
      </w:pPr>
      <w:r w:rsidRPr="00B47839">
        <w:rPr>
          <w:rStyle w:val="Refdenotaalpie"/>
          <w:rFonts w:ascii="Verdana" w:hAnsi="Verdana" w:cs="Arial"/>
          <w:color w:val="000000" w:themeColor="text1"/>
          <w:sz w:val="16"/>
          <w:szCs w:val="16"/>
        </w:rPr>
        <w:footnoteRef/>
      </w:r>
      <w:r w:rsidRPr="00B47839">
        <w:rPr>
          <w:rFonts w:ascii="Verdana" w:hAnsi="Verdana" w:cs="Arial"/>
          <w:color w:val="000000" w:themeColor="text1"/>
          <w:sz w:val="16"/>
          <w:szCs w:val="16"/>
        </w:rPr>
        <w:t xml:space="preserve"> Decreto 092 de 2017, artículo 5: “[…] no estarán sujetos a competencia cuando la entidad sin ánimo de lucro comprometa recursos en dinero para la ejecución de esas actividades en una proporción no inferior al 30% del valor total del convenio. Los recursos que compromete la entidad sin ánimo de lucro pueden ser propios o de cooperación internacional”.</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85pt;height:11.8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341274352">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08"/>
  <w:hyphenationZone w:val="425"/>
  <w:characterSpacingControl w:val="doNotCompress"/>
  <w:hdrShapeDefaults>
    <o:shapedefaults v:ext="edit" spidmax="5121"/>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C2B92"/>
    <w:rsid w:val="000D0334"/>
    <w:rsid w:val="000D5DA7"/>
    <w:rsid w:val="000F6486"/>
    <w:rsid w:val="00116940"/>
    <w:rsid w:val="00125105"/>
    <w:rsid w:val="00127233"/>
    <w:rsid w:val="001400CD"/>
    <w:rsid w:val="0015699B"/>
    <w:rsid w:val="0018691B"/>
    <w:rsid w:val="001A04D1"/>
    <w:rsid w:val="001A33BF"/>
    <w:rsid w:val="001E4177"/>
    <w:rsid w:val="001F0B24"/>
    <w:rsid w:val="001F7DC6"/>
    <w:rsid w:val="0022400B"/>
    <w:rsid w:val="002421BB"/>
    <w:rsid w:val="0025796E"/>
    <w:rsid w:val="002630F1"/>
    <w:rsid w:val="002707A2"/>
    <w:rsid w:val="002731D9"/>
    <w:rsid w:val="00284A7F"/>
    <w:rsid w:val="002951A0"/>
    <w:rsid w:val="002962BC"/>
    <w:rsid w:val="002A0574"/>
    <w:rsid w:val="002A093D"/>
    <w:rsid w:val="002A0DD0"/>
    <w:rsid w:val="002A49AC"/>
    <w:rsid w:val="002A64FD"/>
    <w:rsid w:val="002C1DA9"/>
    <w:rsid w:val="002C7A84"/>
    <w:rsid w:val="002E2BF8"/>
    <w:rsid w:val="002E4FD9"/>
    <w:rsid w:val="002F77FD"/>
    <w:rsid w:val="0030657A"/>
    <w:rsid w:val="00322A85"/>
    <w:rsid w:val="00324168"/>
    <w:rsid w:val="00330834"/>
    <w:rsid w:val="003448F4"/>
    <w:rsid w:val="00374F5E"/>
    <w:rsid w:val="00377E3E"/>
    <w:rsid w:val="00382CF7"/>
    <w:rsid w:val="003A779E"/>
    <w:rsid w:val="003D0F4D"/>
    <w:rsid w:val="003D5B0D"/>
    <w:rsid w:val="003E0499"/>
    <w:rsid w:val="003E4F80"/>
    <w:rsid w:val="003E6439"/>
    <w:rsid w:val="003F3941"/>
    <w:rsid w:val="003F437E"/>
    <w:rsid w:val="00406575"/>
    <w:rsid w:val="00414C74"/>
    <w:rsid w:val="0042722E"/>
    <w:rsid w:val="0044528D"/>
    <w:rsid w:val="004513DD"/>
    <w:rsid w:val="00466E39"/>
    <w:rsid w:val="004A1847"/>
    <w:rsid w:val="004A305D"/>
    <w:rsid w:val="004A4F18"/>
    <w:rsid w:val="004F21C4"/>
    <w:rsid w:val="004F685F"/>
    <w:rsid w:val="0054026C"/>
    <w:rsid w:val="005566E8"/>
    <w:rsid w:val="00574867"/>
    <w:rsid w:val="00587F61"/>
    <w:rsid w:val="00591460"/>
    <w:rsid w:val="005A65E0"/>
    <w:rsid w:val="005C3777"/>
    <w:rsid w:val="005C5CDC"/>
    <w:rsid w:val="005D476C"/>
    <w:rsid w:val="005F4C77"/>
    <w:rsid w:val="006200BF"/>
    <w:rsid w:val="006219F8"/>
    <w:rsid w:val="006302F7"/>
    <w:rsid w:val="00646B9F"/>
    <w:rsid w:val="00665D70"/>
    <w:rsid w:val="00685ABA"/>
    <w:rsid w:val="006900D9"/>
    <w:rsid w:val="00706C16"/>
    <w:rsid w:val="0072359F"/>
    <w:rsid w:val="007340C3"/>
    <w:rsid w:val="0074223A"/>
    <w:rsid w:val="007443D5"/>
    <w:rsid w:val="0075235A"/>
    <w:rsid w:val="00756841"/>
    <w:rsid w:val="007649AB"/>
    <w:rsid w:val="00771D0C"/>
    <w:rsid w:val="007833AC"/>
    <w:rsid w:val="007A4F54"/>
    <w:rsid w:val="007B268C"/>
    <w:rsid w:val="007B7171"/>
    <w:rsid w:val="007C0C0F"/>
    <w:rsid w:val="007C3DC2"/>
    <w:rsid w:val="007E5497"/>
    <w:rsid w:val="007F4444"/>
    <w:rsid w:val="00806F5F"/>
    <w:rsid w:val="00820278"/>
    <w:rsid w:val="008258C9"/>
    <w:rsid w:val="00844AE9"/>
    <w:rsid w:val="00856071"/>
    <w:rsid w:val="00867F95"/>
    <w:rsid w:val="008767AE"/>
    <w:rsid w:val="008843B6"/>
    <w:rsid w:val="00886867"/>
    <w:rsid w:val="00890E1B"/>
    <w:rsid w:val="00891928"/>
    <w:rsid w:val="008A446D"/>
    <w:rsid w:val="008B25F1"/>
    <w:rsid w:val="008D0845"/>
    <w:rsid w:val="008D180B"/>
    <w:rsid w:val="008F0EA7"/>
    <w:rsid w:val="00904135"/>
    <w:rsid w:val="00923EEF"/>
    <w:rsid w:val="009419F9"/>
    <w:rsid w:val="009505BD"/>
    <w:rsid w:val="0095685E"/>
    <w:rsid w:val="00961B09"/>
    <w:rsid w:val="00965334"/>
    <w:rsid w:val="0097093E"/>
    <w:rsid w:val="00972822"/>
    <w:rsid w:val="009A0DFA"/>
    <w:rsid w:val="009A1C6F"/>
    <w:rsid w:val="009A4996"/>
    <w:rsid w:val="009B2D26"/>
    <w:rsid w:val="009C71FA"/>
    <w:rsid w:val="009C72E7"/>
    <w:rsid w:val="009C7F7E"/>
    <w:rsid w:val="009D3058"/>
    <w:rsid w:val="009E3E0D"/>
    <w:rsid w:val="009F3A13"/>
    <w:rsid w:val="00A122D3"/>
    <w:rsid w:val="00A14468"/>
    <w:rsid w:val="00A15559"/>
    <w:rsid w:val="00A17F13"/>
    <w:rsid w:val="00A20739"/>
    <w:rsid w:val="00A23AF9"/>
    <w:rsid w:val="00A33C78"/>
    <w:rsid w:val="00A538D4"/>
    <w:rsid w:val="00AB0ADB"/>
    <w:rsid w:val="00AB5073"/>
    <w:rsid w:val="00AC6809"/>
    <w:rsid w:val="00B00C0E"/>
    <w:rsid w:val="00B01B1A"/>
    <w:rsid w:val="00B0381D"/>
    <w:rsid w:val="00B10400"/>
    <w:rsid w:val="00B44A47"/>
    <w:rsid w:val="00B72CD3"/>
    <w:rsid w:val="00B72FFF"/>
    <w:rsid w:val="00BC3D36"/>
    <w:rsid w:val="00BD54A6"/>
    <w:rsid w:val="00BD7F72"/>
    <w:rsid w:val="00BE3625"/>
    <w:rsid w:val="00BF7425"/>
    <w:rsid w:val="00C04FB3"/>
    <w:rsid w:val="00C11D8B"/>
    <w:rsid w:val="00C15139"/>
    <w:rsid w:val="00C330EB"/>
    <w:rsid w:val="00C50D69"/>
    <w:rsid w:val="00C5365C"/>
    <w:rsid w:val="00C754BE"/>
    <w:rsid w:val="00C76B1C"/>
    <w:rsid w:val="00C925AC"/>
    <w:rsid w:val="00CB6357"/>
    <w:rsid w:val="00CC1B26"/>
    <w:rsid w:val="00CF7942"/>
    <w:rsid w:val="00D130A8"/>
    <w:rsid w:val="00D361FD"/>
    <w:rsid w:val="00D423A2"/>
    <w:rsid w:val="00D44E26"/>
    <w:rsid w:val="00D520D8"/>
    <w:rsid w:val="00D63AC2"/>
    <w:rsid w:val="00D7383B"/>
    <w:rsid w:val="00D7788A"/>
    <w:rsid w:val="00D903F5"/>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B15F2"/>
    <w:rsid w:val="00EC38A7"/>
    <w:rsid w:val="00EE1AA8"/>
    <w:rsid w:val="00EE3F37"/>
    <w:rsid w:val="00EF3065"/>
    <w:rsid w:val="00F23FEA"/>
    <w:rsid w:val="00F31EDC"/>
    <w:rsid w:val="00F462B3"/>
    <w:rsid w:val="00F5664F"/>
    <w:rsid w:val="00F666C4"/>
    <w:rsid w:val="00F76AFC"/>
    <w:rsid w:val="00FA47C0"/>
    <w:rsid w:val="00FB5DD1"/>
    <w:rsid w:val="00FC2B5D"/>
    <w:rsid w:val="00FC4B69"/>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5121"/>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5F4C77"/>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5F4C77"/>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www.colombiacompra.gov.co%2Fwp-content%2Fuploads%2F2025%2F05%2FGUIA-DE-LINEAMIENTOS-DE-TRANSPARENCIA-Y-SELECCION-OBJETIVA-1.0.pdf&amp;data=05%7C02%7Cximena.rios%40colombiacompra.gov.co%7C7cfff6dece924643582c08dd97bfed90%7C7b09041e245149d08cb179d5e3d8c1be%7C0%7C0%7C638833572792160509%7CUnknown%7CTWFpbGZsb3d8eyJFbXB0eU1hcGkiOnRydWUsIlYiOiIwLjAuMDAwMCIsIlAiOiJXaW4zMiIsIkFOIjoiTWFpbCIsIldUIjoyfQ%3D%3D%7C0%7C%7C%7C&amp;sdata=c9fXX0l2fbd%2FlYjjmEFFr2nh5svDqag5kY1fYvsSiKY%3D&amp;reserved=0"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relatoria.colombiacompra.gov.co/busqueda/conceptos"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A173D3D6-0FEC-4D65-9798-FFC1B31F3F6D}"/>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119</TotalTime>
  <Pages>27</Pages>
  <Words>8733</Words>
  <Characters>48037</Characters>
  <Application>Microsoft Office Word</Application>
  <DocSecurity>0</DocSecurity>
  <Lines>400</Lines>
  <Paragraphs>113</Paragraphs>
  <ScaleCrop>false</ScaleCrop>
  <Company/>
  <LinksUpToDate>false</LinksUpToDate>
  <CharactersWithSpaces>56657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Ximena Ríos López</cp:lastModifiedBy>
  <cp:revision>29</cp:revision>
  <cp:lastPrinted>2023-01-10T21:18:00Z</cp:lastPrinted>
  <dcterms:created xsi:type="dcterms:W3CDTF">2026-01-14T16:53:00Z</dcterms:created>
  <dcterms:modified xsi:type="dcterms:W3CDTF">2026-01-15T16:41:00Z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