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89"/>
      </w:tblGrid>
      <w:tr w:rsidR="00C40E7F" w:rsidRPr="00A00B1A" w14:paraId="53C3CA8C" w14:textId="77777777" w:rsidTr="00CD2BD9">
        <w:trPr>
          <w:trHeight w:val="884"/>
        </w:trPr>
        <w:tc>
          <w:tcPr>
            <w:tcW w:w="8789" w:type="dxa"/>
          </w:tcPr>
          <w:p w14:paraId="7E308A3B" w14:textId="72F036EF" w:rsidR="00C40E7F" w:rsidRPr="00A00B1A" w:rsidRDefault="00C40E7F" w:rsidP="00CD2BD9">
            <w:pPr>
              <w:spacing w:line="276" w:lineRule="auto"/>
              <w:jc w:val="both"/>
              <w:rPr>
                <w:rFonts w:ascii="Verdana" w:eastAsia="Times New Roman" w:hAnsi="Verdana" w:cs="Arial"/>
                <w:b/>
                <w:bCs/>
                <w:lang w:val="es-ES"/>
              </w:rPr>
            </w:pPr>
            <w:r w:rsidRPr="00A00B1A">
              <w:rPr>
                <w:rFonts w:ascii="Verdana" w:eastAsia="Times New Roman" w:hAnsi="Verdana" w:cs="Arial"/>
                <w:b/>
                <w:bCs/>
                <w:lang w:val="es-ES"/>
              </w:rPr>
              <w:t xml:space="preserve">MÍNIMA CUANTÍA– Selección objetiva </w:t>
            </w:r>
          </w:p>
          <w:p w14:paraId="2734016E" w14:textId="77777777" w:rsidR="00C40E7F" w:rsidRPr="00A00B1A" w:rsidRDefault="00C40E7F" w:rsidP="00CD2BD9">
            <w:pPr>
              <w:jc w:val="both"/>
              <w:rPr>
                <w:rFonts w:ascii="Verdana" w:eastAsia="Times New Roman" w:hAnsi="Verdana" w:cs="Arial"/>
                <w:lang w:val="es-ES"/>
              </w:rPr>
            </w:pPr>
          </w:p>
          <w:p w14:paraId="1127A684" w14:textId="6AD03092" w:rsidR="00C40E7F" w:rsidRPr="00A00B1A" w:rsidRDefault="00C40E7F" w:rsidP="00CD2BD9">
            <w:pPr>
              <w:jc w:val="both"/>
              <w:rPr>
                <w:rFonts w:ascii="Verdana" w:eastAsia="Times New Roman" w:hAnsi="Verdana" w:cs="Arial"/>
                <w:sz w:val="20"/>
                <w:szCs w:val="20"/>
                <w:lang w:val="es-ES"/>
              </w:rPr>
            </w:pPr>
            <w:r w:rsidRPr="00A00B1A">
              <w:rPr>
                <w:rFonts w:ascii="Verdana" w:eastAsia="Times New Roman" w:hAnsi="Verdana" w:cs="Arial"/>
                <w:sz w:val="20"/>
                <w:szCs w:val="20"/>
                <w:lang w:val="es-ES"/>
              </w:rPr>
              <w:t xml:space="preserve">En otras palabras, la mínima cuantía es un procedimiento de selección “especial”, porque deriva en una excepción a la regla general constituida por la licitación pública. Ciertamente, si bien ambas modalidades implican un llamado general a presentar ofertas, por parte de la Entidad Estatal interesada en contratar, la mínima cuantía es distinta a la licitación, cuando menos, en relación con su conducencia y su procedimiento: lo primero, debido a que solo procede por razón de una cuantía </w:t>
            </w:r>
            <w:proofErr w:type="gramStart"/>
            <w:r w:rsidRPr="00A00B1A">
              <w:rPr>
                <w:rFonts w:ascii="Verdana" w:eastAsia="Times New Roman" w:hAnsi="Verdana" w:cs="Arial"/>
                <w:sz w:val="20"/>
                <w:szCs w:val="20"/>
                <w:lang w:val="es-ES"/>
              </w:rPr>
              <w:t>específica  y</w:t>
            </w:r>
            <w:proofErr w:type="gramEnd"/>
            <w:r w:rsidRPr="00A00B1A">
              <w:rPr>
                <w:rFonts w:ascii="Verdana" w:eastAsia="Times New Roman" w:hAnsi="Verdana" w:cs="Arial"/>
                <w:sz w:val="20"/>
                <w:szCs w:val="20"/>
                <w:lang w:val="es-ES"/>
              </w:rPr>
              <w:t xml:space="preserve"> lo segundo, porque sus requisitos, etapas y términos son especiales.</w:t>
            </w:r>
          </w:p>
          <w:p w14:paraId="392BC95B" w14:textId="56163A89" w:rsidR="00C40E7F" w:rsidRDefault="00C40E7F" w:rsidP="00CD2BD9">
            <w:pPr>
              <w:spacing w:line="276" w:lineRule="auto"/>
              <w:jc w:val="both"/>
              <w:rPr>
                <w:rFonts w:ascii="Verdana" w:eastAsia="Times New Roman" w:hAnsi="Verdana" w:cs="Arial"/>
                <w:b/>
                <w:bCs/>
                <w:lang w:val="es-ES"/>
              </w:rPr>
            </w:pPr>
          </w:p>
          <w:p w14:paraId="5FD872C3" w14:textId="77777777" w:rsidR="00C40E7F" w:rsidRPr="00A00B1A" w:rsidRDefault="00C40E7F" w:rsidP="00CD2BD9">
            <w:pPr>
              <w:spacing w:line="276" w:lineRule="auto"/>
              <w:jc w:val="both"/>
              <w:rPr>
                <w:rFonts w:ascii="Verdana" w:eastAsia="Times New Roman" w:hAnsi="Verdana" w:cs="Arial"/>
                <w:b/>
                <w:bCs/>
                <w:lang w:val="es-ES"/>
              </w:rPr>
            </w:pPr>
            <w:r w:rsidRPr="00A00B1A">
              <w:rPr>
                <w:rFonts w:ascii="Verdana" w:eastAsia="Times New Roman" w:hAnsi="Verdana" w:cs="Arial"/>
                <w:b/>
                <w:bCs/>
                <w:lang w:val="es-ES"/>
              </w:rPr>
              <w:t xml:space="preserve">REQUISITO HABILITANTE DE EXPERIENCIA – Acreditación </w:t>
            </w:r>
          </w:p>
          <w:p w14:paraId="0DB7805B" w14:textId="77777777" w:rsidR="00C40E7F" w:rsidRPr="00A00B1A" w:rsidRDefault="00C40E7F" w:rsidP="00CD2BD9">
            <w:pPr>
              <w:spacing w:line="276" w:lineRule="auto"/>
              <w:jc w:val="both"/>
              <w:rPr>
                <w:rFonts w:ascii="Verdana" w:eastAsia="Times New Roman" w:hAnsi="Verdana" w:cs="Arial"/>
                <w:lang w:val="es-ES"/>
              </w:rPr>
            </w:pPr>
          </w:p>
        </w:tc>
      </w:tr>
    </w:tbl>
    <w:p w14:paraId="193E2C23" w14:textId="3D60EB0E" w:rsidR="00C40E7F" w:rsidRPr="00A00B1A" w:rsidRDefault="00C40E7F" w:rsidP="00C40E7F">
      <w:pPr>
        <w:pStyle w:val="paragraph"/>
        <w:spacing w:before="0" w:beforeAutospacing="0" w:after="0" w:afterAutospacing="0"/>
        <w:jc w:val="both"/>
        <w:textAlignment w:val="baseline"/>
        <w:rPr>
          <w:rStyle w:val="eop"/>
          <w:rFonts w:ascii="Verdana" w:hAnsi="Verdana" w:cs="Segoe UI"/>
          <w:sz w:val="20"/>
          <w:szCs w:val="20"/>
        </w:rPr>
      </w:pPr>
      <w:r w:rsidRPr="00A00B1A">
        <w:rPr>
          <w:rStyle w:val="eop"/>
          <w:rFonts w:ascii="Verdana" w:hAnsi="Verdana" w:cs="Segoe UI"/>
          <w:sz w:val="20"/>
          <w:szCs w:val="20"/>
        </w:rPr>
        <w:t>Así, la exigencia de experiencia mínima constituye un requisito habilitante que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w:t>
      </w:r>
    </w:p>
    <w:p w14:paraId="012FF4F0" w14:textId="77777777" w:rsidR="00C40E7F" w:rsidRPr="00484A10" w:rsidRDefault="00C40E7F" w:rsidP="00C40E7F">
      <w:pPr>
        <w:pStyle w:val="paragraph"/>
        <w:spacing w:before="0" w:beforeAutospacing="0" w:after="0" w:afterAutospacing="0"/>
        <w:jc w:val="both"/>
        <w:textAlignment w:val="baseline"/>
        <w:rPr>
          <w:rStyle w:val="eop"/>
          <w:rFonts w:ascii="Verdana" w:hAnsi="Verdana" w:cs="Segoe UI"/>
          <w:color w:val="6699FF"/>
          <w:sz w:val="20"/>
          <w:szCs w:val="20"/>
        </w:rPr>
      </w:pPr>
    </w:p>
    <w:p w14:paraId="27D453D6" w14:textId="77777777" w:rsidR="00C40E7F" w:rsidRPr="00A00B1A" w:rsidRDefault="00C40E7F" w:rsidP="00C40E7F">
      <w:pPr>
        <w:spacing w:line="276" w:lineRule="auto"/>
        <w:jc w:val="both"/>
        <w:rPr>
          <w:rFonts w:ascii="Verdana" w:eastAsia="Times New Roman" w:hAnsi="Verdana" w:cs="Arial"/>
          <w:b/>
          <w:bCs/>
          <w:lang w:val="es-ES"/>
        </w:rPr>
      </w:pPr>
      <w:r w:rsidRPr="00A00B1A">
        <w:rPr>
          <w:rFonts w:ascii="Verdana" w:eastAsia="Times New Roman" w:hAnsi="Verdana" w:cs="Arial"/>
          <w:b/>
          <w:bCs/>
          <w:lang w:val="es-ES"/>
        </w:rPr>
        <w:t>EXPERIENCIA</w:t>
      </w:r>
      <w:r>
        <w:rPr>
          <w:rFonts w:ascii="Verdana" w:eastAsia="Times New Roman" w:hAnsi="Verdana" w:cs="Arial"/>
          <w:b/>
          <w:bCs/>
          <w:lang w:val="es-ES"/>
        </w:rPr>
        <w:t xml:space="preserve"> </w:t>
      </w:r>
      <w:r w:rsidRPr="00A00B1A">
        <w:rPr>
          <w:rFonts w:ascii="Verdana" w:eastAsia="Times New Roman" w:hAnsi="Verdana" w:cs="Arial"/>
          <w:b/>
          <w:bCs/>
          <w:lang w:val="es-ES"/>
        </w:rPr>
        <w:t xml:space="preserve">– Acreditación – </w:t>
      </w:r>
      <w:r>
        <w:rPr>
          <w:rFonts w:ascii="Verdana" w:eastAsia="Times New Roman" w:hAnsi="Verdana" w:cs="Arial"/>
          <w:b/>
          <w:bCs/>
          <w:lang w:val="es-ES"/>
        </w:rPr>
        <w:t>E</w:t>
      </w:r>
      <w:r w:rsidRPr="00A00B1A">
        <w:rPr>
          <w:rFonts w:ascii="Verdana" w:eastAsia="Times New Roman" w:hAnsi="Verdana" w:cs="Arial"/>
          <w:b/>
          <w:bCs/>
          <w:lang w:val="es-ES"/>
        </w:rPr>
        <w:t xml:space="preserve">xperiencia mínima </w:t>
      </w:r>
    </w:p>
    <w:p w14:paraId="17A0F883" w14:textId="35EF8B1E" w:rsidR="00C40E7F" w:rsidRDefault="00C40E7F" w:rsidP="00C40E7F">
      <w:pPr>
        <w:spacing w:line="240" w:lineRule="auto"/>
        <w:jc w:val="both"/>
        <w:rPr>
          <w:rFonts w:ascii="Verdana" w:eastAsia="Times New Roman" w:hAnsi="Verdana" w:cs="Arial"/>
          <w:sz w:val="20"/>
          <w:szCs w:val="20"/>
        </w:rPr>
      </w:pPr>
      <w:r w:rsidRPr="00AB58EB">
        <w:rPr>
          <w:rFonts w:ascii="Verdana" w:eastAsia="Times New Roman" w:hAnsi="Verdana" w:cs="Arial"/>
          <w:sz w:val="20"/>
          <w:szCs w:val="20"/>
        </w:rPr>
        <w:t>Así, si bien las Entidades Estatales tienen la facultad de decidir si exigen experiencia mínima como requisito habilitante para un proceso de mínima cuantía, en virtud de los principios de transparencia y selección objetiva que rigen la contratación estatal es recomendable que con el objetivo de satisfacer la necesidad y los fines que busca la Entidad con la respectiva contratación, se establezcan en la etapa de planeación las condiciones de experiencia requeridas de forma proporcional a la naturaleza y el valor del contrato, teniendo en cuenta los riesgos identificados, las características del sector, así como la forma de acreditación de la misma como una herramienta para garantizar el cumplimiento del objeto y  la calidad de los bienes o servicios a adquirir.</w:t>
      </w:r>
    </w:p>
    <w:p w14:paraId="44514696" w14:textId="77777777" w:rsidR="00C40E7F" w:rsidRDefault="00C40E7F" w:rsidP="00C40E7F">
      <w:pPr>
        <w:spacing w:line="240" w:lineRule="auto"/>
        <w:jc w:val="both"/>
        <w:rPr>
          <w:rFonts w:ascii="Verdana" w:eastAsia="Times New Roman" w:hAnsi="Verdana" w:cs="Arial"/>
          <w:sz w:val="20"/>
          <w:szCs w:val="20"/>
        </w:rPr>
      </w:pPr>
    </w:p>
    <w:p w14:paraId="066EE6ED" w14:textId="77777777" w:rsidR="00C40E7F" w:rsidRDefault="00C40E7F" w:rsidP="00C40E7F">
      <w:pPr>
        <w:spacing w:line="240" w:lineRule="auto"/>
        <w:jc w:val="both"/>
        <w:rPr>
          <w:rFonts w:ascii="Verdana" w:eastAsia="Times New Roman" w:hAnsi="Verdana" w:cs="Arial"/>
          <w:sz w:val="20"/>
          <w:szCs w:val="20"/>
        </w:rPr>
      </w:pPr>
    </w:p>
    <w:p w14:paraId="2B8060C4" w14:textId="77777777" w:rsidR="00C40E7F" w:rsidRDefault="00C40E7F" w:rsidP="00C40E7F">
      <w:pPr>
        <w:spacing w:line="240" w:lineRule="auto"/>
        <w:jc w:val="both"/>
        <w:rPr>
          <w:rFonts w:ascii="Verdana" w:eastAsia="Times New Roman" w:hAnsi="Verdana" w:cs="Arial"/>
          <w:sz w:val="20"/>
          <w:szCs w:val="20"/>
        </w:rPr>
      </w:pPr>
    </w:p>
    <w:p w14:paraId="483C7E12" w14:textId="77777777" w:rsidR="00C40E7F" w:rsidRDefault="00C40E7F" w:rsidP="00C40E7F">
      <w:pPr>
        <w:spacing w:line="240" w:lineRule="auto"/>
        <w:jc w:val="both"/>
        <w:rPr>
          <w:rFonts w:ascii="Verdana" w:eastAsia="Times New Roman" w:hAnsi="Verdana" w:cs="Arial"/>
          <w:sz w:val="20"/>
          <w:szCs w:val="20"/>
        </w:rPr>
      </w:pPr>
    </w:p>
    <w:p w14:paraId="2130A35C" w14:textId="77777777" w:rsidR="00C40E7F" w:rsidRDefault="00C40E7F" w:rsidP="00C40E7F">
      <w:pPr>
        <w:spacing w:line="240" w:lineRule="auto"/>
        <w:jc w:val="both"/>
        <w:rPr>
          <w:rFonts w:ascii="Verdana" w:eastAsia="Times New Roman" w:hAnsi="Verdana" w:cs="Arial"/>
          <w:sz w:val="20"/>
          <w:szCs w:val="20"/>
        </w:rPr>
      </w:pPr>
    </w:p>
    <w:p w14:paraId="7AC261ED" w14:textId="77777777" w:rsidR="00C40E7F" w:rsidRDefault="00C40E7F" w:rsidP="00C40E7F">
      <w:pPr>
        <w:spacing w:line="240" w:lineRule="auto"/>
        <w:jc w:val="both"/>
        <w:rPr>
          <w:rFonts w:ascii="Verdana" w:eastAsia="Times New Roman" w:hAnsi="Verdana" w:cs="Arial"/>
          <w:sz w:val="20"/>
          <w:szCs w:val="20"/>
        </w:rPr>
      </w:pPr>
    </w:p>
    <w:p w14:paraId="6FD997C1" w14:textId="77777777" w:rsidR="00C40E7F" w:rsidRPr="00AB58EB" w:rsidRDefault="00C40E7F" w:rsidP="00C40E7F">
      <w:pPr>
        <w:spacing w:line="240" w:lineRule="auto"/>
        <w:jc w:val="both"/>
        <w:rPr>
          <w:rFonts w:ascii="Verdana" w:eastAsia="Times New Roman" w:hAnsi="Verdana" w:cs="Arial"/>
          <w:sz w:val="20"/>
          <w:szCs w:val="20"/>
        </w:rPr>
      </w:pPr>
    </w:p>
    <w:p w14:paraId="5A6D68D9" w14:textId="5B924C75" w:rsidR="00822223" w:rsidRPr="00484A10" w:rsidRDefault="00C40E7F" w:rsidP="00464EB6">
      <w:pPr>
        <w:spacing w:after="0"/>
        <w:rPr>
          <w:rFonts w:ascii="Verdana" w:hAnsi="Verdana"/>
        </w:rPr>
      </w:pPr>
      <w:r w:rsidRPr="001438F8">
        <w:rPr>
          <w:rFonts w:ascii="Verdana" w:eastAsia="Calibri" w:hAnsi="Verdana" w:cs="Arial"/>
          <w:b/>
          <w:lang w:val="it-IT" w:eastAsia="es-ES_tradnl"/>
        </w:rPr>
        <w:lastRenderedPageBreak/>
        <w:drawing>
          <wp:anchor distT="0" distB="0" distL="114300" distR="114300" simplePos="0" relativeHeight="251663360" behindDoc="0" locked="0" layoutInCell="1" allowOverlap="1" wp14:anchorId="5AE81ADF" wp14:editId="19378C64">
            <wp:simplePos x="0" y="0"/>
            <wp:positionH relativeFrom="margin">
              <wp:posOffset>3150870</wp:posOffset>
            </wp:positionH>
            <wp:positionV relativeFrom="margin">
              <wp:posOffset>16883</wp:posOffset>
            </wp:positionV>
            <wp:extent cx="2834005" cy="871220"/>
            <wp:effectExtent l="0" t="0" r="4445" b="5080"/>
            <wp:wrapSquare wrapText="bothSides"/>
            <wp:docPr id="25940706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0706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34005" cy="871220"/>
                    </a:xfrm>
                    <a:prstGeom prst="rect">
                      <a:avLst/>
                    </a:prstGeom>
                  </pic:spPr>
                </pic:pic>
              </a:graphicData>
            </a:graphic>
            <wp14:sizeRelH relativeFrom="margin">
              <wp14:pctWidth>0</wp14:pctWidth>
            </wp14:sizeRelH>
            <wp14:sizeRelV relativeFrom="margin">
              <wp14:pctHeight>0</wp14:pctHeight>
            </wp14:sizeRelV>
          </wp:anchor>
        </w:drawing>
      </w:r>
      <w:r w:rsidR="001438F8" w:rsidRPr="001438F8">
        <w:rPr>
          <w:rFonts w:ascii="Verdana" w:hAnsi="Verdana"/>
        </w:rPr>
        <w:t xml:space="preserve">Bogotá D.C., 12 </w:t>
      </w:r>
      <w:proofErr w:type="gramStart"/>
      <w:r w:rsidR="001438F8" w:rsidRPr="001438F8">
        <w:rPr>
          <w:rFonts w:ascii="Verdana" w:hAnsi="Verdana"/>
        </w:rPr>
        <w:t>Febrero</w:t>
      </w:r>
      <w:proofErr w:type="gramEnd"/>
      <w:r w:rsidR="001438F8" w:rsidRPr="001438F8">
        <w:rPr>
          <w:rFonts w:ascii="Verdana" w:hAnsi="Verdana"/>
        </w:rPr>
        <w:t xml:space="preserve"> 2026</w:t>
      </w:r>
    </w:p>
    <w:p w14:paraId="325C28FF" w14:textId="682EF55D" w:rsidR="00822223" w:rsidRPr="00484A10" w:rsidRDefault="00822223" w:rsidP="00822223">
      <w:pPr>
        <w:tabs>
          <w:tab w:val="left" w:pos="6279"/>
        </w:tabs>
        <w:spacing w:after="0" w:line="240" w:lineRule="auto"/>
        <w:jc w:val="both"/>
        <w:rPr>
          <w:rFonts w:ascii="Verdana" w:eastAsia="Calibri" w:hAnsi="Verdana" w:cs="Arial"/>
          <w:lang w:eastAsia="es-ES"/>
        </w:rPr>
      </w:pPr>
    </w:p>
    <w:p w14:paraId="149D8226" w14:textId="4B647344" w:rsidR="00822223" w:rsidRPr="00837495" w:rsidRDefault="00822223" w:rsidP="00822223">
      <w:pPr>
        <w:tabs>
          <w:tab w:val="left" w:pos="6279"/>
        </w:tabs>
        <w:spacing w:after="0" w:line="240" w:lineRule="auto"/>
        <w:jc w:val="both"/>
        <w:rPr>
          <w:rFonts w:ascii="Verdana" w:eastAsia="Calibri" w:hAnsi="Verdana" w:cs="Arial"/>
          <w:lang w:val="it-IT" w:eastAsia="es-ES"/>
        </w:rPr>
      </w:pPr>
      <w:r w:rsidRPr="00837495">
        <w:rPr>
          <w:rFonts w:ascii="Verdana" w:eastAsia="Calibri" w:hAnsi="Verdana" w:cs="Arial"/>
          <w:lang w:val="it-IT" w:eastAsia="es-ES"/>
        </w:rPr>
        <w:t>Señora</w:t>
      </w:r>
    </w:p>
    <w:p w14:paraId="7996B887" w14:textId="52928F5A" w:rsidR="00822223" w:rsidRPr="00837495" w:rsidRDefault="00822223" w:rsidP="00822223">
      <w:pPr>
        <w:spacing w:after="0" w:line="240" w:lineRule="auto"/>
        <w:jc w:val="both"/>
        <w:rPr>
          <w:rFonts w:ascii="Verdana" w:eastAsia="Calibri" w:hAnsi="Verdana" w:cs="Arial"/>
          <w:b/>
          <w:lang w:val="it-IT" w:eastAsia="es-ES_tradnl"/>
        </w:rPr>
      </w:pPr>
      <w:r w:rsidRPr="00837495">
        <w:rPr>
          <w:rFonts w:ascii="Verdana" w:eastAsia="Calibri" w:hAnsi="Verdana" w:cs="Arial"/>
          <w:b/>
          <w:lang w:val="it-IT" w:eastAsia="es-ES_tradnl"/>
        </w:rPr>
        <w:t xml:space="preserve">Sandra Yolima Velasco Martinez </w:t>
      </w:r>
    </w:p>
    <w:p w14:paraId="2632133F" w14:textId="2192B34E" w:rsidR="00822223" w:rsidRPr="00837495" w:rsidRDefault="00822223" w:rsidP="00822223">
      <w:pPr>
        <w:spacing w:after="0" w:line="240" w:lineRule="auto"/>
        <w:jc w:val="both"/>
        <w:rPr>
          <w:rFonts w:ascii="Verdana" w:hAnsi="Verdana"/>
          <w:lang w:val="it-IT"/>
        </w:rPr>
      </w:pPr>
      <w:hyperlink r:id="rId12" w:history="1">
        <w:r w:rsidRPr="00837495">
          <w:rPr>
            <w:rStyle w:val="Hipervnculo"/>
            <w:rFonts w:ascii="Verdana" w:hAnsi="Verdana"/>
            <w:lang w:val="it-IT"/>
          </w:rPr>
          <w:t>contratacion.juridica.sv@gmail.com</w:t>
        </w:r>
      </w:hyperlink>
    </w:p>
    <w:p w14:paraId="6A1929A2" w14:textId="3F6322B9" w:rsidR="00822223" w:rsidRPr="00484A10" w:rsidRDefault="00822223" w:rsidP="00822223">
      <w:pPr>
        <w:spacing w:after="0" w:line="240" w:lineRule="auto"/>
        <w:jc w:val="both"/>
        <w:rPr>
          <w:rFonts w:ascii="Verdana" w:hAnsi="Verdana"/>
        </w:rPr>
      </w:pPr>
      <w:r w:rsidRPr="00484A10">
        <w:rPr>
          <w:rFonts w:ascii="Verdana" w:hAnsi="Verdana"/>
        </w:rPr>
        <w:t>Piedecuesta, Santander.</w:t>
      </w:r>
    </w:p>
    <w:p w14:paraId="625F0C35" w14:textId="2BE9524B" w:rsidR="00822223" w:rsidRPr="00484A10" w:rsidRDefault="00822223" w:rsidP="00822223">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22223" w:rsidRPr="00484A10" w14:paraId="127B5C4F" w14:textId="77777777">
        <w:trPr>
          <w:trHeight w:val="481"/>
        </w:trPr>
        <w:tc>
          <w:tcPr>
            <w:tcW w:w="3119" w:type="dxa"/>
          </w:tcPr>
          <w:p w14:paraId="73643DB8" w14:textId="77777777" w:rsidR="00822223" w:rsidRPr="00474461" w:rsidRDefault="00822223">
            <w:pPr>
              <w:jc w:val="both"/>
              <w:rPr>
                <w:rFonts w:ascii="Verdana" w:eastAsia="Calibri" w:hAnsi="Verdana" w:cs="Arial"/>
                <w:b/>
                <w:bCs/>
                <w:lang w:val="it-CH" w:eastAsia="es-ES_tradnl"/>
              </w:rPr>
            </w:pPr>
          </w:p>
        </w:tc>
        <w:tc>
          <w:tcPr>
            <w:tcW w:w="5670" w:type="dxa"/>
          </w:tcPr>
          <w:p w14:paraId="67A0AE55" w14:textId="77777777" w:rsidR="00822223" w:rsidRPr="00484A10" w:rsidRDefault="00822223">
            <w:pPr>
              <w:jc w:val="both"/>
              <w:rPr>
                <w:rFonts w:ascii="Verdana" w:eastAsia="Calibri" w:hAnsi="Verdana" w:cs="Arial"/>
                <w:b/>
                <w:bCs/>
                <w:lang w:eastAsia="es-ES"/>
              </w:rPr>
            </w:pPr>
            <w:r w:rsidRPr="00484A10">
              <w:rPr>
                <w:rFonts w:ascii="Verdana" w:eastAsia="Calibri" w:hAnsi="Verdana" w:cs="Arial"/>
                <w:b/>
                <w:bCs/>
                <w:lang w:eastAsia="es-ES"/>
              </w:rPr>
              <w:t>Concepto C- 003 de 2026</w:t>
            </w:r>
          </w:p>
          <w:p w14:paraId="1A4CE1B3" w14:textId="77777777" w:rsidR="00822223" w:rsidRPr="00484A10" w:rsidRDefault="00822223">
            <w:pPr>
              <w:jc w:val="both"/>
              <w:rPr>
                <w:rFonts w:ascii="Verdana" w:eastAsia="Calibri" w:hAnsi="Verdana" w:cs="Arial"/>
                <w:b/>
                <w:bCs/>
                <w:lang w:eastAsia="es-ES"/>
              </w:rPr>
            </w:pPr>
          </w:p>
        </w:tc>
      </w:tr>
      <w:tr w:rsidR="00822223" w:rsidRPr="00484A10" w14:paraId="7251083C" w14:textId="77777777">
        <w:trPr>
          <w:trHeight w:val="884"/>
        </w:trPr>
        <w:tc>
          <w:tcPr>
            <w:tcW w:w="3119" w:type="dxa"/>
          </w:tcPr>
          <w:p w14:paraId="2190F2BB" w14:textId="77777777" w:rsidR="00822223" w:rsidRPr="00474461" w:rsidRDefault="00822223">
            <w:pPr>
              <w:jc w:val="both"/>
              <w:rPr>
                <w:rFonts w:ascii="Verdana" w:eastAsia="Calibri" w:hAnsi="Verdana" w:cs="Arial"/>
                <w:lang w:eastAsia="es-ES_tradnl"/>
              </w:rPr>
            </w:pPr>
            <w:r w:rsidRPr="00474461">
              <w:rPr>
                <w:rFonts w:ascii="Verdana" w:eastAsia="Calibri" w:hAnsi="Verdana" w:cs="Arial"/>
                <w:b/>
                <w:lang w:eastAsia="es-ES_tradnl"/>
              </w:rPr>
              <w:t>Temas:</w:t>
            </w:r>
            <w:r w:rsidRPr="00474461">
              <w:rPr>
                <w:rFonts w:ascii="Verdana" w:eastAsia="Calibri" w:hAnsi="Verdana" w:cs="Arial"/>
                <w:lang w:eastAsia="es-ES_tradnl"/>
              </w:rPr>
              <w:t xml:space="preserve">                   </w:t>
            </w:r>
          </w:p>
        </w:tc>
        <w:tc>
          <w:tcPr>
            <w:tcW w:w="5670" w:type="dxa"/>
          </w:tcPr>
          <w:p w14:paraId="50BCB3F8" w14:textId="3C30D9C7" w:rsidR="00822223" w:rsidRPr="00D67FF7" w:rsidRDefault="00822223">
            <w:pPr>
              <w:pStyle w:val="paragraph"/>
              <w:spacing w:before="0" w:beforeAutospacing="0" w:after="0" w:afterAutospacing="0"/>
              <w:jc w:val="both"/>
              <w:textAlignment w:val="baseline"/>
              <w:rPr>
                <w:rFonts w:ascii="Verdana" w:hAnsi="Verdana" w:cs="Segoe UI"/>
                <w:color w:val="6699FF"/>
                <w:sz w:val="22"/>
                <w:szCs w:val="22"/>
              </w:rPr>
            </w:pPr>
            <w:r w:rsidRPr="00D67FF7">
              <w:rPr>
                <w:rFonts w:ascii="Verdana" w:hAnsi="Verdana" w:cs="Arial"/>
                <w:sz w:val="22"/>
                <w:szCs w:val="22"/>
                <w:lang w:val="es-ES"/>
              </w:rPr>
              <w:t xml:space="preserve">MÍNIMA CUANTÍA– Selección objetiva – experiencia mínima / REQUISITO HABILITANTE DE EXPERIENCIA – Acreditación / EXPERIENCIA – Acreditación – Experiencia mínima </w:t>
            </w:r>
          </w:p>
        </w:tc>
      </w:tr>
      <w:tr w:rsidR="00822223" w:rsidRPr="00484A10" w14:paraId="2294A2B6" w14:textId="77777777">
        <w:trPr>
          <w:trHeight w:val="226"/>
        </w:trPr>
        <w:tc>
          <w:tcPr>
            <w:tcW w:w="3119" w:type="dxa"/>
          </w:tcPr>
          <w:p w14:paraId="29B5C927" w14:textId="77777777" w:rsidR="00822223" w:rsidRPr="00474461" w:rsidRDefault="00822223">
            <w:pPr>
              <w:jc w:val="both"/>
              <w:rPr>
                <w:rFonts w:ascii="Verdana" w:eastAsia="Calibri" w:hAnsi="Verdana" w:cs="Arial"/>
                <w:b/>
                <w:lang w:eastAsia="es-ES_tradnl"/>
              </w:rPr>
            </w:pPr>
            <w:r w:rsidRPr="00474461">
              <w:rPr>
                <w:rFonts w:ascii="Verdana" w:eastAsia="Calibri" w:hAnsi="Verdana" w:cs="Arial"/>
                <w:b/>
                <w:lang w:eastAsia="es-ES_tradnl"/>
              </w:rPr>
              <w:t>Radicación:</w:t>
            </w:r>
            <w:r w:rsidRPr="00474461">
              <w:rPr>
                <w:rFonts w:ascii="Verdana" w:eastAsia="Calibri" w:hAnsi="Verdana" w:cs="Arial"/>
                <w:lang w:eastAsia="es-ES_tradnl"/>
              </w:rPr>
              <w:t xml:space="preserve">               </w:t>
            </w:r>
          </w:p>
        </w:tc>
        <w:tc>
          <w:tcPr>
            <w:tcW w:w="5670" w:type="dxa"/>
          </w:tcPr>
          <w:p w14:paraId="3DF2B19D" w14:textId="77777777" w:rsidR="00822223" w:rsidRPr="00D67FF7" w:rsidRDefault="00822223">
            <w:pPr>
              <w:jc w:val="both"/>
              <w:rPr>
                <w:rFonts w:ascii="Verdana" w:eastAsia="Calibri" w:hAnsi="Verdana" w:cs="Arial"/>
                <w:lang w:eastAsia="es-ES_tradnl"/>
              </w:rPr>
            </w:pPr>
            <w:r w:rsidRPr="00D67FF7">
              <w:rPr>
                <w:rFonts w:ascii="Verdana" w:eastAsia="Calibri" w:hAnsi="Verdana" w:cs="Arial"/>
                <w:lang w:eastAsia="es-ES_tradnl"/>
              </w:rPr>
              <w:t>Respuesta a consultas con radicado No. 1_2026_01_02_000024</w:t>
            </w:r>
          </w:p>
        </w:tc>
      </w:tr>
    </w:tbl>
    <w:p w14:paraId="2C13D00B" w14:textId="77777777" w:rsidR="00822223" w:rsidRPr="00484A10" w:rsidRDefault="00822223" w:rsidP="003F6FAA">
      <w:pPr>
        <w:spacing w:after="0" w:line="276" w:lineRule="auto"/>
        <w:jc w:val="both"/>
        <w:rPr>
          <w:rFonts w:ascii="Verdana" w:eastAsia="Calibri" w:hAnsi="Verdana" w:cs="Arial"/>
          <w:lang w:eastAsia="es-ES"/>
        </w:rPr>
      </w:pPr>
    </w:p>
    <w:p w14:paraId="0F20F2C4" w14:textId="77777777" w:rsidR="00822223" w:rsidRPr="00484A10" w:rsidRDefault="00822223" w:rsidP="00822223">
      <w:pPr>
        <w:spacing w:after="0" w:line="276" w:lineRule="auto"/>
        <w:jc w:val="both"/>
        <w:rPr>
          <w:rFonts w:ascii="Verdana" w:eastAsia="Calibri" w:hAnsi="Verdana" w:cs="Arial"/>
          <w:lang w:eastAsia="es-ES"/>
        </w:rPr>
      </w:pPr>
      <w:r w:rsidRPr="00484A10">
        <w:rPr>
          <w:rFonts w:ascii="Verdana" w:eastAsia="Calibri" w:hAnsi="Verdana" w:cs="Arial"/>
          <w:lang w:eastAsia="es-ES"/>
        </w:rPr>
        <w:t xml:space="preserve">Estimada señora </w:t>
      </w:r>
      <w:r w:rsidRPr="00484A10">
        <w:rPr>
          <w:rFonts w:ascii="Verdana" w:eastAsia="Calibri" w:hAnsi="Verdana" w:cs="Arial"/>
          <w:lang w:eastAsia="es-ES_tradnl"/>
        </w:rPr>
        <w:t>Sandra Yolima</w:t>
      </w:r>
      <w:r w:rsidRPr="00484A10">
        <w:rPr>
          <w:rFonts w:ascii="Verdana" w:eastAsia="Calibri" w:hAnsi="Verdana" w:cs="Arial"/>
          <w:lang w:eastAsia="es-ES"/>
        </w:rPr>
        <w:t xml:space="preserve">, cordial saludo: </w:t>
      </w:r>
    </w:p>
    <w:p w14:paraId="7E0E0897" w14:textId="77777777" w:rsidR="00822223" w:rsidRPr="00484A10" w:rsidRDefault="00822223" w:rsidP="00822223">
      <w:pPr>
        <w:spacing w:after="0" w:line="276" w:lineRule="auto"/>
        <w:jc w:val="both"/>
        <w:rPr>
          <w:rFonts w:ascii="Verdana" w:eastAsia="Calibri" w:hAnsi="Verdana" w:cs="Arial"/>
          <w:lang w:eastAsia="es-ES"/>
        </w:rPr>
      </w:pPr>
    </w:p>
    <w:p w14:paraId="7B6C7C51" w14:textId="5D4F5CBF" w:rsidR="00822223" w:rsidRPr="00484A10" w:rsidRDefault="00822223" w:rsidP="00822223">
      <w:pPr>
        <w:tabs>
          <w:tab w:val="left" w:pos="3768"/>
        </w:tabs>
        <w:spacing w:after="0" w:line="276" w:lineRule="auto"/>
        <w:jc w:val="both"/>
        <w:rPr>
          <w:rFonts w:ascii="Verdana" w:eastAsia="Calibri" w:hAnsi="Verdana" w:cs="Arial"/>
          <w:lang w:eastAsia="es-ES"/>
        </w:rPr>
      </w:pPr>
      <w:r w:rsidRPr="00484A10">
        <w:rPr>
          <w:rFonts w:ascii="Verdana" w:eastAsia="Calibri" w:hAnsi="Verdana" w:cs="Arial"/>
          <w:lang w:eastAsia="es-ES"/>
        </w:rPr>
        <w:t>En ejercicio de la competencia otorgada por los artículos 3, numeral 5º, y 11, numeral 8º, del Decreto Ley 4170 de 2011,</w:t>
      </w:r>
      <w:r w:rsidRPr="00484A10">
        <w:rPr>
          <w:rFonts w:ascii="Verdana" w:eastAsia="Arial MT" w:hAnsi="Verdana" w:cs="Arial MT"/>
          <w:lang w:eastAsia="es-ES"/>
        </w:rPr>
        <w:t xml:space="preserve"> </w:t>
      </w:r>
      <w:r w:rsidRPr="00484A10">
        <w:rPr>
          <w:rFonts w:ascii="Verdana" w:hAnsi="Verdana" w:cs="Arial"/>
        </w:rPr>
        <w:t xml:space="preserve">así como lo establecido en la Resolución 469 de 2025 expedida por esta Entidad, </w:t>
      </w:r>
      <w:r w:rsidRPr="00484A10">
        <w:rPr>
          <w:rFonts w:ascii="Verdana" w:eastAsia="Calibri" w:hAnsi="Verdana" w:cs="Arial"/>
          <w:lang w:eastAsia="es-ES"/>
        </w:rPr>
        <w:t xml:space="preserve">la Agencia Nacional de Contratación Pública – Colombia Compra Eficiente– responde su solicitud de consulta de fecha </w:t>
      </w:r>
      <w:r w:rsidRPr="006E434F">
        <w:rPr>
          <w:rFonts w:ascii="Verdana" w:eastAsia="Calibri" w:hAnsi="Verdana" w:cs="Arial"/>
          <w:lang w:eastAsia="es-ES"/>
        </w:rPr>
        <w:t>02 de enero 2026</w:t>
      </w:r>
      <w:r w:rsidRPr="00484A10">
        <w:rPr>
          <w:rFonts w:ascii="Verdana" w:eastAsia="Calibri" w:hAnsi="Verdana" w:cs="Arial"/>
          <w:lang w:eastAsia="es-ES"/>
        </w:rPr>
        <w:t xml:space="preserve">, en la cual manifiesta lo siguiente: </w:t>
      </w:r>
    </w:p>
    <w:p w14:paraId="0BEA2C2F" w14:textId="77777777" w:rsidR="00822223" w:rsidRPr="006E434F" w:rsidRDefault="00822223" w:rsidP="00822223">
      <w:pPr>
        <w:spacing w:after="0" w:line="240" w:lineRule="auto"/>
        <w:ind w:right="709"/>
        <w:jc w:val="both"/>
        <w:rPr>
          <w:rFonts w:ascii="Verdana" w:eastAsia="Century Gothic" w:hAnsi="Verdana" w:cs="Century Gothic"/>
          <w:sz w:val="20"/>
          <w:szCs w:val="20"/>
        </w:rPr>
      </w:pPr>
    </w:p>
    <w:p w14:paraId="31ADCB2F" w14:textId="77777777" w:rsidR="00822223" w:rsidRPr="006E434F" w:rsidRDefault="00822223" w:rsidP="00822223">
      <w:pPr>
        <w:tabs>
          <w:tab w:val="left" w:pos="1560"/>
        </w:tabs>
        <w:spacing w:after="0" w:line="240" w:lineRule="auto"/>
        <w:ind w:left="709" w:right="709"/>
        <w:jc w:val="both"/>
        <w:rPr>
          <w:rFonts w:ascii="Verdana" w:eastAsia="Century Gothic" w:hAnsi="Verdana" w:cs="Century Gothic"/>
          <w:i/>
          <w:iCs/>
          <w:sz w:val="20"/>
          <w:szCs w:val="20"/>
        </w:rPr>
      </w:pPr>
      <w:r w:rsidRPr="006E434F">
        <w:rPr>
          <w:rFonts w:ascii="Verdana" w:eastAsia="Century Gothic" w:hAnsi="Verdana" w:cs="Century Gothic"/>
          <w:i/>
          <w:iCs/>
          <w:sz w:val="20"/>
          <w:szCs w:val="20"/>
        </w:rPr>
        <w:t>“[…] SOLICITO AMABLEMENTE ME DEN UN CONCEPTO PUNTUAL Y CONCRETO SOBRE LA SIGUIENTE CUESTIÓN QUE ESTA SUCEDIENDO EN MÚLTIPLES PROCESOS DE CONTRATACIÓN ACTUALMENTE:</w:t>
      </w:r>
    </w:p>
    <w:p w14:paraId="7358A82E" w14:textId="77777777" w:rsidR="00822223" w:rsidRPr="006E434F" w:rsidRDefault="00822223" w:rsidP="00822223">
      <w:pPr>
        <w:tabs>
          <w:tab w:val="left" w:pos="1560"/>
        </w:tabs>
        <w:spacing w:after="0" w:line="240" w:lineRule="auto"/>
        <w:ind w:left="709" w:right="709"/>
        <w:jc w:val="both"/>
        <w:rPr>
          <w:rFonts w:ascii="Verdana" w:eastAsia="Century Gothic" w:hAnsi="Verdana" w:cs="Century Gothic"/>
          <w:i/>
          <w:iCs/>
          <w:sz w:val="20"/>
          <w:szCs w:val="20"/>
        </w:rPr>
      </w:pPr>
    </w:p>
    <w:p w14:paraId="2B38F24F" w14:textId="77777777" w:rsidR="00822223" w:rsidRPr="006E434F" w:rsidRDefault="00822223" w:rsidP="00822223">
      <w:pPr>
        <w:tabs>
          <w:tab w:val="left" w:pos="1560"/>
        </w:tabs>
        <w:spacing w:after="0" w:line="240" w:lineRule="auto"/>
        <w:ind w:left="709" w:right="709"/>
        <w:jc w:val="both"/>
        <w:rPr>
          <w:rFonts w:ascii="Verdana" w:eastAsia="Century Gothic" w:hAnsi="Verdana" w:cs="Century Gothic"/>
          <w:i/>
          <w:iCs/>
          <w:sz w:val="20"/>
          <w:szCs w:val="20"/>
        </w:rPr>
      </w:pPr>
      <w:r w:rsidRPr="006E434F">
        <w:rPr>
          <w:rFonts w:ascii="Verdana" w:eastAsia="Century Gothic" w:hAnsi="Verdana" w:cs="Century Gothic"/>
          <w:i/>
          <w:iCs/>
          <w:sz w:val="20"/>
          <w:szCs w:val="20"/>
        </w:rPr>
        <w:t>SI UNA EMPRESA SE CONSTITUYE RECIENTEMENTE, ES DECIR, TIENE MENOS DE TRES (03) AÑOS DE CREACIÓN Y PRETENDE ACREDITAR LA EXPERIENCIA DE UNO DE SUS SOCIOS O ACCIONISTAS, PARA PARTICIPAR EN PROCESOS DE SELECCIÓN DE MINIMA CUANTÍA EN LOS QUE NO SE EXIGE EL REQUISITO DEL REGISTRO ÚNICO DE PROPONENTES - RUP, ¿DEBE NECESARIAMENTE REGISTRAR EN EL RUP LA EXPERIENCIA DEL SOCIO O ACCIONISTA PARA QUE SEA VÁLIDA EN EL PROCESO DE SELECCIÓN PESE A SER UNA MINIMA CUANTÍA QUE NO LO EXIGE? O ¿BASTARÍA CON QUE SE ACREDITE LA CALIDAD DE SOCIO O ACCIONISTA DE QUIEN PRESENTA LA EXPERIENCIA AL NO SER EL RUP UN REQUISITO OBLIGATORIO EN LOS PROCESOS DE SELECCIÓN DE MÍNIMA CUANTÍA?”</w:t>
      </w:r>
    </w:p>
    <w:p w14:paraId="42B49571" w14:textId="77777777" w:rsidR="00822223" w:rsidRPr="006E434F" w:rsidRDefault="00822223" w:rsidP="00822223">
      <w:pPr>
        <w:spacing w:before="120" w:after="0" w:line="276" w:lineRule="auto"/>
        <w:ind w:firstLine="709"/>
        <w:jc w:val="both"/>
        <w:rPr>
          <w:rFonts w:ascii="Verdana" w:eastAsia="Calibri" w:hAnsi="Verdana" w:cs="Arial"/>
          <w:szCs w:val="24"/>
          <w:lang w:eastAsia="es-ES_tradnl"/>
        </w:rPr>
      </w:pPr>
      <w:r w:rsidRPr="006E434F">
        <w:rPr>
          <w:rFonts w:ascii="Verdana" w:eastAsia="Calibri" w:hAnsi="Verdana" w:cs="Arial"/>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4D5FA9A" w14:textId="77777777" w:rsidR="00822223" w:rsidRPr="006E434F" w:rsidRDefault="00822223" w:rsidP="00822223">
      <w:pPr>
        <w:spacing w:before="120" w:after="0" w:line="276" w:lineRule="auto"/>
        <w:ind w:firstLine="709"/>
        <w:jc w:val="both"/>
        <w:rPr>
          <w:rFonts w:ascii="Verdana" w:eastAsia="Calibri" w:hAnsi="Verdana" w:cs="Arial"/>
          <w:lang w:eastAsia="es-ES"/>
        </w:rPr>
      </w:pPr>
      <w:r w:rsidRPr="006E434F">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FFBA4A9" w14:textId="77777777" w:rsidR="00822223" w:rsidRPr="006E434F" w:rsidRDefault="00822223" w:rsidP="00822223">
      <w:pPr>
        <w:spacing w:after="0"/>
        <w:jc w:val="both"/>
        <w:rPr>
          <w:rFonts w:ascii="Verdana" w:eastAsia="Calibri" w:hAnsi="Verdana" w:cs="Arial"/>
          <w:lang w:eastAsia="es-ES"/>
        </w:rPr>
      </w:pPr>
    </w:p>
    <w:p w14:paraId="33E8C282" w14:textId="77777777" w:rsidR="00822223" w:rsidRPr="006E434F" w:rsidRDefault="00822223" w:rsidP="00822223">
      <w:pPr>
        <w:pStyle w:val="Prrafodelista"/>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6E434F">
        <w:rPr>
          <w:rFonts w:ascii="Verdana" w:eastAsia="Century Gothic" w:hAnsi="Verdana" w:cs="Century Gothic"/>
          <w:b/>
          <w:bCs/>
        </w:rPr>
        <w:t>Problema planteado:</w:t>
      </w:r>
    </w:p>
    <w:p w14:paraId="18AE9921" w14:textId="396FCDC1" w:rsidR="00822223" w:rsidRDefault="00822223" w:rsidP="003F6FAA">
      <w:pPr>
        <w:spacing w:after="0" w:line="276" w:lineRule="auto"/>
        <w:jc w:val="both"/>
        <w:rPr>
          <w:rFonts w:ascii="Verdana" w:eastAsia="Century Gothic" w:hAnsi="Verdana" w:cs="Century Gothic"/>
        </w:rPr>
      </w:pPr>
      <w:r w:rsidRPr="006E434F">
        <w:rPr>
          <w:rFonts w:ascii="Verdana" w:eastAsia="Calibri" w:hAnsi="Verdana" w:cs="Arial"/>
          <w:lang w:eastAsia="es-ES"/>
        </w:rPr>
        <w:t>De acuerdo con el contenido de su solicitud, esta Agencia resolverá el siguiente problema jurídico: ¿</w:t>
      </w:r>
      <w:r w:rsidRPr="006E434F">
        <w:rPr>
          <w:rFonts w:ascii="Verdana" w:eastAsia="Century Gothic" w:hAnsi="Verdana" w:cs="Century Gothic"/>
        </w:rPr>
        <w:t>C</w:t>
      </w:r>
      <w:r w:rsidR="00837495">
        <w:rPr>
          <w:rFonts w:ascii="Verdana" w:eastAsia="Century Gothic" w:hAnsi="Verdana" w:cs="Century Gothic"/>
        </w:rPr>
        <w:t>ó</w:t>
      </w:r>
      <w:r w:rsidRPr="006E434F">
        <w:rPr>
          <w:rFonts w:ascii="Verdana" w:eastAsia="Century Gothic" w:hAnsi="Verdana" w:cs="Century Gothic"/>
        </w:rPr>
        <w:t xml:space="preserve">mo se </w:t>
      </w:r>
      <w:r>
        <w:rPr>
          <w:rFonts w:ascii="Verdana" w:eastAsia="Century Gothic" w:hAnsi="Verdana" w:cs="Century Gothic"/>
        </w:rPr>
        <w:t xml:space="preserve">debe </w:t>
      </w:r>
      <w:r w:rsidRPr="006E434F">
        <w:rPr>
          <w:rFonts w:ascii="Verdana" w:eastAsia="Century Gothic" w:hAnsi="Verdana" w:cs="Century Gothic"/>
        </w:rPr>
        <w:t xml:space="preserve">acredita la experiencia en los procesos de selección </w:t>
      </w:r>
      <w:r w:rsidR="00152935">
        <w:rPr>
          <w:rFonts w:ascii="Verdana" w:eastAsia="Century Gothic" w:hAnsi="Verdana" w:cs="Century Gothic"/>
        </w:rPr>
        <w:t xml:space="preserve">adelantados bajo la modalidad </w:t>
      </w:r>
      <w:r w:rsidRPr="006E434F">
        <w:rPr>
          <w:rFonts w:ascii="Verdana" w:eastAsia="Century Gothic" w:hAnsi="Verdana" w:cs="Century Gothic"/>
        </w:rPr>
        <w:t>de mínima cuantía?</w:t>
      </w:r>
    </w:p>
    <w:p w14:paraId="0D3AC784" w14:textId="77777777" w:rsidR="003F6FAA" w:rsidRPr="003F6FAA" w:rsidRDefault="003F6FAA" w:rsidP="003F6FAA">
      <w:pPr>
        <w:spacing w:after="0" w:line="276" w:lineRule="auto"/>
        <w:jc w:val="both"/>
        <w:rPr>
          <w:rFonts w:ascii="Verdana" w:eastAsia="Century Gothic" w:hAnsi="Verdana" w:cs="Century Gothic"/>
        </w:rPr>
      </w:pPr>
    </w:p>
    <w:p w14:paraId="7D353537" w14:textId="77777777" w:rsidR="00822223" w:rsidRPr="002A21EB" w:rsidRDefault="00822223" w:rsidP="00822223">
      <w:pPr>
        <w:spacing w:afterLines="120" w:after="288" w:line="276" w:lineRule="auto"/>
        <w:jc w:val="both"/>
        <w:rPr>
          <w:rFonts w:ascii="Verdana" w:eastAsia="Century Gothic" w:hAnsi="Verdana" w:cs="Century Gothic"/>
          <w:b/>
          <w:bCs/>
        </w:rPr>
      </w:pPr>
      <w:r w:rsidRPr="002A21EB">
        <w:rPr>
          <w:rFonts w:ascii="Verdana" w:eastAsia="Century Gothic" w:hAnsi="Verdana" w:cs="Century Gothic"/>
          <w:b/>
          <w:bCs/>
        </w:rPr>
        <w:t>2. Respuesta:</w:t>
      </w: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22223" w:rsidRPr="00484A10" w14:paraId="573040EB" w14:textId="77777777">
        <w:tc>
          <w:tcPr>
            <w:tcW w:w="8828" w:type="dxa"/>
          </w:tcPr>
          <w:p w14:paraId="0C6B3314" w14:textId="09D61EF9" w:rsidR="003F0264" w:rsidRDefault="003F0264" w:rsidP="003F0264">
            <w:pPr>
              <w:spacing w:line="276" w:lineRule="auto"/>
              <w:jc w:val="both"/>
              <w:rPr>
                <w:rFonts w:ascii="Verdana" w:eastAsia="Calibri" w:hAnsi="Verdana" w:cs="Arial"/>
                <w:lang w:eastAsia="es-CO"/>
              </w:rPr>
            </w:pPr>
            <w:r>
              <w:rPr>
                <w:rFonts w:ascii="Verdana" w:eastAsia="Century Gothic" w:hAnsi="Verdana" w:cs="Century Gothic"/>
              </w:rPr>
              <w:t xml:space="preserve">El requisito de la experiencia se acreditará a través del registro único de proponentes en los procesos de selección que así lo exija la norma. </w:t>
            </w:r>
            <w:r>
              <w:rPr>
                <w:rFonts w:ascii="Verdana" w:eastAsia="Calibri" w:hAnsi="Verdana" w:cs="Arial"/>
                <w:lang w:eastAsia="es-CO"/>
              </w:rPr>
              <w:t xml:space="preserve">No obstante, </w:t>
            </w:r>
            <w:r w:rsidRPr="009545A9">
              <w:rPr>
                <w:rFonts w:ascii="Verdana" w:eastAsia="Calibri" w:hAnsi="Verdana" w:cs="Arial"/>
                <w:lang w:eastAsia="es-CO"/>
              </w:rPr>
              <w:t xml:space="preserve">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w:t>
            </w:r>
          </w:p>
          <w:p w14:paraId="35B69551" w14:textId="77777777" w:rsidR="003F0264" w:rsidRDefault="003F0264" w:rsidP="003F0264">
            <w:pPr>
              <w:spacing w:line="276" w:lineRule="auto"/>
              <w:jc w:val="both"/>
              <w:rPr>
                <w:rFonts w:ascii="Verdana" w:eastAsia="Calibri" w:hAnsi="Verdana" w:cs="Arial"/>
                <w:lang w:eastAsia="es-CO"/>
              </w:rPr>
            </w:pPr>
          </w:p>
          <w:p w14:paraId="2CBBC33B" w14:textId="77777777" w:rsidR="003F0264" w:rsidRDefault="003F0264" w:rsidP="003F0264">
            <w:pPr>
              <w:spacing w:line="276" w:lineRule="auto"/>
              <w:jc w:val="both"/>
              <w:rPr>
                <w:rFonts w:ascii="Verdana" w:eastAsia="Calibri" w:hAnsi="Verdana" w:cs="Arial"/>
                <w:lang w:val="es-ES"/>
              </w:rPr>
            </w:pPr>
            <w:r w:rsidRPr="00AF08D9">
              <w:rPr>
                <w:rFonts w:ascii="Verdana" w:eastAsia="Calibri" w:hAnsi="Verdana" w:cs="Arial"/>
                <w:lang w:val="es-ES"/>
              </w:rPr>
              <w:t>En los procesos de selección de Mínima Cuantía donde no es exigible el Registro Único de proponentes (RUP),</w:t>
            </w:r>
            <w:r w:rsidRPr="00AF08D9">
              <w:rPr>
                <w:rFonts w:ascii="Verdana" w:eastAsia="Times New Roman" w:hAnsi="Verdana" w:cs="Arial"/>
                <w:lang w:val="es-MX" w:eastAsia="es-ES_tradnl"/>
              </w:rPr>
              <w:t xml:space="preserve"> la entidad estatal, en el marco de la autonomía y la potestad de dirección que le asiste en los procesos de </w:t>
            </w:r>
            <w:r w:rsidRPr="00AF08D9">
              <w:rPr>
                <w:rFonts w:ascii="Verdana" w:eastAsia="Times New Roman" w:hAnsi="Verdana" w:cs="Arial"/>
                <w:lang w:val="es-MX" w:eastAsia="es-ES_tradnl"/>
              </w:rPr>
              <w:lastRenderedPageBreak/>
              <w:t>contratación que adelanta debe establecer en los Documentos del Proceso –la invitación en el caso de Mínima Cuantía– los documentos o instrumentos que exigirá a los proponentes para acreditar las circunstancias necesarias</w:t>
            </w:r>
            <w:r w:rsidRPr="00AF08D9">
              <w:rPr>
                <w:rFonts w:ascii="Verdana" w:eastAsia="Calibri" w:hAnsi="Verdana" w:cs="Arial"/>
                <w:lang w:val="es-ES"/>
              </w:rPr>
              <w:t xml:space="preserve">. </w:t>
            </w:r>
          </w:p>
          <w:p w14:paraId="5CB1E719" w14:textId="77777777" w:rsidR="003F0264" w:rsidRPr="00F66C88" w:rsidRDefault="003F0264" w:rsidP="003F0264">
            <w:pPr>
              <w:spacing w:line="276" w:lineRule="auto"/>
              <w:jc w:val="both"/>
              <w:rPr>
                <w:rFonts w:ascii="Verdana" w:eastAsia="Calibri" w:hAnsi="Verdana" w:cs="Arial"/>
                <w:lang w:val="es-ES" w:eastAsia="es-CO"/>
              </w:rPr>
            </w:pPr>
          </w:p>
          <w:p w14:paraId="36F575DE" w14:textId="77777777" w:rsidR="003F0264" w:rsidRDefault="003F0264" w:rsidP="003F0264">
            <w:pPr>
              <w:spacing w:line="276" w:lineRule="auto"/>
              <w:jc w:val="both"/>
              <w:rPr>
                <w:rFonts w:ascii="Verdana" w:eastAsia="Calibri" w:hAnsi="Verdana" w:cs="Arial"/>
                <w:lang w:eastAsia="es-CO"/>
              </w:rPr>
            </w:pPr>
            <w:r>
              <w:rPr>
                <w:rFonts w:ascii="Verdana" w:eastAsia="Calibri" w:hAnsi="Verdana" w:cs="Arial"/>
                <w:lang w:eastAsia="es-CO"/>
              </w:rPr>
              <w:t>Lo mismo ocurre en los procesos</w:t>
            </w:r>
            <w:r w:rsidRPr="009545A9">
              <w:rPr>
                <w:rFonts w:ascii="Verdana" w:eastAsia="Calibri" w:hAnsi="Verdana" w:cs="Arial"/>
                <w:lang w:eastAsia="es-CO"/>
              </w:rPr>
              <w:t xml:space="preserve"> de selección en los cuales no es exigible el RUP. En ambos </w:t>
            </w:r>
            <w:r>
              <w:rPr>
                <w:rFonts w:ascii="Verdana" w:eastAsia="Calibri" w:hAnsi="Verdana" w:cs="Arial"/>
                <w:lang w:eastAsia="es-CO"/>
              </w:rPr>
              <w:t>escenarios</w:t>
            </w:r>
            <w:r w:rsidRPr="009545A9">
              <w:rPr>
                <w:rFonts w:ascii="Verdana" w:eastAsia="Calibri" w:hAnsi="Verdana" w:cs="Arial"/>
                <w:lang w:eastAsia="es-CO"/>
              </w:rPr>
              <w:t xml:space="preserve">,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w:t>
            </w:r>
            <w:r>
              <w:rPr>
                <w:rFonts w:ascii="Verdana" w:eastAsia="Calibri" w:hAnsi="Verdana" w:cs="Arial"/>
                <w:lang w:eastAsia="es-CO"/>
              </w:rPr>
              <w:t xml:space="preserve">cuáles </w:t>
            </w:r>
            <w:r w:rsidRPr="009545A9">
              <w:rPr>
                <w:rFonts w:ascii="Verdana" w:eastAsia="Calibri" w:hAnsi="Verdana" w:cs="Arial"/>
                <w:lang w:eastAsia="es-CO"/>
              </w:rPr>
              <w:t xml:space="preserve">documentos </w:t>
            </w:r>
            <w:r>
              <w:rPr>
                <w:rFonts w:ascii="Verdana" w:eastAsia="Calibri" w:hAnsi="Verdana" w:cs="Arial"/>
                <w:lang w:eastAsia="es-CO"/>
              </w:rPr>
              <w:t>resultan ser a</w:t>
            </w:r>
            <w:r w:rsidRPr="009545A9">
              <w:rPr>
                <w:rFonts w:ascii="Verdana" w:eastAsia="Calibri" w:hAnsi="Verdana" w:cs="Arial"/>
                <w:lang w:eastAsia="es-CO"/>
              </w:rPr>
              <w:t xml:space="preserve">decuados y proporcionales para verificar el requisito de experiencia establecido. </w:t>
            </w:r>
          </w:p>
          <w:p w14:paraId="5C7D65E1" w14:textId="77777777" w:rsidR="00602FBA" w:rsidRPr="00F66C88" w:rsidRDefault="00602FBA" w:rsidP="005A70E9">
            <w:pPr>
              <w:spacing w:line="276" w:lineRule="auto"/>
              <w:jc w:val="both"/>
              <w:rPr>
                <w:rFonts w:ascii="Verdana" w:eastAsia="Calibri" w:hAnsi="Verdana" w:cs="Arial"/>
              </w:rPr>
            </w:pPr>
          </w:p>
          <w:p w14:paraId="25B6E6E5" w14:textId="51E9D60A" w:rsidR="00822223" w:rsidRPr="00AB58EB" w:rsidRDefault="000C45A4">
            <w:pPr>
              <w:pStyle w:val="NormalWeb"/>
              <w:jc w:val="both"/>
              <w:rPr>
                <w:rFonts w:ascii="Verdana" w:hAnsi="Verdana"/>
                <w:sz w:val="22"/>
                <w:szCs w:val="22"/>
              </w:rPr>
            </w:pPr>
            <w:r>
              <w:rPr>
                <w:rFonts w:ascii="Verdana" w:hAnsi="Verdana"/>
                <w:sz w:val="22"/>
                <w:szCs w:val="22"/>
              </w:rPr>
              <w:t xml:space="preserve">         </w:t>
            </w:r>
            <w:r w:rsidR="00822223" w:rsidRPr="00AB58EB">
              <w:rPr>
                <w:rFonts w:ascii="Verdana" w:hAnsi="Verdana"/>
                <w:sz w:val="22"/>
                <w:szCs w:val="22"/>
              </w:rPr>
              <w:t xml:space="preserve">En ese sentido, si bien las Entidades Estatales cuentan con la facultad de establecer requisitos de experiencia mínima como habilitantes, dicha exigencia debe responder a los principios de transparencia y selección objetiva que rigen la contratación estatal. Por ello, resulta recomendable que, desde la etapa de planeación, se determinen condiciones de experiencia que sean </w:t>
            </w:r>
            <w:r w:rsidR="00822223" w:rsidRPr="00AB58EB">
              <w:rPr>
                <w:rStyle w:val="Fuerte"/>
                <w:rFonts w:ascii="Verdana" w:hAnsi="Verdana"/>
                <w:b w:val="0"/>
                <w:bCs w:val="0"/>
                <w:sz w:val="22"/>
                <w:szCs w:val="22"/>
              </w:rPr>
              <w:t>proporcionales a la naturaleza, el valor y la complejidad del objeto contractual</w:t>
            </w:r>
            <w:r w:rsidR="00822223" w:rsidRPr="00AB58EB">
              <w:rPr>
                <w:rFonts w:ascii="Verdana" w:hAnsi="Verdana"/>
                <w:b/>
                <w:bCs/>
                <w:sz w:val="22"/>
                <w:szCs w:val="22"/>
              </w:rPr>
              <w:t>,</w:t>
            </w:r>
            <w:r w:rsidR="00822223" w:rsidRPr="00AB58EB">
              <w:rPr>
                <w:rFonts w:ascii="Verdana" w:hAnsi="Verdana"/>
                <w:sz w:val="22"/>
                <w:szCs w:val="22"/>
              </w:rPr>
              <w:t xml:space="preserve"> atendiendo los riesgos identificados y las características del sector.</w:t>
            </w:r>
          </w:p>
          <w:p w14:paraId="74C4979C" w14:textId="3A62094F" w:rsidR="00822223" w:rsidRDefault="00822223">
            <w:pPr>
              <w:pStyle w:val="NormalWeb"/>
              <w:jc w:val="both"/>
              <w:rPr>
                <w:rFonts w:ascii="Verdana" w:hAnsi="Verdana"/>
                <w:sz w:val="22"/>
                <w:szCs w:val="22"/>
              </w:rPr>
            </w:pPr>
            <w:r w:rsidRPr="00AB58EB">
              <w:rPr>
                <w:rFonts w:ascii="Verdana" w:hAnsi="Verdana"/>
                <w:sz w:val="22"/>
                <w:szCs w:val="22"/>
              </w:rPr>
              <w:t xml:space="preserve">Al respecto, el </w:t>
            </w:r>
            <w:r w:rsidRPr="00AB58EB">
              <w:rPr>
                <w:rStyle w:val="nfasis"/>
                <w:rFonts w:ascii="Verdana" w:hAnsi="Verdana"/>
                <w:sz w:val="22"/>
                <w:szCs w:val="22"/>
              </w:rPr>
              <w:t>Manual de la Modalidad de Selección de Mínima Cuantía</w:t>
            </w:r>
            <w:r w:rsidRPr="00AB58EB">
              <w:rPr>
                <w:rFonts w:ascii="Verdana" w:hAnsi="Verdana"/>
                <w:sz w:val="22"/>
                <w:szCs w:val="22"/>
              </w:rPr>
              <w:t xml:space="preserve"> señala que la experiencia puede acreditarse mediante documentos tales como </w:t>
            </w:r>
            <w:r w:rsidRPr="00AB58EB">
              <w:rPr>
                <w:rStyle w:val="Fuerte"/>
                <w:rFonts w:ascii="Verdana" w:hAnsi="Verdana"/>
                <w:b w:val="0"/>
                <w:bCs w:val="0"/>
                <w:sz w:val="22"/>
                <w:szCs w:val="22"/>
              </w:rPr>
              <w:t>copias de contratos ejecutados, actas de recibo a satisfacción, actas de liquidación o certificaciones expedidas por terceros</w:t>
            </w:r>
            <w:r w:rsidRPr="00AB58EB">
              <w:rPr>
                <w:rFonts w:ascii="Verdana" w:hAnsi="Verdana"/>
                <w:sz w:val="22"/>
                <w:szCs w:val="22"/>
              </w:rPr>
              <w:t xml:space="preserve"> que hayan recibido los bienes, obras o servicios por parte del oferente, siempre que dichos documentos permitan verificar el cumplimiento del requisito exigido</w:t>
            </w:r>
            <w:r>
              <w:rPr>
                <w:rFonts w:ascii="Verdana" w:hAnsi="Verdana"/>
                <w:sz w:val="22"/>
                <w:szCs w:val="22"/>
              </w:rPr>
              <w:t>.</w:t>
            </w:r>
          </w:p>
          <w:p w14:paraId="5DDD4FE7" w14:textId="657FB05A" w:rsidR="00FC08CE" w:rsidRDefault="00F61A65">
            <w:pPr>
              <w:pStyle w:val="NormalWeb"/>
              <w:jc w:val="both"/>
              <w:rPr>
                <w:rFonts w:ascii="Verdana" w:hAnsi="Verdana"/>
                <w:sz w:val="22"/>
                <w:szCs w:val="22"/>
              </w:rPr>
            </w:pPr>
            <w:r>
              <w:rPr>
                <w:rFonts w:ascii="Verdana" w:hAnsi="Verdana"/>
                <w:sz w:val="22"/>
                <w:szCs w:val="22"/>
              </w:rPr>
              <w:t xml:space="preserve">         </w:t>
            </w:r>
            <w:r w:rsidR="00FC08CE" w:rsidRPr="00F66C88">
              <w:rPr>
                <w:rFonts w:ascii="Verdana" w:hAnsi="Verdana"/>
                <w:sz w:val="22"/>
                <w:szCs w:val="22"/>
              </w:rPr>
              <w:t xml:space="preserve">En conclusión, por regla general, el cumplimiento de los requisitos habilitantes determinados por la entidad estatal en cada proceso de contratación, entre ellos la experiencia, se debe verificar mediante el RUP el cual constituye plena prueba de las circunstancias de las que da cuenta. No obstante, en aquellos casos en los casos en los cuales no es obligatorio estar inscrito en el RUP o los eventos en los que la entidad estatal considere que, por el objeto, naturaleza o especificaciones del proceso, requiere información adicional a la contenida en el RUP, la entidad debe señalar en el pliego de condiciones–o en la Invitación– cuál es la información que se debe acreditar, así como los documentos que tendrá como válidos para tal fin. En </w:t>
            </w:r>
            <w:r w:rsidR="00FC08CE" w:rsidRPr="00F66C88">
              <w:rPr>
                <w:rFonts w:ascii="Verdana" w:hAnsi="Verdana"/>
                <w:sz w:val="22"/>
                <w:szCs w:val="22"/>
              </w:rPr>
              <w:lastRenderedPageBreak/>
              <w:t>consecuencia, el proponente deberá ceñirse a lo dispuesto por la entidad y allegar toda información ordenada, en los términos y la forma en que hayan sido señalado</w:t>
            </w:r>
            <w:r w:rsidR="00FC08CE">
              <w:rPr>
                <w:rFonts w:ascii="Verdana" w:hAnsi="Verdana"/>
                <w:sz w:val="22"/>
                <w:szCs w:val="22"/>
              </w:rPr>
              <w:t>.</w:t>
            </w:r>
          </w:p>
          <w:p w14:paraId="34F93342" w14:textId="77777777" w:rsidR="00822223" w:rsidRPr="00AB58EB" w:rsidRDefault="00822223">
            <w:pPr>
              <w:pStyle w:val="NormalWeb"/>
              <w:jc w:val="both"/>
              <w:rPr>
                <w:rFonts w:ascii="Verdana" w:hAnsi="Verdana"/>
                <w:sz w:val="22"/>
                <w:szCs w:val="22"/>
              </w:rPr>
            </w:pPr>
          </w:p>
        </w:tc>
      </w:tr>
    </w:tbl>
    <w:p w14:paraId="71375E52" w14:textId="77777777" w:rsidR="00822223" w:rsidRPr="007443B9" w:rsidRDefault="00822223" w:rsidP="00822223">
      <w:pPr>
        <w:tabs>
          <w:tab w:val="left" w:pos="142"/>
          <w:tab w:val="left" w:pos="284"/>
        </w:tabs>
        <w:spacing w:after="0" w:line="276" w:lineRule="auto"/>
        <w:jc w:val="both"/>
        <w:rPr>
          <w:rFonts w:ascii="Verdana" w:eastAsia="Century Gothic" w:hAnsi="Verdana" w:cs="Century Gothic"/>
          <w:b/>
          <w:bCs/>
        </w:rPr>
      </w:pPr>
    </w:p>
    <w:p w14:paraId="742A5FA7" w14:textId="77777777" w:rsidR="00822223" w:rsidRPr="007443B9" w:rsidRDefault="00822223" w:rsidP="00822223">
      <w:pPr>
        <w:tabs>
          <w:tab w:val="left" w:pos="142"/>
          <w:tab w:val="left" w:pos="284"/>
        </w:tabs>
        <w:spacing w:after="0" w:line="276" w:lineRule="auto"/>
        <w:jc w:val="both"/>
        <w:rPr>
          <w:rFonts w:ascii="Verdana" w:eastAsia="Century Gothic" w:hAnsi="Verdana" w:cs="Century Gothic"/>
          <w:b/>
          <w:bCs/>
        </w:rPr>
      </w:pPr>
      <w:r w:rsidRPr="007443B9">
        <w:rPr>
          <w:rFonts w:ascii="Verdana" w:eastAsia="Century Gothic" w:hAnsi="Verdana" w:cs="Century Gothic"/>
          <w:b/>
          <w:bCs/>
        </w:rPr>
        <w:t>3. Razones de la respuesta:</w:t>
      </w:r>
      <w:bookmarkStart w:id="0" w:name="_Hlk204854194"/>
    </w:p>
    <w:p w14:paraId="18A49137" w14:textId="77777777" w:rsidR="00822223" w:rsidRPr="007443B9" w:rsidRDefault="00822223" w:rsidP="00822223">
      <w:pPr>
        <w:tabs>
          <w:tab w:val="left" w:pos="142"/>
          <w:tab w:val="left" w:pos="284"/>
        </w:tabs>
        <w:spacing w:after="0" w:line="276" w:lineRule="auto"/>
        <w:jc w:val="both"/>
        <w:rPr>
          <w:rFonts w:ascii="Verdana" w:eastAsia="Century Gothic" w:hAnsi="Verdana" w:cs="Century Gothic"/>
          <w:b/>
          <w:bCs/>
        </w:rPr>
      </w:pPr>
    </w:p>
    <w:p w14:paraId="7C63B515" w14:textId="77777777" w:rsidR="00822223" w:rsidRDefault="00822223" w:rsidP="00822223">
      <w:pPr>
        <w:spacing w:afterLines="120" w:after="288" w:line="276" w:lineRule="auto"/>
        <w:jc w:val="both"/>
        <w:rPr>
          <w:rFonts w:ascii="Verdana" w:eastAsia="Calibri" w:hAnsi="Verdana" w:cs="Arial"/>
          <w:lang w:val="es-ES"/>
        </w:rPr>
      </w:pPr>
      <w:r w:rsidRPr="007443B9">
        <w:rPr>
          <w:rFonts w:ascii="Verdana" w:eastAsia="Calibri" w:hAnsi="Verdana" w:cs="Arial"/>
          <w:lang w:val="es-ES"/>
        </w:rPr>
        <w:t>Lo anterior se sustenta en las siguientes consideraciones:</w:t>
      </w:r>
    </w:p>
    <w:p w14:paraId="1826D91F" w14:textId="77777777" w:rsidR="00822223" w:rsidRDefault="00822223" w:rsidP="00822223">
      <w:pPr>
        <w:spacing w:afterLines="120" w:after="288" w:line="276" w:lineRule="auto"/>
        <w:ind w:firstLine="708"/>
        <w:jc w:val="both"/>
        <w:rPr>
          <w:rFonts w:ascii="Verdana" w:eastAsia="Calibri" w:hAnsi="Verdana" w:cs="Arial"/>
        </w:rPr>
      </w:pPr>
      <w:r w:rsidRPr="007443B9">
        <w:rPr>
          <w:rFonts w:ascii="Verdana" w:eastAsia="Calibri" w:hAnsi="Verdana" w:cs="Arial"/>
        </w:rPr>
        <w:t>La mínima cuantía es una modalidad de selección en función de la cual la Entidad Estatal realiza una convocatoria con el fin de recibir bienes, obras o servicios cuyo valor no excede el diez por ciento (10%) de la menor cuantía. Esta tipología contractual tiene fundamento en el artículo 94 de la Ley 1474 de 2011 –que adicionó el numeral 5 al artículo 2 de la Ley 1150 de 2007</w:t>
      </w:r>
      <w:r>
        <w:rPr>
          <w:rStyle w:val="Refdenotaalpie"/>
          <w:rFonts w:ascii="Verdana" w:eastAsia="Calibri" w:hAnsi="Verdana" w:cs="Arial"/>
        </w:rPr>
        <w:footnoteReference w:id="1"/>
      </w:r>
      <w:r w:rsidRPr="007443B9">
        <w:rPr>
          <w:rFonts w:ascii="Verdana" w:eastAsia="Calibri" w:hAnsi="Verdana" w:cs="Arial"/>
        </w:rPr>
        <w:t xml:space="preserve"> –, estableciendo que el factor determinante para adelantar tal procedimiento</w:t>
      </w:r>
      <w:r>
        <w:rPr>
          <w:rFonts w:ascii="Verdana" w:eastAsia="Calibri" w:hAnsi="Verdana" w:cs="Arial"/>
        </w:rPr>
        <w:t xml:space="preserve"> </w:t>
      </w:r>
      <w:r w:rsidRPr="007443B9">
        <w:rPr>
          <w:rFonts w:ascii="Verdana" w:eastAsia="Calibri" w:hAnsi="Verdana" w:cs="Arial"/>
        </w:rPr>
        <w:t xml:space="preserve">es la cuantía </w:t>
      </w:r>
      <w:r w:rsidRPr="007443B9">
        <w:rPr>
          <w:rFonts w:ascii="Verdana" w:eastAsia="Calibri" w:hAnsi="Verdana" w:cs="Arial"/>
          <w:i/>
          <w:iCs/>
        </w:rPr>
        <w:t>–calculada como presupuesto oficial a partir del estudio del sector–,</w:t>
      </w:r>
      <w:r w:rsidRPr="007443B9">
        <w:rPr>
          <w:rFonts w:ascii="Verdana" w:eastAsia="Calibri" w:hAnsi="Verdana" w:cs="Arial"/>
        </w:rPr>
        <w:t xml:space="preserve"> “independientemente de su objeto”</w:t>
      </w:r>
      <w:r>
        <w:rPr>
          <w:rStyle w:val="Refdenotaalpie"/>
          <w:rFonts w:ascii="Verdana" w:eastAsia="Calibri" w:hAnsi="Verdana" w:cs="Arial"/>
        </w:rPr>
        <w:footnoteReference w:id="2"/>
      </w:r>
      <w:r>
        <w:rPr>
          <w:rFonts w:ascii="Verdana" w:eastAsia="Calibri" w:hAnsi="Verdana" w:cs="Arial"/>
        </w:rPr>
        <w:t>.</w:t>
      </w:r>
    </w:p>
    <w:p w14:paraId="256442B8" w14:textId="77777777" w:rsidR="00822223" w:rsidRDefault="00822223" w:rsidP="00822223">
      <w:pPr>
        <w:spacing w:afterLines="120" w:after="288" w:line="276" w:lineRule="auto"/>
        <w:ind w:firstLine="708"/>
        <w:jc w:val="both"/>
        <w:rPr>
          <w:rFonts w:ascii="Verdana" w:eastAsia="Calibri" w:hAnsi="Verdana" w:cs="Arial"/>
        </w:rPr>
      </w:pPr>
      <w:r w:rsidRPr="00247DF7">
        <w:rPr>
          <w:rFonts w:ascii="Verdana" w:eastAsia="Calibri" w:hAnsi="Verdana" w:cs="Arial"/>
        </w:rPr>
        <w:t>En otras palabras, la mínima cuantía es un procedimiento de selección “especial”</w:t>
      </w:r>
      <w:r>
        <w:rPr>
          <w:rStyle w:val="Refdenotaalpie"/>
          <w:rFonts w:ascii="Verdana" w:eastAsia="Calibri" w:hAnsi="Verdana" w:cs="Arial"/>
        </w:rPr>
        <w:footnoteReference w:id="3"/>
      </w:r>
      <w:r w:rsidRPr="00247DF7">
        <w:rPr>
          <w:rFonts w:ascii="Verdana" w:eastAsia="Calibri" w:hAnsi="Verdana" w:cs="Arial"/>
        </w:rPr>
        <w:t xml:space="preserve">, porque deriva en una excepción a la regla general constituida por la licitación pública. Ciertamente, si bien ambas modalidades implican un llamado general a presentar ofertas, por parte de la Entidad Estatal interesada en </w:t>
      </w:r>
      <w:r w:rsidRPr="00247DF7">
        <w:rPr>
          <w:rFonts w:ascii="Verdana" w:eastAsia="Calibri" w:hAnsi="Verdana" w:cs="Arial"/>
        </w:rPr>
        <w:lastRenderedPageBreak/>
        <w:t>contratar, la mínima cuantía es distinta a la licitación, cuando menos, en relación con su conducencia y su procedimiento: lo primero, debido a que solo procede por razón de una cuantía específica</w:t>
      </w:r>
      <w:r>
        <w:rPr>
          <w:rStyle w:val="Refdenotaalpie"/>
          <w:rFonts w:ascii="Verdana" w:eastAsia="Calibri" w:hAnsi="Verdana" w:cs="Arial"/>
        </w:rPr>
        <w:footnoteReference w:id="4"/>
      </w:r>
      <w:r w:rsidRPr="00247DF7">
        <w:rPr>
          <w:rFonts w:ascii="Verdana" w:eastAsia="Calibri" w:hAnsi="Verdana" w:cs="Arial"/>
        </w:rPr>
        <w:t xml:space="preserve"> y lo segundo, porque sus requisitos, etapas y términ</w:t>
      </w:r>
      <w:r>
        <w:rPr>
          <w:rFonts w:ascii="Verdana" w:eastAsia="Calibri" w:hAnsi="Verdana" w:cs="Arial"/>
        </w:rPr>
        <w:t>o</w:t>
      </w:r>
      <w:r w:rsidRPr="00247DF7">
        <w:rPr>
          <w:rFonts w:ascii="Verdana" w:eastAsia="Calibri" w:hAnsi="Verdana" w:cs="Arial"/>
        </w:rPr>
        <w:t xml:space="preserve">s son especiales. </w:t>
      </w:r>
    </w:p>
    <w:p w14:paraId="12605920" w14:textId="77777777" w:rsidR="00822223" w:rsidRDefault="00822223" w:rsidP="00822223">
      <w:pPr>
        <w:spacing w:afterLines="120" w:after="288" w:line="276" w:lineRule="auto"/>
        <w:ind w:firstLine="708"/>
        <w:jc w:val="both"/>
        <w:rPr>
          <w:rFonts w:ascii="Verdana" w:eastAsia="Calibri" w:hAnsi="Verdana" w:cs="Arial"/>
        </w:rPr>
      </w:pPr>
      <w:r w:rsidRPr="00247DF7">
        <w:rPr>
          <w:rFonts w:ascii="Verdana" w:eastAsia="Calibri" w:hAnsi="Verdana" w:cs="Arial"/>
        </w:rPr>
        <w:t>De otra parte, es importante señalar que con la expedición de la Ley 2069 de 2020 –conocida como la Ley de Emprendimiento–, se modificó mediante el artículo 30, el numeral 5 del artículo 2 de la Ley 1150 de 2007 que regula la mínima cuantía. Esta norma estableció aspectos de procedimiento como: i) el término mínimo para publicar la invitación; ii) el plazo mínimo de recepción de las ofertas; iii) el factor de evaluación que define la selección del proponente; y iv) el perfeccionamiento del contrato. Adicionalmente, el Decreto 1860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incluyó dentro</w:t>
      </w:r>
      <w:r w:rsidRPr="00247DF7">
        <w:t xml:space="preserve"> </w:t>
      </w:r>
      <w:r w:rsidRPr="00247DF7">
        <w:rPr>
          <w:rFonts w:ascii="Verdana" w:eastAsia="Calibri" w:hAnsi="Verdana" w:cs="Arial"/>
        </w:rPr>
        <w:t>de su reglamentación, el procedimiento de mínima cuantía. De esta manera, el artículo 2 modifica la Subsección 5 de la Sección 1 del Capítulo 2 del Título 1 de la Parte 2 del Libro 2 del Decreto 1082 de 2015, que se titula mínima cuantía, reglamentando así, esta modalidad de selección con fundamento en lo establecido en el artículo 30 de la Ley 2069 de 2020.</w:t>
      </w:r>
    </w:p>
    <w:p w14:paraId="1547D0A8" w14:textId="77777777" w:rsidR="00822223" w:rsidRPr="009F7844" w:rsidRDefault="00822223" w:rsidP="00822223">
      <w:pPr>
        <w:tabs>
          <w:tab w:val="left" w:pos="709"/>
        </w:tabs>
        <w:spacing w:after="120" w:line="276" w:lineRule="auto"/>
        <w:jc w:val="both"/>
        <w:rPr>
          <w:rFonts w:ascii="Verdana" w:eastAsia="Times New Roman" w:hAnsi="Verdana" w:cs="Arial"/>
          <w:color w:val="000000"/>
          <w:lang w:val="es-ES"/>
        </w:rPr>
      </w:pPr>
      <w:r w:rsidRPr="009F7844">
        <w:rPr>
          <w:rFonts w:ascii="Verdana" w:eastAsia="Times New Roman" w:hAnsi="Verdana" w:cs="Arial"/>
          <w:bCs/>
          <w:color w:val="000000"/>
          <w:lang w:val="es-ES_tradnl"/>
        </w:rPr>
        <w:tab/>
      </w:r>
      <w:r w:rsidRPr="009F7844">
        <w:rPr>
          <w:rFonts w:ascii="Verdana" w:eastAsia="Times New Roman" w:hAnsi="Verdana" w:cs="Arial"/>
          <w:color w:val="000000"/>
          <w:lang w:val="es-ES"/>
        </w:rPr>
        <w:t xml:space="preserve">Teniendo en cuenta lo anterior, la nueva Subsección 5 a que se hizo referencia contiene los siguientes artículos: i) 2.2.1.2.1.5.1. que se ocupa de desarrollar el contenido de los estudios previos para la contratación de mínima </w:t>
      </w:r>
      <w:r w:rsidRPr="009F7844">
        <w:rPr>
          <w:rFonts w:ascii="Verdana" w:eastAsia="Times New Roman" w:hAnsi="Verdana" w:cs="Arial"/>
          <w:color w:val="000000"/>
          <w:lang w:val="es-ES"/>
        </w:rPr>
        <w:lastRenderedPageBreak/>
        <w:t>cuantía</w:t>
      </w:r>
      <w:r w:rsidRPr="009F7844">
        <w:rPr>
          <w:rFonts w:ascii="Verdana" w:eastAsia="Times New Roman" w:hAnsi="Verdana" w:cs="Arial"/>
          <w:color w:val="000000"/>
          <w:vertAlign w:val="superscript"/>
          <w:lang w:val="es-ES"/>
        </w:rPr>
        <w:footnoteReference w:id="5"/>
      </w:r>
      <w:r w:rsidRPr="009F7844">
        <w:rPr>
          <w:rFonts w:ascii="Verdana" w:eastAsia="Times New Roman" w:hAnsi="Verdana" w:cs="Arial"/>
          <w:color w:val="000000"/>
          <w:lang w:val="es-ES"/>
        </w:rPr>
        <w:t>. ii) 2.2.1.2.1.5.2. que contiene el procedimiento general de la mínima cuantía, señalando el contenido mínimo de la “invitación” y las distintas etapas y reglas que estructuran esta modalidad de selección, incluyendo la forma en que procederán las convocatorias limitadas a mipymes, de acuerdo con el mandato del parágrafo 1 del artículo 30 de la Ley 2069 de 2020</w:t>
      </w:r>
      <w:r w:rsidRPr="009F7844">
        <w:rPr>
          <w:rFonts w:ascii="Verdana" w:eastAsia="Times New Roman" w:hAnsi="Verdana" w:cs="Arial"/>
          <w:color w:val="000000"/>
          <w:vertAlign w:val="superscript"/>
          <w:lang w:val="es-ES"/>
        </w:rPr>
        <w:footnoteReference w:id="6"/>
      </w:r>
      <w:r w:rsidRPr="009F7844">
        <w:rPr>
          <w:rFonts w:ascii="Verdana" w:eastAsia="Times New Roman" w:hAnsi="Verdana" w:cs="Arial"/>
          <w:color w:val="000000"/>
          <w:lang w:val="es-ES"/>
        </w:rPr>
        <w:t>. iii) 2.2.1.2.1.5.3. que regula un procedimiento especial para las adquisiciones en grandes almacenes cuando se trate de mínima cuantía. iv)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 Y v) 2.2.1.2.1.5.5. el cual establece que la entidad estatal es libre de exigir o no garantías en el proceso de selección de mínima cuantía y en la adquisición de “grandes almacenes”.</w:t>
      </w:r>
    </w:p>
    <w:p w14:paraId="7F1C8110" w14:textId="77777777" w:rsidR="00822223" w:rsidRPr="009F7844" w:rsidRDefault="00822223" w:rsidP="00822223">
      <w:pPr>
        <w:tabs>
          <w:tab w:val="left" w:pos="709"/>
        </w:tabs>
        <w:spacing w:after="120" w:line="276" w:lineRule="auto"/>
        <w:jc w:val="both"/>
        <w:rPr>
          <w:rFonts w:ascii="Verdana" w:eastAsia="Times New Roman" w:hAnsi="Verdana" w:cs="Arial"/>
          <w:bCs/>
          <w:color w:val="000000"/>
          <w:lang w:val="es-ES_tradnl"/>
        </w:rPr>
      </w:pPr>
      <w:r w:rsidRPr="009F7844">
        <w:rPr>
          <w:rFonts w:ascii="Verdana" w:eastAsia="Times New Roman" w:hAnsi="Verdana" w:cs="Arial"/>
          <w:bCs/>
          <w:color w:val="000000"/>
          <w:lang w:val="es-ES_tradnl"/>
        </w:rPr>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03904052" w14:textId="77777777" w:rsidR="00822223" w:rsidRPr="0013233F" w:rsidRDefault="00822223" w:rsidP="00822223">
      <w:pPr>
        <w:tabs>
          <w:tab w:val="left" w:pos="709"/>
        </w:tabs>
        <w:spacing w:after="120" w:line="276" w:lineRule="auto"/>
        <w:jc w:val="both"/>
        <w:rPr>
          <w:rFonts w:ascii="Verdana" w:eastAsia="Times New Roman" w:hAnsi="Verdana" w:cs="Arial"/>
          <w:color w:val="000000"/>
          <w:lang w:val="es-ES_tradnl"/>
        </w:rPr>
      </w:pPr>
      <w:r w:rsidRPr="0013233F">
        <w:rPr>
          <w:rFonts w:ascii="Verdana" w:eastAsia="Times New Roman" w:hAnsi="Verdana" w:cs="Arial"/>
          <w:color w:val="000000"/>
          <w:lang w:val="es-ES_tradnl"/>
        </w:rPr>
        <w:t xml:space="preserve">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w:t>
      </w:r>
      <w:r w:rsidRPr="0013233F">
        <w:rPr>
          <w:rFonts w:ascii="Verdana" w:eastAsia="Times New Roman" w:hAnsi="Verdana" w:cs="Arial"/>
          <w:color w:val="000000"/>
          <w:lang w:val="es-ES_tradnl"/>
        </w:rPr>
        <w:lastRenderedPageBreak/>
        <w:t>sintetizar los requisitos en el procedimiento de esta modalidad de selección de la siguiente forma:</w:t>
      </w:r>
    </w:p>
    <w:p w14:paraId="500046DB" w14:textId="77777777" w:rsidR="00822223" w:rsidRPr="0013233F" w:rsidRDefault="00822223" w:rsidP="00822223">
      <w:pPr>
        <w:spacing w:after="120" w:line="276" w:lineRule="auto"/>
        <w:ind w:firstLine="709"/>
        <w:jc w:val="both"/>
        <w:rPr>
          <w:rFonts w:ascii="Verdana" w:eastAsia="Times New Roman" w:hAnsi="Verdana" w:cs="Arial"/>
          <w:color w:val="000000"/>
          <w:lang w:val="es-ES_tradnl"/>
        </w:rPr>
      </w:pPr>
      <w:r w:rsidRPr="0013233F">
        <w:rPr>
          <w:rFonts w:ascii="Verdana" w:eastAsia="Times New Roman" w:hAnsi="Verdana"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35AB1AD2" w14:textId="77777777" w:rsidR="00822223" w:rsidRPr="0013233F" w:rsidRDefault="00822223" w:rsidP="00822223">
      <w:pPr>
        <w:spacing w:after="120" w:line="276" w:lineRule="auto"/>
        <w:ind w:firstLine="709"/>
        <w:jc w:val="both"/>
        <w:rPr>
          <w:rFonts w:ascii="Verdana" w:eastAsia="Times New Roman" w:hAnsi="Verdana" w:cs="Arial"/>
          <w:color w:val="000000"/>
          <w:lang w:val="es-ES"/>
        </w:rPr>
      </w:pPr>
      <w:r w:rsidRPr="0013233F">
        <w:rPr>
          <w:rFonts w:ascii="Verdana" w:eastAsia="Times New Roman" w:hAnsi="Verdana" w:cs="Arial"/>
          <w:color w:val="000000"/>
          <w:lang w:val="es-ES"/>
        </w:rPr>
        <w:t>ii)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Entidad Estatal) y los demás aspectos que considere necesarios para la satisfacción de la necesidad”</w:t>
      </w:r>
      <w:r w:rsidRPr="0013233F">
        <w:rPr>
          <w:rFonts w:ascii="Verdana" w:eastAsia="Times New Roman" w:hAnsi="Verdana" w:cs="Arial"/>
          <w:color w:val="000000"/>
          <w:vertAlign w:val="superscript"/>
          <w:lang w:val="es-ES"/>
        </w:rPr>
        <w:footnoteReference w:id="7"/>
      </w:r>
      <w:r w:rsidRPr="0013233F">
        <w:rPr>
          <w:rFonts w:ascii="Verdana" w:eastAsia="Times New Roman" w:hAnsi="Verdana" w:cs="Arial"/>
          <w:color w:val="000000"/>
          <w:lang w:val="es-ES"/>
        </w:rPr>
        <w:t>.</w:t>
      </w:r>
    </w:p>
    <w:p w14:paraId="0030CD46" w14:textId="77777777" w:rsidR="00822223" w:rsidRPr="0013233F" w:rsidRDefault="00822223" w:rsidP="00822223">
      <w:pPr>
        <w:spacing w:after="120" w:line="276" w:lineRule="auto"/>
        <w:ind w:firstLine="709"/>
        <w:jc w:val="both"/>
        <w:rPr>
          <w:rFonts w:ascii="Verdana" w:eastAsia="Times New Roman" w:hAnsi="Verdana" w:cs="Arial"/>
          <w:color w:val="000000"/>
          <w:lang w:val="es-ES"/>
        </w:rPr>
      </w:pPr>
      <w:r w:rsidRPr="0013233F">
        <w:rPr>
          <w:rFonts w:ascii="Verdana" w:eastAsia="Times New Roman" w:hAnsi="Verdana" w:cs="Arial"/>
          <w:color w:val="000000"/>
          <w:lang w:val="es-ES"/>
        </w:rPr>
        <w:t>iii) La invitación se debe hacer por un término no inferior a un (1) día hábil.</w:t>
      </w:r>
    </w:p>
    <w:p w14:paraId="6B3FA7E1" w14:textId="77777777" w:rsidR="00822223" w:rsidRPr="0013233F" w:rsidRDefault="00822223" w:rsidP="00822223">
      <w:pPr>
        <w:spacing w:after="120" w:line="276" w:lineRule="auto"/>
        <w:ind w:firstLine="709"/>
        <w:jc w:val="both"/>
        <w:rPr>
          <w:rFonts w:ascii="Verdana" w:eastAsia="Times New Roman" w:hAnsi="Verdana" w:cs="Arial"/>
          <w:color w:val="000000"/>
          <w:lang w:val="es-ES"/>
        </w:rPr>
      </w:pPr>
      <w:r w:rsidRPr="0013233F">
        <w:rPr>
          <w:rFonts w:ascii="Verdana" w:eastAsia="Times New Roman" w:hAnsi="Verdana" w:cs="Arial"/>
          <w:color w:val="000000"/>
          <w:lang w:val="es-ES"/>
        </w:rPr>
        <w:t>iv) Las observaciones que presenten los interesados a la invitación deben responderse a más tardar antes del vencimiento del término para presentar las ofertas.</w:t>
      </w:r>
    </w:p>
    <w:p w14:paraId="04185E73" w14:textId="77777777" w:rsidR="00822223" w:rsidRPr="0013233F" w:rsidRDefault="00822223" w:rsidP="00822223">
      <w:pPr>
        <w:spacing w:after="120" w:line="276" w:lineRule="auto"/>
        <w:ind w:firstLine="709"/>
        <w:jc w:val="both"/>
        <w:rPr>
          <w:rFonts w:ascii="Verdana" w:eastAsia="Times New Roman" w:hAnsi="Verdana" w:cs="Arial"/>
          <w:color w:val="000000"/>
          <w:lang w:val="es-ES_tradnl"/>
        </w:rPr>
      </w:pPr>
      <w:r w:rsidRPr="0013233F">
        <w:rPr>
          <w:rFonts w:ascii="Verdana" w:eastAsia="Times New Roman" w:hAnsi="Verdana" w:cs="Arial"/>
          <w:color w:val="000000"/>
          <w:lang w:val="es-ES_tradnl"/>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0013233F">
        <w:rPr>
          <w:rFonts w:ascii="Verdana" w:eastAsia="Times New Roman" w:hAnsi="Verdana" w:cs="Arial"/>
          <w:color w:val="000000"/>
          <w:vertAlign w:val="superscript"/>
          <w:lang w:val="es-ES_tradnl"/>
        </w:rPr>
        <w:footnoteReference w:id="8"/>
      </w:r>
      <w:r w:rsidRPr="0013233F">
        <w:rPr>
          <w:rFonts w:ascii="Verdana" w:eastAsia="Times New Roman" w:hAnsi="Verdana" w:cs="Arial"/>
          <w:color w:val="000000"/>
          <w:lang w:val="es-ES_tradnl"/>
        </w:rPr>
        <w:t>.</w:t>
      </w:r>
    </w:p>
    <w:p w14:paraId="35EC1F72" w14:textId="77777777" w:rsidR="00822223" w:rsidRPr="0013233F" w:rsidRDefault="00822223" w:rsidP="00822223">
      <w:pPr>
        <w:spacing w:after="120" w:line="276" w:lineRule="auto"/>
        <w:ind w:firstLine="709"/>
        <w:jc w:val="both"/>
        <w:rPr>
          <w:rFonts w:ascii="Verdana" w:eastAsia="Times New Roman" w:hAnsi="Verdana" w:cs="Arial"/>
          <w:color w:val="000000"/>
          <w:lang w:val="es-ES_tradnl"/>
        </w:rPr>
      </w:pPr>
      <w:r w:rsidRPr="0013233F">
        <w:rPr>
          <w:rFonts w:ascii="Verdana" w:eastAsia="Times New Roman" w:hAnsi="Verdana" w:cs="Arial"/>
          <w:color w:val="000000"/>
          <w:lang w:val="es-ES_tradnl"/>
        </w:rPr>
        <w:t>vi) El informe de evaluación se debe publicar por lo menos un (1) día hábil.</w:t>
      </w:r>
    </w:p>
    <w:p w14:paraId="3E7F1EB2" w14:textId="77777777" w:rsidR="00822223" w:rsidRPr="0013233F" w:rsidRDefault="00822223" w:rsidP="00822223">
      <w:pPr>
        <w:spacing w:after="120" w:line="276" w:lineRule="auto"/>
        <w:ind w:firstLine="709"/>
        <w:jc w:val="both"/>
        <w:rPr>
          <w:rFonts w:ascii="Verdana" w:eastAsia="Times New Roman" w:hAnsi="Verdana" w:cs="Arial"/>
          <w:color w:val="000000"/>
          <w:lang w:val="es-ES"/>
        </w:rPr>
      </w:pPr>
      <w:r w:rsidRPr="0013233F">
        <w:rPr>
          <w:rFonts w:ascii="Verdana" w:eastAsia="Times New Roman" w:hAnsi="Verdana" w:cs="Arial"/>
          <w:color w:val="000000"/>
          <w:lang w:val="es-ES"/>
        </w:rPr>
        <w:lastRenderedPageBreak/>
        <w:t xml:space="preserve">vii) </w:t>
      </w:r>
      <w:bookmarkStart w:id="1" w:name="_Hlk134700391"/>
      <w:r w:rsidRPr="0013233F">
        <w:rPr>
          <w:rFonts w:ascii="Verdana" w:eastAsia="Times New Roman" w:hAnsi="Verdana" w:cs="Arial"/>
          <w:color w:val="000000"/>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1"/>
    <w:p w14:paraId="36570D87" w14:textId="01C6C126" w:rsidR="004C1A97" w:rsidRDefault="00822223" w:rsidP="004C1A97">
      <w:pPr>
        <w:spacing w:after="120" w:line="276" w:lineRule="auto"/>
        <w:ind w:firstLine="709"/>
        <w:jc w:val="both"/>
        <w:rPr>
          <w:rFonts w:ascii="Verdana" w:eastAsia="Times New Roman" w:hAnsi="Verdana" w:cs="Arial"/>
          <w:color w:val="000000"/>
          <w:vertAlign w:val="superscript"/>
          <w:lang w:val="es-ES"/>
        </w:rPr>
      </w:pPr>
      <w:r w:rsidRPr="0013233F">
        <w:rPr>
          <w:rFonts w:ascii="Verdana" w:eastAsia="Times New Roman" w:hAnsi="Verdana" w:cs="Arial"/>
          <w:color w:val="000000"/>
          <w:lang w:val="es-ES"/>
        </w:rPr>
        <w:t>viii) De existir empate debe preferirse la oferta que se presentó primero en el tiempo</w:t>
      </w:r>
      <w:r w:rsidR="004C1A97">
        <w:rPr>
          <w:rFonts w:ascii="Verdana" w:eastAsia="Times New Roman" w:hAnsi="Verdana" w:cs="Arial"/>
          <w:color w:val="000000"/>
          <w:lang w:val="es-ES"/>
        </w:rPr>
        <w:t>.</w:t>
      </w:r>
      <w:r w:rsidR="004C1A97">
        <w:rPr>
          <w:rStyle w:val="Refdenotaalpie"/>
          <w:rFonts w:ascii="Verdana" w:eastAsia="Times New Roman" w:hAnsi="Verdana" w:cs="Arial"/>
          <w:color w:val="000000"/>
          <w:lang w:val="es-ES"/>
        </w:rPr>
        <w:footnoteReference w:id="9"/>
      </w:r>
    </w:p>
    <w:p w14:paraId="25820973" w14:textId="3DD88445" w:rsidR="00822223" w:rsidRPr="00DD611D" w:rsidRDefault="00822223" w:rsidP="004C1A97">
      <w:pPr>
        <w:spacing w:after="120" w:line="276" w:lineRule="auto"/>
        <w:ind w:firstLine="709"/>
        <w:jc w:val="both"/>
        <w:rPr>
          <w:rFonts w:ascii="Verdana" w:eastAsia="Times New Roman" w:hAnsi="Verdana" w:cs="Arial"/>
          <w:color w:val="000000" w:themeColor="text1"/>
          <w:lang w:val="es-ES"/>
        </w:rPr>
      </w:pPr>
      <w:r w:rsidRPr="00DD611D">
        <w:rPr>
          <w:rFonts w:ascii="Verdana" w:eastAsia="Times New Roman" w:hAnsi="Verdana" w:cs="Arial"/>
          <w:color w:val="000000" w:themeColor="text1"/>
          <w:lang w:val="es-ES"/>
        </w:rPr>
        <w:t>En particular, para la consulta realizada se resalta el numeral 1 del Artículo 2.2.1.2.1.5.2 del Decreto 1082 de 2015 sobre el procedimiento de esta modalidad, como sigue:</w:t>
      </w:r>
    </w:p>
    <w:p w14:paraId="08B139F4" w14:textId="77777777" w:rsidR="00822223" w:rsidRPr="00DD611D" w:rsidRDefault="00822223" w:rsidP="00822223">
      <w:pPr>
        <w:shd w:val="clear" w:color="auto" w:fill="FFFFFF"/>
        <w:spacing w:after="0" w:line="240" w:lineRule="auto"/>
        <w:ind w:left="709" w:right="758"/>
        <w:jc w:val="both"/>
        <w:rPr>
          <w:rFonts w:ascii="Verdana" w:eastAsia="Times New Roman" w:hAnsi="Verdana" w:cs="Times New Roman"/>
          <w:color w:val="000000" w:themeColor="text1"/>
          <w:sz w:val="20"/>
          <w:szCs w:val="20"/>
          <w:lang w:eastAsia="es-CO"/>
        </w:rPr>
      </w:pPr>
      <w:r w:rsidRPr="00DD611D">
        <w:rPr>
          <w:rFonts w:ascii="Verdana" w:eastAsia="Times New Roman" w:hAnsi="Verdana" w:cs="Arial"/>
          <w:color w:val="000000" w:themeColor="text1"/>
          <w:sz w:val="20"/>
          <w:szCs w:val="20"/>
          <w:lang w:val="es-ES"/>
        </w:rPr>
        <w:t xml:space="preserve">[…] 1. </w:t>
      </w:r>
      <w:r w:rsidRPr="00DD611D">
        <w:rPr>
          <w:rFonts w:ascii="Verdana" w:eastAsia="Times New Roman" w:hAnsi="Verdana" w:cs="Times New Roman"/>
          <w:color w:val="000000" w:themeColor="text1"/>
          <w:sz w:val="20"/>
          <w:szCs w:val="20"/>
          <w:lang w:eastAsia="es-CO"/>
        </w:rPr>
        <w:t xml:space="preserve">La Entidad Estatal debe señalar en la invitación a participar en procesos de mínima cuantía la información a la que se refieren los numerales 2, 3 y 4 del artículo anterior, y la forma como el interesado debe acreditar su capacidad jurídica y la experiencia mínima, </w:t>
      </w:r>
      <w:r w:rsidRPr="00DD611D">
        <w:rPr>
          <w:rFonts w:ascii="Verdana" w:eastAsia="Times New Roman" w:hAnsi="Verdana" w:cs="Times New Roman"/>
          <w:color w:val="000000" w:themeColor="text1"/>
          <w:sz w:val="20"/>
          <w:szCs w:val="20"/>
          <w:u w:val="single"/>
          <w:lang w:eastAsia="es-CO"/>
        </w:rPr>
        <w:t>si se exige esta última</w:t>
      </w:r>
      <w:r w:rsidRPr="00DD611D">
        <w:rPr>
          <w:rFonts w:ascii="Verdana" w:eastAsia="Times New Roman" w:hAnsi="Verdana" w:cs="Times New Roman"/>
          <w:color w:val="000000" w:themeColor="text1"/>
          <w:sz w:val="20"/>
          <w:szCs w:val="20"/>
          <w:lang w:eastAsia="es-CO"/>
        </w:rPr>
        <w:t>, el cumplimiento de las condiciones técnicas exigidas, incluyendo las obligaciones de las partes del futuro contrato. (subrayado fuera de texto original)</w:t>
      </w:r>
    </w:p>
    <w:p w14:paraId="1208E976" w14:textId="77777777" w:rsidR="00822223" w:rsidRPr="00DD611D" w:rsidRDefault="00822223" w:rsidP="00822223">
      <w:pPr>
        <w:shd w:val="clear" w:color="auto" w:fill="FFFFFF"/>
        <w:spacing w:after="0" w:line="240" w:lineRule="auto"/>
        <w:ind w:left="709" w:right="758"/>
        <w:jc w:val="both"/>
        <w:rPr>
          <w:rFonts w:ascii="Verdana" w:eastAsia="Times New Roman" w:hAnsi="Verdana" w:cs="Times New Roman"/>
          <w:color w:val="000000" w:themeColor="text1"/>
          <w:sz w:val="20"/>
          <w:szCs w:val="20"/>
          <w:lang w:eastAsia="es-CO"/>
        </w:rPr>
      </w:pPr>
    </w:p>
    <w:p w14:paraId="7AF10099" w14:textId="77777777" w:rsidR="00822223" w:rsidRPr="00DD611D" w:rsidRDefault="00822223" w:rsidP="00822223">
      <w:pPr>
        <w:tabs>
          <w:tab w:val="left" w:pos="709"/>
        </w:tabs>
        <w:spacing w:after="120" w:line="276" w:lineRule="auto"/>
        <w:jc w:val="both"/>
        <w:rPr>
          <w:rFonts w:ascii="Verdana" w:eastAsia="Times New Roman" w:hAnsi="Verdana" w:cs="Arial"/>
          <w:color w:val="000000" w:themeColor="text1"/>
          <w:lang w:val="es-ES_tradnl"/>
        </w:rPr>
      </w:pPr>
      <w:r w:rsidRPr="00DD611D">
        <w:rPr>
          <w:rFonts w:ascii="Verdana" w:eastAsia="Times New Roman" w:hAnsi="Verdana" w:cs="Arial"/>
          <w:color w:val="000000" w:themeColor="text1"/>
          <w:lang w:val="es-ES_tradnl"/>
        </w:rPr>
        <w:tab/>
        <w:t xml:space="preserve">Como se puede observar en la anterior disposición, la reglamentación dispone la posibilidad de que la Entidad Estatal interesada en contratar que publica la invitación a participar en un proceso de mínima cuantía establezca una exigencia de experiencia mínima. En efecto, al incluir la expresión “si se exige esta última” haciendo referencia a la experiencia mínima, la norma está otorgándole a la entidad contratante la facultad de decidir si exigir o no un mínimo de experiencia para la modalidad de mínima cuantía. </w:t>
      </w:r>
    </w:p>
    <w:p w14:paraId="0AB0D849" w14:textId="77777777" w:rsidR="00822223" w:rsidRPr="00DD611D" w:rsidRDefault="00822223" w:rsidP="00822223">
      <w:pPr>
        <w:tabs>
          <w:tab w:val="left" w:pos="709"/>
        </w:tabs>
        <w:spacing w:after="120" w:line="276" w:lineRule="auto"/>
        <w:jc w:val="both"/>
        <w:rPr>
          <w:rFonts w:ascii="Verdana" w:eastAsia="Times New Roman" w:hAnsi="Verdana" w:cs="Arial"/>
          <w:bCs/>
          <w:color w:val="000000" w:themeColor="text1"/>
          <w:lang w:val="es-ES_tradnl"/>
        </w:rPr>
      </w:pPr>
      <w:r w:rsidRPr="00DD611D">
        <w:rPr>
          <w:rFonts w:ascii="Verdana" w:eastAsia="Times New Roman" w:hAnsi="Verdana" w:cs="Arial"/>
          <w:bCs/>
          <w:color w:val="000000" w:themeColor="text1"/>
          <w:lang w:val="es-ES_tradnl"/>
        </w:rPr>
        <w:tab/>
        <w:t>Sobre este aspecto, el Manual de la Modalidad de Selección de Mínima Cuantía expedido por la Agencia Nacional de Contratación Pública – Colombia Compra Eficiente</w:t>
      </w:r>
      <w:r w:rsidRPr="00DD611D">
        <w:rPr>
          <w:rFonts w:ascii="Verdana" w:eastAsia="Times New Roman" w:hAnsi="Verdana" w:cs="Arial"/>
          <w:bCs/>
          <w:color w:val="000000" w:themeColor="text1"/>
          <w:vertAlign w:val="superscript"/>
          <w:lang w:val="es-ES_tradnl"/>
        </w:rPr>
        <w:footnoteReference w:id="10"/>
      </w:r>
      <w:r w:rsidRPr="00DD611D">
        <w:rPr>
          <w:rFonts w:ascii="Verdana" w:eastAsia="Times New Roman" w:hAnsi="Verdana" w:cs="Arial"/>
          <w:bCs/>
          <w:color w:val="000000" w:themeColor="text1"/>
          <w:lang w:val="es-ES_tradnl"/>
        </w:rPr>
        <w:t>, señaló que:</w:t>
      </w:r>
    </w:p>
    <w:p w14:paraId="3D660ECF" w14:textId="77777777" w:rsidR="00822223" w:rsidRPr="00DD611D" w:rsidRDefault="00822223" w:rsidP="00822223">
      <w:pPr>
        <w:tabs>
          <w:tab w:val="left" w:pos="709"/>
        </w:tabs>
        <w:spacing w:after="120" w:line="240" w:lineRule="auto"/>
        <w:ind w:left="708" w:right="758"/>
        <w:jc w:val="both"/>
        <w:rPr>
          <w:rFonts w:ascii="Verdana" w:eastAsia="Times New Roman" w:hAnsi="Verdana" w:cs="Times New Roman"/>
          <w:color w:val="000000" w:themeColor="text1"/>
          <w:sz w:val="20"/>
          <w:szCs w:val="20"/>
        </w:rPr>
      </w:pPr>
      <w:r w:rsidRPr="00DD611D">
        <w:rPr>
          <w:rFonts w:ascii="Verdana" w:eastAsia="Times New Roman" w:hAnsi="Verdana" w:cs="Times New Roman"/>
          <w:color w:val="000000" w:themeColor="text1"/>
          <w:sz w:val="20"/>
          <w:szCs w:val="20"/>
        </w:rPr>
        <w:tab/>
        <w:t xml:space="preserve">Las Entidades al establecer un requisito habilitante asociado a la experiencia, deberán solicitarlo como una consecuencia del riesgo </w:t>
      </w:r>
      <w:r w:rsidRPr="00DD611D">
        <w:rPr>
          <w:rFonts w:ascii="Verdana" w:eastAsia="Times New Roman" w:hAnsi="Verdana" w:cs="Times New Roman"/>
          <w:color w:val="000000" w:themeColor="text1"/>
          <w:sz w:val="20"/>
          <w:szCs w:val="20"/>
        </w:rPr>
        <w:lastRenderedPageBreak/>
        <w:t xml:space="preserve">identificado en la etapa de planeación, de las características del sector y del objeto del contrato, y debe referirse a la experiencia del oferente en las actividades objeto del proceso de selección. </w:t>
      </w:r>
    </w:p>
    <w:p w14:paraId="0F52EE13" w14:textId="77777777" w:rsidR="00822223" w:rsidRPr="00DD611D" w:rsidRDefault="00822223" w:rsidP="00822223">
      <w:pPr>
        <w:tabs>
          <w:tab w:val="left" w:pos="709"/>
        </w:tabs>
        <w:spacing w:after="120" w:line="240" w:lineRule="auto"/>
        <w:ind w:left="708" w:right="758"/>
        <w:jc w:val="both"/>
        <w:rPr>
          <w:rFonts w:ascii="Verdana" w:eastAsia="Times New Roman" w:hAnsi="Verdana" w:cs="Arial"/>
          <w:color w:val="000000" w:themeColor="text1"/>
          <w:sz w:val="20"/>
          <w:szCs w:val="20"/>
          <w:lang w:val="es-ES_tradnl"/>
        </w:rPr>
      </w:pPr>
      <w:r w:rsidRPr="00DD611D">
        <w:rPr>
          <w:rFonts w:ascii="Verdana" w:eastAsia="Times New Roman" w:hAnsi="Verdana" w:cs="Times New Roman"/>
          <w:color w:val="000000" w:themeColor="text1"/>
          <w:sz w:val="20"/>
          <w:szCs w:val="20"/>
        </w:rPr>
        <w:t>Si la Entidad Estatal establece requisitos habilitantes de experiencia, deberá solicitar la documentación que lo acredite, tales como copias de contratos, actas de recibo a satisfacción, actas de liquidación o certificados expedidos por terceros que hayan recibido del oferente los bienes, obras o servicios objeto del proceso de contratación.</w:t>
      </w:r>
    </w:p>
    <w:p w14:paraId="7B83FE54" w14:textId="77777777" w:rsidR="00822223" w:rsidRPr="00DD611D" w:rsidRDefault="00822223" w:rsidP="00822223">
      <w:pPr>
        <w:spacing w:after="120" w:line="276" w:lineRule="auto"/>
        <w:ind w:firstLine="708"/>
        <w:jc w:val="both"/>
        <w:rPr>
          <w:rFonts w:ascii="Verdana" w:eastAsia="Times New Roman" w:hAnsi="Verdana" w:cs="Arial"/>
          <w:color w:val="000000" w:themeColor="text1"/>
          <w:lang w:eastAsia="es-MX"/>
        </w:rPr>
      </w:pPr>
      <w:r w:rsidRPr="00DD611D">
        <w:rPr>
          <w:rFonts w:ascii="Verdana" w:eastAsia="Times New Roman" w:hAnsi="Verdana" w:cs="Arial"/>
          <w:color w:val="000000" w:themeColor="text1"/>
          <w:lang w:val="es-ES_tradnl"/>
        </w:rPr>
        <w:t xml:space="preserve">Así, la exigencia de experiencia mínima constituye un requisito habilitante que </w:t>
      </w:r>
      <w:r w:rsidRPr="00DD611D">
        <w:rPr>
          <w:rFonts w:ascii="Verdana" w:eastAsia="Times New Roman" w:hAnsi="Verdana" w:cs="Arial"/>
          <w:color w:val="000000" w:themeColor="text1"/>
          <w:lang w:eastAsia="es-MX"/>
        </w:rPr>
        <w:t xml:space="preserve">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11C0DBE6" w14:textId="77777777" w:rsidR="00822223" w:rsidRPr="00DD611D" w:rsidRDefault="00822223" w:rsidP="00822223">
      <w:pPr>
        <w:spacing w:after="120" w:line="276" w:lineRule="auto"/>
        <w:ind w:firstLine="708"/>
        <w:contextualSpacing/>
        <w:jc w:val="both"/>
        <w:rPr>
          <w:rFonts w:ascii="Verdana" w:eastAsia="Times New Roman" w:hAnsi="Verdana" w:cs="Arial"/>
          <w:color w:val="000000" w:themeColor="text1"/>
          <w:lang w:val="es-ES" w:eastAsia="es-MX"/>
        </w:rPr>
      </w:pPr>
      <w:r w:rsidRPr="00DD611D">
        <w:rPr>
          <w:rFonts w:ascii="Verdana" w:eastAsia="Times New Roman" w:hAnsi="Verdana" w:cs="Arial"/>
          <w:color w:val="000000" w:themeColor="text1"/>
          <w:lang w:val="es-ES" w:eastAsia="es-MX"/>
        </w:rPr>
        <w:t xml:space="preserve">En línea con lo anterior, la Agencia Nacional de Contratación Pública ha defendido el carácter </w:t>
      </w:r>
      <w:bookmarkStart w:id="2" w:name="_Hlk99547799"/>
      <w:r w:rsidRPr="00DD611D">
        <w:rPr>
          <w:rFonts w:ascii="Verdana" w:eastAsia="Times New Roman" w:hAnsi="Verdana" w:cs="Arial"/>
          <w:color w:val="000000" w:themeColor="text1"/>
          <w:lang w:val="es-ES"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mencionados. </w:t>
      </w:r>
      <w:bookmarkEnd w:id="2"/>
      <w:r w:rsidRPr="00DD611D">
        <w:rPr>
          <w:rFonts w:ascii="Verdana" w:eastAsia="Times New Roman" w:hAnsi="Verdana" w:cs="Arial"/>
          <w:color w:val="000000" w:themeColor="text1"/>
          <w:lang w:val="es-ES"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2EC0B1F1" w14:textId="77777777" w:rsidR="00822223" w:rsidRPr="0013233F" w:rsidRDefault="00822223" w:rsidP="00822223">
      <w:pPr>
        <w:tabs>
          <w:tab w:val="left" w:pos="142"/>
          <w:tab w:val="left" w:pos="284"/>
        </w:tabs>
        <w:spacing w:after="0" w:line="276" w:lineRule="auto"/>
        <w:rPr>
          <w:rFonts w:ascii="Verdana" w:eastAsia="Calibri" w:hAnsi="Verdana" w:cs="Arial"/>
          <w:lang w:val="es-ES"/>
        </w:rPr>
      </w:pPr>
    </w:p>
    <w:p w14:paraId="3177248C" w14:textId="77777777" w:rsidR="00822223" w:rsidRPr="00DD611D" w:rsidRDefault="00822223" w:rsidP="00822223">
      <w:pPr>
        <w:spacing w:after="120" w:line="276" w:lineRule="auto"/>
        <w:ind w:firstLine="709"/>
        <w:jc w:val="both"/>
        <w:rPr>
          <w:rFonts w:ascii="Verdana" w:eastAsia="Times New Roman" w:hAnsi="Verdana" w:cs="Arial"/>
          <w:color w:val="000000" w:themeColor="text1"/>
          <w:lang w:val="es-ES_tradnl" w:eastAsia="es-MX"/>
        </w:rPr>
      </w:pPr>
      <w:bookmarkStart w:id="3" w:name="_Hlk99548176"/>
      <w:r w:rsidRPr="00DD611D">
        <w:rPr>
          <w:rFonts w:ascii="Verdana" w:eastAsia="Times New Roman" w:hAnsi="Verdana" w:cs="Arial"/>
          <w:color w:val="000000" w:themeColor="text1"/>
          <w:lang w:val="es-ES"/>
        </w:rPr>
        <w:t xml:space="preserve">Con base en lo anterior, </w:t>
      </w:r>
      <w:r w:rsidRPr="00DD611D">
        <w:rPr>
          <w:rFonts w:ascii="Verdana" w:eastAsia="Times New Roman" w:hAnsi="Verdana" w:cs="Arial"/>
          <w:color w:val="000000" w:themeColor="text1"/>
          <w:lang w:eastAsia="es-CO"/>
        </w:rPr>
        <w:t xml:space="preserve">para acreditar el cumplimiento de los requisitos habilitantes, las entidades estatales sometidas al Estatuto General de Contratación de la Administración Pública -EGCAP-, en virtud de lo establecido en el artículo 5 y 6 de la Ley 1150 de 2007, están obligadas a efectuar la evaluación correspondiente teniendo en cuenta la información que reposa en el </w:t>
      </w:r>
      <w:r w:rsidRPr="00DD611D">
        <w:rPr>
          <w:rFonts w:ascii="Verdana" w:eastAsia="Times New Roman" w:hAnsi="Verdana" w:cs="Arial"/>
          <w:color w:val="000000" w:themeColor="text1"/>
          <w:lang w:eastAsia="es-CO"/>
        </w:rPr>
        <w:lastRenderedPageBreak/>
        <w:t>certificado del Registro Único de Proponentes -en adelante RUP-, documento que constituye plena prueba de la información que contiene</w:t>
      </w:r>
      <w:r w:rsidRPr="00DD611D">
        <w:rPr>
          <w:rFonts w:ascii="Verdana" w:eastAsia="Times New Roman" w:hAnsi="Verdana" w:cs="Times New Roman"/>
          <w:color w:val="000000" w:themeColor="text1"/>
          <w:vertAlign w:val="superscript"/>
          <w:lang w:eastAsia="es-CO"/>
        </w:rPr>
        <w:footnoteReference w:id="11"/>
      </w:r>
      <w:r w:rsidRPr="00DD611D">
        <w:rPr>
          <w:rFonts w:ascii="Verdana" w:eastAsia="Times New Roman" w:hAnsi="Verdana" w:cs="Arial"/>
          <w:color w:val="000000" w:themeColor="text1"/>
          <w:lang w:eastAsia="es-CO"/>
        </w:rPr>
        <w:t xml:space="preserve">, tal como lo establece el artículo 6.1 de la Ley 1150 de 2007. </w:t>
      </w:r>
      <w:bookmarkEnd w:id="3"/>
      <w:r w:rsidRPr="00DD611D">
        <w:rPr>
          <w:rFonts w:ascii="Verdana" w:eastAsia="Times New Roman" w:hAnsi="Verdana" w:cs="Arial"/>
          <w:color w:val="000000" w:themeColor="text1"/>
          <w:lang w:val="es-ES_tradnl" w:eastAsia="es-MX"/>
        </w:rPr>
        <w:t>Sin embargo, en los procesos de mínima cuantía por expresa excepción legal del artículo 6 de la Ley 1150 de 2007 no se requiere del RUP, por lo cual son las Entidades quienes deben verificar las condiciones de los proponentes:</w:t>
      </w:r>
    </w:p>
    <w:p w14:paraId="42C1D8F7" w14:textId="77777777" w:rsidR="00822223" w:rsidRPr="00DD611D" w:rsidRDefault="00822223" w:rsidP="00822223">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DD611D">
        <w:rPr>
          <w:rFonts w:ascii="Verdana" w:eastAsia="Times New Roman" w:hAnsi="Verdana" w:cs="Open Sans"/>
          <w:color w:val="000000" w:themeColor="text1"/>
          <w:sz w:val="20"/>
          <w:szCs w:val="20"/>
          <w:lang w:eastAsia="es-CO"/>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1AD47DC" w14:textId="77777777" w:rsidR="00822223" w:rsidRPr="00DD611D" w:rsidRDefault="00822223" w:rsidP="00822223">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DD611D">
        <w:rPr>
          <w:rFonts w:ascii="Verdana" w:eastAsia="Times New Roman" w:hAnsi="Verdana" w:cs="Open Sans"/>
          <w:color w:val="000000" w:themeColor="text1"/>
          <w:sz w:val="20"/>
          <w:szCs w:val="20"/>
          <w:u w:val="single"/>
          <w:lang w:eastAsia="es-CO"/>
        </w:rPr>
        <w:t>No se requerirá de este registro</w:t>
      </w:r>
      <w:r w:rsidRPr="00DD611D">
        <w:rPr>
          <w:rFonts w:ascii="Verdana" w:eastAsia="Times New Roman" w:hAnsi="Verdana" w:cs="Open Sans"/>
          <w:color w:val="000000" w:themeColor="text1"/>
          <w:sz w:val="20"/>
          <w:szCs w:val="20"/>
          <w:lang w:eastAsia="es-CO"/>
        </w:rPr>
        <w:t xml:space="preserve">, ni de clasificación, </w:t>
      </w:r>
      <w:r w:rsidRPr="00DD611D">
        <w:rPr>
          <w:rFonts w:ascii="Verdana" w:eastAsia="Times New Roman" w:hAnsi="Verdana" w:cs="Open Sans"/>
          <w:color w:val="000000" w:themeColor="text1"/>
          <w:sz w:val="20"/>
          <w:szCs w:val="20"/>
          <w:u w:val="single"/>
          <w:lang w:eastAsia="es-CO"/>
        </w:rPr>
        <w:t>en los casos de</w:t>
      </w:r>
      <w:r w:rsidRPr="00DD611D">
        <w:rPr>
          <w:rFonts w:ascii="Verdana" w:eastAsia="Times New Roman" w:hAnsi="Verdana" w:cs="Open Sans"/>
          <w:color w:val="000000" w:themeColor="text1"/>
          <w:sz w:val="20"/>
          <w:szCs w:val="20"/>
          <w:lang w:eastAsia="es-CO"/>
        </w:rPr>
        <w:t xml:space="preserve"> contratación directa; contratos para la prestación de servicios de salud; </w:t>
      </w:r>
      <w:r w:rsidRPr="00DD611D">
        <w:rPr>
          <w:rFonts w:ascii="Verdana" w:eastAsia="Times New Roman" w:hAnsi="Verdana" w:cs="Open Sans"/>
          <w:color w:val="000000" w:themeColor="text1"/>
          <w:sz w:val="20"/>
          <w:szCs w:val="20"/>
          <w:u w:val="single"/>
          <w:lang w:eastAsia="es-CO"/>
        </w:rPr>
        <w:t>contratos de mínima cuantía</w:t>
      </w:r>
      <w:r w:rsidRPr="00DD611D">
        <w:rPr>
          <w:rFonts w:ascii="Verdana" w:eastAsia="Times New Roman" w:hAnsi="Verdana" w:cs="Open Sans"/>
          <w:color w:val="000000" w:themeColor="text1"/>
          <w:sz w:val="20"/>
          <w:szCs w:val="20"/>
          <w:lang w:eastAsia="es-CO"/>
        </w:rPr>
        <w:t xml:space="preserve">;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w:t>
      </w:r>
      <w:r w:rsidRPr="00DD611D">
        <w:rPr>
          <w:rFonts w:ascii="Verdana" w:eastAsia="Times New Roman" w:hAnsi="Verdana" w:cs="Open Sans"/>
          <w:color w:val="000000" w:themeColor="text1"/>
          <w:sz w:val="20"/>
          <w:szCs w:val="20"/>
          <w:u w:val="single"/>
          <w:lang w:eastAsia="es-CO"/>
        </w:rPr>
        <w:t>En los casos anteriormente señalados, corresponderá a las entidades contratantes cumplir con la labor de verificación de las condiciones de los proponentes</w:t>
      </w:r>
      <w:r w:rsidRPr="00DD611D">
        <w:rPr>
          <w:rFonts w:ascii="Verdana" w:eastAsia="Times New Roman" w:hAnsi="Verdana" w:cs="Open Sans"/>
          <w:color w:val="000000" w:themeColor="text1"/>
          <w:sz w:val="20"/>
          <w:szCs w:val="20"/>
          <w:lang w:eastAsia="es-CO"/>
        </w:rPr>
        <w:t>.</w:t>
      </w:r>
    </w:p>
    <w:p w14:paraId="0FAA8B61" w14:textId="77777777" w:rsidR="00822223" w:rsidRPr="00DD611D" w:rsidRDefault="00822223" w:rsidP="00822223">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DD611D">
        <w:rPr>
          <w:rFonts w:ascii="Verdana" w:eastAsia="Times New Roman" w:hAnsi="Verdana" w:cs="Open Sans"/>
          <w:color w:val="000000" w:themeColor="text1"/>
          <w:sz w:val="20"/>
          <w:szCs w:val="20"/>
          <w:lang w:eastAsia="es-CO"/>
        </w:rPr>
        <w:t>En dicho registro constará la información relacionada con la experiencia, capacidad jurídica, financiera y de organización del proponente y su clasificación. (subrayado fuera de texto original)</w:t>
      </w:r>
    </w:p>
    <w:p w14:paraId="1CB1D485" w14:textId="77777777" w:rsidR="00822223" w:rsidRPr="00DD611D" w:rsidRDefault="00822223" w:rsidP="00822223">
      <w:pPr>
        <w:spacing w:after="0" w:line="276" w:lineRule="auto"/>
        <w:ind w:firstLine="708"/>
        <w:jc w:val="both"/>
        <w:rPr>
          <w:rFonts w:ascii="Verdana" w:eastAsia="Times New Roman" w:hAnsi="Verdana" w:cs="Arial"/>
          <w:color w:val="000000" w:themeColor="text1"/>
          <w:lang w:val="es-ES_tradnl" w:eastAsia="es-MX"/>
        </w:rPr>
      </w:pPr>
      <w:r w:rsidRPr="00DD611D">
        <w:rPr>
          <w:rFonts w:ascii="Verdana" w:eastAsia="Times New Roman" w:hAnsi="Verdana" w:cs="Arial"/>
          <w:color w:val="000000" w:themeColor="text1"/>
          <w:lang w:val="es-ES_tradnl" w:eastAsia="es-MX"/>
        </w:rPr>
        <w:lastRenderedPageBreak/>
        <w:t xml:space="preserve">En consecuencia, corresponde a las Entidades Estatales, durante la etapa de planeación del contrato estatal, estudiar y </w:t>
      </w:r>
      <w:r w:rsidRPr="00DD611D">
        <w:rPr>
          <w:rFonts w:ascii="Verdana" w:eastAsia="Times New Roman" w:hAnsi="Verdana" w:cs="Arial"/>
          <w:bCs/>
          <w:iCs/>
          <w:color w:val="000000" w:themeColor="text1"/>
          <w:lang w:val="es-ES_tradnl" w:eastAsia="es-MX"/>
        </w:rPr>
        <w:t>determinar</w:t>
      </w:r>
      <w:r w:rsidRPr="00DD611D">
        <w:rPr>
          <w:rFonts w:ascii="Verdana" w:eastAsia="Times New Roman" w:hAnsi="Verdana" w:cs="Arial"/>
          <w:color w:val="000000" w:themeColor="text1"/>
          <w:lang w:val="es-ES_tradnl" w:eastAsia="es-MX"/>
        </w:rPr>
        <w:t xml:space="preserve"> los requisitos habilitantes que establecerán en los estudios previos, los cuales deben fijarse de forma adecuada y proporcional. Lo anterior en el marco del Estatuto General de Contratación de la Administración Pública, en el que las Entidades Estatales deben regir sus actuaciones y decisiones por: el principio de transparencia en virtud del cual se indican los requisitos necesarios para participar en el correspondiente proceso de selección</w:t>
      </w:r>
      <w:r w:rsidRPr="00DD611D">
        <w:rPr>
          <w:rFonts w:ascii="Verdana" w:eastAsia="Times New Roman" w:hAnsi="Verdana" w:cs="Arial"/>
          <w:color w:val="000000" w:themeColor="text1"/>
          <w:vertAlign w:val="superscript"/>
          <w:lang w:val="es-ES_tradnl" w:eastAsia="es-MX"/>
        </w:rPr>
        <w:footnoteReference w:id="12"/>
      </w:r>
      <w:r w:rsidRPr="00DD611D">
        <w:rPr>
          <w:rFonts w:ascii="Verdana" w:eastAsia="Times New Roman" w:hAnsi="Verdana" w:cs="Arial"/>
          <w:color w:val="000000" w:themeColor="text1"/>
          <w:lang w:val="es-ES_tradnl" w:eastAsia="es-MX"/>
        </w:rPr>
        <w:t xml:space="preserve"> y especialmente, la selección objetiva que expresamente dispone en el artículo 5 de la Ley 1150 de 2007:</w:t>
      </w:r>
    </w:p>
    <w:p w14:paraId="6D32A258" w14:textId="77777777" w:rsidR="00822223" w:rsidRPr="00DD611D" w:rsidRDefault="00822223" w:rsidP="00822223">
      <w:pPr>
        <w:spacing w:after="0" w:line="276" w:lineRule="auto"/>
        <w:ind w:firstLine="708"/>
        <w:jc w:val="both"/>
        <w:rPr>
          <w:rFonts w:ascii="Verdana" w:eastAsia="Times New Roman" w:hAnsi="Verdana" w:cs="Arial"/>
          <w:color w:val="000000" w:themeColor="text1"/>
          <w:sz w:val="20"/>
          <w:szCs w:val="20"/>
          <w:lang w:val="es-ES_tradnl" w:eastAsia="es-MX"/>
        </w:rPr>
      </w:pPr>
    </w:p>
    <w:p w14:paraId="4A8AF45E" w14:textId="77777777" w:rsidR="00822223" w:rsidRDefault="00822223" w:rsidP="00822223">
      <w:pPr>
        <w:tabs>
          <w:tab w:val="left" w:pos="8080"/>
        </w:tabs>
        <w:spacing w:after="120" w:line="240" w:lineRule="auto"/>
        <w:ind w:leftChars="386" w:left="849" w:right="709" w:firstLine="2"/>
        <w:jc w:val="both"/>
        <w:rPr>
          <w:rFonts w:ascii="Verdana" w:eastAsia="Times New Roman" w:hAnsi="Verdana" w:cs="Open Sans"/>
          <w:color w:val="000000" w:themeColor="text1"/>
          <w:sz w:val="20"/>
          <w:szCs w:val="20"/>
        </w:rPr>
      </w:pPr>
      <w:r w:rsidRPr="00DD611D">
        <w:rPr>
          <w:rFonts w:ascii="Verdana" w:eastAsia="Times New Roman" w:hAnsi="Verdana" w:cs="Open Sans"/>
          <w:color w:val="000000" w:themeColor="text1"/>
          <w:sz w:val="20"/>
          <w:szCs w:val="20"/>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DD611D">
        <w:rPr>
          <w:rFonts w:ascii="Verdana" w:eastAsia="Times New Roman" w:hAnsi="Verdana" w:cs="Open Sans"/>
          <w:color w:val="000000" w:themeColor="text1"/>
          <w:sz w:val="20"/>
          <w:szCs w:val="20"/>
        </w:rPr>
        <w:t>equivalentes,</w:t>
      </w:r>
      <w:proofErr w:type="gramEnd"/>
      <w:r w:rsidRPr="00DD611D">
        <w:rPr>
          <w:rFonts w:ascii="Verdana" w:eastAsia="Times New Roman" w:hAnsi="Verdana" w:cs="Open Sans"/>
          <w:color w:val="000000" w:themeColor="text1"/>
          <w:sz w:val="20"/>
          <w:szCs w:val="20"/>
        </w:rPr>
        <w:t xml:space="preserve"> tendrán en cuenta los siguientes criterios:</w:t>
      </w:r>
    </w:p>
    <w:p w14:paraId="4FCD914A" w14:textId="77777777" w:rsidR="00822223" w:rsidRPr="00DD611D" w:rsidRDefault="00822223" w:rsidP="00822223">
      <w:pPr>
        <w:pStyle w:val="Prrafodelista"/>
        <w:numPr>
          <w:ilvl w:val="0"/>
          <w:numId w:val="17"/>
        </w:numPr>
        <w:tabs>
          <w:tab w:val="left" w:pos="8080"/>
        </w:tabs>
        <w:spacing w:after="120" w:line="240" w:lineRule="auto"/>
        <w:ind w:right="709"/>
        <w:jc w:val="both"/>
        <w:rPr>
          <w:rFonts w:ascii="Verdana" w:eastAsia="Times New Roman" w:hAnsi="Verdana" w:cs="Open Sans"/>
          <w:color w:val="000000" w:themeColor="text1"/>
          <w:sz w:val="20"/>
          <w:szCs w:val="20"/>
        </w:rPr>
      </w:pPr>
      <w:r w:rsidRPr="00DD611D">
        <w:rPr>
          <w:rFonts w:ascii="Verdana" w:eastAsia="Times New Roman" w:hAnsi="Verdana" w:cs="Open Sans"/>
          <w:color w:val="000000" w:themeColor="text1"/>
          <w:sz w:val="20"/>
          <w:szCs w:val="20"/>
        </w:rPr>
        <w:t>La capacidad jurídica y las condiciones de experiencia, capacidad financiera y de organización de los proponentes serán objeto de verificación de cumplimiento como requisitos habilitantes para la participación en el proceso de selección </w:t>
      </w:r>
      <w:r w:rsidRPr="00DD611D">
        <w:rPr>
          <w:rFonts w:ascii="Verdana" w:eastAsia="Times New Roman" w:hAnsi="Verdana" w:cs="Open Sans"/>
          <w:color w:val="000000" w:themeColor="text1"/>
          <w:sz w:val="20"/>
          <w:szCs w:val="20"/>
          <w:u w:val="single"/>
        </w:rPr>
        <w:t>y no otorgarán puntaje, con excepción de lo previsto en el numeral 4 del presente artículo</w:t>
      </w:r>
      <w:r w:rsidRPr="00DD611D">
        <w:rPr>
          <w:rFonts w:ascii="Verdana" w:eastAsia="Times New Roman" w:hAnsi="Verdana" w:cs="Open Sans"/>
          <w:b/>
          <w:bCs/>
          <w:color w:val="000000" w:themeColor="text1"/>
          <w:sz w:val="20"/>
          <w:szCs w:val="20"/>
          <w:u w:val="single"/>
        </w:rPr>
        <w:t>. La exigencia de tales condiciones debe ser adecuada y proporcional a la naturaleza del contrato a suscribir y a su valor.</w:t>
      </w:r>
      <w:r w:rsidRPr="00DD611D">
        <w:rPr>
          <w:rFonts w:ascii="Verdana" w:eastAsia="Times New Roman" w:hAnsi="Verdana" w:cs="Open Sans"/>
          <w:color w:val="000000" w:themeColor="text1"/>
          <w:sz w:val="20"/>
          <w:szCs w:val="20"/>
        </w:rPr>
        <w:t xml:space="preserve"> La verificación documental de las condiciones antes señaladas será efectuada por las Cámaras de Comercio de conformidad con lo establecido en el artículo </w:t>
      </w:r>
      <w:hyperlink r:id="rId13" w:anchor="6" w:history="1">
        <w:r w:rsidRPr="00DD611D">
          <w:rPr>
            <w:rFonts w:ascii="Verdana" w:eastAsia="Times New Roman" w:hAnsi="Verdana" w:cs="Open Sans"/>
            <w:color w:val="000000" w:themeColor="text1"/>
            <w:sz w:val="20"/>
            <w:szCs w:val="20"/>
            <w:u w:val="single"/>
          </w:rPr>
          <w:t>6</w:t>
        </w:r>
      </w:hyperlink>
      <w:r w:rsidRPr="00DD611D">
        <w:rPr>
          <w:rFonts w:ascii="Verdana" w:eastAsia="Times New Roman" w:hAnsi="Verdana" w:cs="Open Sans"/>
          <w:color w:val="000000" w:themeColor="text1"/>
          <w:sz w:val="20"/>
          <w:szCs w:val="20"/>
        </w:rPr>
        <w:t>o de la presente ley, de acuerdo con lo cual se expedirá la respectiva certificación. […] (negrilla fuera de texto original)</w:t>
      </w:r>
      <w:r>
        <w:rPr>
          <w:rFonts w:ascii="Verdana" w:eastAsia="Times New Roman" w:hAnsi="Verdana" w:cs="Open Sans"/>
          <w:color w:val="000000" w:themeColor="text1"/>
          <w:sz w:val="20"/>
          <w:szCs w:val="20"/>
        </w:rPr>
        <w:t>.</w:t>
      </w:r>
    </w:p>
    <w:p w14:paraId="1C4BA73D" w14:textId="77777777" w:rsidR="00822223" w:rsidRPr="002A1C15" w:rsidRDefault="00822223" w:rsidP="00822223">
      <w:pPr>
        <w:spacing w:line="276" w:lineRule="auto"/>
        <w:jc w:val="both"/>
        <w:rPr>
          <w:rFonts w:ascii="Verdana" w:eastAsia="Times New Roman" w:hAnsi="Verdana" w:cs="Open Sans"/>
          <w:color w:val="000000" w:themeColor="text1"/>
        </w:rPr>
      </w:pPr>
      <w:r w:rsidRPr="002A1C15">
        <w:rPr>
          <w:rFonts w:ascii="Verdana" w:eastAsia="Times New Roman" w:hAnsi="Verdana" w:cs="Open Sans"/>
        </w:rPr>
        <w:t xml:space="preserve">Así, si bien las Entidades Estatales tienen la facultad de decidir si exigen </w:t>
      </w:r>
      <w:r w:rsidRPr="00DD611D">
        <w:rPr>
          <w:rFonts w:ascii="Verdana" w:eastAsia="Times New Roman" w:hAnsi="Verdana" w:cs="Open Sans"/>
          <w:color w:val="000000" w:themeColor="text1"/>
        </w:rPr>
        <w:t xml:space="preserve">experiencia mínima como requisito habilitante para un proceso de mínima cuantía, en virtud de los principios de transparencia y selección objetiva que rigen la contratación estatal es recomendable que con el objetivo de satisfacer la necesidad y los fines que busca la Entidad con la respectiva contratación, se establezcan en la etapa de planeación las condiciones de experiencia requeridas de forma proporcional a la naturaleza y el valor del contrato, teniendo en cuenta los riesgos identificados, las características del sector, así como la forma de </w:t>
      </w:r>
      <w:r w:rsidRPr="00DD611D">
        <w:rPr>
          <w:rFonts w:ascii="Verdana" w:eastAsia="Times New Roman" w:hAnsi="Verdana" w:cs="Open Sans"/>
          <w:color w:val="000000" w:themeColor="text1"/>
        </w:rPr>
        <w:lastRenderedPageBreak/>
        <w:t xml:space="preserve">acreditación de la misma como una herramienta para garantizar el cumplimiento del objeto y  la calidad de los bienes o servicios a adquirir. </w:t>
      </w:r>
    </w:p>
    <w:p w14:paraId="1D5BA375" w14:textId="77777777" w:rsidR="00822223" w:rsidRPr="002A1C15" w:rsidRDefault="00822223" w:rsidP="00822223">
      <w:pPr>
        <w:tabs>
          <w:tab w:val="left" w:pos="142"/>
          <w:tab w:val="left" w:pos="284"/>
        </w:tabs>
        <w:spacing w:after="0" w:line="276" w:lineRule="auto"/>
        <w:rPr>
          <w:rFonts w:ascii="Verdana" w:eastAsia="Century Gothic" w:hAnsi="Verdana" w:cs="Century Gothic"/>
          <w:b/>
          <w:bCs/>
        </w:rPr>
      </w:pPr>
      <w:r w:rsidRPr="002A1C15">
        <w:rPr>
          <w:rFonts w:ascii="Verdana" w:eastAsia="Century Gothic" w:hAnsi="Verdana" w:cs="Century Gothic"/>
          <w:b/>
          <w:bCs/>
        </w:rPr>
        <w:t>4. Referencias normativas:</w:t>
      </w:r>
      <w:bookmarkEnd w:id="0"/>
    </w:p>
    <w:p w14:paraId="5F9A803E" w14:textId="77777777" w:rsidR="00822223" w:rsidRPr="00484A10" w:rsidRDefault="00822223" w:rsidP="00822223">
      <w:pPr>
        <w:tabs>
          <w:tab w:val="left" w:pos="142"/>
          <w:tab w:val="left" w:pos="284"/>
        </w:tabs>
        <w:spacing w:after="0" w:line="276" w:lineRule="auto"/>
        <w:rPr>
          <w:rFonts w:ascii="Verdana" w:eastAsia="Century Gothic" w:hAnsi="Verdana" w:cs="Century Gothic"/>
          <w:b/>
          <w:bCs/>
          <w:color w:val="6699FF"/>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22223" w:rsidRPr="00484A10" w14:paraId="59140E18" w14:textId="77777777">
        <w:trPr>
          <w:trHeight w:val="1148"/>
          <w:jc w:val="center"/>
        </w:trPr>
        <w:tc>
          <w:tcPr>
            <w:tcW w:w="8647" w:type="dxa"/>
          </w:tcPr>
          <w:p w14:paraId="4536A1F7" w14:textId="77777777" w:rsidR="00822223" w:rsidRPr="002A1C15" w:rsidRDefault="00822223" w:rsidP="00822223">
            <w:pPr>
              <w:numPr>
                <w:ilvl w:val="0"/>
                <w:numId w:val="18"/>
              </w:numPr>
              <w:spacing w:line="276" w:lineRule="auto"/>
              <w:jc w:val="both"/>
              <w:rPr>
                <w:rFonts w:ascii="Verdana" w:eastAsia="Aptos" w:hAnsi="Verdana" w:cs="Arial"/>
                <w:bCs/>
                <w:lang w:val="es-MX"/>
              </w:rPr>
            </w:pPr>
            <w:r w:rsidRPr="002A1C15">
              <w:rPr>
                <w:rFonts w:ascii="Verdana" w:eastAsia="Aptos" w:hAnsi="Verdana" w:cs="Arial"/>
                <w:bCs/>
                <w:lang w:val="es-MX"/>
              </w:rPr>
              <w:t>Ley 1150 de 2007: artículo 2, numeral 5, literal d.</w:t>
            </w:r>
          </w:p>
          <w:p w14:paraId="5BF05998" w14:textId="77777777" w:rsidR="00822223" w:rsidRPr="002A1C15" w:rsidRDefault="00822223" w:rsidP="00822223">
            <w:pPr>
              <w:numPr>
                <w:ilvl w:val="0"/>
                <w:numId w:val="18"/>
              </w:numPr>
              <w:spacing w:line="276" w:lineRule="auto"/>
              <w:jc w:val="both"/>
              <w:rPr>
                <w:rFonts w:ascii="Verdana" w:eastAsia="Aptos" w:hAnsi="Verdana" w:cs="Arial"/>
                <w:bCs/>
                <w:lang w:val="es-MX"/>
              </w:rPr>
            </w:pPr>
            <w:r w:rsidRPr="002A1C15">
              <w:rPr>
                <w:rFonts w:ascii="Verdana" w:eastAsia="Aptos" w:hAnsi="Verdana" w:cs="Arial"/>
                <w:bCs/>
                <w:lang w:val="es-MX"/>
              </w:rPr>
              <w:t>Ley 2069 de 2020: artículo 30</w:t>
            </w:r>
          </w:p>
          <w:p w14:paraId="2EAA0665" w14:textId="77777777" w:rsidR="00822223" w:rsidRPr="002A1C15" w:rsidRDefault="00822223" w:rsidP="00822223">
            <w:pPr>
              <w:numPr>
                <w:ilvl w:val="0"/>
                <w:numId w:val="18"/>
              </w:numPr>
              <w:spacing w:line="276" w:lineRule="auto"/>
              <w:jc w:val="both"/>
              <w:rPr>
                <w:rFonts w:ascii="Verdana" w:eastAsia="Aptos" w:hAnsi="Verdana" w:cs="Arial"/>
                <w:bCs/>
                <w:lang w:val="es-MX"/>
              </w:rPr>
            </w:pPr>
            <w:r w:rsidRPr="002A1C15">
              <w:rPr>
                <w:rFonts w:ascii="Verdana" w:eastAsia="Aptos" w:hAnsi="Verdana" w:cs="Arial"/>
                <w:bCs/>
                <w:lang w:val="es-MX"/>
              </w:rPr>
              <w:t xml:space="preserve">Decreto 1082 del 2015: artículos 2.2.1.2.1.5.2, 2.2.1.2.1.5.1. al 2.2.1.2.1.5.4 y 2.2.1.2.3.1.6 </w:t>
            </w:r>
          </w:p>
          <w:p w14:paraId="4BC412ED" w14:textId="77777777" w:rsidR="00822223" w:rsidRPr="002A1C15" w:rsidRDefault="00822223" w:rsidP="00822223">
            <w:pPr>
              <w:numPr>
                <w:ilvl w:val="0"/>
                <w:numId w:val="18"/>
              </w:numPr>
              <w:spacing w:line="276" w:lineRule="auto"/>
              <w:jc w:val="both"/>
              <w:rPr>
                <w:rFonts w:ascii="Verdana" w:eastAsia="Aptos" w:hAnsi="Verdana" w:cs="Arial"/>
                <w:bCs/>
                <w:color w:val="6699FF"/>
                <w:lang w:val="es-MX"/>
              </w:rPr>
            </w:pPr>
            <w:r w:rsidRPr="002A1C15">
              <w:rPr>
                <w:rFonts w:ascii="Verdana" w:eastAsia="Aptos" w:hAnsi="Verdana" w:cs="Arial"/>
                <w:bCs/>
                <w:lang w:val="es-MX"/>
              </w:rPr>
              <w:t xml:space="preserve">Manual de la modalidad de selección de mínima cuantía  </w:t>
            </w:r>
            <w:hyperlink r:id="rId14" w:history="1">
              <w:r w:rsidRPr="002A1C15">
                <w:rPr>
                  <w:rStyle w:val="Hipervnculo"/>
                  <w:rFonts w:ascii="Verdana" w:eastAsia="Aptos" w:hAnsi="Verdana" w:cs="Arial"/>
                  <w:bCs/>
                  <w:lang w:val="es-MX"/>
                </w:rPr>
                <w:t>https://www.colombiacompra.gov.co/wp-content/uploads/2024/08/manual_de_la_modalidad_de_seleccion_de_minima_cuantia.pdf</w:t>
              </w:r>
            </w:hyperlink>
            <w:r w:rsidRPr="002A1C15">
              <w:rPr>
                <w:rFonts w:ascii="Verdana" w:eastAsia="Aptos" w:hAnsi="Verdana" w:cs="Arial"/>
                <w:bCs/>
                <w:color w:val="6699FF"/>
                <w:lang w:val="es-MX"/>
              </w:rPr>
              <w:t xml:space="preserve"> </w:t>
            </w:r>
          </w:p>
          <w:p w14:paraId="3C16FDD1" w14:textId="77777777" w:rsidR="00822223" w:rsidRPr="002A1C15" w:rsidRDefault="00822223">
            <w:pPr>
              <w:pStyle w:val="Prrafodelista"/>
              <w:spacing w:line="276" w:lineRule="auto"/>
              <w:ind w:right="180"/>
              <w:jc w:val="both"/>
              <w:rPr>
                <w:rFonts w:ascii="Verdana" w:eastAsia="Aptos" w:hAnsi="Verdana" w:cs="Arial"/>
                <w:bCs/>
                <w:color w:val="6699FF"/>
                <w:lang w:val="es-MX"/>
              </w:rPr>
            </w:pPr>
          </w:p>
        </w:tc>
      </w:tr>
    </w:tbl>
    <w:p w14:paraId="716DA062" w14:textId="77777777" w:rsidR="00822223" w:rsidRPr="00484A10" w:rsidRDefault="00822223" w:rsidP="00822223">
      <w:pPr>
        <w:widowControl w:val="0"/>
        <w:autoSpaceDE w:val="0"/>
        <w:autoSpaceDN w:val="0"/>
        <w:spacing w:after="0" w:line="276" w:lineRule="auto"/>
        <w:jc w:val="both"/>
        <w:rPr>
          <w:rFonts w:ascii="Verdana" w:hAnsi="Verdana" w:cs="Arial"/>
          <w:color w:val="6699FF"/>
        </w:rPr>
      </w:pPr>
    </w:p>
    <w:p w14:paraId="15AEBE80" w14:textId="77777777" w:rsidR="00822223" w:rsidRPr="005C3365" w:rsidRDefault="00822223" w:rsidP="00822223">
      <w:pPr>
        <w:tabs>
          <w:tab w:val="left" w:pos="142"/>
          <w:tab w:val="left" w:pos="284"/>
        </w:tabs>
        <w:spacing w:after="0" w:line="276" w:lineRule="auto"/>
        <w:jc w:val="both"/>
        <w:rPr>
          <w:rFonts w:ascii="Verdana" w:eastAsia="Century Gothic" w:hAnsi="Verdana" w:cs="Century Gothic"/>
          <w:b/>
          <w:bCs/>
        </w:rPr>
      </w:pPr>
      <w:r w:rsidRPr="005C3365">
        <w:rPr>
          <w:rFonts w:ascii="Verdana" w:eastAsia="Century Gothic" w:hAnsi="Verdana" w:cs="Century Gothic"/>
          <w:b/>
          <w:bCs/>
        </w:rPr>
        <w:t>5. Doctrina de la Agencia Nacional de Contratación Pública:</w:t>
      </w:r>
    </w:p>
    <w:p w14:paraId="6BCEE161" w14:textId="77777777" w:rsidR="00822223" w:rsidRPr="005C3365" w:rsidRDefault="00822223" w:rsidP="00822223">
      <w:pPr>
        <w:widowControl w:val="0"/>
        <w:autoSpaceDE w:val="0"/>
        <w:autoSpaceDN w:val="0"/>
        <w:spacing w:after="0" w:line="276" w:lineRule="auto"/>
        <w:jc w:val="both"/>
        <w:rPr>
          <w:rFonts w:ascii="Verdana" w:hAnsi="Verdana" w:cs="Arial"/>
          <w:color w:val="6699FF"/>
          <w:shd w:val="clear" w:color="auto" w:fill="FFFFFF"/>
        </w:rPr>
      </w:pPr>
    </w:p>
    <w:p w14:paraId="7AA93EDF" w14:textId="77777777" w:rsidR="00822223" w:rsidRPr="00AB58EB" w:rsidRDefault="00822223" w:rsidP="00822223">
      <w:pPr>
        <w:widowControl w:val="0"/>
        <w:autoSpaceDE w:val="0"/>
        <w:autoSpaceDN w:val="0"/>
        <w:spacing w:after="0" w:line="276" w:lineRule="auto"/>
        <w:jc w:val="both"/>
        <w:rPr>
          <w:rFonts w:ascii="Verdana" w:hAnsi="Verdana" w:cs="Arial"/>
          <w:bCs/>
          <w:shd w:val="clear" w:color="auto" w:fill="FFFFFF"/>
        </w:rPr>
      </w:pPr>
      <w:r w:rsidRPr="005C3365">
        <w:rPr>
          <w:rFonts w:ascii="Verdana" w:hAnsi="Verdana" w:cs="Arial"/>
          <w:shd w:val="clear" w:color="auto" w:fill="FFFFFF"/>
        </w:rPr>
        <w:t xml:space="preserve">La Agencia Nacional de Contratación Pública – Colombia Compra Eficiente </w:t>
      </w:r>
      <w:r w:rsidRPr="005C3365">
        <w:rPr>
          <w:rFonts w:ascii="Verdana" w:hAnsi="Verdana" w:cs="Arial"/>
          <w:shd w:val="clear" w:color="auto" w:fill="FFFFFF"/>
          <w:lang w:val="es-MX"/>
        </w:rPr>
        <w:t>ha analizado</w:t>
      </w:r>
      <w:r w:rsidRPr="005C3365">
        <w:rPr>
          <w:rFonts w:ascii="Verdana" w:hAnsi="Verdana" w:cs="Arial"/>
          <w:bCs/>
          <w:shd w:val="clear" w:color="auto" w:fill="FFFFFF"/>
          <w:lang w:val="es-ES_tradnl"/>
        </w:rPr>
        <w:t xml:space="preserve"> particularidades de la modalidad de selección de mínima cuantía en los conceptos con radicado </w:t>
      </w:r>
      <w:r w:rsidRPr="00AB58EB">
        <w:rPr>
          <w:rFonts w:ascii="Verdana" w:hAnsi="Verdana" w:cs="Arial"/>
          <w:bCs/>
          <w:shd w:val="clear" w:color="auto" w:fill="FFFFFF"/>
          <w:lang w:val="es-ES"/>
        </w:rPr>
        <w:t xml:space="preserve">respecto </w:t>
      </w:r>
      <w:r w:rsidRPr="00AB58EB">
        <w:rPr>
          <w:rFonts w:ascii="Verdana" w:hAnsi="Verdana" w:cs="Arial"/>
          <w:bCs/>
          <w:shd w:val="clear" w:color="auto" w:fill="FFFFFF"/>
          <w:lang w:val="es-ES_tradnl"/>
        </w:rPr>
        <w:t xml:space="preserve">de la modalidad de selección de mínima cuantía, la Subdirección de Gestión Contractual se ha pronunciado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w:t>
      </w:r>
      <w:r w:rsidRPr="00AB58EB">
        <w:rPr>
          <w:rFonts w:ascii="Verdana" w:hAnsi="Verdana" w:cs="Arial"/>
          <w:bCs/>
          <w:shd w:val="clear" w:color="auto" w:fill="FFFFFF"/>
          <w:lang w:val="es-ES"/>
        </w:rPr>
        <w:t xml:space="preserve">C-416 del 13 de mayo de 2025, C-579 del 24 de junio de 2025, </w:t>
      </w:r>
      <w:r>
        <w:rPr>
          <w:rFonts w:ascii="Verdana" w:hAnsi="Verdana" w:cs="Arial"/>
          <w:bCs/>
          <w:shd w:val="clear" w:color="auto" w:fill="FFFFFF"/>
          <w:lang w:val="es-ES"/>
        </w:rPr>
        <w:t xml:space="preserve">C – 736 de </w:t>
      </w:r>
      <w:r w:rsidRPr="00AB58EB">
        <w:rPr>
          <w:rFonts w:ascii="Verdana" w:hAnsi="Verdana" w:cs="Arial"/>
          <w:bCs/>
          <w:shd w:val="clear" w:color="auto" w:fill="FFFFFF"/>
        </w:rPr>
        <w:t>18 de julio de 2025</w:t>
      </w:r>
      <w:r>
        <w:rPr>
          <w:rFonts w:ascii="Verdana" w:hAnsi="Verdana" w:cs="Arial"/>
          <w:bCs/>
          <w:shd w:val="clear" w:color="auto" w:fill="FFFFFF"/>
        </w:rPr>
        <w:t xml:space="preserve">, </w:t>
      </w:r>
      <w:r w:rsidRPr="00AB58EB">
        <w:rPr>
          <w:rFonts w:ascii="Verdana" w:hAnsi="Verdana" w:cs="Arial"/>
          <w:bCs/>
          <w:shd w:val="clear" w:color="auto" w:fill="FFFFFF"/>
          <w:lang w:val="es-ES"/>
        </w:rPr>
        <w:t xml:space="preserve">entre otros. </w:t>
      </w:r>
      <w:r w:rsidRPr="00AB58EB">
        <w:rPr>
          <w:rFonts w:ascii="Verdana" w:hAnsi="Verdana" w:cs="Arial"/>
          <w:bCs/>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9DDDBEF" w14:textId="77777777" w:rsidR="00822223" w:rsidRPr="00AB58EB" w:rsidRDefault="00822223" w:rsidP="00822223">
      <w:pPr>
        <w:widowControl w:val="0"/>
        <w:autoSpaceDE w:val="0"/>
        <w:autoSpaceDN w:val="0"/>
        <w:spacing w:after="0" w:line="276" w:lineRule="auto"/>
        <w:jc w:val="both"/>
        <w:rPr>
          <w:rFonts w:ascii="Verdana" w:hAnsi="Verdana" w:cs="Arial"/>
          <w:bCs/>
          <w:shd w:val="clear" w:color="auto" w:fill="FFFFFF"/>
        </w:rPr>
      </w:pPr>
      <w:hyperlink r:id="rId15" w:history="1">
        <w:r w:rsidRPr="00AB58EB">
          <w:rPr>
            <w:rStyle w:val="Hipervnculo"/>
            <w:rFonts w:ascii="Verdana" w:hAnsi="Verdana" w:cs="Arial"/>
            <w:bCs/>
            <w:shd w:val="clear" w:color="auto" w:fill="FFFFFF"/>
          </w:rPr>
          <w:t>https://www.colomb</w:t>
        </w:r>
        <w:r w:rsidRPr="007E5148">
          <w:rPr>
            <w:rStyle w:val="Hipervnculo"/>
            <w:rFonts w:ascii="Verdana" w:hAnsi="Verdana" w:cs="Arial"/>
            <w:bCs/>
            <w:shd w:val="clear" w:color="auto" w:fill="FFFFFF"/>
          </w:rPr>
          <w:t>iaco</w:t>
        </w:r>
        <w:r w:rsidRPr="00AB58EB">
          <w:rPr>
            <w:rStyle w:val="Hipervnculo"/>
            <w:rFonts w:ascii="Verdana" w:hAnsi="Verdana" w:cs="Arial"/>
            <w:bCs/>
            <w:shd w:val="clear" w:color="auto" w:fill="FFFFFF"/>
          </w:rPr>
          <w:t>mpra.gov.co/normativa-y-relatoria/conoce-la-relatoria</w:t>
        </w:r>
      </w:hyperlink>
      <w:r w:rsidRPr="00AB58EB">
        <w:rPr>
          <w:rFonts w:ascii="Verdana" w:hAnsi="Verdana" w:cs="Arial"/>
          <w:bCs/>
          <w:shd w:val="clear" w:color="auto" w:fill="FFFFFF"/>
        </w:rPr>
        <w:t xml:space="preserve"> </w:t>
      </w:r>
    </w:p>
    <w:p w14:paraId="5F4B4174" w14:textId="77777777" w:rsidR="00822223" w:rsidRPr="005C3365" w:rsidRDefault="00822223" w:rsidP="00822223">
      <w:pPr>
        <w:widowControl w:val="0"/>
        <w:autoSpaceDE w:val="0"/>
        <w:autoSpaceDN w:val="0"/>
        <w:spacing w:after="0" w:line="276" w:lineRule="auto"/>
        <w:jc w:val="both"/>
        <w:rPr>
          <w:rFonts w:ascii="Verdana" w:hAnsi="Verdana" w:cs="Arial"/>
          <w:shd w:val="clear" w:color="auto" w:fill="FFFFFF"/>
          <w:lang w:val="es-ES_tradnl"/>
        </w:rPr>
      </w:pPr>
    </w:p>
    <w:p w14:paraId="651AF2FA" w14:textId="77777777" w:rsidR="00822223" w:rsidRPr="00464D09" w:rsidRDefault="00822223" w:rsidP="0082222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Por último, lo invitamos a seguirnos en las redes sociales en las cuales se difunde información institucional:  </w:t>
      </w:r>
    </w:p>
    <w:p w14:paraId="55E859FA" w14:textId="77777777" w:rsidR="00822223" w:rsidRPr="00464D09" w:rsidRDefault="00822223" w:rsidP="00822223">
      <w:pPr>
        <w:widowControl w:val="0"/>
        <w:autoSpaceDE w:val="0"/>
        <w:autoSpaceDN w:val="0"/>
        <w:spacing w:after="0" w:line="276" w:lineRule="auto"/>
        <w:jc w:val="both"/>
        <w:rPr>
          <w:rFonts w:ascii="Verdana" w:hAnsi="Verdana" w:cs="Arial"/>
          <w:shd w:val="clear" w:color="auto" w:fill="FFFFFF"/>
        </w:rPr>
      </w:pPr>
    </w:p>
    <w:p w14:paraId="4DD0C102" w14:textId="77777777" w:rsidR="00822223" w:rsidRPr="007E5148" w:rsidRDefault="00822223" w:rsidP="00822223">
      <w:pPr>
        <w:widowControl w:val="0"/>
        <w:autoSpaceDE w:val="0"/>
        <w:autoSpaceDN w:val="0"/>
        <w:spacing w:after="0" w:line="276" w:lineRule="auto"/>
        <w:jc w:val="both"/>
        <w:rPr>
          <w:rFonts w:ascii="Verdana" w:hAnsi="Verdana" w:cs="Arial"/>
          <w:color w:val="0000FF"/>
          <w:u w:val="single"/>
          <w:shd w:val="clear" w:color="auto" w:fill="FFFFFF"/>
        </w:rPr>
      </w:pPr>
      <w:r w:rsidRPr="00464D09">
        <w:rPr>
          <w:rFonts w:ascii="Verdana" w:hAnsi="Verdana" w:cs="Arial"/>
          <w:shd w:val="clear" w:color="auto" w:fill="FFFFFF"/>
        </w:rPr>
        <w:t>Twitter: </w:t>
      </w:r>
      <w:r w:rsidRPr="007E5148">
        <w:rPr>
          <w:rFonts w:ascii="Verdana" w:hAnsi="Verdana" w:cs="Arial"/>
          <w:color w:val="0000FF"/>
          <w:u w:val="single"/>
          <w:shd w:val="clear" w:color="auto" w:fill="FFFFFF"/>
        </w:rPr>
        <w:t>@colombiacompra</w:t>
      </w:r>
      <w:r w:rsidRPr="007E5148">
        <w:rPr>
          <w:rFonts w:ascii="Verdana" w:hAnsi="Verdana" w:cs="Arial"/>
          <w:color w:val="0000FF"/>
          <w:shd w:val="clear" w:color="auto" w:fill="FFFFFF"/>
        </w:rPr>
        <w:t>  </w:t>
      </w:r>
    </w:p>
    <w:p w14:paraId="5C8946DC" w14:textId="77777777" w:rsidR="00822223" w:rsidRPr="00464D09" w:rsidRDefault="00822223" w:rsidP="0082222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lastRenderedPageBreak/>
        <w:t>Facebook: </w:t>
      </w:r>
      <w:r w:rsidRPr="007E5148">
        <w:rPr>
          <w:rFonts w:ascii="Verdana" w:hAnsi="Verdana" w:cs="Arial"/>
          <w:color w:val="0000FF"/>
          <w:u w:val="single"/>
          <w:shd w:val="clear" w:color="auto" w:fill="FFFFFF"/>
        </w:rPr>
        <w:t>ColombiaCompraEficiente</w:t>
      </w:r>
      <w:r w:rsidRPr="00464D09">
        <w:rPr>
          <w:rFonts w:ascii="Verdana" w:hAnsi="Verdana" w:cs="Arial"/>
          <w:shd w:val="clear" w:color="auto" w:fill="FFFFFF"/>
        </w:rPr>
        <w:t> </w:t>
      </w:r>
    </w:p>
    <w:p w14:paraId="19705DA9" w14:textId="77777777" w:rsidR="00822223" w:rsidRPr="007E5148" w:rsidRDefault="00822223" w:rsidP="00822223">
      <w:pPr>
        <w:widowControl w:val="0"/>
        <w:autoSpaceDE w:val="0"/>
        <w:autoSpaceDN w:val="0"/>
        <w:spacing w:after="0" w:line="276" w:lineRule="auto"/>
        <w:jc w:val="both"/>
        <w:rPr>
          <w:rFonts w:ascii="Verdana" w:hAnsi="Verdana" w:cs="Arial"/>
          <w:color w:val="0000FF"/>
          <w:shd w:val="clear" w:color="auto" w:fill="FFFFFF"/>
        </w:rPr>
      </w:pPr>
      <w:r w:rsidRPr="00464D09">
        <w:rPr>
          <w:rFonts w:ascii="Verdana" w:hAnsi="Verdana" w:cs="Arial"/>
          <w:shd w:val="clear" w:color="auto" w:fill="FFFFFF"/>
        </w:rPr>
        <w:t xml:space="preserve">LinkedIn: </w:t>
      </w:r>
      <w:r w:rsidRPr="007E5148">
        <w:rPr>
          <w:rFonts w:ascii="Verdana" w:hAnsi="Verdana" w:cs="Arial"/>
          <w:color w:val="0000FF"/>
          <w:shd w:val="clear" w:color="auto" w:fill="FFFFFF"/>
        </w:rPr>
        <w:t>Agencia Nacional de Contratación Pública - Colombia Compra Eficiente</w:t>
      </w:r>
    </w:p>
    <w:p w14:paraId="06C5D9EA" w14:textId="77777777" w:rsidR="00822223" w:rsidRPr="00464D09" w:rsidRDefault="00822223" w:rsidP="00822223">
      <w:pPr>
        <w:widowControl w:val="0"/>
        <w:autoSpaceDE w:val="0"/>
        <w:autoSpaceDN w:val="0"/>
        <w:spacing w:after="0" w:line="276" w:lineRule="auto"/>
        <w:jc w:val="both"/>
        <w:rPr>
          <w:rFonts w:ascii="Verdana" w:hAnsi="Verdana" w:cs="Arial"/>
          <w:shd w:val="clear" w:color="auto" w:fill="FFFFFF"/>
        </w:rPr>
      </w:pPr>
      <w:r w:rsidRPr="00464D09">
        <w:rPr>
          <w:rFonts w:ascii="Verdana" w:hAnsi="Verdana" w:cs="Arial"/>
          <w:shd w:val="clear" w:color="auto" w:fill="FFFFFF"/>
        </w:rPr>
        <w:t>Instagram: </w:t>
      </w:r>
      <w:r w:rsidRPr="007E5148">
        <w:rPr>
          <w:rFonts w:ascii="Verdana" w:hAnsi="Verdana" w:cs="Arial"/>
          <w:color w:val="0000FF"/>
          <w:u w:val="single"/>
          <w:shd w:val="clear" w:color="auto" w:fill="FFFFFF"/>
        </w:rPr>
        <w:t>@colombiacompraeficiente_cce</w:t>
      </w:r>
    </w:p>
    <w:p w14:paraId="6F459E5A" w14:textId="77777777" w:rsidR="00822223" w:rsidRPr="00464D09" w:rsidRDefault="00822223" w:rsidP="00822223">
      <w:pPr>
        <w:widowControl w:val="0"/>
        <w:autoSpaceDE w:val="0"/>
        <w:autoSpaceDN w:val="0"/>
        <w:spacing w:after="0" w:line="276" w:lineRule="auto"/>
        <w:jc w:val="both"/>
        <w:rPr>
          <w:rFonts w:ascii="Verdana" w:hAnsi="Verdana" w:cs="Arial"/>
          <w:shd w:val="clear" w:color="auto" w:fill="FFFFFF"/>
        </w:rPr>
      </w:pPr>
    </w:p>
    <w:p w14:paraId="5CD8D350" w14:textId="77777777" w:rsidR="00822223" w:rsidRPr="00464D09" w:rsidRDefault="00822223" w:rsidP="00822223">
      <w:pPr>
        <w:spacing w:after="0" w:line="276" w:lineRule="auto"/>
        <w:jc w:val="both"/>
        <w:rPr>
          <w:rFonts w:ascii="Verdana" w:hAnsi="Verdana"/>
        </w:rPr>
      </w:pPr>
      <w:r w:rsidRPr="00464D0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0B9726B" w14:textId="77777777" w:rsidR="001E159A" w:rsidRPr="00464D09" w:rsidRDefault="001E159A" w:rsidP="00822223">
      <w:pPr>
        <w:spacing w:after="0" w:line="276" w:lineRule="auto"/>
        <w:jc w:val="both"/>
        <w:rPr>
          <w:rFonts w:ascii="Verdana" w:eastAsia="Calibri" w:hAnsi="Verdana" w:cs="Times New Roman"/>
        </w:rPr>
      </w:pPr>
    </w:p>
    <w:p w14:paraId="238499CF" w14:textId="2D06DCF4" w:rsidR="00822223" w:rsidRDefault="00822223" w:rsidP="00822223">
      <w:pPr>
        <w:spacing w:after="0" w:line="276" w:lineRule="auto"/>
        <w:jc w:val="both"/>
        <w:rPr>
          <w:rFonts w:ascii="Verdana" w:eastAsia="Calibri" w:hAnsi="Verdana" w:cs="Times New Roman"/>
        </w:rPr>
      </w:pPr>
      <w:r w:rsidRPr="00464D09">
        <w:rPr>
          <w:rFonts w:ascii="Verdana" w:eastAsia="Calibri" w:hAnsi="Verdana" w:cs="Times New Roman"/>
        </w:rPr>
        <w:t>Atentamente,</w:t>
      </w:r>
    </w:p>
    <w:p w14:paraId="6AA566C3" w14:textId="0F34B001" w:rsidR="00822223" w:rsidRDefault="00822223" w:rsidP="00EF01DE">
      <w:pPr>
        <w:spacing w:after="0" w:line="276" w:lineRule="auto"/>
        <w:jc w:val="center"/>
        <w:rPr>
          <w:rFonts w:ascii="Verdana" w:eastAsia="Calibri" w:hAnsi="Verdana" w:cs="Times New Roman"/>
          <w:noProof/>
        </w:rPr>
      </w:pPr>
    </w:p>
    <w:p w14:paraId="7D00FA9A" w14:textId="77687717" w:rsidR="00521E20" w:rsidRDefault="00A23D9F" w:rsidP="00A23D9F">
      <w:pPr>
        <w:spacing w:after="0" w:line="276" w:lineRule="auto"/>
        <w:jc w:val="center"/>
        <w:rPr>
          <w:rFonts w:ascii="Verdana" w:eastAsia="Calibri" w:hAnsi="Verdana" w:cs="Times New Roman"/>
          <w:noProof/>
        </w:rPr>
      </w:pPr>
      <w:r>
        <w:rPr>
          <w:rFonts w:ascii="Verdana" w:eastAsia="Calibri" w:hAnsi="Verdana" w:cs="Times New Roman"/>
          <w:noProof/>
        </w:rPr>
        <w:drawing>
          <wp:inline distT="0" distB="0" distL="0" distR="0" wp14:anchorId="1C0B4A29" wp14:editId="6616585E">
            <wp:extent cx="3493311" cy="1298561"/>
            <wp:effectExtent l="0" t="0" r="0" b="0"/>
            <wp:docPr id="196362276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622768" name="Imagen 1"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47D95494" w14:textId="77777777" w:rsidR="00F66C88" w:rsidRPr="00464D09" w:rsidRDefault="00F66C88" w:rsidP="00EF01DE">
      <w:pPr>
        <w:spacing w:after="0" w:line="276" w:lineRule="auto"/>
        <w:jc w:val="center"/>
        <w:rPr>
          <w:rFonts w:ascii="Verdana" w:eastAsia="Calibri" w:hAnsi="Verdana" w:cs="Times New Roman"/>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22223" w:rsidRPr="00464D09" w14:paraId="62E671E4" w14:textId="77777777">
        <w:trPr>
          <w:trHeight w:val="315"/>
        </w:trPr>
        <w:tc>
          <w:tcPr>
            <w:tcW w:w="893" w:type="dxa"/>
            <w:vAlign w:val="center"/>
            <w:hideMark/>
          </w:tcPr>
          <w:p w14:paraId="6664337C" w14:textId="77777777" w:rsidR="00822223" w:rsidRPr="00464D09" w:rsidRDefault="00822223">
            <w:pPr>
              <w:contextualSpacing/>
              <w:rPr>
                <w:rFonts w:ascii="Verdana" w:hAnsi="Verdana" w:cs="Arial"/>
                <w:sz w:val="16"/>
                <w:szCs w:val="16"/>
                <w:lang w:eastAsia="es-ES"/>
              </w:rPr>
            </w:pPr>
            <w:r w:rsidRPr="00464D09">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D18046C" w14:textId="77777777" w:rsidR="00822223" w:rsidRPr="00464D09" w:rsidRDefault="00822223">
            <w:pPr>
              <w:contextualSpacing/>
              <w:rPr>
                <w:rFonts w:ascii="Verdana" w:hAnsi="Verdana"/>
                <w:sz w:val="16"/>
                <w:szCs w:val="16"/>
              </w:rPr>
            </w:pPr>
            <w:r w:rsidRPr="00464D09">
              <w:rPr>
                <w:rFonts w:ascii="Verdana" w:hAnsi="Verdana"/>
                <w:sz w:val="16"/>
                <w:szCs w:val="16"/>
              </w:rPr>
              <w:t>Denis Andrea Cárdenas Hernández</w:t>
            </w:r>
          </w:p>
          <w:p w14:paraId="0D6E7E0D" w14:textId="77777777" w:rsidR="00822223" w:rsidRPr="00464D09" w:rsidRDefault="00822223">
            <w:pPr>
              <w:contextualSpacing/>
              <w:rPr>
                <w:rFonts w:ascii="Verdana" w:eastAsia="Arial" w:hAnsi="Verdana" w:cs="Arial"/>
                <w:sz w:val="16"/>
                <w:szCs w:val="16"/>
              </w:rPr>
            </w:pPr>
            <w:r w:rsidRPr="00464D09">
              <w:rPr>
                <w:rFonts w:ascii="Verdana" w:hAnsi="Verdana"/>
                <w:sz w:val="16"/>
                <w:szCs w:val="16"/>
              </w:rPr>
              <w:t xml:space="preserve">Analista </w:t>
            </w:r>
            <w:r w:rsidRPr="00464D09">
              <w:rPr>
                <w:rFonts w:ascii="Verdana" w:hAnsi="Verdana" w:cs="Arial"/>
                <w:sz w:val="16"/>
                <w:szCs w:val="16"/>
                <w:lang w:val="es-ES_tradnl"/>
              </w:rPr>
              <w:t>T2 ‒ 1 de la Subdirección de Gestión Contractual</w:t>
            </w:r>
          </w:p>
        </w:tc>
      </w:tr>
      <w:tr w:rsidR="00822223" w:rsidRPr="00464D09" w14:paraId="739B1960" w14:textId="77777777">
        <w:trPr>
          <w:trHeight w:val="330"/>
        </w:trPr>
        <w:tc>
          <w:tcPr>
            <w:tcW w:w="893" w:type="dxa"/>
            <w:vAlign w:val="center"/>
            <w:hideMark/>
          </w:tcPr>
          <w:p w14:paraId="3DAC285F" w14:textId="77777777" w:rsidR="00822223" w:rsidRPr="00464D09" w:rsidRDefault="00822223">
            <w:pPr>
              <w:contextualSpacing/>
              <w:rPr>
                <w:rFonts w:ascii="Verdana" w:hAnsi="Verdana" w:cs="Arial"/>
                <w:sz w:val="16"/>
                <w:szCs w:val="16"/>
                <w:lang w:eastAsia="es-ES"/>
              </w:rPr>
            </w:pPr>
            <w:r w:rsidRPr="00464D09">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95979C" w14:textId="77777777" w:rsidR="00822223" w:rsidRPr="00464D09" w:rsidRDefault="00822223">
            <w:pPr>
              <w:rPr>
                <w:rFonts w:ascii="Verdana" w:eastAsia="Aptos" w:hAnsi="Verdana" w:cs="Arial"/>
                <w:sz w:val="16"/>
                <w:szCs w:val="16"/>
                <w:lang w:eastAsia="es-ES"/>
              </w:rPr>
            </w:pPr>
            <w:r>
              <w:rPr>
                <w:rFonts w:ascii="Verdana" w:eastAsia="Aptos" w:hAnsi="Verdana" w:cs="Arial"/>
                <w:sz w:val="16"/>
                <w:szCs w:val="16"/>
                <w:lang w:eastAsia="es-ES"/>
              </w:rPr>
              <w:t>Martha Alicia Romero Vargas</w:t>
            </w:r>
          </w:p>
          <w:p w14:paraId="55E60001" w14:textId="77777777" w:rsidR="00822223" w:rsidRPr="00464D09" w:rsidRDefault="00822223">
            <w:pPr>
              <w:contextualSpacing/>
              <w:textAlignment w:val="baseline"/>
              <w:rPr>
                <w:rFonts w:ascii="Verdana" w:eastAsia="Times New Roman" w:hAnsi="Verdana" w:cs="Segoe UI"/>
                <w:sz w:val="16"/>
                <w:szCs w:val="16"/>
                <w:lang w:eastAsia="es-ES_tradnl"/>
              </w:rPr>
            </w:pPr>
            <w:r w:rsidRPr="00464D09">
              <w:rPr>
                <w:rFonts w:ascii="Verdana" w:eastAsia="Aptos" w:hAnsi="Verdana" w:cs="Arial"/>
                <w:sz w:val="16"/>
                <w:szCs w:val="16"/>
                <w:lang w:eastAsia="es-ES"/>
              </w:rPr>
              <w:t>Gestor T1 – 15 de la Subdirección de Gestión Contractual</w:t>
            </w:r>
          </w:p>
        </w:tc>
      </w:tr>
      <w:tr w:rsidR="00822223" w:rsidRPr="00464D09" w14:paraId="6F1BE510" w14:textId="77777777">
        <w:trPr>
          <w:trHeight w:val="300"/>
        </w:trPr>
        <w:tc>
          <w:tcPr>
            <w:tcW w:w="893" w:type="dxa"/>
            <w:vAlign w:val="center"/>
          </w:tcPr>
          <w:p w14:paraId="2029711C" w14:textId="77777777" w:rsidR="00822223" w:rsidRPr="00464D09" w:rsidRDefault="00822223">
            <w:pPr>
              <w:contextualSpacing/>
              <w:rPr>
                <w:rFonts w:ascii="Verdana" w:hAnsi="Verdana" w:cs="Arial"/>
                <w:sz w:val="16"/>
                <w:szCs w:val="16"/>
                <w:lang w:eastAsia="es-ES"/>
              </w:rPr>
            </w:pPr>
            <w:r w:rsidRPr="00464D09">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E5151D" w14:textId="77777777" w:rsidR="00822223" w:rsidRPr="00464D09" w:rsidRDefault="00822223">
            <w:pPr>
              <w:contextualSpacing/>
              <w:rPr>
                <w:rFonts w:ascii="Verdana" w:eastAsia="Calibri" w:hAnsi="Verdana" w:cs="Arial"/>
                <w:sz w:val="16"/>
                <w:szCs w:val="16"/>
                <w:lang w:eastAsia="es-ES"/>
              </w:rPr>
            </w:pPr>
            <w:r w:rsidRPr="00464D09">
              <w:rPr>
                <w:rFonts w:ascii="Verdana" w:eastAsia="Calibri" w:hAnsi="Verdana" w:cs="Arial"/>
                <w:sz w:val="16"/>
                <w:szCs w:val="16"/>
                <w:lang w:eastAsia="es-ES"/>
              </w:rPr>
              <w:t>Carolina Quintero Gacharná</w:t>
            </w:r>
          </w:p>
          <w:p w14:paraId="1F67E07D" w14:textId="77777777" w:rsidR="00822223" w:rsidRPr="00464D09" w:rsidRDefault="00822223">
            <w:pPr>
              <w:contextualSpacing/>
              <w:rPr>
                <w:rFonts w:ascii="Verdana" w:eastAsia="Calibri" w:hAnsi="Verdana" w:cs="Arial"/>
                <w:sz w:val="16"/>
                <w:szCs w:val="16"/>
                <w:lang w:eastAsia="es-ES"/>
              </w:rPr>
            </w:pPr>
            <w:r w:rsidRPr="00464D09">
              <w:rPr>
                <w:rFonts w:ascii="Verdana" w:eastAsia="Calibri" w:hAnsi="Verdana" w:cs="Arial"/>
                <w:sz w:val="16"/>
                <w:szCs w:val="16"/>
                <w:lang w:eastAsia="es-ES"/>
              </w:rPr>
              <w:t>Subdirectora de Gestión Contractual ANCP – CCE</w:t>
            </w:r>
          </w:p>
        </w:tc>
      </w:tr>
    </w:tbl>
    <w:p w14:paraId="4BFABB4F" w14:textId="4312E906" w:rsidR="00C76EEC" w:rsidRPr="000541A2" w:rsidRDefault="00C76EEC" w:rsidP="00C76EEC">
      <w:pPr>
        <w:spacing w:after="0" w:line="240" w:lineRule="auto"/>
        <w:jc w:val="both"/>
      </w:pPr>
    </w:p>
    <w:sectPr w:rsidR="00C76EEC" w:rsidRPr="000541A2"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9D4C9" w14:textId="77777777" w:rsidR="00CB1205" w:rsidRDefault="00CB1205" w:rsidP="004A1847">
      <w:pPr>
        <w:spacing w:after="0" w:line="240" w:lineRule="auto"/>
      </w:pPr>
      <w:r>
        <w:separator/>
      </w:r>
    </w:p>
  </w:endnote>
  <w:endnote w:type="continuationSeparator" w:id="0">
    <w:p w14:paraId="2087B916" w14:textId="77777777" w:rsidR="00CB1205" w:rsidRDefault="00CB12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BDF8A" w14:textId="77777777" w:rsidR="00CB1205" w:rsidRDefault="00CB1205" w:rsidP="004A1847">
      <w:pPr>
        <w:spacing w:after="0" w:line="240" w:lineRule="auto"/>
      </w:pPr>
      <w:r>
        <w:separator/>
      </w:r>
    </w:p>
  </w:footnote>
  <w:footnote w:type="continuationSeparator" w:id="0">
    <w:p w14:paraId="30EA843F" w14:textId="77777777" w:rsidR="00CB1205" w:rsidRDefault="00CB1205" w:rsidP="004A1847">
      <w:pPr>
        <w:spacing w:after="0" w:line="240" w:lineRule="auto"/>
      </w:pPr>
      <w:r>
        <w:continuationSeparator/>
      </w:r>
    </w:p>
  </w:footnote>
  <w:footnote w:id="1">
    <w:p w14:paraId="22AB6407" w14:textId="77777777" w:rsidR="00822223" w:rsidRPr="004C1A97" w:rsidRDefault="00822223" w:rsidP="00822223">
      <w:pPr>
        <w:pStyle w:val="Textonotapie"/>
        <w:ind w:firstLine="708"/>
        <w:jc w:val="both"/>
        <w:rPr>
          <w:rFonts w:ascii="Verdana" w:hAnsi="Verdana"/>
          <w:sz w:val="16"/>
          <w:szCs w:val="16"/>
          <w:lang w:val="es-CO"/>
        </w:rPr>
      </w:pPr>
      <w:r w:rsidRPr="004C1A97">
        <w:rPr>
          <w:rStyle w:val="Refdenotaalpie"/>
          <w:rFonts w:ascii="Verdana" w:hAnsi="Verdana"/>
          <w:sz w:val="16"/>
          <w:szCs w:val="16"/>
        </w:rPr>
        <w:footnoteRef/>
      </w:r>
      <w:r w:rsidRPr="004C1A97">
        <w:rPr>
          <w:rFonts w:ascii="Verdana" w:hAnsi="Verdana"/>
          <w:sz w:val="16"/>
          <w:szCs w:val="16"/>
        </w:rPr>
        <w:t xml:space="preserve"> </w:t>
      </w:r>
      <w:r w:rsidRPr="004C1A97">
        <w:rPr>
          <w:rFonts w:ascii="Verdana" w:hAnsi="Verdana"/>
          <w:sz w:val="16"/>
          <w:szCs w:val="16"/>
          <w:lang w:val="es-CO"/>
        </w:rPr>
        <w:t>La regla vigente sobre la contratación de mínima cuantía contenida en el numeral 5 del artículo 2 de la Ley 1150 de 2007, es la siguiente: “5. Contratación mínima cuantía. La contratación cuyo valor no excede del 10 por ciento de la menor cuantía de la entidad independientemente de su objeto, se efectuará de conformidad con las siguientes reglas a) Se publicará una invitación, por un término no inferior a un día hábil, en la cual se señalará el objeto a contratar, el presupuesto destinado para tal fin, así como las condiciones técnicas exigidas; b) El término previsto en la invitación para presentar la oferta no podrá ser inferior a un día hábil; c) La entidad seleccionará, mediante comunicación de aceptación de la oferta, la propuesta con el menor precio, siempre y cuando cumpla con las condiciones exigidas; d) La comunicación de aceptación junto con la oferta constituyen para todos los efectos el contrato celebrado, con base en lo cual se efectuará el respectivo registro presupuestal.//Parágrafo 1o. Las particularidades del procedimiento aquí previsto, así como la posibilidad que tengan las entidades de realizar estas adquisiciones a Mlpymes o establecimientos que correspondan a la definición de "gran almacén" señalada</w:t>
      </w:r>
      <w:r w:rsidRPr="004C1A97">
        <w:rPr>
          <w:rFonts w:ascii="Verdana" w:hAnsi="Verdana"/>
          <w:sz w:val="16"/>
          <w:szCs w:val="16"/>
        </w:rPr>
        <w:t xml:space="preserve"> </w:t>
      </w:r>
      <w:r w:rsidRPr="004C1A97">
        <w:rPr>
          <w:rFonts w:ascii="Verdana" w:hAnsi="Verdana"/>
          <w:sz w:val="16"/>
          <w:szCs w:val="16"/>
          <w:lang w:val="es-CO"/>
        </w:rPr>
        <w:t>por la Superintendencia de Industria y Comercio, se determinarán en el reglamento que para el efecto expida el Gobierno Nacional. // Parágrafo 2o. La contratación a que se refiere el presente artículo se realizará exclusivamente con las reglas en él contempladas y en su reglamentación. En particular no se aplicará lo previsto en la Ley 816 de 2003”}</w:t>
      </w:r>
    </w:p>
    <w:p w14:paraId="24292DDF" w14:textId="77777777" w:rsidR="00822223" w:rsidRPr="004C1A97" w:rsidRDefault="00822223" w:rsidP="00822223">
      <w:pPr>
        <w:pStyle w:val="Textonotapie"/>
        <w:ind w:firstLine="708"/>
        <w:jc w:val="both"/>
        <w:rPr>
          <w:rFonts w:ascii="Verdana" w:hAnsi="Verdana"/>
          <w:sz w:val="16"/>
          <w:szCs w:val="16"/>
        </w:rPr>
      </w:pPr>
      <w:r w:rsidRPr="004C1A97">
        <w:rPr>
          <w:rFonts w:ascii="Verdana" w:hAnsi="Verdana"/>
          <w:sz w:val="16"/>
          <w:szCs w:val="16"/>
        </w:rPr>
        <w:tab/>
      </w:r>
    </w:p>
  </w:footnote>
  <w:footnote w:id="2">
    <w:p w14:paraId="5AD188DF" w14:textId="77777777" w:rsidR="00822223" w:rsidRPr="004C1A97" w:rsidRDefault="00822223" w:rsidP="00822223">
      <w:pPr>
        <w:pStyle w:val="Textonotapie"/>
        <w:ind w:firstLine="708"/>
        <w:rPr>
          <w:rFonts w:ascii="Verdana" w:hAnsi="Verdana"/>
          <w:sz w:val="16"/>
          <w:szCs w:val="16"/>
          <w:lang w:val="es-CO"/>
        </w:rPr>
      </w:pPr>
      <w:r w:rsidRPr="003F6FAA">
        <w:rPr>
          <w:rStyle w:val="Refdenotaalpie"/>
          <w:rFonts w:ascii="Verdana" w:hAnsi="Verdana"/>
          <w:sz w:val="16"/>
          <w:szCs w:val="16"/>
        </w:rPr>
        <w:footnoteRef/>
      </w:r>
      <w:r w:rsidRPr="003F6FAA">
        <w:rPr>
          <w:rFonts w:ascii="Verdana" w:hAnsi="Verdana"/>
          <w:sz w:val="16"/>
          <w:szCs w:val="16"/>
          <w:vertAlign w:val="superscript"/>
        </w:rPr>
        <w:t xml:space="preserve"> </w:t>
      </w:r>
      <w:r w:rsidRPr="004C1A97">
        <w:rPr>
          <w:rFonts w:ascii="Verdana" w:hAnsi="Verdana"/>
          <w:sz w:val="16"/>
          <w:szCs w:val="16"/>
          <w:lang w:val="es-CO"/>
        </w:rPr>
        <w:t>Artículo 2.2.1.2.1.5.2. del Decreto 1082 de 2015.</w:t>
      </w:r>
    </w:p>
    <w:p w14:paraId="337CAA14" w14:textId="77777777" w:rsidR="00822223" w:rsidRPr="004C1A97" w:rsidRDefault="00822223" w:rsidP="00822223">
      <w:pPr>
        <w:pStyle w:val="Textonotapie"/>
        <w:ind w:firstLine="708"/>
        <w:rPr>
          <w:rFonts w:ascii="Verdana" w:hAnsi="Verdana"/>
          <w:sz w:val="16"/>
          <w:szCs w:val="16"/>
          <w:lang w:val="es-CO"/>
        </w:rPr>
      </w:pPr>
    </w:p>
  </w:footnote>
  <w:footnote w:id="3">
    <w:p w14:paraId="50959DA7" w14:textId="77777777" w:rsidR="00822223" w:rsidRPr="004C1A97" w:rsidRDefault="00822223" w:rsidP="00822223">
      <w:pPr>
        <w:ind w:firstLine="708"/>
        <w:rPr>
          <w:rFonts w:ascii="Verdana" w:hAnsi="Verdana"/>
          <w:sz w:val="16"/>
          <w:szCs w:val="16"/>
          <w:lang w:val="es-MX"/>
        </w:rPr>
      </w:pPr>
      <w:r w:rsidRPr="001E159A">
        <w:rPr>
          <w:rStyle w:val="Refdenotaalpie"/>
          <w:rFonts w:ascii="Verdana" w:hAnsi="Verdana"/>
          <w:sz w:val="16"/>
          <w:szCs w:val="16"/>
        </w:rPr>
        <w:footnoteRef/>
      </w:r>
      <w:r w:rsidRPr="004C1A97">
        <w:rPr>
          <w:rFonts w:ascii="Verdana" w:hAnsi="Verdana"/>
          <w:sz w:val="16"/>
          <w:szCs w:val="16"/>
        </w:rPr>
        <w:t xml:space="preserve"> </w:t>
      </w:r>
      <w:r w:rsidRPr="004C1A97">
        <w:rPr>
          <w:rFonts w:ascii="Verdana" w:hAnsi="Verdana"/>
          <w:sz w:val="16"/>
          <w:szCs w:val="16"/>
          <w:lang w:val="es-MX"/>
        </w:rPr>
        <w:t>DÁVILA VINUEZA, Luis Guillermo. Régimen jurídico de la contratación estatal. 3ª ed. Bogotá: Legis, 2016. p. 463.</w:t>
      </w:r>
    </w:p>
  </w:footnote>
  <w:footnote w:id="4">
    <w:p w14:paraId="16CDE816" w14:textId="77777777" w:rsidR="00822223" w:rsidRPr="004C1A97" w:rsidRDefault="00822223" w:rsidP="00822223">
      <w:pPr>
        <w:pStyle w:val="Textonotapie"/>
        <w:ind w:firstLine="708"/>
        <w:jc w:val="both"/>
        <w:rPr>
          <w:rFonts w:ascii="Verdana" w:hAnsi="Verdana"/>
          <w:sz w:val="16"/>
          <w:szCs w:val="16"/>
        </w:rPr>
      </w:pPr>
      <w:r w:rsidRPr="001E159A">
        <w:rPr>
          <w:rStyle w:val="Refdenotaalpie"/>
          <w:rFonts w:ascii="Verdana" w:hAnsi="Verdana"/>
          <w:sz w:val="16"/>
          <w:szCs w:val="16"/>
        </w:rPr>
        <w:footnoteRef/>
      </w:r>
      <w:r w:rsidRPr="004C1A97">
        <w:rPr>
          <w:rFonts w:ascii="Verdana" w:hAnsi="Verdana"/>
          <w:sz w:val="16"/>
          <w:szCs w:val="16"/>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 Para las entidades que tengan un presupuesto anual superior o igual a 1.200.000 salarios mínimos legales mensuales, la menor cuantía será hasta 1.000 salarios mínimos legales mensuales. Las que tengan un presupuesto anual superior o igual a 850.000 salarios mínimos legales mensuales e inferiores a 1.200.000 salarios mínimos legales mensuales, la menor cuantía será hasta 850 salarios mínimos legales mensuales. Las que tengan un presupuesto anual superior o igual a 400.000 salarios mínimos legales mensuales e inferior a 850.000 salarios mínimos legales mensuales, la menor cuantía será hasta 650 salarios mínimos legales mensuales. Las que tengan un presupuesto anual superior o igual a 120.000 salarios mínimos legales mensuales e inferior a 400.000 salarios mínimos legales mensuales, la menor cuantía será hasta 450 salarios mínimos legales mensuales. Las que tengan un presupuesto anual inferior a 120.000 salarios mínimos legales mensuales, la menor cuantía será hasta 280 salarios mínimos legales mensuales”.</w:t>
      </w:r>
    </w:p>
    <w:p w14:paraId="744D545A" w14:textId="77777777" w:rsidR="00822223" w:rsidRPr="004C1A97" w:rsidRDefault="00822223" w:rsidP="00822223">
      <w:pPr>
        <w:pStyle w:val="Textonotapie"/>
        <w:ind w:firstLine="708"/>
        <w:jc w:val="both"/>
        <w:rPr>
          <w:rFonts w:ascii="Verdana" w:hAnsi="Verdana"/>
          <w:sz w:val="16"/>
          <w:szCs w:val="16"/>
        </w:rPr>
      </w:pPr>
    </w:p>
  </w:footnote>
  <w:footnote w:id="5">
    <w:p w14:paraId="55AA0205" w14:textId="77777777" w:rsidR="00822223" w:rsidRPr="004C1A97" w:rsidRDefault="00822223" w:rsidP="00822223">
      <w:pPr>
        <w:pStyle w:val="Textonotapie"/>
        <w:ind w:firstLine="709"/>
        <w:jc w:val="both"/>
        <w:rPr>
          <w:rFonts w:ascii="Verdana" w:hAnsi="Verdana"/>
          <w:sz w:val="16"/>
          <w:szCs w:val="16"/>
        </w:rPr>
      </w:pPr>
      <w:r w:rsidRPr="004C1A97">
        <w:rPr>
          <w:rFonts w:ascii="Verdana" w:hAnsi="Verdana"/>
          <w:sz w:val="16"/>
          <w:szCs w:val="16"/>
          <w:vertAlign w:val="superscript"/>
        </w:rPr>
        <w:footnoteRef/>
      </w:r>
      <w:r w:rsidRPr="004C1A97">
        <w:rPr>
          <w:rFonts w:ascii="Verdana" w:hAnsi="Verdana"/>
          <w:sz w:val="16"/>
          <w:szCs w:val="16"/>
        </w:rPr>
        <w:t xml:space="preserve"> </w:t>
      </w:r>
      <w:r w:rsidRPr="004C1A97">
        <w:rPr>
          <w:rFonts w:ascii="Verdana" w:hAnsi="Verdana"/>
          <w:sz w:val="16"/>
          <w:szCs w:val="16"/>
          <w:lang w:val="es-CO"/>
        </w:rPr>
        <w:t xml:space="preserve">Este artículo fue modificado por el artículo 5 del Decreto 142 de 2023 en los siguientes términos: </w:t>
      </w:r>
      <w:r w:rsidRPr="004C1A97">
        <w:rPr>
          <w:rFonts w:ascii="Verdana" w:hAnsi="Verdana"/>
          <w:b/>
          <w:bCs/>
          <w:i/>
          <w:iCs/>
          <w:sz w:val="16"/>
          <w:szCs w:val="16"/>
        </w:rPr>
        <w:t>"Artículo 2.2.1.2.1.5.1. Estudios previos para la contratación de mínima cuantía.</w:t>
      </w:r>
      <w:r w:rsidRPr="004C1A97">
        <w:rPr>
          <w:rFonts w:ascii="Verdana" w:hAnsi="Verdana"/>
          <w:i/>
          <w:iCs/>
          <w:sz w:val="16"/>
          <w:szCs w:val="16"/>
        </w:rPr>
        <w:t> La Entidad Estatal debe elaborar unos estudios previos que deben contener, como mínimo, lo siguiente: </w:t>
      </w:r>
    </w:p>
    <w:p w14:paraId="761C676F" w14:textId="77777777" w:rsidR="00822223" w:rsidRPr="004C1A97" w:rsidRDefault="00822223" w:rsidP="00822223">
      <w:pPr>
        <w:pStyle w:val="Textonotapie"/>
        <w:tabs>
          <w:tab w:val="left" w:pos="142"/>
        </w:tabs>
        <w:ind w:firstLine="709"/>
        <w:jc w:val="both"/>
        <w:rPr>
          <w:rFonts w:ascii="Verdana" w:hAnsi="Verdana"/>
          <w:i/>
          <w:iCs/>
          <w:sz w:val="16"/>
          <w:szCs w:val="16"/>
        </w:rPr>
      </w:pPr>
      <w:r w:rsidRPr="004C1A97">
        <w:rPr>
          <w:rFonts w:ascii="Verdana" w:hAnsi="Verdana"/>
          <w:i/>
          <w:iCs/>
          <w:sz w:val="16"/>
          <w:szCs w:val="16"/>
        </w:rPr>
        <w:t xml:space="preserve">1. La descripción de la necesidad que pretende satisfacer con la contratación.  </w:t>
      </w:r>
    </w:p>
    <w:p w14:paraId="3AB90390" w14:textId="77777777" w:rsidR="00822223" w:rsidRPr="004C1A97" w:rsidRDefault="00822223" w:rsidP="00822223">
      <w:pPr>
        <w:pStyle w:val="Textonotapie"/>
        <w:tabs>
          <w:tab w:val="left" w:pos="142"/>
        </w:tabs>
        <w:ind w:firstLine="709"/>
        <w:jc w:val="both"/>
        <w:rPr>
          <w:rFonts w:ascii="Verdana" w:hAnsi="Verdana"/>
          <w:sz w:val="16"/>
          <w:szCs w:val="16"/>
        </w:rPr>
      </w:pPr>
      <w:r w:rsidRPr="004C1A97">
        <w:rPr>
          <w:rFonts w:ascii="Verdana" w:hAnsi="Verdana"/>
          <w:i/>
          <w:iCs/>
          <w:sz w:val="16"/>
          <w:szCs w:val="16"/>
        </w:rPr>
        <w:t>2. La descripción del objeto a contratar identificado con el cuarto nivel del Clasificador de Bienes y Servicios, de ser posible, o de lo contrario con el tercer nivel. </w:t>
      </w:r>
    </w:p>
    <w:p w14:paraId="66CA7710" w14:textId="77777777" w:rsidR="00822223" w:rsidRPr="004C1A97" w:rsidRDefault="00822223" w:rsidP="00822223">
      <w:pPr>
        <w:pStyle w:val="Textonotapie"/>
        <w:tabs>
          <w:tab w:val="left" w:pos="142"/>
        </w:tabs>
        <w:ind w:firstLine="709"/>
        <w:jc w:val="both"/>
        <w:rPr>
          <w:rFonts w:ascii="Verdana" w:hAnsi="Verdana"/>
          <w:sz w:val="16"/>
          <w:szCs w:val="16"/>
        </w:rPr>
      </w:pPr>
      <w:r w:rsidRPr="004C1A97">
        <w:rPr>
          <w:rFonts w:ascii="Verdana" w:hAnsi="Verdana"/>
          <w:i/>
          <w:iCs/>
          <w:sz w:val="16"/>
          <w:szCs w:val="16"/>
        </w:rPr>
        <w:t>3. Las condiciones técnicas exigidas.</w:t>
      </w:r>
    </w:p>
    <w:p w14:paraId="00469328" w14:textId="77777777" w:rsidR="00822223" w:rsidRPr="004C1A97" w:rsidRDefault="00822223" w:rsidP="00822223">
      <w:pPr>
        <w:pStyle w:val="Textonotapie"/>
        <w:tabs>
          <w:tab w:val="left" w:pos="142"/>
        </w:tabs>
        <w:ind w:firstLine="709"/>
        <w:jc w:val="both"/>
        <w:rPr>
          <w:rFonts w:ascii="Verdana" w:hAnsi="Verdana"/>
          <w:sz w:val="16"/>
          <w:szCs w:val="16"/>
        </w:rPr>
      </w:pPr>
      <w:r w:rsidRPr="004C1A97">
        <w:rPr>
          <w:rFonts w:ascii="Verdana" w:hAnsi="Verdana"/>
          <w:i/>
          <w:iCs/>
          <w:sz w:val="16"/>
          <w:szCs w:val="16"/>
        </w:rPr>
        <w:t>4. El valor estimado del contrato y su justificación.</w:t>
      </w:r>
    </w:p>
    <w:p w14:paraId="2E88200D" w14:textId="77777777" w:rsidR="00822223" w:rsidRPr="004C1A97" w:rsidRDefault="00822223" w:rsidP="00822223">
      <w:pPr>
        <w:pStyle w:val="Textonotapie"/>
        <w:tabs>
          <w:tab w:val="left" w:pos="142"/>
        </w:tabs>
        <w:ind w:firstLine="709"/>
        <w:jc w:val="both"/>
        <w:rPr>
          <w:rFonts w:ascii="Verdana" w:hAnsi="Verdana"/>
          <w:sz w:val="16"/>
          <w:szCs w:val="16"/>
        </w:rPr>
      </w:pPr>
      <w:r w:rsidRPr="004C1A97">
        <w:rPr>
          <w:rFonts w:ascii="Verdana" w:hAnsi="Verdana"/>
          <w:i/>
          <w:iCs/>
          <w:sz w:val="16"/>
          <w:szCs w:val="16"/>
        </w:rPr>
        <w:t>5. El plazo de ejecución del contrato. </w:t>
      </w:r>
    </w:p>
    <w:p w14:paraId="3742673E" w14:textId="77777777" w:rsidR="00822223" w:rsidRPr="004C1A97" w:rsidRDefault="00822223" w:rsidP="00822223">
      <w:pPr>
        <w:pStyle w:val="Textonotapie"/>
        <w:tabs>
          <w:tab w:val="left" w:pos="142"/>
        </w:tabs>
        <w:ind w:firstLine="709"/>
        <w:jc w:val="both"/>
        <w:rPr>
          <w:rFonts w:ascii="Verdana" w:hAnsi="Verdana"/>
          <w:sz w:val="16"/>
          <w:szCs w:val="16"/>
        </w:rPr>
      </w:pPr>
      <w:r w:rsidRPr="004C1A97">
        <w:rPr>
          <w:rFonts w:ascii="Verdana" w:hAnsi="Verdana"/>
          <w:i/>
          <w:iCs/>
          <w:sz w:val="16"/>
          <w:szCs w:val="16"/>
        </w:rPr>
        <w:t>6. El certificado de disponibilidad presupuesta! que respalda la contratación.</w:t>
      </w:r>
    </w:p>
    <w:p w14:paraId="097F998E" w14:textId="77777777" w:rsidR="00822223" w:rsidRPr="004C1A97" w:rsidRDefault="00822223" w:rsidP="00822223">
      <w:pPr>
        <w:pStyle w:val="Textonotapie"/>
        <w:ind w:firstLine="709"/>
        <w:jc w:val="both"/>
        <w:rPr>
          <w:rFonts w:ascii="Verdana" w:hAnsi="Verdana"/>
          <w:sz w:val="16"/>
          <w:szCs w:val="16"/>
        </w:rPr>
      </w:pPr>
      <w:r w:rsidRPr="004C1A97">
        <w:rPr>
          <w:rFonts w:ascii="Verdana" w:hAnsi="Verdana"/>
          <w:i/>
          <w:iCs/>
          <w:sz w:val="16"/>
          <w:szCs w:val="16"/>
        </w:rPr>
        <w:t>Parágrafo. Dentro de las condiciones técnicas exigidas se podrán incluir aspectos ambientales y sociales en los términos establecidos en el parágrafo del artículo 2.2.1.1.2.2.2. del presente Decreto." </w:t>
      </w:r>
    </w:p>
    <w:p w14:paraId="7F32A2DD" w14:textId="77777777" w:rsidR="00822223" w:rsidRPr="004C1A97" w:rsidRDefault="00822223" w:rsidP="00822223">
      <w:pPr>
        <w:pStyle w:val="Textonotapie"/>
        <w:ind w:firstLine="709"/>
        <w:jc w:val="both"/>
        <w:rPr>
          <w:rFonts w:ascii="Verdana" w:hAnsi="Verdana"/>
          <w:sz w:val="16"/>
          <w:szCs w:val="16"/>
        </w:rPr>
      </w:pPr>
    </w:p>
  </w:footnote>
  <w:footnote w:id="6">
    <w:p w14:paraId="549F0706" w14:textId="77777777" w:rsidR="00822223" w:rsidRPr="004C1A97" w:rsidRDefault="00822223" w:rsidP="00822223">
      <w:pPr>
        <w:pStyle w:val="Textonotapie"/>
        <w:ind w:firstLine="708"/>
        <w:jc w:val="both"/>
        <w:rPr>
          <w:rFonts w:ascii="Verdana" w:hAnsi="Verdana"/>
          <w:sz w:val="16"/>
          <w:szCs w:val="16"/>
        </w:rPr>
      </w:pPr>
      <w:r w:rsidRPr="004C1A97">
        <w:rPr>
          <w:rFonts w:ascii="Verdana" w:hAnsi="Verdana" w:cs="Arial"/>
          <w:sz w:val="16"/>
          <w:szCs w:val="16"/>
          <w:vertAlign w:val="superscript"/>
        </w:rPr>
        <w:footnoteRef/>
      </w:r>
      <w:r w:rsidRPr="004C1A97">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7">
    <w:p w14:paraId="488BEF45" w14:textId="57433C3D" w:rsidR="00822223" w:rsidRPr="00EF01DE" w:rsidRDefault="00822223" w:rsidP="00EF01DE">
      <w:pPr>
        <w:pStyle w:val="Textonotapie"/>
        <w:ind w:firstLine="709"/>
        <w:jc w:val="both"/>
        <w:rPr>
          <w:rFonts w:ascii="Verdana" w:hAnsi="Verdana" w:cs="Arial"/>
          <w:color w:val="000000"/>
          <w:sz w:val="16"/>
          <w:szCs w:val="16"/>
          <w:lang w:val="es-ES_tradnl"/>
        </w:rPr>
      </w:pPr>
      <w:r w:rsidRPr="004C1A97">
        <w:rPr>
          <w:rFonts w:ascii="Verdana" w:hAnsi="Verdana" w:cs="Arial"/>
          <w:color w:val="000000"/>
          <w:sz w:val="16"/>
          <w:szCs w:val="16"/>
          <w:vertAlign w:val="superscript"/>
          <w:lang w:val="es-ES_tradnl"/>
        </w:rPr>
        <w:footnoteRef/>
      </w:r>
      <w:r w:rsidRPr="004C1A97">
        <w:rPr>
          <w:rFonts w:ascii="Verdana" w:hAnsi="Verdana" w:cs="Arial"/>
          <w:color w:val="000000"/>
          <w:sz w:val="16"/>
          <w:szCs w:val="16"/>
          <w:lang w:val="es-ES_tradnl"/>
        </w:rPr>
        <w:t xml:space="preserve"> Agencia Nacional de Contratación Pública – Colombia Compra Eficiente. Manual de la Modalidad de Selección de Mínima Cuantía En:</w:t>
      </w:r>
      <w:r w:rsidRPr="004C1A97">
        <w:rPr>
          <w:rFonts w:ascii="Verdana" w:hAnsi="Verdana"/>
          <w:sz w:val="16"/>
          <w:szCs w:val="16"/>
        </w:rPr>
        <w:t xml:space="preserve"> </w:t>
      </w:r>
      <w:hyperlink r:id="rId1" w:history="1">
        <w:r w:rsidRPr="004C1A97">
          <w:rPr>
            <w:rStyle w:val="Hipervnculo"/>
            <w:rFonts w:ascii="Verdana" w:hAnsi="Verdana" w:cs="Arial"/>
            <w:sz w:val="16"/>
            <w:szCs w:val="16"/>
            <w:lang w:val="es-ES_tradnl"/>
          </w:rPr>
          <w:t>https://www.colombiacompra.gov.co/manuales-guias-y-pliegos-tipo/manuales-y-guias</w:t>
        </w:r>
      </w:hyperlink>
      <w:r w:rsidRPr="004C1A97">
        <w:rPr>
          <w:rFonts w:ascii="Verdana" w:hAnsi="Verdana" w:cs="Arial"/>
          <w:color w:val="000000"/>
          <w:sz w:val="16"/>
          <w:szCs w:val="16"/>
          <w:lang w:val="es-ES_tradnl"/>
        </w:rPr>
        <w:t xml:space="preserve"> </w:t>
      </w:r>
    </w:p>
  </w:footnote>
  <w:footnote w:id="8">
    <w:p w14:paraId="3B66FD8A" w14:textId="77777777" w:rsidR="00822223" w:rsidRPr="004C1A97" w:rsidRDefault="00822223" w:rsidP="004C1A97">
      <w:pPr>
        <w:pStyle w:val="Textonotapie"/>
        <w:ind w:firstLine="709"/>
        <w:jc w:val="both"/>
        <w:rPr>
          <w:rFonts w:ascii="Verdana" w:hAnsi="Verdana" w:cs="Arial"/>
          <w:color w:val="000000"/>
          <w:sz w:val="16"/>
          <w:szCs w:val="16"/>
          <w:lang w:val="es-ES_tradnl"/>
        </w:rPr>
      </w:pPr>
      <w:r w:rsidRPr="004C1A97">
        <w:rPr>
          <w:rFonts w:ascii="Verdana" w:hAnsi="Verdana" w:cs="Arial"/>
          <w:color w:val="000000"/>
          <w:sz w:val="16"/>
          <w:szCs w:val="16"/>
          <w:vertAlign w:val="superscript"/>
          <w:lang w:val="es-ES_tradnl"/>
        </w:rPr>
        <w:footnoteRef/>
      </w:r>
      <w:r w:rsidRPr="004C1A97">
        <w:rPr>
          <w:rFonts w:ascii="Verdana" w:hAnsi="Verdana" w:cs="Arial"/>
          <w:color w:val="000000"/>
          <w:sz w:val="16"/>
          <w:szCs w:val="16"/>
          <w:lang w:val="es-ES_tradnl"/>
        </w:rPr>
        <w:t xml:space="preserve"> Como lo indica la doctrina, en la mínima cuantía “El precio es el factor de selección del proponente. Es decir, la </w:t>
      </w:r>
      <w:r w:rsidRPr="004C1A97">
        <w:rPr>
          <w:rFonts w:ascii="Verdana" w:hAnsi="Verdana" w:cs="Arial"/>
          <w:i/>
          <w:iCs/>
          <w:color w:val="000000"/>
          <w:sz w:val="16"/>
          <w:szCs w:val="16"/>
          <w:lang w:val="es-ES_tradnl"/>
        </w:rPr>
        <w:t>entidad estatal</w:t>
      </w:r>
      <w:r w:rsidRPr="004C1A97">
        <w:rPr>
          <w:rFonts w:ascii="Verdana" w:hAnsi="Verdana" w:cs="Arial"/>
          <w:color w:val="000000"/>
          <w:sz w:val="16"/>
          <w:szCs w:val="16"/>
          <w:lang w:val="es-ES_tradnl"/>
        </w:rPr>
        <w:t xml:space="preserve"> debe adjudicar el </w:t>
      </w:r>
      <w:r w:rsidRPr="004C1A97">
        <w:rPr>
          <w:rFonts w:ascii="Verdana" w:hAnsi="Verdana" w:cs="Arial"/>
          <w:i/>
          <w:iCs/>
          <w:color w:val="000000"/>
          <w:sz w:val="16"/>
          <w:szCs w:val="16"/>
          <w:lang w:val="es-ES_tradnl"/>
        </w:rPr>
        <w:t>proceso de contratación</w:t>
      </w:r>
      <w:r w:rsidRPr="004C1A97">
        <w:rPr>
          <w:rFonts w:ascii="Verdana" w:hAnsi="Verdana" w:cs="Arial"/>
          <w:color w:val="000000"/>
          <w:sz w:val="16"/>
          <w:szCs w:val="16"/>
          <w:lang w:val="es-ES_tradnl"/>
        </w:rPr>
        <w:t xml:space="preserve"> al oferente que cumpla con todas las condiciones exigidas por la </w:t>
      </w:r>
      <w:r w:rsidRPr="004C1A97">
        <w:rPr>
          <w:rFonts w:ascii="Verdana" w:hAnsi="Verdana" w:cs="Arial"/>
          <w:i/>
          <w:iCs/>
          <w:color w:val="000000"/>
          <w:sz w:val="16"/>
          <w:szCs w:val="16"/>
          <w:lang w:val="es-ES_tradnl"/>
        </w:rPr>
        <w:t>entidad estatal</w:t>
      </w:r>
      <w:r w:rsidRPr="004C1A97">
        <w:rPr>
          <w:rFonts w:ascii="Verdana" w:hAnsi="Verdana" w:cs="Arial"/>
          <w:color w:val="000000"/>
          <w:sz w:val="16"/>
          <w:szCs w:val="16"/>
          <w:lang w:val="es-ES_tradnl"/>
        </w:rPr>
        <w:t xml:space="preserve"> en los </w:t>
      </w:r>
      <w:r w:rsidRPr="004C1A97">
        <w:rPr>
          <w:rFonts w:ascii="Verdana" w:hAnsi="Verdana" w:cs="Arial"/>
          <w:i/>
          <w:iCs/>
          <w:color w:val="000000"/>
          <w:sz w:val="16"/>
          <w:szCs w:val="16"/>
          <w:lang w:val="es-ES_tradnl"/>
        </w:rPr>
        <w:t>documentos del proceso</w:t>
      </w:r>
      <w:r w:rsidRPr="004C1A97">
        <w:rPr>
          <w:rFonts w:ascii="Verdana" w:hAnsi="Verdana" w:cs="Arial"/>
          <w:color w:val="000000"/>
          <w:sz w:val="16"/>
          <w:szCs w:val="16"/>
          <w:lang w:val="es-ES_tradnl"/>
        </w:rPr>
        <w:t xml:space="preserve"> (estudios previos e invitación a participar), y que ofrezca el menor valor. No hay lugar a puntajes para evaluar las ofertas sobre las características del objeto a contratar, su calidad o condiciones” (DÁVILA, Op.cit., p. 515).</w:t>
      </w:r>
    </w:p>
    <w:p w14:paraId="787E2DD7" w14:textId="77777777" w:rsidR="00EF01DE" w:rsidRPr="004C1A97" w:rsidRDefault="00EF01DE" w:rsidP="004C1A97">
      <w:pPr>
        <w:pStyle w:val="Textonotapie"/>
        <w:jc w:val="both"/>
        <w:rPr>
          <w:rFonts w:ascii="Verdana" w:hAnsi="Verdana"/>
          <w:sz w:val="16"/>
          <w:szCs w:val="16"/>
        </w:rPr>
      </w:pPr>
    </w:p>
  </w:footnote>
  <w:footnote w:id="9">
    <w:p w14:paraId="40EC74DE" w14:textId="646C885D" w:rsidR="004C1A97" w:rsidRPr="00EF01DE" w:rsidRDefault="004C1A97" w:rsidP="00EF01DE">
      <w:pPr>
        <w:pStyle w:val="Textonotapie"/>
        <w:ind w:firstLine="708"/>
        <w:jc w:val="both"/>
        <w:rPr>
          <w:rFonts w:ascii="Verdana" w:hAnsi="Verdana"/>
          <w:sz w:val="16"/>
          <w:szCs w:val="16"/>
          <w:lang w:val="es-ES_tradnl"/>
        </w:rPr>
      </w:pPr>
      <w:r w:rsidRPr="004C1A97">
        <w:rPr>
          <w:rStyle w:val="Refdenotaalpie"/>
          <w:rFonts w:ascii="Verdana" w:hAnsi="Verdana"/>
          <w:sz w:val="16"/>
          <w:szCs w:val="16"/>
        </w:rPr>
        <w:footnoteRef/>
      </w:r>
      <w:r w:rsidRPr="004C1A97">
        <w:rPr>
          <w:rFonts w:ascii="Verdana" w:hAnsi="Verdana"/>
          <w:sz w:val="16"/>
          <w:szCs w:val="16"/>
        </w:rPr>
        <w:t xml:space="preserve"> </w:t>
      </w:r>
      <w:r w:rsidRPr="004C1A97">
        <w:rPr>
          <w:rFonts w:ascii="Verdana" w:hAnsi="Verdana"/>
          <w:sz w:val="16"/>
          <w:szCs w:val="16"/>
          <w:lang w:val="es-ES_tradnl"/>
        </w:rPr>
        <w:t xml:space="preserve">NOTA DE RELATORÍA: Sin perjuicio de lo señalado en el presente concepto, se aclara que la postura vigente adoptada por la Subdirección de Gestión Contractual en relación con los criterios de desempate aplicables a los procesos de mínima cuantía corresponde a lo establecido en el Concepto C-514 de 2025, el cual puede ser consultado a través del siguiente enlace en la Relatoría de Colombia Compra Eficiente: </w:t>
      </w:r>
      <w:hyperlink r:id="rId2" w:history="1">
        <w:r w:rsidRPr="004C1A97">
          <w:rPr>
            <w:rStyle w:val="Hipervnculo"/>
            <w:rFonts w:ascii="Verdana" w:hAnsi="Verdana"/>
            <w:sz w:val="16"/>
            <w:szCs w:val="16"/>
            <w:lang w:val="es-ES_tradnl"/>
          </w:rPr>
          <w:t>C-514 de 2025 – Relatoria ANCP-CCE</w:t>
        </w:r>
      </w:hyperlink>
      <w:r w:rsidRPr="004C1A97">
        <w:rPr>
          <w:rFonts w:ascii="Verdana" w:hAnsi="Verdana"/>
          <w:sz w:val="16"/>
          <w:szCs w:val="16"/>
          <w:lang w:val="es-ES_tradnl"/>
        </w:rPr>
        <w:t xml:space="preserve"> </w:t>
      </w:r>
    </w:p>
  </w:footnote>
  <w:footnote w:id="10">
    <w:p w14:paraId="0854BBE4" w14:textId="0413D6A3" w:rsidR="00822223" w:rsidRPr="00EF01DE" w:rsidRDefault="00822223" w:rsidP="00EF01DE">
      <w:pPr>
        <w:pStyle w:val="Textonotapie"/>
        <w:ind w:firstLine="708"/>
        <w:jc w:val="both"/>
        <w:rPr>
          <w:rFonts w:ascii="Verdana" w:hAnsi="Verdana" w:cs="Arial"/>
          <w:color w:val="000000"/>
          <w:sz w:val="16"/>
          <w:szCs w:val="16"/>
          <w:lang w:val="es-CO"/>
        </w:rPr>
      </w:pPr>
      <w:r w:rsidRPr="004C1A97">
        <w:rPr>
          <w:rFonts w:ascii="Verdana" w:hAnsi="Verdana" w:cs="Arial"/>
          <w:color w:val="000000"/>
          <w:sz w:val="16"/>
          <w:szCs w:val="16"/>
          <w:vertAlign w:val="superscript"/>
        </w:rPr>
        <w:footnoteRef/>
      </w:r>
      <w:r w:rsidRPr="004C1A97">
        <w:rPr>
          <w:rFonts w:ascii="Verdana" w:hAnsi="Verdana" w:cs="Arial"/>
          <w:color w:val="000000"/>
          <w:sz w:val="16"/>
          <w:szCs w:val="16"/>
        </w:rPr>
        <w:t xml:space="preserve"> </w:t>
      </w:r>
      <w:r w:rsidRPr="004C1A97">
        <w:rPr>
          <w:rFonts w:ascii="Verdana" w:hAnsi="Verdana" w:cs="Arial"/>
          <w:color w:val="000000"/>
          <w:sz w:val="16"/>
          <w:szCs w:val="16"/>
          <w:lang w:val="es-CO"/>
        </w:rPr>
        <w:t xml:space="preserve">Manual de la Modalidad de Selección de Mínima Cuantía de Colombia Compra Eficiente, numeral 10.2. https://www.colombiacompra.gov.co/sites/cce_public/files/cce_documents/manual_de_la_modalidad_de_seleccion_de_minima_cuantia.pdf  </w:t>
      </w:r>
    </w:p>
  </w:footnote>
  <w:footnote w:id="11">
    <w:p w14:paraId="35B8DC84" w14:textId="77777777" w:rsidR="00822223" w:rsidRPr="004C1A97" w:rsidRDefault="00822223" w:rsidP="00822223">
      <w:pPr>
        <w:pStyle w:val="Textonotapie"/>
        <w:ind w:firstLine="709"/>
        <w:contextualSpacing/>
        <w:jc w:val="both"/>
        <w:rPr>
          <w:rFonts w:ascii="Verdana" w:hAnsi="Verdana" w:cs="Arial"/>
          <w:sz w:val="16"/>
          <w:szCs w:val="16"/>
        </w:rPr>
      </w:pPr>
      <w:r w:rsidRPr="004C1A97">
        <w:rPr>
          <w:rFonts w:ascii="Verdana" w:hAnsi="Verdana" w:cs="Arial"/>
          <w:sz w:val="16"/>
          <w:szCs w:val="16"/>
          <w:vertAlign w:val="superscript"/>
        </w:rPr>
        <w:footnoteRef/>
      </w:r>
      <w:r w:rsidRPr="004C1A97">
        <w:rPr>
          <w:rFonts w:ascii="Verdana" w:hAnsi="Verdana" w:cs="Arial"/>
          <w:sz w:val="16"/>
          <w:szCs w:val="16"/>
        </w:rPr>
        <w:t xml:space="preserve"> Ley 1150 de 2007: </w:t>
      </w:r>
      <w:r w:rsidRPr="004C1A97">
        <w:rPr>
          <w:rFonts w:ascii="Verdana" w:hAnsi="Verdana" w:cs="Arial"/>
          <w:i/>
          <w:iCs/>
          <w:sz w:val="16"/>
          <w:szCs w:val="16"/>
        </w:rPr>
        <w:t>“</w:t>
      </w:r>
      <w:r w:rsidRPr="004C1A97">
        <w:rPr>
          <w:rFonts w:ascii="Verdana" w:hAnsi="Verdana" w:cs="Arial"/>
          <w:sz w:val="16"/>
          <w:szCs w:val="16"/>
        </w:rPr>
        <w:t>Artículo 6. De la verificación de las condiciones de los proponentes.</w:t>
      </w:r>
    </w:p>
    <w:p w14:paraId="0FF080C2" w14:textId="77777777" w:rsidR="00822223" w:rsidRPr="004C1A97" w:rsidRDefault="00822223" w:rsidP="00822223">
      <w:pPr>
        <w:pStyle w:val="Textonotapie"/>
        <w:ind w:firstLine="709"/>
        <w:contextualSpacing/>
        <w:jc w:val="both"/>
        <w:rPr>
          <w:rFonts w:ascii="Verdana" w:hAnsi="Verdana" w:cs="Arial"/>
          <w:sz w:val="16"/>
          <w:szCs w:val="16"/>
        </w:rPr>
      </w:pPr>
      <w:r w:rsidRPr="004C1A97">
        <w:rPr>
          <w:rFonts w:ascii="Verdana" w:hAnsi="Verdana" w:cs="Arial"/>
          <w:sz w:val="16"/>
          <w:szCs w:val="16"/>
        </w:rPr>
        <w:t>[…]</w:t>
      </w:r>
    </w:p>
    <w:p w14:paraId="18884CEC" w14:textId="77777777" w:rsidR="00822223" w:rsidRPr="004C1A97" w:rsidRDefault="00822223" w:rsidP="00822223">
      <w:pPr>
        <w:pStyle w:val="Textonotapie"/>
        <w:ind w:firstLine="709"/>
        <w:contextualSpacing/>
        <w:jc w:val="both"/>
        <w:rPr>
          <w:rFonts w:ascii="Verdana" w:hAnsi="Verdana" w:cs="Arial"/>
          <w:sz w:val="16"/>
          <w:szCs w:val="16"/>
        </w:rPr>
      </w:pPr>
      <w:r w:rsidRPr="004C1A97">
        <w:rPr>
          <w:rFonts w:ascii="Verdana" w:hAnsi="Verdana" w:cs="Arial"/>
          <w:i/>
          <w:iCs/>
          <w:sz w:val="16"/>
          <w:szCs w:val="16"/>
        </w:rPr>
        <w:t>“</w:t>
      </w:r>
      <w:r w:rsidRPr="004C1A97">
        <w:rPr>
          <w:rFonts w:ascii="Verdana" w:hAnsi="Verdana" w:cs="Arial"/>
          <w:sz w:val="16"/>
          <w:szCs w:val="16"/>
        </w:rPr>
        <w:t>6.1. […]</w:t>
      </w:r>
    </w:p>
    <w:p w14:paraId="3FFBC749" w14:textId="77777777" w:rsidR="00822223" w:rsidRPr="004C1A97" w:rsidRDefault="00822223" w:rsidP="00822223">
      <w:pPr>
        <w:pStyle w:val="Textonotapie"/>
        <w:ind w:firstLine="709"/>
        <w:contextualSpacing/>
        <w:jc w:val="both"/>
        <w:rPr>
          <w:rFonts w:ascii="Verdana" w:hAnsi="Verdana" w:cs="Arial"/>
          <w:sz w:val="16"/>
          <w:szCs w:val="16"/>
        </w:rPr>
      </w:pPr>
      <w:r w:rsidRPr="004C1A97">
        <w:rPr>
          <w:rFonts w:ascii="Verdana" w:hAnsi="Verdana" w:cs="Arial"/>
          <w:i/>
          <w:iCs/>
          <w:sz w:val="16"/>
          <w:szCs w:val="16"/>
        </w:rPr>
        <w:t>“</w:t>
      </w:r>
      <w:r w:rsidRPr="004C1A97">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39191549" w14:textId="77777777" w:rsidR="00822223" w:rsidRPr="004C1A97" w:rsidRDefault="00822223" w:rsidP="00822223">
      <w:pPr>
        <w:pStyle w:val="Textonotapie"/>
        <w:ind w:firstLine="709"/>
        <w:contextualSpacing/>
        <w:jc w:val="both"/>
        <w:rPr>
          <w:rFonts w:ascii="Verdana" w:hAnsi="Verdana" w:cs="Arial"/>
          <w:sz w:val="16"/>
          <w:szCs w:val="16"/>
        </w:rPr>
      </w:pPr>
      <w:r w:rsidRPr="004C1A97">
        <w:rPr>
          <w:rFonts w:ascii="Verdana" w:hAnsi="Verdana" w:cs="Arial"/>
          <w:i/>
          <w:iCs/>
          <w:sz w:val="16"/>
          <w:szCs w:val="16"/>
        </w:rPr>
        <w:t>“</w:t>
      </w:r>
      <w:r w:rsidRPr="004C1A97">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7CA8D437" w14:textId="1A88656F" w:rsidR="00822223" w:rsidRPr="00EF01DE" w:rsidRDefault="00822223" w:rsidP="00EF01DE">
      <w:pPr>
        <w:pStyle w:val="Textonotapie"/>
        <w:ind w:firstLine="709"/>
        <w:contextualSpacing/>
        <w:jc w:val="both"/>
        <w:rPr>
          <w:rFonts w:ascii="Verdana" w:hAnsi="Verdana" w:cs="Arial"/>
          <w:sz w:val="16"/>
          <w:szCs w:val="16"/>
        </w:rPr>
      </w:pPr>
      <w:r w:rsidRPr="004C1A97">
        <w:rPr>
          <w:rFonts w:ascii="Verdana" w:hAnsi="Verdana" w:cs="Arial"/>
          <w:sz w:val="16"/>
          <w:szCs w:val="16"/>
        </w:rPr>
        <w:t>[…]</w:t>
      </w:r>
      <w:r w:rsidRPr="004C1A97">
        <w:rPr>
          <w:rFonts w:ascii="Verdana" w:hAnsi="Verdana" w:cs="Arial"/>
          <w:i/>
          <w:iCs/>
          <w:sz w:val="16"/>
          <w:szCs w:val="16"/>
        </w:rPr>
        <w:t>”</w:t>
      </w:r>
      <w:r w:rsidRPr="004C1A97">
        <w:rPr>
          <w:rFonts w:ascii="Verdana" w:hAnsi="Verdana" w:cs="Arial"/>
          <w:sz w:val="16"/>
          <w:szCs w:val="16"/>
        </w:rPr>
        <w:t>.</w:t>
      </w:r>
    </w:p>
  </w:footnote>
  <w:footnote w:id="12">
    <w:p w14:paraId="73E23631" w14:textId="754218CE" w:rsidR="00822223" w:rsidRPr="004C1A97" w:rsidRDefault="00822223" w:rsidP="001E159A">
      <w:pPr>
        <w:pStyle w:val="Textonotapie"/>
        <w:ind w:firstLine="708"/>
        <w:rPr>
          <w:rFonts w:ascii="Verdana" w:hAnsi="Verdana"/>
          <w:sz w:val="16"/>
          <w:szCs w:val="16"/>
        </w:rPr>
      </w:pPr>
      <w:r w:rsidRPr="004C1A97">
        <w:rPr>
          <w:rFonts w:ascii="Verdana" w:hAnsi="Verdana"/>
          <w:sz w:val="16"/>
          <w:szCs w:val="16"/>
          <w:vertAlign w:val="superscript"/>
        </w:rPr>
        <w:footnoteRef/>
      </w:r>
      <w:r w:rsidRPr="004C1A97">
        <w:rPr>
          <w:rFonts w:ascii="Verdana" w:hAnsi="Verdana"/>
          <w:sz w:val="16"/>
          <w:szCs w:val="16"/>
        </w:rPr>
        <w:t xml:space="preserve"> </w:t>
      </w:r>
      <w:r w:rsidRPr="004C1A97">
        <w:rPr>
          <w:rFonts w:ascii="Verdana" w:hAnsi="Verdana"/>
          <w:sz w:val="16"/>
          <w:szCs w:val="16"/>
          <w:lang w:val="es-ES"/>
        </w:rPr>
        <w:t>Ley 80 de 1993, Artículo 24, numeral 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E35E3C64"/>
    <w:lvl w:ilvl="0" w:tplc="4F422DDA">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732BE8"/>
    <w:multiLevelType w:val="hybridMultilevel"/>
    <w:tmpl w:val="728A9B00"/>
    <w:lvl w:ilvl="0" w:tplc="ADF2C6CE">
      <w:start w:val="1"/>
      <w:numFmt w:val="decimal"/>
      <w:lvlText w:val="%1."/>
      <w:lvlJc w:val="left"/>
      <w:pPr>
        <w:ind w:left="1211" w:hanging="360"/>
      </w:pPr>
      <w:rPr>
        <w:rFonts w:hint="default"/>
      </w:rPr>
    </w:lvl>
    <w:lvl w:ilvl="1" w:tplc="240A0019" w:tentative="1">
      <w:start w:val="1"/>
      <w:numFmt w:val="lowerLetter"/>
      <w:lvlText w:val="%2."/>
      <w:lvlJc w:val="left"/>
      <w:pPr>
        <w:ind w:left="1931" w:hanging="360"/>
      </w:pPr>
    </w:lvl>
    <w:lvl w:ilvl="2" w:tplc="240A001B" w:tentative="1">
      <w:start w:val="1"/>
      <w:numFmt w:val="lowerRoman"/>
      <w:lvlText w:val="%3."/>
      <w:lvlJc w:val="right"/>
      <w:pPr>
        <w:ind w:left="2651" w:hanging="180"/>
      </w:pPr>
    </w:lvl>
    <w:lvl w:ilvl="3" w:tplc="240A000F" w:tentative="1">
      <w:start w:val="1"/>
      <w:numFmt w:val="decimal"/>
      <w:lvlText w:val="%4."/>
      <w:lvlJc w:val="left"/>
      <w:pPr>
        <w:ind w:left="3371" w:hanging="360"/>
      </w:pPr>
    </w:lvl>
    <w:lvl w:ilvl="4" w:tplc="240A0019" w:tentative="1">
      <w:start w:val="1"/>
      <w:numFmt w:val="lowerLetter"/>
      <w:lvlText w:val="%5."/>
      <w:lvlJc w:val="left"/>
      <w:pPr>
        <w:ind w:left="4091" w:hanging="360"/>
      </w:pPr>
    </w:lvl>
    <w:lvl w:ilvl="5" w:tplc="240A001B" w:tentative="1">
      <w:start w:val="1"/>
      <w:numFmt w:val="lowerRoman"/>
      <w:lvlText w:val="%6."/>
      <w:lvlJc w:val="right"/>
      <w:pPr>
        <w:ind w:left="4811" w:hanging="180"/>
      </w:pPr>
    </w:lvl>
    <w:lvl w:ilvl="6" w:tplc="240A000F" w:tentative="1">
      <w:start w:val="1"/>
      <w:numFmt w:val="decimal"/>
      <w:lvlText w:val="%7."/>
      <w:lvlJc w:val="left"/>
      <w:pPr>
        <w:ind w:left="5531" w:hanging="360"/>
      </w:pPr>
    </w:lvl>
    <w:lvl w:ilvl="7" w:tplc="240A0019" w:tentative="1">
      <w:start w:val="1"/>
      <w:numFmt w:val="lowerLetter"/>
      <w:lvlText w:val="%8."/>
      <w:lvlJc w:val="left"/>
      <w:pPr>
        <w:ind w:left="6251" w:hanging="360"/>
      </w:pPr>
    </w:lvl>
    <w:lvl w:ilvl="8" w:tplc="240A001B" w:tentative="1">
      <w:start w:val="1"/>
      <w:numFmt w:val="lowerRoman"/>
      <w:lvlText w:val="%9."/>
      <w:lvlJc w:val="right"/>
      <w:pPr>
        <w:ind w:left="6971"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215973152">
    <w:abstractNumId w:val="10"/>
  </w:num>
  <w:num w:numId="18" w16cid:durableId="202894516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D4E"/>
    <w:rsid w:val="00016F78"/>
    <w:rsid w:val="00020260"/>
    <w:rsid w:val="00036895"/>
    <w:rsid w:val="00046945"/>
    <w:rsid w:val="00050194"/>
    <w:rsid w:val="000541A2"/>
    <w:rsid w:val="00061B2A"/>
    <w:rsid w:val="00082362"/>
    <w:rsid w:val="000840E4"/>
    <w:rsid w:val="000A572B"/>
    <w:rsid w:val="000A683E"/>
    <w:rsid w:val="000B19B9"/>
    <w:rsid w:val="000B729E"/>
    <w:rsid w:val="000C45A4"/>
    <w:rsid w:val="000D0334"/>
    <w:rsid w:val="000D5DA7"/>
    <w:rsid w:val="000D7442"/>
    <w:rsid w:val="000F6486"/>
    <w:rsid w:val="00103333"/>
    <w:rsid w:val="00116940"/>
    <w:rsid w:val="00125105"/>
    <w:rsid w:val="00126180"/>
    <w:rsid w:val="00127233"/>
    <w:rsid w:val="0013796A"/>
    <w:rsid w:val="00141154"/>
    <w:rsid w:val="001438F8"/>
    <w:rsid w:val="00152935"/>
    <w:rsid w:val="0015699B"/>
    <w:rsid w:val="00181A4E"/>
    <w:rsid w:val="00181F50"/>
    <w:rsid w:val="00182862"/>
    <w:rsid w:val="001A33BF"/>
    <w:rsid w:val="001A551C"/>
    <w:rsid w:val="001C446E"/>
    <w:rsid w:val="001E159A"/>
    <w:rsid w:val="001E4177"/>
    <w:rsid w:val="001F0B24"/>
    <w:rsid w:val="001F7DC6"/>
    <w:rsid w:val="00200D8B"/>
    <w:rsid w:val="00205396"/>
    <w:rsid w:val="00221A40"/>
    <w:rsid w:val="0022400B"/>
    <w:rsid w:val="00227F88"/>
    <w:rsid w:val="002421BB"/>
    <w:rsid w:val="0025796E"/>
    <w:rsid w:val="002707A2"/>
    <w:rsid w:val="00282264"/>
    <w:rsid w:val="002951A0"/>
    <w:rsid w:val="002959B9"/>
    <w:rsid w:val="002962BC"/>
    <w:rsid w:val="002A093D"/>
    <w:rsid w:val="002A0DD0"/>
    <w:rsid w:val="002A49AC"/>
    <w:rsid w:val="002A64FD"/>
    <w:rsid w:val="002A6896"/>
    <w:rsid w:val="002B5C54"/>
    <w:rsid w:val="002B67CE"/>
    <w:rsid w:val="002C7A84"/>
    <w:rsid w:val="002E2BF8"/>
    <w:rsid w:val="002E4FD9"/>
    <w:rsid w:val="0030657A"/>
    <w:rsid w:val="0031041C"/>
    <w:rsid w:val="00320063"/>
    <w:rsid w:val="00322A85"/>
    <w:rsid w:val="00324168"/>
    <w:rsid w:val="00330834"/>
    <w:rsid w:val="003448F4"/>
    <w:rsid w:val="00374F5E"/>
    <w:rsid w:val="00377E3E"/>
    <w:rsid w:val="003A779E"/>
    <w:rsid w:val="003D0F4D"/>
    <w:rsid w:val="003D5B0D"/>
    <w:rsid w:val="003E0499"/>
    <w:rsid w:val="003E4F80"/>
    <w:rsid w:val="003E6439"/>
    <w:rsid w:val="003F0264"/>
    <w:rsid w:val="003F2490"/>
    <w:rsid w:val="003F3941"/>
    <w:rsid w:val="003F6FAA"/>
    <w:rsid w:val="00404CCC"/>
    <w:rsid w:val="00406575"/>
    <w:rsid w:val="00412240"/>
    <w:rsid w:val="00414C74"/>
    <w:rsid w:val="0042722E"/>
    <w:rsid w:val="0044528D"/>
    <w:rsid w:val="00447C98"/>
    <w:rsid w:val="0045377C"/>
    <w:rsid w:val="00464EB6"/>
    <w:rsid w:val="00466E39"/>
    <w:rsid w:val="00481CC2"/>
    <w:rsid w:val="004A036F"/>
    <w:rsid w:val="004A166E"/>
    <w:rsid w:val="004A1847"/>
    <w:rsid w:val="004A20FC"/>
    <w:rsid w:val="004A305D"/>
    <w:rsid w:val="004C1A97"/>
    <w:rsid w:val="004C5534"/>
    <w:rsid w:val="004C6F14"/>
    <w:rsid w:val="004F21C4"/>
    <w:rsid w:val="004F685F"/>
    <w:rsid w:val="00514B9A"/>
    <w:rsid w:val="00521E20"/>
    <w:rsid w:val="0052768D"/>
    <w:rsid w:val="00542D7D"/>
    <w:rsid w:val="005566E8"/>
    <w:rsid w:val="0057485A"/>
    <w:rsid w:val="00574867"/>
    <w:rsid w:val="00591460"/>
    <w:rsid w:val="005A65E0"/>
    <w:rsid w:val="005A70E9"/>
    <w:rsid w:val="005B0F75"/>
    <w:rsid w:val="005B43AB"/>
    <w:rsid w:val="005C3777"/>
    <w:rsid w:val="005C5CDC"/>
    <w:rsid w:val="005D476C"/>
    <w:rsid w:val="005E5442"/>
    <w:rsid w:val="00602FBA"/>
    <w:rsid w:val="00605419"/>
    <w:rsid w:val="006163A0"/>
    <w:rsid w:val="006200BF"/>
    <w:rsid w:val="006219F8"/>
    <w:rsid w:val="006302F7"/>
    <w:rsid w:val="00646B9F"/>
    <w:rsid w:val="00650A68"/>
    <w:rsid w:val="00665D70"/>
    <w:rsid w:val="006900D9"/>
    <w:rsid w:val="0069151C"/>
    <w:rsid w:val="006B4E16"/>
    <w:rsid w:val="006C56EF"/>
    <w:rsid w:val="006C6663"/>
    <w:rsid w:val="006F4783"/>
    <w:rsid w:val="00706C16"/>
    <w:rsid w:val="007340C3"/>
    <w:rsid w:val="0075235A"/>
    <w:rsid w:val="00756841"/>
    <w:rsid w:val="007624AF"/>
    <w:rsid w:val="007649AB"/>
    <w:rsid w:val="00771D0C"/>
    <w:rsid w:val="00773659"/>
    <w:rsid w:val="0077608F"/>
    <w:rsid w:val="007833AC"/>
    <w:rsid w:val="00792B1B"/>
    <w:rsid w:val="007B04D9"/>
    <w:rsid w:val="007B268C"/>
    <w:rsid w:val="007B7171"/>
    <w:rsid w:val="007C0C0F"/>
    <w:rsid w:val="007C3DC2"/>
    <w:rsid w:val="007C503B"/>
    <w:rsid w:val="007E191F"/>
    <w:rsid w:val="007E2EC1"/>
    <w:rsid w:val="007E5148"/>
    <w:rsid w:val="007E5497"/>
    <w:rsid w:val="00806F5F"/>
    <w:rsid w:val="00820278"/>
    <w:rsid w:val="00822223"/>
    <w:rsid w:val="0082227F"/>
    <w:rsid w:val="008258C9"/>
    <w:rsid w:val="00837495"/>
    <w:rsid w:val="00844AE9"/>
    <w:rsid w:val="008627D7"/>
    <w:rsid w:val="00867F95"/>
    <w:rsid w:val="008843B6"/>
    <w:rsid w:val="00885785"/>
    <w:rsid w:val="00890469"/>
    <w:rsid w:val="00891928"/>
    <w:rsid w:val="008A0673"/>
    <w:rsid w:val="008A446D"/>
    <w:rsid w:val="008A654A"/>
    <w:rsid w:val="008B0735"/>
    <w:rsid w:val="008B25F1"/>
    <w:rsid w:val="008D180B"/>
    <w:rsid w:val="008D39FD"/>
    <w:rsid w:val="008D4548"/>
    <w:rsid w:val="008E316A"/>
    <w:rsid w:val="008F0EA7"/>
    <w:rsid w:val="009064B9"/>
    <w:rsid w:val="00923EEF"/>
    <w:rsid w:val="009419F9"/>
    <w:rsid w:val="00944E42"/>
    <w:rsid w:val="0095685E"/>
    <w:rsid w:val="00961B09"/>
    <w:rsid w:val="00965334"/>
    <w:rsid w:val="0097093E"/>
    <w:rsid w:val="00990B6A"/>
    <w:rsid w:val="009A0DFA"/>
    <w:rsid w:val="009A1C6F"/>
    <w:rsid w:val="009A7B74"/>
    <w:rsid w:val="009A7DB1"/>
    <w:rsid w:val="009B2D26"/>
    <w:rsid w:val="009C2B92"/>
    <w:rsid w:val="009C5632"/>
    <w:rsid w:val="009C71FA"/>
    <w:rsid w:val="009C72E7"/>
    <w:rsid w:val="009C7F7E"/>
    <w:rsid w:val="009D3058"/>
    <w:rsid w:val="009E376C"/>
    <w:rsid w:val="009E565F"/>
    <w:rsid w:val="009F12DE"/>
    <w:rsid w:val="009F3A13"/>
    <w:rsid w:val="00A122D3"/>
    <w:rsid w:val="00A14468"/>
    <w:rsid w:val="00A17F13"/>
    <w:rsid w:val="00A20739"/>
    <w:rsid w:val="00A20D06"/>
    <w:rsid w:val="00A23AF9"/>
    <w:rsid w:val="00A23D9F"/>
    <w:rsid w:val="00A33C78"/>
    <w:rsid w:val="00A35C1F"/>
    <w:rsid w:val="00A76439"/>
    <w:rsid w:val="00AA774E"/>
    <w:rsid w:val="00AB0ADB"/>
    <w:rsid w:val="00AC4F78"/>
    <w:rsid w:val="00AD33CA"/>
    <w:rsid w:val="00AE549C"/>
    <w:rsid w:val="00B00C0E"/>
    <w:rsid w:val="00B01B1A"/>
    <w:rsid w:val="00B0381D"/>
    <w:rsid w:val="00B21065"/>
    <w:rsid w:val="00B44A47"/>
    <w:rsid w:val="00B55B98"/>
    <w:rsid w:val="00B6172C"/>
    <w:rsid w:val="00B72CD3"/>
    <w:rsid w:val="00B72FFF"/>
    <w:rsid w:val="00BB7F66"/>
    <w:rsid w:val="00BC3D36"/>
    <w:rsid w:val="00BD3D58"/>
    <w:rsid w:val="00BD54A6"/>
    <w:rsid w:val="00BD7F72"/>
    <w:rsid w:val="00BF7425"/>
    <w:rsid w:val="00C04FB3"/>
    <w:rsid w:val="00C103FE"/>
    <w:rsid w:val="00C11D8B"/>
    <w:rsid w:val="00C11F16"/>
    <w:rsid w:val="00C13972"/>
    <w:rsid w:val="00C15139"/>
    <w:rsid w:val="00C31ED6"/>
    <w:rsid w:val="00C330EB"/>
    <w:rsid w:val="00C40E7F"/>
    <w:rsid w:val="00C50D69"/>
    <w:rsid w:val="00C5365C"/>
    <w:rsid w:val="00C754BE"/>
    <w:rsid w:val="00C76B1C"/>
    <w:rsid w:val="00C76EEC"/>
    <w:rsid w:val="00C925AC"/>
    <w:rsid w:val="00CB1205"/>
    <w:rsid w:val="00CB1D2D"/>
    <w:rsid w:val="00CB6357"/>
    <w:rsid w:val="00CC1B26"/>
    <w:rsid w:val="00CC3397"/>
    <w:rsid w:val="00CD2958"/>
    <w:rsid w:val="00CF7386"/>
    <w:rsid w:val="00D14DB4"/>
    <w:rsid w:val="00D361FD"/>
    <w:rsid w:val="00D423A2"/>
    <w:rsid w:val="00D44E26"/>
    <w:rsid w:val="00D520D8"/>
    <w:rsid w:val="00D63AC2"/>
    <w:rsid w:val="00D731E0"/>
    <w:rsid w:val="00D7383B"/>
    <w:rsid w:val="00D7788A"/>
    <w:rsid w:val="00D80714"/>
    <w:rsid w:val="00DA231B"/>
    <w:rsid w:val="00DB4E60"/>
    <w:rsid w:val="00DC39FC"/>
    <w:rsid w:val="00DE01F2"/>
    <w:rsid w:val="00DF343D"/>
    <w:rsid w:val="00DF5254"/>
    <w:rsid w:val="00E02524"/>
    <w:rsid w:val="00E16408"/>
    <w:rsid w:val="00E20894"/>
    <w:rsid w:val="00E21C86"/>
    <w:rsid w:val="00E245AB"/>
    <w:rsid w:val="00E2764C"/>
    <w:rsid w:val="00E27F2E"/>
    <w:rsid w:val="00E31A40"/>
    <w:rsid w:val="00E368FA"/>
    <w:rsid w:val="00E438C1"/>
    <w:rsid w:val="00E50AFE"/>
    <w:rsid w:val="00E75C92"/>
    <w:rsid w:val="00E771DC"/>
    <w:rsid w:val="00E82FE3"/>
    <w:rsid w:val="00E8772A"/>
    <w:rsid w:val="00E90F6B"/>
    <w:rsid w:val="00E92C27"/>
    <w:rsid w:val="00EA0E3D"/>
    <w:rsid w:val="00EB58D5"/>
    <w:rsid w:val="00EC38A7"/>
    <w:rsid w:val="00EC4EA6"/>
    <w:rsid w:val="00ED5AAE"/>
    <w:rsid w:val="00EE1AA8"/>
    <w:rsid w:val="00EE3181"/>
    <w:rsid w:val="00EE7DA1"/>
    <w:rsid w:val="00EF01DE"/>
    <w:rsid w:val="00EF5968"/>
    <w:rsid w:val="00F1122A"/>
    <w:rsid w:val="00F15605"/>
    <w:rsid w:val="00F23FEA"/>
    <w:rsid w:val="00F31EDC"/>
    <w:rsid w:val="00F462B3"/>
    <w:rsid w:val="00F55575"/>
    <w:rsid w:val="00F5625C"/>
    <w:rsid w:val="00F563A0"/>
    <w:rsid w:val="00F5664F"/>
    <w:rsid w:val="00F61A65"/>
    <w:rsid w:val="00F666C4"/>
    <w:rsid w:val="00F66C88"/>
    <w:rsid w:val="00F76AFC"/>
    <w:rsid w:val="00F810D9"/>
    <w:rsid w:val="00FA47C0"/>
    <w:rsid w:val="00FA75B8"/>
    <w:rsid w:val="00FB5DD1"/>
    <w:rsid w:val="00FC08CE"/>
    <w:rsid w:val="00FC2B5D"/>
    <w:rsid w:val="00FC744E"/>
    <w:rsid w:val="00FD072A"/>
    <w:rsid w:val="00FD68A3"/>
    <w:rsid w:val="00FF1449"/>
    <w:rsid w:val="00FF6DCF"/>
    <w:rsid w:val="00FF7963"/>
    <w:rsid w:val="071B8F93"/>
    <w:rsid w:val="09908A09"/>
    <w:rsid w:val="0FF4CCA8"/>
    <w:rsid w:val="13CFC91B"/>
    <w:rsid w:val="19A2EC2C"/>
    <w:rsid w:val="2859CA1B"/>
    <w:rsid w:val="31DE0A94"/>
    <w:rsid w:val="32A4F9CF"/>
    <w:rsid w:val="356CEDFD"/>
    <w:rsid w:val="3AC00671"/>
    <w:rsid w:val="43CF8DF1"/>
    <w:rsid w:val="5190032B"/>
    <w:rsid w:val="5835C188"/>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0CC187C-9E64-446B-9F02-CB945B502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22223"/>
    <w:rPr>
      <w:rFonts w:ascii="Geomanist Light" w:hAnsi="Geomanist Light"/>
      <w:lang w:val="es-ES"/>
    </w:rPr>
  </w:style>
  <w:style w:type="paragraph" w:customStyle="1" w:styleId="Appelnotedebasde">
    <w:name w:val="Appel note de bas de..."/>
    <w:basedOn w:val="Normal"/>
    <w:link w:val="Refdenotaalpie"/>
    <w:uiPriority w:val="99"/>
    <w:rsid w:val="00822223"/>
    <w:pPr>
      <w:spacing w:line="240" w:lineRule="exact"/>
    </w:pPr>
    <w:rPr>
      <w:vertAlign w:val="superscript"/>
    </w:rPr>
  </w:style>
  <w:style w:type="character" w:styleId="Fuerte">
    <w:name w:val="Strong"/>
    <w:basedOn w:val="Fuentedeprrafopredeter"/>
    <w:uiPriority w:val="22"/>
    <w:qFormat/>
    <w:rsid w:val="00822223"/>
    <w:rPr>
      <w:b/>
      <w:bCs/>
    </w:rPr>
  </w:style>
  <w:style w:type="character" w:styleId="nfasis">
    <w:name w:val="Emphasis"/>
    <w:basedOn w:val="Fuentedeprrafopredeter"/>
    <w:uiPriority w:val="20"/>
    <w:qFormat/>
    <w:rsid w:val="008222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150_2007.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ntratacion.juridica.sv@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conoce-la-relatoria"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08/manual_de_la_modalidad_de_seleccion_de_minima_cuantia.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conceptos/c-514-de-2025/"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67091-CCEF-491D-974F-234DA159DC4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65CF3515-77EC-4490-8562-794B18C9B45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14</Pages>
  <Words>4089</Words>
  <Characters>22494</Characters>
  <Application>Microsoft Office Word</Application>
  <DocSecurity>0</DocSecurity>
  <Lines>459</Lines>
  <Paragraphs>121</Paragraphs>
  <ScaleCrop>false</ScaleCrop>
  <Company/>
  <LinksUpToDate>false</LinksUpToDate>
  <CharactersWithSpaces>26462</CharactersWithSpaces>
  <SharedDoc>false</SharedDoc>
  <HLinks>
    <vt:vector size="36" baseType="variant">
      <vt:variant>
        <vt:i4>6488184</vt:i4>
      </vt:variant>
      <vt:variant>
        <vt:i4>9</vt:i4>
      </vt:variant>
      <vt:variant>
        <vt:i4>0</vt:i4>
      </vt:variant>
      <vt:variant>
        <vt:i4>5</vt:i4>
      </vt:variant>
      <vt:variant>
        <vt:lpwstr>https://www.colombiacompra.gov.co/normativa-y-relatoria/conoce-la-relatoria</vt:lpwstr>
      </vt:variant>
      <vt:variant>
        <vt:lpwstr/>
      </vt:variant>
      <vt:variant>
        <vt:i4>7274555</vt:i4>
      </vt:variant>
      <vt:variant>
        <vt:i4>6</vt:i4>
      </vt:variant>
      <vt:variant>
        <vt:i4>0</vt:i4>
      </vt:variant>
      <vt:variant>
        <vt:i4>5</vt:i4>
      </vt:variant>
      <vt:variant>
        <vt:lpwstr>https://www.colombiacompra.gov.co/wp-content/uploads/2024/08/manual_de_la_modalidad_de_seleccion_de_minima_cuantia.pdf</vt:lpwstr>
      </vt:variant>
      <vt:variant>
        <vt:lpwstr/>
      </vt:variant>
      <vt:variant>
        <vt:i4>3276817</vt:i4>
      </vt:variant>
      <vt:variant>
        <vt:i4>3</vt:i4>
      </vt:variant>
      <vt:variant>
        <vt:i4>0</vt:i4>
      </vt:variant>
      <vt:variant>
        <vt:i4>5</vt:i4>
      </vt:variant>
      <vt:variant>
        <vt:lpwstr>http://www.secretariasenado.gov.co/senado/basedoc/ley_1150_2007.html</vt:lpwstr>
      </vt:variant>
      <vt:variant>
        <vt:lpwstr>6</vt:lpwstr>
      </vt:variant>
      <vt:variant>
        <vt:i4>2687000</vt:i4>
      </vt:variant>
      <vt:variant>
        <vt:i4>0</vt:i4>
      </vt:variant>
      <vt:variant>
        <vt:i4>0</vt:i4>
      </vt:variant>
      <vt:variant>
        <vt:i4>5</vt:i4>
      </vt:variant>
      <vt:variant>
        <vt:lpwstr>mailto:contratacion.juridica.sv@gmail.com</vt:lpwstr>
      </vt:variant>
      <vt:variant>
        <vt:lpwstr/>
      </vt:variant>
      <vt:variant>
        <vt:i4>5898255</vt:i4>
      </vt:variant>
      <vt:variant>
        <vt:i4>3</vt:i4>
      </vt:variant>
      <vt:variant>
        <vt:i4>0</vt:i4>
      </vt:variant>
      <vt:variant>
        <vt:i4>5</vt:i4>
      </vt:variant>
      <vt:variant>
        <vt:lpwstr>https://relatoria.colombiacompra.gov.co/conceptos/c-514-de-2025/</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3</cp:revision>
  <cp:lastPrinted>2023-01-10T21:18:00Z</cp:lastPrinted>
  <dcterms:created xsi:type="dcterms:W3CDTF">2026-02-12T19:30:00Z</dcterms:created>
  <dcterms:modified xsi:type="dcterms:W3CDTF">2026-02-12T19:31:00Z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