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0BD8D" w14:textId="77777777" w:rsidR="0092454A" w:rsidRPr="00A27E8B" w:rsidRDefault="0092454A" w:rsidP="0092454A">
      <w:pPr>
        <w:widowControl w:val="0"/>
        <w:autoSpaceDE w:val="0"/>
        <w:autoSpaceDN w:val="0"/>
        <w:spacing w:after="0" w:line="240" w:lineRule="auto"/>
        <w:jc w:val="both"/>
        <w:rPr>
          <w:rFonts w:ascii="Verdana" w:hAnsi="Verdana" w:cs="Arial"/>
          <w:b/>
          <w:bCs/>
        </w:rPr>
      </w:pPr>
      <w:bookmarkStart w:id="0" w:name="_Hlk143780582"/>
      <w:r w:rsidRPr="00A27E8B">
        <w:rPr>
          <w:rFonts w:ascii="Verdana" w:hAnsi="Verdana" w:cs="Arial"/>
          <w:b/>
          <w:bCs/>
        </w:rPr>
        <w:t>CONTRATO DE PRESTACIÓN DE SERVICIOS – Definición</w:t>
      </w:r>
    </w:p>
    <w:p w14:paraId="6094B30C" w14:textId="77777777" w:rsidR="0092454A" w:rsidRPr="00A27E8B" w:rsidRDefault="0092454A" w:rsidP="0092454A">
      <w:pPr>
        <w:widowControl w:val="0"/>
        <w:autoSpaceDE w:val="0"/>
        <w:autoSpaceDN w:val="0"/>
        <w:spacing w:after="0" w:line="240" w:lineRule="auto"/>
        <w:jc w:val="both"/>
        <w:rPr>
          <w:rFonts w:ascii="Verdana" w:hAnsi="Verdana" w:cs="Arial"/>
          <w:sz w:val="20"/>
          <w:szCs w:val="20"/>
        </w:rPr>
      </w:pPr>
    </w:p>
    <w:p w14:paraId="43A5B1B2" w14:textId="77777777" w:rsidR="0092454A" w:rsidRPr="00A27E8B" w:rsidRDefault="0092454A" w:rsidP="0092454A">
      <w:pPr>
        <w:widowControl w:val="0"/>
        <w:autoSpaceDE w:val="0"/>
        <w:autoSpaceDN w:val="0"/>
        <w:spacing w:after="0" w:line="240" w:lineRule="auto"/>
        <w:jc w:val="both"/>
        <w:rPr>
          <w:rFonts w:ascii="Verdana" w:hAnsi="Verdana" w:cs="Arial"/>
          <w:sz w:val="20"/>
          <w:szCs w:val="20"/>
        </w:rPr>
      </w:pPr>
      <w:r w:rsidRPr="00A27E8B">
        <w:rPr>
          <w:rFonts w:ascii="Verdana" w:eastAsia="Century Gothic" w:hAnsi="Verdana" w:cs="Century Gothic"/>
          <w:color w:val="000000" w:themeColor="text1"/>
          <w:sz w:val="20"/>
          <w:szCs w:val="20"/>
          <w:lang w:val="es-ES"/>
        </w:rPr>
        <w:t xml:space="preserve">“[…] </w:t>
      </w:r>
      <w:r w:rsidRPr="00A27E8B">
        <w:rPr>
          <w:rFonts w:ascii="Verdana" w:hAnsi="Verdana" w:cs="Arial"/>
          <w:sz w:val="20"/>
          <w:szCs w:val="20"/>
        </w:rPr>
        <w:t>El contrato de prestación de servicios es uno de los tipos contractuales consagrados en el Estatuto General de Contratación de la Administración Pública – en adelante EGCAP-, que pueden celebrar las Entidades Estatales. Se trata de un contrato típico, ya que se encuentra definido en la ley. Concretamente, el artículo 32, numeral 3º, de la Ley 80 de 1993, establece: “Son contratos de prestación de servicios los que celebren las entidades estatales para desarrollar actividades relacionadas con la administración o funcionamiento de la entidad. Estos contratos sólo podrán celebrarse con personas naturales cuando dichas actividades no puedan realizarse con personal de planta o requieran conocimientos especializados. En ningún caso estos contratos generan relación laboral ni prestaciones sociales y se celebrarán por el término estrictamente indispensable”.</w:t>
      </w:r>
    </w:p>
    <w:p w14:paraId="469EC771" w14:textId="77777777" w:rsidR="0092454A" w:rsidRPr="00A27E8B" w:rsidRDefault="0092454A" w:rsidP="0092454A">
      <w:pPr>
        <w:widowControl w:val="0"/>
        <w:autoSpaceDE w:val="0"/>
        <w:autoSpaceDN w:val="0"/>
        <w:spacing w:after="0" w:line="240" w:lineRule="auto"/>
        <w:jc w:val="both"/>
        <w:rPr>
          <w:rFonts w:ascii="Verdana" w:hAnsi="Verdana" w:cs="Arial"/>
          <w:sz w:val="20"/>
          <w:szCs w:val="20"/>
        </w:rPr>
      </w:pPr>
    </w:p>
    <w:p w14:paraId="5456025B" w14:textId="77777777" w:rsidR="0092454A" w:rsidRPr="00A27E8B" w:rsidRDefault="0092454A" w:rsidP="0092454A">
      <w:pPr>
        <w:widowControl w:val="0"/>
        <w:autoSpaceDE w:val="0"/>
        <w:autoSpaceDN w:val="0"/>
        <w:spacing w:after="0" w:line="240" w:lineRule="auto"/>
        <w:jc w:val="both"/>
        <w:rPr>
          <w:rFonts w:ascii="Verdana" w:eastAsia="Century Gothic" w:hAnsi="Verdana" w:cs="Century Gothic"/>
          <w:color w:val="000000" w:themeColor="text1"/>
          <w:sz w:val="20"/>
          <w:szCs w:val="20"/>
        </w:rPr>
      </w:pPr>
      <w:r w:rsidRPr="00A27E8B">
        <w:rPr>
          <w:rFonts w:ascii="Verdana" w:hAnsi="Verdana" w:cs="Arial"/>
          <w:sz w:val="20"/>
          <w:szCs w:val="20"/>
        </w:rPr>
        <w:t xml:space="preserve">De otro lado, la celebración de dicho contrato se debe efectuar a través de la modalidad de la contratación directa. Así lo prevé el artículo 2, numeral 4º, literal h), de la Ley 1150 de 2007. </w:t>
      </w:r>
      <w:r w:rsidRPr="00A27E8B">
        <w:rPr>
          <w:rFonts w:ascii="Verdana" w:eastAsia="Century Gothic" w:hAnsi="Verdana" w:cs="Century Gothic"/>
          <w:color w:val="000000" w:themeColor="text1"/>
          <w:sz w:val="20"/>
          <w:szCs w:val="20"/>
          <w:lang w:val="es-ES"/>
        </w:rPr>
        <w:t xml:space="preserve">[…]” </w:t>
      </w:r>
    </w:p>
    <w:p w14:paraId="6269DB66" w14:textId="77777777" w:rsidR="0092454A" w:rsidRDefault="0092454A">
      <w:pPr>
        <w:rPr>
          <w:rFonts w:ascii="Verdana" w:eastAsia="Verdana" w:hAnsi="Verdana" w:cs="Verdana"/>
        </w:rPr>
      </w:pPr>
    </w:p>
    <w:p w14:paraId="0786998A" w14:textId="77777777" w:rsidR="00733998" w:rsidRPr="00A27E8B" w:rsidRDefault="00733998" w:rsidP="00733998">
      <w:pPr>
        <w:pStyle w:val="Textoindependiente"/>
        <w:spacing w:before="163"/>
        <w:rPr>
          <w:rFonts w:ascii="Verdana" w:hAnsi="Verdana"/>
          <w:b/>
          <w:bCs/>
        </w:rPr>
      </w:pPr>
      <w:r w:rsidRPr="00A27E8B">
        <w:rPr>
          <w:rFonts w:ascii="Verdana" w:eastAsia="Calibri" w:hAnsi="Verdana" w:cs="Arial"/>
          <w:b/>
          <w:bCs/>
          <w:lang w:val="es-ES" w:eastAsia="es-ES"/>
        </w:rPr>
        <w:t xml:space="preserve">CONTRATO DE PRESTACIÓN DE SERVICIOS ― HONORARIOS - Pago </w:t>
      </w:r>
    </w:p>
    <w:p w14:paraId="51BD054B" w14:textId="77777777" w:rsidR="00733998" w:rsidRPr="00A27E8B" w:rsidRDefault="00733998" w:rsidP="00733998">
      <w:pPr>
        <w:spacing w:after="240" w:line="240" w:lineRule="auto"/>
        <w:jc w:val="both"/>
        <w:rPr>
          <w:rFonts w:ascii="Verdana" w:eastAsia="Calibri" w:hAnsi="Verdana" w:cs="Arial"/>
          <w:bCs/>
          <w:color w:val="000000"/>
          <w:kern w:val="2"/>
          <w:sz w:val="20"/>
          <w:szCs w:val="20"/>
          <w14:ligatures w14:val="standardContextual"/>
        </w:rPr>
      </w:pPr>
      <w:r w:rsidRPr="00A27E8B">
        <w:rPr>
          <w:rFonts w:ascii="Verdana" w:eastAsia="Calibri" w:hAnsi="Verdana" w:cs="Arial"/>
          <w:sz w:val="20"/>
          <w:szCs w:val="20"/>
          <w:lang w:val="es-ES_tradnl" w:eastAsia="es-ES_tradnl"/>
        </w:rPr>
        <w:t xml:space="preserve">[…] </w:t>
      </w:r>
      <w:r w:rsidRPr="00A27E8B">
        <w:rPr>
          <w:rFonts w:ascii="Verdana" w:eastAsia="Times New Roman" w:hAnsi="Verdana" w:cs="Times New Roman"/>
          <w:sz w:val="20"/>
          <w:szCs w:val="20"/>
          <w:lang w:eastAsia="es-MX"/>
        </w:rPr>
        <w:t xml:space="preserve">En los contratos de prestación de servicios, la fijación de honorarios, así como las condiciones y forma de pago, se derivan principalmente de la autonomía de la voluntad de las partes. Estas determinan el contenido de los contratos estatales que suscriben y pueden incluir las condiciones, cláusulas o estipulaciones que consideren necesarias para desarrollar el objeto contractual, siempre que no sean contrarias a la Constitución Política, la ley y el orden público. Al respecto, es importante precisar que el Estatuto General de Contratación de la Administración Púbica ―en adelante EGCAP― en varias de sus disposiciones si establecen límites a esa autonomía de la voluntad. </w:t>
      </w:r>
      <w:r w:rsidRPr="00A27E8B">
        <w:rPr>
          <w:rFonts w:ascii="Verdana" w:eastAsia="Calibri" w:hAnsi="Verdana" w:cs="Arial"/>
          <w:sz w:val="20"/>
          <w:szCs w:val="20"/>
          <w:lang w:val="es-ES_tradnl" w:eastAsia="es-ES_tradnl"/>
        </w:rPr>
        <w:t>[…]</w:t>
      </w:r>
    </w:p>
    <w:p w14:paraId="5B81027F" w14:textId="77777777" w:rsidR="00733998" w:rsidRPr="00A27E8B" w:rsidRDefault="00733998" w:rsidP="00733998">
      <w:pPr>
        <w:spacing w:after="240" w:line="240" w:lineRule="auto"/>
        <w:jc w:val="both"/>
        <w:rPr>
          <w:rFonts w:ascii="Verdana" w:eastAsia="Calibri" w:hAnsi="Verdana" w:cs="Arial"/>
          <w:bCs/>
          <w:color w:val="000000"/>
          <w:kern w:val="2"/>
          <w:sz w:val="20"/>
          <w:szCs w:val="20"/>
          <w14:ligatures w14:val="standardContextual"/>
        </w:rPr>
      </w:pPr>
      <w:r w:rsidRPr="00A27E8B">
        <w:rPr>
          <w:rFonts w:ascii="Verdana" w:eastAsia="Calibri" w:hAnsi="Verdana" w:cs="Arial"/>
          <w:bCs/>
          <w:color w:val="000000"/>
          <w:kern w:val="2"/>
          <w:sz w:val="20"/>
          <w:szCs w:val="20"/>
          <w14:ligatures w14:val="standardContextual"/>
        </w:rPr>
        <w:t>Por regla general, los honorarios se entienden como la contraprestación por el servicio efectivamente prestado, lo que implica que, si el contrato se perfecciona e inicia ejecución en una fecha distinta al inicio del mes, el pago debería calcularse de manera proporcional al tiempo de ejecución real.</w:t>
      </w:r>
    </w:p>
    <w:p w14:paraId="7F49A809" w14:textId="77777777" w:rsidR="00733998" w:rsidRPr="00A27E8B" w:rsidRDefault="00733998" w:rsidP="00733998">
      <w:pPr>
        <w:spacing w:after="240" w:line="240" w:lineRule="auto"/>
        <w:jc w:val="both"/>
        <w:rPr>
          <w:rFonts w:ascii="Verdana" w:eastAsia="Calibri" w:hAnsi="Verdana" w:cs="Arial"/>
          <w:bCs/>
          <w:color w:val="000000"/>
          <w:kern w:val="2"/>
          <w:sz w:val="20"/>
          <w:szCs w:val="20"/>
          <w14:ligatures w14:val="standardContextual"/>
        </w:rPr>
      </w:pPr>
      <w:r w:rsidRPr="00A27E8B">
        <w:rPr>
          <w:rFonts w:ascii="Verdana" w:eastAsia="Calibri" w:hAnsi="Verdana" w:cs="Arial"/>
          <w:bCs/>
          <w:color w:val="000000"/>
          <w:kern w:val="2"/>
          <w:sz w:val="20"/>
          <w:szCs w:val="20"/>
          <w14:ligatures w14:val="standardContextual"/>
        </w:rPr>
        <w:t>No obstante, si el contrato establece que los honorarios se reconocen por períodos mensuales completos, independientemente de la fecha de inicio de ejecución, las partes pueden acordar el pago íntegro del mes. En este caso, prevalece la autonomía de la voluntad, siempre que no se desconozcan principios de equidad, proporcionalidad y buena fe contractual.</w:t>
      </w:r>
    </w:p>
    <w:p w14:paraId="47C062AC" w14:textId="22A778C7" w:rsidR="00733998" w:rsidRDefault="00AE3294" w:rsidP="00AE3294">
      <w:pPr>
        <w:spacing w:after="0"/>
        <w:jc w:val="both"/>
        <w:rPr>
          <w:rFonts w:ascii="Verdana" w:eastAsia="Calibri" w:hAnsi="Verdana" w:cs="Arial"/>
          <w:b/>
          <w:lang w:val="es-MX" w:eastAsia="es-ES_tradnl"/>
        </w:rPr>
      </w:pPr>
      <w:r w:rsidRPr="00AE3294">
        <w:rPr>
          <w:rFonts w:ascii="Verdana" w:eastAsia="Calibri" w:hAnsi="Verdana" w:cs="Arial"/>
          <w:b/>
          <w:lang w:val="es-MX" w:eastAsia="es-ES_tradnl"/>
        </w:rPr>
        <w:t>IDONEIDAD – Deber de verificación de la Entidad Estatal</w:t>
      </w:r>
    </w:p>
    <w:p w14:paraId="5C6FD898" w14:textId="77777777" w:rsidR="00261554" w:rsidRDefault="00261554" w:rsidP="00AE3294">
      <w:pPr>
        <w:spacing w:after="0"/>
        <w:jc w:val="both"/>
        <w:rPr>
          <w:rFonts w:ascii="Verdana" w:eastAsia="Calibri" w:hAnsi="Verdana" w:cs="Arial"/>
          <w:b/>
          <w:lang w:val="es-MX" w:eastAsia="es-ES_tradnl"/>
        </w:rPr>
      </w:pPr>
    </w:p>
    <w:p w14:paraId="6BB25BCE" w14:textId="77777777" w:rsidR="00261554" w:rsidRDefault="00261554" w:rsidP="00261554">
      <w:pPr>
        <w:widowControl w:val="0"/>
        <w:autoSpaceDE w:val="0"/>
        <w:autoSpaceDN w:val="0"/>
        <w:spacing w:after="120" w:line="276" w:lineRule="auto"/>
        <w:jc w:val="both"/>
        <w:rPr>
          <w:rFonts w:ascii="Verdana" w:eastAsia="Century Gothic" w:hAnsi="Verdana" w:cs="Century Gothic"/>
        </w:rPr>
      </w:pPr>
      <w:r>
        <w:rPr>
          <w:rFonts w:ascii="Verdana" w:eastAsia="Century Gothic" w:hAnsi="Verdana" w:cs="Century Gothic"/>
        </w:rPr>
        <w:t xml:space="preserve">[…] </w:t>
      </w:r>
    </w:p>
    <w:p w14:paraId="4C0A2767" w14:textId="735167D1" w:rsidR="00261554" w:rsidRPr="00261554" w:rsidRDefault="00261554" w:rsidP="00261554">
      <w:pPr>
        <w:widowControl w:val="0"/>
        <w:autoSpaceDE w:val="0"/>
        <w:autoSpaceDN w:val="0"/>
        <w:spacing w:after="120" w:line="276" w:lineRule="auto"/>
        <w:jc w:val="both"/>
        <w:rPr>
          <w:rFonts w:ascii="Verdana" w:hAnsi="Verdana" w:cs="Arial"/>
          <w:bCs/>
          <w:color w:val="000000" w:themeColor="text1"/>
          <w:sz w:val="20"/>
          <w:szCs w:val="20"/>
        </w:rPr>
      </w:pPr>
      <w:r w:rsidRPr="00261554">
        <w:rPr>
          <w:rFonts w:ascii="Verdana" w:eastAsia="Century Gothic" w:hAnsi="Verdana" w:cs="Century Gothic"/>
          <w:sz w:val="20"/>
          <w:szCs w:val="20"/>
        </w:rPr>
        <w:t xml:space="preserve">Así las cosas, debe indicarse en primer lugar que esta hace referencia a la condición o </w:t>
      </w:r>
      <w:r w:rsidRPr="00261554">
        <w:rPr>
          <w:rFonts w:ascii="Verdana" w:eastAsia="Century Gothic" w:hAnsi="Verdana" w:cs="Century Gothic"/>
          <w:sz w:val="20"/>
          <w:szCs w:val="20"/>
        </w:rPr>
        <w:lastRenderedPageBreak/>
        <w:t xml:space="preserve">cualidad que debe acreditar una persona ya sea natural o jurídica, a las Entidades con las que se va a celebrar el contrato y/o convenio, a fin de verificar si cuenta con la capacidad para ejecutar el objeto del contrato y con ello garantizar que se pueda cumplir a cabalidad con las obligaciones acordadas </w:t>
      </w:r>
    </w:p>
    <w:p w14:paraId="3C967AA0" w14:textId="32A0989A" w:rsidR="00261554" w:rsidRPr="00261554" w:rsidRDefault="00261554" w:rsidP="00261554">
      <w:pPr>
        <w:spacing w:after="120" w:line="276" w:lineRule="auto"/>
        <w:jc w:val="both"/>
        <w:rPr>
          <w:rFonts w:ascii="Verdana" w:eastAsia="Calibri" w:hAnsi="Verdana" w:cs="Arial"/>
          <w:bCs/>
          <w:color w:val="000000" w:themeColor="text1"/>
          <w:sz w:val="20"/>
          <w:szCs w:val="20"/>
          <w:lang w:val="es-ES_tradnl"/>
        </w:rPr>
      </w:pPr>
      <w:r w:rsidRPr="00261554">
        <w:rPr>
          <w:rFonts w:ascii="Verdana" w:hAnsi="Verdana" w:cs="Arial"/>
          <w:bCs/>
          <w:color w:val="000000" w:themeColor="text1"/>
          <w:sz w:val="20"/>
          <w:szCs w:val="20"/>
        </w:rPr>
        <w:t xml:space="preserve">En ese orden, </w:t>
      </w:r>
      <w:r w:rsidRPr="00261554">
        <w:rPr>
          <w:rFonts w:ascii="Verdana" w:eastAsia="Calibri" w:hAnsi="Verdana" w:cs="Arial"/>
          <w:bCs/>
          <w:color w:val="000000" w:themeColor="text1"/>
          <w:sz w:val="20"/>
          <w:szCs w:val="20"/>
          <w:lang w:val="es-ES_tradnl"/>
        </w:rPr>
        <w:t xml:space="preserve">se trata de un requisito plasmado en un </w:t>
      </w:r>
      <w:r w:rsidRPr="00261554">
        <w:rPr>
          <w:rFonts w:ascii="Verdana" w:eastAsia="Calibri" w:hAnsi="Verdana" w:cs="Arial"/>
          <w:bCs/>
          <w:i/>
          <w:iCs/>
          <w:color w:val="000000" w:themeColor="text1"/>
          <w:sz w:val="20"/>
          <w:szCs w:val="20"/>
          <w:lang w:val="es-ES_tradnl"/>
        </w:rPr>
        <w:t>concepto jurídicamente indeterminado</w:t>
      </w:r>
      <w:r w:rsidRPr="00261554">
        <w:rPr>
          <w:rFonts w:ascii="Verdana" w:eastAsia="Calibri" w:hAnsi="Verdana" w:cs="Arial"/>
          <w:bCs/>
          <w:color w:val="000000" w:themeColor="text1"/>
          <w:sz w:val="20"/>
          <w:szCs w:val="20"/>
          <w:lang w:val="es-ES_tradnl"/>
        </w:rPr>
        <w:t xml:space="preserve"> que es necesario dotar de contenido en cada caso concreto. Conforme al diccionario de la RAE, lo “idóneo” se refiere a que es “Adecuado y apropiado para algo”, lo que indica una serie de aptitudes para cumplir un fin determinado. Esto se confirma en el diccionario panhispánico del español jurídico, donde la RAE alude a la “</w:t>
      </w:r>
      <w:r w:rsidRPr="00261554">
        <w:rPr>
          <w:rFonts w:ascii="Verdana" w:eastAsia="Calibri" w:hAnsi="Verdana" w:cs="Arial"/>
          <w:bCs/>
          <w:i/>
          <w:iCs/>
          <w:color w:val="000000" w:themeColor="text1"/>
          <w:sz w:val="20"/>
          <w:szCs w:val="20"/>
          <w:lang w:val="es-ES_tradnl"/>
        </w:rPr>
        <w:t>Cualidad personal necesaria para la prestación de un servicio concreto o la asunción de un cargo</w:t>
      </w:r>
      <w:r w:rsidRPr="00261554">
        <w:rPr>
          <w:rFonts w:ascii="Verdana" w:eastAsia="Calibri" w:hAnsi="Verdana" w:cs="Arial"/>
          <w:bCs/>
          <w:color w:val="000000" w:themeColor="text1"/>
          <w:sz w:val="20"/>
          <w:szCs w:val="20"/>
          <w:lang w:val="es-ES_tradnl"/>
        </w:rPr>
        <w:t>”. Este requisito también se exige, como previamente se indicó, para la celebración de contratos de prestación de servicios profesionales y de apoyo a la gestión –art. 2.2.1.2.1.4.9 del Decreto 1082 de 2015– y para suscribir contratos del artículo 355 superior con entidades privadas sin ánimo de lucro –art. 3 del Decreto 092 de 2017–.</w:t>
      </w:r>
    </w:p>
    <w:p w14:paraId="0FB91FEB" w14:textId="77777777" w:rsidR="00261554" w:rsidRPr="00261554" w:rsidRDefault="00261554" w:rsidP="00AE3294">
      <w:pPr>
        <w:spacing w:after="0"/>
        <w:jc w:val="both"/>
        <w:rPr>
          <w:rFonts w:ascii="Verdana" w:eastAsia="Calibri" w:hAnsi="Verdana" w:cs="Arial"/>
          <w:b/>
          <w:lang w:val="es-ES" w:eastAsia="es-ES_tradnl"/>
        </w:rPr>
      </w:pPr>
    </w:p>
    <w:p w14:paraId="7AB03BFB" w14:textId="77777777" w:rsidR="00AE3294" w:rsidRDefault="00AE3294" w:rsidP="00AE3294">
      <w:pPr>
        <w:spacing w:after="0"/>
        <w:jc w:val="both"/>
        <w:rPr>
          <w:rFonts w:ascii="Verdana" w:eastAsia="Calibri" w:hAnsi="Verdana" w:cs="Arial"/>
          <w:b/>
          <w:lang w:val="es-MX" w:eastAsia="es-ES_tradnl"/>
        </w:rPr>
      </w:pPr>
    </w:p>
    <w:p w14:paraId="7243100F" w14:textId="77777777" w:rsidR="00AE3294" w:rsidRPr="00AE3294" w:rsidRDefault="00AE3294" w:rsidP="00AE3294">
      <w:pPr>
        <w:spacing w:after="0"/>
        <w:jc w:val="both"/>
        <w:rPr>
          <w:rFonts w:ascii="Verdana" w:eastAsia="Times New Roman" w:hAnsi="Verdana" w:cs="Times New Roman"/>
          <w:b/>
          <w:lang w:eastAsia="es-MX"/>
        </w:rPr>
      </w:pPr>
    </w:p>
    <w:p w14:paraId="3A962EA3" w14:textId="77777777" w:rsidR="00733998" w:rsidRDefault="00733998" w:rsidP="00733998">
      <w:pPr>
        <w:spacing w:after="0"/>
        <w:rPr>
          <w:rFonts w:ascii="Verdana" w:eastAsia="Times New Roman" w:hAnsi="Verdana" w:cs="Times New Roman"/>
          <w:b/>
          <w:bCs/>
          <w:lang w:eastAsia="es-MX"/>
        </w:rPr>
      </w:pPr>
    </w:p>
    <w:p w14:paraId="2FB2DBA3" w14:textId="4C408637" w:rsidR="0092454A" w:rsidRDefault="0092454A">
      <w:pPr>
        <w:rPr>
          <w:rFonts w:ascii="Verdana" w:eastAsia="Verdana" w:hAnsi="Verdana" w:cs="Verdana"/>
        </w:rPr>
      </w:pPr>
      <w:r>
        <w:rPr>
          <w:rFonts w:ascii="Verdana" w:eastAsia="Verdana" w:hAnsi="Verdana" w:cs="Verdana"/>
        </w:rPr>
        <w:br w:type="page"/>
      </w:r>
    </w:p>
    <w:p w14:paraId="5F25293D" w14:textId="318812FB" w:rsidR="00891928" w:rsidRPr="00331C6F" w:rsidRDefault="00C15139" w:rsidP="00331C6F">
      <w:pPr>
        <w:spacing w:after="0"/>
        <w:rPr>
          <w:rFonts w:ascii="Verdana" w:eastAsia="Verdana" w:hAnsi="Verdana" w:cs="Verdana"/>
        </w:rPr>
      </w:pPr>
      <w:r w:rsidRPr="30821638">
        <w:rPr>
          <w:rFonts w:ascii="Verdana" w:eastAsia="Verdana" w:hAnsi="Verdana" w:cs="Verdana"/>
        </w:rPr>
        <w:lastRenderedPageBreak/>
        <w:t xml:space="preserve">Bogotá D.C., </w:t>
      </w:r>
      <w:r w:rsidR="00116EB8">
        <w:rPr>
          <w:rFonts w:ascii="Verdana" w:eastAsia="Verdana" w:hAnsi="Verdana" w:cs="Verdana"/>
        </w:rPr>
        <w:t>13 de febrero de 2026</w:t>
      </w:r>
    </w:p>
    <w:p w14:paraId="3B27AFCD" w14:textId="700645BD" w:rsidR="002A0DD0" w:rsidRPr="00E02524" w:rsidRDefault="002A0DD0" w:rsidP="30821638">
      <w:pPr>
        <w:spacing w:after="0" w:line="240" w:lineRule="auto"/>
        <w:jc w:val="both"/>
        <w:rPr>
          <w:rFonts w:ascii="Verdana" w:eastAsia="Verdana" w:hAnsi="Verdana" w:cs="Verdana"/>
          <w:b/>
          <w:bCs/>
          <w:lang w:val="es-MX"/>
        </w:rPr>
      </w:pPr>
    </w:p>
    <w:p w14:paraId="7C9026E2" w14:textId="3BAE5F24" w:rsidR="002A0DD0" w:rsidRPr="00723C0E" w:rsidRDefault="0013722A" w:rsidP="30821638">
      <w:pPr>
        <w:spacing w:after="0" w:line="240" w:lineRule="auto"/>
        <w:jc w:val="both"/>
        <w:rPr>
          <w:rFonts w:ascii="Verdana" w:eastAsia="Verdana" w:hAnsi="Verdana" w:cs="Verdana"/>
          <w:lang w:val="es-MX"/>
        </w:rPr>
      </w:pPr>
      <w:r w:rsidRPr="0013722A">
        <w:rPr>
          <w:rFonts w:ascii="Verdana" w:eastAsia="Calibri" w:hAnsi="Verdana" w:cs="Arial"/>
          <w:b/>
          <w:bCs/>
          <w:noProof/>
          <w:lang w:val="es-ES" w:eastAsia="es-ES"/>
        </w:rPr>
        <w:drawing>
          <wp:anchor distT="0" distB="0" distL="114300" distR="114300" simplePos="0" relativeHeight="251659776" behindDoc="1" locked="0" layoutInCell="1" allowOverlap="1" wp14:anchorId="5C45702D" wp14:editId="2E649F33">
            <wp:simplePos x="0" y="0"/>
            <wp:positionH relativeFrom="column">
              <wp:posOffset>3338195</wp:posOffset>
            </wp:positionH>
            <wp:positionV relativeFrom="paragraph">
              <wp:posOffset>24765</wp:posOffset>
            </wp:positionV>
            <wp:extent cx="2231390" cy="921385"/>
            <wp:effectExtent l="0" t="0" r="0" b="0"/>
            <wp:wrapTight wrapText="bothSides">
              <wp:wrapPolygon edited="0">
                <wp:start x="0" y="0"/>
                <wp:lineTo x="0" y="20990"/>
                <wp:lineTo x="21391" y="20990"/>
                <wp:lineTo x="21391" y="0"/>
                <wp:lineTo x="0" y="0"/>
              </wp:wrapPolygon>
            </wp:wrapTight>
            <wp:docPr id="13544551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31390" cy="921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6244" w:rsidRPr="00723C0E">
        <w:rPr>
          <w:rFonts w:ascii="Verdana" w:eastAsia="Verdana" w:hAnsi="Verdana" w:cs="Verdana"/>
          <w:lang w:val="es-MX"/>
        </w:rPr>
        <w:t xml:space="preserve">Señora </w:t>
      </w:r>
    </w:p>
    <w:p w14:paraId="3332CB9B" w14:textId="4ECCB127" w:rsidR="00886244" w:rsidRDefault="00886244" w:rsidP="30821638">
      <w:pPr>
        <w:spacing w:after="0" w:line="240" w:lineRule="auto"/>
        <w:jc w:val="both"/>
        <w:rPr>
          <w:rFonts w:ascii="Verdana" w:eastAsia="Verdana" w:hAnsi="Verdana" w:cs="Verdana"/>
          <w:b/>
          <w:bCs/>
          <w:lang w:val="es-MX"/>
        </w:rPr>
      </w:pPr>
      <w:r>
        <w:rPr>
          <w:rFonts w:ascii="Verdana" w:eastAsia="Verdana" w:hAnsi="Verdana" w:cs="Verdana"/>
          <w:b/>
          <w:bCs/>
          <w:lang w:val="es-MX"/>
        </w:rPr>
        <w:t>Diana Victoria Garces Lópaez</w:t>
      </w:r>
    </w:p>
    <w:p w14:paraId="5832241E" w14:textId="65F82124" w:rsidR="00886244" w:rsidRPr="00723C0E" w:rsidRDefault="00723C0E" w:rsidP="30821638">
      <w:pPr>
        <w:spacing w:after="0" w:line="240" w:lineRule="auto"/>
        <w:jc w:val="both"/>
        <w:rPr>
          <w:rFonts w:ascii="Verdana" w:eastAsia="Verdana" w:hAnsi="Verdana" w:cs="Verdana"/>
          <w:lang w:val="es-MX"/>
        </w:rPr>
      </w:pPr>
      <w:hyperlink r:id="rId12" w:history="1">
        <w:r w:rsidRPr="00723C0E">
          <w:rPr>
            <w:rStyle w:val="Hipervnculo"/>
            <w:rFonts w:ascii="Verdana" w:eastAsia="Verdana" w:hAnsi="Verdana" w:cs="Verdana"/>
            <w:lang w:val="es-MX"/>
          </w:rPr>
          <w:t>garcesdiana55@gmail.com</w:t>
        </w:r>
      </w:hyperlink>
      <w:r w:rsidRPr="00723C0E">
        <w:rPr>
          <w:rFonts w:ascii="Verdana" w:eastAsia="Verdana" w:hAnsi="Verdana" w:cs="Verdana"/>
          <w:lang w:val="es-MX"/>
        </w:rPr>
        <w:t xml:space="preserve"> </w:t>
      </w:r>
    </w:p>
    <w:p w14:paraId="20EFC26F" w14:textId="34EA9CE5" w:rsidR="00723C0E" w:rsidRDefault="00723C0E" w:rsidP="30821638">
      <w:pPr>
        <w:spacing w:after="0" w:line="240" w:lineRule="auto"/>
        <w:jc w:val="both"/>
        <w:rPr>
          <w:rFonts w:ascii="Verdana" w:eastAsia="Verdana" w:hAnsi="Verdana" w:cs="Verdana"/>
          <w:lang w:val="es-MX"/>
        </w:rPr>
      </w:pPr>
      <w:r w:rsidRPr="00723C0E">
        <w:rPr>
          <w:rFonts w:ascii="Verdana" w:eastAsia="Verdana" w:hAnsi="Verdana" w:cs="Verdana"/>
          <w:lang w:val="es-MX"/>
        </w:rPr>
        <w:t>Ciudad</w:t>
      </w:r>
    </w:p>
    <w:p w14:paraId="29EA6988" w14:textId="28EE37A7" w:rsidR="0091094A" w:rsidRDefault="009C69B7" w:rsidP="009C69B7">
      <w:pPr>
        <w:jc w:val="both"/>
        <w:rPr>
          <w:rFonts w:ascii="Verdana" w:eastAsia="Calibri" w:hAnsi="Verdana" w:cs="Arial"/>
          <w:b/>
          <w:bCs/>
          <w:lang w:val="es-ES" w:eastAsia="es-ES"/>
        </w:rPr>
      </w:pPr>
      <w:r>
        <w:rPr>
          <w:rFonts w:ascii="Verdana" w:eastAsia="Calibri" w:hAnsi="Verdana" w:cs="Arial"/>
          <w:b/>
          <w:bCs/>
          <w:lang w:val="es-ES" w:eastAsia="es-ES"/>
        </w:rPr>
        <w:t xml:space="preserve">                                   </w:t>
      </w:r>
    </w:p>
    <w:p w14:paraId="67B169C1" w14:textId="77777777" w:rsidR="008530B1" w:rsidRPr="00723C0E" w:rsidRDefault="008530B1" w:rsidP="30821638">
      <w:pPr>
        <w:spacing w:after="0" w:line="240" w:lineRule="auto"/>
        <w:jc w:val="both"/>
        <w:rPr>
          <w:rFonts w:ascii="Verdana" w:eastAsia="Verdana" w:hAnsi="Verdana" w:cs="Verdana"/>
          <w:lang w:val="es-MX"/>
        </w:rPr>
      </w:pPr>
    </w:p>
    <w:p w14:paraId="2435D3D2" w14:textId="6027FB56" w:rsidR="00601BA1" w:rsidRDefault="0091094A" w:rsidP="00A82B0B">
      <w:pPr>
        <w:spacing w:after="120" w:line="276" w:lineRule="auto"/>
        <w:jc w:val="both"/>
        <w:rPr>
          <w:rFonts w:ascii="Verdana" w:eastAsia="Verdana" w:hAnsi="Verdana" w:cs="Verdana"/>
          <w:b/>
          <w:bCs/>
          <w:lang w:val="es-MX"/>
        </w:rPr>
      </w:pPr>
      <w:r>
        <w:rPr>
          <w:rFonts w:ascii="Verdana" w:eastAsia="Verdana" w:hAnsi="Verdana" w:cs="Verdana"/>
          <w:b/>
          <w:bCs/>
          <w:lang w:val="es-MX"/>
        </w:rPr>
        <w:t xml:space="preserve">                                    </w:t>
      </w:r>
      <w:r w:rsidR="0018468A">
        <w:rPr>
          <w:rFonts w:ascii="Verdana" w:eastAsia="Verdana" w:hAnsi="Verdana" w:cs="Verdana"/>
          <w:b/>
          <w:bCs/>
          <w:lang w:val="es-MX"/>
        </w:rPr>
        <w:t>Concepto C-007 de 2026</w:t>
      </w: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FC4CE4" w:rsidRPr="00152466" w14:paraId="553C3713" w14:textId="77777777">
        <w:trPr>
          <w:trHeight w:val="884"/>
        </w:trPr>
        <w:tc>
          <w:tcPr>
            <w:tcW w:w="2689" w:type="dxa"/>
          </w:tcPr>
          <w:p w14:paraId="75EE0363" w14:textId="77777777" w:rsidR="00FC4CE4" w:rsidRPr="00152466" w:rsidRDefault="00FC4CE4" w:rsidP="00A82B0B">
            <w:pPr>
              <w:spacing w:after="120" w:line="276" w:lineRule="auto"/>
              <w:jc w:val="both"/>
              <w:rPr>
                <w:rFonts w:ascii="Verdana" w:eastAsia="Calibri" w:hAnsi="Verdana" w:cs="Arial"/>
                <w:color w:val="000000" w:themeColor="text1"/>
                <w:highlight w:val="cyan"/>
                <w:lang w:val="es-ES_tradnl" w:eastAsia="es-ES_tradnl"/>
              </w:rPr>
            </w:pPr>
            <w:r w:rsidRPr="00152466">
              <w:rPr>
                <w:rFonts w:ascii="Verdana" w:eastAsia="Calibri" w:hAnsi="Verdana" w:cs="Arial"/>
                <w:b/>
                <w:color w:val="000000" w:themeColor="text1"/>
                <w:lang w:val="es-ES_tradnl" w:eastAsia="es-ES_tradnl"/>
              </w:rPr>
              <w:t>Temas:</w:t>
            </w:r>
            <w:r w:rsidRPr="00152466">
              <w:rPr>
                <w:rFonts w:ascii="Verdana" w:eastAsia="Calibri" w:hAnsi="Verdana" w:cs="Arial"/>
                <w:color w:val="000000" w:themeColor="text1"/>
                <w:lang w:val="es-ES_tradnl" w:eastAsia="es-ES_tradnl"/>
              </w:rPr>
              <w:t xml:space="preserve">                   </w:t>
            </w:r>
          </w:p>
        </w:tc>
        <w:tc>
          <w:tcPr>
            <w:tcW w:w="6100" w:type="dxa"/>
          </w:tcPr>
          <w:p w14:paraId="1F81E508" w14:textId="7305AAB7" w:rsidR="00FC4CE4" w:rsidRPr="00152466" w:rsidRDefault="00FC4CE4" w:rsidP="00A82B0B">
            <w:pPr>
              <w:spacing w:after="120" w:line="276" w:lineRule="auto"/>
              <w:jc w:val="both"/>
              <w:rPr>
                <w:rFonts w:ascii="Verdana" w:hAnsi="Verdana" w:cs="Arial"/>
                <w:bCs/>
                <w:color w:val="000000" w:themeColor="text1"/>
                <w:highlight w:val="cyan"/>
              </w:rPr>
            </w:pPr>
            <w:r w:rsidRPr="00152466">
              <w:rPr>
                <w:rFonts w:ascii="Verdana" w:eastAsia="Calibri" w:hAnsi="Verdana" w:cs="Arial"/>
                <w:lang w:eastAsia="es-ES"/>
              </w:rPr>
              <w:t xml:space="preserve">CONTRATO DE PRESTACIÓN DE SERVICIOS – Definición / </w:t>
            </w:r>
            <w:r w:rsidRPr="00152466">
              <w:rPr>
                <w:rFonts w:ascii="Verdana" w:hAnsi="Verdana" w:cs="Arial"/>
              </w:rPr>
              <w:t>CONTRATO DE EPRESTACIÓN DE SERVICIOS – Características</w:t>
            </w:r>
            <w:r w:rsidRPr="00152466">
              <w:rPr>
                <w:rFonts w:ascii="Verdana" w:eastAsia="Calibri" w:hAnsi="Verdana" w:cs="Arial"/>
                <w:bCs/>
                <w:lang w:val="es-ES"/>
              </w:rPr>
              <w:t xml:space="preserve"> / </w:t>
            </w:r>
            <w:r w:rsidRPr="00152466">
              <w:rPr>
                <w:rFonts w:ascii="Verdana" w:eastAsia="Calibri" w:hAnsi="Verdana" w:cs="Arial"/>
                <w:bCs/>
                <w:lang w:val="es-MX" w:eastAsia="es-ES_tradnl"/>
              </w:rPr>
              <w:t>IDONEIDAD –</w:t>
            </w:r>
            <w:r w:rsidR="00FA2286">
              <w:rPr>
                <w:rFonts w:ascii="Verdana" w:eastAsia="Calibri" w:hAnsi="Verdana" w:cs="Arial"/>
                <w:bCs/>
                <w:lang w:val="es-MX" w:eastAsia="es-ES_tradnl"/>
              </w:rPr>
              <w:t xml:space="preserve"> Deber de verificación </w:t>
            </w:r>
            <w:r w:rsidR="006C0B1F">
              <w:rPr>
                <w:rFonts w:ascii="Verdana" w:eastAsia="Calibri" w:hAnsi="Verdana" w:cs="Arial"/>
                <w:bCs/>
                <w:lang w:val="es-MX" w:eastAsia="es-ES_tradnl"/>
              </w:rPr>
              <w:t>de la Entidad Estatal</w:t>
            </w:r>
          </w:p>
        </w:tc>
      </w:tr>
      <w:tr w:rsidR="00FC4CE4" w:rsidRPr="00152466" w14:paraId="52309874" w14:textId="77777777">
        <w:tc>
          <w:tcPr>
            <w:tcW w:w="2689" w:type="dxa"/>
          </w:tcPr>
          <w:p w14:paraId="0219C593" w14:textId="77777777" w:rsidR="00FC4CE4" w:rsidRPr="00152466" w:rsidRDefault="00FC4CE4">
            <w:pPr>
              <w:jc w:val="both"/>
              <w:rPr>
                <w:rFonts w:ascii="Verdana" w:eastAsia="Calibri" w:hAnsi="Verdana" w:cs="Arial"/>
                <w:b/>
                <w:color w:val="000000" w:themeColor="text1"/>
                <w:lang w:val="es-ES_tradnl" w:eastAsia="es-ES_tradnl"/>
              </w:rPr>
            </w:pPr>
            <w:r w:rsidRPr="00152466">
              <w:rPr>
                <w:rFonts w:ascii="Verdana" w:eastAsia="Calibri" w:hAnsi="Verdana" w:cs="Arial"/>
                <w:b/>
                <w:color w:val="000000" w:themeColor="text1"/>
                <w:lang w:val="es-ES_tradnl" w:eastAsia="es-ES_tradnl"/>
              </w:rPr>
              <w:t>Radicación:</w:t>
            </w:r>
            <w:r w:rsidRPr="00152466">
              <w:rPr>
                <w:rFonts w:ascii="Verdana" w:eastAsia="Calibri" w:hAnsi="Verdana" w:cs="Arial"/>
                <w:color w:val="000000" w:themeColor="text1"/>
                <w:lang w:val="es-ES_tradnl" w:eastAsia="es-ES_tradnl"/>
              </w:rPr>
              <w:t xml:space="preserve">               </w:t>
            </w:r>
          </w:p>
        </w:tc>
        <w:tc>
          <w:tcPr>
            <w:tcW w:w="6100" w:type="dxa"/>
          </w:tcPr>
          <w:p w14:paraId="53B9ABCF" w14:textId="77777777" w:rsidR="00FA2286" w:rsidRPr="00152466" w:rsidRDefault="00FC4CE4">
            <w:pPr>
              <w:jc w:val="both"/>
              <w:rPr>
                <w:rFonts w:ascii="Verdana" w:eastAsia="Calibri" w:hAnsi="Verdana" w:cs="Arial"/>
                <w:color w:val="000000" w:themeColor="text1"/>
                <w:lang w:eastAsia="es-ES_tradnl"/>
              </w:rPr>
            </w:pPr>
            <w:r w:rsidRPr="00152466">
              <w:rPr>
                <w:rFonts w:ascii="Verdana" w:eastAsia="Calibri" w:hAnsi="Verdana" w:cs="Arial"/>
                <w:color w:val="000000" w:themeColor="text1"/>
                <w:lang w:val="es-ES_tradnl" w:eastAsia="es-ES_tradnl"/>
              </w:rPr>
              <w:t>Respuesta a consulta con radicado No.</w:t>
            </w:r>
            <w:r w:rsidRPr="00152466">
              <w:rPr>
                <w:rFonts w:ascii="Verdana" w:hAnsi="Verdana"/>
              </w:rPr>
              <w:t xml:space="preserve"> </w:t>
            </w:r>
          </w:p>
          <w:p w14:paraId="14176F68" w14:textId="77777777" w:rsidR="00FA2286" w:rsidRDefault="00FA2286" w:rsidP="00FA2286">
            <w:pPr>
              <w:jc w:val="both"/>
              <w:rPr>
                <w:rFonts w:ascii="Verdana" w:hAnsi="Verdana" w:cs="Calibri"/>
              </w:rPr>
            </w:pPr>
            <w:r>
              <w:rPr>
                <w:rFonts w:ascii="Verdana" w:hAnsi="Verdana" w:cs="Calibri"/>
              </w:rPr>
              <w:t>1_2026_01_05_000055</w:t>
            </w:r>
          </w:p>
          <w:p w14:paraId="31BD3A92" w14:textId="35DF5481" w:rsidR="00FC4CE4" w:rsidRPr="00152466" w:rsidRDefault="00FC4CE4">
            <w:pPr>
              <w:jc w:val="both"/>
              <w:rPr>
                <w:rFonts w:ascii="Verdana" w:eastAsia="Calibri" w:hAnsi="Verdana" w:cs="Arial"/>
                <w:color w:val="000000" w:themeColor="text1"/>
                <w:lang w:eastAsia="es-ES_tradnl"/>
              </w:rPr>
            </w:pPr>
          </w:p>
          <w:p w14:paraId="437CC649" w14:textId="77777777" w:rsidR="00FC4CE4" w:rsidRPr="00152466" w:rsidRDefault="00FC4CE4">
            <w:pPr>
              <w:jc w:val="both"/>
              <w:rPr>
                <w:rFonts w:ascii="Verdana" w:hAnsi="Verdana" w:cs="Arial"/>
              </w:rPr>
            </w:pPr>
          </w:p>
          <w:p w14:paraId="24CFC7CC" w14:textId="77777777" w:rsidR="00FC4CE4" w:rsidRPr="00152466" w:rsidRDefault="00FC4CE4">
            <w:pPr>
              <w:jc w:val="both"/>
              <w:rPr>
                <w:rFonts w:ascii="Verdana" w:hAnsi="Verdana"/>
                <w:color w:val="000000"/>
              </w:rPr>
            </w:pPr>
          </w:p>
        </w:tc>
      </w:tr>
    </w:tbl>
    <w:p w14:paraId="7DDF3B88" w14:textId="77777777" w:rsidR="00306411" w:rsidRPr="00FC4CE4" w:rsidRDefault="00306411" w:rsidP="00306411">
      <w:pPr>
        <w:spacing w:after="0" w:line="240" w:lineRule="auto"/>
        <w:jc w:val="both"/>
        <w:rPr>
          <w:rFonts w:ascii="Verdana" w:eastAsia="Calibri" w:hAnsi="Verdana" w:cs="Arial"/>
          <w:color w:val="000000" w:themeColor="text1"/>
          <w:lang w:eastAsia="es-ES_tradnl"/>
        </w:rPr>
      </w:pPr>
    </w:p>
    <w:p w14:paraId="77FBC06C" w14:textId="77777777" w:rsidR="00306411" w:rsidRPr="00115E3D" w:rsidRDefault="00306411" w:rsidP="00306411">
      <w:pPr>
        <w:spacing w:after="0" w:line="240" w:lineRule="auto"/>
        <w:jc w:val="both"/>
        <w:rPr>
          <w:rFonts w:ascii="Verdana" w:eastAsia="Calibri" w:hAnsi="Verdana" w:cs="Arial"/>
          <w:color w:val="000000" w:themeColor="text1"/>
          <w:lang w:val="es-ES_tradnl" w:eastAsia="es-ES_tradnl"/>
        </w:rPr>
      </w:pPr>
    </w:p>
    <w:p w14:paraId="1011DE5B" w14:textId="5A525903" w:rsidR="00306411" w:rsidRDefault="00306411" w:rsidP="00306411">
      <w:pPr>
        <w:spacing w:after="0" w:line="276" w:lineRule="auto"/>
        <w:jc w:val="both"/>
        <w:rPr>
          <w:rFonts w:ascii="Verdana" w:eastAsia="Calibri" w:hAnsi="Verdana" w:cs="Arial"/>
          <w:color w:val="000000" w:themeColor="text1"/>
          <w:lang w:val="es-ES" w:eastAsia="es-ES"/>
        </w:rPr>
      </w:pPr>
      <w:r w:rsidRPr="00115E3D">
        <w:rPr>
          <w:rFonts w:ascii="Verdana" w:eastAsia="Calibri" w:hAnsi="Verdana" w:cs="Arial"/>
          <w:color w:val="000000" w:themeColor="text1"/>
          <w:lang w:val="es-ES" w:eastAsia="es-ES"/>
        </w:rPr>
        <w:t>Estimad</w:t>
      </w:r>
      <w:r>
        <w:rPr>
          <w:rFonts w:ascii="Verdana" w:eastAsia="Calibri" w:hAnsi="Verdana" w:cs="Arial"/>
          <w:color w:val="000000" w:themeColor="text1"/>
          <w:lang w:val="es-ES" w:eastAsia="es-ES"/>
        </w:rPr>
        <w:t>a</w:t>
      </w:r>
      <w:r w:rsidRPr="00115E3D">
        <w:rPr>
          <w:rFonts w:ascii="Verdana" w:eastAsia="Calibri" w:hAnsi="Verdana" w:cs="Arial"/>
          <w:color w:val="000000" w:themeColor="text1"/>
          <w:lang w:val="es-ES" w:eastAsia="es-ES"/>
        </w:rPr>
        <w:t xml:space="preserve"> señor</w:t>
      </w:r>
      <w:r>
        <w:rPr>
          <w:rFonts w:ascii="Verdana" w:eastAsia="Calibri" w:hAnsi="Verdana" w:cs="Arial"/>
          <w:color w:val="000000" w:themeColor="text1"/>
          <w:lang w:val="es-ES" w:eastAsia="es-ES"/>
        </w:rPr>
        <w:t>a</w:t>
      </w:r>
      <w:r w:rsidRPr="00115E3D">
        <w:rPr>
          <w:rFonts w:ascii="Verdana" w:eastAsia="Calibri" w:hAnsi="Verdana" w:cs="Arial"/>
          <w:color w:val="000000" w:themeColor="text1"/>
          <w:lang w:val="es-ES" w:eastAsia="es-ES"/>
        </w:rPr>
        <w:t xml:space="preserve"> </w:t>
      </w:r>
      <w:r>
        <w:rPr>
          <w:rFonts w:ascii="Verdana" w:eastAsia="Calibri" w:hAnsi="Verdana" w:cs="Arial"/>
          <w:color w:val="000000" w:themeColor="text1"/>
          <w:lang w:val="es-ES" w:eastAsia="es-ES"/>
        </w:rPr>
        <w:t xml:space="preserve">Garces, cordial saludo, </w:t>
      </w:r>
    </w:p>
    <w:p w14:paraId="5FC6CB59" w14:textId="77777777" w:rsidR="00802D1D" w:rsidRPr="00115E3D" w:rsidRDefault="00802D1D" w:rsidP="00802D1D">
      <w:pPr>
        <w:tabs>
          <w:tab w:val="left" w:pos="3768"/>
        </w:tabs>
        <w:spacing w:after="0" w:line="276" w:lineRule="auto"/>
        <w:jc w:val="both"/>
        <w:rPr>
          <w:rFonts w:ascii="Verdana" w:eastAsia="Calibri" w:hAnsi="Verdana" w:cs="Arial"/>
          <w:color w:val="000000" w:themeColor="text1"/>
          <w:lang w:val="es-ES" w:eastAsia="es-ES"/>
        </w:rPr>
      </w:pPr>
      <w:r w:rsidRPr="00115E3D">
        <w:rPr>
          <w:rFonts w:ascii="Verdana" w:eastAsia="Calibri" w:hAnsi="Verdana" w:cs="Arial"/>
          <w:color w:val="000000" w:themeColor="text1"/>
          <w:lang w:val="es-ES" w:eastAsia="es-ES"/>
        </w:rPr>
        <w:tab/>
      </w:r>
    </w:p>
    <w:p w14:paraId="687401C0" w14:textId="45C527F9" w:rsidR="00802D1D" w:rsidRPr="00115E3D" w:rsidRDefault="00802D1D" w:rsidP="00802D1D">
      <w:pPr>
        <w:spacing w:after="0" w:line="276" w:lineRule="auto"/>
        <w:jc w:val="both"/>
        <w:rPr>
          <w:rFonts w:ascii="Verdana" w:eastAsia="Calibri" w:hAnsi="Verdana" w:cs="Arial"/>
          <w:color w:val="000000" w:themeColor="text1"/>
          <w:lang w:val="es-ES" w:eastAsia="es-ES"/>
        </w:rPr>
      </w:pPr>
      <w:r w:rsidRPr="00115E3D">
        <w:rPr>
          <w:rFonts w:ascii="Verdana" w:eastAsia="Calibri" w:hAnsi="Verdana" w:cs="Arial"/>
          <w:color w:val="000000" w:themeColor="text1"/>
          <w:lang w:val="es-ES" w:eastAsia="es-ES"/>
        </w:rPr>
        <w:t>En ejercicio de la competencia otorgada por los artículos 3, numeral 5º, y 11, numeral 8º, del Decreto Ley 4170 de 2011,</w:t>
      </w:r>
      <w:r w:rsidRPr="00115E3D">
        <w:rPr>
          <w:rFonts w:ascii="Verdana" w:eastAsia="Arial MT" w:hAnsi="Verdana" w:cs="Arial MT"/>
          <w:color w:val="000000" w:themeColor="text1"/>
          <w:lang w:val="es-ES" w:eastAsia="es-ES"/>
        </w:rPr>
        <w:t xml:space="preserve"> </w:t>
      </w:r>
      <w:r w:rsidRPr="00115E3D">
        <w:rPr>
          <w:rFonts w:ascii="Verdana" w:hAnsi="Verdana" w:cs="Arial"/>
          <w:color w:val="000000" w:themeColor="text1"/>
        </w:rPr>
        <w:t xml:space="preserve">así como lo establecido en el artículo 4 de la Resolución 1707 de 2018 expedida por esta Entidad, </w:t>
      </w:r>
      <w:r w:rsidRPr="00115E3D">
        <w:rPr>
          <w:rFonts w:ascii="Verdana" w:eastAsia="Calibri" w:hAnsi="Verdana" w:cs="Arial"/>
          <w:color w:val="000000" w:themeColor="text1"/>
          <w:lang w:val="es-ES" w:eastAsia="es-ES"/>
        </w:rPr>
        <w:t xml:space="preserve">la Agencia Nacional de Contratación Pública – Colombia Compra Eficiente– responde su solicitud de consulta de fecha </w:t>
      </w:r>
      <w:r>
        <w:rPr>
          <w:rFonts w:ascii="Verdana" w:eastAsia="Calibri" w:hAnsi="Verdana" w:cs="Arial"/>
          <w:color w:val="000000" w:themeColor="text1"/>
          <w:lang w:val="es-ES" w:eastAsia="es-ES"/>
        </w:rPr>
        <w:t>05</w:t>
      </w:r>
      <w:r w:rsidRPr="00115E3D">
        <w:rPr>
          <w:rFonts w:ascii="Verdana" w:eastAsia="Calibri" w:hAnsi="Verdana" w:cs="Arial"/>
          <w:color w:val="000000" w:themeColor="text1"/>
          <w:lang w:val="es-ES" w:eastAsia="es-ES"/>
        </w:rPr>
        <w:t xml:space="preserve"> de </w:t>
      </w:r>
      <w:r>
        <w:rPr>
          <w:rFonts w:ascii="Verdana" w:eastAsia="Calibri" w:hAnsi="Verdana" w:cs="Arial"/>
          <w:color w:val="000000" w:themeColor="text1"/>
          <w:lang w:val="es-ES" w:eastAsia="es-ES"/>
        </w:rPr>
        <w:t>e</w:t>
      </w:r>
      <w:r w:rsidR="007A6AD4">
        <w:rPr>
          <w:rFonts w:ascii="Verdana" w:eastAsia="Calibri" w:hAnsi="Verdana" w:cs="Arial"/>
          <w:color w:val="000000" w:themeColor="text1"/>
          <w:lang w:val="es-ES" w:eastAsia="es-ES"/>
        </w:rPr>
        <w:t>ne</w:t>
      </w:r>
      <w:r>
        <w:rPr>
          <w:rFonts w:ascii="Verdana" w:eastAsia="Calibri" w:hAnsi="Verdana" w:cs="Arial"/>
          <w:color w:val="000000" w:themeColor="text1"/>
          <w:lang w:val="es-ES" w:eastAsia="es-ES"/>
        </w:rPr>
        <w:t>ro</w:t>
      </w:r>
      <w:r w:rsidRPr="00115E3D">
        <w:rPr>
          <w:rFonts w:ascii="Verdana" w:eastAsia="Calibri" w:hAnsi="Verdana" w:cs="Arial"/>
          <w:color w:val="000000" w:themeColor="text1"/>
          <w:lang w:val="es-ES" w:eastAsia="es-ES"/>
        </w:rPr>
        <w:t xml:space="preserve"> de 20</w:t>
      </w:r>
      <w:r>
        <w:rPr>
          <w:rFonts w:ascii="Verdana" w:eastAsia="Calibri" w:hAnsi="Verdana" w:cs="Arial"/>
          <w:color w:val="000000" w:themeColor="text1"/>
          <w:lang w:val="es-ES" w:eastAsia="es-ES"/>
        </w:rPr>
        <w:t>2</w:t>
      </w:r>
      <w:r w:rsidR="007A6AD4">
        <w:rPr>
          <w:rFonts w:ascii="Verdana" w:eastAsia="Calibri" w:hAnsi="Verdana" w:cs="Arial"/>
          <w:color w:val="000000" w:themeColor="text1"/>
          <w:lang w:val="es-ES" w:eastAsia="es-ES"/>
        </w:rPr>
        <w:t>6</w:t>
      </w:r>
      <w:r w:rsidRPr="00115E3D">
        <w:rPr>
          <w:rFonts w:ascii="Verdana" w:eastAsia="Calibri" w:hAnsi="Verdana" w:cs="Arial"/>
          <w:color w:val="000000" w:themeColor="text1"/>
          <w:lang w:val="es-ES" w:eastAsia="es-ES"/>
        </w:rPr>
        <w:t xml:space="preserve">, en la cual manifiesta lo siguiente: </w:t>
      </w:r>
    </w:p>
    <w:p w14:paraId="45741C95" w14:textId="77777777" w:rsidR="00802D1D" w:rsidRPr="00115E3D" w:rsidRDefault="00802D1D" w:rsidP="00802D1D">
      <w:pPr>
        <w:pStyle w:val="Prrafodelista"/>
        <w:tabs>
          <w:tab w:val="left" w:pos="142"/>
          <w:tab w:val="left" w:pos="284"/>
        </w:tabs>
        <w:spacing w:line="276" w:lineRule="auto"/>
        <w:ind w:left="0"/>
        <w:jc w:val="both"/>
        <w:rPr>
          <w:rFonts w:ascii="Verdana" w:eastAsia="Century Gothic" w:hAnsi="Verdana" w:cs="Century Gothic"/>
          <w:b/>
          <w:bCs/>
          <w:color w:val="000000" w:themeColor="text1"/>
        </w:rPr>
      </w:pPr>
    </w:p>
    <w:p w14:paraId="719D105A" w14:textId="47921D2A" w:rsidR="00601BA1" w:rsidRPr="00FA2286" w:rsidRDefault="00802D1D" w:rsidP="00FA2286">
      <w:pPr>
        <w:spacing w:after="0" w:line="276" w:lineRule="auto"/>
        <w:ind w:left="709" w:right="709"/>
        <w:jc w:val="both"/>
        <w:rPr>
          <w:rFonts w:ascii="Verdana" w:eastAsia="Century Gothic" w:hAnsi="Verdana" w:cs="Century Gothic"/>
          <w:i/>
          <w:iCs/>
          <w:color w:val="000000" w:themeColor="text1"/>
          <w:sz w:val="21"/>
          <w:szCs w:val="21"/>
          <w:lang w:val="es-ES"/>
        </w:rPr>
      </w:pPr>
      <w:r w:rsidRPr="00FA2286">
        <w:rPr>
          <w:rFonts w:ascii="Verdana" w:eastAsia="Century Gothic" w:hAnsi="Verdana" w:cs="Century Gothic"/>
          <w:i/>
          <w:iCs/>
          <w:color w:val="000000" w:themeColor="text1"/>
          <w:sz w:val="21"/>
          <w:szCs w:val="21"/>
          <w:lang w:val="es-ES"/>
        </w:rPr>
        <w:t>“</w:t>
      </w:r>
      <w:r w:rsidR="007A6AD4" w:rsidRPr="00FA2286">
        <w:rPr>
          <w:rFonts w:ascii="Verdana" w:eastAsia="Century Gothic" w:hAnsi="Verdana" w:cs="Century Gothic"/>
          <w:i/>
          <w:iCs/>
          <w:color w:val="000000" w:themeColor="text1"/>
          <w:sz w:val="21"/>
          <w:szCs w:val="21"/>
          <w:lang w:val="es-ES"/>
        </w:rPr>
        <w:t>[…</w:t>
      </w:r>
      <w:r w:rsidR="00A26FAE" w:rsidRPr="00FA2286">
        <w:rPr>
          <w:rFonts w:ascii="Verdana" w:eastAsia="Century Gothic" w:hAnsi="Verdana" w:cs="Century Gothic"/>
          <w:i/>
          <w:iCs/>
          <w:color w:val="000000" w:themeColor="text1"/>
          <w:sz w:val="21"/>
          <w:szCs w:val="21"/>
          <w:lang w:val="es-ES"/>
        </w:rPr>
        <w:t>]</w:t>
      </w:r>
    </w:p>
    <w:p w14:paraId="7D2BE0AC" w14:textId="77777777" w:rsidR="00A26FAE" w:rsidRPr="00FA2286" w:rsidRDefault="00A26FAE" w:rsidP="00FA2286">
      <w:pPr>
        <w:spacing w:after="0" w:line="276" w:lineRule="auto"/>
        <w:ind w:left="709" w:right="709"/>
        <w:jc w:val="both"/>
        <w:rPr>
          <w:rFonts w:ascii="Verdana" w:eastAsia="Century Gothic" w:hAnsi="Verdana" w:cs="Century Gothic"/>
          <w:i/>
          <w:iCs/>
          <w:color w:val="000000" w:themeColor="text1"/>
          <w:sz w:val="21"/>
          <w:szCs w:val="21"/>
          <w:lang w:val="es-ES"/>
        </w:rPr>
      </w:pPr>
    </w:p>
    <w:p w14:paraId="051AE39F" w14:textId="7405B7A2" w:rsidR="00A26FAE" w:rsidRPr="00FA2286" w:rsidRDefault="00A26FAE" w:rsidP="00FA2286">
      <w:pPr>
        <w:spacing w:after="0" w:line="276" w:lineRule="auto"/>
        <w:ind w:left="709" w:right="709"/>
        <w:jc w:val="both"/>
        <w:rPr>
          <w:rFonts w:ascii="Verdana" w:eastAsia="Century Gothic" w:hAnsi="Verdana" w:cs="Century Gothic"/>
          <w:i/>
          <w:iCs/>
          <w:color w:val="000000" w:themeColor="text1"/>
          <w:sz w:val="21"/>
          <w:szCs w:val="21"/>
        </w:rPr>
      </w:pPr>
      <w:r w:rsidRPr="00FA2286">
        <w:rPr>
          <w:rFonts w:ascii="Verdana" w:eastAsia="Century Gothic" w:hAnsi="Verdana" w:cs="Century Gothic"/>
          <w:i/>
          <w:iCs/>
          <w:color w:val="000000" w:themeColor="text1"/>
          <w:sz w:val="21"/>
          <w:szCs w:val="21"/>
        </w:rPr>
        <w:t>¿Resulta compatible con los principios y reglas del régimen de contratación estatal la aceptación de documentos descargados de plataformas que no certifican información ni permiten identificar plenamente al consultado, como soporte para acreditar requisitos en procesos de contratación directa con personas naturales?</w:t>
      </w:r>
    </w:p>
    <w:p w14:paraId="361AB4F6" w14:textId="77777777" w:rsidR="00A26FAE" w:rsidRPr="00FA2286" w:rsidRDefault="00A26FAE" w:rsidP="00FA2286">
      <w:pPr>
        <w:spacing w:after="0" w:line="276" w:lineRule="auto"/>
        <w:ind w:left="709" w:right="709"/>
        <w:jc w:val="both"/>
        <w:rPr>
          <w:rFonts w:ascii="Verdana" w:eastAsia="Century Gothic" w:hAnsi="Verdana" w:cs="Century Gothic"/>
          <w:i/>
          <w:iCs/>
          <w:color w:val="000000" w:themeColor="text1"/>
          <w:sz w:val="21"/>
          <w:szCs w:val="21"/>
        </w:rPr>
      </w:pPr>
    </w:p>
    <w:p w14:paraId="595F68F8" w14:textId="5B9CA181" w:rsidR="00FA2286" w:rsidRDefault="00A26FAE" w:rsidP="00FA2286">
      <w:pPr>
        <w:spacing w:after="0" w:line="276" w:lineRule="auto"/>
        <w:ind w:left="709" w:right="709"/>
        <w:jc w:val="both"/>
        <w:rPr>
          <w:rFonts w:ascii="Verdana" w:eastAsia="Century Gothic" w:hAnsi="Verdana" w:cs="Century Gothic"/>
          <w:i/>
          <w:iCs/>
          <w:color w:val="000000" w:themeColor="text1"/>
          <w:sz w:val="21"/>
          <w:szCs w:val="21"/>
        </w:rPr>
      </w:pPr>
      <w:r w:rsidRPr="00FA2286">
        <w:rPr>
          <w:rFonts w:ascii="Verdana" w:eastAsia="Century Gothic" w:hAnsi="Verdana" w:cs="Century Gothic"/>
          <w:i/>
          <w:iCs/>
          <w:color w:val="000000" w:themeColor="text1"/>
          <w:sz w:val="21"/>
          <w:szCs w:val="21"/>
        </w:rPr>
        <w:t>[…]”.</w:t>
      </w:r>
    </w:p>
    <w:p w14:paraId="0C7733C3" w14:textId="6B8768D9" w:rsidR="009E5F86" w:rsidRPr="009A52F5" w:rsidRDefault="009E5F86" w:rsidP="00391EF7">
      <w:pPr>
        <w:jc w:val="both"/>
        <w:rPr>
          <w:rFonts w:ascii="Verdana" w:eastAsia="Century Gothic" w:hAnsi="Verdana" w:cs="Century Gothic"/>
          <w:i/>
          <w:iCs/>
          <w:color w:val="000000" w:themeColor="text1"/>
          <w:sz w:val="21"/>
          <w:szCs w:val="21"/>
        </w:rPr>
      </w:pPr>
      <w:r w:rsidRPr="009E5F86">
        <w:rPr>
          <w:rFonts w:ascii="Verdana" w:eastAsia="Century Gothic" w:hAnsi="Verdana" w:cs="Century Gothic"/>
          <w:color w:val="000000" w:themeColor="text1"/>
          <w:lang w:val="es-ES"/>
        </w:rPr>
        <w:lastRenderedPageBreak/>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9E5F86">
        <w:rPr>
          <w:rFonts w:ascii="Verdana" w:eastAsia="Century Gothic" w:hAnsi="Verdana" w:cs="Century Gothic"/>
          <w:color w:val="000000" w:themeColor="text1"/>
          <w:lang w:val="es-ES_tradnl"/>
        </w:rPr>
        <w:tab/>
      </w:r>
    </w:p>
    <w:p w14:paraId="64435B07" w14:textId="77777777" w:rsidR="009E5F86" w:rsidRPr="009E5F86" w:rsidRDefault="009E5F86" w:rsidP="00391EF7">
      <w:pPr>
        <w:spacing w:after="120" w:line="276" w:lineRule="auto"/>
        <w:ind w:firstLine="709"/>
        <w:jc w:val="both"/>
        <w:rPr>
          <w:rFonts w:ascii="Verdana" w:eastAsia="Century Gothic" w:hAnsi="Verdana" w:cs="Century Gothic"/>
          <w:color w:val="000000" w:themeColor="text1"/>
          <w:lang w:val="es-ES_tradnl"/>
        </w:rPr>
      </w:pPr>
    </w:p>
    <w:p w14:paraId="54097BB5" w14:textId="77777777" w:rsidR="009E5F86" w:rsidRDefault="009E5F86" w:rsidP="00391EF7">
      <w:pPr>
        <w:spacing w:after="120" w:line="276" w:lineRule="auto"/>
        <w:jc w:val="both"/>
        <w:rPr>
          <w:rFonts w:ascii="Verdana" w:eastAsia="Century Gothic" w:hAnsi="Verdana" w:cs="Century Gothic"/>
          <w:color w:val="000000" w:themeColor="text1"/>
          <w:lang w:val="es-ES"/>
        </w:rPr>
      </w:pPr>
      <w:r w:rsidRPr="009E5F86">
        <w:rPr>
          <w:rFonts w:ascii="Verdana" w:eastAsia="Century Gothic" w:hAnsi="Verdana" w:cs="Century Gothic"/>
          <w:color w:val="000000" w:themeColor="text1"/>
          <w:lang w:val="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(los) problema(s) jurídico(s) de su consulta. </w:t>
      </w:r>
    </w:p>
    <w:p w14:paraId="0B012855" w14:textId="77777777" w:rsidR="001A450F" w:rsidRPr="009E5F86" w:rsidRDefault="001A450F" w:rsidP="009A52F5">
      <w:pPr>
        <w:spacing w:after="0" w:line="276" w:lineRule="auto"/>
        <w:jc w:val="both"/>
        <w:rPr>
          <w:rFonts w:ascii="Verdana" w:eastAsia="Century Gothic" w:hAnsi="Verdana" w:cs="Century Gothic"/>
          <w:color w:val="000000" w:themeColor="text1"/>
          <w:lang w:val="es-ES"/>
        </w:rPr>
      </w:pPr>
    </w:p>
    <w:p w14:paraId="38FA487B" w14:textId="77777777" w:rsidR="001A450F" w:rsidRPr="00115E3D" w:rsidRDefault="001A450F" w:rsidP="006704C6">
      <w:pPr>
        <w:pStyle w:val="Prrafodelista"/>
        <w:numPr>
          <w:ilvl w:val="0"/>
          <w:numId w:val="16"/>
        </w:numPr>
        <w:tabs>
          <w:tab w:val="left" w:pos="142"/>
          <w:tab w:val="left" w:pos="284"/>
        </w:tabs>
        <w:spacing w:after="120" w:line="276" w:lineRule="auto"/>
        <w:ind w:left="0" w:firstLine="0"/>
        <w:jc w:val="both"/>
        <w:rPr>
          <w:rFonts w:ascii="Verdana" w:eastAsia="Century Gothic" w:hAnsi="Verdana" w:cs="Century Gothic"/>
          <w:b/>
          <w:bCs/>
          <w:color w:val="000000" w:themeColor="text1"/>
        </w:rPr>
      </w:pPr>
      <w:r w:rsidRPr="00115E3D">
        <w:rPr>
          <w:rFonts w:ascii="Verdana" w:eastAsia="Century Gothic" w:hAnsi="Verdana" w:cs="Century Gothic"/>
          <w:b/>
          <w:bCs/>
          <w:color w:val="000000" w:themeColor="text1"/>
        </w:rPr>
        <w:t>Problema planteado:</w:t>
      </w:r>
    </w:p>
    <w:p w14:paraId="74BB6D4C" w14:textId="77777777" w:rsidR="001A450F" w:rsidRPr="00115E3D" w:rsidRDefault="001A450F" w:rsidP="009A52F5">
      <w:pPr>
        <w:tabs>
          <w:tab w:val="left" w:pos="426"/>
        </w:tabs>
        <w:spacing w:after="0" w:line="276" w:lineRule="auto"/>
        <w:jc w:val="both"/>
        <w:rPr>
          <w:rFonts w:ascii="Verdana" w:eastAsia="Century Gothic" w:hAnsi="Verdana" w:cs="Century Gothic"/>
          <w:color w:val="000000" w:themeColor="text1"/>
          <w:lang w:val="es-ES"/>
        </w:rPr>
      </w:pPr>
    </w:p>
    <w:p w14:paraId="1995EC88" w14:textId="1074EDB5" w:rsidR="00020D68" w:rsidRDefault="001A450F" w:rsidP="00020D68">
      <w:pPr>
        <w:spacing w:after="120" w:line="276" w:lineRule="auto"/>
        <w:jc w:val="both"/>
        <w:rPr>
          <w:rFonts w:ascii="Verdana" w:eastAsia="Century Gothic" w:hAnsi="Verdana" w:cs="Century Gothic"/>
          <w:color w:val="000000" w:themeColor="text1"/>
        </w:rPr>
      </w:pPr>
      <w:r w:rsidRPr="31F7AC4D">
        <w:rPr>
          <w:rFonts w:ascii="Verdana" w:eastAsia="Century Gothic" w:hAnsi="Verdana" w:cs="Century Gothic"/>
          <w:color w:val="000000" w:themeColor="text1"/>
        </w:rPr>
        <w:t xml:space="preserve">De acuerdo con el contenido de su solicitud, esta Agencia resolverá el siguiente problema jurídico: </w:t>
      </w:r>
      <w:r w:rsidR="00BE2784">
        <w:rPr>
          <w:rFonts w:ascii="Verdana" w:eastAsia="Century Gothic" w:hAnsi="Verdana" w:cs="Century Gothic"/>
        </w:rPr>
        <w:t>¿Cuáles son los documentos que acreditan la idoneidad y la capacidad de las personas naturales para la celebración de un contrato de prestación de servicios?</w:t>
      </w:r>
    </w:p>
    <w:p w14:paraId="1642AB78" w14:textId="77777777" w:rsidR="00020D68" w:rsidRDefault="00020D68" w:rsidP="00020D68">
      <w:pPr>
        <w:spacing w:after="120" w:line="276" w:lineRule="auto"/>
        <w:jc w:val="both"/>
        <w:rPr>
          <w:rFonts w:ascii="Verdana" w:eastAsia="Century Gothic" w:hAnsi="Verdana" w:cs="Century Gothic"/>
          <w:color w:val="000000" w:themeColor="text1"/>
        </w:rPr>
      </w:pPr>
    </w:p>
    <w:p w14:paraId="4B3C34E8" w14:textId="02FBC785" w:rsidR="00020D68" w:rsidRDefault="00020D68" w:rsidP="00020D68">
      <w:pPr>
        <w:spacing w:after="120" w:line="276" w:lineRule="auto"/>
        <w:jc w:val="both"/>
        <w:rPr>
          <w:rFonts w:ascii="Verdana" w:eastAsia="Century Gothic" w:hAnsi="Verdana" w:cs="Century Gothic"/>
          <w:b/>
          <w:bCs/>
          <w:color w:val="000000" w:themeColor="text1"/>
        </w:rPr>
      </w:pPr>
      <w:r w:rsidRPr="009F5894">
        <w:rPr>
          <w:rFonts w:ascii="Verdana" w:eastAsia="Century Gothic" w:hAnsi="Verdana" w:cs="Century Gothic"/>
          <w:b/>
          <w:bCs/>
          <w:color w:val="000000" w:themeColor="text1"/>
        </w:rPr>
        <w:t xml:space="preserve">2. Respuesta: </w:t>
      </w:r>
    </w:p>
    <w:p w14:paraId="704415B8" w14:textId="77777777" w:rsidR="009A52F5" w:rsidRPr="009F5894" w:rsidRDefault="009A52F5" w:rsidP="009A52F5">
      <w:pPr>
        <w:spacing w:after="0" w:line="276" w:lineRule="auto"/>
        <w:jc w:val="both"/>
        <w:rPr>
          <w:rFonts w:ascii="Verdana" w:eastAsia="Century Gothic" w:hAnsi="Verdana" w:cs="Century Gothic"/>
          <w:b/>
          <w:bCs/>
          <w:color w:val="000000" w:themeColor="text1"/>
        </w:rPr>
      </w:pPr>
    </w:p>
    <w:p w14:paraId="31270F28" w14:textId="77777777" w:rsidR="003B6B21" w:rsidRPr="00152466" w:rsidRDefault="009F5894" w:rsidP="00042C93">
      <w:pPr>
        <w:pBdr>
          <w:top w:val="single" w:sz="4" w:space="1" w:color="auto"/>
          <w:left w:val="single" w:sz="4" w:space="4" w:color="auto"/>
          <w:bottom w:val="single" w:sz="4" w:space="1" w:color="auto"/>
          <w:right w:val="single" w:sz="4" w:space="4" w:color="auto"/>
        </w:pBdr>
        <w:spacing w:after="120" w:line="276" w:lineRule="auto"/>
        <w:ind w:firstLine="709"/>
        <w:jc w:val="both"/>
        <w:rPr>
          <w:rFonts w:ascii="Verdana" w:eastAsia="Calibri" w:hAnsi="Verdana" w:cs="Arial"/>
          <w:lang w:val="es-ES"/>
        </w:rPr>
      </w:pPr>
      <w:r>
        <w:rPr>
          <w:rFonts w:ascii="Verdana" w:eastAsia="Century Gothic" w:hAnsi="Verdana" w:cs="Century Gothic"/>
          <w:color w:val="000000" w:themeColor="text1"/>
        </w:rPr>
        <w:t xml:space="preserve"> </w:t>
      </w:r>
      <w:r w:rsidR="00260842">
        <w:rPr>
          <w:rFonts w:ascii="Verdana" w:eastAsia="Century Gothic" w:hAnsi="Verdana" w:cs="Century Gothic"/>
          <w:color w:val="000000" w:themeColor="text1"/>
        </w:rPr>
        <w:t xml:space="preserve">De acuerdo con el problema planteado, el artículo 2.2.1.2.1.4.9. del Decreto 1082 de 2015, </w:t>
      </w:r>
      <w:r w:rsidR="003B6B21" w:rsidRPr="00152466">
        <w:rPr>
          <w:rFonts w:ascii="Verdana" w:eastAsia="Calibri" w:hAnsi="Verdana" w:cs="Arial"/>
          <w:lang w:val="es-ES"/>
        </w:rPr>
        <w:t xml:space="preserve">y el artículo 6 de la Ley 1150 de 2007, corresponde a las Entidades Estatales, al momento de adelantar contrataciones bajo la modalidad de contratación directa de prestación de servicios, el deber de verificar la </w:t>
      </w:r>
      <w:r w:rsidR="003B6B21" w:rsidRPr="00152466">
        <w:rPr>
          <w:rFonts w:ascii="Verdana" w:eastAsia="Calibri" w:hAnsi="Verdana" w:cs="Arial"/>
          <w:lang w:val="es-ES"/>
        </w:rPr>
        <w:lastRenderedPageBreak/>
        <w:t xml:space="preserve">idoneidad o experiencia requerida por los contratistas para la debida satisfacción del objeto del contrato. </w:t>
      </w:r>
    </w:p>
    <w:p w14:paraId="74700ABB" w14:textId="06753B7A" w:rsidR="009F5894" w:rsidRDefault="003B6B21" w:rsidP="00042C93">
      <w:pPr>
        <w:pBdr>
          <w:top w:val="single" w:sz="4" w:space="1" w:color="auto"/>
          <w:left w:val="single" w:sz="4" w:space="4" w:color="auto"/>
          <w:bottom w:val="single" w:sz="4" w:space="1" w:color="auto"/>
          <w:right w:val="single" w:sz="4" w:space="4" w:color="auto"/>
        </w:pBdr>
        <w:spacing w:after="120" w:line="276" w:lineRule="auto"/>
        <w:ind w:firstLine="709"/>
        <w:jc w:val="both"/>
        <w:rPr>
          <w:rFonts w:ascii="Verdana" w:hAnsi="Verdana" w:cs="Arial"/>
        </w:rPr>
      </w:pPr>
      <w:r w:rsidRPr="00152466">
        <w:rPr>
          <w:rFonts w:ascii="Verdana" w:eastAsia="Calibri" w:hAnsi="Verdana" w:cs="Arial"/>
          <w:bCs/>
          <w:color w:val="000000" w:themeColor="text1"/>
        </w:rPr>
        <w:t xml:space="preserve">Este supuesto, será determinado y verificado por las Entidades Estatales </w:t>
      </w:r>
      <w:r w:rsidRPr="00152466">
        <w:rPr>
          <w:rFonts w:ascii="Verdana" w:hAnsi="Verdana" w:cs="Arial"/>
          <w:color w:val="000000" w:themeColor="text1"/>
        </w:rPr>
        <w:t>de acuerdo con las características, el alcance del objeto del contrato y el perfil establecido en los documentos precontractuales.</w:t>
      </w:r>
      <w:r w:rsidRPr="00152466">
        <w:rPr>
          <w:rFonts w:ascii="Verdana" w:hAnsi="Verdana" w:cs="Arial"/>
        </w:rPr>
        <w:t xml:space="preserve"> Sobre esta medida, si bien no existe una disposición en materia de contratación pública en la que se establezca de manera detallada la verificación que debe hacer cada entidad, si existen algunas disposiciones que brindan lineamientos de cómo computar la experiencia o establecer equivalencias, estos, generalmente se encuentran establecidos en resoluciones internas mediante las cuales se adoptan tablas de honorarios y se establecen requisitos mínimos de formación y experiencia, que entre otras cosas, son de obligatoria observancia por cada entidad al momento de realizar la verificación.</w:t>
      </w:r>
    </w:p>
    <w:p w14:paraId="7509F96B" w14:textId="52421AD2" w:rsidR="00814CBC" w:rsidRDefault="00CC1D6F" w:rsidP="00042C93">
      <w:pPr>
        <w:pBdr>
          <w:top w:val="single" w:sz="4" w:space="1" w:color="auto"/>
          <w:left w:val="single" w:sz="4" w:space="4" w:color="auto"/>
          <w:bottom w:val="single" w:sz="4" w:space="1" w:color="auto"/>
          <w:right w:val="single" w:sz="4" w:space="4" w:color="auto"/>
        </w:pBdr>
        <w:spacing w:after="120" w:line="276" w:lineRule="auto"/>
        <w:ind w:firstLine="709"/>
        <w:jc w:val="both"/>
        <w:rPr>
          <w:rFonts w:ascii="Verdana" w:hAnsi="Verdana"/>
          <w:lang w:eastAsia="es-MX"/>
        </w:rPr>
      </w:pPr>
      <w:r>
        <w:rPr>
          <w:rFonts w:ascii="Verdana" w:eastAsia="Century Gothic" w:hAnsi="Verdana" w:cs="Century Gothic"/>
          <w:color w:val="000000" w:themeColor="text1"/>
        </w:rPr>
        <w:t>Así las cosas, y con el propósito de responder el objeto de la consulta, esta modalidad de contratación se efectúa mediante la modalidad de forma directa</w:t>
      </w:r>
      <w:r w:rsidR="00045CEE">
        <w:rPr>
          <w:rFonts w:ascii="Verdana" w:eastAsia="Century Gothic" w:hAnsi="Verdana" w:cs="Century Gothic"/>
          <w:color w:val="000000" w:themeColor="text1"/>
        </w:rPr>
        <w:t xml:space="preserve">, </w:t>
      </w:r>
      <w:r w:rsidR="00B361EB" w:rsidRPr="0059266F">
        <w:rPr>
          <w:rFonts w:ascii="Verdana" w:hAnsi="Verdana"/>
          <w:lang w:eastAsia="es-MX"/>
        </w:rPr>
        <w:t>conforme al literal h) del numeral 4 del artículo 2 de la Ley 1150 de 2007.</w:t>
      </w:r>
      <w:r w:rsidR="00B361EB">
        <w:rPr>
          <w:rFonts w:ascii="Verdana" w:hAnsi="Verdana"/>
          <w:lang w:eastAsia="es-MX"/>
        </w:rPr>
        <w:t xml:space="preserve">  diferencia de los procesos competitivos </w:t>
      </w:r>
      <w:r w:rsidR="008651CA" w:rsidRPr="0059266F">
        <w:rPr>
          <w:rFonts w:ascii="Verdana" w:hAnsi="Verdana"/>
          <w:lang w:eastAsia="es-MX"/>
        </w:rPr>
        <w:t xml:space="preserve">donde se evalúan requisitos habilitantes y se otorgan puntajes, en la contratación directa la Entidad Estatal debe verificar la idoneidad y la capacidad del contratista. En efecto, el artículo 2.2.1.2.1.4.9. del Decreto 1082 de 2015 establece que las Entidades Estatales pueden contratar bajo esta modalidad con la persona natural o jurídica que esté en capacidad de ejecutar el objeto del contrato, siempre y cuando verifiquen la idoneidad o experiencia requerida y relacionada con el área de que se trate. </w:t>
      </w:r>
      <w:r w:rsidR="008651CA">
        <w:rPr>
          <w:rFonts w:ascii="Verdana" w:hAnsi="Verdana"/>
          <w:lang w:eastAsia="es-MX"/>
        </w:rPr>
        <w:t>Para verificar dicha idoneidad, las entidades estatales deberán fijar, en los documentos del proceso, como los estudios previos, los medios a través de los cuales el contratista debe acreditar dicha idoneidad.</w:t>
      </w:r>
    </w:p>
    <w:p w14:paraId="578136E2" w14:textId="1A45FFAC" w:rsidR="008651CA" w:rsidRPr="00BE2784" w:rsidRDefault="00FF0D17" w:rsidP="00042C93">
      <w:pPr>
        <w:pBdr>
          <w:top w:val="single" w:sz="4" w:space="1" w:color="auto"/>
          <w:left w:val="single" w:sz="4" w:space="4" w:color="auto"/>
          <w:bottom w:val="single" w:sz="4" w:space="1" w:color="auto"/>
          <w:right w:val="single" w:sz="4" w:space="4" w:color="auto"/>
        </w:pBdr>
        <w:spacing w:after="120" w:line="276" w:lineRule="auto"/>
        <w:ind w:firstLine="709"/>
        <w:jc w:val="both"/>
        <w:rPr>
          <w:rFonts w:ascii="Verdana" w:hAnsi="Verdana"/>
          <w:lang w:eastAsia="es-MX"/>
        </w:rPr>
      </w:pPr>
      <w:r>
        <w:rPr>
          <w:rFonts w:ascii="Verdana" w:hAnsi="Verdana"/>
          <w:lang w:eastAsia="es-MX"/>
        </w:rPr>
        <w:t xml:space="preserve">Siguiendo los lineamientos de la Guía para la incorporación </w:t>
      </w:r>
      <w:r w:rsidR="002B56F5">
        <w:rPr>
          <w:rFonts w:ascii="Verdana" w:hAnsi="Verdana"/>
          <w:i/>
          <w:iCs/>
          <w:lang w:eastAsia="es-MX"/>
        </w:rPr>
        <w:t>de Lineamientos de Integridad en la Contratación de prestación de Servicios</w:t>
      </w:r>
      <w:r w:rsidR="002B56F5" w:rsidRPr="0059266F">
        <w:rPr>
          <w:rFonts w:ascii="Verdana" w:hAnsi="Verdana"/>
          <w:lang w:eastAsia="es-MX"/>
        </w:rPr>
        <w:t>,</w:t>
      </w:r>
      <w:r w:rsidR="002B56F5">
        <w:rPr>
          <w:rFonts w:ascii="Verdana" w:hAnsi="Verdana"/>
          <w:lang w:eastAsia="es-MX"/>
        </w:rPr>
        <w:t xml:space="preserve"> expedida por la Agencia de Contratación Pública – Colombia Compra Eficiente, en su Anexo 2, relaciona algunos de los documentos necesarios para suscribir contratos de prestación de servicios con personas naturales. Por ejemplo, t</w:t>
      </w:r>
      <w:r w:rsidR="002B56F5" w:rsidRPr="0059266F">
        <w:rPr>
          <w:rFonts w:ascii="Verdana" w:hAnsi="Verdana"/>
          <w:lang w:eastAsia="es-MX"/>
        </w:rPr>
        <w:t xml:space="preserve">ratándose de personas jurídicas, la Entidad Estatal debe verificar la capacidad jurídica mediante el Certificado de Existencia y Representación Legal, constatando que la sociedad esté debidamente constituida, que su vigencia cubra el plazo del contrato y que su objeto social contemple las actividades a </w:t>
      </w:r>
      <w:r w:rsidR="002B56F5" w:rsidRPr="0059266F">
        <w:rPr>
          <w:rFonts w:ascii="Verdana" w:hAnsi="Verdana"/>
          <w:lang w:eastAsia="es-MX"/>
        </w:rPr>
        <w:lastRenderedPageBreak/>
        <w:t>contratar.</w:t>
      </w:r>
      <w:r w:rsidR="002B56F5">
        <w:rPr>
          <w:rFonts w:ascii="Verdana" w:hAnsi="Verdana"/>
          <w:lang w:eastAsia="es-MX"/>
        </w:rPr>
        <w:t xml:space="preserve"> </w:t>
      </w:r>
      <w:r w:rsidR="00493D78" w:rsidRPr="0059266F">
        <w:rPr>
          <w:rFonts w:ascii="Verdana" w:hAnsi="Verdana"/>
          <w:lang w:eastAsia="es-MX"/>
        </w:rPr>
        <w:t>De igual forma, la idoneidad y experiencia se acreditan mediante los documentos que la Entidad considere pertinentes para demostrar la trayectoria en el área requerida, siendo los soportes idóneos las certificaciones de contratos anteriores, copias de contratos ejecutados junto con sus actas de liquidación o recibos a satisfacción.</w:t>
      </w:r>
    </w:p>
    <w:p w14:paraId="013B1147" w14:textId="77777777" w:rsidR="00020D68" w:rsidRPr="00BD42D6" w:rsidRDefault="00020D68" w:rsidP="00020D68">
      <w:pPr>
        <w:spacing w:after="120" w:line="276" w:lineRule="auto"/>
        <w:jc w:val="both"/>
        <w:rPr>
          <w:rFonts w:ascii="Verdana" w:eastAsia="Century Gothic" w:hAnsi="Verdana" w:cs="Century Gothic"/>
          <w:b/>
          <w:bCs/>
          <w:color w:val="000000" w:themeColor="text1"/>
        </w:rPr>
      </w:pPr>
    </w:p>
    <w:p w14:paraId="53DCDF7E" w14:textId="707EDEEF" w:rsidR="009F5894" w:rsidRPr="00BD42D6" w:rsidRDefault="004B62DA" w:rsidP="00042C93">
      <w:pPr>
        <w:spacing w:after="120" w:line="276" w:lineRule="auto"/>
        <w:ind w:firstLine="709"/>
        <w:jc w:val="both"/>
        <w:rPr>
          <w:rFonts w:ascii="Verdana" w:eastAsia="Century Gothic" w:hAnsi="Verdana" w:cs="Century Gothic"/>
          <w:b/>
          <w:bCs/>
          <w:color w:val="000000" w:themeColor="text1"/>
        </w:rPr>
      </w:pPr>
      <w:r w:rsidRPr="00BD42D6">
        <w:rPr>
          <w:rFonts w:ascii="Verdana" w:eastAsia="Century Gothic" w:hAnsi="Verdana" w:cs="Century Gothic"/>
          <w:b/>
          <w:bCs/>
          <w:color w:val="000000" w:themeColor="text1"/>
        </w:rPr>
        <w:t xml:space="preserve">3. </w:t>
      </w:r>
      <w:r w:rsidR="002734B2" w:rsidRPr="00BD42D6">
        <w:rPr>
          <w:rFonts w:ascii="Verdana" w:eastAsia="Century Gothic" w:hAnsi="Verdana" w:cs="Century Gothic"/>
          <w:b/>
          <w:bCs/>
          <w:color w:val="000000" w:themeColor="text1"/>
        </w:rPr>
        <w:t xml:space="preserve">Razones de la Respuesta: </w:t>
      </w:r>
    </w:p>
    <w:p w14:paraId="3CB5A3AF" w14:textId="77777777" w:rsidR="003666A6" w:rsidRPr="00FD28DB" w:rsidRDefault="003666A6" w:rsidP="00042C93">
      <w:pPr>
        <w:spacing w:after="120" w:line="276" w:lineRule="auto"/>
        <w:ind w:firstLine="709"/>
        <w:jc w:val="both"/>
        <w:rPr>
          <w:rFonts w:ascii="Verdana" w:hAnsi="Verdana"/>
          <w:b/>
          <w:bCs/>
          <w:lang w:val="es-ES"/>
        </w:rPr>
      </w:pPr>
    </w:p>
    <w:p w14:paraId="1F55532F" w14:textId="77777777" w:rsidR="003666A6" w:rsidRPr="00FD28DB" w:rsidRDefault="003666A6" w:rsidP="00042C93">
      <w:pPr>
        <w:spacing w:after="120" w:line="276" w:lineRule="auto"/>
        <w:ind w:firstLine="709"/>
        <w:jc w:val="both"/>
        <w:rPr>
          <w:rFonts w:ascii="Verdana" w:hAnsi="Verdana"/>
          <w:lang w:val="es-ES"/>
        </w:rPr>
      </w:pPr>
      <w:r w:rsidRPr="00FD28DB">
        <w:rPr>
          <w:rFonts w:ascii="Verdana" w:hAnsi="Verdana"/>
          <w:lang w:val="es-ES"/>
        </w:rPr>
        <w:t>Lo anterior se sustenta en las siguientes consideraciones:</w:t>
      </w:r>
    </w:p>
    <w:p w14:paraId="7ECF64DE" w14:textId="77777777" w:rsidR="003666A6" w:rsidRDefault="003666A6" w:rsidP="00042C93">
      <w:pPr>
        <w:tabs>
          <w:tab w:val="left" w:pos="0"/>
        </w:tabs>
        <w:spacing w:after="120" w:line="276" w:lineRule="auto"/>
        <w:ind w:firstLine="709"/>
        <w:jc w:val="both"/>
        <w:rPr>
          <w:rFonts w:ascii="Verdana" w:hAnsi="Verdana" w:cs="Arial"/>
          <w:color w:val="000000" w:themeColor="text1"/>
          <w:lang w:val="es-ES"/>
        </w:rPr>
      </w:pPr>
    </w:p>
    <w:p w14:paraId="5EC1123C" w14:textId="77777777" w:rsidR="00FE28D6" w:rsidRPr="00152466" w:rsidRDefault="00FE28D6" w:rsidP="00042C93">
      <w:pPr>
        <w:widowControl w:val="0"/>
        <w:autoSpaceDE w:val="0"/>
        <w:autoSpaceDN w:val="0"/>
        <w:spacing w:after="120" w:line="276" w:lineRule="auto"/>
        <w:ind w:firstLine="709"/>
        <w:jc w:val="both"/>
        <w:rPr>
          <w:rFonts w:ascii="Verdana" w:hAnsi="Verdana" w:cs="Arial"/>
        </w:rPr>
      </w:pPr>
      <w:r w:rsidRPr="00152466">
        <w:rPr>
          <w:rFonts w:ascii="Verdana" w:hAnsi="Verdana" w:cs="Arial"/>
        </w:rPr>
        <w:t xml:space="preserve">El contrato de prestación de servicios es uno de los tipos contractuales consagrados en el Estatuto General de Contratación de la Administración Pública – en adelante EGCAP–, que pueden celebrar las Entidades Estatales. Se trata de un contrato típico, ya que se encuentra definido en la ley. Concretamente, el artículo 32, numeral 3º, de la Ley 80 de 1993, establece: </w:t>
      </w:r>
    </w:p>
    <w:p w14:paraId="2FE562D6" w14:textId="77777777" w:rsidR="00FE28D6" w:rsidRPr="00152466" w:rsidRDefault="00FE28D6" w:rsidP="00FE28D6">
      <w:pPr>
        <w:widowControl w:val="0"/>
        <w:autoSpaceDE w:val="0"/>
        <w:autoSpaceDN w:val="0"/>
        <w:spacing w:after="120" w:line="276" w:lineRule="auto"/>
        <w:ind w:firstLine="709"/>
        <w:jc w:val="both"/>
        <w:rPr>
          <w:rFonts w:ascii="Verdana" w:hAnsi="Verdana" w:cs="Arial"/>
        </w:rPr>
      </w:pPr>
    </w:p>
    <w:p w14:paraId="0E0D79D2" w14:textId="77777777" w:rsidR="00FE28D6" w:rsidRPr="00FE28D6" w:rsidRDefault="00FE28D6" w:rsidP="00FE28D6">
      <w:pPr>
        <w:widowControl w:val="0"/>
        <w:autoSpaceDE w:val="0"/>
        <w:autoSpaceDN w:val="0"/>
        <w:spacing w:after="120" w:line="276" w:lineRule="auto"/>
        <w:ind w:left="709" w:right="709"/>
        <w:jc w:val="both"/>
        <w:rPr>
          <w:rFonts w:ascii="Verdana" w:hAnsi="Verdana" w:cs="Arial"/>
          <w:sz w:val="21"/>
          <w:szCs w:val="21"/>
        </w:rPr>
      </w:pPr>
      <w:r w:rsidRPr="00FE28D6">
        <w:rPr>
          <w:rFonts w:ascii="Verdana" w:hAnsi="Verdana" w:cs="Arial"/>
          <w:sz w:val="21"/>
          <w:szCs w:val="21"/>
        </w:rPr>
        <w:t>“Son contratos de prestación de servicios los que celebren las entidades estatales para desarrollar actividades relacionadas con la administración o funcionamiento de la entidad. Estos contratos sólo podrán celebrarse con personas naturales cuando dichas actividades no puedan realizarse con personal de planta o requieran conocimientos especializados.</w:t>
      </w:r>
    </w:p>
    <w:p w14:paraId="36072B1B" w14:textId="77777777" w:rsidR="00FE28D6" w:rsidRPr="00FE28D6" w:rsidRDefault="00FE28D6" w:rsidP="00FE28D6">
      <w:pPr>
        <w:widowControl w:val="0"/>
        <w:autoSpaceDE w:val="0"/>
        <w:autoSpaceDN w:val="0"/>
        <w:spacing w:after="120" w:line="276" w:lineRule="auto"/>
        <w:ind w:left="709" w:right="709"/>
        <w:jc w:val="both"/>
        <w:rPr>
          <w:rFonts w:ascii="Verdana" w:hAnsi="Verdana" w:cs="Arial"/>
          <w:sz w:val="21"/>
          <w:szCs w:val="21"/>
        </w:rPr>
      </w:pPr>
    </w:p>
    <w:p w14:paraId="4C0D7F07" w14:textId="77777777" w:rsidR="00FE28D6" w:rsidRPr="00FE28D6" w:rsidRDefault="00FE28D6" w:rsidP="00FE28D6">
      <w:pPr>
        <w:widowControl w:val="0"/>
        <w:autoSpaceDE w:val="0"/>
        <w:autoSpaceDN w:val="0"/>
        <w:spacing w:after="120" w:line="276" w:lineRule="auto"/>
        <w:ind w:left="709" w:right="709"/>
        <w:jc w:val="both"/>
        <w:rPr>
          <w:rFonts w:ascii="Verdana" w:hAnsi="Verdana" w:cs="Arial"/>
          <w:sz w:val="21"/>
          <w:szCs w:val="21"/>
        </w:rPr>
      </w:pPr>
      <w:r w:rsidRPr="00FE28D6">
        <w:rPr>
          <w:rFonts w:ascii="Verdana" w:hAnsi="Verdana" w:cs="Arial"/>
          <w:sz w:val="21"/>
          <w:szCs w:val="21"/>
        </w:rPr>
        <w:t>En ningún caso estos contratos generan relación laboral ni prestaciones sociales y se celebrarán por el término estrictamente indispensable”.</w:t>
      </w:r>
    </w:p>
    <w:p w14:paraId="3CCF0FAD" w14:textId="77777777" w:rsidR="00FE28D6" w:rsidRPr="00152466" w:rsidRDefault="00FE28D6" w:rsidP="00042C93">
      <w:pPr>
        <w:widowControl w:val="0"/>
        <w:autoSpaceDE w:val="0"/>
        <w:autoSpaceDN w:val="0"/>
        <w:spacing w:after="0" w:line="276" w:lineRule="auto"/>
        <w:ind w:firstLine="709"/>
        <w:jc w:val="both"/>
        <w:rPr>
          <w:rFonts w:ascii="Verdana" w:hAnsi="Verdana" w:cs="Arial"/>
        </w:rPr>
      </w:pPr>
    </w:p>
    <w:p w14:paraId="6E993B68" w14:textId="77777777" w:rsidR="00FE28D6" w:rsidRDefault="00FE28D6" w:rsidP="00FE28D6">
      <w:pPr>
        <w:widowControl w:val="0"/>
        <w:autoSpaceDE w:val="0"/>
        <w:autoSpaceDN w:val="0"/>
        <w:spacing w:after="120" w:line="276" w:lineRule="auto"/>
        <w:ind w:firstLine="709"/>
        <w:jc w:val="both"/>
        <w:rPr>
          <w:rFonts w:ascii="Verdana" w:hAnsi="Verdana" w:cs="Arial"/>
        </w:rPr>
      </w:pPr>
      <w:r w:rsidRPr="00152466">
        <w:rPr>
          <w:rFonts w:ascii="Verdana" w:hAnsi="Verdana" w:cs="Arial"/>
        </w:rPr>
        <w:t>De otro lado, la celebración de dicho contrato se debe efectuar a través de la modalidad de la contratación directa. Así lo prevé el artículo 2, numeral 4º, literal h), de la Ley 1150 de 2007, que dispone:</w:t>
      </w:r>
    </w:p>
    <w:p w14:paraId="229E6DA8" w14:textId="77777777" w:rsidR="002659C3" w:rsidRDefault="002659C3" w:rsidP="00FE28D6">
      <w:pPr>
        <w:widowControl w:val="0"/>
        <w:autoSpaceDE w:val="0"/>
        <w:autoSpaceDN w:val="0"/>
        <w:spacing w:after="120" w:line="276" w:lineRule="auto"/>
        <w:ind w:firstLine="709"/>
        <w:jc w:val="both"/>
        <w:rPr>
          <w:rFonts w:ascii="Verdana" w:hAnsi="Verdana" w:cs="Arial"/>
        </w:rPr>
      </w:pPr>
    </w:p>
    <w:p w14:paraId="5F0A181A" w14:textId="77777777" w:rsidR="002659C3" w:rsidRPr="002659C3" w:rsidRDefault="002659C3" w:rsidP="002659C3">
      <w:pPr>
        <w:widowControl w:val="0"/>
        <w:autoSpaceDE w:val="0"/>
        <w:autoSpaceDN w:val="0"/>
        <w:spacing w:after="0" w:line="240" w:lineRule="auto"/>
        <w:ind w:left="709" w:right="709"/>
        <w:jc w:val="both"/>
        <w:rPr>
          <w:rFonts w:ascii="Verdana" w:hAnsi="Verdana" w:cs="Arial"/>
          <w:sz w:val="21"/>
          <w:szCs w:val="21"/>
        </w:rPr>
      </w:pPr>
      <w:r w:rsidRPr="002659C3">
        <w:rPr>
          <w:rFonts w:ascii="Verdana" w:hAnsi="Verdana" w:cs="Arial"/>
          <w:sz w:val="21"/>
          <w:szCs w:val="21"/>
        </w:rPr>
        <w:t>“[…] Contratación directa. La modalidad de selección de contratación directa solamente procederá en los siguientes casos:</w:t>
      </w:r>
    </w:p>
    <w:p w14:paraId="214B940F" w14:textId="77777777" w:rsidR="002659C3" w:rsidRPr="002659C3" w:rsidRDefault="002659C3" w:rsidP="002659C3">
      <w:pPr>
        <w:widowControl w:val="0"/>
        <w:autoSpaceDE w:val="0"/>
        <w:autoSpaceDN w:val="0"/>
        <w:spacing w:after="0" w:line="240" w:lineRule="auto"/>
        <w:ind w:left="709" w:right="709"/>
        <w:jc w:val="both"/>
        <w:rPr>
          <w:rFonts w:ascii="Verdana" w:hAnsi="Verdana" w:cs="Arial"/>
          <w:sz w:val="21"/>
          <w:szCs w:val="21"/>
        </w:rPr>
      </w:pPr>
    </w:p>
    <w:p w14:paraId="6B7BCB87" w14:textId="77777777" w:rsidR="002659C3" w:rsidRPr="002659C3" w:rsidRDefault="002659C3" w:rsidP="002659C3">
      <w:pPr>
        <w:widowControl w:val="0"/>
        <w:autoSpaceDE w:val="0"/>
        <w:autoSpaceDN w:val="0"/>
        <w:spacing w:after="0" w:line="240" w:lineRule="auto"/>
        <w:ind w:left="709" w:right="709"/>
        <w:jc w:val="both"/>
        <w:rPr>
          <w:rFonts w:ascii="Verdana" w:hAnsi="Verdana" w:cs="Arial"/>
          <w:sz w:val="21"/>
          <w:szCs w:val="21"/>
        </w:rPr>
      </w:pPr>
      <w:r w:rsidRPr="002659C3">
        <w:rPr>
          <w:rFonts w:ascii="Verdana" w:hAnsi="Verdana" w:cs="Arial"/>
          <w:sz w:val="21"/>
          <w:szCs w:val="21"/>
        </w:rPr>
        <w:t>[…]</w:t>
      </w:r>
    </w:p>
    <w:p w14:paraId="073BF035" w14:textId="77777777" w:rsidR="002659C3" w:rsidRDefault="002659C3" w:rsidP="002659C3">
      <w:pPr>
        <w:widowControl w:val="0"/>
        <w:autoSpaceDE w:val="0"/>
        <w:autoSpaceDN w:val="0"/>
        <w:spacing w:after="0" w:line="240" w:lineRule="auto"/>
        <w:ind w:left="709" w:right="709"/>
        <w:jc w:val="both"/>
        <w:rPr>
          <w:rFonts w:ascii="Verdana" w:hAnsi="Verdana" w:cs="Arial"/>
          <w:sz w:val="21"/>
          <w:szCs w:val="21"/>
        </w:rPr>
      </w:pPr>
      <w:r w:rsidRPr="002659C3">
        <w:rPr>
          <w:rFonts w:ascii="Verdana" w:hAnsi="Verdana" w:cs="Arial"/>
          <w:sz w:val="21"/>
          <w:szCs w:val="21"/>
        </w:rPr>
        <w:t>h) Para la prestación de servicios profesionales y de apoyo a la gestión, o para la ejecución de trabajos artísticos que sólo puedan encomendarse a determinadas personas naturales; […]”.</w:t>
      </w:r>
    </w:p>
    <w:p w14:paraId="0F3E7F0E" w14:textId="77777777" w:rsidR="002659C3" w:rsidRDefault="002659C3" w:rsidP="002659C3">
      <w:pPr>
        <w:widowControl w:val="0"/>
        <w:autoSpaceDE w:val="0"/>
        <w:autoSpaceDN w:val="0"/>
        <w:spacing w:after="0" w:line="240" w:lineRule="auto"/>
        <w:ind w:left="709" w:right="709"/>
        <w:jc w:val="both"/>
        <w:rPr>
          <w:rFonts w:ascii="Verdana" w:hAnsi="Verdana" w:cs="Arial"/>
          <w:sz w:val="21"/>
          <w:szCs w:val="21"/>
        </w:rPr>
      </w:pPr>
    </w:p>
    <w:p w14:paraId="26E0A601" w14:textId="77777777" w:rsidR="00C97A07" w:rsidRPr="00152466" w:rsidRDefault="00C97A07" w:rsidP="00C97A07">
      <w:pPr>
        <w:widowControl w:val="0"/>
        <w:autoSpaceDE w:val="0"/>
        <w:autoSpaceDN w:val="0"/>
        <w:spacing w:after="120" w:line="276" w:lineRule="auto"/>
        <w:ind w:firstLine="709"/>
        <w:jc w:val="both"/>
        <w:rPr>
          <w:rFonts w:ascii="Verdana" w:hAnsi="Verdana" w:cs="Arial"/>
        </w:rPr>
      </w:pPr>
      <w:r w:rsidRPr="00152466">
        <w:rPr>
          <w:rFonts w:ascii="Verdana" w:hAnsi="Verdana" w:cs="Arial"/>
        </w:rPr>
        <w:t>A partir de estos enunciados normativos, entre otros, de carácter legal y reglamentario, que complementan su regulación, y de los pronunciamientos judiciales más destacados sobre el tema, es posible señalar las siguientes características del contrato de prestación de servicios:</w:t>
      </w:r>
    </w:p>
    <w:p w14:paraId="134D419E" w14:textId="77777777" w:rsidR="00C97A07" w:rsidRPr="00152466" w:rsidRDefault="00C97A07" w:rsidP="00C97A07">
      <w:pPr>
        <w:widowControl w:val="0"/>
        <w:autoSpaceDE w:val="0"/>
        <w:autoSpaceDN w:val="0"/>
        <w:spacing w:after="120" w:line="276" w:lineRule="auto"/>
        <w:ind w:firstLine="709"/>
        <w:jc w:val="both"/>
        <w:rPr>
          <w:rFonts w:ascii="Verdana" w:hAnsi="Verdana" w:cs="Arial"/>
        </w:rPr>
      </w:pPr>
      <w:r w:rsidRPr="00152466">
        <w:rPr>
          <w:rFonts w:ascii="Verdana" w:hAnsi="Verdana" w:cs="Arial"/>
        </w:rPr>
        <w:t>i) Solo puede celebrarse para realizar “actividades relacionadas con la administración o funcionamiento de la entidad”, es decir, que hagan parte de su giro ordinario o quehacer cotidiano.</w:t>
      </w:r>
    </w:p>
    <w:p w14:paraId="15DB084B" w14:textId="77777777" w:rsidR="00C97A07" w:rsidRPr="00152466" w:rsidRDefault="00C97A07" w:rsidP="00C97A07">
      <w:pPr>
        <w:widowControl w:val="0"/>
        <w:autoSpaceDE w:val="0"/>
        <w:autoSpaceDN w:val="0"/>
        <w:spacing w:after="120" w:line="276" w:lineRule="auto"/>
        <w:ind w:firstLine="709"/>
        <w:jc w:val="both"/>
        <w:rPr>
          <w:rFonts w:ascii="Verdana" w:hAnsi="Verdana" w:cs="Arial"/>
        </w:rPr>
      </w:pPr>
      <w:r w:rsidRPr="00152466">
        <w:rPr>
          <w:rFonts w:ascii="Verdana" w:hAnsi="Verdana" w:cs="Arial"/>
        </w:rPr>
        <w:t>ii) Admite que se suscriba tanto con personas naturales como con personas jurídicas. Y requiere que la Entidad Estatal justifique en los Estudios Previos que las actividades que buscan encomendarse a aquella “no puedan realizarse con personal de planta o requieran conocimientos especializados”</w:t>
      </w:r>
      <w:r w:rsidRPr="00152466">
        <w:rPr>
          <w:rStyle w:val="Refdenotaalpie"/>
          <w:rFonts w:ascii="Verdana" w:hAnsi="Verdana" w:cs="Arial"/>
        </w:rPr>
        <w:footnoteReference w:id="1"/>
      </w:r>
      <w:r w:rsidRPr="00152466">
        <w:rPr>
          <w:rFonts w:ascii="Verdana" w:hAnsi="Verdana" w:cs="Arial"/>
        </w:rPr>
        <w:t>. Esto puede suceder en varios eventos, como, por ejemplo, que, efectivamente, no exista el personal de planta para encargarse de dichas labores; que exista, pero que está sobrecargado de trabajo, requiriéndose, por tanto, un apoyo externo; o que haya personal de planta, pero no tenga la experticia o conocimiento especializado en la materia, y que, por esta razón, sea necesario contratar los servicios de una persona natural que posea conocimiento y experiencia en el tema.</w:t>
      </w:r>
    </w:p>
    <w:p w14:paraId="0ED9DA13" w14:textId="77777777" w:rsidR="00C97A07" w:rsidRPr="00152466" w:rsidRDefault="00C97A07" w:rsidP="00C97A07">
      <w:pPr>
        <w:widowControl w:val="0"/>
        <w:autoSpaceDE w:val="0"/>
        <w:autoSpaceDN w:val="0"/>
        <w:spacing w:after="120" w:line="276" w:lineRule="auto"/>
        <w:ind w:firstLine="709"/>
        <w:jc w:val="both"/>
        <w:rPr>
          <w:rFonts w:ascii="Verdana" w:hAnsi="Verdana" w:cs="Arial"/>
        </w:rPr>
      </w:pPr>
      <w:r w:rsidRPr="00152466">
        <w:rPr>
          <w:rFonts w:ascii="Verdana" w:hAnsi="Verdana" w:cs="Arial"/>
        </w:rPr>
        <w:t xml:space="preserve">iii) Si bien se celebran para obtener la prestación personal de un servicio, </w:t>
      </w:r>
      <w:r w:rsidRPr="00152466">
        <w:rPr>
          <w:rFonts w:ascii="Verdana" w:hAnsi="Verdana" w:cs="Arial"/>
        </w:rPr>
        <w:lastRenderedPageBreak/>
        <w:t>se diferencian del contrato de trabajo</w:t>
      </w:r>
      <w:r w:rsidRPr="00152466">
        <w:rPr>
          <w:rStyle w:val="Refdenotaalpie"/>
          <w:rFonts w:ascii="Verdana" w:hAnsi="Verdana" w:cs="Arial"/>
        </w:rPr>
        <w:footnoteReference w:id="2"/>
      </w:r>
      <w:r w:rsidRPr="00152466">
        <w:rPr>
          <w:rFonts w:ascii="Verdana" w:hAnsi="Verdana" w:cs="Arial"/>
        </w:rPr>
        <w:t xml:space="preserve"> en que quien celebra el contrato de prestación de servicios debe mantener autonomía e independencia en la ejecución de la labor, lo que significa que no puede existir la </w:t>
      </w:r>
      <w:r w:rsidRPr="00152466">
        <w:rPr>
          <w:rFonts w:ascii="Verdana" w:hAnsi="Verdana" w:cs="Arial"/>
          <w:i/>
          <w:iCs/>
        </w:rPr>
        <w:t>subordinación y dependencia</w:t>
      </w:r>
      <w:r w:rsidRPr="00152466">
        <w:rPr>
          <w:rFonts w:ascii="Verdana" w:hAnsi="Verdana" w:cs="Arial"/>
        </w:rPr>
        <w:t xml:space="preserve">, que es uno de los elementos constitutivos del vínculo laboral. </w:t>
      </w:r>
    </w:p>
    <w:p w14:paraId="568FC08D" w14:textId="77777777" w:rsidR="00C97A07" w:rsidRPr="00152466" w:rsidRDefault="00C97A07" w:rsidP="00C97A07">
      <w:pPr>
        <w:widowControl w:val="0"/>
        <w:autoSpaceDE w:val="0"/>
        <w:autoSpaceDN w:val="0"/>
        <w:spacing w:after="120" w:line="276" w:lineRule="auto"/>
        <w:ind w:firstLine="709"/>
        <w:jc w:val="both"/>
        <w:rPr>
          <w:rFonts w:ascii="Verdana" w:hAnsi="Verdana" w:cs="Arial"/>
        </w:rPr>
      </w:pPr>
      <w:r w:rsidRPr="00152466">
        <w:rPr>
          <w:rFonts w:ascii="Verdana" w:hAnsi="Verdana" w:cs="Arial"/>
        </w:rPr>
        <w:t xml:space="preserve">Por ello el artículo 32, numeral 3º, de la Ley 80 de 1993 establece que “En ningún caso estos contratos generan relación laboral ni prestaciones sociales”, inciso que más que un enunciado que aluda al “ser” se refiere al “deber ser”, pues debe interpretarse en el sentido de que los contratos de prestación de servicios no pueden generar relación laboral, ni dar lugar a que las Entidades Estatales paguen por su cuenta los aportes al Sistema de Seguridad Social Integral del contratista. Ello por cuanto, según se indicó, en dichos contratos no puede existir subordinación y dependencia; entonces, la relación laboral está proscrita y es el contratista quien, como “trabajador independiente” –como lo califican las normas en materia de seguridad social– debe cotizar por su cuenta y riesgo al Sistema de Seguridad Social Integral. </w:t>
      </w:r>
    </w:p>
    <w:p w14:paraId="63DABD28" w14:textId="77777777" w:rsidR="00C97A07" w:rsidRPr="00152466" w:rsidRDefault="00C97A07" w:rsidP="00C97A07">
      <w:pPr>
        <w:widowControl w:val="0"/>
        <w:autoSpaceDE w:val="0"/>
        <w:autoSpaceDN w:val="0"/>
        <w:spacing w:after="120" w:line="276" w:lineRule="auto"/>
        <w:ind w:firstLine="709"/>
        <w:jc w:val="both"/>
        <w:rPr>
          <w:rFonts w:ascii="Verdana" w:hAnsi="Verdana" w:cs="Arial"/>
        </w:rPr>
      </w:pPr>
      <w:r w:rsidRPr="00152466">
        <w:rPr>
          <w:rFonts w:ascii="Verdana" w:hAnsi="Verdana" w:cs="Arial"/>
        </w:rPr>
        <w:t xml:space="preserve">Pero es posible que, a pesar de este mandato deontológico, en la práctica surja la relación laboral, pues, como se sabe, el contrato de trabajo es un </w:t>
      </w:r>
      <w:r w:rsidRPr="00152466">
        <w:rPr>
          <w:rFonts w:ascii="Verdana" w:hAnsi="Verdana" w:cs="Arial"/>
          <w:i/>
          <w:iCs/>
        </w:rPr>
        <w:t>contrato realidad</w:t>
      </w:r>
      <w:r w:rsidRPr="00152466">
        <w:rPr>
          <w:rFonts w:ascii="Verdana" w:hAnsi="Verdana" w:cs="Arial"/>
        </w:rPr>
        <w:t>, ya que para su perfeccionamiento rige el principio de la prevalencia de la realidad sobre las formalidades. Por ello, la Corte Constitucional declaró la constitucionalidad condicionada del segundo inciso del numeral 3º del artículo 32, indicando que “las expresiones acusadas del numeral 3º. del artículo 32 de la Ley 80 de 1993, no vulneran los preceptos constitucionales, razón por la cual deberán ser declaradas exequibles, salvo que se acredite por parte del contratista la existencia de una relación laboral subordinada”</w:t>
      </w:r>
      <w:r w:rsidRPr="00152466">
        <w:rPr>
          <w:rStyle w:val="Refdenotaalpie"/>
          <w:rFonts w:ascii="Verdana" w:hAnsi="Verdana" w:cs="Arial"/>
        </w:rPr>
        <w:footnoteReference w:id="3"/>
      </w:r>
      <w:r w:rsidRPr="00152466">
        <w:rPr>
          <w:rFonts w:ascii="Verdana" w:hAnsi="Verdana" w:cs="Arial"/>
        </w:rPr>
        <w:t>.</w:t>
      </w:r>
    </w:p>
    <w:p w14:paraId="5997A2DD" w14:textId="77777777" w:rsidR="00C97A07" w:rsidRDefault="00C97A07" w:rsidP="00C97A07">
      <w:pPr>
        <w:widowControl w:val="0"/>
        <w:autoSpaceDE w:val="0"/>
        <w:autoSpaceDN w:val="0"/>
        <w:spacing w:after="120" w:line="276" w:lineRule="auto"/>
        <w:ind w:firstLine="709"/>
        <w:jc w:val="both"/>
        <w:rPr>
          <w:rFonts w:ascii="Verdana" w:hAnsi="Verdana" w:cs="Arial"/>
        </w:rPr>
      </w:pPr>
      <w:r w:rsidRPr="00152466">
        <w:rPr>
          <w:rFonts w:ascii="Verdana" w:hAnsi="Verdana" w:cs="Arial"/>
        </w:rPr>
        <w:t>iv) Deben ser temporales. Así lo señaló la Corte Constitucional en la misma providencia a la que se aludió previamente, expresando que:</w:t>
      </w:r>
    </w:p>
    <w:p w14:paraId="44FACF41" w14:textId="77777777" w:rsidR="002E0E4D" w:rsidRPr="002E0E4D" w:rsidRDefault="002E0E4D" w:rsidP="002E0E4D">
      <w:pPr>
        <w:widowControl w:val="0"/>
        <w:autoSpaceDE w:val="0"/>
        <w:autoSpaceDN w:val="0"/>
        <w:spacing w:after="120" w:line="276" w:lineRule="auto"/>
        <w:ind w:left="709" w:right="709"/>
        <w:jc w:val="both"/>
        <w:rPr>
          <w:rFonts w:ascii="Verdana" w:hAnsi="Verdana" w:cs="Arial"/>
          <w:sz w:val="21"/>
          <w:szCs w:val="21"/>
        </w:rPr>
      </w:pPr>
    </w:p>
    <w:p w14:paraId="64EDC129" w14:textId="77777777" w:rsidR="002E0E4D" w:rsidRDefault="002E0E4D" w:rsidP="002E0E4D">
      <w:pPr>
        <w:widowControl w:val="0"/>
        <w:autoSpaceDE w:val="0"/>
        <w:autoSpaceDN w:val="0"/>
        <w:spacing w:after="120" w:line="276" w:lineRule="auto"/>
        <w:ind w:left="709" w:right="709"/>
        <w:jc w:val="both"/>
        <w:rPr>
          <w:rFonts w:ascii="Verdana" w:hAnsi="Verdana" w:cs="Arial"/>
          <w:sz w:val="21"/>
          <w:szCs w:val="21"/>
        </w:rPr>
      </w:pPr>
      <w:r w:rsidRPr="002E0E4D">
        <w:rPr>
          <w:rFonts w:ascii="Verdana" w:hAnsi="Verdana" w:cs="Arial"/>
          <w:sz w:val="21"/>
          <w:szCs w:val="21"/>
        </w:rPr>
        <w:t xml:space="preserve">“La vigencia del contrato es temporal y, por lo tanto, su duración debe </w:t>
      </w:r>
      <w:r w:rsidRPr="002E0E4D">
        <w:rPr>
          <w:rFonts w:ascii="Verdana" w:hAnsi="Verdana" w:cs="Arial"/>
          <w:sz w:val="21"/>
          <w:szCs w:val="21"/>
        </w:rPr>
        <w:lastRenderedPageBreak/>
        <w:t>ser por tiempo limitado y el indispensable para ejecutar el objeto contractual convenido. En el caso de que las actividades con ellos atendidas demanden una permanencia mayor e indefinida, excediendo su carácter excepcional y temporal para convertirse en ordinario y permanente, será necesario que la respectiva entidad adopte las medidas y provisiones pertinentes a fin de que se dé cabal cumplimiento a lo previsto en el artículo 122 de la Carta Política, según el cual se requiere que el empleo público quede contemplado en la respectiva planta y previstos sus emolumentos en el presupuesto correspondiente”</w:t>
      </w:r>
      <w:r w:rsidRPr="002E0E4D">
        <w:rPr>
          <w:rStyle w:val="Refdenotaalpie"/>
          <w:rFonts w:ascii="Verdana" w:hAnsi="Verdana" w:cs="Arial"/>
          <w:sz w:val="21"/>
          <w:szCs w:val="21"/>
        </w:rPr>
        <w:footnoteReference w:id="4"/>
      </w:r>
      <w:r w:rsidRPr="002E0E4D">
        <w:rPr>
          <w:rFonts w:ascii="Verdana" w:hAnsi="Verdana" w:cs="Arial"/>
          <w:sz w:val="21"/>
          <w:szCs w:val="21"/>
        </w:rPr>
        <w:t>.</w:t>
      </w:r>
    </w:p>
    <w:p w14:paraId="6FC48C4E" w14:textId="77777777" w:rsidR="005F31FF" w:rsidRPr="00152466" w:rsidRDefault="005F31FF" w:rsidP="005F31FF">
      <w:pPr>
        <w:widowControl w:val="0"/>
        <w:autoSpaceDE w:val="0"/>
        <w:autoSpaceDN w:val="0"/>
        <w:spacing w:after="120" w:line="276" w:lineRule="auto"/>
        <w:ind w:firstLine="709"/>
        <w:jc w:val="both"/>
        <w:rPr>
          <w:rFonts w:ascii="Verdana" w:hAnsi="Verdana" w:cs="Arial"/>
        </w:rPr>
      </w:pPr>
      <w:r w:rsidRPr="00152466">
        <w:rPr>
          <w:rFonts w:ascii="Verdana" w:hAnsi="Verdana" w:cs="Arial"/>
        </w:rPr>
        <w:t xml:space="preserve">v) Los contratos de prestación de servicios constituyen un </w:t>
      </w:r>
      <w:r w:rsidRPr="00152466">
        <w:rPr>
          <w:rFonts w:ascii="Verdana" w:hAnsi="Verdana" w:cs="Arial"/>
          <w:i/>
          <w:iCs/>
        </w:rPr>
        <w:t>género</w:t>
      </w:r>
      <w:r w:rsidRPr="00152466">
        <w:rPr>
          <w:rFonts w:ascii="Verdana" w:hAnsi="Verdana" w:cs="Arial"/>
        </w:rPr>
        <w:t xml:space="preserve"> que incluye, como </w:t>
      </w:r>
      <w:r w:rsidRPr="00152466">
        <w:rPr>
          <w:rFonts w:ascii="Verdana" w:hAnsi="Verdana" w:cs="Arial"/>
          <w:i/>
          <w:iCs/>
        </w:rPr>
        <w:t>especies</w:t>
      </w:r>
      <w:r w:rsidRPr="00152466">
        <w:rPr>
          <w:rFonts w:ascii="Verdana" w:hAnsi="Verdana" w:cs="Arial"/>
        </w:rPr>
        <w:t>, los contratos de prestación de servicios profesionales, los contratos de prestación de servicios de apoyo a la gestión y los contratos de prestación de servicios artísticos que solo pueden encomendarse a determinadas personas naturales</w:t>
      </w:r>
      <w:r w:rsidRPr="00152466">
        <w:rPr>
          <w:rStyle w:val="Refdenotaalpie"/>
          <w:rFonts w:ascii="Verdana" w:hAnsi="Verdana" w:cs="Arial"/>
        </w:rPr>
        <w:footnoteReference w:id="5"/>
      </w:r>
      <w:r w:rsidRPr="00152466">
        <w:rPr>
          <w:rFonts w:ascii="Verdana" w:hAnsi="Verdana" w:cs="Arial"/>
        </w:rPr>
        <w:t xml:space="preserve">. La diferencia entre el contrato de prestación de servicios </w:t>
      </w:r>
      <w:r w:rsidRPr="00152466">
        <w:rPr>
          <w:rFonts w:ascii="Verdana" w:hAnsi="Verdana" w:cs="Arial"/>
          <w:i/>
          <w:iCs/>
        </w:rPr>
        <w:t>profesionales</w:t>
      </w:r>
      <w:r w:rsidRPr="00152466">
        <w:rPr>
          <w:rFonts w:ascii="Verdana" w:hAnsi="Verdana" w:cs="Arial"/>
        </w:rPr>
        <w:t xml:space="preserve"> con las otras dos especies del género en el cual se ubican radica en su contenido intelectual intangible y, al mismo tiempo, en la formación profesional que se exige para desempeñar la labor. Así lo consideró el Consejo de Estado en sentencia de unificación jurisprudencial del 2 de diciembre de 2013, al indicar, respecto del contrato de prestación de servicios profesionales, que:</w:t>
      </w:r>
    </w:p>
    <w:p w14:paraId="62477EF9" w14:textId="77777777" w:rsidR="005F31FF" w:rsidRPr="004A5A11" w:rsidRDefault="005F31FF" w:rsidP="004A5A11">
      <w:pPr>
        <w:widowControl w:val="0"/>
        <w:autoSpaceDE w:val="0"/>
        <w:autoSpaceDN w:val="0"/>
        <w:spacing w:after="120" w:line="276" w:lineRule="auto"/>
        <w:ind w:left="709" w:right="709"/>
        <w:jc w:val="both"/>
        <w:rPr>
          <w:rFonts w:ascii="Verdana" w:hAnsi="Verdana" w:cs="Arial"/>
          <w:sz w:val="21"/>
          <w:szCs w:val="21"/>
        </w:rPr>
      </w:pPr>
    </w:p>
    <w:p w14:paraId="6BDF135C" w14:textId="77777777" w:rsidR="005F31FF" w:rsidRPr="004A5A11" w:rsidRDefault="005F31FF" w:rsidP="00B809EF">
      <w:pPr>
        <w:widowControl w:val="0"/>
        <w:autoSpaceDE w:val="0"/>
        <w:autoSpaceDN w:val="0"/>
        <w:spacing w:after="120" w:line="276" w:lineRule="auto"/>
        <w:ind w:left="709" w:right="709"/>
        <w:jc w:val="both"/>
        <w:rPr>
          <w:rFonts w:ascii="Verdana" w:hAnsi="Verdana" w:cs="Arial"/>
          <w:sz w:val="21"/>
          <w:szCs w:val="21"/>
        </w:rPr>
      </w:pPr>
      <w:r w:rsidRPr="004A5A11">
        <w:rPr>
          <w:rFonts w:ascii="Verdana" w:hAnsi="Verdana" w:cs="Arial"/>
          <w:sz w:val="21"/>
          <w:szCs w:val="21"/>
        </w:rPr>
        <w:t xml:space="preserve">“Su objeto está determinado por el desarrollo de actividades identificables e intangibles que impliquen el desempeño de un esfuerzo o actividad, tendiente a satisfacer necesidades de las entidades estatales en lo relacionado con la gestión administrativa o </w:t>
      </w:r>
      <w:r w:rsidRPr="004A5A11">
        <w:rPr>
          <w:rFonts w:ascii="Verdana" w:hAnsi="Verdana" w:cs="Arial"/>
          <w:sz w:val="21"/>
          <w:szCs w:val="21"/>
        </w:rPr>
        <w:lastRenderedPageBreak/>
        <w:t>funcionamiento que ellas requieran, bien sea acompañándolas, apoyándolas o soportándolas, con conocimientos especializados siempre y cuando dichos objetos estén encomendados a personas consideradas legalmente como profesionales. Se caracteriza por demandar un conocimiento intelectivo cualificado: el saber profesional”</w:t>
      </w:r>
      <w:r w:rsidRPr="004A5A11">
        <w:rPr>
          <w:rStyle w:val="Refdenotaalpie"/>
          <w:rFonts w:ascii="Verdana" w:hAnsi="Verdana" w:cs="Arial"/>
          <w:sz w:val="21"/>
          <w:szCs w:val="21"/>
        </w:rPr>
        <w:footnoteReference w:id="6"/>
      </w:r>
      <w:r w:rsidRPr="004A5A11">
        <w:rPr>
          <w:rFonts w:ascii="Verdana" w:hAnsi="Verdana" w:cs="Arial"/>
          <w:sz w:val="21"/>
          <w:szCs w:val="21"/>
        </w:rPr>
        <w:t>.</w:t>
      </w:r>
    </w:p>
    <w:p w14:paraId="67F6A8C1" w14:textId="77777777" w:rsidR="005F31FF" w:rsidRPr="004A5A11" w:rsidRDefault="005F31FF" w:rsidP="00B809EF">
      <w:pPr>
        <w:widowControl w:val="0"/>
        <w:autoSpaceDE w:val="0"/>
        <w:autoSpaceDN w:val="0"/>
        <w:spacing w:after="120" w:line="276" w:lineRule="auto"/>
        <w:ind w:left="709" w:right="709"/>
        <w:jc w:val="both"/>
        <w:rPr>
          <w:rFonts w:ascii="Verdana" w:hAnsi="Verdana" w:cs="Arial"/>
          <w:sz w:val="21"/>
          <w:szCs w:val="21"/>
        </w:rPr>
      </w:pPr>
    </w:p>
    <w:p w14:paraId="7CB4E986" w14:textId="77777777" w:rsidR="005F31FF" w:rsidRPr="004A5A11" w:rsidRDefault="005F31FF" w:rsidP="00B809EF">
      <w:pPr>
        <w:widowControl w:val="0"/>
        <w:autoSpaceDE w:val="0"/>
        <w:autoSpaceDN w:val="0"/>
        <w:spacing w:after="120" w:line="276" w:lineRule="auto"/>
        <w:ind w:left="709" w:right="709"/>
        <w:jc w:val="both"/>
        <w:rPr>
          <w:rFonts w:ascii="Verdana" w:hAnsi="Verdana" w:cs="Arial"/>
          <w:sz w:val="21"/>
          <w:szCs w:val="21"/>
        </w:rPr>
      </w:pPr>
      <w:r w:rsidRPr="004A5A11">
        <w:rPr>
          <w:rFonts w:ascii="Verdana" w:hAnsi="Verdana" w:cs="Arial"/>
          <w:sz w:val="21"/>
          <w:szCs w:val="21"/>
        </w:rPr>
        <w:t>Objeto que, según la sentencia que se cita, se diferencia del objeto del contrato de prestación de servicios de apoyo a la gestión, porque en este:</w:t>
      </w:r>
    </w:p>
    <w:p w14:paraId="28FA068B" w14:textId="77777777" w:rsidR="004A5A11" w:rsidRPr="004A5A11" w:rsidRDefault="004A5A11" w:rsidP="00B809EF">
      <w:pPr>
        <w:widowControl w:val="0"/>
        <w:autoSpaceDE w:val="0"/>
        <w:autoSpaceDN w:val="0"/>
        <w:spacing w:after="120" w:line="276" w:lineRule="auto"/>
        <w:ind w:left="709" w:right="709"/>
        <w:jc w:val="both"/>
        <w:rPr>
          <w:rFonts w:ascii="Verdana" w:hAnsi="Verdana" w:cs="Arial"/>
          <w:sz w:val="21"/>
          <w:szCs w:val="21"/>
        </w:rPr>
      </w:pPr>
      <w:r w:rsidRPr="004A5A11">
        <w:rPr>
          <w:rFonts w:ascii="Verdana" w:hAnsi="Verdana" w:cs="Arial"/>
          <w:sz w:val="21"/>
          <w:szCs w:val="21"/>
        </w:rPr>
        <w:t>Su objeto contractual participa de las características encaminadas a desarrollar actividades identificables e intangibles. Hay lugar a su celebración en aquellos casos en donde las necesidades de la Administración no demanden la presencia de personal profesional.</w:t>
      </w:r>
    </w:p>
    <w:p w14:paraId="1AD9B813" w14:textId="77777777" w:rsidR="004A5A11" w:rsidRPr="004A5A11" w:rsidRDefault="004A5A11" w:rsidP="00B809EF">
      <w:pPr>
        <w:widowControl w:val="0"/>
        <w:autoSpaceDE w:val="0"/>
        <w:autoSpaceDN w:val="0"/>
        <w:spacing w:after="120" w:line="276" w:lineRule="auto"/>
        <w:ind w:left="709" w:right="709"/>
        <w:jc w:val="both"/>
        <w:rPr>
          <w:rFonts w:ascii="Verdana" w:hAnsi="Verdana" w:cs="Arial"/>
          <w:sz w:val="21"/>
          <w:szCs w:val="21"/>
        </w:rPr>
      </w:pPr>
    </w:p>
    <w:p w14:paraId="2D775F82" w14:textId="77777777" w:rsidR="004A5A11" w:rsidRPr="004A5A11" w:rsidRDefault="004A5A11" w:rsidP="00B809EF">
      <w:pPr>
        <w:widowControl w:val="0"/>
        <w:autoSpaceDE w:val="0"/>
        <w:autoSpaceDN w:val="0"/>
        <w:spacing w:after="120" w:line="276" w:lineRule="auto"/>
        <w:ind w:left="709" w:right="709"/>
        <w:jc w:val="both"/>
        <w:rPr>
          <w:rFonts w:ascii="Verdana" w:hAnsi="Verdana" w:cs="Arial"/>
          <w:sz w:val="21"/>
          <w:szCs w:val="21"/>
        </w:rPr>
      </w:pPr>
      <w:r w:rsidRPr="004A5A11">
        <w:rPr>
          <w:rFonts w:ascii="Verdana" w:hAnsi="Verdana" w:cs="Arial"/>
          <w:sz w:val="21"/>
          <w:szCs w:val="21"/>
        </w:rPr>
        <w:t>Aunque también se caracteriza por el desempeño de actividad intelectiva, ésta se enmarca dentro de un saber propiamente técnico; igualmente involucra actividades en donde prima el esfuerzo físico o mecánico, en donde no se requiere de personal profesional.</w:t>
      </w:r>
    </w:p>
    <w:p w14:paraId="5797D751" w14:textId="77777777" w:rsidR="004A5A11" w:rsidRPr="004A5A11" w:rsidRDefault="004A5A11" w:rsidP="00B809EF">
      <w:pPr>
        <w:widowControl w:val="0"/>
        <w:autoSpaceDE w:val="0"/>
        <w:autoSpaceDN w:val="0"/>
        <w:spacing w:after="120" w:line="276" w:lineRule="auto"/>
        <w:ind w:left="709" w:right="709"/>
        <w:jc w:val="both"/>
        <w:rPr>
          <w:rFonts w:ascii="Verdana" w:hAnsi="Verdana" w:cs="Arial"/>
          <w:sz w:val="21"/>
          <w:szCs w:val="21"/>
        </w:rPr>
      </w:pPr>
    </w:p>
    <w:p w14:paraId="772C1723" w14:textId="77777777" w:rsidR="004A5A11" w:rsidRDefault="004A5A11" w:rsidP="00B809EF">
      <w:pPr>
        <w:widowControl w:val="0"/>
        <w:autoSpaceDE w:val="0"/>
        <w:autoSpaceDN w:val="0"/>
        <w:spacing w:after="120" w:line="276" w:lineRule="auto"/>
        <w:ind w:left="709" w:right="709"/>
        <w:jc w:val="both"/>
        <w:rPr>
          <w:rFonts w:ascii="Verdana" w:hAnsi="Verdana" w:cs="Arial"/>
          <w:sz w:val="21"/>
          <w:szCs w:val="21"/>
        </w:rPr>
      </w:pPr>
      <w:r w:rsidRPr="004A5A11">
        <w:rPr>
          <w:rFonts w:ascii="Verdana" w:hAnsi="Verdana" w:cs="Arial"/>
          <w:sz w:val="21"/>
          <w:szCs w:val="21"/>
        </w:rPr>
        <w:t>Dentro de su objeto contractual pueden tener lugar actividades operativas, logísticas o asistenciales, siempre que satisfaga los requisitos antes mencionados y sea acorde con las necesidades de la Administración y el principio de planeación”</w:t>
      </w:r>
      <w:r w:rsidRPr="004A5A11">
        <w:rPr>
          <w:rStyle w:val="Refdenotaalpie"/>
          <w:rFonts w:ascii="Verdana" w:hAnsi="Verdana" w:cs="Arial"/>
          <w:sz w:val="21"/>
          <w:szCs w:val="21"/>
        </w:rPr>
        <w:footnoteReference w:id="7"/>
      </w:r>
      <w:r w:rsidRPr="004A5A11">
        <w:rPr>
          <w:rFonts w:ascii="Verdana" w:hAnsi="Verdana" w:cs="Arial"/>
          <w:sz w:val="21"/>
          <w:szCs w:val="21"/>
        </w:rPr>
        <w:t>.</w:t>
      </w:r>
    </w:p>
    <w:p w14:paraId="0EA96183" w14:textId="77777777" w:rsidR="00042C93" w:rsidRDefault="00042C93" w:rsidP="00042C93">
      <w:pPr>
        <w:widowControl w:val="0"/>
        <w:autoSpaceDE w:val="0"/>
        <w:autoSpaceDN w:val="0"/>
        <w:spacing w:after="0" w:line="276" w:lineRule="auto"/>
        <w:ind w:left="709" w:right="709"/>
        <w:jc w:val="both"/>
        <w:rPr>
          <w:rFonts w:ascii="Verdana" w:hAnsi="Verdana" w:cs="Arial"/>
          <w:sz w:val="21"/>
          <w:szCs w:val="21"/>
        </w:rPr>
      </w:pPr>
    </w:p>
    <w:p w14:paraId="4EC8B7D5" w14:textId="77777777" w:rsidR="00B809EF" w:rsidRPr="00152466" w:rsidRDefault="00B809EF" w:rsidP="00B809EF">
      <w:pPr>
        <w:widowControl w:val="0"/>
        <w:autoSpaceDE w:val="0"/>
        <w:autoSpaceDN w:val="0"/>
        <w:spacing w:after="0" w:line="276" w:lineRule="auto"/>
        <w:ind w:firstLine="709"/>
        <w:jc w:val="both"/>
        <w:rPr>
          <w:rFonts w:ascii="Verdana" w:hAnsi="Verdana" w:cs="Arial"/>
        </w:rPr>
      </w:pPr>
      <w:r w:rsidRPr="00152466">
        <w:rPr>
          <w:rFonts w:ascii="Verdana" w:hAnsi="Verdana" w:cs="Arial"/>
        </w:rPr>
        <w:t>En relación con el contrato de prestación de servicios artísticos que solo pueden encomendarse a determinadas personas naturales, señala el mencionado fallo que:</w:t>
      </w:r>
    </w:p>
    <w:p w14:paraId="05414744" w14:textId="77777777" w:rsidR="00B809EF" w:rsidRPr="00152466" w:rsidRDefault="00B809EF" w:rsidP="00B809EF">
      <w:pPr>
        <w:widowControl w:val="0"/>
        <w:autoSpaceDE w:val="0"/>
        <w:autoSpaceDN w:val="0"/>
        <w:spacing w:after="0" w:line="276" w:lineRule="auto"/>
        <w:ind w:firstLine="709"/>
        <w:jc w:val="both"/>
        <w:rPr>
          <w:rFonts w:ascii="Verdana" w:hAnsi="Verdana" w:cs="Arial"/>
        </w:rPr>
      </w:pPr>
    </w:p>
    <w:p w14:paraId="3457A9DC" w14:textId="77777777" w:rsidR="00B809EF" w:rsidRPr="00B809EF" w:rsidRDefault="00B809EF" w:rsidP="00B809EF">
      <w:pPr>
        <w:widowControl w:val="0"/>
        <w:autoSpaceDE w:val="0"/>
        <w:autoSpaceDN w:val="0"/>
        <w:spacing w:after="120" w:line="276" w:lineRule="auto"/>
        <w:ind w:left="709" w:right="709"/>
        <w:jc w:val="both"/>
        <w:rPr>
          <w:rFonts w:ascii="Verdana" w:hAnsi="Verdana" w:cs="Arial"/>
          <w:sz w:val="21"/>
          <w:szCs w:val="21"/>
        </w:rPr>
      </w:pPr>
      <w:r w:rsidRPr="00B809EF">
        <w:rPr>
          <w:rFonts w:ascii="Verdana" w:hAnsi="Verdana" w:cs="Arial"/>
          <w:sz w:val="21"/>
          <w:szCs w:val="21"/>
        </w:rPr>
        <w:t xml:space="preserve">“Tienen lugar dentro de esta categoría los contratos de prestación de </w:t>
      </w:r>
      <w:r w:rsidRPr="00B809EF">
        <w:rPr>
          <w:rFonts w:ascii="Verdana" w:hAnsi="Verdana" w:cs="Arial"/>
          <w:sz w:val="21"/>
          <w:szCs w:val="21"/>
        </w:rPr>
        <w:lastRenderedPageBreak/>
        <w:t>servicios que tengan por objeto la ejecución de trabajos artísticos, esto es, trabajos que corresponden al conjunto de creaciones humanas que expresan una especial visión del mundo, tanto real como imaginaria, y que sólo pueda celebrarse con determinadas personas naturales, lo que implica que el contratista debe ser un artista, esto es, una persona reconocida como realizador o productor de arte o trabajos artísticos”</w:t>
      </w:r>
      <w:r w:rsidRPr="00B809EF">
        <w:rPr>
          <w:rStyle w:val="Refdenotaalpie"/>
          <w:rFonts w:ascii="Verdana" w:hAnsi="Verdana" w:cs="Arial"/>
          <w:sz w:val="21"/>
          <w:szCs w:val="21"/>
        </w:rPr>
        <w:footnoteReference w:id="8"/>
      </w:r>
      <w:r w:rsidRPr="00B809EF">
        <w:rPr>
          <w:rFonts w:ascii="Verdana" w:hAnsi="Verdana" w:cs="Arial"/>
          <w:sz w:val="21"/>
          <w:szCs w:val="21"/>
        </w:rPr>
        <w:t>.</w:t>
      </w:r>
    </w:p>
    <w:p w14:paraId="221C3291" w14:textId="77777777" w:rsidR="00B809EF" w:rsidRPr="00152466" w:rsidRDefault="00B809EF" w:rsidP="00B809EF">
      <w:pPr>
        <w:widowControl w:val="0"/>
        <w:autoSpaceDE w:val="0"/>
        <w:autoSpaceDN w:val="0"/>
        <w:spacing w:after="0" w:line="276" w:lineRule="auto"/>
        <w:ind w:left="709" w:right="709" w:firstLine="709"/>
        <w:jc w:val="both"/>
        <w:rPr>
          <w:rFonts w:ascii="Verdana" w:hAnsi="Verdana" w:cs="Arial"/>
        </w:rPr>
      </w:pPr>
    </w:p>
    <w:p w14:paraId="2ECCAFC1" w14:textId="77777777" w:rsidR="00B809EF" w:rsidRPr="00152466" w:rsidRDefault="00B809EF" w:rsidP="00042C93">
      <w:pPr>
        <w:widowControl w:val="0"/>
        <w:autoSpaceDE w:val="0"/>
        <w:autoSpaceDN w:val="0"/>
        <w:spacing w:after="120" w:line="276" w:lineRule="auto"/>
        <w:ind w:firstLine="709"/>
        <w:jc w:val="both"/>
        <w:rPr>
          <w:rFonts w:ascii="Verdana" w:hAnsi="Verdana" w:cs="Arial"/>
        </w:rPr>
      </w:pPr>
      <w:r w:rsidRPr="00152466">
        <w:rPr>
          <w:rFonts w:ascii="Verdana" w:hAnsi="Verdana" w:cs="Arial"/>
        </w:rPr>
        <w:t>vi) Su celebración debe realizarse a través de la modalidad de contratación directa, independientemente de la cuantía y del tipo de servicio, siempre que este no ingrese dentro del objeto del contrato de consultoría, pues, como lo indicó el Consejo de Estado en la sentencia de unificación jurisprudencial a la que se hizo referencia, si bien en ambos existe un componente intelectual intangible, el objeto del contrato de consultoría es especial y debe celebrarse, por regla general, precedido de un concurso de méritos</w:t>
      </w:r>
      <w:r w:rsidRPr="00152466">
        <w:rPr>
          <w:rStyle w:val="Refdenotaalpie"/>
          <w:rFonts w:ascii="Verdana" w:hAnsi="Verdana" w:cs="Arial"/>
        </w:rPr>
        <w:footnoteReference w:id="9"/>
      </w:r>
      <w:r w:rsidRPr="00152466">
        <w:rPr>
          <w:rFonts w:ascii="Verdana" w:hAnsi="Verdana" w:cs="Arial"/>
        </w:rPr>
        <w:t>. Pero, tampoco puede suscribirse un contrato de prestación de servicios profesionales para que el contratista ejecute labores que se enmarcan dentro de los otros contratos tipificados en el artículo 32 de la Ley 80 de 1993, como, por ejemplo, para que el contratista de prestación de servicios construya una obra.</w:t>
      </w:r>
    </w:p>
    <w:p w14:paraId="7D7F5919" w14:textId="77777777" w:rsidR="00B809EF" w:rsidRPr="00152466" w:rsidRDefault="00B809EF" w:rsidP="00042C93">
      <w:pPr>
        <w:widowControl w:val="0"/>
        <w:autoSpaceDE w:val="0"/>
        <w:autoSpaceDN w:val="0"/>
        <w:spacing w:after="120" w:line="276" w:lineRule="auto"/>
        <w:ind w:firstLine="709"/>
        <w:jc w:val="both"/>
        <w:rPr>
          <w:rFonts w:ascii="Verdana" w:hAnsi="Verdana" w:cs="Arial"/>
        </w:rPr>
      </w:pPr>
      <w:r w:rsidRPr="00152466">
        <w:rPr>
          <w:rFonts w:ascii="Verdana" w:hAnsi="Verdana" w:cs="Arial"/>
        </w:rPr>
        <w:t>vii) Para su celebración no se requiere en algunos casos la expedición del acto administrativo de justificación de la contratación directa</w:t>
      </w:r>
      <w:r w:rsidRPr="00152466">
        <w:rPr>
          <w:rStyle w:val="Refdenotaalpie"/>
          <w:rFonts w:ascii="Verdana" w:hAnsi="Verdana" w:cs="Arial"/>
        </w:rPr>
        <w:footnoteReference w:id="10"/>
      </w:r>
      <w:r w:rsidRPr="00152466">
        <w:rPr>
          <w:rFonts w:ascii="Verdana" w:hAnsi="Verdana" w:cs="Arial"/>
        </w:rPr>
        <w:t>.</w:t>
      </w:r>
    </w:p>
    <w:p w14:paraId="198A1A0E" w14:textId="77777777" w:rsidR="00B809EF" w:rsidRPr="00152466" w:rsidRDefault="00B809EF" w:rsidP="00B809EF">
      <w:pPr>
        <w:widowControl w:val="0"/>
        <w:autoSpaceDE w:val="0"/>
        <w:autoSpaceDN w:val="0"/>
        <w:spacing w:after="120" w:line="276" w:lineRule="auto"/>
        <w:ind w:firstLine="709"/>
        <w:jc w:val="both"/>
        <w:rPr>
          <w:rFonts w:ascii="Verdana" w:hAnsi="Verdana" w:cs="Arial"/>
        </w:rPr>
      </w:pPr>
      <w:r w:rsidRPr="00152466">
        <w:rPr>
          <w:rFonts w:ascii="Verdana" w:hAnsi="Verdana" w:cs="Arial"/>
        </w:rPr>
        <w:lastRenderedPageBreak/>
        <w:t>viii) Admiten el pacto de cláusulas excepcionales. Es decir, en los contratos de prestación de servicios se puede estipular las figuras jurídicas de caducidad, así como la modificación, interpretación o terminación unilaterales, como elementos accidentales, es decir, que para que puedan ejercerse dichas exorbitancias, han debido quedar incluidas expresamente en el contrato, ya que no se entienden pactadas por naturaleza. Así se infiere del artículo 14, numeral 2º, de la Ley 80 de 1993</w:t>
      </w:r>
      <w:r w:rsidRPr="00152466">
        <w:rPr>
          <w:rStyle w:val="Refdenotaalpie"/>
          <w:rFonts w:ascii="Verdana" w:hAnsi="Verdana" w:cs="Arial"/>
        </w:rPr>
        <w:footnoteReference w:id="11"/>
      </w:r>
      <w:r w:rsidRPr="00152466">
        <w:rPr>
          <w:rFonts w:ascii="Verdana" w:hAnsi="Verdana" w:cs="Arial"/>
        </w:rPr>
        <w:t>.</w:t>
      </w:r>
    </w:p>
    <w:p w14:paraId="62165C3B" w14:textId="77777777" w:rsidR="00B809EF" w:rsidRPr="00152466" w:rsidRDefault="00B809EF" w:rsidP="00B809EF">
      <w:pPr>
        <w:widowControl w:val="0"/>
        <w:autoSpaceDE w:val="0"/>
        <w:autoSpaceDN w:val="0"/>
        <w:spacing w:after="120" w:line="276" w:lineRule="auto"/>
        <w:ind w:firstLine="709"/>
        <w:jc w:val="both"/>
        <w:rPr>
          <w:rFonts w:ascii="Verdana" w:hAnsi="Verdana" w:cs="Arial"/>
        </w:rPr>
      </w:pPr>
      <w:r w:rsidRPr="00152466">
        <w:rPr>
          <w:rFonts w:ascii="Verdana" w:hAnsi="Verdana" w:cs="Arial"/>
        </w:rPr>
        <w:t>ix) En algunos casos no es obligatoria la liquidación, pues así lo estableció el artículo 217 del Decreto 019 de 2012, que modificó el artículo 60 de la Ley 80 de 1993</w:t>
      </w:r>
      <w:r w:rsidRPr="00152466">
        <w:rPr>
          <w:rStyle w:val="Refdenotaalpie"/>
          <w:rFonts w:ascii="Verdana" w:hAnsi="Verdana" w:cs="Arial"/>
        </w:rPr>
        <w:footnoteReference w:id="12"/>
      </w:r>
      <w:r w:rsidRPr="00152466">
        <w:rPr>
          <w:rFonts w:ascii="Verdana" w:hAnsi="Verdana" w:cs="Arial"/>
        </w:rPr>
        <w:t>, refiriéndose a los contratos de prestación de servicios profesionales y de apoyo a la gestión.</w:t>
      </w:r>
    </w:p>
    <w:p w14:paraId="0EDD38C6" w14:textId="77777777" w:rsidR="00B809EF" w:rsidRPr="00152466" w:rsidRDefault="00B809EF" w:rsidP="00B809EF">
      <w:pPr>
        <w:widowControl w:val="0"/>
        <w:autoSpaceDE w:val="0"/>
        <w:autoSpaceDN w:val="0"/>
        <w:spacing w:after="120" w:line="276" w:lineRule="auto"/>
        <w:ind w:firstLine="709"/>
        <w:jc w:val="both"/>
        <w:rPr>
          <w:rFonts w:ascii="Verdana" w:hAnsi="Verdana" w:cs="Arial"/>
        </w:rPr>
      </w:pPr>
      <w:r w:rsidRPr="00152466">
        <w:rPr>
          <w:rFonts w:ascii="Verdana" w:hAnsi="Verdana" w:cs="Arial"/>
        </w:rPr>
        <w:t>x) Para su celebración no se requiere inscripción en el Registro Único de Proponentes (RUP), según lo prevé el artículo 6 de la Ley 1150 de 2007</w:t>
      </w:r>
      <w:r w:rsidRPr="00152466">
        <w:rPr>
          <w:rStyle w:val="Refdenotaalpie"/>
          <w:rFonts w:ascii="Verdana" w:hAnsi="Verdana" w:cs="Arial"/>
        </w:rPr>
        <w:footnoteReference w:id="13"/>
      </w:r>
      <w:r w:rsidRPr="00152466">
        <w:rPr>
          <w:rFonts w:ascii="Verdana" w:hAnsi="Verdana" w:cs="Arial"/>
        </w:rPr>
        <w:t>.</w:t>
      </w:r>
    </w:p>
    <w:p w14:paraId="57D7C8A3" w14:textId="77777777" w:rsidR="00B809EF" w:rsidRPr="00152466" w:rsidRDefault="00B809EF" w:rsidP="00B809EF">
      <w:pPr>
        <w:widowControl w:val="0"/>
        <w:autoSpaceDE w:val="0"/>
        <w:autoSpaceDN w:val="0"/>
        <w:spacing w:after="120" w:line="276" w:lineRule="auto"/>
        <w:ind w:firstLine="709"/>
        <w:jc w:val="both"/>
        <w:rPr>
          <w:rFonts w:ascii="Verdana" w:hAnsi="Verdana" w:cs="Arial"/>
        </w:rPr>
      </w:pPr>
      <w:r w:rsidRPr="00152466">
        <w:rPr>
          <w:rFonts w:ascii="Verdana" w:hAnsi="Verdana" w:cs="Arial"/>
        </w:rPr>
        <w:lastRenderedPageBreak/>
        <w:t>xi) En ellos no son necesarias las garantías</w:t>
      </w:r>
      <w:r w:rsidRPr="00152466">
        <w:rPr>
          <w:rStyle w:val="Refdenotaalpie"/>
          <w:rFonts w:ascii="Verdana" w:hAnsi="Verdana" w:cs="Arial"/>
        </w:rPr>
        <w:footnoteReference w:id="14"/>
      </w:r>
      <w:r w:rsidRPr="00152466">
        <w:rPr>
          <w:rFonts w:ascii="Verdana" w:hAnsi="Verdana" w:cs="Arial"/>
        </w:rPr>
        <w:t>.</w:t>
      </w:r>
    </w:p>
    <w:p w14:paraId="0C3904B6" w14:textId="77777777" w:rsidR="00B809EF" w:rsidRPr="00152466" w:rsidRDefault="00B809EF" w:rsidP="00B809EF">
      <w:pPr>
        <w:widowControl w:val="0"/>
        <w:autoSpaceDE w:val="0"/>
        <w:autoSpaceDN w:val="0"/>
        <w:spacing w:after="120" w:line="276" w:lineRule="auto"/>
        <w:ind w:firstLine="709"/>
        <w:jc w:val="both"/>
        <w:rPr>
          <w:rFonts w:ascii="Verdana" w:hAnsi="Verdana" w:cs="Arial"/>
          <w:bCs/>
          <w:color w:val="000000" w:themeColor="text1"/>
        </w:rPr>
      </w:pPr>
      <w:r w:rsidRPr="00152466">
        <w:rPr>
          <w:rFonts w:ascii="Verdana" w:hAnsi="Verdana" w:cs="Arial"/>
        </w:rPr>
        <w:t xml:space="preserve">De lo expuesto, se evidencia que el marco de los contratos de prestación de servicios es posible suscribir tres tipos de negocios jurídicos, estos son: i) los contratos de prestación de servicios profesionales; ii) los contratos de prestación de servicios de apoyo a la gestión; y iii) y los contratos de prestación de servicios artísticos que solo pueden encomendarse a determinadas personas naturales. En ese orden y de cara al primer interrogante de la consulta, se observa que en materia de contratación pública es jurídicamente viable sus suscribir contratos de prestación de servicios sin exigir una formación profesional para desempeñar una labor. </w:t>
      </w:r>
    </w:p>
    <w:p w14:paraId="02767863" w14:textId="77777777" w:rsidR="00B809EF" w:rsidRPr="00152466" w:rsidRDefault="00B809EF" w:rsidP="00B809EF">
      <w:pPr>
        <w:widowControl w:val="0"/>
        <w:autoSpaceDE w:val="0"/>
        <w:autoSpaceDN w:val="0"/>
        <w:spacing w:after="120" w:line="276" w:lineRule="auto"/>
        <w:ind w:firstLine="709"/>
        <w:jc w:val="both"/>
        <w:rPr>
          <w:rFonts w:ascii="Verdana" w:hAnsi="Verdana" w:cs="Arial"/>
          <w:bCs/>
          <w:color w:val="000000" w:themeColor="text1"/>
        </w:rPr>
      </w:pPr>
      <w:r w:rsidRPr="00152466">
        <w:rPr>
          <w:rFonts w:ascii="Verdana" w:hAnsi="Verdana" w:cs="Arial"/>
          <w:bCs/>
          <w:color w:val="000000" w:themeColor="text1"/>
        </w:rPr>
        <w:t xml:space="preserve">De acuerdo con lo anterior, y en </w:t>
      </w:r>
      <w:r w:rsidRPr="00152466">
        <w:rPr>
          <w:rFonts w:ascii="Verdana" w:eastAsia="Century Gothic" w:hAnsi="Verdana" w:cs="Century Gothic"/>
        </w:rPr>
        <w:t>atención a dar respuesta al segundo interrogante de la consulta, resulta importante hacer algunas precisiones sobre la idoneidad, supuesto indispensable para tener en cuenta por parte de las Entidades al momento de suscribir contratos, incluidos los contratos de prestación de servicios, en cualquiera de sus especies. Así las cosas, debe indicarse en primer lugar que esta hace referencia a la condición o cualidad que debe acreditar una persona ya sea natural o jurídica, a las Entidades con las que se va a celebrar el contrato y/o convenio, a fin de verificar si cuenta con la capacidad para ejecutar el objeto del contrato y con ello garantizar que se pueda cumplir a cabalidad con las obligaciones acordadas</w:t>
      </w:r>
      <w:r w:rsidRPr="00152466">
        <w:rPr>
          <w:rFonts w:ascii="Verdana" w:eastAsia="Century Gothic" w:hAnsi="Verdana" w:cs="Century Gothic"/>
          <w:vertAlign w:val="superscript"/>
        </w:rPr>
        <w:footnoteReference w:id="15"/>
      </w:r>
      <w:r w:rsidRPr="00152466">
        <w:rPr>
          <w:rFonts w:ascii="Verdana" w:eastAsia="Century Gothic" w:hAnsi="Verdana" w:cs="Century Gothic"/>
        </w:rPr>
        <w:t xml:space="preserve">. </w:t>
      </w:r>
    </w:p>
    <w:p w14:paraId="15F51F45" w14:textId="77777777" w:rsidR="00B809EF" w:rsidRPr="00152466" w:rsidRDefault="00B809EF" w:rsidP="00B809EF">
      <w:pPr>
        <w:spacing w:after="120" w:line="276" w:lineRule="auto"/>
        <w:ind w:firstLine="709"/>
        <w:jc w:val="both"/>
        <w:rPr>
          <w:rFonts w:ascii="Verdana" w:eastAsia="Calibri" w:hAnsi="Verdana" w:cs="Arial"/>
          <w:bCs/>
          <w:color w:val="000000" w:themeColor="text1"/>
          <w:lang w:val="es-ES_tradnl"/>
        </w:rPr>
      </w:pPr>
      <w:r w:rsidRPr="00152466">
        <w:rPr>
          <w:rFonts w:ascii="Verdana" w:hAnsi="Verdana" w:cs="Arial"/>
          <w:bCs/>
          <w:color w:val="000000" w:themeColor="text1"/>
        </w:rPr>
        <w:t xml:space="preserve"> En ese orden, </w:t>
      </w:r>
      <w:r w:rsidRPr="00152466">
        <w:rPr>
          <w:rFonts w:ascii="Verdana" w:eastAsia="Calibri" w:hAnsi="Verdana" w:cs="Arial"/>
          <w:bCs/>
          <w:color w:val="000000" w:themeColor="text1"/>
          <w:lang w:val="es-ES_tradnl"/>
        </w:rPr>
        <w:t xml:space="preserve">se trata de un requisito plasmado en un </w:t>
      </w:r>
      <w:r w:rsidRPr="00152466">
        <w:rPr>
          <w:rFonts w:ascii="Verdana" w:eastAsia="Calibri" w:hAnsi="Verdana" w:cs="Arial"/>
          <w:bCs/>
          <w:i/>
          <w:iCs/>
          <w:color w:val="000000" w:themeColor="text1"/>
          <w:lang w:val="es-ES_tradnl"/>
        </w:rPr>
        <w:t>concepto jurídicamente indeterminado</w:t>
      </w:r>
      <w:r w:rsidRPr="00152466">
        <w:rPr>
          <w:rFonts w:ascii="Verdana" w:eastAsia="Calibri" w:hAnsi="Verdana" w:cs="Arial"/>
          <w:bCs/>
          <w:color w:val="000000" w:themeColor="text1"/>
          <w:lang w:val="es-ES_tradnl"/>
        </w:rPr>
        <w:t xml:space="preserve"> que es necesario dotar de contenido en cada caso concreto. Conforme al diccionario de la RAE, lo “idóneo” se refiere a que es “Adecuado y apropiado para algo”, lo que indica una serie de aptitudes para cumplir un fin determinado. Esto se confirma en el diccionario panhispánico del español jurídico, donde la RAE alude a la “</w:t>
      </w:r>
      <w:r w:rsidRPr="00152466">
        <w:rPr>
          <w:rFonts w:ascii="Verdana" w:eastAsia="Calibri" w:hAnsi="Verdana" w:cs="Arial"/>
          <w:bCs/>
          <w:i/>
          <w:iCs/>
          <w:color w:val="000000" w:themeColor="text1"/>
          <w:lang w:val="es-ES_tradnl"/>
        </w:rPr>
        <w:t>Cualidad personal necesaria para la prestación de un servicio concreto o la asunción de un cargo</w:t>
      </w:r>
      <w:r w:rsidRPr="00152466">
        <w:rPr>
          <w:rFonts w:ascii="Verdana" w:eastAsia="Calibri" w:hAnsi="Verdana" w:cs="Arial"/>
          <w:bCs/>
          <w:color w:val="000000" w:themeColor="text1"/>
          <w:lang w:val="es-ES_tradnl"/>
        </w:rPr>
        <w:t xml:space="preserve">”. Este requisito también se exige, como previamente se indicó, para la celebración de contratos de prestación de servicios profesionales y de apoyo a la gestión –art. </w:t>
      </w:r>
      <w:r w:rsidRPr="00152466">
        <w:rPr>
          <w:rFonts w:ascii="Verdana" w:eastAsia="Calibri" w:hAnsi="Verdana" w:cs="Arial"/>
          <w:bCs/>
          <w:color w:val="000000" w:themeColor="text1"/>
          <w:lang w:val="es-ES_tradnl"/>
        </w:rPr>
        <w:lastRenderedPageBreak/>
        <w:t>2.2.1.2.1.4.9 del Decreto 1082 de 2015– y para suscribir contratos del artículo 355 superior con entidades privadas sin ánimo de lucro –art. 3 del Decreto 092 de 2017–.</w:t>
      </w:r>
    </w:p>
    <w:p w14:paraId="77BD6179" w14:textId="77777777" w:rsidR="00B809EF" w:rsidRPr="00152466" w:rsidRDefault="00B809EF" w:rsidP="00B809EF">
      <w:pPr>
        <w:spacing w:after="120" w:line="276" w:lineRule="auto"/>
        <w:ind w:firstLine="709"/>
        <w:jc w:val="both"/>
        <w:rPr>
          <w:rFonts w:ascii="Verdana" w:eastAsia="Calibri" w:hAnsi="Verdana" w:cs="Arial"/>
          <w:color w:val="000000" w:themeColor="text1"/>
          <w:lang w:val="es-ES"/>
        </w:rPr>
      </w:pPr>
      <w:r w:rsidRPr="225E36DA">
        <w:rPr>
          <w:rFonts w:ascii="Verdana" w:eastAsia="Calibri" w:hAnsi="Verdana" w:cs="Arial"/>
          <w:color w:val="000000" w:themeColor="text1"/>
          <w:lang w:val="es-ES"/>
        </w:rPr>
        <w:t xml:space="preserve">Dicha idoneidad, como mínimo, se precisa en términos de conocimiento y de experiencia, es decir, en la combinación entre el “saber” y el “saber hacer”. Estas capacidades se analizan en relación con el objeto del contrato, de donde se deprenden aptitudes teóricas y prácticas para ejecutar el proyecto. Además de lo anterior, puede verificarse con criterios como las capacidades del personal vinculado, una estructura organizacional robusta, la implementación y cumplimiento de indicadores de gestión, reputación del organismo en el medio, entre otras. </w:t>
      </w:r>
      <w:r w:rsidRPr="225E36DA">
        <w:rPr>
          <w:rFonts w:ascii="Verdana" w:eastAsia="Calibri" w:hAnsi="Verdana" w:cs="Arial"/>
          <w:i/>
          <w:color w:val="000000" w:themeColor="text1"/>
          <w:lang w:val="es-ES"/>
        </w:rPr>
        <w:t>Como se observa, la idoneidad es un concepto que se determina de forma valorativa, esto es, de acuerdo con el parámetro de verificación que se adopte.</w:t>
      </w:r>
      <w:r w:rsidRPr="225E36DA">
        <w:rPr>
          <w:rFonts w:ascii="Verdana" w:eastAsia="Calibri" w:hAnsi="Verdana" w:cs="Arial"/>
          <w:color w:val="000000" w:themeColor="text1"/>
          <w:lang w:val="es-ES"/>
        </w:rPr>
        <w:t xml:space="preserve"> </w:t>
      </w:r>
    </w:p>
    <w:p w14:paraId="375153C5" w14:textId="77777777" w:rsidR="00B809EF" w:rsidRPr="00152466" w:rsidRDefault="00B809EF" w:rsidP="00B809EF">
      <w:pPr>
        <w:spacing w:after="120" w:line="276" w:lineRule="auto"/>
        <w:ind w:firstLine="709"/>
        <w:jc w:val="both"/>
        <w:rPr>
          <w:rFonts w:ascii="Verdana" w:eastAsia="Calibri" w:hAnsi="Verdana" w:cs="Arial"/>
          <w:bCs/>
          <w:color w:val="000000" w:themeColor="text1"/>
          <w:lang w:val="es-ES_tradnl"/>
        </w:rPr>
      </w:pPr>
      <w:r w:rsidRPr="00152466">
        <w:rPr>
          <w:rFonts w:ascii="Verdana" w:eastAsia="Calibri" w:hAnsi="Verdana" w:cs="Arial"/>
          <w:bCs/>
          <w:color w:val="000000" w:themeColor="text1"/>
          <w:lang w:val="es-ES_tradnl"/>
        </w:rPr>
        <w:t xml:space="preserve">Ahora bien, la contratación de perfiles con saberes empíricos, comunitarios, ancestrales y lingüísticos conlleva a que las Entidades Estatales puedan establecer la idoneidad en términos de apropiación de los saberes ancestrales y los beneficios de su implementación en el proyecto, así la Administración podría validarla respecto a las capacidades propias de los pueblos y comunidades o de quienes los conformen, en aspectos como, por ejemplo, la ejecución exitosa de convenios o contratos anteriores con objeto similar o la acreditación de competencias específicas del personal que integren al cumplimiento de obligaciones. </w:t>
      </w:r>
    </w:p>
    <w:p w14:paraId="46078D4C" w14:textId="77777777" w:rsidR="00B809EF" w:rsidRPr="00152466" w:rsidRDefault="00B809EF" w:rsidP="00B809EF">
      <w:pPr>
        <w:spacing w:after="120" w:line="276" w:lineRule="auto"/>
        <w:ind w:firstLine="709"/>
        <w:jc w:val="both"/>
        <w:rPr>
          <w:rFonts w:ascii="Verdana" w:eastAsia="Calibri" w:hAnsi="Verdana" w:cs="Arial"/>
          <w:bCs/>
          <w:color w:val="000000" w:themeColor="text1"/>
        </w:rPr>
      </w:pPr>
      <w:r w:rsidRPr="00152466">
        <w:rPr>
          <w:rFonts w:ascii="Verdana" w:eastAsia="Calibri" w:hAnsi="Verdana" w:cs="Arial"/>
          <w:bCs/>
          <w:color w:val="000000" w:themeColor="text1"/>
        </w:rPr>
        <w:t xml:space="preserve">En conclusión, las Entidades Estatales tienen la obligación de verificar la idoneidad requerida para cumplir con el objeto del contrato, para lo cual resulta valido tener en cuenta </w:t>
      </w:r>
      <w:r w:rsidRPr="00152466">
        <w:rPr>
          <w:rFonts w:ascii="Verdana" w:eastAsia="Calibri" w:hAnsi="Verdana" w:cs="Arial"/>
          <w:bCs/>
          <w:color w:val="000000" w:themeColor="text1"/>
          <w:lang w:val="es-ES_tradnl"/>
        </w:rPr>
        <w:t xml:space="preserve">saberes empíricos, comunitarios, ancestrales y lingüísticos. </w:t>
      </w:r>
      <w:r w:rsidRPr="00152466">
        <w:rPr>
          <w:rFonts w:ascii="Verdana" w:eastAsia="Calibri" w:hAnsi="Verdana" w:cs="Arial"/>
          <w:bCs/>
          <w:color w:val="000000" w:themeColor="text1"/>
        </w:rPr>
        <w:t xml:space="preserve">Este supuesto, como se explicó en precedencia, será determinado y verificado por las Entidades Estatales </w:t>
      </w:r>
      <w:r w:rsidRPr="00152466">
        <w:rPr>
          <w:rFonts w:ascii="Verdana" w:hAnsi="Verdana" w:cs="Arial"/>
          <w:color w:val="000000" w:themeColor="text1"/>
        </w:rPr>
        <w:t>de acuerdo con las características, el alcance del objeto del contrato y el perfil establecido en los documentos precontractuales.</w:t>
      </w:r>
      <w:r w:rsidRPr="00152466">
        <w:rPr>
          <w:rFonts w:ascii="Verdana" w:hAnsi="Verdana" w:cs="Arial"/>
        </w:rPr>
        <w:t xml:space="preserve"> Sobre esta medida, si bien no existe una disposición en materia de contratación pública en la que se establezca de manera detallada la verificación que debe hacer cada entidad, si existen algunas disposiciones que brindan lineamientos de cómo computar la experiencia o establecer equivalencias, estos, generalmente se encuentran establecidos en resoluciones internas mediante las cuales se adoptan tablas de honorarios y se establecen </w:t>
      </w:r>
      <w:r w:rsidRPr="00152466">
        <w:rPr>
          <w:rFonts w:ascii="Verdana" w:hAnsi="Verdana" w:cs="Arial"/>
        </w:rPr>
        <w:lastRenderedPageBreak/>
        <w:t>requisitos mínimos de formación y experiencia que son de obligatoria observancia por cada entidad al momento de realizar la verificación.</w:t>
      </w:r>
    </w:p>
    <w:p w14:paraId="2AC4898F" w14:textId="77777777" w:rsidR="00B809EF" w:rsidRDefault="00B809EF" w:rsidP="00B809EF">
      <w:pPr>
        <w:spacing w:after="120" w:line="276" w:lineRule="auto"/>
        <w:ind w:firstLine="709"/>
        <w:jc w:val="both"/>
        <w:rPr>
          <w:rFonts w:ascii="Verdana" w:eastAsia="Calibri" w:hAnsi="Verdana" w:cs="Arial"/>
          <w:bCs/>
          <w:color w:val="000000" w:themeColor="text1"/>
          <w:lang w:val="es-ES_tradnl"/>
        </w:rPr>
      </w:pPr>
      <w:r w:rsidRPr="00152466">
        <w:rPr>
          <w:rFonts w:ascii="Verdana" w:eastAsia="Calibri" w:hAnsi="Verdana" w:cs="Arial"/>
          <w:bCs/>
          <w:color w:val="000000" w:themeColor="text1"/>
          <w:lang w:val="es-ES_tradnl"/>
        </w:rPr>
        <w:t>Dado que la Agencia carece de atribuciones para hacer un juicio de validez sobre de los requisitos de idoneidad, la entidad no puede definir un criterio universal y absoluto por vía consultiva sobre el objeto de la petición, sino que brinda elementos hermenéuticos de carácter general para que los partícipes del sistema de compras y contratación pública adopten la decisión que corresponda, lo cual es acorde con el principio de juridicidad. Por lo anterior, previo concepto de sus órganos asesores, la solución de estos temas corresponde a la entidad de adoptar la decisión correspondiente y, en caso de conflicto, a las autoridades judiciales, fiscales y disciplinarias. De esta manera, corresponderá a cada contratante definir la viabilidad técnica, jurídica y financiera de alguna gestión contractual en específico, sin que sea atribución de la Agencia Nacional de Contratación Pública – Colombia Compra Eficiente validar las actuaciones adelantadas.</w:t>
      </w:r>
    </w:p>
    <w:p w14:paraId="79A1833D" w14:textId="77777777" w:rsidR="00EE3B2D" w:rsidRPr="0059266F" w:rsidRDefault="00EE3B2D" w:rsidP="00EE3B2D">
      <w:pPr>
        <w:spacing w:after="120" w:line="276" w:lineRule="auto"/>
        <w:ind w:firstLine="708"/>
        <w:jc w:val="both"/>
        <w:rPr>
          <w:rFonts w:ascii="Verdana" w:eastAsia="Calibri" w:hAnsi="Verdana" w:cs="Arial"/>
        </w:rPr>
      </w:pPr>
      <w:r>
        <w:rPr>
          <w:rFonts w:ascii="Verdana" w:hAnsi="Verdana"/>
          <w:lang w:eastAsia="es-MX"/>
        </w:rPr>
        <w:t xml:space="preserve">Así las cosas, y con el propósito de responder el objeto de consulta, esta modalidad de contratación </w:t>
      </w:r>
      <w:r w:rsidRPr="0059266F">
        <w:rPr>
          <w:rFonts w:ascii="Verdana" w:hAnsi="Verdana"/>
          <w:lang w:eastAsia="es-MX"/>
        </w:rPr>
        <w:t xml:space="preserve">se efectúa mediante la modalidad de </w:t>
      </w:r>
      <w:r>
        <w:rPr>
          <w:rFonts w:ascii="Verdana" w:hAnsi="Verdana"/>
          <w:lang w:eastAsia="es-MX"/>
        </w:rPr>
        <w:t xml:space="preserve">forma </w:t>
      </w:r>
      <w:r w:rsidRPr="0059266F">
        <w:rPr>
          <w:rFonts w:ascii="Verdana" w:hAnsi="Verdana"/>
          <w:lang w:eastAsia="es-MX"/>
        </w:rPr>
        <w:t xml:space="preserve">directa, conforme al literal h) del numeral 4 del artículo 2 de la Ley 1150 de 2007. A diferencia de los procesos competitivos donde se evalúan requisitos habilitantes y se otorgan puntajes, en la contratación directa la Entidad Estatal debe verificar la idoneidad y la capacidad del contratista. En efecto, el artículo 2.2.1.2.1.4.9. del Decreto 1082 de 2015 establece que las Entidades Estatales pueden contratar bajo esta modalidad con la persona natural o jurídica que esté en capacidad de ejecutar el objeto del contrato, siempre y cuando verifiquen la idoneidad o experiencia requerida y relacionada con el área de que se trate. </w:t>
      </w:r>
      <w:r>
        <w:rPr>
          <w:rFonts w:ascii="Verdana" w:hAnsi="Verdana"/>
          <w:lang w:eastAsia="es-MX"/>
        </w:rPr>
        <w:t xml:space="preserve">Para verificar dicha idoneidad, las entidades estatales deberán fijar, en los documentos del proceso, como los estudios previos, los medios a través de los cuales el contratista debe acreditar dicha idoneidad. </w:t>
      </w:r>
    </w:p>
    <w:p w14:paraId="4434A256" w14:textId="0AE8E484" w:rsidR="00EE3B2D" w:rsidRDefault="00EE3B2D" w:rsidP="00EE3B2D">
      <w:pPr>
        <w:spacing w:after="120" w:line="276" w:lineRule="auto"/>
        <w:jc w:val="both"/>
        <w:rPr>
          <w:rFonts w:ascii="Verdana" w:hAnsi="Verdana"/>
          <w:lang w:eastAsia="es-MX"/>
        </w:rPr>
      </w:pPr>
      <w:r>
        <w:rPr>
          <w:rFonts w:ascii="Verdana" w:hAnsi="Verdana"/>
          <w:lang w:eastAsia="es-MX"/>
        </w:rPr>
        <w:t xml:space="preserve">       </w:t>
      </w:r>
      <w:r w:rsidRPr="0059266F">
        <w:rPr>
          <w:rFonts w:ascii="Verdana" w:hAnsi="Verdana"/>
          <w:lang w:eastAsia="es-MX"/>
        </w:rPr>
        <w:t xml:space="preserve">Siguiendo los lineamientos de la </w:t>
      </w:r>
      <w:r w:rsidRPr="0059266F">
        <w:rPr>
          <w:rFonts w:ascii="Verdana" w:hAnsi="Verdana"/>
          <w:i/>
          <w:lang w:eastAsia="es-MX"/>
        </w:rPr>
        <w:t xml:space="preserve">Guía para la </w:t>
      </w:r>
      <w:r>
        <w:rPr>
          <w:rFonts w:ascii="Verdana" w:hAnsi="Verdana"/>
          <w:i/>
          <w:iCs/>
          <w:lang w:eastAsia="es-MX"/>
        </w:rPr>
        <w:t>Incorporación de Lineamientos de Integridad en la Contratación de prestación de Servicios</w:t>
      </w:r>
      <w:r w:rsidRPr="0059266F">
        <w:rPr>
          <w:rFonts w:ascii="Verdana" w:hAnsi="Verdana"/>
          <w:lang w:eastAsia="es-MX"/>
        </w:rPr>
        <w:t>,</w:t>
      </w:r>
      <w:r>
        <w:rPr>
          <w:rFonts w:ascii="Verdana" w:hAnsi="Verdana"/>
          <w:lang w:eastAsia="es-MX"/>
        </w:rPr>
        <w:t xml:space="preserve"> expedida por la Agencia de Contratación Pública – Colombia Compra Eficiente, en su Anexo 3, relaciona algunos de los documentos necesarios para suscribir contratos de prestación de servicios con personas naturales. Por ejemplo, t</w:t>
      </w:r>
      <w:r w:rsidRPr="0059266F">
        <w:rPr>
          <w:rFonts w:ascii="Verdana" w:hAnsi="Verdana"/>
          <w:lang w:eastAsia="es-MX"/>
        </w:rPr>
        <w:t xml:space="preserve">ratándose de personas jurídicas, la Entidad Estatal debe verificar la capacidad jurídica mediante el Certificado de Existencia y Representación Legal, constatando que </w:t>
      </w:r>
      <w:r w:rsidRPr="0059266F">
        <w:rPr>
          <w:rFonts w:ascii="Verdana" w:hAnsi="Verdana"/>
          <w:lang w:eastAsia="es-MX"/>
        </w:rPr>
        <w:lastRenderedPageBreak/>
        <w:t>la sociedad esté debidamente constituida, que su vigencia cubra el plazo del contrato y que su objeto social contemple las actividades a contratar. De igual forma, la idoneidad y experiencia se acreditan mediante los documentos que la Entidad considere pertinentes para demostrar la trayectoria en el área requerida, siendo los soportes idóneos las certificaciones de contratos anteriores, copias de contratos ejecutados junto con sus actas de liquidación o recibos a satisfacción.</w:t>
      </w:r>
    </w:p>
    <w:p w14:paraId="32449BBA" w14:textId="77777777" w:rsidR="00EE3B2D" w:rsidRPr="004644D6" w:rsidRDefault="00EE3B2D" w:rsidP="00EE3B2D">
      <w:pPr>
        <w:spacing w:after="120" w:line="276" w:lineRule="auto"/>
        <w:jc w:val="both"/>
        <w:rPr>
          <w:rFonts w:ascii="Verdana" w:hAnsi="Verdana"/>
          <w:lang w:eastAsia="es-MX"/>
        </w:rPr>
      </w:pPr>
      <w:r w:rsidRPr="004644D6">
        <w:rPr>
          <w:rFonts w:ascii="Verdana" w:hAnsi="Verdana"/>
          <w:lang w:eastAsia="es-MX"/>
        </w:rPr>
        <w:t xml:space="preserve">         Por otra parte, frente a los requisitos formales, la </w:t>
      </w:r>
      <w:r w:rsidRPr="004644D6">
        <w:rPr>
          <w:rFonts w:ascii="Verdana" w:hAnsi="Verdana"/>
          <w:i/>
          <w:lang w:eastAsia="es-MX"/>
        </w:rPr>
        <w:t>Guía</w:t>
      </w:r>
      <w:r w:rsidRPr="004644D6">
        <w:rPr>
          <w:rFonts w:ascii="Verdana" w:hAnsi="Verdana"/>
          <w:lang w:eastAsia="es-MX"/>
        </w:rPr>
        <w:t xml:space="preserve"> recuerda que una de las características de los contratos de prestación de servicios es el cumplimiento del artículo 1 de la Ley 190 de 1995. Esta norma establece que todo aspirante a celebrar un contrato de prestación de servicios con la administración debe presentar el Formato Único de Hoja de Vida. Aunque el contrato se celebre con una persona jurídica, la obligación se mantiene vigente y se materializa a través del formato específico reglamentado por el Departamento Administrativo de la Función Pública (DAFP) en la Resolución 580 de 1999, el cual debe ser diligenciado en el momento de la celebración del contrato, constituyéndose en un requisito de ley obligatorio para el perfeccionamiento de esta tipología contractual.</w:t>
      </w:r>
    </w:p>
    <w:p w14:paraId="0D170A49" w14:textId="77777777" w:rsidR="00EE3B2D" w:rsidRDefault="00EE3B2D" w:rsidP="00EE3B2D">
      <w:pPr>
        <w:spacing w:after="120" w:line="276" w:lineRule="auto"/>
        <w:jc w:val="both"/>
        <w:rPr>
          <w:rFonts w:ascii="Verdana" w:hAnsi="Verdana"/>
          <w:lang w:eastAsia="es-MX"/>
        </w:rPr>
      </w:pPr>
      <w:r w:rsidRPr="004644D6">
        <w:rPr>
          <w:rFonts w:ascii="Verdana" w:hAnsi="Verdana"/>
          <w:lang w:eastAsia="es-MX"/>
        </w:rPr>
        <w:t xml:space="preserve">       Finalmente, la Entidad Estatal tiene el deber de verificar que el contratista no se encuentre incurso en causales de inhabilidad o incompatibilidad, para lo cual debe consultar los antecedentes fiscales ante la Contraloría, disciplinarios ante la Procuraduría y judiciales ante la Policía Nacional. Asimismo, para la ejecución del contrato, es indispensable verificar la afiliación y pago de aportes al Sistema de Seguridad Social Integral y parafiscales, si a ello hubiere lugar, conforme a las normas vigentes.</w:t>
      </w:r>
    </w:p>
    <w:p w14:paraId="47F25295" w14:textId="5E55C40B" w:rsidR="00EE3B2D" w:rsidRDefault="00EE3B2D" w:rsidP="00EE3B2D">
      <w:pPr>
        <w:spacing w:after="120" w:line="276" w:lineRule="auto"/>
        <w:ind w:firstLine="708"/>
        <w:jc w:val="both"/>
        <w:rPr>
          <w:rFonts w:ascii="Verdana" w:hAnsi="Verdana"/>
          <w:lang w:eastAsia="es-MX"/>
        </w:rPr>
      </w:pPr>
      <w:r w:rsidRPr="004D0BB7">
        <w:rPr>
          <w:rFonts w:ascii="Verdana" w:hAnsi="Verdana"/>
          <w:lang w:eastAsia="es-MX"/>
        </w:rPr>
        <w:t xml:space="preserve">A continuación a modo de ilustración se transcriben los documentos enunciados en el Anexo </w:t>
      </w:r>
      <w:r>
        <w:rPr>
          <w:rFonts w:ascii="Verdana" w:hAnsi="Verdana"/>
          <w:lang w:eastAsia="es-MX"/>
        </w:rPr>
        <w:t>2</w:t>
      </w:r>
      <w:r w:rsidRPr="004D0BB7">
        <w:rPr>
          <w:rFonts w:ascii="Verdana" w:hAnsi="Verdana"/>
          <w:lang w:eastAsia="es-MX"/>
        </w:rPr>
        <w:t xml:space="preserve"> de la Guía para la contratación de prestación de servicios. No obstante se aclara que las entidades pueden solicitar los demás documentos que consideren necesarios para la acreditación de la idoneidad o experiencia requerida.</w:t>
      </w:r>
    </w:p>
    <w:p w14:paraId="660A6FBC" w14:textId="1BA7C400" w:rsidR="00EE3B2D" w:rsidRDefault="008339E4" w:rsidP="003F0210">
      <w:pPr>
        <w:pStyle w:val="Prrafodelista"/>
        <w:numPr>
          <w:ilvl w:val="0"/>
          <w:numId w:val="19"/>
        </w:numPr>
        <w:spacing w:after="120" w:line="276" w:lineRule="auto"/>
        <w:jc w:val="both"/>
        <w:rPr>
          <w:rFonts w:ascii="Verdana" w:hAnsi="Verdana"/>
          <w:lang w:eastAsia="es-MX"/>
        </w:rPr>
      </w:pPr>
      <w:r w:rsidRPr="003F0210">
        <w:rPr>
          <w:rFonts w:ascii="Verdana" w:hAnsi="Verdana"/>
          <w:lang w:eastAsia="es-MX"/>
        </w:rPr>
        <w:t>Hoja de Vida – (SIGEP / o la que aplique)</w:t>
      </w:r>
    </w:p>
    <w:p w14:paraId="37ACE9B9" w14:textId="259D4302" w:rsidR="003F0210" w:rsidRDefault="003F0210" w:rsidP="003F0210">
      <w:pPr>
        <w:pStyle w:val="Prrafodelista"/>
        <w:numPr>
          <w:ilvl w:val="0"/>
          <w:numId w:val="19"/>
        </w:numPr>
        <w:spacing w:after="120" w:line="276" w:lineRule="auto"/>
        <w:jc w:val="both"/>
        <w:rPr>
          <w:rFonts w:ascii="Verdana" w:hAnsi="Verdana"/>
          <w:lang w:eastAsia="es-MX"/>
        </w:rPr>
      </w:pPr>
      <w:r w:rsidRPr="003F0210">
        <w:rPr>
          <w:rFonts w:ascii="Verdana" w:hAnsi="Verdana"/>
          <w:lang w:eastAsia="es-MX"/>
        </w:rPr>
        <w:t>Documentos que acrediten la formación académica</w:t>
      </w:r>
      <w:r>
        <w:rPr>
          <w:rFonts w:ascii="Verdana" w:hAnsi="Verdana"/>
          <w:lang w:eastAsia="es-MX"/>
        </w:rPr>
        <w:t xml:space="preserve">. </w:t>
      </w:r>
    </w:p>
    <w:p w14:paraId="7959E5A3" w14:textId="63031C1A" w:rsidR="00BD3789" w:rsidRDefault="00BD3789" w:rsidP="003F0210">
      <w:pPr>
        <w:pStyle w:val="Prrafodelista"/>
        <w:numPr>
          <w:ilvl w:val="0"/>
          <w:numId w:val="19"/>
        </w:numPr>
        <w:spacing w:after="120" w:line="276" w:lineRule="auto"/>
        <w:jc w:val="both"/>
        <w:rPr>
          <w:rFonts w:ascii="Verdana" w:hAnsi="Verdana"/>
          <w:lang w:eastAsia="es-MX"/>
        </w:rPr>
      </w:pPr>
      <w:r w:rsidRPr="00BD3789">
        <w:rPr>
          <w:rFonts w:ascii="Verdana" w:hAnsi="Verdana"/>
          <w:lang w:eastAsia="es-MX"/>
        </w:rPr>
        <w:t xml:space="preserve">Certificaciones que acrediten la experiencia o </w:t>
      </w:r>
      <w:r w:rsidR="00F61BE9" w:rsidRPr="00BD3789">
        <w:rPr>
          <w:rFonts w:ascii="Verdana" w:hAnsi="Verdana"/>
          <w:lang w:eastAsia="es-MX"/>
        </w:rPr>
        <w:t>idoneidad.</w:t>
      </w:r>
    </w:p>
    <w:p w14:paraId="24AD753C" w14:textId="57AEFC7A" w:rsidR="00BD3789" w:rsidRDefault="00BD3789" w:rsidP="003F0210">
      <w:pPr>
        <w:pStyle w:val="Prrafodelista"/>
        <w:numPr>
          <w:ilvl w:val="0"/>
          <w:numId w:val="19"/>
        </w:numPr>
        <w:spacing w:after="120" w:line="276" w:lineRule="auto"/>
        <w:jc w:val="both"/>
        <w:rPr>
          <w:rFonts w:ascii="Verdana" w:hAnsi="Verdana"/>
          <w:lang w:eastAsia="es-MX"/>
        </w:rPr>
      </w:pPr>
      <w:r w:rsidRPr="00BD3789">
        <w:rPr>
          <w:rFonts w:ascii="Verdana" w:hAnsi="Verdana"/>
          <w:lang w:eastAsia="es-MX"/>
        </w:rPr>
        <w:t>Copia del documento de identificación</w:t>
      </w:r>
      <w:r>
        <w:rPr>
          <w:rFonts w:ascii="Verdana" w:hAnsi="Verdana"/>
          <w:lang w:eastAsia="es-MX"/>
        </w:rPr>
        <w:t>.</w:t>
      </w:r>
    </w:p>
    <w:p w14:paraId="217F2554" w14:textId="1E0A4466" w:rsidR="00BD3789" w:rsidRDefault="00F61BE9" w:rsidP="003F0210">
      <w:pPr>
        <w:pStyle w:val="Prrafodelista"/>
        <w:numPr>
          <w:ilvl w:val="0"/>
          <w:numId w:val="19"/>
        </w:numPr>
        <w:spacing w:after="120" w:line="276" w:lineRule="auto"/>
        <w:jc w:val="both"/>
        <w:rPr>
          <w:rFonts w:ascii="Verdana" w:hAnsi="Verdana"/>
          <w:lang w:eastAsia="es-MX"/>
        </w:rPr>
      </w:pPr>
      <w:r w:rsidRPr="00F61BE9">
        <w:rPr>
          <w:rFonts w:ascii="Verdana" w:hAnsi="Verdana"/>
          <w:lang w:eastAsia="es-MX"/>
        </w:rPr>
        <w:t>Copia de la tarjeta o matrícula profesional</w:t>
      </w:r>
      <w:r>
        <w:rPr>
          <w:rFonts w:ascii="Verdana" w:hAnsi="Verdana"/>
          <w:lang w:eastAsia="es-MX"/>
        </w:rPr>
        <w:t>.</w:t>
      </w:r>
    </w:p>
    <w:p w14:paraId="5E138E1B" w14:textId="77777777" w:rsidR="00F61BE9" w:rsidRDefault="00F61BE9" w:rsidP="003F0210">
      <w:pPr>
        <w:pStyle w:val="Prrafodelista"/>
        <w:numPr>
          <w:ilvl w:val="0"/>
          <w:numId w:val="19"/>
        </w:numPr>
        <w:spacing w:after="120" w:line="276" w:lineRule="auto"/>
        <w:jc w:val="both"/>
        <w:rPr>
          <w:rFonts w:ascii="Verdana" w:hAnsi="Verdana"/>
          <w:lang w:eastAsia="es-MX"/>
        </w:rPr>
      </w:pPr>
    </w:p>
    <w:p w14:paraId="01CEE4E5" w14:textId="2F3F9101" w:rsidR="00F61BE9" w:rsidRDefault="00F61BE9" w:rsidP="003F0210">
      <w:pPr>
        <w:pStyle w:val="Prrafodelista"/>
        <w:numPr>
          <w:ilvl w:val="0"/>
          <w:numId w:val="19"/>
        </w:numPr>
        <w:spacing w:after="120" w:line="276" w:lineRule="auto"/>
        <w:jc w:val="both"/>
        <w:rPr>
          <w:rFonts w:ascii="Verdana" w:hAnsi="Verdana"/>
          <w:lang w:eastAsia="es-MX"/>
        </w:rPr>
      </w:pPr>
      <w:r w:rsidRPr="00F61BE9">
        <w:rPr>
          <w:rFonts w:ascii="Verdana" w:hAnsi="Verdana"/>
          <w:lang w:eastAsia="es-MX"/>
        </w:rPr>
        <w:lastRenderedPageBreak/>
        <w:t>Certificado de antecedentes disciplinarios profesionales (En caso de no aportarlo la Entidad Estatal podrá verificar</w:t>
      </w:r>
      <w:r>
        <w:rPr>
          <w:rFonts w:ascii="Verdana" w:hAnsi="Verdana"/>
          <w:lang w:eastAsia="es-MX"/>
        </w:rPr>
        <w:t>.</w:t>
      </w:r>
    </w:p>
    <w:p w14:paraId="1034130D" w14:textId="291D7580" w:rsidR="00F61BE9" w:rsidRDefault="00F61BE9" w:rsidP="003F0210">
      <w:pPr>
        <w:pStyle w:val="Prrafodelista"/>
        <w:numPr>
          <w:ilvl w:val="0"/>
          <w:numId w:val="19"/>
        </w:numPr>
        <w:spacing w:after="120" w:line="276" w:lineRule="auto"/>
        <w:jc w:val="both"/>
        <w:rPr>
          <w:rFonts w:ascii="Verdana" w:hAnsi="Verdana"/>
          <w:lang w:eastAsia="es-MX"/>
        </w:rPr>
      </w:pPr>
      <w:r w:rsidRPr="00F61BE9">
        <w:rPr>
          <w:rFonts w:ascii="Verdana" w:hAnsi="Verdana"/>
          <w:lang w:eastAsia="es-MX"/>
        </w:rPr>
        <w:t>Documento que acredite la definición de la situación militar. Estos podrán ser: − Copia de la libreta militar o, − Certificación provisional en línea o, − Declaración juramentada</w:t>
      </w:r>
      <w:r w:rsidR="001A0CAE">
        <w:rPr>
          <w:rFonts w:ascii="Verdana" w:hAnsi="Verdana"/>
          <w:lang w:eastAsia="es-MX"/>
        </w:rPr>
        <w:t>.</w:t>
      </w:r>
    </w:p>
    <w:p w14:paraId="095D610F" w14:textId="61B0414D" w:rsidR="001A0CAE" w:rsidRDefault="001A0CAE" w:rsidP="003F0210">
      <w:pPr>
        <w:pStyle w:val="Prrafodelista"/>
        <w:numPr>
          <w:ilvl w:val="0"/>
          <w:numId w:val="19"/>
        </w:numPr>
        <w:spacing w:after="120" w:line="276" w:lineRule="auto"/>
        <w:jc w:val="both"/>
        <w:rPr>
          <w:rFonts w:ascii="Verdana" w:hAnsi="Verdana"/>
          <w:lang w:eastAsia="es-MX"/>
        </w:rPr>
      </w:pPr>
      <w:r w:rsidRPr="001A0CAE">
        <w:rPr>
          <w:rFonts w:ascii="Verdana" w:hAnsi="Verdana"/>
          <w:lang w:eastAsia="es-MX"/>
        </w:rPr>
        <w:t>Copia del Registro de Identificación Tributaria – RIT</w:t>
      </w:r>
      <w:r>
        <w:rPr>
          <w:rFonts w:ascii="Verdana" w:hAnsi="Verdana"/>
          <w:lang w:eastAsia="es-MX"/>
        </w:rPr>
        <w:t>.</w:t>
      </w:r>
    </w:p>
    <w:p w14:paraId="688C4A05" w14:textId="400EB751" w:rsidR="001A0CAE" w:rsidRDefault="001A0CAE" w:rsidP="003F0210">
      <w:pPr>
        <w:pStyle w:val="Prrafodelista"/>
        <w:numPr>
          <w:ilvl w:val="0"/>
          <w:numId w:val="19"/>
        </w:numPr>
        <w:spacing w:after="120" w:line="276" w:lineRule="auto"/>
        <w:jc w:val="both"/>
        <w:rPr>
          <w:rFonts w:ascii="Verdana" w:hAnsi="Verdana"/>
          <w:lang w:eastAsia="es-MX"/>
        </w:rPr>
      </w:pPr>
      <w:r w:rsidRPr="001A0CAE">
        <w:rPr>
          <w:rFonts w:ascii="Verdana" w:hAnsi="Verdana"/>
          <w:lang w:eastAsia="es-MX"/>
        </w:rPr>
        <w:t>Certificación Bancaria.</w:t>
      </w:r>
    </w:p>
    <w:p w14:paraId="1F187228" w14:textId="334E183E" w:rsidR="001A0CAE" w:rsidRDefault="00DA37C9" w:rsidP="003F0210">
      <w:pPr>
        <w:pStyle w:val="Prrafodelista"/>
        <w:numPr>
          <w:ilvl w:val="0"/>
          <w:numId w:val="19"/>
        </w:numPr>
        <w:spacing w:after="120" w:line="276" w:lineRule="auto"/>
        <w:jc w:val="both"/>
        <w:rPr>
          <w:rFonts w:ascii="Verdana" w:hAnsi="Verdana"/>
          <w:lang w:eastAsia="es-MX"/>
        </w:rPr>
      </w:pPr>
      <w:r w:rsidRPr="00DA37C9">
        <w:rPr>
          <w:rFonts w:ascii="Verdana" w:hAnsi="Verdana"/>
          <w:lang w:eastAsia="es-MX"/>
        </w:rPr>
        <w:t xml:space="preserve">Copia de Registro Único Tributario </w:t>
      </w:r>
      <w:r>
        <w:rPr>
          <w:rFonts w:ascii="Verdana" w:hAnsi="Verdana"/>
          <w:lang w:eastAsia="es-MX"/>
        </w:rPr>
        <w:t>–</w:t>
      </w:r>
      <w:r w:rsidRPr="00DA37C9">
        <w:rPr>
          <w:rFonts w:ascii="Verdana" w:hAnsi="Verdana"/>
          <w:lang w:eastAsia="es-MX"/>
        </w:rPr>
        <w:t xml:space="preserve"> RUT</w:t>
      </w:r>
      <w:r>
        <w:rPr>
          <w:rFonts w:ascii="Verdana" w:hAnsi="Verdana"/>
          <w:lang w:eastAsia="es-MX"/>
        </w:rPr>
        <w:t>.</w:t>
      </w:r>
    </w:p>
    <w:p w14:paraId="0F1180CD" w14:textId="2EDF9907" w:rsidR="00DA37C9" w:rsidRDefault="00DA37C9" w:rsidP="003F0210">
      <w:pPr>
        <w:pStyle w:val="Prrafodelista"/>
        <w:numPr>
          <w:ilvl w:val="0"/>
          <w:numId w:val="19"/>
        </w:numPr>
        <w:spacing w:after="120" w:line="276" w:lineRule="auto"/>
        <w:jc w:val="both"/>
        <w:rPr>
          <w:rFonts w:ascii="Verdana" w:hAnsi="Verdana"/>
          <w:lang w:eastAsia="es-MX"/>
        </w:rPr>
      </w:pPr>
      <w:r w:rsidRPr="00DA37C9">
        <w:rPr>
          <w:rFonts w:ascii="Verdana" w:hAnsi="Verdana"/>
          <w:lang w:eastAsia="es-MX"/>
        </w:rPr>
        <w:t>Certificación de afiliación al Sistema de Seguridad Social Integral o cualquier documento donde se</w:t>
      </w:r>
      <w:r>
        <w:rPr>
          <w:rFonts w:ascii="Verdana" w:hAnsi="Verdana"/>
          <w:lang w:eastAsia="es-MX"/>
        </w:rPr>
        <w:t xml:space="preserve"> </w:t>
      </w:r>
      <w:r w:rsidRPr="00DA37C9">
        <w:rPr>
          <w:rFonts w:ascii="Verdana" w:hAnsi="Verdana"/>
          <w:lang w:eastAsia="es-MX"/>
        </w:rPr>
        <w:t>acredite la respectiva afiliación</w:t>
      </w:r>
      <w:r>
        <w:rPr>
          <w:rFonts w:ascii="Verdana" w:hAnsi="Verdana"/>
          <w:lang w:eastAsia="es-MX"/>
        </w:rPr>
        <w:t>.</w:t>
      </w:r>
    </w:p>
    <w:p w14:paraId="06ADDD57" w14:textId="572296EA" w:rsidR="00DA37C9" w:rsidRDefault="000F7D18" w:rsidP="003F0210">
      <w:pPr>
        <w:pStyle w:val="Prrafodelista"/>
        <w:numPr>
          <w:ilvl w:val="0"/>
          <w:numId w:val="19"/>
        </w:numPr>
        <w:spacing w:after="120" w:line="276" w:lineRule="auto"/>
        <w:jc w:val="both"/>
        <w:rPr>
          <w:rFonts w:ascii="Verdana" w:hAnsi="Verdana"/>
          <w:lang w:eastAsia="es-MX"/>
        </w:rPr>
      </w:pPr>
      <w:r w:rsidRPr="000F7D18">
        <w:rPr>
          <w:rFonts w:ascii="Verdana" w:hAnsi="Verdana"/>
          <w:lang w:eastAsia="es-MX"/>
        </w:rPr>
        <w:t>Certificado de antecedentes judiciales (Policía Nacional) – (En caso de no aportarlo la Entidad Estatal podrá verificar en línea la respectiva información)</w:t>
      </w:r>
      <w:r>
        <w:rPr>
          <w:rFonts w:ascii="Verdana" w:hAnsi="Verdana"/>
          <w:lang w:eastAsia="es-MX"/>
        </w:rPr>
        <w:t>.</w:t>
      </w:r>
    </w:p>
    <w:p w14:paraId="77CF20A0" w14:textId="6FEEE073" w:rsidR="000F7D18" w:rsidRDefault="000F7D18" w:rsidP="003F0210">
      <w:pPr>
        <w:pStyle w:val="Prrafodelista"/>
        <w:numPr>
          <w:ilvl w:val="0"/>
          <w:numId w:val="19"/>
        </w:numPr>
        <w:spacing w:after="120" w:line="276" w:lineRule="auto"/>
        <w:jc w:val="both"/>
        <w:rPr>
          <w:rFonts w:ascii="Verdana" w:hAnsi="Verdana"/>
          <w:lang w:eastAsia="es-MX"/>
        </w:rPr>
      </w:pPr>
      <w:r w:rsidRPr="000F7D18">
        <w:rPr>
          <w:rFonts w:ascii="Verdana" w:hAnsi="Verdana"/>
          <w:lang w:eastAsia="es-MX"/>
        </w:rPr>
        <w:t>Certificado de Antecedentes Disciplinarios (Procuraduría General de la Nación) - (En caso de no aportarlo la Entidad Estatal podrá verificar en línea la respectiva información)</w:t>
      </w:r>
      <w:r>
        <w:rPr>
          <w:rFonts w:ascii="Verdana" w:hAnsi="Verdana"/>
          <w:lang w:eastAsia="es-MX"/>
        </w:rPr>
        <w:t>.</w:t>
      </w:r>
    </w:p>
    <w:p w14:paraId="4F28A601" w14:textId="615A98A9" w:rsidR="000F7D18" w:rsidRDefault="007A54A7" w:rsidP="003F0210">
      <w:pPr>
        <w:pStyle w:val="Prrafodelista"/>
        <w:numPr>
          <w:ilvl w:val="0"/>
          <w:numId w:val="19"/>
        </w:numPr>
        <w:spacing w:after="120" w:line="276" w:lineRule="auto"/>
        <w:jc w:val="both"/>
        <w:rPr>
          <w:rFonts w:ascii="Verdana" w:hAnsi="Verdana"/>
          <w:lang w:eastAsia="es-MX"/>
        </w:rPr>
      </w:pPr>
      <w:r w:rsidRPr="007A54A7">
        <w:rPr>
          <w:rFonts w:ascii="Verdana" w:hAnsi="Verdana"/>
          <w:lang w:eastAsia="es-MX"/>
        </w:rPr>
        <w:t>Certificado de Registro Nacional de Medidas Correctivas – RNMC (En caso de no aportarlo la Entidad</w:t>
      </w:r>
      <w:r>
        <w:rPr>
          <w:rFonts w:ascii="Verdana" w:hAnsi="Verdana"/>
          <w:lang w:eastAsia="es-MX"/>
        </w:rPr>
        <w:t xml:space="preserve"> </w:t>
      </w:r>
      <w:r w:rsidRPr="007A54A7">
        <w:rPr>
          <w:rFonts w:ascii="Verdana" w:hAnsi="Verdana"/>
          <w:lang w:eastAsia="es-MX"/>
        </w:rPr>
        <w:t>Estatal podrá verificar en línea la respectiva información)</w:t>
      </w:r>
      <w:r>
        <w:rPr>
          <w:rFonts w:ascii="Verdana" w:hAnsi="Verdana"/>
          <w:lang w:eastAsia="es-MX"/>
        </w:rPr>
        <w:t>.</w:t>
      </w:r>
    </w:p>
    <w:p w14:paraId="5E70BA11" w14:textId="4364F4FB" w:rsidR="007A54A7" w:rsidRDefault="00964FBE" w:rsidP="003F0210">
      <w:pPr>
        <w:pStyle w:val="Prrafodelista"/>
        <w:numPr>
          <w:ilvl w:val="0"/>
          <w:numId w:val="19"/>
        </w:numPr>
        <w:spacing w:after="120" w:line="276" w:lineRule="auto"/>
        <w:jc w:val="both"/>
        <w:rPr>
          <w:rFonts w:ascii="Verdana" w:hAnsi="Verdana"/>
          <w:lang w:eastAsia="es-MX"/>
        </w:rPr>
      </w:pPr>
      <w:r w:rsidRPr="00964FBE">
        <w:rPr>
          <w:rFonts w:ascii="Verdana" w:hAnsi="Verdana"/>
          <w:lang w:eastAsia="es-MX"/>
        </w:rPr>
        <w:t>Formato compromiso de transparencia dispuesto por la entidad</w:t>
      </w:r>
      <w:r>
        <w:rPr>
          <w:rFonts w:ascii="Verdana" w:hAnsi="Verdana"/>
          <w:lang w:eastAsia="es-MX"/>
        </w:rPr>
        <w:t>.</w:t>
      </w:r>
    </w:p>
    <w:p w14:paraId="78C2235B" w14:textId="17C43535" w:rsidR="00964FBE" w:rsidRDefault="00964FBE" w:rsidP="003F0210">
      <w:pPr>
        <w:pStyle w:val="Prrafodelista"/>
        <w:numPr>
          <w:ilvl w:val="0"/>
          <w:numId w:val="19"/>
        </w:numPr>
        <w:spacing w:after="120" w:line="276" w:lineRule="auto"/>
        <w:jc w:val="both"/>
        <w:rPr>
          <w:rFonts w:ascii="Verdana" w:hAnsi="Verdana"/>
          <w:lang w:eastAsia="es-MX"/>
        </w:rPr>
      </w:pPr>
      <w:r w:rsidRPr="00964FBE">
        <w:rPr>
          <w:rFonts w:ascii="Verdana" w:hAnsi="Verdana"/>
          <w:lang w:eastAsia="es-MX"/>
        </w:rPr>
        <w:t>Examen médico preocupacional</w:t>
      </w:r>
      <w:r>
        <w:rPr>
          <w:rFonts w:ascii="Verdana" w:hAnsi="Verdana"/>
          <w:lang w:eastAsia="es-MX"/>
        </w:rPr>
        <w:t>.</w:t>
      </w:r>
    </w:p>
    <w:p w14:paraId="540EC215" w14:textId="36DA04EF" w:rsidR="00BE2784" w:rsidRPr="000D554E" w:rsidRDefault="000D554E" w:rsidP="000D554E">
      <w:pPr>
        <w:pStyle w:val="Prrafodelista"/>
        <w:numPr>
          <w:ilvl w:val="0"/>
          <w:numId w:val="19"/>
        </w:numPr>
        <w:spacing w:after="120" w:line="276" w:lineRule="auto"/>
        <w:jc w:val="both"/>
        <w:rPr>
          <w:rFonts w:ascii="Verdana" w:hAnsi="Verdana"/>
          <w:lang w:eastAsia="es-MX"/>
        </w:rPr>
      </w:pPr>
      <w:r w:rsidRPr="000D554E">
        <w:rPr>
          <w:rFonts w:ascii="Verdana" w:hAnsi="Verdana"/>
          <w:lang w:eastAsia="es-MX"/>
        </w:rPr>
        <w:t>Los demás documentos que la Entidad Estatal considere necesarios para la acreditación de la idoneidad o experiencia requerida</w:t>
      </w:r>
      <w:r>
        <w:rPr>
          <w:rFonts w:ascii="Verdana" w:hAnsi="Verdana"/>
          <w:lang w:eastAsia="es-MX"/>
        </w:rPr>
        <w:t>.</w:t>
      </w:r>
    </w:p>
    <w:p w14:paraId="3DAA576B" w14:textId="77777777" w:rsidR="00BE2784" w:rsidRDefault="00BE2784" w:rsidP="00B809EF">
      <w:pPr>
        <w:spacing w:after="120" w:line="276" w:lineRule="auto"/>
        <w:ind w:firstLine="709"/>
        <w:jc w:val="both"/>
        <w:rPr>
          <w:rFonts w:ascii="Verdana" w:eastAsia="Calibri" w:hAnsi="Verdana" w:cs="Arial"/>
          <w:bCs/>
          <w:color w:val="000000" w:themeColor="text1"/>
          <w:lang w:val="es-ES_tradnl"/>
        </w:rPr>
      </w:pPr>
    </w:p>
    <w:p w14:paraId="56A99F30" w14:textId="7F1AB11A" w:rsidR="00B809EF" w:rsidRDefault="00B809EF" w:rsidP="00B809EF">
      <w:pPr>
        <w:spacing w:after="120" w:line="276" w:lineRule="auto"/>
        <w:jc w:val="both"/>
        <w:rPr>
          <w:rFonts w:ascii="Verdana" w:eastAsia="Calibri" w:hAnsi="Verdana" w:cs="Arial"/>
          <w:b/>
          <w:color w:val="000000" w:themeColor="text1"/>
          <w:lang w:val="es-ES_tradnl"/>
        </w:rPr>
      </w:pPr>
      <w:r w:rsidRPr="001C1B88">
        <w:rPr>
          <w:rFonts w:ascii="Verdana" w:eastAsia="Calibri" w:hAnsi="Verdana" w:cs="Arial"/>
          <w:b/>
          <w:color w:val="000000" w:themeColor="text1"/>
          <w:lang w:val="es-ES_tradnl"/>
        </w:rPr>
        <w:t xml:space="preserve"> 4. Referencias normativas, jurisprudenciales y otras fuentes:</w:t>
      </w:r>
    </w:p>
    <w:p w14:paraId="0EE79D33" w14:textId="77777777" w:rsidR="001C1B88" w:rsidRPr="001C1B88" w:rsidRDefault="001C1B88" w:rsidP="001C1B88">
      <w:pPr>
        <w:spacing w:after="0" w:line="276" w:lineRule="auto"/>
        <w:jc w:val="both"/>
        <w:rPr>
          <w:rFonts w:ascii="Verdana" w:eastAsia="Calibri" w:hAnsi="Verdana" w:cs="Arial"/>
          <w:b/>
          <w:color w:val="000000" w:themeColor="text1"/>
          <w:lang w:val="es-ES_tradnl"/>
        </w:rPr>
      </w:pPr>
    </w:p>
    <w:p w14:paraId="02841512" w14:textId="2CBA5CB9" w:rsidR="00B809EF" w:rsidRDefault="00722A5B" w:rsidP="00722A5B">
      <w:pPr>
        <w:pStyle w:val="Prrafodelista"/>
        <w:numPr>
          <w:ilvl w:val="0"/>
          <w:numId w:val="17"/>
        </w:numPr>
        <w:pBdr>
          <w:top w:val="single" w:sz="4" w:space="1" w:color="auto"/>
          <w:left w:val="single" w:sz="4" w:space="4" w:color="auto"/>
          <w:bottom w:val="single" w:sz="4" w:space="1" w:color="auto"/>
          <w:right w:val="single" w:sz="4" w:space="4" w:color="auto"/>
        </w:pBdr>
        <w:spacing w:after="120" w:line="276" w:lineRule="auto"/>
        <w:jc w:val="both"/>
        <w:rPr>
          <w:rFonts w:ascii="Verdana" w:eastAsia="Calibri" w:hAnsi="Verdana" w:cs="Arial"/>
          <w:bCs/>
          <w:color w:val="000000" w:themeColor="text1"/>
          <w:lang w:val="es-ES_tradnl"/>
        </w:rPr>
      </w:pPr>
      <w:r>
        <w:rPr>
          <w:rFonts w:ascii="Verdana" w:eastAsia="Calibri" w:hAnsi="Verdana" w:cs="Arial"/>
          <w:bCs/>
          <w:color w:val="000000" w:themeColor="text1"/>
          <w:lang w:val="es-ES_tradnl"/>
        </w:rPr>
        <w:t>Ley 80 de 1993, artículo 32.</w:t>
      </w:r>
    </w:p>
    <w:p w14:paraId="13B973C0" w14:textId="29B00DDF" w:rsidR="00722A5B" w:rsidRDefault="000A2608" w:rsidP="00722A5B">
      <w:pPr>
        <w:pStyle w:val="Prrafodelista"/>
        <w:numPr>
          <w:ilvl w:val="0"/>
          <w:numId w:val="17"/>
        </w:numPr>
        <w:pBdr>
          <w:top w:val="single" w:sz="4" w:space="1" w:color="auto"/>
          <w:left w:val="single" w:sz="4" w:space="4" w:color="auto"/>
          <w:bottom w:val="single" w:sz="4" w:space="1" w:color="auto"/>
          <w:right w:val="single" w:sz="4" w:space="4" w:color="auto"/>
        </w:pBdr>
        <w:spacing w:after="120" w:line="276" w:lineRule="auto"/>
        <w:jc w:val="both"/>
        <w:rPr>
          <w:rFonts w:ascii="Verdana" w:eastAsia="Calibri" w:hAnsi="Verdana" w:cs="Arial"/>
          <w:bCs/>
          <w:color w:val="000000" w:themeColor="text1"/>
          <w:lang w:val="es-ES_tradnl"/>
        </w:rPr>
      </w:pPr>
      <w:r>
        <w:rPr>
          <w:rFonts w:ascii="Verdana" w:eastAsia="Calibri" w:hAnsi="Verdana" w:cs="Arial"/>
          <w:bCs/>
          <w:color w:val="000000" w:themeColor="text1"/>
          <w:lang w:val="es-ES_tradnl"/>
        </w:rPr>
        <w:t>Ley 1150 de 2007, artículo 2, numeral 4°, literal h.</w:t>
      </w:r>
    </w:p>
    <w:p w14:paraId="51DCA9AC" w14:textId="77777777" w:rsidR="001C1B88" w:rsidRDefault="000A2608" w:rsidP="001C1B88">
      <w:pPr>
        <w:pStyle w:val="Prrafodelista"/>
        <w:numPr>
          <w:ilvl w:val="0"/>
          <w:numId w:val="17"/>
        </w:numPr>
        <w:pBdr>
          <w:top w:val="single" w:sz="4" w:space="1" w:color="auto"/>
          <w:left w:val="single" w:sz="4" w:space="4" w:color="auto"/>
          <w:bottom w:val="single" w:sz="4" w:space="1" w:color="auto"/>
          <w:right w:val="single" w:sz="4" w:space="4" w:color="auto"/>
        </w:pBdr>
        <w:spacing w:after="120" w:line="276" w:lineRule="auto"/>
        <w:jc w:val="both"/>
        <w:rPr>
          <w:rFonts w:ascii="Verdana" w:eastAsia="Calibri" w:hAnsi="Verdana" w:cs="Arial"/>
          <w:bCs/>
          <w:color w:val="000000" w:themeColor="text1"/>
          <w:lang w:val="es-ES_tradnl"/>
        </w:rPr>
      </w:pPr>
      <w:r>
        <w:rPr>
          <w:rFonts w:ascii="Verdana" w:eastAsia="Calibri" w:hAnsi="Verdana" w:cs="Arial"/>
          <w:bCs/>
          <w:color w:val="000000" w:themeColor="text1"/>
          <w:lang w:val="es-ES_tradnl"/>
        </w:rPr>
        <w:t xml:space="preserve">Decreto 1068 de 2015, artículo 2.8.4.4.5. </w:t>
      </w:r>
    </w:p>
    <w:p w14:paraId="400BA7D3" w14:textId="77777777" w:rsidR="001C1B88" w:rsidRPr="001C1B88" w:rsidRDefault="001C1B88" w:rsidP="001C1B88">
      <w:pPr>
        <w:pStyle w:val="Prrafodelista"/>
        <w:numPr>
          <w:ilvl w:val="0"/>
          <w:numId w:val="17"/>
        </w:numPr>
        <w:pBdr>
          <w:top w:val="single" w:sz="4" w:space="1" w:color="auto"/>
          <w:left w:val="single" w:sz="4" w:space="4" w:color="auto"/>
          <w:bottom w:val="single" w:sz="4" w:space="1" w:color="auto"/>
          <w:right w:val="single" w:sz="4" w:space="4" w:color="auto"/>
        </w:pBdr>
        <w:spacing w:after="120" w:line="276" w:lineRule="auto"/>
        <w:jc w:val="both"/>
        <w:rPr>
          <w:rFonts w:ascii="Verdana" w:eastAsia="Calibri" w:hAnsi="Verdana" w:cs="Arial"/>
          <w:bCs/>
          <w:color w:val="000000" w:themeColor="text1"/>
          <w:lang w:val="es-ES_tradnl"/>
        </w:rPr>
      </w:pPr>
      <w:r w:rsidRPr="001C1B88">
        <w:rPr>
          <w:rFonts w:ascii="Verdana" w:hAnsi="Verdana" w:cs="Arial"/>
        </w:rPr>
        <w:t>Decreto 1082 de 2015. Artículos 2.2.1.2.1.4.1, 2.2.1.2.1.4.3</w:t>
      </w:r>
      <w:r w:rsidRPr="001C1B88">
        <w:rPr>
          <w:rFonts w:ascii="Verdana" w:hAnsi="Verdana"/>
        </w:rPr>
        <w:t>, 2.2.1.2.1.4.9</w:t>
      </w:r>
      <w:r>
        <w:rPr>
          <w:rFonts w:ascii="Verdana" w:hAnsi="Verdana"/>
        </w:rPr>
        <w:t>.</w:t>
      </w:r>
    </w:p>
    <w:p w14:paraId="64E50612" w14:textId="2C43CC91" w:rsidR="001C1B88" w:rsidRPr="001C1B88" w:rsidRDefault="001C1B88" w:rsidP="001C1B88">
      <w:pPr>
        <w:pStyle w:val="Prrafodelista"/>
        <w:numPr>
          <w:ilvl w:val="0"/>
          <w:numId w:val="17"/>
        </w:numPr>
        <w:pBdr>
          <w:top w:val="single" w:sz="4" w:space="1" w:color="auto"/>
          <w:left w:val="single" w:sz="4" w:space="4" w:color="auto"/>
          <w:bottom w:val="single" w:sz="4" w:space="1" w:color="auto"/>
          <w:right w:val="single" w:sz="4" w:space="4" w:color="auto"/>
        </w:pBdr>
        <w:spacing w:after="120" w:line="276" w:lineRule="auto"/>
        <w:jc w:val="both"/>
        <w:rPr>
          <w:rFonts w:ascii="Verdana" w:eastAsia="Calibri" w:hAnsi="Verdana" w:cs="Arial"/>
          <w:bCs/>
          <w:color w:val="000000" w:themeColor="text1"/>
          <w:lang w:val="es-ES_tradnl"/>
        </w:rPr>
      </w:pPr>
      <w:r w:rsidRPr="001C1B88">
        <w:rPr>
          <w:rFonts w:ascii="Verdana" w:hAnsi="Verdana" w:cs="Arial"/>
        </w:rPr>
        <w:t>Consejo de Estado. Sala de lo Contencioso Administrativo. Sección Tercera. Subsección C. Sentencia del 2 de diciembre de 2013. Exp. 41719. Consejero Ponente: Jaime Orlando Santofimio Gamboa.</w:t>
      </w:r>
    </w:p>
    <w:p w14:paraId="00C1E43E" w14:textId="4126BCA0" w:rsidR="000A2608" w:rsidRPr="00722A5B" w:rsidRDefault="001C1B88" w:rsidP="001C1B88">
      <w:pPr>
        <w:pStyle w:val="Prrafodelista"/>
        <w:numPr>
          <w:ilvl w:val="0"/>
          <w:numId w:val="17"/>
        </w:numPr>
        <w:pBdr>
          <w:top w:val="single" w:sz="4" w:space="1" w:color="auto"/>
          <w:left w:val="single" w:sz="4" w:space="4" w:color="auto"/>
          <w:bottom w:val="single" w:sz="4" w:space="1" w:color="auto"/>
          <w:right w:val="single" w:sz="4" w:space="4" w:color="auto"/>
        </w:pBdr>
        <w:spacing w:after="120" w:line="276" w:lineRule="auto"/>
        <w:jc w:val="both"/>
        <w:rPr>
          <w:rFonts w:ascii="Verdana" w:eastAsia="Calibri" w:hAnsi="Verdana" w:cs="Arial"/>
          <w:bCs/>
          <w:color w:val="000000" w:themeColor="text1"/>
          <w:lang w:val="es-ES_tradnl"/>
        </w:rPr>
      </w:pPr>
      <w:r w:rsidRPr="00152466">
        <w:rPr>
          <w:rFonts w:ascii="Verdana" w:hAnsi="Verdana" w:cs="Arial"/>
        </w:rPr>
        <w:lastRenderedPageBreak/>
        <w:t>Corte Constitucional. Sentencia C-154 de 1997. Magistrado Ponente: Hernando Herrera Vergara</w:t>
      </w:r>
    </w:p>
    <w:p w14:paraId="3BF6C3D8" w14:textId="77777777" w:rsidR="004A5A11" w:rsidRPr="004A5A11" w:rsidRDefault="004A5A11" w:rsidP="00B809EF">
      <w:pPr>
        <w:widowControl w:val="0"/>
        <w:autoSpaceDE w:val="0"/>
        <w:autoSpaceDN w:val="0"/>
        <w:spacing w:after="120" w:line="276" w:lineRule="auto"/>
        <w:ind w:firstLine="709"/>
        <w:jc w:val="both"/>
        <w:rPr>
          <w:rFonts w:ascii="Verdana" w:hAnsi="Verdana" w:cs="Arial"/>
          <w:sz w:val="21"/>
          <w:szCs w:val="21"/>
        </w:rPr>
      </w:pPr>
    </w:p>
    <w:p w14:paraId="50BBB3DA" w14:textId="77777777" w:rsidR="00A00B29" w:rsidRPr="00152466" w:rsidRDefault="00A00B29" w:rsidP="00A00B29">
      <w:pPr>
        <w:pStyle w:val="Prrafodelista"/>
        <w:tabs>
          <w:tab w:val="left" w:pos="142"/>
          <w:tab w:val="left" w:pos="284"/>
        </w:tabs>
        <w:spacing w:after="0" w:line="276" w:lineRule="auto"/>
        <w:ind w:left="0"/>
        <w:contextualSpacing w:val="0"/>
        <w:jc w:val="both"/>
        <w:rPr>
          <w:rFonts w:ascii="Verdana" w:eastAsia="Century Gothic" w:hAnsi="Verdana" w:cs="Century Gothic"/>
          <w:b/>
          <w:bCs/>
        </w:rPr>
      </w:pPr>
      <w:r w:rsidRPr="00152466">
        <w:rPr>
          <w:rFonts w:ascii="Verdana" w:eastAsia="Century Gothic" w:hAnsi="Verdana" w:cs="Century Gothic"/>
          <w:b/>
          <w:bCs/>
        </w:rPr>
        <w:t>5. Doctrina de la Agencia Nacional de Contratación Pública:</w:t>
      </w:r>
    </w:p>
    <w:p w14:paraId="4BEF9194" w14:textId="77777777" w:rsidR="00A00B29" w:rsidRPr="00152466" w:rsidRDefault="00A00B29" w:rsidP="00A00B29">
      <w:pPr>
        <w:spacing w:after="0" w:line="276" w:lineRule="auto"/>
        <w:ind w:firstLine="709"/>
        <w:jc w:val="both"/>
        <w:rPr>
          <w:rFonts w:ascii="Verdana" w:eastAsia="Times New Roman" w:hAnsi="Verdana" w:cs="Arial"/>
          <w:lang w:eastAsia="es-ES_tradnl"/>
        </w:rPr>
      </w:pPr>
    </w:p>
    <w:p w14:paraId="40B0BD5F" w14:textId="77777777" w:rsidR="00A00B29" w:rsidRPr="00152466" w:rsidRDefault="00A00B29" w:rsidP="00A00B29">
      <w:pPr>
        <w:widowControl w:val="0"/>
        <w:autoSpaceDE w:val="0"/>
        <w:autoSpaceDN w:val="0"/>
        <w:spacing w:after="0" w:line="276" w:lineRule="auto"/>
        <w:jc w:val="both"/>
        <w:rPr>
          <w:rFonts w:ascii="Verdana" w:hAnsi="Verdana" w:cs="Arial"/>
          <w:lang w:val="es-ES"/>
        </w:rPr>
      </w:pPr>
      <w:r w:rsidRPr="00152466">
        <w:rPr>
          <w:rFonts w:ascii="Verdana" w:hAnsi="Verdana" w:cs="Arial"/>
          <w:shd w:val="clear" w:color="auto" w:fill="FFFFFF"/>
          <w:lang w:val="es-ES"/>
        </w:rPr>
        <w:t>Sobre los contratos de prestación de servicios, esta Subdirección se ha referido en los Conceptos Nro. C−293 del 12 de mayo de 2020, C−313 del 21 de mayo de 2020, C−345 del 21 de mayo de 2020, C−359 del 04de junio de 2020, C−379 del 30 de junio de 2020, C−414 del 30 de junio de 2020, C-661 del 17 de noviembre de 2020, C−685 del 18 de diciembre de 2020, C- 004 del 12 de febrero de 2021, C−106 del 7 de abril de 2021, C-181 del 07 de abril de 2022, C-214 del 22 de abril de 2022 y C-491 de 01 de agosto de 2022, C-008 del 20 de febrero de 2023, C-009 del 20 de febrero de 2023, C-286 del 2023, C-351 del 30 de agosto de 2024, C-372 del 26 de Agosto 2024, C-904 del 9 de diciembre de 2024, C-754 del 4 de diciembre de 2024, C-363 del 15 de abril de 2025</w:t>
      </w:r>
      <w:r w:rsidRPr="00152466">
        <w:rPr>
          <w:rFonts w:ascii="Verdana" w:hAnsi="Verdana" w:cs="Arial"/>
          <w:lang w:val="es-ES"/>
        </w:rPr>
        <w:t>, C-441 del 16 de mayo de 2025, C-517 del 27 de mayo de 2025 y C- 578 del 24 de junio del 2025</w:t>
      </w:r>
      <w:r w:rsidRPr="00152466">
        <w:rPr>
          <w:rFonts w:ascii="Verdana" w:hAnsi="Verdana" w:cs="Arial"/>
        </w:rPr>
        <w:t xml:space="preserve">. </w:t>
      </w:r>
      <w:r w:rsidRPr="00152466">
        <w:rPr>
          <w:rFonts w:ascii="Verdana" w:eastAsia="Calibri" w:hAnsi="Verdana" w:cs="Arial"/>
          <w:lang w:eastAsia="es-ES"/>
        </w:rPr>
        <w:t xml:space="preserve">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 </w:t>
      </w:r>
      <w:hyperlink r:id="rId13" w:history="1">
        <w:r w:rsidRPr="00152466">
          <w:rPr>
            <w:rStyle w:val="Hipervnculo"/>
            <w:rFonts w:ascii="Verdana" w:eastAsia="Calibri" w:hAnsi="Verdana" w:cs="Arial"/>
            <w:lang w:eastAsia="es-ES_tradnl"/>
          </w:rPr>
          <w:t>https://relatoria.colombiacompra.gov.co/</w:t>
        </w:r>
      </w:hyperlink>
      <w:r w:rsidRPr="00152466">
        <w:rPr>
          <w:rFonts w:ascii="Verdana" w:eastAsia="Calibri" w:hAnsi="Verdana" w:cs="Arial"/>
          <w:lang w:eastAsia="es-ES_tradnl"/>
        </w:rPr>
        <w:t> </w:t>
      </w:r>
    </w:p>
    <w:p w14:paraId="575DC0D9" w14:textId="77777777" w:rsidR="00A00B29" w:rsidRPr="00152466" w:rsidRDefault="00A00B29" w:rsidP="00A00B29">
      <w:pPr>
        <w:widowControl w:val="0"/>
        <w:autoSpaceDE w:val="0"/>
        <w:autoSpaceDN w:val="0"/>
        <w:spacing w:after="0" w:line="276" w:lineRule="auto"/>
        <w:jc w:val="both"/>
        <w:rPr>
          <w:rFonts w:ascii="Verdana" w:hAnsi="Verdana" w:cs="Arial"/>
        </w:rPr>
      </w:pPr>
    </w:p>
    <w:p w14:paraId="42BC2EC8" w14:textId="77777777" w:rsidR="00A00B29" w:rsidRPr="00152466" w:rsidRDefault="00A00B29" w:rsidP="00A00B29">
      <w:pPr>
        <w:spacing w:after="0" w:line="276" w:lineRule="auto"/>
        <w:jc w:val="both"/>
        <w:rPr>
          <w:rFonts w:ascii="Verdana" w:hAnsi="Verdana"/>
        </w:rPr>
      </w:pPr>
      <w:r w:rsidRPr="00152466">
        <w:rPr>
          <w:rFonts w:ascii="Verdana" w:hAnsi="Verdana"/>
        </w:rPr>
        <w:t xml:space="preserve">Por último, lo invitamos a seguirnos en las redes sociales en las cuales se difunde información institucional: </w:t>
      </w:r>
    </w:p>
    <w:p w14:paraId="485B825A" w14:textId="77777777" w:rsidR="00A00B29" w:rsidRPr="00152466" w:rsidRDefault="00A00B29" w:rsidP="00A00B29">
      <w:pPr>
        <w:spacing w:after="0" w:line="276" w:lineRule="auto"/>
        <w:jc w:val="both"/>
        <w:rPr>
          <w:rFonts w:ascii="Verdana" w:hAnsi="Verdana"/>
        </w:rPr>
      </w:pPr>
    </w:p>
    <w:p w14:paraId="79A48C69" w14:textId="77777777" w:rsidR="00A00B29" w:rsidRPr="00152466" w:rsidRDefault="00A00B29" w:rsidP="00A00B29">
      <w:pPr>
        <w:spacing w:after="0" w:line="276" w:lineRule="auto"/>
        <w:jc w:val="both"/>
        <w:rPr>
          <w:rFonts w:ascii="Verdana" w:hAnsi="Verdana"/>
        </w:rPr>
      </w:pPr>
      <w:r w:rsidRPr="00152466">
        <w:rPr>
          <w:rFonts w:ascii="Verdana" w:hAnsi="Verdana"/>
        </w:rPr>
        <w:t xml:space="preserve">Twitter: </w:t>
      </w:r>
      <w:r w:rsidRPr="00152466">
        <w:rPr>
          <w:rStyle w:val="Hipervnculo"/>
          <w:rFonts w:ascii="Verdana" w:hAnsi="Verdana"/>
          <w:color w:val="4472C4" w:themeColor="accent1"/>
        </w:rPr>
        <w:t>@colombiacompra</w:t>
      </w:r>
      <w:r w:rsidRPr="00152466">
        <w:rPr>
          <w:rFonts w:ascii="Verdana" w:hAnsi="Verdana"/>
          <w:color w:val="4472C4" w:themeColor="accent1"/>
        </w:rPr>
        <w:t xml:space="preserve"> </w:t>
      </w:r>
    </w:p>
    <w:p w14:paraId="38AB908E" w14:textId="77777777" w:rsidR="00A00B29" w:rsidRPr="00152466" w:rsidRDefault="00A00B29" w:rsidP="00A00B29">
      <w:pPr>
        <w:spacing w:after="0" w:line="276" w:lineRule="auto"/>
        <w:jc w:val="both"/>
        <w:rPr>
          <w:rFonts w:ascii="Verdana" w:hAnsi="Verdana"/>
        </w:rPr>
      </w:pPr>
      <w:r w:rsidRPr="00152466">
        <w:rPr>
          <w:rFonts w:ascii="Verdana" w:hAnsi="Verdana"/>
        </w:rPr>
        <w:t xml:space="preserve">Facebook: </w:t>
      </w:r>
      <w:r w:rsidRPr="00152466">
        <w:rPr>
          <w:rStyle w:val="Hipervnculo"/>
          <w:rFonts w:ascii="Verdana" w:hAnsi="Verdana"/>
          <w:color w:val="4472C4" w:themeColor="accent1"/>
        </w:rPr>
        <w:t>ColombiaCompraEficiente</w:t>
      </w:r>
    </w:p>
    <w:p w14:paraId="28D56D88" w14:textId="77777777" w:rsidR="00A00B29" w:rsidRPr="00152466" w:rsidRDefault="00A00B29" w:rsidP="00A00B29">
      <w:pPr>
        <w:spacing w:after="0" w:line="276" w:lineRule="auto"/>
        <w:jc w:val="both"/>
        <w:rPr>
          <w:rFonts w:ascii="Verdana" w:hAnsi="Verdana"/>
        </w:rPr>
      </w:pPr>
      <w:r w:rsidRPr="00152466">
        <w:rPr>
          <w:rFonts w:ascii="Verdana" w:hAnsi="Verdana"/>
        </w:rPr>
        <w:t xml:space="preserve">LinkedIn: </w:t>
      </w:r>
      <w:r w:rsidRPr="00152466">
        <w:rPr>
          <w:rStyle w:val="Hipervnculo"/>
          <w:rFonts w:ascii="Verdana" w:hAnsi="Verdana"/>
          <w:color w:val="4472C4" w:themeColor="accent1"/>
        </w:rPr>
        <w:t>Agencia Nacional de Contratación Pública - Colombia Compra Eficiente</w:t>
      </w:r>
      <w:r w:rsidRPr="00152466">
        <w:rPr>
          <w:rFonts w:ascii="Verdana" w:hAnsi="Verdana"/>
          <w:color w:val="4472C4" w:themeColor="accent1"/>
        </w:rPr>
        <w:t xml:space="preserve"> </w:t>
      </w:r>
      <w:r w:rsidRPr="00152466">
        <w:rPr>
          <w:rFonts w:ascii="Verdana" w:hAnsi="Verdana"/>
        </w:rPr>
        <w:t xml:space="preserve">Instagram: </w:t>
      </w:r>
      <w:r w:rsidRPr="00152466">
        <w:rPr>
          <w:rStyle w:val="Hipervnculo"/>
          <w:rFonts w:ascii="Verdana" w:hAnsi="Verdana"/>
          <w:color w:val="4472C4" w:themeColor="accent1"/>
        </w:rPr>
        <w:t>@colombiacompraeficiente_cce</w:t>
      </w:r>
    </w:p>
    <w:p w14:paraId="1ED7BAFF" w14:textId="77777777" w:rsidR="00A00B29" w:rsidRPr="00152466" w:rsidRDefault="00A00B29" w:rsidP="00A00B29">
      <w:pPr>
        <w:widowControl w:val="0"/>
        <w:autoSpaceDE w:val="0"/>
        <w:autoSpaceDN w:val="0"/>
        <w:spacing w:after="0" w:line="276" w:lineRule="auto"/>
        <w:jc w:val="both"/>
        <w:rPr>
          <w:rFonts w:ascii="Verdana" w:hAnsi="Verdana"/>
        </w:rPr>
      </w:pPr>
    </w:p>
    <w:p w14:paraId="552D9224" w14:textId="77777777" w:rsidR="00A00B29" w:rsidRPr="00152466" w:rsidRDefault="00A00B29" w:rsidP="00A00B29">
      <w:pPr>
        <w:widowControl w:val="0"/>
        <w:autoSpaceDE w:val="0"/>
        <w:autoSpaceDN w:val="0"/>
        <w:spacing w:after="0" w:line="276" w:lineRule="auto"/>
        <w:jc w:val="both"/>
        <w:rPr>
          <w:rFonts w:ascii="Verdana" w:hAnsi="Verdana" w:cs="Arial"/>
        </w:rPr>
      </w:pPr>
      <w:r w:rsidRPr="00152466">
        <w:rPr>
          <w:rFonts w:ascii="Verdana" w:hAnsi="Verdana" w:cs="Arial"/>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504C502F" w14:textId="77777777" w:rsidR="00A00B29" w:rsidRPr="00152466" w:rsidRDefault="00A00B29" w:rsidP="00A00B29">
      <w:pPr>
        <w:spacing w:after="0" w:line="276" w:lineRule="auto"/>
        <w:ind w:firstLine="709"/>
        <w:jc w:val="both"/>
        <w:rPr>
          <w:rFonts w:ascii="Verdana" w:eastAsia="Times New Roman" w:hAnsi="Verdana" w:cs="Arial"/>
          <w:lang w:eastAsia="es-ES_tradnl"/>
        </w:rPr>
      </w:pPr>
    </w:p>
    <w:p w14:paraId="1AAD0480" w14:textId="252B0914" w:rsidR="00A00B29" w:rsidRDefault="00CD0765" w:rsidP="00A00B29">
      <w:pPr>
        <w:spacing w:after="0" w:line="276" w:lineRule="auto"/>
        <w:jc w:val="both"/>
        <w:rPr>
          <w:rFonts w:ascii="Verdana" w:eastAsia="Times New Roman" w:hAnsi="Verdana" w:cs="Arial"/>
          <w:lang w:eastAsia="es-CO"/>
        </w:rPr>
      </w:pPr>
      <w:bookmarkStart w:id="1" w:name="_Hlk117695077"/>
      <w:r w:rsidRPr="00580D84">
        <w:rPr>
          <w:rFonts w:ascii="Verdana" w:eastAsia="Verdana" w:hAnsi="Verdana" w:cs="Verdana"/>
          <w:b/>
          <w:bCs/>
          <w:noProof/>
          <w:lang w:val="es-MX"/>
        </w:rPr>
        <w:drawing>
          <wp:anchor distT="0" distB="0" distL="114300" distR="114300" simplePos="0" relativeHeight="251661824" behindDoc="1" locked="0" layoutInCell="1" allowOverlap="1" wp14:anchorId="5B2693B5" wp14:editId="4CB8348C">
            <wp:simplePos x="0" y="0"/>
            <wp:positionH relativeFrom="column">
              <wp:posOffset>1355547</wp:posOffset>
            </wp:positionH>
            <wp:positionV relativeFrom="paragraph">
              <wp:posOffset>123825</wp:posOffset>
            </wp:positionV>
            <wp:extent cx="3011805" cy="1067435"/>
            <wp:effectExtent l="0" t="0" r="0" b="0"/>
            <wp:wrapTight wrapText="bothSides">
              <wp:wrapPolygon edited="0">
                <wp:start x="0" y="0"/>
                <wp:lineTo x="0" y="21202"/>
                <wp:lineTo x="21450" y="21202"/>
                <wp:lineTo x="21450" y="0"/>
                <wp:lineTo x="0" y="0"/>
              </wp:wrapPolygon>
            </wp:wrapTight>
            <wp:docPr id="1143186787"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186787" name="Imagen 1" descr="Texto&#10;&#10;El contenido generado por IA puede ser incorrecto."/>
                    <pic:cNvPicPr/>
                  </pic:nvPicPr>
                  <pic:blipFill>
                    <a:blip r:embed="rId14">
                      <a:extLst>
                        <a:ext uri="{28A0092B-C50C-407E-A947-70E740481C1C}">
                          <a14:useLocalDpi xmlns:a14="http://schemas.microsoft.com/office/drawing/2010/main" val="0"/>
                        </a:ext>
                      </a:extLst>
                    </a:blip>
                    <a:stretch>
                      <a:fillRect/>
                    </a:stretch>
                  </pic:blipFill>
                  <pic:spPr>
                    <a:xfrm>
                      <a:off x="0" y="0"/>
                      <a:ext cx="3011805" cy="1067435"/>
                    </a:xfrm>
                    <a:prstGeom prst="rect">
                      <a:avLst/>
                    </a:prstGeom>
                  </pic:spPr>
                </pic:pic>
              </a:graphicData>
            </a:graphic>
            <wp14:sizeRelV relativeFrom="margin">
              <wp14:pctHeight>0</wp14:pctHeight>
            </wp14:sizeRelV>
          </wp:anchor>
        </w:drawing>
      </w:r>
      <w:r w:rsidR="00A00B29" w:rsidRPr="00152466">
        <w:rPr>
          <w:rFonts w:ascii="Verdana" w:eastAsia="Times New Roman" w:hAnsi="Verdana" w:cs="Arial"/>
          <w:lang w:eastAsia="es-CO"/>
        </w:rPr>
        <w:t>Atentamente,</w:t>
      </w:r>
      <w:bookmarkEnd w:id="1"/>
    </w:p>
    <w:p w14:paraId="6FE58705" w14:textId="2F3F2995" w:rsidR="00A00B29" w:rsidRPr="00152466" w:rsidRDefault="00A00B29" w:rsidP="00A00B29">
      <w:pPr>
        <w:spacing w:after="0" w:line="276" w:lineRule="auto"/>
        <w:jc w:val="both"/>
        <w:rPr>
          <w:rFonts w:ascii="Verdana" w:eastAsia="Times New Roman" w:hAnsi="Verdana" w:cs="Arial"/>
          <w:lang w:eastAsia="es-CO"/>
        </w:rPr>
      </w:pPr>
    </w:p>
    <w:p w14:paraId="1ACEC37F" w14:textId="77777777" w:rsidR="005F31FF" w:rsidRPr="00152466" w:rsidRDefault="005F31FF" w:rsidP="00B809EF">
      <w:pPr>
        <w:widowControl w:val="0"/>
        <w:autoSpaceDE w:val="0"/>
        <w:autoSpaceDN w:val="0"/>
        <w:spacing w:after="120" w:line="276" w:lineRule="auto"/>
        <w:ind w:firstLine="709"/>
        <w:jc w:val="both"/>
        <w:rPr>
          <w:rFonts w:ascii="Verdana" w:hAnsi="Verdana" w:cs="Arial"/>
        </w:rPr>
      </w:pPr>
    </w:p>
    <w:p w14:paraId="436FABB8" w14:textId="77777777" w:rsidR="005F31FF" w:rsidRPr="00152466" w:rsidRDefault="005F31FF" w:rsidP="00B809EF">
      <w:pPr>
        <w:widowControl w:val="0"/>
        <w:autoSpaceDE w:val="0"/>
        <w:autoSpaceDN w:val="0"/>
        <w:spacing w:after="120" w:line="276" w:lineRule="auto"/>
        <w:ind w:firstLine="709"/>
        <w:jc w:val="both"/>
        <w:rPr>
          <w:rFonts w:ascii="Verdana" w:hAnsi="Verdana" w:cs="Arial"/>
        </w:rPr>
      </w:pPr>
    </w:p>
    <w:p w14:paraId="0AC1BB90" w14:textId="77777777" w:rsidR="00C97A07" w:rsidRPr="002E0E4D" w:rsidRDefault="00C97A07" w:rsidP="00CD0765">
      <w:pPr>
        <w:widowControl w:val="0"/>
        <w:autoSpaceDE w:val="0"/>
        <w:autoSpaceDN w:val="0"/>
        <w:spacing w:after="120" w:line="276" w:lineRule="auto"/>
        <w:jc w:val="both"/>
        <w:rPr>
          <w:rFonts w:ascii="Verdana" w:hAnsi="Verdana" w:cs="Arial"/>
          <w:sz w:val="21"/>
          <w:szCs w:val="21"/>
        </w:rPr>
      </w:pPr>
    </w:p>
    <w:p w14:paraId="02370F9B" w14:textId="77777777" w:rsidR="002659C3" w:rsidRPr="002659C3" w:rsidRDefault="002659C3" w:rsidP="00B809EF">
      <w:pPr>
        <w:widowControl w:val="0"/>
        <w:autoSpaceDE w:val="0"/>
        <w:autoSpaceDN w:val="0"/>
        <w:spacing w:after="120" w:line="276" w:lineRule="auto"/>
        <w:ind w:firstLine="709"/>
        <w:jc w:val="both"/>
        <w:rPr>
          <w:rFonts w:ascii="Verdana" w:hAnsi="Verdana" w:cs="Arial"/>
          <w:sz w:val="21"/>
          <w:szCs w:val="21"/>
        </w:rPr>
      </w:pPr>
    </w:p>
    <w:tbl>
      <w:tblPr>
        <w:tblW w:w="52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7"/>
        <w:gridCol w:w="4363"/>
      </w:tblGrid>
      <w:tr w:rsidR="00FF0E0A" w:rsidRPr="00B45B4E" w14:paraId="537C5EDF" w14:textId="77777777">
        <w:trPr>
          <w:trHeight w:val="315"/>
        </w:trPr>
        <w:tc>
          <w:tcPr>
            <w:tcW w:w="857" w:type="dxa"/>
            <w:tcBorders>
              <w:top w:val="nil"/>
              <w:left w:val="nil"/>
              <w:bottom w:val="nil"/>
              <w:right w:val="nil"/>
            </w:tcBorders>
            <w:vAlign w:val="center"/>
            <w:hideMark/>
          </w:tcPr>
          <w:p w14:paraId="6A72899A" w14:textId="77777777" w:rsidR="00FF0E0A" w:rsidRPr="00B45B4E" w:rsidRDefault="00FF0E0A">
            <w:pPr>
              <w:autoSpaceDE w:val="0"/>
              <w:autoSpaceDN w:val="0"/>
              <w:adjustRightInd w:val="0"/>
              <w:spacing w:after="0" w:line="240" w:lineRule="auto"/>
              <w:jc w:val="both"/>
              <w:rPr>
                <w:rFonts w:ascii="Verdana" w:eastAsia="Calibri" w:hAnsi="Verdana" w:cs="Arial"/>
                <w:sz w:val="16"/>
                <w:szCs w:val="16"/>
              </w:rPr>
            </w:pPr>
            <w:r w:rsidRPr="00B45B4E">
              <w:rPr>
                <w:rFonts w:ascii="Verdana" w:eastAsia="Calibri" w:hAnsi="Verdana" w:cs="Arial"/>
                <w:sz w:val="16"/>
                <w:szCs w:val="16"/>
              </w:rPr>
              <w:t>Elaboró: </w:t>
            </w:r>
          </w:p>
        </w:tc>
        <w:tc>
          <w:tcPr>
            <w:tcW w:w="4363" w:type="dxa"/>
            <w:tcBorders>
              <w:top w:val="nil"/>
              <w:left w:val="nil"/>
              <w:bottom w:val="dotted" w:sz="6" w:space="0" w:color="7F7F7F" w:themeColor="text1" w:themeTint="80"/>
              <w:right w:val="nil"/>
            </w:tcBorders>
            <w:vAlign w:val="center"/>
            <w:hideMark/>
          </w:tcPr>
          <w:p w14:paraId="4715C55E" w14:textId="77777777" w:rsidR="00FF0E0A" w:rsidRPr="00B45B4E" w:rsidRDefault="00FF0E0A">
            <w:pPr>
              <w:spacing w:after="0" w:line="240" w:lineRule="auto"/>
              <w:jc w:val="both"/>
              <w:rPr>
                <w:rFonts w:ascii="Verdana" w:hAnsi="Verdana" w:cs="Arial"/>
                <w:sz w:val="16"/>
                <w:szCs w:val="16"/>
              </w:rPr>
            </w:pPr>
            <w:r w:rsidRPr="00B45B4E">
              <w:rPr>
                <w:rFonts w:ascii="Verdana" w:hAnsi="Verdana" w:cs="Arial"/>
                <w:sz w:val="16"/>
                <w:szCs w:val="16"/>
              </w:rPr>
              <w:t xml:space="preserve">Kelmis Yirama Brugés Alvarado </w:t>
            </w:r>
          </w:p>
          <w:p w14:paraId="294191A0" w14:textId="77777777" w:rsidR="00FF0E0A" w:rsidRPr="00B45B4E" w:rsidRDefault="00FF0E0A">
            <w:pPr>
              <w:autoSpaceDE w:val="0"/>
              <w:autoSpaceDN w:val="0"/>
              <w:adjustRightInd w:val="0"/>
              <w:spacing w:after="0" w:line="240" w:lineRule="auto"/>
              <w:jc w:val="both"/>
              <w:rPr>
                <w:rFonts w:ascii="Verdana" w:eastAsia="Calibri" w:hAnsi="Verdana" w:cs="Arial"/>
                <w:sz w:val="16"/>
                <w:szCs w:val="16"/>
              </w:rPr>
            </w:pPr>
            <w:r w:rsidRPr="00B45B4E">
              <w:rPr>
                <w:rFonts w:ascii="Verdana" w:eastAsia="Calibri" w:hAnsi="Verdana" w:cs="Arial"/>
                <w:sz w:val="16"/>
                <w:szCs w:val="16"/>
              </w:rPr>
              <w:t>Analista T2-04 de la Subdirección de Gestión Contractual</w:t>
            </w:r>
          </w:p>
        </w:tc>
      </w:tr>
      <w:tr w:rsidR="00FF0E0A" w:rsidRPr="00B45B4E" w14:paraId="5B5E3075" w14:textId="77777777">
        <w:trPr>
          <w:trHeight w:val="315"/>
        </w:trPr>
        <w:tc>
          <w:tcPr>
            <w:tcW w:w="857" w:type="dxa"/>
            <w:tcBorders>
              <w:top w:val="nil"/>
              <w:left w:val="nil"/>
              <w:bottom w:val="nil"/>
              <w:right w:val="nil"/>
            </w:tcBorders>
            <w:vAlign w:val="center"/>
            <w:hideMark/>
          </w:tcPr>
          <w:p w14:paraId="6550703E" w14:textId="77777777" w:rsidR="00FF0E0A" w:rsidRPr="00B45B4E" w:rsidRDefault="00FF0E0A">
            <w:pPr>
              <w:autoSpaceDE w:val="0"/>
              <w:autoSpaceDN w:val="0"/>
              <w:adjustRightInd w:val="0"/>
              <w:spacing w:after="0" w:line="240" w:lineRule="auto"/>
              <w:jc w:val="both"/>
              <w:rPr>
                <w:rFonts w:ascii="Verdana" w:eastAsia="Calibri" w:hAnsi="Verdana" w:cs="Arial"/>
                <w:sz w:val="16"/>
                <w:szCs w:val="16"/>
              </w:rPr>
            </w:pPr>
            <w:r w:rsidRPr="00B45B4E">
              <w:rPr>
                <w:rFonts w:ascii="Verdana" w:eastAsia="Calibri" w:hAnsi="Verdana" w:cs="Arial"/>
                <w:sz w:val="16"/>
                <w:szCs w:val="16"/>
              </w:rPr>
              <w:t>Revisó: </w:t>
            </w:r>
          </w:p>
        </w:tc>
        <w:tc>
          <w:tcPr>
            <w:tcW w:w="4363" w:type="dxa"/>
            <w:tcBorders>
              <w:top w:val="dotted" w:sz="6" w:space="0" w:color="7F7F7F" w:themeColor="text1" w:themeTint="80"/>
              <w:left w:val="nil"/>
              <w:bottom w:val="dotted" w:sz="6" w:space="0" w:color="7F7F7F" w:themeColor="text1" w:themeTint="80"/>
              <w:right w:val="nil"/>
            </w:tcBorders>
            <w:vAlign w:val="center"/>
            <w:hideMark/>
          </w:tcPr>
          <w:p w14:paraId="59EEF58E" w14:textId="23AB470E" w:rsidR="00FF0E0A" w:rsidRDefault="005968EE">
            <w:pPr>
              <w:spacing w:after="0" w:line="240" w:lineRule="auto"/>
              <w:jc w:val="both"/>
              <w:rPr>
                <w:rFonts w:ascii="Verdana" w:hAnsi="Verdana" w:cs="Arial"/>
                <w:sz w:val="16"/>
                <w:szCs w:val="16"/>
              </w:rPr>
            </w:pPr>
            <w:r>
              <w:rPr>
                <w:rFonts w:ascii="Verdana" w:hAnsi="Verdana" w:cs="Arial"/>
                <w:sz w:val="16"/>
                <w:szCs w:val="16"/>
              </w:rPr>
              <w:t>Juan David Cárdenas Cabezas</w:t>
            </w:r>
          </w:p>
          <w:p w14:paraId="3F4F2C2A" w14:textId="04C16836" w:rsidR="00FF0E0A" w:rsidRPr="00B45B4E" w:rsidRDefault="005968EE">
            <w:pPr>
              <w:spacing w:after="0" w:line="240" w:lineRule="auto"/>
              <w:jc w:val="both"/>
              <w:rPr>
                <w:rFonts w:ascii="Verdana" w:hAnsi="Verdana" w:cs="Arial"/>
                <w:sz w:val="16"/>
                <w:szCs w:val="16"/>
              </w:rPr>
            </w:pPr>
            <w:r>
              <w:rPr>
                <w:rFonts w:ascii="Verdana" w:eastAsia="Calibri" w:hAnsi="Verdana" w:cs="Arial"/>
                <w:sz w:val="16"/>
                <w:szCs w:val="16"/>
              </w:rPr>
              <w:t>Contratista</w:t>
            </w:r>
            <w:r w:rsidR="00FF0E0A" w:rsidRPr="00B45B4E">
              <w:rPr>
                <w:rFonts w:ascii="Verdana" w:eastAsia="Calibri" w:hAnsi="Verdana" w:cs="Arial"/>
                <w:sz w:val="16"/>
                <w:szCs w:val="16"/>
              </w:rPr>
              <w:t xml:space="preserve"> de la Subdirección de Gestión Contractual</w:t>
            </w:r>
          </w:p>
        </w:tc>
      </w:tr>
      <w:tr w:rsidR="00FF0E0A" w:rsidRPr="00B45B4E" w14:paraId="6DEAD9C0" w14:textId="77777777">
        <w:trPr>
          <w:trHeight w:val="315"/>
        </w:trPr>
        <w:tc>
          <w:tcPr>
            <w:tcW w:w="857" w:type="dxa"/>
            <w:tcBorders>
              <w:top w:val="nil"/>
              <w:left w:val="nil"/>
              <w:bottom w:val="nil"/>
              <w:right w:val="nil"/>
            </w:tcBorders>
            <w:vAlign w:val="center"/>
            <w:hideMark/>
          </w:tcPr>
          <w:p w14:paraId="4775D33E" w14:textId="77777777" w:rsidR="00FF0E0A" w:rsidRPr="00B45B4E" w:rsidRDefault="00FF0E0A">
            <w:pPr>
              <w:autoSpaceDE w:val="0"/>
              <w:autoSpaceDN w:val="0"/>
              <w:adjustRightInd w:val="0"/>
              <w:spacing w:after="0" w:line="240" w:lineRule="auto"/>
              <w:jc w:val="both"/>
              <w:rPr>
                <w:rFonts w:ascii="Verdana" w:eastAsia="Calibri" w:hAnsi="Verdana" w:cs="Arial"/>
                <w:sz w:val="16"/>
                <w:szCs w:val="16"/>
              </w:rPr>
            </w:pPr>
            <w:r w:rsidRPr="00B45B4E">
              <w:rPr>
                <w:rFonts w:ascii="Verdana" w:eastAsia="Calibri" w:hAnsi="Verdana" w:cs="Arial"/>
                <w:sz w:val="16"/>
                <w:szCs w:val="16"/>
              </w:rPr>
              <w:t>Aprobó: </w:t>
            </w:r>
          </w:p>
        </w:tc>
        <w:tc>
          <w:tcPr>
            <w:tcW w:w="4363" w:type="dxa"/>
            <w:tcBorders>
              <w:top w:val="dotted" w:sz="6" w:space="0" w:color="7F7F7F" w:themeColor="text1" w:themeTint="80"/>
              <w:left w:val="nil"/>
              <w:bottom w:val="dotted" w:sz="6" w:space="0" w:color="7F7F7F" w:themeColor="text1" w:themeTint="80"/>
              <w:right w:val="nil"/>
            </w:tcBorders>
            <w:vAlign w:val="center"/>
            <w:hideMark/>
          </w:tcPr>
          <w:p w14:paraId="0E35CA18" w14:textId="77777777" w:rsidR="00FF0E0A" w:rsidRPr="004D7F5E" w:rsidRDefault="00FF0E0A">
            <w:pPr>
              <w:spacing w:after="0" w:line="240" w:lineRule="auto"/>
              <w:jc w:val="both"/>
              <w:rPr>
                <w:rFonts w:ascii="Verdana" w:hAnsi="Verdana" w:cs="Arial"/>
                <w:sz w:val="16"/>
                <w:szCs w:val="16"/>
              </w:rPr>
            </w:pPr>
            <w:r w:rsidRPr="004D7F5E">
              <w:rPr>
                <w:rFonts w:ascii="Verdana" w:hAnsi="Verdana" w:cs="Arial"/>
                <w:sz w:val="16"/>
                <w:szCs w:val="16"/>
              </w:rPr>
              <w:t>Carolina Quintero Gacharná</w:t>
            </w:r>
          </w:p>
          <w:p w14:paraId="4096A2A8" w14:textId="77777777" w:rsidR="00FF0E0A" w:rsidRPr="004D7F5E" w:rsidRDefault="00FF0E0A">
            <w:pPr>
              <w:spacing w:after="0" w:line="240" w:lineRule="auto"/>
              <w:jc w:val="both"/>
              <w:rPr>
                <w:rFonts w:ascii="Verdana" w:hAnsi="Verdana" w:cs="Arial"/>
                <w:sz w:val="16"/>
                <w:szCs w:val="16"/>
              </w:rPr>
            </w:pPr>
            <w:r w:rsidRPr="004D7F5E">
              <w:rPr>
                <w:rFonts w:ascii="Verdana" w:hAnsi="Verdana" w:cs="Arial"/>
                <w:sz w:val="16"/>
                <w:szCs w:val="16"/>
              </w:rPr>
              <w:t xml:space="preserve">Subdirectora de Gestión Contractual </w:t>
            </w:r>
          </w:p>
        </w:tc>
      </w:tr>
    </w:tbl>
    <w:p w14:paraId="0404CA49" w14:textId="50FEF66C" w:rsidR="00601BA1" w:rsidRPr="00FF0E0A" w:rsidRDefault="00601BA1" w:rsidP="00FF0E0A">
      <w:pPr>
        <w:spacing w:after="120" w:line="276" w:lineRule="auto"/>
        <w:jc w:val="both"/>
        <w:rPr>
          <w:rFonts w:ascii="Verdana" w:eastAsia="Century Gothic" w:hAnsi="Verdana" w:cs="Century Gothic"/>
          <w:color w:val="000000" w:themeColor="text1"/>
        </w:rPr>
      </w:pPr>
    </w:p>
    <w:p w14:paraId="5BA65BE5" w14:textId="77777777" w:rsidR="00601BA1" w:rsidRPr="00E02524" w:rsidRDefault="00601BA1" w:rsidP="30821638">
      <w:pPr>
        <w:spacing w:after="0" w:line="240" w:lineRule="auto"/>
        <w:jc w:val="both"/>
        <w:rPr>
          <w:rFonts w:ascii="Verdana" w:eastAsia="Verdana" w:hAnsi="Verdana" w:cs="Verdana"/>
          <w:b/>
          <w:bCs/>
          <w:lang w:val="es-MX"/>
        </w:rPr>
      </w:pPr>
    </w:p>
    <w:p w14:paraId="1006A388" w14:textId="77777777" w:rsidR="00C15139" w:rsidRPr="000E2B93" w:rsidRDefault="00C15139" w:rsidP="30821638">
      <w:pPr>
        <w:spacing w:after="0" w:line="240" w:lineRule="auto"/>
        <w:jc w:val="both"/>
        <w:textAlignment w:val="baseline"/>
        <w:rPr>
          <w:rFonts w:ascii="Verdana" w:eastAsia="Verdana" w:hAnsi="Verdana" w:cs="Verdana"/>
          <w:lang w:eastAsia="es-CO"/>
        </w:rPr>
      </w:pPr>
    </w:p>
    <w:p w14:paraId="69BC4D14" w14:textId="39B56E0D"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sectPr w:rsidR="00C15139" w:rsidRPr="000E2B93" w:rsidSect="007C0C0F">
      <w:headerReference w:type="default" r:id="rId15"/>
      <w:footerReference w:type="default" r:id="rId16"/>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C5EB0" w14:textId="77777777" w:rsidR="0089123D" w:rsidRDefault="0089123D" w:rsidP="004A1847">
      <w:pPr>
        <w:spacing w:after="0" w:line="240" w:lineRule="auto"/>
      </w:pPr>
      <w:r>
        <w:separator/>
      </w:r>
    </w:p>
  </w:endnote>
  <w:endnote w:type="continuationSeparator" w:id="0">
    <w:p w14:paraId="04FAD2F1" w14:textId="77777777" w:rsidR="0089123D" w:rsidRDefault="0089123D"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MT">
    <w:altName w:val="Arial"/>
    <w:charset w:val="01"/>
    <w:family w:val="swiss"/>
    <w:pitch w:val="variable"/>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29B58" w14:textId="77777777" w:rsidR="0089123D" w:rsidRDefault="0089123D" w:rsidP="004A1847">
      <w:pPr>
        <w:spacing w:after="0" w:line="240" w:lineRule="auto"/>
      </w:pPr>
      <w:r>
        <w:separator/>
      </w:r>
    </w:p>
  </w:footnote>
  <w:footnote w:type="continuationSeparator" w:id="0">
    <w:p w14:paraId="30CCB0DE" w14:textId="77777777" w:rsidR="0089123D" w:rsidRDefault="0089123D" w:rsidP="004A1847">
      <w:pPr>
        <w:spacing w:after="0" w:line="240" w:lineRule="auto"/>
      </w:pPr>
      <w:r>
        <w:continuationSeparator/>
      </w:r>
    </w:p>
  </w:footnote>
  <w:footnote w:id="1">
    <w:p w14:paraId="294FD160" w14:textId="77777777" w:rsidR="00C97A07" w:rsidRPr="004A5A11" w:rsidRDefault="00C97A07" w:rsidP="00C97A07">
      <w:pPr>
        <w:pStyle w:val="Textonotapie"/>
        <w:ind w:firstLine="708"/>
        <w:jc w:val="both"/>
        <w:rPr>
          <w:rFonts w:ascii="Verdana" w:hAnsi="Verdana"/>
          <w:sz w:val="16"/>
          <w:szCs w:val="16"/>
          <w:lang w:val="es-CO"/>
        </w:rPr>
      </w:pPr>
      <w:r w:rsidRPr="004A5A11">
        <w:rPr>
          <w:rStyle w:val="Refdenotaalpie"/>
          <w:rFonts w:ascii="Verdana" w:hAnsi="Verdana"/>
          <w:sz w:val="16"/>
          <w:szCs w:val="16"/>
        </w:rPr>
        <w:footnoteRef/>
      </w:r>
      <w:r w:rsidRPr="004A5A11">
        <w:rPr>
          <w:rFonts w:ascii="Verdana" w:hAnsi="Verdana"/>
          <w:sz w:val="16"/>
          <w:szCs w:val="16"/>
        </w:rPr>
        <w:t xml:space="preserve"> </w:t>
      </w:r>
      <w:r w:rsidRPr="004A5A11">
        <w:rPr>
          <w:rFonts w:ascii="Verdana" w:hAnsi="Verdana"/>
          <w:sz w:val="16"/>
          <w:szCs w:val="16"/>
          <w:u w:val="single"/>
          <w:lang w:val="es-CO"/>
        </w:rPr>
        <w:t>Decreto 1068 de 2015: “Artículo 2.8.4.4.5.</w:t>
      </w:r>
      <w:r w:rsidRPr="004A5A11">
        <w:rPr>
          <w:rFonts w:ascii="Verdana" w:hAnsi="Verdana"/>
          <w:sz w:val="16"/>
          <w:szCs w:val="16"/>
          <w:lang w:val="es-CO"/>
        </w:rPr>
        <w:t xml:space="preserve"> Condiciones para contratar la prestación de servicios. Los contratos de prestación de servicios con personas naturales o jurídicas, sólo se podrán celebrar cuando no exista personal de planta con capacidad para realizar las actividades que se contratarán. </w:t>
      </w:r>
    </w:p>
    <w:p w14:paraId="76202896" w14:textId="77777777" w:rsidR="00C97A07" w:rsidRPr="004A5A11" w:rsidRDefault="00C97A07" w:rsidP="00C97A07">
      <w:pPr>
        <w:pStyle w:val="Textonotapie"/>
        <w:ind w:firstLine="708"/>
        <w:jc w:val="both"/>
        <w:rPr>
          <w:rFonts w:ascii="Verdana" w:hAnsi="Verdana"/>
          <w:sz w:val="16"/>
          <w:szCs w:val="16"/>
          <w:lang w:val="es-CO"/>
        </w:rPr>
      </w:pPr>
      <w:r w:rsidRPr="004A5A11">
        <w:rPr>
          <w:rFonts w:ascii="Verdana" w:hAnsi="Verdana"/>
          <w:sz w:val="16"/>
          <w:szCs w:val="16"/>
          <w:lang w:val="es-CO"/>
        </w:rPr>
        <w:t xml:space="preserve">Se entiende que no existe personal de planta en el respectivo organismo, entidad, ente público o persona jurídica, es imposible atender la actividad con personal de planta, porque de acuerdo con los manuales específicos, no existe personal que pueda desarrollar la actividad para la cual se requiere contratar la prestación del servicio, o cuando el desarrollo de la actividad requiere un grado de especialización que implica la contratación del servicio, o cuando aun existiendo personal en la planta, éste no sea suficiente, la inexistencia de personal suficiente deberá acreditarse por el jefe del respectivo organismo. </w:t>
      </w:r>
    </w:p>
    <w:p w14:paraId="4AC20518" w14:textId="77777777" w:rsidR="00C97A07" w:rsidRPr="004A5A11" w:rsidRDefault="00C97A07" w:rsidP="00C97A07">
      <w:pPr>
        <w:pStyle w:val="Textonotapie"/>
        <w:ind w:firstLine="708"/>
        <w:jc w:val="both"/>
        <w:rPr>
          <w:rFonts w:ascii="Verdana" w:hAnsi="Verdana"/>
          <w:sz w:val="16"/>
          <w:szCs w:val="16"/>
          <w:lang w:val="es-CO"/>
        </w:rPr>
      </w:pPr>
      <w:r w:rsidRPr="004A5A11">
        <w:rPr>
          <w:rFonts w:ascii="Verdana" w:hAnsi="Verdana"/>
          <w:sz w:val="16"/>
          <w:szCs w:val="16"/>
          <w:lang w:val="es-CO"/>
        </w:rPr>
        <w:t>Tampoco se podrán celebrar estos contratos cuando existan relaciones contractuales vigentes con objeto igual al del contrato que se pretende suscribir, salvo autorización expresa del jefe del respectivo órgano, ente o entidad contratante. Esta autorización estará precedida de la sustentación sobre las especiales características y necesidades técnicas de las contrataciones a realizar”.</w:t>
      </w:r>
    </w:p>
    <w:p w14:paraId="104A3447" w14:textId="77777777" w:rsidR="00C97A07" w:rsidRPr="004A5A11" w:rsidRDefault="00C97A07" w:rsidP="00C97A07">
      <w:pPr>
        <w:pStyle w:val="Textonotapie"/>
        <w:ind w:firstLine="708"/>
        <w:jc w:val="both"/>
        <w:rPr>
          <w:rFonts w:ascii="Verdana" w:hAnsi="Verdana"/>
          <w:sz w:val="16"/>
          <w:szCs w:val="16"/>
          <w:lang w:val="es-CO"/>
        </w:rPr>
      </w:pPr>
    </w:p>
  </w:footnote>
  <w:footnote w:id="2">
    <w:p w14:paraId="09C43102" w14:textId="77777777" w:rsidR="00C97A07" w:rsidRPr="004A5A11" w:rsidRDefault="00C97A07" w:rsidP="00C97A07">
      <w:pPr>
        <w:pStyle w:val="Textonotapie"/>
        <w:ind w:firstLine="708"/>
        <w:jc w:val="both"/>
        <w:rPr>
          <w:rFonts w:ascii="Verdana" w:hAnsi="Verdana"/>
          <w:sz w:val="16"/>
          <w:szCs w:val="16"/>
        </w:rPr>
      </w:pPr>
      <w:r w:rsidRPr="004A5A11">
        <w:rPr>
          <w:rStyle w:val="Refdenotaalpie"/>
          <w:rFonts w:ascii="Verdana" w:hAnsi="Verdana"/>
          <w:sz w:val="16"/>
          <w:szCs w:val="16"/>
        </w:rPr>
        <w:footnoteRef/>
      </w:r>
      <w:r w:rsidRPr="004A5A11">
        <w:rPr>
          <w:rFonts w:ascii="Verdana" w:hAnsi="Verdana"/>
          <w:sz w:val="16"/>
          <w:szCs w:val="16"/>
        </w:rPr>
        <w:t xml:space="preserve">  El artículo 22 del Código Sustantivo del Trabajo establece: “1. Contrato de trabajo es aquel por el cual una persona natural se obliga a prestar un servicio personal a otra persona, natural o jurídica, bajo la continuada dependencia o subordinación de la segunda y mediante remuneración.</w:t>
      </w:r>
    </w:p>
    <w:p w14:paraId="4698C975" w14:textId="77777777" w:rsidR="00C97A07" w:rsidRPr="004A5A11" w:rsidRDefault="00C97A07" w:rsidP="00C97A07">
      <w:pPr>
        <w:pStyle w:val="Textonotapie"/>
        <w:ind w:firstLine="708"/>
        <w:jc w:val="both"/>
        <w:rPr>
          <w:rFonts w:ascii="Verdana" w:hAnsi="Verdana"/>
          <w:sz w:val="16"/>
          <w:szCs w:val="16"/>
          <w:lang w:val="es-CO"/>
        </w:rPr>
      </w:pPr>
      <w:r w:rsidRPr="004A5A11">
        <w:rPr>
          <w:rFonts w:ascii="Verdana" w:hAnsi="Verdana"/>
          <w:sz w:val="16"/>
          <w:szCs w:val="16"/>
          <w:lang w:val="es-CO"/>
        </w:rPr>
        <w:t>2. Quien presta el servicio se denomina trabajador, quien lo recibe y remunera, empleador, y la remuneración, cualquiera que sea su forma, salario”.</w:t>
      </w:r>
    </w:p>
    <w:p w14:paraId="6E755C07" w14:textId="77777777" w:rsidR="00C97A07" w:rsidRPr="003150A9" w:rsidRDefault="00C97A07" w:rsidP="00C97A07">
      <w:pPr>
        <w:pStyle w:val="Textonotapie"/>
        <w:ind w:firstLine="708"/>
        <w:jc w:val="both"/>
        <w:rPr>
          <w:rFonts w:ascii="Verdana" w:hAnsi="Verdana"/>
          <w:sz w:val="18"/>
          <w:szCs w:val="18"/>
          <w:lang w:val="es-CO"/>
        </w:rPr>
      </w:pPr>
    </w:p>
  </w:footnote>
  <w:footnote w:id="3">
    <w:p w14:paraId="2758602C" w14:textId="77777777" w:rsidR="00C97A07" w:rsidRPr="004A5A11" w:rsidRDefault="00C97A07" w:rsidP="00C97A07">
      <w:pPr>
        <w:pStyle w:val="Textonotapie"/>
        <w:ind w:firstLine="708"/>
        <w:jc w:val="both"/>
        <w:rPr>
          <w:rFonts w:ascii="Verdana" w:hAnsi="Verdana"/>
          <w:sz w:val="16"/>
          <w:szCs w:val="16"/>
          <w:lang w:val="es-CO"/>
        </w:rPr>
      </w:pPr>
      <w:r w:rsidRPr="004A5A11">
        <w:rPr>
          <w:rStyle w:val="Refdenotaalpie"/>
          <w:rFonts w:ascii="Verdana" w:hAnsi="Verdana"/>
          <w:sz w:val="16"/>
          <w:szCs w:val="16"/>
        </w:rPr>
        <w:footnoteRef/>
      </w:r>
      <w:r w:rsidRPr="004A5A11">
        <w:rPr>
          <w:rFonts w:ascii="Verdana" w:hAnsi="Verdana"/>
          <w:sz w:val="16"/>
          <w:szCs w:val="16"/>
        </w:rPr>
        <w:t xml:space="preserve"> </w:t>
      </w:r>
      <w:r w:rsidRPr="004A5A11">
        <w:rPr>
          <w:rFonts w:ascii="Verdana" w:hAnsi="Verdana"/>
          <w:sz w:val="16"/>
          <w:szCs w:val="16"/>
          <w:lang w:val="es-CO"/>
        </w:rPr>
        <w:t>Corte Constitucional. Sentencia C-154 de 1997. Magistrado Ponente: Hernando Herrera Vergara.</w:t>
      </w:r>
    </w:p>
    <w:p w14:paraId="046E338E" w14:textId="77777777" w:rsidR="00C97A07" w:rsidRPr="004A5A11" w:rsidRDefault="00C97A07" w:rsidP="00C97A07">
      <w:pPr>
        <w:pStyle w:val="Textonotapie"/>
        <w:ind w:firstLine="708"/>
        <w:jc w:val="both"/>
        <w:rPr>
          <w:rFonts w:ascii="Verdana" w:hAnsi="Verdana"/>
          <w:sz w:val="16"/>
          <w:szCs w:val="16"/>
          <w:lang w:val="es-CO"/>
        </w:rPr>
      </w:pPr>
    </w:p>
  </w:footnote>
  <w:footnote w:id="4">
    <w:p w14:paraId="101825DA" w14:textId="77777777" w:rsidR="002E0E4D" w:rsidRPr="004A5A11" w:rsidRDefault="002E0E4D" w:rsidP="002E0E4D">
      <w:pPr>
        <w:pStyle w:val="Textonotapie"/>
        <w:ind w:firstLine="708"/>
        <w:jc w:val="both"/>
        <w:rPr>
          <w:rFonts w:ascii="Verdana" w:hAnsi="Verdana"/>
          <w:sz w:val="16"/>
          <w:szCs w:val="16"/>
        </w:rPr>
      </w:pPr>
      <w:r w:rsidRPr="004A5A11">
        <w:rPr>
          <w:rStyle w:val="Refdenotaalpie"/>
          <w:rFonts w:ascii="Verdana" w:hAnsi="Verdana"/>
          <w:sz w:val="16"/>
          <w:szCs w:val="16"/>
        </w:rPr>
        <w:footnoteRef/>
      </w:r>
      <w:r w:rsidRPr="004A5A11">
        <w:rPr>
          <w:rFonts w:ascii="Verdana" w:hAnsi="Verdana"/>
          <w:sz w:val="16"/>
          <w:szCs w:val="16"/>
        </w:rPr>
        <w:t xml:space="preserve"> Ibid. </w:t>
      </w:r>
    </w:p>
    <w:p w14:paraId="0970DB83" w14:textId="77777777" w:rsidR="002E0E4D" w:rsidRPr="004A5A11" w:rsidRDefault="002E0E4D" w:rsidP="002E0E4D">
      <w:pPr>
        <w:pStyle w:val="Textonotapie"/>
        <w:ind w:firstLine="708"/>
        <w:jc w:val="both"/>
        <w:rPr>
          <w:rFonts w:ascii="Verdana" w:hAnsi="Verdana"/>
          <w:sz w:val="16"/>
          <w:szCs w:val="16"/>
          <w:lang w:val="es-CO"/>
        </w:rPr>
      </w:pPr>
    </w:p>
  </w:footnote>
  <w:footnote w:id="5">
    <w:p w14:paraId="2E1B9D5E" w14:textId="77777777" w:rsidR="005F31FF" w:rsidRPr="004A5A11" w:rsidRDefault="005F31FF" w:rsidP="005F31FF">
      <w:pPr>
        <w:pStyle w:val="Textonotapie"/>
        <w:ind w:firstLine="708"/>
        <w:jc w:val="both"/>
        <w:rPr>
          <w:rFonts w:ascii="Verdana" w:hAnsi="Verdana"/>
          <w:sz w:val="16"/>
          <w:szCs w:val="16"/>
          <w:lang w:val="es-CO"/>
        </w:rPr>
      </w:pPr>
      <w:r w:rsidRPr="004A5A11">
        <w:rPr>
          <w:rStyle w:val="Refdenotaalpie"/>
          <w:rFonts w:ascii="Verdana" w:hAnsi="Verdana"/>
          <w:sz w:val="16"/>
          <w:szCs w:val="16"/>
        </w:rPr>
        <w:footnoteRef/>
      </w:r>
      <w:r w:rsidRPr="004A5A11">
        <w:rPr>
          <w:rFonts w:ascii="Verdana" w:hAnsi="Verdana"/>
          <w:sz w:val="16"/>
          <w:szCs w:val="16"/>
        </w:rPr>
        <w:t xml:space="preserve"> </w:t>
      </w:r>
      <w:r w:rsidRPr="004A5A11">
        <w:rPr>
          <w:rFonts w:ascii="Verdana" w:hAnsi="Verdana"/>
          <w:sz w:val="16"/>
          <w:szCs w:val="16"/>
          <w:lang w:val="es-CO"/>
        </w:rPr>
        <w:t xml:space="preserve">El Decreto 1082 de 2015 lo establece así: “Artículo 2.2.1.2.1.4.9. Contratos de prestación de servicios profesionales y de apoyo a la gestión, o para la ejecución de trabajos artísticos que solo pueden encomendarse a determinadas personas naturales. Las Entidades Estatales pueden contratar bajo la modalidad de contratación directa la prestación de servicios profesionales y de apoyo a la gestión con la persona natural o jurídica que esté en capacidad de ejecutar el objeto del contrato, siempre y cuando la Entidad Estatal verifique la idoneidad o experiencia requerida y relacionada con el área de que se trate. En este caso, no es necesario que la Entidad Estatal haya obtenido previamente varias ofertas, de lo cual el ordenador del gasto debe dejar constancia escrita. </w:t>
      </w:r>
    </w:p>
    <w:p w14:paraId="7470EBB9" w14:textId="77777777" w:rsidR="005F31FF" w:rsidRPr="004A5A11" w:rsidRDefault="005F31FF" w:rsidP="005F31FF">
      <w:pPr>
        <w:pStyle w:val="Textonotapie"/>
        <w:ind w:firstLine="708"/>
        <w:jc w:val="both"/>
        <w:rPr>
          <w:rFonts w:ascii="Verdana" w:hAnsi="Verdana"/>
          <w:sz w:val="16"/>
          <w:szCs w:val="16"/>
          <w:lang w:val="es-CO"/>
        </w:rPr>
      </w:pPr>
      <w:r w:rsidRPr="004A5A11">
        <w:rPr>
          <w:rFonts w:ascii="Verdana" w:hAnsi="Verdana"/>
          <w:sz w:val="16"/>
          <w:szCs w:val="16"/>
          <w:lang w:val="es-CO"/>
        </w:rPr>
        <w:t xml:space="preserve">Los servicios profesionales y de apoyo a la gestión corresponden a aquellos de naturaleza intelectual diferentes a los de consultoría que se derivan del cumplimiento de las funciones de la Entidad Estatal, así como los relacionados con actividades operativas, logísticas, o asistenciales. </w:t>
      </w:r>
    </w:p>
    <w:p w14:paraId="2B100A79" w14:textId="77777777" w:rsidR="005F31FF" w:rsidRPr="004A5A11" w:rsidRDefault="005F31FF" w:rsidP="005F31FF">
      <w:pPr>
        <w:pStyle w:val="Textonotapie"/>
        <w:ind w:firstLine="708"/>
        <w:jc w:val="both"/>
        <w:rPr>
          <w:rFonts w:ascii="Verdana" w:hAnsi="Verdana"/>
          <w:sz w:val="16"/>
          <w:szCs w:val="16"/>
          <w:lang w:val="es-CO"/>
        </w:rPr>
      </w:pPr>
      <w:r w:rsidRPr="004A5A11">
        <w:rPr>
          <w:rFonts w:ascii="Verdana" w:hAnsi="Verdana"/>
          <w:sz w:val="16"/>
          <w:szCs w:val="16"/>
          <w:lang w:val="es-CO"/>
        </w:rPr>
        <w:t>La Entidad Estatal, para la contratación de trabajos artísticos que solamente puedan en-comendarse a determinadas personas naturales, debe justificar esta situación en los estudios y documentos previos”.</w:t>
      </w:r>
    </w:p>
    <w:p w14:paraId="216E9DF3" w14:textId="77777777" w:rsidR="005F31FF" w:rsidRPr="004A5A11" w:rsidRDefault="005F31FF" w:rsidP="005F31FF">
      <w:pPr>
        <w:pStyle w:val="Textonotapie"/>
        <w:ind w:firstLine="708"/>
        <w:jc w:val="both"/>
        <w:rPr>
          <w:rFonts w:ascii="Verdana" w:hAnsi="Verdana"/>
          <w:sz w:val="16"/>
          <w:szCs w:val="16"/>
          <w:lang w:val="es-CO"/>
        </w:rPr>
      </w:pPr>
    </w:p>
  </w:footnote>
  <w:footnote w:id="6">
    <w:p w14:paraId="2BAE2C86" w14:textId="77777777" w:rsidR="005F31FF" w:rsidRPr="004A5A11" w:rsidRDefault="005F31FF" w:rsidP="005F31FF">
      <w:pPr>
        <w:pStyle w:val="Textonotapie"/>
        <w:ind w:firstLine="708"/>
        <w:jc w:val="both"/>
        <w:rPr>
          <w:rFonts w:ascii="Verdana" w:hAnsi="Verdana"/>
          <w:sz w:val="16"/>
          <w:szCs w:val="16"/>
          <w:lang w:val="es-CO"/>
        </w:rPr>
      </w:pPr>
      <w:r w:rsidRPr="004A5A11">
        <w:rPr>
          <w:rStyle w:val="Refdenotaalpie"/>
          <w:rFonts w:ascii="Verdana" w:hAnsi="Verdana"/>
          <w:sz w:val="16"/>
          <w:szCs w:val="16"/>
        </w:rPr>
        <w:footnoteRef/>
      </w:r>
      <w:r w:rsidRPr="004A5A11">
        <w:rPr>
          <w:rFonts w:ascii="Verdana" w:hAnsi="Verdana"/>
          <w:sz w:val="16"/>
          <w:szCs w:val="16"/>
        </w:rPr>
        <w:t xml:space="preserve"> </w:t>
      </w:r>
      <w:r w:rsidRPr="004A5A11">
        <w:rPr>
          <w:rFonts w:ascii="Verdana" w:hAnsi="Verdana"/>
          <w:sz w:val="16"/>
          <w:szCs w:val="16"/>
          <w:lang w:val="es-CO"/>
        </w:rPr>
        <w:t>Consejo de Estado. Sala de lo Contencioso Administrativo. Sección Tercera. Subsección C. Sentencia del 2 de diciembre de 2013. Exp. 41719. Consejero Ponente: Jaime Orlando Santofimio Gamboa.</w:t>
      </w:r>
    </w:p>
    <w:p w14:paraId="53EEE1D3" w14:textId="77777777" w:rsidR="005F31FF" w:rsidRPr="004A5A11" w:rsidRDefault="005F31FF" w:rsidP="005F31FF">
      <w:pPr>
        <w:pStyle w:val="Textonotapie"/>
        <w:ind w:firstLine="708"/>
        <w:jc w:val="both"/>
        <w:rPr>
          <w:rFonts w:ascii="Verdana" w:hAnsi="Verdana"/>
          <w:sz w:val="16"/>
          <w:szCs w:val="16"/>
          <w:lang w:val="es-CO"/>
        </w:rPr>
      </w:pPr>
    </w:p>
  </w:footnote>
  <w:footnote w:id="7">
    <w:p w14:paraId="71809C50" w14:textId="77777777" w:rsidR="004A5A11" w:rsidRPr="00B809EF" w:rsidRDefault="004A5A11" w:rsidP="004A5A11">
      <w:pPr>
        <w:pStyle w:val="Textonotapie"/>
        <w:ind w:firstLine="708"/>
        <w:jc w:val="both"/>
        <w:rPr>
          <w:rFonts w:ascii="Verdana" w:hAnsi="Verdana"/>
          <w:sz w:val="16"/>
          <w:szCs w:val="16"/>
        </w:rPr>
      </w:pPr>
      <w:r w:rsidRPr="00B809EF">
        <w:rPr>
          <w:rStyle w:val="Refdenotaalpie"/>
          <w:rFonts w:ascii="Verdana" w:hAnsi="Verdana"/>
          <w:sz w:val="16"/>
          <w:szCs w:val="16"/>
        </w:rPr>
        <w:footnoteRef/>
      </w:r>
      <w:r w:rsidRPr="00B809EF">
        <w:rPr>
          <w:rFonts w:ascii="Verdana" w:hAnsi="Verdana"/>
          <w:sz w:val="16"/>
          <w:szCs w:val="16"/>
        </w:rPr>
        <w:t xml:space="preserve"> Ibid.</w:t>
      </w:r>
    </w:p>
    <w:p w14:paraId="6DF999FA" w14:textId="77777777" w:rsidR="004A5A11" w:rsidRPr="00B809EF" w:rsidRDefault="004A5A11" w:rsidP="004A5A11">
      <w:pPr>
        <w:pStyle w:val="Textonotapie"/>
        <w:ind w:firstLine="708"/>
        <w:jc w:val="both"/>
        <w:rPr>
          <w:rFonts w:ascii="Verdana" w:hAnsi="Verdana"/>
          <w:sz w:val="16"/>
          <w:szCs w:val="16"/>
          <w:lang w:val="es-CO"/>
        </w:rPr>
      </w:pPr>
    </w:p>
  </w:footnote>
  <w:footnote w:id="8">
    <w:p w14:paraId="50DDEA78" w14:textId="77777777" w:rsidR="00B809EF" w:rsidRPr="00B809EF" w:rsidRDefault="00B809EF" w:rsidP="00B809EF">
      <w:pPr>
        <w:pStyle w:val="Textonotapie"/>
        <w:ind w:firstLine="708"/>
        <w:jc w:val="both"/>
        <w:rPr>
          <w:rFonts w:ascii="Verdana" w:hAnsi="Verdana"/>
          <w:sz w:val="16"/>
          <w:szCs w:val="16"/>
        </w:rPr>
      </w:pPr>
      <w:r w:rsidRPr="00B809EF">
        <w:rPr>
          <w:rStyle w:val="Refdenotaalpie"/>
          <w:rFonts w:ascii="Verdana" w:hAnsi="Verdana"/>
          <w:sz w:val="16"/>
          <w:szCs w:val="16"/>
        </w:rPr>
        <w:footnoteRef/>
      </w:r>
      <w:r w:rsidRPr="00B809EF">
        <w:rPr>
          <w:rFonts w:ascii="Verdana" w:hAnsi="Verdana"/>
          <w:sz w:val="16"/>
          <w:szCs w:val="16"/>
        </w:rPr>
        <w:t xml:space="preserve"> Ibid.</w:t>
      </w:r>
    </w:p>
    <w:p w14:paraId="6C78EE49" w14:textId="77777777" w:rsidR="00B809EF" w:rsidRPr="00B809EF" w:rsidRDefault="00B809EF" w:rsidP="00B809EF">
      <w:pPr>
        <w:pStyle w:val="Textonotapie"/>
        <w:ind w:firstLine="708"/>
        <w:jc w:val="both"/>
        <w:rPr>
          <w:rFonts w:ascii="Verdana" w:hAnsi="Verdana"/>
          <w:sz w:val="16"/>
          <w:szCs w:val="16"/>
          <w:lang w:val="es-CO"/>
        </w:rPr>
      </w:pPr>
    </w:p>
  </w:footnote>
  <w:footnote w:id="9">
    <w:p w14:paraId="765A478C" w14:textId="77777777" w:rsidR="00B809EF" w:rsidRPr="00B809EF" w:rsidRDefault="00B809EF" w:rsidP="00B809EF">
      <w:pPr>
        <w:pStyle w:val="Textonotapie"/>
        <w:ind w:firstLine="708"/>
        <w:jc w:val="both"/>
        <w:rPr>
          <w:rFonts w:ascii="Verdana" w:hAnsi="Verdana"/>
          <w:sz w:val="16"/>
          <w:szCs w:val="16"/>
          <w:lang w:val="es-CO"/>
        </w:rPr>
      </w:pPr>
      <w:r w:rsidRPr="00B809EF">
        <w:rPr>
          <w:rStyle w:val="Refdenotaalpie"/>
          <w:rFonts w:ascii="Verdana" w:hAnsi="Verdana"/>
          <w:sz w:val="16"/>
          <w:szCs w:val="16"/>
        </w:rPr>
        <w:footnoteRef/>
      </w:r>
      <w:r w:rsidRPr="00B809EF">
        <w:rPr>
          <w:rFonts w:ascii="Verdana" w:hAnsi="Verdana"/>
          <w:sz w:val="16"/>
          <w:szCs w:val="16"/>
        </w:rPr>
        <w:t xml:space="preserve"> </w:t>
      </w:r>
      <w:r w:rsidRPr="00B809EF">
        <w:rPr>
          <w:rFonts w:ascii="Verdana" w:hAnsi="Verdana"/>
          <w:sz w:val="16"/>
          <w:szCs w:val="16"/>
          <w:lang w:val="es-CO"/>
        </w:rPr>
        <w:t>Ibíd. En efecto, el numeral 2º del artículo 32 de la Ley 80 de 1993 define el contrato de consultoría así: “Son contratos de consultoría los que celebren las entidades estatales referidos a los estudios necesarios para la ejecución de proyectos de inversión, estudios de diagnóstico, prefactibilidad o factibilidad para programas o proyectos específicos, así como a las asesorías técnicas de coordinación, control y supervisión.</w:t>
      </w:r>
    </w:p>
    <w:p w14:paraId="0077CEC2" w14:textId="77777777" w:rsidR="00B809EF" w:rsidRPr="00B809EF" w:rsidRDefault="00B809EF" w:rsidP="00B809EF">
      <w:pPr>
        <w:pStyle w:val="Textonotapie"/>
        <w:ind w:firstLine="708"/>
        <w:jc w:val="both"/>
        <w:rPr>
          <w:rFonts w:ascii="Verdana" w:hAnsi="Verdana"/>
          <w:sz w:val="16"/>
          <w:szCs w:val="16"/>
          <w:lang w:val="es-CO"/>
        </w:rPr>
      </w:pPr>
      <w:r w:rsidRPr="00B809EF">
        <w:rPr>
          <w:rFonts w:ascii="Verdana" w:hAnsi="Verdana"/>
          <w:sz w:val="16"/>
          <w:szCs w:val="16"/>
          <w:lang w:val="es-CO"/>
        </w:rPr>
        <w:t>Son también contratos de consultoría los que tienen por objeto la interventoría, asesoría, gerencia de obra o de proyectos, dirección, programación y la ejecución de diseños, planos, anteproyectos y proyectos.</w:t>
      </w:r>
    </w:p>
    <w:p w14:paraId="0F439690" w14:textId="77777777" w:rsidR="00B809EF" w:rsidRPr="00B809EF" w:rsidRDefault="00B809EF" w:rsidP="00B809EF">
      <w:pPr>
        <w:pStyle w:val="Textonotapie"/>
        <w:ind w:firstLine="708"/>
        <w:jc w:val="both"/>
        <w:rPr>
          <w:rFonts w:ascii="Verdana" w:hAnsi="Verdana"/>
          <w:sz w:val="16"/>
          <w:szCs w:val="16"/>
          <w:lang w:val="es-CO"/>
        </w:rPr>
      </w:pPr>
      <w:r w:rsidRPr="00B809EF">
        <w:rPr>
          <w:rFonts w:ascii="Verdana" w:hAnsi="Verdana"/>
          <w:sz w:val="16"/>
          <w:szCs w:val="16"/>
          <w:lang w:val="es-CO"/>
        </w:rPr>
        <w:t>Ninguna orden del interventor de una obra podrá darse verbalmente. Es obligatorio para el interventor entregar por escrito sus órdenes o sugerencias y ellas deben enmarcarse dentro de los términos del respectivo contrato”.</w:t>
      </w:r>
    </w:p>
    <w:p w14:paraId="2EF3BAA0" w14:textId="77777777" w:rsidR="00B809EF" w:rsidRPr="00B809EF" w:rsidRDefault="00B809EF" w:rsidP="00B809EF">
      <w:pPr>
        <w:pStyle w:val="Textonotapie"/>
        <w:ind w:firstLine="708"/>
        <w:jc w:val="both"/>
        <w:rPr>
          <w:rFonts w:ascii="Verdana" w:hAnsi="Verdana"/>
          <w:sz w:val="16"/>
          <w:szCs w:val="16"/>
          <w:lang w:val="es-CO"/>
        </w:rPr>
      </w:pPr>
    </w:p>
  </w:footnote>
  <w:footnote w:id="10">
    <w:p w14:paraId="574B66D3" w14:textId="77777777" w:rsidR="00B809EF" w:rsidRPr="003150A9" w:rsidRDefault="00B809EF" w:rsidP="00B809EF">
      <w:pPr>
        <w:pStyle w:val="Textonotapie"/>
        <w:ind w:firstLine="708"/>
        <w:jc w:val="both"/>
        <w:rPr>
          <w:rFonts w:ascii="Verdana" w:hAnsi="Verdana"/>
          <w:sz w:val="18"/>
          <w:szCs w:val="18"/>
          <w:lang w:val="es-CO"/>
        </w:rPr>
      </w:pPr>
      <w:r w:rsidRPr="003150A9">
        <w:rPr>
          <w:rStyle w:val="Refdenotaalpie"/>
          <w:rFonts w:ascii="Verdana" w:hAnsi="Verdana"/>
          <w:sz w:val="18"/>
          <w:szCs w:val="18"/>
        </w:rPr>
        <w:footnoteRef/>
      </w:r>
      <w:r w:rsidRPr="003150A9">
        <w:rPr>
          <w:rFonts w:ascii="Verdana" w:hAnsi="Verdana"/>
          <w:sz w:val="18"/>
          <w:szCs w:val="18"/>
        </w:rPr>
        <w:t xml:space="preserve"> </w:t>
      </w:r>
      <w:r w:rsidRPr="003150A9">
        <w:rPr>
          <w:rFonts w:ascii="Verdana" w:hAnsi="Verdana"/>
          <w:sz w:val="18"/>
          <w:szCs w:val="18"/>
          <w:lang w:val="es-CO"/>
        </w:rPr>
        <w:t xml:space="preserve">Así lo prevé el artículo 2.2.1.2.1.4.1. del Decreto 1082 de 2015: “La Entidad Estatal debe señalar en un acto administrativo la justificación para contratar bajo la modalidad de contratación directa, el cual debe contener: </w:t>
      </w:r>
    </w:p>
    <w:p w14:paraId="02B494EB" w14:textId="77777777" w:rsidR="00B809EF" w:rsidRPr="003150A9" w:rsidRDefault="00B809EF" w:rsidP="00B809EF">
      <w:pPr>
        <w:pStyle w:val="Textonotapie"/>
        <w:ind w:firstLine="708"/>
        <w:jc w:val="both"/>
        <w:rPr>
          <w:rFonts w:ascii="Verdana" w:hAnsi="Verdana"/>
          <w:sz w:val="18"/>
          <w:szCs w:val="18"/>
          <w:lang w:val="es-CO"/>
        </w:rPr>
      </w:pPr>
      <w:r w:rsidRPr="003150A9">
        <w:rPr>
          <w:rFonts w:ascii="Verdana" w:hAnsi="Verdana"/>
          <w:sz w:val="18"/>
          <w:szCs w:val="18"/>
          <w:lang w:val="es-CO"/>
        </w:rPr>
        <w:t>1. La causal que invoca para contratar directamente.</w:t>
      </w:r>
    </w:p>
    <w:p w14:paraId="64C1B883" w14:textId="77777777" w:rsidR="00B809EF" w:rsidRPr="003150A9" w:rsidRDefault="00B809EF" w:rsidP="00B809EF">
      <w:pPr>
        <w:pStyle w:val="Textonotapie"/>
        <w:ind w:firstLine="708"/>
        <w:jc w:val="both"/>
        <w:rPr>
          <w:rFonts w:ascii="Verdana" w:hAnsi="Verdana"/>
          <w:sz w:val="18"/>
          <w:szCs w:val="18"/>
          <w:lang w:val="es-CO"/>
        </w:rPr>
      </w:pPr>
      <w:r w:rsidRPr="003150A9">
        <w:rPr>
          <w:rFonts w:ascii="Verdana" w:hAnsi="Verdana"/>
          <w:sz w:val="18"/>
          <w:szCs w:val="18"/>
          <w:lang w:val="es-CO"/>
        </w:rPr>
        <w:t>2. El objeto del contrato.</w:t>
      </w:r>
    </w:p>
    <w:p w14:paraId="76D05BD2" w14:textId="77777777" w:rsidR="00B809EF" w:rsidRPr="003150A9" w:rsidRDefault="00B809EF" w:rsidP="00B809EF">
      <w:pPr>
        <w:pStyle w:val="Textonotapie"/>
        <w:ind w:firstLine="708"/>
        <w:jc w:val="both"/>
        <w:rPr>
          <w:rFonts w:ascii="Verdana" w:hAnsi="Verdana"/>
          <w:sz w:val="18"/>
          <w:szCs w:val="18"/>
          <w:lang w:val="es-CO"/>
        </w:rPr>
      </w:pPr>
      <w:r w:rsidRPr="003150A9">
        <w:rPr>
          <w:rFonts w:ascii="Verdana" w:hAnsi="Verdana"/>
          <w:sz w:val="18"/>
          <w:szCs w:val="18"/>
          <w:lang w:val="es-CO"/>
        </w:rPr>
        <w:t>3. El presupuesto para la contratación y las condiciones que exigirá al contratista.</w:t>
      </w:r>
    </w:p>
    <w:p w14:paraId="325F7D27" w14:textId="77777777" w:rsidR="00B809EF" w:rsidRPr="003150A9" w:rsidRDefault="00B809EF" w:rsidP="00B809EF">
      <w:pPr>
        <w:pStyle w:val="Textonotapie"/>
        <w:ind w:firstLine="708"/>
        <w:jc w:val="both"/>
        <w:rPr>
          <w:rFonts w:ascii="Verdana" w:hAnsi="Verdana"/>
          <w:sz w:val="18"/>
          <w:szCs w:val="18"/>
          <w:lang w:val="es-CO"/>
        </w:rPr>
      </w:pPr>
      <w:r w:rsidRPr="003150A9">
        <w:rPr>
          <w:rFonts w:ascii="Verdana" w:hAnsi="Verdana"/>
          <w:sz w:val="18"/>
          <w:szCs w:val="18"/>
          <w:lang w:val="es-CO"/>
        </w:rPr>
        <w:t>4. El lugar en el cual los interesados pueden consultar los estudios y documentos previos.</w:t>
      </w:r>
    </w:p>
    <w:p w14:paraId="1451105F" w14:textId="77777777" w:rsidR="00B809EF" w:rsidRDefault="00B809EF" w:rsidP="00B809EF">
      <w:pPr>
        <w:pStyle w:val="Textonotapie"/>
        <w:ind w:firstLine="708"/>
        <w:jc w:val="both"/>
        <w:rPr>
          <w:rFonts w:ascii="Verdana" w:hAnsi="Verdana"/>
          <w:sz w:val="18"/>
          <w:szCs w:val="18"/>
          <w:lang w:val="es-CO"/>
        </w:rPr>
      </w:pPr>
      <w:r w:rsidRPr="003150A9">
        <w:rPr>
          <w:rFonts w:ascii="Verdana" w:hAnsi="Verdana"/>
          <w:sz w:val="18"/>
          <w:szCs w:val="18"/>
          <w:lang w:val="es-CO"/>
        </w:rPr>
        <w:t>Este acto administrativo no es necesario cuando el contrato a celebrar es de prestación de servicios profesionales y de apoyo a la gestión, y para los contratos de que tratan los literales (a) y (b) del artículo 2.2.1.2.1.4.3 del presente decreto”.</w:t>
      </w:r>
    </w:p>
    <w:p w14:paraId="04EDBFC4" w14:textId="77777777" w:rsidR="00B809EF" w:rsidRPr="003150A9" w:rsidRDefault="00B809EF" w:rsidP="00B809EF">
      <w:pPr>
        <w:pStyle w:val="Textonotapie"/>
        <w:ind w:firstLine="708"/>
        <w:jc w:val="both"/>
        <w:rPr>
          <w:rFonts w:ascii="Verdana" w:hAnsi="Verdana"/>
          <w:sz w:val="18"/>
          <w:szCs w:val="18"/>
          <w:lang w:val="es-CO"/>
        </w:rPr>
      </w:pPr>
    </w:p>
  </w:footnote>
  <w:footnote w:id="11">
    <w:p w14:paraId="2FE27EF9" w14:textId="77777777" w:rsidR="00B809EF" w:rsidRPr="003150A9" w:rsidRDefault="00B809EF" w:rsidP="00B809EF">
      <w:pPr>
        <w:pStyle w:val="Textonotapie"/>
        <w:ind w:firstLine="708"/>
        <w:jc w:val="both"/>
        <w:rPr>
          <w:rFonts w:ascii="Verdana" w:hAnsi="Verdana"/>
          <w:sz w:val="18"/>
          <w:szCs w:val="18"/>
          <w:lang w:val="es-CO"/>
        </w:rPr>
      </w:pPr>
      <w:r w:rsidRPr="003150A9">
        <w:rPr>
          <w:rStyle w:val="Refdenotaalpie"/>
          <w:rFonts w:ascii="Verdana" w:hAnsi="Verdana"/>
          <w:sz w:val="18"/>
          <w:szCs w:val="18"/>
        </w:rPr>
        <w:footnoteRef/>
      </w:r>
      <w:r w:rsidRPr="003150A9">
        <w:rPr>
          <w:rFonts w:ascii="Verdana" w:hAnsi="Verdana"/>
          <w:sz w:val="18"/>
          <w:szCs w:val="18"/>
        </w:rPr>
        <w:t xml:space="preserve"> </w:t>
      </w:r>
      <w:r w:rsidRPr="003150A9">
        <w:rPr>
          <w:rFonts w:ascii="Verdana" w:hAnsi="Verdana"/>
          <w:sz w:val="18"/>
          <w:szCs w:val="18"/>
          <w:lang w:val="es-CO"/>
        </w:rPr>
        <w:t>Esta norma expresa: “Para el cumplimiento de los fines de la contratación, las entidades estatales al celebrar un contrato:</w:t>
      </w:r>
    </w:p>
    <w:p w14:paraId="1F2DD5D9" w14:textId="77777777" w:rsidR="00B809EF" w:rsidRPr="003150A9" w:rsidRDefault="00B809EF" w:rsidP="00B809EF">
      <w:pPr>
        <w:pStyle w:val="Textonotapie"/>
        <w:ind w:firstLine="708"/>
        <w:jc w:val="both"/>
        <w:rPr>
          <w:rFonts w:ascii="Verdana" w:hAnsi="Verdana"/>
          <w:sz w:val="18"/>
          <w:szCs w:val="18"/>
          <w:lang w:val="es-CO"/>
        </w:rPr>
      </w:pPr>
      <w:r w:rsidRPr="003150A9">
        <w:rPr>
          <w:rFonts w:ascii="Verdana" w:hAnsi="Verdana"/>
          <w:sz w:val="18"/>
          <w:szCs w:val="18"/>
          <w:lang w:val="es-CO"/>
        </w:rPr>
        <w:t>[…]</w:t>
      </w:r>
    </w:p>
    <w:p w14:paraId="3C71B2EF" w14:textId="77777777" w:rsidR="00B809EF" w:rsidRPr="003150A9" w:rsidRDefault="00B809EF" w:rsidP="00B809EF">
      <w:pPr>
        <w:pStyle w:val="Textonotapie"/>
        <w:ind w:firstLine="708"/>
        <w:jc w:val="both"/>
        <w:rPr>
          <w:rFonts w:ascii="Verdana" w:hAnsi="Verdana"/>
          <w:sz w:val="18"/>
          <w:szCs w:val="18"/>
          <w:lang w:val="es-CO"/>
        </w:rPr>
      </w:pPr>
      <w:r w:rsidRPr="003150A9">
        <w:rPr>
          <w:rFonts w:ascii="Verdana" w:hAnsi="Verdana"/>
          <w:sz w:val="18"/>
          <w:szCs w:val="18"/>
          <w:lang w:val="es-CO"/>
        </w:rPr>
        <w:t>2o. Pactarán las cláusulas excepcionales al derecho común de terminación, interpretación y modificación unilaterales, de sometimiento a las leyes nacionales y de caducidad en los contratos que tengan por objeto el ejercicio de una actividad que constituya monopolio estatal, la prestación de servicios públicos o la explotación y concesión de bienes del Estado, así como en los contratos de obra. En los contratos de explotación y concesión de bienes del Estado se incluirá la cláusula de reversión. Las entidades estatales podrán pactar estas cláusulas en los contratos de suministro y de prestación de servicios. […]”.</w:t>
      </w:r>
    </w:p>
    <w:p w14:paraId="70EA5124" w14:textId="77777777" w:rsidR="00B809EF" w:rsidRPr="003150A9" w:rsidRDefault="00B809EF" w:rsidP="00B809EF">
      <w:pPr>
        <w:pStyle w:val="Textonotapie"/>
        <w:ind w:firstLine="708"/>
        <w:jc w:val="both"/>
        <w:rPr>
          <w:rFonts w:ascii="Verdana" w:hAnsi="Verdana"/>
          <w:sz w:val="18"/>
          <w:szCs w:val="18"/>
          <w:lang w:val="es-CO"/>
        </w:rPr>
      </w:pPr>
    </w:p>
  </w:footnote>
  <w:footnote w:id="12">
    <w:p w14:paraId="6837B581" w14:textId="77777777" w:rsidR="00B809EF" w:rsidRPr="003150A9" w:rsidRDefault="00B809EF" w:rsidP="00B809EF">
      <w:pPr>
        <w:pStyle w:val="Textonotapie"/>
        <w:ind w:firstLine="708"/>
        <w:jc w:val="both"/>
        <w:rPr>
          <w:rFonts w:ascii="Verdana" w:hAnsi="Verdana"/>
          <w:sz w:val="18"/>
          <w:szCs w:val="18"/>
          <w:lang w:val="es-CO"/>
        </w:rPr>
      </w:pPr>
      <w:r w:rsidRPr="003150A9">
        <w:rPr>
          <w:rStyle w:val="Refdenotaalpie"/>
          <w:rFonts w:ascii="Verdana" w:hAnsi="Verdana"/>
          <w:sz w:val="18"/>
          <w:szCs w:val="18"/>
        </w:rPr>
        <w:footnoteRef/>
      </w:r>
      <w:r w:rsidRPr="003150A9">
        <w:rPr>
          <w:rFonts w:ascii="Verdana" w:hAnsi="Verdana"/>
          <w:sz w:val="18"/>
          <w:szCs w:val="18"/>
        </w:rPr>
        <w:t xml:space="preserve"> L</w:t>
      </w:r>
      <w:r w:rsidRPr="003150A9">
        <w:rPr>
          <w:rFonts w:ascii="Verdana" w:hAnsi="Verdana"/>
          <w:sz w:val="18"/>
          <w:szCs w:val="18"/>
          <w:lang w:val="es-CO"/>
        </w:rPr>
        <w:t>a norma dispone: “La liquidación a que se refiere el presente artículo no será obligatoria en los contratos de prestación de servicios profesionales y de apoyo a la gestión”.</w:t>
      </w:r>
    </w:p>
    <w:p w14:paraId="3C3B1791" w14:textId="77777777" w:rsidR="00B809EF" w:rsidRPr="003150A9" w:rsidRDefault="00B809EF" w:rsidP="00B809EF">
      <w:pPr>
        <w:pStyle w:val="Textonotapie"/>
        <w:ind w:firstLine="708"/>
        <w:jc w:val="both"/>
        <w:rPr>
          <w:rFonts w:ascii="Verdana" w:hAnsi="Verdana"/>
          <w:sz w:val="18"/>
          <w:szCs w:val="18"/>
          <w:lang w:val="es-CO"/>
        </w:rPr>
      </w:pPr>
    </w:p>
  </w:footnote>
  <w:footnote w:id="13">
    <w:p w14:paraId="4203D943" w14:textId="77777777" w:rsidR="00B809EF" w:rsidRPr="003150A9" w:rsidRDefault="00B809EF" w:rsidP="00B809EF">
      <w:pPr>
        <w:pStyle w:val="Textonotapie"/>
        <w:ind w:firstLine="708"/>
        <w:jc w:val="both"/>
        <w:rPr>
          <w:rFonts w:ascii="Verdana" w:hAnsi="Verdana"/>
          <w:sz w:val="18"/>
          <w:szCs w:val="18"/>
          <w:lang w:val="es-CO"/>
        </w:rPr>
      </w:pPr>
      <w:r w:rsidRPr="003150A9">
        <w:rPr>
          <w:rStyle w:val="Refdenotaalpie"/>
          <w:rFonts w:ascii="Verdana" w:hAnsi="Verdana"/>
          <w:sz w:val="18"/>
          <w:szCs w:val="18"/>
        </w:rPr>
        <w:footnoteRef/>
      </w:r>
      <w:r w:rsidRPr="003150A9">
        <w:rPr>
          <w:rFonts w:ascii="Verdana" w:hAnsi="Verdana"/>
          <w:sz w:val="18"/>
          <w:szCs w:val="18"/>
        </w:rPr>
        <w:t xml:space="preserve"> </w:t>
      </w:r>
      <w:r w:rsidRPr="003150A9">
        <w:rPr>
          <w:rFonts w:ascii="Verdana" w:hAnsi="Verdana"/>
          <w:sz w:val="18"/>
          <w:szCs w:val="18"/>
          <w:lang w:val="es-CO"/>
        </w:rPr>
        <w:t>Según dicho artículo “Todas las personas naturales o jurídicas nacionales o extranjeras domiciliadas o con sucursal en Colombia, que aspiren a celebrar contratos con las entidades estatales, se inscribirán en el Registro Único de Proponentes del Registro Único Empresarial de la Cámara de Comercio con jurisdicción en su domicilio principal.</w:t>
      </w:r>
    </w:p>
    <w:p w14:paraId="28B2B309" w14:textId="77777777" w:rsidR="00B809EF" w:rsidRPr="003150A9" w:rsidRDefault="00B809EF" w:rsidP="00B809EF">
      <w:pPr>
        <w:pStyle w:val="Textonotapie"/>
        <w:ind w:firstLine="708"/>
        <w:jc w:val="both"/>
        <w:rPr>
          <w:rFonts w:ascii="Verdana" w:hAnsi="Verdana"/>
          <w:sz w:val="18"/>
          <w:szCs w:val="18"/>
          <w:lang w:val="es-CO"/>
        </w:rPr>
      </w:pPr>
      <w:r w:rsidRPr="003150A9">
        <w:rPr>
          <w:rFonts w:ascii="Verdana" w:hAnsi="Verdana"/>
          <w:sz w:val="18"/>
          <w:szCs w:val="18"/>
          <w:lang w:val="es-CO"/>
        </w:rPr>
        <w:t>No se requerirá de este registro, ni de clasificación, en los casos de contratación directa; contratos para la prestación de servicios de salud; contratos de mínima cuantía; enajenación de bienes del Estado; contratos que tengan por objeto la adquisición de productos de origen o destinación agropecuaria que se ofrezcan en bolsas de productos legalmente constituidas; los actos y contratos que tengan por objeto directo las actividades comerciales e industriales propias de las empresas industriales y comerciales del Estado y las sociedades de economía mixta y los contratos de concesión de cualquier índole. En los casos anteriormente señalados, corresponderá a las entidades contratantes cumplir con la labor de verificación de las condiciones de los proponentes.</w:t>
      </w:r>
    </w:p>
    <w:p w14:paraId="6A8B35FC" w14:textId="77777777" w:rsidR="00B809EF" w:rsidRPr="003150A9" w:rsidRDefault="00B809EF" w:rsidP="00B809EF">
      <w:pPr>
        <w:pStyle w:val="Textonotapie"/>
        <w:ind w:firstLine="708"/>
        <w:jc w:val="both"/>
        <w:rPr>
          <w:rFonts w:ascii="Verdana" w:hAnsi="Verdana"/>
          <w:sz w:val="18"/>
          <w:szCs w:val="18"/>
          <w:lang w:val="es-CO"/>
        </w:rPr>
      </w:pPr>
      <w:r w:rsidRPr="003150A9">
        <w:rPr>
          <w:rFonts w:ascii="Verdana" w:hAnsi="Verdana"/>
          <w:sz w:val="18"/>
          <w:szCs w:val="18"/>
          <w:lang w:val="es-CO"/>
        </w:rPr>
        <w:t>[…]”.</w:t>
      </w:r>
    </w:p>
    <w:p w14:paraId="79A2FCF4" w14:textId="77777777" w:rsidR="00B809EF" w:rsidRPr="003150A9" w:rsidRDefault="00B809EF" w:rsidP="00B809EF">
      <w:pPr>
        <w:pStyle w:val="Textonotapie"/>
        <w:ind w:firstLine="708"/>
        <w:jc w:val="both"/>
        <w:rPr>
          <w:rFonts w:ascii="Verdana" w:hAnsi="Verdana"/>
          <w:sz w:val="18"/>
          <w:szCs w:val="18"/>
          <w:lang w:val="es-CO"/>
        </w:rPr>
      </w:pPr>
    </w:p>
  </w:footnote>
  <w:footnote w:id="14">
    <w:p w14:paraId="7CCF18DE" w14:textId="77777777" w:rsidR="00B809EF" w:rsidRDefault="00B809EF" w:rsidP="00B809EF">
      <w:pPr>
        <w:pStyle w:val="Textonotapie"/>
        <w:ind w:firstLine="708"/>
        <w:jc w:val="both"/>
        <w:rPr>
          <w:rFonts w:ascii="Verdana" w:hAnsi="Verdana"/>
          <w:sz w:val="18"/>
          <w:szCs w:val="18"/>
          <w:lang w:val="es-CO"/>
        </w:rPr>
      </w:pPr>
      <w:r w:rsidRPr="003150A9">
        <w:rPr>
          <w:rStyle w:val="Refdenotaalpie"/>
          <w:rFonts w:ascii="Verdana" w:hAnsi="Verdana"/>
          <w:sz w:val="18"/>
          <w:szCs w:val="18"/>
        </w:rPr>
        <w:footnoteRef/>
      </w:r>
      <w:r w:rsidRPr="003150A9">
        <w:rPr>
          <w:rFonts w:ascii="Verdana" w:hAnsi="Verdana"/>
          <w:sz w:val="18"/>
          <w:szCs w:val="18"/>
        </w:rPr>
        <w:t xml:space="preserve"> </w:t>
      </w:r>
      <w:r w:rsidRPr="003150A9">
        <w:rPr>
          <w:rFonts w:ascii="Verdana" w:hAnsi="Verdana"/>
          <w:sz w:val="18"/>
          <w:szCs w:val="18"/>
          <w:lang w:val="es-CO"/>
        </w:rPr>
        <w:t>Es esto lo que establece el Decreto 1082 de 2015: “Artículo 2.2.1.2.1.4.5. No obligatoriedad de garantías. En la contratación directa la exigencia de garantías establecidas en la Sección 3, que comprende los artículos 2.2.1.2.3.1.1 al 2.2.1.2.3.5.1.del presente decreto no es obligatoria y la justificación para exigirlas o no debe estar en los estudios y documentos previos”.</w:t>
      </w:r>
    </w:p>
    <w:p w14:paraId="2FFA0325" w14:textId="77777777" w:rsidR="00B809EF" w:rsidRPr="003150A9" w:rsidRDefault="00B809EF" w:rsidP="00B809EF">
      <w:pPr>
        <w:pStyle w:val="Textonotapie"/>
        <w:ind w:firstLine="708"/>
        <w:jc w:val="both"/>
        <w:rPr>
          <w:rFonts w:ascii="Verdana" w:hAnsi="Verdana"/>
          <w:sz w:val="18"/>
          <w:szCs w:val="18"/>
          <w:lang w:val="es-CO"/>
        </w:rPr>
      </w:pPr>
    </w:p>
  </w:footnote>
  <w:footnote w:id="15">
    <w:p w14:paraId="25577E15" w14:textId="77777777" w:rsidR="00B809EF" w:rsidRPr="0006348E" w:rsidRDefault="00B809EF" w:rsidP="00B809EF">
      <w:pPr>
        <w:pBdr>
          <w:top w:val="nil"/>
          <w:left w:val="nil"/>
          <w:bottom w:val="nil"/>
          <w:right w:val="nil"/>
          <w:between w:val="nil"/>
        </w:pBdr>
        <w:ind w:firstLine="708"/>
        <w:rPr>
          <w:rFonts w:ascii="Verdana" w:eastAsia="Century Gothic" w:hAnsi="Verdana" w:cs="Century Gothic"/>
          <w:color w:val="000000"/>
          <w:sz w:val="18"/>
          <w:szCs w:val="18"/>
        </w:rPr>
      </w:pPr>
      <w:r w:rsidRPr="003150A9">
        <w:rPr>
          <w:rFonts w:ascii="Verdana" w:hAnsi="Verdana"/>
          <w:sz w:val="18"/>
          <w:szCs w:val="18"/>
          <w:vertAlign w:val="superscript"/>
        </w:rPr>
        <w:footnoteRef/>
      </w:r>
      <w:r w:rsidRPr="003150A9">
        <w:rPr>
          <w:rFonts w:ascii="Verdana" w:eastAsia="Century Gothic" w:hAnsi="Verdana" w:cs="Century Gothic"/>
          <w:color w:val="000000"/>
          <w:sz w:val="18"/>
          <w:szCs w:val="18"/>
        </w:rPr>
        <w:t xml:space="preserve"> Concepto C-975 del 08 de marzo del 2023</w:t>
      </w:r>
      <w:r>
        <w:rPr>
          <w:rFonts w:ascii="Verdana" w:eastAsia="Century Gothic" w:hAnsi="Verdana" w:cs="Century Gothic"/>
          <w:color w:val="000000"/>
          <w:sz w:val="18"/>
          <w:szCs w:val="18"/>
        </w:rPr>
        <w:t xml:space="preserve">. Colombia Compra Eficiente.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1FD1C243" w14:textId="476F411E" w:rsidR="008A446D" w:rsidRDefault="008A446D" w:rsidP="000D5DA7">
    <w:pPr>
      <w:spacing w:after="0" w:line="480" w:lineRule="auto"/>
      <w:rPr>
        <w:rFonts w:ascii="Verdana" w:hAnsi="Verdana"/>
        <w:sz w:val="24"/>
        <w:szCs w:val="24"/>
      </w:rPr>
    </w:pPr>
  </w:p>
  <w:p w14:paraId="230954EB" w14:textId="77777777" w:rsidR="0091094A" w:rsidRPr="00C925AC" w:rsidRDefault="0091094A" w:rsidP="000D5DA7">
    <w:pPr>
      <w:spacing w:after="0" w:line="480" w:lineRule="auto"/>
      <w:rPr>
        <w:rFonts w:ascii="Verdana" w:hAnsi="Verdana"/>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pt;height:11.1pt" o:bullet="t">
        <v:imagedata r:id="rId1" o:title="mso1B13"/>
      </v:shape>
    </w:pict>
  </w:numPicBullet>
  <w:abstractNum w:abstractNumId="0" w15:restartNumberingAfterBreak="0">
    <w:nsid w:val="01C04D8D"/>
    <w:multiLevelType w:val="hybridMultilevel"/>
    <w:tmpl w:val="A372D8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2"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4607DE3"/>
    <w:multiLevelType w:val="hybridMultilevel"/>
    <w:tmpl w:val="918E67D6"/>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9"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D726F5"/>
    <w:multiLevelType w:val="hybridMultilevel"/>
    <w:tmpl w:val="A77E244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3"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7"/>
  </w:num>
  <w:num w:numId="2" w16cid:durableId="19822139">
    <w:abstractNumId w:val="3"/>
  </w:num>
  <w:num w:numId="3" w16cid:durableId="876742304">
    <w:abstractNumId w:val="5"/>
  </w:num>
  <w:num w:numId="4"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3"/>
  </w:num>
  <w:num w:numId="6" w16cid:durableId="316692925">
    <w:abstractNumId w:val="15"/>
  </w:num>
  <w:num w:numId="7" w16cid:durableId="1946422806">
    <w:abstractNumId w:val="6"/>
  </w:num>
  <w:num w:numId="8" w16cid:durableId="152644682">
    <w:abstractNumId w:val="14"/>
  </w:num>
  <w:num w:numId="9" w16cid:durableId="1317221377">
    <w:abstractNumId w:val="9"/>
  </w:num>
  <w:num w:numId="10" w16cid:durableId="1471245386">
    <w:abstractNumId w:val="13"/>
  </w:num>
  <w:num w:numId="11" w16cid:durableId="289172385">
    <w:abstractNumId w:val="10"/>
  </w:num>
  <w:num w:numId="12" w16cid:durableId="1470781324">
    <w:abstractNumId w:val="2"/>
  </w:num>
  <w:num w:numId="13" w16cid:durableId="1512908409">
    <w:abstractNumId w:val="4"/>
  </w:num>
  <w:num w:numId="14" w16cid:durableId="895897244">
    <w:abstractNumId w:val="16"/>
  </w:num>
  <w:num w:numId="15" w16cid:durableId="390349800">
    <w:abstractNumId w:val="12"/>
  </w:num>
  <w:num w:numId="16" w16cid:durableId="341274352">
    <w:abstractNumId w:val="1"/>
  </w:num>
  <w:num w:numId="17" w16cid:durableId="318196744">
    <w:abstractNumId w:val="0"/>
  </w:num>
  <w:num w:numId="18" w16cid:durableId="679089576">
    <w:abstractNumId w:val="11"/>
  </w:num>
  <w:num w:numId="19" w16cid:durableId="8738108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20D68"/>
    <w:rsid w:val="00036EB5"/>
    <w:rsid w:val="00042C93"/>
    <w:rsid w:val="00045CEE"/>
    <w:rsid w:val="00046945"/>
    <w:rsid w:val="00061B2A"/>
    <w:rsid w:val="00082362"/>
    <w:rsid w:val="000A2608"/>
    <w:rsid w:val="000A683E"/>
    <w:rsid w:val="000B19B9"/>
    <w:rsid w:val="000D0334"/>
    <w:rsid w:val="000D554E"/>
    <w:rsid w:val="000D5DA7"/>
    <w:rsid w:val="000F1524"/>
    <w:rsid w:val="000F31A9"/>
    <w:rsid w:val="000F6486"/>
    <w:rsid w:val="000F7D18"/>
    <w:rsid w:val="00101A3F"/>
    <w:rsid w:val="00116940"/>
    <w:rsid w:val="00116EB8"/>
    <w:rsid w:val="00125105"/>
    <w:rsid w:val="00127233"/>
    <w:rsid w:val="0013722A"/>
    <w:rsid w:val="00137DFD"/>
    <w:rsid w:val="00152296"/>
    <w:rsid w:val="0015699B"/>
    <w:rsid w:val="0018468A"/>
    <w:rsid w:val="001A0CAE"/>
    <w:rsid w:val="001A33BF"/>
    <w:rsid w:val="001A450F"/>
    <w:rsid w:val="001B447E"/>
    <w:rsid w:val="001C1B88"/>
    <w:rsid w:val="001D24AC"/>
    <w:rsid w:val="001E4177"/>
    <w:rsid w:val="001F0B24"/>
    <w:rsid w:val="001F7DC6"/>
    <w:rsid w:val="0022400B"/>
    <w:rsid w:val="002357C3"/>
    <w:rsid w:val="002421BB"/>
    <w:rsid w:val="0025796E"/>
    <w:rsid w:val="00260842"/>
    <w:rsid w:val="00261554"/>
    <w:rsid w:val="002659C3"/>
    <w:rsid w:val="002707A2"/>
    <w:rsid w:val="002734B2"/>
    <w:rsid w:val="00283065"/>
    <w:rsid w:val="00285002"/>
    <w:rsid w:val="002951A0"/>
    <w:rsid w:val="002962BC"/>
    <w:rsid w:val="002A093D"/>
    <w:rsid w:val="002A0DD0"/>
    <w:rsid w:val="002A0F8B"/>
    <w:rsid w:val="002A49AC"/>
    <w:rsid w:val="002A64FD"/>
    <w:rsid w:val="002B56F5"/>
    <w:rsid w:val="002C0658"/>
    <w:rsid w:val="002C3FFE"/>
    <w:rsid w:val="002C7A84"/>
    <w:rsid w:val="002E0E4D"/>
    <w:rsid w:val="002E2BF8"/>
    <w:rsid w:val="002E4FD9"/>
    <w:rsid w:val="00306411"/>
    <w:rsid w:val="0030657A"/>
    <w:rsid w:val="00322A85"/>
    <w:rsid w:val="00324168"/>
    <w:rsid w:val="00330834"/>
    <w:rsid w:val="00331C6F"/>
    <w:rsid w:val="003448F4"/>
    <w:rsid w:val="003657B0"/>
    <w:rsid w:val="003666A6"/>
    <w:rsid w:val="003675BF"/>
    <w:rsid w:val="00374F5E"/>
    <w:rsid w:val="00377E3E"/>
    <w:rsid w:val="003815DE"/>
    <w:rsid w:val="00385EF9"/>
    <w:rsid w:val="00391EF7"/>
    <w:rsid w:val="003A779E"/>
    <w:rsid w:val="003B6B21"/>
    <w:rsid w:val="003D0F4D"/>
    <w:rsid w:val="003D5B0D"/>
    <w:rsid w:val="003E0499"/>
    <w:rsid w:val="003E4F80"/>
    <w:rsid w:val="003E6439"/>
    <w:rsid w:val="003F0210"/>
    <w:rsid w:val="003F3941"/>
    <w:rsid w:val="00400BA4"/>
    <w:rsid w:val="00406575"/>
    <w:rsid w:val="00414C74"/>
    <w:rsid w:val="0042722E"/>
    <w:rsid w:val="0044528D"/>
    <w:rsid w:val="00466E39"/>
    <w:rsid w:val="00493D78"/>
    <w:rsid w:val="004A1847"/>
    <w:rsid w:val="004A305D"/>
    <w:rsid w:val="004A5A11"/>
    <w:rsid w:val="004B62DA"/>
    <w:rsid w:val="004F21C4"/>
    <w:rsid w:val="004F2CEB"/>
    <w:rsid w:val="004F685F"/>
    <w:rsid w:val="0054401F"/>
    <w:rsid w:val="005566E8"/>
    <w:rsid w:val="00574867"/>
    <w:rsid w:val="005904C0"/>
    <w:rsid w:val="00591460"/>
    <w:rsid w:val="005968EE"/>
    <w:rsid w:val="005A65E0"/>
    <w:rsid w:val="005C3777"/>
    <w:rsid w:val="005C5CDC"/>
    <w:rsid w:val="005D476C"/>
    <w:rsid w:val="005F31FF"/>
    <w:rsid w:val="00601BA1"/>
    <w:rsid w:val="00614CAA"/>
    <w:rsid w:val="006200BF"/>
    <w:rsid w:val="006219F8"/>
    <w:rsid w:val="006302F7"/>
    <w:rsid w:val="00646B9F"/>
    <w:rsid w:val="00665D70"/>
    <w:rsid w:val="006704C6"/>
    <w:rsid w:val="00676806"/>
    <w:rsid w:val="006900D9"/>
    <w:rsid w:val="006B2FA6"/>
    <w:rsid w:val="006C0B1F"/>
    <w:rsid w:val="006D3DF1"/>
    <w:rsid w:val="00706C16"/>
    <w:rsid w:val="00722A5B"/>
    <w:rsid w:val="00723C0E"/>
    <w:rsid w:val="00733998"/>
    <w:rsid w:val="007340C3"/>
    <w:rsid w:val="0075235A"/>
    <w:rsid w:val="00754508"/>
    <w:rsid w:val="00756841"/>
    <w:rsid w:val="007649AB"/>
    <w:rsid w:val="007709AB"/>
    <w:rsid w:val="00771D0C"/>
    <w:rsid w:val="007833AC"/>
    <w:rsid w:val="007A54A7"/>
    <w:rsid w:val="007A6AD4"/>
    <w:rsid w:val="007B268C"/>
    <w:rsid w:val="007B7171"/>
    <w:rsid w:val="007C0C0F"/>
    <w:rsid w:val="007C3DC2"/>
    <w:rsid w:val="007E5497"/>
    <w:rsid w:val="007E5A21"/>
    <w:rsid w:val="00802A25"/>
    <w:rsid w:val="00802D1D"/>
    <w:rsid w:val="00806A63"/>
    <w:rsid w:val="00806F5F"/>
    <w:rsid w:val="00814CBC"/>
    <w:rsid w:val="00820278"/>
    <w:rsid w:val="008258C9"/>
    <w:rsid w:val="008339E4"/>
    <w:rsid w:val="00844AE9"/>
    <w:rsid w:val="00850605"/>
    <w:rsid w:val="008530B1"/>
    <w:rsid w:val="008651CA"/>
    <w:rsid w:val="00867F95"/>
    <w:rsid w:val="008843B6"/>
    <w:rsid w:val="00886244"/>
    <w:rsid w:val="0089123D"/>
    <w:rsid w:val="00891928"/>
    <w:rsid w:val="008A446D"/>
    <w:rsid w:val="008B25F1"/>
    <w:rsid w:val="008B4702"/>
    <w:rsid w:val="008D180B"/>
    <w:rsid w:val="008F0EA7"/>
    <w:rsid w:val="008F1886"/>
    <w:rsid w:val="0090195F"/>
    <w:rsid w:val="0091094A"/>
    <w:rsid w:val="00923EEF"/>
    <w:rsid w:val="0092454A"/>
    <w:rsid w:val="009419F9"/>
    <w:rsid w:val="0095685E"/>
    <w:rsid w:val="009619F1"/>
    <w:rsid w:val="00961B09"/>
    <w:rsid w:val="00964FBE"/>
    <w:rsid w:val="00965334"/>
    <w:rsid w:val="0097093E"/>
    <w:rsid w:val="009A0DFA"/>
    <w:rsid w:val="009A1C6F"/>
    <w:rsid w:val="009A52F5"/>
    <w:rsid w:val="009B2D26"/>
    <w:rsid w:val="009C69B7"/>
    <w:rsid w:val="009C71FA"/>
    <w:rsid w:val="009C72E7"/>
    <w:rsid w:val="009C7F7E"/>
    <w:rsid w:val="009D3058"/>
    <w:rsid w:val="009E5F86"/>
    <w:rsid w:val="009F3A13"/>
    <w:rsid w:val="009F5894"/>
    <w:rsid w:val="00A00B29"/>
    <w:rsid w:val="00A122D3"/>
    <w:rsid w:val="00A127A3"/>
    <w:rsid w:val="00A14468"/>
    <w:rsid w:val="00A17F13"/>
    <w:rsid w:val="00A20739"/>
    <w:rsid w:val="00A23AF9"/>
    <w:rsid w:val="00A26FAE"/>
    <w:rsid w:val="00A32366"/>
    <w:rsid w:val="00A33C78"/>
    <w:rsid w:val="00A82B0B"/>
    <w:rsid w:val="00AB0ADB"/>
    <w:rsid w:val="00AE3294"/>
    <w:rsid w:val="00B00C0E"/>
    <w:rsid w:val="00B01B1A"/>
    <w:rsid w:val="00B0381D"/>
    <w:rsid w:val="00B361EB"/>
    <w:rsid w:val="00B44A47"/>
    <w:rsid w:val="00B72CD3"/>
    <w:rsid w:val="00B72FFF"/>
    <w:rsid w:val="00B809EF"/>
    <w:rsid w:val="00B977A8"/>
    <w:rsid w:val="00BB3E91"/>
    <w:rsid w:val="00BC3D36"/>
    <w:rsid w:val="00BD3789"/>
    <w:rsid w:val="00BD42D6"/>
    <w:rsid w:val="00BD54A6"/>
    <w:rsid w:val="00BD7F72"/>
    <w:rsid w:val="00BE2784"/>
    <w:rsid w:val="00BF7425"/>
    <w:rsid w:val="00C04FB3"/>
    <w:rsid w:val="00C11D8B"/>
    <w:rsid w:val="00C15139"/>
    <w:rsid w:val="00C330EB"/>
    <w:rsid w:val="00C37CEA"/>
    <w:rsid w:val="00C50D69"/>
    <w:rsid w:val="00C5365C"/>
    <w:rsid w:val="00C754BE"/>
    <w:rsid w:val="00C76B1C"/>
    <w:rsid w:val="00C925AC"/>
    <w:rsid w:val="00C97A07"/>
    <w:rsid w:val="00CB6357"/>
    <w:rsid w:val="00CC1B26"/>
    <w:rsid w:val="00CC1D6F"/>
    <w:rsid w:val="00CD0765"/>
    <w:rsid w:val="00D2012E"/>
    <w:rsid w:val="00D2515C"/>
    <w:rsid w:val="00D361FD"/>
    <w:rsid w:val="00D423A2"/>
    <w:rsid w:val="00D44E26"/>
    <w:rsid w:val="00D50485"/>
    <w:rsid w:val="00D520D8"/>
    <w:rsid w:val="00D63AC2"/>
    <w:rsid w:val="00D7383B"/>
    <w:rsid w:val="00D7788A"/>
    <w:rsid w:val="00DA231B"/>
    <w:rsid w:val="00DA37C9"/>
    <w:rsid w:val="00DB52C5"/>
    <w:rsid w:val="00DC39FC"/>
    <w:rsid w:val="00DE25B3"/>
    <w:rsid w:val="00DF5254"/>
    <w:rsid w:val="00E002F3"/>
    <w:rsid w:val="00E02524"/>
    <w:rsid w:val="00E0494E"/>
    <w:rsid w:val="00E125B3"/>
    <w:rsid w:val="00E16408"/>
    <w:rsid w:val="00E20894"/>
    <w:rsid w:val="00E245AB"/>
    <w:rsid w:val="00E2764C"/>
    <w:rsid w:val="00E27F2E"/>
    <w:rsid w:val="00E320C1"/>
    <w:rsid w:val="00E50AFE"/>
    <w:rsid w:val="00E648BD"/>
    <w:rsid w:val="00E67BE3"/>
    <w:rsid w:val="00E75C92"/>
    <w:rsid w:val="00E771DC"/>
    <w:rsid w:val="00E8772A"/>
    <w:rsid w:val="00E9062E"/>
    <w:rsid w:val="00E90F6B"/>
    <w:rsid w:val="00E92C27"/>
    <w:rsid w:val="00EA0E3D"/>
    <w:rsid w:val="00EC38A7"/>
    <w:rsid w:val="00EE1AA8"/>
    <w:rsid w:val="00EE3B2D"/>
    <w:rsid w:val="00F01BFB"/>
    <w:rsid w:val="00F04B68"/>
    <w:rsid w:val="00F05F62"/>
    <w:rsid w:val="00F23FEA"/>
    <w:rsid w:val="00F31EDC"/>
    <w:rsid w:val="00F3281F"/>
    <w:rsid w:val="00F462B3"/>
    <w:rsid w:val="00F5664F"/>
    <w:rsid w:val="00F61BE9"/>
    <w:rsid w:val="00F666C4"/>
    <w:rsid w:val="00F76AFC"/>
    <w:rsid w:val="00FA2286"/>
    <w:rsid w:val="00FA47C0"/>
    <w:rsid w:val="00FB5DD1"/>
    <w:rsid w:val="00FC2B5D"/>
    <w:rsid w:val="00FC4CE4"/>
    <w:rsid w:val="00FE28D6"/>
    <w:rsid w:val="00FF0D17"/>
    <w:rsid w:val="00FF0E0A"/>
    <w:rsid w:val="00FF1449"/>
    <w:rsid w:val="00FF7963"/>
    <w:rsid w:val="071B8F93"/>
    <w:rsid w:val="07C73DD1"/>
    <w:rsid w:val="09908A09"/>
    <w:rsid w:val="0FF4CCA8"/>
    <w:rsid w:val="13CFC91B"/>
    <w:rsid w:val="19A2EC2C"/>
    <w:rsid w:val="21779BE6"/>
    <w:rsid w:val="2859CA1B"/>
    <w:rsid w:val="2EE1E026"/>
    <w:rsid w:val="30821638"/>
    <w:rsid w:val="32A4F9CF"/>
    <w:rsid w:val="356CEDFD"/>
    <w:rsid w:val="3C591AFD"/>
    <w:rsid w:val="69614A15"/>
    <w:rsid w:val="74BA017B"/>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9A0C060F-48A6-4717-B5FE-5FEA0D544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55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802D1D"/>
    <w:rPr>
      <w:rFonts w:ascii="Geomanist Light" w:hAnsi="Geomanist Light"/>
      <w:lang w:val="es-ES"/>
    </w:rPr>
  </w:style>
  <w:style w:type="paragraph" w:customStyle="1" w:styleId="Appelnotedebasde">
    <w:name w:val="Appel note de bas de..."/>
    <w:basedOn w:val="Normal"/>
    <w:link w:val="Refdenotaalpie"/>
    <w:uiPriority w:val="99"/>
    <w:rsid w:val="008F1886"/>
    <w:pPr>
      <w:spacing w:line="240" w:lineRule="exact"/>
    </w:pPr>
    <w:rPr>
      <w:vertAlign w:val="superscript"/>
    </w:rPr>
  </w:style>
  <w:style w:type="paragraph" w:styleId="Textoindependiente">
    <w:name w:val="Body Text"/>
    <w:basedOn w:val="Normal"/>
    <w:link w:val="TextoindependienteCar"/>
    <w:uiPriority w:val="1"/>
    <w:unhideWhenUsed/>
    <w:qFormat/>
    <w:rsid w:val="00733998"/>
    <w:pPr>
      <w:spacing w:after="120"/>
    </w:pPr>
  </w:style>
  <w:style w:type="character" w:customStyle="1" w:styleId="TextoindependienteCar">
    <w:name w:val="Texto independiente Car"/>
    <w:basedOn w:val="Fuentedeprrafopredeter"/>
    <w:link w:val="Textoindependiente"/>
    <w:uiPriority w:val="1"/>
    <w:rsid w:val="007339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056862">
      <w:marLeft w:val="0"/>
      <w:marRight w:val="0"/>
      <w:marTop w:val="0"/>
      <w:marBottom w:val="0"/>
      <w:divBdr>
        <w:top w:val="none" w:sz="0" w:space="0" w:color="auto"/>
        <w:left w:val="none" w:sz="0" w:space="0" w:color="auto"/>
        <w:bottom w:val="none" w:sz="0" w:space="0" w:color="auto"/>
        <w:right w:val="none" w:sz="0" w:space="0" w:color="auto"/>
      </w:divBdr>
    </w:div>
    <w:div w:id="617221794">
      <w:marLeft w:val="0"/>
      <w:marRight w:val="0"/>
      <w:marTop w:val="0"/>
      <w:marBottom w:val="0"/>
      <w:divBdr>
        <w:top w:val="none" w:sz="0" w:space="0" w:color="auto"/>
        <w:left w:val="none" w:sz="0" w:space="0" w:color="auto"/>
        <w:bottom w:val="none" w:sz="0" w:space="0" w:color="auto"/>
        <w:right w:val="none" w:sz="0" w:space="0" w:color="auto"/>
      </w:divBdr>
    </w:div>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atoria.colombiacompra.gov.co/"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arcesdiana55@gmail.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3100D24B-409D-48A2-B7D5-E0D92F6212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4.xml><?xml version="1.0" encoding="utf-8"?>
<ds:datastoreItem xmlns:ds="http://schemas.openxmlformats.org/officeDocument/2006/customXml" ds:itemID="{F61EF319-9572-4C86-9B0F-57E490C6B365}">
  <ds:schemaRefs>
    <ds:schemaRef ds:uri="http://schemas.openxmlformats.org/officeDocument/2006/bibliography"/>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TotalTime>
  <Pages>19</Pages>
  <Words>5202</Words>
  <Characters>28613</Characters>
  <Application>Microsoft Office Word</Application>
  <DocSecurity>0</DocSecurity>
  <Lines>238</Lines>
  <Paragraphs>67</Paragraphs>
  <ScaleCrop>false</ScaleCrop>
  <Company/>
  <LinksUpToDate>false</LinksUpToDate>
  <CharactersWithSpaces>33748</CharactersWithSpaces>
  <SharedDoc>false</SharedDoc>
  <HLinks>
    <vt:vector size="12" baseType="variant">
      <vt:variant>
        <vt:i4>1900622</vt:i4>
      </vt:variant>
      <vt:variant>
        <vt:i4>3</vt:i4>
      </vt:variant>
      <vt:variant>
        <vt:i4>0</vt:i4>
      </vt:variant>
      <vt:variant>
        <vt:i4>5</vt:i4>
      </vt:variant>
      <vt:variant>
        <vt:lpwstr>https://relatoria.colombiacompra.gov.co/</vt:lpwstr>
      </vt:variant>
      <vt:variant>
        <vt:lpwstr/>
      </vt:variant>
      <vt:variant>
        <vt:i4>2555916</vt:i4>
      </vt:variant>
      <vt:variant>
        <vt:i4>0</vt:i4>
      </vt:variant>
      <vt:variant>
        <vt:i4>0</vt:i4>
      </vt:variant>
      <vt:variant>
        <vt:i4>5</vt:i4>
      </vt:variant>
      <vt:variant>
        <vt:lpwstr>mailto:garcesdiana55@gmail.com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Andreina Cerpa Muñoz</cp:lastModifiedBy>
  <cp:revision>4</cp:revision>
  <cp:lastPrinted>2023-01-10T21:18:00Z</cp:lastPrinted>
  <dcterms:created xsi:type="dcterms:W3CDTF">2026-02-18T15:39:00Z</dcterms:created>
  <dcterms:modified xsi:type="dcterms:W3CDTF">2026-07-03T21:26:00Z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