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60AD32" w14:textId="3A1D67B1" w:rsidR="00CE3F1A" w:rsidRDefault="00CE3F1A" w:rsidP="00CE3F1A">
      <w:pPr>
        <w:spacing w:after="0" w:line="240" w:lineRule="auto"/>
        <w:jc w:val="both"/>
        <w:rPr>
          <w:rFonts w:ascii="Verdana" w:hAnsi="Verdana"/>
          <w:b/>
          <w:bCs/>
        </w:rPr>
      </w:pPr>
      <w:r w:rsidRPr="00CE3F1A">
        <w:rPr>
          <w:rFonts w:ascii="Verdana" w:hAnsi="Verdana"/>
          <w:b/>
          <w:bCs/>
        </w:rPr>
        <w:t xml:space="preserve">REGISTRO ÚNICO DE PROPONENTES – RUP – Concepto </w:t>
      </w:r>
    </w:p>
    <w:p w14:paraId="1C0CACA5" w14:textId="77777777" w:rsidR="00CE3F1A" w:rsidRPr="00CE3F1A" w:rsidRDefault="00CE3F1A" w:rsidP="00CE3F1A">
      <w:pPr>
        <w:spacing w:after="0" w:line="240" w:lineRule="auto"/>
        <w:jc w:val="both"/>
        <w:rPr>
          <w:rFonts w:ascii="Verdana" w:hAnsi="Verdana"/>
        </w:rPr>
      </w:pPr>
    </w:p>
    <w:p w14:paraId="72E11F8B" w14:textId="77777777" w:rsidR="00CE3F1A" w:rsidRDefault="00CE3F1A" w:rsidP="00CE3F1A">
      <w:pPr>
        <w:spacing w:after="0" w:line="240" w:lineRule="auto"/>
        <w:jc w:val="both"/>
        <w:rPr>
          <w:rFonts w:ascii="Verdana" w:hAnsi="Verdana"/>
          <w:sz w:val="20"/>
          <w:szCs w:val="20"/>
        </w:rPr>
      </w:pPr>
      <w:r w:rsidRPr="00CE3F1A">
        <w:rPr>
          <w:rFonts w:ascii="Verdana" w:hAnsi="Verdana"/>
          <w:sz w:val="20"/>
          <w:szCs w:val="20"/>
        </w:rPr>
        <w:t>El Registro Único de Proponentes – en adelante RUP – como instrumento en el que consta la información relacionada con las personas naturales y jurídicas, con el fin de que puedan participar en los Procedimientos de Contratación realizados por las Entidades Estatales, tiene por objeto contemplar en un único documento la información relativa a la capacidad jurídica, técnica, financiera y organizacional de los posibles proponentes.</w:t>
      </w:r>
    </w:p>
    <w:p w14:paraId="17C05119" w14:textId="77777777" w:rsidR="008B72CB" w:rsidRDefault="008B72CB" w:rsidP="00CE3F1A">
      <w:pPr>
        <w:spacing w:after="0" w:line="240" w:lineRule="auto"/>
        <w:jc w:val="both"/>
        <w:rPr>
          <w:rFonts w:ascii="Verdana" w:hAnsi="Verdana"/>
          <w:sz w:val="20"/>
          <w:szCs w:val="20"/>
        </w:rPr>
      </w:pPr>
    </w:p>
    <w:p w14:paraId="71168B27" w14:textId="77777777" w:rsidR="008B72CB" w:rsidRDefault="008B72CB" w:rsidP="00CE3F1A">
      <w:pPr>
        <w:spacing w:after="0" w:line="240" w:lineRule="auto"/>
        <w:jc w:val="both"/>
        <w:rPr>
          <w:rFonts w:ascii="Verdana" w:hAnsi="Verdana"/>
          <w:sz w:val="20"/>
          <w:szCs w:val="20"/>
        </w:rPr>
      </w:pPr>
    </w:p>
    <w:p w14:paraId="61C8A415" w14:textId="7E56DEF9" w:rsidR="008B72CB" w:rsidRPr="00CE3F1A" w:rsidRDefault="008B72CB" w:rsidP="00CE3F1A">
      <w:pPr>
        <w:spacing w:after="0" w:line="240" w:lineRule="auto"/>
        <w:jc w:val="both"/>
        <w:rPr>
          <w:rFonts w:ascii="Verdana" w:hAnsi="Verdana"/>
          <w:b/>
          <w:sz w:val="20"/>
          <w:szCs w:val="20"/>
        </w:rPr>
      </w:pPr>
      <w:r w:rsidRPr="008B72CB">
        <w:rPr>
          <w:rFonts w:ascii="Verdana" w:hAnsi="Verdana" w:cs="Arial"/>
          <w:b/>
          <w:lang w:val="es-ES" w:eastAsia="es-ES_tradnl"/>
        </w:rPr>
        <w:t>REGISTRO ÚNICO DE PROPONENTES – RUP – Firmeza</w:t>
      </w:r>
      <w:r w:rsidRPr="008B72CB">
        <w:rPr>
          <w:rFonts w:ascii="Verdana" w:hAnsi="Verdana" w:cs="Arial"/>
          <w:b/>
          <w:lang w:val="es-ES" w:eastAsia="es-ES_tradnl"/>
        </w:rPr>
        <w:t xml:space="preserve"> </w:t>
      </w:r>
    </w:p>
    <w:p w14:paraId="1701E2C2" w14:textId="77777777" w:rsidR="00055B47" w:rsidRPr="00CE3F1A" w:rsidRDefault="00055B47" w:rsidP="0064326F">
      <w:pPr>
        <w:spacing w:after="0" w:line="240" w:lineRule="auto"/>
        <w:jc w:val="both"/>
        <w:rPr>
          <w:rFonts w:ascii="Verdana" w:hAnsi="Verdana"/>
        </w:rPr>
      </w:pPr>
    </w:p>
    <w:p w14:paraId="40CABB7A" w14:textId="1E9BFB62" w:rsidR="00055B47" w:rsidRPr="008B72CB" w:rsidRDefault="008B72CB" w:rsidP="0064326F">
      <w:pPr>
        <w:spacing w:after="0" w:line="240" w:lineRule="auto"/>
        <w:jc w:val="both"/>
        <w:rPr>
          <w:rFonts w:ascii="Verdana" w:hAnsi="Verdana"/>
          <w:sz w:val="20"/>
          <w:szCs w:val="20"/>
        </w:rPr>
      </w:pPr>
      <w:r w:rsidRPr="008B72CB">
        <w:rPr>
          <w:rFonts w:ascii="Verdana" w:hAnsi="Verdana"/>
          <w:sz w:val="20"/>
          <w:szCs w:val="20"/>
        </w:rPr>
        <w:t>[…] las cámaras de comercio, de acuerdo con el artículo 6.1 de la Ley 1150 de 2007 y con el artículo 2.2.1.1.1.5.3. del Decreto 1082 de 2015, verificarán y certificarán los requisitos habilitantes de experiencia, capacidad jurídica, capacidad financiera y de organización. En concordancia con lo establecido en el numeral 6.3 de la Ley 1150 de 2007, la cámara de comercio, verificada la información aportada por el proponente, publicará el acto de inscripción del RUP, contra el cual cualquier persona podrá interponer recurso de reposición dentro de los diez (10) días hábiles siguientes contados a partir de su publicación –posibilidad aplicable frente a la </w:t>
      </w:r>
      <w:r w:rsidRPr="008B72CB">
        <w:rPr>
          <w:rFonts w:ascii="Verdana" w:hAnsi="Verdana"/>
          <w:i/>
          <w:iCs/>
          <w:sz w:val="20"/>
          <w:szCs w:val="20"/>
        </w:rPr>
        <w:t>inscripción, renovación o actualización–</w:t>
      </w:r>
      <w:r w:rsidRPr="008B72CB">
        <w:rPr>
          <w:rFonts w:ascii="Verdana" w:hAnsi="Verdana"/>
          <w:sz w:val="20"/>
          <w:szCs w:val="20"/>
        </w:rPr>
        <w:t>.</w:t>
      </w:r>
      <w:r w:rsidRPr="008B72CB">
        <w:rPr>
          <w:rFonts w:ascii="Verdana" w:hAnsi="Verdana"/>
          <w:sz w:val="20"/>
          <w:szCs w:val="20"/>
        </w:rPr>
        <w:t xml:space="preserve"> </w:t>
      </w:r>
    </w:p>
    <w:p w14:paraId="22A1DAFA" w14:textId="77777777" w:rsidR="00055B47" w:rsidRDefault="00055B47" w:rsidP="0064326F">
      <w:pPr>
        <w:spacing w:after="0" w:line="240" w:lineRule="auto"/>
        <w:jc w:val="both"/>
        <w:rPr>
          <w:rFonts w:ascii="Verdana" w:hAnsi="Verdana"/>
        </w:rPr>
      </w:pPr>
    </w:p>
    <w:p w14:paraId="2FE1EF7B" w14:textId="7DBC9F3C" w:rsidR="00E92E96" w:rsidRPr="00E92E96" w:rsidRDefault="00E92E96" w:rsidP="0064326F">
      <w:pPr>
        <w:spacing w:after="0" w:line="240" w:lineRule="auto"/>
        <w:jc w:val="both"/>
        <w:rPr>
          <w:rFonts w:ascii="Verdana" w:hAnsi="Verdana" w:cs="Arial"/>
          <w:b/>
          <w:lang w:val="es-ES" w:eastAsia="es-ES_tradnl"/>
        </w:rPr>
      </w:pPr>
      <w:r w:rsidRPr="00E92E96">
        <w:rPr>
          <w:rFonts w:ascii="Verdana" w:hAnsi="Verdana" w:cs="Arial"/>
          <w:b/>
          <w:lang w:val="es-ES" w:eastAsia="es-ES_tradnl"/>
        </w:rPr>
        <w:t>REGISTRO ÚNICO DE PROPONENTES – RUP – Firmeza</w:t>
      </w:r>
      <w:r w:rsidRPr="00E92E96">
        <w:rPr>
          <w:rFonts w:ascii="Verdana" w:hAnsi="Verdana" w:cs="Arial"/>
          <w:b/>
          <w:lang w:val="es-ES" w:eastAsia="es-ES_tradnl"/>
        </w:rPr>
        <w:t xml:space="preserve"> </w:t>
      </w:r>
    </w:p>
    <w:p w14:paraId="4EBBCB75" w14:textId="77777777" w:rsidR="00E92E96" w:rsidRDefault="00E92E96" w:rsidP="0064326F">
      <w:pPr>
        <w:spacing w:after="0" w:line="240" w:lineRule="auto"/>
        <w:jc w:val="both"/>
        <w:rPr>
          <w:rFonts w:ascii="Verdana" w:hAnsi="Verdana"/>
        </w:rPr>
      </w:pPr>
    </w:p>
    <w:p w14:paraId="37909687" w14:textId="77777777" w:rsidR="00E92E96" w:rsidRPr="00E92E96" w:rsidRDefault="00E92E96" w:rsidP="00E92E96">
      <w:pPr>
        <w:spacing w:after="0" w:line="240" w:lineRule="auto"/>
        <w:jc w:val="both"/>
        <w:rPr>
          <w:rFonts w:ascii="Verdana" w:hAnsi="Verdana"/>
          <w:sz w:val="20"/>
          <w:szCs w:val="20"/>
        </w:rPr>
      </w:pPr>
      <w:r w:rsidRPr="00E92E96">
        <w:rPr>
          <w:rFonts w:ascii="Verdana" w:hAnsi="Verdana"/>
          <w:sz w:val="20"/>
          <w:szCs w:val="20"/>
        </w:rPr>
        <w:t>[…] es menester analizar si el RUP debe estar en firme para el momento cierre del proceso de selección o se es necesario que se mantenga vigente y esté en firme hasta el momento en que se celebre la audiencia de subasta. Al respecto, esta Agencia considera que, si para ese momento del cierre del proceso el Proponente tenía en firme el RUP estará habilitado para participar en el proceso y ser adjudicatario del contrato.</w:t>
      </w:r>
    </w:p>
    <w:p w14:paraId="2504A562" w14:textId="77777777" w:rsidR="00E92E96" w:rsidRPr="00E92E96" w:rsidRDefault="00E92E96" w:rsidP="00E92E96">
      <w:pPr>
        <w:spacing w:after="0" w:line="240" w:lineRule="auto"/>
        <w:jc w:val="both"/>
        <w:rPr>
          <w:rFonts w:ascii="Verdana" w:hAnsi="Verdana"/>
          <w:sz w:val="20"/>
          <w:szCs w:val="20"/>
        </w:rPr>
      </w:pPr>
    </w:p>
    <w:p w14:paraId="40EB8DCA" w14:textId="3E496FCD" w:rsidR="00E92E96" w:rsidRPr="00E92E96" w:rsidRDefault="00E92E96" w:rsidP="00E92E96">
      <w:pPr>
        <w:spacing w:after="0" w:line="240" w:lineRule="auto"/>
        <w:jc w:val="both"/>
        <w:rPr>
          <w:rFonts w:ascii="Verdana" w:hAnsi="Verdana"/>
          <w:sz w:val="20"/>
          <w:szCs w:val="20"/>
        </w:rPr>
      </w:pPr>
      <w:r w:rsidRPr="00E92E96">
        <w:rPr>
          <w:rFonts w:ascii="Verdana" w:hAnsi="Verdana"/>
          <w:sz w:val="20"/>
          <w:szCs w:val="20"/>
        </w:rPr>
        <w:t>Dicha posición coincide con la tesis defendida por el Consejo de Estado, en sentencia proferida el pasado 17 de julio. Dicha Corporación, al analizar si la oferta ganadora en un Proceso de Contratación debió ser descalificada porque uno de los integrantes del consorcio adjudicatario no contaba con una inscripción vigente en el RÚP entre la fecha del cierre de la licitación y el acto de adjudicación</w:t>
      </w:r>
      <w:r w:rsidRPr="00E92E96">
        <w:rPr>
          <w:rFonts w:ascii="Verdana" w:hAnsi="Verdana"/>
          <w:sz w:val="20"/>
          <w:szCs w:val="20"/>
        </w:rPr>
        <w:t>.</w:t>
      </w:r>
    </w:p>
    <w:p w14:paraId="4ED24EB3" w14:textId="77777777" w:rsidR="00E92E96" w:rsidRDefault="00E92E96" w:rsidP="0064326F">
      <w:pPr>
        <w:spacing w:after="0" w:line="240" w:lineRule="auto"/>
        <w:jc w:val="both"/>
        <w:rPr>
          <w:rFonts w:ascii="Verdana" w:hAnsi="Verdana"/>
        </w:rPr>
      </w:pPr>
    </w:p>
    <w:p w14:paraId="6D3479E0" w14:textId="77777777" w:rsidR="000A3EA7" w:rsidRDefault="000A3EA7" w:rsidP="0064326F">
      <w:pPr>
        <w:spacing w:after="0" w:line="240" w:lineRule="auto"/>
        <w:jc w:val="both"/>
        <w:rPr>
          <w:rFonts w:ascii="Verdana" w:hAnsi="Verdana"/>
        </w:rPr>
      </w:pPr>
    </w:p>
    <w:p w14:paraId="2DD98AE4" w14:textId="77777777" w:rsidR="000A3EA7" w:rsidRDefault="000A3EA7" w:rsidP="000A3EA7">
      <w:pPr>
        <w:spacing w:after="0" w:line="240" w:lineRule="auto"/>
        <w:jc w:val="both"/>
        <w:rPr>
          <w:rFonts w:ascii="Verdana" w:hAnsi="Verdana"/>
          <w:b/>
          <w:bCs/>
        </w:rPr>
      </w:pPr>
      <w:r w:rsidRPr="000A3EA7">
        <w:rPr>
          <w:rFonts w:ascii="Verdana" w:hAnsi="Verdana"/>
          <w:b/>
          <w:bCs/>
        </w:rPr>
        <w:t>CESIÓN DEL CONTRATO ESTATAL – Noción</w:t>
      </w:r>
    </w:p>
    <w:p w14:paraId="4DC539C4" w14:textId="77777777" w:rsidR="000A3EA7" w:rsidRPr="000A3EA7" w:rsidRDefault="000A3EA7" w:rsidP="000A3EA7">
      <w:pPr>
        <w:spacing w:after="0" w:line="240" w:lineRule="auto"/>
        <w:jc w:val="both"/>
        <w:rPr>
          <w:rFonts w:ascii="Verdana" w:hAnsi="Verdana"/>
        </w:rPr>
      </w:pPr>
    </w:p>
    <w:p w14:paraId="0DB20F85" w14:textId="77777777" w:rsidR="000A3EA7" w:rsidRDefault="000A3EA7" w:rsidP="000A3EA7">
      <w:pPr>
        <w:spacing w:after="0" w:line="240" w:lineRule="auto"/>
        <w:jc w:val="both"/>
        <w:rPr>
          <w:rFonts w:ascii="Verdana" w:hAnsi="Verdana"/>
          <w:sz w:val="20"/>
          <w:szCs w:val="20"/>
        </w:rPr>
      </w:pPr>
      <w:r w:rsidRPr="000A3EA7">
        <w:rPr>
          <w:rFonts w:ascii="Verdana" w:hAnsi="Verdana"/>
          <w:sz w:val="20"/>
          <w:szCs w:val="20"/>
        </w:rPr>
        <w:t>Conforme a los artículos 887 y siguientes del Código de Comercio, la cesión de los contratos juega un papel importante en la gestión de los intereses patrimoniales de los sujetos de derecho privado, ya que –a diferencia de la regulada en los artículos 1959 y siguientes del Código Civil– facilita el tráfico jurídico tanto de los derechos como de las obligaciones surgidos con ocasión del acuerdo de voluntades, lo que permite su transferencia total o parcial a terceros como negocio generador de riqueza.</w:t>
      </w:r>
    </w:p>
    <w:p w14:paraId="728D0DDA" w14:textId="77777777" w:rsidR="000A3EA7" w:rsidRPr="000A3EA7" w:rsidRDefault="000A3EA7" w:rsidP="000A3EA7">
      <w:pPr>
        <w:spacing w:after="0" w:line="240" w:lineRule="auto"/>
        <w:jc w:val="both"/>
        <w:rPr>
          <w:rFonts w:ascii="Verdana" w:hAnsi="Verdana"/>
          <w:sz w:val="20"/>
          <w:szCs w:val="20"/>
        </w:rPr>
      </w:pPr>
    </w:p>
    <w:p w14:paraId="030A07C2" w14:textId="77777777" w:rsidR="000A3EA7" w:rsidRPr="000A3EA7" w:rsidRDefault="000A3EA7" w:rsidP="000A3EA7">
      <w:pPr>
        <w:spacing w:after="0" w:line="240" w:lineRule="auto"/>
        <w:jc w:val="both"/>
        <w:rPr>
          <w:rFonts w:ascii="Verdana" w:hAnsi="Verdana"/>
          <w:sz w:val="20"/>
          <w:szCs w:val="20"/>
        </w:rPr>
      </w:pPr>
      <w:r w:rsidRPr="000A3EA7">
        <w:rPr>
          <w:rFonts w:ascii="Verdana" w:hAnsi="Verdana"/>
          <w:sz w:val="20"/>
          <w:szCs w:val="20"/>
        </w:rPr>
        <w:lastRenderedPageBreak/>
        <w:t xml:space="preserve">[…] La cesión de la posición contractual puede entenderse como un acto y como un efecto. Por un lado, “(…) es el contrato con el cual el cedente, parte de otro contrato ya en curso con otro sujeto (cedido), transfiere la relativa posición contractual (en sus componentes activos y pasivos) al cesionario, el cual le </w:t>
      </w:r>
      <w:proofErr w:type="spellStart"/>
      <w:r w:rsidRPr="000A3EA7">
        <w:rPr>
          <w:rFonts w:ascii="Verdana" w:hAnsi="Verdana"/>
          <w:sz w:val="20"/>
          <w:szCs w:val="20"/>
        </w:rPr>
        <w:t>subentra</w:t>
      </w:r>
      <w:proofErr w:type="spellEnd"/>
      <w:r w:rsidRPr="000A3EA7">
        <w:rPr>
          <w:rFonts w:ascii="Verdana" w:hAnsi="Verdana"/>
          <w:sz w:val="20"/>
          <w:szCs w:val="20"/>
        </w:rPr>
        <w:t xml:space="preserve"> en la relación con el cedido (…)”. Por otro, “(…) es la transferencia de la posición contractual de un contratante a otro sujeto, que le </w:t>
      </w:r>
      <w:proofErr w:type="spellStart"/>
      <w:r w:rsidRPr="000A3EA7">
        <w:rPr>
          <w:rFonts w:ascii="Verdana" w:hAnsi="Verdana"/>
          <w:sz w:val="20"/>
          <w:szCs w:val="20"/>
        </w:rPr>
        <w:t>subentra</w:t>
      </w:r>
      <w:proofErr w:type="spellEnd"/>
      <w:r w:rsidRPr="000A3EA7">
        <w:rPr>
          <w:rFonts w:ascii="Verdana" w:hAnsi="Verdana"/>
          <w:sz w:val="20"/>
          <w:szCs w:val="20"/>
        </w:rPr>
        <w:t xml:space="preserve"> en la relación con la contraparte (…)” . De esta manera, concurren tres (3) sujetos: i) el cedente, esto es, el contratista inicial; </w:t>
      </w:r>
      <w:proofErr w:type="spellStart"/>
      <w:r w:rsidRPr="000A3EA7">
        <w:rPr>
          <w:rFonts w:ascii="Verdana" w:hAnsi="Verdana"/>
          <w:sz w:val="20"/>
          <w:szCs w:val="20"/>
        </w:rPr>
        <w:t>ii</w:t>
      </w:r>
      <w:proofErr w:type="spellEnd"/>
      <w:r w:rsidRPr="000A3EA7">
        <w:rPr>
          <w:rFonts w:ascii="Verdana" w:hAnsi="Verdana"/>
          <w:sz w:val="20"/>
          <w:szCs w:val="20"/>
        </w:rPr>
        <w:t xml:space="preserve">) el cesionario, es decir, quien asume total o parcialmente los derechos y obligaciones de este último; y </w:t>
      </w:r>
      <w:proofErr w:type="spellStart"/>
      <w:r w:rsidRPr="000A3EA7">
        <w:rPr>
          <w:rFonts w:ascii="Verdana" w:hAnsi="Verdana"/>
          <w:sz w:val="20"/>
          <w:szCs w:val="20"/>
        </w:rPr>
        <w:t>iii</w:t>
      </w:r>
      <w:proofErr w:type="spellEnd"/>
      <w:r w:rsidRPr="000A3EA7">
        <w:rPr>
          <w:rFonts w:ascii="Verdana" w:hAnsi="Verdana"/>
          <w:sz w:val="20"/>
          <w:szCs w:val="20"/>
        </w:rPr>
        <w:t>) el cedido que, en el caso de los contratos estatales, sería la entidad que suscribió el contrato. Por tanto, la cesión de contrato es una figura jurídica por la que terceros ajenos a los contratantes iniciales participan en negocios que están ejecutando cuando no se hayan cumplido la totalidad de las obligaciones, permitiendo que sean éstos quienes realicen las prestaciones faltantes.</w:t>
      </w:r>
    </w:p>
    <w:p w14:paraId="32D857EC" w14:textId="77777777" w:rsidR="000A3EA7" w:rsidRPr="000A3EA7" w:rsidRDefault="000A3EA7" w:rsidP="000A3EA7">
      <w:pPr>
        <w:spacing w:after="0" w:line="240" w:lineRule="auto"/>
        <w:jc w:val="both"/>
        <w:rPr>
          <w:rFonts w:ascii="Verdana" w:hAnsi="Verdana"/>
        </w:rPr>
      </w:pPr>
      <w:r w:rsidRPr="000A3EA7">
        <w:rPr>
          <w:rFonts w:ascii="Verdana" w:hAnsi="Verdana"/>
          <w:b/>
          <w:bCs/>
        </w:rPr>
        <w:t> </w:t>
      </w:r>
    </w:p>
    <w:p w14:paraId="30B1C64A" w14:textId="77777777" w:rsidR="000A3EA7" w:rsidRPr="000A3EA7" w:rsidRDefault="000A3EA7" w:rsidP="000A3EA7">
      <w:pPr>
        <w:spacing w:after="0" w:line="240" w:lineRule="auto"/>
        <w:jc w:val="both"/>
        <w:rPr>
          <w:rFonts w:ascii="Verdana" w:hAnsi="Verdana"/>
        </w:rPr>
      </w:pPr>
      <w:r w:rsidRPr="000A3EA7">
        <w:rPr>
          <w:rFonts w:ascii="Verdana" w:hAnsi="Verdana"/>
          <w:b/>
          <w:bCs/>
        </w:rPr>
        <w:t>CESIÓN DEL CONTRATO ESTATAL – Régimen jurídico aplicable – EGCAP – Código de Comercio</w:t>
      </w:r>
    </w:p>
    <w:p w14:paraId="2F10CF4A" w14:textId="77777777" w:rsidR="000A3EA7" w:rsidRDefault="000A3EA7" w:rsidP="000A3EA7">
      <w:pPr>
        <w:spacing w:after="0" w:line="240" w:lineRule="auto"/>
        <w:jc w:val="both"/>
        <w:rPr>
          <w:rFonts w:ascii="Verdana" w:hAnsi="Verdana"/>
          <w:sz w:val="20"/>
          <w:szCs w:val="20"/>
        </w:rPr>
      </w:pPr>
      <w:r w:rsidRPr="000A3EA7">
        <w:rPr>
          <w:rFonts w:ascii="Verdana" w:hAnsi="Verdana"/>
          <w:sz w:val="20"/>
          <w:szCs w:val="20"/>
        </w:rPr>
        <w:t xml:space="preserve">Tratándose de la cesión de contratos estatales, conforme a la regulación del EGCAP, confluyen una mixtura entre el derecho público y privado en su regulación. En efecto, i) los contratos estatales se regirán por las normas comerciales y civiles pertinentes, salvo en lo concerniente a las materias particularmente reguladas en dicha ley, de acuerdo con lo prescrito en el inciso primero del artículo 13 de la Ley 80 de 1993, por lo que deben observarse en primer término las disposiciones establecidas en el EGCAP; </w:t>
      </w:r>
      <w:proofErr w:type="spellStart"/>
      <w:r w:rsidRPr="000A3EA7">
        <w:rPr>
          <w:rFonts w:ascii="Verdana" w:hAnsi="Verdana"/>
          <w:sz w:val="20"/>
          <w:szCs w:val="20"/>
        </w:rPr>
        <w:t>ii</w:t>
      </w:r>
      <w:proofErr w:type="spellEnd"/>
      <w:r w:rsidRPr="000A3EA7">
        <w:rPr>
          <w:rFonts w:ascii="Verdana" w:hAnsi="Verdana"/>
          <w:sz w:val="20"/>
          <w:szCs w:val="20"/>
        </w:rPr>
        <w:t>) corresponderán como actos jurídicos bilaterales generadores de obligaciones, entre otros, a los previstos en el derecho privado, en los términos del artículo 32 </w:t>
      </w:r>
      <w:r w:rsidRPr="000A3EA7">
        <w:rPr>
          <w:rFonts w:ascii="Verdana" w:hAnsi="Verdana"/>
          <w:i/>
          <w:iCs/>
          <w:sz w:val="20"/>
          <w:szCs w:val="20"/>
        </w:rPr>
        <w:t>ibidem</w:t>
      </w:r>
      <w:r w:rsidRPr="000A3EA7">
        <w:rPr>
          <w:rFonts w:ascii="Verdana" w:hAnsi="Verdana"/>
          <w:sz w:val="20"/>
          <w:szCs w:val="20"/>
        </w:rPr>
        <w:t xml:space="preserve">; y </w:t>
      </w:r>
      <w:proofErr w:type="spellStart"/>
      <w:r w:rsidRPr="000A3EA7">
        <w:rPr>
          <w:rFonts w:ascii="Verdana" w:hAnsi="Verdana"/>
          <w:sz w:val="20"/>
          <w:szCs w:val="20"/>
        </w:rPr>
        <w:t>iii</w:t>
      </w:r>
      <w:proofErr w:type="spellEnd"/>
      <w:r w:rsidRPr="000A3EA7">
        <w:rPr>
          <w:rFonts w:ascii="Verdana" w:hAnsi="Verdana"/>
          <w:sz w:val="20"/>
          <w:szCs w:val="20"/>
        </w:rPr>
        <w:t>) contendrán las estipulaciones que, de acuerdo con las normas civiles, comerciales y las previstas en esta ley, correspondan a su esencia y naturaleza, conforme a lo dispuesto por el artículo 40 </w:t>
      </w:r>
      <w:r w:rsidRPr="000A3EA7">
        <w:rPr>
          <w:rFonts w:ascii="Verdana" w:hAnsi="Verdana"/>
          <w:i/>
          <w:iCs/>
          <w:sz w:val="20"/>
          <w:szCs w:val="20"/>
        </w:rPr>
        <w:t>ibidem</w:t>
      </w:r>
      <w:r w:rsidRPr="000A3EA7">
        <w:rPr>
          <w:rFonts w:ascii="Verdana" w:hAnsi="Verdana"/>
          <w:sz w:val="20"/>
          <w:szCs w:val="20"/>
        </w:rPr>
        <w:t>.</w:t>
      </w:r>
    </w:p>
    <w:p w14:paraId="4EF591CA" w14:textId="77777777" w:rsidR="000A3EA7" w:rsidRPr="000A3EA7" w:rsidRDefault="000A3EA7" w:rsidP="000A3EA7">
      <w:pPr>
        <w:spacing w:after="0" w:line="240" w:lineRule="auto"/>
        <w:jc w:val="both"/>
        <w:rPr>
          <w:rFonts w:ascii="Verdana" w:hAnsi="Verdana"/>
          <w:sz w:val="20"/>
          <w:szCs w:val="20"/>
        </w:rPr>
      </w:pPr>
    </w:p>
    <w:p w14:paraId="32ED0B85" w14:textId="77777777" w:rsidR="000A3EA7" w:rsidRDefault="000A3EA7" w:rsidP="000A3EA7">
      <w:pPr>
        <w:spacing w:after="0" w:line="240" w:lineRule="auto"/>
        <w:jc w:val="both"/>
        <w:rPr>
          <w:rFonts w:ascii="Verdana" w:hAnsi="Verdana"/>
          <w:sz w:val="20"/>
          <w:szCs w:val="20"/>
        </w:rPr>
      </w:pPr>
      <w:r w:rsidRPr="000A3EA7">
        <w:rPr>
          <w:rFonts w:ascii="Verdana" w:hAnsi="Verdana"/>
          <w:sz w:val="20"/>
          <w:szCs w:val="20"/>
        </w:rPr>
        <w:t>En este sentido, el Estatuto General de Contratación de la Administración Pública establece disposiciones específicas relativas a la figura de la cesión contractual. En principio, si bien rigen las normas relativas a la cesión del contrato contenidas en sus artículos 887 y siguientes del Código de Comercio, su aplicación procede ante la ausencia de norma que de manera particular regule el asunto frente a la categoría especial del contrato estatal.</w:t>
      </w:r>
    </w:p>
    <w:p w14:paraId="58BCE952" w14:textId="77777777" w:rsidR="000A3EA7" w:rsidRPr="000A3EA7" w:rsidRDefault="000A3EA7" w:rsidP="000A3EA7">
      <w:pPr>
        <w:spacing w:after="0" w:line="240" w:lineRule="auto"/>
        <w:jc w:val="both"/>
        <w:rPr>
          <w:rFonts w:ascii="Verdana" w:hAnsi="Verdana"/>
          <w:sz w:val="20"/>
          <w:szCs w:val="20"/>
        </w:rPr>
      </w:pPr>
    </w:p>
    <w:p w14:paraId="4ADFCBA7" w14:textId="77777777" w:rsidR="000A3EA7" w:rsidRPr="000A3EA7" w:rsidRDefault="000A3EA7" w:rsidP="000A3EA7">
      <w:pPr>
        <w:spacing w:after="0" w:line="240" w:lineRule="auto"/>
        <w:jc w:val="both"/>
        <w:rPr>
          <w:rFonts w:ascii="Verdana" w:hAnsi="Verdana"/>
          <w:sz w:val="20"/>
          <w:szCs w:val="20"/>
        </w:rPr>
      </w:pPr>
      <w:r w:rsidRPr="000A3EA7">
        <w:rPr>
          <w:rFonts w:ascii="Verdana" w:hAnsi="Verdana"/>
          <w:sz w:val="20"/>
          <w:szCs w:val="20"/>
        </w:rPr>
        <w:t xml:space="preserve">Por ello, es pertinente indicar que el Decreto Ley 410 de 1971 contempla ciertas disposiciones que no se encuentran en la Ley 80 de 1993, lo que conlleva su aplicación en materia de contratos estatales. Por ejemplo, el artículo 890 establece lo relativo a la responsabilidad del cedente frente al cesionario y en torno a la existencia, validez y garantías del contrato cedido. Por otra parte, el artículo 891 obliga al cesionario a avisar al cedente de la mora o el incumplimiento dentro de los 10 días siguientes, siempre y cuando este se haya obligado a garantizar el cumplimiento por parte del contratante cedido. Asimismo, los artículos 895 y 896 disponen que la cesión de un contrato implica la transferencia de las acciones, privilegios y beneficios legales inherentes a la naturaleza y condiciones del contrato, excluyendo a aquellas que sean extrañas al mismo o que se </w:t>
      </w:r>
      <w:r w:rsidRPr="000A3EA7">
        <w:rPr>
          <w:rFonts w:ascii="Verdana" w:hAnsi="Verdana"/>
          <w:sz w:val="20"/>
          <w:szCs w:val="20"/>
        </w:rPr>
        <w:lastRenderedPageBreak/>
        <w:t>funden en el estado o calidad particular de las partes, pudiendo, el contratante cedido, oponer contra el cesionario todas las excepciones que se deriven del contrato.</w:t>
      </w:r>
    </w:p>
    <w:p w14:paraId="05A4E792" w14:textId="77777777" w:rsidR="000A3EA7" w:rsidRPr="000A3EA7" w:rsidRDefault="000A3EA7" w:rsidP="000A3EA7">
      <w:pPr>
        <w:spacing w:after="0" w:line="240" w:lineRule="auto"/>
        <w:jc w:val="both"/>
        <w:rPr>
          <w:rFonts w:ascii="Verdana" w:hAnsi="Verdana"/>
          <w:sz w:val="20"/>
          <w:szCs w:val="20"/>
        </w:rPr>
      </w:pPr>
    </w:p>
    <w:p w14:paraId="06949373" w14:textId="77777777" w:rsidR="000A3EA7" w:rsidRPr="000A3EA7" w:rsidRDefault="000A3EA7" w:rsidP="000A3EA7">
      <w:pPr>
        <w:spacing w:after="0" w:line="240" w:lineRule="auto"/>
        <w:jc w:val="both"/>
        <w:rPr>
          <w:rFonts w:ascii="Verdana" w:hAnsi="Verdana"/>
          <w:sz w:val="20"/>
          <w:szCs w:val="20"/>
        </w:rPr>
      </w:pPr>
      <w:r w:rsidRPr="000A3EA7">
        <w:rPr>
          <w:rFonts w:ascii="Verdana" w:hAnsi="Verdana"/>
          <w:sz w:val="20"/>
          <w:szCs w:val="20"/>
        </w:rPr>
        <w:t>Al margen de estas y otras disposiciones que de manera particular consagra el Código de Comercio sobre la cesión del contrato, esta figura cuenta con algunas normas especiales en la Ley 80 de 1993. Por ejemplo, el artículo 41, inciso tercero, del EGCAP prescribe que “Los contratos estatales son </w:t>
      </w:r>
      <w:r w:rsidRPr="000A3EA7">
        <w:rPr>
          <w:rFonts w:ascii="Verdana" w:hAnsi="Verdana"/>
          <w:i/>
          <w:iCs/>
          <w:sz w:val="20"/>
          <w:szCs w:val="20"/>
        </w:rPr>
        <w:t xml:space="preserve">intuito </w:t>
      </w:r>
      <w:proofErr w:type="spellStart"/>
      <w:r w:rsidRPr="000A3EA7">
        <w:rPr>
          <w:rFonts w:ascii="Verdana" w:hAnsi="Verdana"/>
          <w:i/>
          <w:iCs/>
          <w:sz w:val="20"/>
          <w:szCs w:val="20"/>
        </w:rPr>
        <w:t>personae</w:t>
      </w:r>
      <w:proofErr w:type="spellEnd"/>
      <w:r w:rsidRPr="000A3EA7">
        <w:rPr>
          <w:rFonts w:ascii="Verdana" w:hAnsi="Verdana"/>
          <w:sz w:val="20"/>
          <w:szCs w:val="20"/>
        </w:rPr>
        <w:t> y, en consecuencia, una vez celebrados no podrán cederse sin previa autorización escrita de la entidad contratante”. Esta norma contiene una prohibición general –</w:t>
      </w:r>
      <w:r w:rsidRPr="000A3EA7">
        <w:rPr>
          <w:rFonts w:ascii="Verdana" w:hAnsi="Verdana"/>
          <w:i/>
          <w:iCs/>
          <w:sz w:val="20"/>
          <w:szCs w:val="20"/>
        </w:rPr>
        <w:t>faceta negativa</w:t>
      </w:r>
      <w:r w:rsidRPr="000A3EA7">
        <w:rPr>
          <w:rFonts w:ascii="Verdana" w:hAnsi="Verdana"/>
          <w:sz w:val="20"/>
          <w:szCs w:val="20"/>
        </w:rPr>
        <w:t>– y una autorización excepcional –</w:t>
      </w:r>
      <w:r w:rsidRPr="000A3EA7">
        <w:rPr>
          <w:rFonts w:ascii="Verdana" w:hAnsi="Verdana"/>
          <w:i/>
          <w:iCs/>
          <w:sz w:val="20"/>
          <w:szCs w:val="20"/>
        </w:rPr>
        <w:t>faceta positiva</w:t>
      </w:r>
      <w:r w:rsidRPr="000A3EA7">
        <w:rPr>
          <w:rFonts w:ascii="Verdana" w:hAnsi="Verdana"/>
          <w:sz w:val="20"/>
          <w:szCs w:val="20"/>
        </w:rPr>
        <w:t>–.</w:t>
      </w:r>
    </w:p>
    <w:p w14:paraId="23B79492" w14:textId="77777777" w:rsidR="000A3EA7" w:rsidRDefault="000A3EA7" w:rsidP="0064326F">
      <w:pPr>
        <w:spacing w:after="0" w:line="240" w:lineRule="auto"/>
        <w:jc w:val="both"/>
        <w:rPr>
          <w:rFonts w:ascii="Verdana" w:hAnsi="Verdana"/>
        </w:rPr>
      </w:pPr>
    </w:p>
    <w:p w14:paraId="1A869498" w14:textId="77777777" w:rsidR="00933DD8" w:rsidRDefault="00933DD8" w:rsidP="00933DD8">
      <w:pPr>
        <w:spacing w:after="0" w:line="240" w:lineRule="auto"/>
        <w:jc w:val="both"/>
        <w:rPr>
          <w:rFonts w:ascii="Verdana" w:hAnsi="Verdana"/>
          <w:b/>
          <w:bCs/>
        </w:rPr>
      </w:pPr>
      <w:r w:rsidRPr="00933DD8">
        <w:rPr>
          <w:rFonts w:ascii="Verdana" w:hAnsi="Verdana"/>
          <w:b/>
          <w:bCs/>
        </w:rPr>
        <w:t>CESIÓN DEL CONTRATO ESTATAL – Requisitos – Restricciones</w:t>
      </w:r>
    </w:p>
    <w:p w14:paraId="1FBC60B9" w14:textId="77777777" w:rsidR="00933DD8" w:rsidRPr="00933DD8" w:rsidRDefault="00933DD8" w:rsidP="00933DD8">
      <w:pPr>
        <w:spacing w:after="0" w:line="240" w:lineRule="auto"/>
        <w:jc w:val="both"/>
        <w:rPr>
          <w:rFonts w:ascii="Verdana" w:hAnsi="Verdana"/>
        </w:rPr>
      </w:pPr>
    </w:p>
    <w:p w14:paraId="37FF4417" w14:textId="77777777" w:rsidR="00933DD8" w:rsidRDefault="00933DD8" w:rsidP="00933DD8">
      <w:pPr>
        <w:spacing w:after="0" w:line="240" w:lineRule="auto"/>
        <w:jc w:val="both"/>
        <w:rPr>
          <w:rFonts w:ascii="Verdana" w:hAnsi="Verdana"/>
          <w:sz w:val="20"/>
          <w:szCs w:val="20"/>
        </w:rPr>
      </w:pPr>
      <w:r w:rsidRPr="00933DD8">
        <w:rPr>
          <w:rFonts w:ascii="Verdana" w:hAnsi="Verdana"/>
          <w:sz w:val="20"/>
          <w:szCs w:val="20"/>
        </w:rPr>
        <w:t xml:space="preserve">[…] el Consejo de Estado ha precisado como requisitos de la cesión del contrato estatal los siguientes: i) debe recaer en un tercero; </w:t>
      </w:r>
      <w:proofErr w:type="spellStart"/>
      <w:r w:rsidRPr="00933DD8">
        <w:rPr>
          <w:rFonts w:ascii="Verdana" w:hAnsi="Verdana"/>
          <w:sz w:val="20"/>
          <w:szCs w:val="20"/>
        </w:rPr>
        <w:t>ii</w:t>
      </w:r>
      <w:proofErr w:type="spellEnd"/>
      <w:r w:rsidRPr="00933DD8">
        <w:rPr>
          <w:rFonts w:ascii="Verdana" w:hAnsi="Verdana"/>
          <w:sz w:val="20"/>
          <w:szCs w:val="20"/>
        </w:rPr>
        <w:t xml:space="preserve">) el cesionario debe tener capacidad jurídica para continuar con la ejecución del objeto contractual y no estar incurso en causales de inhabilidad e incompatibilidad para contratar; y </w:t>
      </w:r>
      <w:proofErr w:type="spellStart"/>
      <w:r w:rsidRPr="00933DD8">
        <w:rPr>
          <w:rFonts w:ascii="Verdana" w:hAnsi="Verdana"/>
          <w:sz w:val="20"/>
          <w:szCs w:val="20"/>
        </w:rPr>
        <w:t>iii</w:t>
      </w:r>
      <w:proofErr w:type="spellEnd"/>
      <w:r w:rsidRPr="00933DD8">
        <w:rPr>
          <w:rFonts w:ascii="Verdana" w:hAnsi="Verdana"/>
          <w:sz w:val="20"/>
          <w:szCs w:val="20"/>
        </w:rPr>
        <w:t>) el cesionario debe contar con capacidad técnica, económica y financiera suficientes para el cumplimiento de las obligaciones emanadas del contrato cedido. Al respecto, la Sección Tercera del Consejo de Estado ha explicado que, en la medida que el tercero cesionario asume la posición contractual del contratista cedente, las disposiciones, los pliegos de condiciones y el contrato mismo serán aplicables a quien asuma la nueva posición contractual. De esta manera, la capacidad jurídica, económica y técnica del contratista cedente se exigirá también al cesionario, ya que “(…) el proceso cesión del contrato y las exigencias que se le impongan al tercero, no pueden alterar ni burlar los procedimientos de selección del contratista, en otras palabras, la figura de la cesión de contrato no puede servir como instrumento para desviar las obligaciones que tiene la entidad contratante de cumplimiento de los parámetros de la selección objetiva”.</w:t>
      </w:r>
    </w:p>
    <w:p w14:paraId="1AD2F724" w14:textId="77777777" w:rsidR="00933DD8" w:rsidRPr="00933DD8" w:rsidRDefault="00933DD8" w:rsidP="00933DD8">
      <w:pPr>
        <w:spacing w:after="0" w:line="240" w:lineRule="auto"/>
        <w:jc w:val="both"/>
        <w:rPr>
          <w:rFonts w:ascii="Verdana" w:hAnsi="Verdana"/>
          <w:sz w:val="20"/>
          <w:szCs w:val="20"/>
        </w:rPr>
      </w:pPr>
    </w:p>
    <w:p w14:paraId="56E3FB06" w14:textId="77777777" w:rsidR="00933DD8" w:rsidRDefault="00933DD8" w:rsidP="00933DD8">
      <w:pPr>
        <w:spacing w:after="0" w:line="240" w:lineRule="auto"/>
        <w:jc w:val="both"/>
        <w:rPr>
          <w:rFonts w:ascii="Verdana" w:hAnsi="Verdana"/>
          <w:sz w:val="20"/>
          <w:szCs w:val="20"/>
        </w:rPr>
      </w:pPr>
      <w:r w:rsidRPr="00933DD8">
        <w:rPr>
          <w:rFonts w:ascii="Verdana" w:hAnsi="Verdana"/>
          <w:sz w:val="20"/>
          <w:szCs w:val="20"/>
        </w:rPr>
        <w:t>Por lo tanto, la entidad estatal en el trámite de autorización de una cesión de posición contractual está obligada a respetar los criterios normativos que resulten aplicables al proceso de contratación, entre otros, los principios de transparencia, selección objetiva e igualdad. En otros términos, so pretexto de una cesión contractual, no pueden vulnerarse las reglas y principios de la contratación estatal.</w:t>
      </w:r>
    </w:p>
    <w:p w14:paraId="396BFE73" w14:textId="77777777" w:rsidR="00933DD8" w:rsidRPr="00933DD8" w:rsidRDefault="00933DD8" w:rsidP="00933DD8">
      <w:pPr>
        <w:spacing w:after="0" w:line="240" w:lineRule="auto"/>
        <w:jc w:val="both"/>
        <w:rPr>
          <w:rFonts w:ascii="Verdana" w:hAnsi="Verdana"/>
          <w:sz w:val="20"/>
          <w:szCs w:val="20"/>
        </w:rPr>
      </w:pPr>
    </w:p>
    <w:p w14:paraId="0321F8C3" w14:textId="77777777" w:rsidR="00933DD8" w:rsidRPr="00933DD8" w:rsidRDefault="00933DD8" w:rsidP="00933DD8">
      <w:pPr>
        <w:spacing w:after="0" w:line="240" w:lineRule="auto"/>
        <w:jc w:val="both"/>
        <w:rPr>
          <w:rFonts w:ascii="Verdana" w:hAnsi="Verdana"/>
          <w:sz w:val="20"/>
          <w:szCs w:val="20"/>
        </w:rPr>
      </w:pPr>
      <w:r w:rsidRPr="00933DD8">
        <w:rPr>
          <w:rFonts w:ascii="Verdana" w:hAnsi="Verdana"/>
          <w:sz w:val="20"/>
          <w:szCs w:val="20"/>
        </w:rPr>
        <w:t>Además, el inciso primero del artículo 9 de la Ley 80 de 1993 establece una importante previsión en materia de cesión del contrato estatal, conforme a la cual “Si llegare a sobrevenir inhabilidad o incompatibilidad en el contratista, este cederá el contrato previa autorización escrita de la entidad contratante o, si ello no fuere posible, renunciará a su ejecución”. Además, en el inciso tercero del artículo citado impone una limitación a la cesión dentro del contrato estatal, que consiste en que, si la inhabilidad o incompatibilidad sobreviene a uno de los miembros del consorcio o unión temporal, “(…) este cederá su participación a un tercero previa autorización escrita de la entidad contratante (…)”, y establece que “(…) En ningún caso, podrá haber cesión del contrato entre quienes integran el consorcio o unión temporal”.</w:t>
      </w:r>
    </w:p>
    <w:p w14:paraId="1A578C6B" w14:textId="7C24F11B" w:rsidR="0064326F" w:rsidRPr="008E4F36" w:rsidRDefault="00DF4A2C" w:rsidP="0064326F">
      <w:pPr>
        <w:spacing w:after="0" w:line="240" w:lineRule="auto"/>
        <w:jc w:val="both"/>
        <w:rPr>
          <w:rFonts w:ascii="Verdana" w:hAnsi="Verdana"/>
        </w:rPr>
      </w:pPr>
      <w:r w:rsidRPr="00DF4A2C">
        <w:rPr>
          <w:rFonts w:ascii="Verdana" w:hAnsi="Verdana"/>
        </w:rPr>
        <w:lastRenderedPageBreak/>
        <w:t xml:space="preserve">Bogotá D.C., 13 </w:t>
      </w:r>
      <w:r w:rsidRPr="00DF4A2C">
        <w:rPr>
          <w:rFonts w:ascii="Verdana" w:hAnsi="Verdana"/>
        </w:rPr>
        <w:t>febrero</w:t>
      </w:r>
      <w:r w:rsidRPr="00DF4A2C">
        <w:rPr>
          <w:rFonts w:ascii="Verdana" w:hAnsi="Verdana"/>
        </w:rPr>
        <w:t xml:space="preserve"> 2026</w:t>
      </w:r>
      <w:r>
        <w:rPr>
          <w:rFonts w:ascii="Verdana" w:hAnsi="Verdana"/>
        </w:rPr>
        <w:t xml:space="preserve"> </w:t>
      </w:r>
    </w:p>
    <w:p w14:paraId="2BB29AF9" w14:textId="57CEE346" w:rsidR="0064326F" w:rsidRPr="008E4F36" w:rsidRDefault="00575C1E" w:rsidP="0064326F">
      <w:pPr>
        <w:spacing w:after="0" w:line="240" w:lineRule="auto"/>
        <w:jc w:val="both"/>
        <w:rPr>
          <w:rFonts w:ascii="Verdana" w:eastAsia="Calibri" w:hAnsi="Verdana" w:cs="Arial"/>
          <w:lang w:eastAsia="es-ES"/>
        </w:rPr>
      </w:pPr>
      <w:bookmarkStart w:id="0" w:name="_Hlk197462763"/>
      <w:bookmarkStart w:id="1" w:name="_Hlk197529996"/>
      <w:r w:rsidRPr="00575C1E">
        <w:rPr>
          <w:rFonts w:ascii="Verdana" w:eastAsia="Calibri" w:hAnsi="Verdana" w:cs="Arial"/>
          <w:lang w:eastAsia="es-ES"/>
        </w:rPr>
        <w:drawing>
          <wp:anchor distT="0" distB="0" distL="114300" distR="114300" simplePos="0" relativeHeight="251660288" behindDoc="1" locked="0" layoutInCell="1" allowOverlap="1" wp14:anchorId="6ED3F0E7" wp14:editId="5CF96974">
            <wp:simplePos x="0" y="0"/>
            <wp:positionH relativeFrom="column">
              <wp:posOffset>3084195</wp:posOffset>
            </wp:positionH>
            <wp:positionV relativeFrom="paragraph">
              <wp:posOffset>168910</wp:posOffset>
            </wp:positionV>
            <wp:extent cx="2609850" cy="742950"/>
            <wp:effectExtent l="0" t="0" r="0" b="0"/>
            <wp:wrapTight wrapText="bothSides">
              <wp:wrapPolygon edited="0">
                <wp:start x="0" y="0"/>
                <wp:lineTo x="0" y="21046"/>
                <wp:lineTo x="21442" y="21046"/>
                <wp:lineTo x="21442" y="0"/>
                <wp:lineTo x="0" y="0"/>
              </wp:wrapPolygon>
            </wp:wrapTight>
            <wp:docPr id="1813773899"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3773899" name="Imagen 1" descr="Texto&#10;&#10;El contenido generado por IA puede ser incorrecto."/>
                    <pic:cNvPicPr/>
                  </pic:nvPicPr>
                  <pic:blipFill>
                    <a:blip r:embed="rId7">
                      <a:extLst>
                        <a:ext uri="{28A0092B-C50C-407E-A947-70E740481C1C}">
                          <a14:useLocalDpi xmlns:a14="http://schemas.microsoft.com/office/drawing/2010/main" val="0"/>
                        </a:ext>
                      </a:extLst>
                    </a:blip>
                    <a:stretch>
                      <a:fillRect/>
                    </a:stretch>
                  </pic:blipFill>
                  <pic:spPr>
                    <a:xfrm>
                      <a:off x="0" y="0"/>
                      <a:ext cx="2609850" cy="742950"/>
                    </a:xfrm>
                    <a:prstGeom prst="rect">
                      <a:avLst/>
                    </a:prstGeom>
                  </pic:spPr>
                </pic:pic>
              </a:graphicData>
            </a:graphic>
          </wp:anchor>
        </w:drawing>
      </w:r>
    </w:p>
    <w:p w14:paraId="7DEFFB79" w14:textId="28B58C2A" w:rsidR="0064326F" w:rsidRDefault="0064326F" w:rsidP="0064326F">
      <w:pPr>
        <w:spacing w:after="0" w:line="240" w:lineRule="auto"/>
        <w:jc w:val="both"/>
        <w:rPr>
          <w:rFonts w:ascii="Verdana" w:eastAsia="Calibri" w:hAnsi="Verdana" w:cs="Arial"/>
          <w:lang w:eastAsia="es-ES"/>
        </w:rPr>
      </w:pPr>
    </w:p>
    <w:p w14:paraId="0650D5B4" w14:textId="61D63EE9" w:rsidR="00DF4A2C" w:rsidRDefault="00DF4A2C" w:rsidP="0064326F">
      <w:pPr>
        <w:spacing w:after="0" w:line="240" w:lineRule="auto"/>
        <w:jc w:val="both"/>
        <w:rPr>
          <w:rFonts w:ascii="Verdana" w:eastAsia="Calibri" w:hAnsi="Verdana" w:cs="Arial"/>
          <w:lang w:eastAsia="es-ES"/>
        </w:rPr>
      </w:pPr>
    </w:p>
    <w:p w14:paraId="7A8F59EC" w14:textId="6BAAA347" w:rsidR="0064326F" w:rsidRDefault="0064326F" w:rsidP="0064326F">
      <w:pPr>
        <w:spacing w:after="0" w:line="240" w:lineRule="auto"/>
        <w:jc w:val="both"/>
        <w:rPr>
          <w:rFonts w:ascii="Verdana" w:eastAsia="Calibri" w:hAnsi="Verdana" w:cs="Arial"/>
          <w:lang w:eastAsia="es-ES"/>
        </w:rPr>
      </w:pPr>
      <w:r w:rsidRPr="008E4F36">
        <w:rPr>
          <w:rFonts w:ascii="Verdana" w:eastAsia="Calibri" w:hAnsi="Verdana" w:cs="Arial"/>
          <w:lang w:eastAsia="es-ES"/>
        </w:rPr>
        <w:t>Señor</w:t>
      </w:r>
    </w:p>
    <w:p w14:paraId="6879B46F" w14:textId="77777777" w:rsidR="0064326F" w:rsidRPr="00EC6FAC" w:rsidRDefault="0064326F" w:rsidP="0064326F">
      <w:pPr>
        <w:spacing w:after="0" w:line="240" w:lineRule="auto"/>
        <w:jc w:val="both"/>
        <w:rPr>
          <w:rFonts w:ascii="Verdana" w:eastAsia="Calibri" w:hAnsi="Verdana" w:cs="Arial"/>
          <w:b/>
          <w:bCs/>
          <w:lang w:eastAsia="es-ES"/>
        </w:rPr>
      </w:pPr>
      <w:r w:rsidRPr="00EC6FAC">
        <w:rPr>
          <w:rFonts w:ascii="Verdana" w:eastAsia="Calibri" w:hAnsi="Verdana" w:cs="Arial"/>
          <w:b/>
          <w:bCs/>
          <w:lang w:eastAsia="es-ES"/>
        </w:rPr>
        <w:t xml:space="preserve">Ciudadano Anónimo </w:t>
      </w:r>
    </w:p>
    <w:p w14:paraId="200BF05A" w14:textId="77777777" w:rsidR="0064326F" w:rsidRPr="00FA5180" w:rsidRDefault="0064326F" w:rsidP="0064326F">
      <w:pPr>
        <w:spacing w:after="0" w:line="240" w:lineRule="auto"/>
        <w:jc w:val="both"/>
        <w:rPr>
          <w:rFonts w:ascii="Verdana" w:eastAsia="Calibri" w:hAnsi="Verdana" w:cs="Arial"/>
          <w:b/>
          <w:lang w:eastAsia="es-ES_tradnl"/>
        </w:rPr>
      </w:pPr>
      <w:hyperlink r:id="rId8" w:history="1">
        <w:r w:rsidRPr="00FA5180">
          <w:rPr>
            <w:rStyle w:val="Hipervnculo"/>
            <w:rFonts w:ascii="Verdana" w:eastAsia="Calibri" w:hAnsi="Verdana" w:cs="Arial"/>
            <w:b/>
            <w:lang w:eastAsia="es-ES_tradnl"/>
          </w:rPr>
          <w:t>ingroman22@outlook.com</w:t>
        </w:r>
      </w:hyperlink>
      <w:r w:rsidRPr="00FA5180">
        <w:rPr>
          <w:rFonts w:ascii="Verdana" w:eastAsia="Calibri" w:hAnsi="Verdana" w:cs="Arial"/>
          <w:b/>
          <w:lang w:eastAsia="es-ES_tradnl"/>
        </w:rPr>
        <w:t xml:space="preserve"> </w:t>
      </w:r>
    </w:p>
    <w:p w14:paraId="05106100" w14:textId="77777777" w:rsidR="0064326F" w:rsidRPr="00624A4C" w:rsidRDefault="0064326F" w:rsidP="0064326F">
      <w:pPr>
        <w:spacing w:after="0" w:line="240" w:lineRule="auto"/>
        <w:jc w:val="both"/>
        <w:rPr>
          <w:rFonts w:ascii="Verdana" w:eastAsia="Calibri" w:hAnsi="Verdana" w:cs="Arial"/>
          <w:bCs/>
          <w:lang w:eastAsia="es-ES_tradnl"/>
        </w:rPr>
      </w:pPr>
      <w:r>
        <w:rPr>
          <w:rFonts w:ascii="Verdana" w:eastAsia="Calibri" w:hAnsi="Verdana" w:cs="Arial"/>
          <w:bCs/>
          <w:lang w:eastAsia="es-ES_tradnl"/>
        </w:rPr>
        <w:t>Cuidad</w:t>
      </w:r>
    </w:p>
    <w:p w14:paraId="6065E83B" w14:textId="77777777" w:rsidR="0064326F" w:rsidRPr="005B4C57" w:rsidRDefault="0064326F" w:rsidP="0064326F">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64326F" w:rsidRPr="002842E0" w14:paraId="3A722DB6" w14:textId="77777777" w:rsidTr="00AD0296">
        <w:trPr>
          <w:trHeight w:val="162"/>
        </w:trPr>
        <w:tc>
          <w:tcPr>
            <w:tcW w:w="3119" w:type="dxa"/>
          </w:tcPr>
          <w:p w14:paraId="408B1838" w14:textId="77777777" w:rsidR="0064326F" w:rsidRPr="005B4C57" w:rsidRDefault="0064326F" w:rsidP="00AD0296">
            <w:pPr>
              <w:jc w:val="both"/>
              <w:rPr>
                <w:rFonts w:ascii="Verdana" w:eastAsia="Calibri" w:hAnsi="Verdana" w:cs="Arial"/>
                <w:b/>
                <w:bCs/>
                <w:color w:val="7030A0"/>
                <w:lang w:val="it-CH" w:eastAsia="es-ES_tradnl"/>
              </w:rPr>
            </w:pPr>
          </w:p>
        </w:tc>
        <w:tc>
          <w:tcPr>
            <w:tcW w:w="5670" w:type="dxa"/>
          </w:tcPr>
          <w:p w14:paraId="332CEEB1" w14:textId="77777777" w:rsidR="0064326F" w:rsidRPr="00801462" w:rsidRDefault="0064326F" w:rsidP="00AD0296">
            <w:pPr>
              <w:jc w:val="both"/>
              <w:rPr>
                <w:rFonts w:ascii="Verdana" w:eastAsia="Calibri" w:hAnsi="Verdana" w:cs="Arial"/>
                <w:b/>
                <w:bCs/>
                <w:lang w:eastAsia="es-ES"/>
              </w:rPr>
            </w:pPr>
            <w:r w:rsidRPr="00083AB6">
              <w:rPr>
                <w:rFonts w:ascii="Verdana" w:eastAsia="Calibri" w:hAnsi="Verdana" w:cs="Arial"/>
                <w:b/>
                <w:bCs/>
                <w:lang w:eastAsia="es-ES"/>
              </w:rPr>
              <w:t xml:space="preserve">Concepto C- </w:t>
            </w:r>
            <w:r>
              <w:rPr>
                <w:rFonts w:ascii="Verdana" w:eastAsia="Calibri" w:hAnsi="Verdana" w:cs="Arial"/>
                <w:b/>
                <w:bCs/>
                <w:lang w:eastAsia="es-ES"/>
              </w:rPr>
              <w:t>009</w:t>
            </w:r>
            <w:r w:rsidRPr="00083AB6">
              <w:rPr>
                <w:rFonts w:ascii="Verdana" w:eastAsia="Calibri" w:hAnsi="Verdana" w:cs="Arial"/>
                <w:b/>
                <w:bCs/>
                <w:lang w:eastAsia="es-ES"/>
              </w:rPr>
              <w:t xml:space="preserve"> de 202</w:t>
            </w:r>
            <w:r>
              <w:rPr>
                <w:rFonts w:ascii="Verdana" w:eastAsia="Calibri" w:hAnsi="Verdana" w:cs="Arial"/>
                <w:b/>
                <w:bCs/>
                <w:lang w:eastAsia="es-ES"/>
              </w:rPr>
              <w:t>6</w:t>
            </w:r>
          </w:p>
          <w:p w14:paraId="5DCDC7AD" w14:textId="77777777" w:rsidR="0064326F" w:rsidRPr="00801462" w:rsidRDefault="0064326F" w:rsidP="00AD0296">
            <w:pPr>
              <w:jc w:val="both"/>
              <w:rPr>
                <w:rFonts w:ascii="Verdana" w:eastAsia="Calibri" w:hAnsi="Verdana" w:cs="Arial"/>
                <w:b/>
                <w:bCs/>
                <w:color w:val="7030A0"/>
                <w:lang w:eastAsia="es-ES"/>
              </w:rPr>
            </w:pPr>
          </w:p>
        </w:tc>
      </w:tr>
      <w:tr w:rsidR="0064326F" w:rsidRPr="002842E0" w14:paraId="798D3363" w14:textId="77777777" w:rsidTr="00AD0296">
        <w:trPr>
          <w:trHeight w:val="884"/>
        </w:trPr>
        <w:tc>
          <w:tcPr>
            <w:tcW w:w="3119" w:type="dxa"/>
          </w:tcPr>
          <w:p w14:paraId="49506E3E" w14:textId="77777777" w:rsidR="0064326F" w:rsidRPr="00801462" w:rsidRDefault="0064326F" w:rsidP="00AD0296">
            <w:pPr>
              <w:jc w:val="both"/>
              <w:rPr>
                <w:rFonts w:ascii="Verdana" w:eastAsia="Calibri" w:hAnsi="Verdana" w:cs="Arial"/>
                <w:color w:val="000000"/>
                <w:lang w:eastAsia="es-ES_tradnl"/>
              </w:rPr>
            </w:pPr>
            <w:r w:rsidRPr="00801462">
              <w:rPr>
                <w:rFonts w:ascii="Verdana" w:eastAsia="Calibri" w:hAnsi="Verdana" w:cs="Arial"/>
                <w:b/>
                <w:color w:val="000000"/>
                <w:lang w:eastAsia="es-ES_tradnl"/>
              </w:rPr>
              <w:t>Temas:</w:t>
            </w:r>
            <w:r w:rsidRPr="00801462">
              <w:rPr>
                <w:rFonts w:ascii="Verdana" w:eastAsia="Calibri" w:hAnsi="Verdana" w:cs="Arial"/>
                <w:color w:val="000000"/>
                <w:lang w:eastAsia="es-ES_tradnl"/>
              </w:rPr>
              <w:t xml:space="preserve">                   </w:t>
            </w:r>
          </w:p>
        </w:tc>
        <w:tc>
          <w:tcPr>
            <w:tcW w:w="5670" w:type="dxa"/>
          </w:tcPr>
          <w:p w14:paraId="2DA2132C" w14:textId="77777777" w:rsidR="0064326F" w:rsidRPr="003A3B5E" w:rsidRDefault="0064326F" w:rsidP="00AD0296">
            <w:pPr>
              <w:spacing w:line="276" w:lineRule="auto"/>
              <w:jc w:val="both"/>
              <w:rPr>
                <w:rFonts w:ascii="Verdana" w:eastAsia="Times New Roman" w:hAnsi="Verdana" w:cs="Arial"/>
                <w:lang w:eastAsia="es-ES_tradnl"/>
              </w:rPr>
            </w:pPr>
            <w:r w:rsidRPr="00114F25">
              <w:rPr>
                <w:rFonts w:ascii="Verdana" w:hAnsi="Verdana" w:cs="Arial"/>
                <w:bCs/>
                <w:lang w:val="es-ES" w:eastAsia="es-ES_tradnl"/>
              </w:rPr>
              <w:t xml:space="preserve">REGISTRO ÚNICO DE PROPONENTES – RUP – Concepto / REGISTRO ÚNICO DE PROPONENTES – RUP – Firmeza / REGISTRO ÚNICO DE PROPONENTES – RUP – Firmeza </w:t>
            </w:r>
            <w:r>
              <w:rPr>
                <w:rFonts w:ascii="Verdana" w:hAnsi="Verdana"/>
                <w:lang w:val="es-MX"/>
              </w:rPr>
              <w:t xml:space="preserve">/ </w:t>
            </w:r>
            <w:r w:rsidRPr="00EF6E9B">
              <w:rPr>
                <w:rFonts w:ascii="Verdana" w:eastAsia="Aptos" w:hAnsi="Verdana" w:cs="Times New Roman"/>
                <w:shd w:val="clear" w:color="auto" w:fill="FFFFFF"/>
                <w:lang w:val="es-ES"/>
              </w:rPr>
              <w:t>CESIÓN DEL CONTRATO ESTATAL – Noción / CESIÓN DEL CONTRATO ESTATAL – Régimen jurídico aplicable – EGCAP – Código de Comercio / CESIÓN DEL CONTRATO ESTATAL – Requisitos – Restricciones</w:t>
            </w:r>
            <w:r w:rsidRPr="003A3B5E">
              <w:rPr>
                <w:rFonts w:ascii="Verdana" w:hAnsi="Verdana"/>
                <w:lang w:val="es-MX"/>
              </w:rPr>
              <w:t xml:space="preserve"> </w:t>
            </w:r>
          </w:p>
          <w:p w14:paraId="3DC63FDF" w14:textId="77777777" w:rsidR="0064326F" w:rsidRPr="00801462" w:rsidRDefault="0064326F" w:rsidP="00AD0296">
            <w:pPr>
              <w:spacing w:line="276" w:lineRule="auto"/>
              <w:jc w:val="both"/>
              <w:rPr>
                <w:rFonts w:ascii="Verdana" w:eastAsia="Calibri" w:hAnsi="Verdana" w:cs="Arial"/>
                <w:lang w:val="es-ES_tradnl" w:eastAsia="es-ES"/>
              </w:rPr>
            </w:pPr>
          </w:p>
        </w:tc>
      </w:tr>
      <w:tr w:rsidR="0064326F" w:rsidRPr="002842E0" w14:paraId="7C9C1C7F" w14:textId="77777777" w:rsidTr="00AD0296">
        <w:tc>
          <w:tcPr>
            <w:tcW w:w="3119" w:type="dxa"/>
          </w:tcPr>
          <w:p w14:paraId="38F953F4" w14:textId="77777777" w:rsidR="0064326F" w:rsidRPr="00801462" w:rsidRDefault="0064326F" w:rsidP="00AD0296">
            <w:pPr>
              <w:jc w:val="both"/>
              <w:rPr>
                <w:rFonts w:ascii="Verdana" w:eastAsia="Calibri" w:hAnsi="Verdana" w:cs="Arial"/>
                <w:b/>
                <w:lang w:eastAsia="es-ES_tradnl"/>
              </w:rPr>
            </w:pPr>
            <w:r w:rsidRPr="00801462">
              <w:rPr>
                <w:rFonts w:ascii="Verdana" w:eastAsia="Calibri" w:hAnsi="Verdana" w:cs="Arial"/>
                <w:b/>
                <w:lang w:eastAsia="es-ES_tradnl"/>
              </w:rPr>
              <w:t>Radicación:</w:t>
            </w:r>
            <w:r w:rsidRPr="00801462">
              <w:rPr>
                <w:rFonts w:ascii="Verdana" w:eastAsia="Calibri" w:hAnsi="Verdana" w:cs="Arial"/>
                <w:lang w:eastAsia="es-ES_tradnl"/>
              </w:rPr>
              <w:t xml:space="preserve">               </w:t>
            </w:r>
          </w:p>
        </w:tc>
        <w:tc>
          <w:tcPr>
            <w:tcW w:w="5670" w:type="dxa"/>
          </w:tcPr>
          <w:p w14:paraId="50167C33" w14:textId="77777777" w:rsidR="0064326F" w:rsidRPr="00134641" w:rsidRDefault="0064326F" w:rsidP="00AD0296">
            <w:pPr>
              <w:jc w:val="both"/>
              <w:rPr>
                <w:rFonts w:ascii="Verdana" w:eastAsia="Calibri" w:hAnsi="Verdana" w:cs="Arial"/>
                <w:lang w:eastAsia="es-ES_tradnl"/>
              </w:rPr>
            </w:pPr>
            <w:r w:rsidRPr="00134641">
              <w:rPr>
                <w:rFonts w:ascii="Verdana" w:eastAsia="Calibri" w:hAnsi="Verdana" w:cs="Arial"/>
                <w:lang w:eastAsia="es-ES_tradnl"/>
              </w:rPr>
              <w:t xml:space="preserve">Respuesta a consulta con radicado </w:t>
            </w:r>
          </w:p>
          <w:p w14:paraId="09A79216" w14:textId="77777777" w:rsidR="0064326F" w:rsidRPr="00134641" w:rsidRDefault="0064326F" w:rsidP="00AD0296">
            <w:pPr>
              <w:jc w:val="both"/>
              <w:rPr>
                <w:rFonts w:ascii="Verdana" w:hAnsi="Verdana"/>
                <w:color w:val="2B2B2B"/>
                <w:sz w:val="20"/>
                <w:szCs w:val="20"/>
              </w:rPr>
            </w:pPr>
            <w:r w:rsidRPr="00134641">
              <w:rPr>
                <w:rFonts w:ascii="Verdana" w:hAnsi="Verdana"/>
                <w:color w:val="2B2B2B"/>
              </w:rPr>
              <w:t>1_2026_01_05_000059</w:t>
            </w:r>
            <w:r>
              <w:rPr>
                <w:rFonts w:ascii="Verdana" w:eastAsia="Calibri" w:hAnsi="Verdana" w:cs="Arial"/>
                <w:lang w:eastAsia="es-ES_tradnl"/>
              </w:rPr>
              <w:t xml:space="preserve"> </w:t>
            </w:r>
          </w:p>
        </w:tc>
      </w:tr>
    </w:tbl>
    <w:p w14:paraId="0BFE316C" w14:textId="77777777" w:rsidR="0064326F" w:rsidRDefault="0064326F" w:rsidP="0064326F">
      <w:pPr>
        <w:spacing w:after="0" w:line="276" w:lineRule="auto"/>
        <w:jc w:val="both"/>
        <w:rPr>
          <w:rFonts w:ascii="Verdana" w:eastAsia="Calibri" w:hAnsi="Verdana" w:cs="Arial"/>
          <w:lang w:eastAsia="es-ES_tradnl"/>
        </w:rPr>
      </w:pPr>
    </w:p>
    <w:p w14:paraId="31BAA452" w14:textId="77777777" w:rsidR="0064326F" w:rsidRPr="008E4F36" w:rsidRDefault="0064326F" w:rsidP="0064326F">
      <w:pPr>
        <w:spacing w:after="0" w:line="276" w:lineRule="auto"/>
        <w:jc w:val="both"/>
        <w:rPr>
          <w:rFonts w:ascii="Verdana" w:eastAsia="Calibri" w:hAnsi="Verdana" w:cs="Arial"/>
          <w:lang w:eastAsia="es-ES"/>
        </w:rPr>
      </w:pPr>
      <w:r w:rsidRPr="00083AB6">
        <w:rPr>
          <w:rFonts w:ascii="Verdana" w:eastAsia="Calibri" w:hAnsi="Verdana" w:cs="Arial"/>
          <w:lang w:eastAsia="es-ES"/>
        </w:rPr>
        <w:t xml:space="preserve">Estimado </w:t>
      </w:r>
      <w:r>
        <w:rPr>
          <w:rFonts w:ascii="Verdana" w:eastAsia="Calibri" w:hAnsi="Verdana" w:cs="Arial"/>
          <w:lang w:eastAsia="es-ES"/>
        </w:rPr>
        <w:t>Peticionario Anónimo</w:t>
      </w:r>
      <w:r w:rsidRPr="00083AB6">
        <w:rPr>
          <w:rFonts w:ascii="Verdana" w:eastAsia="Calibri" w:hAnsi="Verdana" w:cs="Arial"/>
          <w:lang w:eastAsia="es-ES"/>
        </w:rPr>
        <w:t>:</w:t>
      </w:r>
      <w:r w:rsidRPr="008E4F36">
        <w:rPr>
          <w:rFonts w:ascii="Verdana" w:eastAsia="Calibri" w:hAnsi="Verdana" w:cs="Arial"/>
          <w:lang w:eastAsia="es-ES"/>
        </w:rPr>
        <w:t xml:space="preserve"> </w:t>
      </w:r>
    </w:p>
    <w:p w14:paraId="603EBE72" w14:textId="77777777" w:rsidR="0064326F" w:rsidRDefault="0064326F" w:rsidP="0064326F">
      <w:pPr>
        <w:tabs>
          <w:tab w:val="left" w:pos="3768"/>
        </w:tabs>
        <w:spacing w:after="0" w:line="240" w:lineRule="auto"/>
        <w:jc w:val="both"/>
        <w:rPr>
          <w:rFonts w:ascii="Verdana" w:eastAsia="Calibri" w:hAnsi="Verdana" w:cs="Arial"/>
          <w:lang w:eastAsia="es-ES"/>
        </w:rPr>
      </w:pPr>
    </w:p>
    <w:p w14:paraId="621D0164" w14:textId="77777777" w:rsidR="0064326F" w:rsidRPr="008E4F36" w:rsidRDefault="0064326F" w:rsidP="0064326F">
      <w:pPr>
        <w:tabs>
          <w:tab w:val="left" w:pos="3768"/>
        </w:tabs>
        <w:spacing w:after="0" w:line="276" w:lineRule="auto"/>
        <w:jc w:val="both"/>
        <w:rPr>
          <w:rFonts w:ascii="Verdana" w:eastAsia="Calibri" w:hAnsi="Verdana" w:cs="Arial"/>
          <w:lang w:eastAsia="es-ES"/>
        </w:rPr>
      </w:pPr>
      <w:r w:rsidRPr="000F2158">
        <w:rPr>
          <w:rFonts w:ascii="Verdana" w:eastAsia="Calibri" w:hAnsi="Verdana" w:cs="Arial"/>
          <w:lang w:eastAsia="es-ES"/>
        </w:rPr>
        <w:t xml:space="preserve">En ejercicio de la competencia otorgada por los artículos 3, numeral 5º, y 11, numeral 8º, del Decreto Ley 4170 de 2011, así como lo establecido en la Resolución </w:t>
      </w:r>
      <w:r>
        <w:rPr>
          <w:rFonts w:ascii="Verdana" w:eastAsia="Calibri" w:hAnsi="Verdana" w:cs="Arial"/>
          <w:lang w:eastAsia="es-ES"/>
        </w:rPr>
        <w:t>469 de 2025</w:t>
      </w:r>
      <w:r w:rsidRPr="000F2158">
        <w:rPr>
          <w:rFonts w:ascii="Verdana" w:eastAsia="Calibri" w:hAnsi="Verdana" w:cs="Arial"/>
          <w:lang w:eastAsia="es-ES"/>
        </w:rPr>
        <w:t xml:space="preserve"> expedida por esta Entidad, la Agencia Nacional de Contratación Pública – Colombia Compra Eficiente– responde su solicitud de consulta de fecha </w:t>
      </w:r>
      <w:r>
        <w:rPr>
          <w:rFonts w:ascii="Verdana" w:eastAsia="Calibri" w:hAnsi="Verdana" w:cs="Arial"/>
          <w:lang w:eastAsia="es-ES"/>
        </w:rPr>
        <w:t>5</w:t>
      </w:r>
      <w:r w:rsidRPr="00AF6D58">
        <w:rPr>
          <w:rFonts w:ascii="Verdana" w:eastAsia="Calibri" w:hAnsi="Verdana" w:cs="Arial"/>
          <w:lang w:eastAsia="es-ES"/>
        </w:rPr>
        <w:t xml:space="preserve"> de </w:t>
      </w:r>
      <w:r>
        <w:rPr>
          <w:rFonts w:ascii="Verdana" w:eastAsia="Calibri" w:hAnsi="Verdana" w:cs="Arial"/>
          <w:lang w:eastAsia="es-ES"/>
        </w:rPr>
        <w:t>enero</w:t>
      </w:r>
      <w:r w:rsidRPr="00AF6D58">
        <w:rPr>
          <w:rFonts w:ascii="Verdana" w:eastAsia="Calibri" w:hAnsi="Verdana" w:cs="Arial"/>
          <w:lang w:eastAsia="es-ES"/>
        </w:rPr>
        <w:t xml:space="preserve"> de 202</w:t>
      </w:r>
      <w:r>
        <w:rPr>
          <w:rFonts w:ascii="Verdana" w:eastAsia="Calibri" w:hAnsi="Verdana" w:cs="Arial"/>
          <w:lang w:eastAsia="es-ES"/>
        </w:rPr>
        <w:t>6</w:t>
      </w:r>
      <w:r w:rsidRPr="00AF6D58">
        <w:rPr>
          <w:rFonts w:ascii="Verdana" w:eastAsia="Calibri" w:hAnsi="Verdana" w:cs="Arial"/>
          <w:lang w:eastAsia="es-ES"/>
        </w:rPr>
        <w:t>,</w:t>
      </w:r>
      <w:r w:rsidRPr="000F2158">
        <w:rPr>
          <w:rFonts w:ascii="Verdana" w:eastAsia="Calibri" w:hAnsi="Verdana" w:cs="Arial"/>
          <w:lang w:eastAsia="es-ES"/>
        </w:rPr>
        <w:t xml:space="preserve"> en la cual manifiesta lo siguiente:</w:t>
      </w:r>
    </w:p>
    <w:p w14:paraId="0DCB3B56" w14:textId="77777777" w:rsidR="0064326F" w:rsidRPr="008E4F36" w:rsidRDefault="0064326F" w:rsidP="0064326F">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rPr>
      </w:pPr>
    </w:p>
    <w:p w14:paraId="48B01C32" w14:textId="77777777" w:rsidR="0064326F" w:rsidRPr="00F46E1A" w:rsidRDefault="0064326F" w:rsidP="0064326F">
      <w:pPr>
        <w:spacing w:after="0" w:line="240" w:lineRule="auto"/>
        <w:ind w:left="720" w:right="709"/>
        <w:jc w:val="both"/>
        <w:rPr>
          <w:rFonts w:ascii="Verdana" w:eastAsia="Century Gothic" w:hAnsi="Verdana" w:cs="Century Gothic"/>
          <w:sz w:val="20"/>
          <w:szCs w:val="20"/>
        </w:rPr>
      </w:pPr>
      <w:bookmarkStart w:id="2" w:name="_Hlk192699624"/>
      <w:bookmarkStart w:id="3" w:name="_Hlk199394899"/>
      <w:r>
        <w:rPr>
          <w:rFonts w:ascii="Verdana" w:eastAsia="Century Gothic" w:hAnsi="Verdana" w:cs="Century Gothic"/>
          <w:sz w:val="20"/>
          <w:szCs w:val="20"/>
        </w:rPr>
        <w:t>“</w:t>
      </w:r>
      <w:bookmarkEnd w:id="2"/>
      <w:bookmarkEnd w:id="3"/>
      <w:r w:rsidRPr="00F46E1A">
        <w:rPr>
          <w:rFonts w:ascii="Verdana" w:eastAsia="Century Gothic" w:hAnsi="Verdana" w:cs="Century Gothic"/>
          <w:sz w:val="20"/>
          <w:szCs w:val="20"/>
        </w:rPr>
        <w:t>Tengo la oportunidad de asumir, mediante cesión, un contrato de obra pública. Para</w:t>
      </w:r>
      <w:r>
        <w:rPr>
          <w:rFonts w:ascii="Verdana" w:eastAsia="Century Gothic" w:hAnsi="Verdana" w:cs="Century Gothic"/>
          <w:sz w:val="20"/>
          <w:szCs w:val="20"/>
        </w:rPr>
        <w:t xml:space="preserve"> </w:t>
      </w:r>
      <w:r w:rsidRPr="00F46E1A">
        <w:rPr>
          <w:rFonts w:ascii="Verdana" w:eastAsia="Century Gothic" w:hAnsi="Verdana" w:cs="Century Gothic"/>
          <w:sz w:val="20"/>
          <w:szCs w:val="20"/>
        </w:rPr>
        <w:t>ello, debo acreditar el cumplimiento de todos los requisitos exigidos en la licitación.</w:t>
      </w:r>
    </w:p>
    <w:p w14:paraId="27368EB8" w14:textId="77777777" w:rsidR="0064326F" w:rsidRDefault="0064326F" w:rsidP="0064326F">
      <w:pPr>
        <w:spacing w:after="0" w:line="240" w:lineRule="auto"/>
        <w:ind w:left="720" w:right="709"/>
        <w:jc w:val="both"/>
        <w:rPr>
          <w:rFonts w:ascii="Verdana" w:eastAsia="Century Gothic" w:hAnsi="Verdana" w:cs="Century Gothic"/>
          <w:sz w:val="20"/>
          <w:szCs w:val="20"/>
        </w:rPr>
      </w:pPr>
    </w:p>
    <w:p w14:paraId="730DF98A" w14:textId="77777777" w:rsidR="0064326F" w:rsidRDefault="0064326F" w:rsidP="0064326F">
      <w:pPr>
        <w:spacing w:after="0" w:line="240" w:lineRule="auto"/>
        <w:ind w:left="720" w:right="709"/>
        <w:jc w:val="both"/>
        <w:rPr>
          <w:rFonts w:ascii="Verdana" w:eastAsia="Century Gothic" w:hAnsi="Verdana" w:cs="Century Gothic"/>
          <w:sz w:val="20"/>
          <w:szCs w:val="20"/>
        </w:rPr>
      </w:pPr>
      <w:r w:rsidRPr="00F46E1A">
        <w:rPr>
          <w:rFonts w:ascii="Verdana" w:eastAsia="Century Gothic" w:hAnsi="Verdana" w:cs="Century Gothic"/>
          <w:sz w:val="20"/>
          <w:szCs w:val="20"/>
        </w:rPr>
        <w:t>A modo de ejemplo, el proceso licitatorio cerró el 01/06/25 y la empresa que</w:t>
      </w:r>
      <w:r>
        <w:rPr>
          <w:rFonts w:ascii="Verdana" w:eastAsia="Century Gothic" w:hAnsi="Verdana" w:cs="Century Gothic"/>
          <w:sz w:val="20"/>
          <w:szCs w:val="20"/>
        </w:rPr>
        <w:t xml:space="preserve"> </w:t>
      </w:r>
      <w:r w:rsidRPr="00F46E1A">
        <w:rPr>
          <w:rFonts w:ascii="Verdana" w:eastAsia="Century Gothic" w:hAnsi="Verdana" w:cs="Century Gothic"/>
          <w:sz w:val="20"/>
          <w:szCs w:val="20"/>
        </w:rPr>
        <w:t>asumiría el contrato cuenta con un contrato terminado e inscrito en el RUP con fecha</w:t>
      </w:r>
      <w:r>
        <w:rPr>
          <w:rFonts w:ascii="Verdana" w:eastAsia="Century Gothic" w:hAnsi="Verdana" w:cs="Century Gothic"/>
          <w:sz w:val="20"/>
          <w:szCs w:val="20"/>
        </w:rPr>
        <w:t xml:space="preserve"> </w:t>
      </w:r>
      <w:r w:rsidRPr="00F46E1A">
        <w:rPr>
          <w:rFonts w:ascii="Verdana" w:eastAsia="Century Gothic" w:hAnsi="Verdana" w:cs="Century Gothic"/>
          <w:sz w:val="20"/>
          <w:szCs w:val="20"/>
        </w:rPr>
        <w:t>posterior al cierre del proceso; por ejemplo, un RUP en firme que incluye dicho</w:t>
      </w:r>
      <w:r>
        <w:rPr>
          <w:rFonts w:ascii="Verdana" w:eastAsia="Century Gothic" w:hAnsi="Verdana" w:cs="Century Gothic"/>
          <w:sz w:val="20"/>
          <w:szCs w:val="20"/>
        </w:rPr>
        <w:t xml:space="preserve"> </w:t>
      </w:r>
      <w:r w:rsidRPr="00F46E1A">
        <w:rPr>
          <w:rFonts w:ascii="Verdana" w:eastAsia="Century Gothic" w:hAnsi="Verdana" w:cs="Century Gothic"/>
          <w:sz w:val="20"/>
          <w:szCs w:val="20"/>
        </w:rPr>
        <w:t>contrato con fecha del 01/08/25.</w:t>
      </w:r>
    </w:p>
    <w:p w14:paraId="7A2B1505" w14:textId="77777777" w:rsidR="0064326F" w:rsidRPr="00F46E1A" w:rsidRDefault="0064326F" w:rsidP="0064326F">
      <w:pPr>
        <w:spacing w:after="0" w:line="240" w:lineRule="auto"/>
        <w:ind w:left="720" w:right="709"/>
        <w:jc w:val="both"/>
        <w:rPr>
          <w:rFonts w:ascii="Verdana" w:eastAsia="Century Gothic" w:hAnsi="Verdana" w:cs="Century Gothic"/>
          <w:sz w:val="20"/>
          <w:szCs w:val="20"/>
        </w:rPr>
      </w:pPr>
    </w:p>
    <w:p w14:paraId="61D2649D" w14:textId="77777777" w:rsidR="0064326F" w:rsidRDefault="0064326F" w:rsidP="0064326F">
      <w:pPr>
        <w:spacing w:after="0" w:line="240" w:lineRule="auto"/>
        <w:ind w:left="720" w:right="709"/>
        <w:jc w:val="both"/>
        <w:rPr>
          <w:rFonts w:ascii="Verdana" w:eastAsia="Century Gothic" w:hAnsi="Verdana" w:cs="Century Gothic"/>
          <w:sz w:val="20"/>
          <w:szCs w:val="20"/>
        </w:rPr>
      </w:pPr>
      <w:r w:rsidRPr="00F46E1A">
        <w:rPr>
          <w:rFonts w:ascii="Verdana" w:eastAsia="Century Gothic" w:hAnsi="Verdana" w:cs="Century Gothic"/>
          <w:sz w:val="20"/>
          <w:szCs w:val="20"/>
        </w:rPr>
        <w:t>En este contexto, surge la siguiente pregunta: ¿es posible relacionar ese contrato como experiencia válida para acreditar el cumplimiento de los requisitos técnicos?</w:t>
      </w:r>
    </w:p>
    <w:p w14:paraId="5F6AC85B" w14:textId="77777777" w:rsidR="0064326F" w:rsidRPr="00F46E1A" w:rsidRDefault="0064326F" w:rsidP="0064326F">
      <w:pPr>
        <w:spacing w:after="0" w:line="240" w:lineRule="auto"/>
        <w:ind w:left="720" w:right="709"/>
        <w:jc w:val="both"/>
        <w:rPr>
          <w:rFonts w:ascii="Verdana" w:eastAsia="Century Gothic" w:hAnsi="Verdana" w:cs="Century Gothic"/>
          <w:sz w:val="20"/>
          <w:szCs w:val="20"/>
        </w:rPr>
      </w:pPr>
    </w:p>
    <w:p w14:paraId="1E95256D" w14:textId="77777777" w:rsidR="0064326F" w:rsidRPr="00617A31" w:rsidRDefault="0064326F" w:rsidP="0064326F">
      <w:pPr>
        <w:spacing w:after="0" w:line="240" w:lineRule="auto"/>
        <w:ind w:left="720" w:right="709"/>
        <w:jc w:val="both"/>
        <w:rPr>
          <w:rFonts w:ascii="Verdana" w:eastAsia="Century Gothic" w:hAnsi="Verdana" w:cs="Century Gothic"/>
          <w:sz w:val="20"/>
          <w:szCs w:val="20"/>
        </w:rPr>
      </w:pPr>
      <w:r w:rsidRPr="00F46E1A">
        <w:rPr>
          <w:rFonts w:ascii="Verdana" w:eastAsia="Century Gothic" w:hAnsi="Verdana" w:cs="Century Gothic"/>
          <w:sz w:val="20"/>
          <w:szCs w:val="20"/>
        </w:rPr>
        <w:t>Adicionalmente, si la fecha de terminación del contrato es anterior a la fecha de</w:t>
      </w:r>
      <w:r>
        <w:rPr>
          <w:rFonts w:ascii="Verdana" w:eastAsia="Century Gothic" w:hAnsi="Verdana" w:cs="Century Gothic"/>
          <w:sz w:val="20"/>
          <w:szCs w:val="20"/>
        </w:rPr>
        <w:t xml:space="preserve"> </w:t>
      </w:r>
      <w:r w:rsidRPr="00F46E1A">
        <w:rPr>
          <w:rFonts w:ascii="Verdana" w:eastAsia="Century Gothic" w:hAnsi="Verdana" w:cs="Century Gothic"/>
          <w:sz w:val="20"/>
          <w:szCs w:val="20"/>
        </w:rPr>
        <w:t>cierre del proceso, pero su inscripción en el RUP se realiza con posterioridad a dicho</w:t>
      </w:r>
      <w:r>
        <w:rPr>
          <w:rFonts w:ascii="Verdana" w:eastAsia="Century Gothic" w:hAnsi="Verdana" w:cs="Century Gothic"/>
          <w:sz w:val="20"/>
          <w:szCs w:val="20"/>
        </w:rPr>
        <w:t xml:space="preserve"> </w:t>
      </w:r>
      <w:r w:rsidRPr="00F46E1A">
        <w:rPr>
          <w:rFonts w:ascii="Verdana" w:eastAsia="Century Gothic" w:hAnsi="Verdana" w:cs="Century Gothic"/>
          <w:sz w:val="20"/>
          <w:szCs w:val="20"/>
        </w:rPr>
        <w:t>cierre, ¿este contrato podría ser tenido en cuenta?</w:t>
      </w:r>
      <w:r>
        <w:rPr>
          <w:rFonts w:ascii="Verdana" w:eastAsia="Century Gothic" w:hAnsi="Verdana" w:cs="Century Gothic"/>
          <w:sz w:val="20"/>
          <w:szCs w:val="20"/>
        </w:rPr>
        <w:t>.”</w:t>
      </w:r>
    </w:p>
    <w:p w14:paraId="5AC97C52" w14:textId="77777777" w:rsidR="0064326F" w:rsidRPr="008E4F36" w:rsidRDefault="0064326F" w:rsidP="0064326F">
      <w:pPr>
        <w:spacing w:after="0" w:line="240" w:lineRule="auto"/>
        <w:ind w:left="709" w:right="709"/>
        <w:jc w:val="both"/>
        <w:rPr>
          <w:rFonts w:ascii="Verdana" w:hAnsi="Verdana"/>
          <w:sz w:val="20"/>
          <w:szCs w:val="20"/>
        </w:rPr>
      </w:pPr>
    </w:p>
    <w:p w14:paraId="7EB338B1" w14:textId="77777777" w:rsidR="0064326F" w:rsidRDefault="0064326F" w:rsidP="0064326F">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3C92D583" w14:textId="77777777" w:rsidR="0064326F" w:rsidRPr="00054383" w:rsidRDefault="0064326F" w:rsidP="0064326F">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6815DC21" w14:textId="77777777" w:rsidR="0064326F" w:rsidRPr="008E4F36" w:rsidRDefault="0064326F" w:rsidP="0064326F">
      <w:pPr>
        <w:spacing w:after="0"/>
        <w:ind w:firstLine="709"/>
        <w:jc w:val="both"/>
        <w:rPr>
          <w:rFonts w:ascii="Verdana" w:eastAsia="Calibri" w:hAnsi="Verdana" w:cs="Arial"/>
          <w:color w:val="000000"/>
          <w:lang w:eastAsia="es-ES"/>
        </w:rPr>
      </w:pPr>
    </w:p>
    <w:p w14:paraId="29AABA27" w14:textId="77777777" w:rsidR="0064326F" w:rsidRDefault="0064326F" w:rsidP="0064326F">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15B42DAE" w14:textId="77777777" w:rsidR="0064326F" w:rsidRDefault="0064326F" w:rsidP="0064326F">
      <w:pPr>
        <w:spacing w:after="0" w:line="276" w:lineRule="auto"/>
        <w:jc w:val="both"/>
        <w:rPr>
          <w:rFonts w:ascii="Verdana" w:eastAsia="Calibri" w:hAnsi="Verdana" w:cs="Arial"/>
          <w:color w:val="000000"/>
          <w:highlight w:val="yellow"/>
          <w:lang w:eastAsia="es-ES"/>
        </w:rPr>
      </w:pPr>
    </w:p>
    <w:p w14:paraId="3C4938F0" w14:textId="77777777" w:rsidR="0064326F" w:rsidRPr="00A028E0" w:rsidRDefault="0064326F" w:rsidP="0064326F">
      <w:pPr>
        <w:spacing w:after="0" w:line="276" w:lineRule="auto"/>
        <w:jc w:val="both"/>
        <w:rPr>
          <w:rFonts w:ascii="Verdana" w:eastAsia="Calibri" w:hAnsi="Verdana" w:cs="Arial"/>
          <w:color w:val="000000"/>
          <w:lang w:eastAsia="es-ES"/>
        </w:rPr>
      </w:pPr>
      <w:r w:rsidRPr="00A028E0">
        <w:rPr>
          <w:rFonts w:ascii="Verdana" w:eastAsia="Calibri" w:hAnsi="Verdana" w:cs="Arial"/>
          <w:color w:val="000000"/>
          <w:lang w:eastAsia="es-ES"/>
        </w:rPr>
        <w:t xml:space="preserve">De acuerdo con el contenido de su solicitud, esta Agencia resolverá el siguiente problema jurídico: </w:t>
      </w:r>
      <w:r w:rsidRPr="00D34BC5">
        <w:rPr>
          <w:rFonts w:ascii="Verdana" w:eastAsia="Calibri" w:hAnsi="Verdana" w:cs="Arial"/>
          <w:color w:val="000000"/>
          <w:lang w:eastAsia="es-ES"/>
        </w:rPr>
        <w:t>¿Es jurídicamente procedente que</w:t>
      </w:r>
      <w:r>
        <w:rPr>
          <w:rFonts w:ascii="Verdana" w:eastAsia="Calibri" w:hAnsi="Verdana" w:cs="Arial"/>
          <w:color w:val="000000"/>
          <w:lang w:eastAsia="es-ES"/>
        </w:rPr>
        <w:t xml:space="preserve"> para autorizar</w:t>
      </w:r>
      <w:r w:rsidRPr="00D34BC5">
        <w:rPr>
          <w:rFonts w:ascii="Verdana" w:eastAsia="Calibri" w:hAnsi="Verdana" w:cs="Arial"/>
          <w:color w:val="000000"/>
          <w:lang w:eastAsia="es-ES"/>
        </w:rPr>
        <w:t xml:space="preserve"> </w:t>
      </w:r>
      <w:r>
        <w:rPr>
          <w:rFonts w:ascii="Verdana" w:eastAsia="Calibri" w:hAnsi="Verdana" w:cs="Arial"/>
          <w:color w:val="000000"/>
          <w:lang w:eastAsia="es-ES"/>
        </w:rPr>
        <w:t>la</w:t>
      </w:r>
      <w:r w:rsidRPr="00D34BC5">
        <w:rPr>
          <w:rFonts w:ascii="Verdana" w:eastAsia="Calibri" w:hAnsi="Verdana" w:cs="Arial"/>
          <w:color w:val="000000"/>
          <w:lang w:eastAsia="es-ES"/>
        </w:rPr>
        <w:t xml:space="preserve"> cesión de </w:t>
      </w:r>
      <w:r>
        <w:rPr>
          <w:rFonts w:ascii="Verdana" w:eastAsia="Calibri" w:hAnsi="Verdana" w:cs="Arial"/>
          <w:color w:val="000000"/>
          <w:lang w:eastAsia="es-ES"/>
        </w:rPr>
        <w:t xml:space="preserve">un </w:t>
      </w:r>
      <w:r w:rsidRPr="00D34BC5">
        <w:rPr>
          <w:rFonts w:ascii="Verdana" w:eastAsia="Calibri" w:hAnsi="Verdana" w:cs="Arial"/>
          <w:color w:val="000000"/>
          <w:lang w:eastAsia="es-ES"/>
        </w:rPr>
        <w:t>contrato</w:t>
      </w:r>
      <w:r>
        <w:rPr>
          <w:rFonts w:ascii="Verdana" w:eastAsia="Calibri" w:hAnsi="Verdana" w:cs="Arial"/>
          <w:color w:val="000000"/>
          <w:lang w:eastAsia="es-ES"/>
        </w:rPr>
        <w:t xml:space="preserve"> estatal</w:t>
      </w:r>
      <w:r w:rsidRPr="00D34BC5">
        <w:rPr>
          <w:rFonts w:ascii="Verdana" w:eastAsia="Calibri" w:hAnsi="Verdana" w:cs="Arial"/>
          <w:color w:val="000000"/>
          <w:lang w:eastAsia="es-ES"/>
        </w:rPr>
        <w:t xml:space="preserve"> el cesionario acredite la experiencia exigida </w:t>
      </w:r>
      <w:r>
        <w:rPr>
          <w:rFonts w:ascii="Verdana" w:eastAsia="Calibri" w:hAnsi="Verdana" w:cs="Arial"/>
          <w:color w:val="000000"/>
          <w:lang w:eastAsia="es-ES"/>
        </w:rPr>
        <w:t>mediante</w:t>
      </w:r>
      <w:r w:rsidRPr="00D34BC5">
        <w:rPr>
          <w:rFonts w:ascii="Verdana" w:eastAsia="Calibri" w:hAnsi="Verdana" w:cs="Arial"/>
          <w:color w:val="000000"/>
          <w:lang w:eastAsia="es-ES"/>
        </w:rPr>
        <w:t xml:space="preserve"> contrato</w:t>
      </w:r>
      <w:r>
        <w:rPr>
          <w:rFonts w:ascii="Verdana" w:eastAsia="Calibri" w:hAnsi="Verdana" w:cs="Arial"/>
          <w:color w:val="000000"/>
          <w:lang w:eastAsia="es-ES"/>
        </w:rPr>
        <w:t>s</w:t>
      </w:r>
      <w:r w:rsidRPr="00D34BC5">
        <w:rPr>
          <w:rFonts w:ascii="Verdana" w:eastAsia="Calibri" w:hAnsi="Verdana" w:cs="Arial"/>
          <w:color w:val="000000"/>
          <w:lang w:eastAsia="es-ES"/>
        </w:rPr>
        <w:t xml:space="preserve"> cuya terminación o firme</w:t>
      </w:r>
      <w:r>
        <w:rPr>
          <w:rFonts w:ascii="Verdana" w:eastAsia="Calibri" w:hAnsi="Verdana" w:cs="Arial"/>
          <w:color w:val="000000"/>
          <w:lang w:eastAsia="es-ES"/>
        </w:rPr>
        <w:t>za</w:t>
      </w:r>
      <w:r w:rsidRPr="00D34BC5">
        <w:rPr>
          <w:rFonts w:ascii="Verdana" w:eastAsia="Calibri" w:hAnsi="Verdana" w:cs="Arial"/>
          <w:color w:val="000000"/>
          <w:lang w:eastAsia="es-ES"/>
        </w:rPr>
        <w:t xml:space="preserve"> en el Registro Único de Proponentes ocurrió con posterioridad al cierre del proceso de selección?</w:t>
      </w:r>
    </w:p>
    <w:p w14:paraId="601A2906" w14:textId="77777777" w:rsidR="0064326F" w:rsidRPr="00BF422F" w:rsidRDefault="0064326F" w:rsidP="0064326F">
      <w:pPr>
        <w:spacing w:after="0" w:line="276" w:lineRule="auto"/>
        <w:jc w:val="both"/>
        <w:rPr>
          <w:rFonts w:ascii="Verdana" w:eastAsia="Calibri" w:hAnsi="Verdana" w:cs="Times New Roman"/>
          <w:i/>
          <w:iCs/>
          <w:lang w:val="es-ES"/>
        </w:rPr>
      </w:pPr>
    </w:p>
    <w:p w14:paraId="66A4C336" w14:textId="77777777" w:rsidR="0064326F" w:rsidRPr="008E4F36" w:rsidRDefault="0064326F" w:rsidP="0064326F">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p w14:paraId="59E1EE5E" w14:textId="77777777" w:rsidR="0064326F" w:rsidRPr="008E4F36" w:rsidRDefault="0064326F" w:rsidP="0064326F">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64326F" w:rsidRPr="008E4F36" w14:paraId="0D8B79D4" w14:textId="77777777" w:rsidTr="00AD0296">
        <w:tc>
          <w:tcPr>
            <w:tcW w:w="8828" w:type="dxa"/>
            <w:tcBorders>
              <w:top w:val="dotted" w:sz="4" w:space="0" w:color="auto"/>
              <w:left w:val="dotted" w:sz="4" w:space="0" w:color="auto"/>
              <w:bottom w:val="dotted" w:sz="4" w:space="0" w:color="auto"/>
              <w:right w:val="dotted" w:sz="4" w:space="0" w:color="auto"/>
            </w:tcBorders>
          </w:tcPr>
          <w:p w14:paraId="4B8280BD" w14:textId="77777777" w:rsidR="0064326F" w:rsidRPr="00804346" w:rsidRDefault="0064326F" w:rsidP="00AD0296">
            <w:pPr>
              <w:spacing w:after="120" w:line="276" w:lineRule="auto"/>
              <w:jc w:val="both"/>
              <w:rPr>
                <w:rFonts w:ascii="Verdana" w:hAnsi="Verdana" w:cs="Arial"/>
                <w:color w:val="000000" w:themeColor="text1"/>
              </w:rPr>
            </w:pPr>
            <w:r w:rsidRPr="00804346">
              <w:rPr>
                <w:rFonts w:ascii="Verdana" w:hAnsi="Verdana" w:cs="Arial"/>
                <w:color w:val="000000" w:themeColor="text1"/>
              </w:rPr>
              <w:lastRenderedPageBreak/>
              <w:t>Para participar en procesos de contratación en los que es obligatorio el Registro Único de Proponentes (RUP), los oferentes deben acreditar que su inscripción se encuentra en firme antes de la fecha de cierre del proceso, pues solo a partir de dicha firmeza se producen los efectos previstos en el artículo 6 de la Ley 1150 de 2007. En consecuencia, la evaluación de los requisitos habilitantes se realiza con base en la información que repose en el RUP en firme al momento del cierre.</w:t>
            </w:r>
            <w:r>
              <w:rPr>
                <w:rFonts w:ascii="Verdana" w:hAnsi="Verdana" w:cs="Arial"/>
                <w:color w:val="000000" w:themeColor="text1"/>
              </w:rPr>
              <w:t xml:space="preserve"> </w:t>
            </w:r>
            <w:r w:rsidRPr="00804346">
              <w:rPr>
                <w:rFonts w:ascii="Verdana" w:hAnsi="Verdana" w:cs="Arial"/>
                <w:color w:val="000000" w:themeColor="text1"/>
              </w:rPr>
              <w:t>A su vez, el artículo 2.2.1.1.1.5.1 del Decreto 1082 de 2015 establece que las personas inscritas deben renovar anualmente su registro a más tardar el quinto día hábil del mes de abril; de no hacerlo, cesan sus efectos. Esto reafirma que la validez del RUP está ligada a su vigencia y firmeza en momentos jurídicamente relevantes del proceso.</w:t>
            </w:r>
          </w:p>
          <w:p w14:paraId="68919E69" w14:textId="77777777" w:rsidR="0064326F" w:rsidRPr="00E15779" w:rsidRDefault="0064326F" w:rsidP="00AD0296">
            <w:pPr>
              <w:spacing w:after="120" w:line="276" w:lineRule="auto"/>
              <w:ind w:firstLine="709"/>
              <w:jc w:val="both"/>
              <w:rPr>
                <w:rFonts w:ascii="Verdana" w:hAnsi="Verdana" w:cs="Arial"/>
                <w:color w:val="000000" w:themeColor="text1"/>
              </w:rPr>
            </w:pPr>
            <w:r>
              <w:rPr>
                <w:rFonts w:ascii="Verdana" w:hAnsi="Verdana" w:cs="Arial"/>
                <w:color w:val="000000" w:themeColor="text1"/>
              </w:rPr>
              <w:t xml:space="preserve">Por otro lado, </w:t>
            </w:r>
            <w:r w:rsidRPr="00E15779">
              <w:rPr>
                <w:rFonts w:ascii="Verdana" w:hAnsi="Verdana" w:cs="Arial"/>
                <w:color w:val="000000" w:themeColor="text1"/>
              </w:rPr>
              <w:t>la cesión de contrato es una figura jurídica por la que terceros ajenos a los contratantes iniciales participen en negocios que están ejecutando cuando no se hayan cumplido la totalidad de las obligaciones, permitiendo que sean éstos quienes realicen las prestaciones faltantes. Por tanto, si dicho tercero cumple los requisitos de capacidad jurídica, no está incurso en causales de inhabilidad o incompatibilidad y, de acuerdo con los criterios previstos en el pliego de condiciones, es idóneo desde el punto de vista técnico, económico y financiero para cumplir con las obligaciones, la entidad podrá analizar la posibilidad de autorizar la cesión conforme al artículo 41 de la Ley 80 de 1993.</w:t>
            </w:r>
          </w:p>
          <w:p w14:paraId="3577147C" w14:textId="77777777" w:rsidR="0064326F" w:rsidRDefault="0064326F" w:rsidP="00AD0296">
            <w:pPr>
              <w:spacing w:after="120" w:line="276" w:lineRule="auto"/>
              <w:ind w:firstLine="709"/>
              <w:jc w:val="both"/>
              <w:rPr>
                <w:rFonts w:ascii="Verdana" w:hAnsi="Verdana" w:cs="Arial"/>
                <w:color w:val="000000" w:themeColor="text1"/>
              </w:rPr>
            </w:pPr>
            <w:r w:rsidRPr="00E15779">
              <w:rPr>
                <w:rFonts w:ascii="Verdana" w:hAnsi="Verdana" w:cs="Arial"/>
                <w:color w:val="000000" w:themeColor="text1"/>
              </w:rPr>
              <w:t xml:space="preserve">En este contexto, en la medida que el tercero cesionario asume la posición contractual del contratista cedente, las disposiciones, los pliegos de condiciones y el contrato mismo serán aplicables a quien asuma la nueva posición contractual. Siempre que se cumpla este criterio mínimo, la entidad podrá valorar si el tercero cesionario debe tener las mismas o mayores aptitudes que el contratista cedente, pues la autorización para ceder es una potestad de naturaleza discrecional.      </w:t>
            </w:r>
          </w:p>
          <w:p w14:paraId="3459B9EE" w14:textId="77777777" w:rsidR="0064326F" w:rsidRPr="00E15779" w:rsidRDefault="0064326F" w:rsidP="00AD0296">
            <w:pPr>
              <w:spacing w:after="120" w:line="276" w:lineRule="auto"/>
              <w:ind w:firstLine="709"/>
              <w:jc w:val="both"/>
              <w:rPr>
                <w:rFonts w:ascii="Verdana" w:hAnsi="Verdana" w:cs="Arial"/>
                <w:color w:val="000000" w:themeColor="text1"/>
              </w:rPr>
            </w:pPr>
            <w:r>
              <w:rPr>
                <w:rFonts w:ascii="Verdana" w:hAnsi="Verdana" w:cs="Arial"/>
                <w:color w:val="000000" w:themeColor="text1"/>
              </w:rPr>
              <w:t>S</w:t>
            </w:r>
            <w:r w:rsidRPr="00782BF2">
              <w:rPr>
                <w:rFonts w:ascii="Verdana" w:hAnsi="Verdana" w:cs="Arial"/>
                <w:color w:val="000000" w:themeColor="text1"/>
              </w:rPr>
              <w:t xml:space="preserve">i bien los requisitos previstos en el pliego de condiciones definitivo constituyen un referente relevante, su exigibilidad debe someterse a un análisis de adecuación y proporcionalidad orientado a establecer si resultan idóneos para garantizar la aptitud necesaria para ejecutar los componentes contractuales pendientes, valoración que corresponde efectuar en el momento mismo de decidir sobre la cesión. En este contexto, la entidad deberá apreciar </w:t>
            </w:r>
            <w:r w:rsidRPr="00782BF2">
              <w:rPr>
                <w:rFonts w:ascii="Verdana" w:hAnsi="Verdana" w:cs="Arial"/>
                <w:color w:val="000000" w:themeColor="text1"/>
              </w:rPr>
              <w:lastRenderedPageBreak/>
              <w:t>la experiencia acreditada por el eventual cesionario a partir de los medios de prueba conducentes, entre los cuales resulta razonable acudir a los documentos previstos en el pliego; no obstante, la fecha de cierre del proceso de selección no configura una limitación objetiva para reconocer experiencia adquirida con posterioridad, en tanto dicha verificación no ocurre dentro de un proceso de selección sino en el ejercicio de la facultad prevista en el inciso tercero del artículo 41 de la Ley 80 de 1993. Por ello, resulta procedente considerar toda la experiencia que el cesionario logre demostrar mediante medios idóneos respecto de los requisitos que la entidad estime adecuados y proporcionales, siendo el Registro Único de Proponentes uno de los instrumentos que, por su valor probatorio pleno, permite acreditar la experiencia derivada de contratos que se encuentren en firme al momento de la cesión, aun cuando dicha firmeza sea posterior al cierre del proceso.</w:t>
            </w:r>
          </w:p>
          <w:p w14:paraId="713EB3FA" w14:textId="77777777" w:rsidR="0064326F" w:rsidRPr="006D0DF3" w:rsidRDefault="0064326F" w:rsidP="00AD0296">
            <w:pPr>
              <w:spacing w:after="120" w:line="276" w:lineRule="auto"/>
              <w:ind w:firstLine="709"/>
              <w:jc w:val="both"/>
              <w:rPr>
                <w:rFonts w:ascii="Verdana" w:hAnsi="Verdana" w:cs="Arial"/>
                <w:color w:val="000000" w:themeColor="text1"/>
              </w:rPr>
            </w:pPr>
            <w:r w:rsidRPr="00E15779">
              <w:rPr>
                <w:rFonts w:ascii="Verdana" w:hAnsi="Verdana" w:cs="Arial"/>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3ACD852B" w14:textId="77777777" w:rsidR="0064326F" w:rsidRDefault="0064326F" w:rsidP="0064326F">
      <w:pPr>
        <w:tabs>
          <w:tab w:val="left" w:pos="142"/>
          <w:tab w:val="left" w:pos="284"/>
        </w:tabs>
        <w:spacing w:after="0" w:line="276" w:lineRule="auto"/>
        <w:jc w:val="both"/>
        <w:rPr>
          <w:rFonts w:ascii="Verdana" w:eastAsia="Century Gothic" w:hAnsi="Verdana" w:cs="Century Gothic"/>
          <w:b/>
          <w:bCs/>
        </w:rPr>
      </w:pPr>
    </w:p>
    <w:p w14:paraId="797AA393" w14:textId="77777777" w:rsidR="0064326F" w:rsidRPr="008E4F36" w:rsidRDefault="0064326F" w:rsidP="0064326F">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70E24040" w14:textId="77777777" w:rsidR="0064326F" w:rsidRDefault="0064326F" w:rsidP="0064326F">
      <w:pPr>
        <w:pStyle w:val="Prrafodelista"/>
        <w:tabs>
          <w:tab w:val="left" w:pos="142"/>
          <w:tab w:val="left" w:pos="284"/>
        </w:tabs>
        <w:spacing w:after="0" w:line="276" w:lineRule="auto"/>
        <w:ind w:left="0"/>
        <w:contextualSpacing w:val="0"/>
        <w:jc w:val="both"/>
        <w:rPr>
          <w:rFonts w:ascii="Verdana" w:eastAsia="Calibri" w:hAnsi="Verdana" w:cs="Arial"/>
        </w:rPr>
      </w:pPr>
    </w:p>
    <w:p w14:paraId="32C7CF36" w14:textId="77777777" w:rsidR="0064326F" w:rsidRDefault="0064326F" w:rsidP="0064326F">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p>
    <w:p w14:paraId="36651D1D" w14:textId="77777777" w:rsidR="0064326F" w:rsidRDefault="0064326F" w:rsidP="0064326F">
      <w:pPr>
        <w:pStyle w:val="Prrafodelista"/>
        <w:tabs>
          <w:tab w:val="left" w:pos="142"/>
          <w:tab w:val="left" w:pos="284"/>
        </w:tabs>
        <w:spacing w:after="0" w:line="240" w:lineRule="auto"/>
        <w:ind w:left="0"/>
        <w:contextualSpacing w:val="0"/>
        <w:jc w:val="both"/>
        <w:rPr>
          <w:rFonts w:ascii="Verdana" w:eastAsia="Calibri" w:hAnsi="Verdana" w:cs="Arial"/>
        </w:rPr>
      </w:pPr>
    </w:p>
    <w:p w14:paraId="601ABAD9" w14:textId="77777777" w:rsidR="0064326F" w:rsidRPr="00114F25" w:rsidRDefault="0064326F" w:rsidP="0064326F">
      <w:pPr>
        <w:spacing w:after="0" w:line="276" w:lineRule="auto"/>
        <w:jc w:val="both"/>
        <w:rPr>
          <w:rFonts w:ascii="Verdana" w:eastAsia="Times New Roman" w:hAnsi="Verdana" w:cs="Arial"/>
          <w:lang w:eastAsia="es-ES_tradnl"/>
        </w:rPr>
      </w:pPr>
      <w:r w:rsidRPr="009C17F8">
        <w:rPr>
          <w:rFonts w:ascii="Verdana" w:eastAsia="Calibri" w:hAnsi="Verdana" w:cs="Arial"/>
          <w:lang w:val="es-ES"/>
        </w:rPr>
        <w:t>i.</w:t>
      </w:r>
      <w:r w:rsidRPr="00E009FE">
        <w:rPr>
          <w:rFonts w:ascii="Verdana" w:eastAsia="Calibri" w:hAnsi="Verdana" w:cs="Arial"/>
          <w:lang w:val="es-ES"/>
        </w:rPr>
        <w:t xml:space="preserve"> </w:t>
      </w:r>
      <w:bookmarkStart w:id="4" w:name="_Hlk107927289"/>
      <w:r w:rsidRPr="004C7F75">
        <w:rPr>
          <w:rFonts w:ascii="Verdana" w:hAnsi="Verdana" w:cs="Arial"/>
          <w:lang w:eastAsia="es-ES_tradnl"/>
        </w:rPr>
        <w:t xml:space="preserve">El Registro Único de Proponentes (en adelante RUP) </w:t>
      </w:r>
      <w:bookmarkEnd w:id="4"/>
      <w:r w:rsidRPr="004C7F75">
        <w:rPr>
          <w:rFonts w:ascii="Verdana" w:eastAsia="Times New Roman" w:hAnsi="Verdana" w:cs="Arial"/>
          <w:lang w:eastAsia="es-ES_tradnl"/>
        </w:rPr>
        <w:t>como instrumento en el que consta la información relacionada con las personas naturales y jurídicas, tiene por objeto contemplar en un único documento la información relativa a la capacidad jurídica, técnica, financiera y organizacional de los posibles proponentes, con el fin de que puedan participar en los Procedimientos de Contratación realizados por las Entidades Estatales. El Consejo de Estado definió la naturaleza y finalidad del RUP de la siguiente forma</w:t>
      </w:r>
      <w:r w:rsidRPr="00114F25">
        <w:rPr>
          <w:rFonts w:ascii="Verdana" w:eastAsia="Times New Roman" w:hAnsi="Verdana" w:cs="Arial"/>
          <w:lang w:eastAsia="es-ES_tradnl"/>
        </w:rPr>
        <w:t>:</w:t>
      </w:r>
    </w:p>
    <w:p w14:paraId="7C7F0473" w14:textId="77777777" w:rsidR="0064326F" w:rsidRPr="00596393" w:rsidRDefault="0064326F" w:rsidP="0064326F">
      <w:pPr>
        <w:spacing w:line="276" w:lineRule="auto"/>
        <w:contextualSpacing/>
        <w:jc w:val="both"/>
        <w:rPr>
          <w:rFonts w:ascii="Verdana" w:hAnsi="Verdana" w:cs="Arial"/>
          <w:sz w:val="20"/>
          <w:szCs w:val="20"/>
          <w:lang w:eastAsia="es-ES_tradnl"/>
        </w:rPr>
      </w:pPr>
    </w:p>
    <w:p w14:paraId="2FDAA604" w14:textId="77777777" w:rsidR="0064326F" w:rsidRPr="00596393" w:rsidRDefault="0064326F" w:rsidP="0064326F">
      <w:pPr>
        <w:tabs>
          <w:tab w:val="left" w:pos="8505"/>
        </w:tabs>
        <w:spacing w:after="0" w:line="240" w:lineRule="auto"/>
        <w:ind w:left="709" w:right="709"/>
        <w:contextualSpacing/>
        <w:jc w:val="both"/>
        <w:rPr>
          <w:rFonts w:ascii="Verdana" w:hAnsi="Verdana" w:cs="Arial"/>
          <w:sz w:val="20"/>
          <w:szCs w:val="20"/>
          <w:lang w:eastAsia="es-ES_tradnl"/>
        </w:rPr>
      </w:pPr>
      <w:r w:rsidRPr="00596393">
        <w:rPr>
          <w:rFonts w:ascii="Verdana" w:hAnsi="Verdana" w:cs="Arial"/>
          <w:sz w:val="20"/>
          <w:szCs w:val="20"/>
          <w:lang w:eastAsia="es-ES_tradnl"/>
        </w:rPr>
        <w:lastRenderedPageBreak/>
        <w:t>“El Registro de Proponentes es un registro de creación legal en el cual se inscriben las personas naturales o jurídicas que aspiran a celebrar con entidades estatales contratos de obra, consultoría, suministro y compraventa de bienes muebles. Tiene como finalidad suministrar la información necesaria de un contratista inscrito, en lo relacionado con su experiencia, capacidad jurídica, capacidad técnica, capacidad de organización y capacidad financiera. En los términos del artículo 22 de la Ley 80 de 1993, todas las personas naturales o jurídicas que aspiren a celebrar dichos contratos con las entidades estatales deberán inscribirse en el Registro de Proponentes de la Cámara de Comercio de su jurisdicción y deberán estar clasificadas y calificadas según lo dispuesto en esta norma”</w:t>
      </w:r>
      <w:r w:rsidRPr="00596393">
        <w:rPr>
          <w:rFonts w:ascii="Verdana" w:hAnsi="Verdana" w:cs="Arial"/>
          <w:sz w:val="20"/>
          <w:szCs w:val="20"/>
          <w:vertAlign w:val="superscript"/>
          <w:lang w:eastAsia="es-ES_tradnl"/>
        </w:rPr>
        <w:footnoteReference w:id="1"/>
      </w:r>
      <w:r w:rsidRPr="00596393">
        <w:rPr>
          <w:rFonts w:ascii="Verdana" w:hAnsi="Verdana" w:cs="Arial"/>
          <w:sz w:val="20"/>
          <w:szCs w:val="20"/>
          <w:lang w:eastAsia="es-ES_tradnl"/>
        </w:rPr>
        <w:t>.</w:t>
      </w:r>
    </w:p>
    <w:p w14:paraId="721FB334" w14:textId="77777777" w:rsidR="0064326F" w:rsidRPr="00596393" w:rsidRDefault="0064326F" w:rsidP="0064326F">
      <w:pPr>
        <w:spacing w:line="276" w:lineRule="auto"/>
        <w:contextualSpacing/>
        <w:jc w:val="both"/>
        <w:rPr>
          <w:rFonts w:ascii="Verdana" w:hAnsi="Verdana" w:cs="Arial"/>
          <w:sz w:val="20"/>
          <w:szCs w:val="20"/>
          <w:lang w:eastAsia="es-ES_tradnl"/>
        </w:rPr>
      </w:pPr>
    </w:p>
    <w:p w14:paraId="452AC43B" w14:textId="77777777" w:rsidR="0064326F" w:rsidRPr="004B0309" w:rsidRDefault="0064326F" w:rsidP="0064326F">
      <w:pPr>
        <w:spacing w:after="120" w:line="276" w:lineRule="auto"/>
        <w:ind w:firstLine="709"/>
        <w:jc w:val="both"/>
        <w:rPr>
          <w:rFonts w:ascii="Arial" w:hAnsi="Arial" w:cs="Arial"/>
          <w:lang w:eastAsia="es-ES_tradnl"/>
        </w:rPr>
      </w:pPr>
      <w:r w:rsidRPr="00596393">
        <w:rPr>
          <w:rFonts w:ascii="Verdana" w:hAnsi="Verdana" w:cs="Arial"/>
          <w:lang w:eastAsia="es-ES_tradnl"/>
        </w:rPr>
        <w:t>El artículo 6.1 de la Ley 1150 de 2007 dispone que el RUP es plena prueba de la información que contiene</w:t>
      </w:r>
      <w:r w:rsidRPr="00596393">
        <w:rPr>
          <w:rFonts w:ascii="Verdana" w:hAnsi="Verdana" w:cs="Arial"/>
          <w:vertAlign w:val="superscript"/>
          <w:lang w:eastAsia="es-ES_tradnl"/>
        </w:rPr>
        <w:footnoteReference w:id="2"/>
      </w:r>
      <w:r w:rsidRPr="00596393">
        <w:rPr>
          <w:rFonts w:ascii="Verdana" w:hAnsi="Verdana" w:cs="Arial"/>
          <w:lang w:eastAsia="es-ES_tradnl"/>
        </w:rPr>
        <w:t>. Por su parte, el artículo 5.1, al fijar los criterios que deben tener en cuenta las entidades estatales para garantizar la selección objetiva, dispone que las Cámaras de Comercio verificarán la información suministrada por las personas naturales o jurídicas para la inscripción en el registro. Esta información debe tenerse en cuenta por parte de las entidades estatales en los procedimientos de contratación en los que es exigible el RUP</w:t>
      </w:r>
      <w:r w:rsidRPr="00596393">
        <w:rPr>
          <w:rFonts w:ascii="Verdana" w:hAnsi="Verdana" w:cs="Arial"/>
          <w:vertAlign w:val="superscript"/>
          <w:lang w:eastAsia="es-ES_tradnl"/>
        </w:rPr>
        <w:footnoteReference w:id="3"/>
      </w:r>
      <w:r w:rsidRPr="00596393">
        <w:rPr>
          <w:rFonts w:ascii="Verdana" w:hAnsi="Verdana" w:cs="Arial"/>
          <w:lang w:eastAsia="es-ES_tradnl"/>
        </w:rPr>
        <w:t xml:space="preserve">. </w:t>
      </w:r>
    </w:p>
    <w:p w14:paraId="14B6EC78" w14:textId="77777777" w:rsidR="0064326F" w:rsidRDefault="0064326F" w:rsidP="0064326F">
      <w:pPr>
        <w:spacing w:before="120" w:after="120" w:line="276" w:lineRule="auto"/>
        <w:ind w:firstLine="709"/>
        <w:jc w:val="both"/>
        <w:rPr>
          <w:rFonts w:ascii="Verdana" w:hAnsi="Verdana" w:cs="Arial"/>
          <w:lang w:eastAsia="es-ES_tradnl"/>
        </w:rPr>
      </w:pPr>
      <w:r w:rsidRPr="00402EB8">
        <w:rPr>
          <w:rFonts w:ascii="Verdana" w:hAnsi="Verdana" w:cs="Arial"/>
          <w:lang w:eastAsia="es-ES_tradnl"/>
        </w:rPr>
        <w:lastRenderedPageBreak/>
        <w:t>No obstante, el RUP no es exigible en algunos procedimientos de contratación, como en la contratación directa, la mínima cuantía, la prestación de servicios de salud, enajenación de bienes del Estado, la adquisición de productos de origen o destinación agropecuaria ofrecidos en bolsas de productos, los contratos de concesión y los contratos que celebren las empresas industriales y comerciales del Estado y las sociedades de economía mixta, que tengan por objeto el desarrollo de sus actividades industriales y comerciales, razón por la cual las entidades estatales deben verificar directamente el cumplimiento de los requisitos habilitantes</w:t>
      </w:r>
      <w:r w:rsidRPr="00402EB8">
        <w:rPr>
          <w:rFonts w:ascii="Verdana" w:hAnsi="Verdana" w:cs="Arial"/>
          <w:vertAlign w:val="superscript"/>
          <w:lang w:eastAsia="es-ES_tradnl"/>
        </w:rPr>
        <w:footnoteReference w:id="4"/>
      </w:r>
      <w:r w:rsidRPr="00402EB8">
        <w:rPr>
          <w:rFonts w:ascii="Verdana" w:hAnsi="Verdana" w:cs="Arial"/>
          <w:lang w:eastAsia="es-ES_tradnl"/>
        </w:rPr>
        <w:t xml:space="preserve">. </w:t>
      </w:r>
    </w:p>
    <w:p w14:paraId="489A73B0" w14:textId="77777777" w:rsidR="0064326F" w:rsidRPr="00402EB8" w:rsidRDefault="0064326F" w:rsidP="0064326F">
      <w:pPr>
        <w:spacing w:before="120" w:after="120" w:line="276" w:lineRule="auto"/>
        <w:ind w:firstLine="709"/>
        <w:jc w:val="both"/>
        <w:rPr>
          <w:rFonts w:ascii="Verdana" w:hAnsi="Verdana" w:cs="Arial"/>
          <w:lang w:eastAsia="es-ES_tradnl"/>
        </w:rPr>
      </w:pPr>
      <w:r>
        <w:rPr>
          <w:rFonts w:ascii="Verdana" w:hAnsi="Verdana" w:cs="Arial"/>
          <w:lang w:val="es-ES_tradnl" w:eastAsia="es-ES_tradnl"/>
        </w:rPr>
        <w:t xml:space="preserve">Las anteriores </w:t>
      </w:r>
      <w:r w:rsidRPr="00402EB8">
        <w:rPr>
          <w:rFonts w:ascii="Verdana" w:hAnsi="Verdana" w:cs="Arial"/>
          <w:lang w:val="es-ES_tradnl" w:eastAsia="es-ES_tradnl"/>
        </w:rPr>
        <w:t xml:space="preserve">excepciones son taxativas y se rigen por una interpretación restrictiva. Así lo dispone el artículo 2.2.1.1.1.5.1 del Decreto 1082 de 2015, al prescribir que la inscripción en el RUP es imperativa para los sujetos mencionados en el primer inciso del artículo 6 de la Ley 1150 de 2007, salvo las excepciones previstas de forma taxativa en la ley. </w:t>
      </w:r>
      <w:r w:rsidRPr="00402EB8">
        <w:rPr>
          <w:rFonts w:ascii="Verdana" w:hAnsi="Verdana" w:cs="Arial"/>
          <w:lang w:eastAsia="es-ES_tradnl"/>
        </w:rPr>
        <w:t>Adicionalmente, el numeral 6.1. del artículo 6 de la Ley 1150 de 2007 establece que cuando sea necesario verificar requisitos o información que no reposa en RUP, la entidad podrá solicitar información adicional –por ejemplo, longitudes de obra, especificaciones técnicas, etc.– solo para complementar la información contenida en el RUP</w:t>
      </w:r>
      <w:r w:rsidRPr="00402EB8">
        <w:rPr>
          <w:rFonts w:ascii="Verdana" w:hAnsi="Verdana" w:cs="Arial"/>
          <w:vertAlign w:val="superscript"/>
          <w:lang w:eastAsia="es-ES_tradnl"/>
        </w:rPr>
        <w:footnoteReference w:id="5"/>
      </w:r>
      <w:r w:rsidRPr="00402EB8">
        <w:rPr>
          <w:rFonts w:ascii="Verdana" w:hAnsi="Verdana" w:cs="Arial"/>
          <w:lang w:eastAsia="es-ES_tradnl"/>
        </w:rPr>
        <w:t>.</w:t>
      </w:r>
    </w:p>
    <w:p w14:paraId="6854F456" w14:textId="77777777" w:rsidR="0064326F" w:rsidRPr="00ED6629" w:rsidRDefault="0064326F" w:rsidP="0064326F">
      <w:pPr>
        <w:spacing w:before="120" w:after="120" w:line="276" w:lineRule="auto"/>
        <w:ind w:firstLine="709"/>
        <w:jc w:val="both"/>
        <w:rPr>
          <w:rFonts w:ascii="Verdana" w:hAnsi="Verdana" w:cs="Arial"/>
          <w:lang w:eastAsia="es-ES_tradnl"/>
        </w:rPr>
      </w:pPr>
      <w:r w:rsidRPr="00ED6629">
        <w:rPr>
          <w:rFonts w:ascii="Verdana" w:hAnsi="Verdana" w:cs="Arial"/>
          <w:lang w:eastAsia="es-ES_tradnl"/>
        </w:rPr>
        <w:t xml:space="preserve">Cuando se trata de los procesos exceptuados de la obligación de inscripción en el RUP, como las entidades no pueden solicitarlo, para verificar las condiciones de experiencia, capacidad financiera y de organización de los proponentes, deben recurrir a otros medios de prueba que garanticen la selección objetiva, siempre que sean adecuados y proporcionales para promover </w:t>
      </w:r>
      <w:r w:rsidRPr="00ED6629">
        <w:rPr>
          <w:rFonts w:ascii="Verdana" w:hAnsi="Verdana" w:cs="Arial"/>
          <w:lang w:eastAsia="es-ES_tradnl"/>
        </w:rPr>
        <w:lastRenderedPageBreak/>
        <w:t>la libre participación de los oferentes</w:t>
      </w:r>
      <w:r>
        <w:rPr>
          <w:rStyle w:val="Refdenotaalpie"/>
          <w:rFonts w:ascii="Verdana" w:hAnsi="Verdana" w:cs="Arial"/>
          <w:lang w:eastAsia="es-ES_tradnl"/>
        </w:rPr>
        <w:footnoteReference w:id="6"/>
      </w:r>
      <w:r w:rsidRPr="00ED6629">
        <w:rPr>
          <w:rFonts w:ascii="Verdana" w:hAnsi="Verdana" w:cs="Arial"/>
          <w:lang w:eastAsia="es-ES_tradnl"/>
        </w:rPr>
        <w:t>. Lo anterior fue ratificado por el Consejo de Estado cuando enumeró las excepciones en las cuales las entidades tienen la obligación de verificar los requisitos habilitantes de los proponentes</w:t>
      </w:r>
      <w:r w:rsidRPr="00ED6629">
        <w:rPr>
          <w:rFonts w:ascii="Verdana" w:hAnsi="Verdana" w:cs="Arial"/>
          <w:vertAlign w:val="superscript"/>
          <w:lang w:eastAsia="es-ES_tradnl"/>
        </w:rPr>
        <w:footnoteReference w:id="7"/>
      </w:r>
      <w:r w:rsidRPr="00ED6629">
        <w:rPr>
          <w:rFonts w:ascii="Verdana" w:hAnsi="Verdana" w:cs="Arial"/>
          <w:lang w:eastAsia="es-ES_tradnl"/>
        </w:rPr>
        <w:t xml:space="preserve">.  </w:t>
      </w:r>
    </w:p>
    <w:p w14:paraId="1E2E796F" w14:textId="77777777" w:rsidR="0064326F" w:rsidRPr="009450D4" w:rsidRDefault="0064326F" w:rsidP="0064326F">
      <w:pPr>
        <w:spacing w:before="120" w:after="120" w:line="276" w:lineRule="auto"/>
        <w:ind w:firstLine="709"/>
        <w:jc w:val="both"/>
        <w:rPr>
          <w:rFonts w:ascii="Verdana" w:hAnsi="Verdana" w:cs="Arial"/>
          <w:lang w:eastAsia="es-ES_tradnl"/>
        </w:rPr>
      </w:pPr>
      <w:r w:rsidRPr="009450D4">
        <w:rPr>
          <w:rFonts w:ascii="Verdana" w:hAnsi="Verdana" w:cs="Arial"/>
          <w:lang w:eastAsia="es-ES_tradnl"/>
        </w:rPr>
        <w:t>Ahora bien, el inciso 1 del artículo 6 de la Ley 1150 de 2007</w:t>
      </w:r>
      <w:r w:rsidRPr="009450D4">
        <w:rPr>
          <w:rFonts w:ascii="Verdana" w:hAnsi="Verdana" w:cs="Arial"/>
          <w:vertAlign w:val="superscript"/>
          <w:lang w:eastAsia="es-ES_tradnl"/>
        </w:rPr>
        <w:footnoteReference w:id="8"/>
      </w:r>
      <w:r w:rsidRPr="009450D4">
        <w:rPr>
          <w:rFonts w:ascii="Verdana" w:hAnsi="Verdana" w:cs="Arial"/>
          <w:lang w:eastAsia="es-ES_tradnl"/>
        </w:rPr>
        <w:t>, mediante el cual se regulan los sujetos que deben inscribirse en el RUP, señaló que deben hacerlo las personas, naturales o jurídicas, nacionales o extranjeras que tengan domicilio o sucursal en el país. Estas personas tienen la obligación de registrarse en el RUP, en dos casos: a) pretendan celebrar contratos estatales y b) el procedimiento de contratación sea de aquellos en los cuales no se exceptúa el RUP, de acuerdo con el inciso 2 del artículo 6 de la Ley 1150 de 2007</w:t>
      </w:r>
      <w:r w:rsidRPr="009450D4">
        <w:rPr>
          <w:rFonts w:ascii="Verdana" w:hAnsi="Verdana" w:cs="Arial"/>
          <w:vertAlign w:val="superscript"/>
          <w:lang w:eastAsia="es-ES_tradnl"/>
        </w:rPr>
        <w:footnoteReference w:id="9"/>
      </w:r>
      <w:r w:rsidRPr="009450D4">
        <w:rPr>
          <w:rFonts w:ascii="Verdana" w:hAnsi="Verdana" w:cs="Arial"/>
          <w:lang w:eastAsia="es-ES_tradnl"/>
        </w:rPr>
        <w:t xml:space="preserve">. </w:t>
      </w:r>
    </w:p>
    <w:p w14:paraId="77F56A44" w14:textId="77777777" w:rsidR="0064326F" w:rsidRPr="009450D4" w:rsidRDefault="0064326F" w:rsidP="0064326F">
      <w:pPr>
        <w:widowControl w:val="0"/>
        <w:autoSpaceDE w:val="0"/>
        <w:autoSpaceDN w:val="0"/>
        <w:spacing w:after="120" w:line="276" w:lineRule="auto"/>
        <w:ind w:firstLine="709"/>
        <w:jc w:val="both"/>
        <w:rPr>
          <w:rFonts w:ascii="Verdana" w:hAnsi="Verdana" w:cs="Arial"/>
          <w:lang w:eastAsia="es-ES_tradnl"/>
        </w:rPr>
      </w:pPr>
      <w:r w:rsidRPr="009450D4">
        <w:rPr>
          <w:rFonts w:ascii="Verdana" w:hAnsi="Verdana" w:cs="Arial"/>
          <w:lang w:eastAsia="es-ES_tradnl"/>
        </w:rPr>
        <w:t>En el mismo sentido, el Decreto 1082 de 2015</w:t>
      </w:r>
      <w:r w:rsidRPr="009450D4">
        <w:rPr>
          <w:rFonts w:ascii="Verdana" w:hAnsi="Verdana" w:cs="Arial"/>
          <w:vertAlign w:val="superscript"/>
          <w:lang w:eastAsia="es-ES_tradnl"/>
        </w:rPr>
        <w:footnoteReference w:id="10"/>
      </w:r>
      <w:r w:rsidRPr="009450D4">
        <w:rPr>
          <w:rFonts w:ascii="Verdana" w:hAnsi="Verdana" w:cs="Arial"/>
          <w:lang w:eastAsia="es-ES_tradnl"/>
        </w:rPr>
        <w:t xml:space="preserve"> dispone quiénes deben inscribirse en el RUP, el momento de la renovación del registro, la información </w:t>
      </w:r>
      <w:r w:rsidRPr="009450D4">
        <w:rPr>
          <w:rFonts w:ascii="Verdana" w:hAnsi="Verdana" w:cs="Arial"/>
          <w:lang w:eastAsia="es-ES_tradnl"/>
        </w:rPr>
        <w:lastRenderedPageBreak/>
        <w:t>requerida para la inscripción, renovación o actualización</w:t>
      </w:r>
      <w:r w:rsidRPr="009450D4">
        <w:rPr>
          <w:rStyle w:val="Refdenotaalpie"/>
          <w:rFonts w:ascii="Verdana" w:hAnsi="Verdana" w:cs="Arial"/>
          <w:lang w:eastAsia="es-ES_tradnl"/>
        </w:rPr>
        <w:footnoteReference w:id="11"/>
      </w:r>
      <w:r w:rsidRPr="009450D4">
        <w:rPr>
          <w:rFonts w:ascii="Verdana" w:hAnsi="Verdana" w:cs="Arial"/>
          <w:lang w:eastAsia="es-ES_tradnl"/>
        </w:rPr>
        <w:t xml:space="preserve"> y la posibilidad de </w:t>
      </w:r>
      <w:r w:rsidRPr="009450D4">
        <w:rPr>
          <w:rFonts w:ascii="Verdana" w:hAnsi="Verdana" w:cs="Arial"/>
          <w:lang w:eastAsia="es-ES_tradnl"/>
        </w:rPr>
        <w:lastRenderedPageBreak/>
        <w:t>solicitar la cancelación de la inscripción, en cualquier momento ante la cámara de comercio correspondiente</w:t>
      </w:r>
      <w:r w:rsidRPr="009450D4">
        <w:rPr>
          <w:rFonts w:ascii="Verdana" w:hAnsi="Verdana" w:cs="Arial"/>
          <w:vertAlign w:val="superscript"/>
          <w:lang w:eastAsia="es-ES_tradnl"/>
        </w:rPr>
        <w:footnoteReference w:id="12"/>
      </w:r>
      <w:r w:rsidRPr="009450D4">
        <w:rPr>
          <w:rFonts w:ascii="Verdana" w:hAnsi="Verdana" w:cs="Arial"/>
          <w:lang w:eastAsia="es-ES_tradnl"/>
        </w:rPr>
        <w:t>.</w:t>
      </w:r>
    </w:p>
    <w:p w14:paraId="1CFAB5D5" w14:textId="77777777" w:rsidR="0064326F" w:rsidRDefault="0064326F" w:rsidP="0064326F">
      <w:pPr>
        <w:widowControl w:val="0"/>
        <w:autoSpaceDE w:val="0"/>
        <w:autoSpaceDN w:val="0"/>
        <w:spacing w:line="276" w:lineRule="auto"/>
        <w:ind w:firstLine="709"/>
        <w:contextualSpacing/>
        <w:jc w:val="both"/>
        <w:rPr>
          <w:rFonts w:ascii="Verdana" w:eastAsia="Arial" w:hAnsi="Verdana" w:cs="Arial"/>
          <w:b/>
          <w:lang w:val="es-ES"/>
        </w:rPr>
      </w:pPr>
      <w:r w:rsidRPr="009450D4">
        <w:rPr>
          <w:rFonts w:ascii="Verdana" w:hAnsi="Verdana" w:cs="Arial"/>
          <w:lang w:eastAsia="es-ES_tradnl"/>
        </w:rPr>
        <w:t>En síntesis, se tiene que la obligación de inscribirse en el RUP es extensible a toda persona natural o jurídica, interesada en participar en un proceso de contratación estatal, cuando este no esté exceptuado de esta obligación, conforme con lo previsto en el inciso 2 del artículo 6 de la Ley 1150 de 2007.</w:t>
      </w:r>
      <w:bookmarkStart w:id="5" w:name="_Hlk104368148"/>
    </w:p>
    <w:p w14:paraId="591E5B0F" w14:textId="77777777" w:rsidR="0064326F" w:rsidRPr="00D57160" w:rsidRDefault="0064326F" w:rsidP="0064326F">
      <w:pPr>
        <w:widowControl w:val="0"/>
        <w:autoSpaceDE w:val="0"/>
        <w:autoSpaceDN w:val="0"/>
        <w:spacing w:after="0" w:line="240" w:lineRule="auto"/>
        <w:ind w:firstLine="709"/>
        <w:contextualSpacing/>
        <w:jc w:val="both"/>
        <w:rPr>
          <w:rFonts w:ascii="Verdana" w:eastAsia="Arial" w:hAnsi="Verdana" w:cs="Arial"/>
          <w:b/>
          <w:lang w:val="es-ES"/>
        </w:rPr>
      </w:pPr>
    </w:p>
    <w:p w14:paraId="7C982E81" w14:textId="77777777" w:rsidR="0064326F" w:rsidRDefault="0064326F" w:rsidP="0064326F">
      <w:pPr>
        <w:widowControl w:val="0"/>
        <w:autoSpaceDE w:val="0"/>
        <w:autoSpaceDN w:val="0"/>
        <w:spacing w:after="120" w:line="276" w:lineRule="auto"/>
        <w:ind w:firstLine="709"/>
        <w:jc w:val="both"/>
        <w:rPr>
          <w:rFonts w:ascii="Verdana" w:hAnsi="Verdana" w:cs="Arial"/>
        </w:rPr>
      </w:pPr>
      <w:bookmarkStart w:id="6" w:name="_Hlk107927340"/>
      <w:bookmarkEnd w:id="5"/>
      <w:r w:rsidRPr="00114F25">
        <w:rPr>
          <w:rFonts w:ascii="Verdana" w:hAnsi="Verdana" w:cs="Arial"/>
        </w:rPr>
        <w:t>Ahora bien, en relación con la firmeza del RUP, debe señalarse que, en concordancia</w:t>
      </w:r>
      <w:r w:rsidRPr="00114F25">
        <w:rPr>
          <w:rFonts w:ascii="Verdana" w:hAnsi="Verdana" w:cs="Arial"/>
          <w:spacing w:val="-4"/>
        </w:rPr>
        <w:t xml:space="preserve"> </w:t>
      </w:r>
      <w:r w:rsidRPr="00114F25">
        <w:rPr>
          <w:rFonts w:ascii="Verdana" w:hAnsi="Verdana" w:cs="Arial"/>
        </w:rPr>
        <w:t>con</w:t>
      </w:r>
      <w:r w:rsidRPr="00114F25">
        <w:rPr>
          <w:rFonts w:ascii="Verdana" w:hAnsi="Verdana" w:cs="Arial"/>
          <w:spacing w:val="-5"/>
        </w:rPr>
        <w:t xml:space="preserve"> </w:t>
      </w:r>
      <w:r w:rsidRPr="00114F25">
        <w:rPr>
          <w:rFonts w:ascii="Verdana" w:hAnsi="Verdana" w:cs="Arial"/>
        </w:rPr>
        <w:t>lo</w:t>
      </w:r>
      <w:r w:rsidRPr="00114F25">
        <w:rPr>
          <w:rFonts w:ascii="Verdana" w:hAnsi="Verdana" w:cs="Arial"/>
          <w:spacing w:val="-4"/>
        </w:rPr>
        <w:t xml:space="preserve"> </w:t>
      </w:r>
      <w:r w:rsidRPr="00114F25">
        <w:rPr>
          <w:rFonts w:ascii="Verdana" w:hAnsi="Verdana" w:cs="Arial"/>
        </w:rPr>
        <w:t>establecido</w:t>
      </w:r>
      <w:r w:rsidRPr="00114F25">
        <w:rPr>
          <w:rFonts w:ascii="Verdana" w:hAnsi="Verdana" w:cs="Arial"/>
          <w:spacing w:val="-4"/>
        </w:rPr>
        <w:t xml:space="preserve"> </w:t>
      </w:r>
      <w:r w:rsidRPr="00114F25">
        <w:rPr>
          <w:rFonts w:ascii="Verdana" w:hAnsi="Verdana" w:cs="Arial"/>
        </w:rPr>
        <w:t>en</w:t>
      </w:r>
      <w:r w:rsidRPr="00114F25">
        <w:rPr>
          <w:rFonts w:ascii="Verdana" w:hAnsi="Verdana" w:cs="Arial"/>
          <w:spacing w:val="-5"/>
        </w:rPr>
        <w:t xml:space="preserve"> </w:t>
      </w:r>
      <w:r w:rsidRPr="00114F25">
        <w:rPr>
          <w:rFonts w:ascii="Verdana" w:hAnsi="Verdana" w:cs="Arial"/>
        </w:rPr>
        <w:t>el</w:t>
      </w:r>
      <w:r w:rsidRPr="00114F25">
        <w:rPr>
          <w:rFonts w:ascii="Verdana" w:hAnsi="Verdana" w:cs="Arial"/>
          <w:spacing w:val="-4"/>
        </w:rPr>
        <w:t xml:space="preserve"> </w:t>
      </w:r>
      <w:r w:rsidRPr="00114F25">
        <w:rPr>
          <w:rFonts w:ascii="Verdana" w:hAnsi="Verdana" w:cs="Arial"/>
        </w:rPr>
        <w:t>numeral</w:t>
      </w:r>
      <w:r w:rsidRPr="00114F25">
        <w:rPr>
          <w:rFonts w:ascii="Verdana" w:hAnsi="Verdana" w:cs="Arial"/>
          <w:spacing w:val="-4"/>
        </w:rPr>
        <w:t xml:space="preserve"> </w:t>
      </w:r>
      <w:r w:rsidRPr="00114F25">
        <w:rPr>
          <w:rFonts w:ascii="Verdana" w:hAnsi="Verdana" w:cs="Arial"/>
        </w:rPr>
        <w:t>6.3</w:t>
      </w:r>
      <w:r w:rsidRPr="00114F25">
        <w:rPr>
          <w:rFonts w:ascii="Verdana" w:hAnsi="Verdana" w:cs="Arial"/>
          <w:spacing w:val="-5"/>
        </w:rPr>
        <w:t xml:space="preserve"> </w:t>
      </w:r>
      <w:r w:rsidRPr="00114F25">
        <w:rPr>
          <w:rFonts w:ascii="Verdana" w:hAnsi="Verdana" w:cs="Arial"/>
        </w:rPr>
        <w:t>de</w:t>
      </w:r>
      <w:r w:rsidRPr="00114F25">
        <w:rPr>
          <w:rFonts w:ascii="Verdana" w:hAnsi="Verdana" w:cs="Arial"/>
          <w:spacing w:val="-4"/>
        </w:rPr>
        <w:t xml:space="preserve"> </w:t>
      </w:r>
      <w:r w:rsidRPr="00114F25">
        <w:rPr>
          <w:rFonts w:ascii="Verdana" w:hAnsi="Verdana" w:cs="Arial"/>
        </w:rPr>
        <w:t>la</w:t>
      </w:r>
      <w:r w:rsidRPr="00114F25">
        <w:rPr>
          <w:rFonts w:ascii="Verdana" w:hAnsi="Verdana" w:cs="Arial"/>
          <w:spacing w:val="-4"/>
        </w:rPr>
        <w:t xml:space="preserve"> </w:t>
      </w:r>
      <w:r w:rsidRPr="00114F25">
        <w:rPr>
          <w:rFonts w:ascii="Verdana" w:hAnsi="Verdana" w:cs="Arial"/>
        </w:rPr>
        <w:t>Ley</w:t>
      </w:r>
      <w:r w:rsidRPr="00114F25">
        <w:rPr>
          <w:rFonts w:ascii="Verdana" w:hAnsi="Verdana" w:cs="Arial"/>
          <w:spacing w:val="-4"/>
        </w:rPr>
        <w:t xml:space="preserve"> </w:t>
      </w:r>
      <w:r w:rsidRPr="00114F25">
        <w:rPr>
          <w:rFonts w:ascii="Verdana" w:hAnsi="Verdana" w:cs="Arial"/>
        </w:rPr>
        <w:t>1150</w:t>
      </w:r>
      <w:r w:rsidRPr="00114F25">
        <w:rPr>
          <w:rFonts w:ascii="Verdana" w:hAnsi="Verdana" w:cs="Arial"/>
          <w:spacing w:val="-5"/>
        </w:rPr>
        <w:t xml:space="preserve"> </w:t>
      </w:r>
      <w:r w:rsidRPr="00114F25">
        <w:rPr>
          <w:rFonts w:ascii="Verdana" w:hAnsi="Verdana" w:cs="Arial"/>
        </w:rPr>
        <w:t>de</w:t>
      </w:r>
      <w:r w:rsidRPr="00114F25">
        <w:rPr>
          <w:rFonts w:ascii="Verdana" w:hAnsi="Verdana" w:cs="Arial"/>
          <w:spacing w:val="-4"/>
        </w:rPr>
        <w:t xml:space="preserve"> </w:t>
      </w:r>
      <w:r w:rsidRPr="00114F25">
        <w:rPr>
          <w:rFonts w:ascii="Verdana" w:hAnsi="Verdana" w:cs="Arial"/>
        </w:rPr>
        <w:t>2007, la cámara de comercio, verificada la información aportada por el proponente, publicará el acto de inscripción del RUP. Contra dicho acto cualquier</w:t>
      </w:r>
      <w:r w:rsidRPr="00114F25">
        <w:rPr>
          <w:rFonts w:ascii="Verdana" w:hAnsi="Verdana" w:cs="Arial"/>
          <w:spacing w:val="1"/>
        </w:rPr>
        <w:t xml:space="preserve"> </w:t>
      </w:r>
      <w:r w:rsidRPr="00114F25">
        <w:rPr>
          <w:rFonts w:ascii="Verdana" w:hAnsi="Verdana" w:cs="Arial"/>
        </w:rPr>
        <w:t>persona podrá interponer recurso de reposición dentro de los diez (10) días hábiles</w:t>
      </w:r>
      <w:r w:rsidRPr="00114F25">
        <w:rPr>
          <w:rFonts w:ascii="Verdana" w:hAnsi="Verdana" w:cs="Arial"/>
          <w:spacing w:val="1"/>
        </w:rPr>
        <w:t xml:space="preserve"> </w:t>
      </w:r>
      <w:r w:rsidRPr="00114F25">
        <w:rPr>
          <w:rFonts w:ascii="Verdana" w:hAnsi="Verdana" w:cs="Arial"/>
        </w:rPr>
        <w:t>siguientes</w:t>
      </w:r>
      <w:r w:rsidRPr="00114F25">
        <w:rPr>
          <w:rFonts w:ascii="Verdana" w:hAnsi="Verdana" w:cs="Arial"/>
          <w:spacing w:val="1"/>
        </w:rPr>
        <w:t xml:space="preserve"> </w:t>
      </w:r>
      <w:r w:rsidRPr="00114F25">
        <w:rPr>
          <w:rFonts w:ascii="Verdana" w:hAnsi="Verdana" w:cs="Arial"/>
        </w:rPr>
        <w:t>contados</w:t>
      </w:r>
      <w:r w:rsidRPr="00114F25">
        <w:rPr>
          <w:rFonts w:ascii="Verdana" w:hAnsi="Verdana" w:cs="Arial"/>
          <w:spacing w:val="1"/>
        </w:rPr>
        <w:t xml:space="preserve"> </w:t>
      </w:r>
      <w:r w:rsidRPr="00114F25">
        <w:rPr>
          <w:rFonts w:ascii="Verdana" w:hAnsi="Verdana" w:cs="Arial"/>
        </w:rPr>
        <w:t>a</w:t>
      </w:r>
      <w:r w:rsidRPr="00114F25">
        <w:rPr>
          <w:rFonts w:ascii="Verdana" w:hAnsi="Verdana" w:cs="Arial"/>
          <w:spacing w:val="1"/>
        </w:rPr>
        <w:t xml:space="preserve"> </w:t>
      </w:r>
      <w:r w:rsidRPr="00114F25">
        <w:rPr>
          <w:rFonts w:ascii="Verdana" w:hAnsi="Verdana" w:cs="Arial"/>
        </w:rPr>
        <w:t>partir</w:t>
      </w:r>
      <w:r w:rsidRPr="00114F25">
        <w:rPr>
          <w:rFonts w:ascii="Verdana" w:hAnsi="Verdana" w:cs="Arial"/>
          <w:spacing w:val="1"/>
        </w:rPr>
        <w:t xml:space="preserve"> </w:t>
      </w:r>
      <w:r w:rsidRPr="00114F25">
        <w:rPr>
          <w:rFonts w:ascii="Verdana" w:hAnsi="Verdana" w:cs="Arial"/>
        </w:rPr>
        <w:t>de</w:t>
      </w:r>
      <w:r w:rsidRPr="00114F25">
        <w:rPr>
          <w:rFonts w:ascii="Verdana" w:hAnsi="Verdana" w:cs="Arial"/>
          <w:spacing w:val="1"/>
        </w:rPr>
        <w:t xml:space="preserve"> </w:t>
      </w:r>
      <w:r w:rsidRPr="00114F25">
        <w:rPr>
          <w:rFonts w:ascii="Verdana" w:hAnsi="Verdana" w:cs="Arial"/>
        </w:rPr>
        <w:t>su</w:t>
      </w:r>
      <w:r w:rsidRPr="00114F25">
        <w:rPr>
          <w:rFonts w:ascii="Verdana" w:hAnsi="Verdana" w:cs="Arial"/>
          <w:spacing w:val="1"/>
        </w:rPr>
        <w:t xml:space="preserve"> </w:t>
      </w:r>
      <w:r w:rsidRPr="00114F25">
        <w:rPr>
          <w:rFonts w:ascii="Verdana" w:hAnsi="Verdana" w:cs="Arial"/>
        </w:rPr>
        <w:t>publicación</w:t>
      </w:r>
      <w:r w:rsidRPr="00114F25">
        <w:rPr>
          <w:rFonts w:ascii="Verdana" w:hAnsi="Verdana" w:cs="Arial"/>
          <w:spacing w:val="1"/>
        </w:rPr>
        <w:t xml:space="preserve"> </w:t>
      </w:r>
      <w:r w:rsidRPr="00114F25">
        <w:rPr>
          <w:rFonts w:ascii="Verdana" w:hAnsi="Verdana" w:cs="Arial"/>
        </w:rPr>
        <w:t>–posibilidad</w:t>
      </w:r>
      <w:r w:rsidRPr="00114F25">
        <w:rPr>
          <w:rFonts w:ascii="Verdana" w:hAnsi="Verdana" w:cs="Arial"/>
          <w:spacing w:val="1"/>
        </w:rPr>
        <w:t xml:space="preserve"> </w:t>
      </w:r>
      <w:r w:rsidRPr="00114F25">
        <w:rPr>
          <w:rFonts w:ascii="Verdana" w:hAnsi="Verdana" w:cs="Arial"/>
        </w:rPr>
        <w:t>aplicable</w:t>
      </w:r>
      <w:r w:rsidRPr="00114F25">
        <w:rPr>
          <w:rFonts w:ascii="Verdana" w:hAnsi="Verdana" w:cs="Arial"/>
          <w:spacing w:val="1"/>
        </w:rPr>
        <w:t xml:space="preserve"> </w:t>
      </w:r>
      <w:r w:rsidRPr="00114F25">
        <w:rPr>
          <w:rFonts w:ascii="Verdana" w:hAnsi="Verdana" w:cs="Arial"/>
        </w:rPr>
        <w:t>frente</w:t>
      </w:r>
      <w:r w:rsidRPr="00114F25">
        <w:rPr>
          <w:rFonts w:ascii="Verdana" w:hAnsi="Verdana" w:cs="Arial"/>
          <w:spacing w:val="1"/>
        </w:rPr>
        <w:t xml:space="preserve"> </w:t>
      </w:r>
      <w:r w:rsidRPr="00114F25">
        <w:rPr>
          <w:rFonts w:ascii="Verdana" w:hAnsi="Verdana" w:cs="Arial"/>
        </w:rPr>
        <w:t>a</w:t>
      </w:r>
      <w:r w:rsidRPr="00114F25">
        <w:rPr>
          <w:rFonts w:ascii="Verdana" w:hAnsi="Verdana" w:cs="Arial"/>
          <w:spacing w:val="1"/>
        </w:rPr>
        <w:t xml:space="preserve"> </w:t>
      </w:r>
      <w:r w:rsidRPr="00114F25">
        <w:rPr>
          <w:rFonts w:ascii="Verdana" w:hAnsi="Verdana" w:cs="Arial"/>
        </w:rPr>
        <w:t>la</w:t>
      </w:r>
      <w:r w:rsidRPr="00114F25">
        <w:rPr>
          <w:rFonts w:ascii="Verdana" w:hAnsi="Verdana" w:cs="Arial"/>
          <w:spacing w:val="1"/>
        </w:rPr>
        <w:t xml:space="preserve"> </w:t>
      </w:r>
      <w:r w:rsidRPr="00114F25">
        <w:rPr>
          <w:rFonts w:ascii="Verdana" w:hAnsi="Verdana" w:cs="Arial"/>
          <w:i/>
        </w:rPr>
        <w:t>inscripción, renovación o actualización–</w:t>
      </w:r>
      <w:r w:rsidRPr="00114F25">
        <w:rPr>
          <w:rStyle w:val="Refdenotaalpie"/>
          <w:rFonts w:ascii="Verdana" w:hAnsi="Verdana" w:cs="Arial"/>
          <w:iCs/>
        </w:rPr>
        <w:footnoteReference w:id="13"/>
      </w:r>
      <w:r w:rsidRPr="00114F25">
        <w:rPr>
          <w:rFonts w:ascii="Verdana" w:hAnsi="Verdana" w:cs="Arial"/>
        </w:rPr>
        <w:t xml:space="preserve">. </w:t>
      </w:r>
      <w:bookmarkEnd w:id="6"/>
      <w:r w:rsidRPr="00114F25">
        <w:rPr>
          <w:rFonts w:ascii="Verdana" w:hAnsi="Verdana" w:cs="Arial"/>
        </w:rPr>
        <w:t xml:space="preserve">En firme el acto administrativo que </w:t>
      </w:r>
      <w:r w:rsidRPr="00114F25">
        <w:rPr>
          <w:rFonts w:ascii="Verdana" w:hAnsi="Verdana" w:cs="Arial"/>
        </w:rPr>
        <w:lastRenderedPageBreak/>
        <w:t>realiza la</w:t>
      </w:r>
      <w:r w:rsidRPr="00114F25">
        <w:rPr>
          <w:rFonts w:ascii="Verdana" w:hAnsi="Verdana" w:cs="Arial"/>
          <w:spacing w:val="1"/>
        </w:rPr>
        <w:t xml:space="preserve"> </w:t>
      </w:r>
      <w:r w:rsidRPr="00114F25">
        <w:rPr>
          <w:rFonts w:ascii="Verdana" w:hAnsi="Verdana" w:cs="Arial"/>
        </w:rPr>
        <w:t>inscripción</w:t>
      </w:r>
      <w:r w:rsidRPr="00114F25">
        <w:rPr>
          <w:rFonts w:ascii="Verdana" w:hAnsi="Verdana" w:cs="Arial"/>
          <w:spacing w:val="-8"/>
        </w:rPr>
        <w:t xml:space="preserve"> </w:t>
      </w:r>
      <w:r w:rsidRPr="00114F25">
        <w:rPr>
          <w:rFonts w:ascii="Verdana" w:hAnsi="Verdana" w:cs="Arial"/>
        </w:rPr>
        <w:t>en</w:t>
      </w:r>
      <w:r w:rsidRPr="00114F25">
        <w:rPr>
          <w:rFonts w:ascii="Verdana" w:hAnsi="Verdana" w:cs="Arial"/>
          <w:spacing w:val="-9"/>
        </w:rPr>
        <w:t xml:space="preserve"> </w:t>
      </w:r>
      <w:r w:rsidRPr="00114F25">
        <w:rPr>
          <w:rFonts w:ascii="Verdana" w:hAnsi="Verdana" w:cs="Arial"/>
        </w:rPr>
        <w:t>el</w:t>
      </w:r>
      <w:r w:rsidRPr="00114F25">
        <w:rPr>
          <w:rFonts w:ascii="Verdana" w:hAnsi="Verdana" w:cs="Arial"/>
          <w:spacing w:val="-9"/>
        </w:rPr>
        <w:t xml:space="preserve"> </w:t>
      </w:r>
      <w:r w:rsidRPr="00114F25">
        <w:rPr>
          <w:rFonts w:ascii="Verdana" w:hAnsi="Verdana" w:cs="Arial"/>
        </w:rPr>
        <w:t>RUP</w:t>
      </w:r>
      <w:r w:rsidRPr="00114F25">
        <w:rPr>
          <w:rFonts w:ascii="Verdana" w:hAnsi="Verdana" w:cs="Arial"/>
          <w:spacing w:val="-7"/>
        </w:rPr>
        <w:t xml:space="preserve"> </w:t>
      </w:r>
      <w:r w:rsidRPr="00114F25">
        <w:rPr>
          <w:rFonts w:ascii="Verdana" w:hAnsi="Verdana" w:cs="Arial"/>
        </w:rPr>
        <w:t>se</w:t>
      </w:r>
      <w:r w:rsidRPr="00114F25">
        <w:rPr>
          <w:rFonts w:ascii="Verdana" w:hAnsi="Verdana" w:cs="Arial"/>
          <w:spacing w:val="-9"/>
        </w:rPr>
        <w:t xml:space="preserve"> </w:t>
      </w:r>
      <w:r w:rsidRPr="00114F25">
        <w:rPr>
          <w:rFonts w:ascii="Verdana" w:hAnsi="Verdana" w:cs="Arial"/>
        </w:rPr>
        <w:t>podrá</w:t>
      </w:r>
      <w:r w:rsidRPr="00114F25">
        <w:rPr>
          <w:rFonts w:ascii="Verdana" w:hAnsi="Verdana" w:cs="Arial"/>
          <w:spacing w:val="-9"/>
        </w:rPr>
        <w:t xml:space="preserve"> </w:t>
      </w:r>
      <w:r w:rsidRPr="00114F25">
        <w:rPr>
          <w:rFonts w:ascii="Verdana" w:hAnsi="Verdana" w:cs="Arial"/>
        </w:rPr>
        <w:t>demandar</w:t>
      </w:r>
      <w:r w:rsidRPr="00114F25">
        <w:rPr>
          <w:rFonts w:ascii="Verdana" w:hAnsi="Verdana" w:cs="Arial"/>
          <w:spacing w:val="-9"/>
        </w:rPr>
        <w:t xml:space="preserve"> </w:t>
      </w:r>
      <w:r w:rsidRPr="00114F25">
        <w:rPr>
          <w:rFonts w:ascii="Verdana" w:hAnsi="Verdana" w:cs="Arial"/>
        </w:rPr>
        <w:t>su</w:t>
      </w:r>
      <w:r w:rsidRPr="00114F25">
        <w:rPr>
          <w:rFonts w:ascii="Verdana" w:hAnsi="Verdana" w:cs="Arial"/>
          <w:spacing w:val="-8"/>
        </w:rPr>
        <w:t xml:space="preserve"> </w:t>
      </w:r>
      <w:r w:rsidRPr="00114F25">
        <w:rPr>
          <w:rFonts w:ascii="Verdana" w:hAnsi="Verdana" w:cs="Arial"/>
        </w:rPr>
        <w:t>nulidad,</w:t>
      </w:r>
      <w:r w:rsidRPr="00114F25">
        <w:rPr>
          <w:rFonts w:ascii="Verdana" w:hAnsi="Verdana" w:cs="Arial"/>
          <w:spacing w:val="-9"/>
        </w:rPr>
        <w:t xml:space="preserve"> </w:t>
      </w:r>
      <w:r w:rsidRPr="00114F25">
        <w:rPr>
          <w:rFonts w:ascii="Verdana" w:hAnsi="Verdana" w:cs="Arial"/>
        </w:rPr>
        <w:t>sin que la</w:t>
      </w:r>
      <w:r w:rsidRPr="00114F25">
        <w:rPr>
          <w:rFonts w:ascii="Verdana" w:hAnsi="Verdana" w:cs="Arial"/>
          <w:spacing w:val="-9"/>
        </w:rPr>
        <w:t xml:space="preserve"> </w:t>
      </w:r>
      <w:r w:rsidRPr="00114F25">
        <w:rPr>
          <w:rFonts w:ascii="Verdana" w:hAnsi="Verdana" w:cs="Arial"/>
        </w:rPr>
        <w:t>presentación</w:t>
      </w:r>
      <w:r w:rsidRPr="00114F25">
        <w:rPr>
          <w:rFonts w:ascii="Verdana" w:hAnsi="Verdana" w:cs="Arial"/>
          <w:spacing w:val="-2"/>
        </w:rPr>
        <w:t xml:space="preserve"> </w:t>
      </w:r>
      <w:r w:rsidRPr="00114F25">
        <w:rPr>
          <w:rFonts w:ascii="Verdana" w:hAnsi="Verdana" w:cs="Arial"/>
        </w:rPr>
        <w:t>de</w:t>
      </w:r>
      <w:r w:rsidRPr="00114F25">
        <w:rPr>
          <w:rFonts w:ascii="Verdana" w:hAnsi="Verdana" w:cs="Arial"/>
          <w:spacing w:val="-2"/>
        </w:rPr>
        <w:t xml:space="preserve"> </w:t>
      </w:r>
      <w:r w:rsidRPr="00114F25">
        <w:rPr>
          <w:rFonts w:ascii="Verdana" w:hAnsi="Verdana" w:cs="Arial"/>
        </w:rPr>
        <w:t>la</w:t>
      </w:r>
      <w:r w:rsidRPr="00114F25">
        <w:rPr>
          <w:rFonts w:ascii="Verdana" w:hAnsi="Verdana" w:cs="Arial"/>
          <w:spacing w:val="-2"/>
        </w:rPr>
        <w:t xml:space="preserve"> </w:t>
      </w:r>
      <w:r w:rsidRPr="00114F25">
        <w:rPr>
          <w:rFonts w:ascii="Verdana" w:hAnsi="Verdana" w:cs="Arial"/>
        </w:rPr>
        <w:t>demanda</w:t>
      </w:r>
      <w:r w:rsidRPr="00114F25">
        <w:rPr>
          <w:rFonts w:ascii="Verdana" w:hAnsi="Verdana" w:cs="Arial"/>
          <w:spacing w:val="-1"/>
        </w:rPr>
        <w:t xml:space="preserve"> </w:t>
      </w:r>
      <w:r w:rsidRPr="00114F25">
        <w:rPr>
          <w:rFonts w:ascii="Verdana" w:hAnsi="Verdana" w:cs="Arial"/>
        </w:rPr>
        <w:t>suspenda</w:t>
      </w:r>
      <w:r w:rsidRPr="00114F25">
        <w:rPr>
          <w:rFonts w:ascii="Verdana" w:hAnsi="Verdana" w:cs="Arial"/>
          <w:spacing w:val="-2"/>
        </w:rPr>
        <w:t xml:space="preserve"> </w:t>
      </w:r>
      <w:r w:rsidRPr="00114F25">
        <w:rPr>
          <w:rFonts w:ascii="Verdana" w:hAnsi="Verdana" w:cs="Arial"/>
        </w:rPr>
        <w:t>la</w:t>
      </w:r>
      <w:r w:rsidRPr="00114F25">
        <w:rPr>
          <w:rFonts w:ascii="Verdana" w:hAnsi="Verdana" w:cs="Arial"/>
          <w:spacing w:val="-2"/>
        </w:rPr>
        <w:t xml:space="preserve"> </w:t>
      </w:r>
      <w:r w:rsidRPr="00114F25">
        <w:rPr>
          <w:rFonts w:ascii="Verdana" w:hAnsi="Verdana" w:cs="Arial"/>
        </w:rPr>
        <w:t>inscripción</w:t>
      </w:r>
      <w:r w:rsidRPr="00114F25">
        <w:rPr>
          <w:rFonts w:ascii="Verdana" w:hAnsi="Verdana" w:cs="Arial"/>
          <w:spacing w:val="-2"/>
        </w:rPr>
        <w:t xml:space="preserve"> </w:t>
      </w:r>
      <w:r w:rsidRPr="00114F25">
        <w:rPr>
          <w:rFonts w:ascii="Verdana" w:hAnsi="Verdana" w:cs="Arial"/>
        </w:rPr>
        <w:t>del registro.</w:t>
      </w:r>
    </w:p>
    <w:p w14:paraId="753D05D1" w14:textId="77777777" w:rsidR="0064326F" w:rsidRDefault="0064326F" w:rsidP="0064326F">
      <w:pPr>
        <w:spacing w:after="0" w:line="276" w:lineRule="auto"/>
        <w:ind w:firstLine="709"/>
        <w:contextualSpacing/>
        <w:jc w:val="both"/>
        <w:rPr>
          <w:rFonts w:ascii="Verdana" w:hAnsi="Verdana" w:cs="Arial"/>
          <w:b/>
          <w:lang w:val="es-ES" w:eastAsia="es-ES_tradnl"/>
        </w:rPr>
      </w:pPr>
      <w:r w:rsidRPr="00114F25">
        <w:rPr>
          <w:rFonts w:ascii="Verdana" w:hAnsi="Verdana" w:cs="Arial"/>
        </w:rPr>
        <w:t xml:space="preserve">De otro lado, el artículo 2.2.1.1.1.5.1. del Decreto 1082 de 2015 señala que las personas inscritas en el RUP </w:t>
      </w:r>
      <w:r w:rsidRPr="00114F25">
        <w:rPr>
          <w:rFonts w:ascii="Verdana" w:hAnsi="Verdana" w:cs="Arial"/>
          <w:i/>
          <w:iCs/>
        </w:rPr>
        <w:t>deben presentar la información para renovar su registro a más tardar el quinto día hábil del mes de abril de cada año</w:t>
      </w:r>
      <w:r w:rsidRPr="00114F25">
        <w:rPr>
          <w:rFonts w:ascii="Verdana" w:hAnsi="Verdana" w:cs="Arial"/>
        </w:rPr>
        <w:t>, de lo contrario cesan los efectos del RUP</w:t>
      </w:r>
      <w:r w:rsidRPr="00114F25">
        <w:rPr>
          <w:rStyle w:val="Refdenotaalpie"/>
          <w:rFonts w:ascii="Verdana" w:hAnsi="Verdana" w:cs="Arial"/>
        </w:rPr>
        <w:footnoteReference w:id="14"/>
      </w:r>
      <w:r w:rsidRPr="00114F25">
        <w:rPr>
          <w:rFonts w:ascii="Verdana" w:hAnsi="Verdana" w:cs="Arial"/>
        </w:rPr>
        <w:t>. Sin perjuicio de lo indicado, para el año 2020, conforme al Decreto Legislativo 434 de 2020, debió entenderse a más tardar el quinto día hábil del mes de julio de 2020. El Consejo de Estado, en sentencia del 19 de septiembre de 2019, señaló la finalidad de la renovación del RUP y las consecuencias de no hacerlo en el término previsto, así:</w:t>
      </w:r>
    </w:p>
    <w:p w14:paraId="411525FA" w14:textId="77777777" w:rsidR="0064326F" w:rsidRPr="00E91381" w:rsidRDefault="0064326F" w:rsidP="0064326F">
      <w:pPr>
        <w:spacing w:after="0" w:line="240" w:lineRule="auto"/>
        <w:ind w:firstLine="709"/>
        <w:contextualSpacing/>
        <w:jc w:val="both"/>
        <w:rPr>
          <w:rFonts w:ascii="Verdana" w:hAnsi="Verdana" w:cs="Arial"/>
          <w:b/>
          <w:lang w:val="es-ES" w:eastAsia="es-ES_tradnl"/>
        </w:rPr>
      </w:pPr>
    </w:p>
    <w:p w14:paraId="635EB5D2" w14:textId="77777777" w:rsidR="0064326F" w:rsidRPr="00D57160" w:rsidRDefault="0064326F" w:rsidP="0064326F">
      <w:pPr>
        <w:widowControl w:val="0"/>
        <w:autoSpaceDE w:val="0"/>
        <w:autoSpaceDN w:val="0"/>
        <w:ind w:left="709" w:right="709"/>
        <w:contextualSpacing/>
        <w:jc w:val="both"/>
        <w:rPr>
          <w:rFonts w:ascii="Verdana" w:eastAsia="Arial MT" w:hAnsi="Verdana" w:cs="Arial"/>
          <w:sz w:val="20"/>
          <w:szCs w:val="20"/>
          <w:lang w:val="es-ES"/>
        </w:rPr>
      </w:pPr>
      <w:r w:rsidRPr="00D57160">
        <w:rPr>
          <w:rFonts w:ascii="Verdana" w:eastAsia="Arial MT" w:hAnsi="Verdana" w:cs="Arial"/>
          <w:sz w:val="20"/>
          <w:szCs w:val="20"/>
          <w:lang w:val="es-ES"/>
        </w:rPr>
        <w:t>“Al respecto, no puede perderse de vista que la finalidad principal de la</w:t>
      </w:r>
      <w:r w:rsidRPr="00D57160">
        <w:rPr>
          <w:rFonts w:ascii="Verdana" w:eastAsia="Arial MT" w:hAnsi="Verdana" w:cs="Arial"/>
          <w:spacing w:val="1"/>
          <w:sz w:val="20"/>
          <w:szCs w:val="20"/>
          <w:lang w:val="es-ES"/>
        </w:rPr>
        <w:t xml:space="preserve"> </w:t>
      </w:r>
      <w:r w:rsidRPr="00D57160">
        <w:rPr>
          <w:rFonts w:ascii="Verdana" w:eastAsia="Arial MT" w:hAnsi="Verdana" w:cs="Arial"/>
          <w:sz w:val="20"/>
          <w:szCs w:val="20"/>
          <w:lang w:val="es-ES"/>
        </w:rPr>
        <w:t>renovación del RUP, al margen de que con ese acto se nutra del registro de</w:t>
      </w:r>
      <w:r w:rsidRPr="00D57160">
        <w:rPr>
          <w:rFonts w:ascii="Verdana" w:eastAsia="Arial MT" w:hAnsi="Verdana" w:cs="Arial"/>
          <w:spacing w:val="-56"/>
          <w:sz w:val="20"/>
          <w:szCs w:val="20"/>
          <w:lang w:val="es-ES"/>
        </w:rPr>
        <w:t xml:space="preserve"> </w:t>
      </w:r>
      <w:r w:rsidRPr="00D57160">
        <w:rPr>
          <w:rFonts w:ascii="Verdana" w:eastAsia="Arial MT" w:hAnsi="Verdana" w:cs="Arial"/>
          <w:sz w:val="20"/>
          <w:szCs w:val="20"/>
          <w:lang w:val="es-ES"/>
        </w:rPr>
        <w:t>nueva</w:t>
      </w:r>
      <w:r w:rsidRPr="00D57160">
        <w:rPr>
          <w:rFonts w:ascii="Verdana" w:eastAsia="Arial MT" w:hAnsi="Verdana" w:cs="Arial"/>
          <w:spacing w:val="-6"/>
          <w:sz w:val="20"/>
          <w:szCs w:val="20"/>
          <w:lang w:val="es-ES"/>
        </w:rPr>
        <w:t xml:space="preserve"> </w:t>
      </w:r>
      <w:r w:rsidRPr="00D57160">
        <w:rPr>
          <w:rFonts w:ascii="Verdana" w:eastAsia="Arial MT" w:hAnsi="Verdana" w:cs="Arial"/>
          <w:sz w:val="20"/>
          <w:szCs w:val="20"/>
          <w:lang w:val="es-ES"/>
        </w:rPr>
        <w:t>información,</w:t>
      </w:r>
      <w:r w:rsidRPr="00D57160">
        <w:rPr>
          <w:rFonts w:ascii="Verdana" w:eastAsia="Arial MT" w:hAnsi="Verdana" w:cs="Arial"/>
          <w:spacing w:val="-4"/>
          <w:sz w:val="20"/>
          <w:szCs w:val="20"/>
          <w:lang w:val="es-ES"/>
        </w:rPr>
        <w:t xml:space="preserve"> </w:t>
      </w:r>
      <w:r w:rsidRPr="00D57160">
        <w:rPr>
          <w:rFonts w:ascii="Verdana" w:eastAsia="Arial MT" w:hAnsi="Verdana" w:cs="Arial"/>
          <w:sz w:val="20"/>
          <w:szCs w:val="20"/>
          <w:lang w:val="es-ES"/>
        </w:rPr>
        <w:t>es</w:t>
      </w:r>
      <w:r w:rsidRPr="00D57160">
        <w:rPr>
          <w:rFonts w:ascii="Verdana" w:eastAsia="Arial MT" w:hAnsi="Verdana" w:cs="Arial"/>
          <w:spacing w:val="-5"/>
          <w:sz w:val="20"/>
          <w:szCs w:val="20"/>
          <w:lang w:val="es-ES"/>
        </w:rPr>
        <w:t xml:space="preserve"> </w:t>
      </w:r>
      <w:r w:rsidRPr="00D57160">
        <w:rPr>
          <w:rFonts w:ascii="Verdana" w:eastAsia="Arial MT" w:hAnsi="Verdana" w:cs="Arial"/>
          <w:sz w:val="20"/>
          <w:szCs w:val="20"/>
          <w:lang w:val="es-ES"/>
        </w:rPr>
        <w:t>conservar</w:t>
      </w:r>
      <w:r w:rsidRPr="00D57160">
        <w:rPr>
          <w:rFonts w:ascii="Verdana" w:eastAsia="Arial MT" w:hAnsi="Verdana" w:cs="Arial"/>
          <w:spacing w:val="-5"/>
          <w:sz w:val="20"/>
          <w:szCs w:val="20"/>
          <w:lang w:val="es-ES"/>
        </w:rPr>
        <w:t xml:space="preserve"> </w:t>
      </w:r>
      <w:r w:rsidRPr="00D57160">
        <w:rPr>
          <w:rFonts w:ascii="Verdana" w:eastAsia="Arial MT" w:hAnsi="Verdana" w:cs="Arial"/>
          <w:sz w:val="20"/>
          <w:szCs w:val="20"/>
          <w:lang w:val="es-ES"/>
        </w:rPr>
        <w:t>su</w:t>
      </w:r>
      <w:r w:rsidRPr="00D57160">
        <w:rPr>
          <w:rFonts w:ascii="Verdana" w:eastAsia="Arial MT" w:hAnsi="Verdana" w:cs="Arial"/>
          <w:spacing w:val="-5"/>
          <w:sz w:val="20"/>
          <w:szCs w:val="20"/>
          <w:lang w:val="es-ES"/>
        </w:rPr>
        <w:t xml:space="preserve"> </w:t>
      </w:r>
      <w:r w:rsidRPr="00D57160">
        <w:rPr>
          <w:rFonts w:ascii="Verdana" w:eastAsia="Arial MT" w:hAnsi="Verdana" w:cs="Arial"/>
          <w:sz w:val="20"/>
          <w:szCs w:val="20"/>
          <w:lang w:val="es-ES"/>
        </w:rPr>
        <w:t>vigencia,</w:t>
      </w:r>
      <w:r w:rsidRPr="00D57160">
        <w:rPr>
          <w:rFonts w:ascii="Verdana" w:eastAsia="Arial MT" w:hAnsi="Verdana" w:cs="Arial"/>
          <w:spacing w:val="-5"/>
          <w:sz w:val="20"/>
          <w:szCs w:val="20"/>
          <w:lang w:val="es-ES"/>
        </w:rPr>
        <w:t xml:space="preserve"> </w:t>
      </w:r>
      <w:r w:rsidRPr="00D57160">
        <w:rPr>
          <w:rFonts w:ascii="Verdana" w:eastAsia="Arial MT" w:hAnsi="Verdana" w:cs="Arial"/>
          <w:sz w:val="20"/>
          <w:szCs w:val="20"/>
          <w:lang w:val="es-ES"/>
        </w:rPr>
        <w:t>propósito</w:t>
      </w:r>
      <w:r w:rsidRPr="00D57160">
        <w:rPr>
          <w:rFonts w:ascii="Verdana" w:eastAsia="Arial MT" w:hAnsi="Verdana" w:cs="Arial"/>
          <w:spacing w:val="-5"/>
          <w:sz w:val="20"/>
          <w:szCs w:val="20"/>
          <w:lang w:val="es-ES"/>
        </w:rPr>
        <w:t xml:space="preserve"> </w:t>
      </w:r>
      <w:r w:rsidRPr="00D57160">
        <w:rPr>
          <w:rFonts w:ascii="Verdana" w:eastAsia="Arial MT" w:hAnsi="Verdana" w:cs="Arial"/>
          <w:sz w:val="20"/>
          <w:szCs w:val="20"/>
          <w:lang w:val="es-ES"/>
        </w:rPr>
        <w:t>que,</w:t>
      </w:r>
      <w:r w:rsidRPr="00D57160">
        <w:rPr>
          <w:rFonts w:ascii="Verdana" w:eastAsia="Arial MT" w:hAnsi="Verdana" w:cs="Arial"/>
          <w:spacing w:val="-5"/>
          <w:sz w:val="20"/>
          <w:szCs w:val="20"/>
          <w:lang w:val="es-ES"/>
        </w:rPr>
        <w:t xml:space="preserve"> </w:t>
      </w:r>
      <w:r w:rsidRPr="00D57160">
        <w:rPr>
          <w:rFonts w:ascii="Verdana" w:eastAsia="Arial MT" w:hAnsi="Verdana" w:cs="Arial"/>
          <w:sz w:val="20"/>
          <w:szCs w:val="20"/>
          <w:lang w:val="es-ES"/>
        </w:rPr>
        <w:t>de</w:t>
      </w:r>
      <w:r w:rsidRPr="00D57160">
        <w:rPr>
          <w:rFonts w:ascii="Verdana" w:eastAsia="Arial MT" w:hAnsi="Verdana" w:cs="Arial"/>
          <w:spacing w:val="-5"/>
          <w:sz w:val="20"/>
          <w:szCs w:val="20"/>
          <w:lang w:val="es-ES"/>
        </w:rPr>
        <w:t xml:space="preserve"> </w:t>
      </w:r>
      <w:r w:rsidRPr="00D57160">
        <w:rPr>
          <w:rFonts w:ascii="Verdana" w:eastAsia="Arial MT" w:hAnsi="Verdana" w:cs="Arial"/>
          <w:sz w:val="20"/>
          <w:szCs w:val="20"/>
          <w:lang w:val="es-ES"/>
        </w:rPr>
        <w:t>acuerdo con el</w:t>
      </w:r>
      <w:r w:rsidRPr="00D57160">
        <w:rPr>
          <w:rFonts w:ascii="Verdana" w:eastAsia="Arial MT" w:hAnsi="Verdana" w:cs="Arial"/>
          <w:spacing w:val="-4"/>
          <w:sz w:val="20"/>
          <w:szCs w:val="20"/>
          <w:lang w:val="es-ES"/>
        </w:rPr>
        <w:t xml:space="preserve"> </w:t>
      </w:r>
      <w:r w:rsidRPr="00D57160">
        <w:rPr>
          <w:rFonts w:ascii="Verdana" w:eastAsia="Arial MT" w:hAnsi="Verdana" w:cs="Arial"/>
          <w:sz w:val="20"/>
          <w:szCs w:val="20"/>
          <w:lang w:val="es-ES"/>
        </w:rPr>
        <w:t>artículo 8 del Decreto 1510 de 2013, solo ha de cumplirse si el mismo se</w:t>
      </w:r>
      <w:r w:rsidRPr="00D57160">
        <w:rPr>
          <w:rFonts w:ascii="Verdana" w:eastAsia="Arial MT" w:hAnsi="Verdana" w:cs="Arial"/>
          <w:spacing w:val="1"/>
          <w:sz w:val="20"/>
          <w:szCs w:val="20"/>
          <w:lang w:val="es-ES"/>
        </w:rPr>
        <w:t xml:space="preserve"> </w:t>
      </w:r>
      <w:r w:rsidRPr="00D57160">
        <w:rPr>
          <w:rFonts w:ascii="Verdana" w:eastAsia="Arial MT" w:hAnsi="Verdana" w:cs="Arial"/>
          <w:sz w:val="20"/>
          <w:szCs w:val="20"/>
          <w:lang w:val="es-ES"/>
        </w:rPr>
        <w:t>realiza dentro del plazo allí establecido, comprendido entre el 1 de enero</w:t>
      </w:r>
      <w:r w:rsidRPr="00D57160">
        <w:rPr>
          <w:rFonts w:ascii="Verdana" w:eastAsia="Arial MT" w:hAnsi="Verdana" w:cs="Arial"/>
          <w:spacing w:val="1"/>
          <w:sz w:val="20"/>
          <w:szCs w:val="20"/>
          <w:lang w:val="es-ES"/>
        </w:rPr>
        <w:t xml:space="preserve"> </w:t>
      </w:r>
      <w:r w:rsidRPr="00D57160">
        <w:rPr>
          <w:rFonts w:ascii="Verdana" w:eastAsia="Arial MT" w:hAnsi="Verdana" w:cs="Arial"/>
          <w:sz w:val="20"/>
          <w:szCs w:val="20"/>
          <w:lang w:val="es-ES"/>
        </w:rPr>
        <w:t>hasta</w:t>
      </w:r>
      <w:r w:rsidRPr="00D57160">
        <w:rPr>
          <w:rFonts w:ascii="Verdana" w:eastAsia="Arial MT" w:hAnsi="Verdana" w:cs="Arial"/>
          <w:spacing w:val="1"/>
          <w:sz w:val="20"/>
          <w:szCs w:val="20"/>
          <w:lang w:val="es-ES"/>
        </w:rPr>
        <w:t xml:space="preserve"> </w:t>
      </w:r>
      <w:r w:rsidRPr="00D57160">
        <w:rPr>
          <w:rFonts w:ascii="Verdana" w:eastAsia="Arial MT" w:hAnsi="Verdana" w:cs="Arial"/>
          <w:sz w:val="20"/>
          <w:szCs w:val="20"/>
          <w:lang w:val="es-ES"/>
        </w:rPr>
        <w:t>el</w:t>
      </w:r>
      <w:r w:rsidRPr="00D57160">
        <w:rPr>
          <w:rFonts w:ascii="Verdana" w:eastAsia="Arial MT" w:hAnsi="Verdana" w:cs="Arial"/>
          <w:spacing w:val="1"/>
          <w:sz w:val="20"/>
          <w:szCs w:val="20"/>
          <w:lang w:val="es-ES"/>
        </w:rPr>
        <w:t xml:space="preserve"> </w:t>
      </w:r>
      <w:r w:rsidRPr="00D57160">
        <w:rPr>
          <w:rFonts w:ascii="Verdana" w:eastAsia="Arial MT" w:hAnsi="Verdana" w:cs="Arial"/>
          <w:sz w:val="20"/>
          <w:szCs w:val="20"/>
          <w:lang w:val="es-ES"/>
        </w:rPr>
        <w:t>quinto</w:t>
      </w:r>
      <w:r w:rsidRPr="00D57160">
        <w:rPr>
          <w:rFonts w:ascii="Verdana" w:eastAsia="Arial MT" w:hAnsi="Verdana" w:cs="Arial"/>
          <w:spacing w:val="1"/>
          <w:sz w:val="20"/>
          <w:szCs w:val="20"/>
          <w:lang w:val="es-ES"/>
        </w:rPr>
        <w:t xml:space="preserve"> </w:t>
      </w:r>
      <w:r w:rsidRPr="00D57160">
        <w:rPr>
          <w:rFonts w:ascii="Verdana" w:eastAsia="Arial MT" w:hAnsi="Verdana" w:cs="Arial"/>
          <w:sz w:val="20"/>
          <w:szCs w:val="20"/>
          <w:lang w:val="es-ES"/>
        </w:rPr>
        <w:t>día</w:t>
      </w:r>
      <w:r w:rsidRPr="00D57160">
        <w:rPr>
          <w:rFonts w:ascii="Verdana" w:eastAsia="Arial MT" w:hAnsi="Verdana" w:cs="Arial"/>
          <w:spacing w:val="1"/>
          <w:sz w:val="20"/>
          <w:szCs w:val="20"/>
          <w:lang w:val="es-ES"/>
        </w:rPr>
        <w:t xml:space="preserve"> </w:t>
      </w:r>
      <w:r w:rsidRPr="00D57160">
        <w:rPr>
          <w:rFonts w:ascii="Verdana" w:eastAsia="Arial MT" w:hAnsi="Verdana" w:cs="Arial"/>
          <w:sz w:val="20"/>
          <w:szCs w:val="20"/>
          <w:lang w:val="es-ES"/>
        </w:rPr>
        <w:t>hábil</w:t>
      </w:r>
      <w:r w:rsidRPr="00D57160">
        <w:rPr>
          <w:rFonts w:ascii="Verdana" w:eastAsia="Arial MT" w:hAnsi="Verdana" w:cs="Arial"/>
          <w:spacing w:val="1"/>
          <w:sz w:val="20"/>
          <w:szCs w:val="20"/>
          <w:lang w:val="es-ES"/>
        </w:rPr>
        <w:t xml:space="preserve"> </w:t>
      </w:r>
      <w:r w:rsidRPr="00D57160">
        <w:rPr>
          <w:rFonts w:ascii="Verdana" w:eastAsia="Arial MT" w:hAnsi="Verdana" w:cs="Arial"/>
          <w:sz w:val="20"/>
          <w:szCs w:val="20"/>
          <w:lang w:val="es-ES"/>
        </w:rPr>
        <w:t>del</w:t>
      </w:r>
      <w:r w:rsidRPr="00D57160">
        <w:rPr>
          <w:rFonts w:ascii="Verdana" w:eastAsia="Arial MT" w:hAnsi="Verdana" w:cs="Arial"/>
          <w:spacing w:val="1"/>
          <w:sz w:val="20"/>
          <w:szCs w:val="20"/>
          <w:lang w:val="es-ES"/>
        </w:rPr>
        <w:t xml:space="preserve"> </w:t>
      </w:r>
      <w:r w:rsidRPr="00D57160">
        <w:rPr>
          <w:rFonts w:ascii="Verdana" w:eastAsia="Arial MT" w:hAnsi="Verdana" w:cs="Arial"/>
          <w:sz w:val="20"/>
          <w:szCs w:val="20"/>
          <w:lang w:val="es-ES"/>
        </w:rPr>
        <w:t>mes</w:t>
      </w:r>
      <w:r w:rsidRPr="00D57160">
        <w:rPr>
          <w:rFonts w:ascii="Verdana" w:eastAsia="Arial MT" w:hAnsi="Verdana" w:cs="Arial"/>
          <w:spacing w:val="1"/>
          <w:sz w:val="20"/>
          <w:szCs w:val="20"/>
          <w:lang w:val="es-ES"/>
        </w:rPr>
        <w:t xml:space="preserve"> </w:t>
      </w:r>
      <w:r w:rsidRPr="00D57160">
        <w:rPr>
          <w:rFonts w:ascii="Verdana" w:eastAsia="Arial MT" w:hAnsi="Verdana" w:cs="Arial"/>
          <w:sz w:val="20"/>
          <w:szCs w:val="20"/>
          <w:lang w:val="es-ES"/>
        </w:rPr>
        <w:t>de</w:t>
      </w:r>
      <w:r w:rsidRPr="00D57160">
        <w:rPr>
          <w:rFonts w:ascii="Verdana" w:eastAsia="Arial MT" w:hAnsi="Verdana" w:cs="Arial"/>
          <w:spacing w:val="1"/>
          <w:sz w:val="20"/>
          <w:szCs w:val="20"/>
          <w:lang w:val="es-ES"/>
        </w:rPr>
        <w:t xml:space="preserve"> </w:t>
      </w:r>
      <w:r w:rsidRPr="00D57160">
        <w:rPr>
          <w:rFonts w:ascii="Verdana" w:eastAsia="Arial MT" w:hAnsi="Verdana" w:cs="Arial"/>
          <w:sz w:val="20"/>
          <w:szCs w:val="20"/>
          <w:lang w:val="es-ES"/>
        </w:rPr>
        <w:t>abril.</w:t>
      </w:r>
      <w:r w:rsidRPr="00D57160">
        <w:rPr>
          <w:rFonts w:ascii="Verdana" w:eastAsia="Arial MT" w:hAnsi="Verdana" w:cs="Arial"/>
          <w:spacing w:val="1"/>
          <w:sz w:val="20"/>
          <w:szCs w:val="20"/>
          <w:lang w:val="es-ES"/>
        </w:rPr>
        <w:t xml:space="preserve"> </w:t>
      </w:r>
      <w:r w:rsidRPr="00D57160">
        <w:rPr>
          <w:rFonts w:ascii="Verdana" w:eastAsia="Arial MT" w:hAnsi="Verdana" w:cs="Arial"/>
          <w:sz w:val="20"/>
          <w:szCs w:val="20"/>
          <w:lang w:val="es-ES"/>
        </w:rPr>
        <w:t>En</w:t>
      </w:r>
      <w:r w:rsidRPr="00D57160">
        <w:rPr>
          <w:rFonts w:ascii="Verdana" w:eastAsia="Arial MT" w:hAnsi="Verdana" w:cs="Arial"/>
          <w:spacing w:val="1"/>
          <w:sz w:val="20"/>
          <w:szCs w:val="20"/>
          <w:lang w:val="es-ES"/>
        </w:rPr>
        <w:t xml:space="preserve"> </w:t>
      </w:r>
      <w:r w:rsidRPr="00D57160">
        <w:rPr>
          <w:rFonts w:ascii="Verdana" w:eastAsia="Arial MT" w:hAnsi="Verdana" w:cs="Arial"/>
          <w:sz w:val="20"/>
          <w:szCs w:val="20"/>
          <w:lang w:val="es-ES"/>
        </w:rPr>
        <w:t>defecto,</w:t>
      </w:r>
      <w:r w:rsidRPr="00D57160">
        <w:rPr>
          <w:rFonts w:ascii="Verdana" w:eastAsia="Arial MT" w:hAnsi="Verdana" w:cs="Arial"/>
          <w:spacing w:val="1"/>
          <w:sz w:val="20"/>
          <w:szCs w:val="20"/>
          <w:lang w:val="es-ES"/>
        </w:rPr>
        <w:t xml:space="preserve"> </w:t>
      </w:r>
      <w:r w:rsidRPr="00D57160">
        <w:rPr>
          <w:rFonts w:ascii="Verdana" w:eastAsia="Arial MT" w:hAnsi="Verdana" w:cs="Arial"/>
          <w:sz w:val="20"/>
          <w:szCs w:val="20"/>
          <w:lang w:val="es-ES"/>
        </w:rPr>
        <w:t>la</w:t>
      </w:r>
      <w:r w:rsidRPr="00D57160">
        <w:rPr>
          <w:rFonts w:ascii="Verdana" w:eastAsia="Arial MT" w:hAnsi="Verdana" w:cs="Arial"/>
          <w:spacing w:val="1"/>
          <w:sz w:val="20"/>
          <w:szCs w:val="20"/>
          <w:lang w:val="es-ES"/>
        </w:rPr>
        <w:t xml:space="preserve"> </w:t>
      </w:r>
      <w:r w:rsidRPr="00D57160">
        <w:rPr>
          <w:rFonts w:ascii="Verdana" w:eastAsia="Arial MT" w:hAnsi="Verdana" w:cs="Arial"/>
          <w:sz w:val="20"/>
          <w:szCs w:val="20"/>
          <w:lang w:val="es-ES"/>
        </w:rPr>
        <w:t>disposición</w:t>
      </w:r>
      <w:r w:rsidRPr="00D57160">
        <w:rPr>
          <w:rFonts w:ascii="Verdana" w:eastAsia="Arial MT" w:hAnsi="Verdana" w:cs="Arial"/>
          <w:spacing w:val="1"/>
          <w:sz w:val="20"/>
          <w:szCs w:val="20"/>
          <w:lang w:val="es-ES"/>
        </w:rPr>
        <w:t xml:space="preserve"> </w:t>
      </w:r>
      <w:r w:rsidRPr="00D57160">
        <w:rPr>
          <w:rFonts w:ascii="Verdana" w:eastAsia="Arial MT" w:hAnsi="Verdana" w:cs="Arial"/>
          <w:sz w:val="20"/>
          <w:szCs w:val="20"/>
          <w:lang w:val="es-ES"/>
        </w:rPr>
        <w:t>reglamentaria establece como consecuencia la cesación de los efectos del</w:t>
      </w:r>
      <w:r w:rsidRPr="00D57160">
        <w:rPr>
          <w:rFonts w:ascii="Verdana" w:eastAsia="Arial MT" w:hAnsi="Verdana" w:cs="Arial"/>
          <w:spacing w:val="1"/>
          <w:sz w:val="20"/>
          <w:szCs w:val="20"/>
          <w:lang w:val="es-ES"/>
        </w:rPr>
        <w:t xml:space="preserve"> </w:t>
      </w:r>
      <w:r w:rsidRPr="00D57160">
        <w:rPr>
          <w:rFonts w:ascii="Verdana" w:eastAsia="Arial MT" w:hAnsi="Verdana" w:cs="Arial"/>
          <w:sz w:val="20"/>
          <w:szCs w:val="20"/>
          <w:lang w:val="es-ES"/>
        </w:rPr>
        <w:t>RUP.</w:t>
      </w:r>
    </w:p>
    <w:p w14:paraId="43721680" w14:textId="77777777" w:rsidR="0064326F" w:rsidRDefault="0064326F" w:rsidP="0064326F">
      <w:pPr>
        <w:widowControl w:val="0"/>
        <w:autoSpaceDE w:val="0"/>
        <w:autoSpaceDN w:val="0"/>
        <w:ind w:left="709" w:right="709"/>
        <w:contextualSpacing/>
        <w:jc w:val="both"/>
        <w:rPr>
          <w:rFonts w:ascii="Verdana" w:eastAsia="Arial MT" w:hAnsi="Verdana" w:cs="Arial"/>
          <w:sz w:val="20"/>
          <w:szCs w:val="20"/>
          <w:lang w:val="es-ES"/>
        </w:rPr>
      </w:pPr>
    </w:p>
    <w:p w14:paraId="0AD604D8" w14:textId="77777777" w:rsidR="0064326F" w:rsidRPr="00D57160" w:rsidRDefault="0064326F" w:rsidP="0064326F">
      <w:pPr>
        <w:widowControl w:val="0"/>
        <w:autoSpaceDE w:val="0"/>
        <w:autoSpaceDN w:val="0"/>
        <w:ind w:left="709" w:right="709"/>
        <w:contextualSpacing/>
        <w:jc w:val="both"/>
        <w:rPr>
          <w:rFonts w:ascii="Verdana" w:eastAsia="Arial MT" w:hAnsi="Verdana" w:cs="Arial"/>
          <w:sz w:val="20"/>
          <w:szCs w:val="20"/>
          <w:lang w:val="es-ES"/>
        </w:rPr>
      </w:pPr>
      <w:r w:rsidRPr="00D57160">
        <w:rPr>
          <w:rFonts w:ascii="Verdana" w:eastAsia="Arial MT" w:hAnsi="Verdana" w:cs="Arial"/>
          <w:sz w:val="20"/>
          <w:szCs w:val="20"/>
          <w:lang w:val="es-ES"/>
        </w:rPr>
        <w:t>Ante ese panorama, el incumplimiento del deber de renovar el RUP en el</w:t>
      </w:r>
      <w:r w:rsidRPr="00D57160">
        <w:rPr>
          <w:rFonts w:ascii="Verdana" w:eastAsia="Arial MT" w:hAnsi="Verdana" w:cs="Arial"/>
          <w:spacing w:val="1"/>
          <w:sz w:val="20"/>
          <w:szCs w:val="20"/>
          <w:lang w:val="es-ES"/>
        </w:rPr>
        <w:t xml:space="preserve"> </w:t>
      </w:r>
      <w:r w:rsidRPr="00D57160">
        <w:rPr>
          <w:rFonts w:ascii="Verdana" w:eastAsia="Arial MT" w:hAnsi="Verdana" w:cs="Arial"/>
          <w:sz w:val="20"/>
          <w:szCs w:val="20"/>
          <w:lang w:val="es-ES"/>
        </w:rPr>
        <w:t>período trae como consecuencia la cesación de efectos respecto de la</w:t>
      </w:r>
      <w:r w:rsidRPr="00D57160">
        <w:rPr>
          <w:rFonts w:ascii="Verdana" w:eastAsia="Arial MT" w:hAnsi="Verdana" w:cs="Arial"/>
          <w:spacing w:val="1"/>
          <w:sz w:val="20"/>
          <w:szCs w:val="20"/>
          <w:lang w:val="es-ES"/>
        </w:rPr>
        <w:t xml:space="preserve"> </w:t>
      </w:r>
      <w:r w:rsidRPr="00D57160">
        <w:rPr>
          <w:rFonts w:ascii="Verdana" w:eastAsia="Arial MT" w:hAnsi="Verdana" w:cs="Arial"/>
          <w:sz w:val="20"/>
          <w:szCs w:val="20"/>
          <w:lang w:val="es-ES"/>
        </w:rPr>
        <w:t>información</w:t>
      </w:r>
      <w:r w:rsidRPr="00D57160">
        <w:rPr>
          <w:rFonts w:ascii="Verdana" w:eastAsia="Arial MT" w:hAnsi="Verdana" w:cs="Arial"/>
          <w:spacing w:val="-8"/>
          <w:sz w:val="20"/>
          <w:szCs w:val="20"/>
          <w:lang w:val="es-ES"/>
        </w:rPr>
        <w:t xml:space="preserve"> </w:t>
      </w:r>
      <w:r w:rsidRPr="00D57160">
        <w:rPr>
          <w:rFonts w:ascii="Verdana" w:eastAsia="Arial MT" w:hAnsi="Verdana" w:cs="Arial"/>
          <w:sz w:val="20"/>
          <w:szCs w:val="20"/>
          <w:lang w:val="es-ES"/>
        </w:rPr>
        <w:t>certificada</w:t>
      </w:r>
      <w:r w:rsidRPr="00D57160">
        <w:rPr>
          <w:rFonts w:ascii="Verdana" w:eastAsia="Arial MT" w:hAnsi="Verdana" w:cs="Arial"/>
          <w:spacing w:val="-8"/>
          <w:sz w:val="20"/>
          <w:szCs w:val="20"/>
          <w:lang w:val="es-ES"/>
        </w:rPr>
        <w:t xml:space="preserve"> </w:t>
      </w:r>
      <w:r w:rsidRPr="00D57160">
        <w:rPr>
          <w:rFonts w:ascii="Verdana" w:eastAsia="Arial MT" w:hAnsi="Verdana" w:cs="Arial"/>
          <w:sz w:val="20"/>
          <w:szCs w:val="20"/>
          <w:lang w:val="es-ES"/>
        </w:rPr>
        <w:t>en</w:t>
      </w:r>
      <w:r w:rsidRPr="00D57160">
        <w:rPr>
          <w:rFonts w:ascii="Verdana" w:eastAsia="Arial MT" w:hAnsi="Verdana" w:cs="Arial"/>
          <w:spacing w:val="-9"/>
          <w:sz w:val="20"/>
          <w:szCs w:val="20"/>
          <w:lang w:val="es-ES"/>
        </w:rPr>
        <w:t xml:space="preserve"> </w:t>
      </w:r>
      <w:r w:rsidRPr="00D57160">
        <w:rPr>
          <w:rFonts w:ascii="Verdana" w:eastAsia="Arial MT" w:hAnsi="Verdana" w:cs="Arial"/>
          <w:sz w:val="20"/>
          <w:szCs w:val="20"/>
          <w:lang w:val="es-ES"/>
        </w:rPr>
        <w:t>ese</w:t>
      </w:r>
      <w:r w:rsidRPr="00D57160">
        <w:rPr>
          <w:rFonts w:ascii="Verdana" w:eastAsia="Arial MT" w:hAnsi="Verdana" w:cs="Arial"/>
          <w:spacing w:val="-8"/>
          <w:sz w:val="20"/>
          <w:szCs w:val="20"/>
          <w:lang w:val="es-ES"/>
        </w:rPr>
        <w:t xml:space="preserve"> </w:t>
      </w:r>
      <w:r w:rsidRPr="00D57160">
        <w:rPr>
          <w:rFonts w:ascii="Verdana" w:eastAsia="Arial MT" w:hAnsi="Verdana" w:cs="Arial"/>
          <w:sz w:val="20"/>
          <w:szCs w:val="20"/>
          <w:lang w:val="es-ES"/>
        </w:rPr>
        <w:t>documento</w:t>
      </w:r>
      <w:r w:rsidRPr="00D57160">
        <w:rPr>
          <w:rFonts w:ascii="Verdana" w:eastAsia="Arial MT" w:hAnsi="Verdana" w:cs="Arial"/>
          <w:spacing w:val="-9"/>
          <w:sz w:val="20"/>
          <w:szCs w:val="20"/>
          <w:lang w:val="es-ES"/>
        </w:rPr>
        <w:t xml:space="preserve"> </w:t>
      </w:r>
      <w:r w:rsidRPr="00D57160">
        <w:rPr>
          <w:rFonts w:ascii="Verdana" w:eastAsia="Arial MT" w:hAnsi="Verdana" w:cs="Arial"/>
          <w:sz w:val="20"/>
          <w:szCs w:val="20"/>
          <w:lang w:val="es-ES"/>
        </w:rPr>
        <w:t>y,</w:t>
      </w:r>
      <w:r w:rsidRPr="00D57160">
        <w:rPr>
          <w:rFonts w:ascii="Verdana" w:eastAsia="Arial MT" w:hAnsi="Verdana" w:cs="Arial"/>
          <w:spacing w:val="-8"/>
          <w:sz w:val="20"/>
          <w:szCs w:val="20"/>
          <w:lang w:val="es-ES"/>
        </w:rPr>
        <w:t xml:space="preserve"> </w:t>
      </w:r>
      <w:r w:rsidRPr="00D57160">
        <w:rPr>
          <w:rFonts w:ascii="Verdana" w:eastAsia="Arial MT" w:hAnsi="Verdana" w:cs="Arial"/>
          <w:sz w:val="20"/>
          <w:szCs w:val="20"/>
          <w:lang w:val="es-ES"/>
        </w:rPr>
        <w:t>por</w:t>
      </w:r>
      <w:r w:rsidRPr="00D57160">
        <w:rPr>
          <w:rFonts w:ascii="Verdana" w:eastAsia="Arial MT" w:hAnsi="Verdana" w:cs="Arial"/>
          <w:spacing w:val="-9"/>
          <w:sz w:val="20"/>
          <w:szCs w:val="20"/>
          <w:lang w:val="es-ES"/>
        </w:rPr>
        <w:t xml:space="preserve"> </w:t>
      </w:r>
      <w:r w:rsidRPr="00D57160">
        <w:rPr>
          <w:rFonts w:ascii="Verdana" w:eastAsia="Arial MT" w:hAnsi="Verdana" w:cs="Arial"/>
          <w:sz w:val="20"/>
          <w:szCs w:val="20"/>
          <w:lang w:val="es-ES"/>
        </w:rPr>
        <w:t>contera,</w:t>
      </w:r>
      <w:r w:rsidRPr="00D57160">
        <w:rPr>
          <w:rFonts w:ascii="Verdana" w:eastAsia="Arial MT" w:hAnsi="Verdana" w:cs="Arial"/>
          <w:spacing w:val="-8"/>
          <w:sz w:val="20"/>
          <w:szCs w:val="20"/>
          <w:lang w:val="es-ES"/>
        </w:rPr>
        <w:t xml:space="preserve"> </w:t>
      </w:r>
      <w:r w:rsidRPr="00D57160">
        <w:rPr>
          <w:rFonts w:ascii="Verdana" w:eastAsia="Arial MT" w:hAnsi="Verdana" w:cs="Arial"/>
          <w:sz w:val="20"/>
          <w:szCs w:val="20"/>
          <w:lang w:val="es-ES"/>
        </w:rPr>
        <w:t>la</w:t>
      </w:r>
      <w:r w:rsidRPr="00D57160">
        <w:rPr>
          <w:rFonts w:ascii="Verdana" w:eastAsia="Arial MT" w:hAnsi="Verdana" w:cs="Arial"/>
          <w:spacing w:val="-9"/>
          <w:sz w:val="20"/>
          <w:szCs w:val="20"/>
          <w:lang w:val="es-ES"/>
        </w:rPr>
        <w:t xml:space="preserve"> </w:t>
      </w:r>
      <w:r w:rsidRPr="00D57160">
        <w:rPr>
          <w:rFonts w:ascii="Verdana" w:eastAsia="Arial MT" w:hAnsi="Verdana" w:cs="Arial"/>
          <w:sz w:val="20"/>
          <w:szCs w:val="20"/>
          <w:lang w:val="es-ES"/>
        </w:rPr>
        <w:t>falta</w:t>
      </w:r>
      <w:r w:rsidRPr="00D57160">
        <w:rPr>
          <w:rFonts w:ascii="Verdana" w:eastAsia="Arial MT" w:hAnsi="Verdana" w:cs="Arial"/>
          <w:spacing w:val="-7"/>
          <w:sz w:val="20"/>
          <w:szCs w:val="20"/>
          <w:lang w:val="es-ES"/>
        </w:rPr>
        <w:t xml:space="preserve"> </w:t>
      </w:r>
      <w:r w:rsidRPr="00D57160">
        <w:rPr>
          <w:rFonts w:ascii="Verdana" w:eastAsia="Arial MT" w:hAnsi="Verdana" w:cs="Arial"/>
          <w:sz w:val="20"/>
          <w:szCs w:val="20"/>
          <w:lang w:val="es-ES"/>
        </w:rPr>
        <w:t>de vocación como</w:t>
      </w:r>
      <w:r w:rsidRPr="00D57160">
        <w:rPr>
          <w:rFonts w:ascii="Verdana" w:eastAsia="Arial MT" w:hAnsi="Verdana" w:cs="Arial"/>
          <w:spacing w:val="-9"/>
          <w:sz w:val="20"/>
          <w:szCs w:val="20"/>
          <w:lang w:val="es-ES"/>
        </w:rPr>
        <w:t xml:space="preserve"> </w:t>
      </w:r>
      <w:r w:rsidRPr="00D57160">
        <w:rPr>
          <w:rFonts w:ascii="Verdana" w:eastAsia="Arial MT" w:hAnsi="Verdana" w:cs="Arial"/>
          <w:sz w:val="20"/>
          <w:szCs w:val="20"/>
          <w:lang w:val="es-ES"/>
        </w:rPr>
        <w:t>plena</w:t>
      </w:r>
      <w:r w:rsidRPr="00D57160">
        <w:rPr>
          <w:rFonts w:ascii="Verdana" w:eastAsia="Arial MT" w:hAnsi="Verdana" w:cs="Arial"/>
          <w:spacing w:val="1"/>
          <w:sz w:val="20"/>
          <w:szCs w:val="20"/>
          <w:lang w:val="es-ES"/>
        </w:rPr>
        <w:t xml:space="preserve"> </w:t>
      </w:r>
      <w:r w:rsidRPr="00D57160">
        <w:rPr>
          <w:rFonts w:ascii="Verdana" w:eastAsia="Arial MT" w:hAnsi="Verdana" w:cs="Arial"/>
          <w:sz w:val="20"/>
          <w:szCs w:val="20"/>
          <w:lang w:val="es-ES"/>
        </w:rPr>
        <w:t>prueba</w:t>
      </w:r>
      <w:r w:rsidRPr="00D57160">
        <w:rPr>
          <w:rFonts w:ascii="Verdana" w:eastAsia="Arial MT" w:hAnsi="Verdana" w:cs="Arial"/>
          <w:spacing w:val="1"/>
          <w:sz w:val="20"/>
          <w:szCs w:val="20"/>
          <w:lang w:val="es-ES"/>
        </w:rPr>
        <w:t xml:space="preserve"> </w:t>
      </w:r>
      <w:r w:rsidRPr="00D57160">
        <w:rPr>
          <w:rFonts w:ascii="Verdana" w:eastAsia="Arial MT" w:hAnsi="Verdana" w:cs="Arial"/>
          <w:sz w:val="20"/>
          <w:szCs w:val="20"/>
          <w:lang w:val="es-ES"/>
        </w:rPr>
        <w:t>para</w:t>
      </w:r>
      <w:r w:rsidRPr="00D57160">
        <w:rPr>
          <w:rFonts w:ascii="Verdana" w:eastAsia="Arial MT" w:hAnsi="Verdana" w:cs="Arial"/>
          <w:spacing w:val="1"/>
          <w:sz w:val="20"/>
          <w:szCs w:val="20"/>
          <w:lang w:val="es-ES"/>
        </w:rPr>
        <w:t xml:space="preserve"> </w:t>
      </w:r>
      <w:r w:rsidRPr="00D57160">
        <w:rPr>
          <w:rFonts w:ascii="Verdana" w:eastAsia="Arial MT" w:hAnsi="Verdana" w:cs="Arial"/>
          <w:sz w:val="20"/>
          <w:szCs w:val="20"/>
          <w:lang w:val="es-ES"/>
        </w:rPr>
        <w:t>acreditar</w:t>
      </w:r>
      <w:r w:rsidRPr="00D57160">
        <w:rPr>
          <w:rFonts w:ascii="Verdana" w:eastAsia="Arial MT" w:hAnsi="Verdana" w:cs="Arial"/>
          <w:spacing w:val="1"/>
          <w:sz w:val="20"/>
          <w:szCs w:val="20"/>
          <w:lang w:val="es-ES"/>
        </w:rPr>
        <w:t xml:space="preserve"> </w:t>
      </w:r>
      <w:r w:rsidRPr="00D57160">
        <w:rPr>
          <w:rFonts w:ascii="Verdana" w:eastAsia="Arial MT" w:hAnsi="Verdana" w:cs="Arial"/>
          <w:sz w:val="20"/>
          <w:szCs w:val="20"/>
          <w:lang w:val="es-ES"/>
        </w:rPr>
        <w:t>el</w:t>
      </w:r>
      <w:r w:rsidRPr="00D57160">
        <w:rPr>
          <w:rFonts w:ascii="Verdana" w:eastAsia="Arial MT" w:hAnsi="Verdana" w:cs="Arial"/>
          <w:spacing w:val="1"/>
          <w:sz w:val="20"/>
          <w:szCs w:val="20"/>
          <w:lang w:val="es-ES"/>
        </w:rPr>
        <w:t xml:space="preserve"> </w:t>
      </w:r>
      <w:r w:rsidRPr="00D57160">
        <w:rPr>
          <w:rFonts w:ascii="Verdana" w:eastAsia="Arial MT" w:hAnsi="Verdana" w:cs="Arial"/>
          <w:sz w:val="20"/>
          <w:szCs w:val="20"/>
          <w:lang w:val="es-ES"/>
        </w:rPr>
        <w:t>cumplimiento</w:t>
      </w:r>
      <w:r w:rsidRPr="00D57160">
        <w:rPr>
          <w:rFonts w:ascii="Verdana" w:eastAsia="Arial MT" w:hAnsi="Verdana" w:cs="Arial"/>
          <w:spacing w:val="1"/>
          <w:sz w:val="20"/>
          <w:szCs w:val="20"/>
          <w:lang w:val="es-ES"/>
        </w:rPr>
        <w:t xml:space="preserve"> </w:t>
      </w:r>
      <w:r w:rsidRPr="00D57160">
        <w:rPr>
          <w:rFonts w:ascii="Verdana" w:eastAsia="Arial MT" w:hAnsi="Verdana" w:cs="Arial"/>
          <w:sz w:val="20"/>
          <w:szCs w:val="20"/>
          <w:lang w:val="es-ES"/>
        </w:rPr>
        <w:t>de</w:t>
      </w:r>
      <w:r w:rsidRPr="00D57160">
        <w:rPr>
          <w:rFonts w:ascii="Verdana" w:eastAsia="Arial MT" w:hAnsi="Verdana" w:cs="Arial"/>
          <w:spacing w:val="1"/>
          <w:sz w:val="20"/>
          <w:szCs w:val="20"/>
          <w:lang w:val="es-ES"/>
        </w:rPr>
        <w:t xml:space="preserve"> </w:t>
      </w:r>
      <w:r w:rsidRPr="00D57160">
        <w:rPr>
          <w:rFonts w:ascii="Verdana" w:eastAsia="Arial MT" w:hAnsi="Verdana" w:cs="Arial"/>
          <w:sz w:val="20"/>
          <w:szCs w:val="20"/>
          <w:lang w:val="es-ES"/>
        </w:rPr>
        <w:t>los</w:t>
      </w:r>
      <w:r w:rsidRPr="00D57160">
        <w:rPr>
          <w:rFonts w:ascii="Verdana" w:eastAsia="Arial MT" w:hAnsi="Verdana" w:cs="Arial"/>
          <w:spacing w:val="1"/>
          <w:sz w:val="20"/>
          <w:szCs w:val="20"/>
          <w:lang w:val="es-ES"/>
        </w:rPr>
        <w:t xml:space="preserve"> </w:t>
      </w:r>
      <w:r w:rsidRPr="00D57160">
        <w:rPr>
          <w:rFonts w:ascii="Verdana" w:eastAsia="Arial MT" w:hAnsi="Verdana" w:cs="Arial"/>
          <w:sz w:val="20"/>
          <w:szCs w:val="20"/>
          <w:lang w:val="es-ES"/>
        </w:rPr>
        <w:t>requisitos</w:t>
      </w:r>
      <w:r w:rsidRPr="00D57160">
        <w:rPr>
          <w:rFonts w:ascii="Verdana" w:eastAsia="Arial MT" w:hAnsi="Verdana" w:cs="Arial"/>
          <w:spacing w:val="1"/>
          <w:sz w:val="20"/>
          <w:szCs w:val="20"/>
          <w:lang w:val="es-ES"/>
        </w:rPr>
        <w:t xml:space="preserve"> </w:t>
      </w:r>
      <w:r w:rsidRPr="00D57160">
        <w:rPr>
          <w:rFonts w:ascii="Verdana" w:eastAsia="Arial MT" w:hAnsi="Verdana" w:cs="Arial"/>
          <w:sz w:val="20"/>
          <w:szCs w:val="20"/>
          <w:lang w:val="es-ES"/>
        </w:rPr>
        <w:t>habilitantes del proponente, anomalía que en manera alguna se sanea o</w:t>
      </w:r>
      <w:r w:rsidRPr="00D57160">
        <w:rPr>
          <w:rFonts w:ascii="Verdana" w:eastAsia="Arial MT" w:hAnsi="Verdana" w:cs="Arial"/>
          <w:spacing w:val="1"/>
          <w:sz w:val="20"/>
          <w:szCs w:val="20"/>
          <w:lang w:val="es-ES"/>
        </w:rPr>
        <w:t xml:space="preserve"> </w:t>
      </w:r>
      <w:r w:rsidRPr="00D57160">
        <w:rPr>
          <w:rFonts w:ascii="Verdana" w:eastAsia="Arial MT" w:hAnsi="Verdana" w:cs="Arial"/>
          <w:sz w:val="20"/>
          <w:szCs w:val="20"/>
          <w:lang w:val="es-ES"/>
        </w:rPr>
        <w:t>convalida</w:t>
      </w:r>
      <w:r w:rsidRPr="00D57160">
        <w:rPr>
          <w:rFonts w:ascii="Verdana" w:eastAsia="Arial MT" w:hAnsi="Verdana" w:cs="Arial"/>
          <w:spacing w:val="1"/>
          <w:sz w:val="20"/>
          <w:szCs w:val="20"/>
          <w:lang w:val="es-ES"/>
        </w:rPr>
        <w:t xml:space="preserve"> </w:t>
      </w:r>
      <w:r w:rsidRPr="00D57160">
        <w:rPr>
          <w:rFonts w:ascii="Verdana" w:eastAsia="Arial MT" w:hAnsi="Verdana" w:cs="Arial"/>
          <w:sz w:val="20"/>
          <w:szCs w:val="20"/>
          <w:lang w:val="es-ES"/>
        </w:rPr>
        <w:t>por</w:t>
      </w:r>
      <w:r w:rsidRPr="00D57160">
        <w:rPr>
          <w:rFonts w:ascii="Verdana" w:eastAsia="Arial MT" w:hAnsi="Verdana" w:cs="Arial"/>
          <w:spacing w:val="1"/>
          <w:sz w:val="20"/>
          <w:szCs w:val="20"/>
          <w:lang w:val="es-ES"/>
        </w:rPr>
        <w:t xml:space="preserve"> </w:t>
      </w:r>
      <w:r w:rsidRPr="00D57160">
        <w:rPr>
          <w:rFonts w:ascii="Verdana" w:eastAsia="Arial MT" w:hAnsi="Verdana" w:cs="Arial"/>
          <w:sz w:val="20"/>
          <w:szCs w:val="20"/>
          <w:lang w:val="es-ES"/>
        </w:rPr>
        <w:t>el</w:t>
      </w:r>
      <w:r w:rsidRPr="00D57160">
        <w:rPr>
          <w:rFonts w:ascii="Verdana" w:eastAsia="Arial MT" w:hAnsi="Verdana" w:cs="Arial"/>
          <w:spacing w:val="1"/>
          <w:sz w:val="20"/>
          <w:szCs w:val="20"/>
          <w:lang w:val="es-ES"/>
        </w:rPr>
        <w:t xml:space="preserve"> </w:t>
      </w:r>
      <w:r w:rsidRPr="00D57160">
        <w:rPr>
          <w:rFonts w:ascii="Verdana" w:eastAsia="Arial MT" w:hAnsi="Verdana" w:cs="Arial"/>
          <w:sz w:val="20"/>
          <w:szCs w:val="20"/>
          <w:lang w:val="es-ES"/>
        </w:rPr>
        <w:t>hecho</w:t>
      </w:r>
      <w:r w:rsidRPr="00D57160">
        <w:rPr>
          <w:rFonts w:ascii="Verdana" w:eastAsia="Arial MT" w:hAnsi="Verdana" w:cs="Arial"/>
          <w:spacing w:val="1"/>
          <w:sz w:val="20"/>
          <w:szCs w:val="20"/>
          <w:lang w:val="es-ES"/>
        </w:rPr>
        <w:t xml:space="preserve"> </w:t>
      </w:r>
      <w:r w:rsidRPr="00D57160">
        <w:rPr>
          <w:rFonts w:ascii="Verdana" w:eastAsia="Arial MT" w:hAnsi="Verdana" w:cs="Arial"/>
          <w:sz w:val="20"/>
          <w:szCs w:val="20"/>
          <w:lang w:val="es-ES"/>
        </w:rPr>
        <w:t>de</w:t>
      </w:r>
      <w:r w:rsidRPr="00D57160">
        <w:rPr>
          <w:rFonts w:ascii="Verdana" w:eastAsia="Arial MT" w:hAnsi="Verdana" w:cs="Arial"/>
          <w:spacing w:val="1"/>
          <w:sz w:val="20"/>
          <w:szCs w:val="20"/>
          <w:lang w:val="es-ES"/>
        </w:rPr>
        <w:t xml:space="preserve"> </w:t>
      </w:r>
      <w:r w:rsidRPr="00D57160">
        <w:rPr>
          <w:rFonts w:ascii="Verdana" w:eastAsia="Arial MT" w:hAnsi="Verdana" w:cs="Arial"/>
          <w:sz w:val="20"/>
          <w:szCs w:val="20"/>
          <w:lang w:val="es-ES"/>
        </w:rPr>
        <w:t>realizar</w:t>
      </w:r>
      <w:r w:rsidRPr="00D57160">
        <w:rPr>
          <w:rFonts w:ascii="Verdana" w:eastAsia="Arial MT" w:hAnsi="Verdana" w:cs="Arial"/>
          <w:spacing w:val="1"/>
          <w:sz w:val="20"/>
          <w:szCs w:val="20"/>
          <w:lang w:val="es-ES"/>
        </w:rPr>
        <w:t xml:space="preserve"> </w:t>
      </w:r>
      <w:r w:rsidRPr="00D57160">
        <w:rPr>
          <w:rFonts w:ascii="Verdana" w:eastAsia="Arial MT" w:hAnsi="Verdana" w:cs="Arial"/>
          <w:sz w:val="20"/>
          <w:szCs w:val="20"/>
          <w:lang w:val="es-ES"/>
        </w:rPr>
        <w:t>una</w:t>
      </w:r>
      <w:r w:rsidRPr="00D57160">
        <w:rPr>
          <w:rFonts w:ascii="Verdana" w:eastAsia="Arial MT" w:hAnsi="Verdana" w:cs="Arial"/>
          <w:spacing w:val="1"/>
          <w:sz w:val="20"/>
          <w:szCs w:val="20"/>
          <w:lang w:val="es-ES"/>
        </w:rPr>
        <w:t xml:space="preserve"> </w:t>
      </w:r>
      <w:r w:rsidRPr="00D57160">
        <w:rPr>
          <w:rFonts w:ascii="Verdana" w:eastAsia="Arial MT" w:hAnsi="Verdana" w:cs="Arial"/>
          <w:sz w:val="20"/>
          <w:szCs w:val="20"/>
          <w:lang w:val="es-ES"/>
        </w:rPr>
        <w:t>renovación</w:t>
      </w:r>
      <w:r w:rsidRPr="00D57160">
        <w:rPr>
          <w:rFonts w:ascii="Verdana" w:eastAsia="Arial MT" w:hAnsi="Verdana" w:cs="Arial"/>
          <w:spacing w:val="1"/>
          <w:sz w:val="20"/>
          <w:szCs w:val="20"/>
          <w:lang w:val="es-ES"/>
        </w:rPr>
        <w:t xml:space="preserve"> </w:t>
      </w:r>
      <w:r w:rsidRPr="00D57160">
        <w:rPr>
          <w:rFonts w:ascii="Verdana" w:eastAsia="Arial MT" w:hAnsi="Verdana" w:cs="Arial"/>
          <w:sz w:val="20"/>
          <w:szCs w:val="20"/>
          <w:lang w:val="es-ES"/>
        </w:rPr>
        <w:t>por</w:t>
      </w:r>
      <w:r w:rsidRPr="00D57160">
        <w:rPr>
          <w:rFonts w:ascii="Verdana" w:eastAsia="Arial MT" w:hAnsi="Verdana" w:cs="Arial"/>
          <w:spacing w:val="1"/>
          <w:sz w:val="20"/>
          <w:szCs w:val="20"/>
          <w:lang w:val="es-ES"/>
        </w:rPr>
        <w:t xml:space="preserve"> </w:t>
      </w:r>
      <w:r w:rsidRPr="00D57160">
        <w:rPr>
          <w:rFonts w:ascii="Verdana" w:eastAsia="Arial MT" w:hAnsi="Verdana" w:cs="Arial"/>
          <w:sz w:val="20"/>
          <w:szCs w:val="20"/>
          <w:lang w:val="es-ES"/>
        </w:rPr>
        <w:t>fuera</w:t>
      </w:r>
      <w:r w:rsidRPr="00D57160">
        <w:rPr>
          <w:rFonts w:ascii="Verdana" w:eastAsia="Arial MT" w:hAnsi="Verdana" w:cs="Arial"/>
          <w:spacing w:val="1"/>
          <w:sz w:val="20"/>
          <w:szCs w:val="20"/>
          <w:lang w:val="es-ES"/>
        </w:rPr>
        <w:t xml:space="preserve"> </w:t>
      </w:r>
      <w:r w:rsidRPr="00D57160">
        <w:rPr>
          <w:rFonts w:ascii="Verdana" w:eastAsia="Arial MT" w:hAnsi="Verdana" w:cs="Arial"/>
          <w:sz w:val="20"/>
          <w:szCs w:val="20"/>
          <w:lang w:val="es-ES"/>
        </w:rPr>
        <w:t>del</w:t>
      </w:r>
      <w:r w:rsidRPr="00D57160">
        <w:rPr>
          <w:rFonts w:ascii="Verdana" w:eastAsia="Arial MT" w:hAnsi="Verdana" w:cs="Arial"/>
          <w:spacing w:val="1"/>
          <w:sz w:val="20"/>
          <w:szCs w:val="20"/>
          <w:lang w:val="es-ES"/>
        </w:rPr>
        <w:t xml:space="preserve"> </w:t>
      </w:r>
      <w:r w:rsidRPr="00D57160">
        <w:rPr>
          <w:rFonts w:ascii="Verdana" w:eastAsia="Arial MT" w:hAnsi="Verdana" w:cs="Arial"/>
          <w:sz w:val="20"/>
          <w:szCs w:val="20"/>
          <w:lang w:val="es-ES"/>
        </w:rPr>
        <w:t xml:space="preserve">plazo reglamentado, en tanto no resulta jurídicamente admisible extender </w:t>
      </w:r>
      <w:r w:rsidRPr="00D57160">
        <w:rPr>
          <w:rFonts w:ascii="Verdana" w:eastAsia="Arial MT" w:hAnsi="Verdana" w:cs="Arial"/>
          <w:sz w:val="20"/>
          <w:szCs w:val="20"/>
          <w:lang w:val="es-ES"/>
        </w:rPr>
        <w:lastRenderedPageBreak/>
        <w:t>una</w:t>
      </w:r>
      <w:r w:rsidRPr="00D57160">
        <w:rPr>
          <w:rFonts w:ascii="Verdana" w:eastAsia="Arial MT" w:hAnsi="Verdana" w:cs="Arial"/>
          <w:spacing w:val="1"/>
          <w:sz w:val="20"/>
          <w:szCs w:val="20"/>
          <w:lang w:val="es-ES"/>
        </w:rPr>
        <w:t xml:space="preserve"> </w:t>
      </w:r>
      <w:r w:rsidRPr="00D57160">
        <w:rPr>
          <w:rFonts w:ascii="Verdana" w:eastAsia="Arial MT" w:hAnsi="Verdana" w:cs="Arial"/>
          <w:sz w:val="20"/>
          <w:szCs w:val="20"/>
          <w:lang w:val="es-ES"/>
        </w:rPr>
        <w:t>vigencia que por ministerio de la ley se encuentra vencida y cuyos efectos</w:t>
      </w:r>
      <w:r w:rsidRPr="00D57160">
        <w:rPr>
          <w:rFonts w:ascii="Verdana" w:eastAsia="Arial MT" w:hAnsi="Verdana" w:cs="Arial"/>
          <w:spacing w:val="1"/>
          <w:sz w:val="20"/>
          <w:szCs w:val="20"/>
          <w:lang w:val="es-ES"/>
        </w:rPr>
        <w:t xml:space="preserve"> </w:t>
      </w:r>
      <w:r w:rsidRPr="00D57160">
        <w:rPr>
          <w:rFonts w:ascii="Verdana" w:eastAsia="Arial MT" w:hAnsi="Verdana" w:cs="Arial"/>
          <w:sz w:val="20"/>
          <w:szCs w:val="20"/>
          <w:lang w:val="es-ES"/>
        </w:rPr>
        <w:t>cesaron,</w:t>
      </w:r>
      <w:r w:rsidRPr="00D57160">
        <w:rPr>
          <w:rFonts w:ascii="Verdana" w:eastAsia="Arial MT" w:hAnsi="Verdana" w:cs="Arial"/>
          <w:spacing w:val="-3"/>
          <w:sz w:val="20"/>
          <w:szCs w:val="20"/>
          <w:lang w:val="es-ES"/>
        </w:rPr>
        <w:t xml:space="preserve"> </w:t>
      </w:r>
      <w:r w:rsidRPr="00D57160">
        <w:rPr>
          <w:rFonts w:ascii="Verdana" w:eastAsia="Arial MT" w:hAnsi="Verdana" w:cs="Arial"/>
          <w:sz w:val="20"/>
          <w:szCs w:val="20"/>
          <w:lang w:val="es-ES"/>
        </w:rPr>
        <w:t>precisamente</w:t>
      </w:r>
      <w:r w:rsidRPr="00D57160">
        <w:rPr>
          <w:rFonts w:ascii="Verdana" w:eastAsia="Arial MT" w:hAnsi="Verdana" w:cs="Arial"/>
          <w:spacing w:val="-3"/>
          <w:sz w:val="20"/>
          <w:szCs w:val="20"/>
          <w:lang w:val="es-ES"/>
        </w:rPr>
        <w:t xml:space="preserve"> </w:t>
      </w:r>
      <w:r w:rsidRPr="00D57160">
        <w:rPr>
          <w:rFonts w:ascii="Verdana" w:eastAsia="Arial MT" w:hAnsi="Verdana" w:cs="Arial"/>
          <w:sz w:val="20"/>
          <w:szCs w:val="20"/>
          <w:lang w:val="es-ES"/>
        </w:rPr>
        <w:t>por</w:t>
      </w:r>
      <w:r w:rsidRPr="00D57160">
        <w:rPr>
          <w:rFonts w:ascii="Verdana" w:eastAsia="Arial MT" w:hAnsi="Verdana" w:cs="Arial"/>
          <w:spacing w:val="-3"/>
          <w:sz w:val="20"/>
          <w:szCs w:val="20"/>
          <w:lang w:val="es-ES"/>
        </w:rPr>
        <w:t xml:space="preserve"> </w:t>
      </w:r>
      <w:r w:rsidRPr="00D57160">
        <w:rPr>
          <w:rFonts w:ascii="Verdana" w:eastAsia="Arial MT" w:hAnsi="Verdana" w:cs="Arial"/>
          <w:sz w:val="20"/>
          <w:szCs w:val="20"/>
          <w:lang w:val="es-ES"/>
        </w:rPr>
        <w:t>no</w:t>
      </w:r>
      <w:r w:rsidRPr="00D57160">
        <w:rPr>
          <w:rFonts w:ascii="Verdana" w:eastAsia="Arial MT" w:hAnsi="Verdana" w:cs="Arial"/>
          <w:spacing w:val="-2"/>
          <w:sz w:val="20"/>
          <w:szCs w:val="20"/>
          <w:lang w:val="es-ES"/>
        </w:rPr>
        <w:t xml:space="preserve"> </w:t>
      </w:r>
      <w:r w:rsidRPr="00D57160">
        <w:rPr>
          <w:rFonts w:ascii="Verdana" w:eastAsia="Arial MT" w:hAnsi="Verdana" w:cs="Arial"/>
          <w:sz w:val="20"/>
          <w:szCs w:val="20"/>
          <w:lang w:val="es-ES"/>
        </w:rPr>
        <w:t>haberse</w:t>
      </w:r>
      <w:r w:rsidRPr="00D57160">
        <w:rPr>
          <w:rFonts w:ascii="Verdana" w:eastAsia="Arial MT" w:hAnsi="Verdana" w:cs="Arial"/>
          <w:spacing w:val="-3"/>
          <w:sz w:val="20"/>
          <w:szCs w:val="20"/>
          <w:lang w:val="es-ES"/>
        </w:rPr>
        <w:t xml:space="preserve"> </w:t>
      </w:r>
      <w:r w:rsidRPr="00D57160">
        <w:rPr>
          <w:rFonts w:ascii="Verdana" w:eastAsia="Arial MT" w:hAnsi="Verdana" w:cs="Arial"/>
          <w:sz w:val="20"/>
          <w:szCs w:val="20"/>
          <w:lang w:val="es-ES"/>
        </w:rPr>
        <w:t>renovado</w:t>
      </w:r>
      <w:r w:rsidRPr="00D57160">
        <w:rPr>
          <w:rFonts w:ascii="Verdana" w:eastAsia="Arial MT" w:hAnsi="Verdana" w:cs="Arial"/>
          <w:spacing w:val="-3"/>
          <w:sz w:val="20"/>
          <w:szCs w:val="20"/>
          <w:lang w:val="es-ES"/>
        </w:rPr>
        <w:t xml:space="preserve"> </w:t>
      </w:r>
      <w:r w:rsidRPr="00D57160">
        <w:rPr>
          <w:rFonts w:ascii="Verdana" w:eastAsia="Arial MT" w:hAnsi="Verdana" w:cs="Arial"/>
          <w:sz w:val="20"/>
          <w:szCs w:val="20"/>
          <w:lang w:val="es-ES"/>
        </w:rPr>
        <w:t>en</w:t>
      </w:r>
      <w:r w:rsidRPr="00D57160">
        <w:rPr>
          <w:rFonts w:ascii="Verdana" w:eastAsia="Arial MT" w:hAnsi="Verdana" w:cs="Arial"/>
          <w:spacing w:val="-2"/>
          <w:sz w:val="20"/>
          <w:szCs w:val="20"/>
          <w:lang w:val="es-ES"/>
        </w:rPr>
        <w:t xml:space="preserve"> </w:t>
      </w:r>
      <w:r w:rsidRPr="00D57160">
        <w:rPr>
          <w:rFonts w:ascii="Verdana" w:eastAsia="Arial MT" w:hAnsi="Verdana" w:cs="Arial"/>
          <w:sz w:val="20"/>
          <w:szCs w:val="20"/>
          <w:lang w:val="es-ES"/>
        </w:rPr>
        <w:t>el</w:t>
      </w:r>
      <w:r w:rsidRPr="00D57160">
        <w:rPr>
          <w:rFonts w:ascii="Verdana" w:eastAsia="Arial MT" w:hAnsi="Verdana" w:cs="Arial"/>
          <w:spacing w:val="-3"/>
          <w:sz w:val="20"/>
          <w:szCs w:val="20"/>
          <w:lang w:val="es-ES"/>
        </w:rPr>
        <w:t xml:space="preserve"> </w:t>
      </w:r>
      <w:r w:rsidRPr="00D57160">
        <w:rPr>
          <w:rFonts w:ascii="Verdana" w:eastAsia="Arial MT" w:hAnsi="Verdana" w:cs="Arial"/>
          <w:sz w:val="20"/>
          <w:szCs w:val="20"/>
          <w:lang w:val="es-ES"/>
        </w:rPr>
        <w:t>término</w:t>
      </w:r>
      <w:r w:rsidRPr="00D57160">
        <w:rPr>
          <w:rFonts w:ascii="Verdana" w:eastAsia="Arial MT" w:hAnsi="Verdana" w:cs="Arial"/>
          <w:spacing w:val="-3"/>
          <w:sz w:val="20"/>
          <w:szCs w:val="20"/>
          <w:lang w:val="es-ES"/>
        </w:rPr>
        <w:t xml:space="preserve"> </w:t>
      </w:r>
      <w:r w:rsidRPr="00D57160">
        <w:rPr>
          <w:rFonts w:ascii="Verdana" w:eastAsia="Arial MT" w:hAnsi="Verdana" w:cs="Arial"/>
          <w:sz w:val="20"/>
          <w:szCs w:val="20"/>
          <w:lang w:val="es-ES"/>
        </w:rPr>
        <w:t>señalado”</w:t>
      </w:r>
      <w:r w:rsidRPr="00D57160">
        <w:rPr>
          <w:rStyle w:val="Refdenotaalpie"/>
          <w:rFonts w:ascii="Verdana" w:eastAsia="Arial MT" w:hAnsi="Verdana" w:cs="Arial"/>
          <w:sz w:val="20"/>
          <w:szCs w:val="20"/>
          <w:lang w:val="es-ES"/>
        </w:rPr>
        <w:footnoteReference w:id="15"/>
      </w:r>
      <w:r w:rsidRPr="00D57160">
        <w:rPr>
          <w:rFonts w:ascii="Verdana" w:eastAsia="Arial MT" w:hAnsi="Verdana" w:cs="Arial"/>
          <w:sz w:val="20"/>
          <w:szCs w:val="20"/>
          <w:lang w:val="es-ES"/>
        </w:rPr>
        <w:t>.</w:t>
      </w:r>
    </w:p>
    <w:p w14:paraId="4F848BDD" w14:textId="77777777" w:rsidR="0064326F" w:rsidRPr="004B0309" w:rsidRDefault="0064326F" w:rsidP="0064326F">
      <w:pPr>
        <w:widowControl w:val="0"/>
        <w:autoSpaceDE w:val="0"/>
        <w:autoSpaceDN w:val="0"/>
        <w:spacing w:line="276" w:lineRule="auto"/>
        <w:contextualSpacing/>
        <w:rPr>
          <w:rFonts w:ascii="Arial" w:eastAsia="Arial MT" w:hAnsi="Arial" w:cs="Arial"/>
          <w:lang w:val="es-ES"/>
        </w:rPr>
      </w:pPr>
    </w:p>
    <w:p w14:paraId="2AF67C5F" w14:textId="77777777" w:rsidR="0064326F" w:rsidRPr="00E91381" w:rsidRDefault="0064326F" w:rsidP="0064326F">
      <w:pPr>
        <w:spacing w:after="120" w:line="276" w:lineRule="auto"/>
        <w:ind w:firstLine="709"/>
        <w:jc w:val="both"/>
        <w:rPr>
          <w:rFonts w:ascii="Verdana" w:hAnsi="Verdana" w:cs="Arial"/>
        </w:rPr>
      </w:pPr>
      <w:r w:rsidRPr="00E91381">
        <w:rPr>
          <w:rFonts w:ascii="Verdana" w:hAnsi="Verdana" w:cs="Arial"/>
        </w:rPr>
        <w:t>Conforme con lo anterior y en armonía con lo señalado en el artículo 2.2.1.1.1.5.1. del Decreto 1082 de 2015, si el proponente no presenta la información para renovar su registro antes del quinto día hábil del mes de abril de cada año –o el quinto día hábil del mes de julio, para el 2020–, cesarán los efectos del RUP. Lo anterior implica que el proponente que no cumpla con la carga indicada, no se puede presentar a los procedimientos de selección, en los casos en que es necesario estar inscrito en el RUP, porque no tendría capacidad para hacerlo y, por tanto, tendría que inscribirse nuevamente, caso en el que solo se podrá presentar cuando la inscripción esté en firme.</w:t>
      </w:r>
    </w:p>
    <w:p w14:paraId="4D0E0F3E" w14:textId="77777777" w:rsidR="0064326F" w:rsidRPr="00E91381" w:rsidRDefault="0064326F" w:rsidP="0064326F">
      <w:pPr>
        <w:spacing w:after="120" w:line="276" w:lineRule="auto"/>
        <w:ind w:firstLine="709"/>
        <w:jc w:val="both"/>
        <w:rPr>
          <w:rFonts w:ascii="Verdana" w:hAnsi="Verdana" w:cs="Arial"/>
        </w:rPr>
      </w:pPr>
      <w:r w:rsidRPr="00E91381">
        <w:rPr>
          <w:rFonts w:ascii="Verdana" w:hAnsi="Verdana" w:cs="Arial"/>
        </w:rPr>
        <w:t>Tratándose del trámite de renovación, la persona que haya presentado la información para renovar su registro a más tardar al quinto día hábil del mes de abril de cada año, cumpliendo con el requisito establecido en el artículo 2.2.1.1.1.5.1., puede participar en los procedimientos de selección, debiéndose tener en cuenta la información “antigua”. En este sentido, en el período comprendido entre el momento de la solicitud de renovación y el momento de la firmeza de la nueva información, se permite que emplee la información del RUP que está en firme antes de iniciar el trámite de renovación, cuyos efectos no han cesado por encontrarse vigente.</w:t>
      </w:r>
    </w:p>
    <w:p w14:paraId="2F6BA959" w14:textId="77777777" w:rsidR="0064326F" w:rsidRPr="00E91381" w:rsidRDefault="0064326F" w:rsidP="0064326F">
      <w:pPr>
        <w:spacing w:after="120" w:line="276" w:lineRule="auto"/>
        <w:ind w:firstLine="709"/>
        <w:jc w:val="both"/>
        <w:rPr>
          <w:rFonts w:ascii="Verdana" w:hAnsi="Verdana" w:cs="Arial"/>
        </w:rPr>
      </w:pPr>
      <w:r w:rsidRPr="00E91381">
        <w:rPr>
          <w:rFonts w:ascii="Verdana" w:hAnsi="Verdana" w:cs="Arial"/>
        </w:rPr>
        <w:t>Así las cosas, para verificar que los efectos del RUP no han cesado, es necesario que el certificado contenga la anotación de que el inscrito, a más tardar el quinto día hábil de abril de cada año, radicó ante la cámara de comercio los documentos para la renovación. En todo caso, si tal circunstancia no estuviere inscrita en el certificado, se podrá acreditar a través del medio documental expedido por la cámara de comercio correspondiente, por lo que al no haber libertad probatoria que permita establecer la forma de acreditar el trámite de renovación, la entidad estatal debe verificar que el documento aportado por el proponente ofrezca certeza sobre el estado del mismo.</w:t>
      </w:r>
    </w:p>
    <w:p w14:paraId="504C7D6B" w14:textId="77777777" w:rsidR="0064326F" w:rsidRPr="00E91381" w:rsidRDefault="0064326F" w:rsidP="0064326F">
      <w:pPr>
        <w:spacing w:after="120" w:line="276" w:lineRule="auto"/>
        <w:ind w:firstLine="709"/>
        <w:jc w:val="both"/>
        <w:rPr>
          <w:rFonts w:ascii="Verdana" w:hAnsi="Verdana" w:cs="Arial"/>
        </w:rPr>
      </w:pPr>
      <w:r w:rsidRPr="00E91381">
        <w:rPr>
          <w:rFonts w:ascii="Verdana" w:hAnsi="Verdana" w:cs="Arial"/>
        </w:rPr>
        <w:lastRenderedPageBreak/>
        <w:t>Dicho esto, la firmeza del acto de inscripción, renovación y actualización del RUP debe armonizarse con las prescripciones establecidas para la generalidad de los actos administrativos, esto es, de acuerdo con el artículo 87 de la Ley 1437 de 2011</w:t>
      </w:r>
      <w:r w:rsidRPr="00E91381">
        <w:rPr>
          <w:rStyle w:val="Refdenotaalpie"/>
          <w:rFonts w:ascii="Verdana" w:hAnsi="Verdana" w:cs="Arial"/>
        </w:rPr>
        <w:footnoteReference w:id="16"/>
      </w:r>
      <w:r w:rsidRPr="00E91381">
        <w:rPr>
          <w:rFonts w:ascii="Verdana" w:hAnsi="Verdana" w:cs="Arial"/>
        </w:rPr>
        <w:t>.</w:t>
      </w:r>
    </w:p>
    <w:p w14:paraId="217453A8" w14:textId="77777777" w:rsidR="0064326F" w:rsidRPr="00E91381" w:rsidRDefault="0064326F" w:rsidP="0064326F">
      <w:pPr>
        <w:spacing w:after="120" w:line="276" w:lineRule="auto"/>
        <w:ind w:firstLine="709"/>
        <w:jc w:val="both"/>
        <w:rPr>
          <w:rFonts w:ascii="Verdana" w:hAnsi="Verdana" w:cs="Arial"/>
        </w:rPr>
      </w:pPr>
      <w:r w:rsidRPr="00E91381">
        <w:rPr>
          <w:rFonts w:ascii="Verdana" w:hAnsi="Verdana" w:cs="Arial"/>
        </w:rPr>
        <w:t>Conforme a lo anterior, la persona natural o jurídica podrá presentarse a los procedimientos de selección cuando el acto administrativo que realiza la inscripción del RUP se encuentra en firme, porque su inscripción es un requisito para las personas naturales y jurídicas, nacionales o extranjeras con domicilio en Colombia, que aspiran celebrar contratos con las entidades estatales, salvo las excepciones establecidas en la ley.</w:t>
      </w:r>
    </w:p>
    <w:p w14:paraId="06BA0916" w14:textId="77777777" w:rsidR="0064326F" w:rsidRPr="00E91381" w:rsidRDefault="0064326F" w:rsidP="0064326F">
      <w:pPr>
        <w:spacing w:after="120" w:line="276" w:lineRule="auto"/>
        <w:ind w:firstLine="709"/>
        <w:jc w:val="both"/>
        <w:rPr>
          <w:rFonts w:ascii="Verdana" w:hAnsi="Verdana" w:cs="Arial"/>
        </w:rPr>
      </w:pPr>
      <w:r w:rsidRPr="00E91381">
        <w:rPr>
          <w:rFonts w:ascii="Verdana" w:hAnsi="Verdana" w:cs="Arial"/>
        </w:rPr>
        <w:t>Así, la firmeza del RUP es una condición de ejecutoriedad, para consolidar los efectos del acto administrativo de inscripción. En palabras del Consejo de Estado “El fenómeno procesal de la firmeza implica en principio, que la decisión se torna incuestionable en sede administrativa, lo que a su vez conlleva su ejecutoriedad”</w:t>
      </w:r>
      <w:r w:rsidRPr="00E91381">
        <w:rPr>
          <w:rStyle w:val="Refdenotaalpie"/>
          <w:rFonts w:ascii="Verdana" w:hAnsi="Verdana" w:cs="Arial"/>
        </w:rPr>
        <w:footnoteReference w:id="17"/>
      </w:r>
      <w:r w:rsidRPr="00E91381">
        <w:rPr>
          <w:rFonts w:ascii="Verdana" w:hAnsi="Verdana" w:cs="Arial"/>
        </w:rPr>
        <w:t>.</w:t>
      </w:r>
    </w:p>
    <w:p w14:paraId="29FB352F" w14:textId="77777777" w:rsidR="0064326F" w:rsidRPr="00E91381" w:rsidRDefault="0064326F" w:rsidP="0064326F">
      <w:pPr>
        <w:spacing w:after="120" w:line="276" w:lineRule="auto"/>
        <w:ind w:firstLine="709"/>
        <w:jc w:val="both"/>
        <w:rPr>
          <w:rFonts w:ascii="Verdana" w:hAnsi="Verdana" w:cs="Arial"/>
        </w:rPr>
      </w:pPr>
      <w:r w:rsidRPr="00E91381">
        <w:rPr>
          <w:rFonts w:ascii="Verdana" w:hAnsi="Verdana" w:cs="Arial"/>
        </w:rPr>
        <w:t>Es importante resaltar que los distintos eventos de firmeza señalados en el artículo 87 del CPACA involucran la exigencia de la publicidad, comunicación o notificación del acto, además de incluir la necesidad de resolver los recursos administrativos interpuestos contra la decisión, como expresión del debido proceso y del derecho de defensa en sede administrativa.</w:t>
      </w:r>
    </w:p>
    <w:p w14:paraId="25341BA6" w14:textId="77777777" w:rsidR="0064326F" w:rsidRPr="00E91381" w:rsidRDefault="0064326F" w:rsidP="0064326F">
      <w:pPr>
        <w:spacing w:after="120" w:line="276" w:lineRule="auto"/>
        <w:ind w:firstLine="709"/>
        <w:jc w:val="both"/>
        <w:rPr>
          <w:rFonts w:ascii="Verdana" w:hAnsi="Verdana" w:cs="Arial"/>
        </w:rPr>
      </w:pPr>
      <w:r w:rsidRPr="00E91381">
        <w:rPr>
          <w:rFonts w:ascii="Verdana" w:hAnsi="Verdana" w:cs="Arial"/>
        </w:rPr>
        <w:t xml:space="preserve">El artículo 6.3 de la Ley 1150 de 2007 regula la impugnación del acto de inscripción de información en el RUP, para que cualquier persona presente recurso de reposición durante los diez (10) días hábiles siguientes a su publicación, tiempo después del cual el acto administrativo adquiere firmeza y </w:t>
      </w:r>
      <w:r w:rsidRPr="00E91381">
        <w:rPr>
          <w:rFonts w:ascii="Verdana" w:hAnsi="Verdana" w:cs="Arial"/>
        </w:rPr>
        <w:lastRenderedPageBreak/>
        <w:t>será oponible a terceros, adquiriendo su presunción de legalidad, siempre que durante el término indicado no se presenten recursos. Si ocurre lo último, para que el acto de inscripción o renovación quede en firme, o que la actualización de la nueva información adquiera firmeza, será necesario que se resuelvan dichos recursos.</w:t>
      </w:r>
    </w:p>
    <w:p w14:paraId="5B158565" w14:textId="77777777" w:rsidR="0064326F" w:rsidRPr="00E91381" w:rsidRDefault="0064326F" w:rsidP="0064326F">
      <w:pPr>
        <w:spacing w:after="120" w:line="276" w:lineRule="auto"/>
        <w:ind w:firstLine="709"/>
        <w:jc w:val="both"/>
        <w:rPr>
          <w:rFonts w:ascii="Verdana" w:hAnsi="Verdana" w:cs="Arial"/>
        </w:rPr>
      </w:pPr>
      <w:r w:rsidRPr="00E91381">
        <w:rPr>
          <w:rFonts w:ascii="Verdana" w:hAnsi="Verdana" w:cs="Arial"/>
        </w:rPr>
        <w:t>Expuestas las reglas generales en torno a la necesidad de la firmeza de los actos de inscripción, renovación y actualización, se señalarán las consecuencias en cada supuesto de que la información incluida en el RUP esté pendiente de quedar en firme, pues en cada uno se generan efectos distintos; análisis donde debe aludirse a la posibilidad de subsanar las ofertas en los procedimientos de selección.</w:t>
      </w:r>
    </w:p>
    <w:p w14:paraId="63AB6894" w14:textId="77777777" w:rsidR="0064326F" w:rsidRPr="00E91381" w:rsidRDefault="0064326F" w:rsidP="0064326F">
      <w:pPr>
        <w:spacing w:after="120" w:line="276" w:lineRule="auto"/>
        <w:ind w:firstLine="709"/>
        <w:jc w:val="both"/>
        <w:rPr>
          <w:rFonts w:ascii="Verdana" w:hAnsi="Verdana" w:cs="Arial"/>
        </w:rPr>
      </w:pPr>
      <w:bookmarkStart w:id="7" w:name="_Hlk104368216"/>
      <w:r w:rsidRPr="00E91381">
        <w:rPr>
          <w:rFonts w:ascii="Verdana" w:hAnsi="Verdana" w:cs="Arial"/>
        </w:rPr>
        <w:t xml:space="preserve">En relación con la </w:t>
      </w:r>
      <w:r w:rsidRPr="00E91381">
        <w:rPr>
          <w:rFonts w:ascii="Verdana" w:hAnsi="Verdana" w:cs="Arial"/>
          <w:i/>
          <w:iCs/>
        </w:rPr>
        <w:t>inscripción</w:t>
      </w:r>
      <w:r w:rsidRPr="00E91381">
        <w:rPr>
          <w:rFonts w:ascii="Verdana" w:hAnsi="Verdana" w:cs="Arial"/>
        </w:rPr>
        <w:t xml:space="preserve"> –ya sea por primera vez o porque no se renueva a tiempo y se debe realizar el trámite como una inscripción inicial–, se debe considerar lo prescrito en el parágrafo 1 del artículo 5 de la Ley 1150 de 2007, modificado por el artículo 5 de la Ley 1882 de 2018</w:t>
      </w:r>
      <w:r>
        <w:rPr>
          <w:rStyle w:val="Refdenotaalpie"/>
          <w:rFonts w:ascii="Verdana" w:hAnsi="Verdana" w:cs="Arial"/>
        </w:rPr>
        <w:footnoteReference w:id="18"/>
      </w:r>
      <w:r w:rsidRPr="00E91381">
        <w:rPr>
          <w:rFonts w:ascii="Verdana" w:hAnsi="Verdana" w:cs="Arial"/>
        </w:rPr>
        <w:t>, que establece que los proponentes no pueden acreditar circunstancias ocurridas con posterioridad al cierre del proceso, unido a lo expresado por la Sala de Consulta y Servicio Civil del Consejo de Estado, quien interpretó una norma de igual contenido a la anterior</w:t>
      </w:r>
      <w:r w:rsidRPr="00E91381">
        <w:rPr>
          <w:rStyle w:val="Refdenotaalpie"/>
          <w:rFonts w:ascii="Verdana" w:hAnsi="Verdana" w:cs="Arial"/>
        </w:rPr>
        <w:footnoteReference w:id="19"/>
      </w:r>
      <w:r w:rsidRPr="00E91381">
        <w:rPr>
          <w:rFonts w:ascii="Verdana" w:hAnsi="Verdana" w:cs="Arial"/>
        </w:rPr>
        <w:t xml:space="preserve">, señalando que el proponente debe cumplir materialmente para la fecha del cierre del proceso con los requisitos que se requieren para presentar la oferta. En este sentido, para ese momento la persona natural o jurídica debe </w:t>
      </w:r>
      <w:r w:rsidRPr="00E91381">
        <w:rPr>
          <w:rFonts w:ascii="Verdana" w:hAnsi="Verdana" w:cs="Arial"/>
        </w:rPr>
        <w:lastRenderedPageBreak/>
        <w:t>estar inscrita en el RUP, para lo cual no basta con la solicitud o radicación de los documentos para el trámite, sino que, además, el acto administrativo de inscripción debe estar en firme, pues solo así se materializa y produce efectos la inscripción</w:t>
      </w:r>
      <w:bookmarkEnd w:id="7"/>
      <w:r w:rsidRPr="00E91381">
        <w:rPr>
          <w:rStyle w:val="Refdenotaalpie"/>
          <w:rFonts w:ascii="Verdana" w:hAnsi="Verdana" w:cs="Arial"/>
        </w:rPr>
        <w:footnoteReference w:id="20"/>
      </w:r>
      <w:r w:rsidRPr="00E91381">
        <w:rPr>
          <w:rFonts w:ascii="Verdana" w:hAnsi="Verdana" w:cs="Arial"/>
        </w:rPr>
        <w:t>.</w:t>
      </w:r>
    </w:p>
    <w:p w14:paraId="41D7DD64" w14:textId="77777777" w:rsidR="0064326F" w:rsidRPr="00DF1AE8" w:rsidRDefault="0064326F" w:rsidP="0064326F">
      <w:pPr>
        <w:spacing w:after="120" w:line="276" w:lineRule="auto"/>
        <w:ind w:firstLine="709"/>
        <w:jc w:val="both"/>
        <w:rPr>
          <w:rFonts w:ascii="Verdana" w:hAnsi="Verdana" w:cs="Arial"/>
        </w:rPr>
      </w:pPr>
      <w:bookmarkStart w:id="8" w:name="_Hlk107927422"/>
      <w:r w:rsidRPr="00DF1AE8">
        <w:rPr>
          <w:rFonts w:ascii="Verdana" w:hAnsi="Verdana" w:cs="Arial"/>
        </w:rPr>
        <w:t>Por lo tanto, si la cámara de comercio expide el acto administrativo de inscripción en el RUP después del cierre del procedimiento de selección, con motivo de la falta de renovación a tiempo de la información contenida en él o por ser la primera inscripción, el proponente no puede aportarlo al proceso, porque al momento de presentar la oferta no tenía capacidad para contratar, y no puede acreditar circunstancias ocurridas con posterioridad a la fecha del cierre del proceso, reiterando que la inscripción debe estar en firme antes del cierre, pues la inscripción solo se materializa y es oponible a terceros cuando el acto administrativo está en firme.</w:t>
      </w:r>
    </w:p>
    <w:p w14:paraId="11552730" w14:textId="77777777" w:rsidR="0064326F" w:rsidRPr="00DF1AE8" w:rsidRDefault="0064326F" w:rsidP="0064326F">
      <w:pPr>
        <w:spacing w:after="120" w:line="276" w:lineRule="auto"/>
        <w:ind w:firstLine="709"/>
        <w:jc w:val="both"/>
        <w:rPr>
          <w:rFonts w:ascii="Verdana" w:hAnsi="Verdana" w:cs="Arial"/>
        </w:rPr>
      </w:pPr>
      <w:bookmarkStart w:id="9" w:name="_Hlk107927453"/>
      <w:bookmarkStart w:id="10" w:name="_Hlk104368238"/>
      <w:bookmarkEnd w:id="8"/>
      <w:r w:rsidRPr="00DF1AE8">
        <w:rPr>
          <w:rFonts w:ascii="Verdana" w:hAnsi="Verdana" w:cs="Arial"/>
        </w:rPr>
        <w:t xml:space="preserve">Tratándose del trámite de </w:t>
      </w:r>
      <w:r w:rsidRPr="00DF1AE8">
        <w:rPr>
          <w:rFonts w:ascii="Verdana" w:hAnsi="Verdana" w:cs="Arial"/>
          <w:i/>
          <w:iCs/>
        </w:rPr>
        <w:t>renovación</w:t>
      </w:r>
      <w:r w:rsidRPr="00DF1AE8">
        <w:rPr>
          <w:rFonts w:ascii="Verdana" w:hAnsi="Verdana" w:cs="Arial"/>
        </w:rPr>
        <w:t xml:space="preserve">, se reitera lo expresado en el sentido de que la persona que presentó la información para renovar su registro antes del quinto día hábil de abril de cada año, cumpliendo el requisito del artículo 2.2.1.1.1.5.1., y pese a que la renovación no esté en firme, es decir, mientras esté en trámite el proceso de renovación, puede participar en los procedimientos de selección, debiéndose tener en cuenta la información “antigua”. De lo anterior se desprende que en el período comprendido entre el momento de la solicitud de renovación y el de su firmeza, se debe emplear la información del RUP que está en firme antes de iniciar el trámite de renovación, cuyos efectos no habrían cesado y se encontraría vigente. Incluso, en los procedimientos de selección, en caso de que el RUP con la información “antigua” se haya presentado válidamente antes del cierre del proceso y con posterioridad a este quede en firme el nuevo RUP, para la evaluación de las propuestas se deberá utilizar la información del registro presentado inicialmente, porque ninguno de los proponentes, durante el término otorgado para subsanar ofertas, podrá “acreditar circunstancias ocurridas con posterioridad al cierre del proceso”, por lo que la evaluación se realizará con la información del RUP en </w:t>
      </w:r>
      <w:r w:rsidRPr="00DF1AE8">
        <w:rPr>
          <w:rFonts w:ascii="Verdana" w:hAnsi="Verdana" w:cs="Arial"/>
        </w:rPr>
        <w:lastRenderedPageBreak/>
        <w:t>firme antes del cierre, independientemente de que la nueva información favorezca o perjudique al proponente.</w:t>
      </w:r>
    </w:p>
    <w:p w14:paraId="0ACD1875" w14:textId="77777777" w:rsidR="0064326F" w:rsidRPr="00DF1AE8" w:rsidRDefault="0064326F" w:rsidP="0064326F">
      <w:pPr>
        <w:spacing w:after="120" w:line="276" w:lineRule="auto"/>
        <w:ind w:firstLine="708"/>
        <w:jc w:val="both"/>
        <w:rPr>
          <w:rFonts w:ascii="Verdana" w:eastAsia="Calibri" w:hAnsi="Verdana" w:cs="Arial"/>
          <w:color w:val="000000"/>
        </w:rPr>
      </w:pPr>
      <w:bookmarkStart w:id="11" w:name="_Hlk107927484"/>
      <w:bookmarkEnd w:id="9"/>
      <w:r w:rsidRPr="00DF1AE8">
        <w:rPr>
          <w:rFonts w:ascii="Verdana" w:eastAsia="Calibri" w:hAnsi="Verdana" w:cs="Arial"/>
          <w:color w:val="000000"/>
        </w:rPr>
        <w:t xml:space="preserve">Debe tenerse en cuenta, en relación con este aspecto, que el parágrafo 1 –inciso segundo– del artículo 5 de la Ley 1150 de 2007, modificado por el artículo 5 de la Ley 1882 de 2018 establece que: “Durante el término otorgado para subsanar las ofertas, los proponentes no podrán acreditar circunstancias ocurridas con posterioridad al cierre del proceso”. Esta regla tiene un alcance muy amplio, pues no expresa, como pudo haberlo hecho, que durante dicho término no se pueden </w:t>
      </w:r>
      <w:r w:rsidRPr="00DF1AE8">
        <w:rPr>
          <w:rFonts w:ascii="Verdana" w:eastAsia="Calibri" w:hAnsi="Verdana" w:cs="Arial"/>
          <w:i/>
          <w:iCs/>
          <w:color w:val="000000"/>
        </w:rPr>
        <w:t>subsanar</w:t>
      </w:r>
      <w:r w:rsidRPr="00DF1AE8">
        <w:rPr>
          <w:rFonts w:ascii="Verdana" w:eastAsia="Calibri" w:hAnsi="Verdana" w:cs="Arial"/>
          <w:color w:val="000000"/>
        </w:rPr>
        <w:t xml:space="preserve"> circunstancias ocurridas con posterioridad al cierre; sino que optó por establecer una regla más amplia, consistente en que durante dicho término los proponentes no pueden acreditar ningún tipo de “circunstancias ocurridas con posterioridad al cierre del proceso”. En tal sentido, se incurriría en la prohibición anterior si se presentara o acreditara un RUP diferente </w:t>
      </w:r>
      <w:r w:rsidRPr="00DF1AE8">
        <w:rPr>
          <w:rFonts w:ascii="Verdana" w:eastAsia="Calibri" w:hAnsi="Verdana" w:cs="Arial"/>
          <w:i/>
          <w:iCs/>
          <w:color w:val="000000"/>
        </w:rPr>
        <w:t xml:space="preserve">renovado, </w:t>
      </w:r>
      <w:r w:rsidRPr="00DF1AE8">
        <w:rPr>
          <w:rFonts w:ascii="Verdana" w:eastAsia="Calibri" w:hAnsi="Verdana" w:cs="Arial"/>
          <w:color w:val="000000"/>
        </w:rPr>
        <w:t>que no estaba en firme para el cierre del proceso; independientemente de que este nuevo RUP favorezca o perjudique al interesado.</w:t>
      </w:r>
    </w:p>
    <w:p w14:paraId="793006EF" w14:textId="77777777" w:rsidR="0064326F" w:rsidRDefault="0064326F" w:rsidP="0064326F">
      <w:pPr>
        <w:spacing w:after="120" w:line="276" w:lineRule="auto"/>
        <w:ind w:firstLine="709"/>
        <w:jc w:val="both"/>
        <w:rPr>
          <w:rFonts w:ascii="Verdana" w:hAnsi="Verdana" w:cs="Arial"/>
        </w:rPr>
      </w:pPr>
      <w:bookmarkStart w:id="12" w:name="_Hlk107927497"/>
      <w:bookmarkEnd w:id="10"/>
      <w:bookmarkEnd w:id="11"/>
      <w:r w:rsidRPr="00DF1AE8">
        <w:rPr>
          <w:rFonts w:ascii="Verdana" w:hAnsi="Verdana" w:cs="Arial"/>
        </w:rPr>
        <w:t>Ahora bien, el deber de renovación, para impedir que el RUP deje de producir efectos consiste en “presentar la información para renovar su registro antes del quinto día hábil del mes de abril de cada año”</w:t>
      </w:r>
      <w:r w:rsidRPr="00DF1AE8">
        <w:rPr>
          <w:rStyle w:val="Refdenotaalpie"/>
          <w:rFonts w:ascii="Verdana" w:hAnsi="Verdana" w:cs="Arial"/>
        </w:rPr>
        <w:footnoteReference w:id="21"/>
      </w:r>
      <w:r w:rsidRPr="00DF1AE8">
        <w:rPr>
          <w:rFonts w:ascii="Verdana" w:hAnsi="Verdana" w:cs="Arial"/>
        </w:rPr>
        <w:t xml:space="preserve">. De manera que basta con la presentación de dicha información, mediante la cual se solicita a la cámara de comercio respectiva que adelante el trámite de renovación, para que se impida que el registro cese en sus efectos. Lo anterior, independientemente del término que tarde la cámara de comercio para revisar la información o de la solicitud que ésta le haga al interesado para que aporte algún documento adicional, o el término que transcurra mientras se interponen y resuelven los recursos –en caso de que se presenten– y del momento en que finalmente adquiera firmeza el acto de renovación. </w:t>
      </w:r>
    </w:p>
    <w:p w14:paraId="4286F523" w14:textId="77777777" w:rsidR="0064326F" w:rsidRPr="00DF1AE8" w:rsidRDefault="0064326F" w:rsidP="0064326F">
      <w:pPr>
        <w:spacing w:after="120" w:line="276" w:lineRule="auto"/>
        <w:ind w:firstLine="709"/>
        <w:jc w:val="both"/>
        <w:rPr>
          <w:rFonts w:ascii="Verdana" w:hAnsi="Verdana" w:cs="Arial"/>
        </w:rPr>
      </w:pPr>
      <w:r w:rsidRPr="00DF1AE8">
        <w:rPr>
          <w:rFonts w:ascii="Verdana" w:hAnsi="Verdana" w:cs="Arial"/>
        </w:rPr>
        <w:t xml:space="preserve">En este sentido, siempre que se cumpla con la primera actuación tendiente a la renovación del RUP este sigue produciendo efectos, por lo que, se reitera, en el período comprendido entre el momento de la solicitud de renovación y el de la firmeza, se puede utilizar la información del RUP que está en firme antes de iniciar el trámite de renovación, cuyos efectos no habrían </w:t>
      </w:r>
      <w:r w:rsidRPr="00DF1AE8">
        <w:rPr>
          <w:rFonts w:ascii="Verdana" w:hAnsi="Verdana" w:cs="Arial"/>
        </w:rPr>
        <w:lastRenderedPageBreak/>
        <w:t>cesado y se encontraría vigente, pudiendo utilizar dicho registro para participar en los procedimientos de selección de contratistas.</w:t>
      </w:r>
    </w:p>
    <w:bookmarkEnd w:id="12"/>
    <w:p w14:paraId="4E77125C" w14:textId="77777777" w:rsidR="0064326F" w:rsidRPr="00B457DD" w:rsidRDefault="0064326F" w:rsidP="0064326F">
      <w:pPr>
        <w:spacing w:line="276" w:lineRule="auto"/>
        <w:ind w:firstLine="709"/>
        <w:contextualSpacing/>
        <w:jc w:val="both"/>
        <w:rPr>
          <w:rFonts w:ascii="Verdana" w:hAnsi="Verdana" w:cs="Arial"/>
        </w:rPr>
      </w:pPr>
      <w:r w:rsidRPr="00B457DD">
        <w:rPr>
          <w:rFonts w:ascii="Verdana" w:hAnsi="Verdana" w:cs="Arial"/>
        </w:rPr>
        <w:t>En concordancia con lo anterior, la Circular Externa Única de Colombia Compra Eficiente</w:t>
      </w:r>
      <w:r w:rsidRPr="00B457DD">
        <w:rPr>
          <w:rStyle w:val="Refdenotaalpie"/>
          <w:rFonts w:ascii="Verdana" w:hAnsi="Verdana" w:cs="Arial"/>
        </w:rPr>
        <w:footnoteReference w:id="22"/>
      </w:r>
      <w:r w:rsidRPr="00B457DD">
        <w:rPr>
          <w:rFonts w:ascii="Verdana" w:hAnsi="Verdana" w:cs="Arial"/>
        </w:rPr>
        <w:t xml:space="preserve"> en su numeral 12.3. recoge la tesis antes planteada respecto de la renovación del RUP al indicar: </w:t>
      </w:r>
    </w:p>
    <w:p w14:paraId="49083AAC" w14:textId="77777777" w:rsidR="0064326F" w:rsidRPr="00B457DD" w:rsidRDefault="0064326F" w:rsidP="0064326F">
      <w:pPr>
        <w:spacing w:after="0" w:line="240" w:lineRule="auto"/>
        <w:ind w:firstLine="709"/>
        <w:contextualSpacing/>
        <w:jc w:val="both"/>
        <w:rPr>
          <w:rFonts w:ascii="Verdana" w:hAnsi="Verdana" w:cs="Arial"/>
        </w:rPr>
      </w:pPr>
    </w:p>
    <w:p w14:paraId="5BBFBDDC" w14:textId="77777777" w:rsidR="0064326F" w:rsidRPr="00B457DD" w:rsidRDefault="0064326F" w:rsidP="0064326F">
      <w:pPr>
        <w:spacing w:after="0" w:line="240" w:lineRule="auto"/>
        <w:ind w:left="709" w:right="709"/>
        <w:contextualSpacing/>
        <w:jc w:val="both"/>
        <w:rPr>
          <w:rFonts w:ascii="Verdana" w:hAnsi="Verdana" w:cs="Arial"/>
          <w:sz w:val="20"/>
          <w:szCs w:val="20"/>
        </w:rPr>
      </w:pPr>
      <w:r w:rsidRPr="00B457DD">
        <w:rPr>
          <w:rFonts w:ascii="Verdana" w:hAnsi="Verdana" w:cs="Arial"/>
          <w:sz w:val="20"/>
          <w:szCs w:val="20"/>
        </w:rPr>
        <w:t>“El artículo 2.2.1.1.1.5.1. del Decreto 1082 de 2015 establece que las personas inscritas en el RUP deben presentar la información para renovar su registro a más tardar el quinto día hábil del mes de abril de cada año, pues de lo contrario cesan los efectos del RUP.</w:t>
      </w:r>
    </w:p>
    <w:p w14:paraId="65E397E8" w14:textId="77777777" w:rsidR="0064326F" w:rsidRPr="00B457DD" w:rsidRDefault="0064326F" w:rsidP="0064326F">
      <w:pPr>
        <w:spacing w:after="0" w:line="240" w:lineRule="auto"/>
        <w:ind w:left="709" w:right="709"/>
        <w:contextualSpacing/>
        <w:jc w:val="both"/>
        <w:rPr>
          <w:rFonts w:ascii="Verdana" w:hAnsi="Verdana" w:cs="Arial"/>
          <w:sz w:val="20"/>
          <w:szCs w:val="20"/>
        </w:rPr>
      </w:pPr>
    </w:p>
    <w:p w14:paraId="67478A34" w14:textId="77777777" w:rsidR="0064326F" w:rsidRPr="00B457DD" w:rsidRDefault="0064326F" w:rsidP="0064326F">
      <w:pPr>
        <w:spacing w:after="0" w:line="240" w:lineRule="auto"/>
        <w:ind w:left="709" w:right="709"/>
        <w:contextualSpacing/>
        <w:jc w:val="both"/>
        <w:rPr>
          <w:rFonts w:ascii="Verdana" w:hAnsi="Verdana" w:cs="Arial"/>
          <w:sz w:val="20"/>
          <w:szCs w:val="20"/>
        </w:rPr>
      </w:pPr>
      <w:r w:rsidRPr="00B457DD">
        <w:rPr>
          <w:rFonts w:ascii="Verdana" w:hAnsi="Verdana" w:cs="Arial"/>
          <w:sz w:val="20"/>
          <w:szCs w:val="20"/>
        </w:rPr>
        <w:t>Al cierre del procedimiento de selección, es decir, hasta el plazo para presentar ofertas, el RUP debe encontrarse vigente, esto es, que el proponente haya presentado la información para renovar el registro en el término anteriormente establecido.</w:t>
      </w:r>
    </w:p>
    <w:p w14:paraId="3E8DCE73" w14:textId="77777777" w:rsidR="0064326F" w:rsidRPr="00B457DD" w:rsidRDefault="0064326F" w:rsidP="0064326F">
      <w:pPr>
        <w:spacing w:after="0" w:line="240" w:lineRule="auto"/>
        <w:ind w:left="709" w:right="709"/>
        <w:contextualSpacing/>
        <w:jc w:val="both"/>
        <w:rPr>
          <w:rFonts w:ascii="Verdana" w:hAnsi="Verdana" w:cs="Arial"/>
          <w:sz w:val="20"/>
          <w:szCs w:val="20"/>
        </w:rPr>
      </w:pPr>
    </w:p>
    <w:p w14:paraId="6135D848" w14:textId="77777777" w:rsidR="0064326F" w:rsidRPr="00B457DD" w:rsidRDefault="0064326F" w:rsidP="0064326F">
      <w:pPr>
        <w:spacing w:after="0" w:line="240" w:lineRule="auto"/>
        <w:ind w:left="709" w:right="709"/>
        <w:contextualSpacing/>
        <w:jc w:val="both"/>
        <w:rPr>
          <w:rFonts w:ascii="Verdana" w:hAnsi="Verdana" w:cs="Arial"/>
          <w:sz w:val="20"/>
          <w:szCs w:val="20"/>
        </w:rPr>
      </w:pPr>
      <w:r w:rsidRPr="00B457DD">
        <w:rPr>
          <w:rFonts w:ascii="Verdana" w:hAnsi="Verdana" w:cs="Arial"/>
          <w:i/>
          <w:iCs/>
          <w:sz w:val="20"/>
          <w:szCs w:val="20"/>
        </w:rPr>
        <w:t>Tratándose del trámite de renovación, la persona que haya presentado la información para renovar su registro a más tardar el quinto día hábil del mes de abril, cumpliendo con el requisito exigido en el artículo 2.2.1.1.1.5.1. del Decreto 1082 de 2015, puede participar en los procedimientos de selección, debiéndose tener en cuenta la información antigua, esto es, la que estuviera en firme antes del cierre del proceso</w:t>
      </w:r>
      <w:r w:rsidRPr="00B457DD">
        <w:rPr>
          <w:rFonts w:ascii="Verdana" w:hAnsi="Verdana" w:cs="Arial"/>
          <w:sz w:val="20"/>
          <w:szCs w:val="20"/>
        </w:rPr>
        <w:t xml:space="preserve">. Así, en el periodo comprendido entre el momento de la solicitud de renovación y el momento en que adquiera firmeza la información renovada, debe emplearse la información del RUP que está en firme antes de iniciar el trámite de renovación, cuyos efectos no habrían cesado y se encontraría vigente. </w:t>
      </w:r>
      <w:r w:rsidRPr="00B457DD">
        <w:rPr>
          <w:rFonts w:ascii="Verdana" w:hAnsi="Verdana" w:cs="Arial"/>
          <w:i/>
          <w:iCs/>
          <w:sz w:val="20"/>
          <w:szCs w:val="20"/>
        </w:rPr>
        <w:t>En todo caso, la evaluación de las ofertas se realizará con la información del RUP en firme antes del cierre del proceso</w:t>
      </w:r>
      <w:r w:rsidRPr="00B457DD">
        <w:rPr>
          <w:rFonts w:ascii="Verdana" w:hAnsi="Verdana" w:cs="Arial"/>
          <w:sz w:val="20"/>
          <w:szCs w:val="20"/>
        </w:rPr>
        <w:t>.</w:t>
      </w:r>
    </w:p>
    <w:p w14:paraId="69B73F6F" w14:textId="77777777" w:rsidR="0064326F" w:rsidRDefault="0064326F" w:rsidP="0064326F">
      <w:pPr>
        <w:spacing w:after="0" w:line="240" w:lineRule="auto"/>
        <w:ind w:left="709" w:right="709"/>
        <w:contextualSpacing/>
        <w:jc w:val="both"/>
        <w:rPr>
          <w:rFonts w:ascii="Verdana" w:hAnsi="Verdana" w:cs="Arial"/>
          <w:sz w:val="20"/>
          <w:szCs w:val="20"/>
        </w:rPr>
      </w:pPr>
      <w:bookmarkStart w:id="13" w:name="_Hlk136445517"/>
      <w:r w:rsidRPr="00B457DD">
        <w:rPr>
          <w:rFonts w:ascii="Verdana" w:hAnsi="Verdana" w:cs="Arial"/>
          <w:sz w:val="20"/>
          <w:szCs w:val="20"/>
        </w:rPr>
        <w:t xml:space="preserve">Para verificar que los efectos del RUP no han cesado, en los eventos que el proponente presentó la información para renovar su registro, es necesario que el certificado contenga la anotación de que el inscrito, a más tardar el quinto día hábil de abril de cada año, radicó ante la cámara de comercio los documentos para su renovación. En todo caso, si tal circunstancia no estuviese inscrita en el certificado, podrá acreditarse mediante el medio documental expedido por la cámara de comercio correspondiente. De este modo, al no existir tarifa legal que permita establecer la forma de acreditar el trámite de renovación, la entidad estatal debe verificar que el documento aportado por el proponente ofrezca certeza sobre el estado del trámite. </w:t>
      </w:r>
      <w:bookmarkEnd w:id="13"/>
    </w:p>
    <w:p w14:paraId="36097A23" w14:textId="77777777" w:rsidR="0064326F" w:rsidRPr="00B457DD" w:rsidRDefault="0064326F" w:rsidP="0064326F">
      <w:pPr>
        <w:spacing w:after="0" w:line="240" w:lineRule="auto"/>
        <w:ind w:left="709" w:right="709"/>
        <w:contextualSpacing/>
        <w:jc w:val="both"/>
        <w:rPr>
          <w:rFonts w:ascii="Verdana" w:hAnsi="Verdana" w:cs="Arial"/>
          <w:sz w:val="20"/>
          <w:szCs w:val="20"/>
        </w:rPr>
      </w:pPr>
    </w:p>
    <w:p w14:paraId="249F7160" w14:textId="77777777" w:rsidR="0064326F" w:rsidRPr="00B457DD" w:rsidRDefault="0064326F" w:rsidP="0064326F">
      <w:pPr>
        <w:spacing w:after="0" w:line="240" w:lineRule="auto"/>
        <w:ind w:left="709" w:right="709"/>
        <w:contextualSpacing/>
        <w:jc w:val="both"/>
        <w:rPr>
          <w:rFonts w:ascii="Verdana" w:hAnsi="Verdana" w:cs="Arial"/>
          <w:sz w:val="20"/>
          <w:szCs w:val="20"/>
        </w:rPr>
      </w:pPr>
      <w:r w:rsidRPr="00B457DD">
        <w:rPr>
          <w:rFonts w:ascii="Verdana" w:hAnsi="Verdana" w:cs="Arial"/>
          <w:sz w:val="20"/>
          <w:szCs w:val="20"/>
        </w:rPr>
        <w:lastRenderedPageBreak/>
        <w:t xml:space="preserve">La firmeza del acto de inscripción, renovación y actualización del RUP debe armonizarse con las prescripciones establecidas para la generalidad de los actos administrativos, esto es, de acuerdo con el artículo 87 de la Ley 1437 de 2011. Conforme con lo anterior, la persona natural o jurídica podrá presentarse a los procedimientos de selección cuanto el acto administrativo que realiza la inscripción del RUP se encuentra en firme, porque es un requisito para las personas naturales o jurídicas nacionales o extranjeras domiciliadas o con sucursal en Colombia, que aspiran celebrar contratos con las entidades estatales, estar inscritas en él, salvo las excepciones establecidas en la ley” (Cursiva fuera del texto). </w:t>
      </w:r>
    </w:p>
    <w:p w14:paraId="13CD2F7E" w14:textId="77777777" w:rsidR="0064326F" w:rsidRPr="00B457DD" w:rsidRDefault="0064326F" w:rsidP="0064326F">
      <w:pPr>
        <w:spacing w:line="276" w:lineRule="auto"/>
        <w:ind w:left="709" w:right="709"/>
        <w:contextualSpacing/>
        <w:jc w:val="both"/>
        <w:rPr>
          <w:rFonts w:ascii="Verdana" w:hAnsi="Verdana" w:cs="Arial"/>
          <w:sz w:val="20"/>
          <w:szCs w:val="20"/>
        </w:rPr>
      </w:pPr>
    </w:p>
    <w:p w14:paraId="41A3B06B" w14:textId="77777777" w:rsidR="0064326F" w:rsidRPr="00A3652D" w:rsidRDefault="0064326F" w:rsidP="0064326F">
      <w:pPr>
        <w:spacing w:after="120" w:line="276" w:lineRule="auto"/>
        <w:ind w:firstLine="709"/>
        <w:jc w:val="both"/>
        <w:rPr>
          <w:rFonts w:ascii="Verdana" w:hAnsi="Verdana" w:cs="Arial"/>
        </w:rPr>
      </w:pPr>
      <w:bookmarkStart w:id="14" w:name="_Hlk104368249"/>
      <w:r w:rsidRPr="00F77E5B">
        <w:rPr>
          <w:rFonts w:ascii="Verdana" w:hAnsi="Verdana" w:cs="Arial"/>
        </w:rPr>
        <w:t>En efecto, la Circular Externa Única establece que, con el fin de que el RUP se mantenga vigente y continúe produciendo efectos, se debe realizar la renovación del mismo, consistente en que el proponente presente, antes del quinto día hábil del mes de abril de cada año, la información requerida ante la Cámara de Comercio respectiva. En ese sentido, cumplir con el deber de renovación de manera oportuna garantiza que el RUP no pierda vigencia y el proponente pueda presentarse en un proceso de contratación, aun cuando la información nueva no hubiera adquirido firmeza de acuerdo con lo previsto en el artículo 87 de la Ley 1437 de 2011, caso en el cual la información “antigua”.</w:t>
      </w:r>
      <w:bookmarkEnd w:id="14"/>
    </w:p>
    <w:p w14:paraId="3FB3C2D3" w14:textId="77777777" w:rsidR="0064326F" w:rsidRDefault="0064326F" w:rsidP="0064326F">
      <w:pPr>
        <w:spacing w:after="120" w:line="276" w:lineRule="auto"/>
        <w:ind w:firstLine="709"/>
        <w:jc w:val="both"/>
        <w:rPr>
          <w:rFonts w:ascii="Verdana" w:hAnsi="Verdana" w:cs="Arial"/>
        </w:rPr>
      </w:pPr>
      <w:r w:rsidRPr="00C27D7E">
        <w:rPr>
          <w:rFonts w:ascii="Verdana" w:hAnsi="Verdana" w:cs="Arial"/>
          <w:lang w:eastAsia="es-ES"/>
        </w:rPr>
        <w:t xml:space="preserve">No obstante, al margen de la explicación precedente debe advertirse que el análisis requerido para resolver problemas específicos en torno a las condiciones bajo las cuales las Entidades Estatales pueden adelantar sus procesos de contratación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w:t>
      </w:r>
      <w:r w:rsidRPr="00C27D7E">
        <w:rPr>
          <w:rFonts w:ascii="Verdana" w:hAnsi="Verdana" w:cs="Arial"/>
        </w:rPr>
        <w:t>Colombia Compra Eficiente validar sus actuaciones.</w:t>
      </w:r>
    </w:p>
    <w:p w14:paraId="6E45FD34" w14:textId="77777777" w:rsidR="0064326F" w:rsidRDefault="0064326F" w:rsidP="0064326F">
      <w:pPr>
        <w:spacing w:after="120" w:line="276" w:lineRule="auto"/>
        <w:jc w:val="both"/>
        <w:rPr>
          <w:rFonts w:ascii="Verdana" w:eastAsia="Calibri" w:hAnsi="Verdana" w:cs="Arial"/>
          <w:color w:val="000000" w:themeColor="text1"/>
        </w:rPr>
      </w:pPr>
      <w:proofErr w:type="spellStart"/>
      <w:r w:rsidRPr="001B05B3">
        <w:rPr>
          <w:rFonts w:ascii="Verdana" w:hAnsi="Verdana" w:cs="Arial"/>
        </w:rPr>
        <w:t>ii</w:t>
      </w:r>
      <w:proofErr w:type="spellEnd"/>
      <w:r w:rsidRPr="001B05B3">
        <w:rPr>
          <w:rFonts w:ascii="Verdana" w:hAnsi="Verdana" w:cs="Arial"/>
        </w:rPr>
        <w:t>.</w:t>
      </w:r>
      <w:r>
        <w:rPr>
          <w:rFonts w:ascii="Verdana" w:hAnsi="Verdana" w:cs="Arial"/>
        </w:rPr>
        <w:t xml:space="preserve"> </w:t>
      </w:r>
      <w:r w:rsidRPr="001B05B3">
        <w:rPr>
          <w:rFonts w:ascii="Verdana" w:hAnsi="Verdana" w:cs="Arial"/>
        </w:rPr>
        <w:t>La cesión de la posición contractual</w:t>
      </w:r>
      <w:r w:rsidRPr="00821723">
        <w:rPr>
          <w:rFonts w:ascii="Verdana" w:eastAsia="Calibri" w:hAnsi="Verdana" w:cs="Arial"/>
          <w:color w:val="000000" w:themeColor="text1"/>
        </w:rPr>
        <w:t xml:space="preserve"> puede entenderse como un acto y como un efecto. Por un lado, “</w:t>
      </w:r>
      <w:r>
        <w:rPr>
          <w:rFonts w:ascii="Verdana" w:eastAsia="Calibri" w:hAnsi="Verdana" w:cs="Arial"/>
          <w:color w:val="000000" w:themeColor="text1"/>
        </w:rPr>
        <w:t>(…)</w:t>
      </w:r>
      <w:r w:rsidRPr="00821723">
        <w:rPr>
          <w:rFonts w:ascii="Verdana" w:eastAsia="Calibri" w:hAnsi="Verdana" w:cs="Arial"/>
          <w:color w:val="000000" w:themeColor="text1"/>
        </w:rPr>
        <w:t xml:space="preserve"> es el contrato con el cual el cedente, parte de otro contrato ya en curso con otro sujeto (cedido), transfiere la relativa posición contractual (en sus componentes activos y pasivos) al cesionario, el cual le </w:t>
      </w:r>
      <w:proofErr w:type="spellStart"/>
      <w:r w:rsidRPr="00821723">
        <w:rPr>
          <w:rFonts w:ascii="Verdana" w:eastAsia="Calibri" w:hAnsi="Verdana" w:cs="Arial"/>
          <w:color w:val="000000" w:themeColor="text1"/>
        </w:rPr>
        <w:t>subentra</w:t>
      </w:r>
      <w:proofErr w:type="spellEnd"/>
      <w:r w:rsidRPr="00821723">
        <w:rPr>
          <w:rFonts w:ascii="Verdana" w:eastAsia="Calibri" w:hAnsi="Verdana" w:cs="Arial"/>
          <w:color w:val="000000" w:themeColor="text1"/>
        </w:rPr>
        <w:t xml:space="preserve"> en la relación con el cedido </w:t>
      </w:r>
      <w:r>
        <w:rPr>
          <w:rFonts w:ascii="Verdana" w:eastAsia="Calibri" w:hAnsi="Verdana" w:cs="Arial"/>
          <w:color w:val="000000" w:themeColor="text1"/>
        </w:rPr>
        <w:t>(…)</w:t>
      </w:r>
      <w:r w:rsidRPr="00821723">
        <w:rPr>
          <w:rFonts w:ascii="Verdana" w:eastAsia="Calibri" w:hAnsi="Verdana" w:cs="Arial"/>
          <w:color w:val="000000" w:themeColor="text1"/>
        </w:rPr>
        <w:t>”</w:t>
      </w:r>
      <w:r w:rsidRPr="00821723">
        <w:rPr>
          <w:rStyle w:val="Refdenotaalpie"/>
          <w:rFonts w:ascii="Verdana" w:eastAsia="Calibri" w:hAnsi="Verdana" w:cs="Arial"/>
          <w:color w:val="000000" w:themeColor="text1"/>
        </w:rPr>
        <w:footnoteReference w:id="23"/>
      </w:r>
      <w:r w:rsidRPr="00821723">
        <w:rPr>
          <w:rFonts w:ascii="Verdana" w:eastAsia="Calibri" w:hAnsi="Verdana" w:cs="Arial"/>
          <w:color w:val="000000" w:themeColor="text1"/>
        </w:rPr>
        <w:t>. Por otro, “</w:t>
      </w:r>
      <w:r>
        <w:rPr>
          <w:rFonts w:ascii="Verdana" w:eastAsia="Calibri" w:hAnsi="Verdana" w:cs="Arial"/>
          <w:color w:val="000000" w:themeColor="text1"/>
        </w:rPr>
        <w:t xml:space="preserve">(…) </w:t>
      </w:r>
      <w:r w:rsidRPr="00821723">
        <w:rPr>
          <w:rFonts w:ascii="Verdana" w:eastAsia="Calibri" w:hAnsi="Verdana" w:cs="Arial"/>
          <w:color w:val="000000" w:themeColor="text1"/>
        </w:rPr>
        <w:t xml:space="preserve">es la transferencia de </w:t>
      </w:r>
      <w:r w:rsidRPr="00821723">
        <w:rPr>
          <w:rFonts w:ascii="Verdana" w:eastAsia="Calibri" w:hAnsi="Verdana" w:cs="Arial"/>
          <w:color w:val="000000" w:themeColor="text1"/>
        </w:rPr>
        <w:lastRenderedPageBreak/>
        <w:t xml:space="preserve">la posición contractual de un contratante a otro sujeto, que le </w:t>
      </w:r>
      <w:proofErr w:type="spellStart"/>
      <w:r w:rsidRPr="00821723">
        <w:rPr>
          <w:rFonts w:ascii="Verdana" w:eastAsia="Calibri" w:hAnsi="Verdana" w:cs="Arial"/>
          <w:color w:val="000000" w:themeColor="text1"/>
        </w:rPr>
        <w:t>subentra</w:t>
      </w:r>
      <w:proofErr w:type="spellEnd"/>
      <w:r w:rsidRPr="00821723">
        <w:rPr>
          <w:rFonts w:ascii="Verdana" w:eastAsia="Calibri" w:hAnsi="Verdana" w:cs="Arial"/>
          <w:color w:val="000000" w:themeColor="text1"/>
        </w:rPr>
        <w:t xml:space="preserve"> en la relación con la contraparte </w:t>
      </w:r>
      <w:r>
        <w:rPr>
          <w:rFonts w:ascii="Verdana" w:eastAsia="Calibri" w:hAnsi="Verdana" w:cs="Arial"/>
          <w:color w:val="000000" w:themeColor="text1"/>
        </w:rPr>
        <w:t>(…)</w:t>
      </w:r>
      <w:r w:rsidRPr="00821723">
        <w:rPr>
          <w:rFonts w:ascii="Verdana" w:eastAsia="Calibri" w:hAnsi="Verdana" w:cs="Arial"/>
          <w:color w:val="000000" w:themeColor="text1"/>
        </w:rPr>
        <w:t>”</w:t>
      </w:r>
      <w:r w:rsidRPr="00821723">
        <w:rPr>
          <w:rStyle w:val="Refdenotaalpie"/>
          <w:rFonts w:ascii="Verdana" w:eastAsia="Calibri" w:hAnsi="Verdana" w:cs="Arial"/>
          <w:color w:val="000000" w:themeColor="text1"/>
        </w:rPr>
        <w:footnoteReference w:id="24"/>
      </w:r>
      <w:r w:rsidRPr="00821723">
        <w:rPr>
          <w:rFonts w:ascii="Verdana" w:eastAsia="Calibri" w:hAnsi="Verdana" w:cs="Arial"/>
          <w:color w:val="000000" w:themeColor="text1"/>
        </w:rPr>
        <w:t xml:space="preserve">. De esta manera, </w:t>
      </w:r>
      <w:r w:rsidRPr="00821723">
        <w:rPr>
          <w:rFonts w:ascii="Verdana" w:hAnsi="Verdana" w:cs="Arial"/>
          <w:color w:val="000000" w:themeColor="text1"/>
        </w:rPr>
        <w:t xml:space="preserve">concurren tres (3) sujetos: i) el cedente, esto es, el contratista inicial; </w:t>
      </w:r>
      <w:proofErr w:type="spellStart"/>
      <w:r w:rsidRPr="00821723">
        <w:rPr>
          <w:rFonts w:ascii="Verdana" w:hAnsi="Verdana" w:cs="Arial"/>
          <w:color w:val="000000" w:themeColor="text1"/>
        </w:rPr>
        <w:t>ii</w:t>
      </w:r>
      <w:proofErr w:type="spellEnd"/>
      <w:r w:rsidRPr="00821723">
        <w:rPr>
          <w:rFonts w:ascii="Verdana" w:hAnsi="Verdana" w:cs="Arial"/>
          <w:color w:val="000000" w:themeColor="text1"/>
        </w:rPr>
        <w:t xml:space="preserve">) el cesionario, es decir, quien asume total o parcialmente los derechos y obligaciones de este último; y </w:t>
      </w:r>
      <w:proofErr w:type="spellStart"/>
      <w:r w:rsidRPr="00821723">
        <w:rPr>
          <w:rFonts w:ascii="Verdana" w:hAnsi="Verdana" w:cs="Arial"/>
          <w:color w:val="000000" w:themeColor="text1"/>
        </w:rPr>
        <w:t>iii</w:t>
      </w:r>
      <w:proofErr w:type="spellEnd"/>
      <w:r w:rsidRPr="00821723">
        <w:rPr>
          <w:rFonts w:ascii="Verdana" w:hAnsi="Verdana" w:cs="Arial"/>
          <w:color w:val="000000" w:themeColor="text1"/>
        </w:rPr>
        <w:t xml:space="preserve">) el cedido que, en el caso de los contratos estatales, sería la entidad que suscribió el contrato. </w:t>
      </w:r>
      <w:r w:rsidRPr="00821723">
        <w:rPr>
          <w:rFonts w:ascii="Verdana" w:eastAsia="Calibri" w:hAnsi="Verdana" w:cs="Arial"/>
          <w:color w:val="000000" w:themeColor="text1"/>
        </w:rPr>
        <w:t>Por tanto, la cesión de contrato es una figura jurídica por la que terceros ajenos a los contratantes iniciales participan en negocios que están ejecutando cuando no se hayan cumplido la totalidad de las obligaciones, permitiendo que sean éstos quienes realicen las prestaciones faltantes. En efecto:</w:t>
      </w:r>
    </w:p>
    <w:p w14:paraId="0E0FAAF4" w14:textId="77777777" w:rsidR="0064326F" w:rsidRPr="00821723" w:rsidRDefault="0064326F" w:rsidP="0064326F">
      <w:pPr>
        <w:spacing w:after="0" w:line="240" w:lineRule="auto"/>
        <w:ind w:firstLine="709"/>
        <w:jc w:val="both"/>
        <w:rPr>
          <w:rFonts w:ascii="Verdana" w:eastAsia="Calibri" w:hAnsi="Verdana" w:cs="Arial"/>
          <w:color w:val="000000" w:themeColor="text1"/>
        </w:rPr>
      </w:pPr>
    </w:p>
    <w:p w14:paraId="0A1E1E3F" w14:textId="77777777" w:rsidR="0064326F" w:rsidRPr="00821723" w:rsidRDefault="0064326F" w:rsidP="0064326F">
      <w:pPr>
        <w:tabs>
          <w:tab w:val="left" w:pos="709"/>
        </w:tabs>
        <w:spacing w:after="0" w:line="240" w:lineRule="auto"/>
        <w:ind w:left="709" w:right="709"/>
        <w:jc w:val="both"/>
        <w:rPr>
          <w:rFonts w:ascii="Verdana" w:eastAsia="Calibri" w:hAnsi="Verdana" w:cs="Arial"/>
          <w:color w:val="000000" w:themeColor="text1"/>
          <w:sz w:val="20"/>
          <w:szCs w:val="20"/>
        </w:rPr>
      </w:pPr>
      <w:r w:rsidRPr="00821723">
        <w:rPr>
          <w:rFonts w:ascii="Verdana" w:eastAsia="Calibri" w:hAnsi="Verdana" w:cs="Arial"/>
          <w:color w:val="000000" w:themeColor="text1"/>
          <w:sz w:val="20"/>
          <w:szCs w:val="20"/>
        </w:rPr>
        <w:t xml:space="preserve">“(…) cuando lo que se cede (o asume) es un contrato, el punto de partida es la presencia de uno o varios créditos y otras tantas obligaciones, entrelazadas en términos de correlatividad y consideradas, tratadas y dispuestas como una unidad, o sea: el objeto de la operación es el traspaso simultáneo de unos créditos y de las obligaciones recíprocas, surgidos a una de un mismo contrato, por parte de uno de los contratantes a un tercero, esto es, en últimas, la transferencia de una posición o relación contractual, cuyo resultado es la sustitución de una de las partes (acreedora-deudora) </w:t>
      </w:r>
      <w:r>
        <w:rPr>
          <w:rFonts w:ascii="Verdana" w:eastAsia="Calibri" w:hAnsi="Verdana" w:cs="Arial"/>
          <w:color w:val="000000" w:themeColor="text1"/>
          <w:sz w:val="20"/>
          <w:szCs w:val="20"/>
        </w:rPr>
        <w:t>(…)”</w:t>
      </w:r>
      <w:r w:rsidRPr="00821723">
        <w:rPr>
          <w:rStyle w:val="Refdenotaalpie"/>
          <w:rFonts w:ascii="Verdana" w:eastAsia="Calibri" w:hAnsi="Verdana" w:cs="Arial"/>
          <w:color w:val="000000" w:themeColor="text1"/>
          <w:sz w:val="20"/>
          <w:szCs w:val="20"/>
        </w:rPr>
        <w:footnoteReference w:id="25"/>
      </w:r>
      <w:r w:rsidRPr="00821723">
        <w:rPr>
          <w:rFonts w:ascii="Verdana" w:eastAsia="Calibri" w:hAnsi="Verdana" w:cs="Arial"/>
          <w:color w:val="000000" w:themeColor="text1"/>
          <w:sz w:val="20"/>
          <w:szCs w:val="20"/>
        </w:rPr>
        <w:t>.</w:t>
      </w:r>
    </w:p>
    <w:p w14:paraId="407B14ED" w14:textId="77777777" w:rsidR="0064326F" w:rsidRPr="00821723" w:rsidRDefault="0064326F" w:rsidP="0064326F">
      <w:pPr>
        <w:tabs>
          <w:tab w:val="left" w:pos="709"/>
        </w:tabs>
        <w:spacing w:after="0" w:line="276" w:lineRule="auto"/>
        <w:ind w:left="709" w:right="709"/>
        <w:jc w:val="both"/>
        <w:rPr>
          <w:rFonts w:ascii="Verdana" w:eastAsia="Calibri" w:hAnsi="Verdana" w:cs="Arial"/>
          <w:color w:val="000000" w:themeColor="text1"/>
        </w:rPr>
      </w:pPr>
    </w:p>
    <w:p w14:paraId="4CDEB139" w14:textId="77777777" w:rsidR="0064326F" w:rsidRPr="00821723" w:rsidRDefault="0064326F" w:rsidP="0064326F">
      <w:pPr>
        <w:spacing w:after="120" w:line="276" w:lineRule="auto"/>
        <w:ind w:firstLine="708"/>
        <w:jc w:val="both"/>
        <w:rPr>
          <w:rFonts w:ascii="Verdana" w:eastAsia="Calibri" w:hAnsi="Verdana" w:cs="Arial"/>
          <w:color w:val="000000" w:themeColor="text1"/>
        </w:rPr>
      </w:pPr>
      <w:r w:rsidRPr="00821723">
        <w:rPr>
          <w:rFonts w:ascii="Verdana" w:eastAsia="Calibri" w:hAnsi="Verdana" w:cs="Arial"/>
          <w:color w:val="000000" w:themeColor="text1"/>
        </w:rPr>
        <w:t xml:space="preserve">Tratándose de la cesión de contratos estatales, conforme a la regulación del EGCAP, confluyen una mixtura entre el derecho público y privado en su regulación. En efecto, i) los contratos estatales se regirán por las normas comerciales y civiles pertinentes, salvo en lo concerniente a las materias particularmente reguladas en dicha ley, de acuerdo con lo prescrito en el inciso primero del artículo 13 de la Ley 80 de 1993, por lo que deben observarse en primer término las disposiciones establecidas en el EGCAP; </w:t>
      </w:r>
      <w:proofErr w:type="spellStart"/>
      <w:r w:rsidRPr="00821723">
        <w:rPr>
          <w:rFonts w:ascii="Verdana" w:eastAsia="Calibri" w:hAnsi="Verdana" w:cs="Arial"/>
          <w:color w:val="000000" w:themeColor="text1"/>
        </w:rPr>
        <w:t>ii</w:t>
      </w:r>
      <w:proofErr w:type="spellEnd"/>
      <w:r w:rsidRPr="00821723">
        <w:rPr>
          <w:rFonts w:ascii="Verdana" w:eastAsia="Calibri" w:hAnsi="Verdana" w:cs="Arial"/>
          <w:color w:val="000000" w:themeColor="text1"/>
        </w:rPr>
        <w:t xml:space="preserve">) corresponderán </w:t>
      </w:r>
      <w:r w:rsidRPr="00821723">
        <w:rPr>
          <w:rFonts w:ascii="Verdana" w:eastAsia="Calibri" w:hAnsi="Verdana" w:cs="Arial"/>
          <w:color w:val="000000" w:themeColor="text1"/>
        </w:rPr>
        <w:lastRenderedPageBreak/>
        <w:t xml:space="preserve">como actos jurídicos bilaterales generadores de obligaciones, entre otros, a los previstos en el derecho privado, en los términos del artículo 32 </w:t>
      </w:r>
      <w:r w:rsidRPr="00821723">
        <w:rPr>
          <w:rFonts w:ascii="Verdana" w:eastAsia="Calibri" w:hAnsi="Verdana" w:cs="Arial"/>
          <w:i/>
          <w:iCs/>
          <w:color w:val="000000" w:themeColor="text1"/>
        </w:rPr>
        <w:t>ibidem</w:t>
      </w:r>
      <w:r w:rsidRPr="00821723">
        <w:rPr>
          <w:rFonts w:ascii="Verdana" w:eastAsia="Calibri" w:hAnsi="Verdana" w:cs="Arial"/>
          <w:color w:val="000000" w:themeColor="text1"/>
        </w:rPr>
        <w:t xml:space="preserve">; y </w:t>
      </w:r>
      <w:proofErr w:type="spellStart"/>
      <w:r w:rsidRPr="00821723">
        <w:rPr>
          <w:rFonts w:ascii="Verdana" w:eastAsia="Calibri" w:hAnsi="Verdana" w:cs="Arial"/>
          <w:color w:val="000000" w:themeColor="text1"/>
        </w:rPr>
        <w:t>iii</w:t>
      </w:r>
      <w:proofErr w:type="spellEnd"/>
      <w:r w:rsidRPr="00821723">
        <w:rPr>
          <w:rFonts w:ascii="Verdana" w:eastAsia="Calibri" w:hAnsi="Verdana" w:cs="Arial"/>
          <w:color w:val="000000" w:themeColor="text1"/>
        </w:rPr>
        <w:t xml:space="preserve">) contendrán las estipulaciones que, de acuerdo con las normas civiles, comerciales y las previstas en esta ley, correspondan a su esencia y naturaleza, conforme a lo dispuesto por el artículo 40 </w:t>
      </w:r>
      <w:r w:rsidRPr="00821723">
        <w:rPr>
          <w:rFonts w:ascii="Verdana" w:eastAsia="Calibri" w:hAnsi="Verdana" w:cs="Arial"/>
          <w:i/>
          <w:iCs/>
          <w:color w:val="000000" w:themeColor="text1"/>
        </w:rPr>
        <w:t>ibidem</w:t>
      </w:r>
      <w:r w:rsidRPr="00821723">
        <w:rPr>
          <w:rFonts w:ascii="Verdana" w:eastAsia="Calibri" w:hAnsi="Verdana" w:cs="Arial"/>
          <w:color w:val="000000" w:themeColor="text1"/>
        </w:rPr>
        <w:t xml:space="preserve">. </w:t>
      </w:r>
    </w:p>
    <w:p w14:paraId="1641AB7B" w14:textId="77777777" w:rsidR="0064326F" w:rsidRPr="00821723" w:rsidRDefault="0064326F" w:rsidP="0064326F">
      <w:pPr>
        <w:spacing w:after="120" w:line="276" w:lineRule="auto"/>
        <w:ind w:firstLine="708"/>
        <w:jc w:val="both"/>
        <w:rPr>
          <w:rFonts w:ascii="Verdana" w:eastAsia="Calibri" w:hAnsi="Verdana" w:cs="Arial"/>
          <w:color w:val="000000" w:themeColor="text1"/>
        </w:rPr>
      </w:pPr>
      <w:r w:rsidRPr="00821723">
        <w:rPr>
          <w:rFonts w:ascii="Verdana" w:eastAsia="Calibri" w:hAnsi="Verdana" w:cs="Arial"/>
          <w:color w:val="000000" w:themeColor="text1"/>
        </w:rPr>
        <w:t>En este sentido, el Estatuto General de Contratación de la Administración Pública establece disposiciones específicas relativas a la figura de la cesión contractual. En principio, si bien rigen las normas relativas a la cesión del contrato contenidas en sus artículos 887 y siguientes del Código de Comercio, su aplicación procede ante la ausencia de norma que de manera particular regule el asunto frente a la categoría especial del contrato estatal.</w:t>
      </w:r>
    </w:p>
    <w:p w14:paraId="705C4401" w14:textId="77777777" w:rsidR="0064326F" w:rsidRPr="00821723" w:rsidRDefault="0064326F" w:rsidP="0064326F">
      <w:pPr>
        <w:tabs>
          <w:tab w:val="left" w:pos="709"/>
        </w:tabs>
        <w:spacing w:after="120" w:line="276" w:lineRule="auto"/>
        <w:jc w:val="both"/>
        <w:rPr>
          <w:rFonts w:ascii="Verdana" w:eastAsia="Calibri" w:hAnsi="Verdana" w:cs="Arial"/>
          <w:color w:val="000000" w:themeColor="text1"/>
        </w:rPr>
      </w:pPr>
      <w:r w:rsidRPr="00821723">
        <w:rPr>
          <w:rFonts w:ascii="Verdana" w:eastAsia="Calibri" w:hAnsi="Verdana" w:cs="Arial"/>
          <w:color w:val="000000" w:themeColor="text1"/>
        </w:rPr>
        <w:tab/>
        <w:t>Por ello, es pertinente indicar que el Decreto Ley 410 de 1971 contempla ciertas disposiciones que no se encuentran en la Ley 80 de 1993, lo que conlleva su aplicación en materia de contratos estatales. Por ejemplo, el artículo 890 establece lo relativo a la responsabilidad del cedente frente al cesionario y en torno a la existencia, validez y garantías del contrato cedido</w:t>
      </w:r>
      <w:r w:rsidRPr="00821723">
        <w:rPr>
          <w:rStyle w:val="Refdenotaalpie"/>
          <w:rFonts w:ascii="Verdana" w:eastAsia="Calibri" w:hAnsi="Verdana" w:cs="Arial"/>
          <w:color w:val="000000" w:themeColor="text1"/>
        </w:rPr>
        <w:footnoteReference w:id="26"/>
      </w:r>
      <w:r w:rsidRPr="00821723">
        <w:rPr>
          <w:rFonts w:ascii="Verdana" w:eastAsia="Calibri" w:hAnsi="Verdana" w:cs="Arial"/>
          <w:color w:val="000000" w:themeColor="text1"/>
        </w:rPr>
        <w:t>. Por otra parte, el artículo 891 obliga al cesionario a avisar al cedente de la mora o el incumplimiento dentro de los 10 días siguientes, siempre y cuando este se haya obligado a garantizar el cumplimiento por parte del contratante cedido</w:t>
      </w:r>
      <w:r w:rsidRPr="00821723">
        <w:rPr>
          <w:rStyle w:val="Refdenotaalpie"/>
          <w:rFonts w:ascii="Verdana" w:eastAsia="Calibri" w:hAnsi="Verdana" w:cs="Arial"/>
          <w:color w:val="000000" w:themeColor="text1"/>
        </w:rPr>
        <w:footnoteReference w:id="27"/>
      </w:r>
      <w:r w:rsidRPr="00821723">
        <w:rPr>
          <w:rFonts w:ascii="Verdana" w:eastAsia="Calibri" w:hAnsi="Verdana" w:cs="Arial"/>
          <w:color w:val="000000" w:themeColor="text1"/>
        </w:rPr>
        <w:t>. Asimismo, los artículos 895 y 896 disponen que la cesión de un contrato implica la transferencia de las acciones, privilegios y beneficios legales inherentes a la naturaleza y condiciones del contrato, excluyendo a aquellas que sean extrañas al mismo o que se funden en el estado o calidad particular de las partes, pudiendo, el contratante cedido, oponer contra el cesionario todas las excepciones que se deriven del contrato</w:t>
      </w:r>
      <w:r w:rsidRPr="00821723">
        <w:rPr>
          <w:rStyle w:val="Refdenotaalpie"/>
          <w:rFonts w:ascii="Verdana" w:eastAsia="Calibri" w:hAnsi="Verdana" w:cs="Arial"/>
          <w:color w:val="000000" w:themeColor="text1"/>
        </w:rPr>
        <w:footnoteReference w:id="28"/>
      </w:r>
      <w:r w:rsidRPr="00821723">
        <w:rPr>
          <w:rFonts w:ascii="Verdana" w:eastAsia="Calibri" w:hAnsi="Verdana" w:cs="Arial"/>
          <w:color w:val="000000" w:themeColor="text1"/>
        </w:rPr>
        <w:t xml:space="preserve">. </w:t>
      </w:r>
    </w:p>
    <w:p w14:paraId="1EA9CEA8" w14:textId="77777777" w:rsidR="0064326F" w:rsidRPr="00821723" w:rsidRDefault="0064326F" w:rsidP="0064326F">
      <w:pPr>
        <w:tabs>
          <w:tab w:val="left" w:pos="709"/>
        </w:tabs>
        <w:spacing w:after="120" w:line="276" w:lineRule="auto"/>
        <w:jc w:val="both"/>
        <w:rPr>
          <w:rFonts w:ascii="Verdana" w:eastAsia="Calibri" w:hAnsi="Verdana" w:cs="Arial"/>
          <w:color w:val="000000" w:themeColor="text1"/>
        </w:rPr>
      </w:pPr>
      <w:r w:rsidRPr="00821723">
        <w:rPr>
          <w:rFonts w:ascii="Verdana" w:eastAsia="Calibri" w:hAnsi="Verdana" w:cs="Arial"/>
          <w:color w:val="000000" w:themeColor="text1"/>
        </w:rPr>
        <w:lastRenderedPageBreak/>
        <w:tab/>
        <w:t xml:space="preserve">Al margen de estas y otras disposiciones que de manera particular consagra el Código de Comercio sobre la cesión del contrato, esta figura cuenta con algunas normas especiales en la Ley 80 de 1993. Por ejemplo, </w:t>
      </w:r>
      <w:bookmarkStart w:id="15" w:name="_Hlk79822251"/>
      <w:r w:rsidRPr="00821723">
        <w:rPr>
          <w:rFonts w:ascii="Verdana" w:eastAsia="Calibri" w:hAnsi="Verdana" w:cs="Arial"/>
          <w:color w:val="000000" w:themeColor="text1"/>
        </w:rPr>
        <w:t>el artículo 41, inciso tercero</w:t>
      </w:r>
      <w:bookmarkEnd w:id="15"/>
      <w:r w:rsidRPr="00821723">
        <w:rPr>
          <w:rFonts w:ascii="Verdana" w:eastAsia="Calibri" w:hAnsi="Verdana" w:cs="Arial"/>
          <w:color w:val="000000" w:themeColor="text1"/>
        </w:rPr>
        <w:t xml:space="preserve">, del EGCAP prescribe que “Los contratos estatales son </w:t>
      </w:r>
      <w:r w:rsidRPr="00821723">
        <w:rPr>
          <w:rFonts w:ascii="Verdana" w:eastAsia="Calibri" w:hAnsi="Verdana" w:cs="Arial"/>
          <w:i/>
          <w:iCs/>
          <w:color w:val="000000" w:themeColor="text1"/>
        </w:rPr>
        <w:t>intuito personae</w:t>
      </w:r>
      <w:r w:rsidRPr="00821723">
        <w:rPr>
          <w:rFonts w:ascii="Verdana" w:eastAsia="Calibri" w:hAnsi="Verdana" w:cs="Arial"/>
          <w:color w:val="000000" w:themeColor="text1"/>
        </w:rPr>
        <w:t xml:space="preserve"> y, en consecuencia, una vez celebrados no podrán cederse sin previa autorización escrita de la entidad contratante”. Esta norma contiene una prohibición general –</w:t>
      </w:r>
      <w:r w:rsidRPr="00821723">
        <w:rPr>
          <w:rFonts w:ascii="Verdana" w:eastAsia="Calibri" w:hAnsi="Verdana" w:cs="Arial"/>
          <w:i/>
          <w:iCs/>
          <w:color w:val="000000" w:themeColor="text1"/>
        </w:rPr>
        <w:t>faceta negativa</w:t>
      </w:r>
      <w:r w:rsidRPr="00821723">
        <w:rPr>
          <w:rFonts w:ascii="Verdana" w:eastAsia="Calibri" w:hAnsi="Verdana" w:cs="Arial"/>
          <w:color w:val="000000" w:themeColor="text1"/>
        </w:rPr>
        <w:t>– y una autorización excepcional –</w:t>
      </w:r>
      <w:r w:rsidRPr="00821723">
        <w:rPr>
          <w:rFonts w:ascii="Verdana" w:eastAsia="Calibri" w:hAnsi="Verdana" w:cs="Arial"/>
          <w:i/>
          <w:iCs/>
          <w:color w:val="000000" w:themeColor="text1"/>
        </w:rPr>
        <w:t>faceta positiva</w:t>
      </w:r>
      <w:r w:rsidRPr="00821723">
        <w:rPr>
          <w:rFonts w:ascii="Verdana" w:eastAsia="Calibri" w:hAnsi="Verdana" w:cs="Arial"/>
          <w:color w:val="000000" w:themeColor="text1"/>
        </w:rPr>
        <w:t>–.</w:t>
      </w:r>
    </w:p>
    <w:p w14:paraId="7369B2E8" w14:textId="77777777" w:rsidR="0064326F" w:rsidRPr="00821723" w:rsidRDefault="0064326F" w:rsidP="0064326F">
      <w:pPr>
        <w:tabs>
          <w:tab w:val="left" w:pos="709"/>
        </w:tabs>
        <w:spacing w:after="120" w:line="276" w:lineRule="auto"/>
        <w:jc w:val="both"/>
        <w:rPr>
          <w:rFonts w:ascii="Verdana" w:eastAsia="Calibri" w:hAnsi="Verdana" w:cs="Arial"/>
          <w:bCs/>
          <w:color w:val="000000" w:themeColor="text1"/>
        </w:rPr>
      </w:pPr>
      <w:r w:rsidRPr="00821723">
        <w:rPr>
          <w:rFonts w:ascii="Verdana" w:eastAsia="Calibri" w:hAnsi="Verdana" w:cs="Arial"/>
          <w:bCs/>
          <w:color w:val="000000" w:themeColor="text1"/>
        </w:rPr>
        <w:tab/>
        <w:t xml:space="preserve">En lo que respecta a la </w:t>
      </w:r>
      <w:r w:rsidRPr="00821723">
        <w:rPr>
          <w:rFonts w:ascii="Verdana" w:eastAsia="Calibri" w:hAnsi="Verdana" w:cs="Arial"/>
          <w:bCs/>
          <w:i/>
          <w:iCs/>
          <w:color w:val="000000" w:themeColor="text1"/>
        </w:rPr>
        <w:t>faceta negativa</w:t>
      </w:r>
      <w:r w:rsidRPr="00821723">
        <w:rPr>
          <w:rFonts w:ascii="Verdana" w:eastAsia="Calibri" w:hAnsi="Verdana" w:cs="Arial"/>
          <w:bCs/>
          <w:color w:val="000000" w:themeColor="text1"/>
        </w:rPr>
        <w:t>, el artículo 41 del Estatuto General ordena que el contrato se ejecute con quien inicialmente se celebró el acuerdo de voluntades, pues es la persona que –de acuerdo con los criterios definidos por la entidad para la selección del contratista– resulta idónea para cumplir con las obligaciones. De esta manera, la prohibición contenida en la norma citada es uno de los elementos de la naturaleza del contrato estatal, pues –conforme a lo previsto en el artículo 1501 del Código Civil– es de aquellos “</w:t>
      </w:r>
      <w:r>
        <w:rPr>
          <w:rFonts w:ascii="Verdana" w:eastAsia="Calibri" w:hAnsi="Verdana" w:cs="Arial"/>
          <w:bCs/>
          <w:color w:val="000000" w:themeColor="text1"/>
        </w:rPr>
        <w:t>(…)</w:t>
      </w:r>
      <w:r w:rsidRPr="00821723">
        <w:rPr>
          <w:rFonts w:ascii="Verdana" w:eastAsia="Calibri" w:hAnsi="Verdana" w:cs="Arial"/>
          <w:bCs/>
          <w:color w:val="000000" w:themeColor="text1"/>
        </w:rPr>
        <w:t xml:space="preserve"> que no siendo esenciales en él, se entienden pertenecerle, sin necesidad de una cláusula especial </w:t>
      </w:r>
      <w:r>
        <w:rPr>
          <w:rFonts w:ascii="Verdana" w:eastAsia="Calibri" w:hAnsi="Verdana" w:cs="Arial"/>
          <w:bCs/>
          <w:color w:val="000000" w:themeColor="text1"/>
        </w:rPr>
        <w:t>(…)”</w:t>
      </w:r>
      <w:r w:rsidRPr="00821723">
        <w:rPr>
          <w:rStyle w:val="Refdenotaalpie"/>
          <w:rFonts w:ascii="Verdana" w:eastAsia="Calibri" w:hAnsi="Verdana" w:cs="Arial"/>
          <w:bCs/>
          <w:color w:val="000000" w:themeColor="text1"/>
        </w:rPr>
        <w:footnoteReference w:id="29"/>
      </w:r>
      <w:r w:rsidRPr="00821723">
        <w:rPr>
          <w:rFonts w:ascii="Verdana" w:eastAsia="Calibri" w:hAnsi="Verdana" w:cs="Arial"/>
          <w:bCs/>
          <w:color w:val="000000" w:themeColor="text1"/>
        </w:rPr>
        <w:t xml:space="preserve">.  </w:t>
      </w:r>
    </w:p>
    <w:p w14:paraId="3901711B" w14:textId="77777777" w:rsidR="0064326F" w:rsidRPr="00821723" w:rsidRDefault="0064326F" w:rsidP="0064326F">
      <w:pPr>
        <w:spacing w:after="0" w:line="276" w:lineRule="auto"/>
        <w:ind w:firstLine="708"/>
        <w:jc w:val="both"/>
        <w:rPr>
          <w:rFonts w:ascii="Verdana" w:eastAsia="Calibri" w:hAnsi="Verdana" w:cs="Arial"/>
          <w:bCs/>
          <w:color w:val="000000" w:themeColor="text1"/>
        </w:rPr>
      </w:pPr>
      <w:r w:rsidRPr="00821723">
        <w:rPr>
          <w:rFonts w:ascii="Verdana" w:eastAsia="Calibri" w:hAnsi="Verdana" w:cs="Arial"/>
          <w:bCs/>
          <w:color w:val="000000" w:themeColor="text1"/>
        </w:rPr>
        <w:t xml:space="preserve">En su </w:t>
      </w:r>
      <w:r w:rsidRPr="00821723">
        <w:rPr>
          <w:rFonts w:ascii="Verdana" w:eastAsia="Calibri" w:hAnsi="Verdana" w:cs="Arial"/>
          <w:bCs/>
          <w:i/>
          <w:iCs/>
          <w:color w:val="000000" w:themeColor="text1"/>
        </w:rPr>
        <w:t>faceta positiva</w:t>
      </w:r>
      <w:r w:rsidRPr="00821723">
        <w:rPr>
          <w:rFonts w:ascii="Verdana" w:eastAsia="Calibri" w:hAnsi="Verdana" w:cs="Arial"/>
          <w:bCs/>
          <w:color w:val="000000" w:themeColor="text1"/>
        </w:rPr>
        <w:t>, la Ley 80 de 1993 permite excepcionalmente la cesión del contrato estatal siempre que exista autorización previa escrita de la entidad contratante. Por ello, “</w:t>
      </w:r>
      <w:r>
        <w:rPr>
          <w:rFonts w:ascii="Verdana" w:eastAsia="Calibri" w:hAnsi="Verdana" w:cs="Arial"/>
          <w:bCs/>
          <w:color w:val="000000" w:themeColor="text1"/>
        </w:rPr>
        <w:t xml:space="preserve">(…) </w:t>
      </w:r>
      <w:r w:rsidRPr="00821723">
        <w:rPr>
          <w:rFonts w:ascii="Verdana" w:eastAsia="Calibri" w:hAnsi="Verdana" w:cs="Arial"/>
          <w:bCs/>
          <w:color w:val="000000" w:themeColor="text1"/>
        </w:rPr>
        <w:t>El cocontratante que ‘</w:t>
      </w:r>
      <w:r w:rsidRPr="00821723">
        <w:rPr>
          <w:rFonts w:ascii="Verdana" w:eastAsia="Calibri" w:hAnsi="Verdana" w:cs="Arial"/>
          <w:bCs/>
          <w:i/>
          <w:iCs/>
          <w:color w:val="000000" w:themeColor="text1"/>
        </w:rPr>
        <w:t>ceda</w:t>
      </w:r>
      <w:r w:rsidRPr="00821723">
        <w:rPr>
          <w:rFonts w:ascii="Verdana" w:eastAsia="Calibri" w:hAnsi="Verdana" w:cs="Arial"/>
          <w:bCs/>
          <w:color w:val="000000" w:themeColor="text1"/>
        </w:rPr>
        <w:t>’ el contrato sin estar autorizado para ello incurre en grave responsabilidad: su actitud implica ‘</w:t>
      </w:r>
      <w:r w:rsidRPr="00821723">
        <w:rPr>
          <w:rFonts w:ascii="Verdana" w:eastAsia="Calibri" w:hAnsi="Verdana" w:cs="Arial"/>
          <w:bCs/>
          <w:i/>
          <w:iCs/>
          <w:color w:val="000000" w:themeColor="text1"/>
        </w:rPr>
        <w:t>incumplimiento</w:t>
      </w:r>
      <w:r w:rsidRPr="00821723">
        <w:rPr>
          <w:rFonts w:ascii="Verdana" w:eastAsia="Calibri" w:hAnsi="Verdana" w:cs="Arial"/>
          <w:bCs/>
          <w:color w:val="000000" w:themeColor="text1"/>
        </w:rPr>
        <w:t xml:space="preserve">’ del contrato; de ahí que esa cesión ilícita no resulte oponible a la Administración Pública </w:t>
      </w:r>
      <w:r>
        <w:rPr>
          <w:rFonts w:ascii="Verdana" w:eastAsia="Calibri" w:hAnsi="Verdana" w:cs="Arial"/>
          <w:bCs/>
          <w:color w:val="000000" w:themeColor="text1"/>
        </w:rPr>
        <w:t>(…)</w:t>
      </w:r>
      <w:r w:rsidRPr="00821723">
        <w:rPr>
          <w:rFonts w:ascii="Verdana" w:eastAsia="Calibri" w:hAnsi="Verdana" w:cs="Arial"/>
          <w:bCs/>
          <w:color w:val="000000" w:themeColor="text1"/>
        </w:rPr>
        <w:t>”</w:t>
      </w:r>
      <w:r w:rsidRPr="00821723">
        <w:rPr>
          <w:rStyle w:val="Refdenotaalpie"/>
          <w:rFonts w:ascii="Verdana" w:eastAsia="Calibri" w:hAnsi="Verdana" w:cs="Arial"/>
          <w:bCs/>
          <w:color w:val="000000" w:themeColor="text1"/>
        </w:rPr>
        <w:footnoteReference w:id="30"/>
      </w:r>
      <w:r w:rsidRPr="00821723">
        <w:rPr>
          <w:rFonts w:ascii="Verdana" w:eastAsia="Calibri" w:hAnsi="Verdana" w:cs="Arial"/>
          <w:bCs/>
          <w:color w:val="000000" w:themeColor="text1"/>
        </w:rPr>
        <w:t>. Este requisito introduce un elemento especial que no está previsto en el Código de Comercio, pues en el derecho privado –</w:t>
      </w:r>
      <w:r w:rsidRPr="00821723">
        <w:rPr>
          <w:rFonts w:ascii="Verdana" w:eastAsia="Calibri" w:hAnsi="Verdana" w:cs="Arial"/>
          <w:bCs/>
          <w:color w:val="000000" w:themeColor="text1"/>
        </w:rPr>
        <w:lastRenderedPageBreak/>
        <w:t xml:space="preserve">salvo las excepciones previstas en la ley– la cesión requiere el acuerdo de voluntades entre el cedente y el cesionario, sin que medie la aceptación del contratante cedido. </w:t>
      </w:r>
      <w:r w:rsidRPr="00821723">
        <w:rPr>
          <w:rFonts w:ascii="Verdana" w:eastAsia="Calibri" w:hAnsi="Verdana" w:cs="Arial"/>
          <w:color w:val="000000" w:themeColor="text1"/>
        </w:rPr>
        <w:t>En relación con lo anterior la doctrina define la cesión en los contratos estatales de la siguiente manera:</w:t>
      </w:r>
    </w:p>
    <w:p w14:paraId="075CF859" w14:textId="77777777" w:rsidR="0064326F" w:rsidRPr="00821723" w:rsidRDefault="0064326F" w:rsidP="0064326F">
      <w:pPr>
        <w:spacing w:after="0" w:line="240" w:lineRule="auto"/>
        <w:ind w:firstLine="709"/>
        <w:jc w:val="both"/>
        <w:rPr>
          <w:rFonts w:ascii="Verdana" w:eastAsia="Calibri" w:hAnsi="Verdana" w:cs="Arial"/>
          <w:color w:val="000000" w:themeColor="text1"/>
        </w:rPr>
      </w:pPr>
      <w:r w:rsidRPr="00821723">
        <w:rPr>
          <w:rFonts w:ascii="Verdana" w:eastAsia="Calibri" w:hAnsi="Verdana" w:cs="Arial"/>
          <w:color w:val="000000" w:themeColor="text1"/>
        </w:rPr>
        <w:t xml:space="preserve"> </w:t>
      </w:r>
    </w:p>
    <w:p w14:paraId="14B01227" w14:textId="77777777" w:rsidR="0064326F" w:rsidRPr="003667DB" w:rsidRDefault="0064326F" w:rsidP="0064326F">
      <w:pPr>
        <w:spacing w:after="0" w:line="240" w:lineRule="auto"/>
        <w:ind w:left="709" w:right="709"/>
        <w:jc w:val="both"/>
        <w:rPr>
          <w:rFonts w:ascii="Verdana" w:eastAsia="Calibri" w:hAnsi="Verdana" w:cs="Arial"/>
          <w:color w:val="000000" w:themeColor="text1"/>
          <w:sz w:val="20"/>
          <w:szCs w:val="20"/>
        </w:rPr>
      </w:pPr>
      <w:r w:rsidRPr="00821723">
        <w:rPr>
          <w:rFonts w:ascii="Verdana" w:eastAsia="Calibri" w:hAnsi="Verdana" w:cs="Arial"/>
          <w:color w:val="000000" w:themeColor="text1"/>
        </w:rPr>
        <w:t>“</w:t>
      </w:r>
      <w:r w:rsidRPr="003667DB">
        <w:rPr>
          <w:rFonts w:ascii="Verdana" w:eastAsia="Calibri" w:hAnsi="Verdana" w:cs="Arial"/>
          <w:color w:val="000000" w:themeColor="text1"/>
          <w:sz w:val="20"/>
          <w:szCs w:val="20"/>
        </w:rPr>
        <w:t xml:space="preserve">La cesión en la contratación estatal supone, previa autorización de la entidad contratante, la sustitución </w:t>
      </w:r>
      <w:r w:rsidRPr="003667DB">
        <w:rPr>
          <w:rFonts w:ascii="Verdana" w:eastAsia="Calibri" w:hAnsi="Verdana" w:cs="Arial"/>
          <w:i/>
          <w:iCs/>
          <w:color w:val="000000" w:themeColor="text1"/>
          <w:sz w:val="20"/>
          <w:szCs w:val="20"/>
        </w:rPr>
        <w:t>in genere</w:t>
      </w:r>
      <w:r w:rsidRPr="003667DB">
        <w:rPr>
          <w:rFonts w:ascii="Verdana" w:eastAsia="Calibri" w:hAnsi="Verdana" w:cs="Arial"/>
          <w:color w:val="000000" w:themeColor="text1"/>
          <w:sz w:val="20"/>
          <w:szCs w:val="20"/>
        </w:rPr>
        <w:t>, total o parcial, de una de las partes de la relación jurídica (contratante o contratista) por un tercero, que se subroga en los derechos y obligaciones de aquella, por medio de la modificación del contrato estatal originario. La cesión posibilita el reemplazo total o parcial de una parte en su posición contractual originaria, sin que sea precisa la transferencia individual de cuantos derechos y obligaciones conforman la universalidad jurídica a ceder (…)”</w:t>
      </w:r>
      <w:r w:rsidRPr="003667DB">
        <w:rPr>
          <w:rStyle w:val="Refdenotaalpie"/>
          <w:rFonts w:ascii="Verdana" w:hAnsi="Verdana" w:cs="Arial"/>
          <w:color w:val="000000" w:themeColor="text1"/>
          <w:sz w:val="20"/>
          <w:szCs w:val="20"/>
        </w:rPr>
        <w:footnoteReference w:id="31"/>
      </w:r>
      <w:r w:rsidRPr="003667DB">
        <w:rPr>
          <w:rFonts w:ascii="Verdana" w:eastAsia="Calibri" w:hAnsi="Verdana" w:cs="Arial"/>
          <w:color w:val="000000" w:themeColor="text1"/>
          <w:sz w:val="20"/>
          <w:szCs w:val="20"/>
        </w:rPr>
        <w:t>.</w:t>
      </w:r>
    </w:p>
    <w:p w14:paraId="41B50EE6" w14:textId="77777777" w:rsidR="0064326F" w:rsidRPr="003667DB" w:rsidRDefault="0064326F" w:rsidP="0064326F">
      <w:pPr>
        <w:spacing w:after="0" w:line="276" w:lineRule="auto"/>
        <w:jc w:val="both"/>
        <w:rPr>
          <w:rFonts w:ascii="Verdana" w:eastAsia="Calibri" w:hAnsi="Verdana" w:cs="Arial"/>
          <w:color w:val="000000" w:themeColor="text1"/>
          <w:sz w:val="20"/>
          <w:szCs w:val="20"/>
        </w:rPr>
      </w:pPr>
    </w:p>
    <w:p w14:paraId="5A097840" w14:textId="77777777" w:rsidR="0064326F" w:rsidRPr="00821723" w:rsidRDefault="0064326F" w:rsidP="0064326F">
      <w:pPr>
        <w:spacing w:after="120" w:line="276" w:lineRule="auto"/>
        <w:ind w:firstLine="709"/>
        <w:jc w:val="both"/>
        <w:rPr>
          <w:rFonts w:ascii="Verdana" w:eastAsia="Calibri" w:hAnsi="Verdana" w:cs="Arial"/>
          <w:bCs/>
          <w:color w:val="000000" w:themeColor="text1"/>
        </w:rPr>
      </w:pPr>
      <w:r w:rsidRPr="00821723">
        <w:rPr>
          <w:rFonts w:ascii="Verdana" w:eastAsia="Calibri" w:hAnsi="Verdana" w:cs="Arial"/>
          <w:bCs/>
          <w:color w:val="000000" w:themeColor="text1"/>
        </w:rPr>
        <w:t>Autorizada previamente por la entidad cedida, esta forma de cesión requiere la suscripción de un contrato entre el cedente y el cesionario, por lo que es bilateral en la medida en que requiere un acuerdo voluntades. Con fundamento en el mismo, el cesionario reemplaza –en todo o en parte– al contratista cedente en la ejecución del contrato estatal, respondiendo por el cumplimiento de las obligaciones frente a la Administración.</w:t>
      </w:r>
      <w:r w:rsidRPr="00821723">
        <w:rPr>
          <w:rFonts w:ascii="Verdana" w:hAnsi="Verdana"/>
        </w:rPr>
        <w:t xml:space="preserve"> </w:t>
      </w:r>
      <w:r w:rsidRPr="00821723">
        <w:rPr>
          <w:rFonts w:ascii="Verdana" w:eastAsia="Calibri" w:hAnsi="Verdana" w:cs="Arial"/>
          <w:bCs/>
          <w:color w:val="000000" w:themeColor="text1"/>
        </w:rPr>
        <w:t>El inciso primero del artículo 888 del Código de Comercio señala que “La sustitución podrá hacerse por escrito o verbalmente, según que el contrato conste o no por escrito”. Como el contrato estatal es solemne en los términos de los artículos 39 y 41 de la Ley 80 de 1993, se impone la forma escrita para cederlo</w:t>
      </w:r>
      <w:r w:rsidRPr="00821723">
        <w:rPr>
          <w:rFonts w:ascii="Verdana" w:eastAsia="Calibri" w:hAnsi="Verdana" w:cs="Arial"/>
          <w:color w:val="000000" w:themeColor="text1"/>
        </w:rPr>
        <w:t xml:space="preserve">. </w:t>
      </w:r>
    </w:p>
    <w:p w14:paraId="38572244" w14:textId="77777777" w:rsidR="0064326F" w:rsidRPr="00821723" w:rsidRDefault="0064326F" w:rsidP="0064326F">
      <w:pPr>
        <w:tabs>
          <w:tab w:val="left" w:pos="709"/>
        </w:tabs>
        <w:spacing w:after="120" w:line="276" w:lineRule="auto"/>
        <w:jc w:val="both"/>
        <w:rPr>
          <w:rFonts w:ascii="Verdana" w:eastAsia="Calibri" w:hAnsi="Verdana" w:cs="Arial"/>
          <w:color w:val="000000" w:themeColor="text1"/>
        </w:rPr>
      </w:pPr>
      <w:bookmarkStart w:id="16" w:name="_Hlk80369799"/>
      <w:r w:rsidRPr="00821723">
        <w:rPr>
          <w:rFonts w:ascii="Verdana" w:eastAsia="Calibri" w:hAnsi="Verdana" w:cs="Arial"/>
          <w:color w:val="000000" w:themeColor="text1"/>
        </w:rPr>
        <w:tab/>
        <w:t xml:space="preserve">Por lo demás, el Consejo de Estado ha precisado como requisitos de la cesión del contrato estatal los siguientes: i) debe recaer en un tercero; </w:t>
      </w:r>
      <w:proofErr w:type="spellStart"/>
      <w:r w:rsidRPr="00821723">
        <w:rPr>
          <w:rFonts w:ascii="Verdana" w:eastAsia="Calibri" w:hAnsi="Verdana" w:cs="Arial"/>
          <w:color w:val="000000" w:themeColor="text1"/>
        </w:rPr>
        <w:t>ii</w:t>
      </w:r>
      <w:proofErr w:type="spellEnd"/>
      <w:r w:rsidRPr="00821723">
        <w:rPr>
          <w:rFonts w:ascii="Verdana" w:eastAsia="Calibri" w:hAnsi="Verdana" w:cs="Arial"/>
          <w:color w:val="000000" w:themeColor="text1"/>
        </w:rPr>
        <w:t xml:space="preserve">) el cesionario debe tener capacidad jurídica para continuar con la ejecución del objeto contractual y no estar incurso en causales de inhabilidad e incompatibilidad para contratar; y </w:t>
      </w:r>
      <w:proofErr w:type="spellStart"/>
      <w:r w:rsidRPr="00821723">
        <w:rPr>
          <w:rFonts w:ascii="Verdana" w:eastAsia="Calibri" w:hAnsi="Verdana" w:cs="Arial"/>
          <w:color w:val="000000" w:themeColor="text1"/>
        </w:rPr>
        <w:t>iii</w:t>
      </w:r>
      <w:proofErr w:type="spellEnd"/>
      <w:r w:rsidRPr="00821723">
        <w:rPr>
          <w:rFonts w:ascii="Verdana" w:eastAsia="Calibri" w:hAnsi="Verdana" w:cs="Arial"/>
          <w:color w:val="000000" w:themeColor="text1"/>
        </w:rPr>
        <w:t xml:space="preserve">) el cesionario debe contar con capacidad técnica, económica y financiera suficientes para el cumplimiento de las obligaciones emanadas del contrato cedido. Al respecto, la Sección Tercera del Consejo de Estado ha explicado que, en la medida que el tercero cesionario asume la posición contractual del contratista cedente, las disposiciones, los pliegos de condiciones y el contrato mismo serán aplicables a quien asuma la </w:t>
      </w:r>
      <w:r w:rsidRPr="00821723">
        <w:rPr>
          <w:rFonts w:ascii="Verdana" w:eastAsia="Calibri" w:hAnsi="Verdana" w:cs="Arial"/>
          <w:color w:val="000000" w:themeColor="text1"/>
        </w:rPr>
        <w:lastRenderedPageBreak/>
        <w:t>nueva posición contractual. De esta manera, la capacidad jurídica, económica y técnica del contratista cedente se exigirá también al cesionario</w:t>
      </w:r>
      <w:bookmarkStart w:id="17" w:name="_Hlk80369829"/>
      <w:bookmarkEnd w:id="16"/>
      <w:r w:rsidRPr="00821723">
        <w:rPr>
          <w:rFonts w:ascii="Verdana" w:eastAsia="Calibri" w:hAnsi="Verdana" w:cs="Arial"/>
          <w:color w:val="000000" w:themeColor="text1"/>
        </w:rPr>
        <w:t>, ya que “</w:t>
      </w:r>
      <w:r>
        <w:rPr>
          <w:rFonts w:ascii="Verdana" w:eastAsia="Calibri" w:hAnsi="Verdana" w:cs="Arial"/>
          <w:color w:val="000000" w:themeColor="text1"/>
        </w:rPr>
        <w:t xml:space="preserve">(…) </w:t>
      </w:r>
      <w:r w:rsidRPr="00821723">
        <w:rPr>
          <w:rFonts w:ascii="Verdana" w:eastAsia="Calibri" w:hAnsi="Verdana" w:cs="Arial"/>
          <w:color w:val="000000" w:themeColor="text1"/>
        </w:rPr>
        <w:t>el proceso cesión del contrato y las exigencias que se le impongan al tercero, no pueden alterar ni burlar los procedimientos de selección del contratista, en otras palabras, la figura de la cesión de contrato no puede servir como instrumento para desviar las obligaciones que tiene la entidad contratante de cumplimiento de los parámetros de la selección objetiva</w:t>
      </w:r>
      <w:bookmarkEnd w:id="17"/>
      <w:r w:rsidRPr="00821723">
        <w:rPr>
          <w:rFonts w:ascii="Verdana" w:eastAsia="Calibri" w:hAnsi="Verdana" w:cs="Arial"/>
          <w:color w:val="000000" w:themeColor="text1"/>
        </w:rPr>
        <w:t>”</w:t>
      </w:r>
      <w:r w:rsidRPr="00821723">
        <w:rPr>
          <w:rStyle w:val="Refdenotaalpie"/>
          <w:rFonts w:ascii="Verdana" w:eastAsia="Calibri" w:hAnsi="Verdana" w:cs="Arial"/>
          <w:color w:val="000000" w:themeColor="text1"/>
        </w:rPr>
        <w:footnoteReference w:id="32"/>
      </w:r>
      <w:r w:rsidRPr="00821723">
        <w:rPr>
          <w:rFonts w:ascii="Verdana" w:eastAsia="Calibri" w:hAnsi="Verdana" w:cs="Arial"/>
          <w:color w:val="000000" w:themeColor="text1"/>
        </w:rPr>
        <w:t>.</w:t>
      </w:r>
    </w:p>
    <w:p w14:paraId="01CA5D94" w14:textId="77777777" w:rsidR="0064326F" w:rsidRPr="00C27D7E" w:rsidRDefault="0064326F" w:rsidP="0064326F">
      <w:pPr>
        <w:tabs>
          <w:tab w:val="left" w:pos="709"/>
        </w:tabs>
        <w:spacing w:after="120" w:line="276" w:lineRule="auto"/>
        <w:ind w:firstLine="709"/>
        <w:jc w:val="both"/>
        <w:rPr>
          <w:rFonts w:ascii="Verdana" w:eastAsia="Calibri" w:hAnsi="Verdana" w:cs="Arial"/>
          <w:color w:val="000000" w:themeColor="text1"/>
        </w:rPr>
      </w:pPr>
      <w:bookmarkStart w:id="18" w:name="_Hlk80369857"/>
      <w:r w:rsidRPr="00821723">
        <w:rPr>
          <w:rFonts w:ascii="Verdana" w:eastAsia="Calibri" w:hAnsi="Verdana" w:cs="Arial"/>
          <w:color w:val="000000" w:themeColor="text1"/>
        </w:rPr>
        <w:t xml:space="preserve">Por lo tanto, la entidad estatal en el trámite de autorización de una cesión de posición contractual está obligada a respetar los criterios normativos que resulten aplicables al proceso de contratación, entre otros, los principios de transparencia, selección objetiva e igualdad. En otros términos, so pretexto de una cesión contractual, no pueden vulnerarse las reglas y principios de la </w:t>
      </w:r>
      <w:r w:rsidRPr="00C27D7E">
        <w:rPr>
          <w:rFonts w:ascii="Verdana" w:eastAsia="Calibri" w:hAnsi="Verdana" w:cs="Arial"/>
          <w:color w:val="000000" w:themeColor="text1"/>
        </w:rPr>
        <w:t>contratación estatal.</w:t>
      </w:r>
    </w:p>
    <w:bookmarkEnd w:id="18"/>
    <w:p w14:paraId="4B74A632" w14:textId="77777777" w:rsidR="0064326F" w:rsidRPr="004C544B" w:rsidRDefault="0064326F" w:rsidP="0064326F">
      <w:pPr>
        <w:tabs>
          <w:tab w:val="left" w:pos="709"/>
        </w:tabs>
        <w:spacing w:after="0" w:line="276" w:lineRule="auto"/>
        <w:ind w:firstLine="709"/>
        <w:jc w:val="both"/>
        <w:rPr>
          <w:rFonts w:ascii="Verdana" w:eastAsia="Calibri" w:hAnsi="Verdana" w:cs="Arial"/>
          <w:color w:val="000000" w:themeColor="text1"/>
        </w:rPr>
      </w:pPr>
      <w:r w:rsidRPr="00C27D7E">
        <w:rPr>
          <w:rFonts w:ascii="Verdana" w:eastAsia="Calibri" w:hAnsi="Verdana" w:cs="Arial"/>
          <w:color w:val="000000" w:themeColor="text1"/>
        </w:rPr>
        <w:t xml:space="preserve">Además, el inciso primero del artículo 9 de la Ley 80 de 1993 establece una importante previsión en materia de cesión del contrato estatal, conforme a la cual “Si llegare a sobrevenir inhabilidad o incompatibilidad en el contratista, este cederá el contrato previa autorización escrita de la entidad contratante o, si ello no fuere posible, renunciará a su ejecución”. </w:t>
      </w:r>
      <w:r>
        <w:rPr>
          <w:rFonts w:ascii="Verdana" w:eastAsia="Calibri" w:hAnsi="Verdana" w:cs="Arial"/>
          <w:color w:val="000000" w:themeColor="text1"/>
        </w:rPr>
        <w:t>Adicionalmente</w:t>
      </w:r>
      <w:r w:rsidRPr="00C27D7E">
        <w:rPr>
          <w:rFonts w:ascii="Verdana" w:eastAsia="Calibri" w:hAnsi="Verdana" w:cs="Arial"/>
          <w:color w:val="000000" w:themeColor="text1"/>
        </w:rPr>
        <w:t xml:space="preserve">, en el inciso tercero del artículo citado impone una limitación a la cesión dentro del contrato estatal, que consiste en que, si la inhabilidad o incompatibilidad sobreviene a uno de los miembros del consorcio o unión temporal, “(…) este cederá su participación a un tercero previa autorización escrita de la entidad contratante (…)”, y establece que “(…) En ningún caso, podrá haber cesión del contrato entre quienes integran el consorcio o unión temporal”. </w:t>
      </w:r>
      <w:r w:rsidRPr="004C544B">
        <w:rPr>
          <w:rFonts w:ascii="Verdana" w:eastAsia="Calibri" w:hAnsi="Verdana" w:cs="Arial"/>
          <w:color w:val="000000" w:themeColor="text1"/>
        </w:rPr>
        <w:t>En esta última hipótesis, para la doctrina no existe un tercero como requisito de la cesión, y agrega lo siguiente:</w:t>
      </w:r>
    </w:p>
    <w:p w14:paraId="5518A52E" w14:textId="77777777" w:rsidR="0064326F" w:rsidRPr="004C544B" w:rsidRDefault="0064326F" w:rsidP="0064326F">
      <w:pPr>
        <w:tabs>
          <w:tab w:val="left" w:pos="709"/>
        </w:tabs>
        <w:spacing w:after="0" w:line="276" w:lineRule="auto"/>
        <w:jc w:val="both"/>
        <w:rPr>
          <w:rFonts w:ascii="Verdana" w:eastAsia="Calibri" w:hAnsi="Verdana" w:cs="Arial"/>
          <w:color w:val="000000" w:themeColor="text1"/>
        </w:rPr>
      </w:pPr>
    </w:p>
    <w:p w14:paraId="2D85BE76" w14:textId="77777777" w:rsidR="0064326F" w:rsidRPr="004C544B" w:rsidRDefault="0064326F" w:rsidP="0064326F">
      <w:pPr>
        <w:tabs>
          <w:tab w:val="left" w:pos="709"/>
        </w:tabs>
        <w:spacing w:after="0" w:line="240" w:lineRule="auto"/>
        <w:ind w:left="709" w:right="709"/>
        <w:jc w:val="both"/>
        <w:rPr>
          <w:rFonts w:ascii="Verdana" w:eastAsia="Calibri" w:hAnsi="Verdana" w:cs="Arial"/>
          <w:color w:val="000000" w:themeColor="text1"/>
          <w:sz w:val="21"/>
          <w:szCs w:val="21"/>
        </w:rPr>
      </w:pPr>
      <w:r w:rsidRPr="004C544B">
        <w:rPr>
          <w:rFonts w:ascii="Verdana" w:eastAsia="Calibri" w:hAnsi="Verdana" w:cs="Arial"/>
          <w:color w:val="000000" w:themeColor="text1"/>
          <w:sz w:val="21"/>
          <w:szCs w:val="21"/>
        </w:rPr>
        <w:t xml:space="preserve">“[…] supóngase que no existiera la restricción aludida; en este caso tampoco es válida la cesión en un integrante de un consorcio o unión temporal dado que los consorcios o uniones temporales no tienen personalidad jurídica, sino solo capacidad para celebrar contratos estatales, en virtud de la habilitación contenida en el artículo 6 de la Ley 80 de 1993. En estos casos se está en presencia, por tanto, de un contratista plural; esto es, la calidad de contratista se predica de cada </w:t>
      </w:r>
      <w:r w:rsidRPr="004C544B">
        <w:rPr>
          <w:rFonts w:ascii="Verdana" w:eastAsia="Calibri" w:hAnsi="Verdana" w:cs="Arial"/>
          <w:color w:val="000000" w:themeColor="text1"/>
          <w:sz w:val="21"/>
          <w:szCs w:val="21"/>
        </w:rPr>
        <w:lastRenderedPageBreak/>
        <w:t>uno de los integrantes del consorcio o unión temporal, de allí que […] no es válida la cesión en el propio contratista”</w:t>
      </w:r>
      <w:r w:rsidRPr="004C544B">
        <w:rPr>
          <w:rStyle w:val="Refdenotaalpie"/>
          <w:rFonts w:ascii="Verdana" w:eastAsia="Calibri" w:hAnsi="Verdana" w:cs="Arial"/>
          <w:color w:val="000000" w:themeColor="text1"/>
          <w:sz w:val="21"/>
          <w:szCs w:val="21"/>
        </w:rPr>
        <w:footnoteReference w:id="33"/>
      </w:r>
      <w:r w:rsidRPr="004C544B">
        <w:rPr>
          <w:rFonts w:ascii="Verdana" w:eastAsia="Calibri" w:hAnsi="Verdana" w:cs="Arial"/>
          <w:color w:val="000000" w:themeColor="text1"/>
          <w:sz w:val="21"/>
          <w:szCs w:val="21"/>
        </w:rPr>
        <w:t xml:space="preserve">.   </w:t>
      </w:r>
    </w:p>
    <w:p w14:paraId="7EE88C28" w14:textId="77777777" w:rsidR="0064326F" w:rsidRPr="004C544B" w:rsidRDefault="0064326F" w:rsidP="0064326F">
      <w:pPr>
        <w:tabs>
          <w:tab w:val="left" w:pos="709"/>
        </w:tabs>
        <w:spacing w:after="0" w:line="276" w:lineRule="auto"/>
        <w:ind w:firstLine="709"/>
        <w:jc w:val="both"/>
        <w:rPr>
          <w:rFonts w:ascii="Verdana" w:eastAsia="Calibri" w:hAnsi="Verdana" w:cs="Arial"/>
          <w:color w:val="000000" w:themeColor="text1"/>
        </w:rPr>
      </w:pPr>
    </w:p>
    <w:p w14:paraId="3A55CBD3" w14:textId="77777777" w:rsidR="0064326F" w:rsidRDefault="0064326F" w:rsidP="0064326F">
      <w:pPr>
        <w:spacing w:line="276" w:lineRule="auto"/>
        <w:ind w:right="51" w:firstLine="709"/>
        <w:jc w:val="both"/>
        <w:rPr>
          <w:rFonts w:ascii="Verdana" w:eastAsia="Calibri" w:hAnsi="Verdana" w:cs="Arial"/>
          <w:color w:val="000000" w:themeColor="text1"/>
        </w:rPr>
      </w:pPr>
      <w:r>
        <w:rPr>
          <w:rFonts w:ascii="Verdana" w:eastAsia="Calibri" w:hAnsi="Verdana" w:cs="Arial"/>
          <w:color w:val="000000" w:themeColor="text1"/>
        </w:rPr>
        <w:t xml:space="preserve">De esta manera, si está prohibida la cesión entre quienes integren el proponente plural, significa que está permitida la cesión de sus integrantes a un tercero distinto a los miembros del consorcio o la unión temporal. Esto no es más que la aplicación del argumento </w:t>
      </w:r>
      <w:r w:rsidRPr="00E377B4">
        <w:rPr>
          <w:rFonts w:ascii="Verdana" w:eastAsia="Calibri" w:hAnsi="Verdana" w:cs="Arial"/>
          <w:i/>
          <w:iCs/>
          <w:color w:val="000000" w:themeColor="text1"/>
        </w:rPr>
        <w:t>a contrario</w:t>
      </w:r>
      <w:r>
        <w:rPr>
          <w:rFonts w:ascii="Verdana" w:eastAsia="Calibri" w:hAnsi="Verdana" w:cs="Arial"/>
          <w:color w:val="000000" w:themeColor="text1"/>
        </w:rPr>
        <w:t xml:space="preserve">, criterio hermenéutico por el cual </w:t>
      </w:r>
      <w:r w:rsidRPr="003A34AF">
        <w:rPr>
          <w:rFonts w:ascii="Verdana" w:eastAsia="Calibri" w:hAnsi="Verdana" w:cs="Arial"/>
          <w:color w:val="000000" w:themeColor="text1"/>
        </w:rPr>
        <w:t>“[…] dado un enunciado normativo que predica una cualificación normativa respecto a un término en él incluido que está por un sujeto o una clase de sujetos, debe evitarse extender el significado de ese término de modo tal que llegue a comprender a sujetos o clases de sujetos no estricta y literalmente incluidos en él de conformidad con el primer enunciado normativo</w:t>
      </w:r>
      <w:r>
        <w:rPr>
          <w:rFonts w:ascii="Verdana" w:eastAsia="Calibri" w:hAnsi="Verdana" w:cs="Arial"/>
          <w:color w:val="000000" w:themeColor="text1"/>
        </w:rPr>
        <w:t>”</w:t>
      </w:r>
      <w:r>
        <w:rPr>
          <w:rStyle w:val="Refdenotaalpie"/>
          <w:rFonts w:ascii="Verdana" w:eastAsia="Calibri" w:hAnsi="Verdana" w:cs="Arial"/>
          <w:color w:val="000000" w:themeColor="text1"/>
        </w:rPr>
        <w:footnoteReference w:id="34"/>
      </w:r>
      <w:r w:rsidRPr="003A34AF">
        <w:rPr>
          <w:rFonts w:ascii="Verdana" w:eastAsia="Calibri" w:hAnsi="Verdana" w:cs="Arial"/>
          <w:color w:val="000000" w:themeColor="text1"/>
        </w:rPr>
        <w:t>.</w:t>
      </w:r>
      <w:r>
        <w:rPr>
          <w:rFonts w:ascii="Verdana" w:eastAsia="Calibri" w:hAnsi="Verdana" w:cs="Arial"/>
          <w:color w:val="000000" w:themeColor="text1"/>
        </w:rPr>
        <w:t xml:space="preserve"> </w:t>
      </w:r>
    </w:p>
    <w:p w14:paraId="087929B5" w14:textId="77777777" w:rsidR="0064326F" w:rsidRPr="003A34AF" w:rsidRDefault="0064326F" w:rsidP="0064326F">
      <w:pPr>
        <w:spacing w:line="276" w:lineRule="auto"/>
        <w:ind w:right="51" w:firstLine="709"/>
        <w:jc w:val="both"/>
        <w:rPr>
          <w:rFonts w:ascii="Verdana" w:eastAsia="Calibri" w:hAnsi="Verdana" w:cs="Arial"/>
          <w:color w:val="000000" w:themeColor="text1"/>
          <w:sz w:val="20"/>
          <w:szCs w:val="20"/>
        </w:rPr>
      </w:pPr>
      <w:r>
        <w:rPr>
          <w:rFonts w:ascii="Verdana" w:eastAsia="Calibri" w:hAnsi="Verdana" w:cs="Arial"/>
          <w:color w:val="000000" w:themeColor="text1"/>
        </w:rPr>
        <w:t>Por tanto, si dicho tercero cumple los requisitos de capacidad jurídica, no está incurso en causales de inhabilidad o incompatibilidad y, de acuerdo con los criterios previstos en el pliego de condiciones, es idóneo desde el punto de vista técnico, económico y financiero para cumplir con las obligaciones, la entidad podrá analizar la posibilidad de autorizar la cesión. Siempre que se cumpla este criterio mínimo, la entidad podrá valorar si el tercero cesionario debe tener las mismas o mayores aptitudes que el contratista cedente, pues la autorización para ceder es una potestad de naturaleza discrecional</w:t>
      </w:r>
      <w:r>
        <w:rPr>
          <w:rStyle w:val="Refdenotaalpie"/>
          <w:rFonts w:ascii="Verdana" w:eastAsia="Calibri" w:hAnsi="Verdana" w:cs="Arial"/>
          <w:color w:val="000000" w:themeColor="text1"/>
        </w:rPr>
        <w:footnoteReference w:id="35"/>
      </w:r>
      <w:r>
        <w:rPr>
          <w:rFonts w:ascii="Verdana" w:eastAsia="Calibri" w:hAnsi="Verdana" w:cs="Arial"/>
          <w:color w:val="000000" w:themeColor="text1"/>
        </w:rPr>
        <w:t xml:space="preserve">.   </w:t>
      </w:r>
    </w:p>
    <w:p w14:paraId="2B41C63E" w14:textId="77777777" w:rsidR="0064326F" w:rsidRDefault="0064326F" w:rsidP="0064326F">
      <w:pPr>
        <w:spacing w:after="120" w:line="276" w:lineRule="auto"/>
        <w:ind w:right="51" w:firstLine="709"/>
        <w:jc w:val="both"/>
        <w:rPr>
          <w:rFonts w:ascii="Verdana" w:hAnsi="Verdana" w:cs="Arial"/>
          <w:color w:val="000000" w:themeColor="text1"/>
        </w:rPr>
      </w:pPr>
      <w:bookmarkStart w:id="19" w:name="_Hlk79797430"/>
      <w:r w:rsidRPr="00C27D7E">
        <w:rPr>
          <w:rFonts w:ascii="Verdana" w:eastAsia="Calibri" w:hAnsi="Verdana" w:cs="Arial"/>
          <w:color w:val="000000" w:themeColor="text1"/>
        </w:rPr>
        <w:t xml:space="preserve">En suma, la Ley 80 de 1993 no reguló en su integridad la cesión del contrato, como tampoco lo hizo el Código Civil en el que se consagra la figura de la cesión de créditos –arts. 1959 y ss.–. En cambio, </w:t>
      </w:r>
      <w:bookmarkStart w:id="20" w:name="_Hlk79799730"/>
      <w:r w:rsidRPr="00C27D7E">
        <w:rPr>
          <w:rFonts w:ascii="Verdana" w:eastAsia="Calibri" w:hAnsi="Verdana" w:cs="Arial"/>
          <w:color w:val="000000" w:themeColor="text1"/>
        </w:rPr>
        <w:t xml:space="preserve">los artículos 887 a 896 </w:t>
      </w:r>
      <w:bookmarkEnd w:id="20"/>
      <w:r w:rsidRPr="00C27D7E">
        <w:rPr>
          <w:rFonts w:ascii="Verdana" w:eastAsia="Calibri" w:hAnsi="Verdana" w:cs="Arial"/>
          <w:color w:val="000000" w:themeColor="text1"/>
        </w:rPr>
        <w:t>del Código de Comercio definen la cesión del contrato. Por consiguiente, resultan aplicables las normas del derecho civil y comercial pertinentes, sobre cesión del crédito y cesión de contratos respectivamente, salvo en las materias particularmente reguladas por el Estatuto General de Contratación de la Administración Pública, como lo señala el artículo 13 de la Ley 80 de 1993.</w:t>
      </w:r>
      <w:r w:rsidRPr="00821723">
        <w:rPr>
          <w:rFonts w:ascii="Verdana" w:hAnsi="Verdana" w:cs="Arial"/>
          <w:color w:val="000000" w:themeColor="text1"/>
        </w:rPr>
        <w:t xml:space="preserve"> </w:t>
      </w:r>
      <w:bookmarkEnd w:id="19"/>
    </w:p>
    <w:p w14:paraId="155F08ED" w14:textId="77777777" w:rsidR="0064326F" w:rsidRDefault="0064326F" w:rsidP="0064326F">
      <w:pPr>
        <w:spacing w:after="120" w:line="276" w:lineRule="auto"/>
        <w:ind w:right="51"/>
        <w:jc w:val="both"/>
        <w:rPr>
          <w:rFonts w:ascii="Verdana" w:hAnsi="Verdana" w:cs="Arial"/>
          <w:color w:val="000000" w:themeColor="text1"/>
        </w:rPr>
      </w:pPr>
      <w:proofErr w:type="spellStart"/>
      <w:r>
        <w:rPr>
          <w:rFonts w:ascii="Verdana" w:hAnsi="Verdana" w:cs="Arial"/>
          <w:color w:val="000000" w:themeColor="text1"/>
        </w:rPr>
        <w:t>iii</w:t>
      </w:r>
      <w:proofErr w:type="spellEnd"/>
      <w:r>
        <w:rPr>
          <w:rFonts w:ascii="Verdana" w:hAnsi="Verdana" w:cs="Arial"/>
          <w:color w:val="000000" w:themeColor="text1"/>
        </w:rPr>
        <w:t xml:space="preserve">. Con sustento en lo anterior se debe advertir que, las condiciones de experiencia exigidas al cesionario es un aspecto que está sometido la discrecionalidad de la entidad estatal contratante para autorizar la cesión. Sin duda alguna, los requisitos en principio exigidos por el pliego de condiciones </w:t>
      </w:r>
      <w:r>
        <w:rPr>
          <w:rFonts w:ascii="Verdana" w:hAnsi="Verdana" w:cs="Arial"/>
          <w:color w:val="000000" w:themeColor="text1"/>
        </w:rPr>
        <w:lastRenderedPageBreak/>
        <w:t xml:space="preserve">definitivo constituyen un referente, pero su exigibilidad como condiciones para autorizar la cesión, debe ser determinada a </w:t>
      </w:r>
      <w:r w:rsidRPr="00516D19">
        <w:rPr>
          <w:rFonts w:ascii="Verdana" w:hAnsi="Verdana" w:cs="Arial"/>
          <w:i/>
          <w:iCs/>
          <w:color w:val="000000" w:themeColor="text1"/>
        </w:rPr>
        <w:t>test</w:t>
      </w:r>
      <w:r>
        <w:rPr>
          <w:rFonts w:ascii="Verdana" w:hAnsi="Verdana" w:cs="Arial"/>
          <w:color w:val="000000" w:themeColor="text1"/>
        </w:rPr>
        <w:t xml:space="preserve"> que determine su adecuación y proporcionalidad para medir la aptitud requerida para desarrollar los componentes del contrato pendientes de ejecutar, análisis que desde luego debe ser realizado en el momento de realizar la cesión.  </w:t>
      </w:r>
    </w:p>
    <w:p w14:paraId="79E61BC0" w14:textId="77777777" w:rsidR="0064326F" w:rsidRDefault="0064326F" w:rsidP="0064326F">
      <w:pPr>
        <w:spacing w:after="120" w:line="276" w:lineRule="auto"/>
        <w:ind w:right="51"/>
        <w:jc w:val="both"/>
        <w:rPr>
          <w:rFonts w:ascii="Verdana" w:hAnsi="Verdana" w:cs="Arial"/>
          <w:color w:val="000000" w:themeColor="text1"/>
        </w:rPr>
      </w:pPr>
      <w:r>
        <w:rPr>
          <w:rFonts w:ascii="Verdana" w:hAnsi="Verdana" w:cs="Arial"/>
          <w:color w:val="000000" w:themeColor="text1"/>
        </w:rPr>
        <w:tab/>
        <w:t xml:space="preserve">En todo caso, las entidades estatales deberán valorar la experiencia de los eventuales cesionarios a través los medios de prueba que resulten conducentes para el efecto, aspecto en el que resulta recomendable acudir a los documentos en su momento señalados en el pliego de condiciones. No obstante, en respuesta a la cuestión materia de consulta debe advertirse que, de la fecha de cierre del proceso de contratación no deriva una limitante temporal objetiva que impida valorar la experiencia adquirida por el cesionario con posterioridad a dicho momento. Esto comoquiera que, la valoración de esta experiencia no se da en el contexto de un proceso de selección, sino en el marco del ejercicio de la potestad discrecional relativa a la autorización de la cesión, establecida en el inciso tercero del artículo 41 de la Ley 80 de 1993.    </w:t>
      </w:r>
    </w:p>
    <w:p w14:paraId="0BC382AC" w14:textId="77777777" w:rsidR="0064326F" w:rsidRPr="00A832D8" w:rsidRDefault="0064326F" w:rsidP="0064326F">
      <w:pPr>
        <w:spacing w:after="120" w:line="276" w:lineRule="auto"/>
        <w:ind w:right="51" w:firstLine="709"/>
        <w:jc w:val="both"/>
        <w:rPr>
          <w:rFonts w:ascii="Verdana" w:hAnsi="Verdana" w:cs="Arial"/>
          <w:color w:val="000000" w:themeColor="text1"/>
        </w:rPr>
      </w:pPr>
      <w:r>
        <w:rPr>
          <w:rFonts w:ascii="Verdana" w:hAnsi="Verdana" w:cs="Arial"/>
          <w:color w:val="000000" w:themeColor="text1"/>
        </w:rPr>
        <w:t xml:space="preserve">En ese orden, en este escenario no reglado, lo recomendable es tener en cuenta toda aquella experiencia que el eventual cesionario logre acreditar, mediante medios idóneos, en relación con los requisitos que la entidad estatal estime adecuados y proporcionales como condiciones para autorizar la cesión. El RUP es uno de los medios, al tener el carácter de plena prueba de las condiciones que contiene, dan fe a la entidad estatal de la experiencia adquirida por el cesionario a partir de los contratos que para el momento de la cesión se encuentre en firme, sin perjuicio de que tal firmeza se haya adquirido con posterioridad al cierre del proceso de selección.   </w:t>
      </w:r>
      <w:r w:rsidRPr="00A832D8">
        <w:rPr>
          <w:rFonts w:ascii="Verdana" w:hAnsi="Verdana" w:cs="Arial"/>
          <w:color w:val="000000" w:themeColor="text1"/>
        </w:rPr>
        <w:t xml:space="preserve">En este sentido, la autorización de la entidad estatal para ceder el contrato no equivale a una nueva evaluación habilitante en los términos de un proceso de selección. La verificación que procede es funcional y limitada: constatar que el cesionario cuenta con condiciones suficientes para garantizar la continuidad y correcta ejecución del objeto contractual. </w:t>
      </w:r>
    </w:p>
    <w:p w14:paraId="6678C5F1" w14:textId="77777777" w:rsidR="0064326F" w:rsidRDefault="0064326F" w:rsidP="0064326F">
      <w:pPr>
        <w:spacing w:after="12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w:t>
      </w:r>
      <w:r w:rsidRPr="00E853DE">
        <w:rPr>
          <w:rFonts w:ascii="Verdana" w:eastAsia="Calibri" w:hAnsi="Verdana" w:cs="Arial"/>
          <w:bCs/>
          <w:color w:val="000000" w:themeColor="text1"/>
        </w:rPr>
        <w:lastRenderedPageBreak/>
        <w:t>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24E9700" w14:textId="77777777" w:rsidR="0064326F" w:rsidRPr="00185EE9" w:rsidRDefault="0064326F" w:rsidP="0064326F">
      <w:pPr>
        <w:spacing w:after="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5C03BCC8" w14:textId="77777777" w:rsidR="0064326F" w:rsidRPr="00A832D8" w:rsidRDefault="0064326F" w:rsidP="0064326F">
      <w:pPr>
        <w:spacing w:after="120" w:line="276" w:lineRule="auto"/>
        <w:ind w:right="51" w:firstLine="709"/>
        <w:jc w:val="both"/>
        <w:rPr>
          <w:rFonts w:ascii="Verdana" w:hAnsi="Verdana" w:cs="Arial"/>
          <w:color w:val="000000" w:themeColor="text1"/>
        </w:rPr>
      </w:pPr>
    </w:p>
    <w:p w14:paraId="166E2012" w14:textId="77777777" w:rsidR="0064326F" w:rsidRPr="001F283D" w:rsidRDefault="0064326F" w:rsidP="0064326F">
      <w:pPr>
        <w:tabs>
          <w:tab w:val="left" w:pos="142"/>
          <w:tab w:val="left" w:pos="284"/>
        </w:tabs>
        <w:spacing w:after="0" w:line="276" w:lineRule="auto"/>
        <w:rPr>
          <w:rFonts w:ascii="Verdana" w:eastAsia="Century Gothic" w:hAnsi="Verdana" w:cs="Century Gothic"/>
          <w:b/>
          <w:bCs/>
        </w:rPr>
      </w:pPr>
      <w:bookmarkStart w:id="21" w:name="_Hlk204854194"/>
      <w:r>
        <w:rPr>
          <w:rFonts w:ascii="Verdana" w:eastAsia="Century Gothic" w:hAnsi="Verdana" w:cs="Century Gothic"/>
          <w:b/>
          <w:bCs/>
        </w:rPr>
        <w:t xml:space="preserve">4. </w:t>
      </w:r>
      <w:r w:rsidRPr="001F283D">
        <w:rPr>
          <w:rFonts w:ascii="Verdana" w:eastAsia="Century Gothic" w:hAnsi="Verdana" w:cs="Century Gothic"/>
          <w:b/>
          <w:bCs/>
        </w:rPr>
        <w:t>Referencias normativas:</w:t>
      </w:r>
    </w:p>
    <w:bookmarkEnd w:id="21"/>
    <w:p w14:paraId="19D11D18" w14:textId="77777777" w:rsidR="0064326F" w:rsidRPr="00593A5F" w:rsidRDefault="0064326F" w:rsidP="0064326F">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4326F" w:rsidRPr="002407CE" w14:paraId="2751251D" w14:textId="77777777" w:rsidTr="00AD0296">
        <w:trPr>
          <w:trHeight w:val="870"/>
          <w:jc w:val="center"/>
        </w:trPr>
        <w:tc>
          <w:tcPr>
            <w:tcW w:w="8647" w:type="dxa"/>
          </w:tcPr>
          <w:p w14:paraId="0655F14C" w14:textId="77777777" w:rsidR="0064326F" w:rsidRDefault="0064326F" w:rsidP="00AD0296">
            <w:pPr>
              <w:pStyle w:val="Textonotapie"/>
              <w:contextualSpacing/>
              <w:jc w:val="both"/>
              <w:rPr>
                <w:rFonts w:ascii="Verdana" w:hAnsi="Verdana" w:cs="Arial"/>
                <w:sz w:val="22"/>
                <w:szCs w:val="22"/>
                <w:lang w:val="es-CO"/>
              </w:rPr>
            </w:pPr>
            <w:r>
              <w:rPr>
                <w:rFonts w:ascii="Verdana" w:hAnsi="Verdana" w:cs="Arial"/>
                <w:sz w:val="22"/>
                <w:szCs w:val="22"/>
                <w:lang w:val="es-CO"/>
              </w:rPr>
              <w:t xml:space="preserve">   </w:t>
            </w:r>
          </w:p>
          <w:p w14:paraId="2A16A057" w14:textId="77777777" w:rsidR="0064326F" w:rsidRDefault="0064326F" w:rsidP="0064326F">
            <w:pPr>
              <w:pStyle w:val="Textonotapie"/>
              <w:numPr>
                <w:ilvl w:val="0"/>
                <w:numId w:val="2"/>
              </w:numPr>
              <w:spacing w:after="120" w:line="276" w:lineRule="auto"/>
              <w:jc w:val="both"/>
              <w:rPr>
                <w:rFonts w:ascii="Verdana" w:hAnsi="Verdana" w:cs="Arial"/>
                <w:sz w:val="22"/>
                <w:szCs w:val="22"/>
                <w:lang w:val="es-CO"/>
              </w:rPr>
            </w:pPr>
            <w:r>
              <w:rPr>
                <w:rFonts w:ascii="Verdana" w:hAnsi="Verdana" w:cs="Arial"/>
                <w:sz w:val="22"/>
                <w:szCs w:val="22"/>
                <w:lang w:val="es-CO"/>
              </w:rPr>
              <w:t>Ley 1150 de 2007. Artículos 5, numeral 5.1, 6, numeral 6.1, 6.3.</w:t>
            </w:r>
          </w:p>
          <w:p w14:paraId="4111F821" w14:textId="77777777" w:rsidR="0064326F" w:rsidRPr="00E3772F" w:rsidRDefault="0064326F" w:rsidP="0064326F">
            <w:pPr>
              <w:pStyle w:val="Textonotapie"/>
              <w:numPr>
                <w:ilvl w:val="0"/>
                <w:numId w:val="2"/>
              </w:numPr>
              <w:spacing w:after="120" w:line="276" w:lineRule="auto"/>
              <w:jc w:val="both"/>
              <w:rPr>
                <w:rFonts w:ascii="Verdana" w:hAnsi="Verdana" w:cs="Arial"/>
                <w:sz w:val="22"/>
                <w:szCs w:val="22"/>
                <w:lang w:val="es-CO"/>
              </w:rPr>
            </w:pPr>
            <w:r>
              <w:rPr>
                <w:rFonts w:ascii="Verdana" w:hAnsi="Verdana" w:cs="Arial"/>
                <w:sz w:val="22"/>
                <w:szCs w:val="22"/>
                <w:lang w:val="es-CO"/>
              </w:rPr>
              <w:t xml:space="preserve">Decreto 1082 de 2015. Artículos </w:t>
            </w:r>
            <w:r w:rsidRPr="000F3B89">
              <w:rPr>
                <w:rFonts w:ascii="Verdana" w:hAnsi="Verdana" w:cs="Arial"/>
                <w:sz w:val="22"/>
                <w:szCs w:val="22"/>
                <w:lang w:val="es-ES_tradnl" w:eastAsia="es-ES_tradnl"/>
              </w:rPr>
              <w:t xml:space="preserve">2.2.1.1.1.5.1, 2.2.1.1.1.5.2. </w:t>
            </w:r>
          </w:p>
          <w:p w14:paraId="6968F19D" w14:textId="77777777" w:rsidR="0064326F" w:rsidRDefault="0064326F" w:rsidP="0064326F">
            <w:pPr>
              <w:pStyle w:val="Textonotapie"/>
              <w:numPr>
                <w:ilvl w:val="0"/>
                <w:numId w:val="2"/>
              </w:numPr>
              <w:spacing w:after="120" w:line="276" w:lineRule="auto"/>
              <w:jc w:val="both"/>
              <w:rPr>
                <w:rFonts w:ascii="Verdana" w:hAnsi="Verdana" w:cs="Arial"/>
                <w:sz w:val="22"/>
                <w:szCs w:val="22"/>
                <w:lang w:val="es-CO"/>
              </w:rPr>
            </w:pPr>
            <w:r>
              <w:rPr>
                <w:rFonts w:ascii="Verdana" w:hAnsi="Verdana" w:cs="Arial"/>
                <w:sz w:val="22"/>
                <w:szCs w:val="22"/>
                <w:lang w:val="es-CO"/>
              </w:rPr>
              <w:t xml:space="preserve">Ley 1437 de 2011. Artículo 87. </w:t>
            </w:r>
            <w:r w:rsidRPr="00363685">
              <w:rPr>
                <w:rFonts w:ascii="Verdana" w:hAnsi="Verdana" w:cs="Arial"/>
                <w:sz w:val="22"/>
                <w:szCs w:val="22"/>
                <w:lang w:val="es-CO"/>
              </w:rPr>
              <w:t>Ley 1882 de 2018</w:t>
            </w:r>
            <w:r>
              <w:rPr>
                <w:rFonts w:ascii="Verdana" w:hAnsi="Verdana" w:cs="Arial"/>
                <w:sz w:val="22"/>
                <w:szCs w:val="22"/>
                <w:lang w:val="es-CO"/>
              </w:rPr>
              <w:t xml:space="preserve">. Artículo 5. </w:t>
            </w:r>
          </w:p>
          <w:p w14:paraId="7A09F5E3" w14:textId="77777777" w:rsidR="0064326F" w:rsidRDefault="0064326F" w:rsidP="0064326F">
            <w:pPr>
              <w:pStyle w:val="Textonotapie"/>
              <w:numPr>
                <w:ilvl w:val="0"/>
                <w:numId w:val="2"/>
              </w:numPr>
              <w:spacing w:after="120" w:line="276" w:lineRule="auto"/>
              <w:jc w:val="both"/>
              <w:rPr>
                <w:rFonts w:ascii="Verdana" w:hAnsi="Verdana" w:cs="Arial"/>
                <w:sz w:val="22"/>
                <w:szCs w:val="22"/>
                <w:lang w:val="es-CO"/>
              </w:rPr>
            </w:pPr>
            <w:r w:rsidRPr="000410F1">
              <w:rPr>
                <w:rFonts w:ascii="Verdana" w:hAnsi="Verdana" w:cs="Arial"/>
                <w:sz w:val="22"/>
                <w:szCs w:val="22"/>
                <w:lang w:val="es-CO"/>
              </w:rPr>
              <w:t>Consejo de Estado. Sala de lo Contencioso Administrativo. Sección Tercera. Subsección B. Sentencia del 6 de junio de 2013. Radicado: 11001-03-26-000-2003-00026-01 (25151-25152) C.P. Stella Conto Díaz del Castillo.</w:t>
            </w:r>
            <w:r>
              <w:rPr>
                <w:rFonts w:ascii="Verdana" w:hAnsi="Verdana" w:cs="Arial"/>
                <w:sz w:val="22"/>
                <w:szCs w:val="22"/>
                <w:lang w:val="es-CO"/>
              </w:rPr>
              <w:t xml:space="preserve"> </w:t>
            </w:r>
          </w:p>
          <w:p w14:paraId="6B2B0E35" w14:textId="77777777" w:rsidR="0064326F" w:rsidRDefault="0064326F" w:rsidP="0064326F">
            <w:pPr>
              <w:pStyle w:val="Textonotapie"/>
              <w:numPr>
                <w:ilvl w:val="0"/>
                <w:numId w:val="2"/>
              </w:numPr>
              <w:spacing w:after="120" w:line="276" w:lineRule="auto"/>
              <w:jc w:val="both"/>
              <w:rPr>
                <w:rFonts w:ascii="Verdana" w:hAnsi="Verdana" w:cs="Arial"/>
                <w:sz w:val="22"/>
                <w:szCs w:val="22"/>
                <w:lang w:val="es-CO"/>
              </w:rPr>
            </w:pPr>
            <w:r w:rsidRPr="00363685">
              <w:rPr>
                <w:rFonts w:ascii="Verdana" w:hAnsi="Verdana" w:cs="Arial"/>
                <w:sz w:val="22"/>
                <w:szCs w:val="22"/>
                <w:lang w:val="es-CO"/>
              </w:rPr>
              <w:t>Consejo de Estado. Sala de lo Contencioso Administrativo. Sección Tercera. Subsección A. Sentencia del 19 de septiembre de 2019. Radicado: 25000-23-36-000-2015-02571-02 (59432). C.P. Marta Nubia Velásquez Rico.</w:t>
            </w:r>
          </w:p>
          <w:p w14:paraId="6DCCF41F" w14:textId="77777777" w:rsidR="0064326F" w:rsidRDefault="0064326F" w:rsidP="0064326F">
            <w:pPr>
              <w:pStyle w:val="Textonotapie"/>
              <w:numPr>
                <w:ilvl w:val="0"/>
                <w:numId w:val="2"/>
              </w:numPr>
              <w:spacing w:after="120" w:line="276" w:lineRule="auto"/>
              <w:jc w:val="both"/>
              <w:rPr>
                <w:rFonts w:ascii="Verdana" w:hAnsi="Verdana" w:cs="Arial"/>
                <w:sz w:val="22"/>
                <w:szCs w:val="22"/>
                <w:lang w:val="es-CO"/>
              </w:rPr>
            </w:pPr>
            <w:r w:rsidRPr="00363685">
              <w:rPr>
                <w:rFonts w:ascii="Verdana" w:hAnsi="Verdana" w:cs="Arial"/>
                <w:sz w:val="22"/>
                <w:szCs w:val="22"/>
                <w:lang w:val="es-CO"/>
              </w:rPr>
              <w:lastRenderedPageBreak/>
              <w:t>Consejo de Estado. Sala de lo Contencioso Administrativo. Sección Cuarta. Sentencia del 19 de noviembre de 1999. Radicado: 11001-03-27-000-2012-00031-00 (9453). CP. Daniel Manrique Guzmán.</w:t>
            </w:r>
          </w:p>
          <w:p w14:paraId="6ABE469D" w14:textId="77777777" w:rsidR="0064326F" w:rsidRDefault="0064326F" w:rsidP="0064326F">
            <w:pPr>
              <w:pStyle w:val="Textonotapie"/>
              <w:numPr>
                <w:ilvl w:val="0"/>
                <w:numId w:val="2"/>
              </w:numPr>
              <w:spacing w:after="120" w:line="276" w:lineRule="auto"/>
              <w:jc w:val="both"/>
              <w:rPr>
                <w:rFonts w:ascii="Verdana" w:hAnsi="Verdana" w:cs="Arial"/>
                <w:sz w:val="22"/>
                <w:szCs w:val="22"/>
                <w:lang w:val="es-CO"/>
              </w:rPr>
            </w:pPr>
            <w:r w:rsidRPr="00363685">
              <w:rPr>
                <w:rFonts w:ascii="Verdana" w:hAnsi="Verdana" w:cs="Arial"/>
                <w:sz w:val="22"/>
                <w:szCs w:val="22"/>
                <w:lang w:val="es-CO"/>
              </w:rPr>
              <w:t>Consejo de Estado. Sala de Consulta y Servicio Civil. Concepto del 6 de noviembre de 2008. Radicado: 11001-03-06-000-2008-00079-00 (1.927). C.P. William Zambrano Cetina</w:t>
            </w:r>
            <w:r>
              <w:rPr>
                <w:rFonts w:ascii="Verdana" w:hAnsi="Verdana" w:cs="Arial"/>
                <w:sz w:val="22"/>
                <w:szCs w:val="22"/>
                <w:lang w:val="es-CO"/>
              </w:rPr>
              <w:t>.</w:t>
            </w:r>
          </w:p>
          <w:p w14:paraId="20A7F0E5" w14:textId="77777777" w:rsidR="0064326F" w:rsidRPr="00A57FA0" w:rsidRDefault="0064326F" w:rsidP="0064326F">
            <w:pPr>
              <w:pStyle w:val="Prrafodelista"/>
              <w:widowControl w:val="0"/>
              <w:numPr>
                <w:ilvl w:val="0"/>
                <w:numId w:val="2"/>
              </w:numPr>
              <w:autoSpaceDE w:val="0"/>
              <w:autoSpaceDN w:val="0"/>
              <w:spacing w:after="120" w:line="276" w:lineRule="auto"/>
              <w:contextualSpacing w:val="0"/>
              <w:jc w:val="both"/>
              <w:rPr>
                <w:rFonts w:ascii="Verdana" w:hAnsi="Verdana" w:cs="Arial"/>
                <w:color w:val="000000" w:themeColor="text1"/>
              </w:rPr>
            </w:pPr>
            <w:r w:rsidRPr="00363685">
              <w:rPr>
                <w:rFonts w:ascii="Verdana" w:hAnsi="Verdana" w:cs="Arial"/>
              </w:rPr>
              <w:t>Circular Externa Única de Colombia Compra Eficiente</w:t>
            </w:r>
            <w:r>
              <w:rPr>
                <w:rFonts w:ascii="Verdana" w:hAnsi="Verdana" w:cs="Arial"/>
              </w:rPr>
              <w:t>.</w:t>
            </w:r>
            <w:r w:rsidRPr="00363685">
              <w:rPr>
                <w:rFonts w:ascii="Verdana" w:hAnsi="Verdana" w:cs="Arial"/>
              </w:rPr>
              <w:t xml:space="preserve"> link:</w:t>
            </w:r>
            <w:r>
              <w:rPr>
                <w:rFonts w:ascii="Verdana" w:hAnsi="Verdana" w:cs="Arial"/>
              </w:rPr>
              <w:t xml:space="preserve"> </w:t>
            </w:r>
            <w:hyperlink r:id="rId9" w:history="1">
              <w:r w:rsidRPr="00363685">
                <w:rPr>
                  <w:rStyle w:val="Hipervnculo"/>
                  <w:rFonts w:ascii="Verdana" w:hAnsi="Verdana"/>
                </w:rPr>
                <w:t>circular_externa_unica_version_3_vf49.pdf</w:t>
              </w:r>
            </w:hyperlink>
          </w:p>
          <w:p w14:paraId="65D13E55" w14:textId="77777777" w:rsidR="0064326F" w:rsidRPr="00A57FA0" w:rsidRDefault="0064326F" w:rsidP="0064326F">
            <w:pPr>
              <w:pStyle w:val="NormalWeb"/>
              <w:numPr>
                <w:ilvl w:val="0"/>
                <w:numId w:val="2"/>
              </w:numPr>
              <w:spacing w:before="120" w:beforeAutospacing="0" w:after="0" w:afterAutospacing="0" w:line="276" w:lineRule="auto"/>
              <w:jc w:val="both"/>
              <w:rPr>
                <w:rFonts w:ascii="Verdana" w:hAnsi="Verdana" w:cs="Arial"/>
                <w:color w:val="000000" w:themeColor="text1"/>
                <w:sz w:val="22"/>
                <w:szCs w:val="22"/>
              </w:rPr>
            </w:pPr>
          </w:p>
        </w:tc>
      </w:tr>
    </w:tbl>
    <w:p w14:paraId="6F098207" w14:textId="77777777" w:rsidR="0064326F" w:rsidRPr="00277E26" w:rsidRDefault="0064326F" w:rsidP="0064326F">
      <w:pPr>
        <w:widowControl w:val="0"/>
        <w:autoSpaceDE w:val="0"/>
        <w:autoSpaceDN w:val="0"/>
        <w:spacing w:after="0" w:line="276" w:lineRule="auto"/>
        <w:jc w:val="both"/>
        <w:rPr>
          <w:rFonts w:ascii="Verdana" w:hAnsi="Verdana" w:cs="Arial"/>
        </w:rPr>
      </w:pPr>
    </w:p>
    <w:p w14:paraId="5ACE4518" w14:textId="77777777" w:rsidR="0064326F" w:rsidRPr="001F283D" w:rsidRDefault="0064326F" w:rsidP="0064326F">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5. </w:t>
      </w:r>
      <w:r w:rsidRPr="001F283D">
        <w:rPr>
          <w:rFonts w:ascii="Verdana" w:eastAsia="Century Gothic" w:hAnsi="Verdana" w:cs="Century Gothic"/>
          <w:b/>
          <w:bCs/>
        </w:rPr>
        <w:t>Doctrina de la Agencia Nacional de Contratación Pública:</w:t>
      </w:r>
    </w:p>
    <w:p w14:paraId="363DA1FB" w14:textId="77777777" w:rsidR="0064326F" w:rsidRDefault="0064326F" w:rsidP="0064326F">
      <w:pPr>
        <w:widowControl w:val="0"/>
        <w:autoSpaceDE w:val="0"/>
        <w:autoSpaceDN w:val="0"/>
        <w:spacing w:after="0" w:line="276" w:lineRule="auto"/>
        <w:jc w:val="both"/>
        <w:rPr>
          <w:rStyle w:val="normaltextrun"/>
          <w:rFonts w:ascii="Verdana" w:hAnsi="Verdana" w:cs="Arial"/>
          <w:shd w:val="clear" w:color="auto" w:fill="FFFFFF"/>
        </w:rPr>
      </w:pPr>
    </w:p>
    <w:p w14:paraId="757BE21D" w14:textId="77777777" w:rsidR="0064326F" w:rsidRPr="000952AC" w:rsidRDefault="0064326F" w:rsidP="0064326F">
      <w:pPr>
        <w:widowControl w:val="0"/>
        <w:autoSpaceDE w:val="0"/>
        <w:autoSpaceDN w:val="0"/>
        <w:spacing w:after="0" w:line="276" w:lineRule="auto"/>
        <w:jc w:val="both"/>
        <w:rPr>
          <w:rFonts w:ascii="Verdana" w:eastAsia="Calibri" w:hAnsi="Verdana" w:cs="Times New Roman"/>
        </w:rPr>
      </w:pPr>
      <w:r w:rsidRPr="00543208">
        <w:rPr>
          <w:rFonts w:ascii="Verdana" w:hAnsi="Verdana" w:cs="Arial"/>
          <w:bCs/>
          <w:shd w:val="clear" w:color="auto" w:fill="FFFFFF"/>
        </w:rPr>
        <w:t xml:space="preserve">Sobre la firmeza de la inscripción, renovación y actualización del Registro Único de Proponentes, esta Subdirección se ha pronunciado en los conceptos </w:t>
      </w:r>
      <w:r w:rsidRPr="00543208">
        <w:rPr>
          <w:rFonts w:ascii="Verdana" w:eastAsia="Calibri" w:hAnsi="Verdana" w:cs="Arial"/>
          <w:lang w:val="es-ES_tradnl" w:eastAsia="es-ES_tradnl"/>
        </w:rPr>
        <w:t>C–005  del 14 de febrero de 2020, C–148 del 22 de abril de 2020, C–330 del 27 de mayo de 2020, C–303 del 3 de junio de 2020, C–328 de 30 de junio de 2020, C–454 del 6 de julio de 2020, C–374 del 23 de julio de 2020, C–466 del 24 de julio de 2020, C–420 del 28 de julio de 2020, C–534 del 12 de agosto de 2020, C-703 del 12 de enero de 2022, C-360 del 25 de mayo de 2022, C-426 del 5 de julio de 2022</w:t>
      </w:r>
      <w:r w:rsidRPr="00543208">
        <w:rPr>
          <w:rFonts w:ascii="Verdana" w:hAnsi="Verdana" w:cs="Arial"/>
          <w:shd w:val="clear" w:color="auto" w:fill="FFFFFF"/>
        </w:rPr>
        <w:t>, C-066 del 2 de junio de 2023, C-353 del 30 de agosto de 2024</w:t>
      </w:r>
      <w:r w:rsidRPr="00543208">
        <w:rPr>
          <w:rFonts w:ascii="Verdana" w:hAnsi="Verdana" w:cs="Arial"/>
          <w:bCs/>
          <w:shd w:val="clear" w:color="auto" w:fill="FFFFFF"/>
        </w:rPr>
        <w:t xml:space="preserve">, C-287 del 16 de abril de 2025, C-444 del 16 de mayo de 2025, C-544 del 16 de junio de 2025, </w:t>
      </w:r>
      <w:r w:rsidRPr="00543208">
        <w:rPr>
          <w:rFonts w:ascii="Verdana" w:eastAsia="Calibri" w:hAnsi="Verdana" w:cs="Times New Roman"/>
        </w:rPr>
        <w:t>entre otros. 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r>
        <w:rPr>
          <w:rFonts w:ascii="Verdana" w:eastAsia="Calibri" w:hAnsi="Verdana" w:cs="Times New Roman"/>
        </w:rPr>
        <w:t xml:space="preserve"> </w:t>
      </w:r>
      <w:hyperlink r:id="rId10" w:history="1">
        <w:r w:rsidRPr="006A02B1">
          <w:rPr>
            <w:rStyle w:val="Hipervnculo"/>
            <w:rFonts w:ascii="Verdana" w:hAnsi="Verdana"/>
          </w:rPr>
          <w:t>https://www.colombiacompra.gov.co/normativa-y-relatoria/conoce-la-relatoria</w:t>
        </w:r>
      </w:hyperlink>
      <w:r w:rsidRPr="000952AC">
        <w:rPr>
          <w:rFonts w:ascii="Verdana" w:hAnsi="Verdana"/>
        </w:rPr>
        <w:t xml:space="preserve"> </w:t>
      </w:r>
    </w:p>
    <w:p w14:paraId="2C9E5AC3" w14:textId="77777777" w:rsidR="0064326F" w:rsidRPr="00DB3119" w:rsidRDefault="0064326F" w:rsidP="0064326F">
      <w:pPr>
        <w:spacing w:after="120"/>
        <w:jc w:val="both"/>
        <w:rPr>
          <w:rFonts w:ascii="Verdana" w:hAnsi="Verdana" w:cs="Arial"/>
          <w:color w:val="000000" w:themeColor="text1"/>
          <w:shd w:val="clear" w:color="auto" w:fill="FFFFFF"/>
        </w:rPr>
      </w:pPr>
    </w:p>
    <w:p w14:paraId="520CB7CA" w14:textId="77777777" w:rsidR="0064326F" w:rsidRPr="00237766" w:rsidRDefault="0064326F" w:rsidP="0064326F">
      <w:pPr>
        <w:spacing w:after="120" w:line="276" w:lineRule="auto"/>
        <w:jc w:val="both"/>
        <w:rPr>
          <w:rFonts w:ascii="Verdana" w:eastAsia="Calibri" w:hAnsi="Verdana" w:cs="Times New Roman"/>
        </w:rPr>
      </w:pPr>
      <w:r w:rsidRPr="008E4F36">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4CF3AF20" w14:textId="77777777" w:rsidR="0064326F" w:rsidRPr="008E4F36" w:rsidRDefault="0064326F" w:rsidP="0064326F">
      <w:pPr>
        <w:pStyle w:val="Prrafodelista"/>
        <w:numPr>
          <w:ilvl w:val="0"/>
          <w:numId w:val="3"/>
        </w:numPr>
        <w:spacing w:after="0" w:line="276" w:lineRule="auto"/>
        <w:contextualSpacing w:val="0"/>
        <w:jc w:val="both"/>
        <w:rPr>
          <w:rFonts w:ascii="Verdana" w:hAnsi="Verdana"/>
        </w:rPr>
      </w:pPr>
      <w:r w:rsidRPr="008E4F36">
        <w:rPr>
          <w:rFonts w:ascii="Verdana" w:hAnsi="Verdana"/>
        </w:rPr>
        <w:t>Línea nacional gratuita o servicio a la ciudadanía: 01800 0520808</w:t>
      </w:r>
    </w:p>
    <w:p w14:paraId="3B924A4C" w14:textId="77777777" w:rsidR="0064326F" w:rsidRPr="008E4F36" w:rsidRDefault="0064326F" w:rsidP="0064326F">
      <w:pPr>
        <w:pStyle w:val="Prrafodelista"/>
        <w:numPr>
          <w:ilvl w:val="0"/>
          <w:numId w:val="3"/>
        </w:numPr>
        <w:spacing w:after="0" w:line="276" w:lineRule="auto"/>
        <w:contextualSpacing w:val="0"/>
        <w:jc w:val="both"/>
        <w:rPr>
          <w:rFonts w:ascii="Verdana" w:hAnsi="Verdana"/>
        </w:rPr>
      </w:pPr>
      <w:r w:rsidRPr="008E4F36">
        <w:rPr>
          <w:rFonts w:ascii="Verdana" w:hAnsi="Verdana"/>
        </w:rPr>
        <w:lastRenderedPageBreak/>
        <w:t>Línea en Bogotá (Mesa de servicio): +57 601 7456788</w:t>
      </w:r>
    </w:p>
    <w:p w14:paraId="7639201F" w14:textId="77777777" w:rsidR="0064326F" w:rsidRPr="008E4F36" w:rsidRDefault="0064326F" w:rsidP="0064326F">
      <w:pPr>
        <w:pStyle w:val="Prrafodelista"/>
        <w:numPr>
          <w:ilvl w:val="0"/>
          <w:numId w:val="3"/>
        </w:numPr>
        <w:spacing w:after="0" w:line="276" w:lineRule="auto"/>
        <w:contextualSpacing w:val="0"/>
        <w:jc w:val="both"/>
        <w:rPr>
          <w:rFonts w:ascii="Verdana" w:hAnsi="Verdana"/>
        </w:rPr>
      </w:pPr>
      <w:r w:rsidRPr="008E4F36">
        <w:rPr>
          <w:rFonts w:ascii="Verdana" w:hAnsi="Verdana"/>
        </w:rPr>
        <w:t>Línea de servicio y atención al ciudadano: +57 601 7956600</w:t>
      </w:r>
    </w:p>
    <w:p w14:paraId="08922F4A" w14:textId="77777777" w:rsidR="0064326F" w:rsidRPr="008E4F36" w:rsidRDefault="0064326F" w:rsidP="0064326F">
      <w:pPr>
        <w:pStyle w:val="Prrafodelista"/>
        <w:numPr>
          <w:ilvl w:val="0"/>
          <w:numId w:val="3"/>
        </w:numPr>
        <w:spacing w:after="0" w:line="276" w:lineRule="auto"/>
        <w:contextualSpacing w:val="0"/>
        <w:jc w:val="both"/>
        <w:rPr>
          <w:rFonts w:ascii="Verdana" w:hAnsi="Verdana"/>
        </w:rPr>
      </w:pPr>
      <w:r w:rsidRPr="008E4F36">
        <w:rPr>
          <w:rFonts w:ascii="Verdana" w:hAnsi="Verdana"/>
        </w:rPr>
        <w:t xml:space="preserve">Página web: </w:t>
      </w:r>
      <w:hyperlink r:id="rId11" w:history="1">
        <w:r w:rsidRPr="008E4F36">
          <w:rPr>
            <w:rStyle w:val="Hipervnculo"/>
            <w:rFonts w:ascii="Verdana" w:hAnsi="Verdana"/>
          </w:rPr>
          <w:t>www.colombiacompra.gov.co</w:t>
        </w:r>
      </w:hyperlink>
    </w:p>
    <w:p w14:paraId="6B2CDE41" w14:textId="77777777" w:rsidR="0064326F" w:rsidRPr="008E4F36" w:rsidRDefault="0064326F" w:rsidP="0064326F">
      <w:pPr>
        <w:spacing w:before="120" w:after="0" w:line="276" w:lineRule="auto"/>
        <w:jc w:val="both"/>
        <w:rPr>
          <w:rFonts w:ascii="Verdana" w:hAnsi="Verdana"/>
        </w:rPr>
      </w:pPr>
      <w:r w:rsidRPr="008E4F36">
        <w:rPr>
          <w:rFonts w:ascii="Verdana" w:hAnsi="Verdana"/>
        </w:rPr>
        <w:t>Por ú</w:t>
      </w:r>
      <w:r>
        <w:rPr>
          <w:rFonts w:ascii="Verdana" w:hAnsi="Verdana"/>
        </w:rPr>
        <w:t>l</w:t>
      </w:r>
      <w:r w:rsidRPr="008E4F36">
        <w:rPr>
          <w:rFonts w:ascii="Verdana" w:hAnsi="Verdana"/>
        </w:rPr>
        <w:t xml:space="preserve">timo, lo invitamos a seguirnos en las redes sociales en las cuales se difunde información institucional: </w:t>
      </w:r>
    </w:p>
    <w:p w14:paraId="3357628B" w14:textId="77777777" w:rsidR="0064326F" w:rsidRPr="008E4F36" w:rsidRDefault="0064326F" w:rsidP="0064326F">
      <w:pPr>
        <w:spacing w:after="0" w:line="276" w:lineRule="auto"/>
        <w:jc w:val="both"/>
        <w:rPr>
          <w:rFonts w:ascii="Verdana" w:hAnsi="Verdana"/>
        </w:rPr>
      </w:pPr>
    </w:p>
    <w:p w14:paraId="3A6C3CF2" w14:textId="77777777" w:rsidR="0064326F" w:rsidRPr="008E4F36" w:rsidRDefault="0064326F" w:rsidP="0064326F">
      <w:pPr>
        <w:spacing w:after="0" w:line="276" w:lineRule="auto"/>
        <w:jc w:val="both"/>
        <w:rPr>
          <w:rFonts w:ascii="Verdana" w:hAnsi="Verdana"/>
        </w:rPr>
      </w:pPr>
      <w:r w:rsidRPr="008E4F36">
        <w:rPr>
          <w:rFonts w:ascii="Verdana" w:hAnsi="Verdana"/>
        </w:rPr>
        <w:t xml:space="preserve">Twitter: </w:t>
      </w:r>
      <w:r w:rsidRPr="008E4F36">
        <w:rPr>
          <w:rStyle w:val="Hipervnculo"/>
          <w:rFonts w:ascii="Verdana" w:hAnsi="Verdana"/>
        </w:rPr>
        <w:t>@colombiacompra</w:t>
      </w:r>
      <w:r w:rsidRPr="008E4F36">
        <w:rPr>
          <w:rFonts w:ascii="Verdana" w:hAnsi="Verdana"/>
        </w:rPr>
        <w:t xml:space="preserve"> </w:t>
      </w:r>
    </w:p>
    <w:p w14:paraId="656AF092" w14:textId="77777777" w:rsidR="0064326F" w:rsidRPr="008E4F36" w:rsidRDefault="0064326F" w:rsidP="0064326F">
      <w:pPr>
        <w:spacing w:after="0" w:line="276" w:lineRule="auto"/>
        <w:jc w:val="both"/>
        <w:rPr>
          <w:rFonts w:ascii="Verdana" w:hAnsi="Verdana"/>
        </w:rPr>
      </w:pPr>
      <w:r w:rsidRPr="008E4F36">
        <w:rPr>
          <w:rFonts w:ascii="Verdana" w:hAnsi="Verdana"/>
        </w:rPr>
        <w:t xml:space="preserve">Facebook: </w:t>
      </w:r>
      <w:proofErr w:type="spellStart"/>
      <w:r w:rsidRPr="008E4F36">
        <w:rPr>
          <w:rStyle w:val="Hipervnculo"/>
          <w:rFonts w:ascii="Verdana" w:hAnsi="Verdana"/>
        </w:rPr>
        <w:t>ColombiaCompraEficiente</w:t>
      </w:r>
      <w:proofErr w:type="spellEnd"/>
    </w:p>
    <w:p w14:paraId="529BF704" w14:textId="77777777" w:rsidR="0064326F" w:rsidRPr="008E4F36" w:rsidRDefault="0064326F" w:rsidP="0064326F">
      <w:pPr>
        <w:spacing w:after="0" w:line="276" w:lineRule="auto"/>
        <w:jc w:val="both"/>
        <w:rPr>
          <w:rFonts w:ascii="Verdana" w:hAnsi="Verdana"/>
        </w:rPr>
      </w:pPr>
      <w:r w:rsidRPr="008E4F36">
        <w:rPr>
          <w:rFonts w:ascii="Verdana" w:hAnsi="Verdana"/>
        </w:rPr>
        <w:t xml:space="preserve">LinkedIn: </w:t>
      </w:r>
      <w:r w:rsidRPr="008E4F36">
        <w:rPr>
          <w:rStyle w:val="Hipervnculo"/>
          <w:rFonts w:ascii="Verdana" w:hAnsi="Verdana"/>
        </w:rPr>
        <w:t>Agencia Nacional de Contratación Pública - Colombia Compra Eficiente</w:t>
      </w:r>
      <w:r w:rsidRPr="008E4F36">
        <w:rPr>
          <w:rFonts w:ascii="Verdana" w:hAnsi="Verdana"/>
        </w:rPr>
        <w:t xml:space="preserve"> Instagram: </w:t>
      </w:r>
      <w:r w:rsidRPr="008E4F36">
        <w:rPr>
          <w:rStyle w:val="Hipervnculo"/>
          <w:rFonts w:ascii="Verdana" w:hAnsi="Verdana"/>
        </w:rPr>
        <w:t>@colombiacompraeficiente_cce</w:t>
      </w:r>
    </w:p>
    <w:p w14:paraId="44603676" w14:textId="77777777" w:rsidR="0064326F" w:rsidRDefault="0064326F" w:rsidP="0064326F">
      <w:pPr>
        <w:spacing w:before="120" w:after="0" w:line="276" w:lineRule="auto"/>
        <w:jc w:val="both"/>
        <w:rPr>
          <w:rFonts w:ascii="Verdana" w:hAnsi="Verdana"/>
        </w:rPr>
      </w:pPr>
    </w:p>
    <w:p w14:paraId="3A1616D2" w14:textId="77777777" w:rsidR="0064326F" w:rsidRPr="00FB6C33" w:rsidRDefault="0064326F" w:rsidP="0064326F">
      <w:pPr>
        <w:spacing w:before="120" w:after="0" w:line="276" w:lineRule="auto"/>
        <w:jc w:val="both"/>
        <w:rPr>
          <w:rFonts w:ascii="Verdana" w:hAnsi="Verdana"/>
        </w:rPr>
      </w:pPr>
      <w:r w:rsidRPr="00FB6C33">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7C765AD7" w14:textId="77777777" w:rsidR="0064326F" w:rsidRPr="008E4F36" w:rsidRDefault="0064326F" w:rsidP="0064326F">
      <w:pPr>
        <w:spacing w:after="0" w:line="276" w:lineRule="auto"/>
        <w:jc w:val="both"/>
        <w:rPr>
          <w:rFonts w:ascii="Verdana" w:eastAsia="Calibri" w:hAnsi="Verdana" w:cs="Times New Roman"/>
        </w:rPr>
      </w:pPr>
    </w:p>
    <w:p w14:paraId="6387E12A" w14:textId="77777777" w:rsidR="0064326F" w:rsidRDefault="0064326F" w:rsidP="0064326F">
      <w:pPr>
        <w:spacing w:after="0" w:line="276" w:lineRule="auto"/>
        <w:jc w:val="both"/>
        <w:rPr>
          <w:rFonts w:ascii="Verdana" w:eastAsia="Calibri" w:hAnsi="Verdana" w:cs="Times New Roman"/>
        </w:rPr>
      </w:pPr>
      <w:r w:rsidRPr="008E4F36">
        <w:rPr>
          <w:rFonts w:ascii="Verdana" w:eastAsia="Calibri" w:hAnsi="Verdana" w:cs="Times New Roman"/>
        </w:rPr>
        <w:t>Atentamente,</w:t>
      </w:r>
    </w:p>
    <w:p w14:paraId="6ED5FA39" w14:textId="77777777" w:rsidR="0064326F" w:rsidRDefault="0064326F" w:rsidP="0064326F">
      <w:pPr>
        <w:spacing w:after="0" w:line="256" w:lineRule="auto"/>
        <w:jc w:val="both"/>
        <w:rPr>
          <w:rFonts w:ascii="Verdana" w:eastAsia="Calibri" w:hAnsi="Verdana" w:cs="Times New Roman"/>
        </w:rPr>
      </w:pPr>
    </w:p>
    <w:p w14:paraId="21ED411D" w14:textId="4B67C63C" w:rsidR="0064326F" w:rsidRPr="001D36FE" w:rsidRDefault="003A4F72" w:rsidP="0064326F">
      <w:pPr>
        <w:spacing w:after="0" w:line="256" w:lineRule="auto"/>
        <w:jc w:val="center"/>
        <w:rPr>
          <w:noProof/>
        </w:rPr>
      </w:pPr>
      <w:r w:rsidRPr="002C3AD6">
        <w:rPr>
          <w:rFonts w:ascii="Century Gothic" w:hAnsi="Century Gothic"/>
          <w:noProof/>
        </w:rPr>
        <w:drawing>
          <wp:inline distT="0" distB="0" distL="0" distR="0" wp14:anchorId="672CD5BE" wp14:editId="3E10D415">
            <wp:extent cx="3771900" cy="1318260"/>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2"/>
                    <a:stretch>
                      <a:fillRect/>
                    </a:stretch>
                  </pic:blipFill>
                  <pic:spPr>
                    <a:xfrm>
                      <a:off x="0" y="0"/>
                      <a:ext cx="3772426" cy="1318444"/>
                    </a:xfrm>
                    <a:prstGeom prst="rect">
                      <a:avLst/>
                    </a:prstGeom>
                  </pic:spPr>
                </pic:pic>
              </a:graphicData>
            </a:graphic>
          </wp:inline>
        </w:drawing>
      </w:r>
    </w:p>
    <w:bookmarkEnd w:id="0"/>
    <w:bookmarkEnd w:id="1"/>
    <w:p w14:paraId="25E7B84C" w14:textId="77777777" w:rsidR="0064326F" w:rsidRDefault="0064326F" w:rsidP="0064326F">
      <w:pPr>
        <w:spacing w:after="0"/>
        <w:rPr>
          <w:rFonts w:ascii="Verdana" w:hAnsi="Verdana"/>
        </w:rPr>
      </w:pPr>
    </w:p>
    <w:p w14:paraId="401C83B5" w14:textId="77777777" w:rsidR="0064326F" w:rsidRDefault="0064326F" w:rsidP="0064326F">
      <w:pPr>
        <w:spacing w:after="0"/>
        <w:rPr>
          <w:rFonts w:ascii="Verdana" w:hAnsi="Verdana"/>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4326F" w:rsidRPr="002423D6" w14:paraId="78639C51" w14:textId="77777777" w:rsidTr="00AD0296">
        <w:trPr>
          <w:trHeight w:val="315"/>
        </w:trPr>
        <w:tc>
          <w:tcPr>
            <w:tcW w:w="893" w:type="dxa"/>
            <w:vAlign w:val="center"/>
            <w:hideMark/>
          </w:tcPr>
          <w:p w14:paraId="20F589DA" w14:textId="77777777" w:rsidR="0064326F" w:rsidRPr="002423D6" w:rsidRDefault="0064326F" w:rsidP="00AD0296">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6B63489" w14:textId="77777777" w:rsidR="0064326F" w:rsidRPr="002423D6" w:rsidRDefault="0064326F" w:rsidP="00AD0296">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Andreina Cerpa Muñoz</w:t>
            </w:r>
            <w:r w:rsidRPr="002423D6">
              <w:rPr>
                <w:rFonts w:ascii="Verdana" w:eastAsia="Arial" w:hAnsi="Verdana" w:cs="Arial"/>
                <w:color w:val="000000" w:themeColor="text1"/>
                <w:sz w:val="16"/>
                <w:szCs w:val="16"/>
              </w:rPr>
              <w:t xml:space="preserve"> </w:t>
            </w:r>
          </w:p>
          <w:p w14:paraId="170A1210" w14:textId="77777777" w:rsidR="0064326F" w:rsidRPr="002423D6" w:rsidRDefault="0064326F" w:rsidP="00AD0296">
            <w:pPr>
              <w:contextualSpacing/>
              <w:rPr>
                <w:rFonts w:ascii="Verdana" w:eastAsia="Arial" w:hAnsi="Verdana" w:cs="Arial"/>
                <w:color w:val="000000" w:themeColor="text1"/>
                <w:sz w:val="16"/>
                <w:szCs w:val="16"/>
              </w:rPr>
            </w:pPr>
            <w:r w:rsidRPr="002423D6">
              <w:rPr>
                <w:rStyle w:val="normaltextrun"/>
                <w:rFonts w:ascii="Verdana" w:eastAsia="Arial" w:hAnsi="Verdana" w:cs="Arial"/>
                <w:color w:val="000000" w:themeColor="text1"/>
                <w:sz w:val="16"/>
                <w:szCs w:val="16"/>
              </w:rPr>
              <w:t>Analista T2-02 de la Subdirección de Gestión Contractual</w:t>
            </w:r>
          </w:p>
        </w:tc>
      </w:tr>
      <w:tr w:rsidR="0064326F" w:rsidRPr="002423D6" w14:paraId="047790B1" w14:textId="77777777" w:rsidTr="00AD0296">
        <w:trPr>
          <w:trHeight w:val="330"/>
        </w:trPr>
        <w:tc>
          <w:tcPr>
            <w:tcW w:w="893" w:type="dxa"/>
            <w:vAlign w:val="center"/>
            <w:hideMark/>
          </w:tcPr>
          <w:p w14:paraId="2070CB96" w14:textId="77777777" w:rsidR="0064326F" w:rsidRPr="002423D6" w:rsidRDefault="0064326F" w:rsidP="00AD0296">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23EEC39" w14:textId="77777777" w:rsidR="0064326F" w:rsidRPr="002423D6" w:rsidRDefault="0064326F" w:rsidP="00AD0296">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 xml:space="preserve">Alejandro Sarmiento Cantillo </w:t>
            </w:r>
          </w:p>
          <w:p w14:paraId="62F8F90F" w14:textId="77777777" w:rsidR="0064326F" w:rsidRPr="002423D6" w:rsidRDefault="0064326F" w:rsidP="00AD0296">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 xml:space="preserve">Gestor </w:t>
            </w:r>
            <w:r w:rsidRPr="00250F55">
              <w:rPr>
                <w:rFonts w:ascii="Verdana" w:hAnsi="Verdana" w:cs="Arial"/>
                <w:color w:val="000000" w:themeColor="text1"/>
                <w:sz w:val="16"/>
                <w:szCs w:val="16"/>
              </w:rPr>
              <w:t>T1</w:t>
            </w:r>
            <w:r>
              <w:rPr>
                <w:rFonts w:ascii="Verdana" w:hAnsi="Verdana" w:cs="Arial"/>
                <w:color w:val="000000" w:themeColor="text1"/>
                <w:sz w:val="16"/>
                <w:szCs w:val="16"/>
              </w:rPr>
              <w:t>-</w:t>
            </w:r>
            <w:r w:rsidRPr="00250F55">
              <w:rPr>
                <w:rFonts w:ascii="Verdana" w:hAnsi="Verdana" w:cs="Arial"/>
                <w:color w:val="000000" w:themeColor="text1"/>
                <w:sz w:val="16"/>
                <w:szCs w:val="16"/>
              </w:rPr>
              <w:t>15</w:t>
            </w:r>
            <w:r w:rsidRPr="002423D6">
              <w:rPr>
                <w:rStyle w:val="normaltextrun"/>
                <w:rFonts w:ascii="Verdana" w:hAnsi="Verdana" w:cs="Arial"/>
                <w:color w:val="000000" w:themeColor="text1"/>
                <w:sz w:val="16"/>
                <w:szCs w:val="16"/>
                <w:lang w:val="es-ES"/>
              </w:rPr>
              <w:t xml:space="preserve"> de la Subdirección de Gestión Contractual</w:t>
            </w:r>
            <w:r w:rsidRPr="002423D6">
              <w:rPr>
                <w:rStyle w:val="eop"/>
                <w:rFonts w:ascii="Verdana" w:hAnsi="Verdana" w:cs="Arial"/>
                <w:color w:val="000000" w:themeColor="text1"/>
                <w:sz w:val="16"/>
                <w:szCs w:val="16"/>
              </w:rPr>
              <w:t> </w:t>
            </w:r>
          </w:p>
        </w:tc>
      </w:tr>
      <w:tr w:rsidR="0064326F" w:rsidRPr="002423D6" w14:paraId="128D0ADE" w14:textId="77777777" w:rsidTr="00AD0296">
        <w:trPr>
          <w:trHeight w:val="300"/>
        </w:trPr>
        <w:tc>
          <w:tcPr>
            <w:tcW w:w="893" w:type="dxa"/>
            <w:vAlign w:val="center"/>
          </w:tcPr>
          <w:p w14:paraId="79F67A6A" w14:textId="77777777" w:rsidR="0064326F" w:rsidRPr="002423D6" w:rsidRDefault="0064326F" w:rsidP="00AD0296">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FC32379" w14:textId="77777777" w:rsidR="0064326F" w:rsidRPr="002423D6" w:rsidRDefault="0064326F" w:rsidP="00AD0296">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val="pt-BR" w:eastAsia="es-ES"/>
              </w:rPr>
              <w:t xml:space="preserve">Carolina Quintero </w:t>
            </w:r>
            <w:proofErr w:type="spellStart"/>
            <w:r w:rsidRPr="002423D6">
              <w:rPr>
                <w:rFonts w:ascii="Verdana" w:eastAsia="Calibri" w:hAnsi="Verdana" w:cs="Arial"/>
                <w:color w:val="000000" w:themeColor="text1"/>
                <w:sz w:val="16"/>
                <w:szCs w:val="16"/>
                <w:lang w:val="pt-BR" w:eastAsia="es-ES"/>
              </w:rPr>
              <w:t>Gacharná</w:t>
            </w:r>
            <w:proofErr w:type="spellEnd"/>
          </w:p>
          <w:p w14:paraId="7C34D99B" w14:textId="77777777" w:rsidR="0064326F" w:rsidRPr="002423D6" w:rsidRDefault="0064326F" w:rsidP="00AD0296">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eastAsia="es-ES"/>
              </w:rPr>
              <w:t>Subdirectora</w:t>
            </w:r>
            <w:r w:rsidRPr="002423D6">
              <w:rPr>
                <w:rFonts w:ascii="Verdana" w:eastAsia="Calibri" w:hAnsi="Verdana" w:cs="Arial"/>
                <w:color w:val="000000" w:themeColor="text1"/>
                <w:sz w:val="16"/>
                <w:szCs w:val="16"/>
                <w:lang w:val="pt-BR" w:eastAsia="es-ES"/>
              </w:rPr>
              <w:t xml:space="preserve"> de Gestión </w:t>
            </w:r>
            <w:proofErr w:type="spellStart"/>
            <w:r w:rsidRPr="002423D6">
              <w:rPr>
                <w:rFonts w:ascii="Verdana" w:eastAsia="Calibri" w:hAnsi="Verdana" w:cs="Arial"/>
                <w:color w:val="000000" w:themeColor="text1"/>
                <w:sz w:val="16"/>
                <w:szCs w:val="16"/>
                <w:lang w:val="pt-BR" w:eastAsia="es-ES"/>
              </w:rPr>
              <w:t>Contractual</w:t>
            </w:r>
            <w:proofErr w:type="spellEnd"/>
            <w:r w:rsidRPr="002423D6">
              <w:rPr>
                <w:rFonts w:ascii="Verdana" w:eastAsia="Calibri" w:hAnsi="Verdana" w:cs="Arial"/>
                <w:color w:val="000000" w:themeColor="text1"/>
                <w:sz w:val="16"/>
                <w:szCs w:val="16"/>
                <w:lang w:val="pt-BR" w:eastAsia="es-ES"/>
              </w:rPr>
              <w:t xml:space="preserve"> ANCP – CCE</w:t>
            </w:r>
          </w:p>
        </w:tc>
      </w:tr>
    </w:tbl>
    <w:p w14:paraId="47E6AE5B" w14:textId="77777777" w:rsidR="0064326F" w:rsidRPr="00823C60" w:rsidRDefault="0064326F" w:rsidP="0064326F"/>
    <w:p w14:paraId="77BBAC60" w14:textId="77777777" w:rsidR="0064326F" w:rsidRDefault="0064326F" w:rsidP="0064326F"/>
    <w:p w14:paraId="3EB95AAB" w14:textId="77777777" w:rsidR="000F5A42" w:rsidRPr="00D37ECB" w:rsidRDefault="000F5A42" w:rsidP="00D37ECB"/>
    <w:sectPr w:rsidR="000F5A42" w:rsidRPr="00D37ECB" w:rsidSect="00074FEF">
      <w:headerReference w:type="default" r:id="rId13"/>
      <w:footerReference w:type="default" r:id="rId14"/>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591B84" w14:textId="77777777" w:rsidR="009765C7" w:rsidRDefault="009765C7" w:rsidP="00B5037A">
      <w:pPr>
        <w:spacing w:after="0" w:line="240" w:lineRule="auto"/>
      </w:pPr>
      <w:r>
        <w:separator/>
      </w:r>
    </w:p>
  </w:endnote>
  <w:endnote w:type="continuationSeparator" w:id="0">
    <w:p w14:paraId="1BB7659B" w14:textId="77777777" w:rsidR="009765C7" w:rsidRDefault="009765C7" w:rsidP="00B503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0A2603" w14:textId="77777777" w:rsidR="00074FEF" w:rsidRDefault="00074FEF" w:rsidP="000849D5">
    <w:pPr>
      <w:spacing w:after="0"/>
      <w:rPr>
        <w:rFonts w:ascii="Verdana" w:hAnsi="Verdana"/>
        <w:b/>
        <w:bCs/>
        <w:sz w:val="20"/>
        <w:szCs w:val="20"/>
      </w:rPr>
    </w:pPr>
  </w:p>
  <w:p w14:paraId="0561013B" w14:textId="77777777" w:rsidR="00074FEF" w:rsidRPr="00174B77" w:rsidRDefault="00074FEF"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7578FA7D" w14:textId="77777777" w:rsidR="00074FEF" w:rsidRDefault="00074FEF"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3D2E873E" w14:textId="77777777" w:rsidR="00074FEF" w:rsidRPr="00E41027" w:rsidRDefault="00074FEF" w:rsidP="000849D5">
    <w:pPr>
      <w:spacing w:after="0"/>
      <w:jc w:val="both"/>
      <w:rPr>
        <w:rFonts w:ascii="Verdana" w:hAnsi="Verdana"/>
        <w:sz w:val="18"/>
        <w:szCs w:val="18"/>
      </w:rPr>
    </w:pPr>
    <w:r w:rsidRPr="00E41027">
      <w:rPr>
        <w:rFonts w:ascii="Verdana" w:hAnsi="Verdana"/>
        <w:sz w:val="18"/>
        <w:szCs w:val="18"/>
      </w:rPr>
      <w:t>Mesa de servicio: (+57) 601 7456788</w:t>
    </w:r>
  </w:p>
  <w:p w14:paraId="3D073CDA" w14:textId="77777777" w:rsidR="00074FEF" w:rsidRDefault="00074FEF"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59B63D2D" w14:textId="77777777" w:rsidR="00074FEF" w:rsidRPr="007D04B2" w:rsidRDefault="00074FEF" w:rsidP="000849D5">
    <w:pPr>
      <w:pStyle w:val="Piedepgina"/>
    </w:pPr>
  </w:p>
  <w:p w14:paraId="3F55DA37" w14:textId="77777777" w:rsidR="00074FEF" w:rsidRPr="000849D5" w:rsidRDefault="00074FEF"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FA4676" w14:textId="77777777" w:rsidR="009765C7" w:rsidRDefault="009765C7" w:rsidP="00B5037A">
      <w:pPr>
        <w:spacing w:after="0" w:line="240" w:lineRule="auto"/>
      </w:pPr>
      <w:r>
        <w:separator/>
      </w:r>
    </w:p>
  </w:footnote>
  <w:footnote w:type="continuationSeparator" w:id="0">
    <w:p w14:paraId="00DD6113" w14:textId="77777777" w:rsidR="009765C7" w:rsidRDefault="009765C7" w:rsidP="00B5037A">
      <w:pPr>
        <w:spacing w:after="0" w:line="240" w:lineRule="auto"/>
      </w:pPr>
      <w:r>
        <w:continuationSeparator/>
      </w:r>
    </w:p>
  </w:footnote>
  <w:footnote w:id="1">
    <w:p w14:paraId="62A77951" w14:textId="77777777" w:rsidR="0064326F" w:rsidRPr="00516D19" w:rsidRDefault="0064326F" w:rsidP="0064326F">
      <w:pPr>
        <w:pStyle w:val="Textonotapie"/>
        <w:ind w:firstLine="708"/>
        <w:jc w:val="both"/>
        <w:rPr>
          <w:rFonts w:ascii="Verdana" w:hAnsi="Verdana"/>
          <w:sz w:val="16"/>
          <w:szCs w:val="16"/>
        </w:rPr>
      </w:pPr>
      <w:r w:rsidRPr="00516D19">
        <w:rPr>
          <w:rStyle w:val="Refdenotaalpie"/>
          <w:rFonts w:ascii="Verdana" w:hAnsi="Verdana"/>
          <w:sz w:val="16"/>
          <w:szCs w:val="16"/>
        </w:rPr>
        <w:footnoteRef/>
      </w:r>
      <w:r w:rsidRPr="00516D19">
        <w:rPr>
          <w:rFonts w:ascii="Verdana" w:hAnsi="Verdana"/>
          <w:sz w:val="16"/>
          <w:szCs w:val="16"/>
        </w:rPr>
        <w:t xml:space="preserve"> Consejo de Estado. Sala de lo Contencioso Administrativo. Sección Tercera. Subsección B. Sentencia del 6 de junio de 2013. Radicado: 11001-03-26-000-2003-00026-01 (25151-25152) C.P. Stella Conto Díaz del Castillo.</w:t>
      </w:r>
    </w:p>
    <w:p w14:paraId="4DE5FAA8" w14:textId="77777777" w:rsidR="0064326F" w:rsidRPr="00516D19" w:rsidRDefault="0064326F" w:rsidP="0064326F">
      <w:pPr>
        <w:pStyle w:val="Textonotapie"/>
        <w:ind w:firstLine="709"/>
        <w:jc w:val="both"/>
        <w:rPr>
          <w:rFonts w:ascii="Verdana" w:hAnsi="Verdana"/>
          <w:sz w:val="16"/>
          <w:szCs w:val="16"/>
        </w:rPr>
      </w:pPr>
    </w:p>
  </w:footnote>
  <w:footnote w:id="2">
    <w:p w14:paraId="0ACDDDE5" w14:textId="77777777" w:rsidR="0064326F" w:rsidRPr="00516D19" w:rsidRDefault="0064326F" w:rsidP="0064326F">
      <w:pPr>
        <w:pStyle w:val="Textonotapie"/>
        <w:ind w:firstLine="709"/>
        <w:jc w:val="both"/>
        <w:rPr>
          <w:rFonts w:ascii="Verdana" w:hAnsi="Verdana"/>
          <w:sz w:val="16"/>
          <w:szCs w:val="16"/>
        </w:rPr>
      </w:pPr>
      <w:r w:rsidRPr="00516D19">
        <w:rPr>
          <w:rStyle w:val="Refdenotaalpie"/>
          <w:rFonts w:ascii="Verdana" w:hAnsi="Verdana"/>
          <w:sz w:val="16"/>
          <w:szCs w:val="16"/>
        </w:rPr>
        <w:footnoteRef/>
      </w:r>
      <w:r w:rsidRPr="00516D19">
        <w:rPr>
          <w:rFonts w:ascii="Verdana" w:hAnsi="Verdana"/>
          <w:sz w:val="16"/>
          <w:szCs w:val="16"/>
        </w:rPr>
        <w:t xml:space="preserve"> Ley 1150 de 2007: “Artículo 6. De la verificación de las condiciones de los proponentes.</w:t>
      </w:r>
    </w:p>
    <w:p w14:paraId="16C64C06" w14:textId="77777777" w:rsidR="0064326F" w:rsidRPr="00516D19" w:rsidRDefault="0064326F" w:rsidP="0064326F">
      <w:pPr>
        <w:pStyle w:val="Textonotapie"/>
        <w:ind w:firstLine="709"/>
        <w:jc w:val="both"/>
        <w:rPr>
          <w:rFonts w:ascii="Verdana" w:hAnsi="Verdana"/>
          <w:sz w:val="16"/>
          <w:szCs w:val="16"/>
          <w:lang w:eastAsia="es-CO"/>
        </w:rPr>
      </w:pPr>
      <w:r w:rsidRPr="00516D19">
        <w:rPr>
          <w:rFonts w:ascii="Verdana" w:hAnsi="Verdana"/>
          <w:sz w:val="16"/>
          <w:szCs w:val="16"/>
          <w:lang w:eastAsia="es-CO"/>
        </w:rPr>
        <w:t>[…]</w:t>
      </w:r>
    </w:p>
    <w:p w14:paraId="505F2DA3" w14:textId="77777777" w:rsidR="0064326F" w:rsidRPr="00516D19" w:rsidRDefault="0064326F" w:rsidP="0064326F">
      <w:pPr>
        <w:pStyle w:val="Textonotapie"/>
        <w:ind w:firstLine="709"/>
        <w:jc w:val="both"/>
        <w:rPr>
          <w:rFonts w:ascii="Verdana" w:hAnsi="Verdana"/>
          <w:sz w:val="16"/>
          <w:szCs w:val="16"/>
          <w:lang w:eastAsia="es-CO"/>
        </w:rPr>
      </w:pPr>
      <w:r w:rsidRPr="00516D19">
        <w:rPr>
          <w:rFonts w:ascii="Verdana" w:hAnsi="Verdana"/>
          <w:sz w:val="16"/>
          <w:szCs w:val="16"/>
          <w:lang w:eastAsia="es-CO"/>
        </w:rPr>
        <w:t>“6.1. […]</w:t>
      </w:r>
    </w:p>
    <w:p w14:paraId="6E66AD8A" w14:textId="77777777" w:rsidR="0064326F" w:rsidRPr="00516D19" w:rsidRDefault="0064326F" w:rsidP="0064326F">
      <w:pPr>
        <w:pStyle w:val="Textonotapie"/>
        <w:ind w:firstLine="709"/>
        <w:jc w:val="both"/>
        <w:rPr>
          <w:rFonts w:ascii="Verdana" w:hAnsi="Verdana"/>
          <w:sz w:val="16"/>
          <w:szCs w:val="16"/>
          <w:lang w:eastAsia="es-CO"/>
        </w:rPr>
      </w:pPr>
      <w:r w:rsidRPr="00516D19">
        <w:rPr>
          <w:rFonts w:ascii="Verdana" w:hAnsi="Verdana"/>
          <w:sz w:val="16"/>
          <w:szCs w:val="16"/>
          <w:lang w:eastAsia="es-CO"/>
        </w:rPr>
        <w:t>“El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p w14:paraId="741C737A" w14:textId="77777777" w:rsidR="0064326F" w:rsidRPr="00516D19" w:rsidRDefault="0064326F" w:rsidP="0064326F">
      <w:pPr>
        <w:pStyle w:val="Textonotapie"/>
        <w:ind w:firstLine="709"/>
        <w:jc w:val="both"/>
        <w:rPr>
          <w:rFonts w:ascii="Verdana" w:hAnsi="Verdana"/>
          <w:sz w:val="16"/>
          <w:szCs w:val="16"/>
          <w:lang w:eastAsia="es-CO"/>
        </w:rPr>
      </w:pPr>
      <w:r w:rsidRPr="00516D19">
        <w:rPr>
          <w:rFonts w:ascii="Verdana" w:hAnsi="Verdana"/>
          <w:sz w:val="16"/>
          <w:szCs w:val="16"/>
          <w:lang w:eastAsia="es-CO"/>
        </w:rPr>
        <w:t>“No obstante lo anterior, sólo en aquellos casos en que por las características del objeto a contratar se requiera la verificación de requisitos del proponente adicionales a los contenidos en el Registro, la entidad podrá hacer tal verificación en forma directa […]”.</w:t>
      </w:r>
    </w:p>
    <w:p w14:paraId="02870257" w14:textId="77777777" w:rsidR="0064326F" w:rsidRPr="00516D19" w:rsidRDefault="0064326F" w:rsidP="0064326F">
      <w:pPr>
        <w:pStyle w:val="Textonotapie"/>
        <w:ind w:firstLine="709"/>
        <w:jc w:val="both"/>
        <w:rPr>
          <w:rFonts w:ascii="Verdana" w:hAnsi="Verdana"/>
          <w:sz w:val="16"/>
          <w:szCs w:val="16"/>
        </w:rPr>
      </w:pPr>
    </w:p>
  </w:footnote>
  <w:footnote w:id="3">
    <w:p w14:paraId="10717031" w14:textId="77777777" w:rsidR="0064326F" w:rsidRPr="00516D19" w:rsidRDefault="0064326F" w:rsidP="0064326F">
      <w:pPr>
        <w:pStyle w:val="Textonotapie"/>
        <w:ind w:firstLine="709"/>
        <w:jc w:val="both"/>
        <w:rPr>
          <w:rFonts w:ascii="Verdana" w:hAnsi="Verdana"/>
          <w:sz w:val="16"/>
          <w:szCs w:val="16"/>
          <w:lang w:eastAsia="es-CO"/>
        </w:rPr>
      </w:pPr>
      <w:r w:rsidRPr="00516D19">
        <w:rPr>
          <w:rStyle w:val="Refdenotaalpie"/>
          <w:rFonts w:ascii="Verdana" w:hAnsi="Verdana"/>
          <w:sz w:val="16"/>
          <w:szCs w:val="16"/>
        </w:rPr>
        <w:footnoteRef/>
      </w:r>
      <w:r w:rsidRPr="00516D19">
        <w:rPr>
          <w:rFonts w:ascii="Verdana" w:hAnsi="Verdana"/>
          <w:sz w:val="16"/>
          <w:szCs w:val="16"/>
        </w:rPr>
        <w:t xml:space="preserve"> Ley 1150 de 2007: “Artículo 5. De la selección objetiva.</w:t>
      </w:r>
      <w:r w:rsidRPr="00516D19">
        <w:rPr>
          <w:rFonts w:ascii="Verdana" w:hAnsi="Verdana"/>
          <w:sz w:val="16"/>
          <w:szCs w:val="16"/>
          <w:lang w:eastAsia="es-CO"/>
        </w:rPr>
        <w:t xml:space="preserve"> </w:t>
      </w:r>
    </w:p>
    <w:p w14:paraId="6AE9BE33" w14:textId="77777777" w:rsidR="0064326F" w:rsidRPr="00516D19" w:rsidRDefault="0064326F" w:rsidP="0064326F">
      <w:pPr>
        <w:pStyle w:val="Textonotapie"/>
        <w:ind w:firstLine="709"/>
        <w:jc w:val="both"/>
        <w:rPr>
          <w:rFonts w:ascii="Verdana" w:hAnsi="Verdana"/>
          <w:sz w:val="16"/>
          <w:szCs w:val="16"/>
          <w:lang w:eastAsia="es-CO"/>
        </w:rPr>
      </w:pPr>
      <w:r w:rsidRPr="00516D19">
        <w:rPr>
          <w:rFonts w:ascii="Verdana" w:hAnsi="Verdana"/>
          <w:sz w:val="16"/>
          <w:szCs w:val="16"/>
          <w:lang w:eastAsia="es-CO"/>
        </w:rPr>
        <w:t>[…]</w:t>
      </w:r>
    </w:p>
    <w:p w14:paraId="2432966D" w14:textId="77777777" w:rsidR="0064326F" w:rsidRPr="00516D19" w:rsidRDefault="0064326F" w:rsidP="0064326F">
      <w:pPr>
        <w:pStyle w:val="Textonotapie"/>
        <w:ind w:firstLine="709"/>
        <w:jc w:val="both"/>
        <w:rPr>
          <w:rFonts w:ascii="Verdana" w:hAnsi="Verdana"/>
          <w:sz w:val="16"/>
          <w:szCs w:val="16"/>
        </w:rPr>
      </w:pPr>
      <w:r w:rsidRPr="00516D19">
        <w:rPr>
          <w:rFonts w:ascii="Verdana" w:hAnsi="Verdana"/>
          <w:sz w:val="16"/>
          <w:szCs w:val="16"/>
          <w:lang w:eastAsia="es-CO"/>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 […]”.</w:t>
      </w:r>
    </w:p>
  </w:footnote>
  <w:footnote w:id="4">
    <w:p w14:paraId="43C19CA7" w14:textId="77777777" w:rsidR="0064326F" w:rsidRPr="00516D19" w:rsidRDefault="0064326F" w:rsidP="0064326F">
      <w:pPr>
        <w:pStyle w:val="Textonotapie"/>
        <w:ind w:firstLine="709"/>
        <w:jc w:val="both"/>
        <w:rPr>
          <w:rFonts w:ascii="Verdana" w:hAnsi="Verdana"/>
          <w:sz w:val="16"/>
          <w:szCs w:val="16"/>
          <w:lang w:eastAsia="es-CO"/>
        </w:rPr>
      </w:pPr>
      <w:r w:rsidRPr="00516D19">
        <w:rPr>
          <w:rStyle w:val="Refdenotaalpie"/>
          <w:rFonts w:ascii="Verdana" w:hAnsi="Verdana"/>
          <w:sz w:val="16"/>
          <w:szCs w:val="16"/>
        </w:rPr>
        <w:footnoteRef/>
      </w:r>
      <w:r w:rsidRPr="00516D19">
        <w:rPr>
          <w:rFonts w:ascii="Verdana" w:hAnsi="Verdana"/>
          <w:sz w:val="16"/>
          <w:szCs w:val="16"/>
        </w:rPr>
        <w:t xml:space="preserve"> </w:t>
      </w:r>
      <w:r w:rsidRPr="00516D19">
        <w:rPr>
          <w:rFonts w:ascii="Verdana" w:hAnsi="Verdana"/>
          <w:sz w:val="16"/>
          <w:szCs w:val="16"/>
          <w:lang w:eastAsia="es-CO"/>
        </w:rPr>
        <w:t xml:space="preserve">Ley 1150 de 2007: “Artículo 6.  De la verificación de las condiciones de los proponentes. </w:t>
      </w:r>
    </w:p>
    <w:p w14:paraId="75A39053" w14:textId="77777777" w:rsidR="0064326F" w:rsidRPr="00516D19" w:rsidRDefault="0064326F" w:rsidP="0064326F">
      <w:pPr>
        <w:pStyle w:val="Textonotapie"/>
        <w:ind w:firstLine="709"/>
        <w:jc w:val="both"/>
        <w:rPr>
          <w:rFonts w:ascii="Verdana" w:hAnsi="Verdana"/>
          <w:sz w:val="16"/>
          <w:szCs w:val="16"/>
          <w:lang w:eastAsia="es-CO"/>
        </w:rPr>
      </w:pPr>
      <w:r w:rsidRPr="00516D19">
        <w:rPr>
          <w:rFonts w:ascii="Verdana" w:hAnsi="Verdana"/>
          <w:sz w:val="16"/>
          <w:szCs w:val="16"/>
          <w:lang w:eastAsia="es-CO"/>
        </w:rPr>
        <w:t xml:space="preserve">[...] </w:t>
      </w:r>
    </w:p>
    <w:p w14:paraId="1EE4C24E" w14:textId="77777777" w:rsidR="0064326F" w:rsidRPr="00516D19" w:rsidRDefault="0064326F" w:rsidP="0064326F">
      <w:pPr>
        <w:pStyle w:val="Textonotapie"/>
        <w:ind w:firstLine="709"/>
        <w:jc w:val="both"/>
        <w:rPr>
          <w:rFonts w:ascii="Verdana" w:hAnsi="Verdana"/>
          <w:sz w:val="16"/>
          <w:szCs w:val="16"/>
          <w:lang w:eastAsia="es-CO"/>
        </w:rPr>
      </w:pPr>
      <w:r w:rsidRPr="00516D19">
        <w:rPr>
          <w:rFonts w:ascii="Verdana" w:hAnsi="Verdana"/>
          <w:sz w:val="16"/>
          <w:szCs w:val="16"/>
          <w:lang w:eastAsia="es-CO"/>
        </w:rPr>
        <w:t xml:space="preserve">“No se requerirá de este registro, ni de calificación ni de clasificación, en los casos de contratación directa; contratos para la prestación de servicios de salud; contratos cuyo valor no supere el diez por ciento (10%) de la menor cuantía de la respectiva entidad;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 [...]”. </w:t>
      </w:r>
    </w:p>
    <w:p w14:paraId="48FEF171" w14:textId="77777777" w:rsidR="0064326F" w:rsidRPr="00516D19" w:rsidRDefault="0064326F" w:rsidP="0064326F">
      <w:pPr>
        <w:pStyle w:val="Textonotapie"/>
        <w:ind w:firstLine="709"/>
        <w:jc w:val="both"/>
        <w:rPr>
          <w:rFonts w:ascii="Verdana" w:hAnsi="Verdana"/>
          <w:sz w:val="16"/>
          <w:szCs w:val="16"/>
        </w:rPr>
      </w:pPr>
    </w:p>
  </w:footnote>
  <w:footnote w:id="5">
    <w:p w14:paraId="77816459" w14:textId="77777777" w:rsidR="0064326F" w:rsidRPr="00516D19" w:rsidRDefault="0064326F" w:rsidP="0064326F">
      <w:pPr>
        <w:pStyle w:val="Textonotapie"/>
        <w:ind w:firstLine="709"/>
        <w:jc w:val="both"/>
        <w:rPr>
          <w:rFonts w:ascii="Verdana" w:hAnsi="Verdana"/>
          <w:sz w:val="16"/>
          <w:szCs w:val="16"/>
          <w:lang w:eastAsia="es-CO"/>
        </w:rPr>
      </w:pPr>
      <w:r w:rsidRPr="00516D19">
        <w:rPr>
          <w:rStyle w:val="Refdenotaalpie"/>
          <w:rFonts w:ascii="Verdana" w:hAnsi="Verdana"/>
          <w:sz w:val="16"/>
          <w:szCs w:val="16"/>
        </w:rPr>
        <w:footnoteRef/>
      </w:r>
      <w:r w:rsidRPr="00516D19">
        <w:rPr>
          <w:rFonts w:ascii="Verdana" w:hAnsi="Verdana"/>
          <w:sz w:val="16"/>
          <w:szCs w:val="16"/>
        </w:rPr>
        <w:t xml:space="preserve"> </w:t>
      </w:r>
      <w:r w:rsidRPr="00516D19">
        <w:rPr>
          <w:rFonts w:ascii="Verdana" w:hAnsi="Verdana"/>
          <w:sz w:val="16"/>
          <w:szCs w:val="16"/>
          <w:lang w:eastAsia="es-CO"/>
        </w:rPr>
        <w:t>“6.1. [...] No obstante lo anterior, sólo en aquellos casos en que por las características del objeto a contratar se requiera la verificación de requisitos del proponente adicionales a los contenidos en el Registro, la entidad podrá hacer tal verificación en forma directa”.</w:t>
      </w:r>
    </w:p>
    <w:p w14:paraId="39F3A48A" w14:textId="77777777" w:rsidR="0064326F" w:rsidRPr="00516D19" w:rsidRDefault="0064326F" w:rsidP="0064326F">
      <w:pPr>
        <w:pStyle w:val="Textonotapie"/>
        <w:ind w:firstLine="709"/>
        <w:jc w:val="both"/>
        <w:rPr>
          <w:rFonts w:ascii="Verdana" w:hAnsi="Verdana"/>
          <w:sz w:val="16"/>
          <w:szCs w:val="16"/>
          <w:lang w:eastAsia="es-CO"/>
        </w:rPr>
      </w:pPr>
    </w:p>
  </w:footnote>
  <w:footnote w:id="6">
    <w:p w14:paraId="52FC25DD" w14:textId="77777777" w:rsidR="0064326F" w:rsidRPr="00516D19" w:rsidRDefault="0064326F" w:rsidP="0064326F">
      <w:pPr>
        <w:pStyle w:val="Textonotapie"/>
        <w:ind w:firstLine="709"/>
        <w:contextualSpacing/>
        <w:jc w:val="both"/>
        <w:rPr>
          <w:rFonts w:ascii="Verdana" w:hAnsi="Verdana" w:cs="Arial"/>
          <w:sz w:val="16"/>
          <w:szCs w:val="16"/>
          <w:lang w:eastAsia="es-CO"/>
        </w:rPr>
      </w:pPr>
      <w:r w:rsidRPr="00516D19">
        <w:rPr>
          <w:rStyle w:val="Refdenotaalpie"/>
          <w:rFonts w:ascii="Verdana" w:hAnsi="Verdana"/>
          <w:sz w:val="16"/>
          <w:szCs w:val="16"/>
        </w:rPr>
        <w:footnoteRef/>
      </w:r>
      <w:r w:rsidRPr="00516D19">
        <w:rPr>
          <w:rFonts w:ascii="Verdana" w:hAnsi="Verdana"/>
          <w:sz w:val="16"/>
          <w:szCs w:val="16"/>
        </w:rPr>
        <w:t xml:space="preserve"> </w:t>
      </w:r>
      <w:r w:rsidRPr="00516D19">
        <w:rPr>
          <w:rFonts w:ascii="Verdana" w:hAnsi="Verdana" w:cs="Arial"/>
          <w:sz w:val="16"/>
          <w:szCs w:val="16"/>
          <w:lang w:eastAsia="es-CO"/>
        </w:rPr>
        <w:t xml:space="preserve">Ley 1150 de 2007: “Artículo 6.  De la verificación de las condiciones de los proponentes. </w:t>
      </w:r>
    </w:p>
    <w:p w14:paraId="2E45600F" w14:textId="77777777" w:rsidR="0064326F" w:rsidRPr="00516D19" w:rsidRDefault="0064326F" w:rsidP="0064326F">
      <w:pPr>
        <w:pStyle w:val="Textonotapie"/>
        <w:ind w:firstLine="709"/>
        <w:contextualSpacing/>
        <w:jc w:val="both"/>
        <w:rPr>
          <w:rFonts w:ascii="Verdana" w:hAnsi="Verdana" w:cs="Arial"/>
          <w:sz w:val="16"/>
          <w:szCs w:val="16"/>
          <w:lang w:eastAsia="es-CO"/>
        </w:rPr>
      </w:pPr>
      <w:r w:rsidRPr="00516D19">
        <w:rPr>
          <w:rFonts w:ascii="Verdana" w:hAnsi="Verdana" w:cs="Arial"/>
          <w:sz w:val="16"/>
          <w:szCs w:val="16"/>
          <w:lang w:eastAsia="es-CO"/>
        </w:rPr>
        <w:t xml:space="preserve">[...] </w:t>
      </w:r>
    </w:p>
    <w:p w14:paraId="3682F1F2" w14:textId="77777777" w:rsidR="0064326F" w:rsidRPr="00516D19" w:rsidRDefault="0064326F" w:rsidP="0064326F">
      <w:pPr>
        <w:pStyle w:val="Textonotapie"/>
        <w:ind w:firstLine="709"/>
        <w:contextualSpacing/>
        <w:jc w:val="both"/>
        <w:rPr>
          <w:rFonts w:ascii="Verdana" w:hAnsi="Verdana" w:cs="Arial"/>
          <w:sz w:val="16"/>
          <w:szCs w:val="16"/>
          <w:lang w:eastAsia="es-CO"/>
        </w:rPr>
      </w:pPr>
      <w:r w:rsidRPr="00516D19">
        <w:rPr>
          <w:rFonts w:ascii="Verdana" w:hAnsi="Verdana" w:cs="Arial"/>
          <w:sz w:val="16"/>
          <w:szCs w:val="16"/>
          <w:lang w:eastAsia="es-CO"/>
        </w:rPr>
        <w:t xml:space="preserve">No se requerirá de este registro, ni de calificación ni de clasificación, en los casos de contratación directa; contratos para la prestación de servicios de salud; contratos cuyo valor no supere el diez por ciento (10%) de la menor cuantía de la respectiva entidad;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 [...]”. </w:t>
      </w:r>
    </w:p>
  </w:footnote>
  <w:footnote w:id="7">
    <w:p w14:paraId="5888AA3A" w14:textId="77777777" w:rsidR="0064326F" w:rsidRPr="00516D19" w:rsidRDefault="0064326F" w:rsidP="0064326F">
      <w:pPr>
        <w:pStyle w:val="Textonotapie"/>
        <w:jc w:val="both"/>
        <w:rPr>
          <w:rFonts w:ascii="Verdana" w:hAnsi="Verdana"/>
          <w:sz w:val="16"/>
          <w:szCs w:val="16"/>
        </w:rPr>
      </w:pPr>
    </w:p>
    <w:p w14:paraId="0DF760B2" w14:textId="77777777" w:rsidR="0064326F" w:rsidRPr="00516D19" w:rsidRDefault="0064326F" w:rsidP="0064326F">
      <w:pPr>
        <w:pStyle w:val="Textonotapie"/>
        <w:ind w:firstLine="709"/>
        <w:jc w:val="both"/>
        <w:rPr>
          <w:rFonts w:ascii="Verdana" w:hAnsi="Verdana"/>
          <w:sz w:val="16"/>
          <w:szCs w:val="16"/>
        </w:rPr>
      </w:pPr>
      <w:r w:rsidRPr="00516D19">
        <w:rPr>
          <w:rStyle w:val="Refdenotaalpie"/>
          <w:rFonts w:ascii="Verdana" w:hAnsi="Verdana"/>
          <w:sz w:val="16"/>
          <w:szCs w:val="16"/>
        </w:rPr>
        <w:footnoteRef/>
      </w:r>
      <w:r w:rsidRPr="00516D19">
        <w:rPr>
          <w:rFonts w:ascii="Verdana" w:hAnsi="Verdana"/>
          <w:sz w:val="16"/>
          <w:szCs w:val="16"/>
        </w:rPr>
        <w:t xml:space="preserve"> </w:t>
      </w:r>
      <w:r w:rsidRPr="00516D19">
        <w:rPr>
          <w:rFonts w:ascii="Verdana" w:hAnsi="Verdana"/>
          <w:sz w:val="16"/>
          <w:szCs w:val="16"/>
          <w:lang w:eastAsia="es-CO"/>
        </w:rPr>
        <w:t>Consejo de Estado. Sala de Consulta y Servicio Civil. Consulta del 20 de mayo de 2010. Exp.1992. C. P. Enrique José Arboleda Perdomo.</w:t>
      </w:r>
    </w:p>
    <w:p w14:paraId="6645362C" w14:textId="77777777" w:rsidR="0064326F" w:rsidRPr="00516D19" w:rsidRDefault="0064326F" w:rsidP="0064326F">
      <w:pPr>
        <w:pStyle w:val="Textonotapie"/>
        <w:ind w:firstLine="709"/>
        <w:jc w:val="both"/>
        <w:rPr>
          <w:rFonts w:ascii="Verdana" w:hAnsi="Verdana"/>
          <w:sz w:val="16"/>
          <w:szCs w:val="16"/>
        </w:rPr>
      </w:pPr>
    </w:p>
  </w:footnote>
  <w:footnote w:id="8">
    <w:p w14:paraId="083C27F4" w14:textId="77777777" w:rsidR="0064326F" w:rsidRPr="00516D19" w:rsidRDefault="0064326F" w:rsidP="0064326F">
      <w:pPr>
        <w:pStyle w:val="Textonotapie"/>
        <w:ind w:firstLine="709"/>
        <w:jc w:val="both"/>
        <w:rPr>
          <w:rFonts w:ascii="Verdana" w:hAnsi="Verdana"/>
          <w:sz w:val="16"/>
          <w:szCs w:val="16"/>
        </w:rPr>
      </w:pPr>
      <w:r w:rsidRPr="00516D19">
        <w:rPr>
          <w:rStyle w:val="Refdenotaalpie"/>
          <w:rFonts w:ascii="Verdana" w:hAnsi="Verdana"/>
          <w:sz w:val="16"/>
          <w:szCs w:val="16"/>
        </w:rPr>
        <w:footnoteRef/>
      </w:r>
      <w:r w:rsidRPr="00516D19">
        <w:rPr>
          <w:rFonts w:ascii="Verdana" w:hAnsi="Verdana"/>
          <w:sz w:val="16"/>
          <w:szCs w:val="16"/>
          <w:lang w:eastAsia="es-CO"/>
        </w:rPr>
        <w:t xml:space="preserve"> Ley 1150 de 2007: “Artículo 6.  De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 [...]”. </w:t>
      </w:r>
      <w:r w:rsidRPr="00516D19">
        <w:rPr>
          <w:rFonts w:ascii="Verdana" w:hAnsi="Verdana"/>
          <w:sz w:val="16"/>
          <w:szCs w:val="16"/>
        </w:rPr>
        <w:t xml:space="preserve"> </w:t>
      </w:r>
    </w:p>
    <w:p w14:paraId="06D579AF" w14:textId="77777777" w:rsidR="0064326F" w:rsidRPr="00516D19" w:rsidRDefault="0064326F" w:rsidP="0064326F">
      <w:pPr>
        <w:pStyle w:val="Textonotapie"/>
        <w:ind w:firstLine="708"/>
        <w:jc w:val="both"/>
        <w:rPr>
          <w:rFonts w:ascii="Verdana" w:hAnsi="Verdana"/>
          <w:sz w:val="16"/>
          <w:szCs w:val="16"/>
          <w:lang w:val="es-CO"/>
        </w:rPr>
      </w:pPr>
    </w:p>
  </w:footnote>
  <w:footnote w:id="9">
    <w:p w14:paraId="46A9F156" w14:textId="77777777" w:rsidR="0064326F" w:rsidRPr="00516D19" w:rsidRDefault="0064326F" w:rsidP="0064326F">
      <w:pPr>
        <w:pStyle w:val="Textonotapie"/>
        <w:ind w:firstLine="708"/>
        <w:jc w:val="both"/>
        <w:rPr>
          <w:rFonts w:ascii="Verdana" w:hAnsi="Verdana"/>
          <w:sz w:val="16"/>
          <w:szCs w:val="16"/>
          <w:lang w:val="es-CO"/>
        </w:rPr>
      </w:pPr>
      <w:r w:rsidRPr="00516D19">
        <w:rPr>
          <w:rStyle w:val="Refdenotaalpie"/>
          <w:rFonts w:ascii="Verdana" w:hAnsi="Verdana"/>
          <w:sz w:val="16"/>
          <w:szCs w:val="16"/>
        </w:rPr>
        <w:footnoteRef/>
      </w:r>
      <w:r w:rsidRPr="00516D19">
        <w:rPr>
          <w:rFonts w:ascii="Verdana" w:hAnsi="Verdana"/>
          <w:sz w:val="16"/>
          <w:szCs w:val="16"/>
          <w:lang w:eastAsia="es-CO"/>
        </w:rPr>
        <w:t xml:space="preserve"> “[...] </w:t>
      </w:r>
      <w:r w:rsidRPr="00516D19">
        <w:rPr>
          <w:rFonts w:ascii="Verdana" w:hAnsi="Verdana"/>
          <w:sz w:val="16"/>
          <w:szCs w:val="16"/>
        </w:rPr>
        <w:t xml:space="preserve">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 </w:t>
      </w:r>
      <w:r w:rsidRPr="00516D19">
        <w:rPr>
          <w:rFonts w:ascii="Verdana" w:hAnsi="Verdana"/>
          <w:sz w:val="16"/>
          <w:szCs w:val="16"/>
          <w:lang w:eastAsia="es-CO"/>
        </w:rPr>
        <w:t xml:space="preserve">[...]”. </w:t>
      </w:r>
      <w:r w:rsidRPr="00516D19">
        <w:rPr>
          <w:rFonts w:ascii="Verdana" w:hAnsi="Verdana"/>
          <w:sz w:val="16"/>
          <w:szCs w:val="16"/>
        </w:rPr>
        <w:t xml:space="preserve"> </w:t>
      </w:r>
    </w:p>
    <w:p w14:paraId="009C4404" w14:textId="77777777" w:rsidR="0064326F" w:rsidRPr="00516D19" w:rsidRDefault="0064326F" w:rsidP="0064326F">
      <w:pPr>
        <w:pStyle w:val="Textonotapie"/>
        <w:ind w:firstLine="709"/>
        <w:jc w:val="both"/>
        <w:rPr>
          <w:rFonts w:ascii="Verdana" w:hAnsi="Verdana"/>
          <w:sz w:val="16"/>
          <w:szCs w:val="16"/>
        </w:rPr>
      </w:pPr>
    </w:p>
  </w:footnote>
  <w:footnote w:id="10">
    <w:p w14:paraId="05EA03C8" w14:textId="77777777" w:rsidR="0064326F" w:rsidRPr="00516D19" w:rsidRDefault="0064326F" w:rsidP="0064326F">
      <w:pPr>
        <w:pStyle w:val="Textonotapie"/>
        <w:ind w:firstLine="708"/>
        <w:jc w:val="both"/>
        <w:rPr>
          <w:rFonts w:ascii="Verdana" w:hAnsi="Verdana"/>
          <w:sz w:val="16"/>
          <w:szCs w:val="16"/>
          <w:shd w:val="clear" w:color="auto" w:fill="FFFFFF"/>
        </w:rPr>
      </w:pPr>
      <w:r w:rsidRPr="00516D19">
        <w:rPr>
          <w:rStyle w:val="Refdenotaalpie"/>
          <w:rFonts w:ascii="Verdana" w:hAnsi="Verdana"/>
          <w:sz w:val="16"/>
          <w:szCs w:val="16"/>
        </w:rPr>
        <w:footnoteRef/>
      </w:r>
      <w:r w:rsidRPr="00516D19">
        <w:rPr>
          <w:rFonts w:ascii="Verdana" w:hAnsi="Verdana"/>
          <w:sz w:val="16"/>
          <w:szCs w:val="16"/>
          <w:lang w:eastAsia="es-CO"/>
        </w:rPr>
        <w:t xml:space="preserve"> “</w:t>
      </w:r>
      <w:r w:rsidRPr="00516D19">
        <w:rPr>
          <w:rStyle w:val="Fuerte"/>
          <w:rFonts w:ascii="Verdana" w:hAnsi="Verdana"/>
          <w:sz w:val="16"/>
          <w:szCs w:val="16"/>
          <w:shd w:val="clear" w:color="auto" w:fill="FFFFFF"/>
        </w:rPr>
        <w:t>Artículo 2.2.1.1.1.5.1.</w:t>
      </w:r>
      <w:r w:rsidRPr="00516D19">
        <w:rPr>
          <w:rStyle w:val="Fuerte"/>
          <w:rFonts w:ascii="Verdana" w:hAnsi="Verdana"/>
          <w:i/>
          <w:sz w:val="16"/>
          <w:szCs w:val="16"/>
          <w:shd w:val="clear" w:color="auto" w:fill="FFFFFF"/>
        </w:rPr>
        <w:t> </w:t>
      </w:r>
      <w:r w:rsidRPr="00516D19">
        <w:rPr>
          <w:rStyle w:val="nfasis"/>
          <w:rFonts w:ascii="Verdana" w:hAnsi="Verdana"/>
          <w:sz w:val="16"/>
          <w:szCs w:val="16"/>
          <w:shd w:val="clear" w:color="auto" w:fill="FFFFFF"/>
        </w:rPr>
        <w:t>Inscripción, renovación, actualización y cancelación del RUP. </w:t>
      </w:r>
      <w:r w:rsidRPr="00516D19">
        <w:rPr>
          <w:rFonts w:ascii="Verdana" w:hAnsi="Verdana"/>
          <w:sz w:val="16"/>
          <w:szCs w:val="16"/>
          <w:shd w:val="clear" w:color="auto" w:fill="FFFFFF"/>
        </w:rPr>
        <w:t>Las personas naturales y jurídicas, nacionales o extranjeras, con domicilio en Colombia, interesadas en participar en Procesos de Contratación convocados por las Entidades Estatales, deben estar inscritas en el RUP, salvo las excepciones previstas de forma taxativa en la ley</w:t>
      </w:r>
      <w:r w:rsidRPr="00516D19">
        <w:rPr>
          <w:rFonts w:ascii="Verdana" w:hAnsi="Verdana"/>
          <w:sz w:val="16"/>
          <w:szCs w:val="16"/>
          <w:lang w:eastAsia="es-CO"/>
        </w:rPr>
        <w:t>”</w:t>
      </w:r>
      <w:r w:rsidRPr="00516D19">
        <w:rPr>
          <w:rFonts w:ascii="Verdana" w:hAnsi="Verdana"/>
          <w:sz w:val="16"/>
          <w:szCs w:val="16"/>
          <w:shd w:val="clear" w:color="auto" w:fill="FFFFFF"/>
        </w:rPr>
        <w:t>.</w:t>
      </w:r>
    </w:p>
    <w:p w14:paraId="7D9FB737" w14:textId="77777777" w:rsidR="0064326F" w:rsidRPr="00516D19" w:rsidRDefault="0064326F" w:rsidP="0064326F">
      <w:pPr>
        <w:pStyle w:val="Textonotapie"/>
        <w:ind w:firstLine="708"/>
        <w:jc w:val="both"/>
        <w:rPr>
          <w:rFonts w:ascii="Verdana" w:hAnsi="Verdana"/>
          <w:sz w:val="16"/>
          <w:szCs w:val="16"/>
          <w:shd w:val="clear" w:color="auto" w:fill="FFFFFF"/>
        </w:rPr>
      </w:pPr>
    </w:p>
  </w:footnote>
  <w:footnote w:id="11">
    <w:p w14:paraId="7344C115" w14:textId="77777777" w:rsidR="0064326F" w:rsidRPr="00516D19" w:rsidRDefault="0064326F" w:rsidP="0064326F">
      <w:pPr>
        <w:pStyle w:val="NormalWeb"/>
        <w:shd w:val="clear" w:color="auto" w:fill="FFFFFF"/>
        <w:spacing w:before="0" w:beforeAutospacing="0" w:after="0" w:afterAutospacing="0"/>
        <w:ind w:firstLine="708"/>
        <w:jc w:val="both"/>
        <w:rPr>
          <w:rFonts w:ascii="Verdana" w:hAnsi="Verdana" w:cs="Arial"/>
          <w:sz w:val="16"/>
          <w:szCs w:val="16"/>
        </w:rPr>
      </w:pPr>
      <w:r w:rsidRPr="00516D19">
        <w:rPr>
          <w:rStyle w:val="Refdenotaalpie"/>
          <w:rFonts w:ascii="Verdana" w:eastAsiaTheme="majorEastAsia" w:hAnsi="Verdana" w:cs="Arial"/>
          <w:sz w:val="16"/>
          <w:szCs w:val="16"/>
        </w:rPr>
        <w:footnoteRef/>
      </w:r>
      <w:r w:rsidRPr="00516D19">
        <w:rPr>
          <w:rFonts w:ascii="Verdana" w:hAnsi="Verdana" w:cs="Arial"/>
          <w:sz w:val="16"/>
          <w:szCs w:val="16"/>
        </w:rPr>
        <w:t xml:space="preserve"> Decreto 1082 de 2015: “</w:t>
      </w:r>
      <w:r w:rsidRPr="00516D19">
        <w:rPr>
          <w:rStyle w:val="Fuerte"/>
          <w:rFonts w:ascii="Verdana" w:hAnsi="Verdana" w:cs="Arial"/>
          <w:sz w:val="16"/>
          <w:szCs w:val="16"/>
        </w:rPr>
        <w:t>Artículo 2.2.1.1.1.5.2. </w:t>
      </w:r>
      <w:r w:rsidRPr="00516D19">
        <w:rPr>
          <w:rStyle w:val="nfasis"/>
          <w:rFonts w:ascii="Verdana" w:hAnsi="Verdana" w:cs="Arial"/>
          <w:sz w:val="16"/>
          <w:szCs w:val="16"/>
        </w:rPr>
        <w:t>Información para inscripción, renovación o actualización. </w:t>
      </w:r>
      <w:r w:rsidRPr="00516D19">
        <w:rPr>
          <w:rFonts w:ascii="Verdana" w:hAnsi="Verdana" w:cs="Arial"/>
          <w:sz w:val="16"/>
          <w:szCs w:val="16"/>
        </w:rPr>
        <w:t>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2FB02636" w14:textId="77777777" w:rsidR="0064326F" w:rsidRPr="00516D19" w:rsidRDefault="0064326F" w:rsidP="0064326F">
      <w:pPr>
        <w:pStyle w:val="NormalWeb"/>
        <w:shd w:val="clear" w:color="auto" w:fill="FFFFFF"/>
        <w:spacing w:before="0" w:beforeAutospacing="0" w:after="0" w:afterAutospacing="0"/>
        <w:jc w:val="both"/>
        <w:rPr>
          <w:rFonts w:ascii="Verdana" w:hAnsi="Verdana" w:cs="Arial"/>
          <w:sz w:val="16"/>
          <w:szCs w:val="16"/>
        </w:rPr>
      </w:pPr>
      <w:r w:rsidRPr="00516D19">
        <w:rPr>
          <w:rFonts w:ascii="Verdana" w:hAnsi="Verdana" w:cs="Arial"/>
          <w:sz w:val="16"/>
          <w:szCs w:val="16"/>
        </w:rPr>
        <w:tab/>
        <w:t>“1.    Si es una persona natural:</w:t>
      </w:r>
    </w:p>
    <w:p w14:paraId="13B6A888" w14:textId="77777777" w:rsidR="0064326F" w:rsidRPr="00516D19" w:rsidRDefault="0064326F" w:rsidP="0064326F">
      <w:pPr>
        <w:pStyle w:val="NormalWeb"/>
        <w:shd w:val="clear" w:color="auto" w:fill="FFFFFF"/>
        <w:spacing w:before="0" w:beforeAutospacing="0" w:after="0" w:afterAutospacing="0"/>
        <w:jc w:val="both"/>
        <w:rPr>
          <w:rFonts w:ascii="Verdana" w:hAnsi="Verdana" w:cs="Arial"/>
          <w:sz w:val="16"/>
          <w:szCs w:val="16"/>
        </w:rPr>
      </w:pPr>
      <w:r w:rsidRPr="00516D19">
        <w:rPr>
          <w:rFonts w:ascii="Verdana" w:hAnsi="Verdana" w:cs="Arial"/>
          <w:sz w:val="16"/>
          <w:szCs w:val="16"/>
        </w:rPr>
        <w:tab/>
        <w:t>“1.1.   Bienes, obras y servicios que ofrecerá a las Entidades Estatales, identificados con el Clasificador de Bienes y Servicios en el tercer nivel.</w:t>
      </w:r>
    </w:p>
    <w:p w14:paraId="616C24BF" w14:textId="77777777" w:rsidR="0064326F" w:rsidRPr="00516D19" w:rsidRDefault="0064326F" w:rsidP="0064326F">
      <w:pPr>
        <w:pStyle w:val="NormalWeb"/>
        <w:shd w:val="clear" w:color="auto" w:fill="FFFFFF"/>
        <w:spacing w:before="0" w:beforeAutospacing="0" w:after="0" w:afterAutospacing="0"/>
        <w:ind w:firstLine="708"/>
        <w:jc w:val="both"/>
        <w:rPr>
          <w:rFonts w:ascii="Verdana" w:hAnsi="Verdana" w:cs="Arial"/>
          <w:sz w:val="16"/>
          <w:szCs w:val="16"/>
        </w:rPr>
      </w:pPr>
      <w:r w:rsidRPr="00516D19">
        <w:rPr>
          <w:rFonts w:ascii="Verdana" w:hAnsi="Verdana" w:cs="Arial"/>
          <w:sz w:val="16"/>
          <w:szCs w:val="16"/>
        </w:rPr>
        <w:t>“1.2.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w:t>
      </w:r>
      <w:r w:rsidRPr="00516D19">
        <w:rPr>
          <w:rFonts w:ascii="Verdana" w:hAnsi="Verdana" w:cs="Arial"/>
          <w:sz w:val="16"/>
          <w:szCs w:val="16"/>
        </w:rPr>
        <w:softHyphen/>
        <w:t>sificador de Bienes y Servicios en el tercer nivel.</w:t>
      </w:r>
    </w:p>
    <w:p w14:paraId="0CCAAE33" w14:textId="77777777" w:rsidR="0064326F" w:rsidRPr="00516D19" w:rsidRDefault="0064326F" w:rsidP="0064326F">
      <w:pPr>
        <w:pStyle w:val="NormalWeb"/>
        <w:shd w:val="clear" w:color="auto" w:fill="FFFFFF"/>
        <w:spacing w:before="0" w:beforeAutospacing="0" w:after="0" w:afterAutospacing="0"/>
        <w:ind w:firstLine="708"/>
        <w:jc w:val="both"/>
        <w:rPr>
          <w:rFonts w:ascii="Verdana" w:hAnsi="Verdana" w:cs="Arial"/>
          <w:sz w:val="16"/>
          <w:szCs w:val="16"/>
        </w:rPr>
      </w:pPr>
      <w:r w:rsidRPr="00516D19">
        <w:rPr>
          <w:rFonts w:ascii="Verdana" w:hAnsi="Verdana" w:cs="Arial"/>
          <w:sz w:val="16"/>
          <w:szCs w:val="16"/>
        </w:rPr>
        <w:t>“1.3.   Si la persona está obligada a llevar contabilidad, copia de la información contable del último año exigida por las normas tributarias.</w:t>
      </w:r>
    </w:p>
    <w:p w14:paraId="568982D6" w14:textId="77777777" w:rsidR="0064326F" w:rsidRPr="00516D19" w:rsidRDefault="0064326F" w:rsidP="0064326F">
      <w:pPr>
        <w:pStyle w:val="NormalWeb"/>
        <w:shd w:val="clear" w:color="auto" w:fill="FFFFFF"/>
        <w:spacing w:before="0" w:beforeAutospacing="0" w:after="0" w:afterAutospacing="0"/>
        <w:ind w:firstLine="708"/>
        <w:jc w:val="both"/>
        <w:rPr>
          <w:rFonts w:ascii="Verdana" w:hAnsi="Verdana" w:cs="Arial"/>
          <w:sz w:val="16"/>
          <w:szCs w:val="16"/>
        </w:rPr>
      </w:pPr>
      <w:r w:rsidRPr="00516D19">
        <w:rPr>
          <w:rFonts w:ascii="Verdana" w:hAnsi="Verdana" w:cs="Arial"/>
          <w:sz w:val="16"/>
          <w:szCs w:val="16"/>
        </w:rPr>
        <w:t>“1.4.   Certificado expedido por la persona natural o su contador, relativa al tamaño empre</w:t>
      </w:r>
      <w:r w:rsidRPr="00516D19">
        <w:rPr>
          <w:rFonts w:ascii="Verdana" w:hAnsi="Verdana" w:cs="Arial"/>
          <w:sz w:val="16"/>
          <w:szCs w:val="16"/>
        </w:rPr>
        <w:softHyphen/>
        <w:t>sarial de acuerdo con la definición legal y reglamentaria.</w:t>
      </w:r>
    </w:p>
    <w:p w14:paraId="746D414D" w14:textId="77777777" w:rsidR="0064326F" w:rsidRPr="00516D19" w:rsidRDefault="0064326F" w:rsidP="0064326F">
      <w:pPr>
        <w:pStyle w:val="NormalWeb"/>
        <w:shd w:val="clear" w:color="auto" w:fill="FFFFFF"/>
        <w:spacing w:before="0" w:beforeAutospacing="0" w:after="0" w:afterAutospacing="0"/>
        <w:jc w:val="both"/>
        <w:rPr>
          <w:rFonts w:ascii="Verdana" w:hAnsi="Verdana" w:cs="Arial"/>
          <w:sz w:val="16"/>
          <w:szCs w:val="16"/>
        </w:rPr>
      </w:pPr>
      <w:r w:rsidRPr="00516D19">
        <w:rPr>
          <w:rFonts w:ascii="Verdana" w:hAnsi="Verdana" w:cs="Arial"/>
          <w:sz w:val="16"/>
          <w:szCs w:val="16"/>
        </w:rPr>
        <w:tab/>
        <w:t>“2.    Si es una persona jurídica:</w:t>
      </w:r>
    </w:p>
    <w:p w14:paraId="1E6F26F4" w14:textId="77777777" w:rsidR="0064326F" w:rsidRPr="00516D19" w:rsidRDefault="0064326F" w:rsidP="0064326F">
      <w:pPr>
        <w:pStyle w:val="NormalWeb"/>
        <w:shd w:val="clear" w:color="auto" w:fill="FFFFFF"/>
        <w:spacing w:before="0" w:beforeAutospacing="0" w:after="0" w:afterAutospacing="0"/>
        <w:jc w:val="both"/>
        <w:rPr>
          <w:rFonts w:ascii="Verdana" w:hAnsi="Verdana" w:cs="Arial"/>
          <w:sz w:val="16"/>
          <w:szCs w:val="16"/>
        </w:rPr>
      </w:pPr>
      <w:r w:rsidRPr="00516D19">
        <w:rPr>
          <w:rFonts w:ascii="Verdana" w:hAnsi="Verdana" w:cs="Arial"/>
          <w:sz w:val="16"/>
          <w:szCs w:val="16"/>
        </w:rPr>
        <w:tab/>
        <w:t>“2.1.   Bienes, obras y servicios que ofrecerá a las Entidades Estatales, identificados con el Clasificador de Bienes y Servicios en el tercer nivel.</w:t>
      </w:r>
    </w:p>
    <w:p w14:paraId="29361B69" w14:textId="77777777" w:rsidR="0064326F" w:rsidRPr="00516D19" w:rsidRDefault="0064326F" w:rsidP="0064326F">
      <w:pPr>
        <w:pStyle w:val="NormalWeb"/>
        <w:shd w:val="clear" w:color="auto" w:fill="FFFFFF"/>
        <w:spacing w:before="0" w:beforeAutospacing="0" w:after="0" w:afterAutospacing="0"/>
        <w:ind w:firstLine="708"/>
        <w:jc w:val="both"/>
        <w:rPr>
          <w:rFonts w:ascii="Verdana" w:hAnsi="Verdana" w:cs="Arial"/>
          <w:sz w:val="16"/>
          <w:szCs w:val="16"/>
        </w:rPr>
      </w:pPr>
      <w:r w:rsidRPr="00516D19">
        <w:rPr>
          <w:rFonts w:ascii="Verdana" w:hAnsi="Verdana" w:cs="Arial"/>
          <w:sz w:val="16"/>
          <w:szCs w:val="16"/>
        </w:rPr>
        <w:t>“2.2.   Certificado expedido por el representante legal y el revisor fiscal, si la persona jurídica está obligada a tenerlo, o el auditor o contador, en el que conste que el interesado no es parte de un grupo empresarial, no ejerce control sobre otras sociedades y no hay situación de control sobre el interesado, en los términos del Código de Comercio. Si el grupo empresarial o la circunstancia de control existe, en el certificado debe constar la identificación de los miembros del grupo empresarial, la situación de control y los controlantes y controlados.</w:t>
      </w:r>
    </w:p>
    <w:p w14:paraId="1BC64A89" w14:textId="77777777" w:rsidR="0064326F" w:rsidRPr="00516D19" w:rsidRDefault="0064326F" w:rsidP="0064326F">
      <w:pPr>
        <w:pStyle w:val="NormalWeb"/>
        <w:shd w:val="clear" w:color="auto" w:fill="FFFFFF"/>
        <w:spacing w:before="0" w:beforeAutospacing="0" w:after="0" w:afterAutospacing="0"/>
        <w:ind w:firstLine="708"/>
        <w:jc w:val="both"/>
        <w:rPr>
          <w:rFonts w:ascii="Verdana" w:hAnsi="Verdana" w:cs="Arial"/>
          <w:sz w:val="16"/>
          <w:szCs w:val="16"/>
        </w:rPr>
      </w:pPr>
      <w:r w:rsidRPr="00516D19">
        <w:rPr>
          <w:rFonts w:ascii="Verdana" w:hAnsi="Verdana" w:cs="Arial"/>
          <w:sz w:val="16"/>
          <w:szCs w:val="16"/>
        </w:rPr>
        <w:t>“2.3.   Estados financieros de la sociedad y los estados financieros consolidados del grupo empresarial, cuando la norma aplicable lo exige, auditados con sus notas y los siguientes anexos, suscritos por el representante legal y el revisor fiscal, si la persona jurídica está obligada a tenerlo, o suscritos por el representante legal y el auditor o contador si la persona jurídica no está obligada a tener revisor fiscal:</w:t>
      </w:r>
    </w:p>
    <w:p w14:paraId="212636DF" w14:textId="77777777" w:rsidR="0064326F" w:rsidRPr="00516D19" w:rsidRDefault="0064326F" w:rsidP="0064326F">
      <w:pPr>
        <w:pStyle w:val="NormalWeb"/>
        <w:shd w:val="clear" w:color="auto" w:fill="FFFFFF"/>
        <w:spacing w:before="0" w:beforeAutospacing="0" w:after="0" w:afterAutospacing="0"/>
        <w:jc w:val="both"/>
        <w:rPr>
          <w:rFonts w:ascii="Verdana" w:hAnsi="Verdana" w:cs="Arial"/>
          <w:sz w:val="16"/>
          <w:szCs w:val="16"/>
        </w:rPr>
      </w:pPr>
      <w:r w:rsidRPr="00516D19">
        <w:rPr>
          <w:rFonts w:ascii="Verdana" w:hAnsi="Verdana" w:cs="Arial"/>
          <w:sz w:val="16"/>
          <w:szCs w:val="16"/>
        </w:rPr>
        <w:t xml:space="preserve">    </w:t>
      </w:r>
      <w:r w:rsidRPr="00516D19">
        <w:rPr>
          <w:rFonts w:ascii="Verdana" w:hAnsi="Verdana" w:cs="Arial"/>
          <w:sz w:val="16"/>
          <w:szCs w:val="16"/>
        </w:rPr>
        <w:tab/>
        <w:t>“I. Principales cuentas detalladas del balance general.</w:t>
      </w:r>
    </w:p>
    <w:p w14:paraId="5213DF54" w14:textId="77777777" w:rsidR="0064326F" w:rsidRPr="00516D19" w:rsidRDefault="0064326F" w:rsidP="0064326F">
      <w:pPr>
        <w:pStyle w:val="NormalWeb"/>
        <w:shd w:val="clear" w:color="auto" w:fill="FFFFFF"/>
        <w:spacing w:before="0" w:beforeAutospacing="0" w:after="0" w:afterAutospacing="0"/>
        <w:ind w:firstLine="708"/>
        <w:jc w:val="both"/>
        <w:rPr>
          <w:rFonts w:ascii="Verdana" w:hAnsi="Verdana" w:cs="Arial"/>
          <w:sz w:val="16"/>
          <w:szCs w:val="16"/>
        </w:rPr>
      </w:pPr>
      <w:r w:rsidRPr="00516D19">
        <w:rPr>
          <w:rFonts w:ascii="Verdana" w:hAnsi="Verdana" w:cs="Arial"/>
          <w:sz w:val="16"/>
          <w:szCs w:val="16"/>
        </w:rPr>
        <w:t>“II. Principales cuentas del estado de pérdidas y ganancias.</w:t>
      </w:r>
    </w:p>
    <w:p w14:paraId="5F6B7CF2" w14:textId="77777777" w:rsidR="0064326F" w:rsidRPr="00516D19" w:rsidRDefault="0064326F" w:rsidP="0064326F">
      <w:pPr>
        <w:pStyle w:val="NormalWeb"/>
        <w:shd w:val="clear" w:color="auto" w:fill="FFFFFF"/>
        <w:spacing w:before="0" w:beforeAutospacing="0" w:after="0" w:afterAutospacing="0"/>
        <w:ind w:firstLine="708"/>
        <w:jc w:val="both"/>
        <w:rPr>
          <w:rFonts w:ascii="Verdana" w:hAnsi="Verdana" w:cs="Arial"/>
          <w:sz w:val="16"/>
          <w:szCs w:val="16"/>
        </w:rPr>
      </w:pPr>
      <w:r w:rsidRPr="00516D19">
        <w:rPr>
          <w:rFonts w:ascii="Verdana" w:hAnsi="Verdana" w:cs="Arial"/>
          <w:sz w:val="16"/>
          <w:szCs w:val="16"/>
        </w:rPr>
        <w:t>“III. Cuentas contingentes deudoras y acreedoras.</w:t>
      </w:r>
    </w:p>
    <w:p w14:paraId="39A52B2D" w14:textId="77777777" w:rsidR="0064326F" w:rsidRPr="00516D19" w:rsidRDefault="0064326F" w:rsidP="0064326F">
      <w:pPr>
        <w:pStyle w:val="NormalWeb"/>
        <w:shd w:val="clear" w:color="auto" w:fill="FFFFFF"/>
        <w:spacing w:before="0" w:beforeAutospacing="0" w:after="0" w:afterAutospacing="0"/>
        <w:ind w:firstLine="708"/>
        <w:jc w:val="both"/>
        <w:rPr>
          <w:rFonts w:ascii="Verdana" w:hAnsi="Verdana" w:cs="Arial"/>
          <w:sz w:val="16"/>
          <w:szCs w:val="16"/>
        </w:rPr>
      </w:pPr>
      <w:r w:rsidRPr="00516D19">
        <w:rPr>
          <w:rFonts w:ascii="Verdana" w:hAnsi="Verdana" w:cs="Arial"/>
          <w:sz w:val="16"/>
          <w:szCs w:val="16"/>
        </w:rPr>
        <w:t>“Si el interesado no tiene antigüedad suficiente para tener estados financieros auditados a 31 de diciembre, debe inscribirse con estados financieros de corte trimestral, suscritos por el representante legal y el auditor o contador o estados financieros de apertura.</w:t>
      </w:r>
    </w:p>
    <w:p w14:paraId="10764055" w14:textId="77777777" w:rsidR="0064326F" w:rsidRPr="00516D19" w:rsidRDefault="0064326F" w:rsidP="0064326F">
      <w:pPr>
        <w:pStyle w:val="NormalWeb"/>
        <w:shd w:val="clear" w:color="auto" w:fill="FFFFFF"/>
        <w:spacing w:before="0" w:beforeAutospacing="0" w:after="0" w:afterAutospacing="0"/>
        <w:ind w:firstLine="708"/>
        <w:jc w:val="both"/>
        <w:rPr>
          <w:rFonts w:ascii="Verdana" w:hAnsi="Verdana" w:cs="Arial"/>
          <w:sz w:val="16"/>
          <w:szCs w:val="16"/>
        </w:rPr>
      </w:pPr>
      <w:r w:rsidRPr="00516D19">
        <w:rPr>
          <w:rFonts w:ascii="Verdana" w:hAnsi="Verdana" w:cs="Arial"/>
          <w:sz w:val="16"/>
          <w:szCs w:val="16"/>
        </w:rPr>
        <w:t>“2.4.   Copia de los documentos adicionales exigidos por la Superintendencia de Sociedades respecto de las sociedades sometidas a su inspección, vigilancia o control.</w:t>
      </w:r>
    </w:p>
    <w:p w14:paraId="238EAE55" w14:textId="77777777" w:rsidR="0064326F" w:rsidRPr="00516D19" w:rsidRDefault="0064326F" w:rsidP="0064326F">
      <w:pPr>
        <w:pStyle w:val="NormalWeb"/>
        <w:shd w:val="clear" w:color="auto" w:fill="FFFFFF"/>
        <w:spacing w:before="0" w:beforeAutospacing="0" w:after="0" w:afterAutospacing="0"/>
        <w:ind w:firstLine="708"/>
        <w:jc w:val="both"/>
        <w:rPr>
          <w:rFonts w:ascii="Verdana" w:hAnsi="Verdana" w:cs="Arial"/>
          <w:sz w:val="16"/>
          <w:szCs w:val="16"/>
        </w:rPr>
      </w:pPr>
      <w:r w:rsidRPr="00516D19">
        <w:rPr>
          <w:rFonts w:ascii="Verdana" w:hAnsi="Verdana" w:cs="Arial"/>
          <w:sz w:val="16"/>
          <w:szCs w:val="16"/>
        </w:rPr>
        <w:t>“2.5.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w:t>
      </w:r>
      <w:r w:rsidRPr="00516D19">
        <w:rPr>
          <w:rFonts w:ascii="Verdana" w:hAnsi="Verdana" w:cs="Arial"/>
          <w:sz w:val="16"/>
          <w:szCs w:val="16"/>
        </w:rPr>
        <w:softHyphen/>
        <w:t>ficador de Bienes y Servicios en el tercer nivel. Si la constitución del interesado es menor a tres (3) años, puede acreditar la experiencia de sus accionistas, socios o constituyentes.</w:t>
      </w:r>
    </w:p>
    <w:p w14:paraId="33C2C839" w14:textId="77777777" w:rsidR="0064326F" w:rsidRPr="00516D19" w:rsidRDefault="0064326F" w:rsidP="0064326F">
      <w:pPr>
        <w:pStyle w:val="NormalWeb"/>
        <w:shd w:val="clear" w:color="auto" w:fill="FFFFFF"/>
        <w:spacing w:before="0" w:beforeAutospacing="0" w:after="0" w:afterAutospacing="0"/>
        <w:ind w:firstLine="708"/>
        <w:jc w:val="both"/>
        <w:rPr>
          <w:rFonts w:ascii="Verdana" w:hAnsi="Verdana" w:cs="Arial"/>
          <w:sz w:val="16"/>
          <w:szCs w:val="16"/>
        </w:rPr>
      </w:pPr>
      <w:r w:rsidRPr="00516D19">
        <w:rPr>
          <w:rFonts w:ascii="Verdana" w:hAnsi="Verdana" w:cs="Arial"/>
          <w:sz w:val="16"/>
          <w:szCs w:val="16"/>
        </w:rPr>
        <w:t>“2.6.   Certificado expedido por el representante legal y el revisor fiscal, si la persona jurídica está obligada a tenerlo, o el auditor o contador, relativa al tamaño empresarial de acuerdo con la definición legal y reglamentaria.</w:t>
      </w:r>
    </w:p>
    <w:p w14:paraId="52880846" w14:textId="77777777" w:rsidR="0064326F" w:rsidRPr="00516D19" w:rsidRDefault="0064326F" w:rsidP="0064326F">
      <w:pPr>
        <w:pStyle w:val="NormalWeb"/>
        <w:shd w:val="clear" w:color="auto" w:fill="FFFFFF"/>
        <w:spacing w:before="0" w:beforeAutospacing="0" w:after="0" w:afterAutospacing="0"/>
        <w:jc w:val="both"/>
        <w:rPr>
          <w:rFonts w:ascii="Verdana" w:hAnsi="Verdana" w:cs="Arial"/>
          <w:sz w:val="16"/>
          <w:szCs w:val="16"/>
        </w:rPr>
      </w:pPr>
      <w:r w:rsidRPr="00516D19">
        <w:rPr>
          <w:rFonts w:ascii="Verdana" w:hAnsi="Verdana" w:cs="Arial"/>
          <w:sz w:val="16"/>
          <w:szCs w:val="16"/>
        </w:rPr>
        <w:t>Las sucursales de sociedad extranjera deben presentar para registro la información contable y financiera de su casa matriz. Los estados financieros de las sociedades extranjeras deben ser presentados de conformidad con las normas aplicables en el país en el que son emitidos.</w:t>
      </w:r>
    </w:p>
    <w:p w14:paraId="47B24FE7" w14:textId="77777777" w:rsidR="0064326F" w:rsidRPr="00516D19" w:rsidRDefault="0064326F" w:rsidP="0064326F">
      <w:pPr>
        <w:pStyle w:val="NormalWeb"/>
        <w:shd w:val="clear" w:color="auto" w:fill="FFFFFF"/>
        <w:spacing w:before="0" w:beforeAutospacing="0" w:after="0" w:afterAutospacing="0"/>
        <w:jc w:val="both"/>
        <w:rPr>
          <w:rFonts w:ascii="Verdana" w:hAnsi="Verdana" w:cs="Arial"/>
          <w:sz w:val="16"/>
          <w:szCs w:val="16"/>
        </w:rPr>
      </w:pPr>
      <w:r w:rsidRPr="00516D19">
        <w:rPr>
          <w:rFonts w:ascii="Verdana" w:hAnsi="Verdana" w:cs="Arial"/>
          <w:sz w:val="16"/>
          <w:szCs w:val="16"/>
        </w:rPr>
        <w:t>Los proponentes que terminan su año contable en una fecha distinta al 31 de diciembre, deben actualizar la información financiera en la fecha correspondiente; sin perjuicio de la obligación de renovar el RUP de acuerdo con lo establecido en el artículo 2.2.1.1.1.5.1</w:t>
      </w:r>
      <w:r w:rsidRPr="00516D19">
        <w:rPr>
          <w:rStyle w:val="Fuerte"/>
          <w:rFonts w:ascii="Verdana" w:hAnsi="Verdana" w:cs="Arial"/>
          <w:sz w:val="16"/>
          <w:szCs w:val="16"/>
        </w:rPr>
        <w:t> </w:t>
      </w:r>
      <w:r w:rsidRPr="00516D19">
        <w:rPr>
          <w:rFonts w:ascii="Verdana" w:hAnsi="Verdana" w:cs="Arial"/>
          <w:sz w:val="16"/>
          <w:szCs w:val="16"/>
        </w:rPr>
        <w:t>del presente decreto”.</w:t>
      </w:r>
    </w:p>
    <w:p w14:paraId="1EB02F08" w14:textId="77777777" w:rsidR="0064326F" w:rsidRPr="00516D19" w:rsidRDefault="0064326F" w:rsidP="0064326F">
      <w:pPr>
        <w:pStyle w:val="Textonotapie"/>
        <w:ind w:firstLine="708"/>
        <w:jc w:val="both"/>
        <w:rPr>
          <w:rFonts w:ascii="Verdana" w:hAnsi="Verdana"/>
          <w:sz w:val="16"/>
          <w:szCs w:val="16"/>
        </w:rPr>
      </w:pPr>
    </w:p>
  </w:footnote>
  <w:footnote w:id="12">
    <w:p w14:paraId="6808FEC6" w14:textId="77777777" w:rsidR="0064326F" w:rsidRPr="00516D19" w:rsidRDefault="0064326F" w:rsidP="0064326F">
      <w:pPr>
        <w:pStyle w:val="Textonotapie"/>
        <w:ind w:firstLine="709"/>
        <w:jc w:val="both"/>
        <w:rPr>
          <w:rFonts w:ascii="Verdana" w:hAnsi="Verdana"/>
          <w:sz w:val="16"/>
          <w:szCs w:val="16"/>
          <w:lang w:eastAsia="es-CO"/>
        </w:rPr>
      </w:pPr>
      <w:r w:rsidRPr="00516D19">
        <w:rPr>
          <w:rStyle w:val="Refdenotaalpie"/>
          <w:rFonts w:ascii="Verdana" w:hAnsi="Verdana"/>
          <w:sz w:val="16"/>
          <w:szCs w:val="16"/>
        </w:rPr>
        <w:footnoteRef/>
      </w:r>
      <w:r w:rsidRPr="00516D19">
        <w:rPr>
          <w:rFonts w:ascii="Verdana" w:hAnsi="Verdana"/>
          <w:sz w:val="16"/>
          <w:szCs w:val="16"/>
        </w:rPr>
        <w:t xml:space="preserve"> </w:t>
      </w:r>
      <w:r w:rsidRPr="00516D19">
        <w:rPr>
          <w:rFonts w:ascii="Verdana" w:hAnsi="Verdana"/>
          <w:sz w:val="16"/>
          <w:szCs w:val="16"/>
          <w:lang w:eastAsia="es-CO"/>
        </w:rPr>
        <w:t>Decreto 1082 de 2015:</w:t>
      </w:r>
      <w:r w:rsidRPr="00516D19">
        <w:rPr>
          <w:rFonts w:ascii="Verdana" w:hAnsi="Verdana"/>
          <w:sz w:val="16"/>
          <w:szCs w:val="16"/>
        </w:rPr>
        <w:t xml:space="preserve"> </w:t>
      </w:r>
      <w:r w:rsidRPr="00516D19">
        <w:rPr>
          <w:rFonts w:ascii="Verdana" w:hAnsi="Verdana"/>
          <w:sz w:val="16"/>
          <w:szCs w:val="16"/>
          <w:lang w:eastAsia="es-CO"/>
        </w:rPr>
        <w:t>“Artículo 2.2.1.1.1.5.1. Inscripción, renovación, actualización y cancelación del RUP. Las personas naturales y jurídicas, nacionales o extranjeras, con domicilio en Colombia, interesadas en participar en Procesos de Contratación convocados por las Entidades Estatales, deben estar inscritas en el RUP, salvo las excepciones previstas de forma taxativa en la ley.”</w:t>
      </w:r>
    </w:p>
    <w:p w14:paraId="3C22ECF6" w14:textId="77777777" w:rsidR="0064326F" w:rsidRPr="00516D19" w:rsidRDefault="0064326F" w:rsidP="0064326F">
      <w:pPr>
        <w:pStyle w:val="Textonotapie"/>
        <w:ind w:firstLine="709"/>
        <w:jc w:val="both"/>
        <w:rPr>
          <w:rFonts w:ascii="Verdana" w:hAnsi="Verdana"/>
          <w:sz w:val="16"/>
          <w:szCs w:val="16"/>
          <w:lang w:eastAsia="es-CO"/>
        </w:rPr>
      </w:pPr>
      <w:r w:rsidRPr="00516D19">
        <w:rPr>
          <w:rFonts w:ascii="Verdana" w:hAnsi="Verdana"/>
          <w:sz w:val="16"/>
          <w:szCs w:val="16"/>
          <w:lang w:eastAsia="es-CO"/>
        </w:rPr>
        <w:t>“La persona inscrita en el RUP debe presentar la información para renovar su registro a más tardar el quinto día hábil del mes de abril de cada año. De lo contrario cesan los efectos del RUP. La persona inscrita en el RUP puede actualizar la información registrada relativa a su experiencia y capacidad jurídica en cualquier momento.”</w:t>
      </w:r>
    </w:p>
    <w:p w14:paraId="22E97CF3" w14:textId="77777777" w:rsidR="0064326F" w:rsidRPr="00516D19" w:rsidRDefault="0064326F" w:rsidP="0064326F">
      <w:pPr>
        <w:pStyle w:val="Textonotapie"/>
        <w:ind w:firstLine="709"/>
        <w:jc w:val="both"/>
        <w:rPr>
          <w:rFonts w:ascii="Verdana" w:hAnsi="Verdana"/>
          <w:sz w:val="16"/>
          <w:szCs w:val="16"/>
          <w:lang w:eastAsia="es-CO"/>
        </w:rPr>
      </w:pPr>
      <w:r w:rsidRPr="00516D19">
        <w:rPr>
          <w:rFonts w:ascii="Verdana" w:hAnsi="Verdana"/>
          <w:sz w:val="16"/>
          <w:szCs w:val="16"/>
          <w:lang w:eastAsia="es-CO"/>
        </w:rPr>
        <w:t>“Los inscritos en el RUP pueden en cualquier momento solicitar a la cámara de comercio cancelar su inscripción”.</w:t>
      </w:r>
    </w:p>
    <w:p w14:paraId="726B391C" w14:textId="77777777" w:rsidR="0064326F" w:rsidRPr="00516D19" w:rsidRDefault="0064326F" w:rsidP="0064326F">
      <w:pPr>
        <w:pStyle w:val="Textonotapie"/>
        <w:ind w:firstLine="709"/>
        <w:jc w:val="both"/>
        <w:rPr>
          <w:rFonts w:ascii="Verdana" w:hAnsi="Verdana"/>
          <w:sz w:val="16"/>
          <w:szCs w:val="16"/>
        </w:rPr>
      </w:pPr>
    </w:p>
  </w:footnote>
  <w:footnote w:id="13">
    <w:p w14:paraId="167AE847" w14:textId="77777777" w:rsidR="0064326F" w:rsidRPr="00516D19" w:rsidRDefault="0064326F" w:rsidP="0064326F">
      <w:pPr>
        <w:spacing w:after="0" w:line="240" w:lineRule="auto"/>
        <w:ind w:firstLine="708"/>
        <w:contextualSpacing/>
        <w:jc w:val="both"/>
        <w:rPr>
          <w:rFonts w:ascii="Verdana" w:hAnsi="Verdana" w:cs="Arial"/>
          <w:sz w:val="16"/>
          <w:szCs w:val="16"/>
        </w:rPr>
      </w:pPr>
      <w:r w:rsidRPr="00516D19">
        <w:rPr>
          <w:rStyle w:val="Refdenotaalpie"/>
          <w:rFonts w:ascii="Verdana" w:hAnsi="Verdana" w:cs="Arial"/>
          <w:sz w:val="16"/>
          <w:szCs w:val="16"/>
        </w:rPr>
        <w:footnoteRef/>
      </w:r>
      <w:r w:rsidRPr="00516D19">
        <w:rPr>
          <w:rFonts w:ascii="Verdana" w:hAnsi="Verdana" w:cs="Arial"/>
          <w:sz w:val="16"/>
          <w:szCs w:val="16"/>
        </w:rPr>
        <w:t xml:space="preserve"> “6.3. De la impugnación de la inscripción en el Registro Único de Proponentes (RUP). Realizada la verificación a que se refiere el numeral 6.1</w:t>
      </w:r>
      <w:r w:rsidRPr="00516D19">
        <w:rPr>
          <w:rFonts w:ascii="Verdana" w:hAnsi="Verdana" w:cs="Arial"/>
          <w:spacing w:val="1"/>
          <w:sz w:val="16"/>
          <w:szCs w:val="16"/>
        </w:rPr>
        <w:t xml:space="preserve"> </w:t>
      </w:r>
      <w:r w:rsidRPr="00516D19">
        <w:rPr>
          <w:rFonts w:ascii="Verdana" w:hAnsi="Verdana" w:cs="Arial"/>
          <w:spacing w:val="-1"/>
          <w:sz w:val="16"/>
          <w:szCs w:val="16"/>
        </w:rPr>
        <w:t>del</w:t>
      </w:r>
      <w:r w:rsidRPr="00516D19">
        <w:rPr>
          <w:rFonts w:ascii="Verdana" w:hAnsi="Verdana" w:cs="Arial"/>
          <w:spacing w:val="-8"/>
          <w:sz w:val="16"/>
          <w:szCs w:val="16"/>
        </w:rPr>
        <w:t xml:space="preserve"> </w:t>
      </w:r>
      <w:r w:rsidRPr="00516D19">
        <w:rPr>
          <w:rFonts w:ascii="Verdana" w:hAnsi="Verdana" w:cs="Arial"/>
          <w:spacing w:val="-1"/>
          <w:sz w:val="16"/>
          <w:szCs w:val="16"/>
        </w:rPr>
        <w:t>presente</w:t>
      </w:r>
      <w:r w:rsidRPr="00516D19">
        <w:rPr>
          <w:rFonts w:ascii="Verdana" w:hAnsi="Verdana" w:cs="Arial"/>
          <w:spacing w:val="-8"/>
          <w:sz w:val="16"/>
          <w:szCs w:val="16"/>
        </w:rPr>
        <w:t xml:space="preserve"> </w:t>
      </w:r>
      <w:r w:rsidRPr="00516D19">
        <w:rPr>
          <w:rFonts w:ascii="Verdana" w:hAnsi="Verdana" w:cs="Arial"/>
          <w:spacing w:val="-1"/>
          <w:sz w:val="16"/>
          <w:szCs w:val="16"/>
        </w:rPr>
        <w:t>artículo,</w:t>
      </w:r>
      <w:r w:rsidRPr="00516D19">
        <w:rPr>
          <w:rFonts w:ascii="Verdana" w:hAnsi="Verdana" w:cs="Arial"/>
          <w:spacing w:val="-8"/>
          <w:sz w:val="16"/>
          <w:szCs w:val="16"/>
        </w:rPr>
        <w:t xml:space="preserve"> </w:t>
      </w:r>
      <w:r w:rsidRPr="00516D19">
        <w:rPr>
          <w:rFonts w:ascii="Verdana" w:hAnsi="Verdana" w:cs="Arial"/>
          <w:spacing w:val="-1"/>
          <w:sz w:val="16"/>
          <w:szCs w:val="16"/>
        </w:rPr>
        <w:t>la</w:t>
      </w:r>
      <w:r w:rsidRPr="00516D19">
        <w:rPr>
          <w:rFonts w:ascii="Verdana" w:hAnsi="Verdana" w:cs="Arial"/>
          <w:spacing w:val="-7"/>
          <w:sz w:val="16"/>
          <w:szCs w:val="16"/>
        </w:rPr>
        <w:t xml:space="preserve"> </w:t>
      </w:r>
      <w:r w:rsidRPr="00516D19">
        <w:rPr>
          <w:rFonts w:ascii="Verdana" w:hAnsi="Verdana" w:cs="Arial"/>
          <w:spacing w:val="-1"/>
          <w:sz w:val="16"/>
          <w:szCs w:val="16"/>
        </w:rPr>
        <w:t>Cámara</w:t>
      </w:r>
      <w:r w:rsidRPr="00516D19">
        <w:rPr>
          <w:rFonts w:ascii="Verdana" w:hAnsi="Verdana" w:cs="Arial"/>
          <w:spacing w:val="-8"/>
          <w:sz w:val="16"/>
          <w:szCs w:val="16"/>
        </w:rPr>
        <w:t xml:space="preserve"> </w:t>
      </w:r>
      <w:r w:rsidRPr="00516D19">
        <w:rPr>
          <w:rFonts w:ascii="Verdana" w:hAnsi="Verdana" w:cs="Arial"/>
          <w:spacing w:val="-1"/>
          <w:sz w:val="16"/>
          <w:szCs w:val="16"/>
        </w:rPr>
        <w:t>publicará</w:t>
      </w:r>
      <w:r w:rsidRPr="00516D19">
        <w:rPr>
          <w:rFonts w:ascii="Verdana" w:hAnsi="Verdana" w:cs="Arial"/>
          <w:spacing w:val="-8"/>
          <w:sz w:val="16"/>
          <w:szCs w:val="16"/>
        </w:rPr>
        <w:t xml:space="preserve"> </w:t>
      </w:r>
      <w:r w:rsidRPr="00516D19">
        <w:rPr>
          <w:rFonts w:ascii="Verdana" w:hAnsi="Verdana" w:cs="Arial"/>
          <w:spacing w:val="-1"/>
          <w:sz w:val="16"/>
          <w:szCs w:val="16"/>
        </w:rPr>
        <w:t>el</w:t>
      </w:r>
      <w:r w:rsidRPr="00516D19">
        <w:rPr>
          <w:rFonts w:ascii="Verdana" w:hAnsi="Verdana" w:cs="Arial"/>
          <w:spacing w:val="-8"/>
          <w:sz w:val="16"/>
          <w:szCs w:val="16"/>
        </w:rPr>
        <w:t xml:space="preserve"> </w:t>
      </w:r>
      <w:r w:rsidRPr="00516D19">
        <w:rPr>
          <w:rFonts w:ascii="Verdana" w:hAnsi="Verdana" w:cs="Arial"/>
          <w:spacing w:val="-1"/>
          <w:sz w:val="16"/>
          <w:szCs w:val="16"/>
        </w:rPr>
        <w:t>acto</w:t>
      </w:r>
      <w:r w:rsidRPr="00516D19">
        <w:rPr>
          <w:rFonts w:ascii="Verdana" w:hAnsi="Verdana" w:cs="Arial"/>
          <w:spacing w:val="-7"/>
          <w:sz w:val="16"/>
          <w:szCs w:val="16"/>
        </w:rPr>
        <w:t xml:space="preserve"> </w:t>
      </w:r>
      <w:r w:rsidRPr="00516D19">
        <w:rPr>
          <w:rFonts w:ascii="Verdana" w:hAnsi="Verdana" w:cs="Arial"/>
          <w:spacing w:val="-1"/>
          <w:sz w:val="16"/>
          <w:szCs w:val="16"/>
        </w:rPr>
        <w:t>de</w:t>
      </w:r>
      <w:r w:rsidRPr="00516D19">
        <w:rPr>
          <w:rFonts w:ascii="Verdana" w:hAnsi="Verdana" w:cs="Arial"/>
          <w:spacing w:val="-8"/>
          <w:sz w:val="16"/>
          <w:szCs w:val="16"/>
        </w:rPr>
        <w:t xml:space="preserve"> </w:t>
      </w:r>
      <w:r w:rsidRPr="00516D19">
        <w:rPr>
          <w:rFonts w:ascii="Verdana" w:hAnsi="Verdana" w:cs="Arial"/>
          <w:spacing w:val="-1"/>
          <w:sz w:val="16"/>
          <w:szCs w:val="16"/>
        </w:rPr>
        <w:t>inscripción,</w:t>
      </w:r>
      <w:r w:rsidRPr="00516D19">
        <w:rPr>
          <w:rFonts w:ascii="Verdana" w:hAnsi="Verdana" w:cs="Arial"/>
          <w:spacing w:val="-8"/>
          <w:sz w:val="16"/>
          <w:szCs w:val="16"/>
        </w:rPr>
        <w:t xml:space="preserve"> </w:t>
      </w:r>
      <w:r w:rsidRPr="00516D19">
        <w:rPr>
          <w:rFonts w:ascii="Verdana" w:hAnsi="Verdana" w:cs="Arial"/>
          <w:spacing w:val="-1"/>
          <w:sz w:val="16"/>
          <w:szCs w:val="16"/>
        </w:rPr>
        <w:t>contra</w:t>
      </w:r>
      <w:r w:rsidRPr="00516D19">
        <w:rPr>
          <w:rFonts w:ascii="Verdana" w:hAnsi="Verdana" w:cs="Arial"/>
          <w:spacing w:val="-8"/>
          <w:sz w:val="16"/>
          <w:szCs w:val="16"/>
        </w:rPr>
        <w:t xml:space="preserve"> </w:t>
      </w:r>
      <w:r w:rsidRPr="00516D19">
        <w:rPr>
          <w:rFonts w:ascii="Verdana" w:hAnsi="Verdana" w:cs="Arial"/>
          <w:spacing w:val="-1"/>
          <w:sz w:val="16"/>
          <w:szCs w:val="16"/>
        </w:rPr>
        <w:t>el</w:t>
      </w:r>
      <w:r w:rsidRPr="00516D19">
        <w:rPr>
          <w:rFonts w:ascii="Verdana" w:hAnsi="Verdana" w:cs="Arial"/>
          <w:spacing w:val="-7"/>
          <w:sz w:val="16"/>
          <w:szCs w:val="16"/>
        </w:rPr>
        <w:t xml:space="preserve"> </w:t>
      </w:r>
      <w:r w:rsidRPr="00516D19">
        <w:rPr>
          <w:rFonts w:ascii="Verdana" w:hAnsi="Verdana" w:cs="Arial"/>
          <w:spacing w:val="-1"/>
          <w:sz w:val="16"/>
          <w:szCs w:val="16"/>
        </w:rPr>
        <w:t>cual</w:t>
      </w:r>
      <w:r w:rsidRPr="00516D19">
        <w:rPr>
          <w:rFonts w:ascii="Verdana" w:hAnsi="Verdana" w:cs="Arial"/>
          <w:spacing w:val="-8"/>
          <w:sz w:val="16"/>
          <w:szCs w:val="16"/>
        </w:rPr>
        <w:t xml:space="preserve"> </w:t>
      </w:r>
      <w:r w:rsidRPr="00516D19">
        <w:rPr>
          <w:rFonts w:ascii="Verdana" w:hAnsi="Verdana" w:cs="Arial"/>
          <w:spacing w:val="-1"/>
          <w:sz w:val="16"/>
          <w:szCs w:val="16"/>
        </w:rPr>
        <w:t>cualquier</w:t>
      </w:r>
      <w:r w:rsidRPr="00516D19">
        <w:rPr>
          <w:rFonts w:ascii="Verdana" w:hAnsi="Verdana" w:cs="Arial"/>
          <w:spacing w:val="-8"/>
          <w:sz w:val="16"/>
          <w:szCs w:val="16"/>
        </w:rPr>
        <w:t xml:space="preserve"> </w:t>
      </w:r>
      <w:r w:rsidRPr="00516D19">
        <w:rPr>
          <w:rFonts w:ascii="Verdana" w:hAnsi="Verdana" w:cs="Arial"/>
          <w:spacing w:val="-1"/>
          <w:sz w:val="16"/>
          <w:szCs w:val="16"/>
        </w:rPr>
        <w:t>persona</w:t>
      </w:r>
      <w:r w:rsidRPr="00516D19">
        <w:rPr>
          <w:rFonts w:ascii="Verdana" w:hAnsi="Verdana" w:cs="Arial"/>
          <w:spacing w:val="-8"/>
          <w:sz w:val="16"/>
          <w:szCs w:val="16"/>
        </w:rPr>
        <w:t xml:space="preserve"> </w:t>
      </w:r>
      <w:r w:rsidRPr="00516D19">
        <w:rPr>
          <w:rFonts w:ascii="Verdana" w:hAnsi="Verdana" w:cs="Arial"/>
          <w:sz w:val="16"/>
          <w:szCs w:val="16"/>
        </w:rPr>
        <w:t>podrá</w:t>
      </w:r>
      <w:r w:rsidRPr="00516D19">
        <w:rPr>
          <w:rFonts w:ascii="Verdana" w:hAnsi="Verdana" w:cs="Arial"/>
          <w:spacing w:val="-7"/>
          <w:sz w:val="16"/>
          <w:szCs w:val="16"/>
        </w:rPr>
        <w:t xml:space="preserve"> </w:t>
      </w:r>
      <w:r w:rsidRPr="00516D19">
        <w:rPr>
          <w:rFonts w:ascii="Verdana" w:hAnsi="Verdana" w:cs="Arial"/>
          <w:sz w:val="16"/>
          <w:szCs w:val="16"/>
        </w:rPr>
        <w:t>interponer</w:t>
      </w:r>
      <w:r w:rsidRPr="00516D19">
        <w:rPr>
          <w:rFonts w:ascii="Verdana" w:hAnsi="Verdana" w:cs="Arial"/>
          <w:spacing w:val="-8"/>
          <w:sz w:val="16"/>
          <w:szCs w:val="16"/>
        </w:rPr>
        <w:t xml:space="preserve"> </w:t>
      </w:r>
      <w:r w:rsidRPr="00516D19">
        <w:rPr>
          <w:rFonts w:ascii="Verdana" w:hAnsi="Verdana" w:cs="Arial"/>
          <w:sz w:val="16"/>
          <w:szCs w:val="16"/>
        </w:rPr>
        <w:t>recurso</w:t>
      </w:r>
      <w:r w:rsidRPr="00516D19">
        <w:rPr>
          <w:rFonts w:ascii="Verdana" w:hAnsi="Verdana" w:cs="Arial"/>
          <w:spacing w:val="-8"/>
          <w:sz w:val="16"/>
          <w:szCs w:val="16"/>
        </w:rPr>
        <w:t xml:space="preserve"> </w:t>
      </w:r>
      <w:r w:rsidRPr="00516D19">
        <w:rPr>
          <w:rFonts w:ascii="Verdana" w:hAnsi="Verdana" w:cs="Arial"/>
          <w:sz w:val="16"/>
          <w:szCs w:val="16"/>
        </w:rPr>
        <w:t>de</w:t>
      </w:r>
      <w:r w:rsidRPr="00516D19">
        <w:rPr>
          <w:rFonts w:ascii="Verdana" w:hAnsi="Verdana" w:cs="Arial"/>
          <w:spacing w:val="-7"/>
          <w:sz w:val="16"/>
          <w:szCs w:val="16"/>
        </w:rPr>
        <w:t xml:space="preserve"> </w:t>
      </w:r>
      <w:r w:rsidRPr="00516D19">
        <w:rPr>
          <w:rFonts w:ascii="Verdana" w:hAnsi="Verdana" w:cs="Arial"/>
          <w:sz w:val="16"/>
          <w:szCs w:val="16"/>
        </w:rPr>
        <w:t>reposición</w:t>
      </w:r>
      <w:r w:rsidRPr="00516D19">
        <w:rPr>
          <w:rFonts w:ascii="Verdana" w:hAnsi="Verdana" w:cs="Arial"/>
          <w:spacing w:val="-8"/>
          <w:sz w:val="16"/>
          <w:szCs w:val="16"/>
        </w:rPr>
        <w:t xml:space="preserve"> </w:t>
      </w:r>
      <w:r w:rsidRPr="00516D19">
        <w:rPr>
          <w:rFonts w:ascii="Verdana" w:hAnsi="Verdana" w:cs="Arial"/>
          <w:sz w:val="16"/>
          <w:szCs w:val="16"/>
        </w:rPr>
        <w:t>ante</w:t>
      </w:r>
      <w:r w:rsidRPr="00516D19">
        <w:rPr>
          <w:rFonts w:ascii="Verdana" w:hAnsi="Verdana" w:cs="Arial"/>
          <w:spacing w:val="-8"/>
          <w:sz w:val="16"/>
          <w:szCs w:val="16"/>
        </w:rPr>
        <w:t xml:space="preserve"> </w:t>
      </w:r>
      <w:r w:rsidRPr="00516D19">
        <w:rPr>
          <w:rFonts w:ascii="Verdana" w:hAnsi="Verdana" w:cs="Arial"/>
          <w:sz w:val="16"/>
          <w:szCs w:val="16"/>
        </w:rPr>
        <w:t>la</w:t>
      </w:r>
      <w:r w:rsidRPr="00516D19">
        <w:rPr>
          <w:rFonts w:ascii="Verdana" w:hAnsi="Verdana" w:cs="Arial"/>
          <w:spacing w:val="-8"/>
          <w:sz w:val="16"/>
          <w:szCs w:val="16"/>
        </w:rPr>
        <w:t xml:space="preserve"> </w:t>
      </w:r>
      <w:r w:rsidRPr="00516D19">
        <w:rPr>
          <w:rFonts w:ascii="Verdana" w:hAnsi="Verdana" w:cs="Arial"/>
          <w:sz w:val="16"/>
          <w:szCs w:val="16"/>
        </w:rPr>
        <w:t>respectiva</w:t>
      </w:r>
      <w:r w:rsidRPr="00516D19">
        <w:rPr>
          <w:rFonts w:ascii="Verdana" w:hAnsi="Verdana" w:cs="Arial"/>
          <w:spacing w:val="-7"/>
          <w:sz w:val="16"/>
          <w:szCs w:val="16"/>
        </w:rPr>
        <w:t xml:space="preserve"> </w:t>
      </w:r>
      <w:r w:rsidRPr="00516D19">
        <w:rPr>
          <w:rFonts w:ascii="Verdana" w:hAnsi="Verdana" w:cs="Arial"/>
          <w:sz w:val="16"/>
          <w:szCs w:val="16"/>
        </w:rPr>
        <w:t>Cámara</w:t>
      </w:r>
      <w:r w:rsidRPr="00516D19">
        <w:rPr>
          <w:rFonts w:ascii="Verdana" w:hAnsi="Verdana" w:cs="Arial"/>
          <w:spacing w:val="1"/>
          <w:sz w:val="16"/>
          <w:szCs w:val="16"/>
        </w:rPr>
        <w:t xml:space="preserve"> </w:t>
      </w:r>
      <w:r w:rsidRPr="00516D19">
        <w:rPr>
          <w:rFonts w:ascii="Verdana" w:hAnsi="Verdana" w:cs="Arial"/>
          <w:sz w:val="16"/>
          <w:szCs w:val="16"/>
        </w:rPr>
        <w:t>de Comercio, durante los diez (10) días hábiles siguientes a la publicación, sin que para ello requiera demostrar interés alguno. Para que la impugnación sea</w:t>
      </w:r>
      <w:r w:rsidRPr="00516D19">
        <w:rPr>
          <w:rFonts w:ascii="Verdana" w:hAnsi="Verdana" w:cs="Arial"/>
          <w:spacing w:val="1"/>
          <w:sz w:val="16"/>
          <w:szCs w:val="16"/>
        </w:rPr>
        <w:t xml:space="preserve"> </w:t>
      </w:r>
      <w:r w:rsidRPr="00516D19">
        <w:rPr>
          <w:rFonts w:ascii="Verdana" w:hAnsi="Verdana" w:cs="Arial"/>
          <w:sz w:val="16"/>
          <w:szCs w:val="16"/>
        </w:rPr>
        <w:t>admisible deberá prestarse caución bancaria o de compañía de seguros para garantizar los perjuicios que se puedan causar al inscrito. Contra la decisión que</w:t>
      </w:r>
      <w:r w:rsidRPr="00516D19">
        <w:rPr>
          <w:rFonts w:ascii="Verdana" w:hAnsi="Verdana" w:cs="Arial"/>
          <w:spacing w:val="1"/>
          <w:sz w:val="16"/>
          <w:szCs w:val="16"/>
        </w:rPr>
        <w:t xml:space="preserve"> </w:t>
      </w:r>
      <w:r w:rsidRPr="00516D19">
        <w:rPr>
          <w:rFonts w:ascii="Verdana" w:hAnsi="Verdana" w:cs="Arial"/>
          <w:sz w:val="16"/>
          <w:szCs w:val="16"/>
        </w:rPr>
        <w:t>resuelva</w:t>
      </w:r>
      <w:r w:rsidRPr="00516D19">
        <w:rPr>
          <w:rFonts w:ascii="Verdana" w:hAnsi="Verdana" w:cs="Arial"/>
          <w:spacing w:val="-2"/>
          <w:sz w:val="16"/>
          <w:szCs w:val="16"/>
        </w:rPr>
        <w:t xml:space="preserve"> </w:t>
      </w:r>
      <w:r w:rsidRPr="00516D19">
        <w:rPr>
          <w:rFonts w:ascii="Verdana" w:hAnsi="Verdana" w:cs="Arial"/>
          <w:sz w:val="16"/>
          <w:szCs w:val="16"/>
        </w:rPr>
        <w:t>el</w:t>
      </w:r>
      <w:r w:rsidRPr="00516D19">
        <w:rPr>
          <w:rFonts w:ascii="Verdana" w:hAnsi="Verdana" w:cs="Arial"/>
          <w:spacing w:val="-1"/>
          <w:sz w:val="16"/>
          <w:szCs w:val="16"/>
        </w:rPr>
        <w:t xml:space="preserve"> </w:t>
      </w:r>
      <w:r w:rsidRPr="00516D19">
        <w:rPr>
          <w:rFonts w:ascii="Verdana" w:hAnsi="Verdana" w:cs="Arial"/>
          <w:sz w:val="16"/>
          <w:szCs w:val="16"/>
        </w:rPr>
        <w:t>recurso</w:t>
      </w:r>
      <w:r w:rsidRPr="00516D19">
        <w:rPr>
          <w:rFonts w:ascii="Verdana" w:hAnsi="Verdana" w:cs="Arial"/>
          <w:spacing w:val="-1"/>
          <w:sz w:val="16"/>
          <w:szCs w:val="16"/>
        </w:rPr>
        <w:t xml:space="preserve"> </w:t>
      </w:r>
      <w:r w:rsidRPr="00516D19">
        <w:rPr>
          <w:rFonts w:ascii="Verdana" w:hAnsi="Verdana" w:cs="Arial"/>
          <w:sz w:val="16"/>
          <w:szCs w:val="16"/>
        </w:rPr>
        <w:t>de</w:t>
      </w:r>
      <w:r w:rsidRPr="00516D19">
        <w:rPr>
          <w:rFonts w:ascii="Verdana" w:hAnsi="Verdana" w:cs="Arial"/>
          <w:spacing w:val="-1"/>
          <w:sz w:val="16"/>
          <w:szCs w:val="16"/>
        </w:rPr>
        <w:t xml:space="preserve"> </w:t>
      </w:r>
      <w:r w:rsidRPr="00516D19">
        <w:rPr>
          <w:rFonts w:ascii="Verdana" w:hAnsi="Verdana" w:cs="Arial"/>
          <w:sz w:val="16"/>
          <w:szCs w:val="16"/>
        </w:rPr>
        <w:t>reposición,</w:t>
      </w:r>
      <w:r w:rsidRPr="00516D19">
        <w:rPr>
          <w:rFonts w:ascii="Verdana" w:hAnsi="Verdana" w:cs="Arial"/>
          <w:spacing w:val="-1"/>
          <w:sz w:val="16"/>
          <w:szCs w:val="16"/>
        </w:rPr>
        <w:t xml:space="preserve"> </w:t>
      </w:r>
      <w:r w:rsidRPr="00516D19">
        <w:rPr>
          <w:rFonts w:ascii="Verdana" w:hAnsi="Verdana" w:cs="Arial"/>
          <w:sz w:val="16"/>
          <w:szCs w:val="16"/>
        </w:rPr>
        <w:t>no</w:t>
      </w:r>
      <w:r w:rsidRPr="00516D19">
        <w:rPr>
          <w:rFonts w:ascii="Verdana" w:hAnsi="Verdana" w:cs="Arial"/>
          <w:spacing w:val="-1"/>
          <w:sz w:val="16"/>
          <w:szCs w:val="16"/>
        </w:rPr>
        <w:t xml:space="preserve"> </w:t>
      </w:r>
      <w:r w:rsidRPr="00516D19">
        <w:rPr>
          <w:rFonts w:ascii="Verdana" w:hAnsi="Verdana" w:cs="Arial"/>
          <w:sz w:val="16"/>
          <w:szCs w:val="16"/>
        </w:rPr>
        <w:t>procederá</w:t>
      </w:r>
      <w:r w:rsidRPr="00516D19">
        <w:rPr>
          <w:rFonts w:ascii="Verdana" w:hAnsi="Verdana" w:cs="Arial"/>
          <w:spacing w:val="-1"/>
          <w:sz w:val="16"/>
          <w:szCs w:val="16"/>
        </w:rPr>
        <w:t xml:space="preserve"> </w:t>
      </w:r>
      <w:r w:rsidRPr="00516D19">
        <w:rPr>
          <w:rFonts w:ascii="Verdana" w:hAnsi="Verdana" w:cs="Arial"/>
          <w:sz w:val="16"/>
          <w:szCs w:val="16"/>
        </w:rPr>
        <w:t>apelación.</w:t>
      </w:r>
    </w:p>
    <w:p w14:paraId="042D9E13" w14:textId="77777777" w:rsidR="0064326F" w:rsidRPr="00516D19" w:rsidRDefault="0064326F" w:rsidP="0064326F">
      <w:pPr>
        <w:spacing w:after="0" w:line="240" w:lineRule="auto"/>
        <w:ind w:firstLine="708"/>
        <w:contextualSpacing/>
        <w:jc w:val="both"/>
        <w:rPr>
          <w:rFonts w:ascii="Verdana" w:hAnsi="Verdana" w:cs="Arial"/>
          <w:sz w:val="16"/>
          <w:szCs w:val="16"/>
        </w:rPr>
      </w:pPr>
      <w:r w:rsidRPr="00516D19">
        <w:rPr>
          <w:rFonts w:ascii="Verdana" w:hAnsi="Verdana" w:cs="Arial"/>
          <w:sz w:val="16"/>
          <w:szCs w:val="16"/>
        </w:rPr>
        <w:t>En</w:t>
      </w:r>
      <w:r w:rsidRPr="00516D19">
        <w:rPr>
          <w:rFonts w:ascii="Verdana" w:hAnsi="Verdana" w:cs="Arial"/>
          <w:spacing w:val="-8"/>
          <w:sz w:val="16"/>
          <w:szCs w:val="16"/>
        </w:rPr>
        <w:t xml:space="preserve"> </w:t>
      </w:r>
      <w:r w:rsidRPr="00516D19">
        <w:rPr>
          <w:rFonts w:ascii="Verdana" w:hAnsi="Verdana" w:cs="Arial"/>
          <w:sz w:val="16"/>
          <w:szCs w:val="16"/>
        </w:rPr>
        <w:t>firme</w:t>
      </w:r>
      <w:r w:rsidRPr="00516D19">
        <w:rPr>
          <w:rFonts w:ascii="Verdana" w:hAnsi="Verdana" w:cs="Arial"/>
          <w:spacing w:val="-7"/>
          <w:sz w:val="16"/>
          <w:szCs w:val="16"/>
        </w:rPr>
        <w:t xml:space="preserve"> </w:t>
      </w:r>
      <w:r w:rsidRPr="00516D19">
        <w:rPr>
          <w:rFonts w:ascii="Verdana" w:hAnsi="Verdana" w:cs="Arial"/>
          <w:sz w:val="16"/>
          <w:szCs w:val="16"/>
        </w:rPr>
        <w:t>la</w:t>
      </w:r>
      <w:r w:rsidRPr="00516D19">
        <w:rPr>
          <w:rFonts w:ascii="Verdana" w:hAnsi="Verdana" w:cs="Arial"/>
          <w:spacing w:val="-7"/>
          <w:sz w:val="16"/>
          <w:szCs w:val="16"/>
        </w:rPr>
        <w:t xml:space="preserve"> </w:t>
      </w:r>
      <w:r w:rsidRPr="00516D19">
        <w:rPr>
          <w:rFonts w:ascii="Verdana" w:hAnsi="Verdana" w:cs="Arial"/>
          <w:sz w:val="16"/>
          <w:szCs w:val="16"/>
        </w:rPr>
        <w:t>inscripción,</w:t>
      </w:r>
      <w:r w:rsidRPr="00516D19">
        <w:rPr>
          <w:rFonts w:ascii="Verdana" w:hAnsi="Verdana" w:cs="Arial"/>
          <w:spacing w:val="-7"/>
          <w:sz w:val="16"/>
          <w:szCs w:val="16"/>
        </w:rPr>
        <w:t xml:space="preserve"> </w:t>
      </w:r>
      <w:r w:rsidRPr="00516D19">
        <w:rPr>
          <w:rFonts w:ascii="Verdana" w:hAnsi="Verdana" w:cs="Arial"/>
          <w:sz w:val="16"/>
          <w:szCs w:val="16"/>
        </w:rPr>
        <w:t>cualquier</w:t>
      </w:r>
      <w:r w:rsidRPr="00516D19">
        <w:rPr>
          <w:rFonts w:ascii="Verdana" w:hAnsi="Verdana" w:cs="Arial"/>
          <w:spacing w:val="-7"/>
          <w:sz w:val="16"/>
          <w:szCs w:val="16"/>
        </w:rPr>
        <w:t xml:space="preserve"> </w:t>
      </w:r>
      <w:r w:rsidRPr="00516D19">
        <w:rPr>
          <w:rFonts w:ascii="Verdana" w:hAnsi="Verdana" w:cs="Arial"/>
          <w:sz w:val="16"/>
          <w:szCs w:val="16"/>
        </w:rPr>
        <w:t>persona</w:t>
      </w:r>
      <w:r w:rsidRPr="00516D19">
        <w:rPr>
          <w:rFonts w:ascii="Verdana" w:hAnsi="Verdana" w:cs="Arial"/>
          <w:spacing w:val="-7"/>
          <w:sz w:val="16"/>
          <w:szCs w:val="16"/>
        </w:rPr>
        <w:t xml:space="preserve"> </w:t>
      </w:r>
      <w:r w:rsidRPr="00516D19">
        <w:rPr>
          <w:rFonts w:ascii="Verdana" w:hAnsi="Verdana" w:cs="Arial"/>
          <w:sz w:val="16"/>
          <w:szCs w:val="16"/>
        </w:rPr>
        <w:t>podrá</w:t>
      </w:r>
      <w:r w:rsidRPr="00516D19">
        <w:rPr>
          <w:rFonts w:ascii="Verdana" w:hAnsi="Verdana" w:cs="Arial"/>
          <w:spacing w:val="-7"/>
          <w:sz w:val="16"/>
          <w:szCs w:val="16"/>
        </w:rPr>
        <w:t xml:space="preserve"> </w:t>
      </w:r>
      <w:r w:rsidRPr="00516D19">
        <w:rPr>
          <w:rFonts w:ascii="Verdana" w:hAnsi="Verdana" w:cs="Arial"/>
          <w:sz w:val="16"/>
          <w:szCs w:val="16"/>
        </w:rPr>
        <w:t>demandar</w:t>
      </w:r>
      <w:r w:rsidRPr="00516D19">
        <w:rPr>
          <w:rFonts w:ascii="Verdana" w:hAnsi="Verdana" w:cs="Arial"/>
          <w:spacing w:val="-7"/>
          <w:sz w:val="16"/>
          <w:szCs w:val="16"/>
        </w:rPr>
        <w:t xml:space="preserve"> </w:t>
      </w:r>
      <w:r w:rsidRPr="00516D19">
        <w:rPr>
          <w:rFonts w:ascii="Verdana" w:hAnsi="Verdana" w:cs="Arial"/>
          <w:sz w:val="16"/>
          <w:szCs w:val="16"/>
        </w:rPr>
        <w:t>su</w:t>
      </w:r>
      <w:r w:rsidRPr="00516D19">
        <w:rPr>
          <w:rFonts w:ascii="Verdana" w:hAnsi="Verdana" w:cs="Arial"/>
          <w:spacing w:val="-7"/>
          <w:sz w:val="16"/>
          <w:szCs w:val="16"/>
        </w:rPr>
        <w:t xml:space="preserve"> </w:t>
      </w:r>
      <w:r w:rsidRPr="00516D19">
        <w:rPr>
          <w:rFonts w:ascii="Verdana" w:hAnsi="Verdana" w:cs="Arial"/>
          <w:sz w:val="16"/>
          <w:szCs w:val="16"/>
        </w:rPr>
        <w:t>nulidad</w:t>
      </w:r>
      <w:r w:rsidRPr="00516D19">
        <w:rPr>
          <w:rFonts w:ascii="Verdana" w:hAnsi="Verdana" w:cs="Arial"/>
          <w:spacing w:val="-7"/>
          <w:sz w:val="16"/>
          <w:szCs w:val="16"/>
        </w:rPr>
        <w:t xml:space="preserve"> </w:t>
      </w:r>
      <w:r w:rsidRPr="00516D19">
        <w:rPr>
          <w:rFonts w:ascii="Verdana" w:hAnsi="Verdana" w:cs="Arial"/>
          <w:sz w:val="16"/>
          <w:szCs w:val="16"/>
        </w:rPr>
        <w:t>en</w:t>
      </w:r>
      <w:r w:rsidRPr="00516D19">
        <w:rPr>
          <w:rFonts w:ascii="Verdana" w:hAnsi="Verdana" w:cs="Arial"/>
          <w:spacing w:val="-8"/>
          <w:sz w:val="16"/>
          <w:szCs w:val="16"/>
        </w:rPr>
        <w:t xml:space="preserve"> </w:t>
      </w:r>
      <w:r w:rsidRPr="00516D19">
        <w:rPr>
          <w:rFonts w:ascii="Verdana" w:hAnsi="Verdana" w:cs="Arial"/>
          <w:sz w:val="16"/>
          <w:szCs w:val="16"/>
        </w:rPr>
        <w:t>desarrollo</w:t>
      </w:r>
      <w:r w:rsidRPr="00516D19">
        <w:rPr>
          <w:rFonts w:ascii="Verdana" w:hAnsi="Verdana" w:cs="Arial"/>
          <w:spacing w:val="-6"/>
          <w:sz w:val="16"/>
          <w:szCs w:val="16"/>
        </w:rPr>
        <w:t xml:space="preserve"> </w:t>
      </w:r>
      <w:r w:rsidRPr="00516D19">
        <w:rPr>
          <w:rFonts w:ascii="Verdana" w:hAnsi="Verdana" w:cs="Arial"/>
          <w:sz w:val="16"/>
          <w:szCs w:val="16"/>
        </w:rPr>
        <w:t>de</w:t>
      </w:r>
      <w:r w:rsidRPr="00516D19">
        <w:rPr>
          <w:rFonts w:ascii="Verdana" w:hAnsi="Verdana" w:cs="Arial"/>
          <w:spacing w:val="-8"/>
          <w:sz w:val="16"/>
          <w:szCs w:val="16"/>
        </w:rPr>
        <w:t xml:space="preserve"> </w:t>
      </w:r>
      <w:r w:rsidRPr="00516D19">
        <w:rPr>
          <w:rFonts w:ascii="Verdana" w:hAnsi="Verdana" w:cs="Arial"/>
          <w:sz w:val="16"/>
          <w:szCs w:val="16"/>
        </w:rPr>
        <w:t>la</w:t>
      </w:r>
      <w:r w:rsidRPr="00516D19">
        <w:rPr>
          <w:rFonts w:ascii="Verdana" w:hAnsi="Verdana" w:cs="Arial"/>
          <w:spacing w:val="-7"/>
          <w:sz w:val="16"/>
          <w:szCs w:val="16"/>
        </w:rPr>
        <w:t xml:space="preserve"> </w:t>
      </w:r>
      <w:r w:rsidRPr="00516D19">
        <w:rPr>
          <w:rFonts w:ascii="Verdana" w:hAnsi="Verdana" w:cs="Arial"/>
          <w:sz w:val="16"/>
          <w:szCs w:val="16"/>
        </w:rPr>
        <w:t>acción</w:t>
      </w:r>
      <w:r w:rsidRPr="00516D19">
        <w:rPr>
          <w:rFonts w:ascii="Verdana" w:hAnsi="Verdana" w:cs="Arial"/>
          <w:spacing w:val="-7"/>
          <w:sz w:val="16"/>
          <w:szCs w:val="16"/>
        </w:rPr>
        <w:t xml:space="preserve"> </w:t>
      </w:r>
      <w:r w:rsidRPr="00516D19">
        <w:rPr>
          <w:rFonts w:ascii="Verdana" w:hAnsi="Verdana" w:cs="Arial"/>
          <w:sz w:val="16"/>
          <w:szCs w:val="16"/>
        </w:rPr>
        <w:t>prevista</w:t>
      </w:r>
      <w:r w:rsidRPr="00516D19">
        <w:rPr>
          <w:rFonts w:ascii="Verdana" w:hAnsi="Verdana" w:cs="Arial"/>
          <w:spacing w:val="-6"/>
          <w:sz w:val="16"/>
          <w:szCs w:val="16"/>
        </w:rPr>
        <w:t xml:space="preserve"> </w:t>
      </w:r>
      <w:r w:rsidRPr="00516D19">
        <w:rPr>
          <w:rFonts w:ascii="Verdana" w:hAnsi="Verdana" w:cs="Arial"/>
          <w:sz w:val="16"/>
          <w:szCs w:val="16"/>
        </w:rPr>
        <w:t>en</w:t>
      </w:r>
      <w:r w:rsidRPr="00516D19">
        <w:rPr>
          <w:rFonts w:ascii="Verdana" w:hAnsi="Verdana" w:cs="Arial"/>
          <w:spacing w:val="-8"/>
          <w:sz w:val="16"/>
          <w:szCs w:val="16"/>
        </w:rPr>
        <w:t xml:space="preserve"> </w:t>
      </w:r>
      <w:r w:rsidRPr="00516D19">
        <w:rPr>
          <w:rFonts w:ascii="Verdana" w:hAnsi="Verdana" w:cs="Arial"/>
          <w:sz w:val="16"/>
          <w:szCs w:val="16"/>
        </w:rPr>
        <w:t>el</w:t>
      </w:r>
      <w:r w:rsidRPr="00516D19">
        <w:rPr>
          <w:rFonts w:ascii="Verdana" w:hAnsi="Verdana" w:cs="Arial"/>
          <w:spacing w:val="-7"/>
          <w:sz w:val="16"/>
          <w:szCs w:val="16"/>
        </w:rPr>
        <w:t xml:space="preserve"> </w:t>
      </w:r>
      <w:r w:rsidRPr="00516D19">
        <w:rPr>
          <w:rFonts w:ascii="Verdana" w:hAnsi="Verdana" w:cs="Arial"/>
          <w:sz w:val="16"/>
          <w:szCs w:val="16"/>
        </w:rPr>
        <w:t>Código</w:t>
      </w:r>
      <w:r w:rsidRPr="00516D19">
        <w:rPr>
          <w:rFonts w:ascii="Verdana" w:hAnsi="Verdana" w:cs="Arial"/>
          <w:spacing w:val="-7"/>
          <w:sz w:val="16"/>
          <w:szCs w:val="16"/>
        </w:rPr>
        <w:t xml:space="preserve"> </w:t>
      </w:r>
      <w:r w:rsidRPr="00516D19">
        <w:rPr>
          <w:rFonts w:ascii="Verdana" w:hAnsi="Verdana" w:cs="Arial"/>
          <w:sz w:val="16"/>
          <w:szCs w:val="16"/>
        </w:rPr>
        <w:t>Contencioso</w:t>
      </w:r>
      <w:r w:rsidRPr="00516D19">
        <w:rPr>
          <w:rFonts w:ascii="Verdana" w:hAnsi="Verdana" w:cs="Arial"/>
          <w:spacing w:val="-7"/>
          <w:sz w:val="16"/>
          <w:szCs w:val="16"/>
        </w:rPr>
        <w:t xml:space="preserve"> </w:t>
      </w:r>
      <w:r w:rsidRPr="00516D19">
        <w:rPr>
          <w:rFonts w:ascii="Verdana" w:hAnsi="Verdana" w:cs="Arial"/>
          <w:sz w:val="16"/>
          <w:szCs w:val="16"/>
        </w:rPr>
        <w:t>Administrativo.</w:t>
      </w:r>
    </w:p>
    <w:p w14:paraId="6515EDCE" w14:textId="77777777" w:rsidR="0064326F" w:rsidRPr="00516D19" w:rsidRDefault="0064326F" w:rsidP="0064326F">
      <w:pPr>
        <w:spacing w:after="0" w:line="240" w:lineRule="auto"/>
        <w:contextualSpacing/>
        <w:jc w:val="both"/>
        <w:rPr>
          <w:rFonts w:ascii="Verdana" w:hAnsi="Verdana" w:cs="Arial"/>
          <w:sz w:val="16"/>
          <w:szCs w:val="16"/>
        </w:rPr>
      </w:pPr>
      <w:r w:rsidRPr="00516D19">
        <w:rPr>
          <w:rFonts w:ascii="Verdana" w:hAnsi="Verdana" w:cs="Arial"/>
          <w:sz w:val="16"/>
          <w:szCs w:val="16"/>
        </w:rPr>
        <w:t>Para</w:t>
      </w:r>
      <w:r w:rsidRPr="00516D19">
        <w:rPr>
          <w:rFonts w:ascii="Verdana" w:hAnsi="Verdana" w:cs="Arial"/>
          <w:spacing w:val="-5"/>
          <w:sz w:val="16"/>
          <w:szCs w:val="16"/>
        </w:rPr>
        <w:t xml:space="preserve"> </w:t>
      </w:r>
      <w:r w:rsidRPr="00516D19">
        <w:rPr>
          <w:rFonts w:ascii="Verdana" w:hAnsi="Verdana" w:cs="Arial"/>
          <w:sz w:val="16"/>
          <w:szCs w:val="16"/>
        </w:rPr>
        <w:t>el</w:t>
      </w:r>
      <w:r w:rsidRPr="00516D19">
        <w:rPr>
          <w:rFonts w:ascii="Verdana" w:hAnsi="Verdana" w:cs="Arial"/>
          <w:spacing w:val="-5"/>
          <w:sz w:val="16"/>
          <w:szCs w:val="16"/>
        </w:rPr>
        <w:t xml:space="preserve"> </w:t>
      </w:r>
      <w:r w:rsidRPr="00516D19">
        <w:rPr>
          <w:rFonts w:ascii="Verdana" w:hAnsi="Verdana" w:cs="Arial"/>
          <w:sz w:val="16"/>
          <w:szCs w:val="16"/>
        </w:rPr>
        <w:t>efecto</w:t>
      </w:r>
      <w:r w:rsidRPr="00516D19">
        <w:rPr>
          <w:rFonts w:ascii="Verdana" w:hAnsi="Verdana" w:cs="Arial"/>
          <w:spacing w:val="-4"/>
          <w:sz w:val="16"/>
          <w:szCs w:val="16"/>
        </w:rPr>
        <w:t xml:space="preserve"> </w:t>
      </w:r>
      <w:r w:rsidRPr="00516D19">
        <w:rPr>
          <w:rFonts w:ascii="Verdana" w:hAnsi="Verdana" w:cs="Arial"/>
          <w:sz w:val="16"/>
          <w:szCs w:val="16"/>
        </w:rPr>
        <w:t>será</w:t>
      </w:r>
      <w:r w:rsidRPr="00516D19">
        <w:rPr>
          <w:rFonts w:ascii="Verdana" w:hAnsi="Verdana" w:cs="Arial"/>
          <w:spacing w:val="-5"/>
          <w:sz w:val="16"/>
          <w:szCs w:val="16"/>
        </w:rPr>
        <w:t xml:space="preserve"> </w:t>
      </w:r>
      <w:r w:rsidRPr="00516D19">
        <w:rPr>
          <w:rFonts w:ascii="Verdana" w:hAnsi="Verdana" w:cs="Arial"/>
          <w:sz w:val="16"/>
          <w:szCs w:val="16"/>
        </w:rPr>
        <w:t>competente</w:t>
      </w:r>
      <w:r w:rsidRPr="00516D19">
        <w:rPr>
          <w:rFonts w:ascii="Verdana" w:hAnsi="Verdana" w:cs="Arial"/>
          <w:spacing w:val="-4"/>
          <w:sz w:val="16"/>
          <w:szCs w:val="16"/>
        </w:rPr>
        <w:t xml:space="preserve"> </w:t>
      </w:r>
      <w:r w:rsidRPr="00516D19">
        <w:rPr>
          <w:rFonts w:ascii="Verdana" w:hAnsi="Verdana" w:cs="Arial"/>
          <w:sz w:val="16"/>
          <w:szCs w:val="16"/>
        </w:rPr>
        <w:t>el</w:t>
      </w:r>
      <w:r w:rsidRPr="00516D19">
        <w:rPr>
          <w:rFonts w:ascii="Verdana" w:hAnsi="Verdana" w:cs="Arial"/>
          <w:spacing w:val="-5"/>
          <w:sz w:val="16"/>
          <w:szCs w:val="16"/>
        </w:rPr>
        <w:t xml:space="preserve"> </w:t>
      </w:r>
      <w:r w:rsidRPr="00516D19">
        <w:rPr>
          <w:rFonts w:ascii="Verdana" w:hAnsi="Verdana" w:cs="Arial"/>
          <w:sz w:val="16"/>
          <w:szCs w:val="16"/>
        </w:rPr>
        <w:t>Juez</w:t>
      </w:r>
      <w:r w:rsidRPr="00516D19">
        <w:rPr>
          <w:rFonts w:ascii="Verdana" w:hAnsi="Verdana" w:cs="Arial"/>
          <w:spacing w:val="-4"/>
          <w:sz w:val="16"/>
          <w:szCs w:val="16"/>
        </w:rPr>
        <w:t xml:space="preserve"> </w:t>
      </w:r>
      <w:r w:rsidRPr="00516D19">
        <w:rPr>
          <w:rFonts w:ascii="Verdana" w:hAnsi="Verdana" w:cs="Arial"/>
          <w:sz w:val="16"/>
          <w:szCs w:val="16"/>
        </w:rPr>
        <w:t>de</w:t>
      </w:r>
      <w:r w:rsidRPr="00516D19">
        <w:rPr>
          <w:rFonts w:ascii="Verdana" w:hAnsi="Verdana" w:cs="Arial"/>
          <w:spacing w:val="-5"/>
          <w:sz w:val="16"/>
          <w:szCs w:val="16"/>
        </w:rPr>
        <w:t xml:space="preserve"> </w:t>
      </w:r>
      <w:r w:rsidRPr="00516D19">
        <w:rPr>
          <w:rFonts w:ascii="Verdana" w:hAnsi="Verdana" w:cs="Arial"/>
          <w:sz w:val="16"/>
          <w:szCs w:val="16"/>
        </w:rPr>
        <w:t>lo</w:t>
      </w:r>
      <w:r w:rsidRPr="00516D19">
        <w:rPr>
          <w:rFonts w:ascii="Verdana" w:hAnsi="Verdana" w:cs="Arial"/>
          <w:spacing w:val="-4"/>
          <w:sz w:val="16"/>
          <w:szCs w:val="16"/>
        </w:rPr>
        <w:t xml:space="preserve"> </w:t>
      </w:r>
      <w:r w:rsidRPr="00516D19">
        <w:rPr>
          <w:rFonts w:ascii="Verdana" w:hAnsi="Verdana" w:cs="Arial"/>
          <w:sz w:val="16"/>
          <w:szCs w:val="16"/>
        </w:rPr>
        <w:t>Contencioso</w:t>
      </w:r>
      <w:r w:rsidRPr="00516D19">
        <w:rPr>
          <w:rFonts w:ascii="Verdana" w:hAnsi="Verdana" w:cs="Arial"/>
          <w:spacing w:val="-5"/>
          <w:sz w:val="16"/>
          <w:szCs w:val="16"/>
        </w:rPr>
        <w:t xml:space="preserve"> </w:t>
      </w:r>
      <w:r w:rsidRPr="00516D19">
        <w:rPr>
          <w:rFonts w:ascii="Verdana" w:hAnsi="Verdana" w:cs="Arial"/>
          <w:sz w:val="16"/>
          <w:szCs w:val="16"/>
        </w:rPr>
        <w:t>Administrativo</w:t>
      </w:r>
      <w:r w:rsidRPr="00516D19">
        <w:rPr>
          <w:rFonts w:ascii="Verdana" w:hAnsi="Verdana" w:cs="Arial"/>
          <w:spacing w:val="-4"/>
          <w:sz w:val="16"/>
          <w:szCs w:val="16"/>
        </w:rPr>
        <w:t xml:space="preserve"> </w:t>
      </w:r>
      <w:r w:rsidRPr="00516D19">
        <w:rPr>
          <w:rFonts w:ascii="Verdana" w:hAnsi="Verdana" w:cs="Arial"/>
          <w:sz w:val="16"/>
          <w:szCs w:val="16"/>
        </w:rPr>
        <w:t>en</w:t>
      </w:r>
      <w:r w:rsidRPr="00516D19">
        <w:rPr>
          <w:rFonts w:ascii="Verdana" w:hAnsi="Verdana" w:cs="Arial"/>
          <w:spacing w:val="-5"/>
          <w:sz w:val="16"/>
          <w:szCs w:val="16"/>
        </w:rPr>
        <w:t xml:space="preserve"> </w:t>
      </w:r>
      <w:r w:rsidRPr="00516D19">
        <w:rPr>
          <w:rFonts w:ascii="Verdana" w:hAnsi="Verdana" w:cs="Arial"/>
          <w:sz w:val="16"/>
          <w:szCs w:val="16"/>
        </w:rPr>
        <w:t>única</w:t>
      </w:r>
      <w:r w:rsidRPr="00516D19">
        <w:rPr>
          <w:rFonts w:ascii="Verdana" w:hAnsi="Verdana" w:cs="Arial"/>
          <w:spacing w:val="-4"/>
          <w:sz w:val="16"/>
          <w:szCs w:val="16"/>
        </w:rPr>
        <w:t xml:space="preserve"> </w:t>
      </w:r>
      <w:r w:rsidRPr="00516D19">
        <w:rPr>
          <w:rFonts w:ascii="Verdana" w:hAnsi="Verdana" w:cs="Arial"/>
          <w:sz w:val="16"/>
          <w:szCs w:val="16"/>
        </w:rPr>
        <w:t>instancia.</w:t>
      </w:r>
    </w:p>
    <w:p w14:paraId="1550ECCD" w14:textId="77777777" w:rsidR="0064326F" w:rsidRPr="00516D19" w:rsidRDefault="0064326F" w:rsidP="0064326F">
      <w:pPr>
        <w:spacing w:after="0" w:line="240" w:lineRule="auto"/>
        <w:ind w:firstLine="708"/>
        <w:contextualSpacing/>
        <w:jc w:val="both"/>
        <w:rPr>
          <w:rFonts w:ascii="Verdana" w:hAnsi="Verdana" w:cs="Arial"/>
          <w:sz w:val="16"/>
          <w:szCs w:val="16"/>
        </w:rPr>
      </w:pPr>
      <w:r w:rsidRPr="00516D19">
        <w:rPr>
          <w:rFonts w:ascii="Verdana" w:hAnsi="Verdana" w:cs="Arial"/>
          <w:sz w:val="16"/>
          <w:szCs w:val="16"/>
        </w:rPr>
        <w:t>La presentación de la demanda no suspenderá la inscripción, ni será causal de suspensión de los procesos de selección en curso en los que el</w:t>
      </w:r>
      <w:r w:rsidRPr="00516D19">
        <w:rPr>
          <w:rFonts w:ascii="Verdana" w:hAnsi="Verdana" w:cs="Arial"/>
          <w:spacing w:val="1"/>
          <w:sz w:val="16"/>
          <w:szCs w:val="16"/>
        </w:rPr>
        <w:t xml:space="preserve"> </w:t>
      </w:r>
      <w:r w:rsidRPr="00516D19">
        <w:rPr>
          <w:rFonts w:ascii="Verdana" w:hAnsi="Verdana" w:cs="Arial"/>
          <w:spacing w:val="-1"/>
          <w:sz w:val="16"/>
          <w:szCs w:val="16"/>
        </w:rPr>
        <w:t>proponente</w:t>
      </w:r>
      <w:r w:rsidRPr="00516D19">
        <w:rPr>
          <w:rFonts w:ascii="Verdana" w:hAnsi="Verdana" w:cs="Arial"/>
          <w:spacing w:val="-8"/>
          <w:sz w:val="16"/>
          <w:szCs w:val="16"/>
        </w:rPr>
        <w:t xml:space="preserve"> </w:t>
      </w:r>
      <w:r w:rsidRPr="00516D19">
        <w:rPr>
          <w:rFonts w:ascii="Verdana" w:hAnsi="Verdana" w:cs="Arial"/>
          <w:spacing w:val="-1"/>
          <w:sz w:val="16"/>
          <w:szCs w:val="16"/>
        </w:rPr>
        <w:t>sea</w:t>
      </w:r>
      <w:r w:rsidRPr="00516D19">
        <w:rPr>
          <w:rFonts w:ascii="Verdana" w:hAnsi="Verdana" w:cs="Arial"/>
          <w:spacing w:val="-8"/>
          <w:sz w:val="16"/>
          <w:szCs w:val="16"/>
        </w:rPr>
        <w:t xml:space="preserve"> </w:t>
      </w:r>
      <w:r w:rsidRPr="00516D19">
        <w:rPr>
          <w:rFonts w:ascii="Verdana" w:hAnsi="Verdana" w:cs="Arial"/>
          <w:spacing w:val="-1"/>
          <w:sz w:val="16"/>
          <w:szCs w:val="16"/>
        </w:rPr>
        <w:t>parte.</w:t>
      </w:r>
      <w:r w:rsidRPr="00516D19">
        <w:rPr>
          <w:rFonts w:ascii="Verdana" w:hAnsi="Verdana" w:cs="Arial"/>
          <w:spacing w:val="-7"/>
          <w:sz w:val="16"/>
          <w:szCs w:val="16"/>
        </w:rPr>
        <w:t xml:space="preserve"> </w:t>
      </w:r>
      <w:r w:rsidRPr="00516D19">
        <w:rPr>
          <w:rFonts w:ascii="Verdana" w:hAnsi="Verdana" w:cs="Arial"/>
          <w:spacing w:val="-1"/>
          <w:sz w:val="16"/>
          <w:szCs w:val="16"/>
        </w:rPr>
        <w:t>El</w:t>
      </w:r>
      <w:r w:rsidRPr="00516D19">
        <w:rPr>
          <w:rFonts w:ascii="Verdana" w:hAnsi="Verdana" w:cs="Arial"/>
          <w:spacing w:val="-8"/>
          <w:sz w:val="16"/>
          <w:szCs w:val="16"/>
        </w:rPr>
        <w:t xml:space="preserve"> </w:t>
      </w:r>
      <w:r w:rsidRPr="00516D19">
        <w:rPr>
          <w:rFonts w:ascii="Verdana" w:hAnsi="Verdana" w:cs="Arial"/>
          <w:spacing w:val="-1"/>
          <w:sz w:val="16"/>
          <w:szCs w:val="16"/>
        </w:rPr>
        <w:t>proceso</w:t>
      </w:r>
      <w:r w:rsidRPr="00516D19">
        <w:rPr>
          <w:rFonts w:ascii="Verdana" w:hAnsi="Verdana" w:cs="Arial"/>
          <w:spacing w:val="-7"/>
          <w:sz w:val="16"/>
          <w:szCs w:val="16"/>
        </w:rPr>
        <w:t xml:space="preserve"> </w:t>
      </w:r>
      <w:r w:rsidRPr="00516D19">
        <w:rPr>
          <w:rFonts w:ascii="Verdana" w:hAnsi="Verdana" w:cs="Arial"/>
          <w:spacing w:val="-1"/>
          <w:sz w:val="16"/>
          <w:szCs w:val="16"/>
        </w:rPr>
        <w:t>se</w:t>
      </w:r>
      <w:r w:rsidRPr="00516D19">
        <w:rPr>
          <w:rFonts w:ascii="Verdana" w:hAnsi="Verdana" w:cs="Arial"/>
          <w:spacing w:val="-8"/>
          <w:sz w:val="16"/>
          <w:szCs w:val="16"/>
        </w:rPr>
        <w:t xml:space="preserve"> </w:t>
      </w:r>
      <w:r w:rsidRPr="00516D19">
        <w:rPr>
          <w:rFonts w:ascii="Verdana" w:hAnsi="Verdana" w:cs="Arial"/>
          <w:spacing w:val="-1"/>
          <w:sz w:val="16"/>
          <w:szCs w:val="16"/>
        </w:rPr>
        <w:t>tramitará</w:t>
      </w:r>
      <w:r w:rsidRPr="00516D19">
        <w:rPr>
          <w:rFonts w:ascii="Verdana" w:hAnsi="Verdana" w:cs="Arial"/>
          <w:spacing w:val="-7"/>
          <w:sz w:val="16"/>
          <w:szCs w:val="16"/>
        </w:rPr>
        <w:t xml:space="preserve"> </w:t>
      </w:r>
      <w:r w:rsidRPr="00516D19">
        <w:rPr>
          <w:rFonts w:ascii="Verdana" w:hAnsi="Verdana" w:cs="Arial"/>
          <w:spacing w:val="-1"/>
          <w:sz w:val="16"/>
          <w:szCs w:val="16"/>
        </w:rPr>
        <w:t>por</w:t>
      </w:r>
      <w:r w:rsidRPr="00516D19">
        <w:rPr>
          <w:rFonts w:ascii="Verdana" w:hAnsi="Verdana" w:cs="Arial"/>
          <w:spacing w:val="-8"/>
          <w:sz w:val="16"/>
          <w:szCs w:val="16"/>
        </w:rPr>
        <w:t xml:space="preserve"> </w:t>
      </w:r>
      <w:r w:rsidRPr="00516D19">
        <w:rPr>
          <w:rFonts w:ascii="Verdana" w:hAnsi="Verdana" w:cs="Arial"/>
          <w:spacing w:val="-1"/>
          <w:sz w:val="16"/>
          <w:szCs w:val="16"/>
        </w:rPr>
        <w:t>el</w:t>
      </w:r>
      <w:r w:rsidRPr="00516D19">
        <w:rPr>
          <w:rFonts w:ascii="Verdana" w:hAnsi="Verdana" w:cs="Arial"/>
          <w:spacing w:val="-8"/>
          <w:sz w:val="16"/>
          <w:szCs w:val="16"/>
        </w:rPr>
        <w:t xml:space="preserve"> </w:t>
      </w:r>
      <w:r w:rsidRPr="00516D19">
        <w:rPr>
          <w:rFonts w:ascii="Verdana" w:hAnsi="Verdana" w:cs="Arial"/>
          <w:spacing w:val="-1"/>
          <w:sz w:val="16"/>
          <w:szCs w:val="16"/>
        </w:rPr>
        <w:t>procedimiento</w:t>
      </w:r>
      <w:r w:rsidRPr="00516D19">
        <w:rPr>
          <w:rFonts w:ascii="Verdana" w:hAnsi="Verdana" w:cs="Arial"/>
          <w:spacing w:val="-7"/>
          <w:sz w:val="16"/>
          <w:szCs w:val="16"/>
        </w:rPr>
        <w:t xml:space="preserve"> </w:t>
      </w:r>
      <w:r w:rsidRPr="00516D19">
        <w:rPr>
          <w:rFonts w:ascii="Verdana" w:hAnsi="Verdana" w:cs="Arial"/>
          <w:spacing w:val="-1"/>
          <w:sz w:val="16"/>
          <w:szCs w:val="16"/>
        </w:rPr>
        <w:t>ordinario</w:t>
      </w:r>
      <w:r w:rsidRPr="00516D19">
        <w:rPr>
          <w:rFonts w:ascii="Verdana" w:hAnsi="Verdana" w:cs="Arial"/>
          <w:spacing w:val="-8"/>
          <w:sz w:val="16"/>
          <w:szCs w:val="16"/>
        </w:rPr>
        <w:t xml:space="preserve"> </w:t>
      </w:r>
      <w:r w:rsidRPr="00516D19">
        <w:rPr>
          <w:rFonts w:ascii="Verdana" w:hAnsi="Verdana" w:cs="Arial"/>
          <w:spacing w:val="-1"/>
          <w:sz w:val="16"/>
          <w:szCs w:val="16"/>
        </w:rPr>
        <w:t>a</w:t>
      </w:r>
      <w:r w:rsidRPr="00516D19">
        <w:rPr>
          <w:rFonts w:ascii="Verdana" w:hAnsi="Verdana" w:cs="Arial"/>
          <w:spacing w:val="-7"/>
          <w:sz w:val="16"/>
          <w:szCs w:val="16"/>
        </w:rPr>
        <w:t xml:space="preserve"> </w:t>
      </w:r>
      <w:r w:rsidRPr="00516D19">
        <w:rPr>
          <w:rFonts w:ascii="Verdana" w:hAnsi="Verdana" w:cs="Arial"/>
          <w:spacing w:val="-1"/>
          <w:sz w:val="16"/>
          <w:szCs w:val="16"/>
        </w:rPr>
        <w:t>que</w:t>
      </w:r>
      <w:r w:rsidRPr="00516D19">
        <w:rPr>
          <w:rFonts w:ascii="Verdana" w:hAnsi="Verdana" w:cs="Arial"/>
          <w:spacing w:val="-8"/>
          <w:sz w:val="16"/>
          <w:szCs w:val="16"/>
        </w:rPr>
        <w:t xml:space="preserve"> </w:t>
      </w:r>
      <w:r w:rsidRPr="00516D19">
        <w:rPr>
          <w:rFonts w:ascii="Verdana" w:hAnsi="Verdana" w:cs="Arial"/>
          <w:spacing w:val="-1"/>
          <w:sz w:val="16"/>
          <w:szCs w:val="16"/>
        </w:rPr>
        <w:t>se</w:t>
      </w:r>
      <w:r w:rsidRPr="00516D19">
        <w:rPr>
          <w:rFonts w:ascii="Verdana" w:hAnsi="Verdana" w:cs="Arial"/>
          <w:spacing w:val="-7"/>
          <w:sz w:val="16"/>
          <w:szCs w:val="16"/>
        </w:rPr>
        <w:t xml:space="preserve"> </w:t>
      </w:r>
      <w:r w:rsidRPr="00516D19">
        <w:rPr>
          <w:rFonts w:ascii="Verdana" w:hAnsi="Verdana" w:cs="Arial"/>
          <w:spacing w:val="-1"/>
          <w:sz w:val="16"/>
          <w:szCs w:val="16"/>
        </w:rPr>
        <w:t>refiere</w:t>
      </w:r>
      <w:r w:rsidRPr="00516D19">
        <w:rPr>
          <w:rFonts w:ascii="Verdana" w:hAnsi="Verdana" w:cs="Arial"/>
          <w:spacing w:val="-8"/>
          <w:sz w:val="16"/>
          <w:szCs w:val="16"/>
        </w:rPr>
        <w:t xml:space="preserve"> </w:t>
      </w:r>
      <w:r w:rsidRPr="00516D19">
        <w:rPr>
          <w:rFonts w:ascii="Verdana" w:hAnsi="Verdana" w:cs="Arial"/>
          <w:spacing w:val="-1"/>
          <w:sz w:val="16"/>
          <w:szCs w:val="16"/>
        </w:rPr>
        <w:t>el</w:t>
      </w:r>
      <w:r w:rsidRPr="00516D19">
        <w:rPr>
          <w:rFonts w:ascii="Verdana" w:hAnsi="Verdana" w:cs="Arial"/>
          <w:spacing w:val="-7"/>
          <w:sz w:val="16"/>
          <w:szCs w:val="16"/>
        </w:rPr>
        <w:t xml:space="preserve"> </w:t>
      </w:r>
      <w:r w:rsidRPr="00516D19">
        <w:rPr>
          <w:rFonts w:ascii="Verdana" w:hAnsi="Verdana" w:cs="Arial"/>
          <w:spacing w:val="-1"/>
          <w:sz w:val="16"/>
          <w:szCs w:val="16"/>
        </w:rPr>
        <w:t>Código</w:t>
      </w:r>
      <w:r w:rsidRPr="00516D19">
        <w:rPr>
          <w:rFonts w:ascii="Verdana" w:hAnsi="Verdana" w:cs="Arial"/>
          <w:spacing w:val="-8"/>
          <w:sz w:val="16"/>
          <w:szCs w:val="16"/>
        </w:rPr>
        <w:t xml:space="preserve"> </w:t>
      </w:r>
      <w:r w:rsidRPr="00516D19">
        <w:rPr>
          <w:rFonts w:ascii="Verdana" w:hAnsi="Verdana" w:cs="Arial"/>
          <w:spacing w:val="-1"/>
          <w:sz w:val="16"/>
          <w:szCs w:val="16"/>
        </w:rPr>
        <w:t>Contencioso</w:t>
      </w:r>
      <w:r w:rsidRPr="00516D19">
        <w:rPr>
          <w:rFonts w:ascii="Verdana" w:hAnsi="Verdana" w:cs="Arial"/>
          <w:spacing w:val="-8"/>
          <w:sz w:val="16"/>
          <w:szCs w:val="16"/>
        </w:rPr>
        <w:t xml:space="preserve"> </w:t>
      </w:r>
      <w:r w:rsidRPr="00516D19">
        <w:rPr>
          <w:rFonts w:ascii="Verdana" w:hAnsi="Verdana" w:cs="Arial"/>
          <w:spacing w:val="-1"/>
          <w:sz w:val="16"/>
          <w:szCs w:val="16"/>
        </w:rPr>
        <w:t>Administrativo.</w:t>
      </w:r>
      <w:r w:rsidRPr="00516D19">
        <w:rPr>
          <w:rFonts w:ascii="Verdana" w:hAnsi="Verdana" w:cs="Arial"/>
          <w:spacing w:val="-6"/>
          <w:sz w:val="16"/>
          <w:szCs w:val="16"/>
        </w:rPr>
        <w:t xml:space="preserve"> </w:t>
      </w:r>
      <w:r w:rsidRPr="00516D19">
        <w:rPr>
          <w:rFonts w:ascii="Verdana" w:hAnsi="Verdana" w:cs="Arial"/>
          <w:sz w:val="16"/>
          <w:szCs w:val="16"/>
        </w:rPr>
        <w:t>Adoptada</w:t>
      </w:r>
      <w:r w:rsidRPr="00516D19">
        <w:rPr>
          <w:rFonts w:ascii="Verdana" w:hAnsi="Verdana" w:cs="Arial"/>
          <w:spacing w:val="-8"/>
          <w:sz w:val="16"/>
          <w:szCs w:val="16"/>
        </w:rPr>
        <w:t xml:space="preserve"> </w:t>
      </w:r>
      <w:r w:rsidRPr="00516D19">
        <w:rPr>
          <w:rFonts w:ascii="Verdana" w:hAnsi="Verdana" w:cs="Arial"/>
          <w:sz w:val="16"/>
          <w:szCs w:val="16"/>
        </w:rPr>
        <w:t>la</w:t>
      </w:r>
      <w:r w:rsidRPr="00516D19">
        <w:rPr>
          <w:rFonts w:ascii="Verdana" w:hAnsi="Verdana" w:cs="Arial"/>
          <w:spacing w:val="-7"/>
          <w:sz w:val="16"/>
          <w:szCs w:val="16"/>
        </w:rPr>
        <w:t xml:space="preserve"> </w:t>
      </w:r>
      <w:r w:rsidRPr="00516D19">
        <w:rPr>
          <w:rFonts w:ascii="Verdana" w:hAnsi="Verdana" w:cs="Arial"/>
          <w:sz w:val="16"/>
          <w:szCs w:val="16"/>
        </w:rPr>
        <w:t>decisión,</w:t>
      </w:r>
      <w:r w:rsidRPr="00516D19">
        <w:rPr>
          <w:rFonts w:ascii="Verdana" w:hAnsi="Verdana" w:cs="Arial"/>
          <w:spacing w:val="-8"/>
          <w:sz w:val="16"/>
          <w:szCs w:val="16"/>
        </w:rPr>
        <w:t xml:space="preserve"> </w:t>
      </w:r>
      <w:r w:rsidRPr="00516D19">
        <w:rPr>
          <w:rFonts w:ascii="Verdana" w:hAnsi="Verdana" w:cs="Arial"/>
          <w:sz w:val="16"/>
          <w:szCs w:val="16"/>
        </w:rPr>
        <w:t>la</w:t>
      </w:r>
      <w:r w:rsidRPr="00516D19">
        <w:rPr>
          <w:rFonts w:ascii="Verdana" w:hAnsi="Verdana" w:cs="Arial"/>
          <w:spacing w:val="-7"/>
          <w:sz w:val="16"/>
          <w:szCs w:val="16"/>
        </w:rPr>
        <w:t xml:space="preserve"> </w:t>
      </w:r>
      <w:r w:rsidRPr="00516D19">
        <w:rPr>
          <w:rFonts w:ascii="Verdana" w:hAnsi="Verdana" w:cs="Arial"/>
          <w:sz w:val="16"/>
          <w:szCs w:val="16"/>
        </w:rPr>
        <w:t>misma</w:t>
      </w:r>
      <w:r w:rsidRPr="00516D19">
        <w:rPr>
          <w:rFonts w:ascii="Verdana" w:hAnsi="Verdana" w:cs="Arial"/>
          <w:spacing w:val="1"/>
          <w:sz w:val="16"/>
          <w:szCs w:val="16"/>
        </w:rPr>
        <w:t xml:space="preserve"> </w:t>
      </w:r>
      <w:r w:rsidRPr="00516D19">
        <w:rPr>
          <w:rFonts w:ascii="Verdana" w:hAnsi="Verdana" w:cs="Arial"/>
          <w:sz w:val="16"/>
          <w:szCs w:val="16"/>
        </w:rPr>
        <w:t>sólo</w:t>
      </w:r>
      <w:r w:rsidRPr="00516D19">
        <w:rPr>
          <w:rFonts w:ascii="Verdana" w:hAnsi="Verdana" w:cs="Arial"/>
          <w:spacing w:val="-2"/>
          <w:sz w:val="16"/>
          <w:szCs w:val="16"/>
        </w:rPr>
        <w:t xml:space="preserve"> </w:t>
      </w:r>
      <w:r w:rsidRPr="00516D19">
        <w:rPr>
          <w:rFonts w:ascii="Verdana" w:hAnsi="Verdana" w:cs="Arial"/>
          <w:sz w:val="16"/>
          <w:szCs w:val="16"/>
        </w:rPr>
        <w:t>tendrá</w:t>
      </w:r>
      <w:r w:rsidRPr="00516D19">
        <w:rPr>
          <w:rFonts w:ascii="Verdana" w:hAnsi="Verdana" w:cs="Arial"/>
          <w:spacing w:val="-1"/>
          <w:sz w:val="16"/>
          <w:szCs w:val="16"/>
        </w:rPr>
        <w:t xml:space="preserve"> </w:t>
      </w:r>
      <w:r w:rsidRPr="00516D19">
        <w:rPr>
          <w:rFonts w:ascii="Verdana" w:hAnsi="Verdana" w:cs="Arial"/>
          <w:sz w:val="16"/>
          <w:szCs w:val="16"/>
        </w:rPr>
        <w:t>efectos</w:t>
      </w:r>
      <w:r w:rsidRPr="00516D19">
        <w:rPr>
          <w:rFonts w:ascii="Verdana" w:hAnsi="Verdana" w:cs="Arial"/>
          <w:spacing w:val="-1"/>
          <w:sz w:val="16"/>
          <w:szCs w:val="16"/>
        </w:rPr>
        <w:t xml:space="preserve"> </w:t>
      </w:r>
      <w:r w:rsidRPr="00516D19">
        <w:rPr>
          <w:rFonts w:ascii="Verdana" w:hAnsi="Verdana" w:cs="Arial"/>
          <w:sz w:val="16"/>
          <w:szCs w:val="16"/>
        </w:rPr>
        <w:t>hacia</w:t>
      </w:r>
      <w:r w:rsidRPr="00516D19">
        <w:rPr>
          <w:rFonts w:ascii="Verdana" w:hAnsi="Verdana" w:cs="Arial"/>
          <w:spacing w:val="-1"/>
          <w:sz w:val="16"/>
          <w:szCs w:val="16"/>
        </w:rPr>
        <w:t xml:space="preserve"> </w:t>
      </w:r>
      <w:r w:rsidRPr="00516D19">
        <w:rPr>
          <w:rFonts w:ascii="Verdana" w:hAnsi="Verdana" w:cs="Arial"/>
          <w:sz w:val="16"/>
          <w:szCs w:val="16"/>
        </w:rPr>
        <w:t>el</w:t>
      </w:r>
      <w:r w:rsidRPr="00516D19">
        <w:rPr>
          <w:rFonts w:ascii="Verdana" w:hAnsi="Verdana" w:cs="Arial"/>
          <w:spacing w:val="-1"/>
          <w:sz w:val="16"/>
          <w:szCs w:val="16"/>
        </w:rPr>
        <w:t xml:space="preserve"> </w:t>
      </w:r>
      <w:r w:rsidRPr="00516D19">
        <w:rPr>
          <w:rFonts w:ascii="Verdana" w:hAnsi="Verdana" w:cs="Arial"/>
          <w:sz w:val="16"/>
          <w:szCs w:val="16"/>
        </w:rPr>
        <w:t>futuro.</w:t>
      </w:r>
    </w:p>
    <w:p w14:paraId="5C993CB4" w14:textId="77777777" w:rsidR="0064326F" w:rsidRPr="00516D19" w:rsidRDefault="0064326F" w:rsidP="0064326F">
      <w:pPr>
        <w:spacing w:after="0" w:line="240" w:lineRule="auto"/>
        <w:ind w:firstLine="708"/>
        <w:contextualSpacing/>
        <w:jc w:val="both"/>
        <w:rPr>
          <w:rFonts w:ascii="Verdana" w:hAnsi="Verdana" w:cs="Arial"/>
          <w:sz w:val="16"/>
          <w:szCs w:val="16"/>
        </w:rPr>
      </w:pPr>
      <w:r w:rsidRPr="00516D19">
        <w:rPr>
          <w:rFonts w:ascii="Verdana" w:hAnsi="Verdana" w:cs="Arial"/>
          <w:sz w:val="16"/>
          <w:szCs w:val="16"/>
        </w:rPr>
        <w:t>Cuando en desarrollo de un proceso de selección una entidad estatal advierta la existencia de posibles irregularidades en el contenido de la</w:t>
      </w:r>
      <w:r w:rsidRPr="00516D19">
        <w:rPr>
          <w:rFonts w:ascii="Verdana" w:hAnsi="Verdana" w:cs="Arial"/>
          <w:spacing w:val="1"/>
          <w:sz w:val="16"/>
          <w:szCs w:val="16"/>
        </w:rPr>
        <w:t xml:space="preserve"> </w:t>
      </w:r>
      <w:r w:rsidRPr="00516D19">
        <w:rPr>
          <w:rFonts w:ascii="Verdana" w:hAnsi="Verdana" w:cs="Arial"/>
          <w:spacing w:val="-1"/>
          <w:sz w:val="16"/>
          <w:szCs w:val="16"/>
        </w:rPr>
        <w:t>información</w:t>
      </w:r>
      <w:r w:rsidRPr="00516D19">
        <w:rPr>
          <w:rFonts w:ascii="Verdana" w:hAnsi="Verdana" w:cs="Arial"/>
          <w:spacing w:val="-7"/>
          <w:sz w:val="16"/>
          <w:szCs w:val="16"/>
        </w:rPr>
        <w:t xml:space="preserve"> </w:t>
      </w:r>
      <w:r w:rsidRPr="00516D19">
        <w:rPr>
          <w:rFonts w:ascii="Verdana" w:hAnsi="Verdana" w:cs="Arial"/>
          <w:spacing w:val="-1"/>
          <w:sz w:val="16"/>
          <w:szCs w:val="16"/>
        </w:rPr>
        <w:t>del</w:t>
      </w:r>
      <w:r w:rsidRPr="00516D19">
        <w:rPr>
          <w:rFonts w:ascii="Verdana" w:hAnsi="Verdana" w:cs="Arial"/>
          <w:spacing w:val="-7"/>
          <w:sz w:val="16"/>
          <w:szCs w:val="16"/>
        </w:rPr>
        <w:t xml:space="preserve"> </w:t>
      </w:r>
      <w:r w:rsidRPr="00516D19">
        <w:rPr>
          <w:rFonts w:ascii="Verdana" w:hAnsi="Verdana" w:cs="Arial"/>
          <w:spacing w:val="-1"/>
          <w:sz w:val="16"/>
          <w:szCs w:val="16"/>
        </w:rPr>
        <w:t>RUP,</w:t>
      </w:r>
      <w:r w:rsidRPr="00516D19">
        <w:rPr>
          <w:rFonts w:ascii="Verdana" w:hAnsi="Verdana" w:cs="Arial"/>
          <w:spacing w:val="-6"/>
          <w:sz w:val="16"/>
          <w:szCs w:val="16"/>
        </w:rPr>
        <w:t xml:space="preserve"> </w:t>
      </w:r>
      <w:r w:rsidRPr="00516D19">
        <w:rPr>
          <w:rFonts w:ascii="Verdana" w:hAnsi="Verdana" w:cs="Arial"/>
          <w:spacing w:val="-1"/>
          <w:sz w:val="16"/>
          <w:szCs w:val="16"/>
        </w:rPr>
        <w:t>que</w:t>
      </w:r>
      <w:r w:rsidRPr="00516D19">
        <w:rPr>
          <w:rFonts w:ascii="Verdana" w:hAnsi="Verdana" w:cs="Arial"/>
          <w:spacing w:val="-7"/>
          <w:sz w:val="16"/>
          <w:szCs w:val="16"/>
        </w:rPr>
        <w:t xml:space="preserve"> </w:t>
      </w:r>
      <w:r w:rsidRPr="00516D19">
        <w:rPr>
          <w:rFonts w:ascii="Verdana" w:hAnsi="Verdana" w:cs="Arial"/>
          <w:spacing w:val="-1"/>
          <w:sz w:val="16"/>
          <w:szCs w:val="16"/>
        </w:rPr>
        <w:t>puedan</w:t>
      </w:r>
      <w:r w:rsidRPr="00516D19">
        <w:rPr>
          <w:rFonts w:ascii="Verdana" w:hAnsi="Verdana" w:cs="Arial"/>
          <w:spacing w:val="-7"/>
          <w:sz w:val="16"/>
          <w:szCs w:val="16"/>
        </w:rPr>
        <w:t xml:space="preserve"> </w:t>
      </w:r>
      <w:r w:rsidRPr="00516D19">
        <w:rPr>
          <w:rFonts w:ascii="Verdana" w:hAnsi="Verdana" w:cs="Arial"/>
          <w:spacing w:val="-1"/>
          <w:sz w:val="16"/>
          <w:szCs w:val="16"/>
        </w:rPr>
        <w:t>afectar</w:t>
      </w:r>
      <w:r w:rsidRPr="00516D19">
        <w:rPr>
          <w:rFonts w:ascii="Verdana" w:hAnsi="Verdana" w:cs="Arial"/>
          <w:spacing w:val="-6"/>
          <w:sz w:val="16"/>
          <w:szCs w:val="16"/>
        </w:rPr>
        <w:t xml:space="preserve"> </w:t>
      </w:r>
      <w:r w:rsidRPr="00516D19">
        <w:rPr>
          <w:rFonts w:ascii="Verdana" w:hAnsi="Verdana" w:cs="Arial"/>
          <w:spacing w:val="-1"/>
          <w:sz w:val="16"/>
          <w:szCs w:val="16"/>
        </w:rPr>
        <w:t>el</w:t>
      </w:r>
      <w:r w:rsidRPr="00516D19">
        <w:rPr>
          <w:rFonts w:ascii="Verdana" w:hAnsi="Verdana" w:cs="Arial"/>
          <w:spacing w:val="-7"/>
          <w:sz w:val="16"/>
          <w:szCs w:val="16"/>
        </w:rPr>
        <w:t xml:space="preserve"> </w:t>
      </w:r>
      <w:r w:rsidRPr="00516D19">
        <w:rPr>
          <w:rFonts w:ascii="Verdana" w:hAnsi="Verdana" w:cs="Arial"/>
          <w:spacing w:val="-1"/>
          <w:sz w:val="16"/>
          <w:szCs w:val="16"/>
        </w:rPr>
        <w:t>cumplimiento</w:t>
      </w:r>
      <w:r w:rsidRPr="00516D19">
        <w:rPr>
          <w:rFonts w:ascii="Verdana" w:hAnsi="Verdana" w:cs="Arial"/>
          <w:spacing w:val="-7"/>
          <w:sz w:val="16"/>
          <w:szCs w:val="16"/>
        </w:rPr>
        <w:t xml:space="preserve"> </w:t>
      </w:r>
      <w:r w:rsidRPr="00516D19">
        <w:rPr>
          <w:rFonts w:ascii="Verdana" w:hAnsi="Verdana" w:cs="Arial"/>
          <w:sz w:val="16"/>
          <w:szCs w:val="16"/>
        </w:rPr>
        <w:t>de</w:t>
      </w:r>
      <w:r w:rsidRPr="00516D19">
        <w:rPr>
          <w:rFonts w:ascii="Verdana" w:hAnsi="Verdana" w:cs="Arial"/>
          <w:spacing w:val="-8"/>
          <w:sz w:val="16"/>
          <w:szCs w:val="16"/>
        </w:rPr>
        <w:t xml:space="preserve"> </w:t>
      </w:r>
      <w:r w:rsidRPr="00516D19">
        <w:rPr>
          <w:rFonts w:ascii="Verdana" w:hAnsi="Verdana" w:cs="Arial"/>
          <w:sz w:val="16"/>
          <w:szCs w:val="16"/>
        </w:rPr>
        <w:t>los</w:t>
      </w:r>
      <w:r w:rsidRPr="00516D19">
        <w:rPr>
          <w:rFonts w:ascii="Verdana" w:hAnsi="Verdana" w:cs="Arial"/>
          <w:spacing w:val="-6"/>
          <w:sz w:val="16"/>
          <w:szCs w:val="16"/>
        </w:rPr>
        <w:t xml:space="preserve"> </w:t>
      </w:r>
      <w:r w:rsidRPr="00516D19">
        <w:rPr>
          <w:rFonts w:ascii="Verdana" w:hAnsi="Verdana" w:cs="Arial"/>
          <w:sz w:val="16"/>
          <w:szCs w:val="16"/>
        </w:rPr>
        <w:t>requisitos</w:t>
      </w:r>
      <w:r w:rsidRPr="00516D19">
        <w:rPr>
          <w:rFonts w:ascii="Verdana" w:hAnsi="Verdana" w:cs="Arial"/>
          <w:spacing w:val="-7"/>
          <w:sz w:val="16"/>
          <w:szCs w:val="16"/>
        </w:rPr>
        <w:t xml:space="preserve"> </w:t>
      </w:r>
      <w:r w:rsidRPr="00516D19">
        <w:rPr>
          <w:rFonts w:ascii="Verdana" w:hAnsi="Verdana" w:cs="Arial"/>
          <w:sz w:val="16"/>
          <w:szCs w:val="16"/>
        </w:rPr>
        <w:t>exigidos</w:t>
      </w:r>
      <w:r w:rsidRPr="00516D19">
        <w:rPr>
          <w:rFonts w:ascii="Verdana" w:hAnsi="Verdana" w:cs="Arial"/>
          <w:spacing w:val="-6"/>
          <w:sz w:val="16"/>
          <w:szCs w:val="16"/>
        </w:rPr>
        <w:t xml:space="preserve"> </w:t>
      </w:r>
      <w:r w:rsidRPr="00516D19">
        <w:rPr>
          <w:rFonts w:ascii="Verdana" w:hAnsi="Verdana" w:cs="Arial"/>
          <w:sz w:val="16"/>
          <w:szCs w:val="16"/>
        </w:rPr>
        <w:t>al</w:t>
      </w:r>
      <w:r w:rsidRPr="00516D19">
        <w:rPr>
          <w:rFonts w:ascii="Verdana" w:hAnsi="Verdana" w:cs="Arial"/>
          <w:spacing w:val="-8"/>
          <w:sz w:val="16"/>
          <w:szCs w:val="16"/>
        </w:rPr>
        <w:t xml:space="preserve"> </w:t>
      </w:r>
      <w:r w:rsidRPr="00516D19">
        <w:rPr>
          <w:rFonts w:ascii="Verdana" w:hAnsi="Verdana" w:cs="Arial"/>
          <w:sz w:val="16"/>
          <w:szCs w:val="16"/>
        </w:rPr>
        <w:t>proponente</w:t>
      </w:r>
      <w:r w:rsidRPr="00516D19">
        <w:rPr>
          <w:rFonts w:ascii="Verdana" w:hAnsi="Verdana" w:cs="Arial"/>
          <w:spacing w:val="-6"/>
          <w:sz w:val="16"/>
          <w:szCs w:val="16"/>
        </w:rPr>
        <w:t xml:space="preserve"> </w:t>
      </w:r>
      <w:r w:rsidRPr="00516D19">
        <w:rPr>
          <w:rFonts w:ascii="Verdana" w:hAnsi="Verdana" w:cs="Arial"/>
          <w:sz w:val="16"/>
          <w:szCs w:val="16"/>
        </w:rPr>
        <w:t>dentro</w:t>
      </w:r>
      <w:r w:rsidRPr="00516D19">
        <w:rPr>
          <w:rFonts w:ascii="Verdana" w:hAnsi="Verdana" w:cs="Arial"/>
          <w:spacing w:val="-6"/>
          <w:sz w:val="16"/>
          <w:szCs w:val="16"/>
        </w:rPr>
        <w:t xml:space="preserve"> </w:t>
      </w:r>
      <w:r w:rsidRPr="00516D19">
        <w:rPr>
          <w:rFonts w:ascii="Verdana" w:hAnsi="Verdana" w:cs="Arial"/>
          <w:sz w:val="16"/>
          <w:szCs w:val="16"/>
        </w:rPr>
        <w:t>del</w:t>
      </w:r>
      <w:r w:rsidRPr="00516D19">
        <w:rPr>
          <w:rFonts w:ascii="Verdana" w:hAnsi="Verdana" w:cs="Arial"/>
          <w:spacing w:val="-7"/>
          <w:sz w:val="16"/>
          <w:szCs w:val="16"/>
        </w:rPr>
        <w:t xml:space="preserve"> </w:t>
      </w:r>
      <w:r w:rsidRPr="00516D19">
        <w:rPr>
          <w:rFonts w:ascii="Verdana" w:hAnsi="Verdana" w:cs="Arial"/>
          <w:sz w:val="16"/>
          <w:szCs w:val="16"/>
        </w:rPr>
        <w:t>proceso</w:t>
      </w:r>
      <w:r w:rsidRPr="00516D19">
        <w:rPr>
          <w:rFonts w:ascii="Verdana" w:hAnsi="Verdana" w:cs="Arial"/>
          <w:spacing w:val="-7"/>
          <w:sz w:val="16"/>
          <w:szCs w:val="16"/>
        </w:rPr>
        <w:t xml:space="preserve"> </w:t>
      </w:r>
      <w:r w:rsidRPr="00516D19">
        <w:rPr>
          <w:rFonts w:ascii="Verdana" w:hAnsi="Verdana" w:cs="Arial"/>
          <w:sz w:val="16"/>
          <w:szCs w:val="16"/>
        </w:rPr>
        <w:t>de</w:t>
      </w:r>
      <w:r w:rsidRPr="00516D19">
        <w:rPr>
          <w:rFonts w:ascii="Verdana" w:hAnsi="Verdana" w:cs="Arial"/>
          <w:spacing w:val="-7"/>
          <w:sz w:val="16"/>
          <w:szCs w:val="16"/>
        </w:rPr>
        <w:t xml:space="preserve"> </w:t>
      </w:r>
      <w:r w:rsidRPr="00516D19">
        <w:rPr>
          <w:rFonts w:ascii="Verdana" w:hAnsi="Verdana" w:cs="Arial"/>
          <w:sz w:val="16"/>
          <w:szCs w:val="16"/>
        </w:rPr>
        <w:t>que</w:t>
      </w:r>
      <w:r w:rsidRPr="00516D19">
        <w:rPr>
          <w:rFonts w:ascii="Verdana" w:hAnsi="Verdana" w:cs="Arial"/>
          <w:spacing w:val="-7"/>
          <w:sz w:val="16"/>
          <w:szCs w:val="16"/>
        </w:rPr>
        <w:t xml:space="preserve"> </w:t>
      </w:r>
      <w:r w:rsidRPr="00516D19">
        <w:rPr>
          <w:rFonts w:ascii="Verdana" w:hAnsi="Verdana" w:cs="Arial"/>
          <w:sz w:val="16"/>
          <w:szCs w:val="16"/>
        </w:rPr>
        <w:t>se</w:t>
      </w:r>
      <w:r w:rsidRPr="00516D19">
        <w:rPr>
          <w:rFonts w:ascii="Verdana" w:hAnsi="Verdana" w:cs="Arial"/>
          <w:spacing w:val="-7"/>
          <w:sz w:val="16"/>
          <w:szCs w:val="16"/>
        </w:rPr>
        <w:t xml:space="preserve"> </w:t>
      </w:r>
      <w:r w:rsidRPr="00516D19">
        <w:rPr>
          <w:rFonts w:ascii="Verdana" w:hAnsi="Verdana" w:cs="Arial"/>
          <w:sz w:val="16"/>
          <w:szCs w:val="16"/>
        </w:rPr>
        <w:t>trate,</w:t>
      </w:r>
      <w:r w:rsidRPr="00516D19">
        <w:rPr>
          <w:rFonts w:ascii="Verdana" w:hAnsi="Verdana" w:cs="Arial"/>
          <w:spacing w:val="-6"/>
          <w:sz w:val="16"/>
          <w:szCs w:val="16"/>
        </w:rPr>
        <w:t xml:space="preserve"> </w:t>
      </w:r>
      <w:r w:rsidRPr="00516D19">
        <w:rPr>
          <w:rFonts w:ascii="Verdana" w:hAnsi="Verdana" w:cs="Arial"/>
          <w:sz w:val="16"/>
          <w:szCs w:val="16"/>
        </w:rPr>
        <w:t>podrá</w:t>
      </w:r>
      <w:r w:rsidRPr="00516D19">
        <w:rPr>
          <w:rFonts w:ascii="Verdana" w:hAnsi="Verdana" w:cs="Arial"/>
          <w:spacing w:val="-7"/>
          <w:sz w:val="16"/>
          <w:szCs w:val="16"/>
        </w:rPr>
        <w:t xml:space="preserve"> </w:t>
      </w:r>
      <w:r w:rsidRPr="00516D19">
        <w:rPr>
          <w:rFonts w:ascii="Verdana" w:hAnsi="Verdana" w:cs="Arial"/>
          <w:sz w:val="16"/>
          <w:szCs w:val="16"/>
        </w:rPr>
        <w:t>suspender</w:t>
      </w:r>
      <w:r w:rsidRPr="00516D19">
        <w:rPr>
          <w:rFonts w:ascii="Verdana" w:hAnsi="Verdana" w:cs="Arial"/>
          <w:spacing w:val="-7"/>
          <w:sz w:val="16"/>
          <w:szCs w:val="16"/>
        </w:rPr>
        <w:t xml:space="preserve"> </w:t>
      </w:r>
      <w:r w:rsidRPr="00516D19">
        <w:rPr>
          <w:rFonts w:ascii="Verdana" w:hAnsi="Verdana" w:cs="Arial"/>
          <w:sz w:val="16"/>
          <w:szCs w:val="16"/>
        </w:rPr>
        <w:t>el</w:t>
      </w:r>
      <w:r w:rsidRPr="00516D19">
        <w:rPr>
          <w:rFonts w:ascii="Verdana" w:hAnsi="Verdana" w:cs="Arial"/>
          <w:spacing w:val="-7"/>
          <w:sz w:val="16"/>
          <w:szCs w:val="16"/>
        </w:rPr>
        <w:t xml:space="preserve"> </w:t>
      </w:r>
      <w:r w:rsidRPr="00516D19">
        <w:rPr>
          <w:rFonts w:ascii="Verdana" w:hAnsi="Verdana" w:cs="Arial"/>
          <w:sz w:val="16"/>
          <w:szCs w:val="16"/>
        </w:rPr>
        <w:t>proceso</w:t>
      </w:r>
      <w:r w:rsidRPr="00516D19">
        <w:rPr>
          <w:rFonts w:ascii="Verdana" w:hAnsi="Verdana" w:cs="Arial"/>
          <w:spacing w:val="1"/>
          <w:sz w:val="16"/>
          <w:szCs w:val="16"/>
        </w:rPr>
        <w:t xml:space="preserve"> </w:t>
      </w:r>
      <w:r w:rsidRPr="00516D19">
        <w:rPr>
          <w:rFonts w:ascii="Verdana" w:hAnsi="Verdana" w:cs="Arial"/>
          <w:sz w:val="16"/>
          <w:szCs w:val="16"/>
        </w:rPr>
        <w:t>de</w:t>
      </w:r>
      <w:r w:rsidRPr="00516D19">
        <w:rPr>
          <w:rFonts w:ascii="Verdana" w:hAnsi="Verdana" w:cs="Arial"/>
          <w:spacing w:val="-7"/>
          <w:sz w:val="16"/>
          <w:szCs w:val="16"/>
        </w:rPr>
        <w:t xml:space="preserve"> </w:t>
      </w:r>
      <w:r w:rsidRPr="00516D19">
        <w:rPr>
          <w:rFonts w:ascii="Verdana" w:hAnsi="Verdana" w:cs="Arial"/>
          <w:sz w:val="16"/>
          <w:szCs w:val="16"/>
        </w:rPr>
        <w:t>selección</w:t>
      </w:r>
      <w:r w:rsidRPr="00516D19">
        <w:rPr>
          <w:rFonts w:ascii="Verdana" w:hAnsi="Verdana" w:cs="Arial"/>
          <w:spacing w:val="-7"/>
          <w:sz w:val="16"/>
          <w:szCs w:val="16"/>
        </w:rPr>
        <w:t xml:space="preserve"> </w:t>
      </w:r>
      <w:r w:rsidRPr="00516D19">
        <w:rPr>
          <w:rFonts w:ascii="Verdana" w:hAnsi="Verdana" w:cs="Arial"/>
          <w:sz w:val="16"/>
          <w:szCs w:val="16"/>
        </w:rPr>
        <w:t>e</w:t>
      </w:r>
      <w:r w:rsidRPr="00516D19">
        <w:rPr>
          <w:rFonts w:ascii="Verdana" w:hAnsi="Verdana" w:cs="Arial"/>
          <w:spacing w:val="-7"/>
          <w:sz w:val="16"/>
          <w:szCs w:val="16"/>
        </w:rPr>
        <w:t xml:space="preserve"> </w:t>
      </w:r>
      <w:r w:rsidRPr="00516D19">
        <w:rPr>
          <w:rFonts w:ascii="Verdana" w:hAnsi="Verdana" w:cs="Arial"/>
          <w:sz w:val="16"/>
          <w:szCs w:val="16"/>
        </w:rPr>
        <w:t>impugnar</w:t>
      </w:r>
      <w:r w:rsidRPr="00516D19">
        <w:rPr>
          <w:rFonts w:ascii="Verdana" w:hAnsi="Verdana" w:cs="Arial"/>
          <w:spacing w:val="-7"/>
          <w:sz w:val="16"/>
          <w:szCs w:val="16"/>
        </w:rPr>
        <w:t xml:space="preserve"> </w:t>
      </w:r>
      <w:r w:rsidRPr="00516D19">
        <w:rPr>
          <w:rFonts w:ascii="Verdana" w:hAnsi="Verdana" w:cs="Arial"/>
          <w:sz w:val="16"/>
          <w:szCs w:val="16"/>
        </w:rPr>
        <w:t>ante</w:t>
      </w:r>
      <w:r w:rsidRPr="00516D19">
        <w:rPr>
          <w:rFonts w:ascii="Verdana" w:hAnsi="Verdana" w:cs="Arial"/>
          <w:spacing w:val="-7"/>
          <w:sz w:val="16"/>
          <w:szCs w:val="16"/>
        </w:rPr>
        <w:t xml:space="preserve"> </w:t>
      </w:r>
      <w:r w:rsidRPr="00516D19">
        <w:rPr>
          <w:rFonts w:ascii="Verdana" w:hAnsi="Verdana" w:cs="Arial"/>
          <w:sz w:val="16"/>
          <w:szCs w:val="16"/>
        </w:rPr>
        <w:t>la</w:t>
      </w:r>
      <w:r w:rsidRPr="00516D19">
        <w:rPr>
          <w:rFonts w:ascii="Verdana" w:hAnsi="Verdana" w:cs="Arial"/>
          <w:spacing w:val="-7"/>
          <w:sz w:val="16"/>
          <w:szCs w:val="16"/>
        </w:rPr>
        <w:t xml:space="preserve"> </w:t>
      </w:r>
      <w:r w:rsidRPr="00516D19">
        <w:rPr>
          <w:rFonts w:ascii="Verdana" w:hAnsi="Verdana" w:cs="Arial"/>
          <w:sz w:val="16"/>
          <w:szCs w:val="16"/>
        </w:rPr>
        <w:t>Cámara</w:t>
      </w:r>
      <w:r w:rsidRPr="00516D19">
        <w:rPr>
          <w:rFonts w:ascii="Verdana" w:hAnsi="Verdana" w:cs="Arial"/>
          <w:spacing w:val="-7"/>
          <w:sz w:val="16"/>
          <w:szCs w:val="16"/>
        </w:rPr>
        <w:t xml:space="preserve"> </w:t>
      </w:r>
      <w:r w:rsidRPr="00516D19">
        <w:rPr>
          <w:rFonts w:ascii="Verdana" w:hAnsi="Verdana" w:cs="Arial"/>
          <w:sz w:val="16"/>
          <w:szCs w:val="16"/>
        </w:rPr>
        <w:t>de</w:t>
      </w:r>
      <w:r w:rsidRPr="00516D19">
        <w:rPr>
          <w:rFonts w:ascii="Verdana" w:hAnsi="Verdana" w:cs="Arial"/>
          <w:spacing w:val="-7"/>
          <w:sz w:val="16"/>
          <w:szCs w:val="16"/>
        </w:rPr>
        <w:t xml:space="preserve"> </w:t>
      </w:r>
      <w:r w:rsidRPr="00516D19">
        <w:rPr>
          <w:rFonts w:ascii="Verdana" w:hAnsi="Verdana" w:cs="Arial"/>
          <w:sz w:val="16"/>
          <w:szCs w:val="16"/>
        </w:rPr>
        <w:t>Comercio</w:t>
      </w:r>
      <w:r w:rsidRPr="00516D19">
        <w:rPr>
          <w:rFonts w:ascii="Verdana" w:hAnsi="Verdana" w:cs="Arial"/>
          <w:spacing w:val="-7"/>
          <w:sz w:val="16"/>
          <w:szCs w:val="16"/>
        </w:rPr>
        <w:t xml:space="preserve"> </w:t>
      </w:r>
      <w:r w:rsidRPr="00516D19">
        <w:rPr>
          <w:rFonts w:ascii="Verdana" w:hAnsi="Verdana" w:cs="Arial"/>
          <w:sz w:val="16"/>
          <w:szCs w:val="16"/>
        </w:rPr>
        <w:t>la</w:t>
      </w:r>
      <w:r w:rsidRPr="00516D19">
        <w:rPr>
          <w:rFonts w:ascii="Verdana" w:hAnsi="Verdana" w:cs="Arial"/>
          <w:spacing w:val="-7"/>
          <w:sz w:val="16"/>
          <w:szCs w:val="16"/>
        </w:rPr>
        <w:t xml:space="preserve"> </w:t>
      </w:r>
      <w:r w:rsidRPr="00516D19">
        <w:rPr>
          <w:rFonts w:ascii="Verdana" w:hAnsi="Verdana" w:cs="Arial"/>
          <w:sz w:val="16"/>
          <w:szCs w:val="16"/>
        </w:rPr>
        <w:t>inscripción,</w:t>
      </w:r>
      <w:r w:rsidRPr="00516D19">
        <w:rPr>
          <w:rFonts w:ascii="Verdana" w:hAnsi="Verdana" w:cs="Arial"/>
          <w:spacing w:val="-7"/>
          <w:sz w:val="16"/>
          <w:szCs w:val="16"/>
        </w:rPr>
        <w:t xml:space="preserve"> </w:t>
      </w:r>
      <w:r w:rsidRPr="00516D19">
        <w:rPr>
          <w:rFonts w:ascii="Verdana" w:hAnsi="Verdana" w:cs="Arial"/>
          <w:sz w:val="16"/>
          <w:szCs w:val="16"/>
        </w:rPr>
        <w:t>para</w:t>
      </w:r>
      <w:r w:rsidRPr="00516D19">
        <w:rPr>
          <w:rFonts w:ascii="Verdana" w:hAnsi="Verdana" w:cs="Arial"/>
          <w:spacing w:val="-7"/>
          <w:sz w:val="16"/>
          <w:szCs w:val="16"/>
        </w:rPr>
        <w:t xml:space="preserve"> </w:t>
      </w:r>
      <w:r w:rsidRPr="00516D19">
        <w:rPr>
          <w:rFonts w:ascii="Verdana" w:hAnsi="Verdana" w:cs="Arial"/>
          <w:sz w:val="16"/>
          <w:szCs w:val="16"/>
        </w:rPr>
        <w:t>lo</w:t>
      </w:r>
      <w:r w:rsidRPr="00516D19">
        <w:rPr>
          <w:rFonts w:ascii="Verdana" w:hAnsi="Verdana" w:cs="Arial"/>
          <w:spacing w:val="-7"/>
          <w:sz w:val="16"/>
          <w:szCs w:val="16"/>
        </w:rPr>
        <w:t xml:space="preserve"> </w:t>
      </w:r>
      <w:r w:rsidRPr="00516D19">
        <w:rPr>
          <w:rFonts w:ascii="Verdana" w:hAnsi="Verdana" w:cs="Arial"/>
          <w:sz w:val="16"/>
          <w:szCs w:val="16"/>
        </w:rPr>
        <w:t>cual</w:t>
      </w:r>
      <w:r w:rsidRPr="00516D19">
        <w:rPr>
          <w:rFonts w:ascii="Verdana" w:hAnsi="Verdana" w:cs="Arial"/>
          <w:spacing w:val="-7"/>
          <w:sz w:val="16"/>
          <w:szCs w:val="16"/>
        </w:rPr>
        <w:t xml:space="preserve"> </w:t>
      </w:r>
      <w:r w:rsidRPr="00516D19">
        <w:rPr>
          <w:rFonts w:ascii="Verdana" w:hAnsi="Verdana" w:cs="Arial"/>
          <w:sz w:val="16"/>
          <w:szCs w:val="16"/>
        </w:rPr>
        <w:t>no</w:t>
      </w:r>
      <w:r w:rsidRPr="00516D19">
        <w:rPr>
          <w:rFonts w:ascii="Verdana" w:hAnsi="Verdana" w:cs="Arial"/>
          <w:spacing w:val="-7"/>
          <w:sz w:val="16"/>
          <w:szCs w:val="16"/>
        </w:rPr>
        <w:t xml:space="preserve"> </w:t>
      </w:r>
      <w:r w:rsidRPr="00516D19">
        <w:rPr>
          <w:rFonts w:ascii="Verdana" w:hAnsi="Verdana" w:cs="Arial"/>
          <w:sz w:val="16"/>
          <w:szCs w:val="16"/>
        </w:rPr>
        <w:t>estarán</w:t>
      </w:r>
      <w:r w:rsidRPr="00516D19">
        <w:rPr>
          <w:rFonts w:ascii="Verdana" w:hAnsi="Verdana" w:cs="Arial"/>
          <w:spacing w:val="-7"/>
          <w:sz w:val="16"/>
          <w:szCs w:val="16"/>
        </w:rPr>
        <w:t xml:space="preserve"> </w:t>
      </w:r>
      <w:r w:rsidRPr="00516D19">
        <w:rPr>
          <w:rFonts w:ascii="Verdana" w:hAnsi="Verdana" w:cs="Arial"/>
          <w:sz w:val="16"/>
          <w:szCs w:val="16"/>
        </w:rPr>
        <w:t>obligadas</w:t>
      </w:r>
      <w:r w:rsidRPr="00516D19">
        <w:rPr>
          <w:rFonts w:ascii="Verdana" w:hAnsi="Verdana" w:cs="Arial"/>
          <w:spacing w:val="-7"/>
          <w:sz w:val="16"/>
          <w:szCs w:val="16"/>
        </w:rPr>
        <w:t xml:space="preserve"> </w:t>
      </w:r>
      <w:r w:rsidRPr="00516D19">
        <w:rPr>
          <w:rFonts w:ascii="Verdana" w:hAnsi="Verdana" w:cs="Arial"/>
          <w:sz w:val="16"/>
          <w:szCs w:val="16"/>
        </w:rPr>
        <w:t>a</w:t>
      </w:r>
      <w:r w:rsidRPr="00516D19">
        <w:rPr>
          <w:rFonts w:ascii="Verdana" w:hAnsi="Verdana" w:cs="Arial"/>
          <w:spacing w:val="-7"/>
          <w:sz w:val="16"/>
          <w:szCs w:val="16"/>
        </w:rPr>
        <w:t xml:space="preserve"> </w:t>
      </w:r>
      <w:r w:rsidRPr="00516D19">
        <w:rPr>
          <w:rFonts w:ascii="Verdana" w:hAnsi="Verdana" w:cs="Arial"/>
          <w:sz w:val="16"/>
          <w:szCs w:val="16"/>
        </w:rPr>
        <w:t>prestar</w:t>
      </w:r>
      <w:r w:rsidRPr="00516D19">
        <w:rPr>
          <w:rFonts w:ascii="Verdana" w:hAnsi="Verdana" w:cs="Arial"/>
          <w:spacing w:val="-7"/>
          <w:sz w:val="16"/>
          <w:szCs w:val="16"/>
        </w:rPr>
        <w:t xml:space="preserve"> </w:t>
      </w:r>
      <w:r w:rsidRPr="00516D19">
        <w:rPr>
          <w:rFonts w:ascii="Verdana" w:hAnsi="Verdana" w:cs="Arial"/>
          <w:sz w:val="16"/>
          <w:szCs w:val="16"/>
        </w:rPr>
        <w:t>caución.</w:t>
      </w:r>
      <w:r w:rsidRPr="00516D19">
        <w:rPr>
          <w:rFonts w:ascii="Verdana" w:hAnsi="Verdana" w:cs="Arial"/>
          <w:spacing w:val="-7"/>
          <w:sz w:val="16"/>
          <w:szCs w:val="16"/>
        </w:rPr>
        <w:t xml:space="preserve"> </w:t>
      </w:r>
      <w:r w:rsidRPr="00516D19">
        <w:rPr>
          <w:rFonts w:ascii="Verdana" w:hAnsi="Verdana" w:cs="Arial"/>
          <w:sz w:val="16"/>
          <w:szCs w:val="16"/>
        </w:rPr>
        <w:t>Para</w:t>
      </w:r>
      <w:r w:rsidRPr="00516D19">
        <w:rPr>
          <w:rFonts w:ascii="Verdana" w:hAnsi="Verdana" w:cs="Arial"/>
          <w:spacing w:val="-6"/>
          <w:sz w:val="16"/>
          <w:szCs w:val="16"/>
        </w:rPr>
        <w:t xml:space="preserve"> </w:t>
      </w:r>
      <w:r w:rsidRPr="00516D19">
        <w:rPr>
          <w:rFonts w:ascii="Verdana" w:hAnsi="Verdana" w:cs="Arial"/>
          <w:sz w:val="16"/>
          <w:szCs w:val="16"/>
        </w:rPr>
        <w:t>el</w:t>
      </w:r>
      <w:r w:rsidRPr="00516D19">
        <w:rPr>
          <w:rFonts w:ascii="Verdana" w:hAnsi="Verdana" w:cs="Arial"/>
          <w:spacing w:val="-7"/>
          <w:sz w:val="16"/>
          <w:szCs w:val="16"/>
        </w:rPr>
        <w:t xml:space="preserve"> </w:t>
      </w:r>
      <w:r w:rsidRPr="00516D19">
        <w:rPr>
          <w:rFonts w:ascii="Verdana" w:hAnsi="Verdana" w:cs="Arial"/>
          <w:sz w:val="16"/>
          <w:szCs w:val="16"/>
        </w:rPr>
        <w:t>trámite</w:t>
      </w:r>
      <w:r w:rsidRPr="00516D19">
        <w:rPr>
          <w:rFonts w:ascii="Verdana" w:hAnsi="Verdana" w:cs="Arial"/>
          <w:spacing w:val="-7"/>
          <w:sz w:val="16"/>
          <w:szCs w:val="16"/>
        </w:rPr>
        <w:t xml:space="preserve"> </w:t>
      </w:r>
      <w:r w:rsidRPr="00516D19">
        <w:rPr>
          <w:rFonts w:ascii="Verdana" w:hAnsi="Verdana" w:cs="Arial"/>
          <w:sz w:val="16"/>
          <w:szCs w:val="16"/>
        </w:rPr>
        <w:t>y</w:t>
      </w:r>
      <w:r w:rsidRPr="00516D19">
        <w:rPr>
          <w:rFonts w:ascii="Verdana" w:hAnsi="Verdana" w:cs="Arial"/>
          <w:spacing w:val="-7"/>
          <w:sz w:val="16"/>
          <w:szCs w:val="16"/>
        </w:rPr>
        <w:t xml:space="preserve"> </w:t>
      </w:r>
      <w:r w:rsidRPr="00516D19">
        <w:rPr>
          <w:rFonts w:ascii="Verdana" w:hAnsi="Verdana" w:cs="Arial"/>
          <w:sz w:val="16"/>
          <w:szCs w:val="16"/>
        </w:rPr>
        <w:t>adopción</w:t>
      </w:r>
      <w:r w:rsidRPr="00516D19">
        <w:rPr>
          <w:rFonts w:ascii="Verdana" w:hAnsi="Verdana" w:cs="Arial"/>
          <w:spacing w:val="-7"/>
          <w:sz w:val="16"/>
          <w:szCs w:val="16"/>
        </w:rPr>
        <w:t xml:space="preserve"> </w:t>
      </w:r>
      <w:r w:rsidRPr="00516D19">
        <w:rPr>
          <w:rFonts w:ascii="Verdana" w:hAnsi="Verdana" w:cs="Arial"/>
          <w:sz w:val="16"/>
          <w:szCs w:val="16"/>
        </w:rPr>
        <w:t>de</w:t>
      </w:r>
      <w:r w:rsidRPr="00516D19">
        <w:rPr>
          <w:rFonts w:ascii="Verdana" w:hAnsi="Verdana" w:cs="Arial"/>
          <w:spacing w:val="-7"/>
          <w:sz w:val="16"/>
          <w:szCs w:val="16"/>
        </w:rPr>
        <w:t xml:space="preserve"> </w:t>
      </w:r>
      <w:r w:rsidRPr="00516D19">
        <w:rPr>
          <w:rFonts w:ascii="Verdana" w:hAnsi="Verdana" w:cs="Arial"/>
          <w:sz w:val="16"/>
          <w:szCs w:val="16"/>
        </w:rPr>
        <w:t>la</w:t>
      </w:r>
      <w:r w:rsidRPr="00516D19">
        <w:rPr>
          <w:rFonts w:ascii="Verdana" w:hAnsi="Verdana" w:cs="Arial"/>
          <w:spacing w:val="-7"/>
          <w:sz w:val="16"/>
          <w:szCs w:val="16"/>
        </w:rPr>
        <w:t xml:space="preserve"> </w:t>
      </w:r>
      <w:r w:rsidRPr="00516D19">
        <w:rPr>
          <w:rFonts w:ascii="Verdana" w:hAnsi="Verdana" w:cs="Arial"/>
          <w:sz w:val="16"/>
          <w:szCs w:val="16"/>
        </w:rPr>
        <w:t>decisión</w:t>
      </w:r>
      <w:r w:rsidRPr="00516D19">
        <w:rPr>
          <w:rFonts w:ascii="Verdana" w:hAnsi="Verdana" w:cs="Arial"/>
          <w:spacing w:val="1"/>
          <w:sz w:val="16"/>
          <w:szCs w:val="16"/>
        </w:rPr>
        <w:t xml:space="preserve"> </w:t>
      </w:r>
      <w:r w:rsidRPr="00516D19">
        <w:rPr>
          <w:rFonts w:ascii="Verdana" w:hAnsi="Verdana" w:cs="Arial"/>
          <w:sz w:val="16"/>
          <w:szCs w:val="16"/>
        </w:rPr>
        <w:t>las</w:t>
      </w:r>
      <w:r w:rsidRPr="00516D19">
        <w:rPr>
          <w:rFonts w:ascii="Verdana" w:hAnsi="Verdana" w:cs="Arial"/>
          <w:spacing w:val="-5"/>
          <w:sz w:val="16"/>
          <w:szCs w:val="16"/>
        </w:rPr>
        <w:t xml:space="preserve"> </w:t>
      </w:r>
      <w:r w:rsidRPr="00516D19">
        <w:rPr>
          <w:rFonts w:ascii="Verdana" w:hAnsi="Verdana" w:cs="Arial"/>
          <w:sz w:val="16"/>
          <w:szCs w:val="16"/>
        </w:rPr>
        <w:t>Cámaras</w:t>
      </w:r>
      <w:r w:rsidRPr="00516D19">
        <w:rPr>
          <w:rFonts w:ascii="Verdana" w:hAnsi="Verdana" w:cs="Arial"/>
          <w:spacing w:val="-4"/>
          <w:sz w:val="16"/>
          <w:szCs w:val="16"/>
        </w:rPr>
        <w:t xml:space="preserve"> </w:t>
      </w:r>
      <w:r w:rsidRPr="00516D19">
        <w:rPr>
          <w:rFonts w:ascii="Verdana" w:hAnsi="Verdana" w:cs="Arial"/>
          <w:sz w:val="16"/>
          <w:szCs w:val="16"/>
        </w:rPr>
        <w:t>de</w:t>
      </w:r>
      <w:r w:rsidRPr="00516D19">
        <w:rPr>
          <w:rFonts w:ascii="Verdana" w:hAnsi="Verdana" w:cs="Arial"/>
          <w:spacing w:val="-4"/>
          <w:sz w:val="16"/>
          <w:szCs w:val="16"/>
        </w:rPr>
        <w:t xml:space="preserve"> </w:t>
      </w:r>
      <w:r w:rsidRPr="00516D19">
        <w:rPr>
          <w:rFonts w:ascii="Verdana" w:hAnsi="Verdana" w:cs="Arial"/>
          <w:sz w:val="16"/>
          <w:szCs w:val="16"/>
        </w:rPr>
        <w:t>Comercio</w:t>
      </w:r>
      <w:r w:rsidRPr="00516D19">
        <w:rPr>
          <w:rFonts w:ascii="Verdana" w:hAnsi="Verdana" w:cs="Arial"/>
          <w:spacing w:val="-4"/>
          <w:sz w:val="16"/>
          <w:szCs w:val="16"/>
        </w:rPr>
        <w:t xml:space="preserve"> </w:t>
      </w:r>
      <w:r w:rsidRPr="00516D19">
        <w:rPr>
          <w:rFonts w:ascii="Verdana" w:hAnsi="Verdana" w:cs="Arial"/>
          <w:sz w:val="16"/>
          <w:szCs w:val="16"/>
        </w:rPr>
        <w:t>tendrán</w:t>
      </w:r>
      <w:r w:rsidRPr="00516D19">
        <w:rPr>
          <w:rFonts w:ascii="Verdana" w:hAnsi="Verdana" w:cs="Arial"/>
          <w:spacing w:val="-4"/>
          <w:sz w:val="16"/>
          <w:szCs w:val="16"/>
        </w:rPr>
        <w:t xml:space="preserve"> </w:t>
      </w:r>
      <w:r w:rsidRPr="00516D19">
        <w:rPr>
          <w:rFonts w:ascii="Verdana" w:hAnsi="Verdana" w:cs="Arial"/>
          <w:sz w:val="16"/>
          <w:szCs w:val="16"/>
        </w:rPr>
        <w:t>un</w:t>
      </w:r>
      <w:r w:rsidRPr="00516D19">
        <w:rPr>
          <w:rFonts w:ascii="Verdana" w:hAnsi="Verdana" w:cs="Arial"/>
          <w:spacing w:val="-4"/>
          <w:sz w:val="16"/>
          <w:szCs w:val="16"/>
        </w:rPr>
        <w:t xml:space="preserve"> </w:t>
      </w:r>
      <w:r w:rsidRPr="00516D19">
        <w:rPr>
          <w:rFonts w:ascii="Verdana" w:hAnsi="Verdana" w:cs="Arial"/>
          <w:sz w:val="16"/>
          <w:szCs w:val="16"/>
        </w:rPr>
        <w:t>plazo</w:t>
      </w:r>
      <w:r w:rsidRPr="00516D19">
        <w:rPr>
          <w:rFonts w:ascii="Verdana" w:hAnsi="Verdana" w:cs="Arial"/>
          <w:spacing w:val="-4"/>
          <w:sz w:val="16"/>
          <w:szCs w:val="16"/>
        </w:rPr>
        <w:t xml:space="preserve"> </w:t>
      </w:r>
      <w:r w:rsidRPr="00516D19">
        <w:rPr>
          <w:rFonts w:ascii="Verdana" w:hAnsi="Verdana" w:cs="Arial"/>
          <w:sz w:val="16"/>
          <w:szCs w:val="16"/>
        </w:rPr>
        <w:t>de</w:t>
      </w:r>
      <w:r w:rsidRPr="00516D19">
        <w:rPr>
          <w:rFonts w:ascii="Verdana" w:hAnsi="Verdana" w:cs="Arial"/>
          <w:spacing w:val="-4"/>
          <w:sz w:val="16"/>
          <w:szCs w:val="16"/>
        </w:rPr>
        <w:t xml:space="preserve"> </w:t>
      </w:r>
      <w:r w:rsidRPr="00516D19">
        <w:rPr>
          <w:rFonts w:ascii="Verdana" w:hAnsi="Verdana" w:cs="Arial"/>
          <w:sz w:val="16"/>
          <w:szCs w:val="16"/>
        </w:rPr>
        <w:t>veinte</w:t>
      </w:r>
      <w:r w:rsidRPr="00516D19">
        <w:rPr>
          <w:rFonts w:ascii="Verdana" w:hAnsi="Verdana" w:cs="Arial"/>
          <w:spacing w:val="-4"/>
          <w:sz w:val="16"/>
          <w:szCs w:val="16"/>
        </w:rPr>
        <w:t xml:space="preserve"> </w:t>
      </w:r>
      <w:r w:rsidRPr="00516D19">
        <w:rPr>
          <w:rFonts w:ascii="Verdana" w:hAnsi="Verdana" w:cs="Arial"/>
          <w:sz w:val="16"/>
          <w:szCs w:val="16"/>
        </w:rPr>
        <w:t>(20)</w:t>
      </w:r>
      <w:r w:rsidRPr="00516D19">
        <w:rPr>
          <w:rFonts w:ascii="Verdana" w:hAnsi="Verdana" w:cs="Arial"/>
          <w:spacing w:val="-4"/>
          <w:sz w:val="16"/>
          <w:szCs w:val="16"/>
        </w:rPr>
        <w:t xml:space="preserve"> </w:t>
      </w:r>
      <w:r w:rsidRPr="00516D19">
        <w:rPr>
          <w:rFonts w:ascii="Verdana" w:hAnsi="Verdana" w:cs="Arial"/>
          <w:sz w:val="16"/>
          <w:szCs w:val="16"/>
        </w:rPr>
        <w:t>días.</w:t>
      </w:r>
      <w:r w:rsidRPr="00516D19">
        <w:rPr>
          <w:rFonts w:ascii="Verdana" w:hAnsi="Verdana" w:cs="Arial"/>
          <w:spacing w:val="-4"/>
          <w:sz w:val="16"/>
          <w:szCs w:val="16"/>
        </w:rPr>
        <w:t xml:space="preserve"> </w:t>
      </w:r>
      <w:r w:rsidRPr="00516D19">
        <w:rPr>
          <w:rFonts w:ascii="Verdana" w:hAnsi="Verdana" w:cs="Arial"/>
          <w:sz w:val="16"/>
          <w:szCs w:val="16"/>
        </w:rPr>
        <w:t>De</w:t>
      </w:r>
      <w:r w:rsidRPr="00516D19">
        <w:rPr>
          <w:rFonts w:ascii="Verdana" w:hAnsi="Verdana" w:cs="Arial"/>
          <w:spacing w:val="-4"/>
          <w:sz w:val="16"/>
          <w:szCs w:val="16"/>
        </w:rPr>
        <w:t xml:space="preserve"> </w:t>
      </w:r>
      <w:r w:rsidRPr="00516D19">
        <w:rPr>
          <w:rFonts w:ascii="Verdana" w:hAnsi="Verdana" w:cs="Arial"/>
          <w:sz w:val="16"/>
          <w:szCs w:val="16"/>
        </w:rPr>
        <w:t>no</w:t>
      </w:r>
      <w:r w:rsidRPr="00516D19">
        <w:rPr>
          <w:rFonts w:ascii="Verdana" w:hAnsi="Verdana" w:cs="Arial"/>
          <w:spacing w:val="-4"/>
          <w:sz w:val="16"/>
          <w:szCs w:val="16"/>
        </w:rPr>
        <w:t xml:space="preserve"> </w:t>
      </w:r>
      <w:r w:rsidRPr="00516D19">
        <w:rPr>
          <w:rFonts w:ascii="Verdana" w:hAnsi="Verdana" w:cs="Arial"/>
          <w:sz w:val="16"/>
          <w:szCs w:val="16"/>
        </w:rPr>
        <w:t>haberse</w:t>
      </w:r>
      <w:r w:rsidRPr="00516D19">
        <w:rPr>
          <w:rFonts w:ascii="Verdana" w:hAnsi="Verdana" w:cs="Arial"/>
          <w:spacing w:val="-4"/>
          <w:sz w:val="16"/>
          <w:szCs w:val="16"/>
        </w:rPr>
        <w:t xml:space="preserve"> </w:t>
      </w:r>
      <w:r w:rsidRPr="00516D19">
        <w:rPr>
          <w:rFonts w:ascii="Verdana" w:hAnsi="Verdana" w:cs="Arial"/>
          <w:sz w:val="16"/>
          <w:szCs w:val="16"/>
        </w:rPr>
        <w:t>adoptado</w:t>
      </w:r>
      <w:r w:rsidRPr="00516D19">
        <w:rPr>
          <w:rFonts w:ascii="Verdana" w:hAnsi="Verdana" w:cs="Arial"/>
          <w:spacing w:val="-4"/>
          <w:sz w:val="16"/>
          <w:szCs w:val="16"/>
        </w:rPr>
        <w:t xml:space="preserve"> </w:t>
      </w:r>
      <w:r w:rsidRPr="00516D19">
        <w:rPr>
          <w:rFonts w:ascii="Verdana" w:hAnsi="Verdana" w:cs="Arial"/>
          <w:sz w:val="16"/>
          <w:szCs w:val="16"/>
        </w:rPr>
        <w:t>una</w:t>
      </w:r>
      <w:r w:rsidRPr="00516D19">
        <w:rPr>
          <w:rFonts w:ascii="Verdana" w:hAnsi="Verdana" w:cs="Arial"/>
          <w:spacing w:val="-4"/>
          <w:sz w:val="16"/>
          <w:szCs w:val="16"/>
        </w:rPr>
        <w:t xml:space="preserve"> </w:t>
      </w:r>
      <w:r w:rsidRPr="00516D19">
        <w:rPr>
          <w:rFonts w:ascii="Verdana" w:hAnsi="Verdana" w:cs="Arial"/>
          <w:sz w:val="16"/>
          <w:szCs w:val="16"/>
        </w:rPr>
        <w:t>decisión</w:t>
      </w:r>
      <w:r w:rsidRPr="00516D19">
        <w:rPr>
          <w:rFonts w:ascii="Verdana" w:hAnsi="Verdana" w:cs="Arial"/>
          <w:spacing w:val="-4"/>
          <w:sz w:val="16"/>
          <w:szCs w:val="16"/>
        </w:rPr>
        <w:t xml:space="preserve"> </w:t>
      </w:r>
      <w:r w:rsidRPr="00516D19">
        <w:rPr>
          <w:rFonts w:ascii="Verdana" w:hAnsi="Verdana" w:cs="Arial"/>
          <w:sz w:val="16"/>
          <w:szCs w:val="16"/>
        </w:rPr>
        <w:t>en</w:t>
      </w:r>
      <w:r w:rsidRPr="00516D19">
        <w:rPr>
          <w:rFonts w:ascii="Verdana" w:hAnsi="Verdana" w:cs="Arial"/>
          <w:spacing w:val="-4"/>
          <w:sz w:val="16"/>
          <w:szCs w:val="16"/>
        </w:rPr>
        <w:t xml:space="preserve"> </w:t>
      </w:r>
      <w:r w:rsidRPr="00516D19">
        <w:rPr>
          <w:rFonts w:ascii="Verdana" w:hAnsi="Verdana" w:cs="Arial"/>
          <w:sz w:val="16"/>
          <w:szCs w:val="16"/>
        </w:rPr>
        <w:t>el</w:t>
      </w:r>
      <w:r w:rsidRPr="00516D19">
        <w:rPr>
          <w:rFonts w:ascii="Verdana" w:hAnsi="Verdana" w:cs="Arial"/>
          <w:spacing w:val="-4"/>
          <w:sz w:val="16"/>
          <w:szCs w:val="16"/>
        </w:rPr>
        <w:t xml:space="preserve"> </w:t>
      </w:r>
      <w:r w:rsidRPr="00516D19">
        <w:rPr>
          <w:rFonts w:ascii="Verdana" w:hAnsi="Verdana" w:cs="Arial"/>
          <w:sz w:val="16"/>
          <w:szCs w:val="16"/>
        </w:rPr>
        <w:t>término</w:t>
      </w:r>
      <w:r w:rsidRPr="00516D19">
        <w:rPr>
          <w:rFonts w:ascii="Verdana" w:hAnsi="Verdana" w:cs="Arial"/>
          <w:spacing w:val="-4"/>
          <w:sz w:val="16"/>
          <w:szCs w:val="16"/>
        </w:rPr>
        <w:t xml:space="preserve"> </w:t>
      </w:r>
      <w:r w:rsidRPr="00516D19">
        <w:rPr>
          <w:rFonts w:ascii="Verdana" w:hAnsi="Verdana" w:cs="Arial"/>
          <w:sz w:val="16"/>
          <w:szCs w:val="16"/>
        </w:rPr>
        <w:t>anterior,</w:t>
      </w:r>
      <w:r w:rsidRPr="00516D19">
        <w:rPr>
          <w:rFonts w:ascii="Verdana" w:hAnsi="Verdana" w:cs="Arial"/>
          <w:spacing w:val="-4"/>
          <w:sz w:val="16"/>
          <w:szCs w:val="16"/>
        </w:rPr>
        <w:t xml:space="preserve"> </w:t>
      </w:r>
      <w:r w:rsidRPr="00516D19">
        <w:rPr>
          <w:rFonts w:ascii="Verdana" w:hAnsi="Verdana" w:cs="Arial"/>
          <w:sz w:val="16"/>
          <w:szCs w:val="16"/>
        </w:rPr>
        <w:t>la</w:t>
      </w:r>
      <w:r w:rsidRPr="00516D19">
        <w:rPr>
          <w:rFonts w:ascii="Verdana" w:hAnsi="Verdana" w:cs="Arial"/>
          <w:spacing w:val="-4"/>
          <w:sz w:val="16"/>
          <w:szCs w:val="16"/>
        </w:rPr>
        <w:t xml:space="preserve"> </w:t>
      </w:r>
      <w:r w:rsidRPr="00516D19">
        <w:rPr>
          <w:rFonts w:ascii="Verdana" w:hAnsi="Verdana" w:cs="Arial"/>
          <w:sz w:val="16"/>
          <w:szCs w:val="16"/>
        </w:rPr>
        <w:t>entidad</w:t>
      </w:r>
      <w:r w:rsidRPr="00516D19">
        <w:rPr>
          <w:rFonts w:ascii="Verdana" w:hAnsi="Verdana" w:cs="Arial"/>
          <w:spacing w:val="-4"/>
          <w:sz w:val="16"/>
          <w:szCs w:val="16"/>
        </w:rPr>
        <w:t xml:space="preserve"> </w:t>
      </w:r>
      <w:r w:rsidRPr="00516D19">
        <w:rPr>
          <w:rFonts w:ascii="Verdana" w:hAnsi="Verdana" w:cs="Arial"/>
          <w:sz w:val="16"/>
          <w:szCs w:val="16"/>
        </w:rPr>
        <w:t>reanudará</w:t>
      </w:r>
      <w:r w:rsidRPr="00516D19">
        <w:rPr>
          <w:rFonts w:ascii="Verdana" w:hAnsi="Verdana" w:cs="Arial"/>
          <w:spacing w:val="-4"/>
          <w:sz w:val="16"/>
          <w:szCs w:val="16"/>
        </w:rPr>
        <w:t xml:space="preserve"> </w:t>
      </w:r>
      <w:r w:rsidRPr="00516D19">
        <w:rPr>
          <w:rFonts w:ascii="Verdana" w:hAnsi="Verdana" w:cs="Arial"/>
          <w:sz w:val="16"/>
          <w:szCs w:val="16"/>
        </w:rPr>
        <w:t>el</w:t>
      </w:r>
      <w:r w:rsidRPr="00516D19">
        <w:rPr>
          <w:rFonts w:ascii="Verdana" w:hAnsi="Verdana" w:cs="Arial"/>
          <w:spacing w:val="-4"/>
          <w:sz w:val="16"/>
          <w:szCs w:val="16"/>
        </w:rPr>
        <w:t xml:space="preserve"> </w:t>
      </w:r>
      <w:r w:rsidRPr="00516D19">
        <w:rPr>
          <w:rFonts w:ascii="Verdana" w:hAnsi="Verdana" w:cs="Arial"/>
          <w:sz w:val="16"/>
          <w:szCs w:val="16"/>
        </w:rPr>
        <w:t>proceso</w:t>
      </w:r>
      <w:r w:rsidRPr="00516D19">
        <w:rPr>
          <w:rFonts w:ascii="Verdana" w:hAnsi="Verdana" w:cs="Arial"/>
          <w:spacing w:val="-4"/>
          <w:sz w:val="16"/>
          <w:szCs w:val="16"/>
        </w:rPr>
        <w:t xml:space="preserve"> </w:t>
      </w:r>
      <w:r w:rsidRPr="00516D19">
        <w:rPr>
          <w:rFonts w:ascii="Verdana" w:hAnsi="Verdana" w:cs="Arial"/>
          <w:sz w:val="16"/>
          <w:szCs w:val="16"/>
        </w:rPr>
        <w:t>de</w:t>
      </w:r>
      <w:r w:rsidRPr="00516D19">
        <w:rPr>
          <w:rFonts w:ascii="Verdana" w:hAnsi="Verdana" w:cs="Arial"/>
          <w:spacing w:val="1"/>
          <w:sz w:val="16"/>
          <w:szCs w:val="16"/>
        </w:rPr>
        <w:t xml:space="preserve"> </w:t>
      </w:r>
      <w:r w:rsidRPr="00516D19">
        <w:rPr>
          <w:rFonts w:ascii="Verdana" w:hAnsi="Verdana" w:cs="Arial"/>
          <w:sz w:val="16"/>
          <w:szCs w:val="16"/>
        </w:rPr>
        <w:t>selección</w:t>
      </w:r>
      <w:r w:rsidRPr="00516D19">
        <w:rPr>
          <w:rFonts w:ascii="Verdana" w:hAnsi="Verdana" w:cs="Arial"/>
          <w:spacing w:val="-2"/>
          <w:sz w:val="16"/>
          <w:szCs w:val="16"/>
        </w:rPr>
        <w:t xml:space="preserve"> </w:t>
      </w:r>
      <w:r w:rsidRPr="00516D19">
        <w:rPr>
          <w:rFonts w:ascii="Verdana" w:hAnsi="Verdana" w:cs="Arial"/>
          <w:sz w:val="16"/>
          <w:szCs w:val="16"/>
        </w:rPr>
        <w:t>de</w:t>
      </w:r>
      <w:r w:rsidRPr="00516D19">
        <w:rPr>
          <w:rFonts w:ascii="Verdana" w:hAnsi="Verdana" w:cs="Arial"/>
          <w:spacing w:val="-1"/>
          <w:sz w:val="16"/>
          <w:szCs w:val="16"/>
        </w:rPr>
        <w:t xml:space="preserve"> </w:t>
      </w:r>
      <w:r w:rsidRPr="00516D19">
        <w:rPr>
          <w:rFonts w:ascii="Verdana" w:hAnsi="Verdana" w:cs="Arial"/>
          <w:sz w:val="16"/>
          <w:szCs w:val="16"/>
        </w:rPr>
        <w:t>acuerdo</w:t>
      </w:r>
      <w:r w:rsidRPr="00516D19">
        <w:rPr>
          <w:rFonts w:ascii="Verdana" w:hAnsi="Verdana" w:cs="Arial"/>
          <w:spacing w:val="-1"/>
          <w:sz w:val="16"/>
          <w:szCs w:val="16"/>
        </w:rPr>
        <w:t xml:space="preserve"> </w:t>
      </w:r>
      <w:r w:rsidRPr="00516D19">
        <w:rPr>
          <w:rFonts w:ascii="Verdana" w:hAnsi="Verdana" w:cs="Arial"/>
          <w:sz w:val="16"/>
          <w:szCs w:val="16"/>
        </w:rPr>
        <w:t>con</w:t>
      </w:r>
      <w:r w:rsidRPr="00516D19">
        <w:rPr>
          <w:rFonts w:ascii="Verdana" w:hAnsi="Verdana" w:cs="Arial"/>
          <w:spacing w:val="-1"/>
          <w:sz w:val="16"/>
          <w:szCs w:val="16"/>
        </w:rPr>
        <w:t xml:space="preserve"> </w:t>
      </w:r>
      <w:r w:rsidRPr="00516D19">
        <w:rPr>
          <w:rFonts w:ascii="Verdana" w:hAnsi="Verdana" w:cs="Arial"/>
          <w:sz w:val="16"/>
          <w:szCs w:val="16"/>
        </w:rPr>
        <w:t>la</w:t>
      </w:r>
      <w:r w:rsidRPr="00516D19">
        <w:rPr>
          <w:rFonts w:ascii="Verdana" w:hAnsi="Verdana" w:cs="Arial"/>
          <w:spacing w:val="-1"/>
          <w:sz w:val="16"/>
          <w:szCs w:val="16"/>
        </w:rPr>
        <w:t xml:space="preserve"> </w:t>
      </w:r>
      <w:r w:rsidRPr="00516D19">
        <w:rPr>
          <w:rFonts w:ascii="Verdana" w:hAnsi="Verdana" w:cs="Arial"/>
          <w:sz w:val="16"/>
          <w:szCs w:val="16"/>
        </w:rPr>
        <w:t>información</w:t>
      </w:r>
      <w:r w:rsidRPr="00516D19">
        <w:rPr>
          <w:rFonts w:ascii="Verdana" w:hAnsi="Verdana" w:cs="Arial"/>
          <w:spacing w:val="-1"/>
          <w:sz w:val="16"/>
          <w:szCs w:val="16"/>
        </w:rPr>
        <w:t xml:space="preserve"> </w:t>
      </w:r>
      <w:r w:rsidRPr="00516D19">
        <w:rPr>
          <w:rFonts w:ascii="Verdana" w:hAnsi="Verdana" w:cs="Arial"/>
          <w:sz w:val="16"/>
          <w:szCs w:val="16"/>
        </w:rPr>
        <w:t>certificada</w:t>
      </w:r>
      <w:r w:rsidRPr="00516D19">
        <w:rPr>
          <w:rFonts w:ascii="Verdana" w:hAnsi="Verdana" w:cs="Arial"/>
          <w:spacing w:val="-1"/>
          <w:sz w:val="16"/>
          <w:szCs w:val="16"/>
        </w:rPr>
        <w:t xml:space="preserve"> </w:t>
      </w:r>
      <w:r w:rsidRPr="00516D19">
        <w:rPr>
          <w:rFonts w:ascii="Verdana" w:hAnsi="Verdana" w:cs="Arial"/>
          <w:sz w:val="16"/>
          <w:szCs w:val="16"/>
        </w:rPr>
        <w:t>en</w:t>
      </w:r>
      <w:r w:rsidRPr="00516D19">
        <w:rPr>
          <w:rFonts w:ascii="Verdana" w:hAnsi="Verdana" w:cs="Arial"/>
          <w:spacing w:val="-2"/>
          <w:sz w:val="16"/>
          <w:szCs w:val="16"/>
        </w:rPr>
        <w:t xml:space="preserve"> </w:t>
      </w:r>
      <w:r w:rsidRPr="00516D19">
        <w:rPr>
          <w:rFonts w:ascii="Verdana" w:hAnsi="Verdana" w:cs="Arial"/>
          <w:sz w:val="16"/>
          <w:szCs w:val="16"/>
        </w:rPr>
        <w:t>el</w:t>
      </w:r>
      <w:r w:rsidRPr="00516D19">
        <w:rPr>
          <w:rFonts w:ascii="Verdana" w:hAnsi="Verdana" w:cs="Arial"/>
          <w:spacing w:val="-1"/>
          <w:sz w:val="16"/>
          <w:szCs w:val="16"/>
        </w:rPr>
        <w:t xml:space="preserve"> </w:t>
      </w:r>
      <w:r w:rsidRPr="00516D19">
        <w:rPr>
          <w:rFonts w:ascii="Verdana" w:hAnsi="Verdana" w:cs="Arial"/>
          <w:sz w:val="16"/>
          <w:szCs w:val="16"/>
        </w:rPr>
        <w:t>RUP.</w:t>
      </w:r>
    </w:p>
    <w:p w14:paraId="7DBAA31F" w14:textId="77777777" w:rsidR="0064326F" w:rsidRPr="00516D19" w:rsidRDefault="0064326F" w:rsidP="0064326F">
      <w:pPr>
        <w:spacing w:after="0" w:line="240" w:lineRule="auto"/>
        <w:ind w:firstLine="708"/>
        <w:contextualSpacing/>
        <w:jc w:val="both"/>
        <w:rPr>
          <w:rFonts w:ascii="Verdana" w:hAnsi="Verdana" w:cs="Arial"/>
          <w:sz w:val="16"/>
          <w:szCs w:val="16"/>
        </w:rPr>
      </w:pPr>
      <w:r w:rsidRPr="00516D19">
        <w:rPr>
          <w:rFonts w:ascii="Verdana" w:hAnsi="Verdana" w:cs="Arial"/>
          <w:sz w:val="16"/>
          <w:szCs w:val="16"/>
        </w:rPr>
        <w:t>En el evento en que la Cámara de Comercio establezca la existencia de graves inconsistencias se le cancelará la inscripción en el registro</w:t>
      </w:r>
      <w:r w:rsidRPr="00516D19">
        <w:rPr>
          <w:rFonts w:ascii="Verdana" w:hAnsi="Verdana" w:cs="Arial"/>
          <w:spacing w:val="1"/>
          <w:sz w:val="16"/>
          <w:szCs w:val="16"/>
        </w:rPr>
        <w:t xml:space="preserve"> </w:t>
      </w:r>
      <w:r w:rsidRPr="00516D19">
        <w:rPr>
          <w:rFonts w:ascii="Verdana" w:hAnsi="Verdana" w:cs="Arial"/>
          <w:sz w:val="16"/>
          <w:szCs w:val="16"/>
        </w:rPr>
        <w:t>quedando en tal caso inhabilitado para contratar con las entidades estatales por el término de cinco (5) años, sin perjuicio de las acciones penales a que haya</w:t>
      </w:r>
      <w:r w:rsidRPr="00516D19">
        <w:rPr>
          <w:rFonts w:ascii="Verdana" w:hAnsi="Verdana" w:cs="Arial"/>
          <w:spacing w:val="1"/>
          <w:sz w:val="16"/>
          <w:szCs w:val="16"/>
        </w:rPr>
        <w:t xml:space="preserve"> </w:t>
      </w:r>
      <w:r w:rsidRPr="00516D19">
        <w:rPr>
          <w:rFonts w:ascii="Verdana" w:hAnsi="Verdana" w:cs="Arial"/>
          <w:sz w:val="16"/>
          <w:szCs w:val="16"/>
        </w:rPr>
        <w:t>lugar.</w:t>
      </w:r>
      <w:r w:rsidRPr="00516D19">
        <w:rPr>
          <w:rFonts w:ascii="Verdana" w:hAnsi="Verdana" w:cs="Arial"/>
          <w:spacing w:val="-1"/>
          <w:sz w:val="16"/>
          <w:szCs w:val="16"/>
        </w:rPr>
        <w:t xml:space="preserve"> </w:t>
      </w:r>
      <w:r w:rsidRPr="00516D19">
        <w:rPr>
          <w:rFonts w:ascii="Verdana" w:hAnsi="Verdana" w:cs="Arial"/>
          <w:sz w:val="16"/>
          <w:szCs w:val="16"/>
        </w:rPr>
        <w:t>En</w:t>
      </w:r>
      <w:r w:rsidRPr="00516D19">
        <w:rPr>
          <w:rFonts w:ascii="Verdana" w:hAnsi="Verdana" w:cs="Arial"/>
          <w:spacing w:val="-1"/>
          <w:sz w:val="16"/>
          <w:szCs w:val="16"/>
        </w:rPr>
        <w:t xml:space="preserve"> </w:t>
      </w:r>
      <w:r w:rsidRPr="00516D19">
        <w:rPr>
          <w:rFonts w:ascii="Verdana" w:hAnsi="Verdana" w:cs="Arial"/>
          <w:sz w:val="16"/>
          <w:szCs w:val="16"/>
        </w:rPr>
        <w:t>caso</w:t>
      </w:r>
      <w:r w:rsidRPr="00516D19">
        <w:rPr>
          <w:rFonts w:ascii="Verdana" w:hAnsi="Verdana" w:cs="Arial"/>
          <w:spacing w:val="-1"/>
          <w:sz w:val="16"/>
          <w:szCs w:val="16"/>
        </w:rPr>
        <w:t xml:space="preserve"> </w:t>
      </w:r>
      <w:r w:rsidRPr="00516D19">
        <w:rPr>
          <w:rFonts w:ascii="Verdana" w:hAnsi="Verdana" w:cs="Arial"/>
          <w:sz w:val="16"/>
          <w:szCs w:val="16"/>
        </w:rPr>
        <w:t>de</w:t>
      </w:r>
      <w:r w:rsidRPr="00516D19">
        <w:rPr>
          <w:rFonts w:ascii="Verdana" w:hAnsi="Verdana" w:cs="Arial"/>
          <w:spacing w:val="-1"/>
          <w:sz w:val="16"/>
          <w:szCs w:val="16"/>
        </w:rPr>
        <w:t xml:space="preserve"> </w:t>
      </w:r>
      <w:r w:rsidRPr="00516D19">
        <w:rPr>
          <w:rFonts w:ascii="Verdana" w:hAnsi="Verdana" w:cs="Arial"/>
          <w:sz w:val="16"/>
          <w:szCs w:val="16"/>
        </w:rPr>
        <w:t>reincidencia</w:t>
      </w:r>
      <w:r w:rsidRPr="00516D19">
        <w:rPr>
          <w:rFonts w:ascii="Verdana" w:hAnsi="Verdana" w:cs="Arial"/>
          <w:spacing w:val="-1"/>
          <w:sz w:val="16"/>
          <w:szCs w:val="16"/>
        </w:rPr>
        <w:t xml:space="preserve"> </w:t>
      </w:r>
      <w:r w:rsidRPr="00516D19">
        <w:rPr>
          <w:rFonts w:ascii="Verdana" w:hAnsi="Verdana" w:cs="Arial"/>
          <w:sz w:val="16"/>
          <w:szCs w:val="16"/>
        </w:rPr>
        <w:t>la</w:t>
      </w:r>
      <w:r w:rsidRPr="00516D19">
        <w:rPr>
          <w:rFonts w:ascii="Verdana" w:hAnsi="Verdana" w:cs="Arial"/>
          <w:spacing w:val="-2"/>
          <w:sz w:val="16"/>
          <w:szCs w:val="16"/>
        </w:rPr>
        <w:t xml:space="preserve"> </w:t>
      </w:r>
      <w:r w:rsidRPr="00516D19">
        <w:rPr>
          <w:rFonts w:ascii="Verdana" w:hAnsi="Verdana" w:cs="Arial"/>
          <w:sz w:val="16"/>
          <w:szCs w:val="16"/>
        </w:rPr>
        <w:t>inhabilidad</w:t>
      </w:r>
      <w:r w:rsidRPr="00516D19">
        <w:rPr>
          <w:rFonts w:ascii="Verdana" w:hAnsi="Verdana" w:cs="Arial"/>
          <w:spacing w:val="-1"/>
          <w:sz w:val="16"/>
          <w:szCs w:val="16"/>
        </w:rPr>
        <w:t xml:space="preserve"> </w:t>
      </w:r>
      <w:r w:rsidRPr="00516D19">
        <w:rPr>
          <w:rFonts w:ascii="Verdana" w:hAnsi="Verdana" w:cs="Arial"/>
          <w:sz w:val="16"/>
          <w:szCs w:val="16"/>
        </w:rPr>
        <w:t>será</w:t>
      </w:r>
      <w:r w:rsidRPr="00516D19">
        <w:rPr>
          <w:rFonts w:ascii="Verdana" w:hAnsi="Verdana" w:cs="Arial"/>
          <w:spacing w:val="-1"/>
          <w:sz w:val="16"/>
          <w:szCs w:val="16"/>
        </w:rPr>
        <w:t xml:space="preserve"> </w:t>
      </w:r>
      <w:r w:rsidRPr="00516D19">
        <w:rPr>
          <w:rFonts w:ascii="Verdana" w:hAnsi="Verdana" w:cs="Arial"/>
          <w:sz w:val="16"/>
          <w:szCs w:val="16"/>
        </w:rPr>
        <w:t>permanente.</w:t>
      </w:r>
    </w:p>
    <w:p w14:paraId="7C10E561" w14:textId="77777777" w:rsidR="0064326F" w:rsidRPr="00516D19" w:rsidRDefault="0064326F" w:rsidP="0064326F">
      <w:pPr>
        <w:spacing w:after="0" w:line="240" w:lineRule="auto"/>
        <w:ind w:firstLine="708"/>
        <w:contextualSpacing/>
        <w:jc w:val="both"/>
        <w:rPr>
          <w:rFonts w:ascii="Verdana" w:hAnsi="Verdana" w:cs="Arial"/>
          <w:sz w:val="16"/>
          <w:szCs w:val="16"/>
        </w:rPr>
      </w:pPr>
      <w:r w:rsidRPr="00516D19">
        <w:rPr>
          <w:rFonts w:ascii="Verdana" w:hAnsi="Verdana" w:cs="Arial"/>
          <w:sz w:val="16"/>
          <w:szCs w:val="16"/>
        </w:rPr>
        <w:t>Las</w:t>
      </w:r>
      <w:r w:rsidRPr="00516D19">
        <w:rPr>
          <w:rFonts w:ascii="Verdana" w:hAnsi="Verdana" w:cs="Arial"/>
          <w:spacing w:val="-8"/>
          <w:sz w:val="16"/>
          <w:szCs w:val="16"/>
        </w:rPr>
        <w:t xml:space="preserve"> </w:t>
      </w:r>
      <w:r w:rsidRPr="00516D19">
        <w:rPr>
          <w:rFonts w:ascii="Verdana" w:hAnsi="Verdana" w:cs="Arial"/>
          <w:sz w:val="16"/>
          <w:szCs w:val="16"/>
        </w:rPr>
        <w:t>mismas</w:t>
      </w:r>
      <w:r w:rsidRPr="00516D19">
        <w:rPr>
          <w:rFonts w:ascii="Verdana" w:hAnsi="Verdana" w:cs="Arial"/>
          <w:spacing w:val="-7"/>
          <w:sz w:val="16"/>
          <w:szCs w:val="16"/>
        </w:rPr>
        <w:t xml:space="preserve"> </w:t>
      </w:r>
      <w:r w:rsidRPr="00516D19">
        <w:rPr>
          <w:rFonts w:ascii="Verdana" w:hAnsi="Verdana" w:cs="Arial"/>
          <w:sz w:val="16"/>
          <w:szCs w:val="16"/>
        </w:rPr>
        <w:t>sanciones</w:t>
      </w:r>
      <w:r w:rsidRPr="00516D19">
        <w:rPr>
          <w:rFonts w:ascii="Verdana" w:hAnsi="Verdana" w:cs="Arial"/>
          <w:spacing w:val="-7"/>
          <w:sz w:val="16"/>
          <w:szCs w:val="16"/>
        </w:rPr>
        <w:t xml:space="preserve"> </w:t>
      </w:r>
      <w:r w:rsidRPr="00516D19">
        <w:rPr>
          <w:rFonts w:ascii="Verdana" w:hAnsi="Verdana" w:cs="Arial"/>
          <w:sz w:val="16"/>
          <w:szCs w:val="16"/>
        </w:rPr>
        <w:t>previstas</w:t>
      </w:r>
      <w:r w:rsidRPr="00516D19">
        <w:rPr>
          <w:rFonts w:ascii="Verdana" w:hAnsi="Verdana" w:cs="Arial"/>
          <w:spacing w:val="-7"/>
          <w:sz w:val="16"/>
          <w:szCs w:val="16"/>
        </w:rPr>
        <w:t xml:space="preserve"> </w:t>
      </w:r>
      <w:r w:rsidRPr="00516D19">
        <w:rPr>
          <w:rFonts w:ascii="Verdana" w:hAnsi="Verdana" w:cs="Arial"/>
          <w:sz w:val="16"/>
          <w:szCs w:val="16"/>
        </w:rPr>
        <w:t>en</w:t>
      </w:r>
      <w:r w:rsidRPr="00516D19">
        <w:rPr>
          <w:rFonts w:ascii="Verdana" w:hAnsi="Verdana" w:cs="Arial"/>
          <w:spacing w:val="-8"/>
          <w:sz w:val="16"/>
          <w:szCs w:val="16"/>
        </w:rPr>
        <w:t xml:space="preserve"> </w:t>
      </w:r>
      <w:r w:rsidRPr="00516D19">
        <w:rPr>
          <w:rFonts w:ascii="Verdana" w:hAnsi="Verdana" w:cs="Arial"/>
          <w:sz w:val="16"/>
          <w:szCs w:val="16"/>
        </w:rPr>
        <w:t>el</w:t>
      </w:r>
      <w:r w:rsidRPr="00516D19">
        <w:rPr>
          <w:rFonts w:ascii="Verdana" w:hAnsi="Verdana" w:cs="Arial"/>
          <w:spacing w:val="-7"/>
          <w:sz w:val="16"/>
          <w:szCs w:val="16"/>
        </w:rPr>
        <w:t xml:space="preserve"> </w:t>
      </w:r>
      <w:r w:rsidRPr="00516D19">
        <w:rPr>
          <w:rFonts w:ascii="Verdana" w:hAnsi="Verdana" w:cs="Arial"/>
          <w:sz w:val="16"/>
          <w:szCs w:val="16"/>
        </w:rPr>
        <w:t>inciso</w:t>
      </w:r>
      <w:r w:rsidRPr="00516D19">
        <w:rPr>
          <w:rFonts w:ascii="Verdana" w:hAnsi="Verdana" w:cs="Arial"/>
          <w:spacing w:val="-7"/>
          <w:sz w:val="16"/>
          <w:szCs w:val="16"/>
        </w:rPr>
        <w:t xml:space="preserve"> </w:t>
      </w:r>
      <w:r w:rsidRPr="00516D19">
        <w:rPr>
          <w:rFonts w:ascii="Verdana" w:hAnsi="Verdana" w:cs="Arial"/>
          <w:sz w:val="16"/>
          <w:szCs w:val="16"/>
        </w:rPr>
        <w:t>anterior</w:t>
      </w:r>
      <w:r w:rsidRPr="00516D19">
        <w:rPr>
          <w:rFonts w:ascii="Verdana" w:hAnsi="Verdana" w:cs="Arial"/>
          <w:spacing w:val="-7"/>
          <w:sz w:val="16"/>
          <w:szCs w:val="16"/>
        </w:rPr>
        <w:t xml:space="preserve"> </w:t>
      </w:r>
      <w:r w:rsidRPr="00516D19">
        <w:rPr>
          <w:rFonts w:ascii="Verdana" w:hAnsi="Verdana" w:cs="Arial"/>
          <w:sz w:val="16"/>
          <w:szCs w:val="16"/>
        </w:rPr>
        <w:t>se</w:t>
      </w:r>
      <w:r w:rsidRPr="00516D19">
        <w:rPr>
          <w:rFonts w:ascii="Verdana" w:hAnsi="Verdana" w:cs="Arial"/>
          <w:spacing w:val="-7"/>
          <w:sz w:val="16"/>
          <w:szCs w:val="16"/>
        </w:rPr>
        <w:t xml:space="preserve"> </w:t>
      </w:r>
      <w:r w:rsidRPr="00516D19">
        <w:rPr>
          <w:rFonts w:ascii="Verdana" w:hAnsi="Verdana" w:cs="Arial"/>
          <w:sz w:val="16"/>
          <w:szCs w:val="16"/>
        </w:rPr>
        <w:t>predicarán</w:t>
      </w:r>
      <w:r w:rsidRPr="00516D19">
        <w:rPr>
          <w:rFonts w:ascii="Verdana" w:hAnsi="Verdana" w:cs="Arial"/>
          <w:spacing w:val="-8"/>
          <w:sz w:val="16"/>
          <w:szCs w:val="16"/>
        </w:rPr>
        <w:t xml:space="preserve"> </w:t>
      </w:r>
      <w:r w:rsidRPr="00516D19">
        <w:rPr>
          <w:rFonts w:ascii="Verdana" w:hAnsi="Verdana" w:cs="Arial"/>
          <w:sz w:val="16"/>
          <w:szCs w:val="16"/>
        </w:rPr>
        <w:t>en</w:t>
      </w:r>
      <w:r w:rsidRPr="00516D19">
        <w:rPr>
          <w:rFonts w:ascii="Verdana" w:hAnsi="Verdana" w:cs="Arial"/>
          <w:spacing w:val="-7"/>
          <w:sz w:val="16"/>
          <w:szCs w:val="16"/>
        </w:rPr>
        <w:t xml:space="preserve"> </w:t>
      </w:r>
      <w:r w:rsidRPr="00516D19">
        <w:rPr>
          <w:rFonts w:ascii="Verdana" w:hAnsi="Verdana" w:cs="Arial"/>
          <w:sz w:val="16"/>
          <w:szCs w:val="16"/>
        </w:rPr>
        <w:t>el</w:t>
      </w:r>
      <w:r w:rsidRPr="00516D19">
        <w:rPr>
          <w:rFonts w:ascii="Verdana" w:hAnsi="Verdana" w:cs="Arial"/>
          <w:spacing w:val="-7"/>
          <w:sz w:val="16"/>
          <w:szCs w:val="16"/>
        </w:rPr>
        <w:t xml:space="preserve"> </w:t>
      </w:r>
      <w:r w:rsidRPr="00516D19">
        <w:rPr>
          <w:rFonts w:ascii="Verdana" w:hAnsi="Verdana" w:cs="Arial"/>
          <w:sz w:val="16"/>
          <w:szCs w:val="16"/>
        </w:rPr>
        <w:t>evento</w:t>
      </w:r>
      <w:r w:rsidRPr="00516D19">
        <w:rPr>
          <w:rFonts w:ascii="Verdana" w:hAnsi="Verdana" w:cs="Arial"/>
          <w:spacing w:val="-7"/>
          <w:sz w:val="16"/>
          <w:szCs w:val="16"/>
        </w:rPr>
        <w:t xml:space="preserve"> </w:t>
      </w:r>
      <w:r w:rsidRPr="00516D19">
        <w:rPr>
          <w:rFonts w:ascii="Verdana" w:hAnsi="Verdana" w:cs="Arial"/>
          <w:sz w:val="16"/>
          <w:szCs w:val="16"/>
        </w:rPr>
        <w:t>en</w:t>
      </w:r>
      <w:r w:rsidRPr="00516D19">
        <w:rPr>
          <w:rFonts w:ascii="Verdana" w:hAnsi="Verdana" w:cs="Arial"/>
          <w:spacing w:val="-8"/>
          <w:sz w:val="16"/>
          <w:szCs w:val="16"/>
        </w:rPr>
        <w:t xml:space="preserve"> </w:t>
      </w:r>
      <w:r w:rsidRPr="00516D19">
        <w:rPr>
          <w:rFonts w:ascii="Verdana" w:hAnsi="Verdana" w:cs="Arial"/>
          <w:sz w:val="16"/>
          <w:szCs w:val="16"/>
        </w:rPr>
        <w:t>que</w:t>
      </w:r>
      <w:r w:rsidRPr="00516D19">
        <w:rPr>
          <w:rFonts w:ascii="Verdana" w:hAnsi="Verdana" w:cs="Arial"/>
          <w:spacing w:val="-7"/>
          <w:sz w:val="16"/>
          <w:szCs w:val="16"/>
        </w:rPr>
        <w:t xml:space="preserve"> </w:t>
      </w:r>
      <w:r w:rsidRPr="00516D19">
        <w:rPr>
          <w:rFonts w:ascii="Verdana" w:hAnsi="Verdana" w:cs="Arial"/>
          <w:sz w:val="16"/>
          <w:szCs w:val="16"/>
        </w:rPr>
        <w:t>el</w:t>
      </w:r>
      <w:r w:rsidRPr="00516D19">
        <w:rPr>
          <w:rFonts w:ascii="Verdana" w:hAnsi="Verdana" w:cs="Arial"/>
          <w:spacing w:val="-7"/>
          <w:sz w:val="16"/>
          <w:szCs w:val="16"/>
        </w:rPr>
        <w:t xml:space="preserve"> </w:t>
      </w:r>
      <w:r w:rsidRPr="00516D19">
        <w:rPr>
          <w:rFonts w:ascii="Verdana" w:hAnsi="Verdana" w:cs="Arial"/>
          <w:sz w:val="16"/>
          <w:szCs w:val="16"/>
        </w:rPr>
        <w:t>Juez</w:t>
      </w:r>
      <w:r w:rsidRPr="00516D19">
        <w:rPr>
          <w:rFonts w:ascii="Verdana" w:hAnsi="Verdana" w:cs="Arial"/>
          <w:spacing w:val="-7"/>
          <w:sz w:val="16"/>
          <w:szCs w:val="16"/>
        </w:rPr>
        <w:t xml:space="preserve"> </w:t>
      </w:r>
      <w:r w:rsidRPr="00516D19">
        <w:rPr>
          <w:rFonts w:ascii="Verdana" w:hAnsi="Verdana" w:cs="Arial"/>
          <w:sz w:val="16"/>
          <w:szCs w:val="16"/>
        </w:rPr>
        <w:t>de</w:t>
      </w:r>
      <w:r w:rsidRPr="00516D19">
        <w:rPr>
          <w:rFonts w:ascii="Verdana" w:hAnsi="Verdana" w:cs="Arial"/>
          <w:spacing w:val="-7"/>
          <w:sz w:val="16"/>
          <w:szCs w:val="16"/>
        </w:rPr>
        <w:t xml:space="preserve"> </w:t>
      </w:r>
      <w:r w:rsidRPr="00516D19">
        <w:rPr>
          <w:rFonts w:ascii="Verdana" w:hAnsi="Verdana" w:cs="Arial"/>
          <w:sz w:val="16"/>
          <w:szCs w:val="16"/>
        </w:rPr>
        <w:t>lo</w:t>
      </w:r>
      <w:r w:rsidRPr="00516D19">
        <w:rPr>
          <w:rFonts w:ascii="Verdana" w:hAnsi="Verdana" w:cs="Arial"/>
          <w:spacing w:val="-8"/>
          <w:sz w:val="16"/>
          <w:szCs w:val="16"/>
        </w:rPr>
        <w:t xml:space="preserve"> </w:t>
      </w:r>
      <w:r w:rsidRPr="00516D19">
        <w:rPr>
          <w:rFonts w:ascii="Verdana" w:hAnsi="Verdana" w:cs="Arial"/>
          <w:sz w:val="16"/>
          <w:szCs w:val="16"/>
        </w:rPr>
        <w:t>Contencioso</w:t>
      </w:r>
      <w:r w:rsidRPr="00516D19">
        <w:rPr>
          <w:rFonts w:ascii="Verdana" w:hAnsi="Verdana" w:cs="Arial"/>
          <w:spacing w:val="-7"/>
          <w:sz w:val="16"/>
          <w:szCs w:val="16"/>
        </w:rPr>
        <w:t xml:space="preserve"> </w:t>
      </w:r>
      <w:r w:rsidRPr="00516D19">
        <w:rPr>
          <w:rFonts w:ascii="Verdana" w:hAnsi="Verdana" w:cs="Arial"/>
          <w:sz w:val="16"/>
          <w:szCs w:val="16"/>
        </w:rPr>
        <w:t>Administrativa</w:t>
      </w:r>
      <w:r w:rsidRPr="00516D19">
        <w:rPr>
          <w:rFonts w:ascii="Verdana" w:hAnsi="Verdana" w:cs="Arial"/>
          <w:spacing w:val="-6"/>
          <w:sz w:val="16"/>
          <w:szCs w:val="16"/>
        </w:rPr>
        <w:t xml:space="preserve"> </w:t>
      </w:r>
      <w:r w:rsidRPr="00516D19">
        <w:rPr>
          <w:rFonts w:ascii="Verdana" w:hAnsi="Verdana" w:cs="Arial"/>
          <w:sz w:val="16"/>
          <w:szCs w:val="16"/>
        </w:rPr>
        <w:t>declare</w:t>
      </w:r>
      <w:r w:rsidRPr="00516D19">
        <w:rPr>
          <w:rFonts w:ascii="Verdana" w:hAnsi="Verdana" w:cs="Arial"/>
          <w:spacing w:val="-7"/>
          <w:sz w:val="16"/>
          <w:szCs w:val="16"/>
        </w:rPr>
        <w:t xml:space="preserve"> </w:t>
      </w:r>
      <w:r w:rsidRPr="00516D19">
        <w:rPr>
          <w:rFonts w:ascii="Verdana" w:hAnsi="Verdana" w:cs="Arial"/>
          <w:sz w:val="16"/>
          <w:szCs w:val="16"/>
        </w:rPr>
        <w:t>la</w:t>
      </w:r>
      <w:r w:rsidRPr="00516D19">
        <w:rPr>
          <w:rFonts w:ascii="Verdana" w:hAnsi="Verdana" w:cs="Arial"/>
          <w:spacing w:val="-8"/>
          <w:sz w:val="16"/>
          <w:szCs w:val="16"/>
        </w:rPr>
        <w:t xml:space="preserve"> </w:t>
      </w:r>
      <w:r w:rsidRPr="00516D19">
        <w:rPr>
          <w:rFonts w:ascii="Verdana" w:hAnsi="Verdana" w:cs="Arial"/>
          <w:sz w:val="16"/>
          <w:szCs w:val="16"/>
        </w:rPr>
        <w:t>nulidad</w:t>
      </w:r>
      <w:r w:rsidRPr="00516D19">
        <w:rPr>
          <w:rFonts w:ascii="Verdana" w:hAnsi="Verdana" w:cs="Arial"/>
          <w:spacing w:val="1"/>
          <w:sz w:val="16"/>
          <w:szCs w:val="16"/>
        </w:rPr>
        <w:t xml:space="preserve"> </w:t>
      </w:r>
      <w:r w:rsidRPr="00516D19">
        <w:rPr>
          <w:rFonts w:ascii="Verdana" w:hAnsi="Verdana" w:cs="Arial"/>
          <w:sz w:val="16"/>
          <w:szCs w:val="16"/>
        </w:rPr>
        <w:t>del</w:t>
      </w:r>
      <w:r w:rsidRPr="00516D19">
        <w:rPr>
          <w:rFonts w:ascii="Verdana" w:hAnsi="Verdana" w:cs="Arial"/>
          <w:spacing w:val="-2"/>
          <w:sz w:val="16"/>
          <w:szCs w:val="16"/>
        </w:rPr>
        <w:t xml:space="preserve"> </w:t>
      </w:r>
      <w:r w:rsidRPr="00516D19">
        <w:rPr>
          <w:rFonts w:ascii="Verdana" w:hAnsi="Verdana" w:cs="Arial"/>
          <w:sz w:val="16"/>
          <w:szCs w:val="16"/>
        </w:rPr>
        <w:t>acto</w:t>
      </w:r>
      <w:r w:rsidRPr="00516D19">
        <w:rPr>
          <w:rFonts w:ascii="Verdana" w:hAnsi="Verdana" w:cs="Arial"/>
          <w:spacing w:val="-1"/>
          <w:sz w:val="16"/>
          <w:szCs w:val="16"/>
        </w:rPr>
        <w:t xml:space="preserve"> </w:t>
      </w:r>
      <w:r w:rsidRPr="00516D19">
        <w:rPr>
          <w:rFonts w:ascii="Verdana" w:hAnsi="Verdana" w:cs="Arial"/>
          <w:sz w:val="16"/>
          <w:szCs w:val="16"/>
        </w:rPr>
        <w:t>de</w:t>
      </w:r>
      <w:r w:rsidRPr="00516D19">
        <w:rPr>
          <w:rFonts w:ascii="Verdana" w:hAnsi="Verdana" w:cs="Arial"/>
          <w:spacing w:val="-1"/>
          <w:sz w:val="16"/>
          <w:szCs w:val="16"/>
        </w:rPr>
        <w:t xml:space="preserve"> </w:t>
      </w:r>
      <w:r w:rsidRPr="00516D19">
        <w:rPr>
          <w:rFonts w:ascii="Verdana" w:hAnsi="Verdana" w:cs="Arial"/>
          <w:sz w:val="16"/>
          <w:szCs w:val="16"/>
        </w:rPr>
        <w:t>inscripción.</w:t>
      </w:r>
    </w:p>
    <w:p w14:paraId="2F3CA3AA" w14:textId="77777777" w:rsidR="0064326F" w:rsidRPr="00516D19" w:rsidRDefault="0064326F" w:rsidP="0064326F">
      <w:pPr>
        <w:spacing w:after="0" w:line="240" w:lineRule="auto"/>
        <w:ind w:firstLine="709"/>
        <w:contextualSpacing/>
        <w:jc w:val="both"/>
        <w:rPr>
          <w:rFonts w:ascii="Verdana" w:hAnsi="Verdana" w:cs="Arial"/>
          <w:sz w:val="16"/>
          <w:szCs w:val="16"/>
        </w:rPr>
      </w:pPr>
      <w:r w:rsidRPr="00516D19">
        <w:rPr>
          <w:rFonts w:ascii="Verdana" w:hAnsi="Verdana" w:cs="Arial"/>
          <w:sz w:val="16"/>
          <w:szCs w:val="16"/>
        </w:rPr>
        <w:t>“La</w:t>
      </w:r>
      <w:r w:rsidRPr="00516D19">
        <w:rPr>
          <w:rFonts w:ascii="Verdana" w:hAnsi="Verdana" w:cs="Arial"/>
          <w:spacing w:val="-4"/>
          <w:sz w:val="16"/>
          <w:szCs w:val="16"/>
        </w:rPr>
        <w:t xml:space="preserve"> </w:t>
      </w:r>
      <w:r w:rsidRPr="00516D19">
        <w:rPr>
          <w:rFonts w:ascii="Verdana" w:hAnsi="Verdana" w:cs="Arial"/>
          <w:sz w:val="16"/>
          <w:szCs w:val="16"/>
        </w:rPr>
        <w:t>información</w:t>
      </w:r>
      <w:r w:rsidRPr="00516D19">
        <w:rPr>
          <w:rFonts w:ascii="Verdana" w:hAnsi="Verdana" w:cs="Arial"/>
          <w:spacing w:val="-3"/>
          <w:sz w:val="16"/>
          <w:szCs w:val="16"/>
        </w:rPr>
        <w:t xml:space="preserve"> </w:t>
      </w:r>
      <w:r w:rsidRPr="00516D19">
        <w:rPr>
          <w:rFonts w:ascii="Verdana" w:hAnsi="Verdana" w:cs="Arial"/>
          <w:sz w:val="16"/>
          <w:szCs w:val="16"/>
        </w:rPr>
        <w:t>contenida</w:t>
      </w:r>
      <w:r w:rsidRPr="00516D19">
        <w:rPr>
          <w:rFonts w:ascii="Verdana" w:hAnsi="Verdana" w:cs="Arial"/>
          <w:spacing w:val="-4"/>
          <w:sz w:val="16"/>
          <w:szCs w:val="16"/>
        </w:rPr>
        <w:t xml:space="preserve"> </w:t>
      </w:r>
      <w:r w:rsidRPr="00516D19">
        <w:rPr>
          <w:rFonts w:ascii="Verdana" w:hAnsi="Verdana" w:cs="Arial"/>
          <w:sz w:val="16"/>
          <w:szCs w:val="16"/>
        </w:rPr>
        <w:t>en</w:t>
      </w:r>
      <w:r w:rsidRPr="00516D19">
        <w:rPr>
          <w:rFonts w:ascii="Verdana" w:hAnsi="Verdana" w:cs="Arial"/>
          <w:spacing w:val="-3"/>
          <w:sz w:val="16"/>
          <w:szCs w:val="16"/>
        </w:rPr>
        <w:t xml:space="preserve"> </w:t>
      </w:r>
      <w:r w:rsidRPr="00516D19">
        <w:rPr>
          <w:rFonts w:ascii="Verdana" w:hAnsi="Verdana" w:cs="Arial"/>
          <w:sz w:val="16"/>
          <w:szCs w:val="16"/>
        </w:rPr>
        <w:t>el</w:t>
      </w:r>
      <w:r w:rsidRPr="00516D19">
        <w:rPr>
          <w:rFonts w:ascii="Verdana" w:hAnsi="Verdana" w:cs="Arial"/>
          <w:spacing w:val="-3"/>
          <w:sz w:val="16"/>
          <w:szCs w:val="16"/>
        </w:rPr>
        <w:t xml:space="preserve"> </w:t>
      </w:r>
      <w:r w:rsidRPr="00516D19">
        <w:rPr>
          <w:rFonts w:ascii="Verdana" w:hAnsi="Verdana" w:cs="Arial"/>
          <w:sz w:val="16"/>
          <w:szCs w:val="16"/>
        </w:rPr>
        <w:t>registro</w:t>
      </w:r>
      <w:r w:rsidRPr="00516D19">
        <w:rPr>
          <w:rFonts w:ascii="Verdana" w:hAnsi="Verdana" w:cs="Arial"/>
          <w:spacing w:val="-4"/>
          <w:sz w:val="16"/>
          <w:szCs w:val="16"/>
        </w:rPr>
        <w:t xml:space="preserve"> </w:t>
      </w:r>
      <w:r w:rsidRPr="00516D19">
        <w:rPr>
          <w:rFonts w:ascii="Verdana" w:hAnsi="Verdana" w:cs="Arial"/>
          <w:sz w:val="16"/>
          <w:szCs w:val="16"/>
        </w:rPr>
        <w:t>es</w:t>
      </w:r>
      <w:r w:rsidRPr="00516D19">
        <w:rPr>
          <w:rFonts w:ascii="Verdana" w:hAnsi="Verdana" w:cs="Arial"/>
          <w:spacing w:val="-3"/>
          <w:sz w:val="16"/>
          <w:szCs w:val="16"/>
        </w:rPr>
        <w:t xml:space="preserve"> </w:t>
      </w:r>
      <w:r w:rsidRPr="00516D19">
        <w:rPr>
          <w:rFonts w:ascii="Verdana" w:hAnsi="Verdana" w:cs="Arial"/>
          <w:sz w:val="16"/>
          <w:szCs w:val="16"/>
        </w:rPr>
        <w:t>pública</w:t>
      </w:r>
      <w:r w:rsidRPr="00516D19">
        <w:rPr>
          <w:rFonts w:ascii="Verdana" w:hAnsi="Verdana" w:cs="Arial"/>
          <w:spacing w:val="-3"/>
          <w:sz w:val="16"/>
          <w:szCs w:val="16"/>
        </w:rPr>
        <w:t xml:space="preserve"> </w:t>
      </w:r>
      <w:r w:rsidRPr="00516D19">
        <w:rPr>
          <w:rFonts w:ascii="Verdana" w:hAnsi="Verdana" w:cs="Arial"/>
          <w:sz w:val="16"/>
          <w:szCs w:val="16"/>
        </w:rPr>
        <w:t>y</w:t>
      </w:r>
      <w:r w:rsidRPr="00516D19">
        <w:rPr>
          <w:rFonts w:ascii="Verdana" w:hAnsi="Verdana" w:cs="Arial"/>
          <w:spacing w:val="-4"/>
          <w:sz w:val="16"/>
          <w:szCs w:val="16"/>
        </w:rPr>
        <w:t xml:space="preserve"> </w:t>
      </w:r>
      <w:r w:rsidRPr="00516D19">
        <w:rPr>
          <w:rFonts w:ascii="Verdana" w:hAnsi="Verdana" w:cs="Arial"/>
          <w:sz w:val="16"/>
          <w:szCs w:val="16"/>
        </w:rPr>
        <w:t>su</w:t>
      </w:r>
      <w:r w:rsidRPr="00516D19">
        <w:rPr>
          <w:rFonts w:ascii="Verdana" w:hAnsi="Verdana" w:cs="Arial"/>
          <w:spacing w:val="-3"/>
          <w:sz w:val="16"/>
          <w:szCs w:val="16"/>
        </w:rPr>
        <w:t xml:space="preserve"> </w:t>
      </w:r>
      <w:r w:rsidRPr="00516D19">
        <w:rPr>
          <w:rFonts w:ascii="Verdana" w:hAnsi="Verdana" w:cs="Arial"/>
          <w:sz w:val="16"/>
          <w:szCs w:val="16"/>
        </w:rPr>
        <w:t>consulta</w:t>
      </w:r>
      <w:r w:rsidRPr="00516D19">
        <w:rPr>
          <w:rFonts w:ascii="Verdana" w:hAnsi="Verdana" w:cs="Arial"/>
          <w:spacing w:val="-3"/>
          <w:sz w:val="16"/>
          <w:szCs w:val="16"/>
        </w:rPr>
        <w:t xml:space="preserve"> </w:t>
      </w:r>
      <w:r w:rsidRPr="00516D19">
        <w:rPr>
          <w:rFonts w:ascii="Verdana" w:hAnsi="Verdana" w:cs="Arial"/>
          <w:sz w:val="16"/>
          <w:szCs w:val="16"/>
        </w:rPr>
        <w:t>será</w:t>
      </w:r>
      <w:r w:rsidRPr="00516D19">
        <w:rPr>
          <w:rFonts w:ascii="Verdana" w:hAnsi="Verdana" w:cs="Arial"/>
          <w:spacing w:val="-4"/>
          <w:sz w:val="16"/>
          <w:szCs w:val="16"/>
        </w:rPr>
        <w:t xml:space="preserve"> </w:t>
      </w:r>
      <w:r w:rsidRPr="00516D19">
        <w:rPr>
          <w:rFonts w:ascii="Verdana" w:hAnsi="Verdana" w:cs="Arial"/>
          <w:sz w:val="16"/>
          <w:szCs w:val="16"/>
        </w:rPr>
        <w:t>gratuita”.</w:t>
      </w:r>
    </w:p>
    <w:p w14:paraId="445F7A1D" w14:textId="77777777" w:rsidR="0064326F" w:rsidRPr="00516D19" w:rsidRDefault="0064326F" w:rsidP="0064326F">
      <w:pPr>
        <w:pStyle w:val="Textonotapie"/>
        <w:contextualSpacing/>
        <w:jc w:val="both"/>
        <w:rPr>
          <w:rFonts w:ascii="Verdana" w:hAnsi="Verdana" w:cs="Arial"/>
          <w:sz w:val="16"/>
          <w:szCs w:val="16"/>
        </w:rPr>
      </w:pPr>
    </w:p>
  </w:footnote>
  <w:footnote w:id="14">
    <w:p w14:paraId="1DDC7DB5" w14:textId="77777777" w:rsidR="0064326F" w:rsidRPr="00516D19" w:rsidRDefault="0064326F" w:rsidP="0064326F">
      <w:pPr>
        <w:spacing w:after="0" w:line="240" w:lineRule="auto"/>
        <w:ind w:firstLine="708"/>
        <w:contextualSpacing/>
        <w:jc w:val="both"/>
        <w:rPr>
          <w:rFonts w:ascii="Verdana" w:hAnsi="Verdana" w:cs="Arial"/>
          <w:sz w:val="16"/>
          <w:szCs w:val="16"/>
        </w:rPr>
      </w:pPr>
      <w:r w:rsidRPr="00516D19">
        <w:rPr>
          <w:rStyle w:val="Refdenotaalpie"/>
          <w:rFonts w:ascii="Verdana" w:hAnsi="Verdana" w:cs="Arial"/>
          <w:sz w:val="16"/>
          <w:szCs w:val="16"/>
        </w:rPr>
        <w:footnoteRef/>
      </w:r>
      <w:r w:rsidRPr="00516D19">
        <w:rPr>
          <w:rFonts w:ascii="Verdana" w:hAnsi="Verdana" w:cs="Arial"/>
          <w:sz w:val="16"/>
          <w:szCs w:val="16"/>
        </w:rPr>
        <w:t xml:space="preserve"> “Artículo 2.2.1.1.1.5.1. Inscripción, renovación, actualización y cancelación del RUP. </w:t>
      </w:r>
    </w:p>
    <w:p w14:paraId="2ECF540F" w14:textId="77777777" w:rsidR="0064326F" w:rsidRPr="00516D19" w:rsidRDefault="0064326F" w:rsidP="0064326F">
      <w:pPr>
        <w:spacing w:after="0" w:line="240" w:lineRule="auto"/>
        <w:ind w:firstLine="708"/>
        <w:contextualSpacing/>
        <w:jc w:val="both"/>
        <w:rPr>
          <w:rFonts w:ascii="Verdana" w:hAnsi="Verdana" w:cs="Arial"/>
          <w:sz w:val="16"/>
          <w:szCs w:val="16"/>
        </w:rPr>
      </w:pPr>
      <w:r w:rsidRPr="00516D19">
        <w:rPr>
          <w:rFonts w:ascii="Verdana" w:hAnsi="Verdana" w:cs="Arial"/>
          <w:sz w:val="16"/>
          <w:szCs w:val="16"/>
        </w:rPr>
        <w:t>[…]</w:t>
      </w:r>
    </w:p>
    <w:p w14:paraId="62D88BFA" w14:textId="77777777" w:rsidR="0064326F" w:rsidRPr="00516D19" w:rsidRDefault="0064326F" w:rsidP="0064326F">
      <w:pPr>
        <w:spacing w:after="0" w:line="240" w:lineRule="auto"/>
        <w:ind w:firstLine="708"/>
        <w:contextualSpacing/>
        <w:jc w:val="both"/>
        <w:rPr>
          <w:rFonts w:ascii="Verdana" w:hAnsi="Verdana" w:cs="Arial"/>
          <w:sz w:val="16"/>
          <w:szCs w:val="16"/>
        </w:rPr>
      </w:pPr>
      <w:r w:rsidRPr="00516D19">
        <w:rPr>
          <w:rFonts w:ascii="Verdana" w:hAnsi="Verdana" w:cs="Arial"/>
          <w:sz w:val="16"/>
          <w:szCs w:val="16"/>
        </w:rPr>
        <w:t>“La persona inscrita en el RUP debe presentar la información para renovar su registro a más tardar el quinto día hábil del mes de abril de cada año. De lo contrario cesan los efectos del RUP. La persona inscrita en el RUP puede actualizar la información registrada relativa a su experiencia y capacidad jurídica en cualquier momento”.</w:t>
      </w:r>
    </w:p>
    <w:p w14:paraId="287EEF6E" w14:textId="77777777" w:rsidR="0064326F" w:rsidRPr="00516D19" w:rsidRDefault="0064326F" w:rsidP="0064326F">
      <w:pPr>
        <w:pStyle w:val="Textonotapie"/>
        <w:contextualSpacing/>
        <w:jc w:val="both"/>
        <w:rPr>
          <w:rFonts w:ascii="Verdana" w:hAnsi="Verdana" w:cs="Arial"/>
          <w:sz w:val="16"/>
          <w:szCs w:val="16"/>
        </w:rPr>
      </w:pPr>
    </w:p>
  </w:footnote>
  <w:footnote w:id="15">
    <w:p w14:paraId="28B4213C" w14:textId="77777777" w:rsidR="0064326F" w:rsidRPr="00516D19" w:rsidRDefault="0064326F" w:rsidP="0064326F">
      <w:pPr>
        <w:spacing w:after="0" w:line="240" w:lineRule="auto"/>
        <w:ind w:firstLine="708"/>
        <w:jc w:val="both"/>
        <w:rPr>
          <w:rFonts w:ascii="Verdana" w:hAnsi="Verdana" w:cs="Arial"/>
          <w:sz w:val="16"/>
          <w:szCs w:val="16"/>
        </w:rPr>
      </w:pPr>
      <w:r w:rsidRPr="00516D19">
        <w:rPr>
          <w:rStyle w:val="Refdenotaalpie"/>
          <w:rFonts w:ascii="Verdana" w:hAnsi="Verdana" w:cs="Arial"/>
          <w:sz w:val="16"/>
          <w:szCs w:val="16"/>
        </w:rPr>
        <w:footnoteRef/>
      </w:r>
      <w:r w:rsidRPr="00516D19">
        <w:rPr>
          <w:rFonts w:ascii="Verdana" w:hAnsi="Verdana" w:cs="Arial"/>
          <w:sz w:val="16"/>
          <w:szCs w:val="16"/>
        </w:rPr>
        <w:t xml:space="preserve"> Consejo de Estado. Sala de lo Contencioso Administrativo. Sección Tercera. Subsección A. Sentencia del 19 de septiembre de 2019. Radicado: 25000-23-36-000-2015-02571-02 (59432). C.P. Marta Nubia Velásquez Rico.</w:t>
      </w:r>
    </w:p>
    <w:p w14:paraId="216BBF35" w14:textId="77777777" w:rsidR="0064326F" w:rsidRPr="00516D19" w:rsidRDefault="0064326F" w:rsidP="0064326F">
      <w:pPr>
        <w:pStyle w:val="Textonotapie"/>
        <w:jc w:val="both"/>
        <w:rPr>
          <w:rFonts w:ascii="Verdana" w:hAnsi="Verdana"/>
          <w:sz w:val="16"/>
          <w:szCs w:val="16"/>
        </w:rPr>
      </w:pPr>
    </w:p>
  </w:footnote>
  <w:footnote w:id="16">
    <w:p w14:paraId="3D9327E0" w14:textId="77777777" w:rsidR="0064326F" w:rsidRPr="00516D19" w:rsidRDefault="0064326F" w:rsidP="0064326F">
      <w:pPr>
        <w:spacing w:after="0" w:line="240" w:lineRule="auto"/>
        <w:ind w:firstLine="709"/>
        <w:jc w:val="both"/>
        <w:rPr>
          <w:rFonts w:ascii="Verdana" w:hAnsi="Verdana" w:cs="Arial"/>
          <w:sz w:val="16"/>
          <w:szCs w:val="16"/>
        </w:rPr>
      </w:pPr>
      <w:r w:rsidRPr="00516D19">
        <w:rPr>
          <w:rStyle w:val="Refdenotaalpie"/>
          <w:rFonts w:ascii="Verdana" w:hAnsi="Verdana" w:cs="Arial"/>
          <w:sz w:val="16"/>
          <w:szCs w:val="16"/>
        </w:rPr>
        <w:footnoteRef/>
      </w:r>
      <w:r w:rsidRPr="00516D19">
        <w:rPr>
          <w:rFonts w:ascii="Verdana" w:hAnsi="Verdana" w:cs="Arial"/>
          <w:sz w:val="16"/>
          <w:szCs w:val="16"/>
        </w:rPr>
        <w:t xml:space="preserve"> “Artículo</w:t>
      </w:r>
      <w:r w:rsidRPr="00516D19">
        <w:rPr>
          <w:rFonts w:ascii="Verdana" w:hAnsi="Verdana" w:cs="Arial"/>
          <w:spacing w:val="-6"/>
          <w:sz w:val="16"/>
          <w:szCs w:val="16"/>
        </w:rPr>
        <w:t xml:space="preserve"> </w:t>
      </w:r>
      <w:r w:rsidRPr="00516D19">
        <w:rPr>
          <w:rFonts w:ascii="Verdana" w:hAnsi="Verdana" w:cs="Arial"/>
          <w:sz w:val="16"/>
          <w:szCs w:val="16"/>
        </w:rPr>
        <w:t>87.</w:t>
      </w:r>
      <w:r w:rsidRPr="00516D19">
        <w:rPr>
          <w:rFonts w:ascii="Verdana" w:hAnsi="Verdana" w:cs="Arial"/>
          <w:spacing w:val="-6"/>
          <w:sz w:val="16"/>
          <w:szCs w:val="16"/>
        </w:rPr>
        <w:t xml:space="preserve"> </w:t>
      </w:r>
      <w:r w:rsidRPr="00516D19">
        <w:rPr>
          <w:rFonts w:ascii="Verdana" w:hAnsi="Verdana" w:cs="Arial"/>
          <w:sz w:val="16"/>
          <w:szCs w:val="16"/>
        </w:rPr>
        <w:t>Firmeza</w:t>
      </w:r>
      <w:r w:rsidRPr="00516D19">
        <w:rPr>
          <w:rFonts w:ascii="Verdana" w:hAnsi="Verdana" w:cs="Arial"/>
          <w:spacing w:val="-6"/>
          <w:sz w:val="16"/>
          <w:szCs w:val="16"/>
        </w:rPr>
        <w:t xml:space="preserve"> </w:t>
      </w:r>
      <w:r w:rsidRPr="00516D19">
        <w:rPr>
          <w:rFonts w:ascii="Verdana" w:hAnsi="Verdana" w:cs="Arial"/>
          <w:sz w:val="16"/>
          <w:szCs w:val="16"/>
        </w:rPr>
        <w:t>de</w:t>
      </w:r>
      <w:r w:rsidRPr="00516D19">
        <w:rPr>
          <w:rFonts w:ascii="Verdana" w:hAnsi="Verdana" w:cs="Arial"/>
          <w:spacing w:val="-6"/>
          <w:sz w:val="16"/>
          <w:szCs w:val="16"/>
        </w:rPr>
        <w:t xml:space="preserve"> </w:t>
      </w:r>
      <w:r w:rsidRPr="00516D19">
        <w:rPr>
          <w:rFonts w:ascii="Verdana" w:hAnsi="Verdana" w:cs="Arial"/>
          <w:sz w:val="16"/>
          <w:szCs w:val="16"/>
        </w:rPr>
        <w:t>los</w:t>
      </w:r>
      <w:r w:rsidRPr="00516D19">
        <w:rPr>
          <w:rFonts w:ascii="Verdana" w:hAnsi="Verdana" w:cs="Arial"/>
          <w:spacing w:val="-6"/>
          <w:sz w:val="16"/>
          <w:szCs w:val="16"/>
        </w:rPr>
        <w:t xml:space="preserve"> </w:t>
      </w:r>
      <w:r w:rsidRPr="00516D19">
        <w:rPr>
          <w:rFonts w:ascii="Verdana" w:hAnsi="Verdana" w:cs="Arial"/>
          <w:sz w:val="16"/>
          <w:szCs w:val="16"/>
        </w:rPr>
        <w:t>actos</w:t>
      </w:r>
      <w:r w:rsidRPr="00516D19">
        <w:rPr>
          <w:rFonts w:ascii="Verdana" w:hAnsi="Verdana" w:cs="Arial"/>
          <w:spacing w:val="-6"/>
          <w:sz w:val="16"/>
          <w:szCs w:val="16"/>
        </w:rPr>
        <w:t xml:space="preserve"> </w:t>
      </w:r>
      <w:r w:rsidRPr="00516D19">
        <w:rPr>
          <w:rFonts w:ascii="Verdana" w:hAnsi="Verdana" w:cs="Arial"/>
          <w:sz w:val="16"/>
          <w:szCs w:val="16"/>
        </w:rPr>
        <w:t>administrativos.</w:t>
      </w:r>
      <w:r w:rsidRPr="00516D19">
        <w:rPr>
          <w:rFonts w:ascii="Verdana" w:hAnsi="Verdana" w:cs="Arial"/>
          <w:spacing w:val="-6"/>
          <w:sz w:val="16"/>
          <w:szCs w:val="16"/>
        </w:rPr>
        <w:t xml:space="preserve"> </w:t>
      </w:r>
      <w:r w:rsidRPr="00516D19">
        <w:rPr>
          <w:rFonts w:ascii="Verdana" w:hAnsi="Verdana" w:cs="Arial"/>
          <w:sz w:val="16"/>
          <w:szCs w:val="16"/>
        </w:rPr>
        <w:t>Los</w:t>
      </w:r>
      <w:r w:rsidRPr="00516D19">
        <w:rPr>
          <w:rFonts w:ascii="Verdana" w:hAnsi="Verdana" w:cs="Arial"/>
          <w:spacing w:val="-6"/>
          <w:sz w:val="16"/>
          <w:szCs w:val="16"/>
        </w:rPr>
        <w:t xml:space="preserve"> </w:t>
      </w:r>
      <w:r w:rsidRPr="00516D19">
        <w:rPr>
          <w:rFonts w:ascii="Verdana" w:hAnsi="Verdana" w:cs="Arial"/>
          <w:sz w:val="16"/>
          <w:szCs w:val="16"/>
        </w:rPr>
        <w:t>actos</w:t>
      </w:r>
      <w:r w:rsidRPr="00516D19">
        <w:rPr>
          <w:rFonts w:ascii="Verdana" w:hAnsi="Verdana" w:cs="Arial"/>
          <w:spacing w:val="-6"/>
          <w:sz w:val="16"/>
          <w:szCs w:val="16"/>
        </w:rPr>
        <w:t xml:space="preserve"> </w:t>
      </w:r>
      <w:r w:rsidRPr="00516D19">
        <w:rPr>
          <w:rFonts w:ascii="Verdana" w:hAnsi="Verdana" w:cs="Arial"/>
          <w:sz w:val="16"/>
          <w:szCs w:val="16"/>
        </w:rPr>
        <w:t>administrativos</w:t>
      </w:r>
      <w:r w:rsidRPr="00516D19">
        <w:rPr>
          <w:rFonts w:ascii="Verdana" w:hAnsi="Verdana" w:cs="Arial"/>
          <w:spacing w:val="-6"/>
          <w:sz w:val="16"/>
          <w:szCs w:val="16"/>
        </w:rPr>
        <w:t xml:space="preserve"> </w:t>
      </w:r>
      <w:r w:rsidRPr="00516D19">
        <w:rPr>
          <w:rFonts w:ascii="Verdana" w:hAnsi="Verdana" w:cs="Arial"/>
          <w:sz w:val="16"/>
          <w:szCs w:val="16"/>
        </w:rPr>
        <w:t>quedarán</w:t>
      </w:r>
      <w:r w:rsidRPr="00516D19">
        <w:rPr>
          <w:rFonts w:ascii="Verdana" w:hAnsi="Verdana" w:cs="Arial"/>
          <w:spacing w:val="-6"/>
          <w:sz w:val="16"/>
          <w:szCs w:val="16"/>
        </w:rPr>
        <w:t xml:space="preserve"> </w:t>
      </w:r>
      <w:r w:rsidRPr="00516D19">
        <w:rPr>
          <w:rFonts w:ascii="Verdana" w:hAnsi="Verdana" w:cs="Arial"/>
          <w:sz w:val="16"/>
          <w:szCs w:val="16"/>
        </w:rPr>
        <w:t>en</w:t>
      </w:r>
      <w:r w:rsidRPr="00516D19">
        <w:rPr>
          <w:rFonts w:ascii="Verdana" w:hAnsi="Verdana" w:cs="Arial"/>
          <w:spacing w:val="-6"/>
          <w:sz w:val="16"/>
          <w:szCs w:val="16"/>
        </w:rPr>
        <w:t xml:space="preserve"> </w:t>
      </w:r>
      <w:r w:rsidRPr="00516D19">
        <w:rPr>
          <w:rFonts w:ascii="Verdana" w:hAnsi="Verdana" w:cs="Arial"/>
          <w:sz w:val="16"/>
          <w:szCs w:val="16"/>
        </w:rPr>
        <w:t>firme:</w:t>
      </w:r>
    </w:p>
    <w:p w14:paraId="516D8B20" w14:textId="77777777" w:rsidR="0064326F" w:rsidRPr="00516D19" w:rsidRDefault="0064326F" w:rsidP="0064326F">
      <w:pPr>
        <w:spacing w:after="0" w:line="240" w:lineRule="auto"/>
        <w:ind w:firstLine="709"/>
        <w:jc w:val="both"/>
        <w:rPr>
          <w:rFonts w:ascii="Verdana" w:hAnsi="Verdana" w:cs="Arial"/>
          <w:sz w:val="16"/>
          <w:szCs w:val="16"/>
        </w:rPr>
      </w:pPr>
      <w:r w:rsidRPr="00516D19">
        <w:rPr>
          <w:rFonts w:ascii="Verdana" w:hAnsi="Verdana" w:cs="Arial"/>
          <w:sz w:val="16"/>
          <w:szCs w:val="16"/>
        </w:rPr>
        <w:t>“1.</w:t>
      </w:r>
      <w:r w:rsidRPr="00516D19">
        <w:rPr>
          <w:rFonts w:ascii="Verdana" w:hAnsi="Verdana" w:cs="Arial"/>
          <w:spacing w:val="-4"/>
          <w:sz w:val="16"/>
          <w:szCs w:val="16"/>
        </w:rPr>
        <w:t xml:space="preserve"> </w:t>
      </w:r>
      <w:r w:rsidRPr="00516D19">
        <w:rPr>
          <w:rFonts w:ascii="Verdana" w:hAnsi="Verdana" w:cs="Arial"/>
          <w:sz w:val="16"/>
          <w:szCs w:val="16"/>
        </w:rPr>
        <w:t>Cuando</w:t>
      </w:r>
      <w:r w:rsidRPr="00516D19">
        <w:rPr>
          <w:rFonts w:ascii="Verdana" w:hAnsi="Verdana" w:cs="Arial"/>
          <w:spacing w:val="-3"/>
          <w:sz w:val="16"/>
          <w:szCs w:val="16"/>
        </w:rPr>
        <w:t xml:space="preserve"> </w:t>
      </w:r>
      <w:r w:rsidRPr="00516D19">
        <w:rPr>
          <w:rFonts w:ascii="Verdana" w:hAnsi="Verdana" w:cs="Arial"/>
          <w:sz w:val="16"/>
          <w:szCs w:val="16"/>
        </w:rPr>
        <w:t>contra</w:t>
      </w:r>
      <w:r w:rsidRPr="00516D19">
        <w:rPr>
          <w:rFonts w:ascii="Verdana" w:hAnsi="Verdana" w:cs="Arial"/>
          <w:spacing w:val="-4"/>
          <w:sz w:val="16"/>
          <w:szCs w:val="16"/>
        </w:rPr>
        <w:t xml:space="preserve"> </w:t>
      </w:r>
      <w:r w:rsidRPr="00516D19">
        <w:rPr>
          <w:rFonts w:ascii="Verdana" w:hAnsi="Verdana" w:cs="Arial"/>
          <w:sz w:val="16"/>
          <w:szCs w:val="16"/>
        </w:rPr>
        <w:t>ellos</w:t>
      </w:r>
      <w:r w:rsidRPr="00516D19">
        <w:rPr>
          <w:rFonts w:ascii="Verdana" w:hAnsi="Verdana" w:cs="Arial"/>
          <w:spacing w:val="-3"/>
          <w:sz w:val="16"/>
          <w:szCs w:val="16"/>
        </w:rPr>
        <w:t xml:space="preserve"> </w:t>
      </w:r>
      <w:r w:rsidRPr="00516D19">
        <w:rPr>
          <w:rFonts w:ascii="Verdana" w:hAnsi="Verdana" w:cs="Arial"/>
          <w:sz w:val="16"/>
          <w:szCs w:val="16"/>
        </w:rPr>
        <w:t>no</w:t>
      </w:r>
      <w:r w:rsidRPr="00516D19">
        <w:rPr>
          <w:rFonts w:ascii="Verdana" w:hAnsi="Verdana" w:cs="Arial"/>
          <w:spacing w:val="-4"/>
          <w:sz w:val="16"/>
          <w:szCs w:val="16"/>
        </w:rPr>
        <w:t xml:space="preserve"> </w:t>
      </w:r>
      <w:r w:rsidRPr="00516D19">
        <w:rPr>
          <w:rFonts w:ascii="Verdana" w:hAnsi="Verdana" w:cs="Arial"/>
          <w:sz w:val="16"/>
          <w:szCs w:val="16"/>
        </w:rPr>
        <w:t>proceda</w:t>
      </w:r>
      <w:r w:rsidRPr="00516D19">
        <w:rPr>
          <w:rFonts w:ascii="Verdana" w:hAnsi="Verdana" w:cs="Arial"/>
          <w:spacing w:val="-3"/>
          <w:sz w:val="16"/>
          <w:szCs w:val="16"/>
        </w:rPr>
        <w:t xml:space="preserve"> </w:t>
      </w:r>
      <w:r w:rsidRPr="00516D19">
        <w:rPr>
          <w:rFonts w:ascii="Verdana" w:hAnsi="Verdana" w:cs="Arial"/>
          <w:sz w:val="16"/>
          <w:szCs w:val="16"/>
        </w:rPr>
        <w:t>ningún</w:t>
      </w:r>
      <w:r w:rsidRPr="00516D19">
        <w:rPr>
          <w:rFonts w:ascii="Verdana" w:hAnsi="Verdana" w:cs="Arial"/>
          <w:spacing w:val="-4"/>
          <w:sz w:val="16"/>
          <w:szCs w:val="16"/>
        </w:rPr>
        <w:t xml:space="preserve"> </w:t>
      </w:r>
      <w:r w:rsidRPr="00516D19">
        <w:rPr>
          <w:rFonts w:ascii="Verdana" w:hAnsi="Verdana" w:cs="Arial"/>
          <w:sz w:val="16"/>
          <w:szCs w:val="16"/>
        </w:rPr>
        <w:t>recurso,</w:t>
      </w:r>
      <w:r w:rsidRPr="00516D19">
        <w:rPr>
          <w:rFonts w:ascii="Verdana" w:hAnsi="Verdana" w:cs="Arial"/>
          <w:spacing w:val="-3"/>
          <w:sz w:val="16"/>
          <w:szCs w:val="16"/>
        </w:rPr>
        <w:t xml:space="preserve"> </w:t>
      </w:r>
      <w:r w:rsidRPr="00516D19">
        <w:rPr>
          <w:rFonts w:ascii="Verdana" w:hAnsi="Verdana" w:cs="Arial"/>
          <w:sz w:val="16"/>
          <w:szCs w:val="16"/>
        </w:rPr>
        <w:t>desde</w:t>
      </w:r>
      <w:r w:rsidRPr="00516D19">
        <w:rPr>
          <w:rFonts w:ascii="Verdana" w:hAnsi="Verdana" w:cs="Arial"/>
          <w:spacing w:val="-4"/>
          <w:sz w:val="16"/>
          <w:szCs w:val="16"/>
        </w:rPr>
        <w:t xml:space="preserve"> </w:t>
      </w:r>
      <w:r w:rsidRPr="00516D19">
        <w:rPr>
          <w:rFonts w:ascii="Verdana" w:hAnsi="Verdana" w:cs="Arial"/>
          <w:sz w:val="16"/>
          <w:szCs w:val="16"/>
        </w:rPr>
        <w:t>el</w:t>
      </w:r>
      <w:r w:rsidRPr="00516D19">
        <w:rPr>
          <w:rFonts w:ascii="Verdana" w:hAnsi="Verdana" w:cs="Arial"/>
          <w:spacing w:val="-3"/>
          <w:sz w:val="16"/>
          <w:szCs w:val="16"/>
        </w:rPr>
        <w:t xml:space="preserve"> </w:t>
      </w:r>
      <w:r w:rsidRPr="00516D19">
        <w:rPr>
          <w:rFonts w:ascii="Verdana" w:hAnsi="Verdana" w:cs="Arial"/>
          <w:sz w:val="16"/>
          <w:szCs w:val="16"/>
        </w:rPr>
        <w:t>día</w:t>
      </w:r>
      <w:r w:rsidRPr="00516D19">
        <w:rPr>
          <w:rFonts w:ascii="Verdana" w:hAnsi="Verdana" w:cs="Arial"/>
          <w:spacing w:val="-4"/>
          <w:sz w:val="16"/>
          <w:szCs w:val="16"/>
        </w:rPr>
        <w:t xml:space="preserve"> </w:t>
      </w:r>
      <w:r w:rsidRPr="00516D19">
        <w:rPr>
          <w:rFonts w:ascii="Verdana" w:hAnsi="Verdana" w:cs="Arial"/>
          <w:sz w:val="16"/>
          <w:szCs w:val="16"/>
        </w:rPr>
        <w:t>siguiente</w:t>
      </w:r>
      <w:r w:rsidRPr="00516D19">
        <w:rPr>
          <w:rFonts w:ascii="Verdana" w:hAnsi="Verdana" w:cs="Arial"/>
          <w:spacing w:val="-3"/>
          <w:sz w:val="16"/>
          <w:szCs w:val="16"/>
        </w:rPr>
        <w:t xml:space="preserve"> </w:t>
      </w:r>
      <w:r w:rsidRPr="00516D19">
        <w:rPr>
          <w:rFonts w:ascii="Verdana" w:hAnsi="Verdana" w:cs="Arial"/>
          <w:sz w:val="16"/>
          <w:szCs w:val="16"/>
        </w:rPr>
        <w:t>al</w:t>
      </w:r>
      <w:r w:rsidRPr="00516D19">
        <w:rPr>
          <w:rFonts w:ascii="Verdana" w:hAnsi="Verdana" w:cs="Arial"/>
          <w:spacing w:val="-4"/>
          <w:sz w:val="16"/>
          <w:szCs w:val="16"/>
        </w:rPr>
        <w:t xml:space="preserve"> </w:t>
      </w:r>
      <w:r w:rsidRPr="00516D19">
        <w:rPr>
          <w:rFonts w:ascii="Verdana" w:hAnsi="Verdana" w:cs="Arial"/>
          <w:sz w:val="16"/>
          <w:szCs w:val="16"/>
        </w:rPr>
        <w:t>de</w:t>
      </w:r>
      <w:r w:rsidRPr="00516D19">
        <w:rPr>
          <w:rFonts w:ascii="Verdana" w:hAnsi="Verdana" w:cs="Arial"/>
          <w:spacing w:val="-3"/>
          <w:sz w:val="16"/>
          <w:szCs w:val="16"/>
        </w:rPr>
        <w:t xml:space="preserve"> </w:t>
      </w:r>
      <w:r w:rsidRPr="00516D19">
        <w:rPr>
          <w:rFonts w:ascii="Verdana" w:hAnsi="Verdana" w:cs="Arial"/>
          <w:sz w:val="16"/>
          <w:szCs w:val="16"/>
        </w:rPr>
        <w:t>su</w:t>
      </w:r>
      <w:r w:rsidRPr="00516D19">
        <w:rPr>
          <w:rFonts w:ascii="Verdana" w:hAnsi="Verdana" w:cs="Arial"/>
          <w:spacing w:val="-4"/>
          <w:sz w:val="16"/>
          <w:szCs w:val="16"/>
        </w:rPr>
        <w:t xml:space="preserve"> </w:t>
      </w:r>
      <w:r w:rsidRPr="00516D19">
        <w:rPr>
          <w:rFonts w:ascii="Verdana" w:hAnsi="Verdana" w:cs="Arial"/>
          <w:sz w:val="16"/>
          <w:szCs w:val="16"/>
        </w:rPr>
        <w:t>notificación,</w:t>
      </w:r>
      <w:r w:rsidRPr="00516D19">
        <w:rPr>
          <w:rFonts w:ascii="Verdana" w:hAnsi="Verdana" w:cs="Arial"/>
          <w:spacing w:val="-3"/>
          <w:sz w:val="16"/>
          <w:szCs w:val="16"/>
        </w:rPr>
        <w:t xml:space="preserve"> </w:t>
      </w:r>
      <w:r w:rsidRPr="00516D19">
        <w:rPr>
          <w:rFonts w:ascii="Verdana" w:hAnsi="Verdana" w:cs="Arial"/>
          <w:sz w:val="16"/>
          <w:szCs w:val="16"/>
        </w:rPr>
        <w:t>comunicación</w:t>
      </w:r>
      <w:r w:rsidRPr="00516D19">
        <w:rPr>
          <w:rFonts w:ascii="Verdana" w:hAnsi="Verdana" w:cs="Arial"/>
          <w:spacing w:val="-4"/>
          <w:sz w:val="16"/>
          <w:szCs w:val="16"/>
        </w:rPr>
        <w:t xml:space="preserve"> </w:t>
      </w:r>
      <w:r w:rsidRPr="00516D19">
        <w:rPr>
          <w:rFonts w:ascii="Verdana" w:hAnsi="Verdana" w:cs="Arial"/>
          <w:sz w:val="16"/>
          <w:szCs w:val="16"/>
        </w:rPr>
        <w:t>o</w:t>
      </w:r>
      <w:r w:rsidRPr="00516D19">
        <w:rPr>
          <w:rFonts w:ascii="Verdana" w:hAnsi="Verdana" w:cs="Arial"/>
          <w:spacing w:val="-3"/>
          <w:sz w:val="16"/>
          <w:szCs w:val="16"/>
        </w:rPr>
        <w:t xml:space="preserve"> </w:t>
      </w:r>
      <w:r w:rsidRPr="00516D19">
        <w:rPr>
          <w:rFonts w:ascii="Verdana" w:hAnsi="Verdana" w:cs="Arial"/>
          <w:sz w:val="16"/>
          <w:szCs w:val="16"/>
        </w:rPr>
        <w:t>publicación</w:t>
      </w:r>
      <w:r w:rsidRPr="00516D19">
        <w:rPr>
          <w:rFonts w:ascii="Verdana" w:hAnsi="Verdana" w:cs="Arial"/>
          <w:spacing w:val="-3"/>
          <w:sz w:val="16"/>
          <w:szCs w:val="16"/>
        </w:rPr>
        <w:t xml:space="preserve"> </w:t>
      </w:r>
      <w:r w:rsidRPr="00516D19">
        <w:rPr>
          <w:rFonts w:ascii="Verdana" w:hAnsi="Verdana" w:cs="Arial"/>
          <w:sz w:val="16"/>
          <w:szCs w:val="16"/>
        </w:rPr>
        <w:t>según</w:t>
      </w:r>
      <w:r w:rsidRPr="00516D19">
        <w:rPr>
          <w:rFonts w:ascii="Verdana" w:hAnsi="Verdana" w:cs="Arial"/>
          <w:spacing w:val="-4"/>
          <w:sz w:val="16"/>
          <w:szCs w:val="16"/>
        </w:rPr>
        <w:t xml:space="preserve"> </w:t>
      </w:r>
      <w:r w:rsidRPr="00516D19">
        <w:rPr>
          <w:rFonts w:ascii="Verdana" w:hAnsi="Verdana" w:cs="Arial"/>
          <w:sz w:val="16"/>
          <w:szCs w:val="16"/>
        </w:rPr>
        <w:t>el</w:t>
      </w:r>
      <w:r w:rsidRPr="00516D19">
        <w:rPr>
          <w:rFonts w:ascii="Verdana" w:hAnsi="Verdana" w:cs="Arial"/>
          <w:spacing w:val="-3"/>
          <w:sz w:val="16"/>
          <w:szCs w:val="16"/>
        </w:rPr>
        <w:t xml:space="preserve"> </w:t>
      </w:r>
      <w:r w:rsidRPr="00516D19">
        <w:rPr>
          <w:rFonts w:ascii="Verdana" w:hAnsi="Verdana" w:cs="Arial"/>
          <w:sz w:val="16"/>
          <w:szCs w:val="16"/>
        </w:rPr>
        <w:t>caso.</w:t>
      </w:r>
    </w:p>
    <w:p w14:paraId="727F20CA" w14:textId="77777777" w:rsidR="0064326F" w:rsidRPr="00516D19" w:rsidRDefault="0064326F" w:rsidP="0064326F">
      <w:pPr>
        <w:spacing w:after="0" w:line="240" w:lineRule="auto"/>
        <w:ind w:firstLine="709"/>
        <w:jc w:val="both"/>
        <w:rPr>
          <w:rFonts w:ascii="Verdana" w:hAnsi="Verdana" w:cs="Arial"/>
          <w:sz w:val="16"/>
          <w:szCs w:val="16"/>
        </w:rPr>
      </w:pPr>
      <w:r w:rsidRPr="00516D19">
        <w:rPr>
          <w:rFonts w:ascii="Verdana" w:hAnsi="Verdana" w:cs="Arial"/>
          <w:sz w:val="16"/>
          <w:szCs w:val="16"/>
        </w:rPr>
        <w:t>“2.</w:t>
      </w:r>
      <w:r w:rsidRPr="00516D19">
        <w:rPr>
          <w:rFonts w:ascii="Verdana" w:hAnsi="Verdana" w:cs="Arial"/>
          <w:spacing w:val="-5"/>
          <w:sz w:val="16"/>
          <w:szCs w:val="16"/>
        </w:rPr>
        <w:t xml:space="preserve"> </w:t>
      </w:r>
      <w:r w:rsidRPr="00516D19">
        <w:rPr>
          <w:rFonts w:ascii="Verdana" w:hAnsi="Verdana" w:cs="Arial"/>
          <w:sz w:val="16"/>
          <w:szCs w:val="16"/>
        </w:rPr>
        <w:t>Desde</w:t>
      </w:r>
      <w:r w:rsidRPr="00516D19">
        <w:rPr>
          <w:rFonts w:ascii="Verdana" w:hAnsi="Verdana" w:cs="Arial"/>
          <w:spacing w:val="-4"/>
          <w:sz w:val="16"/>
          <w:szCs w:val="16"/>
        </w:rPr>
        <w:t xml:space="preserve"> </w:t>
      </w:r>
      <w:r w:rsidRPr="00516D19">
        <w:rPr>
          <w:rFonts w:ascii="Verdana" w:hAnsi="Verdana" w:cs="Arial"/>
          <w:sz w:val="16"/>
          <w:szCs w:val="16"/>
        </w:rPr>
        <w:t>el</w:t>
      </w:r>
      <w:r w:rsidRPr="00516D19">
        <w:rPr>
          <w:rFonts w:ascii="Verdana" w:hAnsi="Verdana" w:cs="Arial"/>
          <w:spacing w:val="-4"/>
          <w:sz w:val="16"/>
          <w:szCs w:val="16"/>
        </w:rPr>
        <w:t xml:space="preserve"> </w:t>
      </w:r>
      <w:r w:rsidRPr="00516D19">
        <w:rPr>
          <w:rFonts w:ascii="Verdana" w:hAnsi="Verdana" w:cs="Arial"/>
          <w:sz w:val="16"/>
          <w:szCs w:val="16"/>
        </w:rPr>
        <w:t>día</w:t>
      </w:r>
      <w:r w:rsidRPr="00516D19">
        <w:rPr>
          <w:rFonts w:ascii="Verdana" w:hAnsi="Verdana" w:cs="Arial"/>
          <w:spacing w:val="-4"/>
          <w:sz w:val="16"/>
          <w:szCs w:val="16"/>
        </w:rPr>
        <w:t xml:space="preserve"> </w:t>
      </w:r>
      <w:r w:rsidRPr="00516D19">
        <w:rPr>
          <w:rFonts w:ascii="Verdana" w:hAnsi="Verdana" w:cs="Arial"/>
          <w:sz w:val="16"/>
          <w:szCs w:val="16"/>
        </w:rPr>
        <w:t>siguiente</w:t>
      </w:r>
      <w:r w:rsidRPr="00516D19">
        <w:rPr>
          <w:rFonts w:ascii="Verdana" w:hAnsi="Verdana" w:cs="Arial"/>
          <w:spacing w:val="-4"/>
          <w:sz w:val="16"/>
          <w:szCs w:val="16"/>
        </w:rPr>
        <w:t xml:space="preserve"> </w:t>
      </w:r>
      <w:r w:rsidRPr="00516D19">
        <w:rPr>
          <w:rFonts w:ascii="Verdana" w:hAnsi="Verdana" w:cs="Arial"/>
          <w:sz w:val="16"/>
          <w:szCs w:val="16"/>
        </w:rPr>
        <w:t>a</w:t>
      </w:r>
      <w:r w:rsidRPr="00516D19">
        <w:rPr>
          <w:rFonts w:ascii="Verdana" w:hAnsi="Verdana" w:cs="Arial"/>
          <w:spacing w:val="-4"/>
          <w:sz w:val="16"/>
          <w:szCs w:val="16"/>
        </w:rPr>
        <w:t xml:space="preserve"> </w:t>
      </w:r>
      <w:r w:rsidRPr="00516D19">
        <w:rPr>
          <w:rFonts w:ascii="Verdana" w:hAnsi="Verdana" w:cs="Arial"/>
          <w:sz w:val="16"/>
          <w:szCs w:val="16"/>
        </w:rPr>
        <w:t>la</w:t>
      </w:r>
      <w:r w:rsidRPr="00516D19">
        <w:rPr>
          <w:rFonts w:ascii="Verdana" w:hAnsi="Verdana" w:cs="Arial"/>
          <w:spacing w:val="-4"/>
          <w:sz w:val="16"/>
          <w:szCs w:val="16"/>
        </w:rPr>
        <w:t xml:space="preserve"> </w:t>
      </w:r>
      <w:r w:rsidRPr="00516D19">
        <w:rPr>
          <w:rFonts w:ascii="Verdana" w:hAnsi="Verdana" w:cs="Arial"/>
          <w:sz w:val="16"/>
          <w:szCs w:val="16"/>
        </w:rPr>
        <w:t>publicación,</w:t>
      </w:r>
      <w:r w:rsidRPr="00516D19">
        <w:rPr>
          <w:rFonts w:ascii="Verdana" w:hAnsi="Verdana" w:cs="Arial"/>
          <w:spacing w:val="-4"/>
          <w:sz w:val="16"/>
          <w:szCs w:val="16"/>
        </w:rPr>
        <w:t xml:space="preserve"> </w:t>
      </w:r>
      <w:r w:rsidRPr="00516D19">
        <w:rPr>
          <w:rFonts w:ascii="Verdana" w:hAnsi="Verdana" w:cs="Arial"/>
          <w:sz w:val="16"/>
          <w:szCs w:val="16"/>
        </w:rPr>
        <w:t>comunicación</w:t>
      </w:r>
      <w:r w:rsidRPr="00516D19">
        <w:rPr>
          <w:rFonts w:ascii="Verdana" w:hAnsi="Verdana" w:cs="Arial"/>
          <w:spacing w:val="-4"/>
          <w:sz w:val="16"/>
          <w:szCs w:val="16"/>
        </w:rPr>
        <w:t xml:space="preserve"> </w:t>
      </w:r>
      <w:r w:rsidRPr="00516D19">
        <w:rPr>
          <w:rFonts w:ascii="Verdana" w:hAnsi="Verdana" w:cs="Arial"/>
          <w:sz w:val="16"/>
          <w:szCs w:val="16"/>
        </w:rPr>
        <w:t>o</w:t>
      </w:r>
      <w:r w:rsidRPr="00516D19">
        <w:rPr>
          <w:rFonts w:ascii="Verdana" w:hAnsi="Verdana" w:cs="Arial"/>
          <w:spacing w:val="-4"/>
          <w:sz w:val="16"/>
          <w:szCs w:val="16"/>
        </w:rPr>
        <w:t xml:space="preserve"> </w:t>
      </w:r>
      <w:r w:rsidRPr="00516D19">
        <w:rPr>
          <w:rFonts w:ascii="Verdana" w:hAnsi="Verdana" w:cs="Arial"/>
          <w:sz w:val="16"/>
          <w:szCs w:val="16"/>
        </w:rPr>
        <w:t>notificación</w:t>
      </w:r>
      <w:r w:rsidRPr="00516D19">
        <w:rPr>
          <w:rFonts w:ascii="Verdana" w:hAnsi="Verdana" w:cs="Arial"/>
          <w:spacing w:val="-4"/>
          <w:sz w:val="16"/>
          <w:szCs w:val="16"/>
        </w:rPr>
        <w:t xml:space="preserve"> </w:t>
      </w:r>
      <w:r w:rsidRPr="00516D19">
        <w:rPr>
          <w:rFonts w:ascii="Verdana" w:hAnsi="Verdana" w:cs="Arial"/>
          <w:sz w:val="16"/>
          <w:szCs w:val="16"/>
        </w:rPr>
        <w:t>de</w:t>
      </w:r>
      <w:r w:rsidRPr="00516D19">
        <w:rPr>
          <w:rFonts w:ascii="Verdana" w:hAnsi="Verdana" w:cs="Arial"/>
          <w:spacing w:val="-4"/>
          <w:sz w:val="16"/>
          <w:szCs w:val="16"/>
        </w:rPr>
        <w:t xml:space="preserve"> </w:t>
      </w:r>
      <w:r w:rsidRPr="00516D19">
        <w:rPr>
          <w:rFonts w:ascii="Verdana" w:hAnsi="Verdana" w:cs="Arial"/>
          <w:sz w:val="16"/>
          <w:szCs w:val="16"/>
        </w:rPr>
        <w:t>la</w:t>
      </w:r>
      <w:r w:rsidRPr="00516D19">
        <w:rPr>
          <w:rFonts w:ascii="Verdana" w:hAnsi="Verdana" w:cs="Arial"/>
          <w:spacing w:val="-4"/>
          <w:sz w:val="16"/>
          <w:szCs w:val="16"/>
        </w:rPr>
        <w:t xml:space="preserve"> </w:t>
      </w:r>
      <w:r w:rsidRPr="00516D19">
        <w:rPr>
          <w:rFonts w:ascii="Verdana" w:hAnsi="Verdana" w:cs="Arial"/>
          <w:sz w:val="16"/>
          <w:szCs w:val="16"/>
        </w:rPr>
        <w:t>decisión</w:t>
      </w:r>
      <w:r w:rsidRPr="00516D19">
        <w:rPr>
          <w:rFonts w:ascii="Verdana" w:hAnsi="Verdana" w:cs="Arial"/>
          <w:spacing w:val="-4"/>
          <w:sz w:val="16"/>
          <w:szCs w:val="16"/>
        </w:rPr>
        <w:t xml:space="preserve"> </w:t>
      </w:r>
      <w:r w:rsidRPr="00516D19">
        <w:rPr>
          <w:rFonts w:ascii="Verdana" w:hAnsi="Verdana" w:cs="Arial"/>
          <w:sz w:val="16"/>
          <w:szCs w:val="16"/>
        </w:rPr>
        <w:t>sobre</w:t>
      </w:r>
      <w:r w:rsidRPr="00516D19">
        <w:rPr>
          <w:rFonts w:ascii="Verdana" w:hAnsi="Verdana" w:cs="Arial"/>
          <w:spacing w:val="-5"/>
          <w:sz w:val="16"/>
          <w:szCs w:val="16"/>
        </w:rPr>
        <w:t xml:space="preserve"> </w:t>
      </w:r>
      <w:r w:rsidRPr="00516D19">
        <w:rPr>
          <w:rFonts w:ascii="Verdana" w:hAnsi="Verdana" w:cs="Arial"/>
          <w:sz w:val="16"/>
          <w:szCs w:val="16"/>
        </w:rPr>
        <w:t>los</w:t>
      </w:r>
      <w:r w:rsidRPr="00516D19">
        <w:rPr>
          <w:rFonts w:ascii="Verdana" w:hAnsi="Verdana" w:cs="Arial"/>
          <w:spacing w:val="-4"/>
          <w:sz w:val="16"/>
          <w:szCs w:val="16"/>
        </w:rPr>
        <w:t xml:space="preserve"> </w:t>
      </w:r>
      <w:r w:rsidRPr="00516D19">
        <w:rPr>
          <w:rFonts w:ascii="Verdana" w:hAnsi="Verdana" w:cs="Arial"/>
          <w:sz w:val="16"/>
          <w:szCs w:val="16"/>
        </w:rPr>
        <w:t>recursos</w:t>
      </w:r>
      <w:r w:rsidRPr="00516D19">
        <w:rPr>
          <w:rFonts w:ascii="Verdana" w:hAnsi="Verdana" w:cs="Arial"/>
          <w:spacing w:val="-4"/>
          <w:sz w:val="16"/>
          <w:szCs w:val="16"/>
        </w:rPr>
        <w:t xml:space="preserve"> </w:t>
      </w:r>
      <w:r w:rsidRPr="00516D19">
        <w:rPr>
          <w:rFonts w:ascii="Verdana" w:hAnsi="Verdana" w:cs="Arial"/>
          <w:sz w:val="16"/>
          <w:szCs w:val="16"/>
        </w:rPr>
        <w:t>interpuestos.</w:t>
      </w:r>
    </w:p>
    <w:p w14:paraId="1219E13E" w14:textId="77777777" w:rsidR="0064326F" w:rsidRPr="00516D19" w:rsidRDefault="0064326F" w:rsidP="0064326F">
      <w:pPr>
        <w:spacing w:after="0" w:line="240" w:lineRule="auto"/>
        <w:ind w:firstLine="709"/>
        <w:jc w:val="both"/>
        <w:rPr>
          <w:rFonts w:ascii="Verdana" w:hAnsi="Verdana" w:cs="Arial"/>
          <w:sz w:val="16"/>
          <w:szCs w:val="16"/>
        </w:rPr>
      </w:pPr>
      <w:r w:rsidRPr="00516D19">
        <w:rPr>
          <w:rFonts w:ascii="Verdana" w:hAnsi="Verdana" w:cs="Arial"/>
          <w:sz w:val="16"/>
          <w:szCs w:val="16"/>
        </w:rPr>
        <w:t>“3.</w:t>
      </w:r>
      <w:r w:rsidRPr="00516D19">
        <w:rPr>
          <w:rFonts w:ascii="Verdana" w:hAnsi="Verdana" w:cs="Arial"/>
          <w:spacing w:val="6"/>
          <w:sz w:val="16"/>
          <w:szCs w:val="16"/>
        </w:rPr>
        <w:t xml:space="preserve"> </w:t>
      </w:r>
      <w:r w:rsidRPr="00516D19">
        <w:rPr>
          <w:rFonts w:ascii="Verdana" w:hAnsi="Verdana" w:cs="Arial"/>
          <w:sz w:val="16"/>
          <w:szCs w:val="16"/>
        </w:rPr>
        <w:t>Desde</w:t>
      </w:r>
      <w:r w:rsidRPr="00516D19">
        <w:rPr>
          <w:rFonts w:ascii="Verdana" w:hAnsi="Verdana" w:cs="Arial"/>
          <w:spacing w:val="6"/>
          <w:sz w:val="16"/>
          <w:szCs w:val="16"/>
        </w:rPr>
        <w:t xml:space="preserve"> </w:t>
      </w:r>
      <w:r w:rsidRPr="00516D19">
        <w:rPr>
          <w:rFonts w:ascii="Verdana" w:hAnsi="Verdana" w:cs="Arial"/>
          <w:sz w:val="16"/>
          <w:szCs w:val="16"/>
        </w:rPr>
        <w:t>el</w:t>
      </w:r>
      <w:r w:rsidRPr="00516D19">
        <w:rPr>
          <w:rFonts w:ascii="Verdana" w:hAnsi="Verdana" w:cs="Arial"/>
          <w:spacing w:val="7"/>
          <w:sz w:val="16"/>
          <w:szCs w:val="16"/>
        </w:rPr>
        <w:t xml:space="preserve"> </w:t>
      </w:r>
      <w:r w:rsidRPr="00516D19">
        <w:rPr>
          <w:rFonts w:ascii="Verdana" w:hAnsi="Verdana" w:cs="Arial"/>
          <w:sz w:val="16"/>
          <w:szCs w:val="16"/>
        </w:rPr>
        <w:t>día</w:t>
      </w:r>
      <w:r w:rsidRPr="00516D19">
        <w:rPr>
          <w:rFonts w:ascii="Verdana" w:hAnsi="Verdana" w:cs="Arial"/>
          <w:spacing w:val="6"/>
          <w:sz w:val="16"/>
          <w:szCs w:val="16"/>
        </w:rPr>
        <w:t xml:space="preserve"> </w:t>
      </w:r>
      <w:r w:rsidRPr="00516D19">
        <w:rPr>
          <w:rFonts w:ascii="Verdana" w:hAnsi="Verdana" w:cs="Arial"/>
          <w:sz w:val="16"/>
          <w:szCs w:val="16"/>
        </w:rPr>
        <w:t>siguiente</w:t>
      </w:r>
      <w:r w:rsidRPr="00516D19">
        <w:rPr>
          <w:rFonts w:ascii="Verdana" w:hAnsi="Verdana" w:cs="Arial"/>
          <w:spacing w:val="6"/>
          <w:sz w:val="16"/>
          <w:szCs w:val="16"/>
        </w:rPr>
        <w:t xml:space="preserve"> </w:t>
      </w:r>
      <w:r w:rsidRPr="00516D19">
        <w:rPr>
          <w:rFonts w:ascii="Verdana" w:hAnsi="Verdana" w:cs="Arial"/>
          <w:sz w:val="16"/>
          <w:szCs w:val="16"/>
        </w:rPr>
        <w:t>al</w:t>
      </w:r>
      <w:r w:rsidRPr="00516D19">
        <w:rPr>
          <w:rFonts w:ascii="Verdana" w:hAnsi="Verdana" w:cs="Arial"/>
          <w:spacing w:val="7"/>
          <w:sz w:val="16"/>
          <w:szCs w:val="16"/>
        </w:rPr>
        <w:t xml:space="preserve"> </w:t>
      </w:r>
      <w:r w:rsidRPr="00516D19">
        <w:rPr>
          <w:rFonts w:ascii="Verdana" w:hAnsi="Verdana" w:cs="Arial"/>
          <w:sz w:val="16"/>
          <w:szCs w:val="16"/>
        </w:rPr>
        <w:t>del</w:t>
      </w:r>
      <w:r w:rsidRPr="00516D19">
        <w:rPr>
          <w:rFonts w:ascii="Verdana" w:hAnsi="Verdana" w:cs="Arial"/>
          <w:spacing w:val="6"/>
          <w:sz w:val="16"/>
          <w:szCs w:val="16"/>
        </w:rPr>
        <w:t xml:space="preserve"> </w:t>
      </w:r>
      <w:r w:rsidRPr="00516D19">
        <w:rPr>
          <w:rFonts w:ascii="Verdana" w:hAnsi="Verdana" w:cs="Arial"/>
          <w:sz w:val="16"/>
          <w:szCs w:val="16"/>
        </w:rPr>
        <w:t>vencimiento</w:t>
      </w:r>
      <w:r w:rsidRPr="00516D19">
        <w:rPr>
          <w:rFonts w:ascii="Verdana" w:hAnsi="Verdana" w:cs="Arial"/>
          <w:spacing w:val="7"/>
          <w:sz w:val="16"/>
          <w:szCs w:val="16"/>
        </w:rPr>
        <w:t xml:space="preserve"> </w:t>
      </w:r>
      <w:r w:rsidRPr="00516D19">
        <w:rPr>
          <w:rFonts w:ascii="Verdana" w:hAnsi="Verdana" w:cs="Arial"/>
          <w:sz w:val="16"/>
          <w:szCs w:val="16"/>
        </w:rPr>
        <w:t>del</w:t>
      </w:r>
      <w:r w:rsidRPr="00516D19">
        <w:rPr>
          <w:rFonts w:ascii="Verdana" w:hAnsi="Verdana" w:cs="Arial"/>
          <w:spacing w:val="6"/>
          <w:sz w:val="16"/>
          <w:szCs w:val="16"/>
        </w:rPr>
        <w:t xml:space="preserve"> </w:t>
      </w:r>
      <w:r w:rsidRPr="00516D19">
        <w:rPr>
          <w:rFonts w:ascii="Verdana" w:hAnsi="Verdana" w:cs="Arial"/>
          <w:sz w:val="16"/>
          <w:szCs w:val="16"/>
        </w:rPr>
        <w:t>término</w:t>
      </w:r>
      <w:r w:rsidRPr="00516D19">
        <w:rPr>
          <w:rFonts w:ascii="Verdana" w:hAnsi="Verdana" w:cs="Arial"/>
          <w:spacing w:val="6"/>
          <w:sz w:val="16"/>
          <w:szCs w:val="16"/>
        </w:rPr>
        <w:t xml:space="preserve"> </w:t>
      </w:r>
      <w:r w:rsidRPr="00516D19">
        <w:rPr>
          <w:rFonts w:ascii="Verdana" w:hAnsi="Verdana" w:cs="Arial"/>
          <w:sz w:val="16"/>
          <w:szCs w:val="16"/>
        </w:rPr>
        <w:t>para</w:t>
      </w:r>
      <w:r w:rsidRPr="00516D19">
        <w:rPr>
          <w:rFonts w:ascii="Verdana" w:hAnsi="Verdana" w:cs="Arial"/>
          <w:spacing w:val="7"/>
          <w:sz w:val="16"/>
          <w:szCs w:val="16"/>
        </w:rPr>
        <w:t xml:space="preserve"> </w:t>
      </w:r>
      <w:r w:rsidRPr="00516D19">
        <w:rPr>
          <w:rFonts w:ascii="Verdana" w:hAnsi="Verdana" w:cs="Arial"/>
          <w:sz w:val="16"/>
          <w:szCs w:val="16"/>
        </w:rPr>
        <w:t>interponer</w:t>
      </w:r>
      <w:r w:rsidRPr="00516D19">
        <w:rPr>
          <w:rFonts w:ascii="Verdana" w:hAnsi="Verdana" w:cs="Arial"/>
          <w:spacing w:val="6"/>
          <w:sz w:val="16"/>
          <w:szCs w:val="16"/>
        </w:rPr>
        <w:t xml:space="preserve"> </w:t>
      </w:r>
      <w:r w:rsidRPr="00516D19">
        <w:rPr>
          <w:rFonts w:ascii="Verdana" w:hAnsi="Verdana" w:cs="Arial"/>
          <w:sz w:val="16"/>
          <w:szCs w:val="16"/>
        </w:rPr>
        <w:t>los</w:t>
      </w:r>
      <w:r w:rsidRPr="00516D19">
        <w:rPr>
          <w:rFonts w:ascii="Verdana" w:hAnsi="Verdana" w:cs="Arial"/>
          <w:spacing w:val="6"/>
          <w:sz w:val="16"/>
          <w:szCs w:val="16"/>
        </w:rPr>
        <w:t xml:space="preserve"> </w:t>
      </w:r>
      <w:r w:rsidRPr="00516D19">
        <w:rPr>
          <w:rFonts w:ascii="Verdana" w:hAnsi="Verdana" w:cs="Arial"/>
          <w:sz w:val="16"/>
          <w:szCs w:val="16"/>
        </w:rPr>
        <w:t>recursos,</w:t>
      </w:r>
      <w:r w:rsidRPr="00516D19">
        <w:rPr>
          <w:rFonts w:ascii="Verdana" w:hAnsi="Verdana" w:cs="Arial"/>
          <w:spacing w:val="7"/>
          <w:sz w:val="16"/>
          <w:szCs w:val="16"/>
        </w:rPr>
        <w:t xml:space="preserve"> </w:t>
      </w:r>
      <w:r w:rsidRPr="00516D19">
        <w:rPr>
          <w:rFonts w:ascii="Verdana" w:hAnsi="Verdana" w:cs="Arial"/>
          <w:sz w:val="16"/>
          <w:szCs w:val="16"/>
        </w:rPr>
        <w:t>si</w:t>
      </w:r>
      <w:r w:rsidRPr="00516D19">
        <w:rPr>
          <w:rFonts w:ascii="Verdana" w:hAnsi="Verdana" w:cs="Arial"/>
          <w:spacing w:val="6"/>
          <w:sz w:val="16"/>
          <w:szCs w:val="16"/>
        </w:rPr>
        <w:t xml:space="preserve"> </w:t>
      </w:r>
      <w:r w:rsidRPr="00516D19">
        <w:rPr>
          <w:rFonts w:ascii="Verdana" w:hAnsi="Verdana" w:cs="Arial"/>
          <w:sz w:val="16"/>
          <w:szCs w:val="16"/>
        </w:rPr>
        <w:t>estos</w:t>
      </w:r>
      <w:r w:rsidRPr="00516D19">
        <w:rPr>
          <w:rFonts w:ascii="Verdana" w:hAnsi="Verdana" w:cs="Arial"/>
          <w:spacing w:val="7"/>
          <w:sz w:val="16"/>
          <w:szCs w:val="16"/>
        </w:rPr>
        <w:t xml:space="preserve"> </w:t>
      </w:r>
      <w:r w:rsidRPr="00516D19">
        <w:rPr>
          <w:rFonts w:ascii="Verdana" w:hAnsi="Verdana" w:cs="Arial"/>
          <w:sz w:val="16"/>
          <w:szCs w:val="16"/>
        </w:rPr>
        <w:t>no</w:t>
      </w:r>
      <w:r w:rsidRPr="00516D19">
        <w:rPr>
          <w:rFonts w:ascii="Verdana" w:hAnsi="Verdana" w:cs="Arial"/>
          <w:spacing w:val="6"/>
          <w:sz w:val="16"/>
          <w:szCs w:val="16"/>
        </w:rPr>
        <w:t xml:space="preserve"> </w:t>
      </w:r>
      <w:r w:rsidRPr="00516D19">
        <w:rPr>
          <w:rFonts w:ascii="Verdana" w:hAnsi="Verdana" w:cs="Arial"/>
          <w:sz w:val="16"/>
          <w:szCs w:val="16"/>
        </w:rPr>
        <w:t>fueron</w:t>
      </w:r>
      <w:r w:rsidRPr="00516D19">
        <w:rPr>
          <w:rFonts w:ascii="Verdana" w:hAnsi="Verdana" w:cs="Arial"/>
          <w:spacing w:val="6"/>
          <w:sz w:val="16"/>
          <w:szCs w:val="16"/>
        </w:rPr>
        <w:t xml:space="preserve"> </w:t>
      </w:r>
      <w:r w:rsidRPr="00516D19">
        <w:rPr>
          <w:rFonts w:ascii="Verdana" w:hAnsi="Verdana" w:cs="Arial"/>
          <w:sz w:val="16"/>
          <w:szCs w:val="16"/>
        </w:rPr>
        <w:t>interpuestos,</w:t>
      </w:r>
      <w:r w:rsidRPr="00516D19">
        <w:rPr>
          <w:rFonts w:ascii="Verdana" w:hAnsi="Verdana" w:cs="Arial"/>
          <w:spacing w:val="7"/>
          <w:sz w:val="16"/>
          <w:szCs w:val="16"/>
        </w:rPr>
        <w:t xml:space="preserve"> </w:t>
      </w:r>
      <w:r w:rsidRPr="00516D19">
        <w:rPr>
          <w:rFonts w:ascii="Verdana" w:hAnsi="Verdana" w:cs="Arial"/>
          <w:sz w:val="16"/>
          <w:szCs w:val="16"/>
        </w:rPr>
        <w:t>o</w:t>
      </w:r>
      <w:r w:rsidRPr="00516D19">
        <w:rPr>
          <w:rFonts w:ascii="Verdana" w:hAnsi="Verdana" w:cs="Arial"/>
          <w:spacing w:val="6"/>
          <w:sz w:val="16"/>
          <w:szCs w:val="16"/>
        </w:rPr>
        <w:t xml:space="preserve"> </w:t>
      </w:r>
      <w:r w:rsidRPr="00516D19">
        <w:rPr>
          <w:rFonts w:ascii="Verdana" w:hAnsi="Verdana" w:cs="Arial"/>
          <w:sz w:val="16"/>
          <w:szCs w:val="16"/>
        </w:rPr>
        <w:t>se</w:t>
      </w:r>
      <w:r w:rsidRPr="00516D19">
        <w:rPr>
          <w:rFonts w:ascii="Verdana" w:hAnsi="Verdana" w:cs="Arial"/>
          <w:spacing w:val="7"/>
          <w:sz w:val="16"/>
          <w:szCs w:val="16"/>
        </w:rPr>
        <w:t xml:space="preserve"> </w:t>
      </w:r>
      <w:r w:rsidRPr="00516D19">
        <w:rPr>
          <w:rFonts w:ascii="Verdana" w:hAnsi="Verdana" w:cs="Arial"/>
          <w:sz w:val="16"/>
          <w:szCs w:val="16"/>
        </w:rPr>
        <w:t>hubiere</w:t>
      </w:r>
      <w:r w:rsidRPr="00516D19">
        <w:rPr>
          <w:rFonts w:ascii="Verdana" w:hAnsi="Verdana" w:cs="Arial"/>
          <w:spacing w:val="6"/>
          <w:sz w:val="16"/>
          <w:szCs w:val="16"/>
        </w:rPr>
        <w:t xml:space="preserve"> </w:t>
      </w:r>
      <w:r w:rsidRPr="00516D19">
        <w:rPr>
          <w:rFonts w:ascii="Verdana" w:hAnsi="Verdana" w:cs="Arial"/>
          <w:sz w:val="16"/>
          <w:szCs w:val="16"/>
        </w:rPr>
        <w:t>renunciado</w:t>
      </w:r>
      <w:r w:rsidRPr="00516D19">
        <w:rPr>
          <w:rFonts w:ascii="Verdana" w:hAnsi="Verdana" w:cs="Arial"/>
          <w:spacing w:val="1"/>
          <w:sz w:val="16"/>
          <w:szCs w:val="16"/>
        </w:rPr>
        <w:t xml:space="preserve"> </w:t>
      </w:r>
      <w:r w:rsidRPr="00516D19">
        <w:rPr>
          <w:rFonts w:ascii="Verdana" w:hAnsi="Verdana" w:cs="Arial"/>
          <w:sz w:val="16"/>
          <w:szCs w:val="16"/>
        </w:rPr>
        <w:t>expresamente</w:t>
      </w:r>
      <w:r w:rsidRPr="00516D19">
        <w:rPr>
          <w:rFonts w:ascii="Verdana" w:hAnsi="Verdana" w:cs="Arial"/>
          <w:spacing w:val="-2"/>
          <w:sz w:val="16"/>
          <w:szCs w:val="16"/>
        </w:rPr>
        <w:t xml:space="preserve"> </w:t>
      </w:r>
      <w:r w:rsidRPr="00516D19">
        <w:rPr>
          <w:rFonts w:ascii="Verdana" w:hAnsi="Verdana" w:cs="Arial"/>
          <w:sz w:val="16"/>
          <w:szCs w:val="16"/>
        </w:rPr>
        <w:t>a</w:t>
      </w:r>
      <w:r w:rsidRPr="00516D19">
        <w:rPr>
          <w:rFonts w:ascii="Verdana" w:hAnsi="Verdana" w:cs="Arial"/>
          <w:spacing w:val="-1"/>
          <w:sz w:val="16"/>
          <w:szCs w:val="16"/>
        </w:rPr>
        <w:t xml:space="preserve"> </w:t>
      </w:r>
      <w:r w:rsidRPr="00516D19">
        <w:rPr>
          <w:rFonts w:ascii="Verdana" w:hAnsi="Verdana" w:cs="Arial"/>
          <w:sz w:val="16"/>
          <w:szCs w:val="16"/>
        </w:rPr>
        <w:t>ellos.</w:t>
      </w:r>
    </w:p>
    <w:p w14:paraId="05E2C4BE" w14:textId="77777777" w:rsidR="0064326F" w:rsidRPr="00516D19" w:rsidRDefault="0064326F" w:rsidP="0064326F">
      <w:pPr>
        <w:spacing w:after="0" w:line="240" w:lineRule="auto"/>
        <w:ind w:firstLine="709"/>
        <w:jc w:val="both"/>
        <w:rPr>
          <w:rFonts w:ascii="Verdana" w:hAnsi="Verdana" w:cs="Arial"/>
          <w:sz w:val="16"/>
          <w:szCs w:val="16"/>
        </w:rPr>
      </w:pPr>
      <w:r w:rsidRPr="00516D19">
        <w:rPr>
          <w:rFonts w:ascii="Verdana" w:hAnsi="Verdana" w:cs="Arial"/>
          <w:sz w:val="16"/>
          <w:szCs w:val="16"/>
        </w:rPr>
        <w:t>“4.</w:t>
      </w:r>
      <w:r w:rsidRPr="00516D19">
        <w:rPr>
          <w:rFonts w:ascii="Verdana" w:hAnsi="Verdana" w:cs="Arial"/>
          <w:spacing w:val="-4"/>
          <w:sz w:val="16"/>
          <w:szCs w:val="16"/>
        </w:rPr>
        <w:t xml:space="preserve"> </w:t>
      </w:r>
      <w:r w:rsidRPr="00516D19">
        <w:rPr>
          <w:rFonts w:ascii="Verdana" w:hAnsi="Verdana" w:cs="Arial"/>
          <w:sz w:val="16"/>
          <w:szCs w:val="16"/>
        </w:rPr>
        <w:t>Desde</w:t>
      </w:r>
      <w:r w:rsidRPr="00516D19">
        <w:rPr>
          <w:rFonts w:ascii="Verdana" w:hAnsi="Verdana" w:cs="Arial"/>
          <w:spacing w:val="-4"/>
          <w:sz w:val="16"/>
          <w:szCs w:val="16"/>
        </w:rPr>
        <w:t xml:space="preserve"> </w:t>
      </w:r>
      <w:r w:rsidRPr="00516D19">
        <w:rPr>
          <w:rFonts w:ascii="Verdana" w:hAnsi="Verdana" w:cs="Arial"/>
          <w:sz w:val="16"/>
          <w:szCs w:val="16"/>
        </w:rPr>
        <w:t>el</w:t>
      </w:r>
      <w:r w:rsidRPr="00516D19">
        <w:rPr>
          <w:rFonts w:ascii="Verdana" w:hAnsi="Verdana" w:cs="Arial"/>
          <w:spacing w:val="-4"/>
          <w:sz w:val="16"/>
          <w:szCs w:val="16"/>
        </w:rPr>
        <w:t xml:space="preserve"> </w:t>
      </w:r>
      <w:r w:rsidRPr="00516D19">
        <w:rPr>
          <w:rFonts w:ascii="Verdana" w:hAnsi="Verdana" w:cs="Arial"/>
          <w:sz w:val="16"/>
          <w:szCs w:val="16"/>
        </w:rPr>
        <w:t>día</w:t>
      </w:r>
      <w:r w:rsidRPr="00516D19">
        <w:rPr>
          <w:rFonts w:ascii="Verdana" w:hAnsi="Verdana" w:cs="Arial"/>
          <w:spacing w:val="-4"/>
          <w:sz w:val="16"/>
          <w:szCs w:val="16"/>
        </w:rPr>
        <w:t xml:space="preserve"> </w:t>
      </w:r>
      <w:r w:rsidRPr="00516D19">
        <w:rPr>
          <w:rFonts w:ascii="Verdana" w:hAnsi="Verdana" w:cs="Arial"/>
          <w:sz w:val="16"/>
          <w:szCs w:val="16"/>
        </w:rPr>
        <w:t>siguiente</w:t>
      </w:r>
      <w:r w:rsidRPr="00516D19">
        <w:rPr>
          <w:rFonts w:ascii="Verdana" w:hAnsi="Verdana" w:cs="Arial"/>
          <w:spacing w:val="-4"/>
          <w:sz w:val="16"/>
          <w:szCs w:val="16"/>
        </w:rPr>
        <w:t xml:space="preserve"> </w:t>
      </w:r>
      <w:r w:rsidRPr="00516D19">
        <w:rPr>
          <w:rFonts w:ascii="Verdana" w:hAnsi="Verdana" w:cs="Arial"/>
          <w:sz w:val="16"/>
          <w:szCs w:val="16"/>
        </w:rPr>
        <w:t>al</w:t>
      </w:r>
      <w:r w:rsidRPr="00516D19">
        <w:rPr>
          <w:rFonts w:ascii="Verdana" w:hAnsi="Verdana" w:cs="Arial"/>
          <w:spacing w:val="-4"/>
          <w:sz w:val="16"/>
          <w:szCs w:val="16"/>
        </w:rPr>
        <w:t xml:space="preserve"> </w:t>
      </w:r>
      <w:r w:rsidRPr="00516D19">
        <w:rPr>
          <w:rFonts w:ascii="Verdana" w:hAnsi="Verdana" w:cs="Arial"/>
          <w:sz w:val="16"/>
          <w:szCs w:val="16"/>
        </w:rPr>
        <w:t>de</w:t>
      </w:r>
      <w:r w:rsidRPr="00516D19">
        <w:rPr>
          <w:rFonts w:ascii="Verdana" w:hAnsi="Verdana" w:cs="Arial"/>
          <w:spacing w:val="-4"/>
          <w:sz w:val="16"/>
          <w:szCs w:val="16"/>
        </w:rPr>
        <w:t xml:space="preserve"> </w:t>
      </w:r>
      <w:r w:rsidRPr="00516D19">
        <w:rPr>
          <w:rFonts w:ascii="Verdana" w:hAnsi="Verdana" w:cs="Arial"/>
          <w:sz w:val="16"/>
          <w:szCs w:val="16"/>
        </w:rPr>
        <w:t>la</w:t>
      </w:r>
      <w:r w:rsidRPr="00516D19">
        <w:rPr>
          <w:rFonts w:ascii="Verdana" w:hAnsi="Verdana" w:cs="Arial"/>
          <w:spacing w:val="-4"/>
          <w:sz w:val="16"/>
          <w:szCs w:val="16"/>
        </w:rPr>
        <w:t xml:space="preserve"> </w:t>
      </w:r>
      <w:r w:rsidRPr="00516D19">
        <w:rPr>
          <w:rFonts w:ascii="Verdana" w:hAnsi="Verdana" w:cs="Arial"/>
          <w:sz w:val="16"/>
          <w:szCs w:val="16"/>
        </w:rPr>
        <w:t>notificación</w:t>
      </w:r>
      <w:r w:rsidRPr="00516D19">
        <w:rPr>
          <w:rFonts w:ascii="Verdana" w:hAnsi="Verdana" w:cs="Arial"/>
          <w:spacing w:val="-4"/>
          <w:sz w:val="16"/>
          <w:szCs w:val="16"/>
        </w:rPr>
        <w:t xml:space="preserve"> </w:t>
      </w:r>
      <w:r w:rsidRPr="00516D19">
        <w:rPr>
          <w:rFonts w:ascii="Verdana" w:hAnsi="Verdana" w:cs="Arial"/>
          <w:sz w:val="16"/>
          <w:szCs w:val="16"/>
        </w:rPr>
        <w:t>de</w:t>
      </w:r>
      <w:r w:rsidRPr="00516D19">
        <w:rPr>
          <w:rFonts w:ascii="Verdana" w:hAnsi="Verdana" w:cs="Arial"/>
          <w:spacing w:val="-4"/>
          <w:sz w:val="16"/>
          <w:szCs w:val="16"/>
        </w:rPr>
        <w:t xml:space="preserve"> </w:t>
      </w:r>
      <w:r w:rsidRPr="00516D19">
        <w:rPr>
          <w:rFonts w:ascii="Verdana" w:hAnsi="Verdana" w:cs="Arial"/>
          <w:sz w:val="16"/>
          <w:szCs w:val="16"/>
        </w:rPr>
        <w:t>la</w:t>
      </w:r>
      <w:r w:rsidRPr="00516D19">
        <w:rPr>
          <w:rFonts w:ascii="Verdana" w:hAnsi="Verdana" w:cs="Arial"/>
          <w:spacing w:val="-4"/>
          <w:sz w:val="16"/>
          <w:szCs w:val="16"/>
        </w:rPr>
        <w:t xml:space="preserve"> </w:t>
      </w:r>
      <w:r w:rsidRPr="00516D19">
        <w:rPr>
          <w:rFonts w:ascii="Verdana" w:hAnsi="Verdana" w:cs="Arial"/>
          <w:sz w:val="16"/>
          <w:szCs w:val="16"/>
        </w:rPr>
        <w:t>aceptación</w:t>
      </w:r>
      <w:r w:rsidRPr="00516D19">
        <w:rPr>
          <w:rFonts w:ascii="Verdana" w:hAnsi="Verdana" w:cs="Arial"/>
          <w:spacing w:val="-4"/>
          <w:sz w:val="16"/>
          <w:szCs w:val="16"/>
        </w:rPr>
        <w:t xml:space="preserve"> </w:t>
      </w:r>
      <w:r w:rsidRPr="00516D19">
        <w:rPr>
          <w:rFonts w:ascii="Verdana" w:hAnsi="Verdana" w:cs="Arial"/>
          <w:sz w:val="16"/>
          <w:szCs w:val="16"/>
        </w:rPr>
        <w:t>del</w:t>
      </w:r>
      <w:r w:rsidRPr="00516D19">
        <w:rPr>
          <w:rFonts w:ascii="Verdana" w:hAnsi="Verdana" w:cs="Arial"/>
          <w:spacing w:val="-4"/>
          <w:sz w:val="16"/>
          <w:szCs w:val="16"/>
        </w:rPr>
        <w:t xml:space="preserve"> </w:t>
      </w:r>
      <w:r w:rsidRPr="00516D19">
        <w:rPr>
          <w:rFonts w:ascii="Verdana" w:hAnsi="Verdana" w:cs="Arial"/>
          <w:sz w:val="16"/>
          <w:szCs w:val="16"/>
        </w:rPr>
        <w:t>desistimiento</w:t>
      </w:r>
      <w:r w:rsidRPr="00516D19">
        <w:rPr>
          <w:rFonts w:ascii="Verdana" w:hAnsi="Verdana" w:cs="Arial"/>
          <w:spacing w:val="-4"/>
          <w:sz w:val="16"/>
          <w:szCs w:val="16"/>
        </w:rPr>
        <w:t xml:space="preserve"> </w:t>
      </w:r>
      <w:r w:rsidRPr="00516D19">
        <w:rPr>
          <w:rFonts w:ascii="Verdana" w:hAnsi="Verdana" w:cs="Arial"/>
          <w:sz w:val="16"/>
          <w:szCs w:val="16"/>
        </w:rPr>
        <w:t>de</w:t>
      </w:r>
      <w:r w:rsidRPr="00516D19">
        <w:rPr>
          <w:rFonts w:ascii="Verdana" w:hAnsi="Verdana" w:cs="Arial"/>
          <w:spacing w:val="-4"/>
          <w:sz w:val="16"/>
          <w:szCs w:val="16"/>
        </w:rPr>
        <w:t xml:space="preserve"> </w:t>
      </w:r>
      <w:r w:rsidRPr="00516D19">
        <w:rPr>
          <w:rFonts w:ascii="Verdana" w:hAnsi="Verdana" w:cs="Arial"/>
          <w:sz w:val="16"/>
          <w:szCs w:val="16"/>
        </w:rPr>
        <w:t>los</w:t>
      </w:r>
      <w:r w:rsidRPr="00516D19">
        <w:rPr>
          <w:rFonts w:ascii="Verdana" w:hAnsi="Verdana" w:cs="Arial"/>
          <w:spacing w:val="-4"/>
          <w:sz w:val="16"/>
          <w:szCs w:val="16"/>
        </w:rPr>
        <w:t xml:space="preserve"> </w:t>
      </w:r>
      <w:r w:rsidRPr="00516D19">
        <w:rPr>
          <w:rFonts w:ascii="Verdana" w:hAnsi="Verdana" w:cs="Arial"/>
          <w:sz w:val="16"/>
          <w:szCs w:val="16"/>
        </w:rPr>
        <w:t>recursos.</w:t>
      </w:r>
    </w:p>
    <w:p w14:paraId="67A26FDB" w14:textId="77777777" w:rsidR="0064326F" w:rsidRPr="00516D19" w:rsidRDefault="0064326F" w:rsidP="0064326F">
      <w:pPr>
        <w:spacing w:after="0" w:line="240" w:lineRule="auto"/>
        <w:ind w:firstLine="708"/>
        <w:jc w:val="both"/>
        <w:rPr>
          <w:rFonts w:ascii="Verdana" w:hAnsi="Verdana" w:cs="Arial"/>
          <w:sz w:val="16"/>
          <w:szCs w:val="16"/>
        </w:rPr>
      </w:pPr>
      <w:r w:rsidRPr="00516D19">
        <w:rPr>
          <w:rFonts w:ascii="Verdana" w:hAnsi="Verdana" w:cs="Arial"/>
          <w:sz w:val="16"/>
          <w:szCs w:val="16"/>
        </w:rPr>
        <w:t>“5.</w:t>
      </w:r>
      <w:r w:rsidRPr="00516D19">
        <w:rPr>
          <w:rFonts w:ascii="Verdana" w:hAnsi="Verdana" w:cs="Arial"/>
          <w:spacing w:val="-5"/>
          <w:sz w:val="16"/>
          <w:szCs w:val="16"/>
        </w:rPr>
        <w:t xml:space="preserve"> </w:t>
      </w:r>
      <w:r w:rsidRPr="00516D19">
        <w:rPr>
          <w:rFonts w:ascii="Verdana" w:hAnsi="Verdana" w:cs="Arial"/>
          <w:sz w:val="16"/>
          <w:szCs w:val="16"/>
        </w:rPr>
        <w:t>Desde</w:t>
      </w:r>
      <w:r w:rsidRPr="00516D19">
        <w:rPr>
          <w:rFonts w:ascii="Verdana" w:hAnsi="Verdana" w:cs="Arial"/>
          <w:spacing w:val="-4"/>
          <w:sz w:val="16"/>
          <w:szCs w:val="16"/>
        </w:rPr>
        <w:t xml:space="preserve"> </w:t>
      </w:r>
      <w:r w:rsidRPr="00516D19">
        <w:rPr>
          <w:rFonts w:ascii="Verdana" w:hAnsi="Verdana" w:cs="Arial"/>
          <w:sz w:val="16"/>
          <w:szCs w:val="16"/>
        </w:rPr>
        <w:t>el</w:t>
      </w:r>
      <w:r w:rsidRPr="00516D19">
        <w:rPr>
          <w:rFonts w:ascii="Verdana" w:hAnsi="Verdana" w:cs="Arial"/>
          <w:spacing w:val="-5"/>
          <w:sz w:val="16"/>
          <w:szCs w:val="16"/>
        </w:rPr>
        <w:t xml:space="preserve"> </w:t>
      </w:r>
      <w:r w:rsidRPr="00516D19">
        <w:rPr>
          <w:rFonts w:ascii="Verdana" w:hAnsi="Verdana" w:cs="Arial"/>
          <w:sz w:val="16"/>
          <w:szCs w:val="16"/>
        </w:rPr>
        <w:t>día</w:t>
      </w:r>
      <w:r w:rsidRPr="00516D19">
        <w:rPr>
          <w:rFonts w:ascii="Verdana" w:hAnsi="Verdana" w:cs="Arial"/>
          <w:spacing w:val="-4"/>
          <w:sz w:val="16"/>
          <w:szCs w:val="16"/>
        </w:rPr>
        <w:t xml:space="preserve"> </w:t>
      </w:r>
      <w:r w:rsidRPr="00516D19">
        <w:rPr>
          <w:rFonts w:ascii="Verdana" w:hAnsi="Verdana" w:cs="Arial"/>
          <w:sz w:val="16"/>
          <w:szCs w:val="16"/>
        </w:rPr>
        <w:t>siguiente</w:t>
      </w:r>
      <w:r w:rsidRPr="00516D19">
        <w:rPr>
          <w:rFonts w:ascii="Verdana" w:hAnsi="Verdana" w:cs="Arial"/>
          <w:spacing w:val="-4"/>
          <w:sz w:val="16"/>
          <w:szCs w:val="16"/>
        </w:rPr>
        <w:t xml:space="preserve"> </w:t>
      </w:r>
      <w:r w:rsidRPr="00516D19">
        <w:rPr>
          <w:rFonts w:ascii="Verdana" w:hAnsi="Verdana" w:cs="Arial"/>
          <w:sz w:val="16"/>
          <w:szCs w:val="16"/>
        </w:rPr>
        <w:t>al</w:t>
      </w:r>
      <w:r w:rsidRPr="00516D19">
        <w:rPr>
          <w:rFonts w:ascii="Verdana" w:hAnsi="Verdana" w:cs="Arial"/>
          <w:spacing w:val="-5"/>
          <w:sz w:val="16"/>
          <w:szCs w:val="16"/>
        </w:rPr>
        <w:t xml:space="preserve"> </w:t>
      </w:r>
      <w:r w:rsidRPr="00516D19">
        <w:rPr>
          <w:rFonts w:ascii="Verdana" w:hAnsi="Verdana" w:cs="Arial"/>
          <w:sz w:val="16"/>
          <w:szCs w:val="16"/>
        </w:rPr>
        <w:t>de</w:t>
      </w:r>
      <w:r w:rsidRPr="00516D19">
        <w:rPr>
          <w:rFonts w:ascii="Verdana" w:hAnsi="Verdana" w:cs="Arial"/>
          <w:spacing w:val="-4"/>
          <w:sz w:val="16"/>
          <w:szCs w:val="16"/>
        </w:rPr>
        <w:t xml:space="preserve"> </w:t>
      </w:r>
      <w:r w:rsidRPr="00516D19">
        <w:rPr>
          <w:rFonts w:ascii="Verdana" w:hAnsi="Verdana" w:cs="Arial"/>
          <w:sz w:val="16"/>
          <w:szCs w:val="16"/>
        </w:rPr>
        <w:t>la</w:t>
      </w:r>
      <w:r w:rsidRPr="00516D19">
        <w:rPr>
          <w:rFonts w:ascii="Verdana" w:hAnsi="Verdana" w:cs="Arial"/>
          <w:spacing w:val="-4"/>
          <w:sz w:val="16"/>
          <w:szCs w:val="16"/>
        </w:rPr>
        <w:t xml:space="preserve"> </w:t>
      </w:r>
      <w:r w:rsidRPr="00516D19">
        <w:rPr>
          <w:rFonts w:ascii="Verdana" w:hAnsi="Verdana" w:cs="Arial"/>
          <w:sz w:val="16"/>
          <w:szCs w:val="16"/>
        </w:rPr>
        <w:t>protocolización</w:t>
      </w:r>
      <w:r w:rsidRPr="00516D19">
        <w:rPr>
          <w:rFonts w:ascii="Verdana" w:hAnsi="Verdana" w:cs="Arial"/>
          <w:spacing w:val="-5"/>
          <w:sz w:val="16"/>
          <w:szCs w:val="16"/>
        </w:rPr>
        <w:t xml:space="preserve"> </w:t>
      </w:r>
      <w:r w:rsidRPr="00516D19">
        <w:rPr>
          <w:rFonts w:ascii="Verdana" w:hAnsi="Verdana" w:cs="Arial"/>
          <w:sz w:val="16"/>
          <w:szCs w:val="16"/>
        </w:rPr>
        <w:t>a</w:t>
      </w:r>
      <w:r w:rsidRPr="00516D19">
        <w:rPr>
          <w:rFonts w:ascii="Verdana" w:hAnsi="Verdana" w:cs="Arial"/>
          <w:spacing w:val="-4"/>
          <w:sz w:val="16"/>
          <w:szCs w:val="16"/>
        </w:rPr>
        <w:t xml:space="preserve"> </w:t>
      </w:r>
      <w:r w:rsidRPr="00516D19">
        <w:rPr>
          <w:rFonts w:ascii="Verdana" w:hAnsi="Verdana" w:cs="Arial"/>
          <w:sz w:val="16"/>
          <w:szCs w:val="16"/>
        </w:rPr>
        <w:t>que</w:t>
      </w:r>
      <w:r w:rsidRPr="00516D19">
        <w:rPr>
          <w:rFonts w:ascii="Verdana" w:hAnsi="Verdana" w:cs="Arial"/>
          <w:spacing w:val="-4"/>
          <w:sz w:val="16"/>
          <w:szCs w:val="16"/>
        </w:rPr>
        <w:t xml:space="preserve"> </w:t>
      </w:r>
      <w:r w:rsidRPr="00516D19">
        <w:rPr>
          <w:rFonts w:ascii="Verdana" w:hAnsi="Verdana" w:cs="Arial"/>
          <w:sz w:val="16"/>
          <w:szCs w:val="16"/>
        </w:rPr>
        <w:t>alude</w:t>
      </w:r>
      <w:r w:rsidRPr="00516D19">
        <w:rPr>
          <w:rFonts w:ascii="Verdana" w:hAnsi="Verdana" w:cs="Arial"/>
          <w:spacing w:val="-5"/>
          <w:sz w:val="16"/>
          <w:szCs w:val="16"/>
        </w:rPr>
        <w:t xml:space="preserve"> </w:t>
      </w:r>
      <w:r w:rsidRPr="00516D19">
        <w:rPr>
          <w:rFonts w:ascii="Verdana" w:hAnsi="Verdana" w:cs="Arial"/>
          <w:sz w:val="16"/>
          <w:szCs w:val="16"/>
        </w:rPr>
        <w:t>el</w:t>
      </w:r>
      <w:r w:rsidRPr="00516D19">
        <w:rPr>
          <w:rFonts w:ascii="Verdana" w:hAnsi="Verdana" w:cs="Arial"/>
          <w:spacing w:val="-4"/>
          <w:sz w:val="16"/>
          <w:szCs w:val="16"/>
        </w:rPr>
        <w:t xml:space="preserve"> </w:t>
      </w:r>
      <w:r w:rsidRPr="00516D19">
        <w:rPr>
          <w:rFonts w:ascii="Verdana" w:hAnsi="Verdana" w:cs="Arial"/>
          <w:sz w:val="16"/>
          <w:szCs w:val="16"/>
        </w:rPr>
        <w:t>artículo</w:t>
      </w:r>
      <w:r w:rsidRPr="00516D19">
        <w:rPr>
          <w:rFonts w:ascii="Verdana" w:hAnsi="Verdana" w:cs="Arial"/>
          <w:spacing w:val="-5"/>
          <w:sz w:val="16"/>
          <w:szCs w:val="16"/>
        </w:rPr>
        <w:t xml:space="preserve"> </w:t>
      </w:r>
      <w:r w:rsidRPr="00516D19">
        <w:rPr>
          <w:rFonts w:ascii="Verdana" w:hAnsi="Verdana" w:cs="Arial"/>
          <w:sz w:val="16"/>
          <w:szCs w:val="16"/>
        </w:rPr>
        <w:t>85</w:t>
      </w:r>
      <w:r w:rsidRPr="00516D19">
        <w:rPr>
          <w:rFonts w:ascii="Verdana" w:hAnsi="Verdana" w:cs="Arial"/>
          <w:spacing w:val="-4"/>
          <w:sz w:val="16"/>
          <w:szCs w:val="16"/>
        </w:rPr>
        <w:t xml:space="preserve"> </w:t>
      </w:r>
      <w:r w:rsidRPr="00516D19">
        <w:rPr>
          <w:rFonts w:ascii="Verdana" w:hAnsi="Verdana" w:cs="Arial"/>
          <w:sz w:val="16"/>
          <w:szCs w:val="16"/>
        </w:rPr>
        <w:t>para</w:t>
      </w:r>
      <w:r w:rsidRPr="00516D19">
        <w:rPr>
          <w:rFonts w:ascii="Verdana" w:hAnsi="Verdana" w:cs="Arial"/>
          <w:spacing w:val="-4"/>
          <w:sz w:val="16"/>
          <w:szCs w:val="16"/>
        </w:rPr>
        <w:t xml:space="preserve"> </w:t>
      </w:r>
      <w:r w:rsidRPr="00516D19">
        <w:rPr>
          <w:rFonts w:ascii="Verdana" w:hAnsi="Verdana" w:cs="Arial"/>
          <w:sz w:val="16"/>
          <w:szCs w:val="16"/>
        </w:rPr>
        <w:t>el</w:t>
      </w:r>
      <w:r w:rsidRPr="00516D19">
        <w:rPr>
          <w:rFonts w:ascii="Verdana" w:hAnsi="Verdana" w:cs="Arial"/>
          <w:spacing w:val="-5"/>
          <w:sz w:val="16"/>
          <w:szCs w:val="16"/>
        </w:rPr>
        <w:t xml:space="preserve"> </w:t>
      </w:r>
      <w:r w:rsidRPr="00516D19">
        <w:rPr>
          <w:rFonts w:ascii="Verdana" w:hAnsi="Verdana" w:cs="Arial"/>
          <w:sz w:val="16"/>
          <w:szCs w:val="16"/>
        </w:rPr>
        <w:t>silencio</w:t>
      </w:r>
      <w:r w:rsidRPr="00516D19">
        <w:rPr>
          <w:rFonts w:ascii="Verdana" w:hAnsi="Verdana" w:cs="Arial"/>
          <w:spacing w:val="-4"/>
          <w:sz w:val="16"/>
          <w:szCs w:val="16"/>
        </w:rPr>
        <w:t xml:space="preserve"> </w:t>
      </w:r>
      <w:r w:rsidRPr="00516D19">
        <w:rPr>
          <w:rFonts w:ascii="Verdana" w:hAnsi="Verdana" w:cs="Arial"/>
          <w:sz w:val="16"/>
          <w:szCs w:val="16"/>
        </w:rPr>
        <w:t>administrativo</w:t>
      </w:r>
      <w:r w:rsidRPr="00516D19">
        <w:rPr>
          <w:rFonts w:ascii="Verdana" w:hAnsi="Verdana" w:cs="Arial"/>
          <w:spacing w:val="-4"/>
          <w:sz w:val="16"/>
          <w:szCs w:val="16"/>
        </w:rPr>
        <w:t xml:space="preserve"> </w:t>
      </w:r>
      <w:r w:rsidRPr="00516D19">
        <w:rPr>
          <w:rFonts w:ascii="Verdana" w:hAnsi="Verdana" w:cs="Arial"/>
          <w:sz w:val="16"/>
          <w:szCs w:val="16"/>
        </w:rPr>
        <w:t>positivo”.</w:t>
      </w:r>
    </w:p>
    <w:p w14:paraId="5DAA25A9" w14:textId="77777777" w:rsidR="0064326F" w:rsidRPr="00516D19" w:rsidRDefault="0064326F" w:rsidP="0064326F">
      <w:pPr>
        <w:pStyle w:val="Textonotapie"/>
        <w:jc w:val="both"/>
        <w:rPr>
          <w:rFonts w:ascii="Verdana" w:hAnsi="Verdana"/>
          <w:sz w:val="16"/>
          <w:szCs w:val="16"/>
        </w:rPr>
      </w:pPr>
    </w:p>
  </w:footnote>
  <w:footnote w:id="17">
    <w:p w14:paraId="63739CF5" w14:textId="77777777" w:rsidR="0064326F" w:rsidRPr="00516D19" w:rsidRDefault="0064326F" w:rsidP="0064326F">
      <w:pPr>
        <w:spacing w:after="0" w:line="240" w:lineRule="auto"/>
        <w:ind w:firstLine="709"/>
        <w:jc w:val="both"/>
        <w:rPr>
          <w:rFonts w:ascii="Verdana" w:hAnsi="Verdana"/>
          <w:sz w:val="16"/>
          <w:szCs w:val="16"/>
        </w:rPr>
      </w:pPr>
      <w:r w:rsidRPr="00516D19">
        <w:rPr>
          <w:rFonts w:ascii="Verdana" w:hAnsi="Verdana"/>
          <w:sz w:val="16"/>
          <w:szCs w:val="16"/>
          <w:vertAlign w:val="superscript"/>
        </w:rPr>
        <w:footnoteRef/>
      </w:r>
      <w:r w:rsidRPr="00516D19">
        <w:rPr>
          <w:rFonts w:ascii="Verdana" w:hAnsi="Verdana"/>
          <w:sz w:val="16"/>
          <w:szCs w:val="16"/>
          <w:vertAlign w:val="superscript"/>
        </w:rPr>
        <w:t xml:space="preserve"> </w:t>
      </w:r>
      <w:r w:rsidRPr="00516D19">
        <w:rPr>
          <w:rFonts w:ascii="Verdana" w:hAnsi="Verdana"/>
          <w:sz w:val="16"/>
          <w:szCs w:val="16"/>
        </w:rPr>
        <w:t>Consejo de Estado. Sala de lo Contencioso Administrativo. Sección Cuarta. Sentencia del 19 de noviembre de 1999. Radicado: 11001-03-27-000-2012-00031-00 (9453). CP. Daniel Manrique Guzmán.</w:t>
      </w:r>
    </w:p>
    <w:p w14:paraId="655957AA" w14:textId="77777777" w:rsidR="0064326F" w:rsidRPr="00516D19" w:rsidRDefault="0064326F" w:rsidP="0064326F">
      <w:pPr>
        <w:spacing w:after="0" w:line="240" w:lineRule="auto"/>
        <w:ind w:firstLine="709"/>
        <w:jc w:val="both"/>
        <w:rPr>
          <w:rFonts w:ascii="Verdana" w:hAnsi="Verdana" w:cs="Arial"/>
          <w:sz w:val="16"/>
          <w:szCs w:val="16"/>
        </w:rPr>
      </w:pPr>
    </w:p>
  </w:footnote>
  <w:footnote w:id="18">
    <w:p w14:paraId="2F850DD8" w14:textId="77777777" w:rsidR="0064326F" w:rsidRPr="00516D19" w:rsidRDefault="0064326F" w:rsidP="0064326F">
      <w:pPr>
        <w:spacing w:after="0" w:line="240" w:lineRule="auto"/>
        <w:ind w:firstLine="709"/>
        <w:jc w:val="both"/>
        <w:rPr>
          <w:rFonts w:ascii="Verdana" w:hAnsi="Verdana"/>
          <w:sz w:val="16"/>
          <w:szCs w:val="16"/>
        </w:rPr>
      </w:pPr>
      <w:r w:rsidRPr="00516D19">
        <w:rPr>
          <w:rStyle w:val="Refdenotaalpie"/>
          <w:rFonts w:ascii="Verdana" w:hAnsi="Verdana"/>
          <w:sz w:val="16"/>
          <w:szCs w:val="16"/>
        </w:rPr>
        <w:footnoteRef/>
      </w:r>
      <w:r w:rsidRPr="00516D19">
        <w:rPr>
          <w:rFonts w:ascii="Verdana" w:hAnsi="Verdana"/>
          <w:sz w:val="16"/>
          <w:szCs w:val="16"/>
        </w:rPr>
        <w:t xml:space="preserve"> Ley 1882 de 2018: “Artículo 5. Modifíquese el Parágrafo 1 e inclúyanse los parágrafos 3, 4 y 5 de artículo 5° de la Ley 1150 de 2007, los cuales quedarán así:</w:t>
      </w:r>
    </w:p>
    <w:p w14:paraId="1E70DF54" w14:textId="77777777" w:rsidR="0064326F" w:rsidRPr="00516D19" w:rsidRDefault="0064326F" w:rsidP="0064326F">
      <w:pPr>
        <w:spacing w:after="0" w:line="240" w:lineRule="auto"/>
        <w:ind w:firstLine="709"/>
        <w:jc w:val="both"/>
        <w:rPr>
          <w:rFonts w:ascii="Verdana" w:hAnsi="Verdana"/>
          <w:sz w:val="16"/>
          <w:szCs w:val="16"/>
        </w:rPr>
      </w:pPr>
      <w:r w:rsidRPr="00516D19">
        <w:rPr>
          <w:rFonts w:ascii="Verdana" w:hAnsi="Verdana"/>
          <w:sz w:val="16"/>
          <w:szCs w:val="16"/>
        </w:rPr>
        <w:t>[…]</w:t>
      </w:r>
    </w:p>
    <w:p w14:paraId="6B345468" w14:textId="77777777" w:rsidR="0064326F" w:rsidRPr="00516D19" w:rsidRDefault="0064326F" w:rsidP="0064326F">
      <w:pPr>
        <w:spacing w:after="0" w:line="240" w:lineRule="auto"/>
        <w:ind w:firstLine="709"/>
        <w:jc w:val="both"/>
        <w:rPr>
          <w:rFonts w:ascii="Verdana" w:hAnsi="Verdana"/>
          <w:sz w:val="16"/>
          <w:szCs w:val="16"/>
        </w:rPr>
      </w:pPr>
      <w:r w:rsidRPr="00516D19">
        <w:rPr>
          <w:rFonts w:ascii="Verdana" w:hAnsi="Verdana"/>
          <w:sz w:val="16"/>
          <w:szCs w:val="16"/>
        </w:rPr>
        <w:t>“Artículo 5°. De la selección objetiva. […]</w:t>
      </w:r>
    </w:p>
    <w:p w14:paraId="51971124" w14:textId="77777777" w:rsidR="0064326F" w:rsidRPr="00516D19" w:rsidRDefault="0064326F" w:rsidP="0064326F">
      <w:pPr>
        <w:spacing w:after="0" w:line="240" w:lineRule="auto"/>
        <w:ind w:firstLine="709"/>
        <w:jc w:val="both"/>
        <w:rPr>
          <w:rFonts w:ascii="Verdana" w:hAnsi="Verdana"/>
          <w:sz w:val="16"/>
          <w:szCs w:val="16"/>
        </w:rPr>
      </w:pPr>
      <w:r w:rsidRPr="00516D19">
        <w:rPr>
          <w:rFonts w:ascii="Verdana" w:hAnsi="Verdana"/>
          <w:sz w:val="16"/>
          <w:szCs w:val="16"/>
        </w:rPr>
        <w:t>“Parágrafo 1°.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w:t>
      </w:r>
    </w:p>
    <w:p w14:paraId="2B79798E" w14:textId="77777777" w:rsidR="0064326F" w:rsidRPr="00516D19" w:rsidRDefault="0064326F" w:rsidP="0064326F">
      <w:pPr>
        <w:ind w:firstLine="708"/>
        <w:jc w:val="both"/>
        <w:rPr>
          <w:rFonts w:ascii="Verdana" w:hAnsi="Verdana"/>
          <w:sz w:val="16"/>
          <w:szCs w:val="16"/>
        </w:rPr>
      </w:pPr>
      <w:r w:rsidRPr="00516D19">
        <w:rPr>
          <w:rFonts w:ascii="Verdana" w:hAnsi="Verdana"/>
          <w:sz w:val="16"/>
          <w:szCs w:val="16"/>
        </w:rPr>
        <w:t>“Durante el término otorgado para subsanar las ofertas, los proponentes no podrán acreditar circunstancias ocurridas con posterioridad al cierre del proceso”.</w:t>
      </w:r>
    </w:p>
  </w:footnote>
  <w:footnote w:id="19">
    <w:p w14:paraId="6E391081" w14:textId="77777777" w:rsidR="0064326F" w:rsidRPr="00516D19" w:rsidRDefault="0064326F" w:rsidP="0064326F">
      <w:pPr>
        <w:spacing w:after="0" w:line="240" w:lineRule="auto"/>
        <w:ind w:firstLine="708"/>
        <w:jc w:val="both"/>
        <w:rPr>
          <w:rFonts w:ascii="Verdana" w:hAnsi="Verdana"/>
          <w:sz w:val="16"/>
          <w:szCs w:val="16"/>
        </w:rPr>
      </w:pPr>
      <w:r w:rsidRPr="00516D19">
        <w:rPr>
          <w:rFonts w:ascii="Verdana" w:hAnsi="Verdana"/>
          <w:sz w:val="16"/>
          <w:szCs w:val="16"/>
          <w:vertAlign w:val="superscript"/>
        </w:rPr>
        <w:footnoteRef/>
      </w:r>
      <w:r w:rsidRPr="00516D19">
        <w:rPr>
          <w:rFonts w:ascii="Verdana" w:hAnsi="Verdana"/>
          <w:sz w:val="16"/>
          <w:szCs w:val="16"/>
        </w:rPr>
        <w:t xml:space="preserve"> Decreto 2474 de 2008, art. 10, inciso final: “En ningún caso la entidad podrá señalar taxativamente los requisitos o documentos subsanables o no subsanables en el pliego de condiciones, ni permitir que se subsane la falta de capacidad para presentar la oferta, ni que se acrediten circunstancias ocurridas con posterioridad al cierre del proceso”.</w:t>
      </w:r>
    </w:p>
    <w:p w14:paraId="1E3B0F7D" w14:textId="77777777" w:rsidR="0064326F" w:rsidRPr="00516D19" w:rsidRDefault="0064326F" w:rsidP="0064326F">
      <w:pPr>
        <w:pStyle w:val="Textonotapie"/>
        <w:jc w:val="both"/>
        <w:rPr>
          <w:rFonts w:ascii="Verdana" w:hAnsi="Verdana"/>
          <w:sz w:val="16"/>
          <w:szCs w:val="16"/>
        </w:rPr>
      </w:pPr>
    </w:p>
  </w:footnote>
  <w:footnote w:id="20">
    <w:p w14:paraId="5ACDF42B" w14:textId="77777777" w:rsidR="0064326F" w:rsidRPr="00516D19" w:rsidRDefault="0064326F" w:rsidP="0064326F">
      <w:pPr>
        <w:spacing w:after="0" w:line="240" w:lineRule="auto"/>
        <w:ind w:firstLine="709"/>
        <w:jc w:val="both"/>
        <w:rPr>
          <w:rFonts w:ascii="Verdana" w:hAnsi="Verdana"/>
          <w:sz w:val="16"/>
          <w:szCs w:val="16"/>
        </w:rPr>
      </w:pPr>
      <w:r w:rsidRPr="00516D19">
        <w:rPr>
          <w:rFonts w:ascii="Verdana" w:hAnsi="Verdana"/>
          <w:sz w:val="16"/>
          <w:szCs w:val="16"/>
          <w:vertAlign w:val="superscript"/>
        </w:rPr>
        <w:footnoteRef/>
      </w:r>
      <w:r w:rsidRPr="00516D19">
        <w:rPr>
          <w:rFonts w:ascii="Verdana" w:hAnsi="Verdana"/>
          <w:sz w:val="16"/>
          <w:szCs w:val="16"/>
        </w:rPr>
        <w:t xml:space="preserve"> “De esta manera, quien se presenta al proceso de selección debe cumplir para la fecha en que “se cierra el proceso” con los requisitos que se requieren para presentar la oferta, de manera que es sobre ellos y no sobre otros que se cumplan con posterioridad, sobre los que recae la posibilidad de saneamiento” (Consejo de Estado. Sala de Consulta y Servicio Civil. Concepto del 6 de noviembre de 2008. Radicado: 11001-03-06-000-2008-00079-00 (1.927). C.P. William Zambrano Cetina).</w:t>
      </w:r>
    </w:p>
    <w:p w14:paraId="2A1CF395" w14:textId="77777777" w:rsidR="0064326F" w:rsidRPr="00516D19" w:rsidRDefault="0064326F" w:rsidP="0064326F">
      <w:pPr>
        <w:pStyle w:val="Textonotapie"/>
        <w:jc w:val="both"/>
        <w:rPr>
          <w:rFonts w:ascii="Verdana" w:hAnsi="Verdana"/>
          <w:sz w:val="16"/>
          <w:szCs w:val="16"/>
          <w:lang w:val="es-CO"/>
        </w:rPr>
      </w:pPr>
    </w:p>
  </w:footnote>
  <w:footnote w:id="21">
    <w:p w14:paraId="33B96C6D" w14:textId="77777777" w:rsidR="0064326F" w:rsidRPr="00516D19" w:rsidRDefault="0064326F" w:rsidP="0064326F">
      <w:pPr>
        <w:ind w:firstLine="709"/>
        <w:jc w:val="both"/>
        <w:rPr>
          <w:rFonts w:ascii="Verdana" w:hAnsi="Verdana"/>
          <w:sz w:val="16"/>
          <w:szCs w:val="16"/>
          <w:lang w:val="es-MX"/>
        </w:rPr>
      </w:pPr>
      <w:r w:rsidRPr="00516D19">
        <w:rPr>
          <w:rFonts w:ascii="Verdana" w:hAnsi="Verdana"/>
          <w:sz w:val="16"/>
          <w:szCs w:val="16"/>
          <w:vertAlign w:val="superscript"/>
          <w:lang w:val="es-MX"/>
        </w:rPr>
        <w:footnoteRef/>
      </w:r>
      <w:r w:rsidRPr="00516D19">
        <w:rPr>
          <w:rFonts w:ascii="Verdana" w:hAnsi="Verdana"/>
          <w:sz w:val="16"/>
          <w:szCs w:val="16"/>
          <w:vertAlign w:val="superscript"/>
          <w:lang w:val="es-MX"/>
        </w:rPr>
        <w:t xml:space="preserve"> </w:t>
      </w:r>
      <w:r w:rsidRPr="00516D19">
        <w:rPr>
          <w:rFonts w:ascii="Verdana" w:hAnsi="Verdana"/>
          <w:sz w:val="16"/>
          <w:szCs w:val="16"/>
          <w:lang w:val="es-MX"/>
        </w:rPr>
        <w:t>Decreto 1082 de 2015, artículo 2.2.1.1.1.5.1., citado previamente.</w:t>
      </w:r>
    </w:p>
  </w:footnote>
  <w:footnote w:id="22">
    <w:p w14:paraId="6B816E82" w14:textId="77777777" w:rsidR="0064326F" w:rsidRPr="00516D19" w:rsidRDefault="0064326F" w:rsidP="0064326F">
      <w:pPr>
        <w:pStyle w:val="Textonotapie"/>
        <w:ind w:firstLine="708"/>
        <w:jc w:val="both"/>
        <w:rPr>
          <w:rFonts w:ascii="Verdana" w:hAnsi="Verdana"/>
          <w:sz w:val="16"/>
          <w:szCs w:val="16"/>
        </w:rPr>
      </w:pPr>
      <w:r w:rsidRPr="00516D19">
        <w:rPr>
          <w:rStyle w:val="Refdenotaalpie"/>
          <w:rFonts w:ascii="Verdana" w:hAnsi="Verdana"/>
          <w:sz w:val="16"/>
          <w:szCs w:val="16"/>
        </w:rPr>
        <w:footnoteRef/>
      </w:r>
      <w:r w:rsidRPr="00516D19">
        <w:rPr>
          <w:rFonts w:ascii="Verdana" w:hAnsi="Verdana"/>
          <w:sz w:val="16"/>
          <w:szCs w:val="16"/>
        </w:rPr>
        <w:t xml:space="preserve"> La Circular Externa Única de Colombia Compra Eficiente puede ser consultada en el siguiente link: </w:t>
      </w:r>
      <w:hyperlink r:id="rId1" w:history="1">
        <w:r w:rsidRPr="00516D19">
          <w:rPr>
            <w:rStyle w:val="Hipervnculo"/>
            <w:rFonts w:ascii="Verdana" w:hAnsi="Verdana"/>
            <w:sz w:val="16"/>
            <w:szCs w:val="16"/>
            <w:lang w:val="es-CO"/>
          </w:rPr>
          <w:t>circular_externa_unica_version_3_vf49.pdf</w:t>
        </w:r>
      </w:hyperlink>
    </w:p>
  </w:footnote>
  <w:footnote w:id="23">
    <w:p w14:paraId="5F79540E" w14:textId="77777777" w:rsidR="0064326F" w:rsidRDefault="0064326F" w:rsidP="0064326F">
      <w:pPr>
        <w:pStyle w:val="Textonotapie"/>
        <w:ind w:firstLine="709"/>
        <w:jc w:val="both"/>
        <w:rPr>
          <w:rFonts w:ascii="Verdana" w:hAnsi="Verdana" w:cs="Arial"/>
          <w:sz w:val="16"/>
          <w:szCs w:val="16"/>
        </w:rPr>
      </w:pPr>
      <w:r w:rsidRPr="00821723">
        <w:rPr>
          <w:rStyle w:val="Refdenotaalpie"/>
          <w:rFonts w:ascii="Verdana" w:hAnsi="Verdana" w:cs="Arial"/>
          <w:sz w:val="16"/>
          <w:szCs w:val="16"/>
        </w:rPr>
        <w:footnoteRef/>
      </w:r>
      <w:r w:rsidRPr="00821723">
        <w:rPr>
          <w:rFonts w:ascii="Verdana" w:hAnsi="Verdana" w:cs="Arial"/>
          <w:sz w:val="16"/>
          <w:szCs w:val="16"/>
        </w:rPr>
        <w:t xml:space="preserve"> ROPPO, Vincenzo. El contrato. Lima: Gaceta Jurídica, 2009. p. 547.</w:t>
      </w:r>
    </w:p>
    <w:p w14:paraId="4C9A8D67" w14:textId="77777777" w:rsidR="0064326F" w:rsidRPr="00821723" w:rsidRDefault="0064326F" w:rsidP="0064326F">
      <w:pPr>
        <w:pStyle w:val="Textonotapie"/>
        <w:ind w:firstLine="709"/>
        <w:jc w:val="both"/>
        <w:rPr>
          <w:rFonts w:ascii="Verdana" w:hAnsi="Verdana" w:cs="Arial"/>
          <w:sz w:val="16"/>
          <w:szCs w:val="16"/>
        </w:rPr>
      </w:pPr>
    </w:p>
  </w:footnote>
  <w:footnote w:id="24">
    <w:p w14:paraId="602F8CF8" w14:textId="77777777" w:rsidR="0064326F" w:rsidRDefault="0064326F" w:rsidP="0064326F">
      <w:pPr>
        <w:pStyle w:val="Textonotapie"/>
        <w:ind w:firstLine="709"/>
        <w:jc w:val="both"/>
        <w:rPr>
          <w:rFonts w:ascii="Verdana" w:hAnsi="Verdana" w:cs="Arial"/>
          <w:sz w:val="16"/>
          <w:szCs w:val="16"/>
        </w:rPr>
      </w:pPr>
      <w:r w:rsidRPr="00821723">
        <w:rPr>
          <w:rStyle w:val="Refdenotaalpie"/>
          <w:rFonts w:ascii="Verdana" w:hAnsi="Verdana" w:cs="Arial"/>
          <w:sz w:val="16"/>
          <w:szCs w:val="16"/>
        </w:rPr>
        <w:footnoteRef/>
      </w:r>
      <w:r w:rsidRPr="00821723">
        <w:rPr>
          <w:rFonts w:ascii="Verdana" w:hAnsi="Verdana" w:cs="Arial"/>
          <w:sz w:val="16"/>
          <w:szCs w:val="16"/>
        </w:rPr>
        <w:t xml:space="preserve"> </w:t>
      </w:r>
      <w:r w:rsidRPr="00821723">
        <w:rPr>
          <w:rFonts w:ascii="Verdana" w:hAnsi="Verdana" w:cs="Arial"/>
          <w:i/>
          <w:iCs/>
          <w:sz w:val="16"/>
          <w:szCs w:val="16"/>
        </w:rPr>
        <w:t>Ibidem</w:t>
      </w:r>
      <w:r w:rsidRPr="00821723">
        <w:rPr>
          <w:rFonts w:ascii="Verdana" w:hAnsi="Verdana" w:cs="Arial"/>
          <w:sz w:val="16"/>
          <w:szCs w:val="16"/>
        </w:rPr>
        <w:t>.</w:t>
      </w:r>
    </w:p>
    <w:p w14:paraId="1B3FFD28" w14:textId="77777777" w:rsidR="0064326F" w:rsidRPr="00821723" w:rsidRDefault="0064326F" w:rsidP="0064326F">
      <w:pPr>
        <w:pStyle w:val="Textonotapie"/>
        <w:ind w:firstLine="709"/>
        <w:jc w:val="both"/>
        <w:rPr>
          <w:rFonts w:ascii="Verdana" w:hAnsi="Verdana" w:cs="Arial"/>
          <w:sz w:val="16"/>
          <w:szCs w:val="16"/>
        </w:rPr>
      </w:pPr>
    </w:p>
  </w:footnote>
  <w:footnote w:id="25">
    <w:p w14:paraId="00DFB310" w14:textId="77777777" w:rsidR="0064326F" w:rsidRDefault="0064326F" w:rsidP="0064326F">
      <w:pPr>
        <w:pStyle w:val="Textonotapie"/>
        <w:ind w:firstLine="709"/>
        <w:jc w:val="both"/>
        <w:rPr>
          <w:rFonts w:ascii="Verdana" w:hAnsi="Verdana" w:cs="Arial"/>
          <w:sz w:val="16"/>
          <w:szCs w:val="16"/>
        </w:rPr>
      </w:pPr>
      <w:r w:rsidRPr="00821723">
        <w:rPr>
          <w:rStyle w:val="Refdenotaalpie"/>
          <w:rFonts w:ascii="Verdana" w:hAnsi="Verdana" w:cs="Arial"/>
          <w:sz w:val="16"/>
          <w:szCs w:val="16"/>
        </w:rPr>
        <w:footnoteRef/>
      </w:r>
      <w:r w:rsidRPr="00821723">
        <w:rPr>
          <w:rFonts w:ascii="Verdana" w:hAnsi="Verdana" w:cs="Arial"/>
          <w:sz w:val="16"/>
          <w:szCs w:val="16"/>
        </w:rPr>
        <w:t xml:space="preserve"> HINESTROSA, Fernando. Tratado de las obligaciones: concepto, estructura y vicisitudes. Tercera Edición. Bogotá: Universidad Externado de Colombia, 2007. Libro en formato EPUB. En contraste con la cesión de créditos, “La cesión de contrato […] al permitir la sustitución de una de las partes en el contrato que se ejecuta, valida al tercero cesionario para que adquiera los derechos y las obligaciones que correspondían al contratante cedente como efectos del contrato. Es decir, lo que en realidad se cede, es mucho más que las posiciones o lados activos de las relaciones obligacionales. se cede también el lado pasivo, pues del contrato surgen como efecto obligaciones y derechos para las partes y la cesión de la posición contractual de una de ellas coloca al tercero cesionario en su lugar, en las mismas circunstancias frente al otro contratante” (ARRUBLA PAUCAR, Jaime Alberto. Contratos mercantiles: teoría general del negocio mercantil. Decimocuarta Edición. Bogotá: Legis, 2021. p. 251).   </w:t>
      </w:r>
    </w:p>
    <w:p w14:paraId="20E523E3" w14:textId="77777777" w:rsidR="0064326F" w:rsidRPr="00821723" w:rsidRDefault="0064326F" w:rsidP="0064326F">
      <w:pPr>
        <w:pStyle w:val="Textonotapie"/>
        <w:ind w:firstLine="709"/>
        <w:jc w:val="both"/>
        <w:rPr>
          <w:rFonts w:ascii="Verdana" w:hAnsi="Verdana" w:cs="Arial"/>
          <w:sz w:val="16"/>
          <w:szCs w:val="16"/>
        </w:rPr>
      </w:pPr>
    </w:p>
  </w:footnote>
  <w:footnote w:id="26">
    <w:p w14:paraId="119E825A" w14:textId="77777777" w:rsidR="0064326F" w:rsidRDefault="0064326F" w:rsidP="0064326F">
      <w:pPr>
        <w:pStyle w:val="Textonotapie"/>
        <w:ind w:firstLine="709"/>
        <w:jc w:val="both"/>
        <w:rPr>
          <w:rFonts w:ascii="Verdana" w:hAnsi="Verdana" w:cs="Arial"/>
          <w:sz w:val="16"/>
          <w:szCs w:val="16"/>
        </w:rPr>
      </w:pPr>
      <w:r w:rsidRPr="00821723">
        <w:rPr>
          <w:rStyle w:val="Refdenotaalpie"/>
          <w:rFonts w:ascii="Verdana" w:hAnsi="Verdana" w:cs="Arial"/>
          <w:sz w:val="16"/>
          <w:szCs w:val="16"/>
        </w:rPr>
        <w:footnoteRef/>
      </w:r>
      <w:r w:rsidRPr="00821723">
        <w:rPr>
          <w:rFonts w:ascii="Verdana" w:hAnsi="Verdana" w:cs="Arial"/>
          <w:sz w:val="16"/>
          <w:szCs w:val="16"/>
        </w:rPr>
        <w:t xml:space="preserve"> Código de Comercio: “Artículo 890. El que cede un contrato se obliga a responder de la existencia y validez del mismo y de sus garantías, pero, salvo estipulación expresa en contrario, no responderá de su cumplimiento por parte del otro contratante y de los garantes”.</w:t>
      </w:r>
    </w:p>
    <w:p w14:paraId="08FB6F3B" w14:textId="77777777" w:rsidR="0064326F" w:rsidRPr="00821723" w:rsidRDefault="0064326F" w:rsidP="0064326F">
      <w:pPr>
        <w:pStyle w:val="Textonotapie"/>
        <w:ind w:firstLine="709"/>
        <w:jc w:val="both"/>
        <w:rPr>
          <w:rFonts w:ascii="Verdana" w:hAnsi="Verdana" w:cs="Arial"/>
          <w:sz w:val="16"/>
          <w:szCs w:val="16"/>
        </w:rPr>
      </w:pPr>
    </w:p>
  </w:footnote>
  <w:footnote w:id="27">
    <w:p w14:paraId="30E6F2EE" w14:textId="77777777" w:rsidR="0064326F" w:rsidRDefault="0064326F" w:rsidP="0064326F">
      <w:pPr>
        <w:pStyle w:val="Textonotapie"/>
        <w:ind w:firstLine="709"/>
        <w:jc w:val="both"/>
        <w:rPr>
          <w:rFonts w:ascii="Verdana" w:hAnsi="Verdana" w:cs="Arial"/>
          <w:sz w:val="16"/>
          <w:szCs w:val="16"/>
        </w:rPr>
      </w:pPr>
      <w:r w:rsidRPr="00821723">
        <w:rPr>
          <w:rStyle w:val="Refdenotaalpie"/>
          <w:rFonts w:ascii="Verdana" w:hAnsi="Verdana" w:cs="Arial"/>
          <w:sz w:val="16"/>
          <w:szCs w:val="16"/>
        </w:rPr>
        <w:footnoteRef/>
      </w:r>
      <w:r w:rsidRPr="00821723">
        <w:rPr>
          <w:rFonts w:ascii="Verdana" w:hAnsi="Verdana" w:cs="Arial"/>
          <w:sz w:val="16"/>
          <w:szCs w:val="16"/>
        </w:rPr>
        <w:t xml:space="preserve"> Código de Comercio: “Artículo 891: Cuando el cedente se obliga a responder del cumplimiento del contrato por parte del contratante cedido, el cesionario deberá darle aviso dentro de los diez días siguientes a la mora o al incumplimiento, so pena de ser exonerado el cedente de la obligación de la garantía contraída con el cesionario”.</w:t>
      </w:r>
    </w:p>
    <w:p w14:paraId="2702510B" w14:textId="77777777" w:rsidR="0064326F" w:rsidRPr="00821723" w:rsidRDefault="0064326F" w:rsidP="0064326F">
      <w:pPr>
        <w:pStyle w:val="Textonotapie"/>
        <w:ind w:firstLine="709"/>
        <w:jc w:val="both"/>
        <w:rPr>
          <w:rFonts w:ascii="Verdana" w:hAnsi="Verdana" w:cs="Arial"/>
          <w:sz w:val="16"/>
          <w:szCs w:val="16"/>
          <w:lang w:val="es-CO"/>
        </w:rPr>
      </w:pPr>
    </w:p>
  </w:footnote>
  <w:footnote w:id="28">
    <w:p w14:paraId="1EEBD426" w14:textId="77777777" w:rsidR="0064326F" w:rsidRPr="00516D19" w:rsidRDefault="0064326F" w:rsidP="0064326F">
      <w:pPr>
        <w:pStyle w:val="Textonotapie"/>
        <w:ind w:firstLine="709"/>
        <w:jc w:val="both"/>
        <w:rPr>
          <w:rFonts w:ascii="Verdana" w:hAnsi="Verdana" w:cs="Arial"/>
          <w:sz w:val="16"/>
          <w:szCs w:val="16"/>
        </w:rPr>
      </w:pPr>
      <w:r w:rsidRPr="00516D19">
        <w:rPr>
          <w:rStyle w:val="Refdenotaalpie"/>
          <w:rFonts w:ascii="Verdana" w:hAnsi="Verdana" w:cs="Arial"/>
          <w:sz w:val="16"/>
          <w:szCs w:val="16"/>
        </w:rPr>
        <w:footnoteRef/>
      </w:r>
      <w:r w:rsidRPr="00516D19">
        <w:rPr>
          <w:rFonts w:ascii="Verdana" w:hAnsi="Verdana" w:cs="Arial"/>
          <w:sz w:val="16"/>
          <w:szCs w:val="16"/>
        </w:rPr>
        <w:t xml:space="preserve"> Código de Comercio: “Artículo 895. La cesión de un contrato implica la de las acciones, privilegios y beneficios legales inherentes a la naturaleza y condiciones del contrato; pero no transfiere los que se funden en causas ajenas al mismo, o en la calidad o estado de la persona de los contratantes”.</w:t>
      </w:r>
    </w:p>
    <w:p w14:paraId="58367A07" w14:textId="77777777" w:rsidR="0064326F" w:rsidRPr="00516D19" w:rsidRDefault="0064326F" w:rsidP="0064326F">
      <w:pPr>
        <w:pStyle w:val="Textonotapie"/>
        <w:ind w:firstLine="709"/>
        <w:jc w:val="both"/>
        <w:rPr>
          <w:rFonts w:ascii="Verdana" w:hAnsi="Verdana" w:cs="Arial"/>
          <w:sz w:val="16"/>
          <w:szCs w:val="16"/>
        </w:rPr>
      </w:pPr>
    </w:p>
    <w:p w14:paraId="3CF433ED" w14:textId="77777777" w:rsidR="0064326F" w:rsidRPr="00516D19" w:rsidRDefault="0064326F" w:rsidP="0064326F">
      <w:pPr>
        <w:pStyle w:val="Textonotapie"/>
        <w:ind w:firstLine="709"/>
        <w:jc w:val="both"/>
        <w:rPr>
          <w:rFonts w:ascii="Verdana" w:hAnsi="Verdana" w:cs="Arial"/>
          <w:sz w:val="16"/>
          <w:szCs w:val="16"/>
        </w:rPr>
      </w:pPr>
      <w:r w:rsidRPr="00516D19">
        <w:rPr>
          <w:rFonts w:ascii="Verdana" w:hAnsi="Verdana" w:cs="Arial"/>
          <w:sz w:val="16"/>
          <w:szCs w:val="16"/>
        </w:rPr>
        <w:t>“Artículo 896. El contratante cedido podrá oponer al cesionario todas las excepciones que se deriven del contrato. Podrá también oponer aquellas que se funden sobre otras relaciones con el cedente, respecto de las cuales haya hecho expresa reserva al momento de notificársele o aceptar la cesión”.</w:t>
      </w:r>
    </w:p>
  </w:footnote>
  <w:footnote w:id="29">
    <w:p w14:paraId="7F78D0ED" w14:textId="77777777" w:rsidR="0064326F" w:rsidRPr="00516D19" w:rsidRDefault="0064326F" w:rsidP="0064326F">
      <w:pPr>
        <w:pStyle w:val="Textonotapie"/>
        <w:ind w:firstLine="708"/>
        <w:jc w:val="both"/>
        <w:rPr>
          <w:rFonts w:ascii="Verdana" w:hAnsi="Verdana" w:cs="Arial"/>
          <w:sz w:val="16"/>
          <w:szCs w:val="16"/>
        </w:rPr>
      </w:pPr>
      <w:r w:rsidRPr="00516D19">
        <w:rPr>
          <w:rStyle w:val="Refdenotaalpie"/>
          <w:rFonts w:ascii="Verdana" w:hAnsi="Verdana" w:cs="Arial"/>
          <w:sz w:val="16"/>
          <w:szCs w:val="16"/>
        </w:rPr>
        <w:footnoteRef/>
      </w:r>
      <w:r w:rsidRPr="00516D19">
        <w:rPr>
          <w:rFonts w:ascii="Verdana" w:hAnsi="Verdana" w:cs="Arial"/>
          <w:sz w:val="16"/>
          <w:szCs w:val="16"/>
        </w:rPr>
        <w:t xml:space="preserve"> No en vano, “Quien contrata con la administración debe reunir condiciones previas, acreditadas por muy distintos medios, relativas a su capacidad técnica, financiera e incluso moral. De esas personas se ha seleccionado aquella que resulta la más conveniente para el caso, y esa persona no puede ser reemplazada por otra, por la sola decisión de ese cocontratante.</w:t>
      </w:r>
    </w:p>
    <w:p w14:paraId="58F41F63" w14:textId="77777777" w:rsidR="0064326F" w:rsidRPr="00516D19" w:rsidRDefault="0064326F" w:rsidP="0064326F">
      <w:pPr>
        <w:pStyle w:val="Textonotapie"/>
        <w:ind w:firstLine="708"/>
        <w:jc w:val="both"/>
        <w:rPr>
          <w:rFonts w:ascii="Verdana" w:hAnsi="Verdana" w:cs="Arial"/>
          <w:sz w:val="16"/>
          <w:szCs w:val="16"/>
        </w:rPr>
      </w:pPr>
      <w:r w:rsidRPr="00516D19">
        <w:rPr>
          <w:rFonts w:ascii="Verdana" w:hAnsi="Verdana" w:cs="Arial"/>
          <w:sz w:val="16"/>
          <w:szCs w:val="16"/>
        </w:rPr>
        <w:t>De ahí que el principio del cumplimiento personal de sus obligaciones por el cocontratante particular es una exigencia del contrato administrativo que resulta de su naturaleza, por lo que su aplicación es ineludible, aun en los casos en que no existen cláusulas expresas que impongan esa prestación personal o que prohíban la cesión o trasferencia del contrato o la subcontratación” (ESCOLA, Jorge. Tratado integral de los contratos administrativos. Volumen I. Buenos Aires: Depalma, 2012. p. 424).</w:t>
      </w:r>
    </w:p>
    <w:p w14:paraId="28650C95" w14:textId="77777777" w:rsidR="0064326F" w:rsidRPr="00821723" w:rsidRDefault="0064326F" w:rsidP="0064326F">
      <w:pPr>
        <w:pStyle w:val="Textonotapie"/>
        <w:ind w:firstLine="708"/>
        <w:jc w:val="both"/>
        <w:rPr>
          <w:rFonts w:ascii="Verdana" w:hAnsi="Verdana" w:cs="Arial"/>
          <w:sz w:val="16"/>
          <w:szCs w:val="16"/>
        </w:rPr>
      </w:pPr>
    </w:p>
  </w:footnote>
  <w:footnote w:id="30">
    <w:p w14:paraId="47A06E05" w14:textId="77777777" w:rsidR="0064326F" w:rsidRDefault="0064326F" w:rsidP="0064326F">
      <w:pPr>
        <w:pStyle w:val="Textonotapie"/>
        <w:ind w:firstLine="708"/>
        <w:jc w:val="both"/>
        <w:rPr>
          <w:rFonts w:ascii="Verdana" w:hAnsi="Verdana" w:cs="Arial"/>
          <w:sz w:val="16"/>
          <w:szCs w:val="16"/>
        </w:rPr>
      </w:pPr>
      <w:r w:rsidRPr="00821723">
        <w:rPr>
          <w:rStyle w:val="Refdenotaalpie"/>
          <w:rFonts w:ascii="Verdana" w:hAnsi="Verdana" w:cs="Arial"/>
          <w:sz w:val="16"/>
          <w:szCs w:val="16"/>
        </w:rPr>
        <w:footnoteRef/>
      </w:r>
      <w:r w:rsidRPr="00821723">
        <w:rPr>
          <w:rFonts w:ascii="Verdana" w:hAnsi="Verdana" w:cs="Arial"/>
          <w:sz w:val="16"/>
          <w:szCs w:val="16"/>
        </w:rPr>
        <w:t xml:space="preserve"> MARIENHOFF, Miguel S. Tratado de derecho administrativo. Tomo IIIA. Cuarta Edición. Buenos Aires: Abeledo Perrot, 1998. p. 318. Énfasis dentro del texto.</w:t>
      </w:r>
    </w:p>
    <w:p w14:paraId="70A99100" w14:textId="77777777" w:rsidR="0064326F" w:rsidRPr="00821723" w:rsidRDefault="0064326F" w:rsidP="0064326F">
      <w:pPr>
        <w:pStyle w:val="Textonotapie"/>
        <w:ind w:firstLine="708"/>
        <w:jc w:val="both"/>
        <w:rPr>
          <w:rFonts w:ascii="Verdana" w:hAnsi="Verdana" w:cs="Arial"/>
          <w:sz w:val="16"/>
          <w:szCs w:val="16"/>
          <w:lang w:val="es-ES"/>
        </w:rPr>
      </w:pPr>
    </w:p>
  </w:footnote>
  <w:footnote w:id="31">
    <w:p w14:paraId="342CAF60" w14:textId="77777777" w:rsidR="0064326F" w:rsidRDefault="0064326F" w:rsidP="0064326F">
      <w:pPr>
        <w:pStyle w:val="Textonotapie"/>
        <w:ind w:firstLine="708"/>
        <w:jc w:val="both"/>
        <w:rPr>
          <w:rFonts w:ascii="Verdana" w:hAnsi="Verdana" w:cs="Arial"/>
          <w:sz w:val="16"/>
          <w:szCs w:val="16"/>
        </w:rPr>
      </w:pPr>
      <w:r w:rsidRPr="00821723">
        <w:rPr>
          <w:rStyle w:val="Refdenotaalpie"/>
          <w:rFonts w:ascii="Verdana" w:hAnsi="Verdana" w:cs="Arial"/>
          <w:sz w:val="16"/>
          <w:szCs w:val="16"/>
        </w:rPr>
        <w:footnoteRef/>
      </w:r>
      <w:r w:rsidRPr="00821723">
        <w:rPr>
          <w:rFonts w:ascii="Verdana" w:hAnsi="Verdana" w:cs="Arial"/>
          <w:sz w:val="16"/>
          <w:szCs w:val="16"/>
        </w:rPr>
        <w:t xml:space="preserve"> RAMÍREZ GRISALES, Richard. La cesión. Serie: Las cláusulas del contrato estatal. Medellín: Centro de Estudios de Derecho Administrativo –CEDA– y Librería Jurídica Sánchez R., 2014. pp. 71-72.</w:t>
      </w:r>
    </w:p>
    <w:p w14:paraId="3150D1D0" w14:textId="77777777" w:rsidR="0064326F" w:rsidRPr="00821723" w:rsidRDefault="0064326F" w:rsidP="0064326F">
      <w:pPr>
        <w:pStyle w:val="Textonotapie"/>
        <w:ind w:firstLine="708"/>
        <w:jc w:val="both"/>
        <w:rPr>
          <w:rFonts w:ascii="Verdana" w:hAnsi="Verdana" w:cs="Arial"/>
          <w:sz w:val="16"/>
          <w:szCs w:val="16"/>
        </w:rPr>
      </w:pPr>
    </w:p>
  </w:footnote>
  <w:footnote w:id="32">
    <w:p w14:paraId="048DED89" w14:textId="77777777" w:rsidR="0064326F" w:rsidRPr="00821723" w:rsidRDefault="0064326F" w:rsidP="0064326F">
      <w:pPr>
        <w:pStyle w:val="Textonotapie"/>
        <w:ind w:firstLine="709"/>
        <w:jc w:val="both"/>
        <w:rPr>
          <w:rFonts w:ascii="Verdana" w:hAnsi="Verdana" w:cs="Arial"/>
          <w:sz w:val="16"/>
          <w:szCs w:val="16"/>
          <w:lang w:val="es-ES"/>
        </w:rPr>
      </w:pPr>
      <w:r w:rsidRPr="00821723">
        <w:rPr>
          <w:rStyle w:val="Refdenotaalpie"/>
          <w:rFonts w:ascii="Verdana" w:hAnsi="Verdana" w:cs="Arial"/>
          <w:sz w:val="16"/>
          <w:szCs w:val="16"/>
        </w:rPr>
        <w:footnoteRef/>
      </w:r>
      <w:r w:rsidRPr="00821723">
        <w:rPr>
          <w:rFonts w:ascii="Verdana" w:hAnsi="Verdana" w:cs="Arial"/>
          <w:sz w:val="16"/>
          <w:szCs w:val="16"/>
        </w:rPr>
        <w:t xml:space="preserve"> </w:t>
      </w:r>
      <w:r w:rsidRPr="00821723">
        <w:rPr>
          <w:rFonts w:ascii="Verdana" w:hAnsi="Verdana" w:cs="Arial"/>
          <w:sz w:val="16"/>
          <w:szCs w:val="16"/>
          <w:lang w:val="es-ES"/>
        </w:rPr>
        <w:t>Consejo de Estado</w:t>
      </w:r>
      <w:r>
        <w:rPr>
          <w:rFonts w:ascii="Verdana" w:hAnsi="Verdana" w:cs="Arial"/>
          <w:sz w:val="16"/>
          <w:szCs w:val="16"/>
          <w:lang w:val="es-ES"/>
        </w:rPr>
        <w:t>. Sala de lo Contencioso Administrativo.</w:t>
      </w:r>
      <w:r w:rsidRPr="00821723">
        <w:rPr>
          <w:rFonts w:ascii="Verdana" w:hAnsi="Verdana" w:cs="Arial"/>
          <w:sz w:val="16"/>
          <w:szCs w:val="16"/>
          <w:lang w:val="es-ES"/>
        </w:rPr>
        <w:t xml:space="preserve"> Sección Tercera</w:t>
      </w:r>
      <w:r>
        <w:rPr>
          <w:rFonts w:ascii="Verdana" w:hAnsi="Verdana" w:cs="Arial"/>
          <w:sz w:val="16"/>
          <w:szCs w:val="16"/>
          <w:lang w:val="es-ES"/>
        </w:rPr>
        <w:t>.</w:t>
      </w:r>
      <w:r w:rsidRPr="00821723">
        <w:rPr>
          <w:rFonts w:ascii="Verdana" w:hAnsi="Verdana" w:cs="Arial"/>
          <w:sz w:val="16"/>
          <w:szCs w:val="16"/>
          <w:lang w:val="es-ES"/>
        </w:rPr>
        <w:t xml:space="preserve"> Sentencia del 16 de marzo de 2015, Rad. 1999-03028, M.P. Jaime Orlando Santofimio Gamboa.</w:t>
      </w:r>
    </w:p>
  </w:footnote>
  <w:footnote w:id="33">
    <w:p w14:paraId="53DE537F" w14:textId="77777777" w:rsidR="0064326F" w:rsidRPr="0079750B" w:rsidRDefault="0064326F" w:rsidP="0064326F">
      <w:pPr>
        <w:pStyle w:val="Textonotapie"/>
        <w:ind w:firstLine="708"/>
        <w:jc w:val="both"/>
        <w:rPr>
          <w:rFonts w:ascii="Verdana" w:hAnsi="Verdana" w:cs="Arial"/>
          <w:sz w:val="16"/>
          <w:szCs w:val="16"/>
        </w:rPr>
      </w:pPr>
      <w:r w:rsidRPr="0079750B">
        <w:rPr>
          <w:rStyle w:val="Refdenotaalpie"/>
          <w:rFonts w:ascii="Verdana" w:hAnsi="Verdana" w:cs="Arial"/>
          <w:sz w:val="16"/>
          <w:szCs w:val="16"/>
        </w:rPr>
        <w:footnoteRef/>
      </w:r>
      <w:r w:rsidRPr="0079750B">
        <w:rPr>
          <w:rFonts w:ascii="Verdana" w:hAnsi="Verdana" w:cs="Arial"/>
          <w:sz w:val="16"/>
          <w:szCs w:val="16"/>
        </w:rPr>
        <w:t xml:space="preserve"> RAMÍREZ GRISALES, La cesión… Op. cit., pp.162-163. </w:t>
      </w:r>
    </w:p>
  </w:footnote>
  <w:footnote w:id="34">
    <w:p w14:paraId="133607DB" w14:textId="77777777" w:rsidR="0064326F" w:rsidRPr="0079750B" w:rsidRDefault="0064326F" w:rsidP="0064326F">
      <w:pPr>
        <w:pStyle w:val="Textonotapie"/>
        <w:ind w:firstLine="708"/>
        <w:jc w:val="both"/>
        <w:rPr>
          <w:rFonts w:ascii="Verdana" w:hAnsi="Verdana"/>
          <w:sz w:val="16"/>
          <w:szCs w:val="16"/>
          <w:lang w:val="es-CO"/>
        </w:rPr>
      </w:pPr>
      <w:r w:rsidRPr="0079750B">
        <w:rPr>
          <w:rStyle w:val="Refdenotaalpie"/>
          <w:rFonts w:ascii="Verdana" w:hAnsi="Verdana"/>
          <w:sz w:val="16"/>
          <w:szCs w:val="16"/>
        </w:rPr>
        <w:footnoteRef/>
      </w:r>
      <w:r w:rsidRPr="0079750B">
        <w:rPr>
          <w:rFonts w:ascii="Verdana" w:hAnsi="Verdana"/>
          <w:sz w:val="16"/>
          <w:szCs w:val="16"/>
        </w:rPr>
        <w:t xml:space="preserve"> TARELLO, Govanni. La interpretación de la ley. Lima: Palestra Editores, 2013. p. 313.</w:t>
      </w:r>
    </w:p>
  </w:footnote>
  <w:footnote w:id="35">
    <w:p w14:paraId="1AD8126F" w14:textId="77777777" w:rsidR="0064326F" w:rsidRPr="0079750B" w:rsidRDefault="0064326F" w:rsidP="0064326F">
      <w:pPr>
        <w:pStyle w:val="Textonotapie"/>
        <w:ind w:firstLine="708"/>
        <w:jc w:val="both"/>
        <w:rPr>
          <w:rFonts w:ascii="Verdana" w:hAnsi="Verdana"/>
          <w:sz w:val="16"/>
          <w:szCs w:val="16"/>
          <w:lang w:val="es-CO"/>
        </w:rPr>
      </w:pPr>
      <w:r w:rsidRPr="0079750B">
        <w:rPr>
          <w:rStyle w:val="Refdenotaalpie"/>
          <w:rFonts w:ascii="Verdana" w:hAnsi="Verdana"/>
          <w:sz w:val="16"/>
          <w:szCs w:val="16"/>
        </w:rPr>
        <w:footnoteRef/>
      </w:r>
      <w:r w:rsidRPr="0079750B">
        <w:rPr>
          <w:rFonts w:ascii="Verdana" w:hAnsi="Verdana"/>
          <w:sz w:val="16"/>
          <w:szCs w:val="16"/>
        </w:rPr>
        <w:t xml:space="preserve"> RAMÍREZ GRISALES,</w:t>
      </w:r>
      <w:r w:rsidRPr="0079750B">
        <w:rPr>
          <w:rFonts w:ascii="Verdana" w:hAnsi="Verdana" w:cs="Arial"/>
          <w:sz w:val="16"/>
          <w:szCs w:val="16"/>
        </w:rPr>
        <w:t xml:space="preserve"> La cesión… </w:t>
      </w:r>
      <w:r w:rsidRPr="0079750B">
        <w:rPr>
          <w:rFonts w:ascii="Verdana" w:hAnsi="Verdana"/>
          <w:sz w:val="16"/>
          <w:szCs w:val="16"/>
        </w:rPr>
        <w:t>Op cit., p. 146.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7774E2" w14:textId="77777777" w:rsidR="00074FEF" w:rsidRDefault="00074FEF" w:rsidP="00515FB5">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0120D3B6" wp14:editId="6366A4B6">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73C9D1C7" wp14:editId="2081A7A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4CCBDC64" w14:textId="77777777" w:rsidR="00074FEF" w:rsidRDefault="00074FEF" w:rsidP="00515FB5">
    <w:pPr>
      <w:pStyle w:val="Encabezado"/>
    </w:pPr>
  </w:p>
  <w:p w14:paraId="43D2BD72" w14:textId="77777777" w:rsidR="00074FEF" w:rsidRDefault="00074FEF" w:rsidP="00515FB5">
    <w:pPr>
      <w:pStyle w:val="Encabezado"/>
    </w:pPr>
  </w:p>
  <w:p w14:paraId="0EA5E1AB" w14:textId="77777777" w:rsidR="00074FEF" w:rsidRPr="00515FB5" w:rsidRDefault="00074FEF"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95pt;height:10.95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154E78AA"/>
    <w:multiLevelType w:val="multilevel"/>
    <w:tmpl w:val="E7149D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47F00E28"/>
    <w:multiLevelType w:val="hybridMultilevel"/>
    <w:tmpl w:val="1076D21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41274352">
    <w:abstractNumId w:val="0"/>
  </w:num>
  <w:num w:numId="2" w16cid:durableId="679089576">
    <w:abstractNumId w:val="2"/>
  </w:num>
  <w:num w:numId="3" w16cid:durableId="390349800">
    <w:abstractNumId w:val="4"/>
  </w:num>
  <w:num w:numId="4" w16cid:durableId="619845936">
    <w:abstractNumId w:val="1"/>
  </w:num>
  <w:num w:numId="5" w16cid:durableId="110639023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4FEF"/>
    <w:rsid w:val="00030D45"/>
    <w:rsid w:val="00055B47"/>
    <w:rsid w:val="0006795A"/>
    <w:rsid w:val="00074FEF"/>
    <w:rsid w:val="0008242C"/>
    <w:rsid w:val="00095297"/>
    <w:rsid w:val="000A3EA7"/>
    <w:rsid w:val="000B42BA"/>
    <w:rsid w:val="000B546C"/>
    <w:rsid w:val="000C28A7"/>
    <w:rsid w:val="000F3B65"/>
    <w:rsid w:val="000F5A42"/>
    <w:rsid w:val="00123CF4"/>
    <w:rsid w:val="00134641"/>
    <w:rsid w:val="00143201"/>
    <w:rsid w:val="0018335A"/>
    <w:rsid w:val="001A3997"/>
    <w:rsid w:val="001A4CD7"/>
    <w:rsid w:val="001B05B3"/>
    <w:rsid w:val="00223DF0"/>
    <w:rsid w:val="00233239"/>
    <w:rsid w:val="00264943"/>
    <w:rsid w:val="00295829"/>
    <w:rsid w:val="002D400B"/>
    <w:rsid w:val="002E59D4"/>
    <w:rsid w:val="002F2381"/>
    <w:rsid w:val="002F3E9A"/>
    <w:rsid w:val="002F6A55"/>
    <w:rsid w:val="002F77C9"/>
    <w:rsid w:val="00300443"/>
    <w:rsid w:val="00394B3C"/>
    <w:rsid w:val="003A4F72"/>
    <w:rsid w:val="003C66FF"/>
    <w:rsid w:val="003E5572"/>
    <w:rsid w:val="003F1478"/>
    <w:rsid w:val="003F5F1E"/>
    <w:rsid w:val="00426543"/>
    <w:rsid w:val="00461028"/>
    <w:rsid w:val="004639F9"/>
    <w:rsid w:val="004806EA"/>
    <w:rsid w:val="00495738"/>
    <w:rsid w:val="004B7AC9"/>
    <w:rsid w:val="004F19C5"/>
    <w:rsid w:val="00504524"/>
    <w:rsid w:val="00504CE3"/>
    <w:rsid w:val="00516CEB"/>
    <w:rsid w:val="00521960"/>
    <w:rsid w:val="00542E62"/>
    <w:rsid w:val="00562A4C"/>
    <w:rsid w:val="0057148C"/>
    <w:rsid w:val="00575C1E"/>
    <w:rsid w:val="005C40C6"/>
    <w:rsid w:val="005C69A9"/>
    <w:rsid w:val="00611CBA"/>
    <w:rsid w:val="00614848"/>
    <w:rsid w:val="0064326F"/>
    <w:rsid w:val="0067607F"/>
    <w:rsid w:val="006C4C64"/>
    <w:rsid w:val="006D0DF3"/>
    <w:rsid w:val="006E2D12"/>
    <w:rsid w:val="007E203C"/>
    <w:rsid w:val="00804346"/>
    <w:rsid w:val="00866CCD"/>
    <w:rsid w:val="008874CC"/>
    <w:rsid w:val="00896EBA"/>
    <w:rsid w:val="008B72CB"/>
    <w:rsid w:val="00913522"/>
    <w:rsid w:val="00920E18"/>
    <w:rsid w:val="00933DD8"/>
    <w:rsid w:val="00935F68"/>
    <w:rsid w:val="00940A07"/>
    <w:rsid w:val="00944B5C"/>
    <w:rsid w:val="009765C7"/>
    <w:rsid w:val="00996A2C"/>
    <w:rsid w:val="00997570"/>
    <w:rsid w:val="009A2BBA"/>
    <w:rsid w:val="009C17F8"/>
    <w:rsid w:val="009F4A54"/>
    <w:rsid w:val="00A028E0"/>
    <w:rsid w:val="00A03D1A"/>
    <w:rsid w:val="00A12218"/>
    <w:rsid w:val="00A23751"/>
    <w:rsid w:val="00A3652D"/>
    <w:rsid w:val="00A37F02"/>
    <w:rsid w:val="00A5536A"/>
    <w:rsid w:val="00A776CF"/>
    <w:rsid w:val="00A832D8"/>
    <w:rsid w:val="00A90678"/>
    <w:rsid w:val="00A93564"/>
    <w:rsid w:val="00AA3DDE"/>
    <w:rsid w:val="00AF4899"/>
    <w:rsid w:val="00B50215"/>
    <w:rsid w:val="00B5037A"/>
    <w:rsid w:val="00B81FD7"/>
    <w:rsid w:val="00B820E4"/>
    <w:rsid w:val="00BB3C17"/>
    <w:rsid w:val="00BC50DD"/>
    <w:rsid w:val="00BD3235"/>
    <w:rsid w:val="00C27D7E"/>
    <w:rsid w:val="00C731D0"/>
    <w:rsid w:val="00CB793E"/>
    <w:rsid w:val="00CC1D15"/>
    <w:rsid w:val="00CD3955"/>
    <w:rsid w:val="00CE3F1A"/>
    <w:rsid w:val="00D22FE0"/>
    <w:rsid w:val="00D34BC5"/>
    <w:rsid w:val="00D37ECB"/>
    <w:rsid w:val="00D4239E"/>
    <w:rsid w:val="00D63690"/>
    <w:rsid w:val="00D80A4D"/>
    <w:rsid w:val="00DA3D21"/>
    <w:rsid w:val="00DA664E"/>
    <w:rsid w:val="00DB3119"/>
    <w:rsid w:val="00DC2053"/>
    <w:rsid w:val="00DF4A2C"/>
    <w:rsid w:val="00E033F3"/>
    <w:rsid w:val="00E55D70"/>
    <w:rsid w:val="00E863EF"/>
    <w:rsid w:val="00E92E96"/>
    <w:rsid w:val="00EC509D"/>
    <w:rsid w:val="00EC6FAC"/>
    <w:rsid w:val="00F01881"/>
    <w:rsid w:val="00F41063"/>
    <w:rsid w:val="00F46E1A"/>
    <w:rsid w:val="00F853DB"/>
    <w:rsid w:val="00F91B91"/>
    <w:rsid w:val="00FA5180"/>
    <w:rsid w:val="00FE3D79"/>
    <w:rsid w:val="00FE5976"/>
    <w:rsid w:val="00FE76E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573355"/>
  <w15:chartTrackingRefBased/>
  <w15:docId w15:val="{F5D0DD5D-18C5-40CD-9578-6D554FB8B9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66FF"/>
    <w:rPr>
      <w:kern w:val="0"/>
      <w14:ligatures w14:val="none"/>
    </w:rPr>
  </w:style>
  <w:style w:type="paragraph" w:styleId="Ttulo1">
    <w:name w:val="heading 1"/>
    <w:basedOn w:val="Normal"/>
    <w:next w:val="Normal"/>
    <w:link w:val="Ttulo1Car"/>
    <w:uiPriority w:val="9"/>
    <w:qFormat/>
    <w:rsid w:val="00074FE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074FE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074FEF"/>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074FEF"/>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074FEF"/>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074FEF"/>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074FEF"/>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074FEF"/>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074FEF"/>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74FEF"/>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074FEF"/>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074FEF"/>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074FEF"/>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074FEF"/>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074FEF"/>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074FEF"/>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074FEF"/>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074FEF"/>
    <w:rPr>
      <w:rFonts w:eastAsiaTheme="majorEastAsia" w:cstheme="majorBidi"/>
      <w:color w:val="272727" w:themeColor="text1" w:themeTint="D8"/>
    </w:rPr>
  </w:style>
  <w:style w:type="paragraph" w:styleId="Ttulo">
    <w:name w:val="Title"/>
    <w:basedOn w:val="Normal"/>
    <w:next w:val="Normal"/>
    <w:link w:val="TtuloCar"/>
    <w:uiPriority w:val="10"/>
    <w:qFormat/>
    <w:rsid w:val="00074FE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074FEF"/>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074FEF"/>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074FEF"/>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074FEF"/>
    <w:pPr>
      <w:spacing w:before="160"/>
      <w:jc w:val="center"/>
    </w:pPr>
    <w:rPr>
      <w:i/>
      <w:iCs/>
      <w:color w:val="404040" w:themeColor="text1" w:themeTint="BF"/>
    </w:rPr>
  </w:style>
  <w:style w:type="character" w:customStyle="1" w:styleId="CitaCar">
    <w:name w:val="Cita Car"/>
    <w:basedOn w:val="Fuentedeprrafopredeter"/>
    <w:link w:val="Cita"/>
    <w:uiPriority w:val="29"/>
    <w:rsid w:val="00074FEF"/>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074FEF"/>
    <w:pPr>
      <w:ind w:left="720"/>
      <w:contextualSpacing/>
    </w:pPr>
  </w:style>
  <w:style w:type="character" w:styleId="nfasisintenso">
    <w:name w:val="Intense Emphasis"/>
    <w:basedOn w:val="Fuentedeprrafopredeter"/>
    <w:uiPriority w:val="21"/>
    <w:qFormat/>
    <w:rsid w:val="00074FEF"/>
    <w:rPr>
      <w:i/>
      <w:iCs/>
      <w:color w:val="0F4761" w:themeColor="accent1" w:themeShade="BF"/>
    </w:rPr>
  </w:style>
  <w:style w:type="paragraph" w:styleId="Citadestacada">
    <w:name w:val="Intense Quote"/>
    <w:basedOn w:val="Normal"/>
    <w:next w:val="Normal"/>
    <w:link w:val="CitadestacadaCar"/>
    <w:uiPriority w:val="30"/>
    <w:qFormat/>
    <w:rsid w:val="00074FE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074FEF"/>
    <w:rPr>
      <w:i/>
      <w:iCs/>
      <w:color w:val="0F4761" w:themeColor="accent1" w:themeShade="BF"/>
    </w:rPr>
  </w:style>
  <w:style w:type="character" w:styleId="Referenciaintensa">
    <w:name w:val="Intense Reference"/>
    <w:basedOn w:val="Fuentedeprrafopredeter"/>
    <w:uiPriority w:val="32"/>
    <w:qFormat/>
    <w:rsid w:val="00074FEF"/>
    <w:rPr>
      <w:b/>
      <w:bCs/>
      <w:smallCaps/>
      <w:color w:val="0F4761" w:themeColor="accent1" w:themeShade="BF"/>
      <w:spacing w:val="5"/>
    </w:rPr>
  </w:style>
  <w:style w:type="paragraph" w:styleId="Encabezado">
    <w:name w:val="header"/>
    <w:basedOn w:val="Normal"/>
    <w:link w:val="EncabezadoCar"/>
    <w:uiPriority w:val="99"/>
    <w:unhideWhenUsed/>
    <w:rsid w:val="00074FE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74FEF"/>
    <w:rPr>
      <w:kern w:val="0"/>
      <w14:ligatures w14:val="none"/>
    </w:rPr>
  </w:style>
  <w:style w:type="paragraph" w:styleId="Piedepgina">
    <w:name w:val="footer"/>
    <w:basedOn w:val="Normal"/>
    <w:link w:val="PiedepginaCar"/>
    <w:uiPriority w:val="99"/>
    <w:unhideWhenUsed/>
    <w:rsid w:val="00074FE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74FEF"/>
    <w:rPr>
      <w:kern w:val="0"/>
      <w14:ligatures w14:val="none"/>
    </w:rPr>
  </w:style>
  <w:style w:type="table" w:styleId="Tablaconcuadrcula">
    <w:name w:val="Table Grid"/>
    <w:basedOn w:val="Tablanormal"/>
    <w:uiPriority w:val="39"/>
    <w:qFormat/>
    <w:rsid w:val="00074FEF"/>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074FEF"/>
    <w:rPr>
      <w:color w:val="467886" w:themeColor="hyperlink"/>
      <w:u w:val="single"/>
    </w:rPr>
  </w:style>
  <w:style w:type="character" w:customStyle="1" w:styleId="normaltextrun">
    <w:name w:val="normaltextrun"/>
    <w:basedOn w:val="Fuentedeprrafopredeter"/>
    <w:rsid w:val="00074FEF"/>
  </w:style>
  <w:style w:type="character" w:customStyle="1" w:styleId="eop">
    <w:name w:val="eop"/>
    <w:basedOn w:val="Fuentedeprrafopredeter"/>
    <w:rsid w:val="00074FEF"/>
  </w:style>
  <w:style w:type="paragraph" w:customStyle="1" w:styleId="paragraph">
    <w:name w:val="paragraph"/>
    <w:basedOn w:val="Normal"/>
    <w:rsid w:val="00074FEF"/>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74FEF"/>
  </w:style>
  <w:style w:type="paragraph" w:styleId="NormalWeb">
    <w:name w:val="Normal (Web)"/>
    <w:basedOn w:val="Normal"/>
    <w:link w:val="NormalWebCar"/>
    <w:uiPriority w:val="99"/>
    <w:unhideWhenUsed/>
    <w:rsid w:val="00074FEF"/>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WebCar">
    <w:name w:val="Normal (Web) Car"/>
    <w:link w:val="NormalWeb"/>
    <w:uiPriority w:val="99"/>
    <w:locked/>
    <w:rsid w:val="00074FEF"/>
    <w:rPr>
      <w:rFonts w:ascii="Times New Roman" w:eastAsia="Times New Roman" w:hAnsi="Times New Roman" w:cs="Times New Roman"/>
      <w:kern w:val="0"/>
      <w:sz w:val="24"/>
      <w:szCs w:val="24"/>
      <w:lang w:eastAsia="es-CO"/>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5037A"/>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5037A"/>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B5037A"/>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5037A"/>
    <w:rPr>
      <w:vertAlign w:val="superscript"/>
    </w:rPr>
  </w:style>
  <w:style w:type="paragraph" w:customStyle="1" w:styleId="Appelnotedebasde">
    <w:name w:val="Appel note de bas de..."/>
    <w:basedOn w:val="Normal"/>
    <w:link w:val="Refdenotaalpie"/>
    <w:uiPriority w:val="99"/>
    <w:rsid w:val="00B5037A"/>
    <w:pPr>
      <w:spacing w:line="240" w:lineRule="exact"/>
    </w:pPr>
    <w:rPr>
      <w:kern w:val="2"/>
      <w:vertAlign w:val="superscript"/>
      <w14:ligatures w14:val="standardContextual"/>
    </w:rPr>
  </w:style>
  <w:style w:type="paragraph" w:styleId="Textoindependiente">
    <w:name w:val="Body Text"/>
    <w:basedOn w:val="Normal"/>
    <w:link w:val="TextoindependienteCar"/>
    <w:uiPriority w:val="1"/>
    <w:qFormat/>
    <w:rsid w:val="00B5037A"/>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B5037A"/>
    <w:rPr>
      <w:rFonts w:ascii="Verdana" w:eastAsia="Verdana" w:hAnsi="Verdana" w:cs="Verdana"/>
      <w:kern w:val="0"/>
      <w:lang w:val="es-ES"/>
      <w14:ligatures w14:val="none"/>
    </w:rPr>
  </w:style>
  <w:style w:type="character" w:styleId="Mencinsinresolver">
    <w:name w:val="Unresolved Mention"/>
    <w:basedOn w:val="Fuentedeprrafopredeter"/>
    <w:uiPriority w:val="99"/>
    <w:semiHidden/>
    <w:unhideWhenUsed/>
    <w:rsid w:val="00FA5180"/>
    <w:rPr>
      <w:color w:val="605E5C"/>
      <w:shd w:val="clear" w:color="auto" w:fill="E1DFDD"/>
    </w:rPr>
  </w:style>
  <w:style w:type="paragraph" w:styleId="Sinespaciado">
    <w:name w:val="No Spacing"/>
    <w:aliases w:val="No Indent"/>
    <w:uiPriority w:val="3"/>
    <w:qFormat/>
    <w:rsid w:val="000C28A7"/>
    <w:pPr>
      <w:spacing w:after="0" w:line="240" w:lineRule="auto"/>
    </w:pPr>
    <w:rPr>
      <w:kern w:val="0"/>
      <w:sz w:val="24"/>
      <w:lang w:val="es-MX"/>
      <w14:ligatures w14:val="none"/>
    </w:rPr>
  </w:style>
  <w:style w:type="character" w:styleId="Fuerte">
    <w:name w:val="Strong"/>
    <w:basedOn w:val="Fuentedeprrafopredeter"/>
    <w:uiPriority w:val="22"/>
    <w:qFormat/>
    <w:rsid w:val="00913522"/>
    <w:rPr>
      <w:b/>
      <w:bCs/>
    </w:rPr>
  </w:style>
  <w:style w:type="character" w:styleId="nfasis">
    <w:name w:val="Emphasis"/>
    <w:basedOn w:val="Fuentedeprrafopredeter"/>
    <w:uiPriority w:val="20"/>
    <w:qFormat/>
    <w:rsid w:val="0091352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groman22@outlook.com" TargetMode="External"/><Relationship Id="rId13" Type="http://schemas.openxmlformats.org/officeDocument/2006/relationships/header" Target="header1.xml"/><Relationship Id="rId1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3.png"/><Relationship Id="rId17"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olombiacompra.gov.co"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www.colombiacompra.gov.co/normativa-y-relatoria/conoce-la-relatoria" TargetMode="External"/><Relationship Id="rId19"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hyperlink" Target="https://www.colombiacompra.gov.co/wp-content/uploads/2024/08/circular_externa_unica_version_3_vf49.pdf" TargetMode="Externa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wp-content/uploads/2024/08/circular_externa_unica_version_3_vf49.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0C788E5-F2B6-4F07-9AC8-12A0EDE7A56E}"/>
</file>

<file path=customXml/itemProps2.xml><?xml version="1.0" encoding="utf-8"?>
<ds:datastoreItem xmlns:ds="http://schemas.openxmlformats.org/officeDocument/2006/customXml" ds:itemID="{C925ADE8-054A-4BB5-B6FB-8FFD38B67504}"/>
</file>

<file path=customXml/itemProps3.xml><?xml version="1.0" encoding="utf-8"?>
<ds:datastoreItem xmlns:ds="http://schemas.openxmlformats.org/officeDocument/2006/customXml" ds:itemID="{B7ED6FFC-CBE6-41EC-BB74-FA22FF882630}"/>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533</TotalTime>
  <Pages>30</Pages>
  <Words>9060</Words>
  <Characters>50374</Characters>
  <Application>Microsoft Office Word</Application>
  <DocSecurity>0</DocSecurity>
  <Lines>1028</Lines>
  <Paragraphs>210</Paragraphs>
  <ScaleCrop>false</ScaleCrop>
  <Company/>
  <LinksUpToDate>false</LinksUpToDate>
  <CharactersWithSpaces>59224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Andreina Cerpa Muñoz</dc:creator>
  <cp:keywords/>
  <dc:description/>
  <cp:lastModifiedBy>Andreina Cerpa Muñoz</cp:lastModifiedBy>
  <cp:revision>123</cp:revision>
  <dcterms:created xsi:type="dcterms:W3CDTF">2026-02-12T16:08:00Z</dcterms:created>
  <dcterms:modified xsi:type="dcterms:W3CDTF">2026-02-13T23:05:00Z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