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7DB9F" w14:textId="77777777" w:rsidR="00D84E93" w:rsidRPr="001D6D9D" w:rsidRDefault="00D84E93" w:rsidP="00D84E93">
      <w:pPr>
        <w:spacing w:after="0" w:line="240" w:lineRule="auto"/>
        <w:contextualSpacing/>
        <w:jc w:val="both"/>
        <w:rPr>
          <w:rFonts w:ascii="Verdana" w:eastAsia="Calibri" w:hAnsi="Verdana" w:cs="Arial"/>
          <w:b/>
          <w:bCs/>
          <w:lang w:val="es-ES" w:eastAsia="es-ES_tradnl"/>
        </w:rPr>
      </w:pPr>
      <w:bookmarkStart w:id="0" w:name="_Hlk143780582"/>
      <w:r w:rsidRPr="001D6D9D">
        <w:rPr>
          <w:rFonts w:ascii="Verdana" w:eastAsia="Calibri" w:hAnsi="Verdana" w:cs="Arial"/>
          <w:b/>
          <w:bCs/>
          <w:lang w:val="es-ES" w:eastAsia="es-ES_tradnl"/>
        </w:rPr>
        <w:t>REQUISITOS HABILITANTES – Noción</w:t>
      </w:r>
    </w:p>
    <w:p w14:paraId="65E15CBE" w14:textId="77777777" w:rsidR="00D84E93" w:rsidRPr="001D6D9D" w:rsidRDefault="00D84E93" w:rsidP="00D84E93">
      <w:pPr>
        <w:spacing w:after="0" w:line="240" w:lineRule="auto"/>
        <w:contextualSpacing/>
        <w:jc w:val="both"/>
        <w:rPr>
          <w:rFonts w:ascii="Verdana" w:eastAsia="Calibri" w:hAnsi="Verdana" w:cs="Arial"/>
          <w:color w:val="000000" w:themeColor="text1"/>
          <w:lang w:val="es-ES"/>
        </w:rPr>
      </w:pPr>
    </w:p>
    <w:p w14:paraId="11AFDA24"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 xml:space="preserve">Los </w:t>
      </w:r>
      <w:r w:rsidRPr="001D6D9D">
        <w:rPr>
          <w:rFonts w:ascii="Verdana" w:eastAsia="Calibri" w:hAnsi="Verdana" w:cs="Arial"/>
          <w:i/>
          <w:iCs/>
          <w:color w:val="000000" w:themeColor="text1"/>
          <w:sz w:val="20"/>
          <w:szCs w:val="20"/>
          <w:lang w:val="es-ES"/>
        </w:rPr>
        <w:t>requisitos habilitantes</w:t>
      </w:r>
      <w:r w:rsidRPr="001D6D9D">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1D6D9D">
        <w:rPr>
          <w:rFonts w:ascii="Verdana" w:eastAsia="Calibri" w:hAnsi="Verdana" w:cs="Arial"/>
          <w:i/>
          <w:iCs/>
          <w:color w:val="000000" w:themeColor="text1"/>
          <w:sz w:val="20"/>
          <w:szCs w:val="20"/>
          <w:lang w:val="es-ES"/>
        </w:rPr>
        <w:t>criterios de evaluación</w:t>
      </w:r>
      <w:r w:rsidRPr="001D6D9D">
        <w:rPr>
          <w:rFonts w:ascii="Verdana" w:eastAsia="Calibri" w:hAnsi="Verdana" w:cs="Arial"/>
          <w:color w:val="000000" w:themeColor="text1"/>
          <w:sz w:val="20"/>
          <w:szCs w:val="20"/>
          <w:lang w:val="es-ES"/>
        </w:rPr>
        <w:t xml:space="preserve"> –también conocidos como </w:t>
      </w:r>
      <w:r w:rsidRPr="001D6D9D">
        <w:rPr>
          <w:rFonts w:ascii="Verdana" w:eastAsia="Calibri" w:hAnsi="Verdana" w:cs="Arial"/>
          <w:i/>
          <w:iCs/>
          <w:color w:val="000000" w:themeColor="text1"/>
          <w:sz w:val="20"/>
          <w:szCs w:val="20"/>
          <w:lang w:val="es-ES"/>
        </w:rPr>
        <w:t>criterios de calificación</w:t>
      </w:r>
      <w:r w:rsidRPr="001D6D9D">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225046E2"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p>
    <w:p w14:paraId="7CBC2197"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5861A7B9" w14:textId="77777777" w:rsidR="00D84E93" w:rsidRPr="001D6D9D" w:rsidRDefault="00D84E93" w:rsidP="00D84E93">
      <w:pPr>
        <w:spacing w:after="0" w:line="240" w:lineRule="auto"/>
        <w:contextualSpacing/>
        <w:jc w:val="both"/>
        <w:rPr>
          <w:rFonts w:ascii="Verdana" w:eastAsia="Calibri" w:hAnsi="Verdana" w:cs="Arial"/>
          <w:b/>
          <w:bCs/>
          <w:lang w:val="es-ES" w:eastAsia="es-ES_tradnl"/>
        </w:rPr>
      </w:pPr>
    </w:p>
    <w:p w14:paraId="356C4670" w14:textId="77777777" w:rsidR="00D84E93" w:rsidRPr="001D6D9D" w:rsidRDefault="00D84E93" w:rsidP="00D84E93">
      <w:pPr>
        <w:spacing w:after="0" w:line="240" w:lineRule="auto"/>
        <w:contextualSpacing/>
        <w:jc w:val="both"/>
        <w:rPr>
          <w:rFonts w:ascii="Verdana" w:eastAsia="Calibri" w:hAnsi="Verdana" w:cs="Arial"/>
          <w:b/>
          <w:bCs/>
          <w:lang w:val="es-ES" w:eastAsia="es-ES_tradnl"/>
        </w:rPr>
      </w:pPr>
      <w:r w:rsidRPr="001D6D9D">
        <w:rPr>
          <w:rFonts w:ascii="Verdana" w:eastAsia="Calibri" w:hAnsi="Verdana" w:cs="Arial"/>
          <w:b/>
          <w:bCs/>
          <w:lang w:val="es-ES" w:eastAsia="es-ES_tradnl"/>
        </w:rPr>
        <w:t>REQUISITOS HABILITANTES – Autonomía</w:t>
      </w:r>
    </w:p>
    <w:p w14:paraId="15D7158D" w14:textId="77777777" w:rsidR="00D84E93" w:rsidRPr="001D6D9D" w:rsidRDefault="00D84E93" w:rsidP="00D84E93">
      <w:pPr>
        <w:widowControl w:val="0"/>
        <w:autoSpaceDE w:val="0"/>
        <w:autoSpaceDN w:val="0"/>
        <w:spacing w:after="0" w:line="240" w:lineRule="auto"/>
        <w:contextualSpacing/>
        <w:jc w:val="both"/>
        <w:rPr>
          <w:rFonts w:ascii="Verdana" w:eastAsia="Calibri" w:hAnsi="Verdana" w:cs="Arial"/>
          <w:color w:val="000000" w:themeColor="text1"/>
          <w:lang w:val="es-ES"/>
        </w:rPr>
      </w:pPr>
    </w:p>
    <w:p w14:paraId="7762740C"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170AE88C" w14:textId="77777777" w:rsidR="00D84E93" w:rsidRPr="001D6D9D" w:rsidRDefault="00D84E93" w:rsidP="00D84E93">
      <w:pPr>
        <w:widowControl w:val="0"/>
        <w:autoSpaceDE w:val="0"/>
        <w:autoSpaceDN w:val="0"/>
        <w:spacing w:after="0" w:line="240" w:lineRule="auto"/>
        <w:contextualSpacing/>
        <w:jc w:val="both"/>
        <w:rPr>
          <w:rFonts w:ascii="Verdana" w:eastAsia="Calibri" w:hAnsi="Verdana" w:cs="Arial"/>
          <w:color w:val="000000" w:themeColor="text1"/>
          <w:sz w:val="21"/>
          <w:szCs w:val="21"/>
          <w:lang w:val="es-ES"/>
        </w:rPr>
      </w:pPr>
    </w:p>
    <w:p w14:paraId="188803D3" w14:textId="77777777" w:rsidR="00D84E93" w:rsidRPr="001D6D9D" w:rsidRDefault="00D84E93" w:rsidP="00D84E93">
      <w:pPr>
        <w:widowControl w:val="0"/>
        <w:autoSpaceDE w:val="0"/>
        <w:autoSpaceDN w:val="0"/>
        <w:spacing w:after="0" w:line="240" w:lineRule="auto"/>
        <w:contextualSpacing/>
        <w:jc w:val="both"/>
        <w:rPr>
          <w:rFonts w:ascii="Verdana" w:eastAsia="Calibri" w:hAnsi="Verdana" w:cs="Arial"/>
          <w:b/>
          <w:bCs/>
          <w:lang w:val="es-ES" w:eastAsia="es-ES_tradnl"/>
        </w:rPr>
      </w:pPr>
      <w:r w:rsidRPr="001D6D9D">
        <w:rPr>
          <w:rFonts w:ascii="Verdana" w:eastAsia="Calibri" w:hAnsi="Verdana" w:cs="Arial"/>
          <w:b/>
          <w:bCs/>
          <w:lang w:val="es-ES" w:eastAsia="es-ES_tradnl"/>
        </w:rPr>
        <w:t>REQUISITOS HABILITANTES – No taxativos – Ley 842 de 2003 – Vinculación permanente de un profesional</w:t>
      </w:r>
    </w:p>
    <w:p w14:paraId="35077BA3" w14:textId="77777777" w:rsidR="00D84E93" w:rsidRPr="001D6D9D" w:rsidRDefault="00D84E93" w:rsidP="00D84E93">
      <w:pPr>
        <w:widowControl w:val="0"/>
        <w:autoSpaceDE w:val="0"/>
        <w:autoSpaceDN w:val="0"/>
        <w:spacing w:after="0" w:line="240" w:lineRule="auto"/>
        <w:contextualSpacing/>
        <w:jc w:val="both"/>
        <w:rPr>
          <w:rFonts w:ascii="Verdana" w:eastAsia="Calibri" w:hAnsi="Verdana" w:cs="Arial"/>
          <w:b/>
          <w:bCs/>
          <w:lang w:val="es-ES" w:eastAsia="es-ES_tradnl"/>
        </w:rPr>
      </w:pPr>
    </w:p>
    <w:p w14:paraId="7B1EE8B7"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Sin embargo, la aptitud o idoneidad del proponente no se agota con la verificación de estos ítems, sino como en casos como el elevado en la consulta, existen además ciertos requisitos que de forma complementaria se deben cumplir, como el del artículo 17 de la Ley 842 de 2003 que establece el deber que recae de forma directa en cabeza de la persona jurídica (proponente) y del Representante Legal de la sociedad, firma, empresa u organización profesional cuyas actividades correspondan al ejercicio profesional de ingeniería, de sus profesiones afines o de sus profesiones auxiliares, de vincular laboralmente de forma permanente a un profesional matriculado en la carrera correspondiente al objeto social de la respectiva persona jurídica.  Estableciéndose además en el parágrafo único la consecuencia jurídica de omitir ese deber.</w:t>
      </w:r>
    </w:p>
    <w:p w14:paraId="6BD29FC7"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p>
    <w:p w14:paraId="0A487355"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lastRenderedPageBreak/>
        <w:t>Concomitante con lo expuesto, el cumplimiento de esta obligación legal debe ser incorporado por la entidad contratante en su evaluación de la capacidad jurídica y organizacional de las ofertas. En efecto, la verificación de este requisito específico es una parte fundamental del análisis general que determina si un proponente es verdaderamente idóneo para contratar con el Estado. Pues un proponente que no cumple con esta norma carecería de la aptitud legal para ejecutar un contrato de ingeniería o de profesiones afines o relacionadas, pues opera por fuera del marco legal de su propia profesión.</w:t>
      </w:r>
    </w:p>
    <w:p w14:paraId="187D35DC"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p>
    <w:p w14:paraId="1687F252" w14:textId="77777777" w:rsidR="00D84E93" w:rsidRPr="001D6D9D" w:rsidRDefault="00D84E93" w:rsidP="00D84E93">
      <w:pPr>
        <w:spacing w:after="0"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Es importante señalar que el cumplimiento del artículo 17 ibidem, debe ser contenido de forma expresa en el pliego de condiciones, con el propósito de que la persona jurídica que va a postular su oferta acredite que cuenta con una vinculación de carácter permanente con el profesional de ingeniería o de carreras afines al objeto social de la respectiva persona jurídica. Y al ser parte de los requisitos habilitantes permite determinar si la oferta cumple o no cumple para seguir con la posterior evaluación de los factores de calificación o requisitos ponderables.</w:t>
      </w:r>
    </w:p>
    <w:p w14:paraId="7867EC82" w14:textId="77777777" w:rsidR="00D84E93" w:rsidRPr="001D6D9D" w:rsidRDefault="00D84E93" w:rsidP="00D84E93">
      <w:pPr>
        <w:contextualSpacing/>
        <w:jc w:val="both"/>
        <w:rPr>
          <w:rFonts w:ascii="Verdana" w:eastAsia="Calibri" w:hAnsi="Verdana" w:cs="Arial"/>
          <w:color w:val="000000" w:themeColor="text1"/>
          <w:sz w:val="21"/>
          <w:szCs w:val="21"/>
          <w:lang w:val="es-ES"/>
        </w:rPr>
      </w:pPr>
    </w:p>
    <w:p w14:paraId="45E92452"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r w:rsidRPr="001D6D9D">
        <w:rPr>
          <w:rFonts w:ascii="Verdana" w:eastAsia="Calibri" w:hAnsi="Verdana" w:cs="Arial"/>
          <w:b/>
          <w:bCs/>
          <w:color w:val="000000"/>
          <w:kern w:val="2"/>
          <w14:ligatures w14:val="standardContextual"/>
        </w:rPr>
        <w:t>LEY 842 DE 2003 – Artículo 17 – Capacidad residual – Capacidad técnica</w:t>
      </w:r>
    </w:p>
    <w:p w14:paraId="1C23499D" w14:textId="77777777" w:rsidR="00D84E93" w:rsidRPr="001D6D9D" w:rsidRDefault="00D84E93" w:rsidP="00D84E93">
      <w:pPr>
        <w:spacing w:after="0" w:line="240" w:lineRule="auto"/>
        <w:contextualSpacing/>
        <w:jc w:val="both"/>
        <w:rPr>
          <w:rFonts w:ascii="Verdana" w:eastAsia="Calibri" w:hAnsi="Verdana" w:cs="Arial"/>
          <w:color w:val="000000" w:themeColor="text1"/>
          <w:sz w:val="21"/>
          <w:szCs w:val="21"/>
          <w:lang w:val="es-ES"/>
        </w:rPr>
      </w:pPr>
    </w:p>
    <w:p w14:paraId="10CBCE20" w14:textId="77777777" w:rsidR="00D84E93" w:rsidRPr="001D6D9D" w:rsidRDefault="00D84E93" w:rsidP="00D84E93">
      <w:pPr>
        <w:spacing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 xml:space="preserve">Adicionalmente, la obligación del artículo 17 de la Ley 842 de 2003, coadyuva en el cálculo de la capacidad técnica como factor de la capacidad residual, teniendo en cuenta que allí se observa el número de profesionales de la arquitectura, ingeniería y geología vinculados mediante una relación laboral o contractual, que desarrollen actividades de construcción. El puntaje de la Capacidad Técnica (CT) se asigna con base en la tabla de la Guía para determinar y verificar la capacidad residual del proponente en los procesos de contratación de obra pública de esta Agencia, de acuerdo con la cual tendrá más puntos quien cuente con más personas de las profesiones mencionadas. </w:t>
      </w:r>
    </w:p>
    <w:p w14:paraId="75AF5D0A" w14:textId="77777777" w:rsidR="00D84E93" w:rsidRPr="001D6D9D" w:rsidRDefault="00D84E93" w:rsidP="00D84E93">
      <w:pPr>
        <w:spacing w:line="240" w:lineRule="auto"/>
        <w:contextualSpacing/>
        <w:jc w:val="both"/>
        <w:rPr>
          <w:rFonts w:ascii="Verdana" w:eastAsia="Calibri" w:hAnsi="Verdana" w:cs="Arial"/>
          <w:color w:val="000000" w:themeColor="text1"/>
          <w:sz w:val="20"/>
          <w:szCs w:val="20"/>
          <w:lang w:val="es-ES"/>
        </w:rPr>
      </w:pPr>
    </w:p>
    <w:p w14:paraId="63914A68" w14:textId="77777777" w:rsidR="00D84E93" w:rsidRPr="001D6D9D" w:rsidRDefault="00D84E93" w:rsidP="00D84E93">
      <w:pPr>
        <w:spacing w:line="240" w:lineRule="auto"/>
        <w:contextualSpacing/>
        <w:jc w:val="both"/>
        <w:rPr>
          <w:rFonts w:ascii="Verdana" w:eastAsia="Calibri" w:hAnsi="Verdana" w:cs="Arial"/>
          <w:color w:val="000000" w:themeColor="text1"/>
          <w:sz w:val="20"/>
          <w:szCs w:val="20"/>
          <w:lang w:val="es-ES"/>
        </w:rPr>
      </w:pPr>
      <w:r w:rsidRPr="001D6D9D">
        <w:rPr>
          <w:rFonts w:ascii="Verdana" w:eastAsia="Calibri" w:hAnsi="Verdana" w:cs="Arial"/>
          <w:color w:val="000000" w:themeColor="text1"/>
          <w:sz w:val="20"/>
          <w:szCs w:val="20"/>
          <w:lang w:val="es-ES"/>
        </w:rPr>
        <w:t>En ese sentido, para responder su pregunta sobre el alcance del artículo 17 de la Ley 842 de 2003, respecto de la capacidad técnica como factor de la capacidad residual, se debe precisar que ambos aspectos de la oferta son diferentes pero complementarios en la medida en que el cumplimiento de la referida norma se observará para determinar la capacidad jurídica y organizacional de las ofertas presentadas, y para esto no es válido un contrato de prestación de servicios porque esta vinculación es civil y la norma requiere una vinculación laboral de forma permanente. No obstante, el contrato de prestación de servicios si se podrá tener en cuenta para el cálculo de la capacidad técnica como factor de la capacidad residual porque la Guía de esta Agencia antes mencionada señala que los profesionales pueden estar vinculados mediante una relación laboral o contractual, siempre que desarrollen actividades de construcción. Ahora bien, teniendo en cuenta que en ambos aspectos se trata de requisitos habilitantes, por un lado la capacidad jurídica y organizacional de las ofertas presentadas y por otro lado la capacidad residual en el factor de capacidad técnica, esto es subsanable por no otorgar puntaje.</w:t>
      </w:r>
    </w:p>
    <w:p w14:paraId="57E068B2" w14:textId="77777777" w:rsidR="00D84E93" w:rsidRPr="001D6D9D" w:rsidRDefault="00D84E93" w:rsidP="00D84E93">
      <w:pPr>
        <w:widowControl w:val="0"/>
        <w:autoSpaceDE w:val="0"/>
        <w:autoSpaceDN w:val="0"/>
        <w:spacing w:after="0" w:line="240" w:lineRule="auto"/>
        <w:contextualSpacing/>
        <w:jc w:val="both"/>
        <w:rPr>
          <w:rFonts w:ascii="Verdana" w:eastAsia="Calibri" w:hAnsi="Verdana" w:cs="Arial"/>
          <w:color w:val="000000" w:themeColor="text1"/>
          <w:sz w:val="21"/>
          <w:szCs w:val="21"/>
          <w:lang w:val="es-ES"/>
        </w:rPr>
      </w:pPr>
    </w:p>
    <w:p w14:paraId="571D6A9A"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r w:rsidRPr="001D6D9D">
        <w:rPr>
          <w:rFonts w:ascii="Verdana" w:eastAsia="Calibri" w:hAnsi="Verdana" w:cs="Arial"/>
          <w:b/>
          <w:bCs/>
          <w:color w:val="000000"/>
          <w:kern w:val="2"/>
          <w14:ligatures w14:val="standardContextual"/>
        </w:rPr>
        <w:t>PRINCIPIO DE SELECCIÓN OBJETIVA – Fundamento – Alcance</w:t>
      </w:r>
    </w:p>
    <w:p w14:paraId="1E8F6C0A"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p>
    <w:p w14:paraId="7F308A27" w14:textId="77777777" w:rsidR="00D84E93" w:rsidRPr="001D6D9D" w:rsidRDefault="00D84E93" w:rsidP="00D84E93">
      <w:pPr>
        <w:spacing w:after="0"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El principio de selección objetiva es un postulado que debe orientar la escogencia del futuro contratista del Estado en los procedimientos de selección adelantados por las entidades públicas, que se traduce en la exigencia de que la elección no esté basada en apreciaciones o factores subjetivos, sino en criterios objetivos, de carácter técnico, jurídico y financiero. En tal sentido, se trata de un principio que se deriva, en el ordenamiento jurídico colombiano, de principios como la igualdad (art. 13, C.P.) y la buena fe –manifestada en la confianza legítima– (art. 83 C.P.), así como de los principios de la función administrativa y de la gestión fiscal (arts. 209 y 267 C.P.). Dicho principio rector de los procedimientos de selección, además, encuentra fundamentación legal expresa en disposiciones como el artículo 24, numeral 5º, literal a) de la Ley 80 de 1993, que exige incorporar requisitos objetivos en los pliegos de condiciones; el artículo 24, numeral 5º, literal b) de la misma Ley, que manda que en el pliego se definan «reglas objetivas, justas, claras y completas que permitan la confección de ofrecimientos de la misma índole, aseguren una escogencia objetiva y eviten la declaratoria de desierta de la licitación»; y, de forma más clara profunda y clara, el artículo 5º de la Ley 1150 de 2007, cuyo primer inciso dispone que «Es objetiva la selección en la cual la escogencia se haga al ofrecimiento más favorable a la entidad y a los fines que ella busca, sin tener en consideración factores de afecto o de interés y, en general, cualquier clase de motivación subjetiva». La subsanabilidad de las ofertas fortalece la garantía del principio de selección objetiva, porque permite que se le otorgue prevalencia, como criterio de selección, a la favorabilidad del ofrecimiento, por sus ventajas objetivas para la entidad estatal, sobre los errores formales que se adviertan en los requisitos habilitantes.</w:t>
      </w:r>
      <w:r w:rsidRPr="001D6D9D">
        <w:rPr>
          <w:rFonts w:ascii="Verdana" w:eastAsia="Calibri" w:hAnsi="Verdana" w:cs="Arial"/>
          <w:color w:val="000000"/>
          <w:kern w:val="2"/>
          <w:sz w:val="20"/>
          <w:szCs w:val="20"/>
          <w14:ligatures w14:val="standardContextual"/>
        </w:rPr>
        <w:tab/>
      </w:r>
    </w:p>
    <w:p w14:paraId="04310829" w14:textId="77777777" w:rsidR="00D84E93" w:rsidRPr="001D6D9D" w:rsidRDefault="00D84E93" w:rsidP="00D84E93">
      <w:pPr>
        <w:spacing w:after="0" w:line="240" w:lineRule="auto"/>
        <w:jc w:val="both"/>
        <w:rPr>
          <w:rFonts w:ascii="Verdana" w:eastAsia="Calibri" w:hAnsi="Verdana" w:cs="Arial"/>
          <w:b/>
          <w:bCs/>
          <w:color w:val="000000"/>
          <w:kern w:val="2"/>
          <w:sz w:val="20"/>
          <w:szCs w:val="20"/>
          <w14:ligatures w14:val="standardContextual"/>
        </w:rPr>
      </w:pPr>
    </w:p>
    <w:p w14:paraId="6812C876"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r w:rsidRPr="001D6D9D">
        <w:rPr>
          <w:rFonts w:ascii="Verdana" w:eastAsia="Calibri" w:hAnsi="Verdana" w:cs="Arial"/>
          <w:b/>
          <w:bCs/>
          <w:color w:val="000000"/>
          <w:kern w:val="2"/>
          <w14:ligatures w14:val="standardContextual"/>
        </w:rPr>
        <w:t>SUBSANABILIDAD – Concepto de unificación – Aplicación – Improcedencia – Circunstancias posteriores – Cierre del proceso</w:t>
      </w:r>
    </w:p>
    <w:p w14:paraId="33A14038"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p>
    <w:p w14:paraId="4C2966A8" w14:textId="77777777" w:rsidR="00D84E93" w:rsidRPr="001D6D9D" w:rsidRDefault="00D84E93" w:rsidP="00D84E93">
      <w:pPr>
        <w:spacing w:after="0"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 xml:space="preserve">La regla de la subsanabilidad de las ofertas en los procedimientos de selección, prevista actualmente en los parágrafos 1o. y 4o. del artículo 5 de la Ley 1150 de 2007, modificado por el artículo 5 de la Ley 1882 de 2018, es el mandato normativo que ordena que las entidades estatales, al verificar la acreditación de los requisitos habilitantes por parte de los proponentes, permitan, por regla general, que los oferentes aporten o corrijan aquella información relacionada con tales requisitos de participación, de manera que no opere un rechazo de plano de las ofertas. En tal sentido, el primero de los parágrafos mencionados señala que «La ausencia de requisitos o la falta de documentos referentes a la futura contratación o al proponente, no necesarios para la comparación de las propuestas no servirán de título suficiente para el rechazo de los ofrecimientos hechos» y que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Si bien esta regla encuentra algunos límites, como por ejemplo, el previsto en el segundo inciso del mismo parágrafo, que establece que «Durante el término otorgado para subsanar las ofertas, los proponentes no podrán acreditar circunstancias ocurridas con posterioridad </w:t>
      </w:r>
      <w:r w:rsidRPr="001D6D9D">
        <w:rPr>
          <w:rFonts w:ascii="Verdana" w:eastAsia="Calibri" w:hAnsi="Verdana" w:cs="Arial"/>
          <w:color w:val="000000"/>
          <w:kern w:val="2"/>
          <w:sz w:val="20"/>
          <w:szCs w:val="20"/>
          <w14:ligatures w14:val="standardContextual"/>
        </w:rPr>
        <w:lastRenderedPageBreak/>
        <w:t>al cierre del proceso» o el consagrado en el parágrafo 3o., adicionado por el artículo 5 de la Ley 1882 de 2018, según el cual «La no entrega de la garantía de seriedad junto con la propuesta no será subsanable y será causal de rechazo de la misma», lo cierto es que la subsanabilidad de las ofertas debe interpretarse como una regla general en relación con la falta de entrega o con los defectos de los requisitos habilitantes.</w:t>
      </w:r>
    </w:p>
    <w:p w14:paraId="6B540B5A"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p>
    <w:p w14:paraId="1244711C"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r w:rsidRPr="001D6D9D">
        <w:rPr>
          <w:rFonts w:ascii="Verdana" w:eastAsia="Calibri" w:hAnsi="Verdana" w:cs="Arial"/>
          <w:b/>
          <w:bCs/>
          <w:color w:val="000000"/>
          <w:kern w:val="2"/>
          <w14:ligatures w14:val="standardContextual"/>
        </w:rPr>
        <w:t xml:space="preserve">SUBSANABILIDAD – Oportunidad – Traslado – Informe de evaluación </w:t>
      </w:r>
    </w:p>
    <w:p w14:paraId="66B40AEC" w14:textId="77777777" w:rsidR="00D84E93" w:rsidRPr="001D6D9D" w:rsidRDefault="00D84E93" w:rsidP="00D84E93">
      <w:pPr>
        <w:spacing w:after="0" w:line="240" w:lineRule="auto"/>
        <w:jc w:val="both"/>
        <w:rPr>
          <w:rFonts w:ascii="Verdana" w:eastAsia="Calibri" w:hAnsi="Verdana" w:cs="Arial"/>
          <w:b/>
          <w:bCs/>
          <w:color w:val="000000"/>
          <w:kern w:val="2"/>
          <w14:ligatures w14:val="standardContextual"/>
        </w:rPr>
      </w:pPr>
    </w:p>
    <w:p w14:paraId="2413F214" w14:textId="77777777" w:rsidR="00D84E93" w:rsidRPr="001D6D9D" w:rsidRDefault="00D84E93" w:rsidP="00D84E93">
      <w:pPr>
        <w:spacing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No obstante, de la lectura de este aparte podrían, en la práctica, darse dos interpretaciones que dan lugar a dos formas de proceder en los procesos de selección, en lo que se refiere a la subsanabilidad de las ofertas. Primera, que la posibilidad de los oferentes para subsanar es el término del traslado del informe de evaluación, ya que en este documento es donde la Administración establece los requisitos o documentos omitidos que los oferentes deben subsanar, so pena de rechazo; segunda, que el término del traslado del informe de evaluación es el límite para la subsanación de ofertas, pero no el único momento para hacerlo.</w:t>
      </w:r>
    </w:p>
    <w:p w14:paraId="2C3AA3C9" w14:textId="77777777" w:rsidR="00D84E93" w:rsidRPr="001D6D9D" w:rsidRDefault="00D84E93" w:rsidP="00D84E93">
      <w:pPr>
        <w:spacing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w:t>
      </w:r>
    </w:p>
    <w:p w14:paraId="60AA2A89" w14:textId="77777777" w:rsidR="00D84E93" w:rsidRPr="001D6D9D" w:rsidRDefault="00D84E93" w:rsidP="00D84E93">
      <w:pPr>
        <w:spacing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7B2EC5C6" w14:textId="77777777" w:rsidR="00D84E93" w:rsidRPr="001D6D9D" w:rsidRDefault="00D84E93" w:rsidP="00D84E93">
      <w:pPr>
        <w:spacing w:after="0" w:line="240" w:lineRule="auto"/>
        <w:jc w:val="both"/>
        <w:rPr>
          <w:rFonts w:ascii="Verdana" w:eastAsia="Calibri" w:hAnsi="Verdana" w:cs="Arial"/>
          <w:color w:val="000000"/>
          <w:kern w:val="2"/>
          <w:sz w:val="20"/>
          <w:szCs w:val="20"/>
          <w14:ligatures w14:val="standardContextual"/>
        </w:rPr>
      </w:pPr>
      <w:r w:rsidRPr="001D6D9D">
        <w:rPr>
          <w:rFonts w:ascii="Verdana" w:eastAsia="Calibri" w:hAnsi="Verdana" w:cs="Arial"/>
          <w:color w:val="000000"/>
          <w:kern w:val="2"/>
          <w:sz w:val="20"/>
          <w:szCs w:val="20"/>
          <w14:ligatures w14:val="standardContextual"/>
        </w:rPr>
        <w:t>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w:t>
      </w:r>
    </w:p>
    <w:p w14:paraId="4C662E5F" w14:textId="77777777" w:rsidR="00D84E93" w:rsidRDefault="00D84E93" w:rsidP="00D84E93">
      <w:pPr>
        <w:spacing w:after="0" w:line="240" w:lineRule="auto"/>
        <w:contextualSpacing/>
        <w:jc w:val="both"/>
        <w:rPr>
          <w:rFonts w:ascii="Verdana" w:eastAsia="Calibri" w:hAnsi="Verdana" w:cs="Arial"/>
          <w:b/>
          <w:bCs/>
          <w:highlight w:val="yellow"/>
          <w:lang w:val="es-ES" w:eastAsia="es-ES_tradnl"/>
        </w:rPr>
      </w:pPr>
    </w:p>
    <w:p w14:paraId="070DCCA7" w14:textId="77777777" w:rsidR="00D84E93" w:rsidRDefault="00D84E93" w:rsidP="00D84E93">
      <w:pPr>
        <w:spacing w:after="0" w:line="240" w:lineRule="auto"/>
        <w:contextualSpacing/>
        <w:jc w:val="both"/>
        <w:rPr>
          <w:rFonts w:ascii="Verdana" w:eastAsia="Arial" w:hAnsi="Verdana" w:cs="Arial"/>
          <w:b/>
          <w:bCs/>
        </w:rPr>
      </w:pPr>
      <w:r>
        <w:rPr>
          <w:rFonts w:ascii="Verdana" w:eastAsia="Arial" w:hAnsi="Verdana" w:cs="Arial"/>
          <w:b/>
          <w:bCs/>
        </w:rPr>
        <w:t>PROPONENTE PLURAL</w:t>
      </w:r>
      <w:r w:rsidRPr="001D6D9D">
        <w:rPr>
          <w:rFonts w:ascii="Verdana" w:eastAsia="Arial" w:hAnsi="Verdana" w:cs="Arial"/>
          <w:b/>
          <w:bCs/>
        </w:rPr>
        <w:t xml:space="preserve"> – </w:t>
      </w:r>
      <w:r>
        <w:rPr>
          <w:rFonts w:ascii="Verdana" w:eastAsia="Arial" w:hAnsi="Verdana" w:cs="Arial"/>
          <w:b/>
          <w:bCs/>
        </w:rPr>
        <w:t>Definición</w:t>
      </w:r>
    </w:p>
    <w:p w14:paraId="3770E9DA" w14:textId="77777777" w:rsidR="00D84E93" w:rsidRDefault="00D84E93" w:rsidP="00D84E93">
      <w:pPr>
        <w:spacing w:after="0" w:line="240" w:lineRule="auto"/>
        <w:contextualSpacing/>
        <w:jc w:val="both"/>
        <w:rPr>
          <w:rFonts w:ascii="Verdana" w:eastAsia="Arial" w:hAnsi="Verdana" w:cs="Arial"/>
          <w:b/>
          <w:bCs/>
        </w:rPr>
      </w:pPr>
    </w:p>
    <w:p w14:paraId="01C8191B" w14:textId="77777777" w:rsidR="00D84E93" w:rsidRDefault="00D84E93" w:rsidP="00D84E93">
      <w:pPr>
        <w:spacing w:after="0" w:line="240" w:lineRule="auto"/>
        <w:jc w:val="both"/>
        <w:rPr>
          <w:rFonts w:ascii="Verdana" w:eastAsia="Calibri" w:hAnsi="Verdana" w:cs="Arial"/>
          <w:color w:val="000000"/>
          <w:kern w:val="2"/>
          <w:sz w:val="20"/>
          <w:szCs w:val="20"/>
          <w14:ligatures w14:val="standardContextual"/>
        </w:rPr>
      </w:pPr>
      <w:r w:rsidRPr="00C530A9">
        <w:rPr>
          <w:rFonts w:ascii="Verdana" w:eastAsia="Calibri" w:hAnsi="Verdana" w:cs="Arial"/>
          <w:color w:val="000000"/>
          <w:kern w:val="2"/>
          <w:sz w:val="20"/>
          <w:szCs w:val="20"/>
          <w14:ligatures w14:val="standardContextual"/>
        </w:rPr>
        <w:t xml:space="preserve">El artículo 7 de la Ley 80 de 1993 define a los proponentes plurales como la unión de dos o más personas que presentan la misma propuesta para la adjudicación, celebración y ejecución de un contrato, pero cuya responsabilidad por las obligaciones derivadas de la propuesta y el contrato es diferente. En efecto, los consorcios y las uniones temporales son mecanismos de asociación fundamentados en la colaboración empresarial, mediante los cuales sus integrantes se unen y organizan en forma conjunta para lograr con mayor </w:t>
      </w:r>
      <w:r w:rsidRPr="00C530A9">
        <w:rPr>
          <w:rFonts w:ascii="Verdana" w:eastAsia="Calibri" w:hAnsi="Verdana" w:cs="Arial"/>
          <w:color w:val="000000"/>
          <w:kern w:val="2"/>
          <w:sz w:val="20"/>
          <w:szCs w:val="20"/>
          <w14:ligatures w14:val="standardContextual"/>
        </w:rPr>
        <w:lastRenderedPageBreak/>
        <w:t>eficacia la obtención del derecho a ser adjudicatarios de un contrato estatal, compartiendo recursos de toda índole para su ejecución, así como las utilidades y los riesgos.</w:t>
      </w:r>
    </w:p>
    <w:p w14:paraId="7477CA2B" w14:textId="77777777" w:rsidR="00D84E93" w:rsidRPr="00C530A9" w:rsidRDefault="00D84E93" w:rsidP="00D84E93">
      <w:pPr>
        <w:spacing w:after="0" w:line="240" w:lineRule="auto"/>
        <w:jc w:val="both"/>
        <w:rPr>
          <w:rFonts w:ascii="Verdana" w:eastAsia="Calibri" w:hAnsi="Verdana" w:cs="Arial"/>
          <w:color w:val="000000"/>
          <w:kern w:val="2"/>
          <w:sz w:val="20"/>
          <w:szCs w:val="20"/>
          <w14:ligatures w14:val="standardContextual"/>
        </w:rPr>
      </w:pPr>
    </w:p>
    <w:p w14:paraId="3293B7A7" w14:textId="77777777" w:rsidR="00D84E93" w:rsidRDefault="00D84E93" w:rsidP="00D84E93">
      <w:pPr>
        <w:spacing w:after="0" w:line="240" w:lineRule="auto"/>
        <w:jc w:val="both"/>
        <w:rPr>
          <w:rFonts w:ascii="Verdana" w:eastAsia="Calibri" w:hAnsi="Verdana" w:cs="Arial"/>
          <w:color w:val="000000"/>
          <w:kern w:val="2"/>
          <w:sz w:val="20"/>
          <w:szCs w:val="20"/>
          <w14:ligatures w14:val="standardContextual"/>
        </w:rPr>
      </w:pPr>
      <w:r w:rsidRPr="00C530A9">
        <w:rPr>
          <w:rFonts w:ascii="Verdana" w:eastAsia="Calibri" w:hAnsi="Verdana" w:cs="Arial"/>
          <w:color w:val="000000"/>
          <w:kern w:val="2"/>
          <w:sz w:val="20"/>
          <w:szCs w:val="20"/>
          <w14:ligatures w14:val="standardContextual"/>
        </w:rPr>
        <w:t>En efecto, los proponentes plurales pueden participar en los procesos de contratación por medio de uniones temporales y consorcios. Los consorcios se refieren a las situaciones en que dos o más personas en forma conjunta presentan una misma propuesta para la adjudicación, celebración y ejecución de un contrato, respondiendo solidariamente por todas y cada una de las obligaciones derivadas de la propuesta y del contrato. En atención dicha solidaridad, las actuaciones, hechos y omisiones que se presenten en desarrollo de la propuesta y del contrato, afectarán a todos los integrantes del Consorcio. La Corte Constitucional, en la sentencia C-414 del 22 de septiembre de 1994 señaló que el consorcio es una figura propia del derecho privado, utilizado como un instrumento de cooperación entre empresas, que les permita unir esfuerzos para la celebración y ejecución de un contrato con el Estado, sin que por ello pierdan su individualidad jurídica.</w:t>
      </w:r>
    </w:p>
    <w:p w14:paraId="67F95EF4" w14:textId="77777777" w:rsidR="00D84E93" w:rsidRPr="00C530A9" w:rsidRDefault="00D84E93" w:rsidP="00D84E93">
      <w:pPr>
        <w:spacing w:after="0" w:line="240" w:lineRule="auto"/>
        <w:jc w:val="both"/>
        <w:rPr>
          <w:rFonts w:ascii="Verdana" w:eastAsia="Calibri" w:hAnsi="Verdana" w:cs="Arial"/>
          <w:color w:val="000000"/>
          <w:kern w:val="2"/>
          <w:sz w:val="20"/>
          <w:szCs w:val="20"/>
          <w14:ligatures w14:val="standardContextual"/>
        </w:rPr>
      </w:pPr>
    </w:p>
    <w:p w14:paraId="64BC95F3" w14:textId="77777777" w:rsidR="00D84E93" w:rsidRPr="00C530A9" w:rsidRDefault="00D84E93" w:rsidP="00D84E93">
      <w:pPr>
        <w:spacing w:after="0" w:line="240" w:lineRule="auto"/>
        <w:jc w:val="both"/>
        <w:rPr>
          <w:rFonts w:ascii="Verdana" w:eastAsia="Calibri" w:hAnsi="Verdana" w:cs="Arial"/>
          <w:color w:val="000000"/>
          <w:kern w:val="2"/>
          <w:sz w:val="20"/>
          <w:szCs w:val="20"/>
          <w14:ligatures w14:val="standardContextual"/>
        </w:rPr>
      </w:pPr>
      <w:r w:rsidRPr="00C530A9">
        <w:rPr>
          <w:rFonts w:ascii="Verdana" w:eastAsia="Calibri" w:hAnsi="Verdana" w:cs="Arial"/>
          <w:color w:val="000000"/>
          <w:kern w:val="2"/>
          <w:sz w:val="20"/>
          <w:szCs w:val="20"/>
          <w14:ligatures w14:val="standardContextual"/>
        </w:rPr>
        <w:t xml:space="preserve">De esta manera, la Ley 80 de 1993 permite que dos o más personas naturales o jurídicas se agrupen para la presentación de una propuesta y la celebración de un contrato con una entidad estatal. En esto, los miembros del consorcio o la unión temporal conservan su individualidad jurídica, pues el proponente plural no genera una persona jurídica distinta a sus integrantes. Sin embargo, aunque no son personas jurídicas, son sujetos con capacidad para contratar, para ejecutar las obligaciones y recibir los derechos que emanan del contrato y para interrelacionarse con la Entidad Estatal contratante en todo lo relacionado con el objeto del contrato y su desarrollo. </w:t>
      </w:r>
    </w:p>
    <w:p w14:paraId="31D166EA" w14:textId="77777777" w:rsidR="00D84E93" w:rsidRPr="00C530A9" w:rsidRDefault="00D84E93" w:rsidP="00D84E93">
      <w:pPr>
        <w:spacing w:after="0" w:line="240" w:lineRule="auto"/>
        <w:contextualSpacing/>
        <w:jc w:val="both"/>
        <w:rPr>
          <w:rFonts w:ascii="Verdana" w:eastAsia="Arial" w:hAnsi="Verdana" w:cs="Arial"/>
          <w:b/>
          <w:bCs/>
          <w:lang w:val="es-ES"/>
        </w:rPr>
      </w:pPr>
    </w:p>
    <w:p w14:paraId="4965FE77" w14:textId="77777777" w:rsidR="00D84E93" w:rsidRPr="001D6D9D" w:rsidRDefault="00D84E93" w:rsidP="00D84E93">
      <w:pPr>
        <w:spacing w:after="0" w:line="240" w:lineRule="auto"/>
        <w:contextualSpacing/>
        <w:jc w:val="both"/>
        <w:rPr>
          <w:rFonts w:ascii="Verdana" w:eastAsia="Arial" w:hAnsi="Verdana" w:cs="Arial"/>
          <w:b/>
          <w:bCs/>
        </w:rPr>
      </w:pPr>
      <w:r>
        <w:rPr>
          <w:rFonts w:ascii="Verdana" w:eastAsia="Arial" w:hAnsi="Verdana" w:cs="Arial"/>
          <w:b/>
          <w:bCs/>
        </w:rPr>
        <w:t>PROPONENTE PLURAL</w:t>
      </w:r>
      <w:r w:rsidRPr="001D6D9D">
        <w:rPr>
          <w:rFonts w:ascii="Verdana" w:eastAsia="Arial" w:hAnsi="Verdana" w:cs="Arial"/>
          <w:b/>
          <w:bCs/>
        </w:rPr>
        <w:t xml:space="preserve"> – </w:t>
      </w:r>
      <w:r>
        <w:rPr>
          <w:rFonts w:ascii="Verdana" w:eastAsia="Arial" w:hAnsi="Verdana" w:cs="Arial"/>
          <w:b/>
          <w:bCs/>
        </w:rPr>
        <w:t xml:space="preserve">Capacidad jurídica </w:t>
      </w:r>
      <w:r w:rsidRPr="001D6D9D">
        <w:rPr>
          <w:rFonts w:ascii="Verdana" w:eastAsia="Arial" w:hAnsi="Verdana" w:cs="Arial"/>
          <w:b/>
          <w:bCs/>
        </w:rPr>
        <w:t>–</w:t>
      </w:r>
      <w:r>
        <w:rPr>
          <w:rFonts w:ascii="Verdana" w:eastAsia="Arial" w:hAnsi="Verdana" w:cs="Arial"/>
          <w:b/>
          <w:bCs/>
        </w:rPr>
        <w:t xml:space="preserve"> Miembro</w:t>
      </w:r>
      <w:r w:rsidRPr="001D6D9D">
        <w:rPr>
          <w:rFonts w:ascii="Verdana" w:eastAsia="Arial" w:hAnsi="Verdana" w:cs="Arial"/>
          <w:b/>
          <w:bCs/>
        </w:rPr>
        <w:t xml:space="preserve"> –</w:t>
      </w:r>
      <w:r>
        <w:rPr>
          <w:rFonts w:ascii="Verdana" w:eastAsia="Arial" w:hAnsi="Verdana" w:cs="Arial"/>
          <w:b/>
          <w:bCs/>
        </w:rPr>
        <w:t xml:space="preserve"> Liquidación judicial </w:t>
      </w:r>
    </w:p>
    <w:p w14:paraId="68E004CD" w14:textId="77777777" w:rsidR="00D84E93" w:rsidRPr="001D6D9D" w:rsidRDefault="00D84E93" w:rsidP="00D84E93">
      <w:pPr>
        <w:spacing w:after="0" w:line="240" w:lineRule="auto"/>
        <w:contextualSpacing/>
        <w:jc w:val="both"/>
        <w:rPr>
          <w:rFonts w:ascii="Verdana" w:eastAsia="Arial" w:hAnsi="Verdana" w:cs="Arial"/>
          <w:b/>
          <w:bCs/>
        </w:rPr>
      </w:pPr>
    </w:p>
    <w:p w14:paraId="75252A0D" w14:textId="77777777" w:rsidR="00D84E93" w:rsidRDefault="00D84E93" w:rsidP="00D84E93">
      <w:pPr>
        <w:spacing w:after="0" w:line="240" w:lineRule="auto"/>
        <w:contextualSpacing/>
        <w:jc w:val="both"/>
        <w:rPr>
          <w:rFonts w:ascii="Verdana" w:eastAsia="Arial" w:hAnsi="Verdana" w:cs="Arial"/>
          <w:sz w:val="20"/>
          <w:szCs w:val="20"/>
        </w:rPr>
      </w:pPr>
      <w:r w:rsidRPr="00C530A9">
        <w:rPr>
          <w:rFonts w:ascii="Verdana" w:eastAsia="Arial" w:hAnsi="Verdana" w:cs="Arial"/>
          <w:sz w:val="20"/>
          <w:szCs w:val="20"/>
        </w:rPr>
        <w:t>De lo anterior se deriva que el Estatuto General de Contratación de la Administración Pública contempla la participación de los proponentes plurales conservando en todo caso su individualidad jurídica, de modo que el proponente plural no constituye una persona en sí misma, sino que conserva la naturaleza de ser una agrupación de personas que ya existen. Como resultado de lo anterior, los requisitos habilitantes de los proponentes plurales deben ser evaluados respecto de cada miembro, sin que ello desconozca la finalidad de esta figura, que es unir esfuerzos. Así pues, la naturaleza jurídica de los consorcios supone que requisitos habilitantes como la capacidad jurídica deba ser evaluada con respecto a cada uno de sus integrantes.</w:t>
      </w:r>
    </w:p>
    <w:p w14:paraId="2DCB1F0C" w14:textId="77777777" w:rsidR="00D84E93" w:rsidRPr="00C530A9" w:rsidRDefault="00D84E93" w:rsidP="00D84E93">
      <w:pPr>
        <w:spacing w:after="0" w:line="240" w:lineRule="auto"/>
        <w:contextualSpacing/>
        <w:jc w:val="both"/>
        <w:rPr>
          <w:rFonts w:ascii="Verdana" w:eastAsia="Arial" w:hAnsi="Verdana" w:cs="Arial"/>
          <w:sz w:val="20"/>
          <w:szCs w:val="20"/>
        </w:rPr>
      </w:pPr>
    </w:p>
    <w:p w14:paraId="6472DF9B" w14:textId="77777777" w:rsidR="00D84E93" w:rsidRPr="00C530A9" w:rsidRDefault="00D84E93" w:rsidP="00D84E93">
      <w:pPr>
        <w:spacing w:after="0" w:line="240" w:lineRule="auto"/>
        <w:contextualSpacing/>
        <w:jc w:val="both"/>
        <w:rPr>
          <w:rFonts w:ascii="Verdana" w:eastAsia="Arial" w:hAnsi="Verdana" w:cs="Arial"/>
          <w:sz w:val="20"/>
          <w:szCs w:val="20"/>
        </w:rPr>
      </w:pPr>
      <w:r w:rsidRPr="00C530A9">
        <w:rPr>
          <w:rFonts w:ascii="Verdana" w:eastAsia="Arial" w:hAnsi="Verdana" w:cs="Arial"/>
          <w:sz w:val="20"/>
          <w:szCs w:val="20"/>
        </w:rPr>
        <w:t xml:space="preserve">En conclusión, la capacidad jurídica del proponente plural será la capacidad jurídica que tenga cada uno de sus miembros, ya que se reitera que los proponentes plurales no tienen personería jurídica sino que actúan a través de sus miembros, y en la medida en que sus miembros tengan capacidad para contratar de acuerdo con su objeto social, y no se encuentren inmersos en causales de inhabilidad o incompatibilidad, el proponente </w:t>
      </w:r>
      <w:r w:rsidRPr="00C530A9">
        <w:rPr>
          <w:rFonts w:ascii="Verdana" w:eastAsia="Arial" w:hAnsi="Verdana" w:cs="Arial"/>
          <w:sz w:val="20"/>
          <w:szCs w:val="20"/>
        </w:rPr>
        <w:lastRenderedPageBreak/>
        <w:t>plural tendrá esa capacidad y no podrá ser rechazada su oferta por este requisito habilitante, que es subsanable de acuerdo con lo expuesto aquí.</w:t>
      </w:r>
    </w:p>
    <w:p w14:paraId="25F92BC1" w14:textId="77777777" w:rsidR="00D84E93" w:rsidRPr="00DB6F84" w:rsidRDefault="00D84E93" w:rsidP="00D84E93">
      <w:pPr>
        <w:spacing w:after="0" w:line="240" w:lineRule="auto"/>
        <w:contextualSpacing/>
        <w:jc w:val="both"/>
        <w:rPr>
          <w:rFonts w:ascii="Verdana" w:eastAsia="Calibri" w:hAnsi="Verdana" w:cs="Arial"/>
          <w:b/>
          <w:bCs/>
          <w:highlight w:val="yellow"/>
          <w:lang w:val="es-ES" w:eastAsia="es-ES_tradnl"/>
        </w:rPr>
      </w:pPr>
    </w:p>
    <w:p w14:paraId="63105AE9" w14:textId="77777777" w:rsidR="00D84E93" w:rsidRPr="001D6D9D" w:rsidRDefault="00D84E93" w:rsidP="00D84E93">
      <w:pPr>
        <w:spacing w:after="0" w:line="240" w:lineRule="auto"/>
        <w:contextualSpacing/>
        <w:jc w:val="both"/>
        <w:rPr>
          <w:rFonts w:ascii="Verdana" w:eastAsia="Arial" w:hAnsi="Verdana" w:cs="Arial"/>
          <w:b/>
          <w:bCs/>
        </w:rPr>
      </w:pPr>
      <w:r w:rsidRPr="001D6D9D">
        <w:rPr>
          <w:rFonts w:ascii="Verdana" w:eastAsia="Arial" w:hAnsi="Verdana" w:cs="Arial"/>
          <w:b/>
          <w:bCs/>
        </w:rPr>
        <w:t>CAPACIDAD RESIDUAL – Concepto</w:t>
      </w:r>
    </w:p>
    <w:p w14:paraId="057C87A5" w14:textId="77777777" w:rsidR="00D84E93" w:rsidRPr="001D6D9D" w:rsidRDefault="00D84E93" w:rsidP="00D84E93">
      <w:pPr>
        <w:spacing w:after="0" w:line="240" w:lineRule="auto"/>
        <w:contextualSpacing/>
        <w:jc w:val="both"/>
        <w:rPr>
          <w:rFonts w:ascii="Verdana" w:eastAsia="Arial" w:hAnsi="Verdana" w:cs="Arial"/>
          <w:sz w:val="20"/>
          <w:szCs w:val="20"/>
        </w:rPr>
      </w:pPr>
    </w:p>
    <w:p w14:paraId="156C871B" w14:textId="77777777" w:rsidR="00D84E93" w:rsidRPr="001D6D9D" w:rsidRDefault="00D84E93" w:rsidP="00D84E93">
      <w:pPr>
        <w:spacing w:after="0" w:line="240" w:lineRule="auto"/>
        <w:contextualSpacing/>
        <w:jc w:val="both"/>
        <w:rPr>
          <w:rFonts w:ascii="Verdana" w:eastAsia="Arial" w:hAnsi="Verdana" w:cs="Arial"/>
          <w:sz w:val="20"/>
          <w:szCs w:val="20"/>
        </w:rPr>
      </w:pPr>
      <w:r w:rsidRPr="001D6D9D">
        <w:rPr>
          <w:rFonts w:ascii="Verdana" w:eastAsia="Arial" w:hAnsi="Verdana" w:cs="Arial"/>
          <w:sz w:val="20"/>
          <w:szCs w:val="20"/>
        </w:rPr>
        <w:t>La capacidad residual es una aptitud que se le exige a los oferentes en los procesos de selección de contratistas con el objetivo de establecer o determinar si éstos pueden o no cumplir de manera oportuna y a cabalidad con las obligaciones derivadas del contrato de obra pública, sin que los demás compromisos contractuales que hubieran adquirido afecten su capacidad para cumplir con el objeto del contrato que está en proceso de selección.</w:t>
      </w:r>
    </w:p>
    <w:p w14:paraId="7F87D931" w14:textId="77777777" w:rsidR="00D84E93" w:rsidRPr="001D6D9D" w:rsidRDefault="00D84E93" w:rsidP="00D84E93">
      <w:pPr>
        <w:spacing w:after="0" w:line="240" w:lineRule="auto"/>
        <w:contextualSpacing/>
        <w:jc w:val="both"/>
        <w:rPr>
          <w:rFonts w:ascii="Verdana" w:eastAsia="Arial" w:hAnsi="Verdana" w:cs="Arial"/>
          <w:sz w:val="20"/>
          <w:szCs w:val="20"/>
        </w:rPr>
      </w:pPr>
    </w:p>
    <w:p w14:paraId="19A42A75" w14:textId="77777777" w:rsidR="00D84E93" w:rsidRPr="001D6D9D" w:rsidRDefault="00D84E93" w:rsidP="00D84E93">
      <w:pPr>
        <w:spacing w:after="0" w:line="240" w:lineRule="auto"/>
        <w:contextualSpacing/>
        <w:jc w:val="both"/>
        <w:rPr>
          <w:rFonts w:ascii="Verdana" w:eastAsia="Arial" w:hAnsi="Verdana" w:cs="Arial"/>
          <w:sz w:val="20"/>
          <w:szCs w:val="20"/>
        </w:rPr>
      </w:pPr>
      <w:r w:rsidRPr="001D6D9D">
        <w:rPr>
          <w:rFonts w:ascii="Verdana" w:eastAsia="Arial" w:hAnsi="Verdana" w:cs="Arial"/>
          <w:sz w:val="20"/>
          <w:szCs w:val="20"/>
        </w:rPr>
        <w:t>Por su parte, esta Agencia, en los conceptos C-033 del 25 de marzo de 2021 y C-143 del 9 de abril de 2021, definió la capacidad residual como la suficiencia que se predica del proponente para asumir nuevas obligaciones que se derivan del contrato objeto del proceso de contratación, en relación con las obligaciones que ha adquirido simultáneamente en contratos ya perfeccionados y en ejecución.</w:t>
      </w:r>
    </w:p>
    <w:p w14:paraId="49FD9582" w14:textId="77777777" w:rsidR="00D84E93" w:rsidRPr="00DB6F84" w:rsidRDefault="00D84E93" w:rsidP="00D84E93">
      <w:pPr>
        <w:spacing w:after="0" w:line="240" w:lineRule="auto"/>
        <w:contextualSpacing/>
        <w:jc w:val="both"/>
        <w:rPr>
          <w:rFonts w:ascii="Verdana" w:eastAsia="Arial" w:hAnsi="Verdana" w:cs="Arial"/>
          <w:sz w:val="20"/>
          <w:szCs w:val="20"/>
          <w:highlight w:val="yellow"/>
        </w:rPr>
      </w:pPr>
    </w:p>
    <w:p w14:paraId="205D6F40" w14:textId="77777777" w:rsidR="00D84E93" w:rsidRPr="002B7B9C" w:rsidRDefault="00D84E93" w:rsidP="00D84E93">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Del recuento realizado hasta aquí se concluye que la capacidad residual se entiende como la suficiencia que se predica del proponente para asumir y cumplir de manera oportuna y a cabalidad con las nuevas obligaciones que se derivan del contrato objeto del proceso de contratación, en relación con las obligaciones que ha adquirido simultáneamente en otros contratos. Así mismo, de acuerdo con la reglamentación vigente, para su cálculo se tienen en cuenta solamente los contratos de obras civiles, por lo cual, el interesado deberá aportar únicamente los documentos de los contratos en ejecución de este tipo. </w:t>
      </w:r>
    </w:p>
    <w:p w14:paraId="3B81A79E" w14:textId="77777777" w:rsidR="00D84E93" w:rsidRPr="002B7B9C" w:rsidRDefault="00D84E93" w:rsidP="00D84E93">
      <w:pPr>
        <w:spacing w:after="0" w:line="240" w:lineRule="auto"/>
        <w:contextualSpacing/>
        <w:jc w:val="both"/>
        <w:rPr>
          <w:rFonts w:ascii="Verdana" w:eastAsia="Arial" w:hAnsi="Verdana" w:cs="Arial"/>
          <w:sz w:val="20"/>
          <w:szCs w:val="20"/>
        </w:rPr>
      </w:pPr>
    </w:p>
    <w:p w14:paraId="7808292B" w14:textId="77777777" w:rsidR="00D84E93" w:rsidRPr="002B7B9C" w:rsidRDefault="00D84E93" w:rsidP="00D84E93">
      <w:pPr>
        <w:spacing w:after="0" w:line="240" w:lineRule="auto"/>
        <w:contextualSpacing/>
        <w:jc w:val="both"/>
        <w:rPr>
          <w:rFonts w:ascii="Verdana" w:eastAsia="Arial" w:hAnsi="Verdana" w:cs="Arial"/>
          <w:b/>
          <w:bCs/>
        </w:rPr>
      </w:pPr>
      <w:r w:rsidRPr="002B7B9C">
        <w:rPr>
          <w:rFonts w:ascii="Verdana" w:eastAsia="Arial" w:hAnsi="Verdana" w:cs="Arial"/>
          <w:b/>
          <w:bCs/>
        </w:rPr>
        <w:t xml:space="preserve">CÁLCULO DE LA CAPACIDAD RESIDUAL – </w:t>
      </w:r>
      <w:r>
        <w:rPr>
          <w:rFonts w:ascii="Verdana" w:eastAsia="Arial" w:hAnsi="Verdana" w:cs="Arial"/>
          <w:b/>
          <w:bCs/>
        </w:rPr>
        <w:t>Factores</w:t>
      </w:r>
      <w:r w:rsidRPr="002B7B9C">
        <w:rPr>
          <w:rFonts w:ascii="Verdana" w:eastAsia="Arial" w:hAnsi="Verdana" w:cs="Arial"/>
          <w:b/>
          <w:bCs/>
        </w:rPr>
        <w:t xml:space="preserve"> </w:t>
      </w:r>
      <w:r>
        <w:rPr>
          <w:rFonts w:ascii="Verdana" w:eastAsia="Arial" w:hAnsi="Verdana" w:cs="Arial"/>
          <w:b/>
          <w:bCs/>
        </w:rPr>
        <w:t>–</w:t>
      </w:r>
      <w:r w:rsidRPr="002B7B9C">
        <w:rPr>
          <w:rFonts w:ascii="Verdana" w:eastAsia="Arial" w:hAnsi="Verdana" w:cs="Arial"/>
          <w:b/>
          <w:bCs/>
        </w:rPr>
        <w:t xml:space="preserve"> </w:t>
      </w:r>
      <w:r>
        <w:rPr>
          <w:rFonts w:ascii="Verdana" w:eastAsia="Arial" w:hAnsi="Verdana" w:cs="Arial"/>
          <w:b/>
          <w:bCs/>
        </w:rPr>
        <w:t>Saldos de contratos en ejecución</w:t>
      </w:r>
    </w:p>
    <w:p w14:paraId="6C204F7A" w14:textId="77777777" w:rsidR="00D84E93" w:rsidRPr="002B7B9C" w:rsidRDefault="00D84E93" w:rsidP="00D84E93">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 </w:t>
      </w:r>
    </w:p>
    <w:p w14:paraId="2E95FB13" w14:textId="77777777" w:rsidR="00D84E93" w:rsidRPr="002B7B9C" w:rsidRDefault="00D84E93" w:rsidP="00D84E93">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El artículo 2.2.1.1.1.6.4 del Decreto 1082 de 2015 dispuso que las entidades estatales deben calcular la capacidad residual conforme a la metodología definida por Colombia Compre Eficiente y precisó que, para tales fines, resulta necesario tener en cuenta los factores de: i) experiencia; </w:t>
      </w:r>
      <w:proofErr w:type="spellStart"/>
      <w:r w:rsidRPr="002B7B9C">
        <w:rPr>
          <w:rFonts w:ascii="Verdana" w:eastAsia="Arial" w:hAnsi="Verdana" w:cs="Arial"/>
          <w:sz w:val="20"/>
          <w:szCs w:val="20"/>
        </w:rPr>
        <w:t>ii</w:t>
      </w:r>
      <w:proofErr w:type="spellEnd"/>
      <w:r w:rsidRPr="002B7B9C">
        <w:rPr>
          <w:rFonts w:ascii="Verdana" w:eastAsia="Arial" w:hAnsi="Verdana" w:cs="Arial"/>
          <w:sz w:val="20"/>
          <w:szCs w:val="20"/>
        </w:rPr>
        <w:t xml:space="preserve">) capacidad financiera; </w:t>
      </w:r>
      <w:proofErr w:type="spellStart"/>
      <w:r w:rsidRPr="002B7B9C">
        <w:rPr>
          <w:rFonts w:ascii="Verdana" w:eastAsia="Arial" w:hAnsi="Verdana" w:cs="Arial"/>
          <w:sz w:val="20"/>
          <w:szCs w:val="20"/>
        </w:rPr>
        <w:t>iii</w:t>
      </w:r>
      <w:proofErr w:type="spellEnd"/>
      <w:r w:rsidRPr="002B7B9C">
        <w:rPr>
          <w:rFonts w:ascii="Verdana" w:eastAsia="Arial" w:hAnsi="Verdana" w:cs="Arial"/>
          <w:sz w:val="20"/>
          <w:szCs w:val="20"/>
        </w:rPr>
        <w:t xml:space="preserve">) capacidad técnica; </w:t>
      </w:r>
      <w:proofErr w:type="spellStart"/>
      <w:r w:rsidRPr="002B7B9C">
        <w:rPr>
          <w:rFonts w:ascii="Verdana" w:eastAsia="Arial" w:hAnsi="Verdana" w:cs="Arial"/>
          <w:sz w:val="20"/>
          <w:szCs w:val="20"/>
        </w:rPr>
        <w:t>iv</w:t>
      </w:r>
      <w:proofErr w:type="spellEnd"/>
      <w:r w:rsidRPr="002B7B9C">
        <w:rPr>
          <w:rFonts w:ascii="Verdana" w:eastAsia="Arial" w:hAnsi="Verdana" w:cs="Arial"/>
          <w:sz w:val="20"/>
          <w:szCs w:val="20"/>
        </w:rPr>
        <w:t>) capacidad de organización; y v) los saldos de los contratos en ejecución […]</w:t>
      </w:r>
    </w:p>
    <w:p w14:paraId="4ACDD634" w14:textId="77777777" w:rsidR="00D84E93" w:rsidRPr="002B7B9C" w:rsidRDefault="00D84E93" w:rsidP="00D84E93">
      <w:pPr>
        <w:spacing w:after="0" w:line="240" w:lineRule="auto"/>
        <w:contextualSpacing/>
        <w:jc w:val="both"/>
        <w:rPr>
          <w:rFonts w:ascii="Verdana" w:eastAsia="Arial" w:hAnsi="Verdana" w:cs="Arial"/>
          <w:sz w:val="20"/>
          <w:szCs w:val="20"/>
        </w:rPr>
      </w:pPr>
    </w:p>
    <w:p w14:paraId="559F5B9C" w14:textId="77777777" w:rsidR="00D84E93" w:rsidRPr="002B7B9C" w:rsidRDefault="00D84E93" w:rsidP="00D84E93">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Así mismo, esta Agencia expidió la “Guía para Determinar y Verificar la capacidad residual del Proponente en los Procesos de Contratación de Obra Pública”, en la cual dispone, entre otras cuestiones, que a la entidad contratante le corresponde, primero, establecer la capacidad residual del proceso de contratación “CRPC” y, segundo, determinar si los proponentes cumplen con la capacidad residual del proceso de contratación […]</w:t>
      </w:r>
    </w:p>
    <w:p w14:paraId="5D8A5DE4" w14:textId="77777777" w:rsidR="00D84E93" w:rsidRPr="002B7B9C" w:rsidRDefault="00D84E93" w:rsidP="00D84E93">
      <w:pPr>
        <w:spacing w:after="0" w:line="240" w:lineRule="auto"/>
        <w:contextualSpacing/>
        <w:jc w:val="both"/>
        <w:rPr>
          <w:rFonts w:ascii="Verdana" w:eastAsia="Arial" w:hAnsi="Verdana" w:cs="Arial"/>
          <w:sz w:val="20"/>
          <w:szCs w:val="20"/>
        </w:rPr>
      </w:pPr>
    </w:p>
    <w:p w14:paraId="2040D516" w14:textId="77777777" w:rsidR="00D84E93" w:rsidRPr="002B7B9C" w:rsidRDefault="00D84E93" w:rsidP="00D84E93">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Se observa que la guía expedida por esta Agencia para calcular la capacidad residual señala que el proponente debe allegar, entre otros documentos, los contratos en </w:t>
      </w:r>
      <w:r w:rsidRPr="002B7B9C">
        <w:rPr>
          <w:rFonts w:ascii="Verdana" w:eastAsia="Arial" w:hAnsi="Verdana" w:cs="Arial"/>
          <w:sz w:val="20"/>
          <w:szCs w:val="20"/>
        </w:rPr>
        <w:lastRenderedPageBreak/>
        <w:t>ejecución y define estos como aquellos contratos que a la fecha de presentación de la oferta obligan al proponente con entidades estatales y con entidades privadas para ejecutar “obras civiles”.</w:t>
      </w:r>
    </w:p>
    <w:p w14:paraId="723B7DFD" w14:textId="77777777" w:rsidR="00D84E93" w:rsidRPr="002B7B9C" w:rsidRDefault="00D84E93" w:rsidP="00D84E93">
      <w:pPr>
        <w:spacing w:after="0" w:line="240" w:lineRule="auto"/>
        <w:contextualSpacing/>
        <w:jc w:val="both"/>
        <w:rPr>
          <w:rFonts w:ascii="Verdana" w:eastAsia="Arial" w:hAnsi="Verdana" w:cs="Arial"/>
          <w:sz w:val="20"/>
          <w:szCs w:val="20"/>
        </w:rPr>
      </w:pPr>
    </w:p>
    <w:p w14:paraId="6F5D3A4F" w14:textId="77777777" w:rsidR="00D84E93" w:rsidRPr="002B7B9C" w:rsidRDefault="00D84E93" w:rsidP="00D84E93">
      <w:pPr>
        <w:spacing w:after="0" w:line="240" w:lineRule="auto"/>
        <w:contextualSpacing/>
        <w:jc w:val="both"/>
        <w:rPr>
          <w:rFonts w:ascii="Verdana" w:eastAsia="Arial" w:hAnsi="Verdana" w:cs="Arial"/>
          <w:b/>
          <w:bCs/>
        </w:rPr>
      </w:pPr>
      <w:r w:rsidRPr="002B7B9C">
        <w:rPr>
          <w:rFonts w:ascii="Verdana" w:eastAsia="Arial" w:hAnsi="Verdana" w:cs="Arial"/>
          <w:b/>
          <w:bCs/>
        </w:rPr>
        <w:t>CÁLCULO DE LA CAPACIDAD RESIDUAL – Saldos de contratos en ejecución –</w:t>
      </w:r>
      <w:r>
        <w:rPr>
          <w:rFonts w:ascii="Verdana" w:eastAsia="Arial" w:hAnsi="Verdana" w:cs="Arial"/>
          <w:b/>
          <w:bCs/>
        </w:rPr>
        <w:t xml:space="preserve"> Documentos</w:t>
      </w:r>
    </w:p>
    <w:p w14:paraId="6692DC03" w14:textId="77777777" w:rsidR="00D84E93" w:rsidRPr="002B7B9C" w:rsidRDefault="00D84E93" w:rsidP="00D84E93">
      <w:pPr>
        <w:spacing w:after="0" w:line="240" w:lineRule="auto"/>
        <w:contextualSpacing/>
        <w:jc w:val="both"/>
        <w:rPr>
          <w:rFonts w:ascii="Verdana" w:eastAsia="Arial" w:hAnsi="Verdana" w:cs="Arial"/>
          <w:b/>
          <w:bCs/>
        </w:rPr>
      </w:pPr>
    </w:p>
    <w:p w14:paraId="2B0F4DE9" w14:textId="77777777" w:rsidR="00D84E93" w:rsidRPr="0044519D" w:rsidRDefault="00D84E93" w:rsidP="00D84E93">
      <w:pPr>
        <w:spacing w:after="0" w:line="240" w:lineRule="auto"/>
        <w:contextualSpacing/>
        <w:jc w:val="both"/>
        <w:rPr>
          <w:rFonts w:ascii="Verdana" w:eastAsia="Arial" w:hAnsi="Verdana" w:cs="Arial"/>
          <w:sz w:val="20"/>
          <w:szCs w:val="20"/>
        </w:rPr>
      </w:pPr>
      <w:r w:rsidRPr="0044519D">
        <w:rPr>
          <w:rFonts w:ascii="Verdana" w:eastAsia="Arial" w:hAnsi="Verdana" w:cs="Arial"/>
          <w:sz w:val="20"/>
          <w:szCs w:val="20"/>
        </w:rPr>
        <w:t>Teniendo en cuenta que para calcular la capacidad residual, uno de los factores son los saldos de los contratos en ejecución y que esta información debe ser presentada mediante un certificado suscrito por su representante legal y su revisor fiscal, si el proponente está obligado a tenerlo, o por el Contador Público o auditor independiente, si se incurre en inexactitudes de la información o falsedad por no relacionar todos los contratos en ejecución o por otras causas, la consecuencia aplicable a los proponentes dependerá de las reglas establecidas en el pliego de condiciones.</w:t>
      </w:r>
    </w:p>
    <w:p w14:paraId="052CAFED" w14:textId="77777777" w:rsidR="00D84E93" w:rsidRDefault="00D84E93" w:rsidP="00D84E93">
      <w:pPr>
        <w:spacing w:after="0" w:line="240" w:lineRule="auto"/>
        <w:contextualSpacing/>
        <w:jc w:val="both"/>
        <w:rPr>
          <w:rFonts w:ascii="Verdana" w:eastAsia="Arial" w:hAnsi="Verdana" w:cs="Arial"/>
          <w:sz w:val="20"/>
          <w:szCs w:val="20"/>
        </w:rPr>
      </w:pPr>
    </w:p>
    <w:p w14:paraId="1E65C721" w14:textId="77777777" w:rsidR="00D84E93" w:rsidRDefault="00D84E93" w:rsidP="00D84E93">
      <w:pPr>
        <w:spacing w:after="0" w:line="240" w:lineRule="auto"/>
        <w:contextualSpacing/>
        <w:jc w:val="both"/>
        <w:rPr>
          <w:rFonts w:ascii="Verdana" w:eastAsia="Arial" w:hAnsi="Verdana" w:cs="Arial"/>
          <w:sz w:val="20"/>
          <w:szCs w:val="20"/>
        </w:rPr>
      </w:pPr>
    </w:p>
    <w:p w14:paraId="41950106" w14:textId="77777777" w:rsidR="00D84E93" w:rsidRDefault="00D84E93" w:rsidP="00D84E93">
      <w:pPr>
        <w:spacing w:after="0" w:line="240" w:lineRule="auto"/>
        <w:contextualSpacing/>
        <w:jc w:val="both"/>
        <w:rPr>
          <w:rFonts w:ascii="Verdana" w:eastAsia="Arial" w:hAnsi="Verdana" w:cs="Arial"/>
          <w:sz w:val="20"/>
          <w:szCs w:val="20"/>
        </w:rPr>
      </w:pPr>
    </w:p>
    <w:p w14:paraId="0C551A53" w14:textId="77777777" w:rsidR="00D84E93" w:rsidRDefault="00D84E93" w:rsidP="00D84E93">
      <w:pPr>
        <w:spacing w:after="0" w:line="240" w:lineRule="auto"/>
        <w:contextualSpacing/>
        <w:jc w:val="both"/>
        <w:rPr>
          <w:rFonts w:ascii="Verdana" w:eastAsia="Arial" w:hAnsi="Verdana" w:cs="Arial"/>
          <w:sz w:val="20"/>
          <w:szCs w:val="20"/>
        </w:rPr>
      </w:pPr>
    </w:p>
    <w:p w14:paraId="37DF9F25" w14:textId="77777777" w:rsidR="00D84E93" w:rsidRDefault="00D84E93" w:rsidP="00D84E93">
      <w:pPr>
        <w:spacing w:after="0" w:line="240" w:lineRule="auto"/>
        <w:contextualSpacing/>
        <w:jc w:val="both"/>
        <w:rPr>
          <w:rFonts w:ascii="Verdana" w:eastAsia="Arial" w:hAnsi="Verdana" w:cs="Arial"/>
          <w:sz w:val="20"/>
          <w:szCs w:val="20"/>
        </w:rPr>
      </w:pPr>
    </w:p>
    <w:p w14:paraId="18E922BD" w14:textId="77777777" w:rsidR="00D84E93" w:rsidRDefault="00D84E93" w:rsidP="00D84E93">
      <w:pPr>
        <w:spacing w:after="0" w:line="240" w:lineRule="auto"/>
        <w:contextualSpacing/>
        <w:jc w:val="both"/>
        <w:rPr>
          <w:rFonts w:ascii="Verdana" w:eastAsia="Arial" w:hAnsi="Verdana" w:cs="Arial"/>
          <w:sz w:val="20"/>
          <w:szCs w:val="20"/>
        </w:rPr>
      </w:pPr>
    </w:p>
    <w:p w14:paraId="42E66D66" w14:textId="77777777" w:rsidR="00D84E93" w:rsidRDefault="00D84E93" w:rsidP="00D84E93">
      <w:pPr>
        <w:spacing w:after="0" w:line="240" w:lineRule="auto"/>
        <w:contextualSpacing/>
        <w:jc w:val="both"/>
        <w:rPr>
          <w:rFonts w:ascii="Verdana" w:eastAsia="Arial" w:hAnsi="Verdana" w:cs="Arial"/>
          <w:sz w:val="20"/>
          <w:szCs w:val="20"/>
        </w:rPr>
      </w:pPr>
    </w:p>
    <w:p w14:paraId="1CFFB980" w14:textId="77777777" w:rsidR="00D84E93" w:rsidRDefault="00D84E93" w:rsidP="00D84E93">
      <w:pPr>
        <w:spacing w:after="0" w:line="240" w:lineRule="auto"/>
        <w:contextualSpacing/>
        <w:jc w:val="both"/>
        <w:rPr>
          <w:rFonts w:ascii="Verdana" w:eastAsia="Arial" w:hAnsi="Verdana" w:cs="Arial"/>
          <w:sz w:val="20"/>
          <w:szCs w:val="20"/>
        </w:rPr>
      </w:pPr>
    </w:p>
    <w:p w14:paraId="197C1601" w14:textId="77777777" w:rsidR="00D84E93" w:rsidRDefault="00D84E93" w:rsidP="00D84E93">
      <w:pPr>
        <w:spacing w:after="0" w:line="240" w:lineRule="auto"/>
        <w:contextualSpacing/>
        <w:jc w:val="both"/>
        <w:rPr>
          <w:rFonts w:ascii="Verdana" w:eastAsia="Arial" w:hAnsi="Verdana" w:cs="Arial"/>
          <w:sz w:val="20"/>
          <w:szCs w:val="20"/>
        </w:rPr>
      </w:pPr>
    </w:p>
    <w:p w14:paraId="4864E82C" w14:textId="77777777" w:rsidR="00D84E93" w:rsidRDefault="00D84E93" w:rsidP="00D84E93">
      <w:pPr>
        <w:spacing w:after="0" w:line="240" w:lineRule="auto"/>
        <w:contextualSpacing/>
        <w:jc w:val="both"/>
        <w:rPr>
          <w:rFonts w:ascii="Verdana" w:eastAsia="Arial" w:hAnsi="Verdana" w:cs="Arial"/>
          <w:sz w:val="20"/>
          <w:szCs w:val="20"/>
        </w:rPr>
      </w:pPr>
    </w:p>
    <w:p w14:paraId="622BC895" w14:textId="77777777" w:rsidR="00D84E93" w:rsidRDefault="00D84E93" w:rsidP="00D84E93">
      <w:pPr>
        <w:spacing w:after="0" w:line="240" w:lineRule="auto"/>
        <w:contextualSpacing/>
        <w:jc w:val="both"/>
        <w:rPr>
          <w:rFonts w:ascii="Verdana" w:eastAsia="Arial" w:hAnsi="Verdana" w:cs="Arial"/>
          <w:sz w:val="20"/>
          <w:szCs w:val="20"/>
        </w:rPr>
      </w:pPr>
    </w:p>
    <w:p w14:paraId="44BAEBD9" w14:textId="77777777" w:rsidR="00D84E93" w:rsidRDefault="00D84E93" w:rsidP="00D84E93">
      <w:pPr>
        <w:spacing w:after="0" w:line="240" w:lineRule="auto"/>
        <w:contextualSpacing/>
        <w:jc w:val="both"/>
        <w:rPr>
          <w:rFonts w:ascii="Verdana" w:eastAsia="Arial" w:hAnsi="Verdana" w:cs="Arial"/>
          <w:sz w:val="20"/>
          <w:szCs w:val="20"/>
        </w:rPr>
      </w:pPr>
    </w:p>
    <w:p w14:paraId="51F6B700" w14:textId="77777777" w:rsidR="00D84E93" w:rsidRDefault="00D84E93" w:rsidP="00D84E93">
      <w:pPr>
        <w:spacing w:after="0" w:line="240" w:lineRule="auto"/>
        <w:contextualSpacing/>
        <w:jc w:val="both"/>
        <w:rPr>
          <w:rFonts w:ascii="Verdana" w:eastAsia="Arial" w:hAnsi="Verdana" w:cs="Arial"/>
          <w:sz w:val="20"/>
          <w:szCs w:val="20"/>
        </w:rPr>
      </w:pPr>
    </w:p>
    <w:p w14:paraId="00D76CAC" w14:textId="77777777" w:rsidR="00D84E93" w:rsidRDefault="00D84E93" w:rsidP="00D84E93">
      <w:pPr>
        <w:spacing w:after="0" w:line="240" w:lineRule="auto"/>
        <w:contextualSpacing/>
        <w:jc w:val="both"/>
        <w:rPr>
          <w:rFonts w:ascii="Verdana" w:eastAsia="Arial" w:hAnsi="Verdana" w:cs="Arial"/>
          <w:sz w:val="20"/>
          <w:szCs w:val="20"/>
        </w:rPr>
      </w:pPr>
    </w:p>
    <w:p w14:paraId="6370A4A6" w14:textId="77777777" w:rsidR="00D84E93" w:rsidRDefault="00D84E93" w:rsidP="00D84E93">
      <w:pPr>
        <w:spacing w:after="0" w:line="240" w:lineRule="auto"/>
        <w:contextualSpacing/>
        <w:jc w:val="both"/>
        <w:rPr>
          <w:rFonts w:ascii="Verdana" w:eastAsia="Arial" w:hAnsi="Verdana" w:cs="Arial"/>
          <w:sz w:val="20"/>
          <w:szCs w:val="20"/>
        </w:rPr>
      </w:pPr>
    </w:p>
    <w:p w14:paraId="73696DE9" w14:textId="77777777" w:rsidR="00D84E93" w:rsidRDefault="00D84E93" w:rsidP="00D84E93">
      <w:pPr>
        <w:spacing w:after="0" w:line="240" w:lineRule="auto"/>
        <w:contextualSpacing/>
        <w:jc w:val="both"/>
        <w:rPr>
          <w:rFonts w:ascii="Verdana" w:eastAsia="Arial" w:hAnsi="Verdana" w:cs="Arial"/>
          <w:sz w:val="20"/>
          <w:szCs w:val="20"/>
        </w:rPr>
      </w:pPr>
    </w:p>
    <w:p w14:paraId="2EAA87BF" w14:textId="77777777" w:rsidR="00D84E93" w:rsidRDefault="00D84E93" w:rsidP="00D84E93">
      <w:pPr>
        <w:spacing w:after="0" w:line="240" w:lineRule="auto"/>
        <w:contextualSpacing/>
        <w:jc w:val="both"/>
        <w:rPr>
          <w:rFonts w:ascii="Verdana" w:eastAsia="Arial" w:hAnsi="Verdana" w:cs="Arial"/>
          <w:sz w:val="20"/>
          <w:szCs w:val="20"/>
        </w:rPr>
      </w:pPr>
    </w:p>
    <w:p w14:paraId="5F2666DA" w14:textId="77777777" w:rsidR="00D84E93" w:rsidRDefault="00D84E93" w:rsidP="00D84E93">
      <w:pPr>
        <w:spacing w:after="0" w:line="240" w:lineRule="auto"/>
        <w:contextualSpacing/>
        <w:jc w:val="both"/>
        <w:rPr>
          <w:rFonts w:ascii="Verdana" w:eastAsia="Arial" w:hAnsi="Verdana" w:cs="Arial"/>
          <w:sz w:val="20"/>
          <w:szCs w:val="20"/>
        </w:rPr>
      </w:pPr>
    </w:p>
    <w:p w14:paraId="5F44A970" w14:textId="77777777" w:rsidR="00D84E93" w:rsidRDefault="00D84E93" w:rsidP="00D84E93">
      <w:pPr>
        <w:spacing w:after="0" w:line="240" w:lineRule="auto"/>
        <w:contextualSpacing/>
        <w:jc w:val="both"/>
        <w:rPr>
          <w:rFonts w:ascii="Verdana" w:eastAsia="Arial" w:hAnsi="Verdana" w:cs="Arial"/>
          <w:sz w:val="20"/>
          <w:szCs w:val="20"/>
        </w:rPr>
      </w:pPr>
    </w:p>
    <w:p w14:paraId="68250B45" w14:textId="77777777" w:rsidR="00D84E93" w:rsidRDefault="00D84E93" w:rsidP="00D84E93">
      <w:pPr>
        <w:spacing w:after="0" w:line="240" w:lineRule="auto"/>
        <w:contextualSpacing/>
        <w:jc w:val="both"/>
        <w:rPr>
          <w:rFonts w:ascii="Verdana" w:eastAsia="Arial" w:hAnsi="Verdana" w:cs="Arial"/>
          <w:sz w:val="20"/>
          <w:szCs w:val="20"/>
        </w:rPr>
      </w:pPr>
    </w:p>
    <w:p w14:paraId="702E513F" w14:textId="77777777" w:rsidR="00D84E93" w:rsidRDefault="00D84E93" w:rsidP="00D84E93">
      <w:pPr>
        <w:spacing w:after="0" w:line="240" w:lineRule="auto"/>
        <w:contextualSpacing/>
        <w:jc w:val="both"/>
        <w:rPr>
          <w:rFonts w:ascii="Verdana" w:eastAsia="Arial" w:hAnsi="Verdana" w:cs="Arial"/>
          <w:sz w:val="20"/>
          <w:szCs w:val="20"/>
        </w:rPr>
      </w:pPr>
    </w:p>
    <w:p w14:paraId="3BEFCF67" w14:textId="77777777" w:rsidR="00D84E93" w:rsidRDefault="00D84E93" w:rsidP="00D84E93">
      <w:pPr>
        <w:spacing w:after="0" w:line="240" w:lineRule="auto"/>
        <w:contextualSpacing/>
        <w:jc w:val="both"/>
        <w:rPr>
          <w:rFonts w:ascii="Verdana" w:eastAsia="Arial" w:hAnsi="Verdana" w:cs="Arial"/>
          <w:sz w:val="20"/>
          <w:szCs w:val="20"/>
        </w:rPr>
      </w:pPr>
    </w:p>
    <w:p w14:paraId="79F48372" w14:textId="77777777" w:rsidR="00D84E93" w:rsidRDefault="00D84E93" w:rsidP="00D84E93">
      <w:pPr>
        <w:spacing w:after="0" w:line="240" w:lineRule="auto"/>
        <w:contextualSpacing/>
        <w:jc w:val="both"/>
        <w:rPr>
          <w:rFonts w:ascii="Verdana" w:eastAsia="Arial" w:hAnsi="Verdana" w:cs="Arial"/>
          <w:sz w:val="20"/>
          <w:szCs w:val="20"/>
        </w:rPr>
      </w:pPr>
    </w:p>
    <w:p w14:paraId="3463B53C" w14:textId="77777777" w:rsidR="00D84E93" w:rsidRDefault="00D84E93" w:rsidP="00D84E93">
      <w:pPr>
        <w:spacing w:after="0" w:line="240" w:lineRule="auto"/>
        <w:contextualSpacing/>
        <w:jc w:val="both"/>
        <w:rPr>
          <w:rFonts w:ascii="Verdana" w:eastAsia="Arial" w:hAnsi="Verdana" w:cs="Arial"/>
          <w:sz w:val="20"/>
          <w:szCs w:val="20"/>
        </w:rPr>
      </w:pPr>
    </w:p>
    <w:p w14:paraId="702C8C58" w14:textId="77777777" w:rsidR="00D84E93" w:rsidRDefault="00D84E93" w:rsidP="00D84E93">
      <w:pPr>
        <w:spacing w:after="0" w:line="240" w:lineRule="auto"/>
        <w:contextualSpacing/>
        <w:jc w:val="both"/>
        <w:rPr>
          <w:rFonts w:ascii="Verdana" w:eastAsia="Arial" w:hAnsi="Verdana" w:cs="Arial"/>
          <w:sz w:val="20"/>
          <w:szCs w:val="20"/>
        </w:rPr>
      </w:pPr>
    </w:p>
    <w:p w14:paraId="78110C18" w14:textId="77777777" w:rsidR="00D84E93" w:rsidRDefault="00D84E93" w:rsidP="00D84E93">
      <w:pPr>
        <w:spacing w:after="0" w:line="240" w:lineRule="auto"/>
        <w:contextualSpacing/>
        <w:jc w:val="both"/>
        <w:rPr>
          <w:rFonts w:ascii="Verdana" w:eastAsia="Arial" w:hAnsi="Verdana" w:cs="Arial"/>
          <w:sz w:val="20"/>
          <w:szCs w:val="20"/>
        </w:rPr>
      </w:pPr>
    </w:p>
    <w:p w14:paraId="4109E5F0" w14:textId="77777777" w:rsidR="00D84E93" w:rsidRDefault="00D84E93" w:rsidP="00D84E93">
      <w:pPr>
        <w:spacing w:after="0" w:line="240" w:lineRule="auto"/>
        <w:contextualSpacing/>
        <w:jc w:val="both"/>
        <w:rPr>
          <w:rFonts w:ascii="Verdana" w:eastAsia="Arial" w:hAnsi="Verdana" w:cs="Arial"/>
          <w:sz w:val="20"/>
          <w:szCs w:val="20"/>
        </w:rPr>
      </w:pPr>
    </w:p>
    <w:p w14:paraId="33C6ED59" w14:textId="77777777" w:rsidR="00D84E93" w:rsidRDefault="00D84E93" w:rsidP="00D84E93">
      <w:pPr>
        <w:spacing w:after="0" w:line="240" w:lineRule="auto"/>
        <w:contextualSpacing/>
        <w:jc w:val="both"/>
        <w:rPr>
          <w:rFonts w:ascii="Verdana" w:eastAsia="Arial" w:hAnsi="Verdana" w:cs="Arial"/>
          <w:sz w:val="20"/>
          <w:szCs w:val="20"/>
        </w:rPr>
      </w:pPr>
    </w:p>
    <w:p w14:paraId="718C3BE8" w14:textId="77777777" w:rsidR="00D84E93" w:rsidRDefault="00D84E93" w:rsidP="00D84E93">
      <w:pPr>
        <w:spacing w:after="0" w:line="240" w:lineRule="auto"/>
        <w:contextualSpacing/>
        <w:jc w:val="both"/>
        <w:rPr>
          <w:rFonts w:ascii="Verdana" w:eastAsia="Arial" w:hAnsi="Verdana" w:cs="Arial"/>
          <w:sz w:val="20"/>
          <w:szCs w:val="20"/>
        </w:rPr>
      </w:pPr>
    </w:p>
    <w:p w14:paraId="2BE3258C" w14:textId="77777777" w:rsidR="00D84E93" w:rsidRDefault="00D84E93" w:rsidP="00D84E93">
      <w:pPr>
        <w:spacing w:after="0" w:line="240" w:lineRule="auto"/>
        <w:contextualSpacing/>
        <w:jc w:val="both"/>
        <w:rPr>
          <w:rFonts w:ascii="Verdana" w:eastAsia="Arial" w:hAnsi="Verdana" w:cs="Arial"/>
          <w:sz w:val="20"/>
          <w:szCs w:val="20"/>
        </w:rPr>
      </w:pPr>
    </w:p>
    <w:p w14:paraId="442445D9" w14:textId="77777777" w:rsidR="00D84E93" w:rsidRDefault="00D84E93" w:rsidP="00D84E93">
      <w:pPr>
        <w:spacing w:after="0" w:line="240" w:lineRule="auto"/>
        <w:contextualSpacing/>
        <w:jc w:val="both"/>
        <w:rPr>
          <w:rFonts w:ascii="Verdana" w:eastAsia="Arial" w:hAnsi="Verdana" w:cs="Arial"/>
          <w:sz w:val="20"/>
          <w:szCs w:val="20"/>
        </w:rPr>
      </w:pPr>
    </w:p>
    <w:p w14:paraId="70CF9682" w14:textId="12505461" w:rsidR="00D84E93" w:rsidRDefault="00D84E93" w:rsidP="00D84E93">
      <w:pPr>
        <w:spacing w:after="0" w:line="240" w:lineRule="auto"/>
        <w:rPr>
          <w:rFonts w:ascii="Verdana" w:eastAsia="Geomanist Light" w:hAnsi="Verdana" w:cs="Arial"/>
          <w:color w:val="000000" w:themeColor="text1"/>
          <w:lang w:val="es-MX"/>
        </w:rPr>
      </w:pPr>
      <w:r w:rsidRPr="00382CD8">
        <w:rPr>
          <w:rFonts w:ascii="Verdana" w:eastAsia="Geomanist Light" w:hAnsi="Verdana" w:cs="Arial"/>
          <w:color w:val="000000" w:themeColor="text1"/>
          <w:lang w:val="es-MX"/>
        </w:rPr>
        <w:lastRenderedPageBreak/>
        <w:t xml:space="preserve">Bogotá D.C., </w:t>
      </w:r>
      <w:r w:rsidR="007817A1">
        <w:rPr>
          <w:rFonts w:ascii="Verdana" w:eastAsia="Geomanist Light" w:hAnsi="Verdana" w:cs="Arial"/>
          <w:color w:val="000000" w:themeColor="text1"/>
          <w:lang w:val="es-MX"/>
        </w:rPr>
        <w:t>16 de febrero de 2026</w:t>
      </w:r>
    </w:p>
    <w:p w14:paraId="59A0A2F0" w14:textId="77777777" w:rsidR="007817A1" w:rsidRDefault="007817A1" w:rsidP="00D84E93">
      <w:pPr>
        <w:spacing w:after="0" w:line="240" w:lineRule="auto"/>
        <w:rPr>
          <w:rFonts w:ascii="Verdana" w:eastAsia="Geomanist Light" w:hAnsi="Verdana" w:cs="Arial"/>
          <w:color w:val="000000" w:themeColor="text1"/>
          <w:lang w:val="es-MX"/>
        </w:rPr>
      </w:pPr>
    </w:p>
    <w:p w14:paraId="0F525FAD" w14:textId="247918DA" w:rsidR="007817A1" w:rsidRPr="00382CD8" w:rsidRDefault="007817A1" w:rsidP="007817A1">
      <w:pPr>
        <w:spacing w:after="0" w:line="240" w:lineRule="auto"/>
        <w:jc w:val="right"/>
        <w:rPr>
          <w:rFonts w:ascii="Verdana" w:eastAsia="Geomanist Light" w:hAnsi="Verdana" w:cs="Arial"/>
          <w:color w:val="201F1E"/>
          <w:lang w:val="es-MX"/>
        </w:rPr>
      </w:pPr>
      <w:r w:rsidRPr="007817A1">
        <w:rPr>
          <w:rFonts w:ascii="Verdana" w:eastAsia="Geomanist Light" w:hAnsi="Verdana" w:cs="Arial"/>
          <w:color w:val="201F1E"/>
          <w:lang w:val="es-MX"/>
        </w:rPr>
        <w:drawing>
          <wp:inline distT="0" distB="0" distL="0" distR="0" wp14:anchorId="54BB1CE4" wp14:editId="33A00B9B">
            <wp:extent cx="3734321" cy="1028844"/>
            <wp:effectExtent l="0" t="0" r="0" b="0"/>
            <wp:docPr id="17546870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687012" name="Imagen 1" descr="Texto&#10;&#10;El contenido generado por IA puede ser incorrecto."/>
                    <pic:cNvPicPr/>
                  </pic:nvPicPr>
                  <pic:blipFill>
                    <a:blip r:embed="rId10"/>
                    <a:stretch>
                      <a:fillRect/>
                    </a:stretch>
                  </pic:blipFill>
                  <pic:spPr>
                    <a:xfrm>
                      <a:off x="0" y="0"/>
                      <a:ext cx="3734321" cy="1028844"/>
                    </a:xfrm>
                    <a:prstGeom prst="rect">
                      <a:avLst/>
                    </a:prstGeom>
                  </pic:spPr>
                </pic:pic>
              </a:graphicData>
            </a:graphic>
          </wp:inline>
        </w:drawing>
      </w:r>
    </w:p>
    <w:p w14:paraId="66CDF083" w14:textId="77777777" w:rsidR="00D84E93" w:rsidRPr="00F9120E" w:rsidRDefault="00D84E93" w:rsidP="00D84E93">
      <w:pPr>
        <w:spacing w:after="0"/>
        <w:rPr>
          <w:rFonts w:ascii="Verdana" w:hAnsi="Verdana"/>
          <w:lang w:val="es-ES"/>
        </w:rPr>
      </w:pPr>
      <w:r w:rsidRPr="00F9120E">
        <w:rPr>
          <w:rFonts w:ascii="Verdana" w:hAnsi="Verdana"/>
          <w:lang w:val="es-ES"/>
        </w:rPr>
        <w:tab/>
      </w:r>
    </w:p>
    <w:p w14:paraId="0590B207" w14:textId="77777777" w:rsidR="00D84E93" w:rsidRPr="00F9120E" w:rsidRDefault="00D84E93" w:rsidP="00D84E93">
      <w:pPr>
        <w:spacing w:after="0"/>
        <w:rPr>
          <w:rFonts w:ascii="Verdana" w:hAnsi="Verdana"/>
          <w:lang w:val="es-ES"/>
        </w:rPr>
      </w:pPr>
    </w:p>
    <w:p w14:paraId="1B0A6141" w14:textId="77777777" w:rsidR="00D84E93" w:rsidRPr="00F9120E" w:rsidRDefault="00D84E93" w:rsidP="00D84E93">
      <w:pPr>
        <w:spacing w:after="0" w:line="240" w:lineRule="auto"/>
        <w:jc w:val="both"/>
        <w:rPr>
          <w:rFonts w:ascii="Verdana" w:eastAsia="Calibri" w:hAnsi="Verdana" w:cs="Arial"/>
          <w:color w:val="000000" w:themeColor="text1"/>
          <w:lang w:val="es-ES" w:eastAsia="es-ES"/>
        </w:rPr>
      </w:pPr>
      <w:r w:rsidRPr="00F9120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w:t>
      </w:r>
    </w:p>
    <w:p w14:paraId="7841C29E" w14:textId="77777777" w:rsidR="00D84E93" w:rsidRPr="009E7B2D" w:rsidRDefault="00D84E93" w:rsidP="00D84E93">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Oscar Eduardo Bonilla Vilarete</w:t>
      </w:r>
    </w:p>
    <w:p w14:paraId="0DD41698" w14:textId="77777777" w:rsidR="00D84E93" w:rsidRPr="00F9120E" w:rsidRDefault="00D84E93" w:rsidP="00D84E93">
      <w:pPr>
        <w:spacing w:after="0" w:line="240" w:lineRule="auto"/>
        <w:rPr>
          <w:rFonts w:ascii="Verdana" w:eastAsia="Calibri" w:hAnsi="Verdana" w:cs="Arial"/>
          <w:color w:val="000000" w:themeColor="text1"/>
          <w:lang w:val="es-ES" w:eastAsia="es-ES_tradnl"/>
        </w:rPr>
      </w:pPr>
      <w:r w:rsidRPr="00F9120E">
        <w:rPr>
          <w:rFonts w:ascii="Verdana" w:eastAsia="Calibri" w:hAnsi="Verdana" w:cs="Arial"/>
          <w:color w:val="000000" w:themeColor="text1"/>
          <w:lang w:val="es-ES" w:eastAsia="es-ES_tradnl"/>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84E93" w:rsidRPr="00F9120E" w14:paraId="49D862D0" w14:textId="77777777" w:rsidTr="007628F7">
        <w:trPr>
          <w:trHeight w:val="304"/>
        </w:trPr>
        <w:tc>
          <w:tcPr>
            <w:tcW w:w="2689" w:type="dxa"/>
          </w:tcPr>
          <w:p w14:paraId="1C738DFA" w14:textId="77777777" w:rsidR="00D84E93" w:rsidRPr="00F9120E" w:rsidRDefault="00D84E93" w:rsidP="007628F7">
            <w:pPr>
              <w:jc w:val="both"/>
              <w:rPr>
                <w:rFonts w:ascii="Verdana" w:eastAsia="Calibri" w:hAnsi="Verdana" w:cs="Arial"/>
                <w:b/>
                <w:bCs/>
                <w:color w:val="000000" w:themeColor="text1"/>
                <w:lang w:val="es-ES" w:eastAsia="es-ES_tradnl"/>
              </w:rPr>
            </w:pPr>
          </w:p>
        </w:tc>
        <w:tc>
          <w:tcPr>
            <w:tcW w:w="6100" w:type="dxa"/>
          </w:tcPr>
          <w:p w14:paraId="181A719C" w14:textId="77777777" w:rsidR="00D84E93" w:rsidRPr="00F9120E" w:rsidRDefault="00D84E93" w:rsidP="007628F7">
            <w:pPr>
              <w:jc w:val="both"/>
              <w:rPr>
                <w:rFonts w:ascii="Verdana" w:eastAsia="Calibri" w:hAnsi="Verdana" w:cs="Arial"/>
                <w:b/>
                <w:bCs/>
                <w:color w:val="000000" w:themeColor="text1"/>
                <w:lang w:val="es-ES" w:eastAsia="es-ES"/>
              </w:rPr>
            </w:pPr>
          </w:p>
          <w:p w14:paraId="49853394" w14:textId="77777777" w:rsidR="00D84E93" w:rsidRPr="00F9120E" w:rsidRDefault="00D84E93" w:rsidP="007628F7">
            <w:pPr>
              <w:jc w:val="both"/>
              <w:rPr>
                <w:rFonts w:ascii="Verdana" w:eastAsia="Calibri" w:hAnsi="Verdana" w:cs="Arial"/>
                <w:b/>
                <w:bCs/>
                <w:color w:val="000000" w:themeColor="text1"/>
                <w:lang w:val="es-ES" w:eastAsia="es-ES"/>
              </w:rPr>
            </w:pPr>
            <w:r w:rsidRPr="00F9120E">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012</w:t>
            </w:r>
            <w:r w:rsidRPr="00F9120E">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1618A0AA" w14:textId="77777777" w:rsidR="00D84E93" w:rsidRPr="00F9120E" w:rsidRDefault="00D84E93" w:rsidP="007628F7">
            <w:pPr>
              <w:jc w:val="both"/>
              <w:rPr>
                <w:rFonts w:ascii="Verdana" w:eastAsia="Calibri" w:hAnsi="Verdana" w:cs="Arial"/>
                <w:b/>
                <w:bCs/>
                <w:color w:val="000000" w:themeColor="text1"/>
                <w:lang w:val="es-ES" w:eastAsia="es-ES"/>
              </w:rPr>
            </w:pPr>
          </w:p>
        </w:tc>
      </w:tr>
      <w:tr w:rsidR="00D84E93" w:rsidRPr="00F9120E" w14:paraId="4B70CAF4" w14:textId="77777777" w:rsidTr="007628F7">
        <w:trPr>
          <w:trHeight w:val="884"/>
        </w:trPr>
        <w:tc>
          <w:tcPr>
            <w:tcW w:w="2689" w:type="dxa"/>
          </w:tcPr>
          <w:p w14:paraId="0D53A33A" w14:textId="77777777" w:rsidR="00D84E93" w:rsidRPr="00F9120E" w:rsidRDefault="00D84E93" w:rsidP="007628F7">
            <w:pPr>
              <w:jc w:val="both"/>
              <w:rPr>
                <w:rFonts w:ascii="Verdana" w:eastAsia="Calibri" w:hAnsi="Verdana" w:cs="Arial"/>
                <w:color w:val="000000" w:themeColor="text1"/>
                <w:lang w:val="es-ES" w:eastAsia="es-ES_tradnl"/>
              </w:rPr>
            </w:pPr>
            <w:r w:rsidRPr="00F9120E">
              <w:rPr>
                <w:rFonts w:ascii="Verdana" w:eastAsia="Calibri" w:hAnsi="Verdana" w:cs="Arial"/>
                <w:b/>
                <w:color w:val="000000" w:themeColor="text1"/>
                <w:lang w:val="es-ES" w:eastAsia="es-ES_tradnl"/>
              </w:rPr>
              <w:t>Temas:</w:t>
            </w:r>
            <w:r w:rsidRPr="00F9120E">
              <w:rPr>
                <w:rFonts w:ascii="Verdana" w:eastAsia="Calibri" w:hAnsi="Verdana" w:cs="Arial"/>
                <w:color w:val="000000" w:themeColor="text1"/>
                <w:lang w:val="es-ES" w:eastAsia="es-ES_tradnl"/>
              </w:rPr>
              <w:t xml:space="preserve">                   </w:t>
            </w:r>
          </w:p>
        </w:tc>
        <w:tc>
          <w:tcPr>
            <w:tcW w:w="6100" w:type="dxa"/>
          </w:tcPr>
          <w:p w14:paraId="5CA99D7E" w14:textId="77777777" w:rsidR="00D84E93" w:rsidRPr="00F9120E" w:rsidRDefault="00D84E93" w:rsidP="007628F7">
            <w:pPr>
              <w:jc w:val="both"/>
              <w:rPr>
                <w:rFonts w:ascii="Verdana" w:eastAsia="Century Gothic" w:hAnsi="Verdana" w:cs="Century Gothic"/>
                <w:b/>
                <w:bCs/>
                <w:lang w:val="es-ES"/>
              </w:rPr>
            </w:pPr>
            <w:r w:rsidRPr="00752B05">
              <w:rPr>
                <w:rFonts w:ascii="Verdana" w:eastAsia="Calibri" w:hAnsi="Verdana" w:cs="Arial"/>
                <w:lang w:val="es-ES" w:eastAsia="es-ES_tradnl"/>
              </w:rPr>
              <w:t>REQUISITOS HABILITANTES – Noción / REQUISITOS HABILITANTES – Autonomía / REQUISITOS HABILITANTES – No taxativos – Ley 842 de 2003 – Vinculación permanente de un profesional / LEY 842 DE 2003 – Artículo 17 – Capacidad residual – Capacidad técnica /</w:t>
            </w:r>
            <w:r>
              <w:rPr>
                <w:rFonts w:ascii="Verdana" w:eastAsia="Calibri" w:hAnsi="Verdana" w:cs="Arial"/>
                <w:lang w:val="es-ES" w:eastAsia="es-ES_tradnl"/>
              </w:rPr>
              <w:t xml:space="preserve"> </w:t>
            </w:r>
            <w:r w:rsidRPr="001D6D9D">
              <w:rPr>
                <w:rFonts w:ascii="Verdana" w:eastAsia="Calibri" w:hAnsi="Verdana" w:cs="Arial"/>
                <w:lang w:val="es-ES" w:eastAsia="es-ES_tradnl"/>
              </w:rPr>
              <w:t>PRINCIPIO DE SELECCIÓN OBJETIVA – Fundamento – Alcance</w:t>
            </w:r>
            <w:r>
              <w:rPr>
                <w:rFonts w:ascii="Verdana" w:eastAsia="Calibri" w:hAnsi="Verdana" w:cs="Arial"/>
                <w:lang w:val="es-ES" w:eastAsia="es-ES_tradnl"/>
              </w:rPr>
              <w:t xml:space="preserve"> / </w:t>
            </w:r>
            <w:r w:rsidRPr="001D6D9D">
              <w:rPr>
                <w:rFonts w:ascii="Verdana" w:eastAsia="Calibri" w:hAnsi="Verdana" w:cs="Arial"/>
                <w:lang w:val="es-ES" w:eastAsia="es-ES_tradnl"/>
              </w:rPr>
              <w:t>SUBSANABILIDAD – Concepto de unificación – Aplicación – Improcedencia – Circunstancias posteriores – Cierre del proceso</w:t>
            </w:r>
            <w:r>
              <w:rPr>
                <w:rFonts w:ascii="Verdana" w:eastAsia="Calibri" w:hAnsi="Verdana" w:cs="Arial"/>
                <w:lang w:val="es-ES" w:eastAsia="es-ES_tradnl"/>
              </w:rPr>
              <w:t xml:space="preserve"> / </w:t>
            </w:r>
            <w:r w:rsidRPr="001D6D9D">
              <w:rPr>
                <w:rFonts w:ascii="Verdana" w:eastAsia="Calibri" w:hAnsi="Verdana" w:cs="Arial"/>
                <w:lang w:val="es-ES" w:eastAsia="es-ES_tradnl"/>
              </w:rPr>
              <w:t>SUBSANABILIDAD – Oportunidad – Traslado – Informe de evaluación</w:t>
            </w:r>
            <w:r>
              <w:rPr>
                <w:rFonts w:ascii="Verdana" w:eastAsia="Calibri" w:hAnsi="Verdana" w:cs="Arial"/>
                <w:lang w:val="es-ES" w:eastAsia="es-ES_tradnl"/>
              </w:rPr>
              <w:t xml:space="preserve"> / </w:t>
            </w:r>
            <w:r w:rsidRPr="00B8480B">
              <w:rPr>
                <w:rFonts w:ascii="Verdana" w:eastAsia="Calibri" w:hAnsi="Verdana" w:cs="Arial"/>
                <w:lang w:val="es-ES" w:eastAsia="es-ES_tradnl"/>
              </w:rPr>
              <w:t>PROPONENTE PLURAL – Definición</w:t>
            </w:r>
            <w:r>
              <w:rPr>
                <w:rFonts w:ascii="Verdana" w:eastAsia="Calibri" w:hAnsi="Verdana" w:cs="Arial"/>
                <w:lang w:val="es-ES" w:eastAsia="es-ES_tradnl"/>
              </w:rPr>
              <w:t xml:space="preserve"> / </w:t>
            </w:r>
            <w:r w:rsidRPr="00B8480B">
              <w:rPr>
                <w:rFonts w:ascii="Verdana" w:eastAsia="Calibri" w:hAnsi="Verdana" w:cs="Arial"/>
                <w:lang w:val="es-ES" w:eastAsia="es-ES_tradnl"/>
              </w:rPr>
              <w:t>PROPONENTE PLURAL – Capacidad jurídica – Miembro –</w:t>
            </w:r>
            <w:r>
              <w:rPr>
                <w:rFonts w:ascii="Verdana" w:eastAsia="Calibri" w:hAnsi="Verdana" w:cs="Arial"/>
                <w:lang w:val="es-ES" w:eastAsia="es-ES_tradnl"/>
              </w:rPr>
              <w:t xml:space="preserve"> </w:t>
            </w:r>
            <w:r w:rsidRPr="00B8480B">
              <w:rPr>
                <w:rFonts w:ascii="Verdana" w:eastAsia="Calibri" w:hAnsi="Verdana" w:cs="Arial"/>
                <w:lang w:val="es-ES" w:eastAsia="es-ES_tradnl"/>
              </w:rPr>
              <w:t>Liquidación judicial</w:t>
            </w:r>
            <w:r>
              <w:rPr>
                <w:rFonts w:ascii="Verdana" w:eastAsia="Calibri" w:hAnsi="Verdana" w:cs="Arial"/>
                <w:lang w:val="es-ES" w:eastAsia="es-ES_tradnl"/>
              </w:rPr>
              <w:t xml:space="preserve"> / </w:t>
            </w:r>
            <w:r w:rsidRPr="002B7B9C">
              <w:rPr>
                <w:rFonts w:ascii="Verdana" w:eastAsia="Calibri" w:hAnsi="Verdana" w:cs="Arial"/>
                <w:lang w:val="es-ES" w:eastAsia="es-ES_tradnl"/>
              </w:rPr>
              <w:t>CAPACIDAD RESIDUAL – Concepto</w:t>
            </w:r>
            <w:r>
              <w:t xml:space="preserve"> / </w:t>
            </w:r>
            <w:r w:rsidRPr="007C4244">
              <w:rPr>
                <w:rFonts w:ascii="Verdana" w:eastAsia="Calibri" w:hAnsi="Verdana" w:cs="Arial"/>
                <w:lang w:val="es-ES" w:eastAsia="es-ES_tradnl"/>
              </w:rPr>
              <w:t>CÁLCULO DE LA CAPACIDAD RESIDUAL – Factores – Saldos de contratos en ejecución</w:t>
            </w:r>
            <w:r>
              <w:rPr>
                <w:rFonts w:ascii="Verdana" w:eastAsia="Calibri" w:hAnsi="Verdana" w:cs="Arial"/>
                <w:lang w:val="es-ES" w:eastAsia="es-ES_tradnl"/>
              </w:rPr>
              <w:t xml:space="preserve"> / </w:t>
            </w:r>
            <w:r w:rsidRPr="00640BFC">
              <w:rPr>
                <w:rFonts w:ascii="Verdana" w:eastAsia="Calibri" w:hAnsi="Verdana" w:cs="Arial"/>
                <w:lang w:val="es-ES" w:eastAsia="es-ES_tradnl"/>
              </w:rPr>
              <w:t>CÁLCULO DE LA CAPACIDAD RESIDUAL – Saldos de contratos en ejecución – Documentos</w:t>
            </w:r>
          </w:p>
          <w:p w14:paraId="720BD82A" w14:textId="77777777" w:rsidR="00D84E93" w:rsidRPr="00F9120E" w:rsidRDefault="00D84E93" w:rsidP="007628F7">
            <w:pPr>
              <w:spacing w:line="276" w:lineRule="auto"/>
              <w:jc w:val="both"/>
              <w:rPr>
                <w:rFonts w:ascii="Verdana" w:eastAsia="Calibri" w:hAnsi="Verdana" w:cs="Arial"/>
                <w:color w:val="000000" w:themeColor="text1"/>
                <w:lang w:val="es-ES" w:eastAsia="es-ES"/>
              </w:rPr>
            </w:pPr>
          </w:p>
        </w:tc>
      </w:tr>
      <w:tr w:rsidR="00D84E93" w:rsidRPr="00F9120E" w14:paraId="426CFB13" w14:textId="77777777" w:rsidTr="007628F7">
        <w:tc>
          <w:tcPr>
            <w:tcW w:w="2689" w:type="dxa"/>
          </w:tcPr>
          <w:p w14:paraId="4126CAAE" w14:textId="77777777" w:rsidR="00D84E93" w:rsidRPr="00F9120E" w:rsidRDefault="00D84E93" w:rsidP="007628F7">
            <w:pPr>
              <w:jc w:val="both"/>
              <w:rPr>
                <w:rFonts w:ascii="Verdana" w:eastAsia="Calibri" w:hAnsi="Verdana" w:cs="Arial"/>
                <w:b/>
                <w:color w:val="000000" w:themeColor="text1"/>
                <w:lang w:val="es-ES" w:eastAsia="es-ES_tradnl"/>
              </w:rPr>
            </w:pPr>
            <w:r w:rsidRPr="00F9120E">
              <w:rPr>
                <w:rFonts w:ascii="Verdana" w:eastAsia="Calibri" w:hAnsi="Verdana" w:cs="Arial"/>
                <w:b/>
                <w:color w:val="000000" w:themeColor="text1"/>
                <w:lang w:val="es-ES" w:eastAsia="es-ES_tradnl"/>
              </w:rPr>
              <w:t>Radicación:</w:t>
            </w:r>
            <w:r w:rsidRPr="00F9120E">
              <w:rPr>
                <w:rFonts w:ascii="Verdana" w:eastAsia="Calibri" w:hAnsi="Verdana" w:cs="Arial"/>
                <w:color w:val="000000" w:themeColor="text1"/>
                <w:lang w:val="es-ES" w:eastAsia="es-ES_tradnl"/>
              </w:rPr>
              <w:t xml:space="preserve">               </w:t>
            </w:r>
          </w:p>
        </w:tc>
        <w:tc>
          <w:tcPr>
            <w:tcW w:w="6100" w:type="dxa"/>
          </w:tcPr>
          <w:p w14:paraId="083A5F77" w14:textId="77777777" w:rsidR="00D84E93" w:rsidRPr="00F9120E" w:rsidRDefault="00D84E93" w:rsidP="007628F7">
            <w:pPr>
              <w:jc w:val="both"/>
              <w:rPr>
                <w:rFonts w:ascii="Verdana" w:eastAsia="Calibri" w:hAnsi="Verdana" w:cs="Arial"/>
                <w:color w:val="000000" w:themeColor="text1"/>
                <w:lang w:val="es-ES" w:eastAsia="es-ES_tradnl"/>
              </w:rPr>
            </w:pPr>
            <w:r w:rsidRPr="00F9120E">
              <w:rPr>
                <w:rFonts w:ascii="Verdana" w:eastAsia="Calibri" w:hAnsi="Verdana" w:cs="Arial"/>
                <w:color w:val="000000" w:themeColor="text1"/>
                <w:lang w:val="es-ES" w:eastAsia="es-ES_tradnl"/>
              </w:rPr>
              <w:t xml:space="preserve">Respuesta a consulta con radicado No. </w:t>
            </w:r>
            <w:r w:rsidRPr="00313927">
              <w:rPr>
                <w:rFonts w:ascii="Verdana" w:eastAsia="Calibri" w:hAnsi="Verdana" w:cs="Arial"/>
                <w:color w:val="000000" w:themeColor="text1"/>
                <w:lang w:val="es-ES" w:eastAsia="es-ES_tradnl"/>
              </w:rPr>
              <w:t>1_2026_01_06_000085</w:t>
            </w:r>
          </w:p>
        </w:tc>
      </w:tr>
    </w:tbl>
    <w:p w14:paraId="69E8CD22" w14:textId="77777777" w:rsidR="00D84E93" w:rsidRPr="00F9120E" w:rsidRDefault="00D84E93" w:rsidP="00D84E93">
      <w:pPr>
        <w:spacing w:after="0" w:line="276" w:lineRule="auto"/>
        <w:jc w:val="both"/>
        <w:rPr>
          <w:rFonts w:ascii="Verdana" w:eastAsia="Calibri" w:hAnsi="Verdana" w:cs="Arial"/>
          <w:color w:val="000000" w:themeColor="text1"/>
          <w:lang w:val="es-ES" w:eastAsia="es-ES_tradnl"/>
        </w:rPr>
      </w:pPr>
    </w:p>
    <w:p w14:paraId="23128B43" w14:textId="77777777" w:rsidR="00D84E93" w:rsidRPr="00F9120E" w:rsidRDefault="00D84E93" w:rsidP="00D84E93">
      <w:pPr>
        <w:spacing w:after="0" w:line="276" w:lineRule="auto"/>
        <w:jc w:val="both"/>
        <w:rPr>
          <w:rFonts w:ascii="Verdana" w:eastAsia="Calibri" w:hAnsi="Verdana" w:cs="Arial"/>
          <w:color w:val="000000" w:themeColor="text1"/>
          <w:lang w:val="es-ES" w:eastAsia="es-ES_tradnl"/>
        </w:rPr>
      </w:pPr>
    </w:p>
    <w:p w14:paraId="19755120" w14:textId="77777777" w:rsidR="00D84E93" w:rsidRPr="00F9120E" w:rsidRDefault="00D84E93" w:rsidP="00D84E93">
      <w:pPr>
        <w:spacing w:after="0" w:line="276" w:lineRule="auto"/>
        <w:jc w:val="both"/>
        <w:rPr>
          <w:rFonts w:ascii="Verdana" w:eastAsia="Calibri" w:hAnsi="Verdana" w:cs="Arial"/>
          <w:color w:val="000000" w:themeColor="text1"/>
          <w:lang w:val="es-ES" w:eastAsia="es-ES"/>
        </w:rPr>
      </w:pPr>
      <w:r w:rsidRPr="00F9120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9120E">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Bonilla</w:t>
      </w:r>
      <w:r w:rsidRPr="00F9120E">
        <w:rPr>
          <w:rFonts w:ascii="Verdana" w:eastAsia="Calibri" w:hAnsi="Verdana" w:cs="Arial"/>
          <w:color w:val="000000" w:themeColor="text1"/>
          <w:lang w:val="es-ES" w:eastAsia="es-ES"/>
        </w:rPr>
        <w:t xml:space="preserve">: </w:t>
      </w:r>
    </w:p>
    <w:p w14:paraId="44B5EC8D" w14:textId="77777777" w:rsidR="00D84E93" w:rsidRPr="00F9120E" w:rsidRDefault="00D84E93" w:rsidP="00D84E93">
      <w:pPr>
        <w:tabs>
          <w:tab w:val="left" w:pos="3768"/>
        </w:tabs>
        <w:spacing w:after="0" w:line="276" w:lineRule="auto"/>
        <w:jc w:val="both"/>
        <w:rPr>
          <w:rFonts w:ascii="Verdana" w:eastAsia="Calibri" w:hAnsi="Verdana" w:cs="Arial"/>
          <w:color w:val="000000" w:themeColor="text1"/>
          <w:lang w:val="es-ES" w:eastAsia="es-ES"/>
        </w:rPr>
      </w:pPr>
      <w:r w:rsidRPr="00F9120E">
        <w:rPr>
          <w:rFonts w:ascii="Verdana" w:eastAsia="Calibri" w:hAnsi="Verdana" w:cs="Arial"/>
          <w:color w:val="000000" w:themeColor="text1"/>
          <w:lang w:val="es-ES" w:eastAsia="es-ES"/>
        </w:rPr>
        <w:tab/>
      </w:r>
    </w:p>
    <w:p w14:paraId="1240B258" w14:textId="77777777" w:rsidR="00D84E93" w:rsidRPr="00F9120E" w:rsidRDefault="00D84E93" w:rsidP="00D84E93">
      <w:pPr>
        <w:spacing w:after="0" w:line="276" w:lineRule="auto"/>
        <w:jc w:val="both"/>
        <w:rPr>
          <w:rFonts w:ascii="Verdana" w:eastAsia="Calibri" w:hAnsi="Verdana" w:cs="Arial"/>
          <w:color w:val="000000" w:themeColor="text1"/>
          <w:lang w:val="es-ES" w:eastAsia="es-ES"/>
        </w:rPr>
      </w:pPr>
      <w:r w:rsidRPr="00F9120E">
        <w:rPr>
          <w:rFonts w:ascii="Verdana" w:eastAsia="Calibri" w:hAnsi="Verdana" w:cs="Arial"/>
          <w:color w:val="000000" w:themeColor="text1"/>
          <w:lang w:val="es-ES" w:eastAsia="es-ES"/>
        </w:rPr>
        <w:lastRenderedPageBreak/>
        <w:t>En ejercicio de la competencia otorgada por los artículos 3, numeral 5º, y 11, numeral 8º, del Decreto Ley 4170 de 2011,</w:t>
      </w:r>
      <w:r w:rsidRPr="00F9120E">
        <w:rPr>
          <w:rFonts w:ascii="Verdana" w:eastAsia="Arial MT" w:hAnsi="Verdana" w:cs="Arial MT"/>
          <w:color w:val="000000" w:themeColor="text1"/>
          <w:lang w:val="es-ES" w:eastAsia="es-ES"/>
        </w:rPr>
        <w:t xml:space="preserve"> </w:t>
      </w:r>
      <w:r w:rsidRPr="00F9120E">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consulta remitida a esta entidad el </w:t>
      </w:r>
      <w:r>
        <w:rPr>
          <w:rFonts w:ascii="Verdana" w:hAnsi="Verdana" w:cs="Arial"/>
          <w:color w:val="000000" w:themeColor="text1"/>
          <w:lang w:val="es-ES"/>
        </w:rPr>
        <w:t>6</w:t>
      </w:r>
      <w:r w:rsidRPr="00F9120E">
        <w:rPr>
          <w:rFonts w:ascii="Verdana" w:hAnsi="Verdana" w:cs="Arial"/>
          <w:color w:val="000000" w:themeColor="text1"/>
          <w:lang w:val="es-ES"/>
        </w:rPr>
        <w:t xml:space="preserve"> de </w:t>
      </w:r>
      <w:r>
        <w:rPr>
          <w:rFonts w:ascii="Verdana" w:hAnsi="Verdana" w:cs="Arial"/>
          <w:color w:val="000000" w:themeColor="text1"/>
          <w:lang w:val="es-ES"/>
        </w:rPr>
        <w:t>enero</w:t>
      </w:r>
      <w:r w:rsidRPr="00F9120E">
        <w:rPr>
          <w:rFonts w:ascii="Verdana" w:hAnsi="Verdana" w:cs="Arial"/>
          <w:color w:val="000000" w:themeColor="text1"/>
          <w:lang w:val="es-ES"/>
        </w:rPr>
        <w:t xml:space="preserve"> de 202</w:t>
      </w:r>
      <w:r>
        <w:rPr>
          <w:rFonts w:ascii="Verdana" w:hAnsi="Verdana" w:cs="Arial"/>
          <w:color w:val="000000" w:themeColor="text1"/>
          <w:lang w:val="es-ES"/>
        </w:rPr>
        <w:t>6</w:t>
      </w:r>
      <w:r w:rsidRPr="00F9120E">
        <w:rPr>
          <w:rFonts w:ascii="Verdana" w:hAnsi="Verdana" w:cs="Arial"/>
          <w:color w:val="000000" w:themeColor="text1"/>
          <w:lang w:val="es-ES"/>
        </w:rPr>
        <w:t>, en la cual manifiesta lo siguiente:</w:t>
      </w:r>
      <w:r w:rsidRPr="00F9120E">
        <w:rPr>
          <w:rFonts w:ascii="Verdana" w:eastAsia="Calibri" w:hAnsi="Verdana" w:cs="Arial"/>
          <w:color w:val="000000" w:themeColor="text1"/>
          <w:lang w:val="es-ES" w:eastAsia="es-ES"/>
        </w:rPr>
        <w:t xml:space="preserve"> </w:t>
      </w:r>
    </w:p>
    <w:p w14:paraId="57069AA1" w14:textId="77777777" w:rsidR="00D84E93" w:rsidRPr="00F9120E" w:rsidRDefault="00D84E93" w:rsidP="00D84E93">
      <w:pPr>
        <w:spacing w:after="0" w:line="276" w:lineRule="auto"/>
        <w:jc w:val="both"/>
        <w:rPr>
          <w:rFonts w:ascii="Verdana" w:eastAsia="Calibri" w:hAnsi="Verdana" w:cs="Arial"/>
          <w:color w:val="000000" w:themeColor="text1"/>
          <w:lang w:val="es-ES" w:eastAsia="es-ES"/>
        </w:rPr>
      </w:pPr>
    </w:p>
    <w:p w14:paraId="33670953"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F9120E">
        <w:rPr>
          <w:rFonts w:ascii="Verdana" w:eastAsia="Century Gothic" w:hAnsi="Verdana" w:cs="Century Gothic"/>
          <w:color w:val="000000" w:themeColor="text1"/>
          <w:sz w:val="20"/>
          <w:szCs w:val="20"/>
          <w:lang w:val="es-ES"/>
        </w:rPr>
        <w:t>“[…]</w:t>
      </w:r>
      <w:bookmarkEnd w:id="1"/>
      <w:r w:rsidRPr="00F9120E">
        <w:rPr>
          <w:rFonts w:ascii="Verdana" w:eastAsia="Century Gothic" w:hAnsi="Verdana" w:cs="Century Gothic"/>
          <w:color w:val="000000" w:themeColor="text1"/>
          <w:sz w:val="20"/>
          <w:szCs w:val="20"/>
          <w:lang w:val="es-ES"/>
        </w:rPr>
        <w:t xml:space="preserve"> </w:t>
      </w:r>
      <w:r w:rsidRPr="009E564E">
        <w:rPr>
          <w:rFonts w:ascii="Verdana" w:eastAsia="Century Gothic" w:hAnsi="Verdana" w:cs="Century Gothic"/>
          <w:color w:val="000000" w:themeColor="text1"/>
          <w:sz w:val="20"/>
          <w:szCs w:val="20"/>
          <w:lang w:val="es-ES"/>
        </w:rPr>
        <w:t>1. Aplicación de la Ley 842 de 2003 (Nómina Permanente)</w:t>
      </w:r>
    </w:p>
    <w:p w14:paraId="12DD9224"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593C3283"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Se solicita concepto sobre el alcance del Artículo 17 de la Ley 842 de 20031, que obliga a las sociedades de ingeniería a incluir en su nómina permanente a un profesional matriculado.</w:t>
      </w:r>
    </w:p>
    <w:p w14:paraId="756AB7B5"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1A169F14"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 ¿Se considera que un contrato de prestación de servicios (CPS) o un</w:t>
      </w:r>
      <w:r>
        <w:rPr>
          <w:rFonts w:ascii="Verdana" w:eastAsia="Century Gothic" w:hAnsi="Verdana" w:cs="Century Gothic"/>
          <w:color w:val="000000" w:themeColor="text1"/>
          <w:sz w:val="20"/>
          <w:szCs w:val="20"/>
          <w:lang w:val="es-ES"/>
        </w:rPr>
        <w:t xml:space="preserve"> </w:t>
      </w:r>
      <w:r w:rsidRPr="009E564E">
        <w:rPr>
          <w:rFonts w:ascii="Verdana" w:eastAsia="Century Gothic" w:hAnsi="Verdana" w:cs="Century Gothic"/>
          <w:color w:val="000000" w:themeColor="text1"/>
          <w:sz w:val="20"/>
          <w:szCs w:val="20"/>
          <w:lang w:val="es-ES"/>
        </w:rPr>
        <w:t>contrato por obra o labor satisface el requisito de "nómina permanente"</w:t>
      </w:r>
      <w:r>
        <w:rPr>
          <w:rFonts w:ascii="Verdana" w:eastAsia="Century Gothic" w:hAnsi="Verdana" w:cs="Century Gothic"/>
          <w:color w:val="000000" w:themeColor="text1"/>
          <w:sz w:val="20"/>
          <w:szCs w:val="20"/>
          <w:lang w:val="es-ES"/>
        </w:rPr>
        <w:t xml:space="preserve"> </w:t>
      </w:r>
      <w:r w:rsidRPr="009E564E">
        <w:rPr>
          <w:rFonts w:ascii="Verdana" w:eastAsia="Century Gothic" w:hAnsi="Verdana" w:cs="Century Gothic"/>
          <w:color w:val="000000" w:themeColor="text1"/>
          <w:sz w:val="20"/>
          <w:szCs w:val="20"/>
          <w:lang w:val="es-ES"/>
        </w:rPr>
        <w:t>exigido por la Ley 842 de 2003 para efectos de la Capacidad Técnica en un proceso de selección de obra pública?</w:t>
      </w:r>
    </w:p>
    <w:p w14:paraId="70E193B6"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 En caso de que el objeto del contrato sea una obra civil, ¿la entidad contratante está obligada a rechazar la oferta (Causal Z: Las demás previstas en la ley) si el único profesional certificado en nómina permanente no es un Ingeniero Civil o afín, sino un profesional de otra rama de la ingeniería o arquitectura, si el pliego de condiciones no lo especificó, pero el objeto social de la empresa es la construcción de obra civil?</w:t>
      </w:r>
    </w:p>
    <w:p w14:paraId="18EC97F8"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2. Consecuencias de la Mora en Aportes y la Inexactitud de la Información</w:t>
      </w:r>
    </w:p>
    <w:p w14:paraId="478EB978"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 xml:space="preserve">La jurisprudencia del Consejo de Estado (citada en el documento) ha sido </w:t>
      </w:r>
    </w:p>
    <w:p w14:paraId="496E0929"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clara al señalar que la obligación de estar al día en los aportes a la seguridad social es un requisito habilitante y que la entidad debe verificar su cumplimiento.</w:t>
      </w:r>
    </w:p>
    <w:p w14:paraId="1D623832" w14:textId="77777777" w:rsidR="00D84E93" w:rsidRPr="009E564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5C12A8E2"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9E564E">
        <w:rPr>
          <w:rFonts w:ascii="Verdana" w:eastAsia="Century Gothic" w:hAnsi="Verdana" w:cs="Century Gothic"/>
          <w:color w:val="000000" w:themeColor="text1"/>
          <w:sz w:val="20"/>
          <w:szCs w:val="20"/>
          <w:lang w:val="es-ES"/>
        </w:rPr>
        <w:t>• ¿La detección de inconsistencias en los reportes de aportes (ADRES) para el personal certificado en la Capacidad Técnica (CT) —tales como mora, cotizaciones incompletas para contratos indefinidos, o afiliaciones irregulares— configura per se la causal de rechazo por información inexacta (Causal G), o debe la entidad agotar el requerimiento de subsanación o aclaración al proponente?</w:t>
      </w:r>
    </w:p>
    <w:p w14:paraId="52E5D452"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 Considerando que la Capacidad Técnica (CT) es un factor que afecta la asignación de puntaje, ¿la acreditación de información inexacta en este factor, con potencial de inducir a error para obtener puntaje, es una circunstancia que, una vez verificada, debe conducir al rechazo de la oferta sin posibilidad de subsanación, en aplicación del principio de la Selección Objetiva y la prohibición de subsanar requisitos de puntuación?</w:t>
      </w:r>
    </w:p>
    <w:p w14:paraId="560F2F0C" w14:textId="77777777" w:rsidR="00D84E93" w:rsidRPr="00886AB1"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1F8CB05C"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3. Subsanabilidad y Factores de Puntuación</w:t>
      </w:r>
    </w:p>
    <w:p w14:paraId="73567A75"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Pr>
          <w:rFonts w:ascii="Verdana" w:eastAsia="Century Gothic" w:hAnsi="Verdana" w:cs="Century Gothic"/>
          <w:color w:val="000000" w:themeColor="text1"/>
          <w:sz w:val="20"/>
          <w:szCs w:val="20"/>
          <w:lang w:val="es-ES"/>
        </w:rPr>
        <w:lastRenderedPageBreak/>
        <w:t xml:space="preserve"> </w:t>
      </w:r>
    </w:p>
    <w:p w14:paraId="57A4CDD1"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El documento plantea que la ausencia de formatos o la presentación de</w:t>
      </w:r>
      <w:r>
        <w:rPr>
          <w:rFonts w:ascii="Verdana" w:eastAsia="Century Gothic" w:hAnsi="Verdana" w:cs="Century Gothic"/>
          <w:color w:val="000000" w:themeColor="text1"/>
          <w:sz w:val="20"/>
          <w:szCs w:val="20"/>
          <w:lang w:val="es-ES"/>
        </w:rPr>
        <w:t xml:space="preserve"> </w:t>
      </w:r>
      <w:r w:rsidRPr="00886AB1">
        <w:rPr>
          <w:rFonts w:ascii="Verdana" w:eastAsia="Century Gothic" w:hAnsi="Verdana" w:cs="Century Gothic"/>
          <w:color w:val="000000" w:themeColor="text1"/>
          <w:sz w:val="20"/>
          <w:szCs w:val="20"/>
          <w:lang w:val="es-ES"/>
        </w:rPr>
        <w:t>archivos dañados para acreditar factores de puntuación (E, CT, CF) es</w:t>
      </w:r>
      <w:r>
        <w:rPr>
          <w:rFonts w:ascii="Verdana" w:eastAsia="Century Gothic" w:hAnsi="Verdana" w:cs="Century Gothic"/>
          <w:color w:val="000000" w:themeColor="text1"/>
          <w:sz w:val="20"/>
          <w:szCs w:val="20"/>
          <w:lang w:val="es-ES"/>
        </w:rPr>
        <w:t xml:space="preserve"> </w:t>
      </w:r>
      <w:r w:rsidRPr="00886AB1">
        <w:rPr>
          <w:rFonts w:ascii="Verdana" w:eastAsia="Century Gothic" w:hAnsi="Verdana" w:cs="Century Gothic"/>
          <w:color w:val="000000" w:themeColor="text1"/>
          <w:sz w:val="20"/>
          <w:szCs w:val="20"/>
          <w:lang w:val="es-ES"/>
        </w:rPr>
        <w:t>causal de rechazo por ser requisitos no subsanables.</w:t>
      </w:r>
    </w:p>
    <w:p w14:paraId="6878B9BE" w14:textId="77777777" w:rsidR="00D84E93" w:rsidRPr="00886AB1"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7A7AA0A9"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 ¿Se ajusta al marco normativo (Art. 5, Parágrafo 1, Ley 1150/2007)</w:t>
      </w:r>
      <w:r>
        <w:rPr>
          <w:rFonts w:ascii="Verdana" w:eastAsia="Century Gothic" w:hAnsi="Verdana" w:cs="Century Gothic"/>
          <w:color w:val="000000" w:themeColor="text1"/>
          <w:sz w:val="20"/>
          <w:szCs w:val="20"/>
          <w:lang w:val="es-ES"/>
        </w:rPr>
        <w:t xml:space="preserve"> </w:t>
      </w:r>
      <w:r w:rsidRPr="00886AB1">
        <w:rPr>
          <w:rFonts w:ascii="Verdana" w:eastAsia="Century Gothic" w:hAnsi="Verdana" w:cs="Century Gothic"/>
          <w:color w:val="000000" w:themeColor="text1"/>
          <w:sz w:val="20"/>
          <w:szCs w:val="20"/>
          <w:lang w:val="es-ES"/>
        </w:rPr>
        <w:t>la interpretación de que la falta de presentación de la documentación necesaria para calcular los factores de la Capacidad Residual que otorgan puntaje (Experiencia, Capacidad Técnica, Capacidad Financiera) es un requisito no subsanable y, por lo tanto, causal de rechazo (Causal D)?</w:t>
      </w:r>
    </w:p>
    <w:p w14:paraId="4D727026" w14:textId="77777777" w:rsidR="00D84E93" w:rsidRPr="00886AB1"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3A454C47" w14:textId="77777777" w:rsidR="00D84E93"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4. Inhabilidades y Contratos en Ejecución</w:t>
      </w:r>
    </w:p>
    <w:p w14:paraId="0F8C1DE8" w14:textId="77777777" w:rsidR="00D84E93" w:rsidRPr="00886AB1"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p>
    <w:p w14:paraId="0D640628" w14:textId="77777777" w:rsidR="00D84E93" w:rsidRPr="00886AB1"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 En el caso de un proponente plural, si un socio de uno de los</w:t>
      </w:r>
      <w:r>
        <w:rPr>
          <w:rFonts w:ascii="Verdana" w:eastAsia="Century Gothic" w:hAnsi="Verdana" w:cs="Century Gothic"/>
          <w:color w:val="000000" w:themeColor="text1"/>
          <w:sz w:val="20"/>
          <w:szCs w:val="20"/>
          <w:lang w:val="es-ES"/>
        </w:rPr>
        <w:t xml:space="preserve"> </w:t>
      </w:r>
      <w:r w:rsidRPr="00886AB1">
        <w:rPr>
          <w:rFonts w:ascii="Verdana" w:eastAsia="Century Gothic" w:hAnsi="Verdana" w:cs="Century Gothic"/>
          <w:color w:val="000000" w:themeColor="text1"/>
          <w:sz w:val="20"/>
          <w:szCs w:val="20"/>
          <w:lang w:val="es-ES"/>
        </w:rPr>
        <w:t>integrantes se encuentra en liquidación judicial, ¿esta situación traslada automáticamente la inhabilidad al proponente plural, obligando al rechazo de la oferta (Causal C), o debe analizarse el</w:t>
      </w:r>
      <w:r>
        <w:rPr>
          <w:rFonts w:ascii="Verdana" w:eastAsia="Century Gothic" w:hAnsi="Verdana" w:cs="Century Gothic"/>
          <w:color w:val="000000" w:themeColor="text1"/>
          <w:sz w:val="20"/>
          <w:szCs w:val="20"/>
          <w:lang w:val="es-ES"/>
        </w:rPr>
        <w:t xml:space="preserve"> </w:t>
      </w:r>
      <w:r w:rsidRPr="00886AB1">
        <w:rPr>
          <w:rFonts w:ascii="Verdana" w:eastAsia="Century Gothic" w:hAnsi="Verdana" w:cs="Century Gothic"/>
          <w:color w:val="000000" w:themeColor="text1"/>
          <w:sz w:val="20"/>
          <w:szCs w:val="20"/>
          <w:lang w:val="es-ES"/>
        </w:rPr>
        <w:t>impacto de la "muerte jurídica" del socio en la capacidad habilitante del integrante?</w:t>
      </w:r>
    </w:p>
    <w:p w14:paraId="514CDAD6" w14:textId="77777777" w:rsidR="00D84E93" w:rsidRPr="00F9120E" w:rsidRDefault="00D84E93" w:rsidP="00D84E93">
      <w:pPr>
        <w:spacing w:after="0" w:line="240" w:lineRule="auto"/>
        <w:ind w:left="709" w:right="709"/>
        <w:jc w:val="both"/>
        <w:rPr>
          <w:rFonts w:ascii="Verdana" w:eastAsia="Century Gothic" w:hAnsi="Verdana" w:cs="Century Gothic"/>
          <w:color w:val="000000" w:themeColor="text1"/>
          <w:sz w:val="20"/>
          <w:szCs w:val="20"/>
          <w:lang w:val="es-ES"/>
        </w:rPr>
      </w:pPr>
      <w:r w:rsidRPr="00886AB1">
        <w:rPr>
          <w:rFonts w:ascii="Verdana" w:eastAsia="Century Gothic" w:hAnsi="Verdana" w:cs="Century Gothic"/>
          <w:color w:val="000000" w:themeColor="text1"/>
          <w:sz w:val="20"/>
          <w:szCs w:val="20"/>
          <w:lang w:val="es-ES"/>
        </w:rPr>
        <w:t>• La omisión de reportar la adición al valor de un contrato en ejecución, afectando el cálculo del Saldo de Contratos en Ejecución (SCE) y la Capacidad Residual (CR), ¿debe ser considerada como información inexacta (Causal G) y causal de rechazo, tal como lo establece el pliego de condiciones, en virtud del deber de diligencia y la buena fe objetiva?</w:t>
      </w:r>
      <w:r w:rsidRPr="00F9120E">
        <w:rPr>
          <w:rFonts w:ascii="Verdana" w:eastAsia="Century Gothic" w:hAnsi="Verdana" w:cs="Century Gothic"/>
          <w:color w:val="000000" w:themeColor="text1"/>
          <w:sz w:val="20"/>
          <w:szCs w:val="20"/>
          <w:lang w:val="es-ES"/>
        </w:rPr>
        <w:t>”</w:t>
      </w:r>
    </w:p>
    <w:p w14:paraId="0C742753" w14:textId="77777777" w:rsidR="00D84E93" w:rsidRPr="00F9120E" w:rsidRDefault="00D84E93" w:rsidP="00D84E93">
      <w:pPr>
        <w:spacing w:after="0" w:line="240" w:lineRule="auto"/>
        <w:ind w:right="709"/>
        <w:jc w:val="both"/>
        <w:rPr>
          <w:rFonts w:ascii="Verdana" w:eastAsia="Century Gothic" w:hAnsi="Verdana" w:cs="Century Gothic"/>
          <w:color w:val="000000" w:themeColor="text1"/>
          <w:sz w:val="20"/>
          <w:szCs w:val="20"/>
          <w:lang w:val="es-ES"/>
        </w:rPr>
      </w:pPr>
    </w:p>
    <w:p w14:paraId="5F155DFD" w14:textId="77777777" w:rsidR="00D84E93" w:rsidRPr="00F9120E" w:rsidRDefault="00D84E93" w:rsidP="00D84E93">
      <w:pPr>
        <w:spacing w:after="0" w:line="276" w:lineRule="auto"/>
        <w:ind w:firstLine="709"/>
        <w:contextualSpacing/>
        <w:jc w:val="both"/>
        <w:rPr>
          <w:rFonts w:ascii="Verdana" w:eastAsia="Calibri" w:hAnsi="Verdana" w:cs="Arial"/>
          <w:color w:val="000000" w:themeColor="text1"/>
          <w:szCs w:val="24"/>
          <w:lang w:val="es-ES" w:eastAsia="es-ES_tradnl"/>
        </w:rPr>
      </w:pPr>
      <w:r w:rsidRPr="00F9120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9120E">
        <w:rPr>
          <w:rFonts w:ascii="Verdana" w:eastAsia="Calibri" w:hAnsi="Verdana" w:cs="Arial"/>
          <w:color w:val="000000" w:themeColor="text1"/>
          <w:szCs w:val="24"/>
          <w:lang w:val="es-ES" w:eastAsia="es-ES_tradnl"/>
        </w:rPr>
        <w:tab/>
      </w:r>
    </w:p>
    <w:p w14:paraId="51C38DA6" w14:textId="77777777" w:rsidR="00D84E93" w:rsidRPr="00F9120E" w:rsidRDefault="00D84E93" w:rsidP="00D84E93">
      <w:pPr>
        <w:spacing w:before="120" w:after="120" w:line="276" w:lineRule="auto"/>
        <w:ind w:firstLine="709"/>
        <w:jc w:val="both"/>
        <w:rPr>
          <w:rFonts w:ascii="Verdana" w:eastAsia="Calibri" w:hAnsi="Verdana" w:cs="Arial"/>
          <w:color w:val="000000" w:themeColor="text1"/>
          <w:lang w:val="es-ES" w:eastAsia="es-ES"/>
        </w:rPr>
      </w:pPr>
      <w:r w:rsidRPr="00F9120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F9120E">
        <w:rPr>
          <w:rFonts w:ascii="Verdana" w:eastAsia="Calibri" w:hAnsi="Verdana" w:cs="Arial"/>
          <w:color w:val="000000" w:themeColor="text1"/>
          <w:lang w:val="es-ES" w:eastAsia="es-ES"/>
        </w:rPr>
        <w:lastRenderedPageBreak/>
        <w:t xml:space="preserve">sobre las normas generales relacionadas con </w:t>
      </w:r>
      <w:r>
        <w:rPr>
          <w:rFonts w:ascii="Verdana" w:eastAsia="Calibri" w:hAnsi="Verdana" w:cs="Arial"/>
          <w:color w:val="000000" w:themeColor="text1"/>
          <w:lang w:val="es-ES" w:eastAsia="es-ES"/>
        </w:rPr>
        <w:t>los</w:t>
      </w:r>
      <w:r w:rsidRPr="00F9120E">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 xml:space="preserve">s </w:t>
      </w:r>
      <w:r w:rsidRPr="00F9120E">
        <w:rPr>
          <w:rFonts w:ascii="Verdana" w:eastAsia="Calibri" w:hAnsi="Verdana" w:cs="Arial"/>
          <w:color w:val="000000" w:themeColor="text1"/>
          <w:lang w:val="es-ES" w:eastAsia="es-ES"/>
        </w:rPr>
        <w:t>jurídico</w:t>
      </w:r>
      <w:r>
        <w:rPr>
          <w:rFonts w:ascii="Verdana" w:eastAsia="Calibri" w:hAnsi="Verdana" w:cs="Arial"/>
          <w:color w:val="000000" w:themeColor="text1"/>
          <w:lang w:val="es-ES" w:eastAsia="es-ES"/>
        </w:rPr>
        <w:t>s</w:t>
      </w:r>
      <w:r w:rsidRPr="00F9120E">
        <w:rPr>
          <w:rFonts w:ascii="Verdana" w:eastAsia="Calibri" w:hAnsi="Verdana" w:cs="Arial"/>
          <w:color w:val="000000" w:themeColor="text1"/>
          <w:lang w:val="es-ES" w:eastAsia="es-ES"/>
        </w:rPr>
        <w:t xml:space="preserve"> de su consulta. </w:t>
      </w:r>
    </w:p>
    <w:p w14:paraId="561DF1DE" w14:textId="77777777" w:rsidR="00D84E93" w:rsidRPr="00F9120E" w:rsidRDefault="00D84E93" w:rsidP="00D84E93">
      <w:pPr>
        <w:spacing w:after="0" w:line="276" w:lineRule="auto"/>
        <w:jc w:val="both"/>
        <w:rPr>
          <w:rFonts w:ascii="Verdana" w:eastAsia="Calibri" w:hAnsi="Verdana" w:cs="Arial"/>
          <w:color w:val="000000" w:themeColor="text1"/>
          <w:lang w:val="es-ES" w:eastAsia="es-ES"/>
        </w:rPr>
      </w:pPr>
    </w:p>
    <w:p w14:paraId="55D4C650" w14:textId="77777777" w:rsidR="00D84E93" w:rsidRPr="00F9120E" w:rsidRDefault="00D84E93" w:rsidP="00D84E9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9120E">
        <w:rPr>
          <w:rFonts w:ascii="Verdana" w:eastAsia="Century Gothic" w:hAnsi="Verdana" w:cs="Century Gothic"/>
          <w:b/>
          <w:bCs/>
          <w:color w:val="000000" w:themeColor="text1"/>
        </w:rPr>
        <w:t>Problema</w:t>
      </w:r>
      <w:r>
        <w:rPr>
          <w:rFonts w:ascii="Verdana" w:eastAsia="Century Gothic" w:hAnsi="Verdana" w:cs="Century Gothic"/>
          <w:b/>
          <w:bCs/>
          <w:color w:val="000000" w:themeColor="text1"/>
        </w:rPr>
        <w:t>s</w:t>
      </w:r>
      <w:r w:rsidRPr="00F9120E">
        <w:rPr>
          <w:rFonts w:ascii="Verdana" w:eastAsia="Century Gothic" w:hAnsi="Verdana" w:cs="Century Gothic"/>
          <w:b/>
          <w:bCs/>
          <w:color w:val="000000" w:themeColor="text1"/>
        </w:rPr>
        <w:t xml:space="preserve"> planteado</w:t>
      </w:r>
      <w:r>
        <w:rPr>
          <w:rFonts w:ascii="Verdana" w:eastAsia="Century Gothic" w:hAnsi="Verdana" w:cs="Century Gothic"/>
          <w:b/>
          <w:bCs/>
          <w:color w:val="000000" w:themeColor="text1"/>
        </w:rPr>
        <w:t>s</w:t>
      </w:r>
      <w:r w:rsidRPr="00F9120E">
        <w:rPr>
          <w:rFonts w:ascii="Verdana" w:eastAsia="Century Gothic" w:hAnsi="Verdana" w:cs="Century Gothic"/>
          <w:b/>
          <w:bCs/>
          <w:color w:val="000000" w:themeColor="text1"/>
        </w:rPr>
        <w:t>:</w:t>
      </w:r>
    </w:p>
    <w:p w14:paraId="5EC8BDC8" w14:textId="77777777" w:rsidR="00D84E93" w:rsidRPr="00F9120E" w:rsidRDefault="00D84E93" w:rsidP="00D84E93">
      <w:pPr>
        <w:tabs>
          <w:tab w:val="left" w:pos="426"/>
        </w:tabs>
        <w:spacing w:after="0" w:line="276" w:lineRule="auto"/>
        <w:jc w:val="both"/>
        <w:rPr>
          <w:rFonts w:ascii="Verdana" w:eastAsia="Century Gothic" w:hAnsi="Verdana" w:cs="Century Gothic"/>
          <w:color w:val="000000" w:themeColor="text1"/>
          <w:lang w:val="es-ES"/>
        </w:rPr>
      </w:pPr>
    </w:p>
    <w:p w14:paraId="56258FE0" w14:textId="2BF6B3E8" w:rsidR="00D84E93" w:rsidRPr="00F9120E" w:rsidRDefault="00D84E93" w:rsidP="00D84E93">
      <w:pPr>
        <w:spacing w:line="276" w:lineRule="auto"/>
        <w:jc w:val="both"/>
        <w:rPr>
          <w:rFonts w:ascii="Verdana" w:eastAsia="Century Gothic" w:hAnsi="Verdana" w:cs="Century Gothic"/>
          <w:color w:val="000000" w:themeColor="text1"/>
          <w:lang w:val="es-ES"/>
        </w:rPr>
      </w:pPr>
      <w:r w:rsidRPr="00F9120E">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F9120E">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9120E">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problemas j</w:t>
      </w:r>
      <w:r w:rsidRPr="00F9120E">
        <w:rPr>
          <w:rFonts w:ascii="Verdana" w:eastAsia="Century Gothic" w:hAnsi="Verdana" w:cs="Century Gothic"/>
          <w:color w:val="000000" w:themeColor="text1"/>
          <w:lang w:val="es-ES"/>
        </w:rPr>
        <w:t>urídico</w:t>
      </w:r>
      <w:r>
        <w:rPr>
          <w:rFonts w:ascii="Verdana" w:eastAsia="Century Gothic" w:hAnsi="Verdana" w:cs="Century Gothic"/>
          <w:color w:val="000000" w:themeColor="text1"/>
          <w:lang w:val="es-ES"/>
        </w:rPr>
        <w:t>s</w:t>
      </w:r>
      <w:r w:rsidRPr="00F9120E">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w:t>
      </w:r>
      <w:r w:rsidRPr="00F9120E">
        <w:rPr>
          <w:rFonts w:ascii="Verdana" w:eastAsia="Century Gothic" w:hAnsi="Verdana" w:cs="Century Gothic"/>
          <w:color w:val="000000" w:themeColor="text1"/>
          <w:lang w:val="es-ES"/>
        </w:rPr>
        <w:t xml:space="preserve">¿Cuál es </w:t>
      </w:r>
      <w:r>
        <w:rPr>
          <w:rFonts w:ascii="Verdana" w:eastAsia="Century Gothic" w:hAnsi="Verdana" w:cs="Century Gothic"/>
          <w:color w:val="000000" w:themeColor="text1"/>
          <w:lang w:val="es-ES"/>
        </w:rPr>
        <w:t>el alcance del artículo 17 de la Ley 842 de 2003 respecto de la capacidad técnica como componente de la capacidad residual, y esto es subsanable</w:t>
      </w:r>
      <w:r w:rsidRPr="00F9120E">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xml:space="preserve">) ¿Las inconsistencias en los aportes a seguridad social del personal del proponente es subsanable? </w:t>
      </w:r>
      <w:proofErr w:type="spellStart"/>
      <w:r>
        <w:rPr>
          <w:rFonts w:ascii="Verdana" w:eastAsia="Century Gothic" w:hAnsi="Verdana" w:cs="Century Gothic"/>
          <w:color w:val="000000" w:themeColor="text1"/>
          <w:lang w:val="es-ES"/>
        </w:rPr>
        <w:t>iii</w:t>
      </w:r>
      <w:proofErr w:type="spellEnd"/>
      <w:r>
        <w:rPr>
          <w:rFonts w:ascii="Verdana" w:eastAsia="Century Gothic" w:hAnsi="Verdana" w:cs="Century Gothic"/>
          <w:color w:val="000000" w:themeColor="text1"/>
          <w:lang w:val="es-ES"/>
        </w:rPr>
        <w:t xml:space="preserve">) En caso de que el socio de un integrante de un proponente plural se encuentre en liquidación judicial ¿Procede la inhabilidad o el rechazo de la oferta del proponente plural? y </w:t>
      </w:r>
      <w:proofErr w:type="spellStart"/>
      <w:r>
        <w:rPr>
          <w:rFonts w:ascii="Verdana" w:eastAsia="Century Gothic" w:hAnsi="Verdana" w:cs="Century Gothic"/>
          <w:color w:val="000000" w:themeColor="text1"/>
          <w:lang w:val="es-ES"/>
        </w:rPr>
        <w:t>iv</w:t>
      </w:r>
      <w:proofErr w:type="spellEnd"/>
      <w:r>
        <w:rPr>
          <w:rFonts w:ascii="Verdana" w:eastAsia="Century Gothic" w:hAnsi="Verdana" w:cs="Century Gothic"/>
          <w:color w:val="000000" w:themeColor="text1"/>
          <w:lang w:val="es-ES"/>
        </w:rPr>
        <w:t>) ¿Qué consecuencia jurídica genera la omisión de reportar la adición de un contrato en ejecución para el cálculo del factor de saldos de contratos en ejecución de la capacidad residual?</w:t>
      </w:r>
    </w:p>
    <w:p w14:paraId="7A0D65A1" w14:textId="77777777" w:rsidR="00D84E93" w:rsidRPr="00F9120E" w:rsidRDefault="00D84E93" w:rsidP="00D84E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9120E">
        <w:rPr>
          <w:rFonts w:ascii="Verdana" w:eastAsia="Century Gothic" w:hAnsi="Verdana" w:cs="Century Gothic"/>
          <w:b/>
          <w:bCs/>
          <w:color w:val="000000" w:themeColor="text1"/>
        </w:rPr>
        <w:t>Respuesta</w:t>
      </w:r>
      <w:r>
        <w:rPr>
          <w:rFonts w:ascii="Verdana" w:eastAsia="Century Gothic" w:hAnsi="Verdana" w:cs="Century Gothic"/>
          <w:b/>
          <w:bCs/>
          <w:color w:val="000000" w:themeColor="text1"/>
        </w:rPr>
        <w:t>s</w:t>
      </w:r>
      <w:r w:rsidRPr="00F9120E">
        <w:rPr>
          <w:rFonts w:ascii="Verdana" w:eastAsia="Century Gothic" w:hAnsi="Verdana" w:cs="Century Gothic"/>
          <w:b/>
          <w:bCs/>
          <w:color w:val="000000" w:themeColor="text1"/>
        </w:rPr>
        <w:t>:</w:t>
      </w:r>
    </w:p>
    <w:p w14:paraId="6F00C8D9" w14:textId="77777777" w:rsidR="00D84E93" w:rsidRPr="00F9120E" w:rsidRDefault="00D84E93" w:rsidP="00D84E9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4E93" w:rsidRPr="00F9120E" w14:paraId="010CC40A" w14:textId="77777777" w:rsidTr="007628F7">
        <w:tc>
          <w:tcPr>
            <w:tcW w:w="8828" w:type="dxa"/>
          </w:tcPr>
          <w:p w14:paraId="0C261450" w14:textId="32609E01" w:rsidR="00D84E93" w:rsidRPr="00360AA2" w:rsidRDefault="00D84E93" w:rsidP="007628F7">
            <w:pPr>
              <w:widowControl w:val="0"/>
              <w:autoSpaceDE w:val="0"/>
              <w:autoSpaceDN w:val="0"/>
              <w:spacing w:after="120" w:line="276" w:lineRule="auto"/>
              <w:jc w:val="both"/>
              <w:rPr>
                <w:rFonts w:ascii="Verdana" w:hAnsi="Verdana"/>
              </w:rPr>
            </w:pPr>
            <w:r w:rsidRPr="00360AA2">
              <w:rPr>
                <w:rFonts w:ascii="Verdana" w:eastAsia="Calibri" w:hAnsi="Verdana" w:cs="Arial"/>
                <w:color w:val="000000"/>
                <w:lang w:val="es-ES" w:eastAsia="es-ES_tradnl"/>
              </w:rPr>
              <w:t>i) Dentro de los requisitos habilitantes se destaca la capacidad jurídica y organizacional del proponente, que no es más que</w:t>
            </w:r>
            <w:r w:rsidRPr="00360AA2">
              <w:rPr>
                <w:rFonts w:ascii="Verdana" w:hAnsi="Verdana"/>
              </w:rPr>
              <w:t xml:space="preserve"> la aptitud o idoneidad legal que tiene una persona natural o jurídica para ser sujeto de derechos y contraer obligaciones. En materia de la contratación estatal, se traduce en la obligación de la entidad de realizar la verificación de las calidades que manifiesta tener el proponente, esto se hace de forma genérica con: </w:t>
            </w:r>
            <w:r w:rsidRPr="00360AA2">
              <w:rPr>
                <w:rFonts w:ascii="Verdana" w:hAnsi="Verdana"/>
                <w:i/>
                <w:iCs/>
              </w:rPr>
              <w:t>i)</w:t>
            </w:r>
            <w:r w:rsidRPr="00360AA2">
              <w:rPr>
                <w:rFonts w:ascii="Verdana" w:hAnsi="Verdana"/>
              </w:rPr>
              <w:t xml:space="preserve"> la revisión del certificado de existencia y representación legal (en donde se determina la idoneidad del proponente frente al objeto social a desarrollar, la vigencia, el representante legal, sus facultades), </w:t>
            </w:r>
            <w:proofErr w:type="spellStart"/>
            <w:r w:rsidRPr="00360AA2">
              <w:rPr>
                <w:rFonts w:ascii="Verdana" w:hAnsi="Verdana"/>
                <w:i/>
                <w:iCs/>
              </w:rPr>
              <w:t>ii</w:t>
            </w:r>
            <w:proofErr w:type="spellEnd"/>
            <w:r w:rsidRPr="00360AA2">
              <w:rPr>
                <w:rFonts w:ascii="Verdana" w:hAnsi="Verdana"/>
                <w:i/>
                <w:iCs/>
              </w:rPr>
              <w:t xml:space="preserve">) </w:t>
            </w:r>
            <w:r w:rsidRPr="00360AA2">
              <w:rPr>
                <w:rFonts w:ascii="Verdana" w:hAnsi="Verdana"/>
              </w:rPr>
              <w:t xml:space="preserve">la verificación de no estar incurso en las causales de inhabilidad e incompatibilidad </w:t>
            </w:r>
            <w:r w:rsidRPr="00360AA2">
              <w:rPr>
                <w:rFonts w:ascii="Verdana" w:hAnsi="Verdana" w:cs="Arial"/>
                <w:lang w:val="es-ES"/>
              </w:rPr>
              <w:t xml:space="preserve">del artículo 8 de la Ley 80 de 1993, y </w:t>
            </w:r>
            <w:proofErr w:type="spellStart"/>
            <w:r w:rsidRPr="00360AA2">
              <w:rPr>
                <w:rFonts w:ascii="Verdana" w:hAnsi="Verdana"/>
              </w:rPr>
              <w:t>iii</w:t>
            </w:r>
            <w:proofErr w:type="spellEnd"/>
            <w:r w:rsidRPr="00360AA2">
              <w:rPr>
                <w:rFonts w:ascii="Verdana" w:hAnsi="Verdana"/>
                <w:i/>
                <w:iCs/>
              </w:rPr>
              <w:t>)</w:t>
            </w:r>
            <w:r w:rsidRPr="00360AA2">
              <w:rPr>
                <w:rFonts w:ascii="Verdana" w:hAnsi="Verdana"/>
              </w:rPr>
              <w:t xml:space="preserve"> la verificación de inscripción en el Registro Único de Proponentes. </w:t>
            </w:r>
          </w:p>
          <w:p w14:paraId="2BE5EEB2" w14:textId="77777777" w:rsidR="00D84E93" w:rsidRPr="00360AA2" w:rsidRDefault="00D84E93" w:rsidP="007628F7">
            <w:pPr>
              <w:pStyle w:val="NormalWeb"/>
              <w:shd w:val="clear" w:color="auto" w:fill="FFFFFF"/>
              <w:spacing w:before="0" w:beforeAutospacing="0" w:after="120" w:afterAutospacing="0" w:line="276" w:lineRule="auto"/>
              <w:ind w:firstLine="709"/>
              <w:jc w:val="both"/>
              <w:rPr>
                <w:rFonts w:ascii="Verdana" w:hAnsi="Verdana"/>
                <w:sz w:val="22"/>
                <w:szCs w:val="22"/>
              </w:rPr>
            </w:pPr>
            <w:r w:rsidRPr="00360AA2">
              <w:rPr>
                <w:rFonts w:ascii="Verdana" w:hAnsi="Verdana"/>
                <w:sz w:val="22"/>
                <w:szCs w:val="22"/>
              </w:rPr>
              <w:t xml:space="preserve">Asimismo, de acuerdo con su consulta, la capacidad residual es un requisito habilitante que determina la aptitud del proponente para cumplir con el objeto de un contrato de obra, y su cálculo incluye los siguientes factores: Experiencia (E), Capacidad Financiera (CF), Capacidad Técnica (CT), Capacidad de Organización (CO), Saldos de los Contratos en Ejecución (SCE). Respecto de la capacidad técnica, la Guía para determinar y verificar la capacidad residual del proponente en los procesos de contratación de obra </w:t>
            </w:r>
            <w:r w:rsidRPr="00360AA2">
              <w:rPr>
                <w:rFonts w:ascii="Verdana" w:hAnsi="Verdana"/>
                <w:sz w:val="22"/>
                <w:szCs w:val="22"/>
              </w:rPr>
              <w:lastRenderedPageBreak/>
              <w:t xml:space="preserve">pública de esta Agencia señala: </w:t>
            </w:r>
            <w:r w:rsidRPr="00360AA2">
              <w:rPr>
                <w:rFonts w:ascii="Verdana" w:hAnsi="Verdana"/>
                <w:i/>
                <w:iCs/>
                <w:sz w:val="22"/>
                <w:szCs w:val="22"/>
              </w:rPr>
              <w:t>“se asigna teniendo en cuenta el número de socios y profesionales de la arquitectura, ingeniería y geología vinculados mediante una relación laboral o contractual conforme a la cual desarrollen actividades relacionadas directamente a la construcción. Para acreditar la Capacidad Técnica (CT) el proponente debe diligenciar el formato establecido para tal fin en los pliegos de condiciones. No obstante, se sugiere el establecido en el Anexo 2 de esta guía”</w:t>
            </w:r>
            <w:r w:rsidRPr="00360AA2">
              <w:rPr>
                <w:rFonts w:ascii="Verdana" w:hAnsi="Verdana"/>
                <w:sz w:val="22"/>
                <w:szCs w:val="22"/>
              </w:rPr>
              <w:t xml:space="preserve">.  </w:t>
            </w:r>
          </w:p>
          <w:p w14:paraId="2F02EDE5" w14:textId="77777777" w:rsidR="00D84E93" w:rsidRPr="00360AA2" w:rsidRDefault="00D84E93" w:rsidP="007628F7">
            <w:pPr>
              <w:pStyle w:val="NormalWeb"/>
              <w:shd w:val="clear" w:color="auto" w:fill="FFFFFF"/>
              <w:spacing w:before="0" w:beforeAutospacing="0" w:after="120" w:afterAutospacing="0" w:line="276" w:lineRule="auto"/>
              <w:ind w:firstLine="709"/>
              <w:jc w:val="both"/>
              <w:rPr>
                <w:rFonts w:ascii="Verdana" w:eastAsia="Calibri" w:hAnsi="Verdana" w:cs="Arial"/>
                <w:color w:val="000000"/>
                <w:sz w:val="22"/>
                <w:szCs w:val="22"/>
                <w:lang w:val="es-ES" w:eastAsia="es-ES_tradnl"/>
              </w:rPr>
            </w:pPr>
            <w:r w:rsidRPr="00360AA2">
              <w:rPr>
                <w:rFonts w:ascii="Verdana" w:hAnsi="Verdana"/>
                <w:sz w:val="22"/>
                <w:szCs w:val="22"/>
              </w:rPr>
              <w:t xml:space="preserve">Sin embargo, la aptitud o idoneidad del proponente no se agota con la verificación de estos ítems, sino como en casos como el elevado en la consulta, existen además ciertos requisitos que de forma complementaria se deben cumplir, como el del artículo 17 de la Ley 842 de 2003 que establece </w:t>
            </w:r>
            <w:r w:rsidRPr="00360AA2">
              <w:rPr>
                <w:rFonts w:ascii="Verdana" w:eastAsia="Calibri" w:hAnsi="Verdana" w:cs="Arial"/>
                <w:color w:val="000000"/>
                <w:sz w:val="22"/>
                <w:szCs w:val="22"/>
                <w:lang w:val="es-ES" w:eastAsia="es-ES_tradnl"/>
              </w:rPr>
              <w:t xml:space="preserve">el deber que recae de forma directa en cabeza de la persona jurídica (proponente) y del Representante Legal de la </w:t>
            </w:r>
            <w:r w:rsidRPr="00360AA2">
              <w:rPr>
                <w:rFonts w:ascii="Verdana" w:hAnsi="Verdana" w:cs="Open Sans"/>
                <w:color w:val="000000" w:themeColor="text1"/>
                <w:sz w:val="22"/>
                <w:szCs w:val="22"/>
                <w:lang w:eastAsia="es-MX"/>
              </w:rPr>
              <w:t>sociedad, firma, empresa u organización profesional cuyas actividades correspondan al ejercicio profesional de ingeniería, de sus profesiones afines o de sus profesiones auxiliares, de vincular laboralmente de forma permanente a un profesional matriculado en la carrera correspondiente al objeto social de la respectiva persona jurídica.  Estableciéndose además en el parágrafo único la consecuencia jurídica de omitir ese deber.</w:t>
            </w:r>
          </w:p>
          <w:p w14:paraId="1E6D2BC2" w14:textId="77777777" w:rsidR="00D84E93" w:rsidRPr="00360AA2" w:rsidRDefault="00D84E93" w:rsidP="007628F7">
            <w:pPr>
              <w:pStyle w:val="NormalWeb"/>
              <w:shd w:val="clear" w:color="auto" w:fill="FFFFFF"/>
              <w:spacing w:before="0" w:beforeAutospacing="0" w:after="120" w:afterAutospacing="0" w:line="276" w:lineRule="auto"/>
              <w:ind w:firstLine="709"/>
              <w:jc w:val="both"/>
              <w:rPr>
                <w:rFonts w:ascii="Verdana" w:hAnsi="Verdana"/>
                <w:sz w:val="22"/>
                <w:szCs w:val="22"/>
              </w:rPr>
            </w:pPr>
            <w:r w:rsidRPr="00360AA2">
              <w:rPr>
                <w:rFonts w:ascii="Verdana" w:hAnsi="Verdana" w:cs="Open Sans"/>
                <w:color w:val="000000" w:themeColor="text1"/>
                <w:sz w:val="22"/>
                <w:szCs w:val="22"/>
                <w:lang w:eastAsia="es-MX"/>
              </w:rPr>
              <w:t>Concomitante con lo expuesto</w:t>
            </w:r>
            <w:r w:rsidRPr="00360AA2">
              <w:rPr>
                <w:rFonts w:ascii="Verdana" w:hAnsi="Verdana"/>
                <w:sz w:val="22"/>
                <w:szCs w:val="22"/>
              </w:rPr>
              <w:t>, el cumplimiento de esta obligación legal debe ser incorporado por la entidad contratante en su evaluación de la capacidad jurídica y organizacional de las ofertas. En efecto, la verificación de este requisito específico es una parte fundamental del análisis general que determina si un proponente es verdaderamente idóneo para contratar con el Estado. Pues un proponente que no cumple con esta norma carecería de la aptitud legal para ejecutar un contrato de ingeniería o de profesiones afines o relacionadas, pues opera por fuera del marco legal de su propia profesión.</w:t>
            </w:r>
          </w:p>
          <w:p w14:paraId="5D34627A" w14:textId="77777777" w:rsidR="00D84E93" w:rsidRPr="00360AA2" w:rsidRDefault="00D84E93" w:rsidP="007628F7">
            <w:pPr>
              <w:pStyle w:val="NormalWeb"/>
              <w:spacing w:before="0" w:beforeAutospacing="0" w:after="120" w:afterAutospacing="0" w:line="276" w:lineRule="auto"/>
              <w:ind w:firstLine="709"/>
              <w:jc w:val="both"/>
              <w:rPr>
                <w:rFonts w:ascii="Verdana" w:hAnsi="Verdana"/>
                <w:sz w:val="22"/>
                <w:szCs w:val="22"/>
              </w:rPr>
            </w:pPr>
            <w:r w:rsidRPr="00360AA2">
              <w:rPr>
                <w:rFonts w:ascii="Verdana" w:hAnsi="Verdana"/>
                <w:sz w:val="22"/>
                <w:szCs w:val="22"/>
              </w:rPr>
              <w:t xml:space="preserve">Es importante señalar que el cumplimiento del artículo 17 ibidem, debe ser contenido de forma expresa en el pliego de condiciones, con el propósito de que la persona jurídica que va a postular su oferta acredite que cuenta con una vinculación de carácter permanente con el profesional de ingeniería o de carreras afines </w:t>
            </w:r>
            <w:r w:rsidRPr="00360AA2">
              <w:rPr>
                <w:rFonts w:ascii="Verdana" w:hAnsi="Verdana" w:cs="Open Sans"/>
                <w:color w:val="000000" w:themeColor="text1"/>
                <w:sz w:val="22"/>
                <w:szCs w:val="22"/>
                <w:lang w:eastAsia="es-MX"/>
              </w:rPr>
              <w:t xml:space="preserve">al objeto social de la respectiva persona jurídica. Y al ser parte de los requisitos habilitantes permite determinar si la oferta cumple o no </w:t>
            </w:r>
            <w:r w:rsidRPr="00360AA2">
              <w:rPr>
                <w:rFonts w:ascii="Verdana" w:hAnsi="Verdana" w:cs="Open Sans"/>
                <w:color w:val="000000" w:themeColor="text1"/>
                <w:sz w:val="22"/>
                <w:szCs w:val="22"/>
                <w:lang w:eastAsia="es-MX"/>
              </w:rPr>
              <w:lastRenderedPageBreak/>
              <w:t xml:space="preserve">cumple para seguir con la posterior evaluación de </w:t>
            </w:r>
            <w:r w:rsidRPr="00360AA2">
              <w:rPr>
                <w:rFonts w:ascii="Verdana" w:hAnsi="Verdana"/>
                <w:sz w:val="22"/>
                <w:szCs w:val="22"/>
              </w:rPr>
              <w:t>los factores de calificación o requisitos ponderables.</w:t>
            </w:r>
          </w:p>
          <w:p w14:paraId="3DB2DA95" w14:textId="77777777" w:rsidR="00D84E93" w:rsidRPr="00360AA2" w:rsidRDefault="00D84E93" w:rsidP="007628F7">
            <w:pPr>
              <w:spacing w:before="120" w:after="120" w:line="276" w:lineRule="auto"/>
              <w:ind w:firstLine="742"/>
              <w:jc w:val="both"/>
              <w:rPr>
                <w:rFonts w:ascii="Verdana" w:hAnsi="Verdana"/>
              </w:rPr>
            </w:pPr>
            <w:r w:rsidRPr="00360AA2">
              <w:rPr>
                <w:rFonts w:ascii="Verdana" w:hAnsi="Verdana"/>
              </w:rPr>
              <w:t xml:space="preserve">Por último, cabe resaltar que esta obligación de que la entidad evalúe dicha capacidad jurídica y organizacional entre las ofertas presentadas, no se encuentra contenida de forma expresa en algún aparte normativo. Sin embargo, haciendo una interpretación a la luz de los principios de responsabilidad y de selección objetiva que rigen la contracción pública en Colombia, se puede afirmar que la evaluación de esta capacidad es una condición </w:t>
            </w:r>
            <w:r w:rsidRPr="00360AA2">
              <w:rPr>
                <w:rFonts w:ascii="Verdana" w:hAnsi="Verdana"/>
                <w:i/>
                <w:iCs/>
              </w:rPr>
              <w:t>sine qua non</w:t>
            </w:r>
            <w:r w:rsidRPr="00360AA2">
              <w:rPr>
                <w:rFonts w:ascii="Verdana" w:hAnsi="Verdana"/>
              </w:rPr>
              <w:t xml:space="preserve"> para garantizar la legitimidad y validez del proceso. Sin esta comprobación, la selección no podría considerarse verdaderamente “objetiva”, pues se estaría omitiendo un análisis fundamental sobre la verdadera capacidad jurídica frente a la composición organizacional que se impone a dichas personas jurídicas para participar en el proceso de contratación.</w:t>
            </w:r>
          </w:p>
          <w:p w14:paraId="11784E10" w14:textId="77777777" w:rsidR="00D84E93" w:rsidRPr="00360AA2" w:rsidRDefault="00D84E93" w:rsidP="007628F7">
            <w:pPr>
              <w:spacing w:before="120" w:after="120" w:line="276" w:lineRule="auto"/>
              <w:ind w:firstLine="742"/>
              <w:jc w:val="both"/>
              <w:rPr>
                <w:rFonts w:ascii="Verdana" w:hAnsi="Verdana"/>
              </w:rPr>
            </w:pPr>
            <w:r w:rsidRPr="00360AA2">
              <w:rPr>
                <w:rFonts w:ascii="Verdana" w:hAnsi="Verdana"/>
              </w:rPr>
              <w:t xml:space="preserve">Adicionalmente, la obligación del artículo 17 de la Ley 842 de 2003, coadyuva en el cálculo de la capacidad técnica como factor de la capacidad residual, teniendo en cuenta que allí se observa el número de profesionales de la arquitectura, ingeniería y geología vinculados mediante una relación laboral o contractual, que desarrollen actividades de construcción. El puntaje de la Capacidad Técnica (CT) se asigna con base en la tabla de la Guía para determinar y verificar la capacidad residual del proponente en los procesos de contratación de obra pública de esta Agencia, de acuerdo con la cual tendrá más puntos quien cuente con más personas de las profesiones mencionadas. </w:t>
            </w:r>
          </w:p>
          <w:p w14:paraId="4F577DAD" w14:textId="1E3E569D" w:rsidR="00D84E93" w:rsidRPr="00360AA2" w:rsidRDefault="00D84E93" w:rsidP="007628F7">
            <w:pPr>
              <w:spacing w:before="120" w:after="120" w:line="276" w:lineRule="auto"/>
              <w:ind w:firstLine="742"/>
              <w:jc w:val="both"/>
              <w:rPr>
                <w:rFonts w:ascii="Verdana" w:hAnsi="Verdana"/>
              </w:rPr>
            </w:pPr>
            <w:r w:rsidRPr="00360AA2">
              <w:rPr>
                <w:rFonts w:ascii="Verdana" w:hAnsi="Verdana"/>
              </w:rPr>
              <w:t xml:space="preserve">En ese sentido, para responder su pregunta sobre el alcance del artículo 17 de la Ley 842 de 2003, respecto de la capacidad técnica como factor de la capacidad residual, se debe precisar que ambos aspectos de la oferta son diferentes pero complementarios en la medida en que el cumplimiento de la referida norma se observará para determinar la capacidad jurídica y organizacional de las ofertas presentadas, y para esto no es válido un contrato de prestación de servicios porque esta vinculación es civil y la norma requiere una </w:t>
            </w:r>
            <w:r w:rsidRPr="00360AA2">
              <w:rPr>
                <w:rFonts w:ascii="Verdana" w:hAnsi="Verdana" w:cs="Open Sans"/>
                <w:color w:val="000000" w:themeColor="text1"/>
                <w:lang w:eastAsia="es-MX"/>
              </w:rPr>
              <w:t xml:space="preserve">vinculación laboral de forma permanente. No obstante, el contrato de prestación de servicios si se podrá tener en cuenta para el cálculo de la capacidad técnica como factor de la capacidad residual porque la Guía de esta Agencia antes mencionada señala que los profesionales pueden estar </w:t>
            </w:r>
            <w:r w:rsidRPr="00360AA2">
              <w:rPr>
                <w:rFonts w:ascii="Verdana" w:hAnsi="Verdana"/>
              </w:rPr>
              <w:t xml:space="preserve">vinculados mediante una relación laboral o contractual, siempre que </w:t>
            </w:r>
            <w:r w:rsidRPr="00360AA2">
              <w:rPr>
                <w:rFonts w:ascii="Verdana" w:hAnsi="Verdana"/>
              </w:rPr>
              <w:lastRenderedPageBreak/>
              <w:t>desarrollen actividades de construcción. Ahora bien, teniendo en cuenta que en ambos aspectos se trata de requisitos habilitantes, por un lado</w:t>
            </w:r>
            <w:r w:rsidR="001E0713">
              <w:rPr>
                <w:rFonts w:ascii="Verdana" w:hAnsi="Verdana"/>
              </w:rPr>
              <w:t>,</w:t>
            </w:r>
            <w:r w:rsidRPr="00360AA2">
              <w:rPr>
                <w:rFonts w:ascii="Verdana" w:hAnsi="Verdana"/>
              </w:rPr>
              <w:t xml:space="preserve"> la capacidad jurídica y organizacional de las ofertas presentadas y por otro lado la capacidad residual en el factor de capacidad técnica, esto es subsanable por no otorgar puntaje.</w:t>
            </w:r>
          </w:p>
          <w:p w14:paraId="6A7D22B9" w14:textId="77777777" w:rsidR="00D84E93" w:rsidRPr="00360AA2" w:rsidRDefault="00D84E93" w:rsidP="007628F7">
            <w:pPr>
              <w:spacing w:before="120" w:after="120" w:line="276" w:lineRule="auto"/>
              <w:ind w:firstLine="742"/>
              <w:jc w:val="both"/>
              <w:rPr>
                <w:rFonts w:ascii="Verdana" w:hAnsi="Verdana"/>
              </w:rPr>
            </w:pPr>
            <w:r w:rsidRPr="00360AA2">
              <w:rPr>
                <w:rFonts w:ascii="Verdana" w:hAnsi="Verdana"/>
                <w:lang w:val="es-ES"/>
              </w:rPr>
              <w:t xml:space="preserve">En </w:t>
            </w:r>
            <w:r w:rsidRPr="00360AA2">
              <w:rPr>
                <w:rFonts w:ascii="Verdana" w:hAnsi="Verdana"/>
              </w:rPr>
              <w:t>todo</w:t>
            </w:r>
            <w:r w:rsidRPr="00360AA2">
              <w:rPr>
                <w:rFonts w:ascii="Verdana" w:hAnsi="Verdana"/>
                <w:lang w:val="es-ES"/>
              </w:rPr>
              <w:t xml:space="preserve"> caso, sobre la aplicación de causales de rechazo por no contar con la vinculación señalada en el artículo 17 de la Ley 842 de 2003, a</w:t>
            </w:r>
            <w:r w:rsidRPr="00360AA2">
              <w:rPr>
                <w:rFonts w:ascii="Verdana" w:hAnsi="Verdana"/>
              </w:rPr>
              <w:t>l margen de la explicación precedente debe advertirse que el análisis requerido para resolver problemas específicos en torno a normas diferentes a la contratación estatal debe ser realizado por quienes tengan interés en ello, de acuerdo con lo explicado en el presente concepto.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5DA9FAFB" w14:textId="77777777" w:rsidR="00D84E93" w:rsidRPr="00746C74" w:rsidRDefault="00D84E93" w:rsidP="007628F7">
            <w:pPr>
              <w:spacing w:after="120" w:line="276" w:lineRule="auto"/>
              <w:jc w:val="both"/>
              <w:rPr>
                <w:rFonts w:ascii="Verdana" w:eastAsia="Arial MT" w:hAnsi="Verdana" w:cs="Arial"/>
                <w:lang w:eastAsia="es-ES" w:bidi="es-ES"/>
              </w:rPr>
            </w:pPr>
            <w:proofErr w:type="spellStart"/>
            <w:r w:rsidRPr="00D40683">
              <w:rPr>
                <w:rFonts w:ascii="Verdana" w:hAnsi="Verdana"/>
              </w:rPr>
              <w:t>ii</w:t>
            </w:r>
            <w:proofErr w:type="spellEnd"/>
            <w:r w:rsidRPr="00D40683">
              <w:rPr>
                <w:rFonts w:ascii="Verdana" w:hAnsi="Verdana"/>
              </w:rPr>
              <w:t>) E</w:t>
            </w:r>
            <w:r w:rsidRPr="00D40683">
              <w:rPr>
                <w:rFonts w:ascii="Verdana" w:eastAsia="Arial MT" w:hAnsi="Verdana" w:cs="Arial"/>
                <w:lang w:eastAsia="es-ES" w:bidi="es-ES"/>
              </w:rPr>
              <w:t>l parágrafo 1° del artículo 5</w:t>
            </w:r>
            <w:r w:rsidRPr="00746C74">
              <w:rPr>
                <w:rFonts w:ascii="Verdana" w:eastAsia="Arial MT" w:hAnsi="Verdana" w:cs="Arial"/>
                <w:lang w:eastAsia="es-ES" w:bidi="es-ES"/>
              </w:rPr>
              <w:t xml:space="preserve"> de la Ley 1150 de 2007, modificado por el </w:t>
            </w:r>
            <w:r>
              <w:rPr>
                <w:rFonts w:ascii="Verdana" w:eastAsia="Arial MT" w:hAnsi="Verdana" w:cs="Arial"/>
                <w:lang w:eastAsia="es-ES" w:bidi="es-ES"/>
              </w:rPr>
              <w:t xml:space="preserve">mismo </w:t>
            </w:r>
            <w:r w:rsidRPr="00746C74">
              <w:rPr>
                <w:rFonts w:ascii="Verdana" w:eastAsia="Arial MT" w:hAnsi="Verdana" w:cs="Arial"/>
                <w:lang w:eastAsia="es-ES" w:bidi="es-ES"/>
              </w:rPr>
              <w:t>artículo 5</w:t>
            </w:r>
            <w:r>
              <w:rPr>
                <w:rFonts w:ascii="Verdana" w:eastAsia="Arial MT" w:hAnsi="Verdana" w:cs="Arial"/>
                <w:lang w:eastAsia="es-ES" w:bidi="es-ES"/>
              </w:rPr>
              <w:t>°</w:t>
            </w:r>
            <w:r w:rsidRPr="00746C74">
              <w:rPr>
                <w:rFonts w:ascii="Verdana" w:eastAsia="Arial MT" w:hAnsi="Verdana" w:cs="Arial"/>
                <w:lang w:eastAsia="es-ES" w:bidi="es-ES"/>
              </w:rPr>
              <w:t xml:space="preserve"> de la Ley 1882 de 2018, señala que la ausencia de requisitos o la falta de documentos referentes a la futura contratación o al proponente, no necesarios para la comparación de las propuestas no servirán de título suficiente para el rechazo de los ofrecimientos hechos. </w:t>
            </w:r>
            <w:r>
              <w:rPr>
                <w:rFonts w:ascii="Verdana" w:eastAsia="Arial MT" w:hAnsi="Verdana" w:cs="Arial"/>
                <w:lang w:eastAsia="es-ES" w:bidi="es-ES"/>
              </w:rPr>
              <w:t>En virtud de</w:t>
            </w:r>
            <w:r w:rsidRPr="00746C74">
              <w:rPr>
                <w:rFonts w:ascii="Verdana" w:eastAsia="Arial MT" w:hAnsi="Verdana" w:cs="Arial"/>
                <w:lang w:eastAsia="es-ES" w:bidi="es-ES"/>
              </w:rPr>
              <w:t xml:space="preserve"> esta disposición es posible subsanar todo el defecto o la falta de documento que no afect</w:t>
            </w:r>
            <w:r>
              <w:rPr>
                <w:rFonts w:ascii="Verdana" w:eastAsia="Arial MT" w:hAnsi="Verdana" w:cs="Arial"/>
                <w:lang w:eastAsia="es-ES" w:bidi="es-ES"/>
              </w:rPr>
              <w:t>e</w:t>
            </w:r>
            <w:r w:rsidRPr="00746C74">
              <w:rPr>
                <w:rFonts w:ascii="Verdana" w:eastAsia="Arial MT" w:hAnsi="Verdana" w:cs="Arial"/>
                <w:lang w:eastAsia="es-ES" w:bidi="es-ES"/>
              </w:rPr>
              <w:t xml:space="preserve"> la asignación de puntaje de un proceso de contratación hasta el traslado del informe de evaluación, salvo el proceso de mínima cuantía y el proceso de subasta inversa</w:t>
            </w:r>
            <w:r>
              <w:rPr>
                <w:rFonts w:ascii="Verdana" w:eastAsia="Arial MT" w:hAnsi="Verdana" w:cs="Arial"/>
                <w:lang w:eastAsia="es-ES" w:bidi="es-ES"/>
              </w:rPr>
              <w:t xml:space="preserve">; ya que, </w:t>
            </w:r>
            <w:r w:rsidRPr="002A1819">
              <w:rPr>
                <w:rFonts w:ascii="Verdana" w:eastAsia="Arial MT" w:hAnsi="Verdana" w:cs="Arial"/>
                <w:lang w:eastAsia="es-ES" w:bidi="es-ES"/>
              </w:rPr>
              <w:t xml:space="preserve">en el último los documentos o requisitos subsanables pueden y deben solicitarse hasta el momento previo a la realización de la audiencia. En cuanto al proceso de mínima cuantía, el Decreto 1860 de 2021, en su artículo 2.2.1.2.1.5.2., numeral 5° dispone que los proponentes podrán subsanar sus ofertas hasta antes que finalice el traslado del informe de evaluación. </w:t>
            </w:r>
            <w:r>
              <w:rPr>
                <w:rFonts w:ascii="Verdana" w:eastAsia="Arial MT" w:hAnsi="Verdana" w:cs="Arial"/>
                <w:lang w:eastAsia="es-ES" w:bidi="es-ES"/>
              </w:rPr>
              <w:t xml:space="preserve"> </w:t>
            </w:r>
            <w:r w:rsidRPr="00746C74">
              <w:rPr>
                <w:rFonts w:ascii="Verdana" w:eastAsia="Arial MT" w:hAnsi="Verdana" w:cs="Arial"/>
                <w:lang w:eastAsia="es-ES" w:bidi="es-ES"/>
              </w:rPr>
              <w:t xml:space="preserve"> </w:t>
            </w:r>
          </w:p>
          <w:p w14:paraId="5D0E5EFA" w14:textId="77777777" w:rsidR="00D84E93" w:rsidRDefault="00D84E93" w:rsidP="007628F7">
            <w:pPr>
              <w:spacing w:before="120" w:after="120" w:line="276" w:lineRule="auto"/>
              <w:ind w:firstLine="742"/>
              <w:jc w:val="both"/>
              <w:rPr>
                <w:rFonts w:ascii="Verdana" w:eastAsia="Arial MT" w:hAnsi="Verdana" w:cs="Arial"/>
                <w:lang w:eastAsia="es-ES" w:bidi="es-ES"/>
              </w:rPr>
            </w:pPr>
            <w:r>
              <w:rPr>
                <w:rFonts w:ascii="Verdana" w:eastAsia="Arial MT" w:hAnsi="Verdana" w:cs="Arial"/>
                <w:lang w:eastAsia="es-ES" w:bidi="es-ES"/>
              </w:rPr>
              <w:t xml:space="preserve">De </w:t>
            </w:r>
            <w:r w:rsidRPr="00312A74">
              <w:rPr>
                <w:rFonts w:ascii="Verdana" w:hAnsi="Verdana"/>
                <w:lang w:val="es-ES"/>
              </w:rPr>
              <w:t>otro</w:t>
            </w:r>
            <w:r>
              <w:rPr>
                <w:rFonts w:ascii="Verdana" w:eastAsia="Arial MT" w:hAnsi="Verdana" w:cs="Arial"/>
                <w:lang w:eastAsia="es-ES" w:bidi="es-ES"/>
              </w:rPr>
              <w:t xml:space="preserve"> lado, en consideración al interrogante planteado, las inconsistencias en los aportes a seguridad social del personal del proponente </w:t>
            </w:r>
            <w:r w:rsidRPr="00746C74">
              <w:rPr>
                <w:rFonts w:ascii="Verdana" w:eastAsia="Arial MT" w:hAnsi="Verdana" w:cs="Arial"/>
                <w:lang w:eastAsia="es-ES" w:bidi="es-ES"/>
              </w:rPr>
              <w:t xml:space="preserve">no afectan la comparación de las propuestas, porque las entidades no asignan puntaje </w:t>
            </w:r>
            <w:r>
              <w:rPr>
                <w:rFonts w:ascii="Verdana" w:eastAsia="Arial MT" w:hAnsi="Verdana" w:cs="Arial"/>
                <w:lang w:eastAsia="es-ES" w:bidi="es-ES"/>
              </w:rPr>
              <w:t>a la seguridad social</w:t>
            </w:r>
            <w:r w:rsidRPr="00746C74">
              <w:rPr>
                <w:rFonts w:ascii="Verdana" w:eastAsia="Arial MT" w:hAnsi="Verdana" w:cs="Arial"/>
                <w:lang w:eastAsia="es-ES" w:bidi="es-ES"/>
              </w:rPr>
              <w:t xml:space="preserve"> y, por lo tanto, la entidad les debe otorgar la facultad a los proponentes de subsanar cualquier </w:t>
            </w:r>
            <w:r>
              <w:rPr>
                <w:rFonts w:ascii="Verdana" w:eastAsia="Arial MT" w:hAnsi="Verdana" w:cs="Arial"/>
                <w:lang w:eastAsia="es-ES" w:bidi="es-ES"/>
              </w:rPr>
              <w:t>inconsistencia</w:t>
            </w:r>
            <w:r w:rsidRPr="00746C74">
              <w:rPr>
                <w:rFonts w:ascii="Verdana" w:eastAsia="Arial MT" w:hAnsi="Verdana" w:cs="Arial"/>
                <w:lang w:eastAsia="es-ES" w:bidi="es-ES"/>
              </w:rPr>
              <w:t xml:space="preserve"> en el </w:t>
            </w:r>
            <w:r w:rsidRPr="00746C74">
              <w:rPr>
                <w:rFonts w:ascii="Verdana" w:eastAsia="Arial MT" w:hAnsi="Verdana" w:cs="Arial"/>
                <w:lang w:eastAsia="es-ES" w:bidi="es-ES"/>
              </w:rPr>
              <w:lastRenderedPageBreak/>
              <w:t xml:space="preserve">contenido de </w:t>
            </w:r>
            <w:r>
              <w:rPr>
                <w:rFonts w:ascii="Verdana" w:eastAsia="Arial MT" w:hAnsi="Verdana" w:cs="Arial"/>
                <w:lang w:eastAsia="es-ES" w:bidi="es-ES"/>
              </w:rPr>
              <w:t>los documentos que acrediten los aportes a seguridad social</w:t>
            </w:r>
            <w:r w:rsidRPr="00746C74">
              <w:rPr>
                <w:rFonts w:ascii="Verdana" w:eastAsia="Arial MT" w:hAnsi="Verdana" w:cs="Arial"/>
                <w:lang w:eastAsia="es-ES" w:bidi="es-ES"/>
              </w:rPr>
              <w:t>, y estos últimos deben subsanarlos hasta el traslado del informe de evaluación,</w:t>
            </w:r>
            <w:r>
              <w:rPr>
                <w:rFonts w:ascii="Verdana" w:eastAsia="Arial MT" w:hAnsi="Verdana" w:cs="Arial"/>
                <w:lang w:eastAsia="es-ES" w:bidi="es-ES"/>
              </w:rPr>
              <w:t xml:space="preserve"> </w:t>
            </w:r>
            <w:r w:rsidRPr="002A1819">
              <w:rPr>
                <w:rFonts w:ascii="Verdana" w:eastAsia="Arial MT" w:hAnsi="Verdana" w:cs="Arial"/>
                <w:lang w:eastAsia="es-ES" w:bidi="es-ES"/>
              </w:rPr>
              <w:t>hasta el momento previo a la realización de la audiencia</w:t>
            </w:r>
            <w:r>
              <w:rPr>
                <w:rFonts w:ascii="Verdana" w:eastAsia="Arial MT" w:hAnsi="Verdana" w:cs="Arial"/>
                <w:lang w:eastAsia="es-ES" w:bidi="es-ES"/>
              </w:rPr>
              <w:t xml:space="preserve"> (subasta inversa) o, </w:t>
            </w:r>
            <w:r w:rsidRPr="002A1819">
              <w:rPr>
                <w:rFonts w:ascii="Verdana" w:eastAsia="Arial MT" w:hAnsi="Verdana" w:cs="Arial"/>
                <w:lang w:eastAsia="es-ES" w:bidi="es-ES"/>
              </w:rPr>
              <w:t>hasta antes que finalice el traslado del informe de evaluación</w:t>
            </w:r>
            <w:r>
              <w:rPr>
                <w:rFonts w:ascii="Verdana" w:eastAsia="Arial MT" w:hAnsi="Verdana" w:cs="Arial"/>
                <w:lang w:eastAsia="es-ES" w:bidi="es-ES"/>
              </w:rPr>
              <w:t xml:space="preserve"> (mínima cuantía)</w:t>
            </w:r>
            <w:r w:rsidRPr="00746C74">
              <w:rPr>
                <w:rFonts w:ascii="Verdana" w:eastAsia="Arial MT" w:hAnsi="Verdana" w:cs="Arial"/>
                <w:lang w:eastAsia="es-ES" w:bidi="es-ES"/>
              </w:rPr>
              <w:t xml:space="preserve"> so pena de rechazar la oferta si no se corrige durante el término establecido.</w:t>
            </w:r>
          </w:p>
          <w:p w14:paraId="0B5E76F6" w14:textId="77777777" w:rsidR="00D84E93" w:rsidRDefault="00D84E93" w:rsidP="007628F7">
            <w:pPr>
              <w:spacing w:before="120" w:after="120" w:line="276" w:lineRule="auto"/>
              <w:ind w:firstLine="742"/>
              <w:jc w:val="both"/>
              <w:rPr>
                <w:rFonts w:ascii="Verdana" w:eastAsia="Arial MT" w:hAnsi="Verdana" w:cs="Arial"/>
                <w:lang w:eastAsia="es-ES" w:bidi="es-ES"/>
              </w:rPr>
            </w:pPr>
            <w:r>
              <w:rPr>
                <w:rFonts w:ascii="Verdana" w:eastAsia="Arial MT" w:hAnsi="Verdana" w:cs="Arial"/>
                <w:lang w:eastAsia="es-ES" w:bidi="es-ES"/>
              </w:rPr>
              <w:t xml:space="preserve">No </w:t>
            </w:r>
            <w:r w:rsidRPr="00312A74">
              <w:rPr>
                <w:rFonts w:ascii="Verdana" w:hAnsi="Verdana"/>
                <w:lang w:val="es-ES"/>
              </w:rPr>
              <w:t>obstante</w:t>
            </w:r>
            <w:r>
              <w:rPr>
                <w:rFonts w:ascii="Verdana" w:eastAsia="Arial MT" w:hAnsi="Verdana" w:cs="Arial"/>
                <w:lang w:eastAsia="es-ES" w:bidi="es-ES"/>
              </w:rPr>
              <w:t xml:space="preserve">, la subsanación no podría consistir en acreditar circunstancias ocurridas con posterioridad al cierre del proceso, dado que ese supuesto correspondería a la prohibición expresa que hace el parágrafo 1 del artículo 5 de la Ley 1150 de 2007, sin que sea viable subsanar de tal forma. </w:t>
            </w:r>
          </w:p>
          <w:p w14:paraId="4206828D" w14:textId="77777777" w:rsidR="00D84E93" w:rsidRDefault="00D84E93" w:rsidP="007628F7">
            <w:pPr>
              <w:spacing w:before="120" w:after="120" w:line="276" w:lineRule="auto"/>
              <w:jc w:val="both"/>
              <w:rPr>
                <w:rFonts w:ascii="Verdana" w:hAnsi="Verdana"/>
                <w:color w:val="000000" w:themeColor="text1"/>
                <w:lang w:val="es-ES"/>
              </w:rPr>
            </w:pPr>
            <w:proofErr w:type="spellStart"/>
            <w:r w:rsidRPr="00D40683">
              <w:rPr>
                <w:rFonts w:ascii="Verdana" w:eastAsia="Arial MT" w:hAnsi="Verdana" w:cs="Arial"/>
                <w:lang w:eastAsia="es-ES" w:bidi="es-ES"/>
              </w:rPr>
              <w:t>iii</w:t>
            </w:r>
            <w:proofErr w:type="spellEnd"/>
            <w:r w:rsidRPr="00D40683">
              <w:rPr>
                <w:rFonts w:ascii="Verdana" w:eastAsia="Arial MT" w:hAnsi="Verdana" w:cs="Arial"/>
                <w:lang w:eastAsia="es-ES" w:bidi="es-ES"/>
              </w:rPr>
              <w:t>) E</w:t>
            </w:r>
            <w:r w:rsidRPr="00D40683">
              <w:rPr>
                <w:rFonts w:ascii="Verdana" w:eastAsia="Calibri" w:hAnsi="Verdana" w:cs="Arial"/>
                <w:lang w:val="es-ES"/>
              </w:rPr>
              <w:t>l Estatuto General de Contratación</w:t>
            </w:r>
            <w:r w:rsidRPr="00F9120E">
              <w:rPr>
                <w:rFonts w:ascii="Verdana" w:eastAsia="Calibri" w:hAnsi="Verdana" w:cs="Arial"/>
                <w:lang w:val="es-ES"/>
              </w:rPr>
              <w:t xml:space="preserve"> de la Administración Pública contempla la participación de los proponentes plurales </w:t>
            </w:r>
            <w:r w:rsidRPr="00F9120E">
              <w:rPr>
                <w:rFonts w:ascii="Verdana" w:eastAsia="Calibri" w:hAnsi="Verdana" w:cs="Arial"/>
                <w:i/>
                <w:iCs/>
                <w:lang w:val="es-ES"/>
              </w:rPr>
              <w:t xml:space="preserve">conservando en </w:t>
            </w:r>
            <w:r w:rsidRPr="00F45564">
              <w:rPr>
                <w:rFonts w:ascii="Verdana" w:eastAsia="Calibri" w:hAnsi="Verdana" w:cs="Arial"/>
                <w:i/>
                <w:iCs/>
                <w:lang w:val="es-ES"/>
              </w:rPr>
              <w:t>todo</w:t>
            </w:r>
            <w:r w:rsidRPr="00F9120E">
              <w:rPr>
                <w:rFonts w:ascii="Verdana" w:eastAsia="Calibri" w:hAnsi="Verdana" w:cs="Arial"/>
                <w:lang w:val="es-ES"/>
              </w:rPr>
              <w:t xml:space="preserve"> caso su individualidad jurídica, de modo que el proponente plural no constituye una persona en sí misma, sino que conserva la naturaleza de ser una agrupación de personas que ya existen. Como resultado de lo anterior, los requisitos habilitantes de los proponentes plurales deben ser evaluados respecto de cada miembro, sin que ello desconozca la finalidad de esta figura, que es unir esfuerzos.</w:t>
            </w:r>
            <w:r w:rsidRPr="00F9120E">
              <w:rPr>
                <w:rFonts w:ascii="Verdana" w:hAnsi="Verdana"/>
                <w:color w:val="000000" w:themeColor="text1"/>
                <w:lang w:val="es-ES"/>
              </w:rPr>
              <w:t xml:space="preserve"> Así pues, la naturaleza jurídica de los consorcios supone que requisitos habilitantes como la capacidad </w:t>
            </w:r>
            <w:r>
              <w:rPr>
                <w:rFonts w:ascii="Verdana" w:hAnsi="Verdana"/>
                <w:color w:val="000000" w:themeColor="text1"/>
                <w:lang w:val="es-ES"/>
              </w:rPr>
              <w:t>jurídic</w:t>
            </w:r>
            <w:r w:rsidRPr="00F9120E">
              <w:rPr>
                <w:rFonts w:ascii="Verdana" w:hAnsi="Verdana"/>
                <w:color w:val="000000" w:themeColor="text1"/>
                <w:lang w:val="es-ES"/>
              </w:rPr>
              <w:t>a deba ser evaluada con respecto a cada uno de sus integrantes</w:t>
            </w:r>
            <w:r>
              <w:rPr>
                <w:rFonts w:ascii="Verdana" w:hAnsi="Verdana"/>
                <w:color w:val="000000" w:themeColor="text1"/>
                <w:lang w:val="es-ES"/>
              </w:rPr>
              <w:t>.</w:t>
            </w:r>
          </w:p>
          <w:p w14:paraId="0ECB2422" w14:textId="77777777" w:rsidR="00D84E93" w:rsidRPr="00F9120E" w:rsidRDefault="00D84E93" w:rsidP="007628F7">
            <w:pPr>
              <w:spacing w:before="120" w:after="120" w:line="276" w:lineRule="auto"/>
              <w:ind w:firstLine="708"/>
              <w:jc w:val="both"/>
              <w:rPr>
                <w:rFonts w:ascii="Verdana" w:hAnsi="Verdana"/>
                <w:color w:val="000000" w:themeColor="text1"/>
                <w:lang w:val="es-ES"/>
              </w:rPr>
            </w:pPr>
            <w:r>
              <w:rPr>
                <w:rFonts w:ascii="Verdana" w:hAnsi="Verdana"/>
                <w:color w:val="000000" w:themeColor="text1"/>
                <w:lang w:val="es-ES"/>
              </w:rPr>
              <w:t xml:space="preserve">En ese sentido, de acuerdo con la </w:t>
            </w:r>
            <w:r w:rsidRPr="00F942F6">
              <w:rPr>
                <w:rFonts w:ascii="Verdana" w:hAnsi="Verdana"/>
                <w:color w:val="000000" w:themeColor="text1"/>
                <w:lang w:val="es-ES"/>
              </w:rPr>
              <w:t>Guía de Asuntos Corporativos en los Procesos de Contratación</w:t>
            </w:r>
            <w:r>
              <w:rPr>
                <w:rFonts w:ascii="Verdana" w:hAnsi="Verdana"/>
                <w:color w:val="000000" w:themeColor="text1"/>
                <w:lang w:val="es-ES"/>
              </w:rPr>
              <w:t xml:space="preserve"> de esta Agencia: </w:t>
            </w:r>
            <w:r w:rsidRPr="00F942F6">
              <w:rPr>
                <w:rFonts w:ascii="Verdana" w:hAnsi="Verdana"/>
                <w:i/>
                <w:iCs/>
                <w:color w:val="000000" w:themeColor="text1"/>
                <w:lang w:val="es-ES"/>
              </w:rPr>
              <w:t>“(…) las personas jurídicas que estén en liquidación no pueden participar en Procesos de Contratación ni celebrar contratos con Entidades Estatales”</w:t>
            </w:r>
            <w:r>
              <w:rPr>
                <w:rFonts w:ascii="Verdana" w:hAnsi="Verdana"/>
                <w:color w:val="000000" w:themeColor="text1"/>
                <w:lang w:val="es-ES"/>
              </w:rPr>
              <w:t>. No obstante, de acuerdo con lo señalado en su consulta, un socio de un miembro de un proponente plural es quien se encuentra en liquidación judicial, y en respuesta a su pregunta, esto no afectaría al miembro del proponente plural porque tanto el socio como la sociedad son personas jurídicas diferentes, y la sociedad conservaría su personería jurídica y su capacidad para contratar de acuerdo con su objeto social, lo cual se traslada al proponente plural, ya que según lo mencionado anteriormente, el proponente plural al no tener personería jurídica, su capacidad jurídica será la que le aporten sus miembros, sin que proceda la inhabilidad o rechazo de su oferta por la liquidación judicial de un socio del miembro del proponente plural por las razones expuestas.</w:t>
            </w:r>
          </w:p>
          <w:p w14:paraId="2235D5B7" w14:textId="77777777" w:rsidR="00D84E93" w:rsidRPr="00553BC6" w:rsidRDefault="00D84E93" w:rsidP="007628F7">
            <w:pPr>
              <w:spacing w:before="120" w:after="120" w:line="276" w:lineRule="auto"/>
              <w:jc w:val="both"/>
              <w:rPr>
                <w:rFonts w:ascii="Verdana" w:eastAsia="Calibri" w:hAnsi="Verdana" w:cs="Arial"/>
                <w:lang w:val="es-ES"/>
              </w:rPr>
            </w:pPr>
            <w:proofErr w:type="spellStart"/>
            <w:r w:rsidRPr="004150AB">
              <w:rPr>
                <w:rFonts w:ascii="Verdana" w:eastAsia="Arial MT" w:hAnsi="Verdana" w:cs="Arial"/>
                <w:lang w:eastAsia="es-ES" w:bidi="es-ES"/>
              </w:rPr>
              <w:lastRenderedPageBreak/>
              <w:t>iv</w:t>
            </w:r>
            <w:proofErr w:type="spellEnd"/>
            <w:r w:rsidRPr="004150AB">
              <w:rPr>
                <w:rFonts w:ascii="Verdana" w:eastAsia="Arial MT" w:hAnsi="Verdana" w:cs="Arial"/>
                <w:lang w:eastAsia="es-ES" w:bidi="es-ES"/>
              </w:rPr>
              <w:t xml:space="preserve">) </w:t>
            </w:r>
            <w:r>
              <w:rPr>
                <w:rFonts w:ascii="Verdana" w:eastAsia="Arial MT" w:hAnsi="Verdana" w:cs="Arial"/>
                <w:lang w:eastAsia="es-ES" w:bidi="es-ES"/>
              </w:rPr>
              <w:t xml:space="preserve">Teniendo en cuenta que para calcular la capacidad residual, uno de los factores son los saldos de los contratos en ejecución y que esta información debe ser </w:t>
            </w:r>
            <w:r w:rsidRPr="00005B94">
              <w:rPr>
                <w:rFonts w:ascii="Verdana" w:eastAsia="Arial MT" w:hAnsi="Verdana" w:cs="Arial"/>
                <w:lang w:eastAsia="es-ES" w:bidi="es-ES"/>
              </w:rPr>
              <w:t>present</w:t>
            </w:r>
            <w:r>
              <w:rPr>
                <w:rFonts w:ascii="Verdana" w:eastAsia="Arial MT" w:hAnsi="Verdana" w:cs="Arial"/>
                <w:lang w:eastAsia="es-ES" w:bidi="es-ES"/>
              </w:rPr>
              <w:t>ada mediante</w:t>
            </w:r>
            <w:r w:rsidRPr="00005B94">
              <w:rPr>
                <w:rFonts w:ascii="Verdana" w:eastAsia="Arial MT" w:hAnsi="Verdana" w:cs="Arial"/>
                <w:lang w:eastAsia="es-ES" w:bidi="es-ES"/>
              </w:rPr>
              <w:t xml:space="preserve"> un certificado suscrito por su representante legal y su revisor fiscal, si el proponente está obligado a tenerlo, o por el Contador Público o auditor independiente</w:t>
            </w:r>
            <w:r>
              <w:rPr>
                <w:rFonts w:ascii="Verdana" w:eastAsia="Arial MT" w:hAnsi="Verdana" w:cs="Arial"/>
                <w:lang w:eastAsia="es-ES" w:bidi="es-ES"/>
              </w:rPr>
              <w:t>, si se incurre en inexactitudes de la información o falsedad por no relacionar todos los contratos en ejecución o por otras causas, l</w:t>
            </w:r>
            <w:r w:rsidRPr="004150AB">
              <w:rPr>
                <w:rFonts w:ascii="Verdana" w:eastAsia="Calibri" w:hAnsi="Verdana" w:cs="Arial"/>
                <w:lang w:val="es-ES"/>
              </w:rPr>
              <w:t>a</w:t>
            </w:r>
            <w:r w:rsidRPr="4E6CD920">
              <w:rPr>
                <w:rFonts w:ascii="Verdana" w:eastAsia="Calibri" w:hAnsi="Verdana" w:cs="Arial"/>
                <w:lang w:val="es-ES"/>
              </w:rPr>
              <w:t xml:space="preserve"> consecuencia aplicable a los proponentes dependerá de las reglas establecidas en el pliego de condiciones. </w:t>
            </w:r>
          </w:p>
          <w:p w14:paraId="06548B26" w14:textId="77777777" w:rsidR="00D84E93" w:rsidRPr="00BC7287" w:rsidRDefault="00D84E93" w:rsidP="007628F7">
            <w:pPr>
              <w:spacing w:before="120" w:after="120" w:line="276" w:lineRule="auto"/>
              <w:ind w:firstLine="708"/>
              <w:jc w:val="both"/>
              <w:rPr>
                <w:rFonts w:ascii="Verdana" w:eastAsia="Calibri" w:hAnsi="Verdana" w:cs="Arial"/>
                <w:lang w:val="es-ES"/>
              </w:rPr>
            </w:pPr>
            <w:r w:rsidRPr="00BC7287">
              <w:rPr>
                <w:rFonts w:ascii="Verdana" w:eastAsia="Arial MT" w:hAnsi="Verdana" w:cs="Arial"/>
                <w:lang w:eastAsia="es-ES" w:bidi="es-ES"/>
              </w:rPr>
              <w:t>En</w:t>
            </w:r>
            <w:r w:rsidRPr="00BC7287">
              <w:rPr>
                <w:rFonts w:ascii="Verdana" w:eastAsia="Calibri" w:hAnsi="Verdana" w:cs="Arial"/>
                <w:lang w:val="es-ES"/>
              </w:rPr>
              <w:t xml:space="preserve"> principio, se recomienda requerir al proponente con el fin de que presente las aclaraciones que sean pertinentes atendiendo los postulados previstos en el numeral 7 del artículo 30 de la Ley 80 de 1993, esto con el fin de verificar si se trata de un error formal, evento en el cual y previo análisis de la entidad contratante, considere sí es procedente dar aplicación al principio de subsanabilidad en la forma establecida en el parágrafo 1° del artículo 5 de la Ley 1150 de 2007, respecto de los requisitos habilitantes</w:t>
            </w:r>
            <w:r>
              <w:rPr>
                <w:rFonts w:ascii="Verdana" w:eastAsia="Calibri" w:hAnsi="Verdana" w:cs="Arial"/>
                <w:lang w:val="es-ES"/>
              </w:rPr>
              <w:t>, uno de los cuales es la capacidad residual sobre el cual se refiere su pregunta</w:t>
            </w:r>
            <w:r w:rsidRPr="00BC7287">
              <w:rPr>
                <w:rFonts w:ascii="Verdana" w:hAnsi="Verdana" w:cs="Arial"/>
                <w:lang w:val="es-ES"/>
              </w:rPr>
              <w:t>. Sin embargo, se pueden realizar aclaraciones sobre aspectos meramente formales, pero no sobre requisitos esenciales del pliego de condiciones ni sobre factores calificables, como es el componente económico.</w:t>
            </w:r>
          </w:p>
          <w:p w14:paraId="746AF716" w14:textId="77777777" w:rsidR="00D84E93" w:rsidRPr="00553BC6" w:rsidRDefault="00D84E93" w:rsidP="007628F7">
            <w:pPr>
              <w:spacing w:before="120" w:after="120" w:line="276" w:lineRule="auto"/>
              <w:ind w:firstLine="708"/>
              <w:jc w:val="both"/>
              <w:rPr>
                <w:rFonts w:ascii="Verdana" w:eastAsia="Calibri" w:hAnsi="Verdana" w:cs="Arial"/>
                <w:lang w:val="es-ES"/>
              </w:rPr>
            </w:pPr>
            <w:r w:rsidRPr="00BC7287">
              <w:rPr>
                <w:rFonts w:ascii="Verdana" w:eastAsia="Calibri" w:hAnsi="Verdana" w:cs="Arial"/>
                <w:lang w:val="es-ES"/>
              </w:rPr>
              <w:t xml:space="preserve">Este </w:t>
            </w:r>
            <w:r w:rsidRPr="00BC7287">
              <w:rPr>
                <w:rFonts w:ascii="Verdana" w:eastAsia="Arial MT" w:hAnsi="Verdana" w:cs="Arial"/>
                <w:lang w:eastAsia="es-ES" w:bidi="es-ES"/>
              </w:rPr>
              <w:t>tipo</w:t>
            </w:r>
            <w:r w:rsidRPr="00BC7287">
              <w:rPr>
                <w:rFonts w:ascii="Verdana" w:eastAsia="Calibri" w:hAnsi="Verdana" w:cs="Arial"/>
                <w:lang w:val="es-ES"/>
              </w:rPr>
              <w:t xml:space="preserve"> de situaciones</w:t>
            </w:r>
            <w:r w:rsidRPr="4E6CD920">
              <w:rPr>
                <w:rFonts w:ascii="Verdana" w:eastAsia="Calibri" w:hAnsi="Verdana" w:cs="Arial"/>
                <w:lang w:val="es-ES"/>
              </w:rPr>
              <w:t xml:space="preserve"> incluso pueden ser materia de estipulación de causales de rechazo en los pliegos de condiciones, tal como sucede en los documentos tipo adoptados por esta Agencia Nacional de Contratación Pública, tal como lo establece el numeral 1.11 y el literal H del numeral 1.15 del Documento Base adoptado mediante la Resolución 465 del 10 de septiembre de 2024, donde se prevé que la información inexacta debe darse por no acreditada. Sin embargo, si la información inexacta se considera que puede tener el carácter de falsedad, procederá el rechazo de la oferta.</w:t>
            </w:r>
          </w:p>
          <w:p w14:paraId="4695EF5E" w14:textId="5DF6F513" w:rsidR="00D84E93" w:rsidRPr="000E2618" w:rsidRDefault="00D84E93" w:rsidP="007628F7">
            <w:pPr>
              <w:spacing w:before="120" w:after="120" w:line="276" w:lineRule="auto"/>
              <w:ind w:firstLine="742"/>
              <w:jc w:val="both"/>
              <w:rPr>
                <w:rFonts w:ascii="Verdana" w:eastAsia="Arial MT" w:hAnsi="Verdana" w:cs="Arial"/>
                <w:lang w:eastAsia="es-ES" w:bidi="es-ES"/>
              </w:rPr>
            </w:pPr>
            <w:r w:rsidRPr="4E6CD920">
              <w:rPr>
                <w:rFonts w:ascii="Verdana" w:eastAsia="Calibri" w:hAnsi="Verdana" w:cs="Arial"/>
                <w:lang w:val="es-ES"/>
              </w:rPr>
              <w:t xml:space="preserve">No </w:t>
            </w:r>
            <w:r w:rsidR="00B2397F" w:rsidRPr="4E6CD920">
              <w:rPr>
                <w:rFonts w:ascii="Verdana" w:eastAsia="Calibri" w:hAnsi="Verdana" w:cs="Arial"/>
                <w:lang w:val="es-ES"/>
              </w:rPr>
              <w:t>obstante</w:t>
            </w:r>
            <w:r w:rsidR="00B2397F">
              <w:rPr>
                <w:rFonts w:ascii="Verdana" w:eastAsia="Calibri" w:hAnsi="Verdana" w:cs="Arial"/>
                <w:lang w:val="es-ES"/>
              </w:rPr>
              <w:t>,</w:t>
            </w:r>
            <w:r w:rsidR="00B2397F" w:rsidRPr="4E6CD920">
              <w:rPr>
                <w:rFonts w:ascii="Verdana" w:eastAsia="Calibri" w:hAnsi="Verdana" w:cs="Arial"/>
                <w:lang w:val="es-ES"/>
              </w:rPr>
              <w:t xml:space="preserve"> y</w:t>
            </w:r>
            <w:r w:rsidRPr="4E6CD920">
              <w:rPr>
                <w:rFonts w:ascii="Verdana" w:eastAsia="Calibri" w:hAnsi="Verdana" w:cs="Arial"/>
                <w:lang w:val="es-ES"/>
              </w:rPr>
              <w:t xml:space="preserve"> conforme el análisis que efectué cada entidad, deberá darse traslado antes las autoridades competentes para que adelanten las investigaciones que por la presunta falsedad de documentos, puedan ser de su competencia.</w:t>
            </w:r>
          </w:p>
        </w:tc>
      </w:tr>
    </w:tbl>
    <w:p w14:paraId="61C973C5" w14:textId="77777777" w:rsidR="00D84E93" w:rsidRPr="00F9120E" w:rsidRDefault="00D84E93" w:rsidP="00D84E9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86B38FE" w14:textId="77777777" w:rsidR="00D84E93" w:rsidRPr="00F9120E" w:rsidRDefault="00D84E93" w:rsidP="00D84E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9120E">
        <w:rPr>
          <w:rFonts w:ascii="Verdana" w:eastAsia="Century Gothic" w:hAnsi="Verdana" w:cs="Century Gothic"/>
          <w:b/>
          <w:bCs/>
          <w:color w:val="000000" w:themeColor="text1"/>
        </w:rPr>
        <w:t>Razones de la</w:t>
      </w:r>
      <w:r>
        <w:rPr>
          <w:rFonts w:ascii="Verdana" w:eastAsia="Century Gothic" w:hAnsi="Verdana" w:cs="Century Gothic"/>
          <w:b/>
          <w:bCs/>
          <w:color w:val="000000" w:themeColor="text1"/>
        </w:rPr>
        <w:t>s</w:t>
      </w:r>
      <w:r w:rsidRPr="00F9120E">
        <w:rPr>
          <w:rFonts w:ascii="Verdana" w:eastAsia="Century Gothic" w:hAnsi="Verdana" w:cs="Century Gothic"/>
          <w:b/>
          <w:bCs/>
          <w:color w:val="000000" w:themeColor="text1"/>
        </w:rPr>
        <w:t xml:space="preserve"> respuesta</w:t>
      </w:r>
      <w:r>
        <w:rPr>
          <w:rFonts w:ascii="Verdana" w:eastAsia="Century Gothic" w:hAnsi="Verdana" w:cs="Century Gothic"/>
          <w:b/>
          <w:bCs/>
          <w:color w:val="000000" w:themeColor="text1"/>
        </w:rPr>
        <w:t>s</w:t>
      </w:r>
      <w:r w:rsidRPr="00F9120E">
        <w:rPr>
          <w:rFonts w:ascii="Verdana" w:eastAsia="Century Gothic" w:hAnsi="Verdana" w:cs="Century Gothic"/>
          <w:b/>
          <w:bCs/>
          <w:color w:val="000000" w:themeColor="text1"/>
        </w:rPr>
        <w:t>:</w:t>
      </w:r>
    </w:p>
    <w:p w14:paraId="147620D9" w14:textId="77777777" w:rsidR="00D84E93" w:rsidRPr="00F9120E" w:rsidRDefault="00D84E93" w:rsidP="00D84E93">
      <w:pPr>
        <w:spacing w:after="0" w:line="276" w:lineRule="auto"/>
        <w:jc w:val="both"/>
        <w:rPr>
          <w:rFonts w:ascii="Verdana" w:eastAsia="Calibri" w:hAnsi="Verdana" w:cs="Arial"/>
          <w:color w:val="000000" w:themeColor="text1"/>
          <w:lang w:val="es-ES"/>
        </w:rPr>
      </w:pPr>
    </w:p>
    <w:p w14:paraId="12D6DDA1" w14:textId="77777777" w:rsidR="00D84E93" w:rsidRPr="00F9120E" w:rsidRDefault="00D84E93" w:rsidP="00D84E93">
      <w:pPr>
        <w:spacing w:after="0" w:line="276" w:lineRule="auto"/>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Lo anterior se sustenta en las siguientes consideraciones:</w:t>
      </w:r>
    </w:p>
    <w:p w14:paraId="58013730" w14:textId="77777777" w:rsidR="00D84E93" w:rsidRPr="00F9120E" w:rsidRDefault="00D84E93" w:rsidP="00D84E93">
      <w:pPr>
        <w:spacing w:before="120"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i</w:t>
      </w:r>
      <w:r w:rsidRPr="00F9120E">
        <w:rPr>
          <w:rFonts w:ascii="Verdana" w:eastAsia="Calibri" w:hAnsi="Verdana" w:cs="Arial"/>
          <w:color w:val="000000" w:themeColor="text1"/>
          <w:lang w:val="es-ES"/>
        </w:rPr>
        <w:t xml:space="preserve">) Los </w:t>
      </w:r>
      <w:r w:rsidRPr="00F9120E">
        <w:rPr>
          <w:rFonts w:ascii="Verdana" w:eastAsia="Calibri" w:hAnsi="Verdana" w:cs="Arial"/>
          <w:i/>
          <w:iCs/>
          <w:color w:val="000000" w:themeColor="text1"/>
          <w:lang w:val="es-ES"/>
        </w:rPr>
        <w:t>requisitos habilitantes</w:t>
      </w:r>
      <w:r w:rsidRPr="00F9120E">
        <w:rPr>
          <w:rFonts w:ascii="Verdana" w:eastAsia="Calibri" w:hAnsi="Verdana" w:cs="Arial"/>
          <w:color w:val="000000" w:themeColor="text1"/>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F9120E">
        <w:rPr>
          <w:rFonts w:ascii="Verdana" w:eastAsia="Calibri" w:hAnsi="Verdana" w:cs="Arial"/>
          <w:i/>
          <w:iCs/>
          <w:color w:val="000000" w:themeColor="text1"/>
          <w:lang w:val="es-ES"/>
        </w:rPr>
        <w:t>criterios de evaluación</w:t>
      </w:r>
      <w:r w:rsidRPr="00F9120E">
        <w:rPr>
          <w:rFonts w:ascii="Verdana" w:eastAsia="Calibri" w:hAnsi="Verdana" w:cs="Arial"/>
          <w:color w:val="000000" w:themeColor="text1"/>
          <w:lang w:val="es-ES"/>
        </w:rPr>
        <w:t xml:space="preserve"> –también conocidos como </w:t>
      </w:r>
      <w:r w:rsidRPr="00F9120E">
        <w:rPr>
          <w:rFonts w:ascii="Verdana" w:eastAsia="Calibri" w:hAnsi="Verdana" w:cs="Arial"/>
          <w:i/>
          <w:iCs/>
          <w:color w:val="000000" w:themeColor="text1"/>
          <w:lang w:val="es-ES"/>
        </w:rPr>
        <w:t>criterios de calificación</w:t>
      </w:r>
      <w:r w:rsidRPr="00F9120E">
        <w:rPr>
          <w:rFonts w:ascii="Verdana" w:eastAsia="Calibri" w:hAnsi="Verdana" w:cs="Arial"/>
          <w:color w:val="000000" w:themeColor="text1"/>
          <w:lang w:val="es-ES"/>
        </w:rPr>
        <w:t xml:space="preserve">– en que la Entidad Estatal define estos factores para la asignación de puntaje en la comparación de las ofertas con el fin de establecer el orden de elegibilidad y la propuesta ganadora. </w:t>
      </w:r>
    </w:p>
    <w:p w14:paraId="41AF1423" w14:textId="77777777" w:rsidR="00D84E93" w:rsidRPr="00F9120E" w:rsidRDefault="00D84E93" w:rsidP="00D84E93">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74A46B89" w14:textId="77777777" w:rsidR="00D84E93" w:rsidRPr="00F9120E" w:rsidRDefault="00D84E93" w:rsidP="00D84E93">
      <w:pPr>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lang w:val="es-ES"/>
        </w:rPr>
        <w:t xml:space="preserve">Al respecto, el inciso primero del artículo 5 de la Ley 1150 de 2007 dispone los factores de escogencia y calificación que deben indicarse en los pliegos de condiciones. Además, </w:t>
      </w:r>
      <w:r w:rsidRPr="00F9120E">
        <w:rPr>
          <w:rFonts w:ascii="Verdana" w:eastAsia="Calibri" w:hAnsi="Verdana" w:cs="Arial"/>
          <w:color w:val="000000" w:themeColor="text1"/>
          <w:lang w:val="es-ES"/>
        </w:rPr>
        <w:t xml:space="preserve">el mencionado artículo señala que es </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 xml:space="preserve">. De este modo, los factores de que establezcan las entidades en los pliegos de condiciones o sus documentos equivalentes deberán tener en cuenta, entre otras cuestiones, lo establecido en esta norma. </w:t>
      </w:r>
    </w:p>
    <w:p w14:paraId="62BE6B64" w14:textId="77777777" w:rsidR="00D84E93" w:rsidRPr="00F9120E" w:rsidRDefault="00D84E93" w:rsidP="00D84E93">
      <w:pPr>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00F9120E">
        <w:rPr>
          <w:rFonts w:ascii="Verdana" w:eastAsia="Calibri" w:hAnsi="Verdana" w:cs="Arial"/>
          <w:i/>
          <w:iCs/>
          <w:color w:val="000000" w:themeColor="text1"/>
          <w:lang w:val="es-ES"/>
        </w:rPr>
        <w:t>entre otros</w:t>
      </w:r>
      <w:r w:rsidRPr="00F9120E">
        <w:rPr>
          <w:rFonts w:ascii="Verdana" w:eastAsia="Calibri" w:hAnsi="Verdana" w:cs="Arial"/>
          <w:color w:val="000000" w:themeColor="text1"/>
          <w:lang w:val="es-ES"/>
        </w:rPr>
        <w:t>, los siguientes: (i) la capacidad jurídica, (</w:t>
      </w:r>
      <w:proofErr w:type="spellStart"/>
      <w:r w:rsidRPr="00F9120E">
        <w:rPr>
          <w:rFonts w:ascii="Verdana" w:eastAsia="Calibri" w:hAnsi="Verdana" w:cs="Arial"/>
          <w:color w:val="000000" w:themeColor="text1"/>
          <w:lang w:val="es-ES"/>
        </w:rPr>
        <w:t>ii</w:t>
      </w:r>
      <w:proofErr w:type="spellEnd"/>
      <w:r w:rsidRPr="00F9120E">
        <w:rPr>
          <w:rFonts w:ascii="Verdana" w:eastAsia="Calibri" w:hAnsi="Verdana" w:cs="Arial"/>
          <w:color w:val="000000" w:themeColor="text1"/>
          <w:lang w:val="es-ES"/>
        </w:rPr>
        <w:t>) la experiencia, (</w:t>
      </w:r>
      <w:proofErr w:type="spellStart"/>
      <w:r w:rsidRPr="00F9120E">
        <w:rPr>
          <w:rFonts w:ascii="Verdana" w:eastAsia="Calibri" w:hAnsi="Verdana" w:cs="Arial"/>
          <w:color w:val="000000" w:themeColor="text1"/>
          <w:lang w:val="es-ES"/>
        </w:rPr>
        <w:t>iii</w:t>
      </w:r>
      <w:proofErr w:type="spellEnd"/>
      <w:r w:rsidRPr="00F9120E">
        <w:rPr>
          <w:rFonts w:ascii="Verdana" w:eastAsia="Calibri" w:hAnsi="Verdana" w:cs="Arial"/>
          <w:color w:val="000000" w:themeColor="text1"/>
          <w:lang w:val="es-ES"/>
        </w:rPr>
        <w:t>) la capacidad financiera y (</w:t>
      </w:r>
      <w:proofErr w:type="spellStart"/>
      <w:r w:rsidRPr="00F9120E">
        <w:rPr>
          <w:rFonts w:ascii="Verdana" w:eastAsia="Calibri" w:hAnsi="Verdana" w:cs="Arial"/>
          <w:color w:val="000000" w:themeColor="text1"/>
          <w:lang w:val="es-ES"/>
        </w:rPr>
        <w:t>iv</w:t>
      </w:r>
      <w:proofErr w:type="spellEnd"/>
      <w:r w:rsidRPr="00F9120E">
        <w:rPr>
          <w:rFonts w:ascii="Verdana" w:eastAsia="Calibri" w:hAnsi="Verdana" w:cs="Arial"/>
          <w:color w:val="000000" w:themeColor="text1"/>
          <w:lang w:val="es-ES"/>
        </w:rPr>
        <w:t xml:space="preserve">) la capacidad de organización. Al respecto, la norma citada dispone: </w:t>
      </w:r>
    </w:p>
    <w:p w14:paraId="3E2AC8A6" w14:textId="77777777" w:rsidR="00D84E93" w:rsidRPr="00F9120E" w:rsidRDefault="00D84E93" w:rsidP="00D84E93">
      <w:pPr>
        <w:spacing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t xml:space="preserve">“Artículo 5. De la Selección Objetiva. </w:t>
      </w:r>
    </w:p>
    <w:p w14:paraId="0A6062AC" w14:textId="77777777" w:rsidR="00D84E93" w:rsidRPr="00F9120E" w:rsidRDefault="00D84E93" w:rsidP="00D84E93">
      <w:pPr>
        <w:spacing w:after="120"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t>[…]</w:t>
      </w:r>
    </w:p>
    <w:p w14:paraId="2EB61636" w14:textId="77777777" w:rsidR="00D84E93" w:rsidRPr="00F9120E" w:rsidRDefault="00D84E93" w:rsidP="00D84E93">
      <w:pPr>
        <w:spacing w:after="120"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lastRenderedPageBreak/>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1A7ED229" w14:textId="77777777" w:rsidR="00D84E93" w:rsidRPr="00F9120E" w:rsidRDefault="00D84E93" w:rsidP="00D84E93">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Conforme lo ha sostenido esta Agencia en distintos conceptos, los requisitos habilitantes establecidos en el artículo 5, numeral 1, de la Ley 1150 de 2007 son de carácter </w:t>
      </w:r>
      <w:r w:rsidRPr="00F9120E">
        <w:rPr>
          <w:rFonts w:ascii="Verdana" w:eastAsia="Calibri" w:hAnsi="Verdana" w:cs="Arial"/>
          <w:i/>
          <w:iCs/>
          <w:color w:val="000000" w:themeColor="text1"/>
          <w:lang w:val="es-ES"/>
        </w:rPr>
        <w:t xml:space="preserve">enunciativo </w:t>
      </w:r>
      <w:r w:rsidRPr="00F9120E">
        <w:rPr>
          <w:rFonts w:ascii="Verdana" w:eastAsia="Calibri" w:hAnsi="Verdana" w:cs="Arial"/>
          <w:color w:val="000000" w:themeColor="text1"/>
          <w:lang w:val="es-ES"/>
        </w:rPr>
        <w:t>y no taxativo. Esta interpretación legal se resume en los siguientes argumentos: por un lado, esta norma no contiene una expresión como “únicamente” o “solo” al referirse a los requisitos habilitantes, sino que señala de forma taxativa que el listado puede comprender los requisitos enunciados “entre otros”; por otra parte, una lectura integral de las normas que regulan la contratación estatal permite concluir que existen otras condiciones que los proponentes deben cumplir para la contratación con una Entidad Estatal, como es el caso de la capacidad residual a la que se refiere el artículo 6º de la Ley 1150 de 2007</w:t>
      </w:r>
      <w:r w:rsidRPr="00F9120E">
        <w:rPr>
          <w:rStyle w:val="Refdenotaalpie"/>
          <w:rFonts w:ascii="Verdana" w:eastAsia="Calibri" w:hAnsi="Verdana" w:cs="Arial"/>
          <w:color w:val="000000" w:themeColor="text1"/>
          <w:lang w:val="es-ES"/>
        </w:rPr>
        <w:footnoteReference w:id="1"/>
      </w:r>
      <w:r w:rsidRPr="00F9120E">
        <w:rPr>
          <w:rFonts w:ascii="Verdana" w:eastAsia="Calibri" w:hAnsi="Verdana" w:cs="Arial"/>
          <w:color w:val="000000" w:themeColor="text1"/>
          <w:lang w:val="es-ES"/>
        </w:rPr>
        <w:t>.</w:t>
      </w:r>
    </w:p>
    <w:p w14:paraId="0E513FBF" w14:textId="77777777" w:rsidR="00D84E93" w:rsidRPr="00F9120E" w:rsidRDefault="00D84E93" w:rsidP="00D84E93">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w:t>
      </w:r>
      <w:bookmarkStart w:id="2" w:name="_Hlk182863897"/>
      <w:r w:rsidRPr="00F9120E">
        <w:rPr>
          <w:rFonts w:ascii="Verdana" w:eastAsia="Calibri" w:hAnsi="Verdana" w:cs="Arial"/>
          <w:color w:val="000000" w:themeColor="text1"/>
          <w:lang w:val="es-ES"/>
        </w:rPr>
        <w:t>con la naturaleza, el valor del contrato, la forma de pago, los riesgos asociados, el plazo y la complejidad de ejecución del objeto</w:t>
      </w:r>
      <w:r w:rsidRPr="00F9120E">
        <w:rPr>
          <w:rStyle w:val="Refdenotaalpie"/>
          <w:rFonts w:ascii="Verdana" w:eastAsia="Calibri" w:hAnsi="Verdana" w:cs="Arial"/>
          <w:color w:val="000000" w:themeColor="text1"/>
          <w:lang w:val="es-ES"/>
        </w:rPr>
        <w:footnoteReference w:id="2"/>
      </w:r>
      <w:r w:rsidRPr="00F9120E">
        <w:rPr>
          <w:rFonts w:ascii="Verdana" w:eastAsia="Calibri" w:hAnsi="Verdana" w:cs="Arial"/>
          <w:color w:val="000000" w:themeColor="text1"/>
          <w:lang w:val="es-ES"/>
        </w:rPr>
        <w:t>.</w:t>
      </w:r>
      <w:bookmarkEnd w:id="2"/>
      <w:r w:rsidRPr="00F9120E">
        <w:rPr>
          <w:rFonts w:ascii="Verdana" w:eastAsia="Calibri" w:hAnsi="Verdana" w:cs="Arial"/>
          <w:color w:val="000000" w:themeColor="text1"/>
          <w:lang w:val="es-ES"/>
        </w:rPr>
        <w:t xml:space="preserve"> Esta facultad, además implica que las entidades deben establecer </w:t>
      </w:r>
      <w:r w:rsidRPr="00392359">
        <w:rPr>
          <w:rFonts w:ascii="Verdana" w:eastAsia="Calibri" w:hAnsi="Verdana" w:cs="Arial"/>
          <w:color w:val="000000" w:themeColor="text1"/>
          <w:lang w:val="es-ES"/>
        </w:rPr>
        <w:t>la forma</w:t>
      </w:r>
      <w:r w:rsidRPr="00F9120E">
        <w:rPr>
          <w:rFonts w:ascii="Verdana" w:eastAsia="Calibri" w:hAnsi="Verdana" w:cs="Arial"/>
          <w:color w:val="000000" w:themeColor="text1"/>
          <w:lang w:val="es-ES"/>
        </w:rPr>
        <w:t xml:space="preserve"> en que los proponentes acreditarán estos requisitos y la manera en que la entidad verificará su cumplimiento. </w:t>
      </w:r>
    </w:p>
    <w:p w14:paraId="5E07357C" w14:textId="77777777" w:rsidR="00D84E93" w:rsidRDefault="00D84E93" w:rsidP="00D84E93">
      <w:pPr>
        <w:spacing w:before="120" w:after="120" w:line="276" w:lineRule="auto"/>
        <w:ind w:firstLine="709"/>
        <w:jc w:val="both"/>
        <w:rPr>
          <w:rFonts w:ascii="Verdana" w:hAnsi="Verdana"/>
        </w:rPr>
      </w:pPr>
      <w:r w:rsidRPr="00255F48">
        <w:rPr>
          <w:rFonts w:ascii="Verdana" w:eastAsia="Calibri" w:hAnsi="Verdana" w:cs="Arial"/>
          <w:color w:val="000000"/>
          <w:lang w:val="es-ES" w:eastAsia="es-ES_tradnl"/>
        </w:rPr>
        <w:lastRenderedPageBreak/>
        <w:t>Dentro de los requisitos habilitantes se destaca la capacidad jurídica y organizacional del proponente, que no es más que</w:t>
      </w:r>
      <w:r w:rsidRPr="00255F48">
        <w:rPr>
          <w:rFonts w:ascii="Verdana" w:hAnsi="Verdana"/>
        </w:rPr>
        <w:t xml:space="preserve"> la aptitud o idoneidad legal que tiene una persona natural o jurídica para ser sujeto de derechos y contraer obligaciones. En materia de la contratación estatal, se traduce en la obligación de la entidad de realizar la verificación de las calidades que manifiesta tener el proponente, esto se</w:t>
      </w:r>
      <w:r>
        <w:rPr>
          <w:rFonts w:ascii="Verdana" w:hAnsi="Verdana"/>
        </w:rPr>
        <w:t xml:space="preserve"> hace</w:t>
      </w:r>
      <w:r w:rsidRPr="00255F48">
        <w:rPr>
          <w:rFonts w:ascii="Verdana" w:hAnsi="Verdana"/>
        </w:rPr>
        <w:t xml:space="preserve"> de forma genérica con: </w:t>
      </w:r>
      <w:r w:rsidRPr="00255F48">
        <w:rPr>
          <w:rFonts w:ascii="Verdana" w:hAnsi="Verdana"/>
          <w:i/>
          <w:iCs/>
        </w:rPr>
        <w:t>i)</w:t>
      </w:r>
      <w:r w:rsidRPr="00255F48">
        <w:rPr>
          <w:rFonts w:ascii="Verdana" w:hAnsi="Verdana"/>
        </w:rPr>
        <w:t xml:space="preserve"> la revisión del certificado de existencia y representación legal, (en donde se determina la idoneidad del proponente frente al objeto social a desarrollar, la vigencia, el representante legal, sus</w:t>
      </w:r>
      <w:r>
        <w:rPr>
          <w:rFonts w:ascii="Verdana" w:hAnsi="Verdana"/>
        </w:rPr>
        <w:t xml:space="preserve"> </w:t>
      </w:r>
      <w:r w:rsidRPr="00255F48">
        <w:rPr>
          <w:rFonts w:ascii="Verdana" w:hAnsi="Verdana"/>
        </w:rPr>
        <w:t>facultades)</w:t>
      </w:r>
      <w:r>
        <w:rPr>
          <w:rFonts w:ascii="Verdana" w:hAnsi="Verdana"/>
        </w:rPr>
        <w:t xml:space="preserve">, </w:t>
      </w:r>
      <w:proofErr w:type="spellStart"/>
      <w:r w:rsidRPr="00255F48">
        <w:rPr>
          <w:rFonts w:ascii="Verdana" w:hAnsi="Verdana"/>
          <w:i/>
          <w:iCs/>
        </w:rPr>
        <w:t>ii</w:t>
      </w:r>
      <w:proofErr w:type="spellEnd"/>
      <w:r w:rsidRPr="00255F48">
        <w:rPr>
          <w:rFonts w:ascii="Verdana" w:hAnsi="Verdana"/>
          <w:i/>
          <w:iCs/>
        </w:rPr>
        <w:t>)</w:t>
      </w:r>
      <w:r>
        <w:rPr>
          <w:rFonts w:ascii="Verdana" w:hAnsi="Verdana"/>
          <w:i/>
          <w:iCs/>
        </w:rPr>
        <w:t xml:space="preserve"> </w:t>
      </w:r>
      <w:r w:rsidRPr="00255F48">
        <w:rPr>
          <w:rFonts w:ascii="Verdana" w:hAnsi="Verdana"/>
        </w:rPr>
        <w:t xml:space="preserve">la verificación de no estar incurso en las causales de inhabilidad e incompatibilidad </w:t>
      </w:r>
      <w:r w:rsidRPr="00255F48">
        <w:rPr>
          <w:rFonts w:ascii="Verdana" w:hAnsi="Verdana" w:cs="Arial"/>
          <w:lang w:val="es-ES"/>
        </w:rPr>
        <w:t>del artículo 8 de la Ley 80 de 1993,</w:t>
      </w:r>
      <w:r>
        <w:rPr>
          <w:rFonts w:ascii="Verdana" w:hAnsi="Verdana" w:cs="Arial"/>
          <w:lang w:val="es-ES"/>
        </w:rPr>
        <w:t xml:space="preserve"> y</w:t>
      </w:r>
      <w:r w:rsidRPr="00255F48">
        <w:rPr>
          <w:rFonts w:ascii="Verdana" w:hAnsi="Verdana" w:cs="Arial"/>
          <w:lang w:val="es-ES"/>
        </w:rPr>
        <w:t xml:space="preserve"> </w:t>
      </w:r>
      <w:proofErr w:type="spellStart"/>
      <w:r w:rsidRPr="00255F48">
        <w:rPr>
          <w:rFonts w:ascii="Verdana" w:hAnsi="Verdana"/>
        </w:rPr>
        <w:t>iii</w:t>
      </w:r>
      <w:proofErr w:type="spellEnd"/>
      <w:r w:rsidRPr="00255F48">
        <w:rPr>
          <w:rFonts w:ascii="Verdana" w:hAnsi="Verdana"/>
          <w:i/>
          <w:iCs/>
        </w:rPr>
        <w:t>)</w:t>
      </w:r>
      <w:r w:rsidRPr="00255F48">
        <w:rPr>
          <w:rFonts w:ascii="Verdana" w:hAnsi="Verdana"/>
        </w:rPr>
        <w:t xml:space="preserve"> la verificación de inscripción en el Registro Único de Proponentes.</w:t>
      </w:r>
    </w:p>
    <w:p w14:paraId="559BD19A" w14:textId="77777777" w:rsidR="00D84E93" w:rsidRDefault="00D84E93" w:rsidP="00D84E93">
      <w:pPr>
        <w:widowControl w:val="0"/>
        <w:autoSpaceDE w:val="0"/>
        <w:autoSpaceDN w:val="0"/>
        <w:spacing w:before="120" w:after="0" w:line="276" w:lineRule="auto"/>
        <w:ind w:firstLine="709"/>
        <w:jc w:val="both"/>
        <w:rPr>
          <w:rFonts w:ascii="Verdana" w:hAnsi="Verdana"/>
        </w:rPr>
      </w:pPr>
      <w:r>
        <w:rPr>
          <w:rFonts w:ascii="Verdana" w:hAnsi="Verdana"/>
        </w:rPr>
        <w:t>No obstante, la aptitud o idoneidad del proponente no se agota con la verificación de estos ítems, sino como en casos como el elevado en la consulta, existen además ciertos requisitos que de forma complementaria se deben cumplir, así el artículo 17 de la Ley 842 de 2003, establece que:</w:t>
      </w:r>
    </w:p>
    <w:p w14:paraId="55C4EEF0" w14:textId="77777777" w:rsidR="00D84E93" w:rsidRPr="00F74146" w:rsidRDefault="00D84E93" w:rsidP="00D84E93">
      <w:pPr>
        <w:widowControl w:val="0"/>
        <w:autoSpaceDE w:val="0"/>
        <w:autoSpaceDN w:val="0"/>
        <w:spacing w:after="0" w:line="276" w:lineRule="auto"/>
        <w:ind w:firstLine="709"/>
        <w:jc w:val="both"/>
        <w:rPr>
          <w:rFonts w:ascii="Verdana" w:eastAsia="Calibri" w:hAnsi="Verdana" w:cs="Arial"/>
          <w:color w:val="000000" w:themeColor="text1"/>
          <w:lang w:val="es-ES"/>
        </w:rPr>
      </w:pPr>
    </w:p>
    <w:p w14:paraId="7F0F5FE6" w14:textId="77777777" w:rsidR="00D84E93" w:rsidRPr="002C1C75" w:rsidRDefault="00D84E93" w:rsidP="00D84E93">
      <w:pPr>
        <w:spacing w:after="120" w:line="240" w:lineRule="auto"/>
        <w:ind w:left="709" w:right="709"/>
        <w:jc w:val="both"/>
        <w:rPr>
          <w:rFonts w:ascii="Verdana" w:eastAsia="Calibri" w:hAnsi="Verdana" w:cs="Arial"/>
          <w:color w:val="000000" w:themeColor="text1"/>
          <w:sz w:val="21"/>
          <w:szCs w:val="21"/>
          <w:lang w:val="es-ES"/>
        </w:rPr>
      </w:pPr>
      <w:r w:rsidRPr="002C1C75">
        <w:rPr>
          <w:rFonts w:ascii="Verdana" w:eastAsia="Calibri" w:hAnsi="Verdana" w:cs="Arial"/>
          <w:color w:val="000000" w:themeColor="text1"/>
          <w:sz w:val="21"/>
          <w:szCs w:val="21"/>
          <w:lang w:val="es-ES"/>
        </w:rPr>
        <w:t xml:space="preserve"> “La sociedad, firma, empresa u organización profesional, cuyas actividades comprendan, en forma exclusiva o parcial, alguna o algunas de aquellas que correspondan al ejercicio de la ingeniería, de sus profesiones afines o de sus profesiones auxiliares, está obligada a incluir en su nómina permanente, como mínimo, a un profesional matriculado en la carrera correspondiente al objeto social de la respectiva persona jurídica.</w:t>
      </w:r>
    </w:p>
    <w:p w14:paraId="0BDEFE48" w14:textId="77777777" w:rsidR="00D84E93" w:rsidRPr="002C1C75" w:rsidRDefault="00D84E93" w:rsidP="00D84E93">
      <w:pPr>
        <w:spacing w:after="120" w:line="240" w:lineRule="auto"/>
        <w:ind w:left="709" w:right="709"/>
        <w:jc w:val="both"/>
        <w:rPr>
          <w:rFonts w:ascii="Verdana" w:eastAsia="Calibri" w:hAnsi="Verdana" w:cs="Arial"/>
          <w:color w:val="000000" w:themeColor="text1"/>
          <w:sz w:val="21"/>
          <w:szCs w:val="21"/>
          <w:lang w:val="es-ES"/>
        </w:rPr>
      </w:pPr>
      <w:r w:rsidRPr="002C1C75">
        <w:rPr>
          <w:rFonts w:ascii="Verdana" w:eastAsia="Calibri" w:hAnsi="Verdana" w:cs="Arial"/>
          <w:color w:val="000000" w:themeColor="text1"/>
          <w:sz w:val="21"/>
          <w:szCs w:val="21"/>
          <w:lang w:val="es-ES"/>
        </w:rPr>
        <w:t>Al representante legal de la persona jurídica que omita el cumplimiento de lo dispuesto en el presente artículo se le aplicarán las sanciones previstas para el ejercicio ilegal de profesión y oficio reglamentado, mediante la aplicación del procedimiento establecido para las contravenciones especiales de policía o aquel que lo sustituya”</w:t>
      </w:r>
      <w:r>
        <w:rPr>
          <w:rFonts w:ascii="Verdana" w:eastAsia="Calibri" w:hAnsi="Verdana" w:cs="Arial"/>
          <w:color w:val="000000" w:themeColor="text1"/>
          <w:sz w:val="21"/>
          <w:szCs w:val="21"/>
          <w:lang w:val="es-ES"/>
        </w:rPr>
        <w:t>.</w:t>
      </w:r>
      <w:r w:rsidRPr="002C1C75">
        <w:rPr>
          <w:rFonts w:ascii="Verdana" w:eastAsia="Calibri" w:hAnsi="Verdana" w:cs="Arial"/>
          <w:color w:val="000000" w:themeColor="text1"/>
          <w:sz w:val="21"/>
          <w:szCs w:val="21"/>
          <w:lang w:val="es-ES"/>
        </w:rPr>
        <w:t> </w:t>
      </w:r>
    </w:p>
    <w:p w14:paraId="04CDD039" w14:textId="77777777" w:rsidR="00D84E93" w:rsidRPr="00A855F6" w:rsidRDefault="00D84E93" w:rsidP="00D84E93">
      <w:pPr>
        <w:shd w:val="clear" w:color="auto" w:fill="FFFFFF"/>
        <w:spacing w:after="0" w:line="240" w:lineRule="auto"/>
        <w:ind w:left="709" w:right="709"/>
        <w:jc w:val="both"/>
        <w:rPr>
          <w:rFonts w:ascii="Verdana" w:eastAsia="Times New Roman" w:hAnsi="Verdana" w:cs="Times New Roman"/>
          <w:color w:val="000000" w:themeColor="text1"/>
          <w:lang w:eastAsia="es-MX"/>
        </w:rPr>
      </w:pPr>
    </w:p>
    <w:p w14:paraId="66B9D9CB" w14:textId="77777777" w:rsidR="00D84E93" w:rsidRPr="00F9120E" w:rsidRDefault="00D84E93" w:rsidP="00D84E93">
      <w:pPr>
        <w:pStyle w:val="NormalWeb"/>
        <w:shd w:val="clear" w:color="auto" w:fill="FFFFFF"/>
        <w:spacing w:before="0" w:beforeAutospacing="0" w:after="120" w:afterAutospacing="0" w:line="276" w:lineRule="auto"/>
        <w:ind w:firstLine="708"/>
        <w:jc w:val="both"/>
        <w:rPr>
          <w:rFonts w:ascii="Verdana" w:eastAsia="Calibri" w:hAnsi="Verdana" w:cs="Arial"/>
          <w:color w:val="000000"/>
          <w:lang w:val="es-ES" w:eastAsia="es-ES_tradnl"/>
        </w:rPr>
      </w:pPr>
      <w:r w:rsidRPr="00F74146">
        <w:rPr>
          <w:rFonts w:ascii="Verdana" w:eastAsia="Calibri" w:hAnsi="Verdana" w:cs="Arial"/>
          <w:color w:val="000000"/>
          <w:sz w:val="22"/>
          <w:szCs w:val="22"/>
          <w:lang w:val="es-ES" w:eastAsia="es-ES_tradnl"/>
        </w:rPr>
        <w:t xml:space="preserve">De la lectura de la norma, se puede extraer que </w:t>
      </w:r>
      <w:r w:rsidRPr="00360AA2">
        <w:rPr>
          <w:rFonts w:ascii="Verdana" w:eastAsia="Calibri" w:hAnsi="Verdana" w:cs="Arial"/>
          <w:color w:val="000000"/>
          <w:sz w:val="22"/>
          <w:szCs w:val="22"/>
          <w:lang w:val="es-ES" w:eastAsia="es-ES_tradnl"/>
        </w:rPr>
        <w:t xml:space="preserve">el deber recae de forma directa en cabeza de la persona jurídica (proponente) y del Representante Legal de la </w:t>
      </w:r>
      <w:r w:rsidRPr="00360AA2">
        <w:rPr>
          <w:rFonts w:ascii="Verdana" w:hAnsi="Verdana" w:cs="Open Sans"/>
          <w:color w:val="000000" w:themeColor="text1"/>
          <w:sz w:val="22"/>
          <w:szCs w:val="22"/>
          <w:lang w:eastAsia="es-MX"/>
        </w:rPr>
        <w:t xml:space="preserve">sociedad, firma, empresa u organización profesional cuyas actividades correspondan al ejercicio profesional de ingeniería, de sus profesiones afines o de sus profesiones auxiliares, </w:t>
      </w:r>
      <w:r>
        <w:rPr>
          <w:rFonts w:ascii="Verdana" w:hAnsi="Verdana" w:cs="Open Sans"/>
          <w:color w:val="000000" w:themeColor="text1"/>
          <w:sz w:val="22"/>
          <w:szCs w:val="22"/>
          <w:lang w:eastAsia="es-MX"/>
        </w:rPr>
        <w:t>respecto de</w:t>
      </w:r>
      <w:r w:rsidRPr="00360AA2">
        <w:rPr>
          <w:rFonts w:ascii="Verdana" w:hAnsi="Verdana" w:cs="Open Sans"/>
          <w:color w:val="000000" w:themeColor="text1"/>
          <w:sz w:val="22"/>
          <w:szCs w:val="22"/>
          <w:lang w:eastAsia="es-MX"/>
        </w:rPr>
        <w:t xml:space="preserve"> vincular laboralmente de forma permanente a un profesional matriculado en la carrera correspondiente al objeto social de la respectiva persona jurídica.  Estableciéndose además en el parágrafo único la consecuencia jurídica de omitir ese deber.</w:t>
      </w:r>
    </w:p>
    <w:p w14:paraId="02E53EB4" w14:textId="77777777" w:rsidR="00D84E93" w:rsidRDefault="00D84E93" w:rsidP="00D84E93">
      <w:pPr>
        <w:spacing w:line="276" w:lineRule="auto"/>
        <w:jc w:val="both"/>
        <w:rPr>
          <w:rFonts w:ascii="Verdana" w:hAnsi="Verdana"/>
          <w:color w:val="000000" w:themeColor="text1"/>
          <w:highlight w:val="yellow"/>
          <w:lang w:val="es-ES"/>
        </w:rPr>
      </w:pPr>
    </w:p>
    <w:p w14:paraId="2FA33FD5" w14:textId="77777777" w:rsidR="00D84E93" w:rsidRPr="00475832" w:rsidRDefault="00D84E93" w:rsidP="00D84E93">
      <w:pPr>
        <w:spacing w:line="276" w:lineRule="auto"/>
        <w:jc w:val="both"/>
        <w:rPr>
          <w:rFonts w:ascii="Verdana" w:eastAsia="Calibri" w:hAnsi="Verdana" w:cs="Arial"/>
          <w:color w:val="000000" w:themeColor="text1"/>
          <w:lang w:val="es-ES_tradnl"/>
        </w:rPr>
      </w:pPr>
      <w:proofErr w:type="spellStart"/>
      <w:r w:rsidRPr="00487FAC">
        <w:rPr>
          <w:rFonts w:ascii="Verdana" w:hAnsi="Verdana"/>
          <w:color w:val="000000" w:themeColor="text1"/>
          <w:lang w:val="es-ES"/>
        </w:rPr>
        <w:t>ii</w:t>
      </w:r>
      <w:proofErr w:type="spellEnd"/>
      <w:r w:rsidRPr="00487FAC">
        <w:rPr>
          <w:rFonts w:ascii="Verdana" w:hAnsi="Verdana"/>
          <w:color w:val="000000" w:themeColor="text1"/>
          <w:lang w:val="es-ES"/>
        </w:rPr>
        <w:t xml:space="preserve">) </w:t>
      </w:r>
      <w:r w:rsidRPr="00487FAC">
        <w:rPr>
          <w:rFonts w:ascii="Verdana" w:eastAsia="Calibri" w:hAnsi="Verdana" w:cs="Arial"/>
          <w:color w:val="000000" w:themeColor="text1"/>
          <w:lang w:val="es-ES_tradnl"/>
        </w:rPr>
        <w:t>Uno de los principios transversales</w:t>
      </w:r>
      <w:r w:rsidRPr="00475832">
        <w:rPr>
          <w:rFonts w:ascii="Verdana" w:eastAsia="Calibri" w:hAnsi="Verdana" w:cs="Arial"/>
          <w:color w:val="000000" w:themeColor="text1"/>
          <w:lang w:val="es-ES_tradnl"/>
        </w:rPr>
        <w:t xml:space="preserve"> de los procedimientos de selección es el de </w:t>
      </w:r>
      <w:r w:rsidRPr="00475832">
        <w:rPr>
          <w:rFonts w:ascii="Verdana" w:eastAsia="Calibri" w:hAnsi="Verdana" w:cs="Arial"/>
          <w:i/>
          <w:iCs/>
          <w:color w:val="000000" w:themeColor="text1"/>
          <w:lang w:val="es-ES_tradnl"/>
        </w:rPr>
        <w:t>selección objetiva</w:t>
      </w:r>
      <w:r w:rsidRPr="00475832">
        <w:rPr>
          <w:rFonts w:ascii="Verdana" w:eastAsia="Calibri" w:hAnsi="Verdana" w:cs="Arial"/>
          <w:color w:val="000000" w:themeColor="text1"/>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24D489F4" w14:textId="77777777" w:rsidR="00D84E93" w:rsidRDefault="00D84E93" w:rsidP="00D84E93">
      <w:pPr>
        <w:spacing w:after="0" w:line="276" w:lineRule="auto"/>
        <w:ind w:firstLine="709"/>
        <w:jc w:val="both"/>
        <w:rPr>
          <w:rFonts w:ascii="Verdana" w:eastAsia="Calibri" w:hAnsi="Verdana" w:cs="Arial"/>
          <w:color w:val="000000" w:themeColor="text1"/>
          <w:lang w:val="es-ES_tradnl"/>
        </w:rPr>
      </w:pPr>
      <w:r w:rsidRPr="00475832">
        <w:rPr>
          <w:rFonts w:ascii="Verdana" w:eastAsia="Calibri" w:hAnsi="Verdana" w:cs="Arial"/>
          <w:color w:val="000000" w:themeColor="text1"/>
          <w:lang w:val="es-ES_tradnl"/>
        </w:rPr>
        <w:t>Si bien dentro de la historia de la contratación pública en Colombia se vislumbran antecedentes normativos que consagraban dicho principio</w:t>
      </w:r>
      <w:r w:rsidRPr="00475832">
        <w:rPr>
          <w:rStyle w:val="Refdenotaalpie"/>
          <w:rFonts w:ascii="Verdana" w:eastAsia="Calibri" w:hAnsi="Verdana" w:cs="Arial"/>
          <w:color w:val="000000" w:themeColor="text1"/>
          <w:lang w:val="es-ES_tradnl"/>
        </w:rPr>
        <w:footnoteReference w:id="3"/>
      </w:r>
      <w:r w:rsidRPr="00475832">
        <w:rPr>
          <w:rFonts w:ascii="Verdana" w:eastAsia="Calibri" w:hAnsi="Verdana" w:cs="Arial"/>
          <w:color w:val="000000" w:themeColor="text1"/>
          <w:lang w:val="es-ES_tradnl"/>
        </w:rPr>
        <w:t>, en la actualidad la disposición legal que lo prevé de manera más clara y contundente es el artículo 5 de la Ley 1150 de 2007, modificado por el artículo 88 de la Ley 1474 de 2011 y por el artículo 5 de la Ley 1882 de 2018; enunciado normativo en el que se lee:</w:t>
      </w:r>
    </w:p>
    <w:p w14:paraId="08BD0945" w14:textId="77777777" w:rsidR="00D84E93" w:rsidRPr="00BE151B" w:rsidRDefault="00D84E93" w:rsidP="00D84E93">
      <w:pPr>
        <w:spacing w:after="0" w:line="276" w:lineRule="auto"/>
        <w:ind w:firstLine="709"/>
        <w:jc w:val="both"/>
        <w:rPr>
          <w:rFonts w:ascii="Verdana" w:eastAsia="Arial MT" w:hAnsi="Verdana" w:cs="Arial"/>
          <w:sz w:val="25"/>
        </w:rPr>
      </w:pPr>
    </w:p>
    <w:p w14:paraId="5719554F"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BE151B">
        <w:rPr>
          <w:rFonts w:ascii="Verdana" w:eastAsia="Arial MT" w:hAnsi="Verdana" w:cs="Arial"/>
          <w:sz w:val="20"/>
          <w:szCs w:val="20"/>
        </w:rPr>
        <w:t>“[…]</w:t>
      </w:r>
      <w:r w:rsidRPr="00BE151B">
        <w:rPr>
          <w:rFonts w:ascii="Verdana" w:eastAsia="Arial MT" w:hAnsi="Verdana" w:cs="Arial"/>
          <w:spacing w:val="1"/>
          <w:sz w:val="20"/>
          <w:szCs w:val="20"/>
        </w:rPr>
        <w:t xml:space="preserve"> </w:t>
      </w:r>
      <w:r w:rsidRPr="00DC764F">
        <w:rPr>
          <w:rFonts w:ascii="Verdana" w:eastAsia="Arial MT" w:hAnsi="Verdana" w:cs="Arial"/>
          <w:sz w:val="20"/>
          <w:szCs w:val="20"/>
        </w:rPr>
        <w:t xml:space="preserve">Artículo 5o. </w:t>
      </w:r>
      <w:r w:rsidRPr="00DC764F">
        <w:rPr>
          <w:rFonts w:ascii="Verdana" w:eastAsia="Arial MT" w:hAnsi="Verdana" w:cs="Arial"/>
          <w:i/>
          <w:iCs/>
          <w:sz w:val="20"/>
          <w:szCs w:val="20"/>
        </w:rPr>
        <w:t>De la selección objetiva</w:t>
      </w:r>
      <w:r w:rsidRPr="00DC764F">
        <w:rPr>
          <w:rFonts w:ascii="Verdana" w:eastAsia="Arial MT" w:hAnsi="Verdana" w:cs="Arial"/>
          <w:sz w:val="20"/>
          <w:szCs w:val="20"/>
        </w:rPr>
        <w:t>.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1EAAF37"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23507998"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615580EE"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28400A99"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 xml:space="preserve">2. &lt;Numeral modificado por el artículo 88 de la Ley 1474 de 2011. El nuevo texto es el siguiente:&gt; La oferta más favorable será aquella que, </w:t>
      </w:r>
      <w:r w:rsidRPr="00DC764F">
        <w:rPr>
          <w:rFonts w:ascii="Verdana" w:eastAsia="Arial MT" w:hAnsi="Verdana" w:cs="Arial"/>
          <w:sz w:val="20"/>
          <w:szCs w:val="20"/>
        </w:rPr>
        <w:lastRenderedPageBreak/>
        <w:t>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3BE344C8"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18D28526"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En los procesos de selección en los que se tenga en cuenta los factores técnicos y económicos, la oferta más ventajosa será la que resulte de aplicar alguna de las siguientes alternativas:</w:t>
      </w:r>
    </w:p>
    <w:p w14:paraId="5F4ACA23"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5339778E"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a) La ponderación de los elementos de calidad y precio soportados en puntajes o fórmulas señaladas en el pliego de condiciones; o</w:t>
      </w:r>
    </w:p>
    <w:p w14:paraId="5EAC706E"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186210BE"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b) La ponderación de los elementos de calidad y precio que representen la mejor relación de costo-beneficio para la entidad.</w:t>
      </w:r>
    </w:p>
    <w:p w14:paraId="05290844"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122ED7DF"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2A1C3E36"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188B59F0"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35060822"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4372BFD1"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En ningún caso se podrá incluir el precio, como factor de escogencia para la selección de consultores.</w:t>
      </w:r>
    </w:p>
    <w:p w14:paraId="243588FF"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34D570D6"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w:t>
      </w:r>
      <w:r w:rsidRPr="00DC764F">
        <w:rPr>
          <w:rFonts w:ascii="Verdana" w:eastAsia="Arial MT" w:hAnsi="Verdana" w:cs="Arial"/>
          <w:sz w:val="20"/>
          <w:szCs w:val="20"/>
        </w:rPr>
        <w:lastRenderedPageBreak/>
        <w:t>a través del sistema de subasta. Serán rechazadas las ofertas de aquellos proponentes que no suministren la información y la documentación solicitada por la entidad estatal hasta el plazo anteriormente señalado.</w:t>
      </w:r>
    </w:p>
    <w:p w14:paraId="7B567F2E"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405A05D1"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Durante el término otorgado para subsanar las ofertas, los proponentes no podrán acreditar circunstancias ocurridas con posterioridad al cierre del proceso.</w:t>
      </w:r>
    </w:p>
    <w:p w14:paraId="589DF160"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3E41D088"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Parágrafo 2o. Las certificaciones de sistemas de gestión de calidad no serán objeto de calificación, ni podrán establecerse como documento habilitante para participar en licitaciones o concursos.</w:t>
      </w:r>
    </w:p>
    <w:p w14:paraId="7DE9D761"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0EF8AC9C"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DC764F">
        <w:rPr>
          <w:rFonts w:ascii="Verdana" w:eastAsia="Arial MT" w:hAnsi="Verdana" w:cs="Arial"/>
          <w:sz w:val="20"/>
          <w:szCs w:val="20"/>
        </w:rPr>
        <w:t>la misma</w:t>
      </w:r>
      <w:proofErr w:type="gramEnd"/>
      <w:r w:rsidRPr="00DC764F">
        <w:rPr>
          <w:rFonts w:ascii="Verdana" w:eastAsia="Arial MT" w:hAnsi="Verdana" w:cs="Arial"/>
          <w:sz w:val="20"/>
          <w:szCs w:val="20"/>
        </w:rPr>
        <w:t>.</w:t>
      </w:r>
    </w:p>
    <w:p w14:paraId="7502A6A0"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01BF2CAF"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1E21E010" w14:textId="77777777" w:rsidR="00D84E93" w:rsidRPr="00DC764F"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p>
    <w:p w14:paraId="149D78EB" w14:textId="77777777" w:rsidR="00D84E93" w:rsidRDefault="00D84E93" w:rsidP="00D84E93">
      <w:pPr>
        <w:widowControl w:val="0"/>
        <w:autoSpaceDE w:val="0"/>
        <w:autoSpaceDN w:val="0"/>
        <w:spacing w:after="0" w:line="240" w:lineRule="auto"/>
        <w:ind w:left="709" w:right="709"/>
        <w:jc w:val="both"/>
        <w:rPr>
          <w:rFonts w:ascii="Verdana" w:eastAsia="Arial MT" w:hAnsi="Verdana" w:cs="Arial"/>
          <w:sz w:val="20"/>
          <w:szCs w:val="20"/>
        </w:rPr>
      </w:pPr>
      <w:r w:rsidRPr="00DC764F">
        <w:rPr>
          <w:rFonts w:ascii="Verdana" w:eastAsia="Arial MT" w:hAnsi="Verdana" w:cs="Arial"/>
          <w:sz w:val="20"/>
          <w:szCs w:val="20"/>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r w:rsidRPr="00BE151B">
        <w:rPr>
          <w:rFonts w:ascii="Verdana" w:eastAsia="Arial MT" w:hAnsi="Verdana" w:cs="Arial"/>
          <w:sz w:val="20"/>
          <w:szCs w:val="20"/>
        </w:rPr>
        <w:t>[…]”</w:t>
      </w:r>
      <w:r w:rsidRPr="00BE151B">
        <w:rPr>
          <w:rFonts w:ascii="Verdana" w:eastAsia="Arial MT" w:hAnsi="Verdana" w:cs="Arial"/>
          <w:sz w:val="20"/>
          <w:szCs w:val="20"/>
          <w:vertAlign w:val="superscript"/>
        </w:rPr>
        <w:footnoteReference w:id="4"/>
      </w:r>
      <w:r w:rsidRPr="00BE151B">
        <w:rPr>
          <w:rFonts w:ascii="Verdana" w:eastAsia="Arial MT" w:hAnsi="Verdana" w:cs="Arial"/>
          <w:sz w:val="20"/>
          <w:szCs w:val="20"/>
        </w:rPr>
        <w:t>.</w:t>
      </w:r>
    </w:p>
    <w:p w14:paraId="78349533" w14:textId="77777777" w:rsidR="00D84E93" w:rsidRPr="00BE151B" w:rsidRDefault="00D84E93" w:rsidP="00D84E93">
      <w:pPr>
        <w:widowControl w:val="0"/>
        <w:autoSpaceDE w:val="0"/>
        <w:autoSpaceDN w:val="0"/>
        <w:spacing w:after="0" w:line="240" w:lineRule="auto"/>
        <w:ind w:left="810" w:right="1243"/>
        <w:jc w:val="both"/>
        <w:rPr>
          <w:rFonts w:ascii="Verdana" w:eastAsia="Arial MT" w:hAnsi="Verdana" w:cs="Arial"/>
          <w:sz w:val="20"/>
        </w:rPr>
      </w:pPr>
    </w:p>
    <w:p w14:paraId="144CD0D2" w14:textId="77777777" w:rsidR="00D84E93" w:rsidRPr="00BE151B" w:rsidRDefault="00D84E93" w:rsidP="00D84E93">
      <w:pPr>
        <w:spacing w:line="276" w:lineRule="auto"/>
        <w:ind w:firstLine="709"/>
        <w:jc w:val="both"/>
        <w:rPr>
          <w:rFonts w:ascii="Verdana" w:eastAsia="Arial" w:hAnsi="Verdana" w:cs="Arial"/>
          <w:color w:val="333333"/>
          <w:shd w:val="clear" w:color="auto" w:fill="FFFFFF"/>
          <w:lang w:eastAsia="es-ES" w:bidi="es-ES"/>
        </w:rPr>
      </w:pPr>
      <w:r w:rsidRPr="008F3E35">
        <w:rPr>
          <w:rFonts w:ascii="Verdana" w:eastAsia="Calibri" w:hAnsi="Verdana" w:cs="Arial"/>
          <w:color w:val="000000" w:themeColor="text1"/>
          <w:lang w:val="es-ES"/>
        </w:rPr>
        <w:t xml:space="preserve">Así mismo, la Ley 80 de 1993 se refiere a la </w:t>
      </w:r>
      <w:r w:rsidRPr="008F3E35">
        <w:rPr>
          <w:rFonts w:ascii="Verdana" w:eastAsia="Calibri" w:hAnsi="Verdana" w:cs="Arial"/>
          <w:i/>
          <w:iCs/>
          <w:color w:val="000000" w:themeColor="text1"/>
          <w:lang w:val="es-ES"/>
        </w:rPr>
        <w:t>selección objetiva</w:t>
      </w:r>
      <w:r w:rsidRPr="008F3E35">
        <w:rPr>
          <w:rFonts w:ascii="Verdana" w:eastAsia="Calibri" w:hAnsi="Verdana" w:cs="Arial"/>
          <w:color w:val="000000" w:themeColor="text1"/>
          <w:lang w:val="es-ES"/>
        </w:rPr>
        <w:t xml:space="preserve"> en varios apartados, como: i) el primer inciso del artículo 21, que obliga a las entidades estatales a tener en cuenta la selección objetiva, al garantizar la participación de los oferentes de bienes y servicios de origen nacional, </w:t>
      </w:r>
      <w:proofErr w:type="spellStart"/>
      <w:r w:rsidRPr="008F3E35">
        <w:rPr>
          <w:rFonts w:ascii="Verdana" w:eastAsia="Calibri" w:hAnsi="Verdana" w:cs="Arial"/>
          <w:color w:val="000000" w:themeColor="text1"/>
          <w:lang w:val="es-ES"/>
        </w:rPr>
        <w:t>ii</w:t>
      </w:r>
      <w:proofErr w:type="spellEnd"/>
      <w:r w:rsidRPr="008F3E35">
        <w:rPr>
          <w:rFonts w:ascii="Verdana" w:eastAsia="Calibri" w:hAnsi="Verdana" w:cs="Arial"/>
          <w:color w:val="000000" w:themeColor="text1"/>
          <w:lang w:val="es-ES"/>
        </w:rPr>
        <w:t>) el artículo 24, numeral 5</w:t>
      </w:r>
      <w:r>
        <w:rPr>
          <w:rFonts w:ascii="Verdana" w:eastAsia="Arial MT" w:hAnsi="Verdana" w:cs="Arial"/>
          <w:lang w:eastAsia="es-ES" w:bidi="es-ES"/>
        </w:rPr>
        <w:t>°</w:t>
      </w:r>
      <w:r w:rsidRPr="008F3E35">
        <w:rPr>
          <w:rFonts w:ascii="Verdana" w:eastAsia="Calibri" w:hAnsi="Verdana" w:cs="Arial"/>
          <w:color w:val="000000" w:themeColor="text1"/>
          <w:lang w:val="es-ES"/>
        </w:rPr>
        <w:t xml:space="preserve">, literal a), que manda que en los pliegos de condiciones se indiquen </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r w:rsidRPr="008F3E35">
        <w:rPr>
          <w:rFonts w:ascii="Verdana" w:eastAsia="Calibri" w:hAnsi="Verdana" w:cs="Arial"/>
          <w:i/>
          <w:iCs/>
          <w:color w:val="000000" w:themeColor="text1"/>
          <w:lang w:val="es-ES"/>
        </w:rPr>
        <w:t>los requisitos objetivos necesarios para participar en el correspondiente proceso de selección</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proofErr w:type="spellStart"/>
      <w:r w:rsidRPr="008F3E35">
        <w:rPr>
          <w:rFonts w:ascii="Verdana" w:eastAsia="Calibri" w:hAnsi="Verdana" w:cs="Arial"/>
          <w:color w:val="000000" w:themeColor="text1"/>
          <w:lang w:val="es-ES"/>
        </w:rPr>
        <w:t>iii</w:t>
      </w:r>
      <w:proofErr w:type="spellEnd"/>
      <w:r w:rsidRPr="008F3E35">
        <w:rPr>
          <w:rFonts w:ascii="Verdana" w:eastAsia="Calibri" w:hAnsi="Verdana" w:cs="Arial"/>
          <w:color w:val="000000" w:themeColor="text1"/>
          <w:lang w:val="es-ES"/>
        </w:rPr>
        <w:t>) el artículo 24, numeral 5</w:t>
      </w:r>
      <w:r>
        <w:rPr>
          <w:rFonts w:ascii="Verdana" w:eastAsia="Arial MT" w:hAnsi="Verdana" w:cs="Arial"/>
          <w:lang w:eastAsia="es-ES" w:bidi="es-ES"/>
        </w:rPr>
        <w:t>°</w:t>
      </w:r>
      <w:r w:rsidRPr="008F3E35">
        <w:rPr>
          <w:rFonts w:ascii="Verdana" w:eastAsia="Calibri" w:hAnsi="Verdana" w:cs="Arial"/>
          <w:color w:val="000000" w:themeColor="text1"/>
          <w:lang w:val="es-ES"/>
        </w:rPr>
        <w:t xml:space="preserve">, literal b), que establece que en los pliegos de condiciones se deben definir </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r w:rsidRPr="008F3E35">
        <w:rPr>
          <w:rFonts w:ascii="Verdana" w:eastAsia="Calibri" w:hAnsi="Verdana" w:cs="Arial"/>
          <w:i/>
          <w:iCs/>
          <w:color w:val="000000" w:themeColor="text1"/>
          <w:lang w:val="es-ES"/>
        </w:rPr>
        <w:t>reglas objetivas, justas, claras y completas que permitan la confección de ofrecimientos de la misma índole, aseguren una escogencia objetiva y eviten la declaratoria de desierta de la licitación</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proofErr w:type="spellStart"/>
      <w:r w:rsidRPr="008F3E35">
        <w:rPr>
          <w:rFonts w:ascii="Verdana" w:eastAsia="Calibri" w:hAnsi="Verdana" w:cs="Arial"/>
          <w:color w:val="000000" w:themeColor="text1"/>
          <w:lang w:val="es-ES"/>
        </w:rPr>
        <w:t>iv</w:t>
      </w:r>
      <w:proofErr w:type="spellEnd"/>
      <w:r w:rsidRPr="008F3E35">
        <w:rPr>
          <w:rFonts w:ascii="Verdana" w:eastAsia="Calibri" w:hAnsi="Verdana" w:cs="Arial"/>
          <w:color w:val="000000" w:themeColor="text1"/>
          <w:lang w:val="es-ES"/>
        </w:rPr>
        <w:t>) el artículo 24, numeral 8</w:t>
      </w:r>
      <w:r>
        <w:rPr>
          <w:rFonts w:ascii="Verdana" w:eastAsia="Arial MT" w:hAnsi="Verdana" w:cs="Arial"/>
          <w:lang w:eastAsia="es-ES" w:bidi="es-ES"/>
        </w:rPr>
        <w:t>°</w:t>
      </w:r>
      <w:r w:rsidRPr="008F3E35">
        <w:rPr>
          <w:rFonts w:ascii="Verdana" w:eastAsia="Calibri" w:hAnsi="Verdana" w:cs="Arial"/>
          <w:color w:val="000000" w:themeColor="text1"/>
          <w:lang w:val="es-ES"/>
        </w:rPr>
        <w:t xml:space="preserve">, según el cual </w:t>
      </w:r>
      <w:r>
        <w:rPr>
          <w:rFonts w:ascii="Verdana" w:eastAsia="Calibri" w:hAnsi="Verdana" w:cs="Arial"/>
          <w:color w:val="000000" w:themeColor="text1"/>
          <w:lang w:val="es-ES"/>
        </w:rPr>
        <w:t>“</w:t>
      </w:r>
      <w:r w:rsidRPr="008F3E35">
        <w:rPr>
          <w:rFonts w:ascii="Verdana" w:eastAsia="Calibri" w:hAnsi="Verdana" w:cs="Arial"/>
          <w:i/>
          <w:iCs/>
          <w:color w:val="000000" w:themeColor="text1"/>
          <w:lang w:val="es-ES"/>
        </w:rPr>
        <w:t xml:space="preserve">Las autoridades no </w:t>
      </w:r>
      <w:r w:rsidRPr="008F3E35">
        <w:rPr>
          <w:rFonts w:ascii="Verdana" w:eastAsia="Calibri" w:hAnsi="Verdana" w:cs="Arial"/>
          <w:i/>
          <w:iCs/>
          <w:color w:val="000000" w:themeColor="text1"/>
          <w:lang w:val="es-ES"/>
        </w:rPr>
        <w:lastRenderedPageBreak/>
        <w:t>actuarán con desviación o abuso de poder y ejercerán sus competencias exclusivamente para los fines previstos en la ley. Igualmente, les será prohibido eludir los procedimientos de selección objetiva y los demás requisitos previstos en el presente estatuto</w:t>
      </w:r>
      <w:r w:rsidRPr="008F3E35">
        <w:rPr>
          <w:rFonts w:ascii="Verdana" w:eastAsia="Calibri" w:hAnsi="Verdana" w:cs="Arial"/>
          <w:color w:val="000000" w:themeColor="text1"/>
          <w:lang w:val="es-ES"/>
        </w:rPr>
        <w:t>”, v) el segundo inciso del parágrafo 3</w:t>
      </w:r>
      <w:r>
        <w:rPr>
          <w:rFonts w:ascii="Verdana" w:eastAsia="Arial MT" w:hAnsi="Verdana" w:cs="Arial"/>
          <w:lang w:eastAsia="es-ES" w:bidi="es-ES"/>
        </w:rPr>
        <w:t>°</w:t>
      </w:r>
      <w:r w:rsidRPr="008F3E35">
        <w:rPr>
          <w:rFonts w:ascii="Verdana" w:eastAsia="Calibri" w:hAnsi="Verdana" w:cs="Arial"/>
          <w:color w:val="000000" w:themeColor="text1"/>
          <w:lang w:val="es-ES"/>
        </w:rPr>
        <w:t xml:space="preserve"> del artículo 24, que exige tener en cuenta la selección objetiva de la entidad veedora para el procedimiento de venta de bienes de las entidades estatales por el sistema de martillo; vi) el numeral 18 del artículo 25, el cual señala que </w:t>
      </w:r>
      <w:r>
        <w:rPr>
          <w:rFonts w:ascii="Verdana" w:eastAsia="Calibri" w:hAnsi="Verdana" w:cs="Arial"/>
          <w:color w:val="000000" w:themeColor="text1"/>
          <w:lang w:val="es-ES"/>
        </w:rPr>
        <w:t>“</w:t>
      </w:r>
      <w:r w:rsidRPr="008F3E35">
        <w:rPr>
          <w:rFonts w:ascii="Verdana" w:eastAsia="Calibri" w:hAnsi="Verdana" w:cs="Arial"/>
          <w:i/>
          <w:iCs/>
          <w:color w:val="000000" w:themeColor="text1"/>
          <w:lang w:val="es-ES"/>
        </w:rPr>
        <w:t>La declaratoria de desierta de la licitación únicamente procederá por motivos o causas que impidan la escogencia objetiva</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proofErr w:type="spellStart"/>
      <w:r w:rsidRPr="008F3E35">
        <w:rPr>
          <w:rFonts w:ascii="Verdana" w:eastAsia="Calibri" w:hAnsi="Verdana" w:cs="Arial"/>
          <w:color w:val="000000" w:themeColor="text1"/>
          <w:lang w:val="es-ES"/>
        </w:rPr>
        <w:t>vii</w:t>
      </w:r>
      <w:proofErr w:type="spellEnd"/>
      <w:r w:rsidRPr="008F3E35">
        <w:rPr>
          <w:rFonts w:ascii="Verdana" w:eastAsia="Calibri" w:hAnsi="Verdana" w:cs="Arial"/>
          <w:color w:val="000000" w:themeColor="text1"/>
          <w:lang w:val="es-ES"/>
        </w:rPr>
        <w:t xml:space="preserve">) el numeral 2 del artículo 30, que dispone que </w:t>
      </w:r>
      <w:r>
        <w:rPr>
          <w:rFonts w:ascii="Verdana" w:eastAsia="Calibri" w:hAnsi="Verdana" w:cs="Arial"/>
          <w:color w:val="000000" w:themeColor="text1"/>
          <w:lang w:val="es-ES"/>
        </w:rPr>
        <w:t>“</w:t>
      </w:r>
      <w:r w:rsidRPr="008F3E35">
        <w:rPr>
          <w:rFonts w:ascii="Verdana" w:eastAsia="Calibri" w:hAnsi="Verdana" w:cs="Arial"/>
          <w:i/>
          <w:iCs/>
          <w:color w:val="000000" w:themeColor="text1"/>
          <w:lang w:val="es-ES"/>
        </w:rPr>
        <w:t>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w:t>
      </w:r>
      <w:r>
        <w:rPr>
          <w:rFonts w:ascii="Verdana" w:eastAsia="Calibri" w:hAnsi="Verdana" w:cs="Arial"/>
          <w:color w:val="000000" w:themeColor="text1"/>
          <w:lang w:val="es-ES"/>
        </w:rPr>
        <w:t>”</w:t>
      </w:r>
      <w:r w:rsidRPr="008F3E35">
        <w:rPr>
          <w:rFonts w:ascii="Verdana" w:eastAsia="Calibri" w:hAnsi="Verdana" w:cs="Arial"/>
          <w:color w:val="000000" w:themeColor="text1"/>
          <w:lang w:val="es-ES"/>
        </w:rPr>
        <w:t xml:space="preserve">, </w:t>
      </w:r>
      <w:proofErr w:type="spellStart"/>
      <w:r w:rsidRPr="008F3E35">
        <w:rPr>
          <w:rFonts w:ascii="Verdana" w:eastAsia="Calibri" w:hAnsi="Verdana" w:cs="Arial"/>
          <w:color w:val="000000" w:themeColor="text1"/>
          <w:lang w:val="es-ES"/>
        </w:rPr>
        <w:t>viii</w:t>
      </w:r>
      <w:proofErr w:type="spellEnd"/>
      <w:r w:rsidRPr="008F3E35">
        <w:rPr>
          <w:rFonts w:ascii="Verdana" w:eastAsia="Calibri" w:hAnsi="Verdana" w:cs="Arial"/>
          <w:color w:val="000000" w:themeColor="text1"/>
          <w:lang w:val="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8F3E35">
        <w:rPr>
          <w:rFonts w:ascii="Verdana" w:eastAsia="Calibri" w:hAnsi="Verdana" w:cs="Arial"/>
          <w:color w:val="000000" w:themeColor="text1"/>
          <w:lang w:val="es-ES"/>
        </w:rPr>
        <w:t>ix</w:t>
      </w:r>
      <w:proofErr w:type="spellEnd"/>
      <w:r w:rsidRPr="008F3E35">
        <w:rPr>
          <w:rFonts w:ascii="Verdana" w:eastAsia="Calibri" w:hAnsi="Verdana" w:cs="Arial"/>
          <w:color w:val="000000" w:themeColor="text1"/>
          <w:lang w:val="es-ES"/>
        </w:rPr>
        <w:t>) el segundo inciso del artículo 76, que ordena cumplir también con dicho principio a las entidades que tengan por objeto la exploración, explotación y comercialización de recursos naturales renovables y no renovables.</w:t>
      </w:r>
    </w:p>
    <w:p w14:paraId="61F3D58A" w14:textId="77777777" w:rsidR="00D84E93" w:rsidRPr="00BE151B" w:rsidRDefault="00D84E93" w:rsidP="00D84E93">
      <w:pPr>
        <w:spacing w:before="120" w:after="120" w:line="276" w:lineRule="auto"/>
        <w:ind w:firstLine="709"/>
        <w:jc w:val="both"/>
        <w:rPr>
          <w:rFonts w:ascii="Verdana" w:eastAsia="Calibri" w:hAnsi="Verdana" w:cs="Arial"/>
          <w:color w:val="000000"/>
        </w:rPr>
      </w:pPr>
      <w:r w:rsidRPr="00577091">
        <w:rPr>
          <w:rFonts w:ascii="Verdana" w:eastAsia="Calibri" w:hAnsi="Verdana" w:cs="Arial"/>
          <w:color w:val="000000" w:themeColor="text1"/>
          <w:lang w:val="es-ES"/>
        </w:rPr>
        <w:t>Por su parte, a nivel reglamentario, el Decreto 1082 de 2015 también hace referencia a la selección objetiva como postulado esencial al interior de los procedimientos de selección. Así se infiere de enunciados como: i) el numeral 4</w:t>
      </w:r>
      <w:r>
        <w:rPr>
          <w:rFonts w:ascii="Verdana" w:eastAsia="Arial MT" w:hAnsi="Verdana" w:cs="Arial"/>
          <w:lang w:eastAsia="es-ES" w:bidi="es-ES"/>
        </w:rPr>
        <w:t>°</w:t>
      </w:r>
      <w:r w:rsidRPr="00577091">
        <w:rPr>
          <w:rFonts w:ascii="Verdana" w:eastAsia="Calibri" w:hAnsi="Verdana" w:cs="Arial"/>
          <w:color w:val="000000" w:themeColor="text1"/>
          <w:lang w:val="es-ES"/>
        </w:rPr>
        <w:t xml:space="preserve"> del artículo 2.2.1.1.2.1.3., que indica que dentro de la información del pliego de condiciones se deben definir </w:t>
      </w:r>
      <w:r>
        <w:rPr>
          <w:rFonts w:ascii="Verdana" w:eastAsia="Calibri" w:hAnsi="Verdana" w:cs="Arial"/>
          <w:color w:val="000000" w:themeColor="text1"/>
          <w:lang w:val="es-ES"/>
        </w:rPr>
        <w:t>“</w:t>
      </w:r>
      <w:r w:rsidRPr="00D33D6A">
        <w:rPr>
          <w:rFonts w:ascii="Verdana" w:eastAsia="Calibri" w:hAnsi="Verdana" w:cs="Arial"/>
          <w:i/>
          <w:iCs/>
          <w:color w:val="000000" w:themeColor="text1"/>
          <w:lang w:val="es-ES"/>
        </w:rPr>
        <w:t>Las condiciones de costo y/o calidad que la Entidad Estatal debe tener en cuenta para la selección objetiva, de acuerdo con la modalidad de selección del contratista</w:t>
      </w:r>
      <w:r>
        <w:rPr>
          <w:rFonts w:ascii="Verdana" w:eastAsia="Calibri" w:hAnsi="Verdana" w:cs="Arial"/>
          <w:color w:val="000000" w:themeColor="text1"/>
          <w:lang w:val="es-ES"/>
        </w:rPr>
        <w:t>”</w:t>
      </w:r>
      <w:r w:rsidRPr="00577091">
        <w:rPr>
          <w:rFonts w:ascii="Verdana" w:eastAsia="Calibri" w:hAnsi="Verdana" w:cs="Arial"/>
          <w:color w:val="000000" w:themeColor="text1"/>
          <w:lang w:val="es-ES"/>
        </w:rPr>
        <w:t xml:space="preserve">; </w:t>
      </w:r>
      <w:proofErr w:type="spellStart"/>
      <w:r w:rsidRPr="00577091">
        <w:rPr>
          <w:rFonts w:ascii="Verdana" w:eastAsia="Calibri" w:hAnsi="Verdana" w:cs="Arial"/>
          <w:color w:val="000000" w:themeColor="text1"/>
          <w:lang w:val="es-ES"/>
        </w:rPr>
        <w:t>ii</w:t>
      </w:r>
      <w:proofErr w:type="spellEnd"/>
      <w:r w:rsidRPr="00577091">
        <w:rPr>
          <w:rFonts w:ascii="Verdana" w:eastAsia="Calibri" w:hAnsi="Verdana" w:cs="Arial"/>
          <w:color w:val="000000" w:themeColor="text1"/>
          <w:lang w:val="es-ES"/>
        </w:rPr>
        <w:t>) el numeral 8</w:t>
      </w:r>
      <w:r>
        <w:rPr>
          <w:rFonts w:ascii="Verdana" w:eastAsia="Arial MT" w:hAnsi="Verdana" w:cs="Arial"/>
          <w:lang w:eastAsia="es-ES" w:bidi="es-ES"/>
        </w:rPr>
        <w:t>°</w:t>
      </w:r>
      <w:r w:rsidRPr="00577091">
        <w:rPr>
          <w:rFonts w:ascii="Verdana" w:eastAsia="Calibri" w:hAnsi="Verdana" w:cs="Arial"/>
          <w:color w:val="000000" w:themeColor="text1"/>
          <w:lang w:val="es-ES"/>
        </w:rPr>
        <w:t xml:space="preserve"> del artículo 2.2.1.2.1.3.13., que establece como obligación del jurado calificador en los concurso de méritos para la selección de consultores de diseño, planos, anteproyectos y proyectos arquitectónicos, </w:t>
      </w:r>
      <w:r>
        <w:rPr>
          <w:rFonts w:ascii="Verdana" w:eastAsia="Calibri" w:hAnsi="Verdana" w:cs="Arial"/>
          <w:color w:val="000000" w:themeColor="text1"/>
          <w:lang w:val="es-ES"/>
        </w:rPr>
        <w:t>“</w:t>
      </w:r>
      <w:r w:rsidRPr="00624231">
        <w:rPr>
          <w:rFonts w:ascii="Verdana" w:eastAsia="Calibri" w:hAnsi="Verdana" w:cs="Arial"/>
          <w:i/>
          <w:iCs/>
          <w:color w:val="000000" w:themeColor="text1"/>
          <w:lang w:val="es-ES"/>
        </w:rPr>
        <w:t>Manifestar a la Entidad Estatal promotora la declaratoria de desierto el concurso de arquitectura, en caso que se presente el impedimento de la escogencia objetiva de que trata el numeral 18 del artículo 25 de la Ley 80 de 1993</w:t>
      </w:r>
      <w:r>
        <w:rPr>
          <w:rFonts w:ascii="Verdana" w:eastAsia="Calibri" w:hAnsi="Verdana" w:cs="Arial"/>
          <w:color w:val="000000" w:themeColor="text1"/>
          <w:lang w:val="es-ES"/>
        </w:rPr>
        <w:t>”</w:t>
      </w:r>
      <w:r w:rsidRPr="00577091">
        <w:rPr>
          <w:rFonts w:ascii="Verdana" w:eastAsia="Calibri" w:hAnsi="Verdana" w:cs="Arial"/>
          <w:color w:val="000000" w:themeColor="text1"/>
          <w:lang w:val="es-ES"/>
        </w:rPr>
        <w:t xml:space="preserve">; o </w:t>
      </w:r>
      <w:proofErr w:type="spellStart"/>
      <w:r w:rsidRPr="00577091">
        <w:rPr>
          <w:rFonts w:ascii="Verdana" w:eastAsia="Calibri" w:hAnsi="Verdana" w:cs="Arial"/>
          <w:color w:val="000000" w:themeColor="text1"/>
          <w:lang w:val="es-ES"/>
        </w:rPr>
        <w:t>iii</w:t>
      </w:r>
      <w:proofErr w:type="spellEnd"/>
      <w:r w:rsidRPr="00577091">
        <w:rPr>
          <w:rFonts w:ascii="Verdana" w:eastAsia="Calibri" w:hAnsi="Verdana" w:cs="Arial"/>
          <w:color w:val="000000" w:themeColor="text1"/>
          <w:lang w:val="es-ES"/>
        </w:rPr>
        <w:t>) el numeral 7</w:t>
      </w:r>
      <w:r>
        <w:rPr>
          <w:rFonts w:ascii="Verdana" w:eastAsia="Arial MT" w:hAnsi="Verdana" w:cs="Arial"/>
          <w:lang w:eastAsia="es-ES" w:bidi="es-ES"/>
        </w:rPr>
        <w:t>°</w:t>
      </w:r>
      <w:r w:rsidRPr="00577091">
        <w:rPr>
          <w:rFonts w:ascii="Verdana" w:eastAsia="Calibri" w:hAnsi="Verdana" w:cs="Arial"/>
          <w:color w:val="000000" w:themeColor="text1"/>
          <w:lang w:val="es-ES"/>
        </w:rPr>
        <w:t xml:space="preserve"> del artículo 2.2.1.2.6.1.3., que consagra, como obligación de la Agencia de Contratación Pública – Colombia Compra Eficiente, fijar en los documentos tipo </w:t>
      </w:r>
      <w:r>
        <w:rPr>
          <w:rFonts w:ascii="Verdana" w:eastAsia="Calibri" w:hAnsi="Verdana" w:cs="Arial"/>
          <w:color w:val="000000" w:themeColor="text1"/>
          <w:lang w:val="es-ES"/>
        </w:rPr>
        <w:t>“</w:t>
      </w:r>
      <w:r w:rsidRPr="00577091">
        <w:rPr>
          <w:rFonts w:ascii="Verdana" w:eastAsia="Calibri" w:hAnsi="Verdana" w:cs="Arial"/>
          <w:color w:val="000000" w:themeColor="text1"/>
          <w:lang w:val="es-ES"/>
        </w:rPr>
        <w:t xml:space="preserve">[…] </w:t>
      </w:r>
      <w:r w:rsidRPr="00624231">
        <w:rPr>
          <w:rFonts w:ascii="Verdana" w:eastAsia="Calibri" w:hAnsi="Verdana" w:cs="Arial"/>
          <w:i/>
          <w:iCs/>
          <w:color w:val="000000" w:themeColor="text1"/>
          <w:lang w:val="es-ES"/>
        </w:rPr>
        <w:lastRenderedPageBreak/>
        <w:t>alternativas para la ponderación de los elementos de calidad con el fin de que la entidad estatal contratante seleccione la opción adecuada para evaluar las condiciones técnicas de manera objetiva de acuerdo con el objeto de la contratación</w:t>
      </w:r>
      <w:r>
        <w:rPr>
          <w:rFonts w:ascii="Verdana" w:eastAsia="Calibri" w:hAnsi="Verdana" w:cs="Arial"/>
          <w:color w:val="000000" w:themeColor="text1"/>
          <w:lang w:val="es-ES"/>
        </w:rPr>
        <w:t>”</w:t>
      </w:r>
      <w:r w:rsidRPr="00577091">
        <w:rPr>
          <w:rFonts w:ascii="Verdana" w:eastAsia="Calibri" w:hAnsi="Verdana" w:cs="Arial"/>
          <w:color w:val="000000" w:themeColor="text1"/>
          <w:lang w:val="es-ES"/>
        </w:rPr>
        <w:t>.</w:t>
      </w:r>
      <w:r w:rsidRPr="00BE151B">
        <w:rPr>
          <w:rFonts w:ascii="Verdana" w:eastAsia="Calibri" w:hAnsi="Verdana" w:cs="Arial"/>
          <w:color w:val="000000"/>
          <w:sz w:val="24"/>
        </w:rPr>
        <w:tab/>
      </w:r>
    </w:p>
    <w:p w14:paraId="6253F363" w14:textId="77777777" w:rsidR="00D84E93" w:rsidRPr="006C7D70" w:rsidRDefault="00D84E93" w:rsidP="00D84E93">
      <w:pPr>
        <w:widowControl w:val="0"/>
        <w:autoSpaceDE w:val="0"/>
        <w:autoSpaceDN w:val="0"/>
        <w:spacing w:after="120" w:line="276" w:lineRule="auto"/>
        <w:ind w:firstLine="709"/>
        <w:jc w:val="both"/>
        <w:rPr>
          <w:rFonts w:ascii="Verdana" w:eastAsia="Arial MT" w:hAnsi="Verdana" w:cs="Arial"/>
          <w:lang w:eastAsia="es-ES" w:bidi="es-ES"/>
        </w:rPr>
      </w:pPr>
      <w:r w:rsidRPr="006C7D70">
        <w:rPr>
          <w:rFonts w:ascii="Verdana" w:eastAsia="Calibri" w:hAnsi="Verdana" w:cs="Arial"/>
          <w:color w:val="000000" w:themeColor="text1"/>
          <w:lang w:val="es-ES"/>
        </w:rPr>
        <w:t xml:space="preserve">La jurisprudencia también ha reconocido la preponderancia de este deber en la etapa precontractual, indicando que su garantía es imprescindible para satisfacer adecuadamente las necesidades de la sociedad a través del contrato. A este respecto, la Sección Tercera del Consejo de Estado ha dicho que </w:t>
      </w:r>
      <w:r>
        <w:rPr>
          <w:rFonts w:ascii="Verdana" w:eastAsia="Calibri" w:hAnsi="Verdana" w:cs="Arial"/>
          <w:color w:val="000000" w:themeColor="text1"/>
          <w:lang w:val="es-ES"/>
        </w:rPr>
        <w:t>“</w:t>
      </w:r>
      <w:r w:rsidRPr="00152CF4">
        <w:rPr>
          <w:rFonts w:ascii="Verdana" w:eastAsia="Calibri" w:hAnsi="Verdana" w:cs="Arial"/>
          <w:i/>
          <w:iCs/>
          <w:color w:val="000000" w:themeColor="text1"/>
          <w:lang w:val="es-ES"/>
        </w:rPr>
        <w:t>la selección de contratistas, para cumplir con el requisito de objetividad, debe caracterizarse por: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r>
        <w:rPr>
          <w:rFonts w:ascii="Verdana" w:eastAsia="Calibri" w:hAnsi="Verdana" w:cs="Arial"/>
          <w:color w:val="000000" w:themeColor="text1"/>
          <w:lang w:val="es-ES"/>
        </w:rPr>
        <w:t>”</w:t>
      </w:r>
      <w:r w:rsidRPr="006C7D70">
        <w:rPr>
          <w:rStyle w:val="Refdenotaalpie"/>
          <w:rFonts w:ascii="Verdana" w:eastAsia="Calibri" w:hAnsi="Verdana" w:cs="Arial"/>
          <w:color w:val="000000" w:themeColor="text1"/>
          <w:lang w:val="es-ES"/>
        </w:rPr>
        <w:footnoteReference w:id="5"/>
      </w:r>
      <w:r w:rsidRPr="006C7D70">
        <w:rPr>
          <w:rFonts w:ascii="Verdana" w:eastAsia="Calibri" w:hAnsi="Verdana" w:cs="Arial"/>
          <w:color w:val="000000" w:themeColor="text1"/>
          <w:lang w:val="es-ES"/>
        </w:rPr>
        <w:t xml:space="preserve">. Igualmente, ha señalado que </w:t>
      </w:r>
      <w:r>
        <w:rPr>
          <w:rFonts w:ascii="Verdana" w:eastAsia="Calibri" w:hAnsi="Verdana" w:cs="Arial"/>
          <w:color w:val="000000" w:themeColor="text1"/>
          <w:lang w:val="es-ES"/>
        </w:rPr>
        <w:t>“</w:t>
      </w:r>
      <w:r w:rsidRPr="00704020">
        <w:rPr>
          <w:rFonts w:ascii="Verdana" w:eastAsia="Calibri" w:hAnsi="Verdana" w:cs="Arial"/>
          <w:i/>
          <w:iCs/>
          <w:color w:val="000000" w:themeColor="text1"/>
          <w:lang w:val="es-ES"/>
        </w:rPr>
        <w:t>el principio de escogencia o selección objetiva de los contratistas fundamenta uno de los principales deberes de todos los responsables de la contratación estatal en el derecho colombiano, cual es el de mantener intacta la institucionalidad por encima de los intereses personales, individuales o subjetivos cuando se trate de escoger al contratista, al margen del procedimiento utilizado, con miras a evitar el actuar arbitrario, abusivo o violatorio de norma superior (numeral 8, art. 24, ley 80) por parte de los servidores públicos</w:t>
      </w:r>
      <w:r>
        <w:rPr>
          <w:rFonts w:ascii="Verdana" w:eastAsia="Calibri" w:hAnsi="Verdana" w:cs="Arial"/>
          <w:color w:val="000000" w:themeColor="text1"/>
          <w:lang w:val="es-ES"/>
        </w:rPr>
        <w:t>”</w:t>
      </w:r>
      <w:r w:rsidRPr="006C7D70">
        <w:rPr>
          <w:rStyle w:val="Refdenotaalpie"/>
          <w:rFonts w:ascii="Verdana" w:eastAsia="Calibri" w:hAnsi="Verdana" w:cs="Arial"/>
          <w:color w:val="000000" w:themeColor="text1"/>
          <w:lang w:val="es-ES"/>
        </w:rPr>
        <w:footnoteReference w:id="6"/>
      </w:r>
      <w:r w:rsidRPr="006C7D70">
        <w:rPr>
          <w:rFonts w:ascii="Verdana" w:eastAsia="Calibri" w:hAnsi="Verdana" w:cs="Arial"/>
          <w:color w:val="000000" w:themeColor="text1"/>
          <w:lang w:val="es-ES"/>
        </w:rPr>
        <w:t>.</w:t>
      </w:r>
    </w:p>
    <w:p w14:paraId="49ACF827" w14:textId="77777777" w:rsidR="00D84E93" w:rsidRPr="00511383" w:rsidRDefault="00D84E93" w:rsidP="00D84E93">
      <w:pPr>
        <w:spacing w:line="276" w:lineRule="auto"/>
        <w:ind w:firstLine="709"/>
        <w:jc w:val="both"/>
        <w:rPr>
          <w:rFonts w:ascii="Verdana" w:eastAsia="Calibri" w:hAnsi="Verdana" w:cs="Arial"/>
          <w:color w:val="000000" w:themeColor="text1"/>
          <w:lang w:val="es-ES"/>
        </w:rPr>
      </w:pPr>
      <w:r w:rsidRPr="00511383">
        <w:rPr>
          <w:rFonts w:ascii="Verdana" w:eastAsia="Calibri" w:hAnsi="Verdana" w:cs="Arial"/>
          <w:color w:val="000000" w:themeColor="text1"/>
          <w:lang w:val="es-ES"/>
        </w:rPr>
        <w:t xml:space="preserve">Ahora bien, para garantizar el principio de selección objetiva, también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posibilitar la subsanación de los requisitos de participación, bajo las condiciones indicadas en la ley, antes de tomar la decisión de rechazar las propuestas que hayan omitido la observancia de los requisitos habilitantes; decisión que, por regla general –salvo en los casos específicos previstos en la ley, como el de la imposibilidad de </w:t>
      </w:r>
      <w:r w:rsidRPr="00511383">
        <w:rPr>
          <w:rFonts w:ascii="Verdana" w:eastAsia="Calibri" w:hAnsi="Verdana" w:cs="Arial"/>
          <w:color w:val="000000" w:themeColor="text1"/>
          <w:lang w:val="es-ES"/>
        </w:rPr>
        <w:lastRenderedPageBreak/>
        <w:t>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0BB8CC2F" w14:textId="77777777" w:rsidR="00D84E93" w:rsidRPr="008C0037" w:rsidRDefault="00D84E93" w:rsidP="00D84E93">
      <w:pPr>
        <w:spacing w:line="276" w:lineRule="auto"/>
        <w:ind w:firstLine="709"/>
        <w:jc w:val="both"/>
        <w:rPr>
          <w:rFonts w:ascii="Verdana" w:hAnsi="Verdana" w:cs="Arial"/>
          <w:color w:val="000000" w:themeColor="text1"/>
          <w:lang w:val="es-ES"/>
        </w:rPr>
      </w:pPr>
      <w:r w:rsidRPr="5460DB6F">
        <w:rPr>
          <w:rFonts w:ascii="Verdana" w:hAnsi="Verdana" w:cs="Arial"/>
          <w:color w:val="000000" w:themeColor="text1"/>
          <w:lang w:val="es-ES"/>
        </w:rPr>
        <w:t xml:space="preserve">A continuación, se exponen y reiteran los argumentos del concepto de unificación CU-060 del 2020 que esta Subdirección expidió en torno al alcance de la regla de la subsanabilidad, contenida actualmente en el artículo 5 de la Ley 1150 de 2007. Al respecto, la postura que se reitera en el presente concepto es la siguiente: por regla general, i) la falta de entrega o </w:t>
      </w:r>
      <w:proofErr w:type="spellStart"/>
      <w:r w:rsidRPr="5460DB6F">
        <w:rPr>
          <w:rFonts w:ascii="Verdana" w:hAnsi="Verdana" w:cs="Arial"/>
          <w:color w:val="000000" w:themeColor="text1"/>
          <w:lang w:val="es-ES"/>
        </w:rPr>
        <w:t>ii</w:t>
      </w:r>
      <w:proofErr w:type="spellEnd"/>
      <w:r w:rsidRPr="5460DB6F">
        <w:rPr>
          <w:rFonts w:ascii="Verdana" w:hAnsi="Verdana" w:cs="Arial"/>
          <w:color w:val="000000" w:themeColor="text1"/>
          <w:lang w:val="es-ES"/>
        </w:rPr>
        <w:t xml:space="preserve">) los defectos, de los requisitos habilitantes, son subsanables. La tesis propuesta es la que se expone a continuación: </w:t>
      </w:r>
    </w:p>
    <w:p w14:paraId="4B7DDCA6"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La posibilidad de enmendar, corregir o subsanar los errores en los que se incurre en los documentos contentivos de la oferta es un tema que ha tenido diferentes momentos o etapas en el ordenamiento jurídico colombiano. </w:t>
      </w:r>
    </w:p>
    <w:p w14:paraId="3686A146"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63EB8E1F">
        <w:rPr>
          <w:rFonts w:ascii="Verdana" w:hAnsi="Verdana" w:cs="Arial"/>
          <w:color w:val="000000" w:themeColor="text1"/>
          <w:lang w:val="es-ES"/>
        </w:rPr>
        <w:t xml:space="preserve">En un </w:t>
      </w:r>
      <w:r w:rsidRPr="63EB8E1F">
        <w:rPr>
          <w:rFonts w:ascii="Verdana" w:hAnsi="Verdana" w:cs="Arial"/>
          <w:i/>
          <w:color w:val="000000" w:themeColor="text1"/>
          <w:lang w:val="es-ES"/>
        </w:rPr>
        <w:t>primer momento</w:t>
      </w:r>
      <w:r w:rsidRPr="63EB8E1F">
        <w:rPr>
          <w:rFonts w:ascii="Verdana" w:hAnsi="Verdana" w:cs="Arial"/>
          <w:color w:val="000000" w:themeColor="text1"/>
          <w:lang w:val="es-ES"/>
        </w:rPr>
        <w:t xml:space="preserve">, antes de la entrada en vigencia de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65E5D384"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63EB8E1F">
        <w:rPr>
          <w:rFonts w:ascii="Verdana" w:hAnsi="Verdana" w:cs="Arial"/>
          <w:color w:val="000000" w:themeColor="text1"/>
          <w:lang w:val="es-ES"/>
        </w:rPr>
        <w:t xml:space="preserve">En un </w:t>
      </w:r>
      <w:r w:rsidRPr="63EB8E1F">
        <w:rPr>
          <w:rFonts w:ascii="Verdana" w:hAnsi="Verdana" w:cs="Arial"/>
          <w:i/>
          <w:color w:val="000000" w:themeColor="text1"/>
          <w:lang w:val="es-ES"/>
        </w:rPr>
        <w:t>segundo momento</w:t>
      </w:r>
      <w:r w:rsidRPr="63EB8E1F">
        <w:rPr>
          <w:rFonts w:ascii="Verdana" w:hAnsi="Verdana" w:cs="Arial"/>
          <w:color w:val="000000" w:themeColor="text1"/>
          <w:lang w:val="es-ES"/>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w:t>
      </w:r>
    </w:p>
    <w:p w14:paraId="3CF06E08" w14:textId="77777777" w:rsidR="00D84E93" w:rsidRDefault="00D84E93" w:rsidP="00D84E93">
      <w:pPr>
        <w:spacing w:after="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En este nuevo escenario constitucional, el numeral 15 del artículo 25 de la Ley 80 de 1993 dispuso lo siguiente: </w:t>
      </w:r>
    </w:p>
    <w:p w14:paraId="6EBA0524" w14:textId="77777777" w:rsidR="00D84E93" w:rsidRPr="008C0037" w:rsidRDefault="00D84E93" w:rsidP="00D84E93">
      <w:pPr>
        <w:spacing w:after="0" w:line="276" w:lineRule="auto"/>
        <w:ind w:firstLine="709"/>
        <w:jc w:val="both"/>
        <w:rPr>
          <w:rFonts w:ascii="Verdana" w:hAnsi="Verdana" w:cs="Arial"/>
          <w:color w:val="000000" w:themeColor="text1"/>
          <w:lang w:val="es-ES_tradnl"/>
        </w:rPr>
      </w:pPr>
    </w:p>
    <w:p w14:paraId="716426EB" w14:textId="77777777" w:rsidR="00D84E93" w:rsidRPr="00EF5B8A" w:rsidRDefault="00D84E93" w:rsidP="00D84E93">
      <w:pPr>
        <w:widowControl w:val="0"/>
        <w:autoSpaceDE w:val="0"/>
        <w:autoSpaceDN w:val="0"/>
        <w:spacing w:after="0" w:line="240" w:lineRule="auto"/>
        <w:ind w:left="709" w:right="709"/>
        <w:jc w:val="both"/>
        <w:rPr>
          <w:rFonts w:ascii="Verdana" w:hAnsi="Verdana" w:cs="Arial"/>
          <w:color w:val="000000" w:themeColor="text1"/>
          <w:sz w:val="20"/>
          <w:szCs w:val="20"/>
          <w:lang w:val="es-ES_tradnl"/>
        </w:rPr>
      </w:pPr>
      <w:r w:rsidRPr="00EF5B8A">
        <w:rPr>
          <w:rFonts w:ascii="Verdana" w:hAnsi="Verdana" w:cs="Arial"/>
          <w:color w:val="000000" w:themeColor="text1"/>
          <w:sz w:val="20"/>
          <w:szCs w:val="20"/>
          <w:lang w:val="es-ES_tradnl"/>
        </w:rPr>
        <w:t xml:space="preserve">15. Las autoridades no exigirán sellos, autenticaciones, documentos originales o autenticados, reconocimientos de firmas, traducciones </w:t>
      </w:r>
      <w:r w:rsidRPr="00EF5B8A">
        <w:rPr>
          <w:rFonts w:ascii="Verdana" w:hAnsi="Verdana" w:cs="Arial"/>
          <w:color w:val="000000" w:themeColor="text1"/>
          <w:sz w:val="20"/>
          <w:szCs w:val="20"/>
          <w:lang w:val="es-ES_tradnl"/>
        </w:rPr>
        <w:lastRenderedPageBreak/>
        <w:t>oficiales, ni cualquier otra clase de formalidades o exigencias rituales, salvo cuando en forma perentoria y expresa lo exijan leyes especiales.</w:t>
      </w:r>
    </w:p>
    <w:p w14:paraId="2A35F47E" w14:textId="77777777" w:rsidR="00D84E93" w:rsidRPr="00EF5B8A" w:rsidRDefault="00D84E93" w:rsidP="00D84E93">
      <w:pPr>
        <w:widowControl w:val="0"/>
        <w:autoSpaceDE w:val="0"/>
        <w:autoSpaceDN w:val="0"/>
        <w:spacing w:after="0" w:line="240" w:lineRule="auto"/>
        <w:ind w:left="709" w:right="709"/>
        <w:jc w:val="both"/>
        <w:rPr>
          <w:rFonts w:ascii="Verdana" w:hAnsi="Verdana" w:cs="Arial"/>
          <w:color w:val="000000" w:themeColor="text1"/>
          <w:sz w:val="20"/>
          <w:szCs w:val="20"/>
          <w:lang w:val="es-ES_tradnl"/>
        </w:rPr>
      </w:pPr>
      <w:r w:rsidRPr="00EF5B8A">
        <w:rPr>
          <w:rFonts w:ascii="Verdana" w:hAnsi="Verdana" w:cs="Arial"/>
          <w:color w:val="000000" w:themeColor="text1"/>
          <w:sz w:val="20"/>
          <w:szCs w:val="20"/>
          <w:lang w:val="es-ES_tradnl"/>
        </w:rPr>
        <w:t xml:space="preserve"> </w:t>
      </w:r>
    </w:p>
    <w:p w14:paraId="72F147A2" w14:textId="77777777" w:rsidR="00D84E93" w:rsidRDefault="00D84E93" w:rsidP="00D84E93">
      <w:pPr>
        <w:spacing w:after="0"/>
        <w:ind w:left="709" w:right="709"/>
        <w:jc w:val="both"/>
        <w:rPr>
          <w:rFonts w:ascii="Verdana" w:hAnsi="Verdana" w:cs="Arial"/>
          <w:color w:val="000000" w:themeColor="text1"/>
          <w:sz w:val="20"/>
          <w:szCs w:val="20"/>
          <w:lang w:val="es-ES_tradnl"/>
        </w:rPr>
      </w:pPr>
      <w:r w:rsidRPr="00EF5B8A">
        <w:rPr>
          <w:rFonts w:ascii="Verdana" w:hAnsi="Verdana" w:cs="Arial"/>
          <w:color w:val="000000" w:themeColor="text1"/>
          <w:sz w:val="20"/>
          <w:szCs w:val="20"/>
          <w:lang w:val="es-ES_tradnl"/>
        </w:rPr>
        <w:t xml:space="preserve">La ausencia de requisitos o la falta de documentos referentes a la futura contratación o al proponente, no necesarios para la comparación de propuestas, no servirá de título suficiente para el rechazo de los ofrecimientos hechos. </w:t>
      </w:r>
    </w:p>
    <w:p w14:paraId="2D560518" w14:textId="77777777" w:rsidR="00D84E93" w:rsidRPr="008C0037" w:rsidRDefault="00D84E93" w:rsidP="00D84E93">
      <w:pPr>
        <w:spacing w:after="0"/>
        <w:ind w:left="709" w:right="709"/>
        <w:jc w:val="both"/>
        <w:rPr>
          <w:rFonts w:ascii="Verdana" w:hAnsi="Verdana" w:cs="Arial"/>
          <w:b/>
          <w:color w:val="000000" w:themeColor="text1"/>
          <w:lang w:val="es-ES_tradnl"/>
        </w:rPr>
      </w:pPr>
    </w:p>
    <w:p w14:paraId="580E2B48" w14:textId="77777777" w:rsidR="00D84E93" w:rsidRPr="008C0037" w:rsidRDefault="00D84E93" w:rsidP="00D84E93">
      <w:pPr>
        <w:spacing w:line="276" w:lineRule="auto"/>
        <w:ind w:firstLine="709"/>
        <w:jc w:val="both"/>
        <w:rPr>
          <w:rFonts w:ascii="Verdana" w:hAnsi="Verdana" w:cs="Arial"/>
          <w:color w:val="000000" w:themeColor="text1"/>
          <w:lang w:val="es-ES"/>
        </w:rPr>
      </w:pPr>
      <w:r w:rsidRPr="4D0C25C7">
        <w:rPr>
          <w:rFonts w:ascii="Verdana" w:hAnsi="Verdana" w:cs="Arial"/>
          <w:color w:val="000000" w:themeColor="text1"/>
          <w:lang w:val="es-ES"/>
        </w:rPr>
        <w:t>Bajo el amparo de esta norma, el régimen jurídico de subsanabilidad de las ofertas sufre un cambio fundamental, pues ya no era posible rechazar las ofertas por falta de requisitos o documentos que no fueran “</w:t>
      </w:r>
      <w:r w:rsidRPr="4D0C25C7">
        <w:rPr>
          <w:rFonts w:ascii="Verdana" w:hAnsi="Verdana" w:cs="Arial"/>
          <w:i/>
          <w:color w:val="000000" w:themeColor="text1"/>
          <w:lang w:val="es-ES"/>
        </w:rPr>
        <w:t>necesarios para la comparación de propuestas</w:t>
      </w:r>
      <w:r w:rsidRPr="4D0C25C7">
        <w:rPr>
          <w:rFonts w:ascii="Verdana" w:hAnsi="Verdana" w:cs="Arial"/>
          <w:color w:val="000000" w:themeColor="text1"/>
          <w:lang w:val="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329F4086"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Esta norma debía leerse en conjunto con otras de la Ley 80 de 1993, particularmente con el artículo 30.7</w:t>
      </w:r>
      <w:r w:rsidRPr="008C0037">
        <w:rPr>
          <w:rStyle w:val="Refdenotaalpie"/>
          <w:rFonts w:ascii="Verdana" w:hAnsi="Verdana" w:cs="Arial"/>
          <w:color w:val="000000" w:themeColor="text1"/>
          <w:lang w:val="es-ES_tradnl"/>
        </w:rPr>
        <w:footnoteReference w:id="7"/>
      </w:r>
      <w:r w:rsidRPr="008C0037">
        <w:rPr>
          <w:rFonts w:ascii="Verdana" w:hAnsi="Verdana" w:cs="Arial"/>
          <w:color w:val="000000" w:themeColor="text1"/>
          <w:lang w:val="es-ES_tradnl"/>
        </w:rPr>
        <w:t>, que ordena a la entidad señalar un plazo razonable para evaluar las propuestas y pedir a los proponentes, de ser necesario, que aclaren o expliquen aspectos que ofrezcan dudas y resulten indispensables para hacer la evaluación; y con el artículo 30.8</w:t>
      </w:r>
      <w:r w:rsidRPr="008C0037">
        <w:rPr>
          <w:rStyle w:val="Refdenotaalpie"/>
          <w:rFonts w:ascii="Verdana" w:hAnsi="Verdana" w:cs="Arial"/>
          <w:color w:val="000000" w:themeColor="text1"/>
          <w:lang w:val="es-ES_tradnl"/>
        </w:rPr>
        <w:footnoteReference w:id="8"/>
      </w:r>
      <w:r w:rsidRPr="008C0037">
        <w:rPr>
          <w:rFonts w:ascii="Verdana" w:hAnsi="Verdana" w:cs="Arial"/>
          <w:color w:val="000000" w:themeColor="text1"/>
          <w:lang w:val="es-ES_tradnl"/>
        </w:rPr>
        <w:t xml:space="preserve">, que consagró el término de 5 días hábiles para que los oferentes presenten observaciones al informe de evaluación de las propuestas, sin que sea posible completar, adicionar, modificar o mejorar la oferta.  </w:t>
      </w:r>
    </w:p>
    <w:p w14:paraId="227B2694"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4D0C25C7">
        <w:rPr>
          <w:rFonts w:ascii="Verdana" w:hAnsi="Verdana" w:cs="Arial"/>
          <w:color w:val="000000" w:themeColor="text1"/>
          <w:lang w:val="es-ES"/>
        </w:rPr>
        <w:t xml:space="preserve">A partir de la lectura integrada de estas tres normas debía concluirse que con la Ley 80 de 1993 era posible subsanar las propuestas, y la omisión o el error en algún aspecto de </w:t>
      </w:r>
      <w:proofErr w:type="gramStart"/>
      <w:r w:rsidRPr="4D0C25C7">
        <w:rPr>
          <w:rFonts w:ascii="Verdana" w:hAnsi="Verdana" w:cs="Arial"/>
          <w:color w:val="000000" w:themeColor="text1"/>
          <w:lang w:val="es-ES"/>
        </w:rPr>
        <w:t>la misma</w:t>
      </w:r>
      <w:proofErr w:type="gramEnd"/>
      <w:r w:rsidRPr="4D0C25C7">
        <w:rPr>
          <w:rFonts w:ascii="Verdana" w:hAnsi="Verdana" w:cs="Arial"/>
          <w:color w:val="000000" w:themeColor="text1"/>
          <w:lang w:val="es-ES"/>
        </w:rPr>
        <w:t xml:space="preserve"> no podía llevar a su rechazo, sin antes verificar que lo omitido fuera un aspecto necesario para la comparación. </w:t>
      </w:r>
    </w:p>
    <w:p w14:paraId="6983C3B2" w14:textId="77777777" w:rsidR="00D84E93" w:rsidRDefault="00D84E93" w:rsidP="00D84E93">
      <w:pPr>
        <w:spacing w:after="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En un </w:t>
      </w:r>
      <w:r w:rsidRPr="008C0037">
        <w:rPr>
          <w:rFonts w:ascii="Verdana" w:hAnsi="Verdana" w:cs="Arial"/>
          <w:i/>
          <w:color w:val="000000" w:themeColor="text1"/>
          <w:lang w:val="es-ES_tradnl"/>
        </w:rPr>
        <w:t>tercer momento</w:t>
      </w:r>
      <w:r w:rsidRPr="008C0037">
        <w:rPr>
          <w:rFonts w:ascii="Verdana" w:hAnsi="Verdana" w:cs="Arial"/>
          <w:color w:val="000000" w:themeColor="text1"/>
          <w:lang w:val="es-ES_tradnl"/>
        </w:rPr>
        <w:t>, y siguiendo la línea trazada por la Ley 80 de 1993, el legislador expidió la Ley 1150 de 2007, que, en el parágrafo 1º del artículo 5, determinó lo siguiente:</w:t>
      </w:r>
    </w:p>
    <w:p w14:paraId="7EF76BE3" w14:textId="77777777" w:rsidR="00D84E93" w:rsidRPr="008C0037" w:rsidRDefault="00D84E93" w:rsidP="00D84E93">
      <w:pPr>
        <w:spacing w:after="0" w:line="276" w:lineRule="auto"/>
        <w:ind w:firstLine="709"/>
        <w:jc w:val="both"/>
        <w:rPr>
          <w:rFonts w:ascii="Verdana" w:hAnsi="Verdana" w:cs="Arial"/>
          <w:color w:val="000000" w:themeColor="text1"/>
          <w:lang w:val="es-ES_tradnl"/>
        </w:rPr>
      </w:pPr>
    </w:p>
    <w:p w14:paraId="74F2D6B4" w14:textId="77777777" w:rsidR="00D84E93" w:rsidRDefault="00D84E93" w:rsidP="00D84E93">
      <w:pPr>
        <w:spacing w:after="0"/>
        <w:ind w:left="709" w:right="709"/>
        <w:jc w:val="both"/>
        <w:rPr>
          <w:rFonts w:ascii="Verdana" w:hAnsi="Verdana" w:cs="Arial"/>
          <w:color w:val="000000" w:themeColor="text1"/>
          <w:sz w:val="20"/>
          <w:szCs w:val="20"/>
          <w:lang w:val="es-ES"/>
        </w:rPr>
      </w:pPr>
      <w:r w:rsidRPr="4D0C25C7">
        <w:rPr>
          <w:rFonts w:ascii="Verdana" w:hAnsi="Verdana" w:cs="Arial"/>
          <w:color w:val="000000" w:themeColor="text1"/>
          <w:sz w:val="20"/>
          <w:szCs w:val="20"/>
          <w:lang w:val="es-ES"/>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4D0C25C7">
        <w:rPr>
          <w:rFonts w:ascii="Verdana" w:hAnsi="Verdana" w:cs="Arial"/>
          <w:b/>
          <w:color w:val="000000" w:themeColor="text1"/>
          <w:sz w:val="20"/>
          <w:szCs w:val="20"/>
          <w:lang w:val="es-ES"/>
        </w:rPr>
        <w:t xml:space="preserve">, </w:t>
      </w:r>
      <w:r w:rsidRPr="4D0C25C7">
        <w:rPr>
          <w:rFonts w:ascii="Verdana" w:hAnsi="Verdana" w:cs="Arial"/>
          <w:color w:val="000000" w:themeColor="text1"/>
          <w:sz w:val="20"/>
          <w:szCs w:val="20"/>
          <w:lang w:val="es-ES"/>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23239F51" w14:textId="77777777" w:rsidR="00D84E93" w:rsidRPr="008C0037" w:rsidRDefault="00D84E93" w:rsidP="00D84E93">
      <w:pPr>
        <w:spacing w:after="0"/>
        <w:ind w:left="709" w:right="709"/>
        <w:jc w:val="both"/>
        <w:rPr>
          <w:rFonts w:ascii="Verdana" w:hAnsi="Verdana" w:cs="Arial"/>
          <w:b/>
          <w:color w:val="000000" w:themeColor="text1"/>
          <w:lang w:val="es-ES_tradnl"/>
        </w:rPr>
      </w:pPr>
    </w:p>
    <w:p w14:paraId="28A3BDDE" w14:textId="77777777" w:rsidR="00D84E93" w:rsidRPr="008C0037" w:rsidRDefault="00D84E93" w:rsidP="00D84E93">
      <w:pPr>
        <w:spacing w:line="276" w:lineRule="auto"/>
        <w:ind w:firstLine="709"/>
        <w:jc w:val="both"/>
        <w:rPr>
          <w:rFonts w:ascii="Verdana" w:hAnsi="Verdana" w:cs="Arial"/>
          <w:color w:val="000000" w:themeColor="text1"/>
          <w:lang w:val="es-ES"/>
        </w:rPr>
      </w:pPr>
      <w:r w:rsidRPr="5460DB6F">
        <w:rPr>
          <w:rFonts w:ascii="Verdana" w:hAnsi="Verdana" w:cs="Arial"/>
          <w:color w:val="000000" w:themeColor="text1"/>
          <w:lang w:val="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2CB7C684"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w:t>
      </w:r>
    </w:p>
    <w:p w14:paraId="214779C4"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Si al verificar la Administración encuentra que lo omitido por el proponente es un aspecto que otorga puntaje, no es posible subsanarlo; pero, si no otorga puntaje la Administración debe requerir al proponente para que lo subsane.  </w:t>
      </w:r>
    </w:p>
    <w:p w14:paraId="4E171670" w14:textId="77777777" w:rsidR="00D84E93" w:rsidRPr="008C0037" w:rsidRDefault="00D84E93" w:rsidP="00D84E93">
      <w:pPr>
        <w:spacing w:after="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El artículo 5 de la Ley 1150 de 2007, además de consagrar un criterio más claro, y, de paso, reducir la discrecionalidad de la Administración, fijó un ámbito temporal para la subsanación de las ofertas: “</w:t>
      </w:r>
      <w:r w:rsidRPr="008C0037">
        <w:rPr>
          <w:rFonts w:ascii="Verdana" w:hAnsi="Verdana" w:cs="Arial"/>
          <w:i/>
          <w:color w:val="000000" w:themeColor="text1"/>
          <w:lang w:val="es-ES_tradnl"/>
        </w:rPr>
        <w:t>en cualquier momento, hasta la adjudicación</w:t>
      </w:r>
      <w:r w:rsidRPr="008C0037">
        <w:rPr>
          <w:rFonts w:ascii="Verdana" w:hAnsi="Verdana" w:cs="Arial"/>
          <w:color w:val="000000" w:themeColor="text1"/>
          <w:lang w:val="es-ES_tradnl"/>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66C4B667" w14:textId="77777777" w:rsidR="00D84E93" w:rsidRPr="008C0037" w:rsidRDefault="00D84E93" w:rsidP="00D84E93">
      <w:pPr>
        <w:spacing w:after="0" w:line="276" w:lineRule="auto"/>
        <w:jc w:val="both"/>
        <w:rPr>
          <w:rFonts w:ascii="Verdana" w:hAnsi="Verdana" w:cs="Arial"/>
          <w:color w:val="000000" w:themeColor="text1"/>
          <w:lang w:val="es-ES_tradnl"/>
        </w:rPr>
      </w:pPr>
    </w:p>
    <w:p w14:paraId="239686F4" w14:textId="77777777" w:rsidR="00D84E93" w:rsidRDefault="00D84E93" w:rsidP="00D84E93">
      <w:pPr>
        <w:spacing w:after="0"/>
        <w:ind w:left="709" w:right="709"/>
        <w:jc w:val="both"/>
        <w:rPr>
          <w:rFonts w:ascii="Verdana" w:hAnsi="Verdana" w:cs="Arial"/>
          <w:color w:val="000000" w:themeColor="text1"/>
          <w:sz w:val="20"/>
          <w:szCs w:val="20"/>
          <w:lang w:val="es-ES"/>
        </w:rPr>
      </w:pPr>
      <w:r w:rsidRPr="5460DB6F">
        <w:rPr>
          <w:rFonts w:ascii="Verdana" w:hAnsi="Verdana" w:cs="Arial"/>
          <w:color w:val="000000" w:themeColor="text1"/>
          <w:sz w:val="20"/>
          <w:szCs w:val="20"/>
          <w:lang w:val="es-ES"/>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w:t>
      </w:r>
      <w:r w:rsidRPr="5460DB6F">
        <w:rPr>
          <w:rFonts w:ascii="Verdana" w:hAnsi="Verdana" w:cs="Arial"/>
          <w:color w:val="000000" w:themeColor="text1"/>
          <w:sz w:val="20"/>
          <w:szCs w:val="20"/>
          <w:lang w:val="es-ES"/>
        </w:rPr>
        <w:lastRenderedPageBreak/>
        <w:t>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5460DB6F">
        <w:rPr>
          <w:rStyle w:val="Refdenotaalpie"/>
          <w:rFonts w:ascii="Verdana" w:hAnsi="Verdana" w:cs="Arial"/>
          <w:color w:val="000000" w:themeColor="text1"/>
          <w:sz w:val="20"/>
          <w:szCs w:val="20"/>
          <w:lang w:val="es-ES"/>
        </w:rPr>
        <w:footnoteReference w:id="9"/>
      </w:r>
      <w:r w:rsidRPr="5460DB6F">
        <w:rPr>
          <w:rFonts w:ascii="Verdana" w:hAnsi="Verdana" w:cs="Arial"/>
          <w:color w:val="000000" w:themeColor="text1"/>
          <w:sz w:val="20"/>
          <w:szCs w:val="20"/>
          <w:lang w:val="es-ES"/>
        </w:rPr>
        <w:t>.</w:t>
      </w:r>
    </w:p>
    <w:p w14:paraId="60C409F1" w14:textId="77777777" w:rsidR="00D84E93" w:rsidRPr="00EF5B8A" w:rsidRDefault="00D84E93" w:rsidP="00D84E93">
      <w:pPr>
        <w:spacing w:after="0"/>
        <w:ind w:left="709" w:right="709"/>
        <w:jc w:val="both"/>
        <w:rPr>
          <w:rFonts w:ascii="Verdana" w:hAnsi="Verdana" w:cs="Arial"/>
          <w:color w:val="000000" w:themeColor="text1"/>
          <w:sz w:val="20"/>
          <w:szCs w:val="20"/>
          <w:lang w:val="es-ES_tradnl"/>
        </w:rPr>
      </w:pPr>
    </w:p>
    <w:p w14:paraId="5BBE5171" w14:textId="77777777" w:rsidR="00D84E93" w:rsidRPr="008C0037" w:rsidRDefault="00D84E93" w:rsidP="00D84E93">
      <w:pPr>
        <w:pStyle w:val="Textoindependiente"/>
        <w:tabs>
          <w:tab w:val="left" w:pos="284"/>
        </w:tabs>
        <w:spacing w:after="120"/>
        <w:ind w:firstLine="709"/>
        <w:jc w:val="both"/>
        <w:rPr>
          <w:rFonts w:ascii="Verdana" w:hAnsi="Verdana"/>
          <w:color w:val="000000" w:themeColor="text1"/>
        </w:rPr>
      </w:pPr>
      <w:r w:rsidRPr="00AA30B0">
        <w:rPr>
          <w:rFonts w:ascii="Verdana" w:eastAsiaTheme="minorHAnsi" w:hAnsi="Verdana"/>
          <w:color w:val="000000" w:themeColor="text1"/>
          <w:sz w:val="22"/>
          <w:szCs w:val="22"/>
          <w:lang w:val="es-ES_tradnl"/>
        </w:rPr>
        <w:t>Esa interpretación fue compartida por la Agencia Nacional de Contratación Pública – Colombia Compra Eficiente, pues en la Circular Externa Única se precisó que, si durante un proceso de contratación hay proponentes que no acreditaron en sus ofertas requisitos que no afectan la asignación de puntaje o la comparación de estas, la entidad estatal deberá indicarlo en el informe de evaluación y advertir que la correspondiente oferta no será evaluada hasta que se subsane</w:t>
      </w:r>
      <w:r w:rsidRPr="5460DB6F">
        <w:rPr>
          <w:rStyle w:val="Refdenotaalpie"/>
          <w:rFonts w:ascii="Verdana" w:hAnsi="Verdana"/>
          <w:color w:val="000000" w:themeColor="text1"/>
        </w:rPr>
        <w:footnoteReference w:id="10"/>
      </w:r>
      <w:r w:rsidRPr="5460DB6F">
        <w:rPr>
          <w:rFonts w:ascii="Verdana" w:hAnsi="Verdana"/>
          <w:color w:val="000000" w:themeColor="text1"/>
        </w:rPr>
        <w:t>.</w:t>
      </w:r>
    </w:p>
    <w:p w14:paraId="2F4755A9" w14:textId="77777777" w:rsidR="00D84E93" w:rsidRPr="00AA30B0" w:rsidRDefault="00D84E93" w:rsidP="00D84E93">
      <w:pPr>
        <w:pStyle w:val="Textoindependiente"/>
        <w:tabs>
          <w:tab w:val="left" w:pos="284"/>
        </w:tabs>
        <w:ind w:firstLine="709"/>
        <w:jc w:val="both"/>
        <w:rPr>
          <w:rFonts w:ascii="Verdana" w:eastAsiaTheme="minorHAnsi" w:hAnsi="Verdana"/>
          <w:color w:val="000000" w:themeColor="text1"/>
          <w:sz w:val="22"/>
          <w:szCs w:val="22"/>
          <w:lang w:val="es-ES_tradnl"/>
        </w:rPr>
      </w:pPr>
      <w:r w:rsidRPr="00AA30B0">
        <w:rPr>
          <w:rFonts w:ascii="Verdana" w:eastAsiaTheme="minorHAnsi" w:hAnsi="Verdana"/>
          <w:color w:val="000000" w:themeColor="text1"/>
          <w:sz w:val="22"/>
          <w:szCs w:val="22"/>
          <w:lang w:val="es-ES_tradnl"/>
        </w:rPr>
        <w:t xml:space="preserve">En un </w:t>
      </w:r>
      <w:r w:rsidRPr="00AA30B0">
        <w:rPr>
          <w:rFonts w:ascii="Verdana" w:eastAsiaTheme="minorHAnsi" w:hAnsi="Verdana"/>
          <w:i/>
          <w:iCs/>
          <w:color w:val="000000" w:themeColor="text1"/>
          <w:sz w:val="22"/>
          <w:szCs w:val="22"/>
          <w:lang w:val="es-ES_tradnl"/>
        </w:rPr>
        <w:t>cuarto momento</w:t>
      </w:r>
      <w:r w:rsidRPr="00AA30B0">
        <w:rPr>
          <w:rFonts w:ascii="Verdana" w:eastAsiaTheme="minorHAnsi" w:hAnsi="Verdana"/>
          <w:color w:val="000000" w:themeColor="text1"/>
          <w:sz w:val="22"/>
          <w:szCs w:val="22"/>
          <w:lang w:val="es-ES_tradnl"/>
        </w:rPr>
        <w:t xml:space="preserve">, el legislador expidió la Ley 1882 de 2018, con la finalidad de introducir cambios y ajustes para fortalecer la contratación pública. El artículo 5 modificó el parágrafo 1° del artículo 5 de la Ley 1150 de 2007: </w:t>
      </w:r>
    </w:p>
    <w:p w14:paraId="5EAE06AA" w14:textId="77777777" w:rsidR="00D84E93" w:rsidRPr="008C0037" w:rsidRDefault="00D84E93" w:rsidP="00D84E93">
      <w:pPr>
        <w:pStyle w:val="Textoindependiente"/>
        <w:tabs>
          <w:tab w:val="left" w:pos="284"/>
        </w:tabs>
        <w:ind w:firstLine="709"/>
        <w:jc w:val="both"/>
        <w:rPr>
          <w:rFonts w:ascii="Verdana" w:hAnsi="Verdana"/>
          <w:color w:val="000000" w:themeColor="text1"/>
          <w:lang w:val="es-ES_tradnl"/>
        </w:rPr>
      </w:pPr>
    </w:p>
    <w:p w14:paraId="55429288" w14:textId="77777777" w:rsidR="00D84E93" w:rsidRPr="00EF5B8A" w:rsidRDefault="00D84E93" w:rsidP="00D84E93">
      <w:pPr>
        <w:ind w:left="709" w:right="709"/>
        <w:jc w:val="both"/>
        <w:rPr>
          <w:rFonts w:ascii="Verdana" w:hAnsi="Verdana" w:cs="Arial"/>
          <w:color w:val="000000" w:themeColor="text1"/>
          <w:sz w:val="20"/>
          <w:szCs w:val="20"/>
          <w:lang w:val="es-ES_tradnl"/>
        </w:rPr>
      </w:pPr>
      <w:r w:rsidRPr="00EF5B8A">
        <w:rPr>
          <w:rFonts w:ascii="Verdana" w:hAnsi="Verdana" w:cs="Arial"/>
          <w:color w:val="000000" w:themeColor="text1"/>
          <w:sz w:val="20"/>
          <w:szCs w:val="20"/>
          <w:lang w:val="es-ES_tradnl"/>
        </w:rPr>
        <w:t xml:space="preserve">Artículo 5°. De la selección objetiva. </w:t>
      </w:r>
    </w:p>
    <w:p w14:paraId="75FC3F06" w14:textId="77777777" w:rsidR="00D84E93" w:rsidRPr="00EF5B8A" w:rsidRDefault="00D84E93" w:rsidP="00D84E93">
      <w:pPr>
        <w:ind w:left="709" w:right="709"/>
        <w:jc w:val="both"/>
        <w:rPr>
          <w:rFonts w:ascii="Verdana" w:hAnsi="Verdana" w:cs="Arial"/>
          <w:color w:val="000000" w:themeColor="text1"/>
          <w:sz w:val="20"/>
          <w:szCs w:val="20"/>
          <w:lang w:val="es-ES_tradnl"/>
        </w:rPr>
      </w:pPr>
      <w:r w:rsidRPr="00EF5B8A">
        <w:rPr>
          <w:rFonts w:ascii="Verdana" w:hAnsi="Verdana" w:cs="Arial"/>
          <w:color w:val="000000" w:themeColor="text1"/>
          <w:sz w:val="20"/>
          <w:szCs w:val="20"/>
          <w:lang w:val="es-ES_tradnl"/>
        </w:rPr>
        <w:t>[...]</w:t>
      </w:r>
    </w:p>
    <w:p w14:paraId="690ABE4A" w14:textId="77777777" w:rsidR="00D84E93" w:rsidRDefault="00D84E93" w:rsidP="00D84E93">
      <w:pPr>
        <w:spacing w:after="0"/>
        <w:ind w:left="709" w:right="709"/>
        <w:jc w:val="both"/>
        <w:rPr>
          <w:rFonts w:ascii="Verdana" w:hAnsi="Verdana" w:cs="Arial"/>
          <w:color w:val="000000" w:themeColor="text1"/>
          <w:sz w:val="20"/>
          <w:szCs w:val="20"/>
          <w:lang w:val="es-ES"/>
        </w:rPr>
      </w:pPr>
      <w:r w:rsidRPr="5460DB6F">
        <w:rPr>
          <w:rFonts w:ascii="Verdana" w:hAnsi="Verdana" w:cs="Arial"/>
          <w:color w:val="000000" w:themeColor="text1"/>
          <w:sz w:val="20"/>
          <w:szCs w:val="20"/>
          <w:lang w:val="es-ES"/>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5C33197D" w14:textId="77777777" w:rsidR="00D84E93" w:rsidRDefault="00D84E93" w:rsidP="00D84E93">
      <w:pPr>
        <w:spacing w:after="0" w:line="276" w:lineRule="auto"/>
        <w:ind w:firstLine="709"/>
        <w:jc w:val="both"/>
        <w:rPr>
          <w:rFonts w:ascii="Verdana" w:hAnsi="Verdana" w:cs="Arial"/>
          <w:color w:val="000000" w:themeColor="text1"/>
          <w:lang w:val="es-ES_tradnl"/>
        </w:rPr>
      </w:pPr>
    </w:p>
    <w:p w14:paraId="2F65ACDF" w14:textId="77777777" w:rsidR="00D84E93" w:rsidRPr="008C0037" w:rsidRDefault="00D84E93" w:rsidP="00D84E93">
      <w:pPr>
        <w:spacing w:line="276" w:lineRule="auto"/>
        <w:ind w:firstLine="709"/>
        <w:jc w:val="both"/>
        <w:rPr>
          <w:rFonts w:ascii="Verdana" w:hAnsi="Verdana" w:cs="Arial"/>
          <w:color w:val="000000" w:themeColor="text1"/>
          <w:lang w:val="es-ES"/>
        </w:rPr>
      </w:pPr>
      <w:r w:rsidRPr="5460DB6F">
        <w:rPr>
          <w:rFonts w:ascii="Verdana" w:hAnsi="Verdana" w:cs="Arial"/>
          <w:color w:val="000000" w:themeColor="text1"/>
          <w:lang w:val="es-ES"/>
        </w:rPr>
        <w:lastRenderedPageBreak/>
        <w:t xml:space="preserve">Esta norma: i) mantiene el criterio de la Ley 80 de 1993, relativo a que todo lo que no sea necesario para la comparación de propuestas no es título suficiente para su rechazo; </w:t>
      </w:r>
      <w:proofErr w:type="spellStart"/>
      <w:r w:rsidRPr="5460DB6F">
        <w:rPr>
          <w:rFonts w:ascii="Verdana" w:hAnsi="Verdana" w:cs="Arial"/>
          <w:color w:val="000000" w:themeColor="text1"/>
          <w:lang w:val="es-ES"/>
        </w:rPr>
        <w:t>ii</w:t>
      </w:r>
      <w:proofErr w:type="spellEnd"/>
      <w:r w:rsidRPr="5460DB6F">
        <w:rPr>
          <w:rFonts w:ascii="Verdana" w:hAnsi="Verdana" w:cs="Arial"/>
          <w:color w:val="000000" w:themeColor="text1"/>
          <w:lang w:val="es-ES"/>
        </w:rPr>
        <w:t xml:space="preserve">) mantiene el criterio aclaratorio de la Ley 1150 de 2007, según el cual todo lo que no afecte la asignación de puntaje puede subsanarse e </w:t>
      </w:r>
      <w:proofErr w:type="spellStart"/>
      <w:r w:rsidRPr="5460DB6F">
        <w:rPr>
          <w:rFonts w:ascii="Verdana" w:hAnsi="Verdana" w:cs="Arial"/>
          <w:color w:val="000000" w:themeColor="text1"/>
          <w:lang w:val="es-ES"/>
        </w:rPr>
        <w:t>iii</w:t>
      </w:r>
      <w:proofErr w:type="spellEnd"/>
      <w:r w:rsidRPr="5460DB6F">
        <w:rPr>
          <w:rFonts w:ascii="Verdana" w:hAnsi="Verdana" w:cs="Arial"/>
          <w:color w:val="000000" w:themeColor="text1"/>
          <w:lang w:val="es-ES"/>
        </w:rPr>
        <w:t xml:space="preserve">) introduce modificaciones en relación con cuatro aspectos que se analizarán a continuación: </w:t>
      </w:r>
    </w:p>
    <w:p w14:paraId="6AA5C665"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El primero es el </w:t>
      </w:r>
      <w:r w:rsidRPr="000D6A04">
        <w:rPr>
          <w:rFonts w:ascii="Verdana" w:hAnsi="Verdana" w:cs="Arial"/>
          <w:i/>
          <w:iCs/>
          <w:color w:val="000000" w:themeColor="text1"/>
          <w:lang w:val="es-ES_tradnl"/>
        </w:rPr>
        <w:t>ámbito temporal</w:t>
      </w:r>
      <w:r w:rsidRPr="008C0037">
        <w:rPr>
          <w:rFonts w:ascii="Verdana" w:hAnsi="Verdana" w:cs="Arial"/>
          <w:color w:val="000000" w:themeColor="text1"/>
          <w:lang w:val="es-ES_tradnl"/>
        </w:rPr>
        <w:t xml:space="preserve">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w:t>
      </w:r>
      <w:r w:rsidRPr="008C0037">
        <w:rPr>
          <w:rFonts w:ascii="Verdana" w:eastAsia="Calibri" w:hAnsi="Verdana" w:cs="Arial"/>
          <w:color w:val="000000" w:themeColor="text1"/>
          <w:lang w:val="es-ES_tradnl"/>
        </w:rPr>
        <w:t>de selección a través del sistema de subasta</w:t>
      </w:r>
      <w:r w:rsidRPr="008C0037">
        <w:rPr>
          <w:rStyle w:val="Refdenotaalpie"/>
          <w:rFonts w:ascii="Verdana" w:eastAsia="Calibri" w:hAnsi="Verdana" w:cs="Arial"/>
          <w:color w:val="000000" w:themeColor="text1"/>
          <w:lang w:val="es-ES_tradnl"/>
        </w:rPr>
        <w:footnoteReference w:id="11"/>
      </w:r>
      <w:r w:rsidRPr="008C0037">
        <w:rPr>
          <w:rFonts w:ascii="Verdana" w:eastAsia="Calibri" w:hAnsi="Verdana" w:cs="Arial"/>
          <w:color w:val="000000" w:themeColor="text1"/>
          <w:lang w:val="es-ES_tradnl"/>
        </w:rPr>
        <w:t xml:space="preserve">; en el último los documentos o requisitos subsanables pueden y deben solicitarse hasta el momento previo a su realización.  </w:t>
      </w:r>
    </w:p>
    <w:p w14:paraId="74B8F34B"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eastAsia="Calibri" w:hAnsi="Verdana" w:cs="Arial"/>
          <w:color w:val="000000" w:themeColor="text1"/>
          <w:lang w:val="es-ES_tradnl"/>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765A85F2"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eastAsia="Calibri" w:hAnsi="Verdana" w:cs="Arial"/>
          <w:color w:val="000000" w:themeColor="text1"/>
          <w:lang w:val="es-ES_tradnl"/>
        </w:rPr>
        <w:t>En efecto, la redacción de la norma permite que la Administración solicite a los oferentes subsanar y que estos lo hagan hasta antes del término del traslado del informe de evaluación: “</w:t>
      </w:r>
      <w:r w:rsidRPr="008C0037">
        <w:rPr>
          <w:rFonts w:ascii="Verdana" w:hAnsi="Verdana" w:cs="Arial"/>
          <w:i/>
          <w:color w:val="000000" w:themeColor="text1"/>
          <w:lang w:val="es-ES_tradnl"/>
        </w:rPr>
        <w:t>deberán ser solicitados por las entidades estatales y deberán ser entregados por los proponentes hasta el término de traslado del informe de evaluación que corresponda a cada modalidad de selección</w:t>
      </w:r>
      <w:r w:rsidRPr="008C0037">
        <w:rPr>
          <w:rFonts w:ascii="Verdana" w:hAnsi="Verdana" w:cs="Arial"/>
          <w:color w:val="000000" w:themeColor="text1"/>
          <w:lang w:val="es-ES_tradnl"/>
        </w:rPr>
        <w:t xml:space="preserve">”. </w:t>
      </w:r>
    </w:p>
    <w:p w14:paraId="09D17EF1"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5460DB6F">
        <w:rPr>
          <w:rFonts w:ascii="Verdana" w:hAnsi="Verdana" w:cs="Arial"/>
          <w:color w:val="000000" w:themeColor="text1"/>
          <w:lang w:val="es-ES"/>
        </w:rPr>
        <w:t xml:space="preserve">No obstante, de la lectura de este aparte podrían, en la práctica, darse dos interpretaciones que dan lugar a dos formas de proceder en los procesos de selección, en lo que se refiere a la subsanabilidad de las ofertas. </w:t>
      </w:r>
      <w:r w:rsidRPr="5460DB6F">
        <w:rPr>
          <w:rFonts w:ascii="Verdana" w:hAnsi="Verdana" w:cs="Arial"/>
          <w:i/>
          <w:color w:val="000000" w:themeColor="text1"/>
          <w:lang w:val="es-ES"/>
        </w:rPr>
        <w:t>Primera</w:t>
      </w:r>
      <w:r w:rsidRPr="5460DB6F">
        <w:rPr>
          <w:rFonts w:ascii="Verdana" w:hAnsi="Verdana" w:cs="Arial"/>
          <w:color w:val="000000" w:themeColor="text1"/>
          <w:lang w:val="es-ES"/>
        </w:rPr>
        <w:t xml:space="preserve">, que la posibilidad de los oferentes para subsanar es el término del traslado del informe de evaluación, ya que en este documento es donde la Administración establece los requisitos o documentos omitidos que los oferentes deben subsanar, so pena </w:t>
      </w:r>
      <w:r w:rsidRPr="5460DB6F">
        <w:rPr>
          <w:rFonts w:ascii="Verdana" w:hAnsi="Verdana" w:cs="Arial"/>
          <w:color w:val="000000" w:themeColor="text1"/>
          <w:lang w:val="es-ES"/>
        </w:rPr>
        <w:lastRenderedPageBreak/>
        <w:t xml:space="preserve">de rechazo; </w:t>
      </w:r>
      <w:r w:rsidRPr="5460DB6F">
        <w:rPr>
          <w:rFonts w:ascii="Verdana" w:hAnsi="Verdana" w:cs="Arial"/>
          <w:i/>
          <w:color w:val="000000" w:themeColor="text1"/>
          <w:lang w:val="es-ES"/>
        </w:rPr>
        <w:t>segunda</w:t>
      </w:r>
      <w:r w:rsidRPr="5460DB6F">
        <w:rPr>
          <w:rFonts w:ascii="Verdana" w:hAnsi="Verdana" w:cs="Arial"/>
          <w:color w:val="000000" w:themeColor="text1"/>
          <w:lang w:val="es-ES"/>
        </w:rPr>
        <w:t xml:space="preserve">, que el término del traslado del informe de evaluación es el límite para la subsanación de ofertas, pero no el único momento para hacerlo. </w:t>
      </w:r>
    </w:p>
    <w:p w14:paraId="44FF97ED"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w:t>
      </w:r>
    </w:p>
    <w:p w14:paraId="1C7437AA"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6FD442D5">
        <w:rPr>
          <w:rFonts w:ascii="Verdana" w:hAnsi="Verdana" w:cs="Arial"/>
          <w:color w:val="000000" w:themeColor="text1"/>
          <w:lang w:val="es-ES"/>
        </w:rPr>
        <w:t>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3188430F"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5381692B" w14:textId="77777777" w:rsidR="00D84E93" w:rsidRPr="008C0037" w:rsidRDefault="00D84E93" w:rsidP="00D84E93">
      <w:pPr>
        <w:spacing w:before="120" w:after="120" w:line="276" w:lineRule="auto"/>
        <w:ind w:firstLine="709"/>
        <w:jc w:val="both"/>
        <w:rPr>
          <w:rFonts w:ascii="Verdana" w:hAnsi="Verdana" w:cs="Arial"/>
          <w:color w:val="000000" w:themeColor="text1"/>
          <w:lang w:val="es-ES"/>
        </w:rPr>
      </w:pPr>
      <w:r w:rsidRPr="6FD442D5">
        <w:rPr>
          <w:rFonts w:ascii="Verdana" w:hAnsi="Verdana" w:cs="Arial"/>
          <w:color w:val="000000" w:themeColor="text1"/>
          <w:lang w:val="es-ES"/>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26AC84D8" w14:textId="77777777" w:rsidR="00D84E93" w:rsidRPr="008C0037" w:rsidRDefault="00D84E93" w:rsidP="00D84E93">
      <w:pPr>
        <w:spacing w:before="120" w:after="120" w:line="276" w:lineRule="auto"/>
        <w:ind w:firstLine="709"/>
        <w:jc w:val="both"/>
        <w:rPr>
          <w:rFonts w:ascii="Verdana" w:hAnsi="Verdana" w:cs="Arial"/>
          <w:color w:val="000000" w:themeColor="text1"/>
          <w:lang w:val="es-ES_tradnl"/>
        </w:rPr>
      </w:pPr>
      <w:r w:rsidRPr="008C0037">
        <w:rPr>
          <w:rFonts w:ascii="Verdana" w:eastAsia="Calibri" w:hAnsi="Verdana" w:cs="Arial"/>
          <w:color w:val="000000" w:themeColor="text1"/>
          <w:lang w:val="es-ES_tradnl"/>
        </w:rPr>
        <w:t xml:space="preserve">De otro lado, el segundo cambio importante de la Ley 1882 de 2018 fue la introducción de un </w:t>
      </w:r>
      <w:r w:rsidRPr="00603D2C">
        <w:rPr>
          <w:rFonts w:ascii="Verdana" w:eastAsia="Calibri" w:hAnsi="Verdana" w:cs="Arial"/>
          <w:i/>
          <w:iCs/>
          <w:color w:val="000000" w:themeColor="text1"/>
          <w:lang w:val="es-ES_tradnl"/>
        </w:rPr>
        <w:t>criterio material</w:t>
      </w:r>
      <w:r w:rsidRPr="008C0037">
        <w:rPr>
          <w:rFonts w:ascii="Verdana" w:eastAsia="Calibri" w:hAnsi="Verdana" w:cs="Arial"/>
          <w:color w:val="000000" w:themeColor="text1"/>
          <w:lang w:val="es-ES_tradnl"/>
        </w:rPr>
        <w:t xml:space="preserve">, directamente relacionado con los aspectos </w:t>
      </w:r>
      <w:r w:rsidRPr="008C0037">
        <w:rPr>
          <w:rFonts w:ascii="Verdana" w:eastAsia="Calibri" w:hAnsi="Verdana" w:cs="Arial"/>
          <w:color w:val="000000" w:themeColor="text1"/>
          <w:lang w:val="es-ES_tradnl"/>
        </w:rPr>
        <w:lastRenderedPageBreak/>
        <w:t xml:space="preserve">subsanables: </w:t>
      </w:r>
      <w:r w:rsidRPr="0060426A">
        <w:rPr>
          <w:rFonts w:ascii="Verdana" w:eastAsia="Calibri" w:hAnsi="Verdana" w:cs="Arial"/>
          <w:color w:val="000000" w:themeColor="text1"/>
          <w:lang w:val="es-ES_tradnl"/>
        </w:rPr>
        <w:t>“</w:t>
      </w:r>
      <w:r w:rsidRPr="008C0037">
        <w:rPr>
          <w:rFonts w:ascii="Verdana" w:hAnsi="Verdana" w:cs="Arial"/>
          <w:i/>
          <w:iCs/>
          <w:color w:val="000000" w:themeColor="text1"/>
          <w:lang w:val="es-ES_tradnl"/>
        </w:rPr>
        <w:t>los proponentes no podrán acreditar circunstancias ocurridas con posterioridad al cierre del proceso</w:t>
      </w:r>
      <w:r w:rsidRPr="0060426A">
        <w:rPr>
          <w:rFonts w:ascii="Verdana" w:hAnsi="Verdana" w:cs="Arial"/>
          <w:color w:val="000000" w:themeColor="text1"/>
          <w:lang w:val="es-ES_tradnl"/>
        </w:rPr>
        <w:t>”</w:t>
      </w:r>
      <w:r w:rsidRPr="00354C96">
        <w:rPr>
          <w:rFonts w:ascii="Verdana" w:hAnsi="Verdana" w:cs="Arial"/>
          <w:bCs/>
          <w:color w:val="000000" w:themeColor="text1"/>
          <w:lang w:val="es-ES_tradnl"/>
        </w:rPr>
        <w:t xml:space="preserve">. </w:t>
      </w:r>
      <w:r w:rsidRPr="008C0037">
        <w:rPr>
          <w:rFonts w:ascii="Verdana" w:hAnsi="Verdana" w:cs="Arial"/>
          <w:color w:val="000000" w:themeColor="text1"/>
          <w:lang w:val="es-ES_tradnl"/>
        </w:rPr>
        <w:t xml:space="preserve">Lo anterior ofrece dos aspectos que merecen clarificación: </w:t>
      </w:r>
      <w:r w:rsidRPr="008C0037">
        <w:rPr>
          <w:rFonts w:ascii="Verdana" w:hAnsi="Verdana" w:cs="Arial"/>
          <w:i/>
          <w:iCs/>
          <w:color w:val="000000" w:themeColor="text1"/>
          <w:lang w:val="es-ES_tradnl"/>
        </w:rPr>
        <w:t>primero</w:t>
      </w:r>
      <w:r w:rsidRPr="008C0037">
        <w:rPr>
          <w:rFonts w:ascii="Verdana" w:hAnsi="Verdana" w:cs="Arial"/>
          <w:color w:val="000000" w:themeColor="text1"/>
          <w:lang w:val="es-ES_tradnl"/>
        </w:rPr>
        <w:t xml:space="preserve">, qué debe entenderse por circunstancias ocurridas con posterioridad; y </w:t>
      </w:r>
      <w:r w:rsidRPr="008C0037">
        <w:rPr>
          <w:rFonts w:ascii="Verdana" w:hAnsi="Verdana" w:cs="Arial"/>
          <w:i/>
          <w:iCs/>
          <w:color w:val="000000" w:themeColor="text1"/>
          <w:lang w:val="es-ES_tradnl"/>
        </w:rPr>
        <w:t>segundo</w:t>
      </w:r>
      <w:r w:rsidRPr="008C0037">
        <w:rPr>
          <w:rFonts w:ascii="Verdana" w:hAnsi="Verdana" w:cs="Arial"/>
          <w:color w:val="000000" w:themeColor="text1"/>
          <w:lang w:val="es-ES_tradnl"/>
        </w:rPr>
        <w:t>, qué es el cierre del proceso.</w:t>
      </w:r>
    </w:p>
    <w:p w14:paraId="43710D5D" w14:textId="77777777" w:rsidR="00D84E93" w:rsidRDefault="00D84E93" w:rsidP="00D84E93">
      <w:pPr>
        <w:spacing w:after="0" w:line="276" w:lineRule="auto"/>
        <w:ind w:firstLine="709"/>
        <w:jc w:val="both"/>
        <w:rPr>
          <w:rFonts w:ascii="Verdana" w:hAnsi="Verdana" w:cs="Arial"/>
          <w:color w:val="000000" w:themeColor="text1"/>
          <w:lang w:val="es-ES_tradnl"/>
        </w:rPr>
      </w:pPr>
      <w:r w:rsidRPr="008C0037">
        <w:rPr>
          <w:rFonts w:ascii="Verdana" w:hAnsi="Verdana" w:cs="Arial"/>
          <w:color w:val="000000" w:themeColor="text1"/>
          <w:lang w:val="es-ES_tradnl"/>
        </w:rPr>
        <w:t>La Sala de Consulta y Servicio Civil del Consejo de Estado ya había tenido la oportunidad de precisar estas expresiones, a propósito de un concepto en el que se refirió al artículo 10 del derogado Decreto 2474 de 2008</w:t>
      </w:r>
      <w:r w:rsidRPr="008C0037">
        <w:rPr>
          <w:rStyle w:val="Refdenotaalpie"/>
          <w:rFonts w:ascii="Verdana" w:hAnsi="Verdana" w:cs="Arial"/>
          <w:color w:val="000000" w:themeColor="text1"/>
          <w:lang w:val="es-ES_tradnl"/>
        </w:rPr>
        <w:footnoteReference w:id="12"/>
      </w:r>
      <w:r w:rsidRPr="008C0037">
        <w:rPr>
          <w:rFonts w:ascii="Verdana" w:hAnsi="Verdana" w:cs="Arial"/>
          <w:color w:val="000000" w:themeColor="text1"/>
          <w:lang w:val="es-ES_tradnl"/>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631A79C8" w14:textId="77777777" w:rsidR="00D84E93" w:rsidRPr="008C0037" w:rsidRDefault="00D84E93" w:rsidP="00D84E93">
      <w:pPr>
        <w:spacing w:after="0" w:line="276" w:lineRule="auto"/>
        <w:ind w:firstLine="709"/>
        <w:jc w:val="both"/>
        <w:rPr>
          <w:rFonts w:ascii="Verdana" w:hAnsi="Verdana" w:cs="Arial"/>
          <w:color w:val="000000" w:themeColor="text1"/>
          <w:sz w:val="21"/>
          <w:szCs w:val="21"/>
          <w:lang w:val="es-ES_tradnl"/>
        </w:rPr>
      </w:pPr>
    </w:p>
    <w:p w14:paraId="09BED510" w14:textId="77777777" w:rsidR="00D84E93" w:rsidRPr="00EF5B8A" w:rsidRDefault="00D84E93" w:rsidP="00D84E93">
      <w:pPr>
        <w:ind w:left="709" w:right="709"/>
        <w:jc w:val="both"/>
        <w:rPr>
          <w:rFonts w:ascii="Verdana" w:hAnsi="Verdana" w:cs="Arial"/>
          <w:color w:val="000000" w:themeColor="text1"/>
          <w:sz w:val="20"/>
          <w:szCs w:val="20"/>
          <w:lang w:val="es-ES"/>
        </w:rPr>
      </w:pPr>
      <w:r w:rsidRPr="63EB8E1F">
        <w:rPr>
          <w:rFonts w:ascii="Verdana" w:hAnsi="Verdana" w:cs="Arial"/>
          <w:color w:val="000000" w:themeColor="text1"/>
          <w:sz w:val="20"/>
          <w:szCs w:val="20"/>
          <w:lang w:val="es-ES"/>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 </w:t>
      </w:r>
    </w:p>
    <w:p w14:paraId="79006D66" w14:textId="77777777" w:rsidR="00D84E93" w:rsidRDefault="00D84E93" w:rsidP="00D84E93">
      <w:pPr>
        <w:spacing w:after="0"/>
        <w:ind w:left="709" w:right="709"/>
        <w:jc w:val="both"/>
        <w:rPr>
          <w:rFonts w:ascii="Verdana" w:hAnsi="Verdana" w:cs="Arial"/>
          <w:color w:val="000000" w:themeColor="text1"/>
          <w:sz w:val="20"/>
          <w:szCs w:val="20"/>
          <w:lang w:val="es-ES"/>
        </w:rPr>
      </w:pPr>
      <w:r w:rsidRPr="6FD442D5">
        <w:rPr>
          <w:rFonts w:ascii="Verdana" w:hAnsi="Verdana" w:cs="Arial"/>
          <w:color w:val="000000" w:themeColor="text1"/>
          <w:sz w:val="20"/>
          <w:szCs w:val="20"/>
          <w:lang w:val="es-ES"/>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6FD442D5">
        <w:rPr>
          <w:rFonts w:ascii="Verdana" w:hAnsi="Verdana" w:cs="Arial"/>
          <w:color w:val="000000" w:themeColor="text1"/>
          <w:sz w:val="20"/>
          <w:szCs w:val="20"/>
          <w:lang w:val="es-ES"/>
        </w:rPr>
        <w:t>la misma</w:t>
      </w:r>
      <w:proofErr w:type="gramEnd"/>
      <w:r w:rsidRPr="6FD442D5">
        <w:rPr>
          <w:rFonts w:ascii="Verdana" w:hAnsi="Verdana" w:cs="Arial"/>
          <w:color w:val="000000" w:themeColor="text1"/>
          <w:sz w:val="20"/>
          <w:szCs w:val="20"/>
          <w:lang w:val="es-ES"/>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w:t>
      </w:r>
      <w:r w:rsidRPr="6FD442D5">
        <w:rPr>
          <w:rFonts w:ascii="Verdana" w:hAnsi="Verdana" w:cs="Arial"/>
          <w:color w:val="000000" w:themeColor="text1"/>
          <w:sz w:val="20"/>
          <w:szCs w:val="20"/>
          <w:lang w:val="es-ES"/>
        </w:rPr>
        <w:lastRenderedPageBreak/>
        <w:t xml:space="preserve">para que haga entrega </w:t>
      </w:r>
      <w:proofErr w:type="gramStart"/>
      <w:r w:rsidRPr="6FD442D5">
        <w:rPr>
          <w:rFonts w:ascii="Verdana" w:hAnsi="Verdana" w:cs="Arial"/>
          <w:color w:val="000000" w:themeColor="text1"/>
          <w:sz w:val="20"/>
          <w:szCs w:val="20"/>
          <w:lang w:val="es-ES"/>
        </w:rPr>
        <w:t>del mismo</w:t>
      </w:r>
      <w:proofErr w:type="gramEnd"/>
      <w:r w:rsidRPr="6FD442D5">
        <w:rPr>
          <w:rFonts w:ascii="Verdana" w:hAnsi="Verdana" w:cs="Arial"/>
          <w:color w:val="000000" w:themeColor="text1"/>
          <w:sz w:val="20"/>
          <w:szCs w:val="20"/>
          <w:lang w:val="es-ES"/>
        </w:rPr>
        <w:t xml:space="preserve"> o lo actualice, pero no para que se constituya la sociedad con posterioridad al cierre del proceso, pues si ello no se había hecho, significa simplemente que el oferente no tenía la condición para participar</w:t>
      </w:r>
      <w:r w:rsidRPr="6FD442D5">
        <w:rPr>
          <w:rStyle w:val="Refdenotaalpie"/>
          <w:rFonts w:ascii="Verdana" w:hAnsi="Verdana" w:cs="Arial"/>
          <w:color w:val="000000" w:themeColor="text1"/>
          <w:sz w:val="20"/>
          <w:szCs w:val="20"/>
          <w:lang w:val="es-ES"/>
        </w:rPr>
        <w:footnoteReference w:id="13"/>
      </w:r>
      <w:r w:rsidRPr="6FD442D5">
        <w:rPr>
          <w:rFonts w:ascii="Verdana" w:hAnsi="Verdana" w:cs="Arial"/>
          <w:color w:val="000000" w:themeColor="text1"/>
          <w:sz w:val="20"/>
          <w:szCs w:val="20"/>
          <w:lang w:val="es-ES"/>
        </w:rPr>
        <w:t>.</w:t>
      </w:r>
    </w:p>
    <w:p w14:paraId="2071D0CD" w14:textId="77777777" w:rsidR="00D84E93" w:rsidRPr="008C0037" w:rsidRDefault="00D84E93" w:rsidP="00D84E93">
      <w:pPr>
        <w:spacing w:after="0"/>
        <w:ind w:left="709" w:right="709"/>
        <w:jc w:val="both"/>
        <w:rPr>
          <w:rFonts w:ascii="Verdana" w:hAnsi="Verdana" w:cs="Arial"/>
          <w:color w:val="000000" w:themeColor="text1"/>
          <w:lang w:val="es-ES_tradnl"/>
        </w:rPr>
      </w:pPr>
    </w:p>
    <w:p w14:paraId="49640DEE" w14:textId="77777777" w:rsidR="00D84E93" w:rsidRPr="008C0037" w:rsidRDefault="00D84E93" w:rsidP="00D84E93">
      <w:pPr>
        <w:spacing w:line="276" w:lineRule="auto"/>
        <w:ind w:firstLine="709"/>
        <w:jc w:val="both"/>
        <w:rPr>
          <w:rFonts w:ascii="Verdana" w:eastAsia="Calibri" w:hAnsi="Verdana" w:cs="Arial"/>
          <w:color w:val="000000" w:themeColor="text1"/>
          <w:lang w:val="es-ES_tradnl"/>
        </w:rPr>
      </w:pPr>
      <w:r w:rsidRPr="008C0037">
        <w:rPr>
          <w:rFonts w:ascii="Verdana" w:eastAsia="Calibri" w:hAnsi="Verdana" w:cs="Arial"/>
          <w:color w:val="000000" w:themeColor="text1"/>
          <w:lang w:val="es-ES_tradnl"/>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w:t>
      </w:r>
      <w:r>
        <w:rPr>
          <w:rFonts w:ascii="Verdana" w:eastAsia="Calibri" w:hAnsi="Verdana" w:cs="Arial"/>
          <w:color w:val="000000" w:themeColor="text1"/>
          <w:lang w:val="es-ES_tradnl"/>
        </w:rPr>
        <w:t>“</w:t>
      </w:r>
      <w:r w:rsidRPr="00C52D32">
        <w:rPr>
          <w:rFonts w:ascii="Verdana" w:eastAsia="Calibri" w:hAnsi="Verdana" w:cs="Arial"/>
          <w:i/>
          <w:iCs/>
          <w:color w:val="000000" w:themeColor="text1"/>
          <w:lang w:val="es-ES_tradnl"/>
        </w:rPr>
        <w:t>cierre del proceso</w:t>
      </w:r>
      <w:r>
        <w:rPr>
          <w:rFonts w:ascii="Verdana" w:eastAsia="Calibri" w:hAnsi="Verdana" w:cs="Arial"/>
          <w:color w:val="000000" w:themeColor="text1"/>
          <w:lang w:val="es-ES_tradnl"/>
        </w:rPr>
        <w:t>”</w:t>
      </w:r>
      <w:r w:rsidRPr="008C0037">
        <w:rPr>
          <w:rFonts w:ascii="Verdana" w:eastAsia="Calibri" w:hAnsi="Verdana" w:cs="Arial"/>
          <w:color w:val="000000" w:themeColor="text1"/>
          <w:lang w:val="es-ES_tradnl"/>
        </w:rPr>
        <w:t xml:space="preserve">.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E774BEA"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r w:rsidRPr="63EB8E1F">
        <w:rPr>
          <w:rFonts w:ascii="Verdana" w:eastAsia="Calibri" w:hAnsi="Verdana" w:cs="Arial"/>
          <w:color w:val="000000" w:themeColor="text1"/>
          <w:lang w:val="es-ES"/>
        </w:rPr>
        <w:t>Un mejor entendimiento del significado de la expresión “</w:t>
      </w:r>
      <w:r w:rsidRPr="63EB8E1F">
        <w:rPr>
          <w:rFonts w:ascii="Verdana" w:eastAsia="Calibri" w:hAnsi="Verdana" w:cs="Arial"/>
          <w:i/>
          <w:color w:val="000000" w:themeColor="text1"/>
          <w:lang w:val="es-ES"/>
        </w:rPr>
        <w:t>circunstancias ocurridas con posterioridad al cierre del proceso</w:t>
      </w:r>
      <w:r w:rsidRPr="63EB8E1F">
        <w:rPr>
          <w:rFonts w:ascii="Verdana" w:eastAsia="Calibri" w:hAnsi="Verdana" w:cs="Arial"/>
          <w:color w:val="000000" w:themeColor="text1"/>
          <w:lang w:val="es-ES"/>
        </w:rPr>
        <w:t xml:space="preserve">”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61A80B6D"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_tradnl"/>
        </w:rPr>
      </w:pPr>
      <w:r w:rsidRPr="008C0037">
        <w:rPr>
          <w:rFonts w:ascii="Verdana" w:eastAsia="Calibri" w:hAnsi="Verdana" w:cs="Arial"/>
          <w:color w:val="000000" w:themeColor="text1"/>
          <w:lang w:val="es-ES_tradnl"/>
        </w:rPr>
        <w:t xml:space="preserve">Por ejemplo: </w:t>
      </w:r>
    </w:p>
    <w:p w14:paraId="06CB3004"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r w:rsidRPr="5460DB6F">
        <w:rPr>
          <w:rFonts w:ascii="Verdana" w:eastAsia="Calibri" w:hAnsi="Verdana" w:cs="Arial"/>
          <w:color w:val="000000" w:themeColor="text1"/>
          <w:lang w:val="es-ES"/>
        </w:rPr>
        <w:t xml:space="preserve">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
    <w:p w14:paraId="3BFDADA5"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proofErr w:type="spellStart"/>
      <w:r w:rsidRPr="5460DB6F">
        <w:rPr>
          <w:rFonts w:ascii="Verdana" w:eastAsia="Calibri" w:hAnsi="Verdana" w:cs="Arial"/>
          <w:color w:val="000000" w:themeColor="text1"/>
          <w:lang w:val="es-ES"/>
        </w:rPr>
        <w:t>ii</w:t>
      </w:r>
      <w:proofErr w:type="spellEnd"/>
      <w:r w:rsidRPr="5460DB6F">
        <w:rPr>
          <w:rFonts w:ascii="Verdana" w:eastAsia="Calibri" w:hAnsi="Verdana" w:cs="Arial"/>
          <w:color w:val="000000" w:themeColor="text1"/>
          <w:lang w:val="es-ES"/>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5460DB6F">
        <w:rPr>
          <w:rStyle w:val="Refdenotaalpie"/>
          <w:rFonts w:ascii="Verdana" w:eastAsia="Calibri" w:hAnsi="Verdana" w:cs="Arial"/>
          <w:color w:val="000000" w:themeColor="text1"/>
          <w:lang w:val="es-ES"/>
        </w:rPr>
        <w:footnoteReference w:id="14"/>
      </w:r>
      <w:r w:rsidRPr="5460DB6F">
        <w:rPr>
          <w:rFonts w:ascii="Verdana" w:eastAsia="Calibri" w:hAnsi="Verdana" w:cs="Arial"/>
          <w:color w:val="000000" w:themeColor="text1"/>
          <w:lang w:val="es-ES"/>
        </w:rPr>
        <w:t xml:space="preserve">; </w:t>
      </w:r>
    </w:p>
    <w:p w14:paraId="0DFB6285"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proofErr w:type="spellStart"/>
      <w:r w:rsidRPr="5460DB6F">
        <w:rPr>
          <w:rFonts w:ascii="Verdana" w:eastAsia="Calibri" w:hAnsi="Verdana" w:cs="Arial"/>
          <w:color w:val="000000" w:themeColor="text1"/>
          <w:lang w:val="es-ES"/>
        </w:rPr>
        <w:lastRenderedPageBreak/>
        <w:t>iii</w:t>
      </w:r>
      <w:proofErr w:type="spellEnd"/>
      <w:r w:rsidRPr="5460DB6F">
        <w:rPr>
          <w:rFonts w:ascii="Verdana" w:eastAsia="Calibri" w:hAnsi="Verdana" w:cs="Arial"/>
          <w:color w:val="000000" w:themeColor="text1"/>
          <w:lang w:val="es-ES"/>
        </w:rPr>
        <w:t>) si un oferente no anexó el certificado de existencia y representación legal, el documento aportado con posterioridad debe dar cuenta de que la sociedad existe desde antes del cierre del proceso</w:t>
      </w:r>
      <w:r w:rsidRPr="5460DB6F">
        <w:rPr>
          <w:rStyle w:val="Refdenotaalpie"/>
          <w:rFonts w:ascii="Verdana" w:eastAsia="Calibri" w:hAnsi="Verdana" w:cs="Arial"/>
          <w:color w:val="000000" w:themeColor="text1"/>
          <w:lang w:val="es-ES"/>
        </w:rPr>
        <w:footnoteReference w:id="15"/>
      </w:r>
      <w:r w:rsidRPr="5460DB6F">
        <w:rPr>
          <w:rFonts w:ascii="Verdana" w:eastAsia="Calibri" w:hAnsi="Verdana" w:cs="Arial"/>
          <w:color w:val="000000" w:themeColor="text1"/>
          <w:lang w:val="es-ES"/>
        </w:rPr>
        <w:t xml:space="preserve">; </w:t>
      </w:r>
    </w:p>
    <w:p w14:paraId="7FFF380B"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proofErr w:type="spellStart"/>
      <w:r w:rsidRPr="5460DB6F">
        <w:rPr>
          <w:rFonts w:ascii="Verdana" w:eastAsia="Calibri" w:hAnsi="Verdana" w:cs="Arial"/>
          <w:color w:val="000000" w:themeColor="text1"/>
          <w:lang w:val="es-ES"/>
        </w:rPr>
        <w:t>iv</w:t>
      </w:r>
      <w:proofErr w:type="spellEnd"/>
      <w:r w:rsidRPr="5460DB6F">
        <w:rPr>
          <w:rFonts w:ascii="Verdana" w:eastAsia="Calibri" w:hAnsi="Verdana" w:cs="Arial"/>
          <w:color w:val="000000" w:themeColor="text1"/>
          <w:lang w:val="es-ES"/>
        </w:rPr>
        <w:t xml:space="preserve">) si un oferente olvidó adjuntar un certificado que demuestra un título universitario, el documento, aunque tenga fecha posterior al cierre del proceso, debe acreditar que el título académico se obtuvo con anterioridad al cierre del proceso; </w:t>
      </w:r>
    </w:p>
    <w:p w14:paraId="7D15F2E1"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_tradnl"/>
        </w:rPr>
      </w:pPr>
      <w:r w:rsidRPr="008C0037">
        <w:rPr>
          <w:rFonts w:ascii="Verdana" w:eastAsia="Calibri" w:hAnsi="Verdana" w:cs="Arial"/>
          <w:color w:val="000000" w:themeColor="text1"/>
          <w:lang w:val="es-ES_tradnl"/>
        </w:rPr>
        <w:t xml:space="preserve">v) si un oferente no aportó un certificado de experiencia, el documento que subsana –sin importar que tenga fecha posterior– debe demostrar que la experiencia que se pretende hacer valer se obtuvo antes de vencerse el término para presentar ofertas, y </w:t>
      </w:r>
    </w:p>
    <w:p w14:paraId="4E13AFBA" w14:textId="77777777" w:rsidR="00D84E93" w:rsidRDefault="00D84E93" w:rsidP="00D84E93">
      <w:pPr>
        <w:spacing w:before="120" w:after="120" w:line="276" w:lineRule="auto"/>
        <w:ind w:firstLine="709"/>
        <w:jc w:val="both"/>
        <w:rPr>
          <w:rFonts w:ascii="Verdana" w:eastAsia="Calibri" w:hAnsi="Verdana" w:cs="Arial"/>
          <w:color w:val="000000" w:themeColor="text1"/>
          <w:lang w:val="es-ES_tradnl"/>
        </w:rPr>
      </w:pPr>
      <w:r w:rsidRPr="008C0037">
        <w:rPr>
          <w:rFonts w:ascii="Verdana" w:eastAsia="Calibri" w:hAnsi="Verdana" w:cs="Arial"/>
          <w:color w:val="000000" w:themeColor="text1"/>
          <w:lang w:val="es-ES_tradnl"/>
        </w:rPr>
        <w:t xml:space="preserve">vi) si el oferente olvidó firmar la propuesta o presentar una copia de ella, puede subsanar sin que se entienda que acreditó una circunstancia ocurrida con posterioridad al cierre del proceso. </w:t>
      </w:r>
    </w:p>
    <w:p w14:paraId="64495480"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r w:rsidRPr="63EB8E1F">
        <w:rPr>
          <w:rFonts w:ascii="Verdana" w:eastAsia="Calibri" w:hAnsi="Verdana" w:cs="Arial"/>
          <w:color w:val="000000" w:themeColor="text1"/>
          <w:lang w:val="es-ES"/>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w:t>
      </w:r>
    </w:p>
    <w:p w14:paraId="6C3B9BD9"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r w:rsidRPr="63EB8E1F">
        <w:rPr>
          <w:rFonts w:ascii="Verdana" w:eastAsia="Calibri" w:hAnsi="Verdana" w:cs="Arial"/>
          <w:color w:val="000000" w:themeColor="text1"/>
          <w:lang w:val="es-ES"/>
        </w:rPr>
        <w:t>Es por ello por lo que el Consejo de Estado sostiene que “</w:t>
      </w:r>
      <w:r w:rsidRPr="63EB8E1F">
        <w:rPr>
          <w:rFonts w:ascii="Verdana" w:eastAsia="Calibri" w:hAnsi="Verdana" w:cs="Arial"/>
          <w:i/>
          <w:color w:val="000000" w:themeColor="text1"/>
          <w:lang w:val="es-ES"/>
        </w:rPr>
        <w:t>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63EB8E1F">
        <w:rPr>
          <w:rFonts w:ascii="Verdana" w:eastAsia="Calibri" w:hAnsi="Verdana" w:cs="Arial"/>
          <w:color w:val="000000" w:themeColor="text1"/>
          <w:lang w:val="es-ES"/>
        </w:rPr>
        <w:t>”</w:t>
      </w:r>
      <w:r w:rsidRPr="63EB8E1F">
        <w:rPr>
          <w:rFonts w:ascii="Verdana" w:eastAsia="Calibri" w:hAnsi="Verdana" w:cs="Arial"/>
          <w:color w:val="000000" w:themeColor="text1"/>
          <w:vertAlign w:val="superscript"/>
          <w:lang w:val="es-ES"/>
        </w:rPr>
        <w:footnoteReference w:id="16"/>
      </w:r>
      <w:r w:rsidRPr="63EB8E1F">
        <w:rPr>
          <w:rFonts w:ascii="Verdana" w:eastAsia="Calibri" w:hAnsi="Verdana" w:cs="Arial"/>
          <w:color w:val="000000" w:themeColor="text1"/>
          <w:lang w:val="es-ES"/>
        </w:rPr>
        <w:t xml:space="preserve">. En tal sentido, esta Subdirección, en concepto emitido en respuesta a la Consulta 4201912000007418 del 30 de octubre de 2019, analizó si era o no posible subsanar el RUP vencido, para lo cual precisó el alcance de la prohibición de permitir subsanar circunstancias ocurridas con posterioridad al cierre del procedimiento de selección. En tal sentido, indicó que no es relevante que, al </w:t>
      </w:r>
      <w:r w:rsidRPr="63EB8E1F">
        <w:rPr>
          <w:rFonts w:ascii="Verdana" w:eastAsia="Calibri" w:hAnsi="Verdana" w:cs="Arial"/>
          <w:color w:val="000000" w:themeColor="text1"/>
          <w:lang w:val="es-ES"/>
        </w:rPr>
        <w:lastRenderedPageBreak/>
        <w:t>subsanar dichos documentos, su fecha de actualización sea posterior a la del cierre, sino que las circunstancias que acrediten hayan ocurrido antes.</w:t>
      </w:r>
    </w:p>
    <w:p w14:paraId="45D6BC82"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rPr>
      </w:pPr>
      <w:r w:rsidRPr="008C0037">
        <w:rPr>
          <w:rFonts w:ascii="Verdana" w:eastAsia="Calibri" w:hAnsi="Verdana" w:cs="Arial"/>
          <w:color w:val="000000" w:themeColor="text1"/>
          <w:lang w:val="es-ES_tradnl"/>
        </w:rPr>
        <w:t>Esta tesis</w:t>
      </w:r>
      <w:r>
        <w:rPr>
          <w:rFonts w:ascii="Verdana" w:eastAsia="Calibri" w:hAnsi="Verdana" w:cs="Arial"/>
          <w:color w:val="000000" w:themeColor="text1"/>
          <w:lang w:val="es-ES_tradnl"/>
        </w:rPr>
        <w:t xml:space="preserve"> ha sido </w:t>
      </w:r>
      <w:r w:rsidRPr="008C0037">
        <w:rPr>
          <w:rFonts w:ascii="Verdana" w:eastAsia="Calibri" w:hAnsi="Verdana" w:cs="Arial"/>
          <w:color w:val="000000" w:themeColor="text1"/>
          <w:lang w:val="es-ES_tradnl"/>
        </w:rPr>
        <w:t xml:space="preserve">reiterada por la Agencia Nacional de Contratación Pública – Colombia Compra Eficiente en </w:t>
      </w:r>
      <w:r>
        <w:rPr>
          <w:rFonts w:ascii="Verdana" w:eastAsia="Calibri" w:hAnsi="Verdana" w:cs="Arial"/>
          <w:color w:val="000000" w:themeColor="text1"/>
          <w:lang w:val="es-ES_tradnl"/>
        </w:rPr>
        <w:t>diferentes conceptos que serán relacionados al final del documento</w:t>
      </w:r>
      <w:r w:rsidRPr="008C0037">
        <w:rPr>
          <w:rFonts w:ascii="Verdana" w:eastAsia="Calibri" w:hAnsi="Verdana" w:cs="Arial"/>
          <w:color w:val="000000" w:themeColor="text1"/>
        </w:rPr>
        <w:t xml:space="preserve">, en </w:t>
      </w:r>
      <w:r>
        <w:rPr>
          <w:rFonts w:ascii="Verdana" w:eastAsia="Calibri" w:hAnsi="Verdana" w:cs="Arial"/>
          <w:color w:val="000000" w:themeColor="text1"/>
        </w:rPr>
        <w:t>los</w:t>
      </w:r>
      <w:r w:rsidRPr="008C0037">
        <w:rPr>
          <w:rFonts w:ascii="Verdana" w:eastAsia="Calibri" w:hAnsi="Verdana" w:cs="Arial"/>
          <w:color w:val="000000" w:themeColor="text1"/>
        </w:rPr>
        <w:t xml:space="preserve"> que indicó que las certificaciones de experiencia que no otorgaran puntaje podían aportarse corregidos o incluso, en reemplazo de las que no cumplieran el requisito habilitante, siempre que en los documentos aportados en la etapa de subsanabilidad no se acreditara experiencia adquirida con posterioridad al cierre del procedimiento de selección. Por tanto, señaló que </w:t>
      </w:r>
      <w:r>
        <w:rPr>
          <w:rFonts w:ascii="Verdana" w:eastAsia="Calibri" w:hAnsi="Verdana" w:cs="Arial"/>
          <w:color w:val="000000" w:themeColor="text1"/>
        </w:rPr>
        <w:t>“</w:t>
      </w:r>
      <w:r w:rsidRPr="008C0037">
        <w:rPr>
          <w:rFonts w:ascii="Verdana" w:eastAsia="Calibri" w:hAnsi="Verdana" w:cs="Arial"/>
          <w:color w:val="000000" w:themeColor="text1"/>
        </w:rPr>
        <w:t xml:space="preserve">[…] </w:t>
      </w:r>
      <w:r w:rsidRPr="0091226F">
        <w:rPr>
          <w:rFonts w:ascii="Verdana" w:eastAsia="Calibri" w:hAnsi="Verdana" w:cs="Arial"/>
          <w:i/>
          <w:iCs/>
          <w:color w:val="000000" w:themeColor="text1"/>
        </w:rPr>
        <w:t>el oferente podrá acreditar su experiencia con certificaciones de contratos diferentes a los inicialmente aportados, siempre que acrediten la experiencia adquirida antes del cierre del proceso</w:t>
      </w:r>
      <w:r>
        <w:rPr>
          <w:rFonts w:ascii="Verdana" w:eastAsia="Calibri" w:hAnsi="Verdana" w:cs="Arial"/>
          <w:color w:val="000000" w:themeColor="text1"/>
        </w:rPr>
        <w:t>”</w:t>
      </w:r>
      <w:r w:rsidRPr="008C0037">
        <w:rPr>
          <w:rFonts w:ascii="Verdana" w:eastAsia="Calibri" w:hAnsi="Verdana" w:cs="Arial"/>
          <w:color w:val="000000" w:themeColor="text1"/>
        </w:rPr>
        <w:t xml:space="preserve">, pero que </w:t>
      </w:r>
      <w:r>
        <w:rPr>
          <w:rFonts w:ascii="Verdana" w:eastAsia="Calibri" w:hAnsi="Verdana" w:cs="Arial"/>
          <w:color w:val="000000" w:themeColor="text1"/>
        </w:rPr>
        <w:t>“</w:t>
      </w:r>
      <w:r w:rsidRPr="0091226F">
        <w:rPr>
          <w:rFonts w:ascii="Verdana" w:eastAsia="Calibri" w:hAnsi="Verdana" w:cs="Arial"/>
          <w:i/>
          <w:iCs/>
          <w:color w:val="000000" w:themeColor="text1"/>
        </w:rPr>
        <w:t>Si las certificaciones prueban que la experiencia del proponente se adquirió con posterioridad al cierre del proceso no se podrá aportar, porque esto implicaría una mejora, adición o complemento de la oferta</w:t>
      </w:r>
      <w:r>
        <w:rPr>
          <w:rFonts w:ascii="Verdana" w:eastAsia="Calibri" w:hAnsi="Verdana" w:cs="Arial"/>
          <w:color w:val="000000" w:themeColor="text1"/>
        </w:rPr>
        <w:t>”</w:t>
      </w:r>
      <w:r w:rsidRPr="008C0037">
        <w:rPr>
          <w:rFonts w:ascii="Verdana" w:eastAsia="Calibri" w:hAnsi="Verdana" w:cs="Arial"/>
          <w:color w:val="000000" w:themeColor="text1"/>
        </w:rPr>
        <w:t xml:space="preserve">. </w:t>
      </w:r>
    </w:p>
    <w:p w14:paraId="5A0A97A0" w14:textId="77777777" w:rsidR="00D84E93" w:rsidRDefault="00D84E93" w:rsidP="00D84E93">
      <w:pPr>
        <w:spacing w:before="120" w:after="120" w:line="276" w:lineRule="auto"/>
        <w:ind w:firstLine="709"/>
        <w:jc w:val="both"/>
        <w:rPr>
          <w:rFonts w:ascii="Verdana" w:eastAsia="Calibri" w:hAnsi="Verdana" w:cs="Arial"/>
          <w:color w:val="000000" w:themeColor="text1"/>
        </w:rPr>
      </w:pPr>
      <w:r w:rsidRPr="008C0037">
        <w:rPr>
          <w:rFonts w:ascii="Verdana" w:eastAsia="Calibri" w:hAnsi="Verdana" w:cs="Arial"/>
          <w:color w:val="000000" w:themeColor="text1"/>
        </w:rPr>
        <w:t xml:space="preserve">Una reiteración de la postura de esta Subdirección, según la cual la subsanabilidad procede sobre todos aquellos requisitos que no otorguen puntaje, siempre que no se trate de entregar la garantía de seriedad de la oferta no aportada antes del cierre del procedimiento de selección, y bajo la condición de que no se acrediten hechos ocurridos con posterioridad a dicho momento, se encuentra en los conceptos: 2201913000008048 del 28 de octubre de 2019 –que indicó que no era posible, so pretexto de subsanar, modificar el porcentaje de participación en un consorcio o unión temporal, porque esto comportaba cambiar la oferta, acreditando circunstancias posteriores al cierre–; 2201913000008850 del 29 de noviembre de 2019 –en el que sostuvo que un proponente podría subsanar la experiencia, en tanto requisito habilitante, o sea, que no otorgara puntaje, aportando nuevas certificaciones, siempre que con ellas no se probara una experiencia que no se tenía antes del cierre–; 2201913000009373 del 17 de diciembre de 2019 –en el cual se expresó que la carta de conformación de un consorcio es un documento subsanable, bajo la condición de que el documento aportado permita constatar que el consorcio se conformó antes del vencimiento del término para la presentación de las propuestas–; 2201913000008049 del 28 de octubre de 2019 –en el que se iteró que no es posible variar el porcentaje de participación en una unión temporal, </w:t>
      </w:r>
      <w:r w:rsidRPr="008C0037">
        <w:rPr>
          <w:rFonts w:ascii="Verdana" w:eastAsia="Calibri" w:hAnsi="Verdana" w:cs="Arial"/>
          <w:color w:val="000000" w:themeColor="text1"/>
        </w:rPr>
        <w:lastRenderedPageBreak/>
        <w:t xml:space="preserve">porque implicaría una modificación de la oferta y la acreditación de un aspecto que es posterior al cierre del procedimiento de selección–. </w:t>
      </w:r>
    </w:p>
    <w:p w14:paraId="6367AB24" w14:textId="77777777" w:rsidR="00D84E93" w:rsidRPr="008C0037" w:rsidRDefault="00D84E93" w:rsidP="00D84E93">
      <w:pPr>
        <w:spacing w:before="120" w:after="120" w:line="276" w:lineRule="auto"/>
        <w:ind w:firstLine="709"/>
        <w:jc w:val="both"/>
        <w:rPr>
          <w:rFonts w:ascii="Verdana" w:eastAsia="Calibri" w:hAnsi="Verdana" w:cs="Arial"/>
          <w:color w:val="000000" w:themeColor="text1"/>
          <w:lang w:val="es-ES"/>
        </w:rPr>
      </w:pPr>
      <w:r w:rsidRPr="5460DB6F">
        <w:rPr>
          <w:rFonts w:ascii="Verdana" w:eastAsia="Calibri" w:hAnsi="Verdana" w:cs="Arial"/>
          <w:color w:val="000000" w:themeColor="text1"/>
          <w:lang w:val="es-ES"/>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1B1D7200" w14:textId="77777777" w:rsidR="00D84E93" w:rsidRPr="00F9120E" w:rsidRDefault="00D84E93" w:rsidP="00D84E93">
      <w:pPr>
        <w:spacing w:before="120" w:after="120" w:line="276" w:lineRule="auto"/>
        <w:jc w:val="both"/>
        <w:rPr>
          <w:rFonts w:ascii="Verdana" w:hAnsi="Verdana"/>
          <w:color w:val="000000" w:themeColor="text1"/>
          <w:lang w:val="es-ES"/>
        </w:rPr>
      </w:pPr>
      <w:proofErr w:type="spellStart"/>
      <w:r w:rsidRPr="005352B8">
        <w:rPr>
          <w:rFonts w:ascii="Verdana" w:hAnsi="Verdana"/>
          <w:color w:val="000000" w:themeColor="text1"/>
        </w:rPr>
        <w:t>iii</w:t>
      </w:r>
      <w:proofErr w:type="spellEnd"/>
      <w:r w:rsidRPr="005352B8">
        <w:rPr>
          <w:rFonts w:ascii="Verdana" w:hAnsi="Verdana"/>
          <w:color w:val="000000" w:themeColor="text1"/>
          <w:lang w:val="es-ES"/>
        </w:rPr>
        <w:t>) Ahora bien, teniendo en cuenta que su pregunta está</w:t>
      </w:r>
      <w:r w:rsidRPr="00F9120E">
        <w:rPr>
          <w:rFonts w:ascii="Verdana" w:hAnsi="Verdana"/>
          <w:color w:val="000000" w:themeColor="text1"/>
          <w:lang w:val="es-ES"/>
        </w:rPr>
        <w:t xml:space="preserve"> relacionada con los proponentes plurales, como los consorcios y uniones temporales, es necesario definir esas figuras asociativas y determinar los lineamientos expedidos por esta Agencia </w:t>
      </w:r>
      <w:r>
        <w:rPr>
          <w:rFonts w:ascii="Verdana" w:hAnsi="Verdana"/>
          <w:color w:val="000000" w:themeColor="text1"/>
          <w:lang w:val="es-ES"/>
        </w:rPr>
        <w:t xml:space="preserve">con </w:t>
      </w:r>
      <w:r w:rsidRPr="00F9120E">
        <w:rPr>
          <w:rFonts w:ascii="Verdana" w:hAnsi="Verdana"/>
          <w:color w:val="000000" w:themeColor="text1"/>
          <w:lang w:val="es-ES"/>
        </w:rPr>
        <w:t xml:space="preserve">respecto a este </w:t>
      </w:r>
      <w:r>
        <w:rPr>
          <w:rFonts w:ascii="Verdana" w:hAnsi="Verdana"/>
          <w:color w:val="000000" w:themeColor="text1"/>
          <w:lang w:val="es-ES"/>
        </w:rPr>
        <w:t>tema</w:t>
      </w:r>
      <w:r w:rsidRPr="00F9120E">
        <w:rPr>
          <w:rFonts w:ascii="Verdana" w:hAnsi="Verdana"/>
          <w:color w:val="000000" w:themeColor="text1"/>
          <w:lang w:val="es-ES"/>
        </w:rPr>
        <w:t xml:space="preserve">. </w:t>
      </w:r>
    </w:p>
    <w:p w14:paraId="53AB2F62" w14:textId="77777777" w:rsidR="00D84E93" w:rsidRPr="00F9120E" w:rsidRDefault="00D84E93" w:rsidP="00D84E93">
      <w:pPr>
        <w:spacing w:before="120" w:after="120" w:line="276" w:lineRule="auto"/>
        <w:ind w:firstLine="708"/>
        <w:jc w:val="both"/>
        <w:rPr>
          <w:rFonts w:ascii="Verdana" w:eastAsia="Calibri" w:hAnsi="Verdana" w:cs="Arial"/>
          <w:color w:val="000000" w:themeColor="text1"/>
          <w:lang w:val="es-ES"/>
        </w:rPr>
      </w:pPr>
      <w:r w:rsidRPr="00F9120E">
        <w:rPr>
          <w:rFonts w:ascii="Verdana" w:hAnsi="Verdana"/>
          <w:color w:val="000000" w:themeColor="text1"/>
          <w:lang w:val="es-ES"/>
        </w:rPr>
        <w:t>El artículo 7 de la Ley 80 de 1993 define a los proponentes plurales como la unión de dos o más personas que presentan la misma propuesta para la adjudicación, celebración y ejecución de un contrato, pero cuya responsabilidad por las obligaciones derivadas de la propuesta y el contrato es diferente</w:t>
      </w:r>
      <w:r w:rsidRPr="00F9120E">
        <w:rPr>
          <w:rStyle w:val="Refdenotaalpie"/>
          <w:rFonts w:ascii="Verdana" w:hAnsi="Verdana"/>
          <w:color w:val="000000" w:themeColor="text1"/>
          <w:lang w:val="es-ES"/>
        </w:rPr>
        <w:footnoteReference w:id="17"/>
      </w:r>
      <w:r w:rsidRPr="00F9120E">
        <w:rPr>
          <w:rFonts w:ascii="Verdana" w:hAnsi="Verdana"/>
          <w:color w:val="000000" w:themeColor="text1"/>
          <w:lang w:val="es-ES"/>
        </w:rPr>
        <w:t xml:space="preserve">. En efecto, </w:t>
      </w:r>
      <w:r w:rsidRPr="00F9120E">
        <w:rPr>
          <w:rFonts w:ascii="Verdana" w:eastAsia="Calibri" w:hAnsi="Verdana" w:cs="Arial"/>
          <w:color w:val="000000" w:themeColor="text1"/>
          <w:lang w:val="es-ES"/>
        </w:rPr>
        <w:t>los consorcios y las uniones temporales son mecanismos de asociación fundamentados en la colaboración empresarial, mediante los cuales sus integrantes se unen y organizan en forma conjunta para lograr con mayor eficacia la obtención del derecho a ser adjudicatarios de un contrato estatal, compartiendo recursos de toda índole para su ejecución, así como las utilidades y los riesgos.</w:t>
      </w:r>
    </w:p>
    <w:p w14:paraId="6945A415" w14:textId="77777777" w:rsidR="00D84E93" w:rsidRPr="00F9120E" w:rsidRDefault="00D84E93" w:rsidP="00D84E93">
      <w:pPr>
        <w:spacing w:before="120" w:after="120" w:line="276" w:lineRule="auto"/>
        <w:ind w:firstLine="708"/>
        <w:jc w:val="both"/>
        <w:rPr>
          <w:rFonts w:ascii="Verdana" w:hAnsi="Verdana"/>
          <w:color w:val="000000" w:themeColor="text1"/>
          <w:lang w:val="es-ES"/>
        </w:rPr>
      </w:pPr>
      <w:r w:rsidRPr="00F9120E">
        <w:rPr>
          <w:rFonts w:ascii="Verdana" w:eastAsia="Calibri" w:hAnsi="Verdana" w:cs="Arial"/>
          <w:color w:val="000000" w:themeColor="text1"/>
          <w:lang w:val="es-ES"/>
        </w:rPr>
        <w:t xml:space="preserve">En efecto, los proponentes plurales pueden participar en los procesos de contratación por medio de uniones temporales y consorcios. Los consorcios se refieren a las situaciones en que dos o más personas en forma conjunta presentan una misma propuesta para la adjudicación, celebración y ejecución de </w:t>
      </w:r>
      <w:r w:rsidRPr="00F9120E">
        <w:rPr>
          <w:rFonts w:ascii="Verdana" w:eastAsia="Calibri" w:hAnsi="Verdana" w:cs="Arial"/>
          <w:color w:val="000000" w:themeColor="text1"/>
          <w:lang w:val="es-ES"/>
        </w:rPr>
        <w:lastRenderedPageBreak/>
        <w:t>un contrato, respondiendo solidariamente</w:t>
      </w:r>
      <w:r w:rsidRPr="00F9120E">
        <w:rPr>
          <w:rFonts w:ascii="Verdana" w:eastAsia="Calibri" w:hAnsi="Verdana" w:cs="Arial"/>
          <w:i/>
          <w:iCs/>
          <w:color w:val="000000" w:themeColor="text1"/>
          <w:lang w:val="es-ES"/>
        </w:rPr>
        <w:t xml:space="preserve"> </w:t>
      </w:r>
      <w:r w:rsidRPr="00F9120E">
        <w:rPr>
          <w:rFonts w:ascii="Verdana" w:eastAsia="Calibri" w:hAnsi="Verdana" w:cs="Arial"/>
          <w:color w:val="000000" w:themeColor="text1"/>
          <w:lang w:val="es-ES"/>
        </w:rPr>
        <w:t xml:space="preserve">por todas y cada una de las obligaciones derivadas de la propuesta y del contrato. En atención dicha solidaridad, las actuaciones, hechos y omisiones que se presenten </w:t>
      </w:r>
      <w:r w:rsidRPr="00F9120E">
        <w:rPr>
          <w:rFonts w:ascii="Verdana" w:eastAsia="Calibri" w:hAnsi="Verdana" w:cs="Arial"/>
          <w:i/>
          <w:iCs/>
          <w:color w:val="000000" w:themeColor="text1"/>
          <w:lang w:val="es-ES"/>
        </w:rPr>
        <w:t>en desarrollo de la propuesta y del contrato</w:t>
      </w:r>
      <w:r w:rsidRPr="00F9120E">
        <w:rPr>
          <w:rFonts w:ascii="Verdana" w:eastAsia="Calibri" w:hAnsi="Verdana" w:cs="Arial"/>
          <w:color w:val="000000" w:themeColor="text1"/>
          <w:lang w:val="es-ES"/>
        </w:rPr>
        <w:t xml:space="preserve">, afectarán </w:t>
      </w:r>
      <w:r w:rsidRPr="00F9120E">
        <w:rPr>
          <w:rFonts w:ascii="Verdana" w:eastAsia="Calibri" w:hAnsi="Verdana" w:cs="Arial"/>
          <w:i/>
          <w:iCs/>
          <w:color w:val="000000" w:themeColor="text1"/>
          <w:lang w:val="es-ES"/>
        </w:rPr>
        <w:t>a todos</w:t>
      </w:r>
      <w:r w:rsidRPr="00F9120E">
        <w:rPr>
          <w:rFonts w:ascii="Verdana" w:eastAsia="Calibri" w:hAnsi="Verdana" w:cs="Arial"/>
          <w:color w:val="000000" w:themeColor="text1"/>
          <w:lang w:val="es-ES"/>
        </w:rPr>
        <w:t xml:space="preserve"> los integrantes del Consorcio.</w:t>
      </w:r>
      <w:r w:rsidRPr="00F9120E">
        <w:rPr>
          <w:rFonts w:ascii="Verdana" w:hAnsi="Verdana"/>
          <w:color w:val="000000" w:themeColor="text1"/>
          <w:lang w:val="es-ES"/>
        </w:rPr>
        <w:t xml:space="preserve"> </w:t>
      </w:r>
      <w:r>
        <w:rPr>
          <w:rFonts w:ascii="Verdana" w:hAnsi="Verdana"/>
          <w:color w:val="000000" w:themeColor="text1"/>
          <w:lang w:val="es-ES"/>
        </w:rPr>
        <w:t>L</w:t>
      </w:r>
      <w:r w:rsidRPr="00F9120E">
        <w:rPr>
          <w:rFonts w:ascii="Verdana" w:hAnsi="Verdana"/>
          <w:color w:val="000000" w:themeColor="text1"/>
          <w:lang w:val="es-ES"/>
        </w:rPr>
        <w:t>a Corte Constitucional, en la sentencia C-414 del 22 de septiembre de 1994 señaló que el consorcio es una figura propia del derecho privado, utilizado como un instrumento de cooperación entre empresas, que les permita unir esfuerzos para la celebración y ejecución de un contrato con el Estado, sin que por ello pierdan su individualidad</w:t>
      </w:r>
      <w:r w:rsidRPr="00F9120E">
        <w:rPr>
          <w:rFonts w:ascii="Verdana" w:hAnsi="Verdana"/>
          <w:color w:val="000000" w:themeColor="text1"/>
          <w:spacing w:val="-6"/>
          <w:lang w:val="es-ES"/>
        </w:rPr>
        <w:t xml:space="preserve"> </w:t>
      </w:r>
      <w:r w:rsidRPr="00F9120E">
        <w:rPr>
          <w:rFonts w:ascii="Verdana" w:hAnsi="Verdana"/>
          <w:color w:val="000000" w:themeColor="text1"/>
          <w:lang w:val="es-ES"/>
        </w:rPr>
        <w:t>jurídica</w:t>
      </w:r>
      <w:r w:rsidRPr="00F9120E">
        <w:rPr>
          <w:rStyle w:val="Refdenotaalpie"/>
          <w:rFonts w:ascii="Verdana" w:hAnsi="Verdana"/>
          <w:color w:val="000000" w:themeColor="text1"/>
          <w:lang w:val="es-ES"/>
        </w:rPr>
        <w:footnoteReference w:id="18"/>
      </w:r>
      <w:r w:rsidRPr="00F9120E">
        <w:rPr>
          <w:rFonts w:ascii="Verdana" w:hAnsi="Verdana"/>
          <w:color w:val="000000" w:themeColor="text1"/>
          <w:lang w:val="es-ES"/>
        </w:rPr>
        <w:t>.</w:t>
      </w:r>
    </w:p>
    <w:p w14:paraId="2FB49F88" w14:textId="77777777" w:rsidR="00D84E93" w:rsidRPr="00F9120E" w:rsidRDefault="00D84E93" w:rsidP="00D84E93">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Por otra parte, según el artículo 7 de la Ley 80 de 1993, las uniones temporales se refieren a las situaciones en que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imponen de acuerdo con la participación en la ejecución de </w:t>
      </w:r>
      <w:r w:rsidRPr="00F9120E">
        <w:rPr>
          <w:rFonts w:ascii="Verdana" w:eastAsia="Calibri" w:hAnsi="Verdana" w:cs="Arial"/>
          <w:i/>
          <w:iCs/>
          <w:color w:val="000000" w:themeColor="text1"/>
          <w:lang w:val="es-ES"/>
        </w:rPr>
        <w:t>cada uno de los miembros</w:t>
      </w:r>
      <w:r w:rsidRPr="00F9120E">
        <w:rPr>
          <w:rFonts w:ascii="Verdana" w:eastAsia="Calibri" w:hAnsi="Verdana" w:cs="Arial"/>
          <w:color w:val="000000" w:themeColor="text1"/>
          <w:lang w:val="es-ES"/>
        </w:rPr>
        <w:t xml:space="preserve"> de la unión temporal.  </w:t>
      </w:r>
    </w:p>
    <w:p w14:paraId="3F58FF72" w14:textId="77777777" w:rsidR="00D84E93" w:rsidRPr="00F9120E" w:rsidRDefault="00D84E93" w:rsidP="00D84E93">
      <w:pPr>
        <w:spacing w:before="120" w:after="120" w:line="276" w:lineRule="auto"/>
        <w:ind w:firstLine="709"/>
        <w:jc w:val="both"/>
        <w:rPr>
          <w:rFonts w:ascii="Verdana" w:eastAsia="Calibri" w:hAnsi="Verdana" w:cs="Arial"/>
          <w:color w:val="000000" w:themeColor="text1"/>
          <w:lang w:val="es-ES"/>
        </w:rPr>
      </w:pPr>
      <w:r w:rsidRPr="00F9120E">
        <w:rPr>
          <w:rFonts w:ascii="Verdana" w:hAnsi="Verdana"/>
          <w:color w:val="000000" w:themeColor="text1"/>
          <w:lang w:val="es-ES"/>
        </w:rPr>
        <w:t xml:space="preserve">De esta manera, la Ley 80 de 1993 permite que dos o más personas naturales o jurídicas se agrupen para la presentación de una propuesta y la celebración de un contrato con una entidad estatal. En esto, los miembros del consorcio o la unión temporal conservan su individualidad jurídica, pues el proponente plural no genera una persona jurídica distinta a sus integrantes. </w:t>
      </w:r>
      <w:r w:rsidRPr="00F9120E">
        <w:rPr>
          <w:rFonts w:ascii="Verdana" w:eastAsia="Calibri" w:hAnsi="Verdana" w:cs="Arial"/>
          <w:color w:val="000000" w:themeColor="text1"/>
          <w:lang w:val="es-ES"/>
        </w:rPr>
        <w:t xml:space="preserve">Sin embargo, aunque no son personas jurídicas, son sujetos con capacidad para contratar, para ejecutar las obligaciones y recibir los derechos que emanan del contrato y para interrelacionarse con la Entidad Estatal contratante en todo lo relacionado con el objeto del contrato y su desarrollo. </w:t>
      </w:r>
    </w:p>
    <w:p w14:paraId="544C867D" w14:textId="77777777" w:rsidR="00D84E93" w:rsidRPr="00F9120E" w:rsidRDefault="00D84E93" w:rsidP="00D84E93">
      <w:pPr>
        <w:spacing w:before="120" w:after="120" w:line="276" w:lineRule="auto"/>
        <w:ind w:firstLine="708"/>
        <w:jc w:val="both"/>
        <w:rPr>
          <w:rFonts w:ascii="Verdana" w:hAnsi="Verdana"/>
          <w:color w:val="000000" w:themeColor="text1"/>
          <w:lang w:val="es-ES"/>
        </w:rPr>
      </w:pPr>
      <w:r w:rsidRPr="00F9120E">
        <w:rPr>
          <w:rFonts w:ascii="Verdana" w:eastAsia="Calibri" w:hAnsi="Verdana" w:cs="Arial"/>
          <w:lang w:val="es-ES"/>
        </w:rPr>
        <w:t xml:space="preserve">De lo anterior se deriva que el Estatuto General de Contratación de la Administración Pública contempla la participación de los proponentes plurales </w:t>
      </w:r>
      <w:r w:rsidRPr="00F9120E">
        <w:rPr>
          <w:rFonts w:ascii="Verdana" w:eastAsia="Calibri" w:hAnsi="Verdana" w:cs="Arial"/>
          <w:i/>
          <w:iCs/>
          <w:lang w:val="es-ES"/>
        </w:rPr>
        <w:t>conservando en todo caso su individualidad jurídica</w:t>
      </w:r>
      <w:r w:rsidRPr="00F9120E">
        <w:rPr>
          <w:rFonts w:ascii="Verdana" w:eastAsia="Calibri" w:hAnsi="Verdana" w:cs="Arial"/>
          <w:lang w:val="es-ES"/>
        </w:rPr>
        <w:t xml:space="preserve">, de modo que el proponente plural no constituye una persona en sí misma, sino que conserva la naturaleza de ser una agrupación de personas que ya existen. Como resultado de lo </w:t>
      </w:r>
      <w:r w:rsidRPr="00F9120E">
        <w:rPr>
          <w:rFonts w:ascii="Verdana" w:eastAsia="Calibri" w:hAnsi="Verdana" w:cs="Arial"/>
          <w:lang w:val="es-ES"/>
        </w:rPr>
        <w:lastRenderedPageBreak/>
        <w:t xml:space="preserve">anterior, los requisitos habilitantes de los proponentes plurales deben ser evaluados respecto </w:t>
      </w:r>
      <w:r w:rsidRPr="00F9120E">
        <w:rPr>
          <w:rFonts w:ascii="Verdana" w:eastAsia="Calibri" w:hAnsi="Verdana" w:cs="Arial"/>
          <w:i/>
          <w:iCs/>
          <w:lang w:val="es-ES"/>
        </w:rPr>
        <w:t>de cada miembro</w:t>
      </w:r>
      <w:r w:rsidRPr="00F9120E">
        <w:rPr>
          <w:rFonts w:ascii="Verdana" w:eastAsia="Calibri" w:hAnsi="Verdana" w:cs="Arial"/>
          <w:lang w:val="es-ES"/>
        </w:rPr>
        <w:t>, sin que ello desconozca la finalidad de esta figura, que es unir esfuerzos.</w:t>
      </w:r>
      <w:r w:rsidRPr="00F9120E">
        <w:rPr>
          <w:rFonts w:ascii="Verdana" w:hAnsi="Verdana"/>
          <w:color w:val="000000" w:themeColor="text1"/>
          <w:lang w:val="es-ES"/>
        </w:rPr>
        <w:t xml:space="preserve"> Así pues, la naturaleza jurídica de los consorcios supone que requisitos habilitantes como la capacidad </w:t>
      </w:r>
      <w:r>
        <w:rPr>
          <w:rFonts w:ascii="Verdana" w:hAnsi="Verdana"/>
          <w:color w:val="000000" w:themeColor="text1"/>
          <w:lang w:val="es-ES"/>
        </w:rPr>
        <w:t>jurídica</w:t>
      </w:r>
      <w:r w:rsidRPr="00F9120E">
        <w:rPr>
          <w:rFonts w:ascii="Verdana" w:hAnsi="Verdana"/>
          <w:color w:val="000000" w:themeColor="text1"/>
          <w:lang w:val="es-ES"/>
        </w:rPr>
        <w:t xml:space="preserve"> deba ser evaluada con respecto a cada uno de sus integrantes</w:t>
      </w:r>
      <w:r>
        <w:rPr>
          <w:rFonts w:ascii="Verdana" w:hAnsi="Verdana"/>
          <w:color w:val="000000" w:themeColor="text1"/>
          <w:lang w:val="es-ES"/>
        </w:rPr>
        <w:t>.</w:t>
      </w:r>
    </w:p>
    <w:p w14:paraId="16D04D98" w14:textId="77777777" w:rsidR="00D84E93" w:rsidRPr="00F9120E" w:rsidRDefault="00D84E93" w:rsidP="00D84E93">
      <w:pPr>
        <w:spacing w:before="120" w:after="120" w:line="276" w:lineRule="auto"/>
        <w:ind w:firstLine="709"/>
        <w:jc w:val="both"/>
        <w:rPr>
          <w:rFonts w:ascii="Verdana" w:eastAsia="Calibri" w:hAnsi="Verdana" w:cs="Arial"/>
          <w:lang w:val="es-ES"/>
        </w:rPr>
      </w:pPr>
      <w:r w:rsidRPr="00F9120E">
        <w:rPr>
          <w:rFonts w:ascii="Verdana" w:eastAsia="Calibri" w:hAnsi="Verdana" w:cs="Arial"/>
          <w:lang w:val="es-ES"/>
        </w:rPr>
        <w:t xml:space="preserve">En conclusión, </w:t>
      </w:r>
      <w:r>
        <w:rPr>
          <w:rFonts w:ascii="Verdana" w:eastAsia="Calibri" w:hAnsi="Verdana" w:cs="Arial"/>
          <w:lang w:val="es-ES"/>
        </w:rPr>
        <w:t>la capacidad jurídica del proponente plural será la capacidad jurídica que tenga cada uno de sus miembros, ya que se reitera que los proponentes plurales no tienen personería jurídica sino que actúan a través de sus miembros, y en la medida en que sus miembros tengan capacidad para contratar de acuerdo con su objeto social, y no se encuentren inmersos en causales de inhabilidad o incompatibilidad, el proponente plural tendrá esa capacidad y no podrá ser rechazada su oferta por este requisito habilitante, que es subsanable de acuerdo con lo expuesto aquí.</w:t>
      </w:r>
    </w:p>
    <w:p w14:paraId="503D6E13" w14:textId="77777777" w:rsidR="00D84E93" w:rsidRPr="007F7C2B" w:rsidRDefault="00D84E93" w:rsidP="00D84E93">
      <w:pPr>
        <w:widowControl w:val="0"/>
        <w:autoSpaceDE w:val="0"/>
        <w:autoSpaceDN w:val="0"/>
        <w:spacing w:after="120" w:line="276" w:lineRule="auto"/>
        <w:jc w:val="both"/>
        <w:rPr>
          <w:rFonts w:ascii="Verdana" w:eastAsia="Arial" w:hAnsi="Verdana" w:cs="Arial"/>
        </w:rPr>
      </w:pPr>
      <w:proofErr w:type="spellStart"/>
      <w:r w:rsidRPr="00227028">
        <w:rPr>
          <w:rFonts w:ascii="Verdana" w:hAnsi="Verdana"/>
          <w:color w:val="000000" w:themeColor="text1"/>
          <w:lang w:val="es-ES"/>
        </w:rPr>
        <w:t>iv</w:t>
      </w:r>
      <w:proofErr w:type="spellEnd"/>
      <w:r w:rsidRPr="00227028">
        <w:rPr>
          <w:rFonts w:ascii="Verdana" w:hAnsi="Verdana"/>
          <w:color w:val="000000" w:themeColor="text1"/>
          <w:lang w:val="es-ES"/>
        </w:rPr>
        <w:t>) Ahora bien, teniendo</w:t>
      </w:r>
      <w:r w:rsidRPr="00F9120E">
        <w:rPr>
          <w:rFonts w:ascii="Verdana" w:hAnsi="Verdana"/>
          <w:color w:val="000000" w:themeColor="text1"/>
          <w:lang w:val="es-ES"/>
        </w:rPr>
        <w:t xml:space="preserve"> en cuenta que su pregunta está relacionada con</w:t>
      </w:r>
      <w:r>
        <w:rPr>
          <w:rFonts w:ascii="Verdana" w:hAnsi="Verdana"/>
          <w:color w:val="000000" w:themeColor="text1"/>
          <w:lang w:val="es-ES"/>
        </w:rPr>
        <w:t xml:space="preserve"> la capacidad residual, </w:t>
      </w:r>
      <w:bookmarkStart w:id="3" w:name="_Hlk98159514"/>
      <w:r>
        <w:rPr>
          <w:rFonts w:ascii="Verdana" w:eastAsia="Arial" w:hAnsi="Verdana" w:cs="Arial"/>
        </w:rPr>
        <w:t>esta</w:t>
      </w:r>
      <w:r w:rsidRPr="007F7C2B">
        <w:rPr>
          <w:rFonts w:ascii="Verdana" w:eastAsia="Arial" w:hAnsi="Verdana" w:cs="Arial"/>
        </w:rPr>
        <w:t xml:space="preserve"> es una aptitud que se le exige a los oferentes en los procesos de selección de contratistas con el objetivo de establecer o determinar si éstos pueden o no cumplir de manera oportuna y a cabalidad con las obligaciones derivadas del contrato de obra pública, sin que los demás compromisos contractuales que hubieran adquirido afecten su capacidad para cumplir con el objeto del contrato que está en proceso de selección</w:t>
      </w:r>
      <w:r w:rsidRPr="007F7C2B">
        <w:rPr>
          <w:rFonts w:ascii="Verdana" w:eastAsia="Arial" w:hAnsi="Verdana" w:cs="Arial"/>
          <w:vertAlign w:val="superscript"/>
        </w:rPr>
        <w:footnoteReference w:id="19"/>
      </w:r>
      <w:r w:rsidRPr="007F7C2B">
        <w:rPr>
          <w:rFonts w:ascii="Verdana" w:eastAsia="Arial" w:hAnsi="Verdana" w:cs="Arial"/>
        </w:rPr>
        <w:t xml:space="preserve">. </w:t>
      </w:r>
      <w:bookmarkEnd w:id="3"/>
      <w:r w:rsidRPr="007F7C2B">
        <w:rPr>
          <w:rFonts w:ascii="Verdana" w:eastAsia="Arial" w:hAnsi="Verdana" w:cs="Arial"/>
        </w:rPr>
        <w:t>El Consejo de Estado ha definido la capacidad residual como: “la diferencia que existe entre el potencial de contratación que se tiene y los compromisos que haya adquirido y que se encuentren en ejecución, para la fecha de presentación de la oferta”</w:t>
      </w:r>
      <w:r w:rsidRPr="007F7C2B">
        <w:rPr>
          <w:rFonts w:ascii="Verdana" w:eastAsia="Arial" w:hAnsi="Verdana" w:cs="Arial"/>
          <w:vertAlign w:val="superscript"/>
        </w:rPr>
        <w:footnoteReference w:id="20"/>
      </w:r>
      <w:r w:rsidRPr="007F7C2B">
        <w:rPr>
          <w:rFonts w:ascii="Verdana" w:eastAsia="Arial" w:hAnsi="Verdana" w:cs="Arial"/>
        </w:rPr>
        <w:t>.</w:t>
      </w:r>
    </w:p>
    <w:p w14:paraId="5FB4AF09" w14:textId="77777777" w:rsidR="00D84E93" w:rsidRDefault="00D84E93" w:rsidP="00D84E93">
      <w:pPr>
        <w:widowControl w:val="0"/>
        <w:autoSpaceDE w:val="0"/>
        <w:autoSpaceDN w:val="0"/>
        <w:spacing w:after="0" w:line="276" w:lineRule="auto"/>
        <w:ind w:firstLine="709"/>
        <w:contextualSpacing/>
        <w:jc w:val="both"/>
        <w:rPr>
          <w:rFonts w:ascii="Verdana" w:eastAsia="Arial" w:hAnsi="Verdana" w:cs="Arial"/>
        </w:rPr>
      </w:pPr>
      <w:bookmarkStart w:id="4" w:name="_Hlk98159554"/>
      <w:bookmarkStart w:id="5" w:name="_Hlk97545054"/>
      <w:r w:rsidRPr="007F7C2B">
        <w:rPr>
          <w:rFonts w:ascii="Verdana" w:eastAsia="Arial" w:hAnsi="Verdana" w:cs="Arial"/>
        </w:rPr>
        <w:t>Por su parte, esta Agencia, en los conceptos C-033 del 25 de marzo de 2021 y C-143 del 9 de abril de 2021, definió la capacidad residual como la suficiencia que se predica del proponente para asumir nuevas obligaciones que se derivan del contrato objeto del proceso de contratación, en relación con las obligaciones que ha adquirido simultáneamente en contratos ya perfeccionados y en ejecución.</w:t>
      </w:r>
      <w:bookmarkEnd w:id="4"/>
      <w:r w:rsidRPr="007F7C2B">
        <w:rPr>
          <w:rFonts w:ascii="Verdana" w:eastAsia="Arial" w:hAnsi="Verdana" w:cs="Arial"/>
        </w:rPr>
        <w:t xml:space="preserve"> </w:t>
      </w:r>
      <w:bookmarkEnd w:id="5"/>
      <w:r w:rsidRPr="007F7C2B">
        <w:rPr>
          <w:rFonts w:ascii="Verdana" w:eastAsia="Arial" w:hAnsi="Verdana" w:cs="Arial"/>
        </w:rPr>
        <w:t>La exigencia de la capacidad residual o K de contratación está regulada en la Ley 1150 de 2007, que en el parágrafo 1° del artículo 6 dispone:</w:t>
      </w:r>
    </w:p>
    <w:p w14:paraId="31ABC7D5" w14:textId="77777777" w:rsidR="00D84E93" w:rsidRPr="001D317C" w:rsidRDefault="00D84E93" w:rsidP="00D84E93">
      <w:pPr>
        <w:widowControl w:val="0"/>
        <w:autoSpaceDE w:val="0"/>
        <w:autoSpaceDN w:val="0"/>
        <w:spacing w:after="0" w:line="276" w:lineRule="auto"/>
        <w:ind w:firstLine="709"/>
        <w:contextualSpacing/>
        <w:jc w:val="both"/>
        <w:rPr>
          <w:rFonts w:ascii="Verdana" w:eastAsia="Arial" w:hAnsi="Verdana" w:cs="Arial"/>
        </w:rPr>
      </w:pPr>
    </w:p>
    <w:p w14:paraId="261E0EDF"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“Para poder participar en los procesos de selección de los contratos de obra y demás que señale el reglamento, la capacidad residual del </w:t>
      </w:r>
      <w:r w:rsidRPr="00D67434">
        <w:rPr>
          <w:rFonts w:ascii="Verdana" w:eastAsia="Calibri" w:hAnsi="Verdana" w:cs="Arial"/>
          <w:color w:val="000000"/>
          <w:sz w:val="20"/>
          <w:szCs w:val="20"/>
          <w:lang w:val="es-ES"/>
        </w:rPr>
        <w:lastRenderedPageBreak/>
        <w:t>proponente o K de contratación deberá ser igual o superior al que la entidad haya establecido para el efecto en los pliegos de condiciones.</w:t>
      </w:r>
    </w:p>
    <w:p w14:paraId="6A2D4857"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663D2ECF"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5439A90B" w14:textId="77777777" w:rsidR="00D84E93" w:rsidRPr="007F7C2B" w:rsidRDefault="00D84E93" w:rsidP="00D84E93">
      <w:pPr>
        <w:widowControl w:val="0"/>
        <w:autoSpaceDE w:val="0"/>
        <w:autoSpaceDN w:val="0"/>
        <w:spacing w:after="0" w:line="276" w:lineRule="auto"/>
        <w:contextualSpacing/>
        <w:jc w:val="both"/>
        <w:rPr>
          <w:rFonts w:ascii="Verdana" w:eastAsia="Arial" w:hAnsi="Verdana" w:cs="Arial"/>
          <w:color w:val="FF0000"/>
          <w:lang w:val="es-ES"/>
        </w:rPr>
      </w:pPr>
    </w:p>
    <w:p w14:paraId="4316EFC6"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rPr>
      </w:pPr>
      <w:r w:rsidRPr="007F7C2B">
        <w:rPr>
          <w:rFonts w:ascii="Verdana" w:eastAsia="Arial" w:hAnsi="Verdana" w:cs="Arial"/>
        </w:rPr>
        <w:t>Con posterioridad, el artículo 72 de la Ley 1682 de 2013 estableció, de forma más precisa, los componentes que se deben tener en cuenta para calcular la capacidad residual en procesos contractuales de obra pública de la siguiente forma:</w:t>
      </w:r>
    </w:p>
    <w:p w14:paraId="61F96488" w14:textId="77777777" w:rsidR="00D84E93" w:rsidRPr="007F7C2B" w:rsidRDefault="00D84E93" w:rsidP="00D84E93">
      <w:pPr>
        <w:widowControl w:val="0"/>
        <w:autoSpaceDE w:val="0"/>
        <w:autoSpaceDN w:val="0"/>
        <w:spacing w:after="0" w:line="276" w:lineRule="auto"/>
        <w:contextualSpacing/>
        <w:jc w:val="both"/>
        <w:rPr>
          <w:rFonts w:ascii="Verdana" w:eastAsia="Arial" w:hAnsi="Verdana" w:cs="Arial"/>
          <w:color w:val="FF0000"/>
          <w:lang w:val="es-ES"/>
        </w:rPr>
      </w:pPr>
    </w:p>
    <w:p w14:paraId="37929AEF"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“Capacidad residual de contratación para contratos de obra pública. La capacidad residual de contratación cuando se realicen contratos de obra pública se obtendrá de sustraer de la capacidad de contratación, el saldo del valor de los contratos en ejecución.</w:t>
      </w:r>
    </w:p>
    <w:p w14:paraId="0E4EA163"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79920F47"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La capacidad de contratación se deberá calcular mediante la evaluación de los siguientes factores: Experiencia (E), Capacidad Financiera (CF), Capacidad Técnica (CT), y Capacidad de Organización (CO).</w:t>
      </w:r>
    </w:p>
    <w:p w14:paraId="73611F76"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7000D7B1"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El Gobierno Nacional reglamentará la materia, dentro de los sesenta (60) días siguientes a la promulgación de la presente ley, acudiendo al concepto técnico de la Sociedad Colombiana de ingenieros, en virtud de la Ley 46 de 1904, para propender por una reglamentación equitativa en la implementación de mínimos y máximos que garanticen los derechos de los pequeños contratistas”. </w:t>
      </w:r>
    </w:p>
    <w:p w14:paraId="6B5F9BCE" w14:textId="77777777" w:rsidR="00D84E93" w:rsidRPr="007F7C2B" w:rsidRDefault="00D84E93" w:rsidP="00D84E93">
      <w:pPr>
        <w:widowControl w:val="0"/>
        <w:autoSpaceDE w:val="0"/>
        <w:autoSpaceDN w:val="0"/>
        <w:spacing w:after="0" w:line="276" w:lineRule="auto"/>
        <w:contextualSpacing/>
        <w:jc w:val="both"/>
        <w:rPr>
          <w:rFonts w:ascii="Verdana" w:eastAsia="Arial" w:hAnsi="Verdana" w:cs="Arial"/>
          <w:color w:val="FF0000"/>
          <w:lang w:val="es-ES"/>
        </w:rPr>
      </w:pPr>
    </w:p>
    <w:p w14:paraId="4DE92D70" w14:textId="77777777" w:rsidR="00D84E93" w:rsidRPr="007F7C2B" w:rsidRDefault="00D84E93" w:rsidP="00D84E93">
      <w:pPr>
        <w:widowControl w:val="0"/>
        <w:tabs>
          <w:tab w:val="left" w:pos="3119"/>
        </w:tabs>
        <w:autoSpaceDE w:val="0"/>
        <w:autoSpaceDN w:val="0"/>
        <w:spacing w:after="0" w:line="276" w:lineRule="auto"/>
        <w:ind w:firstLine="709"/>
        <w:contextualSpacing/>
        <w:jc w:val="both"/>
        <w:rPr>
          <w:rFonts w:ascii="Verdana" w:eastAsia="Arial" w:hAnsi="Verdana" w:cs="Arial"/>
        </w:rPr>
      </w:pPr>
      <w:r w:rsidRPr="007F7C2B">
        <w:rPr>
          <w:rFonts w:ascii="Verdana" w:eastAsia="Arial" w:hAnsi="Verdana" w:cs="Arial"/>
        </w:rPr>
        <w:t>Más tarde, el Decreto 1510 de 2013 recogió lo regulado en la Ley 1682 de 2013, y estableció una nueva definición de la capacidad residual en su artículo 3, señalando lo siguiente:</w:t>
      </w:r>
    </w:p>
    <w:p w14:paraId="0581086B" w14:textId="77777777" w:rsidR="00D84E93" w:rsidRPr="007F7C2B" w:rsidRDefault="00D84E93" w:rsidP="00D84E93">
      <w:pPr>
        <w:widowControl w:val="0"/>
        <w:autoSpaceDE w:val="0"/>
        <w:autoSpaceDN w:val="0"/>
        <w:spacing w:after="0" w:line="276" w:lineRule="auto"/>
        <w:contextualSpacing/>
        <w:jc w:val="both"/>
        <w:rPr>
          <w:rFonts w:ascii="Verdana" w:eastAsia="Arial" w:hAnsi="Verdana" w:cs="Arial"/>
          <w:lang w:val="es-ES"/>
        </w:rPr>
      </w:pPr>
    </w:p>
    <w:p w14:paraId="422CA579"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“Artículo 3. Definiciones. Los términos no definidos en el presente decreto y utilizados frecuentemente deben entenderse de acuerdo con su significado natural y obvio. Para la interpretación del presente decreto, las expresiones aquí utilizadas con mayúscula inicial deben ser entendidas con el significado que a continuación se indica. Los términos definidos son utilizados en singular y en plural de acuerdo como lo requiera el contexto en el cual son utilizados.</w:t>
      </w:r>
    </w:p>
    <w:p w14:paraId="45D4DA10"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11BE801E"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i/>
          <w:iCs/>
          <w:color w:val="000000"/>
          <w:sz w:val="20"/>
          <w:szCs w:val="20"/>
          <w:lang w:val="es-ES"/>
        </w:rPr>
        <w:lastRenderedPageBreak/>
        <w:t>Capacidad Residual o K de Contratación es la aptitud de un oferente para cumplir oportuna y cabalmente con el objeto de un contrato de obra, sin que sus otros compromisos contractuales afecten su habilidad de cumplir con el contrato que está en proceso de selección”.</w:t>
      </w:r>
      <w:r w:rsidRPr="00D67434">
        <w:rPr>
          <w:rFonts w:ascii="Verdana" w:eastAsia="Calibri" w:hAnsi="Verdana" w:cs="Arial"/>
          <w:color w:val="000000"/>
          <w:sz w:val="20"/>
          <w:szCs w:val="20"/>
          <w:lang w:val="es-ES"/>
        </w:rPr>
        <w:t xml:space="preserve"> (Cursiva fuera del texto original). </w:t>
      </w:r>
    </w:p>
    <w:p w14:paraId="5445AC61" w14:textId="77777777" w:rsidR="00D84E93" w:rsidRPr="007F7C2B" w:rsidRDefault="00D84E93" w:rsidP="00D84E93">
      <w:pPr>
        <w:widowControl w:val="0"/>
        <w:autoSpaceDE w:val="0"/>
        <w:autoSpaceDN w:val="0"/>
        <w:spacing w:after="0" w:line="276" w:lineRule="auto"/>
        <w:ind w:left="1008" w:right="956"/>
        <w:contextualSpacing/>
        <w:jc w:val="both"/>
        <w:rPr>
          <w:rFonts w:ascii="Verdana" w:eastAsia="Arial" w:hAnsi="Verdana" w:cs="Arial"/>
          <w:lang w:val="es-ES"/>
        </w:rPr>
      </w:pPr>
    </w:p>
    <w:p w14:paraId="0FF2E8E5" w14:textId="77777777" w:rsidR="00D84E93" w:rsidRPr="007F7C2B" w:rsidRDefault="00D84E93" w:rsidP="00D84E93">
      <w:pPr>
        <w:widowControl w:val="0"/>
        <w:autoSpaceDE w:val="0"/>
        <w:autoSpaceDN w:val="0"/>
        <w:spacing w:after="120" w:line="276" w:lineRule="auto"/>
        <w:ind w:firstLine="709"/>
        <w:jc w:val="both"/>
        <w:rPr>
          <w:rFonts w:ascii="Verdana" w:eastAsia="Arial" w:hAnsi="Verdana" w:cs="Arial"/>
        </w:rPr>
      </w:pPr>
      <w:r w:rsidRPr="007F7C2B">
        <w:rPr>
          <w:rFonts w:ascii="Verdana" w:eastAsia="Arial" w:hAnsi="Verdana" w:cs="Arial"/>
        </w:rPr>
        <w:t xml:space="preserve">Finalmente, el artículo anterior fue modificado por el artículo 1 del Decreto 791 de 2014 y compilado en el Decreto 1082 de 2015, Único del Sector de Planeación Nacional. En consecuencia, el texto definitivo que se encuentra vigente en la actualidad es el contenido en los artículos 2.2.1.1.1.3.1 y 2.2.1.1.1.6.4. del Decreto 1082 de 2015, que recoge el desarrollo legislativo de la capacidad residual, en especial los componentes establecidos por la Ley 1682 de 2013. </w:t>
      </w:r>
    </w:p>
    <w:p w14:paraId="74DD62FE" w14:textId="77777777" w:rsidR="00D84E93" w:rsidRPr="007F7C2B" w:rsidRDefault="00D84E93" w:rsidP="00D84E93">
      <w:pPr>
        <w:widowControl w:val="0"/>
        <w:autoSpaceDE w:val="0"/>
        <w:autoSpaceDN w:val="0"/>
        <w:spacing w:after="120" w:line="276" w:lineRule="auto"/>
        <w:ind w:firstLine="709"/>
        <w:jc w:val="both"/>
        <w:rPr>
          <w:rFonts w:ascii="Verdana" w:eastAsia="Arial" w:hAnsi="Verdana" w:cs="Arial"/>
        </w:rPr>
      </w:pPr>
      <w:r w:rsidRPr="007F7C2B">
        <w:rPr>
          <w:rFonts w:ascii="Verdana" w:eastAsia="Arial" w:hAnsi="Verdana" w:cs="Arial"/>
        </w:rPr>
        <w:t xml:space="preserve">Por un lado, 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p>
    <w:p w14:paraId="6C2BA740"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rPr>
      </w:pPr>
      <w:r w:rsidRPr="007F7C2B">
        <w:rPr>
          <w:rFonts w:ascii="Verdana" w:eastAsia="Arial" w:hAnsi="Verdana" w:cs="Arial"/>
        </w:rPr>
        <w:t xml:space="preserve">Por su parte, el artículo 2.2.1.1.1.6.4. del Decreto 1082 de 2015 señala la información que debe entregar el proponente interesado en un proceso de contratación para acreditar su Capacidad Residual, de la siguiente forma: </w:t>
      </w:r>
    </w:p>
    <w:p w14:paraId="61BC418D"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lang w:val="es-ES"/>
        </w:rPr>
      </w:pPr>
    </w:p>
    <w:p w14:paraId="0E2BAF71"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3CF64723"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4F13CF53"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1. </w:t>
      </w:r>
      <w:r w:rsidRPr="00D67434">
        <w:rPr>
          <w:rFonts w:ascii="Verdana" w:eastAsia="Calibri" w:hAnsi="Verdana" w:cs="Arial"/>
          <w:i/>
          <w:iCs/>
          <w:color w:val="000000"/>
          <w:sz w:val="20"/>
          <w:szCs w:val="20"/>
          <w:lang w:val="es-ES"/>
        </w:rPr>
        <w:t>La lista de los contratos de obras civiles en ejecución suscritos con Entidades Estatales y con entidades privadas</w:t>
      </w:r>
      <w:r w:rsidRPr="00D67434">
        <w:rPr>
          <w:rFonts w:ascii="Verdana" w:eastAsia="Calibri" w:hAnsi="Verdana" w:cs="Arial"/>
          <w:color w:val="000000"/>
          <w:sz w:val="20"/>
          <w:szCs w:val="20"/>
          <w:lang w:val="es-ES"/>
        </w:rPr>
        <w:t>, así como el valor y plazo de tales contratos, incluyendo contratos de concesión y los contratos de obra suscritos con concesionarios.  </w:t>
      </w:r>
    </w:p>
    <w:p w14:paraId="4605732D"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5A205EE3"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2. </w:t>
      </w:r>
      <w:r w:rsidRPr="00D67434">
        <w:rPr>
          <w:rFonts w:ascii="Verdana" w:eastAsia="Calibri" w:hAnsi="Verdana" w:cs="Arial"/>
          <w:i/>
          <w:iCs/>
          <w:color w:val="000000"/>
          <w:sz w:val="20"/>
          <w:szCs w:val="20"/>
          <w:lang w:val="es-ES"/>
        </w:rPr>
        <w:t>La lista de los contratos de obras civiles en ejecución, suscritos por sociedades, consorcios o uniones temporales, en los cuales el proponente tenga participación, con Entidades Estatales y con entidades privadas</w:t>
      </w:r>
      <w:r w:rsidRPr="00D67434">
        <w:rPr>
          <w:rFonts w:ascii="Verdana" w:eastAsia="Calibri" w:hAnsi="Verdana" w:cs="Arial"/>
          <w:color w:val="000000"/>
          <w:sz w:val="20"/>
          <w:szCs w:val="20"/>
          <w:lang w:val="es-ES"/>
        </w:rPr>
        <w:t>, así como el valor y plazo de tales contratos, incluyendo los contratos de concesión y los contratos de obra suscritos con concesionarios. […]”. (Cursivas fuera del texto original).</w:t>
      </w:r>
    </w:p>
    <w:p w14:paraId="26E506A1" w14:textId="77777777" w:rsidR="00D84E93" w:rsidRPr="00D67434" w:rsidRDefault="00D84E93" w:rsidP="00D84E93">
      <w:pPr>
        <w:spacing w:after="0" w:line="276" w:lineRule="auto"/>
        <w:ind w:left="850" w:right="850"/>
        <w:contextualSpacing/>
        <w:jc w:val="both"/>
        <w:rPr>
          <w:rFonts w:ascii="Verdana" w:eastAsia="Calibri" w:hAnsi="Verdana" w:cs="Arial"/>
          <w:i/>
          <w:iCs/>
          <w:color w:val="FF0000"/>
          <w:sz w:val="20"/>
          <w:szCs w:val="20"/>
          <w:lang w:eastAsia="es-CO"/>
        </w:rPr>
      </w:pPr>
    </w:p>
    <w:p w14:paraId="3B3C1200" w14:textId="77777777" w:rsidR="00D84E93" w:rsidRPr="007F7C2B" w:rsidRDefault="00D84E93" w:rsidP="00D84E93">
      <w:pPr>
        <w:widowControl w:val="0"/>
        <w:autoSpaceDE w:val="0"/>
        <w:autoSpaceDN w:val="0"/>
        <w:spacing w:after="120" w:line="276" w:lineRule="auto"/>
        <w:ind w:firstLine="709"/>
        <w:jc w:val="both"/>
        <w:rPr>
          <w:rFonts w:ascii="Verdana" w:eastAsia="Arial" w:hAnsi="Verdana" w:cs="Arial"/>
        </w:rPr>
      </w:pPr>
      <w:r w:rsidRPr="007F7C2B">
        <w:rPr>
          <w:rFonts w:ascii="Verdana" w:eastAsia="Arial" w:hAnsi="Verdana" w:cs="Arial"/>
        </w:rPr>
        <w:t xml:space="preserve">El artículo citado establece que el interesado debe allegar la lista de contratos, concretamente, de obras civiles, suscritos con entidades públicas o </w:t>
      </w:r>
      <w:r w:rsidRPr="007F7C2B">
        <w:rPr>
          <w:rFonts w:ascii="Verdana" w:eastAsia="Arial" w:hAnsi="Verdana" w:cs="Arial"/>
        </w:rPr>
        <w:lastRenderedPageBreak/>
        <w:t xml:space="preserve">con privados, limitando de esta forma los contratos a tener en cuenta para calcular la capacidad residual de un proponente únicamente a los contratos de obra y excluyendo para su cálculo los contratos de otra tipología diferente; sin perjuicio de lo establecido en relación con los contratos de concesión.    </w:t>
      </w:r>
    </w:p>
    <w:p w14:paraId="0A8B56BB" w14:textId="77777777" w:rsidR="00D84E93" w:rsidRPr="007F7C2B" w:rsidRDefault="00D84E93" w:rsidP="00D84E93">
      <w:pPr>
        <w:widowControl w:val="0"/>
        <w:autoSpaceDE w:val="0"/>
        <w:autoSpaceDN w:val="0"/>
        <w:spacing w:after="120" w:line="276" w:lineRule="auto"/>
        <w:ind w:firstLine="709"/>
        <w:jc w:val="both"/>
        <w:rPr>
          <w:rFonts w:ascii="Verdana" w:eastAsia="Arial" w:hAnsi="Verdana" w:cs="Arial"/>
        </w:rPr>
      </w:pPr>
      <w:bookmarkStart w:id="6" w:name="_Hlk98159579"/>
      <w:bookmarkStart w:id="7" w:name="_Hlk97547169"/>
      <w:r w:rsidRPr="007F7C2B">
        <w:rPr>
          <w:rFonts w:ascii="Verdana" w:eastAsia="Arial" w:hAnsi="Verdana" w:cs="Arial"/>
        </w:rPr>
        <w:t>Del recuento realizado hasta aquí se concluye que la capacidad residual se entiende como la suficiencia que se predica del proponente para asumir y cumplir de manera oportuna y a cabalidad con las nuevas obligaciones que se derivan del contrato objeto del proceso de contratación, en relación con las obligaciones que ha adquirido simultáneamente en otros contratos. Así mismo, de acuerdo con la reglamentación vigente, para su cálculo se tienen en cuenta solamente los contratos de obras civiles, por lo cual, el interesado deberá aportar únicamente los documentos de los contratos en ejecución de este tipo</w:t>
      </w:r>
      <w:bookmarkEnd w:id="6"/>
      <w:r w:rsidRPr="007F7C2B">
        <w:rPr>
          <w:rFonts w:ascii="Verdana" w:eastAsia="Arial" w:hAnsi="Verdana" w:cs="Arial"/>
        </w:rPr>
        <w:t xml:space="preserve">, conforme se procede a exponer. </w:t>
      </w:r>
    </w:p>
    <w:bookmarkEnd w:id="7"/>
    <w:p w14:paraId="1E8AF769" w14:textId="77777777" w:rsidR="00D84E93" w:rsidRPr="007F7C2B" w:rsidRDefault="00D84E93" w:rsidP="00D84E93">
      <w:pPr>
        <w:widowControl w:val="0"/>
        <w:autoSpaceDE w:val="0"/>
        <w:autoSpaceDN w:val="0"/>
        <w:spacing w:after="120" w:line="276" w:lineRule="auto"/>
        <w:ind w:firstLine="708"/>
        <w:contextualSpacing/>
        <w:jc w:val="both"/>
        <w:rPr>
          <w:rFonts w:ascii="Verdana" w:eastAsia="Arial" w:hAnsi="Verdana" w:cs="Arial"/>
        </w:rPr>
      </w:pPr>
      <w:r w:rsidRPr="007F7C2B">
        <w:rPr>
          <w:rFonts w:ascii="Verdana" w:eastAsia="Arial" w:hAnsi="Verdana" w:cs="Arial"/>
        </w:rPr>
        <w:t xml:space="preserve">El artículo 72 de la Ley 1682 de 2013, por la cual se adoptan medidas y disposiciones para los proyectos de infraestructura de transporte, establece frente a la forma en que se calcula la capacidad residual: </w:t>
      </w:r>
    </w:p>
    <w:p w14:paraId="544248D1" w14:textId="77777777" w:rsidR="00D84E93" w:rsidRPr="00D67434" w:rsidRDefault="00D84E93" w:rsidP="00D84E93">
      <w:pPr>
        <w:widowControl w:val="0"/>
        <w:autoSpaceDE w:val="0"/>
        <w:autoSpaceDN w:val="0"/>
        <w:spacing w:after="0" w:line="276" w:lineRule="auto"/>
        <w:contextualSpacing/>
        <w:jc w:val="both"/>
        <w:rPr>
          <w:rFonts w:ascii="Verdana" w:eastAsia="Arial" w:hAnsi="Verdana" w:cs="Arial"/>
          <w:sz w:val="20"/>
          <w:szCs w:val="20"/>
        </w:rPr>
      </w:pPr>
    </w:p>
    <w:p w14:paraId="0DF05352"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“La capacidad residual de contratación cuando se realicen contratos de obra pública se obtendrá de sustraer de la capacidad de contratación, el saldo del valor de los contratos en ejecución.</w:t>
      </w:r>
    </w:p>
    <w:p w14:paraId="57B918A6"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72F38A6B"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La capacidad de contratación se deberá calcular mediante la evaluación de los siguientes factores: Experiencia (E), Capacidad Financiera (CF), Capacidad Técnica (CT), y Capacidad de Organización (CO) […]”. </w:t>
      </w:r>
    </w:p>
    <w:p w14:paraId="04121D37" w14:textId="77777777" w:rsidR="00D84E93" w:rsidRPr="007F7C2B" w:rsidRDefault="00D84E93" w:rsidP="00D84E93">
      <w:pPr>
        <w:widowControl w:val="0"/>
        <w:autoSpaceDE w:val="0"/>
        <w:autoSpaceDN w:val="0"/>
        <w:spacing w:after="0" w:line="240" w:lineRule="auto"/>
        <w:ind w:left="709" w:right="709"/>
        <w:contextualSpacing/>
        <w:jc w:val="both"/>
        <w:rPr>
          <w:rFonts w:ascii="Verdana" w:eastAsia="Arial" w:hAnsi="Verdana" w:cs="Arial"/>
          <w:lang w:val="es-ES"/>
        </w:rPr>
      </w:pPr>
    </w:p>
    <w:p w14:paraId="45F781A6"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rPr>
      </w:pPr>
      <w:r w:rsidRPr="007F7C2B">
        <w:rPr>
          <w:rFonts w:ascii="Verdana" w:eastAsia="Arial" w:hAnsi="Verdana" w:cs="Arial"/>
        </w:rPr>
        <w:t xml:space="preserve">Por su parte, </w:t>
      </w:r>
      <w:bookmarkStart w:id="8" w:name="_Hlk97547683"/>
      <w:r w:rsidRPr="007F7C2B">
        <w:rPr>
          <w:rFonts w:ascii="Verdana" w:eastAsia="Arial" w:hAnsi="Verdana" w:cs="Arial"/>
        </w:rPr>
        <w:t xml:space="preserve">el artículo 2.2.1.1.1.6.4 del Decreto 1082 de 2015 dispuso que las entidades estatales deben calcular la capacidad residual conforme a la metodología definida por Colombia Compre Eficiente y precisó que, para tales fines, resulta necesario tener en cuenta los factores de: i) experiencia; </w:t>
      </w:r>
      <w:proofErr w:type="spellStart"/>
      <w:r w:rsidRPr="007F7C2B">
        <w:rPr>
          <w:rFonts w:ascii="Verdana" w:eastAsia="Arial" w:hAnsi="Verdana" w:cs="Arial"/>
        </w:rPr>
        <w:t>ii</w:t>
      </w:r>
      <w:proofErr w:type="spellEnd"/>
      <w:r w:rsidRPr="007F7C2B">
        <w:rPr>
          <w:rFonts w:ascii="Verdana" w:eastAsia="Arial" w:hAnsi="Verdana" w:cs="Arial"/>
        </w:rPr>
        <w:t xml:space="preserve">) capacidad financiera; </w:t>
      </w:r>
      <w:proofErr w:type="spellStart"/>
      <w:r w:rsidRPr="007F7C2B">
        <w:rPr>
          <w:rFonts w:ascii="Verdana" w:eastAsia="Arial" w:hAnsi="Verdana" w:cs="Arial"/>
        </w:rPr>
        <w:t>iii</w:t>
      </w:r>
      <w:proofErr w:type="spellEnd"/>
      <w:r w:rsidRPr="007F7C2B">
        <w:rPr>
          <w:rFonts w:ascii="Verdana" w:eastAsia="Arial" w:hAnsi="Verdana" w:cs="Arial"/>
        </w:rPr>
        <w:t xml:space="preserve">) capacidad técnica; </w:t>
      </w:r>
      <w:proofErr w:type="spellStart"/>
      <w:r w:rsidRPr="007F7C2B">
        <w:rPr>
          <w:rFonts w:ascii="Verdana" w:eastAsia="Arial" w:hAnsi="Verdana" w:cs="Arial"/>
        </w:rPr>
        <w:t>iv</w:t>
      </w:r>
      <w:proofErr w:type="spellEnd"/>
      <w:r w:rsidRPr="007F7C2B">
        <w:rPr>
          <w:rFonts w:ascii="Verdana" w:eastAsia="Arial" w:hAnsi="Verdana" w:cs="Arial"/>
        </w:rPr>
        <w:t>) capacidad de organización; y v) los saldos de los contratos en ejecución</w:t>
      </w:r>
      <w:bookmarkEnd w:id="8"/>
      <w:r w:rsidRPr="007F7C2B">
        <w:rPr>
          <w:rFonts w:ascii="Verdana" w:eastAsia="Arial" w:hAnsi="Verdana" w:cs="Arial"/>
        </w:rPr>
        <w:t>, así:</w:t>
      </w:r>
    </w:p>
    <w:p w14:paraId="43359FC3" w14:textId="77777777" w:rsidR="00D84E93" w:rsidRPr="007F7C2B" w:rsidRDefault="00D84E93" w:rsidP="00D84E93">
      <w:pPr>
        <w:widowControl w:val="0"/>
        <w:autoSpaceDE w:val="0"/>
        <w:autoSpaceDN w:val="0"/>
        <w:spacing w:after="0" w:line="276" w:lineRule="auto"/>
        <w:ind w:right="49"/>
        <w:contextualSpacing/>
        <w:jc w:val="both"/>
        <w:rPr>
          <w:rFonts w:ascii="Verdana" w:eastAsia="Arial" w:hAnsi="Verdana" w:cs="Arial"/>
        </w:rPr>
      </w:pPr>
    </w:p>
    <w:p w14:paraId="7B3EC93D"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“El interesado en celebrar contratos de obra pública con Entidades Estatales debe acreditar su Capacidad Residual o K de Contratación con los siguientes documentos: </w:t>
      </w:r>
    </w:p>
    <w:p w14:paraId="32BB1B5A"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w:t>
      </w:r>
    </w:p>
    <w:p w14:paraId="4F151EA4"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La Entidad Estatal debe calcular la Capacidad Residual del proponente de acuerdo con la metodología que defina Colombia Compra Eficiente, </w:t>
      </w:r>
      <w:r w:rsidRPr="00D67434">
        <w:rPr>
          <w:rFonts w:ascii="Verdana" w:eastAsia="Calibri" w:hAnsi="Verdana" w:cs="Arial"/>
          <w:color w:val="000000"/>
          <w:sz w:val="20"/>
          <w:szCs w:val="20"/>
          <w:lang w:val="es-ES"/>
        </w:rPr>
        <w:lastRenderedPageBreak/>
        <w:t xml:space="preserve">teniendo en cuenta los factores de: Experiencia (E), Capacidad Financiera (CF), Capacidad Técnica (CT), Capacidad de Organización (CO), y los saldos de los contratos en ejecución (SCE)”. </w:t>
      </w:r>
    </w:p>
    <w:p w14:paraId="78455656" w14:textId="77777777" w:rsidR="00D84E93" w:rsidRPr="007F7C2B" w:rsidRDefault="00D84E93" w:rsidP="00D84E93">
      <w:pPr>
        <w:widowControl w:val="0"/>
        <w:autoSpaceDE w:val="0"/>
        <w:autoSpaceDN w:val="0"/>
        <w:spacing w:after="0" w:line="276" w:lineRule="auto"/>
        <w:ind w:right="49"/>
        <w:contextualSpacing/>
        <w:jc w:val="both"/>
        <w:rPr>
          <w:rFonts w:ascii="Verdana" w:eastAsia="Arial" w:hAnsi="Verdana" w:cs="Arial"/>
          <w:color w:val="FF0000"/>
        </w:rPr>
      </w:pPr>
    </w:p>
    <w:p w14:paraId="170E1C81"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rPr>
      </w:pPr>
      <w:bookmarkStart w:id="9" w:name="_Hlk98159657"/>
      <w:bookmarkStart w:id="10" w:name="_Hlk97547847"/>
      <w:r w:rsidRPr="007F7C2B">
        <w:rPr>
          <w:rFonts w:ascii="Verdana" w:eastAsia="Arial" w:hAnsi="Verdana" w:cs="Arial"/>
        </w:rPr>
        <w:t>Así mismo, esta Agencia expidió la “Guía para Determinar y Verificar la Capacidad Residual del Proponente en los Procesos de Contratación de Obra Pública”, en la cual dispone, entre otras cuestiones, que a la entidad contratante le corresponde, primero, establecer la capacidad residual del proceso de contratación “CRPC” y, segundo, determinar si los proponentes cumplen con la capacidad residual del proceso de contratación</w:t>
      </w:r>
      <w:bookmarkEnd w:id="9"/>
      <w:r w:rsidRPr="007F7C2B">
        <w:rPr>
          <w:rFonts w:ascii="Verdana" w:eastAsia="Arial" w:hAnsi="Verdana" w:cs="Arial"/>
        </w:rPr>
        <w:t>, teniendo en cuenta la siguiente información aportada por el proponente:</w:t>
      </w:r>
    </w:p>
    <w:p w14:paraId="13682CB3" w14:textId="77777777" w:rsidR="00D84E93" w:rsidRPr="00D67434" w:rsidRDefault="00D84E93" w:rsidP="00D84E93">
      <w:pPr>
        <w:widowControl w:val="0"/>
        <w:autoSpaceDE w:val="0"/>
        <w:autoSpaceDN w:val="0"/>
        <w:spacing w:after="0" w:line="276" w:lineRule="auto"/>
        <w:ind w:left="709" w:right="760"/>
        <w:contextualSpacing/>
        <w:jc w:val="both"/>
        <w:rPr>
          <w:rFonts w:ascii="Verdana" w:eastAsia="Arial" w:hAnsi="Verdana" w:cs="Arial"/>
          <w:sz w:val="20"/>
          <w:szCs w:val="20"/>
        </w:rPr>
      </w:pPr>
    </w:p>
    <w:p w14:paraId="1E878C79" w14:textId="77777777" w:rsidR="00D84E93"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“El proponente debe presentar un certificado suscrito por su representante legal y su revisor fiscal, si el proponente está obligado a tenerlo, o por el Contador Público o auditor independiente, para lo cual se sugiere el formato establecido en el Anexo 3 de la presente Guía.  El certificado deberá contener la lista de los Contratos en Ejecución, tanto a nivel nacional como internacional, indicando:  </w:t>
      </w:r>
    </w:p>
    <w:p w14:paraId="5124AF56"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0767449F"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El valor del contrato en pesos colombianos.  </w:t>
      </w:r>
    </w:p>
    <w:p w14:paraId="1FC03B17"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El plazo de ejecución del contrato en meses.  </w:t>
      </w:r>
    </w:p>
    <w:p w14:paraId="2CA7A518"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La fecha de inicio de las obras objeto del contrato: día, mes, año.  </w:t>
      </w:r>
    </w:p>
    <w:p w14:paraId="367544FD"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Si la obra la ejecuta un consorcio o unión temporal, el porcentaje de participación del oferente que presenta el certificado.  </w:t>
      </w:r>
    </w:p>
    <w:p w14:paraId="4BE46B63"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Si el contrato se encuentra suspendido, y si es así, la fecha de suspensión. En todo caso, si el contrato está suspendido el proponente debe informar el saldo pendiente por ejecutar.”.</w:t>
      </w:r>
    </w:p>
    <w:bookmarkEnd w:id="10"/>
    <w:p w14:paraId="14F887C3" w14:textId="77777777" w:rsidR="00D84E93" w:rsidRPr="007F7C2B" w:rsidRDefault="00D84E93" w:rsidP="00D84E93">
      <w:pPr>
        <w:widowControl w:val="0"/>
        <w:autoSpaceDE w:val="0"/>
        <w:autoSpaceDN w:val="0"/>
        <w:spacing w:after="0" w:line="276" w:lineRule="auto"/>
        <w:ind w:right="51"/>
        <w:contextualSpacing/>
        <w:jc w:val="both"/>
        <w:rPr>
          <w:rFonts w:ascii="Verdana" w:eastAsia="Arial" w:hAnsi="Verdana" w:cs="Arial"/>
        </w:rPr>
      </w:pPr>
    </w:p>
    <w:p w14:paraId="1D7D12AB" w14:textId="77777777" w:rsidR="00D84E93" w:rsidRPr="007F7C2B" w:rsidRDefault="00D84E93" w:rsidP="00D84E93">
      <w:pPr>
        <w:widowControl w:val="0"/>
        <w:autoSpaceDE w:val="0"/>
        <w:autoSpaceDN w:val="0"/>
        <w:spacing w:after="0" w:line="276" w:lineRule="auto"/>
        <w:ind w:firstLine="709"/>
        <w:contextualSpacing/>
        <w:jc w:val="both"/>
        <w:rPr>
          <w:rFonts w:ascii="Verdana" w:eastAsia="Arial" w:hAnsi="Verdana" w:cs="Arial"/>
        </w:rPr>
      </w:pPr>
      <w:bookmarkStart w:id="11" w:name="_Hlk97551389"/>
      <w:r w:rsidRPr="007F7C2B">
        <w:rPr>
          <w:rFonts w:ascii="Verdana" w:eastAsia="Arial" w:hAnsi="Verdana" w:cs="Arial"/>
        </w:rPr>
        <w:t xml:space="preserve">La misma “Guía para Determinar y Verificar la Capacidad Residual del Proponente en los Procesos de Contratación de Obra Pública” define “Contratos en Ejecución” de la siguiente manera: </w:t>
      </w:r>
    </w:p>
    <w:p w14:paraId="6241E0E4" w14:textId="77777777" w:rsidR="00D84E93" w:rsidRPr="00D67434" w:rsidRDefault="00D84E93" w:rsidP="00D84E93">
      <w:pPr>
        <w:spacing w:after="0" w:line="276" w:lineRule="auto"/>
        <w:ind w:left="850" w:right="850"/>
        <w:contextualSpacing/>
        <w:jc w:val="both"/>
        <w:rPr>
          <w:rFonts w:ascii="Verdana" w:eastAsia="Calibri" w:hAnsi="Verdana" w:cs="Arial"/>
          <w:i/>
          <w:iCs/>
          <w:sz w:val="20"/>
          <w:szCs w:val="20"/>
          <w:lang w:eastAsia="es-CO"/>
        </w:rPr>
      </w:pPr>
    </w:p>
    <w:p w14:paraId="145D8291" w14:textId="77777777" w:rsidR="00D84E93" w:rsidRPr="00D67434" w:rsidRDefault="00D84E93" w:rsidP="00D84E93">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“Es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w:t>
      </w:r>
      <w:bookmarkEnd w:id="11"/>
      <w:r w:rsidRPr="00D67434">
        <w:rPr>
          <w:rFonts w:ascii="Verdana" w:eastAsia="Calibri" w:hAnsi="Verdana" w:cs="Arial"/>
          <w:color w:val="000000"/>
          <w:sz w:val="20"/>
          <w:szCs w:val="20"/>
          <w:lang w:val="es-ES"/>
        </w:rPr>
        <w:t>.</w:t>
      </w:r>
    </w:p>
    <w:p w14:paraId="6266B231" w14:textId="77777777" w:rsidR="00D84E93" w:rsidRPr="007F7C2B" w:rsidRDefault="00D84E93" w:rsidP="00D84E93">
      <w:pPr>
        <w:widowControl w:val="0"/>
        <w:autoSpaceDE w:val="0"/>
        <w:autoSpaceDN w:val="0"/>
        <w:spacing w:after="0" w:line="276" w:lineRule="auto"/>
        <w:contextualSpacing/>
        <w:jc w:val="both"/>
        <w:rPr>
          <w:rFonts w:ascii="Verdana" w:eastAsia="Arial" w:hAnsi="Verdana" w:cs="Arial"/>
        </w:rPr>
      </w:pPr>
    </w:p>
    <w:p w14:paraId="18CEE083" w14:textId="77777777" w:rsidR="00D84E93" w:rsidRDefault="00D84E93" w:rsidP="00D84E93">
      <w:pPr>
        <w:widowControl w:val="0"/>
        <w:autoSpaceDE w:val="0"/>
        <w:autoSpaceDN w:val="0"/>
        <w:spacing w:after="120" w:line="276" w:lineRule="auto"/>
        <w:ind w:firstLine="709"/>
        <w:jc w:val="both"/>
        <w:rPr>
          <w:rFonts w:ascii="Verdana" w:eastAsia="Arial" w:hAnsi="Verdana" w:cs="Arial"/>
        </w:rPr>
      </w:pPr>
      <w:bookmarkStart w:id="12" w:name="_Hlk97547857"/>
      <w:r w:rsidRPr="007F7C2B">
        <w:rPr>
          <w:rFonts w:ascii="Verdana" w:eastAsia="Arial" w:hAnsi="Verdana" w:cs="Arial"/>
        </w:rPr>
        <w:t xml:space="preserve">Se observa que la guía expedida por esta Agencia para calcular la capacidad residual señala que el proponente debe allegar, entre otros documentos, los contratos en ejecución y define estos como aquellos contratos </w:t>
      </w:r>
      <w:r w:rsidRPr="007F7C2B">
        <w:rPr>
          <w:rFonts w:ascii="Verdana" w:eastAsia="Arial" w:hAnsi="Verdana" w:cs="Arial"/>
        </w:rPr>
        <w:lastRenderedPageBreak/>
        <w:t xml:space="preserve">que a la fecha de presentación de la oferta obligan al proponente con entidades estatales y con entidades privadas para ejecutar “obras civiles”. </w:t>
      </w:r>
      <w:bookmarkEnd w:id="12"/>
      <w:r w:rsidRPr="007F7C2B">
        <w:rPr>
          <w:rFonts w:ascii="Verdana" w:eastAsia="Arial" w:hAnsi="Verdana" w:cs="Arial"/>
        </w:rPr>
        <w:t xml:space="preserve">Así las cosas, es claro que la regulación existente en materia de capacidad residual establece que, para el cálculo de esta, el oferente debe allegar, entre otros documentos, el listado de los contratos en ejecución, concretamente, de obras civiles. </w:t>
      </w:r>
    </w:p>
    <w:p w14:paraId="5387CBD8" w14:textId="77777777" w:rsidR="00D84E93" w:rsidRPr="00553BC6" w:rsidRDefault="00D84E93" w:rsidP="00D84E93">
      <w:pPr>
        <w:spacing w:before="120" w:after="120" w:line="276" w:lineRule="auto"/>
        <w:jc w:val="both"/>
        <w:rPr>
          <w:rFonts w:ascii="Verdana" w:eastAsia="Calibri" w:hAnsi="Verdana" w:cs="Arial"/>
          <w:lang w:val="es-ES"/>
        </w:rPr>
      </w:pPr>
      <w:r>
        <w:rPr>
          <w:rFonts w:ascii="Verdana" w:eastAsia="Arial" w:hAnsi="Verdana" w:cs="Arial"/>
        </w:rPr>
        <w:t xml:space="preserve">Por otra parte, la </w:t>
      </w:r>
      <w:r w:rsidRPr="007F7C2B">
        <w:rPr>
          <w:rFonts w:ascii="Verdana" w:eastAsia="Arial" w:hAnsi="Verdana" w:cs="Arial"/>
        </w:rPr>
        <w:t>Guía para Determinar y Verificar la Capacidad Residual del Proponente en los Procesos de Contratación de Obra Pública</w:t>
      </w:r>
      <w:r>
        <w:rPr>
          <w:rFonts w:ascii="Verdana" w:eastAsia="Arial" w:hAnsi="Verdana" w:cs="Arial"/>
        </w:rPr>
        <w:t xml:space="preserve"> de esta Agencia establece</w:t>
      </w:r>
      <w:bookmarkStart w:id="13" w:name="_Hlk170989338"/>
      <w:r>
        <w:rPr>
          <w:rFonts w:ascii="Verdana" w:eastAsia="Arial" w:hAnsi="Verdana" w:cs="Arial"/>
        </w:rPr>
        <w:t xml:space="preserve">: </w:t>
      </w:r>
      <w:r w:rsidRPr="00FE7C0C">
        <w:rPr>
          <w:rFonts w:ascii="Verdana" w:eastAsia="Arial" w:hAnsi="Verdana" w:cs="Arial"/>
          <w:i/>
          <w:iCs/>
        </w:rPr>
        <w:t>“El proponente debe presentar un certificado suscrito por su representante legal y su revisor fiscal, si el proponente está obligado a tenerlo, o por el Contador Público o auditor independiente, para lo cual se sugiere el formato establecido en el Anexo 3 de la presente Guía.  El certificado deberá contener la lista de los Contratos en Ejecución, tanto a nivel nacional como internacional (…)”</w:t>
      </w:r>
      <w:r>
        <w:rPr>
          <w:rFonts w:ascii="Verdana" w:eastAsia="Arial" w:hAnsi="Verdana" w:cs="Arial"/>
          <w:i/>
          <w:iCs/>
        </w:rPr>
        <w:t xml:space="preserve">. </w:t>
      </w:r>
      <w:r>
        <w:rPr>
          <w:rFonts w:ascii="Verdana" w:eastAsia="Arial" w:hAnsi="Verdana" w:cs="Arial"/>
        </w:rPr>
        <w:t xml:space="preserve">En ese sentido, ante inexactitudes o información falsa contenida en dicho certificado, por no incluir todos los contratos o por otras causas, </w:t>
      </w:r>
      <w:r>
        <w:rPr>
          <w:rFonts w:ascii="Verdana" w:eastAsia="Calibri" w:hAnsi="Verdana" w:cs="Arial"/>
          <w:lang w:val="es-ES"/>
        </w:rPr>
        <w:t>l</w:t>
      </w:r>
      <w:r w:rsidRPr="004150AB">
        <w:rPr>
          <w:rFonts w:ascii="Verdana" w:eastAsia="Calibri" w:hAnsi="Verdana" w:cs="Arial"/>
          <w:lang w:val="es-ES"/>
        </w:rPr>
        <w:t>a</w:t>
      </w:r>
      <w:r w:rsidRPr="4E6CD920">
        <w:rPr>
          <w:rFonts w:ascii="Verdana" w:eastAsia="Calibri" w:hAnsi="Verdana" w:cs="Arial"/>
          <w:lang w:val="es-ES"/>
        </w:rPr>
        <w:t xml:space="preserve"> consecuencia aplicable a los proponentes dependerá de las reglas establecidas en el pliego de condiciones. </w:t>
      </w:r>
    </w:p>
    <w:p w14:paraId="1BA3F789" w14:textId="77777777" w:rsidR="00D84E93" w:rsidRPr="00BC7287" w:rsidRDefault="00D84E93" w:rsidP="00D84E93">
      <w:pPr>
        <w:spacing w:before="120" w:after="120" w:line="276" w:lineRule="auto"/>
        <w:ind w:firstLine="708"/>
        <w:jc w:val="both"/>
        <w:rPr>
          <w:rFonts w:ascii="Verdana" w:eastAsia="Calibri" w:hAnsi="Verdana" w:cs="Arial"/>
          <w:lang w:val="es-ES"/>
        </w:rPr>
      </w:pPr>
      <w:r w:rsidRPr="00BC7287">
        <w:rPr>
          <w:rFonts w:ascii="Verdana" w:eastAsia="Arial MT" w:hAnsi="Verdana" w:cs="Arial"/>
          <w:lang w:eastAsia="es-ES" w:bidi="es-ES"/>
        </w:rPr>
        <w:t>En</w:t>
      </w:r>
      <w:r w:rsidRPr="00BC7287">
        <w:rPr>
          <w:rFonts w:ascii="Verdana" w:eastAsia="Calibri" w:hAnsi="Verdana" w:cs="Arial"/>
          <w:lang w:val="es-ES"/>
        </w:rPr>
        <w:t xml:space="preserve"> principio, se recomienda requerir al proponente con el fin de que presente las aclaraciones que sean pertinentes atendiendo los postulados previstos en el numeral 7 del artículo 30 de la Ley 80 de 1993, esto con el fin de verificar si se trata de un error formal, evento en el cual y previo análisis de la entidad contratante, considere sí es procedente dar aplicación al principio de subsanabilidad en la forma establecida en el parágrafo 1° del artículo 5 de la Ley 1150 de 2007, respecto de los requisitos habilitantes</w:t>
      </w:r>
      <w:r>
        <w:rPr>
          <w:rFonts w:ascii="Verdana" w:eastAsia="Calibri" w:hAnsi="Verdana" w:cs="Arial"/>
          <w:lang w:val="es-ES"/>
        </w:rPr>
        <w:t>, uno de los cuales es la capacidad residual sobre el cual se refiere su pregunta</w:t>
      </w:r>
      <w:r w:rsidRPr="00BC7287">
        <w:rPr>
          <w:rFonts w:ascii="Verdana" w:hAnsi="Verdana" w:cs="Arial"/>
          <w:lang w:val="es-ES"/>
        </w:rPr>
        <w:t>. Sin embargo, se pueden realizar aclaraciones sobre aspectos meramente formales, pero no sobre requisitos esenciales del pliego de condiciones ni sobre factores calificables, como es el componente económico.</w:t>
      </w:r>
    </w:p>
    <w:p w14:paraId="7C5C02FB" w14:textId="77777777" w:rsidR="00D84E93" w:rsidRPr="00553BC6" w:rsidRDefault="00D84E93" w:rsidP="00D84E93">
      <w:pPr>
        <w:spacing w:before="120" w:after="120" w:line="276" w:lineRule="auto"/>
        <w:ind w:firstLine="708"/>
        <w:jc w:val="both"/>
        <w:rPr>
          <w:rFonts w:ascii="Verdana" w:eastAsia="Calibri" w:hAnsi="Verdana" w:cs="Arial"/>
          <w:lang w:val="es-ES"/>
        </w:rPr>
      </w:pPr>
      <w:r w:rsidRPr="00BC7287">
        <w:rPr>
          <w:rFonts w:ascii="Verdana" w:eastAsia="Calibri" w:hAnsi="Verdana" w:cs="Arial"/>
          <w:lang w:val="es-ES"/>
        </w:rPr>
        <w:t xml:space="preserve">Este </w:t>
      </w:r>
      <w:r w:rsidRPr="00BC7287">
        <w:rPr>
          <w:rFonts w:ascii="Verdana" w:eastAsia="Arial MT" w:hAnsi="Verdana" w:cs="Arial"/>
          <w:lang w:eastAsia="es-ES" w:bidi="es-ES"/>
        </w:rPr>
        <w:t>tipo</w:t>
      </w:r>
      <w:r w:rsidRPr="00BC7287">
        <w:rPr>
          <w:rFonts w:ascii="Verdana" w:eastAsia="Calibri" w:hAnsi="Verdana" w:cs="Arial"/>
          <w:lang w:val="es-ES"/>
        </w:rPr>
        <w:t xml:space="preserve"> de situaciones</w:t>
      </w:r>
      <w:r w:rsidRPr="4E6CD920">
        <w:rPr>
          <w:rFonts w:ascii="Verdana" w:eastAsia="Calibri" w:hAnsi="Verdana" w:cs="Arial"/>
          <w:lang w:val="es-ES"/>
        </w:rPr>
        <w:t xml:space="preserve"> incluso pueden ser materia de estipulación de causales de rechazo en los pliegos de condiciones, tal como sucede en los documentos tipo adoptados por esta Agencia Nacional de Contratación Pública, tal como lo establece el numeral 1.11 y el literal H del numeral 1.15 del Documento Base adoptado mediante la Resolución 465 del 10 de septiembre de 2024, donde se prevé que la información inexacta debe darse por no acreditada. Sin embargo, si la información inexacta se considera que puede tener el carácter de falsedad, procederá el rechazo de la oferta.</w:t>
      </w:r>
    </w:p>
    <w:p w14:paraId="70EB4A92" w14:textId="77777777" w:rsidR="00D84E93" w:rsidRPr="004E5A40" w:rsidRDefault="00D84E93" w:rsidP="00D84E93">
      <w:pPr>
        <w:widowControl w:val="0"/>
        <w:autoSpaceDE w:val="0"/>
        <w:autoSpaceDN w:val="0"/>
        <w:spacing w:after="0" w:line="276" w:lineRule="auto"/>
        <w:ind w:firstLine="709"/>
        <w:contextualSpacing/>
        <w:jc w:val="both"/>
        <w:rPr>
          <w:rFonts w:ascii="Verdana" w:eastAsia="Arial" w:hAnsi="Verdana" w:cs="Arial"/>
        </w:rPr>
      </w:pPr>
      <w:r w:rsidRPr="4E6CD920">
        <w:rPr>
          <w:rFonts w:ascii="Verdana" w:eastAsia="Calibri" w:hAnsi="Verdana" w:cs="Arial"/>
          <w:lang w:val="es-ES"/>
        </w:rPr>
        <w:lastRenderedPageBreak/>
        <w:t>No obstante lo anterior y conforme el análisis que efectué cada entidad, deberá darse traslado antes las autoridades competentes para que adelanten las investigaciones que por la presunta falsedad de documentos, puedan ser de su competencia.</w:t>
      </w:r>
    </w:p>
    <w:bookmarkEnd w:id="13"/>
    <w:p w14:paraId="0D98B8C1" w14:textId="77777777" w:rsidR="00D84E93" w:rsidRPr="00301D6D" w:rsidRDefault="00D84E93" w:rsidP="00D84E93">
      <w:pPr>
        <w:spacing w:before="120" w:after="120" w:line="276" w:lineRule="auto"/>
        <w:jc w:val="both"/>
        <w:rPr>
          <w:rFonts w:ascii="Verdana" w:hAnsi="Verdana"/>
          <w:color w:val="000000" w:themeColor="text1"/>
        </w:rPr>
      </w:pPr>
    </w:p>
    <w:p w14:paraId="36F48560" w14:textId="77777777" w:rsidR="00D84E93" w:rsidRPr="00F9120E" w:rsidRDefault="00D84E93" w:rsidP="00D84E93">
      <w:pPr>
        <w:spacing w:before="120" w:after="120" w:line="276" w:lineRule="auto"/>
        <w:jc w:val="both"/>
        <w:rPr>
          <w:rFonts w:ascii="Verdana" w:eastAsia="Century Gothic" w:hAnsi="Verdana" w:cs="Century Gothic"/>
          <w:b/>
          <w:bCs/>
          <w:color w:val="000000" w:themeColor="text1"/>
        </w:rPr>
      </w:pPr>
      <w:r>
        <w:rPr>
          <w:rFonts w:ascii="Verdana" w:hAnsi="Verdana"/>
          <w:b/>
          <w:bCs/>
          <w:color w:val="000000" w:themeColor="text1"/>
          <w:lang w:val="es-ES"/>
        </w:rPr>
        <w:t>4</w:t>
      </w:r>
      <w:r w:rsidRPr="00AF1D14">
        <w:rPr>
          <w:rFonts w:ascii="Verdana" w:hAnsi="Verdana"/>
          <w:b/>
          <w:bCs/>
          <w:color w:val="000000" w:themeColor="text1"/>
          <w:lang w:val="es-ES"/>
        </w:rPr>
        <w:t xml:space="preserve">. </w:t>
      </w:r>
      <w:r w:rsidRPr="00AF1D14">
        <w:rPr>
          <w:rFonts w:ascii="Verdana" w:eastAsia="Century Gothic" w:hAnsi="Verdana" w:cs="Century Gothic"/>
          <w:b/>
          <w:bCs/>
          <w:color w:val="000000" w:themeColor="text1"/>
        </w:rPr>
        <w:t>Referencias</w:t>
      </w:r>
      <w:r w:rsidRPr="00F9120E">
        <w:rPr>
          <w:rFonts w:ascii="Verdana" w:eastAsia="Century Gothic" w:hAnsi="Verdana" w:cs="Century Gothic"/>
          <w:b/>
          <w:bCs/>
          <w:color w:val="000000" w:themeColor="text1"/>
        </w:rPr>
        <w:t xml:space="preserve"> normativas, jurisprudenciales y otras fuentes:</w:t>
      </w:r>
    </w:p>
    <w:p w14:paraId="5DAD95BB" w14:textId="77777777" w:rsidR="00D84E93" w:rsidRPr="00F9120E" w:rsidRDefault="00D84E93" w:rsidP="00D84E93">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4E93" w:rsidRPr="00F9120E" w14:paraId="6923B373" w14:textId="77777777" w:rsidTr="007628F7">
        <w:trPr>
          <w:trHeight w:val="335"/>
        </w:trPr>
        <w:tc>
          <w:tcPr>
            <w:tcW w:w="8647" w:type="dxa"/>
          </w:tcPr>
          <w:p w14:paraId="67560950" w14:textId="77777777" w:rsidR="00D84E93" w:rsidRPr="00920D5C" w:rsidRDefault="00D84E93" w:rsidP="007628F7">
            <w:pPr>
              <w:pStyle w:val="Prrafodelista"/>
              <w:widowControl w:val="0"/>
              <w:numPr>
                <w:ilvl w:val="0"/>
                <w:numId w:val="17"/>
              </w:numPr>
              <w:tabs>
                <w:tab w:val="left" w:pos="8419"/>
              </w:tabs>
              <w:autoSpaceDE w:val="0"/>
              <w:autoSpaceDN w:val="0"/>
              <w:spacing w:line="276" w:lineRule="auto"/>
              <w:jc w:val="both"/>
              <w:rPr>
                <w:rFonts w:ascii="Verdana" w:eastAsia="Calibri" w:hAnsi="Verdana" w:cs="Arial"/>
                <w:color w:val="000000" w:themeColor="text1"/>
                <w:lang w:val="es-ES_tradnl"/>
              </w:rPr>
            </w:pPr>
            <w:r w:rsidRPr="00920D5C">
              <w:rPr>
                <w:rFonts w:ascii="Verdana" w:eastAsia="Calibri" w:hAnsi="Verdana" w:cs="Arial"/>
                <w:color w:val="000000" w:themeColor="text1"/>
                <w:lang w:val="es-ES_tradnl"/>
              </w:rPr>
              <w:t>Ley 1150 de 2007, artículo 5 y 6.</w:t>
            </w:r>
          </w:p>
          <w:p w14:paraId="6AB02EDB" w14:textId="77777777" w:rsidR="00D84E93" w:rsidRPr="00920D5C" w:rsidRDefault="00D84E93" w:rsidP="007628F7">
            <w:pPr>
              <w:pStyle w:val="Prrafodelista"/>
              <w:widowControl w:val="0"/>
              <w:numPr>
                <w:ilvl w:val="0"/>
                <w:numId w:val="17"/>
              </w:numPr>
              <w:tabs>
                <w:tab w:val="left" w:pos="8419"/>
              </w:tabs>
              <w:autoSpaceDE w:val="0"/>
              <w:autoSpaceDN w:val="0"/>
              <w:spacing w:line="276" w:lineRule="auto"/>
              <w:jc w:val="both"/>
              <w:rPr>
                <w:rFonts w:ascii="Verdana" w:eastAsia="Calibri" w:hAnsi="Verdana" w:cs="Arial"/>
                <w:color w:val="000000" w:themeColor="text1"/>
                <w:lang w:val="es-ES_tradnl"/>
              </w:rPr>
            </w:pPr>
            <w:r w:rsidRPr="00920D5C">
              <w:rPr>
                <w:rFonts w:ascii="Verdana" w:eastAsia="Calibri" w:hAnsi="Verdana" w:cs="Arial"/>
                <w:color w:val="000000" w:themeColor="text1"/>
                <w:lang w:val="es-ES_tradnl"/>
              </w:rPr>
              <w:t xml:space="preserve">Ley 842 de 2003, artículo 17. </w:t>
            </w:r>
          </w:p>
          <w:p w14:paraId="04027DE0" w14:textId="77777777" w:rsidR="00D84E93" w:rsidRPr="00BE151B"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920D5C">
              <w:rPr>
                <w:rFonts w:ascii="Verdana" w:eastAsia="Calibri" w:hAnsi="Verdana" w:cs="Arial"/>
                <w:color w:val="000000" w:themeColor="text1"/>
                <w:lang w:val="es-ES_tradnl"/>
              </w:rPr>
              <w:t>Ley 80 de 1993, artículo 2, 21, 24, numeral</w:t>
            </w:r>
            <w:r w:rsidRPr="00852EE3">
              <w:rPr>
                <w:rFonts w:ascii="Verdana" w:eastAsia="Calibri" w:hAnsi="Verdana" w:cs="Arial"/>
                <w:color w:val="000000" w:themeColor="text1"/>
                <w:lang w:val="es-ES_tradnl"/>
              </w:rPr>
              <w:t xml:space="preserve"> 5°, literal a), b); numeral 8; parágrafo 3°; artículo 25</w:t>
            </w:r>
            <w:r>
              <w:rPr>
                <w:rFonts w:ascii="Verdana" w:eastAsia="Calibri" w:hAnsi="Verdana" w:cs="Arial"/>
                <w:color w:val="000000" w:themeColor="text1"/>
              </w:rPr>
              <w:t xml:space="preserve"> </w:t>
            </w:r>
            <w:r w:rsidRPr="008F3E35">
              <w:rPr>
                <w:rFonts w:ascii="Verdana" w:eastAsia="Calibri" w:hAnsi="Verdana" w:cs="Arial"/>
                <w:color w:val="000000" w:themeColor="text1"/>
              </w:rPr>
              <w:t xml:space="preserve">numeral </w:t>
            </w:r>
            <w:r>
              <w:rPr>
                <w:rFonts w:ascii="Verdana" w:eastAsia="Calibri" w:hAnsi="Verdana" w:cs="Arial"/>
                <w:color w:val="000000" w:themeColor="text1"/>
              </w:rPr>
              <w:t xml:space="preserve">15 y </w:t>
            </w:r>
            <w:r w:rsidRPr="008F3E35">
              <w:rPr>
                <w:rFonts w:ascii="Verdana" w:eastAsia="Calibri" w:hAnsi="Verdana" w:cs="Arial"/>
                <w:color w:val="000000" w:themeColor="text1"/>
              </w:rPr>
              <w:t>18</w:t>
            </w:r>
            <w:r>
              <w:rPr>
                <w:rFonts w:ascii="Verdana" w:eastAsia="Calibri" w:hAnsi="Verdana" w:cs="Arial"/>
                <w:color w:val="000000" w:themeColor="text1"/>
              </w:rPr>
              <w:t xml:space="preserve">; </w:t>
            </w:r>
            <w:r w:rsidRPr="008F3E35">
              <w:rPr>
                <w:rFonts w:ascii="Verdana" w:eastAsia="Calibri" w:hAnsi="Verdana" w:cs="Arial"/>
                <w:color w:val="000000" w:themeColor="text1"/>
              </w:rPr>
              <w:t>artículo 30</w:t>
            </w:r>
            <w:r>
              <w:rPr>
                <w:rFonts w:ascii="Verdana" w:eastAsia="Calibri" w:hAnsi="Verdana" w:cs="Arial"/>
                <w:color w:val="000000" w:themeColor="text1"/>
              </w:rPr>
              <w:t xml:space="preserve">, </w:t>
            </w:r>
            <w:r w:rsidRPr="008F3E35">
              <w:rPr>
                <w:rFonts w:ascii="Verdana" w:eastAsia="Calibri" w:hAnsi="Verdana" w:cs="Arial"/>
                <w:color w:val="000000" w:themeColor="text1"/>
              </w:rPr>
              <w:t>numeral 2</w:t>
            </w:r>
            <w:r>
              <w:rPr>
                <w:rFonts w:ascii="Verdana" w:eastAsia="Calibri" w:hAnsi="Verdana" w:cs="Arial"/>
                <w:color w:val="000000" w:themeColor="text1"/>
              </w:rPr>
              <w:t xml:space="preserve"> y 8; </w:t>
            </w:r>
            <w:r w:rsidRPr="008F3E35">
              <w:rPr>
                <w:rFonts w:ascii="Verdana" w:eastAsia="Calibri" w:hAnsi="Verdana" w:cs="Arial"/>
                <w:color w:val="000000" w:themeColor="text1"/>
              </w:rPr>
              <w:t>artículo 38</w:t>
            </w:r>
            <w:r>
              <w:rPr>
                <w:rFonts w:ascii="Verdana" w:eastAsia="Calibri" w:hAnsi="Verdana" w:cs="Arial"/>
                <w:color w:val="000000" w:themeColor="text1"/>
              </w:rPr>
              <w:t xml:space="preserve"> </w:t>
            </w:r>
            <w:r w:rsidRPr="008F3E35">
              <w:rPr>
                <w:rFonts w:ascii="Verdana" w:eastAsia="Calibri" w:hAnsi="Verdana" w:cs="Arial"/>
                <w:color w:val="000000" w:themeColor="text1"/>
              </w:rPr>
              <w:t>inciso final</w:t>
            </w:r>
            <w:r>
              <w:rPr>
                <w:rFonts w:ascii="Verdana" w:eastAsia="Calibri" w:hAnsi="Verdana" w:cs="Arial"/>
                <w:color w:val="000000" w:themeColor="text1"/>
              </w:rPr>
              <w:t>.</w:t>
            </w:r>
          </w:p>
          <w:p w14:paraId="6EA3A695" w14:textId="77777777" w:rsidR="00D84E93"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proofErr w:type="spellStart"/>
            <w:r w:rsidRPr="005E5619">
              <w:rPr>
                <w:rFonts w:ascii="Verdana" w:hAnsi="Verdana" w:cs="Arial"/>
                <w:lang w:val="pt-BR"/>
              </w:rPr>
              <w:t>Ley</w:t>
            </w:r>
            <w:proofErr w:type="spellEnd"/>
            <w:r w:rsidRPr="005E5619">
              <w:rPr>
                <w:rFonts w:ascii="Verdana" w:hAnsi="Verdana" w:cs="Arial"/>
                <w:lang w:val="pt-BR"/>
              </w:rPr>
              <w:t xml:space="preserve"> 1474 de 2011</w:t>
            </w:r>
            <w:r>
              <w:rPr>
                <w:rFonts w:ascii="Verdana" w:hAnsi="Verdana" w:cs="Arial"/>
                <w:lang w:val="pt-BR"/>
              </w:rPr>
              <w:t xml:space="preserve">, </w:t>
            </w:r>
            <w:r w:rsidRPr="00475832">
              <w:rPr>
                <w:rFonts w:ascii="Verdana" w:eastAsia="Calibri" w:hAnsi="Verdana" w:cs="Arial"/>
                <w:color w:val="000000" w:themeColor="text1"/>
                <w:lang w:val="es-ES_tradnl"/>
              </w:rPr>
              <w:t>artículo 88</w:t>
            </w:r>
            <w:r w:rsidRPr="00BE151B">
              <w:rPr>
                <w:rFonts w:ascii="Verdana" w:hAnsi="Verdana" w:cs="Arial"/>
              </w:rPr>
              <w:t>.</w:t>
            </w:r>
          </w:p>
          <w:p w14:paraId="173A826A" w14:textId="77777777" w:rsidR="00D84E93" w:rsidRPr="00083730"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lang w:val="pt-BR"/>
              </w:rPr>
            </w:pPr>
            <w:r w:rsidRPr="00475832">
              <w:rPr>
                <w:rFonts w:ascii="Verdana" w:eastAsia="Calibri" w:hAnsi="Verdana" w:cs="Arial"/>
                <w:color w:val="000000" w:themeColor="text1"/>
                <w:lang w:val="es-ES_tradnl"/>
              </w:rPr>
              <w:t>Ley 1882 de 2018</w:t>
            </w:r>
            <w:r>
              <w:rPr>
                <w:rFonts w:ascii="Verdana" w:eastAsia="Calibri" w:hAnsi="Verdana" w:cs="Arial"/>
                <w:color w:val="000000" w:themeColor="text1"/>
                <w:lang w:val="es-ES_tradnl"/>
              </w:rPr>
              <w:t xml:space="preserve">, </w:t>
            </w:r>
            <w:r w:rsidRPr="00475832">
              <w:rPr>
                <w:rFonts w:ascii="Verdana" w:eastAsia="Calibri" w:hAnsi="Verdana" w:cs="Arial"/>
                <w:color w:val="000000" w:themeColor="text1"/>
                <w:lang w:val="es-ES_tradnl"/>
              </w:rPr>
              <w:t>artículo 5</w:t>
            </w:r>
            <w:r>
              <w:rPr>
                <w:rFonts w:ascii="Verdana" w:eastAsia="Arial MT" w:hAnsi="Verdana" w:cs="Arial"/>
                <w:lang w:val="pt-BR" w:eastAsia="es-ES" w:bidi="es-ES"/>
              </w:rPr>
              <w:t>.</w:t>
            </w:r>
          </w:p>
          <w:p w14:paraId="3AA9DFB8" w14:textId="77777777" w:rsidR="00D84E93" w:rsidRPr="008508A9"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8508A9">
              <w:rPr>
                <w:rFonts w:ascii="Verdana" w:hAnsi="Verdana" w:cs="Arial"/>
              </w:rPr>
              <w:t>Decreto 1082 de 2015 numeral 4° del artículo 2.2.1.1.2.1.3.; numeral 8° del artículo 2.2.1.2.1.3.13.; numeral 7° del artículo 2.2.1.2.6.1.3.</w:t>
            </w:r>
            <w:r>
              <w:rPr>
                <w:rFonts w:ascii="Verdana" w:hAnsi="Verdana" w:cs="Arial"/>
              </w:rPr>
              <w:t xml:space="preserve">, </w:t>
            </w:r>
            <w:r w:rsidRPr="007F7C2B">
              <w:rPr>
                <w:rFonts w:ascii="Verdana" w:eastAsia="Calibri" w:hAnsi="Verdana" w:cs="Arial"/>
              </w:rPr>
              <w:t>2.2.1.1.1.6.4.</w:t>
            </w:r>
          </w:p>
          <w:p w14:paraId="21F86D10" w14:textId="77777777" w:rsidR="00D84E93" w:rsidRPr="005C34D4"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5C34D4">
              <w:rPr>
                <w:rFonts w:ascii="Verdana" w:hAnsi="Verdana" w:cs="Arial"/>
              </w:rPr>
              <w:t xml:space="preserve">Consejo de Estado. Sección Tercera. Subsección A. Sentencia del 25 de octubre de 2019. </w:t>
            </w:r>
            <w:proofErr w:type="spellStart"/>
            <w:r w:rsidRPr="005C34D4">
              <w:rPr>
                <w:rFonts w:ascii="Verdana" w:hAnsi="Verdana" w:cs="Arial"/>
              </w:rPr>
              <w:t>Exp</w:t>
            </w:r>
            <w:proofErr w:type="spellEnd"/>
            <w:r w:rsidRPr="005C34D4">
              <w:rPr>
                <w:rFonts w:ascii="Verdana" w:hAnsi="Verdana" w:cs="Arial"/>
              </w:rPr>
              <w:t>. 39.945. Consejera Ponente: María Adriana Marín.</w:t>
            </w:r>
          </w:p>
          <w:p w14:paraId="527CC2C6" w14:textId="77777777" w:rsidR="00D84E93"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5C34D4">
              <w:rPr>
                <w:rFonts w:ascii="Verdana" w:hAnsi="Verdana" w:cs="Arial"/>
              </w:rPr>
              <w:t xml:space="preserve">Consejo de Estado. Sección Tercera. Subsección A. Sentencia del 5 de julio de 2018. </w:t>
            </w:r>
            <w:proofErr w:type="spellStart"/>
            <w:r w:rsidRPr="005C34D4">
              <w:rPr>
                <w:rFonts w:ascii="Verdana" w:hAnsi="Verdana" w:cs="Arial"/>
              </w:rPr>
              <w:t>Exp</w:t>
            </w:r>
            <w:proofErr w:type="spellEnd"/>
            <w:r w:rsidRPr="005C34D4">
              <w:rPr>
                <w:rFonts w:ascii="Verdana" w:hAnsi="Verdana" w:cs="Arial"/>
              </w:rPr>
              <w:t>. 37.834. Consejero Ponente: Carlos Alberto Zambrano Barrera.</w:t>
            </w:r>
          </w:p>
          <w:p w14:paraId="1748F61B" w14:textId="77777777" w:rsidR="00D84E93" w:rsidRPr="002E7281"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2E7281">
              <w:rPr>
                <w:rFonts w:ascii="Verdana" w:hAnsi="Verdana" w:cs="Arial"/>
              </w:rPr>
              <w:t>Consejo de Estado. Sección Tercera, Subsección C. Sentencia del 26 de febrero de 2014. C.P. Enrique Gil Botero, Rad. 1999-00113-01 (25.804).</w:t>
            </w:r>
          </w:p>
          <w:p w14:paraId="65162AEB" w14:textId="77777777" w:rsidR="00D84E93"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2E7281">
              <w:rPr>
                <w:rFonts w:ascii="Verdana" w:hAnsi="Verdana" w:cs="Arial"/>
              </w:rPr>
              <w:t>Consejo de Estado, Sala de Consulta y Servicio Civil, concepto del 6 de noviembre de 2008. C.P. William Zambrano Cetina. Rad. 2008-00079-00(1927).</w:t>
            </w:r>
          </w:p>
          <w:p w14:paraId="1E7973A8" w14:textId="77777777" w:rsidR="00D84E93" w:rsidRPr="007F7C2B" w:rsidRDefault="00D84E93" w:rsidP="007628F7">
            <w:pPr>
              <w:widowControl w:val="0"/>
              <w:numPr>
                <w:ilvl w:val="0"/>
                <w:numId w:val="17"/>
              </w:numPr>
              <w:autoSpaceDE w:val="0"/>
              <w:autoSpaceDN w:val="0"/>
              <w:spacing w:after="120" w:line="276" w:lineRule="auto"/>
              <w:contextualSpacing/>
              <w:jc w:val="both"/>
              <w:rPr>
                <w:rFonts w:ascii="Verdana" w:eastAsia="Calibri" w:hAnsi="Verdana" w:cs="Arial"/>
              </w:rPr>
            </w:pPr>
            <w:r w:rsidRPr="007F7C2B">
              <w:rPr>
                <w:rFonts w:ascii="Verdana" w:eastAsia="Calibri" w:hAnsi="Verdana" w:cs="Arial"/>
              </w:rPr>
              <w:t>Consejo de Estado. Sección Tercera. Providencia del 26 de junio de 2003. Expediente: 13.354</w:t>
            </w:r>
          </w:p>
          <w:p w14:paraId="3456B84B" w14:textId="77777777" w:rsidR="00D84E93" w:rsidRPr="000F3F84"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7F7C2B">
              <w:rPr>
                <w:rFonts w:ascii="Verdana" w:eastAsia="Calibri" w:hAnsi="Verdana" w:cs="Arial"/>
              </w:rPr>
              <w:t>Colombia Compra Eficiente,</w:t>
            </w:r>
            <w:r w:rsidRPr="007F7C2B">
              <w:rPr>
                <w:rFonts w:ascii="Calibri" w:eastAsia="Calibri" w:hAnsi="Calibri" w:cs="Times New Roman"/>
              </w:rPr>
              <w:t xml:space="preserve"> </w:t>
            </w:r>
            <w:r w:rsidRPr="007F7C2B">
              <w:rPr>
                <w:rFonts w:ascii="Verdana" w:eastAsia="Calibri" w:hAnsi="Verdana" w:cs="Arial"/>
              </w:rPr>
              <w:t xml:space="preserve">Guía para Determinar y Verificar la Capacidad Residual del Proponente en los Procesos de Contratación de Obra Pública. Disponible en: </w:t>
            </w:r>
            <w:hyperlink r:id="rId11" w:history="1">
              <w:r w:rsidRPr="007F7C2B">
                <w:rPr>
                  <w:rFonts w:ascii="Verdana" w:eastAsia="Calibri" w:hAnsi="Verdana" w:cs="Arial"/>
                  <w:color w:val="0000FF"/>
                  <w:u w:val="single"/>
                </w:rPr>
                <w:t>https://www.colombiacompra.gov.co/wp-content/uploads/2024/08/2023-Guia-para-determinar-y-verificar-la-Capacidad-Residual-del-proponente-en-los-Procesos-de-Contratacion-de-obra-publica-CCE-REC-GI-22.pdf</w:t>
              </w:r>
            </w:hyperlink>
          </w:p>
          <w:p w14:paraId="7DE8DAED" w14:textId="77777777" w:rsidR="00D84E93" w:rsidRPr="00852EE3" w:rsidRDefault="00D84E93" w:rsidP="007628F7">
            <w:pPr>
              <w:pStyle w:val="Prrafodelista"/>
              <w:widowControl w:val="0"/>
              <w:numPr>
                <w:ilvl w:val="0"/>
                <w:numId w:val="17"/>
              </w:numPr>
              <w:tabs>
                <w:tab w:val="left" w:pos="8419"/>
              </w:tabs>
              <w:autoSpaceDE w:val="0"/>
              <w:autoSpaceDN w:val="0"/>
              <w:spacing w:line="276" w:lineRule="auto"/>
              <w:jc w:val="both"/>
              <w:rPr>
                <w:rFonts w:ascii="Verdana" w:hAnsi="Verdana" w:cs="Arial"/>
              </w:rPr>
            </w:pPr>
            <w:r>
              <w:rPr>
                <w:rFonts w:ascii="Verdana" w:hAnsi="Verdana"/>
              </w:rPr>
              <w:t xml:space="preserve">Colombia Compra Eficiente, Guía </w:t>
            </w:r>
            <w:r w:rsidRPr="00E97DFE">
              <w:rPr>
                <w:rFonts w:ascii="Verdana" w:hAnsi="Verdana"/>
              </w:rPr>
              <w:t>de Asuntos Corporativos en los Procesos de Contratación</w:t>
            </w:r>
            <w:r>
              <w:rPr>
                <w:rFonts w:ascii="Verdana" w:hAnsi="Verdana"/>
              </w:rPr>
              <w:t xml:space="preserve">. Disponible en: </w:t>
            </w:r>
            <w:r w:rsidRPr="000F3F84">
              <w:rPr>
                <w:rFonts w:ascii="Verdana" w:hAnsi="Verdana"/>
              </w:rPr>
              <w:t>chrome-extension://efaidnbmnnnibpcajpcglclefindmkaj/https://www.colombiacompra.gov.co/wp-content/uploads/2024/08/cce_guia_asuntos_corporativos.pdf</w:t>
            </w:r>
            <w:r>
              <w:rPr>
                <w:rFonts w:ascii="Verdana" w:hAnsi="Verdana"/>
              </w:rPr>
              <w:t xml:space="preserve"> </w:t>
            </w:r>
          </w:p>
        </w:tc>
      </w:tr>
    </w:tbl>
    <w:p w14:paraId="19A83EA3" w14:textId="77777777" w:rsidR="00D84E93" w:rsidRPr="00F9120E" w:rsidRDefault="00D84E93" w:rsidP="00D84E93">
      <w:pPr>
        <w:widowControl w:val="0"/>
        <w:autoSpaceDE w:val="0"/>
        <w:autoSpaceDN w:val="0"/>
        <w:spacing w:after="0" w:line="276" w:lineRule="auto"/>
        <w:jc w:val="both"/>
        <w:rPr>
          <w:rFonts w:ascii="Verdana" w:hAnsi="Verdana" w:cs="Arial"/>
          <w:color w:val="000000" w:themeColor="text1"/>
          <w:lang w:val="es-ES"/>
        </w:rPr>
      </w:pPr>
    </w:p>
    <w:p w14:paraId="6677B05B" w14:textId="77777777" w:rsidR="00D84E93" w:rsidRPr="00217D78" w:rsidRDefault="00D84E93" w:rsidP="00D84E93">
      <w:pPr>
        <w:tabs>
          <w:tab w:val="left" w:pos="142"/>
          <w:tab w:val="left" w:pos="284"/>
        </w:tabs>
        <w:spacing w:after="0" w:line="276" w:lineRule="auto"/>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5. </w:t>
      </w:r>
      <w:r w:rsidRPr="00217D78">
        <w:rPr>
          <w:rFonts w:ascii="Verdana" w:eastAsia="Century Gothic" w:hAnsi="Verdana" w:cs="Century Gothic"/>
          <w:b/>
          <w:bCs/>
          <w:color w:val="000000" w:themeColor="text1"/>
        </w:rPr>
        <w:t>Doctrina de la Agencia Nacional de Contratación Pública:</w:t>
      </w:r>
    </w:p>
    <w:p w14:paraId="18B5754B" w14:textId="77777777" w:rsidR="00D84E93" w:rsidRPr="00F9120E" w:rsidRDefault="00D84E93" w:rsidP="00D84E93">
      <w:pPr>
        <w:widowControl w:val="0"/>
        <w:autoSpaceDE w:val="0"/>
        <w:autoSpaceDN w:val="0"/>
        <w:spacing w:after="0" w:line="276" w:lineRule="auto"/>
        <w:jc w:val="both"/>
        <w:rPr>
          <w:rFonts w:ascii="Verdana" w:hAnsi="Verdana" w:cs="Arial"/>
          <w:color w:val="000000" w:themeColor="text1"/>
          <w:lang w:val="es-ES"/>
        </w:rPr>
      </w:pPr>
    </w:p>
    <w:p w14:paraId="046176BF" w14:textId="77777777" w:rsidR="00D84E93" w:rsidRPr="00F9120E" w:rsidRDefault="00D84E93" w:rsidP="00D84E93">
      <w:pPr>
        <w:spacing w:after="0" w:line="276" w:lineRule="auto"/>
        <w:contextualSpacing/>
        <w:jc w:val="both"/>
        <w:rPr>
          <w:rFonts w:ascii="Verdana" w:eastAsia="Calibri" w:hAnsi="Verdana" w:cs="Arial"/>
          <w:b/>
          <w:bCs/>
          <w:lang w:val="es-ES" w:eastAsia="es-ES"/>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 a la acreditación de requisitos habilitantes y la participación de proponentes plurales en los conceptos con radicad</w:t>
      </w:r>
      <w:r>
        <w:rPr>
          <w:rStyle w:val="normaltextrun"/>
          <w:rFonts w:ascii="Verdana" w:hAnsi="Verdana" w:cs="Arial"/>
          <w:color w:val="000000" w:themeColor="text1"/>
          <w:shd w:val="clear" w:color="auto" w:fill="FFFFFF"/>
          <w:lang w:val="es-ES"/>
        </w:rPr>
        <w:t>o</w:t>
      </w:r>
      <w:r w:rsidRPr="00F9120E">
        <w:rPr>
          <w:rStyle w:val="normaltextrun"/>
          <w:rFonts w:ascii="Verdana" w:hAnsi="Verdana" w:cs="Arial"/>
          <w:color w:val="000000" w:themeColor="text1"/>
          <w:shd w:val="clear" w:color="auto" w:fill="FFFFFF"/>
          <w:lang w:val="es-ES"/>
        </w:rPr>
        <w:t xml:space="preserve"> No</w:t>
      </w:r>
      <w:r>
        <w:rPr>
          <w:rStyle w:val="normaltextrun"/>
          <w:rFonts w:ascii="Verdana" w:hAnsi="Verdana" w:cs="Arial"/>
          <w:color w:val="000000" w:themeColor="text1"/>
          <w:shd w:val="clear" w:color="auto" w:fill="FFFFFF"/>
          <w:lang w:val="es-ES"/>
        </w:rPr>
        <w:t>.</w:t>
      </w:r>
      <w:r w:rsidRPr="00F9120E">
        <w:rPr>
          <w:rStyle w:val="normaltextrun"/>
          <w:rFonts w:ascii="Verdana" w:hAnsi="Verdana" w:cs="Arial"/>
          <w:color w:val="000000" w:themeColor="text1"/>
          <w:shd w:val="clear" w:color="auto" w:fill="FFFFFF"/>
          <w:lang w:val="es-ES"/>
        </w:rPr>
        <w:t xml:space="preserve"> 2201913000007980 del</w:t>
      </w:r>
      <w:r>
        <w:rPr>
          <w:rStyle w:val="normaltextrun"/>
          <w:rFonts w:ascii="Verdana" w:hAnsi="Verdana" w:cs="Arial"/>
          <w:color w:val="000000" w:themeColor="text1"/>
          <w:shd w:val="clear" w:color="auto" w:fill="FFFFFF"/>
          <w:lang w:val="es-ES"/>
        </w:rPr>
        <w:t xml:space="preserve"> </w:t>
      </w:r>
      <w:r w:rsidRPr="00F9120E">
        <w:rPr>
          <w:rStyle w:val="normaltextrun"/>
          <w:rFonts w:ascii="Verdana" w:hAnsi="Verdana" w:cs="Arial"/>
          <w:color w:val="000000" w:themeColor="text1"/>
          <w:shd w:val="clear" w:color="auto" w:fill="FFFFFF"/>
          <w:lang w:val="es-ES"/>
        </w:rPr>
        <w:t>24 de octubre de 2019,</w:t>
      </w:r>
      <w:r w:rsidRPr="00F9120E">
        <w:rPr>
          <w:rFonts w:ascii="Verdana" w:hAnsi="Verdana"/>
          <w:lang w:val="es-ES"/>
        </w:rPr>
        <w:t xml:space="preserve"> C-868 del 19 de diciembre de 2022, C-877 del 26 de diciembre de 2022, </w:t>
      </w:r>
      <w:r w:rsidRPr="00F9120E">
        <w:rPr>
          <w:rStyle w:val="normaltextrun"/>
          <w:rFonts w:ascii="Verdana" w:hAnsi="Verdana" w:cs="Arial"/>
          <w:color w:val="000000" w:themeColor="text1"/>
          <w:shd w:val="clear" w:color="auto" w:fill="FFFFFF"/>
          <w:lang w:val="es-ES"/>
        </w:rPr>
        <w:t xml:space="preserve"> </w:t>
      </w:r>
      <w:r w:rsidRPr="00F9120E">
        <w:rPr>
          <w:rFonts w:ascii="Verdana" w:hAnsi="Verdana"/>
          <w:lang w:val="es-ES"/>
        </w:rPr>
        <w:t xml:space="preserve">C-417 del 27 de septiembre de 2023 ,C-432 del 23 de octubre de 2023, C-174 del 23 de julio de 2024, </w:t>
      </w:r>
      <w:r w:rsidRPr="00F9120E">
        <w:rPr>
          <w:rFonts w:ascii="Verdana" w:eastAsia="Calibri" w:hAnsi="Verdana" w:cs="Arial"/>
          <w:lang w:val="es-ES" w:eastAsia="es-ES_tradnl"/>
        </w:rPr>
        <w:t xml:space="preserve">C- 530 del 4 de octubre de 2024, C-595 del 24 de octubre 2024, </w:t>
      </w:r>
      <w:r>
        <w:rPr>
          <w:rFonts w:ascii="Verdana" w:eastAsia="Calibri" w:hAnsi="Verdana" w:cs="Arial"/>
          <w:lang w:val="es-ES" w:eastAsia="es-ES_tradnl"/>
        </w:rPr>
        <w:t>C</w:t>
      </w:r>
      <w:r w:rsidRPr="00F9120E">
        <w:rPr>
          <w:rFonts w:ascii="Verdana" w:eastAsia="Calibri" w:hAnsi="Verdana" w:cs="Arial"/>
          <w:lang w:val="es-ES" w:eastAsia="es-ES"/>
        </w:rPr>
        <w:t>-648 del 6 de noviembre 2024,</w:t>
      </w:r>
      <w:r>
        <w:rPr>
          <w:rFonts w:ascii="Verdana" w:eastAsia="Calibri" w:hAnsi="Verdana" w:cs="Arial"/>
          <w:lang w:val="es-ES" w:eastAsia="es-ES"/>
        </w:rPr>
        <w:t xml:space="preserve"> C-615 del 10 de junio de 2025, C-609 del 27 de junio de 2025,</w:t>
      </w:r>
      <w:r w:rsidRPr="00F9120E">
        <w:rPr>
          <w:rFonts w:ascii="Verdana" w:eastAsia="Calibri" w:hAnsi="Verdana" w:cs="Arial"/>
          <w:lang w:val="es-ES" w:eastAsia="es-ES"/>
        </w:rPr>
        <w:t xml:space="preserve"> entre otros.</w:t>
      </w:r>
      <w:r>
        <w:rPr>
          <w:rFonts w:ascii="Verdana" w:eastAsia="Calibri" w:hAnsi="Verdana" w:cs="Arial"/>
          <w:lang w:val="es-ES" w:eastAsia="es-ES"/>
        </w:rPr>
        <w:t xml:space="preserve"> </w:t>
      </w:r>
      <w:r w:rsidRPr="007F7C2B">
        <w:rPr>
          <w:rFonts w:ascii="Verdana" w:eastAsia="Calibri" w:hAnsi="Verdana" w:cs="Arial"/>
          <w:lang w:val="es-ES_tradnl" w:eastAsia="es-ES_tradnl"/>
        </w:rPr>
        <w:t>Sobre la capacidad residual, se pronunció esta Subdirección en los conceptos 2201913000009642, del 26 de diciembre de 2019, C – 003 de 2021, del 25 de marzo de 2021, C – 143 de 2021 del 9 de abril de 2021, C-070 del 14 de marzo de 2022</w:t>
      </w:r>
      <w:r>
        <w:rPr>
          <w:rFonts w:ascii="Verdana" w:eastAsia="Calibri" w:hAnsi="Verdana" w:cs="Arial"/>
          <w:lang w:val="es-ES_tradnl" w:eastAsia="es-ES_tradnl"/>
        </w:rPr>
        <w:t>,</w:t>
      </w:r>
      <w:r w:rsidRPr="007F7C2B">
        <w:rPr>
          <w:rFonts w:ascii="Verdana" w:eastAsia="Calibri" w:hAnsi="Verdana" w:cs="Arial"/>
          <w:lang w:val="es-ES_tradnl" w:eastAsia="es-ES_tradnl"/>
        </w:rPr>
        <w:t xml:space="preserve"> C-438 del 15 de mayo de 2025</w:t>
      </w:r>
      <w:r>
        <w:rPr>
          <w:rFonts w:ascii="Verdana" w:eastAsia="Calibri" w:hAnsi="Verdana" w:cs="Arial"/>
          <w:lang w:val="es-ES_tradnl" w:eastAsia="es-ES_tradnl"/>
        </w:rPr>
        <w:t xml:space="preserve"> y C-619 del 27 de junio de 2025.</w:t>
      </w:r>
      <w:r w:rsidRPr="00F9120E">
        <w:rPr>
          <w:rFonts w:ascii="Verdana" w:eastAsia="Calibri" w:hAnsi="Verdana" w:cs="Arial"/>
          <w:lang w:val="es-ES" w:eastAsia="es-ES"/>
        </w:rPr>
        <w:t xml:space="preserve"> </w:t>
      </w:r>
      <w:r w:rsidRPr="00D16A5E">
        <w:rPr>
          <w:rFonts w:ascii="Verdana" w:eastAsia="Calibri" w:hAnsi="Verdana" w:cs="Arial"/>
          <w:lang w:val="es-ES" w:eastAsia="es-ES"/>
        </w:rPr>
        <w:t xml:space="preserve">Sobre la </w:t>
      </w:r>
      <w:r w:rsidRPr="00D16A5E">
        <w:rPr>
          <w:rFonts w:ascii="Verdana" w:eastAsia="Calibri" w:hAnsi="Verdana" w:cs="Arial"/>
          <w:lang w:val="es-ES"/>
        </w:rPr>
        <w:t>regla de subsanabilidad en los procesos de selección,</w:t>
      </w:r>
      <w:r w:rsidRPr="00D16A5E">
        <w:rPr>
          <w:rStyle w:val="superscript"/>
          <w:rFonts w:ascii="Verdana" w:hAnsi="Verdana" w:cs="Arial"/>
          <w:shd w:val="clear" w:color="auto" w:fill="FFFFFF"/>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 xml:space="preserve">en los conceptos 4201913000007643 del 26 de diciembre de 2019, </w:t>
      </w:r>
      <w:r>
        <w:rPr>
          <w:rFonts w:ascii="Verdana" w:eastAsia="Calibri" w:hAnsi="Verdana" w:cs="Arial"/>
          <w:lang w:val="es-ES"/>
        </w:rPr>
        <w:t xml:space="preserve">CU-060 del 24 de febrero de 2020, C-218 del 2 de abril de 2020, </w:t>
      </w:r>
      <w:r w:rsidRPr="00D16A5E">
        <w:rPr>
          <w:rFonts w:ascii="Verdana" w:eastAsia="Calibri" w:hAnsi="Verdana" w:cs="Arial"/>
          <w:lang w:val="es-ES"/>
        </w:rPr>
        <w:t>C-343 del 17 de junio de 2020, C-518 del 9 de septiembre de 2020, C-614 del 5 de octubre de 2022, C-882 del 21 de diciembre de 2022</w:t>
      </w:r>
      <w:r>
        <w:rPr>
          <w:rFonts w:ascii="Verdana" w:eastAsia="Calibri" w:hAnsi="Verdana" w:cs="Arial"/>
          <w:lang w:val="es-ES"/>
        </w:rPr>
        <w:t>,</w:t>
      </w:r>
      <w:r w:rsidRPr="00D16A5E">
        <w:rPr>
          <w:rFonts w:ascii="Verdana" w:eastAsia="Calibri" w:hAnsi="Verdana" w:cs="Arial"/>
          <w:lang w:val="es-ES"/>
        </w:rPr>
        <w:t xml:space="preserve"> C-172 del 6 de junio de 2023</w:t>
      </w:r>
      <w:r>
        <w:rPr>
          <w:rFonts w:ascii="Verdana" w:eastAsia="Calibri" w:hAnsi="Verdana" w:cs="Arial"/>
          <w:lang w:val="es-ES"/>
        </w:rPr>
        <w:t xml:space="preserve">, C-447 del 19 de septiembre de 2024, C-664 del 29 de octubre de 2024 y C-1771 del 27 de noviembre de 2025. </w:t>
      </w:r>
      <w:r w:rsidRPr="00F9120E">
        <w:rPr>
          <w:rFonts w:ascii="Verdana" w:hAnsi="Verdana" w:cs="Arial"/>
          <w:color w:val="000000" w:themeColor="text1"/>
          <w:shd w:val="clear" w:color="auto" w:fill="FFFFFF"/>
          <w:lang w:val="es-ES"/>
        </w:rPr>
        <w:t xml:space="preserve">Estos </w:t>
      </w:r>
      <w:r w:rsidRPr="00F9120E">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2" w:history="1">
        <w:r w:rsidRPr="00F9120E">
          <w:rPr>
            <w:rStyle w:val="Hipervnculo"/>
            <w:rFonts w:ascii="Verdana" w:hAnsi="Verdana" w:cs="Arial"/>
            <w:shd w:val="clear" w:color="auto" w:fill="FFFFFF"/>
            <w:lang w:val="es-ES"/>
          </w:rPr>
          <w:t>https://relatoria.colombiacompra.gov.co/busqueda/conceptos</w:t>
        </w:r>
      </w:hyperlink>
    </w:p>
    <w:p w14:paraId="2A152F37" w14:textId="77777777" w:rsidR="00D84E93" w:rsidRPr="00F9120E" w:rsidRDefault="00D84E93" w:rsidP="00D84E93">
      <w:pPr>
        <w:spacing w:after="0" w:line="276" w:lineRule="auto"/>
        <w:contextualSpacing/>
        <w:jc w:val="both"/>
        <w:rPr>
          <w:rFonts w:ascii="Verdana" w:hAnsi="Verdana"/>
          <w:lang w:val="es-ES"/>
        </w:rPr>
      </w:pPr>
    </w:p>
    <w:bookmarkEnd w:id="0"/>
    <w:p w14:paraId="09C122CE" w14:textId="77777777" w:rsidR="00D84E93" w:rsidRPr="007E5FC6" w:rsidRDefault="00D84E93" w:rsidP="00D84E93">
      <w:pPr>
        <w:shd w:val="clear" w:color="auto" w:fill="FFFFFF"/>
        <w:spacing w:after="0" w:line="276" w:lineRule="auto"/>
        <w:jc w:val="both"/>
        <w:rPr>
          <w:rFonts w:ascii="Verdana" w:eastAsia="Calibri" w:hAnsi="Verdana" w:cs="Times New Roman"/>
          <w:color w:val="467886"/>
          <w:u w:val="single"/>
        </w:rPr>
      </w:pPr>
      <w:r w:rsidRPr="007E5FC6">
        <w:rPr>
          <w:rFonts w:ascii="Verdana" w:eastAsia="Calibri" w:hAnsi="Verdana" w:cs="Times New Roman"/>
          <w:color w:val="000000"/>
        </w:rPr>
        <w:t>Te informamos que ya se encuentra disponible la </w:t>
      </w:r>
      <w:r w:rsidRPr="007E5FC6">
        <w:rPr>
          <w:rFonts w:ascii="Verdana" w:eastAsia="Calibri" w:hAnsi="Verdana" w:cs="Times New Roman"/>
          <w:b/>
          <w:bCs/>
          <w:color w:val="000000"/>
        </w:rPr>
        <w:t xml:space="preserve">Guía de lineamientos de transparencia y selección objetiva para el departamento de La Guajira – </w:t>
      </w:r>
      <w:r w:rsidRPr="007E5FC6">
        <w:rPr>
          <w:rFonts w:ascii="Verdana" w:eastAsia="Calibri" w:hAnsi="Verdana" w:cs="Times New Roman"/>
          <w:b/>
          <w:bCs/>
          <w:color w:val="000000"/>
        </w:rPr>
        <w:lastRenderedPageBreak/>
        <w:t>Objetivo sexto constitucional de la Sentencia T-302 del 2017. </w:t>
      </w:r>
      <w:r w:rsidRPr="007E5FC6">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E5FC6">
        <w:rPr>
          <w:rFonts w:ascii="Verdana" w:eastAsia="Calibri" w:hAnsi="Verdana" w:cs="Times New Roman"/>
          <w:color w:val="000000"/>
        </w:rPr>
        <w:t>Wayúu</w:t>
      </w:r>
      <w:proofErr w:type="spellEnd"/>
      <w:r w:rsidRPr="007E5FC6">
        <w:rPr>
          <w:rFonts w:ascii="Verdana" w:eastAsia="Calibri" w:hAnsi="Verdana" w:cs="Times New Roman"/>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7E5FC6">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7E5FC6">
        <w:rPr>
          <w:rFonts w:ascii="Verdana" w:eastAsia="Calibri" w:hAnsi="Verdana" w:cs="Times New Roman"/>
          <w:color w:val="000000"/>
          <w:u w:val="single"/>
        </w:rPr>
        <w:t>.</w:t>
      </w:r>
    </w:p>
    <w:p w14:paraId="5160F9CC" w14:textId="77777777" w:rsidR="00D84E93" w:rsidRPr="007E5FC6" w:rsidRDefault="00D84E93" w:rsidP="00D84E93">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p>
    <w:p w14:paraId="105BF375" w14:textId="77777777" w:rsidR="00D84E93" w:rsidRPr="007E5FC6" w:rsidRDefault="00D84E93" w:rsidP="00D84E93">
      <w:pPr>
        <w:spacing w:after="0" w:line="256" w:lineRule="auto"/>
        <w:jc w:val="both"/>
        <w:rPr>
          <w:rFonts w:ascii="Verdana" w:eastAsia="Calibri" w:hAnsi="Verdana" w:cs="Times New Roman"/>
        </w:rPr>
      </w:pPr>
      <w:r w:rsidRPr="007E5FC6">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2979C02" w14:textId="77777777" w:rsidR="00D84E93" w:rsidRPr="007E5FC6" w:rsidRDefault="00D84E93" w:rsidP="00D84E93">
      <w:pPr>
        <w:spacing w:after="0" w:line="256" w:lineRule="auto"/>
        <w:jc w:val="both"/>
        <w:rPr>
          <w:rFonts w:ascii="Verdana" w:eastAsia="Calibri" w:hAnsi="Verdana" w:cs="Times New Roman"/>
        </w:rPr>
      </w:pPr>
    </w:p>
    <w:p w14:paraId="7D48BDA8" w14:textId="77777777" w:rsidR="00D84E93" w:rsidRPr="007E5FC6" w:rsidRDefault="00D84E93" w:rsidP="00D84E93">
      <w:pPr>
        <w:numPr>
          <w:ilvl w:val="0"/>
          <w:numId w:val="15"/>
        </w:numPr>
        <w:spacing w:after="0" w:line="240" w:lineRule="auto"/>
        <w:contextualSpacing/>
        <w:jc w:val="both"/>
        <w:rPr>
          <w:rFonts w:ascii="Verdana" w:eastAsia="Verdana" w:hAnsi="Verdana" w:cs="Verdana"/>
          <w:color w:val="4472C4" w:themeColor="accent1"/>
          <w:u w:val="single"/>
          <w:lang w:val="es-ES"/>
        </w:rPr>
      </w:pPr>
      <w:r w:rsidRPr="007E5FC6">
        <w:rPr>
          <w:rFonts w:ascii="Verdana" w:eastAsia="Verdana" w:hAnsi="Verdana" w:cs="Verdana"/>
          <w:lang w:val="es-ES"/>
        </w:rPr>
        <w:t xml:space="preserve">Línea nacional gratuita o servicio a la ciudadanía (Mesa de servicio): </w:t>
      </w:r>
      <w:r w:rsidRPr="007E5FC6">
        <w:rPr>
          <w:rFonts w:ascii="Verdana" w:hAnsi="Verdana"/>
          <w:color w:val="0000FF"/>
          <w:u w:val="single"/>
          <w:lang w:val="es-ES"/>
        </w:rPr>
        <w:t>01800 0520808</w:t>
      </w:r>
    </w:p>
    <w:p w14:paraId="6AA0DA6D" w14:textId="77777777" w:rsidR="00D84E93" w:rsidRPr="007E5FC6" w:rsidRDefault="00D84E93" w:rsidP="00D84E93">
      <w:pPr>
        <w:numPr>
          <w:ilvl w:val="0"/>
          <w:numId w:val="15"/>
        </w:numPr>
        <w:spacing w:after="0" w:line="256" w:lineRule="auto"/>
        <w:contextualSpacing/>
        <w:rPr>
          <w:rFonts w:ascii="Verdana" w:eastAsia="Verdana" w:hAnsi="Verdana" w:cs="Verdana"/>
          <w:color w:val="4472C4" w:themeColor="accent1"/>
          <w:u w:val="single"/>
          <w:lang w:val="es-ES"/>
        </w:rPr>
      </w:pPr>
      <w:r w:rsidRPr="007E5FC6">
        <w:rPr>
          <w:rFonts w:ascii="Verdana" w:eastAsia="Verdana" w:hAnsi="Verdana" w:cs="Verdana"/>
          <w:lang w:val="es-ES"/>
        </w:rPr>
        <w:t>Línea en Bogotá (Mesa de servicio</w:t>
      </w:r>
      <w:proofErr w:type="gramStart"/>
      <w:r w:rsidRPr="007E5FC6">
        <w:rPr>
          <w:rFonts w:ascii="Verdana" w:eastAsia="Verdana" w:hAnsi="Verdana" w:cs="Verdana"/>
          <w:lang w:val="es-ES"/>
        </w:rPr>
        <w:t>):</w:t>
      </w:r>
      <w:r w:rsidRPr="007E5FC6">
        <w:rPr>
          <w:rFonts w:ascii="Verdana" w:hAnsi="Verdana"/>
          <w:color w:val="0000FF"/>
          <w:u w:val="single"/>
          <w:lang w:val="es-ES"/>
        </w:rPr>
        <w:t>+</w:t>
      </w:r>
      <w:proofErr w:type="gramEnd"/>
      <w:r w:rsidRPr="007E5FC6">
        <w:rPr>
          <w:rFonts w:ascii="Verdana" w:hAnsi="Verdana"/>
          <w:color w:val="0000FF"/>
          <w:u w:val="single"/>
          <w:lang w:val="es-ES"/>
        </w:rPr>
        <w:t>57 601 7456788</w:t>
      </w:r>
    </w:p>
    <w:p w14:paraId="37E8864D" w14:textId="77777777" w:rsidR="00D84E93" w:rsidRPr="007E5FC6" w:rsidRDefault="00D84E93" w:rsidP="00D84E93">
      <w:pPr>
        <w:numPr>
          <w:ilvl w:val="0"/>
          <w:numId w:val="15"/>
        </w:numPr>
        <w:spacing w:after="0" w:line="256" w:lineRule="auto"/>
        <w:contextualSpacing/>
        <w:rPr>
          <w:rFonts w:ascii="Verdana" w:eastAsia="Verdana" w:hAnsi="Verdana" w:cs="Verdana"/>
          <w:color w:val="0000FF"/>
          <w:u w:val="single"/>
          <w:lang w:val="es-ES"/>
        </w:rPr>
      </w:pPr>
      <w:r w:rsidRPr="007E5FC6">
        <w:rPr>
          <w:rFonts w:ascii="Verdana" w:eastAsia="Verdana" w:hAnsi="Verdana" w:cs="Verdana"/>
          <w:lang w:val="es-ES"/>
        </w:rPr>
        <w:t xml:space="preserve">Correo de radicación de correspondencia: </w:t>
      </w:r>
      <w:hyperlink r:id="rId14" w:history="1">
        <w:r w:rsidRPr="007E5FC6">
          <w:rPr>
            <w:rFonts w:ascii="Verdana" w:eastAsia="Verdana" w:hAnsi="Verdana" w:cs="Verdana"/>
            <w:color w:val="0000FF"/>
            <w:u w:val="single"/>
            <w:lang w:val="es-ES"/>
          </w:rPr>
          <w:t>ventanilladeradicacion@colombiacompra.gov.co</w:t>
        </w:r>
      </w:hyperlink>
    </w:p>
    <w:p w14:paraId="6E7517BA" w14:textId="77777777" w:rsidR="00D84E93" w:rsidRPr="007E5FC6" w:rsidRDefault="00D84E93" w:rsidP="00D84E93">
      <w:pPr>
        <w:numPr>
          <w:ilvl w:val="0"/>
          <w:numId w:val="15"/>
        </w:numPr>
        <w:spacing w:after="0" w:line="256" w:lineRule="auto"/>
        <w:contextualSpacing/>
        <w:rPr>
          <w:rFonts w:ascii="Verdana" w:eastAsia="Verdana" w:hAnsi="Verdana" w:cs="Verdana"/>
          <w:color w:val="0000FF"/>
          <w:u w:val="single"/>
          <w:lang w:val="es-ES"/>
        </w:rPr>
      </w:pPr>
      <w:r w:rsidRPr="007E5FC6">
        <w:rPr>
          <w:rFonts w:ascii="Verdana" w:eastAsia="Verdana" w:hAnsi="Verdana" w:cs="Verdana"/>
          <w:lang w:val="es-ES"/>
        </w:rPr>
        <w:t xml:space="preserve">Formulario web para PQRSD: </w:t>
      </w:r>
      <w:hyperlink r:id="rId15" w:history="1">
        <w:r w:rsidRPr="007E5FC6">
          <w:rPr>
            <w:rFonts w:ascii="Verdana" w:eastAsia="Verdana" w:hAnsi="Verdana" w:cs="Verdana"/>
            <w:color w:val="0000FF"/>
            <w:u w:val="single"/>
            <w:lang w:val="es-ES"/>
          </w:rPr>
          <w:t>https://www.colombiacompra.gov.co/pqrsd/informacion-importante-antes-de-formular-una-pqrsd</w:t>
        </w:r>
      </w:hyperlink>
    </w:p>
    <w:p w14:paraId="1D1C4005" w14:textId="77777777" w:rsidR="00D84E93" w:rsidRPr="007E5FC6" w:rsidRDefault="00D84E93" w:rsidP="00D84E93">
      <w:pPr>
        <w:spacing w:after="0" w:line="240" w:lineRule="auto"/>
        <w:ind w:left="720"/>
        <w:jc w:val="both"/>
        <w:rPr>
          <w:rFonts w:ascii="Verdana" w:eastAsia="Calibri" w:hAnsi="Verdana" w:cs="Times New Roman"/>
        </w:rPr>
      </w:pPr>
    </w:p>
    <w:p w14:paraId="5FD0C69F" w14:textId="77777777" w:rsidR="00D84E93" w:rsidRPr="007E5FC6" w:rsidRDefault="00D84E93" w:rsidP="00D84E93">
      <w:pPr>
        <w:spacing w:after="0" w:line="240" w:lineRule="auto"/>
        <w:rPr>
          <w:rFonts w:ascii="Verdana" w:eastAsia="Calibri" w:hAnsi="Verdana" w:cs="Times New Roman"/>
        </w:rPr>
      </w:pPr>
      <w:r w:rsidRPr="007E5FC6">
        <w:rPr>
          <w:rFonts w:ascii="Verdana" w:eastAsia="Calibri" w:hAnsi="Verdana" w:cs="Times New Roman"/>
        </w:rPr>
        <w:t>Evalúa el servicio que ofrece la Agencia por el canal de atención de PQRSD en el siguiente enlace:</w:t>
      </w:r>
      <w:r>
        <w:rPr>
          <w:rFonts w:ascii="Verdana" w:eastAsia="Calibri" w:hAnsi="Verdana" w:cs="Times New Roman"/>
        </w:rPr>
        <w:t xml:space="preserve"> </w:t>
      </w:r>
      <w:hyperlink r:id="rId16" w:history="1">
        <w:r w:rsidRPr="009512F2">
          <w:rPr>
            <w:rStyle w:val="Hipervnculo"/>
            <w:rFonts w:ascii="Verdana" w:eastAsia="Calibri" w:hAnsi="Verdana" w:cs="Times New Roman"/>
          </w:rPr>
          <w:t>https://forms.office.com/r/pPHyWVs2SZ</w:t>
        </w:r>
      </w:hyperlink>
      <w:r w:rsidRPr="007E5FC6">
        <w:rPr>
          <w:rFonts w:ascii="Verdana" w:eastAsia="Calibri" w:hAnsi="Verdana" w:cs="Times New Roman"/>
        </w:rPr>
        <w:t xml:space="preserve"> .¡Ayúdanos a mejorar porque el compromiso es de todos!</w:t>
      </w:r>
    </w:p>
    <w:p w14:paraId="6760B48D" w14:textId="77777777" w:rsidR="00D84E93" w:rsidRPr="007E5FC6" w:rsidRDefault="00D84E93" w:rsidP="00D84E93">
      <w:pPr>
        <w:spacing w:after="0" w:line="240" w:lineRule="auto"/>
        <w:rPr>
          <w:rFonts w:ascii="Verdana" w:eastAsia="Calibri" w:hAnsi="Verdana" w:cs="Times New Roman"/>
        </w:rPr>
      </w:pPr>
    </w:p>
    <w:p w14:paraId="03FB698E" w14:textId="77777777" w:rsidR="00D84E93" w:rsidRPr="007E5FC6" w:rsidRDefault="00D84E93" w:rsidP="00D84E93">
      <w:pPr>
        <w:spacing w:after="0" w:line="240" w:lineRule="auto"/>
        <w:jc w:val="both"/>
        <w:rPr>
          <w:rFonts w:ascii="Verdana" w:eastAsia="Calibri" w:hAnsi="Verdana" w:cs="Times New Roman"/>
        </w:rPr>
      </w:pPr>
      <w:r w:rsidRPr="007E5FC6">
        <w:rPr>
          <w:rFonts w:ascii="Verdana" w:eastAsia="Calibri" w:hAnsi="Verdana" w:cs="Times New Roman"/>
        </w:rPr>
        <w:t xml:space="preserve">Por último, lo invitamos a seguirnos en las redes sociales en las cuales se difunde información institucional: </w:t>
      </w:r>
    </w:p>
    <w:p w14:paraId="5F0D2861" w14:textId="77777777" w:rsidR="00D84E93" w:rsidRPr="007E5FC6" w:rsidRDefault="00D84E93" w:rsidP="00D84E93">
      <w:pPr>
        <w:spacing w:after="0" w:line="240" w:lineRule="auto"/>
        <w:jc w:val="both"/>
        <w:rPr>
          <w:rFonts w:ascii="Verdana" w:eastAsia="Calibri" w:hAnsi="Verdana" w:cs="Times New Roman"/>
        </w:rPr>
      </w:pPr>
    </w:p>
    <w:p w14:paraId="16D2E922" w14:textId="77777777" w:rsidR="00D84E93" w:rsidRPr="007E5FC6" w:rsidRDefault="00D84E93" w:rsidP="00D84E93">
      <w:pPr>
        <w:spacing w:after="0" w:line="240" w:lineRule="auto"/>
        <w:jc w:val="both"/>
        <w:rPr>
          <w:rFonts w:ascii="Verdana" w:eastAsia="Calibri" w:hAnsi="Verdana" w:cs="Times New Roman"/>
        </w:rPr>
      </w:pPr>
      <w:r w:rsidRPr="007E5FC6">
        <w:rPr>
          <w:rFonts w:ascii="Verdana" w:eastAsia="Calibri" w:hAnsi="Verdana" w:cs="Times New Roman"/>
        </w:rPr>
        <w:t xml:space="preserve">Twitter: </w:t>
      </w:r>
      <w:r w:rsidRPr="007E5FC6">
        <w:rPr>
          <w:rFonts w:ascii="Verdana" w:eastAsia="Calibri" w:hAnsi="Verdana" w:cs="Times New Roman"/>
          <w:color w:val="0000FF"/>
          <w:u w:val="single"/>
        </w:rPr>
        <w:t>@colombiacompra</w:t>
      </w:r>
      <w:r w:rsidRPr="007E5FC6">
        <w:rPr>
          <w:rFonts w:ascii="Verdana" w:eastAsia="Calibri" w:hAnsi="Verdana" w:cs="Times New Roman"/>
        </w:rPr>
        <w:t xml:space="preserve"> </w:t>
      </w:r>
    </w:p>
    <w:p w14:paraId="3446734D" w14:textId="77777777" w:rsidR="00D84E93" w:rsidRPr="007E5FC6" w:rsidRDefault="00D84E93" w:rsidP="00D84E93">
      <w:pPr>
        <w:spacing w:after="0" w:line="240" w:lineRule="auto"/>
        <w:jc w:val="both"/>
        <w:rPr>
          <w:rFonts w:ascii="Verdana" w:eastAsia="Calibri" w:hAnsi="Verdana" w:cs="Times New Roman"/>
        </w:rPr>
      </w:pPr>
      <w:r w:rsidRPr="007E5FC6">
        <w:rPr>
          <w:rFonts w:ascii="Verdana" w:eastAsia="Calibri" w:hAnsi="Verdana" w:cs="Times New Roman"/>
        </w:rPr>
        <w:t xml:space="preserve">Facebook: </w:t>
      </w:r>
      <w:proofErr w:type="spellStart"/>
      <w:r w:rsidRPr="007E5FC6">
        <w:rPr>
          <w:rFonts w:ascii="Verdana" w:eastAsia="Calibri" w:hAnsi="Verdana" w:cs="Times New Roman"/>
          <w:color w:val="0000FF"/>
          <w:u w:val="single"/>
        </w:rPr>
        <w:t>ColombiaCompraEficiente</w:t>
      </w:r>
      <w:proofErr w:type="spellEnd"/>
    </w:p>
    <w:p w14:paraId="0DC2226C" w14:textId="77777777" w:rsidR="00D84E93" w:rsidRPr="007E5FC6" w:rsidRDefault="00D84E93" w:rsidP="00D84E93">
      <w:pPr>
        <w:spacing w:after="0" w:line="240" w:lineRule="auto"/>
        <w:jc w:val="both"/>
        <w:rPr>
          <w:rFonts w:ascii="Verdana" w:eastAsia="Calibri" w:hAnsi="Verdana" w:cs="Times New Roman"/>
        </w:rPr>
      </w:pPr>
      <w:r w:rsidRPr="007E5FC6">
        <w:rPr>
          <w:rFonts w:ascii="Verdana" w:eastAsia="Calibri" w:hAnsi="Verdana" w:cs="Times New Roman"/>
        </w:rPr>
        <w:t xml:space="preserve">LinkedIn: </w:t>
      </w:r>
      <w:r w:rsidRPr="007E5FC6">
        <w:rPr>
          <w:rFonts w:ascii="Verdana" w:eastAsia="Calibri" w:hAnsi="Verdana" w:cs="Times New Roman"/>
          <w:color w:val="0000FF"/>
          <w:u w:val="single"/>
        </w:rPr>
        <w:t>Agencia Nacional de Contratación Pública - Colombia Compra Eficiente</w:t>
      </w:r>
      <w:r w:rsidRPr="007E5FC6">
        <w:rPr>
          <w:rFonts w:ascii="Verdana" w:eastAsia="Calibri" w:hAnsi="Verdana" w:cs="Times New Roman"/>
        </w:rPr>
        <w:t xml:space="preserve"> Instagram: </w:t>
      </w:r>
      <w:r w:rsidRPr="007E5FC6">
        <w:rPr>
          <w:rFonts w:ascii="Verdana" w:eastAsia="Calibri" w:hAnsi="Verdana" w:cs="Times New Roman"/>
          <w:color w:val="0000FF"/>
          <w:u w:val="single"/>
        </w:rPr>
        <w:t>@colombiacompraeficiente_cce</w:t>
      </w:r>
    </w:p>
    <w:p w14:paraId="6BAF4DB7" w14:textId="77777777" w:rsidR="00D84E93" w:rsidRPr="007E5FC6" w:rsidRDefault="00D84E93" w:rsidP="00D84E93">
      <w:pPr>
        <w:widowControl w:val="0"/>
        <w:autoSpaceDE w:val="0"/>
        <w:autoSpaceDN w:val="0"/>
        <w:spacing w:after="0" w:line="276" w:lineRule="auto"/>
        <w:jc w:val="both"/>
        <w:rPr>
          <w:rFonts w:ascii="Verdana" w:eastAsia="Calibri" w:hAnsi="Verdana" w:cs="Arial"/>
          <w:color w:val="FF0000"/>
          <w:shd w:val="clear" w:color="auto" w:fill="FFFFFF"/>
          <w:lang w:val="es-ES_tradnl"/>
        </w:rPr>
      </w:pPr>
      <w:r w:rsidRPr="007E5FC6">
        <w:rPr>
          <w:rFonts w:ascii="Verdana" w:eastAsia="Calibri" w:hAnsi="Verdana" w:cs="Arial"/>
          <w:color w:val="000000" w:themeColor="text1"/>
          <w:shd w:val="clear" w:color="auto" w:fill="FFFFFF"/>
          <w:lang w:val="es-ES_tradnl"/>
        </w:rPr>
        <w:t xml:space="preserve"> </w:t>
      </w:r>
      <w:r w:rsidRPr="007E5FC6">
        <w:rPr>
          <w:rFonts w:ascii="Verdana" w:eastAsia="Calibri" w:hAnsi="Verdana" w:cs="Arial"/>
          <w:color w:val="FF0000"/>
          <w:shd w:val="clear" w:color="auto" w:fill="FFFFFF"/>
          <w:lang w:val="es-ES_tradnl"/>
        </w:rPr>
        <w:t xml:space="preserve">        </w:t>
      </w:r>
    </w:p>
    <w:p w14:paraId="3F45666F" w14:textId="77777777" w:rsidR="00D84E93" w:rsidRPr="007E5FC6" w:rsidRDefault="00D84E93" w:rsidP="00D84E93">
      <w:pPr>
        <w:widowControl w:val="0"/>
        <w:autoSpaceDE w:val="0"/>
        <w:autoSpaceDN w:val="0"/>
        <w:spacing w:after="0" w:line="276" w:lineRule="auto"/>
        <w:jc w:val="both"/>
        <w:rPr>
          <w:rFonts w:ascii="Verdana" w:eastAsia="Calibri" w:hAnsi="Verdana" w:cs="Arial"/>
          <w:lang w:val="es-ES_tradnl"/>
        </w:rPr>
      </w:pPr>
      <w:r w:rsidRPr="007E5FC6">
        <w:rPr>
          <w:rFonts w:ascii="Verdana" w:eastAsia="Calibri" w:hAnsi="Verdana" w:cs="Arial"/>
        </w:rPr>
        <w:t xml:space="preserve">Este concepto tiene el alcance previsto en el artículo 28 del Código de Procedimiento Administrativo y de lo Contencioso Administrativo </w:t>
      </w:r>
      <w:r w:rsidRPr="007E5FC6">
        <w:rPr>
          <w:rFonts w:ascii="Verdana" w:eastAsia="Calibri" w:hAnsi="Verdana" w:cs="Arial"/>
          <w:lang w:val="es-ES_tradnl"/>
        </w:rPr>
        <w:t xml:space="preserve">y las </w:t>
      </w:r>
      <w:r w:rsidRPr="007E5FC6">
        <w:rPr>
          <w:rFonts w:ascii="Verdana" w:eastAsia="Calibri" w:hAnsi="Verdana" w:cs="Arial"/>
          <w:lang w:val="es-ES_tradnl"/>
        </w:rPr>
        <w:lastRenderedPageBreak/>
        <w:t>expresiones aquí utilizadas con mayúscula inicial deben ser entendidas con el significado que les otorga el artículo 2.2.1.1.1.3.1. del Decreto 1082 de 2015.</w:t>
      </w:r>
    </w:p>
    <w:p w14:paraId="64777B07" w14:textId="77777777" w:rsidR="00D84E93" w:rsidRPr="007E5FC6" w:rsidRDefault="00D84E93" w:rsidP="00D84E93">
      <w:pPr>
        <w:widowControl w:val="0"/>
        <w:autoSpaceDE w:val="0"/>
        <w:autoSpaceDN w:val="0"/>
        <w:spacing w:after="0" w:line="276" w:lineRule="auto"/>
        <w:jc w:val="both"/>
        <w:rPr>
          <w:rFonts w:ascii="Verdana" w:eastAsia="Calibri" w:hAnsi="Verdana" w:cs="Arial"/>
        </w:rPr>
      </w:pPr>
    </w:p>
    <w:p w14:paraId="56B7990D" w14:textId="77777777" w:rsidR="00D84E93" w:rsidRPr="007E5FC6" w:rsidRDefault="00D84E93" w:rsidP="00D84E93">
      <w:pPr>
        <w:spacing w:after="0" w:line="276" w:lineRule="auto"/>
        <w:rPr>
          <w:rFonts w:ascii="Verdana" w:eastAsia="Calibri" w:hAnsi="Verdana" w:cs="Arial"/>
          <w:lang w:eastAsia="es-CO"/>
        </w:rPr>
      </w:pPr>
      <w:r w:rsidRPr="007E5FC6">
        <w:rPr>
          <w:rFonts w:ascii="Verdana" w:eastAsia="Times New Roman" w:hAnsi="Verdana" w:cs="Arial"/>
          <w:lang w:eastAsia="es-CO"/>
        </w:rPr>
        <w:t>Atentamente,</w:t>
      </w:r>
      <w:r w:rsidRPr="007E5FC6">
        <w:rPr>
          <w:rFonts w:ascii="Verdana" w:eastAsia="Calibri" w:hAnsi="Verdana" w:cs="Arial"/>
          <w:lang w:eastAsia="es-CO"/>
        </w:rPr>
        <w:t xml:space="preserve"> </w:t>
      </w:r>
    </w:p>
    <w:p w14:paraId="5C777BEF" w14:textId="38C1740A" w:rsidR="00D84E93" w:rsidRPr="007E5FC6" w:rsidRDefault="000174B3" w:rsidP="00D84E93">
      <w:pPr>
        <w:spacing w:line="276" w:lineRule="auto"/>
        <w:jc w:val="center"/>
        <w:rPr>
          <w:rFonts w:ascii="Verdana" w:eastAsia="Times New Roman" w:hAnsi="Verdana" w:cs="Arial"/>
          <w:sz w:val="24"/>
          <w:szCs w:val="24"/>
          <w:lang w:eastAsia="es-ES"/>
        </w:rPr>
      </w:pPr>
      <w:r>
        <w:rPr>
          <w:noProof/>
        </w:rPr>
        <w:drawing>
          <wp:inline distT="0" distB="0" distL="0" distR="0" wp14:anchorId="708D8051" wp14:editId="7F8097B6">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D84E93" w:rsidRPr="007E5FC6" w14:paraId="3D36E705" w14:textId="77777777" w:rsidTr="007628F7">
        <w:trPr>
          <w:trHeight w:val="315"/>
        </w:trPr>
        <w:tc>
          <w:tcPr>
            <w:tcW w:w="993" w:type="dxa"/>
            <w:vAlign w:val="center"/>
            <w:hideMark/>
          </w:tcPr>
          <w:p w14:paraId="6EDA7576" w14:textId="77777777" w:rsidR="00D84E93" w:rsidRPr="007E5FC6" w:rsidRDefault="00D84E93" w:rsidP="007628F7">
            <w:pPr>
              <w:spacing w:after="0" w:line="276" w:lineRule="auto"/>
              <w:rPr>
                <w:rFonts w:ascii="Verdana" w:eastAsia="Calibri" w:hAnsi="Verdana" w:cs="Arial"/>
                <w:bCs/>
                <w:sz w:val="16"/>
                <w:szCs w:val="16"/>
                <w:lang w:eastAsia="es-CO"/>
              </w:rPr>
            </w:pPr>
            <w:r w:rsidRPr="007E5FC6">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4DD91073" w14:textId="77777777"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Ximena Ríos López</w:t>
            </w:r>
          </w:p>
          <w:p w14:paraId="1B58EADD" w14:textId="77777777"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Gestor T1 -11 Subdirección de Gestión Contractual</w:t>
            </w:r>
          </w:p>
        </w:tc>
      </w:tr>
      <w:tr w:rsidR="00D84E93" w:rsidRPr="007E5FC6" w14:paraId="72A89B78" w14:textId="77777777" w:rsidTr="007628F7">
        <w:trPr>
          <w:trHeight w:val="330"/>
        </w:trPr>
        <w:tc>
          <w:tcPr>
            <w:tcW w:w="993" w:type="dxa"/>
            <w:vAlign w:val="center"/>
            <w:hideMark/>
          </w:tcPr>
          <w:p w14:paraId="7E497045" w14:textId="77777777" w:rsidR="00D84E93" w:rsidRPr="007E5FC6" w:rsidRDefault="00D84E93" w:rsidP="007628F7">
            <w:pPr>
              <w:spacing w:after="0" w:line="276" w:lineRule="auto"/>
              <w:rPr>
                <w:rFonts w:ascii="Verdana" w:eastAsia="Calibri" w:hAnsi="Verdana" w:cs="Arial"/>
                <w:bCs/>
                <w:sz w:val="16"/>
                <w:szCs w:val="16"/>
                <w:lang w:eastAsia="es-CO"/>
              </w:rPr>
            </w:pPr>
            <w:r w:rsidRPr="007E5FC6">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626515E1" w14:textId="29886F72"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 xml:space="preserve">Martha </w:t>
            </w:r>
            <w:r w:rsidR="00097926">
              <w:rPr>
                <w:rFonts w:ascii="Verdana" w:eastAsia="Calibri" w:hAnsi="Verdana" w:cs="Arial"/>
                <w:sz w:val="16"/>
                <w:szCs w:val="16"/>
                <w:lang w:eastAsia="es-CO"/>
              </w:rPr>
              <w:t xml:space="preserve">Alicia </w:t>
            </w:r>
            <w:r w:rsidRPr="007E5FC6">
              <w:rPr>
                <w:rFonts w:ascii="Verdana" w:eastAsia="Calibri" w:hAnsi="Verdana" w:cs="Arial"/>
                <w:sz w:val="16"/>
                <w:szCs w:val="16"/>
                <w:lang w:eastAsia="es-CO"/>
              </w:rPr>
              <w:t>Romero</w:t>
            </w:r>
            <w:r w:rsidR="00097926">
              <w:rPr>
                <w:rFonts w:ascii="Verdana" w:eastAsia="Calibri" w:hAnsi="Verdana" w:cs="Arial"/>
                <w:sz w:val="16"/>
                <w:szCs w:val="16"/>
                <w:lang w:eastAsia="es-CO"/>
              </w:rPr>
              <w:t xml:space="preserve"> Vargas</w:t>
            </w:r>
          </w:p>
          <w:p w14:paraId="5B053AAB" w14:textId="77777777"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Gestor T1 -15 Subdirección de Gestión Contractual</w:t>
            </w:r>
          </w:p>
        </w:tc>
      </w:tr>
      <w:tr w:rsidR="00D84E93" w:rsidRPr="007E5FC6" w14:paraId="60531BCE" w14:textId="77777777" w:rsidTr="007628F7">
        <w:trPr>
          <w:trHeight w:val="300"/>
        </w:trPr>
        <w:tc>
          <w:tcPr>
            <w:tcW w:w="993" w:type="dxa"/>
            <w:vAlign w:val="center"/>
            <w:hideMark/>
          </w:tcPr>
          <w:p w14:paraId="49613345" w14:textId="77777777" w:rsidR="00D84E93" w:rsidRPr="007E5FC6" w:rsidRDefault="00D84E93" w:rsidP="007628F7">
            <w:pPr>
              <w:spacing w:after="0" w:line="276" w:lineRule="auto"/>
              <w:rPr>
                <w:rFonts w:ascii="Verdana" w:eastAsia="Calibri" w:hAnsi="Verdana" w:cs="Arial"/>
                <w:bCs/>
                <w:sz w:val="16"/>
                <w:szCs w:val="16"/>
                <w:lang w:eastAsia="es-CO"/>
              </w:rPr>
            </w:pPr>
            <w:r w:rsidRPr="007E5FC6">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30F8AE77" w14:textId="77777777"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Carolina Quintero Gacharná</w:t>
            </w:r>
          </w:p>
          <w:p w14:paraId="4F49E13F" w14:textId="77777777" w:rsidR="00D84E93" w:rsidRPr="007E5FC6" w:rsidRDefault="00D84E93" w:rsidP="007628F7">
            <w:pPr>
              <w:spacing w:after="0" w:line="240" w:lineRule="auto"/>
              <w:rPr>
                <w:rFonts w:ascii="Verdana" w:eastAsia="Calibri" w:hAnsi="Verdana" w:cs="Arial"/>
                <w:sz w:val="16"/>
                <w:szCs w:val="16"/>
                <w:lang w:eastAsia="es-CO"/>
              </w:rPr>
            </w:pPr>
            <w:r w:rsidRPr="007E5FC6">
              <w:rPr>
                <w:rFonts w:ascii="Verdana" w:eastAsia="Calibri" w:hAnsi="Verdana" w:cs="Arial"/>
                <w:sz w:val="16"/>
                <w:szCs w:val="16"/>
                <w:lang w:eastAsia="es-CO"/>
              </w:rPr>
              <w:t>Subdirectora de Gestión Contractual ANCP – CCE</w:t>
            </w:r>
          </w:p>
        </w:tc>
      </w:tr>
    </w:tbl>
    <w:p w14:paraId="6F5E9995" w14:textId="77777777" w:rsidR="00D84E93" w:rsidRPr="007E5FC6" w:rsidRDefault="00D84E93" w:rsidP="00D84E93">
      <w:pPr>
        <w:widowControl w:val="0"/>
        <w:autoSpaceDE w:val="0"/>
        <w:autoSpaceDN w:val="0"/>
        <w:spacing w:after="0" w:line="276" w:lineRule="auto"/>
        <w:jc w:val="both"/>
        <w:rPr>
          <w:rFonts w:ascii="Verdana" w:eastAsia="Calibri" w:hAnsi="Verdana" w:cs="Arial"/>
        </w:rPr>
      </w:pPr>
    </w:p>
    <w:p w14:paraId="1B36CA9D" w14:textId="77777777" w:rsidR="00D84E93" w:rsidRPr="007E5FC6" w:rsidRDefault="00D84E93" w:rsidP="00D84E93">
      <w:pPr>
        <w:spacing w:after="0" w:line="276" w:lineRule="auto"/>
        <w:contextualSpacing/>
        <w:jc w:val="both"/>
      </w:pPr>
    </w:p>
    <w:p w14:paraId="0F293BF4" w14:textId="60390200" w:rsidR="00127233" w:rsidRPr="00D84E93" w:rsidRDefault="00127233" w:rsidP="00D84E93"/>
    <w:sectPr w:rsidR="00127233" w:rsidRPr="00D84E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98A53" w14:textId="77777777" w:rsidR="00BF77C9" w:rsidRDefault="00BF77C9" w:rsidP="004A1847">
      <w:pPr>
        <w:spacing w:after="0" w:line="240" w:lineRule="auto"/>
      </w:pPr>
      <w:r>
        <w:separator/>
      </w:r>
    </w:p>
  </w:endnote>
  <w:endnote w:type="continuationSeparator" w:id="0">
    <w:p w14:paraId="2A9FFAE3" w14:textId="77777777" w:rsidR="00BF77C9" w:rsidRDefault="00BF77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Open Sans">
    <w:charset w:val="00"/>
    <w:family w:val="swiss"/>
    <w:pitch w:val="variable"/>
    <w:sig w:usb0="E00002EF" w:usb1="4000205B" w:usb2="00000028"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8D56B" w14:textId="77777777" w:rsidR="00BF77C9" w:rsidRDefault="00BF77C9" w:rsidP="004A1847">
      <w:pPr>
        <w:spacing w:after="0" w:line="240" w:lineRule="auto"/>
      </w:pPr>
      <w:r>
        <w:separator/>
      </w:r>
    </w:p>
  </w:footnote>
  <w:footnote w:type="continuationSeparator" w:id="0">
    <w:p w14:paraId="1B7EE708" w14:textId="77777777" w:rsidR="00BF77C9" w:rsidRDefault="00BF77C9" w:rsidP="004A1847">
      <w:pPr>
        <w:spacing w:after="0" w:line="240" w:lineRule="auto"/>
      </w:pPr>
      <w:r>
        <w:continuationSeparator/>
      </w:r>
    </w:p>
  </w:footnote>
  <w:footnote w:id="1">
    <w:p w14:paraId="37A72904" w14:textId="77777777" w:rsidR="00D84E93" w:rsidRPr="00C325AF" w:rsidRDefault="00D84E93" w:rsidP="00D84E93">
      <w:pPr>
        <w:pStyle w:val="Textonotapie"/>
        <w:ind w:firstLine="426"/>
        <w:contextualSpacing/>
        <w:jc w:val="both"/>
        <w:rPr>
          <w:rFonts w:ascii="Verdana" w:hAnsi="Verdana"/>
          <w:sz w:val="10"/>
          <w:szCs w:val="10"/>
          <w:lang w:val="es-CO"/>
        </w:rPr>
      </w:pPr>
      <w:r w:rsidRPr="00C325AF">
        <w:rPr>
          <w:rStyle w:val="Refdenotaalpie"/>
          <w:rFonts w:ascii="Verdana" w:hAnsi="Verdana"/>
          <w:sz w:val="10"/>
          <w:szCs w:val="10"/>
        </w:rPr>
        <w:footnoteRef/>
      </w:r>
      <w:r w:rsidRPr="00C325AF">
        <w:rPr>
          <w:rFonts w:ascii="Verdana" w:hAnsi="Verdana"/>
          <w:sz w:val="10"/>
          <w:szCs w:val="10"/>
        </w:rPr>
        <w:t xml:space="preserve"> </w:t>
      </w:r>
      <w:r w:rsidRPr="00C325AF">
        <w:rPr>
          <w:rFonts w:ascii="Verdana" w:hAnsi="Verdana"/>
          <w:sz w:val="10"/>
          <w:szCs w:val="10"/>
          <w:lang w:val="es-ES"/>
        </w:rPr>
        <w:t>“</w:t>
      </w:r>
      <w:r w:rsidRPr="00C325AF">
        <w:rPr>
          <w:rFonts w:ascii="Verdana" w:hAnsi="Verdana"/>
          <w:sz w:val="10"/>
          <w:szCs w:val="10"/>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22DD6302" w14:textId="77777777" w:rsidR="00D84E93" w:rsidRPr="00C325AF" w:rsidRDefault="00D84E93" w:rsidP="00D84E93">
      <w:pPr>
        <w:pStyle w:val="Textonotapie"/>
        <w:contextualSpacing/>
        <w:jc w:val="both"/>
        <w:rPr>
          <w:rFonts w:ascii="Verdana" w:hAnsi="Verdana"/>
          <w:sz w:val="10"/>
          <w:szCs w:val="10"/>
          <w:lang w:val="es-CO"/>
        </w:rPr>
      </w:pPr>
      <w:r w:rsidRPr="00C325AF">
        <w:rPr>
          <w:rFonts w:ascii="Verdana" w:hAnsi="Verdana"/>
          <w:sz w:val="10"/>
          <w:szCs w:val="10"/>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222C146D" w14:textId="77777777" w:rsidR="00D84E93" w:rsidRPr="00C325AF" w:rsidRDefault="00D84E93" w:rsidP="00D84E93">
      <w:pPr>
        <w:pStyle w:val="Textonotapie"/>
        <w:ind w:firstLine="567"/>
        <w:contextualSpacing/>
        <w:jc w:val="both"/>
        <w:rPr>
          <w:rFonts w:ascii="Verdana" w:hAnsi="Verdana"/>
          <w:sz w:val="10"/>
          <w:szCs w:val="10"/>
          <w:lang w:val="es-CO"/>
        </w:rPr>
      </w:pPr>
      <w:r w:rsidRPr="00C325AF">
        <w:rPr>
          <w:rStyle w:val="Refdenotaalpie"/>
          <w:rFonts w:ascii="Verdana" w:hAnsi="Verdana"/>
          <w:sz w:val="10"/>
          <w:szCs w:val="10"/>
        </w:rPr>
        <w:footnoteRef/>
      </w:r>
      <w:r w:rsidRPr="00C325AF">
        <w:rPr>
          <w:rFonts w:ascii="Verdana" w:hAnsi="Verdana"/>
          <w:sz w:val="10"/>
          <w:szCs w:val="10"/>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10186521"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w:t>
      </w:r>
      <w:r w:rsidRPr="00C325AF">
        <w:rPr>
          <w:rFonts w:ascii="Verdana" w:hAnsi="Verdana" w:cs="Arial"/>
          <w:color w:val="000000" w:themeColor="text1"/>
          <w:sz w:val="10"/>
          <w:szCs w:val="10"/>
          <w:lang w:val="es-ES"/>
        </w:rPr>
        <w:t>Al respecto, conviene recordar el artículo 29 de la Ley 80 de 1993, derogado por el artículo 32 de la Ley 1150 de 2007, que establecía: “La selección de contratistas será objetiva.</w:t>
      </w:r>
    </w:p>
    <w:p w14:paraId="12EC5A10"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r w:rsidRPr="00C325AF">
        <w:rPr>
          <w:rFonts w:ascii="Verdana" w:hAnsi="Verdana" w:cs="Arial"/>
          <w:color w:val="000000" w:themeColor="text1"/>
          <w:sz w:val="10"/>
          <w:szCs w:val="10"/>
          <w:lang w:val="es-ES"/>
        </w:rPr>
        <w:t>Es objetiva la selección en la cual la escogencia se hace al ofrecimiento más favorable a la entidad y a los fines que ella busca, sin tener en consideración factores de afecto o de interés y, en general, cualquier clase de motivación subjetiva.</w:t>
      </w:r>
    </w:p>
    <w:p w14:paraId="1047DEB3"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r w:rsidRPr="00C325AF">
        <w:rPr>
          <w:rFonts w:ascii="Verdana" w:hAnsi="Verdana" w:cs="Arial"/>
          <w:color w:val="000000" w:themeColor="text1"/>
          <w:sz w:val="10"/>
          <w:szCs w:val="10"/>
          <w:lang w:val="es-ES"/>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3037260F"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r w:rsidRPr="00C325AF">
        <w:rPr>
          <w:rFonts w:ascii="Verdana" w:hAnsi="Verdana" w:cs="Arial"/>
          <w:color w:val="000000" w:themeColor="text1"/>
          <w:sz w:val="10"/>
          <w:szCs w:val="10"/>
          <w:lang w:val="es-ES"/>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4EBBEDA8"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r w:rsidRPr="00C325AF">
        <w:rPr>
          <w:rFonts w:ascii="Verdana" w:hAnsi="Verdana" w:cs="Arial"/>
          <w:color w:val="000000" w:themeColor="text1"/>
          <w:sz w:val="10"/>
          <w:szCs w:val="10"/>
          <w:lang w:val="es-ES"/>
        </w:rPr>
        <w:t>En caso de comparación de propuestas nacionales y extranjeras, se incluirán los costos necesarios para la entrega del producto terminado en el lugar de su utilización”.</w:t>
      </w:r>
    </w:p>
  </w:footnote>
  <w:footnote w:id="4">
    <w:p w14:paraId="1A992891" w14:textId="77777777" w:rsidR="00D84E93" w:rsidRPr="00C325AF" w:rsidRDefault="00D84E93" w:rsidP="00D84E93">
      <w:pPr>
        <w:pStyle w:val="Textonotapie"/>
        <w:ind w:firstLine="709"/>
        <w:jc w:val="both"/>
        <w:rPr>
          <w:rFonts w:ascii="Verdana" w:hAnsi="Verdana" w:cs="Arial"/>
          <w:color w:val="000000"/>
          <w:sz w:val="10"/>
          <w:szCs w:val="10"/>
          <w:lang w:val="es-CO"/>
        </w:rPr>
      </w:pPr>
      <w:r w:rsidRPr="00C325AF">
        <w:rPr>
          <w:rStyle w:val="Refdenotaalpie"/>
          <w:rFonts w:ascii="Verdana" w:hAnsi="Verdana" w:cs="Arial"/>
          <w:color w:val="000000"/>
          <w:sz w:val="10"/>
          <w:szCs w:val="10"/>
          <w:lang w:val="es-CO"/>
        </w:rPr>
        <w:footnoteRef/>
      </w:r>
      <w:r w:rsidRPr="00C325AF">
        <w:rPr>
          <w:rFonts w:ascii="Verdana" w:hAnsi="Verdana" w:cs="Arial"/>
          <w:color w:val="000000"/>
          <w:sz w:val="10"/>
          <w:szCs w:val="10"/>
          <w:lang w:val="es-CO"/>
        </w:rPr>
        <w:t xml:space="preserve"> Consejo de Estado. Sección Tercera. Subsección C. Sentencia del 22 de mayo de 2013. Exp. 24.057. C.P. Olga Melida Valle De La Hoz.</w:t>
      </w:r>
    </w:p>
    <w:p w14:paraId="00B5F0B0" w14:textId="77777777" w:rsidR="00D84E93" w:rsidRPr="00C325AF" w:rsidRDefault="00D84E93" w:rsidP="00D84E93">
      <w:pPr>
        <w:pStyle w:val="Textonotapie"/>
        <w:ind w:firstLine="709"/>
        <w:jc w:val="both"/>
        <w:rPr>
          <w:rFonts w:ascii="Verdana" w:hAnsi="Verdana" w:cs="Arial"/>
          <w:color w:val="000000"/>
          <w:sz w:val="10"/>
          <w:szCs w:val="10"/>
          <w:lang w:val="es-CO"/>
        </w:rPr>
      </w:pPr>
    </w:p>
  </w:footnote>
  <w:footnote w:id="5">
    <w:p w14:paraId="5EDF3147"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Consejo de Estado. Sección Tercera. Subsección A. Sentencia del 25 de octubre de 2019. Exp. 39.945. Consejera Ponente: María Adriana Marín.</w:t>
      </w:r>
    </w:p>
    <w:p w14:paraId="33726A7B"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p>
  </w:footnote>
  <w:footnote w:id="6">
    <w:p w14:paraId="476BAF06"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Style w:val="Refdenotaalpie"/>
          <w:rFonts w:ascii="Verdana" w:hAnsi="Verdana" w:cs="Arial"/>
          <w:color w:val="000000" w:themeColor="text1"/>
          <w:sz w:val="10"/>
          <w:szCs w:val="10"/>
        </w:rPr>
        <w:t xml:space="preserve"> </w:t>
      </w:r>
      <w:r w:rsidRPr="00C325AF">
        <w:rPr>
          <w:rFonts w:ascii="Verdana" w:hAnsi="Verdana" w:cs="Arial"/>
          <w:color w:val="000000" w:themeColor="text1"/>
          <w:sz w:val="10"/>
          <w:szCs w:val="10"/>
        </w:rPr>
        <w:t>Consejo de Estado. Sección Tercera. Subsección A. Sentencia del 5 de julio de 2018. Exp. 37.834. Consejero Ponente: Carlos Alberto Zambrano Barrera.</w:t>
      </w:r>
    </w:p>
    <w:p w14:paraId="092657D1" w14:textId="77777777" w:rsidR="00D84E93" w:rsidRPr="00C325AF" w:rsidRDefault="00D84E93" w:rsidP="00D84E93">
      <w:pPr>
        <w:pStyle w:val="Textonotapie"/>
        <w:ind w:firstLine="709"/>
        <w:jc w:val="both"/>
        <w:rPr>
          <w:rFonts w:ascii="Verdana" w:hAnsi="Verdana" w:cs="Arial"/>
          <w:color w:val="000000" w:themeColor="text1"/>
          <w:sz w:val="10"/>
          <w:szCs w:val="10"/>
          <w:lang w:val="es-ES"/>
        </w:rPr>
      </w:pPr>
    </w:p>
  </w:footnote>
  <w:footnote w:id="7">
    <w:p w14:paraId="1F03B037"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6B8BE5CD" w14:textId="77777777" w:rsidR="00D84E93" w:rsidRPr="00C325AF" w:rsidRDefault="00D84E93" w:rsidP="00D84E93">
      <w:pPr>
        <w:pStyle w:val="Textonotapie"/>
        <w:ind w:firstLine="709"/>
        <w:jc w:val="both"/>
        <w:rPr>
          <w:rFonts w:ascii="Verdana" w:hAnsi="Verdana" w:cs="Arial"/>
          <w:b/>
          <w:color w:val="000000" w:themeColor="text1"/>
          <w:sz w:val="10"/>
          <w:szCs w:val="10"/>
        </w:rPr>
      </w:pPr>
    </w:p>
  </w:footnote>
  <w:footnote w:id="8">
    <w:p w14:paraId="70FBCFAC"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9">
    <w:p w14:paraId="075AF066"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Consejo de Estado. Sección Tercera, Subsección C. Sentencia del 26 de febrero de 2014. C.P. Enrique Gil Botero, Rad. 1999-00113-01 (25.804). </w:t>
      </w:r>
    </w:p>
    <w:p w14:paraId="46C536B8" w14:textId="77777777" w:rsidR="00D84E93" w:rsidRPr="00C325AF" w:rsidRDefault="00D84E93" w:rsidP="00D84E93">
      <w:pPr>
        <w:pStyle w:val="Textonotapie"/>
        <w:ind w:firstLine="709"/>
        <w:jc w:val="both"/>
        <w:rPr>
          <w:rFonts w:ascii="Verdana" w:hAnsi="Verdana" w:cs="Arial"/>
          <w:color w:val="000000" w:themeColor="text1"/>
          <w:sz w:val="10"/>
          <w:szCs w:val="10"/>
        </w:rPr>
      </w:pPr>
    </w:p>
  </w:footnote>
  <w:footnote w:id="10">
    <w:p w14:paraId="16D11D7E" w14:textId="77777777" w:rsidR="00D84E93" w:rsidRPr="00C325AF" w:rsidRDefault="00D84E93" w:rsidP="00D84E93">
      <w:pPr>
        <w:pStyle w:val="Textonotapie"/>
        <w:ind w:firstLine="708"/>
        <w:jc w:val="both"/>
        <w:rPr>
          <w:rFonts w:ascii="Verdana" w:hAnsi="Verdana"/>
          <w:sz w:val="10"/>
          <w:szCs w:val="10"/>
          <w:lang w:val="pt-BR"/>
        </w:rPr>
      </w:pPr>
      <w:r w:rsidRPr="00C325AF">
        <w:rPr>
          <w:rStyle w:val="Refdenotaalpie"/>
          <w:rFonts w:ascii="Verdana" w:hAnsi="Verdana"/>
          <w:sz w:val="10"/>
          <w:szCs w:val="10"/>
        </w:rPr>
        <w:footnoteRef/>
      </w:r>
      <w:r w:rsidRPr="00C325AF">
        <w:rPr>
          <w:rFonts w:ascii="Verdana" w:hAnsi="Verdana"/>
          <w:sz w:val="10"/>
          <w:szCs w:val="10"/>
        </w:rPr>
        <w:t xml:space="preserve"> Agencia Nacional de Contratación Pública – Colombia Compra Eficiente. </w:t>
      </w:r>
      <w:r w:rsidRPr="00C325AF">
        <w:rPr>
          <w:rFonts w:ascii="Verdana" w:hAnsi="Verdana"/>
          <w:sz w:val="10"/>
          <w:szCs w:val="10"/>
          <w:lang w:val="pt-BR"/>
        </w:rPr>
        <w:t xml:space="preserve">Circular Externa Única. Pág. 41: </w:t>
      </w:r>
      <w:hyperlink r:id="rId1" w:history="1">
        <w:r w:rsidRPr="00C325AF">
          <w:rPr>
            <w:rStyle w:val="Hipervnculo"/>
            <w:rFonts w:ascii="Verdana" w:hAnsi="Verdana"/>
            <w:sz w:val="10"/>
            <w:szCs w:val="10"/>
            <w:lang w:val="pt-BR"/>
          </w:rPr>
          <w:t>https://www.colombiacompra.gov.co/sites/cce_public/files/cce_circulares/circular_externa_unica_version_3_vf49.pdf</w:t>
        </w:r>
      </w:hyperlink>
      <w:r w:rsidRPr="00C325AF">
        <w:rPr>
          <w:rFonts w:ascii="Verdana" w:hAnsi="Verdana"/>
          <w:sz w:val="10"/>
          <w:szCs w:val="10"/>
          <w:lang w:val="pt-BR"/>
        </w:rPr>
        <w:t xml:space="preserve"> </w:t>
      </w:r>
    </w:p>
  </w:footnote>
  <w:footnote w:id="11">
    <w:p w14:paraId="6F652CC8" w14:textId="77777777" w:rsidR="00D84E93" w:rsidRPr="00C325AF" w:rsidRDefault="00D84E93" w:rsidP="00D84E93">
      <w:pPr>
        <w:pStyle w:val="Textonotapie"/>
        <w:ind w:firstLine="709"/>
        <w:jc w:val="both"/>
        <w:rPr>
          <w:rFonts w:ascii="Verdana" w:hAnsi="Verdana" w:cs="Arial"/>
          <w:color w:val="000000" w:themeColor="text1"/>
          <w:sz w:val="10"/>
          <w:szCs w:val="10"/>
          <w:lang w:val="es-CO"/>
        </w:rPr>
      </w:pPr>
      <w:r w:rsidRPr="00C325AF">
        <w:rPr>
          <w:rStyle w:val="Refdenotaalpie"/>
          <w:rFonts w:ascii="Verdana" w:hAnsi="Verdana" w:cs="Arial"/>
          <w:color w:val="000000" w:themeColor="text1"/>
          <w:sz w:val="10"/>
          <w:szCs w:val="10"/>
        </w:rPr>
        <w:footnoteRef/>
      </w:r>
      <w:r w:rsidRPr="00C325AF">
        <w:rPr>
          <w:rStyle w:val="Refdenotaalpie"/>
          <w:rFonts w:ascii="Verdana" w:hAnsi="Verdana" w:cs="Arial"/>
          <w:color w:val="000000" w:themeColor="text1"/>
          <w:sz w:val="10"/>
          <w:szCs w:val="10"/>
        </w:rPr>
        <w:t xml:space="preserve"> </w:t>
      </w:r>
      <w:r w:rsidRPr="00C325AF">
        <w:rPr>
          <w:rFonts w:ascii="Verdana" w:hAnsi="Verdana" w:cs="Arial"/>
          <w:color w:val="000000" w:themeColor="text1"/>
          <w:sz w:val="10"/>
          <w:szCs w:val="10"/>
          <w:lang w:val="es-CO"/>
        </w:rPr>
        <w:t>Ley 1150 de 2007, artículo 5, parágrafo 4°: “</w:t>
      </w:r>
      <w:r w:rsidRPr="00C325AF">
        <w:rPr>
          <w:rFonts w:ascii="Verdana" w:hAnsi="Verdana" w:cs="Arial"/>
          <w:color w:val="000000" w:themeColor="text1"/>
          <w:sz w:val="10"/>
          <w:szCs w:val="10"/>
        </w:rPr>
        <w:t>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12">
    <w:p w14:paraId="1773F5D6" w14:textId="77777777" w:rsidR="00D84E93" w:rsidRPr="00C325AF" w:rsidRDefault="00D84E93" w:rsidP="00D84E93">
      <w:pPr>
        <w:spacing w:after="0" w:line="240" w:lineRule="auto"/>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tooltip="Haga clic para abrir TODA la Ley 1150 de 2007" w:history="1">
        <w:r w:rsidRPr="00C325AF">
          <w:rPr>
            <w:rFonts w:ascii="Verdana" w:hAnsi="Verdana" w:cs="Arial"/>
            <w:color w:val="000000" w:themeColor="text1"/>
            <w:sz w:val="10"/>
            <w:szCs w:val="10"/>
          </w:rPr>
          <w:t>Ley 1150 de 2007</w:t>
        </w:r>
      </w:hyperlink>
      <w:r w:rsidRPr="00C325AF">
        <w:rPr>
          <w:rFonts w:ascii="Verdana" w:hAnsi="Verdana" w:cs="Arial"/>
          <w:color w:val="000000" w:themeColor="text1"/>
          <w:sz w:val="10"/>
          <w:szCs w:val="10"/>
        </w:rPr>
        <w:t> y en el presente decreto.</w:t>
      </w:r>
    </w:p>
    <w:p w14:paraId="56AACBE9" w14:textId="77777777" w:rsidR="00D84E93" w:rsidRPr="00C325AF" w:rsidRDefault="00D84E93" w:rsidP="00D84E93">
      <w:pPr>
        <w:spacing w:after="0" w:line="240" w:lineRule="auto"/>
        <w:ind w:firstLine="709"/>
        <w:jc w:val="both"/>
        <w:rPr>
          <w:rFonts w:ascii="Verdana" w:hAnsi="Verdana" w:cs="Arial"/>
          <w:color w:val="000000" w:themeColor="text1"/>
          <w:sz w:val="10"/>
          <w:szCs w:val="10"/>
        </w:rPr>
      </w:pPr>
      <w:r w:rsidRPr="00C325AF">
        <w:rPr>
          <w:rFonts w:ascii="Verdana" w:hAnsi="Verdana" w:cs="Arial"/>
          <w:color w:val="000000" w:themeColor="text1"/>
          <w:sz w:val="10"/>
          <w:szCs w:val="10"/>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715D9A2F" w14:textId="77777777" w:rsidR="00D84E93" w:rsidRPr="00C325AF" w:rsidRDefault="00D84E93" w:rsidP="00D84E93">
      <w:pPr>
        <w:spacing w:after="0" w:line="240" w:lineRule="auto"/>
        <w:ind w:firstLine="709"/>
        <w:jc w:val="both"/>
        <w:rPr>
          <w:rFonts w:ascii="Verdana" w:hAnsi="Verdana" w:cs="Arial"/>
          <w:color w:val="000000" w:themeColor="text1"/>
          <w:sz w:val="10"/>
          <w:szCs w:val="10"/>
        </w:rPr>
      </w:pPr>
      <w:r w:rsidRPr="00C325AF">
        <w:rPr>
          <w:rFonts w:ascii="Verdana" w:hAnsi="Verdana" w:cs="Arial"/>
          <w:color w:val="000000" w:themeColor="text1"/>
          <w:sz w:val="10"/>
          <w:szCs w:val="10"/>
        </w:rPr>
        <w:t>Será rechazada la oferta del proponente que dentro del término previsto en el pliego o en la solicitud, no responda al requerimiento que le haga la entidad para subsanarla.</w:t>
      </w:r>
    </w:p>
    <w:p w14:paraId="2EF0F689" w14:textId="77777777" w:rsidR="00D84E93" w:rsidRPr="00C325AF" w:rsidRDefault="00D84E93" w:rsidP="00D84E93">
      <w:pPr>
        <w:spacing w:after="0" w:line="240" w:lineRule="auto"/>
        <w:ind w:firstLine="709"/>
        <w:jc w:val="both"/>
        <w:rPr>
          <w:rFonts w:ascii="Verdana" w:hAnsi="Verdana" w:cs="Arial"/>
          <w:color w:val="000000" w:themeColor="text1"/>
          <w:sz w:val="10"/>
          <w:szCs w:val="10"/>
        </w:rPr>
      </w:pPr>
      <w:r w:rsidRPr="00C325AF">
        <w:rPr>
          <w:rFonts w:ascii="Verdana" w:hAnsi="Verdana" w:cs="Arial"/>
          <w:color w:val="000000" w:themeColor="text1"/>
          <w:sz w:val="10"/>
          <w:szCs w:val="10"/>
        </w:rPr>
        <w:t>Cuando se utilice el mecanismo de subasta esta posibilidad deberá ejercerse hasta el momento previo a su realización, de conformidad con el artículo 22 del presente decreto.</w:t>
      </w:r>
    </w:p>
    <w:p w14:paraId="6D2EAA2D" w14:textId="77777777" w:rsidR="00D84E93" w:rsidRPr="00C325AF" w:rsidRDefault="00D84E93" w:rsidP="00D84E93">
      <w:pPr>
        <w:spacing w:line="240" w:lineRule="auto"/>
        <w:ind w:firstLine="709"/>
        <w:jc w:val="both"/>
        <w:rPr>
          <w:rFonts w:ascii="Verdana" w:hAnsi="Verdana" w:cs="Arial"/>
          <w:color w:val="000000" w:themeColor="text1"/>
          <w:sz w:val="10"/>
          <w:szCs w:val="10"/>
        </w:rPr>
      </w:pPr>
      <w:r w:rsidRPr="00C325AF">
        <w:rPr>
          <w:rFonts w:ascii="Verdana" w:hAnsi="Verdana" w:cs="Arial"/>
          <w:color w:val="000000" w:themeColor="text1"/>
          <w:sz w:val="10"/>
          <w:szCs w:val="10"/>
        </w:rPr>
        <w:t xml:space="preserve">En ningún caso la entidad podrá señalar taxativamente los requisitos o documentos subsanables o no subsanables en el pliego de condiciones, </w:t>
      </w:r>
      <w:r w:rsidRPr="00C325AF">
        <w:rPr>
          <w:rFonts w:ascii="Verdana" w:hAnsi="Verdana" w:cs="Arial"/>
          <w:bCs/>
          <w:i/>
          <w:iCs/>
          <w:color w:val="000000" w:themeColor="text1"/>
          <w:sz w:val="10"/>
          <w:szCs w:val="10"/>
        </w:rPr>
        <w:t>ni permitir que se subsane la falta de capacidad para presentar la oferta, ni que se acrediten circunstancias ocurridas con posterioridad al cierre del proceso</w:t>
      </w:r>
      <w:r w:rsidRPr="00C325AF">
        <w:rPr>
          <w:rFonts w:ascii="Verdana" w:hAnsi="Verdana" w:cs="Arial"/>
          <w:color w:val="000000" w:themeColor="text1"/>
          <w:sz w:val="10"/>
          <w:szCs w:val="10"/>
        </w:rPr>
        <w:t xml:space="preserve">”. (Cursivas fuera de texto). </w:t>
      </w:r>
    </w:p>
  </w:footnote>
  <w:footnote w:id="13">
    <w:p w14:paraId="32437A55" w14:textId="77777777" w:rsidR="00D84E93" w:rsidRPr="00C325AF" w:rsidRDefault="00D84E93" w:rsidP="00D84E93">
      <w:pPr>
        <w:pStyle w:val="Textonotapie"/>
        <w:ind w:firstLine="709"/>
        <w:jc w:val="both"/>
        <w:rPr>
          <w:rFonts w:ascii="Verdana" w:hAnsi="Verdana" w:cs="Arial"/>
          <w:color w:val="000000" w:themeColor="text1"/>
          <w:sz w:val="10"/>
          <w:szCs w:val="10"/>
          <w:lang w:val="es-CO"/>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w:t>
      </w:r>
      <w:r w:rsidRPr="00C325AF">
        <w:rPr>
          <w:rFonts w:ascii="Verdana" w:hAnsi="Verdana" w:cs="Arial"/>
          <w:color w:val="000000" w:themeColor="text1"/>
          <w:sz w:val="10"/>
          <w:szCs w:val="10"/>
          <w:lang w:val="es-CO"/>
        </w:rPr>
        <w:t>Consejo de Estado, Sala de Consulta y Servicio Civil, concepto del 6 de noviembre de 2008. C.P. William Zambrano Cetina. Rad. 2008-00079-00(1927).</w:t>
      </w:r>
    </w:p>
    <w:p w14:paraId="61B8DDA0"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Fonts w:ascii="Verdana" w:hAnsi="Verdana" w:cs="Arial"/>
          <w:color w:val="000000" w:themeColor="text1"/>
          <w:sz w:val="10"/>
          <w:szCs w:val="10"/>
        </w:rPr>
        <w:t xml:space="preserve">  </w:t>
      </w:r>
    </w:p>
  </w:footnote>
  <w:footnote w:id="14">
    <w:p w14:paraId="0C1B3FA9"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w:t>
      </w:r>
      <w:r w:rsidRPr="00C325AF">
        <w:rPr>
          <w:rFonts w:ascii="Verdana" w:hAnsi="Verdana" w:cs="Arial"/>
          <w:color w:val="000000" w:themeColor="text1"/>
          <w:sz w:val="10"/>
          <w:szCs w:val="10"/>
          <w:lang w:val="es-CO"/>
        </w:rPr>
        <w:t>Ver Consejo de Estado, Sección Tercera, Subsección C. Sentencia del 26 de febrero de 2011. C.P. Jaime Orlando Santofimio. Rad. 36.408.</w:t>
      </w:r>
      <w:r w:rsidRPr="00C325AF">
        <w:rPr>
          <w:rFonts w:ascii="Verdana" w:hAnsi="Verdana" w:cs="Arial"/>
          <w:color w:val="000000" w:themeColor="text1"/>
          <w:sz w:val="10"/>
          <w:szCs w:val="10"/>
        </w:rPr>
        <w:t xml:space="preserve">  </w:t>
      </w:r>
    </w:p>
    <w:p w14:paraId="0C65E587" w14:textId="77777777" w:rsidR="00D84E93" w:rsidRPr="00C325AF" w:rsidRDefault="00D84E93" w:rsidP="00D84E93">
      <w:pPr>
        <w:pStyle w:val="Textonotapie"/>
        <w:ind w:firstLine="709"/>
        <w:jc w:val="both"/>
        <w:rPr>
          <w:rFonts w:ascii="Verdana" w:hAnsi="Verdana" w:cs="Arial"/>
          <w:color w:val="000000" w:themeColor="text1"/>
          <w:sz w:val="10"/>
          <w:szCs w:val="10"/>
        </w:rPr>
      </w:pPr>
    </w:p>
  </w:footnote>
  <w:footnote w:id="15">
    <w:p w14:paraId="3C23292F" w14:textId="77777777" w:rsidR="00D84E93" w:rsidRPr="00C325AF" w:rsidRDefault="00D84E93" w:rsidP="00D84E93">
      <w:pPr>
        <w:pStyle w:val="Textonotapie"/>
        <w:ind w:firstLine="709"/>
        <w:jc w:val="both"/>
        <w:rPr>
          <w:rFonts w:ascii="Verdana" w:hAnsi="Verdana" w:cs="Arial"/>
          <w:color w:val="000000" w:themeColor="text1"/>
          <w:sz w:val="10"/>
          <w:szCs w:val="10"/>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w:t>
      </w:r>
      <w:r w:rsidRPr="00C325AF">
        <w:rPr>
          <w:rFonts w:ascii="Verdana" w:hAnsi="Verdana" w:cs="Arial"/>
          <w:color w:val="000000" w:themeColor="text1"/>
          <w:sz w:val="10"/>
          <w:szCs w:val="10"/>
          <w:lang w:val="es-CO"/>
        </w:rPr>
        <w:t>Ver Consejo de Estado, Sección Tercera, Subsección C. Sentencia del 26 de febrero de 2014. C.P. Enrique Gil Botero. Rad. 25.804.</w:t>
      </w:r>
      <w:r w:rsidRPr="00C325AF">
        <w:rPr>
          <w:rFonts w:ascii="Verdana" w:hAnsi="Verdana" w:cs="Arial"/>
          <w:color w:val="000000" w:themeColor="text1"/>
          <w:sz w:val="10"/>
          <w:szCs w:val="10"/>
        </w:rPr>
        <w:t xml:space="preserve">  </w:t>
      </w:r>
    </w:p>
    <w:p w14:paraId="2BEFD24F" w14:textId="77777777" w:rsidR="00D84E93" w:rsidRPr="00C325AF" w:rsidRDefault="00D84E93" w:rsidP="00D84E93">
      <w:pPr>
        <w:pStyle w:val="Textonotapie"/>
        <w:ind w:firstLine="709"/>
        <w:jc w:val="both"/>
        <w:rPr>
          <w:rFonts w:ascii="Verdana" w:hAnsi="Verdana" w:cs="Arial"/>
          <w:color w:val="000000" w:themeColor="text1"/>
          <w:sz w:val="10"/>
          <w:szCs w:val="10"/>
        </w:rPr>
      </w:pPr>
    </w:p>
  </w:footnote>
  <w:footnote w:id="16">
    <w:p w14:paraId="2A63D932" w14:textId="77777777" w:rsidR="00D84E93" w:rsidRPr="00C325AF" w:rsidRDefault="00D84E93" w:rsidP="00D84E93">
      <w:pPr>
        <w:pStyle w:val="Textonotapie"/>
        <w:ind w:firstLine="709"/>
        <w:jc w:val="both"/>
        <w:rPr>
          <w:rFonts w:ascii="Verdana" w:hAnsi="Verdana" w:cs="Arial"/>
          <w:color w:val="000000" w:themeColor="text1"/>
          <w:sz w:val="10"/>
          <w:szCs w:val="10"/>
          <w:lang w:val="es-CO"/>
        </w:rPr>
      </w:pPr>
      <w:r w:rsidRPr="00C325AF">
        <w:rPr>
          <w:rStyle w:val="Refdenotaalpie"/>
          <w:rFonts w:ascii="Verdana" w:hAnsi="Verdana" w:cs="Arial"/>
          <w:color w:val="000000" w:themeColor="text1"/>
          <w:sz w:val="10"/>
          <w:szCs w:val="10"/>
        </w:rPr>
        <w:footnoteRef/>
      </w:r>
      <w:r w:rsidRPr="00C325AF">
        <w:rPr>
          <w:rFonts w:ascii="Verdana" w:hAnsi="Verdana" w:cs="Arial"/>
          <w:color w:val="000000" w:themeColor="text1"/>
          <w:sz w:val="10"/>
          <w:szCs w:val="10"/>
        </w:rPr>
        <w:t xml:space="preserve"> </w:t>
      </w:r>
      <w:r w:rsidRPr="00C325AF">
        <w:rPr>
          <w:rFonts w:ascii="Verdana" w:hAnsi="Verdana" w:cs="Arial"/>
          <w:color w:val="000000" w:themeColor="text1"/>
          <w:sz w:val="10"/>
          <w:szCs w:val="10"/>
          <w:lang w:val="es-CO"/>
        </w:rPr>
        <w:t>Consejo de Estado, Sala de Consulta y Servicio Civil, concepto del 20 de mayo de 2010. C.P. Enrique José Arboleda Perdomo. Rad. 2010-00034-00(1992).</w:t>
      </w:r>
    </w:p>
    <w:p w14:paraId="53902B5B" w14:textId="77777777" w:rsidR="00D84E93" w:rsidRPr="00C325AF" w:rsidRDefault="00D84E93" w:rsidP="00D84E93">
      <w:pPr>
        <w:pStyle w:val="Textonotapie"/>
        <w:ind w:firstLine="709"/>
        <w:jc w:val="both"/>
        <w:rPr>
          <w:rFonts w:ascii="Verdana" w:hAnsi="Verdana" w:cs="Arial"/>
          <w:color w:val="000000" w:themeColor="text1"/>
          <w:sz w:val="10"/>
          <w:szCs w:val="10"/>
        </w:rPr>
      </w:pPr>
    </w:p>
  </w:footnote>
  <w:footnote w:id="17">
    <w:p w14:paraId="5CDC13E1" w14:textId="77777777" w:rsidR="00D84E93" w:rsidRPr="00C325AF" w:rsidRDefault="00D84E93" w:rsidP="00D84E93">
      <w:pPr>
        <w:pStyle w:val="Textoindependiente"/>
        <w:ind w:right="2919" w:firstLine="300"/>
        <w:contextualSpacing/>
        <w:jc w:val="both"/>
        <w:rPr>
          <w:rFonts w:ascii="Verdana" w:hAnsi="Verdana"/>
          <w:color w:val="000000" w:themeColor="text1"/>
          <w:sz w:val="10"/>
          <w:szCs w:val="10"/>
        </w:rPr>
      </w:pPr>
      <w:r w:rsidRPr="00C325AF">
        <w:rPr>
          <w:rStyle w:val="Refdenotaalpie"/>
          <w:rFonts w:ascii="Verdana" w:hAnsi="Verdana"/>
          <w:sz w:val="10"/>
          <w:szCs w:val="10"/>
        </w:rPr>
        <w:footnoteRef/>
      </w:r>
      <w:r w:rsidRPr="00C325AF">
        <w:rPr>
          <w:rFonts w:ascii="Verdana" w:hAnsi="Verdana"/>
          <w:sz w:val="10"/>
          <w:szCs w:val="10"/>
        </w:rPr>
        <w:t xml:space="preserve"> </w:t>
      </w:r>
      <w:r w:rsidRPr="00C325AF">
        <w:rPr>
          <w:rFonts w:ascii="Verdana" w:hAnsi="Verdana"/>
          <w:color w:val="000000" w:themeColor="text1"/>
          <w:sz w:val="10"/>
          <w:szCs w:val="10"/>
        </w:rPr>
        <w:t>Ley 80 de 1993: “Artículo 7. De los consorcios y uniones temporales. Para los efectos de esta ley se entiende por: […]</w:t>
      </w:r>
    </w:p>
    <w:p w14:paraId="01F38612" w14:textId="77777777" w:rsidR="00D84E93" w:rsidRPr="00C325AF" w:rsidRDefault="00D84E93" w:rsidP="00D84E93">
      <w:pPr>
        <w:pStyle w:val="Textoindependiente"/>
        <w:ind w:right="310"/>
        <w:contextualSpacing/>
        <w:jc w:val="both"/>
        <w:rPr>
          <w:rFonts w:ascii="Verdana" w:hAnsi="Verdana"/>
          <w:color w:val="000000" w:themeColor="text1"/>
          <w:sz w:val="10"/>
          <w:szCs w:val="10"/>
        </w:rPr>
      </w:pPr>
      <w:r w:rsidRPr="00C325AF">
        <w:rPr>
          <w:rFonts w:ascii="Verdana" w:hAnsi="Verdana"/>
          <w:color w:val="000000" w:themeColor="text1"/>
          <w:sz w:val="10"/>
          <w:szCs w:val="10"/>
        </w:rPr>
        <w:t>1.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766B0028" w14:textId="77777777" w:rsidR="00D84E93" w:rsidRPr="00C325AF" w:rsidRDefault="00D84E93" w:rsidP="00D84E93">
      <w:pPr>
        <w:pStyle w:val="Textoindependiente"/>
        <w:contextualSpacing/>
        <w:jc w:val="both"/>
        <w:rPr>
          <w:rFonts w:ascii="Verdana" w:hAnsi="Verdana"/>
          <w:color w:val="000000" w:themeColor="text1"/>
          <w:sz w:val="10"/>
          <w:szCs w:val="10"/>
        </w:rPr>
      </w:pPr>
      <w:r w:rsidRPr="00C325AF">
        <w:rPr>
          <w:rFonts w:ascii="Verdana" w:hAnsi="Verdana"/>
          <w:color w:val="000000" w:themeColor="text1"/>
          <w:sz w:val="10"/>
          <w:szCs w:val="10"/>
        </w:rPr>
        <w:t>2.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footnote>
  <w:footnote w:id="18">
    <w:p w14:paraId="01F1F167" w14:textId="77777777" w:rsidR="00D84E93" w:rsidRPr="00C325AF" w:rsidRDefault="00D84E93" w:rsidP="00D84E93">
      <w:pPr>
        <w:pStyle w:val="Textoindependiente"/>
        <w:ind w:right="308" w:firstLine="300"/>
        <w:contextualSpacing/>
        <w:jc w:val="both"/>
        <w:rPr>
          <w:rFonts w:ascii="Verdana" w:hAnsi="Verdana"/>
          <w:color w:val="000000" w:themeColor="text1"/>
          <w:sz w:val="10"/>
          <w:szCs w:val="10"/>
        </w:rPr>
      </w:pPr>
      <w:r w:rsidRPr="00C325AF">
        <w:rPr>
          <w:rStyle w:val="Refdenotaalpie"/>
          <w:rFonts w:ascii="Verdana" w:hAnsi="Verdana"/>
          <w:sz w:val="10"/>
          <w:szCs w:val="10"/>
        </w:rPr>
        <w:footnoteRef/>
      </w:r>
      <w:r w:rsidRPr="00C325AF">
        <w:rPr>
          <w:rFonts w:ascii="Verdana" w:hAnsi="Verdana"/>
          <w:sz w:val="10"/>
          <w:szCs w:val="10"/>
        </w:rPr>
        <w:t xml:space="preserve"> </w:t>
      </w:r>
      <w:r w:rsidRPr="00C325AF">
        <w:rPr>
          <w:rFonts w:ascii="Verdana" w:hAnsi="Verdana"/>
          <w:color w:val="000000" w:themeColor="text1"/>
          <w:sz w:val="10"/>
          <w:szCs w:val="10"/>
        </w:rPr>
        <w:t>Corte Constitucional, sentencia C-414 del 22 de septiembre de 1996, M.P. Antonio Barrera Carbonell: “El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w:t>
      </w:r>
    </w:p>
    <w:p w14:paraId="39C6B1FE" w14:textId="77777777" w:rsidR="00D84E93" w:rsidRPr="00C325AF" w:rsidRDefault="00D84E93" w:rsidP="00D84E93">
      <w:pPr>
        <w:pStyle w:val="Textoindependiente"/>
        <w:ind w:right="306"/>
        <w:contextualSpacing/>
        <w:jc w:val="both"/>
        <w:rPr>
          <w:rFonts w:ascii="Verdana" w:hAnsi="Verdana"/>
          <w:color w:val="000000" w:themeColor="text1"/>
          <w:sz w:val="10"/>
          <w:szCs w:val="10"/>
        </w:rPr>
      </w:pPr>
      <w:r w:rsidRPr="00C325AF">
        <w:rPr>
          <w:rFonts w:ascii="Verdana" w:hAnsi="Verdana"/>
          <w:color w:val="000000" w:themeColor="text1"/>
          <w:sz w:val="10"/>
          <w:szCs w:val="10"/>
        </w:rPr>
        <w:t>El artículo 7o. de la mencionada ley se refiere al consorcio, pero en lugar de definir su contenido esencial, ofrece una relación descriptiva de la figura señalando los elementos instrumentales y vinculantes que lo conforman; según la ley,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C325AF">
        <w:rPr>
          <w:rFonts w:ascii="Verdana" w:hAnsi="Verdana"/>
          <w:color w:val="000000" w:themeColor="text1"/>
          <w:spacing w:val="-6"/>
          <w:sz w:val="10"/>
          <w:szCs w:val="10"/>
        </w:rPr>
        <w:t xml:space="preserve"> </w:t>
      </w:r>
      <w:r w:rsidRPr="00C325AF">
        <w:rPr>
          <w:rFonts w:ascii="Verdana" w:hAnsi="Verdana"/>
          <w:color w:val="000000" w:themeColor="text1"/>
          <w:sz w:val="10"/>
          <w:szCs w:val="10"/>
        </w:rPr>
        <w:t>contractuales”.</w:t>
      </w:r>
    </w:p>
  </w:footnote>
  <w:footnote w:id="19">
    <w:p w14:paraId="16A7323F" w14:textId="77777777" w:rsidR="00D84E93" w:rsidRPr="00C325AF" w:rsidRDefault="00D84E93" w:rsidP="00D84E93">
      <w:pPr>
        <w:spacing w:after="120" w:line="240" w:lineRule="auto"/>
        <w:ind w:firstLine="708"/>
        <w:jc w:val="both"/>
        <w:rPr>
          <w:rFonts w:ascii="Verdana" w:hAnsi="Verdana" w:cs="Arial"/>
          <w:sz w:val="10"/>
          <w:szCs w:val="10"/>
        </w:rPr>
      </w:pPr>
      <w:r w:rsidRPr="00C325AF">
        <w:rPr>
          <w:rStyle w:val="Refdenotaalpie"/>
          <w:rFonts w:ascii="Verdana" w:hAnsi="Verdana" w:cs="Arial"/>
          <w:sz w:val="10"/>
          <w:szCs w:val="10"/>
        </w:rPr>
        <w:footnoteRef/>
      </w:r>
      <w:r w:rsidRPr="00C325AF">
        <w:rPr>
          <w:rFonts w:ascii="Verdana" w:hAnsi="Verdana" w:cs="Arial"/>
          <w:sz w:val="10"/>
          <w:szCs w:val="10"/>
        </w:rPr>
        <w:t xml:space="preserve"> Definición desarrollada en el Concepto 003 de 2021 y el Concepto C-143 de 2021. </w:t>
      </w:r>
    </w:p>
  </w:footnote>
  <w:footnote w:id="20">
    <w:p w14:paraId="273F649E" w14:textId="77777777" w:rsidR="00D84E93" w:rsidRPr="00C325AF" w:rsidRDefault="00D84E93" w:rsidP="00D84E93">
      <w:pPr>
        <w:spacing w:after="120" w:line="240" w:lineRule="auto"/>
        <w:ind w:firstLine="708"/>
        <w:jc w:val="both"/>
        <w:rPr>
          <w:rFonts w:ascii="Verdana" w:hAnsi="Verdana" w:cs="Arial"/>
          <w:sz w:val="10"/>
          <w:szCs w:val="10"/>
        </w:rPr>
      </w:pPr>
      <w:r w:rsidRPr="00C325AF">
        <w:rPr>
          <w:rStyle w:val="Refdenotaalpie"/>
          <w:rFonts w:ascii="Verdana" w:hAnsi="Verdana" w:cs="Arial"/>
          <w:sz w:val="10"/>
          <w:szCs w:val="10"/>
        </w:rPr>
        <w:footnoteRef/>
      </w:r>
      <w:r w:rsidRPr="00C325AF">
        <w:rPr>
          <w:rFonts w:ascii="Verdana" w:hAnsi="Verdana" w:cs="Arial"/>
          <w:sz w:val="10"/>
          <w:szCs w:val="10"/>
        </w:rPr>
        <w:t xml:space="preserve"> Consejo de Estado. Sección Tercera. Providencia del 26 de junio de 2003. Expediente: 13.354.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C64D05"/>
    <w:multiLevelType w:val="hybridMultilevel"/>
    <w:tmpl w:val="A8C629B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8010768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4B3"/>
    <w:rsid w:val="00046945"/>
    <w:rsid w:val="00061B2A"/>
    <w:rsid w:val="00082362"/>
    <w:rsid w:val="00097926"/>
    <w:rsid w:val="000A683E"/>
    <w:rsid w:val="000B19B9"/>
    <w:rsid w:val="000D0334"/>
    <w:rsid w:val="000D5DA7"/>
    <w:rsid w:val="000F1133"/>
    <w:rsid w:val="000F6486"/>
    <w:rsid w:val="00116940"/>
    <w:rsid w:val="001206DE"/>
    <w:rsid w:val="00125105"/>
    <w:rsid w:val="00127233"/>
    <w:rsid w:val="0015699B"/>
    <w:rsid w:val="001A33BF"/>
    <w:rsid w:val="001B1AA9"/>
    <w:rsid w:val="001E0713"/>
    <w:rsid w:val="001E4177"/>
    <w:rsid w:val="001F0B24"/>
    <w:rsid w:val="001F7DC6"/>
    <w:rsid w:val="00201133"/>
    <w:rsid w:val="0022400B"/>
    <w:rsid w:val="002421BB"/>
    <w:rsid w:val="002545AA"/>
    <w:rsid w:val="0025796E"/>
    <w:rsid w:val="002707A2"/>
    <w:rsid w:val="002951A0"/>
    <w:rsid w:val="002962BC"/>
    <w:rsid w:val="002A093D"/>
    <w:rsid w:val="002A0DD0"/>
    <w:rsid w:val="002A49AC"/>
    <w:rsid w:val="002A64FD"/>
    <w:rsid w:val="002C4C3D"/>
    <w:rsid w:val="002C7A84"/>
    <w:rsid w:val="002E2BF8"/>
    <w:rsid w:val="002E4FD9"/>
    <w:rsid w:val="00303A03"/>
    <w:rsid w:val="0030657A"/>
    <w:rsid w:val="00322A85"/>
    <w:rsid w:val="00324168"/>
    <w:rsid w:val="00330834"/>
    <w:rsid w:val="003448F4"/>
    <w:rsid w:val="00374F5E"/>
    <w:rsid w:val="00377E3E"/>
    <w:rsid w:val="003A779E"/>
    <w:rsid w:val="003D0F4D"/>
    <w:rsid w:val="003D5B0D"/>
    <w:rsid w:val="003E0499"/>
    <w:rsid w:val="003E1598"/>
    <w:rsid w:val="003E4F80"/>
    <w:rsid w:val="003E6439"/>
    <w:rsid w:val="003F3941"/>
    <w:rsid w:val="00406575"/>
    <w:rsid w:val="00414C74"/>
    <w:rsid w:val="0042722E"/>
    <w:rsid w:val="0044528D"/>
    <w:rsid w:val="00466E39"/>
    <w:rsid w:val="004A1847"/>
    <w:rsid w:val="004A305D"/>
    <w:rsid w:val="004F21C4"/>
    <w:rsid w:val="004F685F"/>
    <w:rsid w:val="0055313F"/>
    <w:rsid w:val="005566E8"/>
    <w:rsid w:val="00574867"/>
    <w:rsid w:val="00591460"/>
    <w:rsid w:val="005A65E0"/>
    <w:rsid w:val="005C3777"/>
    <w:rsid w:val="005C5CDC"/>
    <w:rsid w:val="005D476C"/>
    <w:rsid w:val="006200BF"/>
    <w:rsid w:val="006219F8"/>
    <w:rsid w:val="006302F7"/>
    <w:rsid w:val="00646B9F"/>
    <w:rsid w:val="00665D70"/>
    <w:rsid w:val="006900D9"/>
    <w:rsid w:val="006E7727"/>
    <w:rsid w:val="006E7FE1"/>
    <w:rsid w:val="00706C16"/>
    <w:rsid w:val="007340C3"/>
    <w:rsid w:val="00737844"/>
    <w:rsid w:val="0075235A"/>
    <w:rsid w:val="007561E4"/>
    <w:rsid w:val="00756841"/>
    <w:rsid w:val="007649AB"/>
    <w:rsid w:val="00771D0C"/>
    <w:rsid w:val="007817A1"/>
    <w:rsid w:val="007833AC"/>
    <w:rsid w:val="007854FF"/>
    <w:rsid w:val="007B0F7C"/>
    <w:rsid w:val="007B268C"/>
    <w:rsid w:val="007B7171"/>
    <w:rsid w:val="007C0048"/>
    <w:rsid w:val="007C0C0F"/>
    <w:rsid w:val="007C3DC2"/>
    <w:rsid w:val="007E5497"/>
    <w:rsid w:val="00806F5F"/>
    <w:rsid w:val="00820278"/>
    <w:rsid w:val="008258C9"/>
    <w:rsid w:val="00844AE9"/>
    <w:rsid w:val="00867F95"/>
    <w:rsid w:val="00870DC5"/>
    <w:rsid w:val="008843B6"/>
    <w:rsid w:val="00891928"/>
    <w:rsid w:val="008A446D"/>
    <w:rsid w:val="008B25F1"/>
    <w:rsid w:val="008D180B"/>
    <w:rsid w:val="008F0EA7"/>
    <w:rsid w:val="00923EEF"/>
    <w:rsid w:val="009251C3"/>
    <w:rsid w:val="00936EBE"/>
    <w:rsid w:val="009419F9"/>
    <w:rsid w:val="0095685E"/>
    <w:rsid w:val="00961B09"/>
    <w:rsid w:val="009639CA"/>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5AC0"/>
    <w:rsid w:val="00AB0ADB"/>
    <w:rsid w:val="00B00C0E"/>
    <w:rsid w:val="00B01B1A"/>
    <w:rsid w:val="00B0381D"/>
    <w:rsid w:val="00B2397F"/>
    <w:rsid w:val="00B44A47"/>
    <w:rsid w:val="00B72CD3"/>
    <w:rsid w:val="00B72FFF"/>
    <w:rsid w:val="00BC3D36"/>
    <w:rsid w:val="00BD54A6"/>
    <w:rsid w:val="00BD7F72"/>
    <w:rsid w:val="00BF7425"/>
    <w:rsid w:val="00BF77C9"/>
    <w:rsid w:val="00C0232C"/>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4E93"/>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43B7"/>
    <w:rsid w:val="00F23FEA"/>
    <w:rsid w:val="00F310EB"/>
    <w:rsid w:val="00F31EDC"/>
    <w:rsid w:val="00F462B3"/>
    <w:rsid w:val="00F5664F"/>
    <w:rsid w:val="00F666C4"/>
    <w:rsid w:val="00F76AFC"/>
    <w:rsid w:val="00FA47C0"/>
    <w:rsid w:val="00FB2F0D"/>
    <w:rsid w:val="00FB5DD1"/>
    <w:rsid w:val="00FC2B5D"/>
    <w:rsid w:val="00FF1449"/>
    <w:rsid w:val="00FF7963"/>
    <w:rsid w:val="071B8F93"/>
    <w:rsid w:val="09908A09"/>
    <w:rsid w:val="0FF4CCA8"/>
    <w:rsid w:val="13CFC91B"/>
    <w:rsid w:val="19A2EC2C"/>
    <w:rsid w:val="2859CA1B"/>
    <w:rsid w:val="32A4F9CF"/>
    <w:rsid w:val="356CEDFD"/>
    <w:rsid w:val="63EB8E1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84E9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84E93"/>
    <w:rPr>
      <w:rFonts w:ascii="Geomanist Light" w:hAnsi="Geomanist Light"/>
      <w:lang w:val="es-ES"/>
    </w:rPr>
  </w:style>
  <w:style w:type="paragraph" w:styleId="Textoindependiente">
    <w:name w:val="Body Text"/>
    <w:basedOn w:val="Normal"/>
    <w:link w:val="TextoindependienteCar"/>
    <w:uiPriority w:val="1"/>
    <w:qFormat/>
    <w:rsid w:val="00D84E93"/>
    <w:pPr>
      <w:widowControl w:val="0"/>
      <w:autoSpaceDE w:val="0"/>
      <w:autoSpaceDN w:val="0"/>
      <w:spacing w:after="0" w:line="240" w:lineRule="auto"/>
    </w:pPr>
    <w:rPr>
      <w:rFonts w:ascii="Arial" w:eastAsia="Arial" w:hAnsi="Arial" w:cs="Arial"/>
      <w:sz w:val="18"/>
      <w:szCs w:val="18"/>
      <w:lang w:val="es-ES"/>
    </w:rPr>
  </w:style>
  <w:style w:type="character" w:customStyle="1" w:styleId="TextoindependienteCar">
    <w:name w:val="Texto independiente Car"/>
    <w:basedOn w:val="Fuentedeprrafopredeter"/>
    <w:link w:val="Textoindependiente"/>
    <w:uiPriority w:val="1"/>
    <w:rsid w:val="00D84E93"/>
    <w:rPr>
      <w:rFonts w:ascii="Arial" w:eastAsia="Arial" w:hAnsi="Arial" w:cs="Arial"/>
      <w:sz w:val="18"/>
      <w:szCs w:val="18"/>
      <w:lang w:val="es-ES"/>
    </w:rPr>
  </w:style>
  <w:style w:type="character" w:customStyle="1" w:styleId="superscript">
    <w:name w:val="superscript"/>
    <w:basedOn w:val="Fuentedeprrafopredeter"/>
    <w:rsid w:val="00D84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2023-Guia-para-determinar-y-verificar-la-Capacidad-Residual-del-proponente-en-los-Procesos-de-Contratacion-de-obra-publica-CCE-REC-GI-22.pdf"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71D64C-FE5D-494D-8B40-3243AEA394A8}"/>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46</Pages>
  <Words>16629</Words>
  <Characters>91461</Characters>
  <Application>Microsoft Office Word</Application>
  <DocSecurity>0</DocSecurity>
  <Lines>762</Lines>
  <Paragraphs>215</Paragraphs>
  <ScaleCrop>false</ScaleCrop>
  <Company/>
  <LinksUpToDate>false</LinksUpToDate>
  <CharactersWithSpaces>107875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5</cp:revision>
  <cp:lastPrinted>2023-01-10T21:18:00Z</cp:lastPrinted>
  <dcterms:created xsi:type="dcterms:W3CDTF">2026-02-16T15:35:00Z</dcterms:created>
  <dcterms:modified xsi:type="dcterms:W3CDTF">2026-02-16T16:32:00Z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