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0ACC04" w14:textId="77777777" w:rsidR="00F050BF" w:rsidRPr="00682C93" w:rsidRDefault="00F050BF" w:rsidP="00F050BF">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73416E05" w14:textId="77777777" w:rsidR="00F050BF" w:rsidRDefault="00F050BF" w:rsidP="00F050BF">
      <w:pPr>
        <w:spacing w:after="0" w:line="240" w:lineRule="auto"/>
        <w:jc w:val="both"/>
        <w:rPr>
          <w:rFonts w:ascii="Verdana" w:hAnsi="Verdana" w:cs="Arial"/>
          <w:b/>
          <w:lang w:val="es-MX" w:eastAsia="es-ES_tradnl"/>
        </w:rPr>
      </w:pPr>
    </w:p>
    <w:p w14:paraId="3026BB58" w14:textId="77777777" w:rsidR="00F050BF" w:rsidRDefault="00F050BF" w:rsidP="00F050BF">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58EDDD62" w14:textId="77777777" w:rsidR="00F050BF" w:rsidRPr="00682C93" w:rsidRDefault="00F050BF" w:rsidP="00F050BF">
      <w:pPr>
        <w:spacing w:after="0" w:line="240" w:lineRule="auto"/>
        <w:jc w:val="both"/>
        <w:rPr>
          <w:rFonts w:ascii="Verdana" w:hAnsi="Verdana" w:cs="Arial"/>
          <w:b/>
          <w:sz w:val="20"/>
          <w:lang w:val="es-MX" w:eastAsia="es-ES_tradnl"/>
        </w:rPr>
      </w:pPr>
    </w:p>
    <w:p w14:paraId="3852DE35" w14:textId="77777777" w:rsidR="00F050BF" w:rsidRPr="00682C93" w:rsidRDefault="00F050BF" w:rsidP="00F050BF">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w:t>
      </w:r>
      <w:r>
        <w:rPr>
          <w:rFonts w:ascii="Verdana" w:hAnsi="Verdana" w:cs="Arial"/>
          <w:b/>
          <w:lang w:val="es-MX" w:eastAsia="es-ES_tradnl"/>
        </w:rPr>
        <w:t>C</w:t>
      </w:r>
      <w:r w:rsidRPr="00682C93">
        <w:rPr>
          <w:rFonts w:ascii="Verdana" w:hAnsi="Verdana" w:cs="Arial"/>
          <w:b/>
          <w:lang w:val="es-MX" w:eastAsia="es-ES_tradnl"/>
        </w:rPr>
        <w:t>elebración</w:t>
      </w:r>
      <w:r>
        <w:rPr>
          <w:rFonts w:ascii="Verdana" w:hAnsi="Verdana" w:cs="Arial"/>
          <w:b/>
          <w:lang w:val="es-MX" w:eastAsia="es-ES_tradnl"/>
        </w:rPr>
        <w:t xml:space="preserve"> </w:t>
      </w:r>
      <w:r w:rsidRPr="00820131">
        <w:rPr>
          <w:rFonts w:ascii="Verdana" w:hAnsi="Verdana" w:cs="Arial"/>
          <w:b/>
          <w:bCs/>
          <w:lang w:val="es-ES" w:eastAsia="es-ES_tradnl"/>
        </w:rPr>
        <w:t>–</w:t>
      </w:r>
      <w:r w:rsidRPr="00682C93">
        <w:rPr>
          <w:rFonts w:ascii="Verdana" w:hAnsi="Verdana" w:cs="Arial"/>
          <w:b/>
          <w:lang w:val="es-MX" w:eastAsia="es-ES_tradnl"/>
        </w:rPr>
        <w:t xml:space="preserve"> </w:t>
      </w:r>
      <w:r>
        <w:rPr>
          <w:rFonts w:ascii="Verdana" w:hAnsi="Verdana" w:cs="Arial"/>
          <w:b/>
          <w:lang w:val="es-MX" w:eastAsia="es-ES_tradnl"/>
        </w:rPr>
        <w:t>L</w:t>
      </w:r>
      <w:r w:rsidRPr="00682C93">
        <w:rPr>
          <w:rFonts w:ascii="Verdana" w:hAnsi="Verdana" w:cs="Arial"/>
          <w:b/>
          <w:lang w:val="es-MX" w:eastAsia="es-ES_tradnl"/>
        </w:rPr>
        <w:t>ímite</w:t>
      </w:r>
    </w:p>
    <w:p w14:paraId="5E23566B" w14:textId="77777777" w:rsidR="00F050BF" w:rsidRDefault="00F050BF" w:rsidP="00F050BF">
      <w:pPr>
        <w:spacing w:after="0" w:line="240" w:lineRule="auto"/>
        <w:jc w:val="both"/>
        <w:rPr>
          <w:rFonts w:ascii="Verdana" w:hAnsi="Verdana" w:cs="Arial"/>
          <w:b/>
          <w:lang w:val="es-MX" w:eastAsia="es-ES_tradnl"/>
        </w:rPr>
      </w:pPr>
    </w:p>
    <w:p w14:paraId="0CB7256F" w14:textId="77777777" w:rsidR="00F050BF" w:rsidRPr="00E41F23" w:rsidRDefault="00F050BF" w:rsidP="00F050BF">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923CFA4" w14:textId="77777777" w:rsidR="00F050BF" w:rsidRPr="00E41F23" w:rsidRDefault="00F050BF" w:rsidP="00F050BF">
      <w:pPr>
        <w:spacing w:after="0" w:line="240" w:lineRule="auto"/>
        <w:jc w:val="both"/>
        <w:rPr>
          <w:rFonts w:ascii="Verdana" w:eastAsia="Calibri" w:hAnsi="Verdana" w:cs="Arial"/>
          <w:sz w:val="20"/>
        </w:rPr>
      </w:pPr>
    </w:p>
    <w:p w14:paraId="1DE1A8E3" w14:textId="77777777" w:rsidR="00F050BF" w:rsidRDefault="00F050BF" w:rsidP="00F050BF">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7518CBED" w14:textId="77777777" w:rsidR="00F050BF" w:rsidRPr="00E41F23" w:rsidRDefault="00F050BF" w:rsidP="00F050BF">
      <w:pPr>
        <w:widowControl w:val="0"/>
        <w:autoSpaceDE w:val="0"/>
        <w:autoSpaceDN w:val="0"/>
        <w:spacing w:after="0" w:line="240" w:lineRule="auto"/>
        <w:ind w:right="113"/>
        <w:jc w:val="both"/>
        <w:rPr>
          <w:rFonts w:ascii="Verdana" w:eastAsia="Arial" w:hAnsi="Verdana" w:cs="Arial"/>
          <w:sz w:val="20"/>
          <w:lang w:val="es-ES" w:eastAsia="es-ES" w:bidi="es-ES"/>
        </w:rPr>
      </w:pPr>
    </w:p>
    <w:p w14:paraId="53543D88" w14:textId="77777777" w:rsidR="00F050BF" w:rsidRPr="00E41F23" w:rsidRDefault="00F050BF" w:rsidP="00F050BF">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proofErr w:type="spellStart"/>
      <w:r w:rsidRPr="00E41F23">
        <w:rPr>
          <w:rFonts w:ascii="Verdana" w:eastAsia="Times New Roman" w:hAnsi="Verdana" w:cs="Arial"/>
          <w:bCs/>
          <w:i/>
          <w:sz w:val="20"/>
          <w:lang w:val="es-ES" w:eastAsia="es-CO"/>
        </w:rPr>
        <w:t>ibídem</w:t>
      </w:r>
      <w:proofErr w:type="spellEnd"/>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61C95CC0" w14:textId="77777777" w:rsidR="00F050BF" w:rsidRPr="003F2A9C" w:rsidRDefault="00F050BF" w:rsidP="00F050BF">
      <w:pPr>
        <w:spacing w:after="0" w:line="240" w:lineRule="auto"/>
        <w:jc w:val="both"/>
        <w:rPr>
          <w:rFonts w:ascii="Verdana" w:hAnsi="Verdana" w:cs="Arial"/>
          <w:b/>
          <w:sz w:val="20"/>
          <w:lang w:val="es-MX" w:eastAsia="es-ES_tradnl"/>
        </w:rPr>
      </w:pPr>
    </w:p>
    <w:p w14:paraId="04F8237F" w14:textId="77777777" w:rsidR="00F050BF" w:rsidRPr="00682C93" w:rsidRDefault="00F050BF" w:rsidP="00F050BF">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 Prohibición artículo 33 – Contratación directa – Alcance </w:t>
      </w:r>
    </w:p>
    <w:p w14:paraId="3E766846" w14:textId="77777777" w:rsidR="00F050BF" w:rsidRDefault="00F050BF" w:rsidP="00F050BF">
      <w:pPr>
        <w:spacing w:after="0" w:line="240" w:lineRule="auto"/>
        <w:jc w:val="both"/>
        <w:rPr>
          <w:rFonts w:ascii="Verdana" w:hAnsi="Verdana" w:cs="Arial"/>
          <w:b/>
          <w:lang w:val="es-MX" w:eastAsia="es-ES_tradnl"/>
        </w:rPr>
      </w:pPr>
    </w:p>
    <w:p w14:paraId="5F8B148D" w14:textId="77777777" w:rsidR="00F050BF" w:rsidRPr="00E41F23" w:rsidRDefault="00F050BF" w:rsidP="00F050BF">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75A05E3B" w14:textId="77777777" w:rsidR="00F050BF" w:rsidRPr="00E41F23" w:rsidRDefault="00F050BF" w:rsidP="00F050BF">
      <w:pPr>
        <w:spacing w:after="0" w:line="240" w:lineRule="auto"/>
        <w:jc w:val="both"/>
        <w:rPr>
          <w:rFonts w:ascii="Verdana" w:hAnsi="Verdana" w:cs="Arial"/>
          <w:b/>
          <w:lang w:eastAsia="es-ES_tradnl"/>
        </w:rPr>
      </w:pPr>
    </w:p>
    <w:p w14:paraId="244BE4B0" w14:textId="77777777" w:rsidR="00F050BF" w:rsidRPr="00682C93" w:rsidRDefault="00F050BF" w:rsidP="00F050BF">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0E90F31B" w14:textId="77777777" w:rsidR="00F050BF" w:rsidRPr="00E41F23" w:rsidRDefault="00F050BF" w:rsidP="00F050BF">
      <w:pPr>
        <w:spacing w:after="0" w:line="240" w:lineRule="auto"/>
        <w:jc w:val="both"/>
        <w:rPr>
          <w:rFonts w:ascii="Verdana" w:hAnsi="Verdana" w:cs="Arial"/>
          <w:b/>
          <w:sz w:val="20"/>
          <w:lang w:val="es-MX" w:eastAsia="es-ES_tradnl"/>
        </w:rPr>
      </w:pPr>
    </w:p>
    <w:p w14:paraId="69CB0B01" w14:textId="77777777" w:rsidR="00F050BF" w:rsidRPr="00E41F23" w:rsidRDefault="00F050BF" w:rsidP="00F050BF">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E41F23">
        <w:rPr>
          <w:rFonts w:ascii="Verdana" w:eastAsia="Times New Roman" w:hAnsi="Verdana" w:cs="Arial"/>
          <w:bCs/>
          <w:sz w:val="20"/>
          <w:lang w:val="es-MX" w:eastAsia="x-none"/>
        </w:rPr>
        <w:t>ii</w:t>
      </w:r>
      <w:proofErr w:type="spellEnd"/>
      <w:r w:rsidRPr="00E41F23">
        <w:rPr>
          <w:rFonts w:ascii="Verdana" w:eastAsia="Times New Roman" w:hAnsi="Verdana" w:cs="Arial"/>
          <w:bCs/>
          <w:sz w:val="20"/>
          <w:lang w:val="es-MX" w:eastAsia="x-none"/>
        </w:rPr>
        <w:t xml:space="preserve">) los contratos de crédito público; </w:t>
      </w:r>
      <w:proofErr w:type="spellStart"/>
      <w:r w:rsidRPr="00E41F23">
        <w:rPr>
          <w:rFonts w:ascii="Verdana" w:eastAsia="Times New Roman" w:hAnsi="Verdana" w:cs="Arial"/>
          <w:bCs/>
          <w:sz w:val="20"/>
          <w:lang w:val="es-MX" w:eastAsia="x-none"/>
        </w:rPr>
        <w:t>iii</w:t>
      </w:r>
      <w:proofErr w:type="spellEnd"/>
      <w:r w:rsidRPr="00E41F23">
        <w:rPr>
          <w:rFonts w:ascii="Verdana" w:eastAsia="Times New Roman" w:hAnsi="Verdana" w:cs="Arial"/>
          <w:bCs/>
          <w:sz w:val="20"/>
          <w:lang w:val="es-MX" w:eastAsia="x-none"/>
        </w:rPr>
        <w:t xml:space="preserve">) los requeridos para cubrir las emergencias educativas, sanitarias y desastres; </w:t>
      </w:r>
      <w:proofErr w:type="spellStart"/>
      <w:r w:rsidRPr="00E41F23">
        <w:rPr>
          <w:rFonts w:ascii="Verdana" w:eastAsia="Times New Roman" w:hAnsi="Verdana" w:cs="Arial"/>
          <w:bCs/>
          <w:sz w:val="20"/>
          <w:lang w:val="es-MX" w:eastAsia="x-none"/>
        </w:rPr>
        <w:t>iv</w:t>
      </w:r>
      <w:proofErr w:type="spellEnd"/>
      <w:r w:rsidRPr="00E41F23">
        <w:rPr>
          <w:rFonts w:ascii="Verdana" w:eastAsia="Times New Roman" w:hAnsi="Verdana" w:cs="Arial"/>
          <w:bCs/>
          <w:sz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D72080C" w14:textId="77777777" w:rsidR="00F050BF" w:rsidRPr="00682C93" w:rsidRDefault="00F050BF" w:rsidP="00F050BF">
      <w:pPr>
        <w:spacing w:after="0" w:line="240" w:lineRule="auto"/>
        <w:jc w:val="both"/>
        <w:rPr>
          <w:rFonts w:ascii="Verdana" w:hAnsi="Verdana" w:cs="Arial"/>
          <w:b/>
          <w:lang w:val="es-MX" w:eastAsia="es-ES_tradnl"/>
        </w:rPr>
      </w:pPr>
    </w:p>
    <w:p w14:paraId="0AAB704E" w14:textId="77777777" w:rsidR="00F050BF" w:rsidRPr="00682C93" w:rsidRDefault="00F050BF" w:rsidP="00F050BF">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6E001FCC" w14:textId="77777777" w:rsidR="00F050BF" w:rsidRDefault="00F050BF" w:rsidP="00F050BF">
      <w:pPr>
        <w:spacing w:after="0" w:line="240" w:lineRule="auto"/>
        <w:rPr>
          <w:rFonts w:ascii="Verdana" w:hAnsi="Verdana" w:cs="Arial"/>
          <w:lang w:val="es-MX" w:eastAsia="es-ES_tradnl"/>
        </w:rPr>
      </w:pPr>
    </w:p>
    <w:p w14:paraId="15D0CF8C" w14:textId="77777777" w:rsidR="00F050BF" w:rsidRDefault="00F050BF" w:rsidP="00F050BF">
      <w:pPr>
        <w:spacing w:after="0" w:line="240" w:lineRule="auto"/>
        <w:jc w:val="both"/>
        <w:rPr>
          <w:rFonts w:ascii="Verdana" w:eastAsia="Calibri" w:hAnsi="Verdana" w:cs="Arial"/>
          <w:sz w:val="20"/>
          <w:lang w:val="es-MX"/>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w:t>
      </w:r>
      <w:r w:rsidRPr="00E41F23">
        <w:rPr>
          <w:rFonts w:ascii="Verdana" w:eastAsia="Calibri" w:hAnsi="Verdana" w:cs="Arial"/>
          <w:sz w:val="20"/>
          <w:lang w:val="es-MX"/>
        </w:rPr>
        <w:lastRenderedPageBreak/>
        <w:t>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sz w:val="20"/>
          <w:lang w:val="es-MX"/>
        </w:rPr>
        <w:t>.</w:t>
      </w:r>
    </w:p>
    <w:p w14:paraId="06B6D9D9" w14:textId="77777777" w:rsidR="00F050BF" w:rsidRDefault="00F050BF" w:rsidP="00F050BF">
      <w:pPr>
        <w:spacing w:after="0"/>
        <w:rPr>
          <w:rFonts w:ascii="Verdana" w:hAnsi="Verdana"/>
          <w:lang w:val="es-MX"/>
        </w:rPr>
      </w:pPr>
    </w:p>
    <w:p w14:paraId="2FCFFED9" w14:textId="77777777" w:rsidR="00F050BF" w:rsidRPr="00B45051" w:rsidRDefault="00F050BF" w:rsidP="00F050BF">
      <w:pPr>
        <w:spacing w:after="0" w:line="240" w:lineRule="auto"/>
        <w:jc w:val="both"/>
        <w:rPr>
          <w:rFonts w:ascii="Verdana" w:hAnsi="Verdana"/>
          <w:b/>
          <w:lang w:val="es-MX"/>
        </w:rPr>
      </w:pPr>
      <w:r w:rsidRPr="00B45051">
        <w:rPr>
          <w:rFonts w:ascii="Verdana" w:hAnsi="Verdana"/>
          <w:b/>
          <w:lang w:val="es-MX"/>
        </w:rPr>
        <w:t xml:space="preserve">LEY DE GARANTÍAS ELECTORALES – Contratos y convenios interadministrativos – Criterio orgánico </w:t>
      </w:r>
    </w:p>
    <w:p w14:paraId="59709A54" w14:textId="77777777" w:rsidR="00F050BF" w:rsidRPr="007F019B" w:rsidRDefault="00F050BF" w:rsidP="00F050BF">
      <w:pPr>
        <w:spacing w:after="0" w:line="240" w:lineRule="auto"/>
        <w:jc w:val="both"/>
        <w:rPr>
          <w:rFonts w:ascii="Verdana" w:hAnsi="Verdana"/>
          <w:sz w:val="20"/>
          <w:lang w:val="es-MX"/>
        </w:rPr>
      </w:pPr>
    </w:p>
    <w:p w14:paraId="4FDD7E01" w14:textId="77777777" w:rsidR="00F050BF" w:rsidRDefault="00F050BF" w:rsidP="00F050BF">
      <w:pPr>
        <w:spacing w:after="0" w:line="240" w:lineRule="auto"/>
        <w:jc w:val="both"/>
        <w:rPr>
          <w:rFonts w:ascii="Verdana" w:hAnsi="Verdana"/>
          <w:sz w:val="20"/>
          <w:lang w:val="es-MX"/>
        </w:rPr>
      </w:pPr>
      <w:r w:rsidRPr="007F019B">
        <w:rPr>
          <w:rFonts w:ascii="Verdana" w:hAnsi="Verdana"/>
          <w:sz w:val="20"/>
          <w:lang w:val="es-ES"/>
        </w:rPr>
        <w:t xml:space="preserve">Ahora bien, respecto del alcance del parágrafo </w:t>
      </w:r>
      <w:r w:rsidRPr="007F019B">
        <w:rPr>
          <w:rFonts w:ascii="Verdana" w:hAnsi="Verdana"/>
          <w:sz w:val="20"/>
        </w:rPr>
        <w:t xml:space="preserve">del artículo 38 de la Ley 996 de 2005, esta prohibición dispone en primera medida que: “[l]os Gobernadores, </w:t>
      </w:r>
      <w:proofErr w:type="gramStart"/>
      <w:r w:rsidRPr="007F019B">
        <w:rPr>
          <w:rFonts w:ascii="Verdana" w:hAnsi="Verdana"/>
          <w:sz w:val="20"/>
        </w:rPr>
        <w:t>Alcaldes</w:t>
      </w:r>
      <w:proofErr w:type="gramEnd"/>
      <w:r w:rsidRPr="007F019B">
        <w:rPr>
          <w:rFonts w:ascii="Verdana" w:hAnsi="Verdana"/>
          <w:sz w:val="20"/>
        </w:rPr>
        <w:t xml:space="preserve"> Municipales y/o Distritales, </w:t>
      </w:r>
      <w:proofErr w:type="gramStart"/>
      <w:r w:rsidRPr="007F019B">
        <w:rPr>
          <w:rFonts w:ascii="Verdana" w:hAnsi="Verdana"/>
          <w:sz w:val="20"/>
        </w:rPr>
        <w:t>Secretarios</w:t>
      </w:r>
      <w:proofErr w:type="gramEnd"/>
      <w:r w:rsidRPr="007F019B">
        <w:rPr>
          <w:rFonts w:ascii="Verdana" w:hAnsi="Verdana"/>
          <w:sz w:val="20"/>
        </w:rPr>
        <w:t xml:space="preserve">, Gerentes y directores de Entidades Descentralizadas del orden Municipal, Departamental o Distrital, dentro de los cuatro (4) meses anteriores a las elecciones, no podrán celebrar </w:t>
      </w:r>
      <w:r w:rsidRPr="007F019B">
        <w:rPr>
          <w:rFonts w:ascii="Verdana" w:hAnsi="Verdana"/>
          <w:i/>
          <w:iCs/>
          <w:sz w:val="20"/>
        </w:rPr>
        <w:t>convenios interadministrativos</w:t>
      </w:r>
      <w:r w:rsidRPr="007F019B">
        <w:rPr>
          <w:rFonts w:ascii="Verdana" w:hAnsi="Verdana"/>
          <w:sz w:val="20"/>
        </w:rPr>
        <w:t xml:space="preserve"> </w:t>
      </w:r>
      <w:r w:rsidRPr="007F019B">
        <w:rPr>
          <w:rFonts w:ascii="Verdana" w:hAnsi="Verdana"/>
          <w:i/>
          <w:iCs/>
          <w:sz w:val="20"/>
        </w:rPr>
        <w:t>para la ejecución de recursos públicos</w:t>
      </w:r>
      <w:r w:rsidRPr="007F019B">
        <w:rPr>
          <w:rFonts w:ascii="Verdana" w:hAnsi="Verdana"/>
          <w:sz w:val="20"/>
        </w:rPr>
        <w:t>”.</w:t>
      </w:r>
      <w:r w:rsidRPr="007F019B">
        <w:rPr>
          <w:rFonts w:ascii="Verdana" w:hAnsi="Verdana"/>
          <w:sz w:val="20"/>
          <w:lang w:val="es-MX"/>
        </w:rPr>
        <w:t xml:space="preserve"> [Énfasis fuera del texto original]</w:t>
      </w:r>
    </w:p>
    <w:p w14:paraId="7F37BF01" w14:textId="77777777" w:rsidR="00F050BF" w:rsidRPr="007F019B" w:rsidRDefault="00F050BF" w:rsidP="00F050BF">
      <w:pPr>
        <w:spacing w:after="0" w:line="240" w:lineRule="auto"/>
        <w:jc w:val="both"/>
        <w:rPr>
          <w:rFonts w:ascii="Verdana" w:hAnsi="Verdana"/>
          <w:sz w:val="20"/>
          <w:lang w:val="es-ES"/>
        </w:rPr>
      </w:pPr>
    </w:p>
    <w:p w14:paraId="18A796FB" w14:textId="77777777" w:rsidR="00F050BF" w:rsidRDefault="00F050BF" w:rsidP="00F050BF">
      <w:pPr>
        <w:spacing w:after="0" w:line="240" w:lineRule="auto"/>
        <w:jc w:val="both"/>
        <w:rPr>
          <w:rFonts w:ascii="Verdana" w:hAnsi="Verdana"/>
          <w:sz w:val="20"/>
        </w:rPr>
      </w:pPr>
      <w:r w:rsidRPr="007F019B">
        <w:rPr>
          <w:rFonts w:ascii="Verdana" w:hAnsi="Verdana"/>
          <w:sz w:val="20"/>
          <w:lang w:val="es-ES"/>
        </w:rPr>
        <w:t xml:space="preserve">Para tales efectos, debe precisarse que los contratos o convenios interadministrativos están determinados por un criterio orgánico, pues es necesario que los extremos de la relación contractual sean entidades públicas, </w:t>
      </w:r>
      <w:r w:rsidRPr="007F019B">
        <w:rPr>
          <w:rFonts w:ascii="Verdana" w:hAnsi="Verdana"/>
          <w:sz w:val="20"/>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7057DA58" w14:textId="77777777" w:rsidR="00F050BF" w:rsidRPr="007F019B" w:rsidRDefault="00F050BF" w:rsidP="00F050BF">
      <w:pPr>
        <w:spacing w:after="0" w:line="240" w:lineRule="auto"/>
        <w:jc w:val="both"/>
        <w:rPr>
          <w:rFonts w:ascii="Verdana" w:hAnsi="Verdana"/>
          <w:sz w:val="20"/>
        </w:rPr>
      </w:pPr>
    </w:p>
    <w:p w14:paraId="6C462601" w14:textId="756066E3" w:rsidR="00F050BF" w:rsidRDefault="00F050BF" w:rsidP="00F050BF">
      <w:pPr>
        <w:spacing w:after="0" w:line="240" w:lineRule="auto"/>
        <w:jc w:val="both"/>
        <w:rPr>
          <w:rFonts w:ascii="Verdana" w:hAnsi="Verdana"/>
          <w:sz w:val="20"/>
          <w:lang w:val="es-ES_tradnl"/>
        </w:rPr>
      </w:pPr>
      <w:r w:rsidRPr="007F019B">
        <w:rPr>
          <w:rFonts w:ascii="Verdana" w:hAnsi="Verdana"/>
          <w:sz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7205E891" w14:textId="5FA034F3" w:rsidR="006271BC" w:rsidRDefault="006271BC" w:rsidP="006271BC">
      <w:pPr>
        <w:spacing w:after="0" w:line="240" w:lineRule="auto"/>
        <w:jc w:val="both"/>
        <w:rPr>
          <w:rFonts w:ascii="Verdana" w:hAnsi="Verdana"/>
          <w:b/>
          <w:lang w:val="es-MX"/>
        </w:rPr>
      </w:pPr>
    </w:p>
    <w:p w14:paraId="781E404F" w14:textId="3B9620DE" w:rsidR="006271BC" w:rsidRPr="006271BC" w:rsidRDefault="006271BC" w:rsidP="006271BC">
      <w:pPr>
        <w:spacing w:after="0" w:line="240" w:lineRule="auto"/>
        <w:jc w:val="both"/>
        <w:rPr>
          <w:rFonts w:ascii="Verdana" w:hAnsi="Verdana"/>
          <w:b/>
          <w:bCs/>
          <w:lang w:val="es-MX"/>
        </w:rPr>
      </w:pPr>
      <w:r w:rsidRPr="006271BC">
        <w:rPr>
          <w:rFonts w:ascii="Verdana" w:hAnsi="Verdana" w:cs="Arial"/>
          <w:b/>
          <w:bCs/>
          <w:lang w:val="es-MX" w:eastAsia="es-ES_tradnl"/>
        </w:rPr>
        <w:t>LEY DE GARANTÍAS ELECTORALES –Restricción- Convenios interadministrativos – Convenios derivados</w:t>
      </w:r>
    </w:p>
    <w:p w14:paraId="67B809EB" w14:textId="77777777" w:rsidR="006271BC" w:rsidRDefault="006271BC" w:rsidP="006271BC">
      <w:pPr>
        <w:spacing w:after="0"/>
        <w:rPr>
          <w:rFonts w:ascii="Verdana" w:hAnsi="Verdana"/>
          <w:lang w:val="es-MX"/>
        </w:rPr>
      </w:pPr>
    </w:p>
    <w:p w14:paraId="41F23F83" w14:textId="77777777" w:rsidR="008C6F22" w:rsidRDefault="008C6F22" w:rsidP="008C6F22">
      <w:pPr>
        <w:spacing w:after="0" w:line="240" w:lineRule="auto"/>
        <w:jc w:val="both"/>
        <w:rPr>
          <w:rFonts w:ascii="Verdana" w:hAnsi="Verdana"/>
          <w:i/>
          <w:iCs/>
          <w:sz w:val="20"/>
        </w:rPr>
      </w:pPr>
      <w:r w:rsidRPr="007F019B">
        <w:rPr>
          <w:rFonts w:ascii="Verdana" w:hAnsi="Verdana"/>
          <w:sz w:val="20"/>
          <w:lang w:val="es-MX"/>
        </w:rPr>
        <w:t xml:space="preserve">De conformidad con los argumentos de dicha providencia, se parte de la distinción entre los conceptos </w:t>
      </w:r>
      <w:r w:rsidRPr="007F019B">
        <w:rPr>
          <w:rFonts w:ascii="Verdana" w:hAnsi="Verdana"/>
          <w:sz w:val="20"/>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7F019B">
        <w:rPr>
          <w:rFonts w:ascii="Verdana" w:hAnsi="Verdana"/>
          <w:i/>
          <w:iCs/>
          <w:sz w:val="20"/>
        </w:rPr>
        <w:t xml:space="preserve">“si el legislador no diferenció al establecer la prohibición o la restricción, mal haría el reglamento en aplicar un efecto expansivo o extensivo para incluir una categoría no cobijada con la limitación, (…)”. </w:t>
      </w:r>
      <w:r w:rsidRPr="007F019B">
        <w:rPr>
          <w:rFonts w:ascii="Verdana" w:hAnsi="Verdana"/>
          <w:sz w:val="20"/>
        </w:rPr>
        <w:t xml:space="preserve">Por tal motivo, para efectos de decretar la medida de </w:t>
      </w:r>
      <w:r w:rsidRPr="007F019B">
        <w:rPr>
          <w:rFonts w:ascii="Verdana" w:hAnsi="Verdana"/>
          <w:sz w:val="20"/>
        </w:rPr>
        <w:lastRenderedPageBreak/>
        <w:t xml:space="preserve">suspensión provisional de los apartes señalados del numeral 16.2 de la Circular Externa Única, argumentó que </w:t>
      </w:r>
      <w:r w:rsidRPr="007F019B">
        <w:rPr>
          <w:rFonts w:ascii="Verdana" w:hAnsi="Verdana"/>
          <w:i/>
          <w:iCs/>
          <w:sz w:val="20"/>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sidRPr="007F019B">
        <w:rPr>
          <w:rFonts w:ascii="Verdana" w:hAnsi="Verdana"/>
          <w:sz w:val="20"/>
        </w:rPr>
        <w:t>”</w:t>
      </w:r>
      <w:r w:rsidRPr="007F019B">
        <w:rPr>
          <w:rFonts w:ascii="Verdana" w:hAnsi="Verdana"/>
          <w:i/>
          <w:iCs/>
          <w:sz w:val="20"/>
        </w:rPr>
        <w:t>.</w:t>
      </w:r>
    </w:p>
    <w:p w14:paraId="057B56A4" w14:textId="77777777" w:rsidR="008C6F22" w:rsidRPr="007F019B" w:rsidRDefault="008C6F22" w:rsidP="008C6F22">
      <w:pPr>
        <w:spacing w:after="0" w:line="240" w:lineRule="auto"/>
        <w:jc w:val="both"/>
        <w:rPr>
          <w:rFonts w:ascii="Verdana" w:hAnsi="Verdana"/>
          <w:i/>
          <w:iCs/>
          <w:sz w:val="20"/>
        </w:rPr>
      </w:pPr>
      <w:r w:rsidRPr="007F019B">
        <w:rPr>
          <w:rFonts w:ascii="Verdana" w:hAnsi="Verdana"/>
          <w:i/>
          <w:iCs/>
          <w:sz w:val="20"/>
        </w:rPr>
        <w:t xml:space="preserve"> </w:t>
      </w:r>
    </w:p>
    <w:p w14:paraId="67B78115" w14:textId="77777777" w:rsidR="008C6F22" w:rsidRDefault="008C6F22" w:rsidP="008C6F22">
      <w:pPr>
        <w:spacing w:after="0" w:line="240" w:lineRule="auto"/>
        <w:jc w:val="both"/>
        <w:rPr>
          <w:rFonts w:ascii="Verdana" w:hAnsi="Verdana"/>
          <w:sz w:val="20"/>
        </w:rPr>
      </w:pPr>
      <w:r w:rsidRPr="007F019B">
        <w:rPr>
          <w:rFonts w:ascii="Verdana" w:hAnsi="Verdana"/>
          <w:sz w:val="20"/>
        </w:rPr>
        <w:t>De igual manera, mediante auto del 6 de noviembre de 2025, el Consejo de Estado, Subsección A de la Sección Tercera, decretó</w:t>
      </w:r>
      <w:r w:rsidRPr="007F019B">
        <w:rPr>
          <w:rFonts w:ascii="Verdana" w:hAnsi="Verdana"/>
          <w:bCs/>
          <w:sz w:val="20"/>
        </w:rPr>
        <w:t xml:space="preserve"> </w:t>
      </w:r>
      <w:r w:rsidRPr="007F019B">
        <w:rPr>
          <w:rFonts w:ascii="Verdana" w:hAnsi="Verdana"/>
          <w:sz w:val="20"/>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w:t>
      </w:r>
      <w:proofErr w:type="spellStart"/>
      <w:r w:rsidRPr="007F019B">
        <w:rPr>
          <w:rFonts w:ascii="Verdana" w:hAnsi="Verdana"/>
          <w:sz w:val="20"/>
        </w:rPr>
        <w:t>legis</w:t>
      </w:r>
      <w:proofErr w:type="spellEnd"/>
      <w:r w:rsidRPr="007F019B">
        <w:rPr>
          <w:rFonts w:ascii="Verdana" w:hAnsi="Verdana"/>
          <w:sz w:val="20"/>
        </w:rPr>
        <w:t xml:space="preserve"> o iuris y la interpretación extensiva y reiteró los argumentos sobre la diferencia entre contratos y convenios interadministrativos. </w:t>
      </w:r>
    </w:p>
    <w:p w14:paraId="05DFE29E" w14:textId="77777777" w:rsidR="008C6F22" w:rsidRPr="007F019B" w:rsidRDefault="008C6F22" w:rsidP="008C6F22">
      <w:pPr>
        <w:spacing w:after="0" w:line="240" w:lineRule="auto"/>
        <w:jc w:val="both"/>
        <w:rPr>
          <w:rFonts w:ascii="Verdana" w:hAnsi="Verdana"/>
          <w:sz w:val="20"/>
        </w:rPr>
      </w:pPr>
    </w:p>
    <w:p w14:paraId="79056EA8" w14:textId="77777777" w:rsidR="008C6F22" w:rsidRPr="007F019B" w:rsidRDefault="008C6F22" w:rsidP="008C6F22">
      <w:pPr>
        <w:spacing w:after="0" w:line="240" w:lineRule="auto"/>
        <w:jc w:val="both"/>
        <w:rPr>
          <w:rFonts w:ascii="Verdana" w:hAnsi="Verdana"/>
          <w:sz w:val="20"/>
        </w:rPr>
      </w:pPr>
      <w:r w:rsidRPr="007F019B">
        <w:rPr>
          <w:rFonts w:ascii="Verdana" w:hAnsi="Verdana"/>
          <w:sz w:val="20"/>
        </w:rPr>
        <w:t xml:space="preserve">Finalmente, mediante sentencia del 17 de octubre de 2025, emitida por la Sección Tercera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33AF9578" w14:textId="6A8F1CCF" w:rsidR="006271BC" w:rsidRDefault="006271BC" w:rsidP="000D21F5">
      <w:pPr>
        <w:spacing w:after="0" w:line="240" w:lineRule="auto"/>
        <w:jc w:val="both"/>
        <w:rPr>
          <w:rFonts w:ascii="Verdana" w:hAnsi="Verdana"/>
        </w:rPr>
      </w:pPr>
    </w:p>
    <w:p w14:paraId="04D84817" w14:textId="77777777" w:rsidR="00F050BF" w:rsidRDefault="00F050BF" w:rsidP="009E5C98">
      <w:pPr>
        <w:spacing w:after="0" w:line="240" w:lineRule="auto"/>
        <w:jc w:val="both"/>
        <w:rPr>
          <w:rFonts w:ascii="Verdana" w:hAnsi="Verdana"/>
        </w:rPr>
      </w:pPr>
    </w:p>
    <w:p w14:paraId="0A27430B" w14:textId="77777777" w:rsidR="00F050BF" w:rsidRDefault="00F050BF" w:rsidP="009E5C98">
      <w:pPr>
        <w:spacing w:after="0" w:line="240" w:lineRule="auto"/>
        <w:jc w:val="both"/>
        <w:rPr>
          <w:rFonts w:ascii="Verdana" w:hAnsi="Verdana"/>
        </w:rPr>
      </w:pPr>
    </w:p>
    <w:p w14:paraId="03FB1671" w14:textId="77777777" w:rsidR="00F050BF" w:rsidRDefault="00F050BF" w:rsidP="009E5C98">
      <w:pPr>
        <w:spacing w:after="0" w:line="240" w:lineRule="auto"/>
        <w:jc w:val="both"/>
        <w:rPr>
          <w:rFonts w:ascii="Verdana" w:hAnsi="Verdana"/>
        </w:rPr>
      </w:pPr>
    </w:p>
    <w:p w14:paraId="44812AA5" w14:textId="77777777" w:rsidR="00F050BF" w:rsidRDefault="00F050BF" w:rsidP="009E5C98">
      <w:pPr>
        <w:spacing w:after="0" w:line="240" w:lineRule="auto"/>
        <w:jc w:val="both"/>
        <w:rPr>
          <w:rFonts w:ascii="Verdana" w:hAnsi="Verdana"/>
        </w:rPr>
      </w:pPr>
    </w:p>
    <w:p w14:paraId="089BD97C" w14:textId="77777777" w:rsidR="00F050BF" w:rsidRDefault="00F050BF" w:rsidP="009E5C98">
      <w:pPr>
        <w:spacing w:after="0" w:line="240" w:lineRule="auto"/>
        <w:jc w:val="both"/>
        <w:rPr>
          <w:rFonts w:ascii="Verdana" w:hAnsi="Verdana"/>
        </w:rPr>
      </w:pPr>
    </w:p>
    <w:p w14:paraId="53B1E47D" w14:textId="77777777" w:rsidR="00F050BF" w:rsidRDefault="00F050BF" w:rsidP="009E5C98">
      <w:pPr>
        <w:spacing w:after="0" w:line="240" w:lineRule="auto"/>
        <w:jc w:val="both"/>
        <w:rPr>
          <w:rFonts w:ascii="Verdana" w:hAnsi="Verdana"/>
        </w:rPr>
      </w:pPr>
    </w:p>
    <w:p w14:paraId="4D79D040" w14:textId="77777777" w:rsidR="00F050BF" w:rsidRDefault="00F050BF" w:rsidP="009E5C98">
      <w:pPr>
        <w:spacing w:after="0" w:line="240" w:lineRule="auto"/>
        <w:jc w:val="both"/>
        <w:rPr>
          <w:rFonts w:ascii="Verdana" w:hAnsi="Verdana"/>
        </w:rPr>
      </w:pPr>
    </w:p>
    <w:p w14:paraId="39BEA633" w14:textId="77777777" w:rsidR="00F050BF" w:rsidRDefault="00F050BF" w:rsidP="009E5C98">
      <w:pPr>
        <w:spacing w:after="0" w:line="240" w:lineRule="auto"/>
        <w:jc w:val="both"/>
        <w:rPr>
          <w:rFonts w:ascii="Verdana" w:hAnsi="Verdana"/>
        </w:rPr>
      </w:pPr>
    </w:p>
    <w:p w14:paraId="6F22B0F0" w14:textId="77777777" w:rsidR="00F050BF" w:rsidRDefault="00F050BF" w:rsidP="009E5C98">
      <w:pPr>
        <w:spacing w:after="0" w:line="240" w:lineRule="auto"/>
        <w:jc w:val="both"/>
        <w:rPr>
          <w:rFonts w:ascii="Verdana" w:hAnsi="Verdana"/>
        </w:rPr>
      </w:pPr>
    </w:p>
    <w:p w14:paraId="6ABC671D" w14:textId="77777777" w:rsidR="00F050BF" w:rsidRDefault="00F050BF" w:rsidP="009E5C98">
      <w:pPr>
        <w:spacing w:after="0" w:line="240" w:lineRule="auto"/>
        <w:jc w:val="both"/>
        <w:rPr>
          <w:rFonts w:ascii="Verdana" w:hAnsi="Verdana"/>
        </w:rPr>
      </w:pPr>
    </w:p>
    <w:p w14:paraId="3F1CC242" w14:textId="77777777" w:rsidR="00F050BF" w:rsidRDefault="00F050BF" w:rsidP="009E5C98">
      <w:pPr>
        <w:spacing w:after="0" w:line="240" w:lineRule="auto"/>
        <w:jc w:val="both"/>
        <w:rPr>
          <w:rFonts w:ascii="Verdana" w:hAnsi="Verdana"/>
        </w:rPr>
      </w:pPr>
    </w:p>
    <w:p w14:paraId="108E8713" w14:textId="77777777" w:rsidR="00F050BF" w:rsidRDefault="00F050BF" w:rsidP="009E5C98">
      <w:pPr>
        <w:spacing w:after="0" w:line="240" w:lineRule="auto"/>
        <w:jc w:val="both"/>
        <w:rPr>
          <w:rFonts w:ascii="Verdana" w:hAnsi="Verdana"/>
        </w:rPr>
      </w:pPr>
    </w:p>
    <w:p w14:paraId="39E7ECD0" w14:textId="77777777" w:rsidR="008C6F22" w:rsidRDefault="008C6F22" w:rsidP="009E5C98">
      <w:pPr>
        <w:spacing w:after="0" w:line="240" w:lineRule="auto"/>
        <w:jc w:val="both"/>
        <w:rPr>
          <w:rFonts w:ascii="Verdana" w:hAnsi="Verdana"/>
        </w:rPr>
      </w:pPr>
    </w:p>
    <w:p w14:paraId="4446BF75" w14:textId="77777777" w:rsidR="008C6F22" w:rsidRDefault="008C6F22" w:rsidP="009E5C98">
      <w:pPr>
        <w:spacing w:after="0" w:line="240" w:lineRule="auto"/>
        <w:jc w:val="both"/>
        <w:rPr>
          <w:rFonts w:ascii="Verdana" w:hAnsi="Verdana"/>
        </w:rPr>
      </w:pPr>
    </w:p>
    <w:p w14:paraId="4D89A64C" w14:textId="77777777" w:rsidR="008C6F22" w:rsidRDefault="008C6F22" w:rsidP="009E5C98">
      <w:pPr>
        <w:spacing w:after="0" w:line="240" w:lineRule="auto"/>
        <w:jc w:val="both"/>
        <w:rPr>
          <w:rFonts w:ascii="Verdana" w:hAnsi="Verdana"/>
        </w:rPr>
      </w:pPr>
    </w:p>
    <w:p w14:paraId="686D377F" w14:textId="77777777" w:rsidR="008C6F22" w:rsidRDefault="008C6F22" w:rsidP="009E5C98">
      <w:pPr>
        <w:spacing w:after="0" w:line="240" w:lineRule="auto"/>
        <w:jc w:val="both"/>
        <w:rPr>
          <w:rFonts w:ascii="Verdana" w:hAnsi="Verdana"/>
        </w:rPr>
      </w:pPr>
    </w:p>
    <w:p w14:paraId="5CE68DB1" w14:textId="77777777" w:rsidR="008C6F22" w:rsidRDefault="008C6F22" w:rsidP="009E5C98">
      <w:pPr>
        <w:spacing w:after="0" w:line="240" w:lineRule="auto"/>
        <w:jc w:val="both"/>
        <w:rPr>
          <w:rFonts w:ascii="Verdana" w:hAnsi="Verdana"/>
        </w:rPr>
      </w:pPr>
    </w:p>
    <w:p w14:paraId="342701B3" w14:textId="6749B49E" w:rsidR="009E5C98" w:rsidRPr="008E4F36" w:rsidRDefault="00A74A23" w:rsidP="009E5C98">
      <w:pPr>
        <w:spacing w:after="0" w:line="240" w:lineRule="auto"/>
        <w:jc w:val="both"/>
        <w:rPr>
          <w:rFonts w:ascii="Verdana" w:hAnsi="Verdana"/>
        </w:rPr>
      </w:pPr>
      <w:r w:rsidRPr="00A74A23">
        <w:rPr>
          <w:rFonts w:ascii="Verdana" w:hAnsi="Verdana"/>
        </w:rPr>
        <w:lastRenderedPageBreak/>
        <w:t xml:space="preserve">Bogotá D.C., 16 </w:t>
      </w:r>
      <w:r>
        <w:rPr>
          <w:rFonts w:ascii="Verdana" w:hAnsi="Verdana"/>
        </w:rPr>
        <w:t>f</w:t>
      </w:r>
      <w:r w:rsidRPr="00A74A23">
        <w:rPr>
          <w:rFonts w:ascii="Verdana" w:hAnsi="Verdana"/>
        </w:rPr>
        <w:t xml:space="preserve">ebrero 2026 </w:t>
      </w:r>
      <w:r>
        <w:rPr>
          <w:rFonts w:ascii="Verdana" w:hAnsi="Verdana"/>
        </w:rPr>
        <w:t xml:space="preserve"> </w:t>
      </w:r>
      <w:r w:rsidR="009E5C98">
        <w:rPr>
          <w:rFonts w:ascii="Verdana" w:hAnsi="Verdana"/>
        </w:rPr>
        <w:t xml:space="preserve"> </w:t>
      </w:r>
    </w:p>
    <w:p w14:paraId="5778F27D" w14:textId="6BD1DB79" w:rsidR="009E5C98" w:rsidRPr="008E4F36" w:rsidRDefault="007D11BA" w:rsidP="009E5C98">
      <w:pPr>
        <w:spacing w:after="0" w:line="240" w:lineRule="auto"/>
        <w:jc w:val="both"/>
        <w:rPr>
          <w:rFonts w:ascii="Verdana" w:eastAsia="Calibri" w:hAnsi="Verdana" w:cs="Arial"/>
          <w:lang w:eastAsia="es-ES"/>
        </w:rPr>
      </w:pPr>
      <w:bookmarkStart w:id="0" w:name="_Hlk197462763"/>
      <w:bookmarkStart w:id="1" w:name="_Hlk197529996"/>
      <w:r w:rsidRPr="007D11BA">
        <w:rPr>
          <w:rFonts w:ascii="Verdana" w:eastAsia="Calibri" w:hAnsi="Verdana" w:cs="Arial"/>
          <w:noProof/>
          <w:lang w:eastAsia="es-ES"/>
        </w:rPr>
        <w:drawing>
          <wp:anchor distT="0" distB="0" distL="114300" distR="114300" simplePos="0" relativeHeight="251658240" behindDoc="1" locked="0" layoutInCell="1" allowOverlap="1" wp14:anchorId="1E06C1D1" wp14:editId="1E56E7CA">
            <wp:simplePos x="0" y="0"/>
            <wp:positionH relativeFrom="column">
              <wp:posOffset>3223453</wp:posOffset>
            </wp:positionH>
            <wp:positionV relativeFrom="paragraph">
              <wp:posOffset>68304</wp:posOffset>
            </wp:positionV>
            <wp:extent cx="2638425" cy="752475"/>
            <wp:effectExtent l="0" t="0" r="9525" b="9525"/>
            <wp:wrapTight wrapText="bothSides">
              <wp:wrapPolygon edited="0">
                <wp:start x="0" y="0"/>
                <wp:lineTo x="0" y="21327"/>
                <wp:lineTo x="21522" y="21327"/>
                <wp:lineTo x="21522" y="0"/>
                <wp:lineTo x="0" y="0"/>
              </wp:wrapPolygon>
            </wp:wrapTight>
            <wp:docPr id="59647427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474277" name="Imagen 1" descr="Text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2638425" cy="752475"/>
                    </a:xfrm>
                    <a:prstGeom prst="rect">
                      <a:avLst/>
                    </a:prstGeom>
                  </pic:spPr>
                </pic:pic>
              </a:graphicData>
            </a:graphic>
          </wp:anchor>
        </w:drawing>
      </w:r>
    </w:p>
    <w:p w14:paraId="55FB83AB" w14:textId="1042C024" w:rsidR="009E5C98" w:rsidRDefault="009E5C98" w:rsidP="009E5C98">
      <w:pPr>
        <w:spacing w:after="0" w:line="240" w:lineRule="auto"/>
        <w:jc w:val="both"/>
        <w:rPr>
          <w:rFonts w:ascii="Verdana" w:eastAsia="Calibri" w:hAnsi="Verdana" w:cs="Arial"/>
          <w:lang w:eastAsia="es-ES"/>
        </w:rPr>
      </w:pPr>
    </w:p>
    <w:p w14:paraId="2CF7244B" w14:textId="77777777" w:rsidR="009E5C98" w:rsidRPr="008E4F36" w:rsidRDefault="009E5C98" w:rsidP="009E5C98">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20381DAD" w14:textId="77777777" w:rsidR="009E5C98" w:rsidRPr="000F2158" w:rsidRDefault="009E5C98" w:rsidP="009E5C98">
      <w:pPr>
        <w:spacing w:after="0" w:line="240" w:lineRule="auto"/>
        <w:jc w:val="both"/>
        <w:rPr>
          <w:rFonts w:ascii="Verdana" w:eastAsia="Calibri" w:hAnsi="Verdana" w:cs="Arial"/>
          <w:b/>
          <w:highlight w:val="yellow"/>
          <w:lang w:eastAsia="es-ES_tradnl"/>
        </w:rPr>
      </w:pPr>
      <w:r w:rsidRPr="000F08B7">
        <w:rPr>
          <w:rFonts w:ascii="Verdana" w:eastAsia="Calibri" w:hAnsi="Verdana" w:cs="Arial"/>
          <w:b/>
          <w:lang w:eastAsia="es-ES_tradnl"/>
        </w:rPr>
        <w:t>Bayron Joaquin Ospina Trespalacios</w:t>
      </w:r>
      <w:r>
        <w:rPr>
          <w:rFonts w:ascii="Verdana" w:eastAsia="Calibri" w:hAnsi="Verdana" w:cs="Arial"/>
          <w:b/>
          <w:lang w:eastAsia="es-ES_tradnl"/>
        </w:rPr>
        <w:t xml:space="preserve"> </w:t>
      </w:r>
    </w:p>
    <w:p w14:paraId="23D733D1" w14:textId="77777777" w:rsidR="009E5C98" w:rsidRPr="0035014E" w:rsidRDefault="009E5C98" w:rsidP="009E5C98">
      <w:pPr>
        <w:spacing w:after="0" w:line="240" w:lineRule="auto"/>
        <w:jc w:val="both"/>
        <w:rPr>
          <w:rFonts w:ascii="Verdana" w:eastAsia="Calibri" w:hAnsi="Verdana" w:cs="Arial"/>
          <w:b/>
          <w:highlight w:val="yellow"/>
          <w:lang w:eastAsia="es-ES_tradnl"/>
        </w:rPr>
      </w:pPr>
      <w:hyperlink r:id="rId8" w:history="1">
        <w:r w:rsidRPr="0035014E">
          <w:rPr>
            <w:rStyle w:val="Hipervnculo"/>
            <w:rFonts w:ascii="Verdana" w:eastAsia="Calibri" w:hAnsi="Verdana" w:cs="Arial"/>
            <w:b/>
            <w:lang w:eastAsia="es-ES_tradnl"/>
          </w:rPr>
          <w:t>juridica@corozal-sucre.gov.co</w:t>
        </w:r>
      </w:hyperlink>
      <w:r w:rsidRPr="0035014E">
        <w:rPr>
          <w:rFonts w:ascii="Verdana" w:eastAsia="Calibri" w:hAnsi="Verdana" w:cs="Arial"/>
          <w:b/>
          <w:lang w:eastAsia="es-ES_tradnl"/>
        </w:rPr>
        <w:t xml:space="preserve"> </w:t>
      </w:r>
    </w:p>
    <w:p w14:paraId="11EB94B9" w14:textId="77777777" w:rsidR="009E5C98" w:rsidRPr="00D246C4" w:rsidRDefault="009E5C98" w:rsidP="009E5C98">
      <w:pPr>
        <w:spacing w:after="0" w:line="240" w:lineRule="auto"/>
        <w:jc w:val="both"/>
        <w:rPr>
          <w:rFonts w:ascii="Verdana" w:eastAsia="Calibri" w:hAnsi="Verdana" w:cs="Arial"/>
          <w:bCs/>
          <w:lang w:eastAsia="es-ES_tradnl"/>
        </w:rPr>
      </w:pPr>
      <w:r w:rsidRPr="00D246C4">
        <w:rPr>
          <w:rFonts w:ascii="Verdana" w:eastAsia="Calibri" w:hAnsi="Verdana" w:cs="Arial"/>
          <w:bCs/>
          <w:lang w:eastAsia="es-ES_tradnl"/>
        </w:rPr>
        <w:t>Corozal, Sucre</w:t>
      </w:r>
    </w:p>
    <w:p w14:paraId="15B52EBD" w14:textId="77777777" w:rsidR="009E5C98" w:rsidRPr="005B4C57" w:rsidRDefault="009E5C98" w:rsidP="009E5C98">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9E5C98" w:rsidRPr="002842E0" w14:paraId="68E196F9" w14:textId="77777777" w:rsidTr="00885778">
        <w:trPr>
          <w:trHeight w:val="162"/>
        </w:trPr>
        <w:tc>
          <w:tcPr>
            <w:tcW w:w="3119" w:type="dxa"/>
          </w:tcPr>
          <w:p w14:paraId="62CEBE9B" w14:textId="77777777" w:rsidR="009E5C98" w:rsidRPr="005B4C57" w:rsidRDefault="009E5C98" w:rsidP="00885778">
            <w:pPr>
              <w:jc w:val="both"/>
              <w:rPr>
                <w:rFonts w:ascii="Verdana" w:eastAsia="Calibri" w:hAnsi="Verdana" w:cs="Arial"/>
                <w:b/>
                <w:bCs/>
                <w:color w:val="7030A0"/>
                <w:lang w:val="it-CH" w:eastAsia="es-ES_tradnl"/>
              </w:rPr>
            </w:pPr>
          </w:p>
        </w:tc>
        <w:tc>
          <w:tcPr>
            <w:tcW w:w="5670" w:type="dxa"/>
          </w:tcPr>
          <w:p w14:paraId="3073381F" w14:textId="77777777" w:rsidR="009E5C98" w:rsidRPr="00801462" w:rsidRDefault="009E5C98" w:rsidP="00885778">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 xml:space="preserve">013 </w:t>
            </w:r>
            <w:r w:rsidRPr="00083AB6">
              <w:rPr>
                <w:rFonts w:ascii="Verdana" w:eastAsia="Calibri" w:hAnsi="Verdana" w:cs="Arial"/>
                <w:b/>
                <w:bCs/>
                <w:lang w:eastAsia="es-ES"/>
              </w:rPr>
              <w:t>de 202</w:t>
            </w:r>
            <w:r>
              <w:rPr>
                <w:rFonts w:ascii="Verdana" w:eastAsia="Calibri" w:hAnsi="Verdana" w:cs="Arial"/>
                <w:b/>
                <w:bCs/>
                <w:lang w:eastAsia="es-ES"/>
              </w:rPr>
              <w:t>6</w:t>
            </w:r>
          </w:p>
          <w:p w14:paraId="4F3CC1BF" w14:textId="77777777" w:rsidR="009E5C98" w:rsidRPr="00801462" w:rsidRDefault="009E5C98" w:rsidP="00885778">
            <w:pPr>
              <w:jc w:val="both"/>
              <w:rPr>
                <w:rFonts w:ascii="Verdana" w:eastAsia="Calibri" w:hAnsi="Verdana" w:cs="Arial"/>
                <w:b/>
                <w:bCs/>
                <w:color w:val="7030A0"/>
                <w:lang w:eastAsia="es-ES"/>
              </w:rPr>
            </w:pPr>
          </w:p>
        </w:tc>
      </w:tr>
      <w:tr w:rsidR="009E5C98" w:rsidRPr="002842E0" w14:paraId="4ABB9CC3" w14:textId="77777777" w:rsidTr="00E22D2D">
        <w:trPr>
          <w:trHeight w:val="3178"/>
        </w:trPr>
        <w:tc>
          <w:tcPr>
            <w:tcW w:w="3119" w:type="dxa"/>
          </w:tcPr>
          <w:p w14:paraId="3169BF73" w14:textId="77777777" w:rsidR="009E5C98" w:rsidRPr="00801462" w:rsidRDefault="009E5C98" w:rsidP="00885778">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40E27552" w14:textId="77777777" w:rsidR="009E5C98" w:rsidRPr="00801462" w:rsidRDefault="009E5C98" w:rsidP="00885778">
            <w:pPr>
              <w:jc w:val="both"/>
              <w:rPr>
                <w:rFonts w:ascii="Verdana" w:eastAsia="Calibri" w:hAnsi="Verdana" w:cs="Arial"/>
                <w:lang w:val="es-ES_tradnl" w:eastAsia="es-ES"/>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 / </w:t>
            </w:r>
            <w:r w:rsidRPr="009F27AB">
              <w:rPr>
                <w:rFonts w:ascii="Verdana" w:hAnsi="Verdana" w:cs="Arial"/>
                <w:lang w:val="es-MX" w:eastAsia="es-ES_tradnl"/>
              </w:rPr>
              <w:t>LEY DE GARANTÍAS ELECTORALES – Contratos y convenios interadministrativos – Criterio orgánico / LEY DE GARANTÍAS ELECTORALES –Restricción- Convenios interadministrativos –</w:t>
            </w:r>
            <w:r>
              <w:rPr>
                <w:rFonts w:ascii="Verdana" w:hAnsi="Verdana" w:cs="Arial"/>
                <w:lang w:val="es-MX" w:eastAsia="es-ES_tradnl"/>
              </w:rPr>
              <w:t xml:space="preserve"> Convenios derivados</w:t>
            </w:r>
          </w:p>
        </w:tc>
      </w:tr>
      <w:tr w:rsidR="009E5C98" w:rsidRPr="002842E0" w14:paraId="676A2765" w14:textId="77777777" w:rsidTr="00885778">
        <w:tc>
          <w:tcPr>
            <w:tcW w:w="3119" w:type="dxa"/>
          </w:tcPr>
          <w:p w14:paraId="1A79B3BE" w14:textId="77777777" w:rsidR="009E5C98" w:rsidRPr="00B540F1" w:rsidRDefault="009E5C98" w:rsidP="00885778">
            <w:pPr>
              <w:jc w:val="both"/>
              <w:rPr>
                <w:rFonts w:ascii="Verdana" w:eastAsia="Calibri" w:hAnsi="Verdana" w:cs="Arial"/>
                <w:b/>
                <w:color w:val="000000" w:themeColor="text1"/>
                <w:lang w:eastAsia="es-ES_tradnl"/>
              </w:rPr>
            </w:pPr>
            <w:r w:rsidRPr="00B540F1">
              <w:rPr>
                <w:rFonts w:ascii="Verdana" w:eastAsia="Calibri" w:hAnsi="Verdana" w:cs="Arial"/>
                <w:b/>
                <w:color w:val="000000" w:themeColor="text1"/>
                <w:lang w:eastAsia="es-ES_tradnl"/>
              </w:rPr>
              <w:t>Radicación:</w:t>
            </w:r>
            <w:r w:rsidRPr="00B540F1">
              <w:rPr>
                <w:rFonts w:ascii="Verdana" w:eastAsia="Calibri" w:hAnsi="Verdana" w:cs="Arial"/>
                <w:color w:val="000000" w:themeColor="text1"/>
                <w:lang w:eastAsia="es-ES_tradnl"/>
              </w:rPr>
              <w:t xml:space="preserve">               </w:t>
            </w:r>
          </w:p>
        </w:tc>
        <w:tc>
          <w:tcPr>
            <w:tcW w:w="5670" w:type="dxa"/>
          </w:tcPr>
          <w:p w14:paraId="49F13DC4" w14:textId="77777777" w:rsidR="009E5C98" w:rsidRPr="00B540F1" w:rsidRDefault="009E5C98" w:rsidP="00885778">
            <w:pPr>
              <w:jc w:val="both"/>
              <w:rPr>
                <w:rFonts w:ascii="Verdana" w:eastAsia="Calibri" w:hAnsi="Verdana" w:cs="Arial"/>
                <w:color w:val="000000" w:themeColor="text1"/>
                <w:lang w:eastAsia="es-ES_tradnl"/>
              </w:rPr>
            </w:pPr>
            <w:r w:rsidRPr="00B540F1">
              <w:rPr>
                <w:rFonts w:ascii="Verdana" w:eastAsia="Calibri" w:hAnsi="Verdana" w:cs="Arial"/>
                <w:color w:val="000000" w:themeColor="text1"/>
                <w:lang w:eastAsia="es-ES_tradnl"/>
              </w:rPr>
              <w:t xml:space="preserve">Respuesta a consulta con radicado </w:t>
            </w:r>
            <w:r w:rsidRPr="00B540F1">
              <w:rPr>
                <w:rFonts w:ascii="Verdana" w:hAnsi="Verdana"/>
                <w:color w:val="000000" w:themeColor="text1"/>
              </w:rPr>
              <w:t>1_2026_01_06_000092</w:t>
            </w:r>
          </w:p>
          <w:p w14:paraId="46DB5574" w14:textId="77777777" w:rsidR="009E5C98" w:rsidRPr="00B540F1" w:rsidRDefault="009E5C98" w:rsidP="00885778">
            <w:pPr>
              <w:jc w:val="both"/>
              <w:rPr>
                <w:rFonts w:ascii="Verdana" w:eastAsia="Calibri" w:hAnsi="Verdana" w:cs="Arial"/>
                <w:color w:val="000000" w:themeColor="text1"/>
                <w:lang w:eastAsia="es-ES_tradnl"/>
              </w:rPr>
            </w:pPr>
            <w:r w:rsidRPr="00B540F1">
              <w:rPr>
                <w:rFonts w:ascii="Verdana" w:eastAsia="Calibri" w:hAnsi="Verdana" w:cs="Arial"/>
                <w:color w:val="000000" w:themeColor="text1"/>
                <w:lang w:eastAsia="es-ES_tradnl"/>
              </w:rPr>
              <w:t xml:space="preserve"> </w:t>
            </w:r>
          </w:p>
        </w:tc>
      </w:tr>
    </w:tbl>
    <w:p w14:paraId="6E7628E0" w14:textId="77777777" w:rsidR="009E5C98" w:rsidRDefault="009E5C98" w:rsidP="009E5C98">
      <w:pPr>
        <w:spacing w:after="0" w:line="276" w:lineRule="auto"/>
        <w:jc w:val="both"/>
        <w:rPr>
          <w:rFonts w:ascii="Verdana" w:eastAsia="Calibri" w:hAnsi="Verdana" w:cs="Arial"/>
          <w:lang w:eastAsia="es-ES_tradnl"/>
        </w:rPr>
      </w:pPr>
    </w:p>
    <w:p w14:paraId="460B1BC0" w14:textId="77777777" w:rsidR="009E5C98" w:rsidRPr="008E4F36" w:rsidRDefault="009E5C98" w:rsidP="009E5C98">
      <w:pPr>
        <w:spacing w:after="0" w:line="276" w:lineRule="auto"/>
        <w:jc w:val="both"/>
        <w:rPr>
          <w:rFonts w:ascii="Verdana" w:eastAsia="Calibri" w:hAnsi="Verdana" w:cs="Arial"/>
          <w:lang w:eastAsia="es-ES"/>
        </w:rPr>
      </w:pPr>
      <w:r w:rsidRPr="00083AB6">
        <w:rPr>
          <w:rFonts w:ascii="Verdana" w:eastAsia="Calibri" w:hAnsi="Verdana" w:cs="Arial"/>
          <w:lang w:eastAsia="es-ES"/>
        </w:rPr>
        <w:t>Estimado señor</w:t>
      </w:r>
      <w:r>
        <w:rPr>
          <w:rFonts w:ascii="Verdana" w:eastAsia="Calibri" w:hAnsi="Verdana" w:cs="Arial"/>
          <w:lang w:eastAsia="es-ES"/>
        </w:rPr>
        <w:t xml:space="preserve"> Ospina</w:t>
      </w:r>
      <w:r w:rsidRPr="00083AB6">
        <w:rPr>
          <w:rFonts w:ascii="Verdana" w:eastAsia="Calibri" w:hAnsi="Verdana" w:cs="Arial"/>
          <w:lang w:eastAsia="es-ES"/>
        </w:rPr>
        <w:t>:</w:t>
      </w:r>
      <w:r w:rsidRPr="008E4F36">
        <w:rPr>
          <w:rFonts w:ascii="Verdana" w:eastAsia="Calibri" w:hAnsi="Verdana" w:cs="Arial"/>
          <w:lang w:eastAsia="es-ES"/>
        </w:rPr>
        <w:t xml:space="preserve"> </w:t>
      </w:r>
    </w:p>
    <w:p w14:paraId="333470B0" w14:textId="77777777" w:rsidR="009E5C98" w:rsidRDefault="009E5C98" w:rsidP="009E5C98">
      <w:pPr>
        <w:tabs>
          <w:tab w:val="left" w:pos="3768"/>
        </w:tabs>
        <w:spacing w:after="0" w:line="240" w:lineRule="auto"/>
        <w:jc w:val="both"/>
        <w:rPr>
          <w:rFonts w:ascii="Verdana" w:eastAsia="Calibri" w:hAnsi="Verdana" w:cs="Arial"/>
          <w:lang w:eastAsia="es-ES"/>
        </w:rPr>
      </w:pPr>
    </w:p>
    <w:p w14:paraId="7DD3E4E7" w14:textId="77777777" w:rsidR="009E5C98" w:rsidRPr="00193C30" w:rsidRDefault="009E5C98" w:rsidP="009E5C98">
      <w:pPr>
        <w:spacing w:after="0" w:line="276" w:lineRule="auto"/>
        <w:jc w:val="both"/>
        <w:rPr>
          <w:rFonts w:ascii="Verdana" w:eastAsia="Century Gothic" w:hAnsi="Verdana" w:cs="Century Gothic"/>
          <w:i/>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6</w:t>
      </w:r>
      <w:r w:rsidRPr="00AF6D58">
        <w:rPr>
          <w:rFonts w:ascii="Verdana" w:eastAsia="Calibri" w:hAnsi="Verdana" w:cs="Arial"/>
          <w:lang w:eastAsia="es-ES"/>
        </w:rPr>
        <w:t xml:space="preserve"> de </w:t>
      </w:r>
      <w:r>
        <w:rPr>
          <w:rFonts w:ascii="Verdana" w:eastAsia="Calibri" w:hAnsi="Verdana" w:cs="Arial"/>
          <w:lang w:eastAsia="es-ES"/>
        </w:rPr>
        <w:t>enero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r w:rsidRPr="00193C30">
        <w:rPr>
          <w:rFonts w:ascii="Verdana" w:eastAsia="Century Gothic" w:hAnsi="Verdana" w:cs="Century Gothic"/>
        </w:rPr>
        <w:t xml:space="preserve"> </w:t>
      </w:r>
      <w:r w:rsidRPr="00193C30">
        <w:rPr>
          <w:rFonts w:ascii="Verdana" w:eastAsia="Century Gothic" w:hAnsi="Verdana" w:cs="Century Gothic"/>
          <w:i/>
        </w:rPr>
        <w:t>“¿Durante la Ley de garantías, puede o no el municipio de Corozal suscribir los convenios interadministrativos que puedan originarse del desarrollo del objeto del convenio?.”</w:t>
      </w:r>
      <w:r>
        <w:rPr>
          <w:rFonts w:ascii="Verdana" w:eastAsia="Century Gothic" w:hAnsi="Verdana" w:cs="Century Gothic"/>
          <w:i/>
          <w:iCs/>
        </w:rPr>
        <w:t>.</w:t>
      </w:r>
    </w:p>
    <w:p w14:paraId="4501715F" w14:textId="77777777" w:rsidR="009E5C98" w:rsidRDefault="009E5C98" w:rsidP="009E5C98">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w:t>
      </w:r>
      <w:r w:rsidRPr="008E4F36">
        <w:rPr>
          <w:rFonts w:ascii="Verdana" w:eastAsia="Calibri" w:hAnsi="Verdana" w:cs="Arial"/>
          <w:color w:val="000000"/>
          <w:lang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367224D" w14:textId="77777777" w:rsidR="009E5C98" w:rsidRPr="00054383" w:rsidRDefault="009E5C98" w:rsidP="009E5C98">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069BC72E" w14:textId="77777777" w:rsidR="009E5C98" w:rsidRPr="008E4F36" w:rsidRDefault="009E5C98" w:rsidP="009E5C98">
      <w:pPr>
        <w:spacing w:after="0"/>
        <w:ind w:firstLine="709"/>
        <w:jc w:val="both"/>
        <w:rPr>
          <w:rFonts w:ascii="Verdana" w:eastAsia="Calibri" w:hAnsi="Verdana" w:cs="Arial"/>
          <w:color w:val="000000"/>
          <w:lang w:eastAsia="es-ES"/>
        </w:rPr>
      </w:pPr>
    </w:p>
    <w:p w14:paraId="2134F612" w14:textId="77777777" w:rsidR="009E5C98" w:rsidRDefault="009E5C98" w:rsidP="009E5C98">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07D0D986" w14:textId="77777777" w:rsidR="009E5C98" w:rsidRDefault="009E5C98" w:rsidP="009E5C98">
      <w:pPr>
        <w:spacing w:after="0" w:line="276" w:lineRule="auto"/>
        <w:jc w:val="both"/>
        <w:rPr>
          <w:rFonts w:ascii="Verdana" w:eastAsia="Calibri" w:hAnsi="Verdana" w:cs="Arial"/>
          <w:color w:val="000000"/>
          <w:highlight w:val="yellow"/>
          <w:lang w:eastAsia="es-ES"/>
        </w:rPr>
      </w:pPr>
    </w:p>
    <w:p w14:paraId="72359A01" w14:textId="77777777" w:rsidR="009E5C98" w:rsidRDefault="009E5C98" w:rsidP="009E5C98">
      <w:pPr>
        <w:spacing w:after="0" w:line="276" w:lineRule="auto"/>
        <w:jc w:val="both"/>
        <w:rPr>
          <w:rFonts w:ascii="Verdana" w:eastAsia="Calibri" w:hAnsi="Verdana" w:cs="Times New Roman"/>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sidRPr="00677D98">
        <w:rPr>
          <w:rFonts w:ascii="Verdana" w:eastAsia="Calibri" w:hAnsi="Verdana" w:cs="Times New Roman"/>
        </w:rPr>
        <w:t xml:space="preserve">¿Es jurídicamente procedente, durante la vigencia de la restricción prevista en el parágrafo del artículo 38 de la Ley 996 de 2005, suscribir convenios interadministrativos </w:t>
      </w:r>
      <w:r>
        <w:rPr>
          <w:rFonts w:ascii="Verdana" w:eastAsia="Calibri" w:hAnsi="Verdana" w:cs="Times New Roman"/>
        </w:rPr>
        <w:t xml:space="preserve">derivado de convenios marco </w:t>
      </w:r>
      <w:r w:rsidRPr="00677D98">
        <w:rPr>
          <w:rFonts w:ascii="Verdana" w:eastAsia="Calibri" w:hAnsi="Verdana" w:cs="Times New Roman"/>
        </w:rPr>
        <w:t>para la ejecución de recursos públicos?</w:t>
      </w:r>
    </w:p>
    <w:p w14:paraId="0D621EA3" w14:textId="77777777" w:rsidR="009E5C98" w:rsidRDefault="009E5C98" w:rsidP="009E5C98">
      <w:pPr>
        <w:spacing w:after="0" w:line="276" w:lineRule="auto"/>
        <w:jc w:val="both"/>
        <w:rPr>
          <w:rFonts w:ascii="Verdana" w:eastAsia="Calibri" w:hAnsi="Verdana" w:cs="Times New Roman"/>
        </w:rPr>
      </w:pPr>
    </w:p>
    <w:p w14:paraId="083E19E0" w14:textId="77777777" w:rsidR="009E5C98" w:rsidRPr="00677D98" w:rsidRDefault="009E5C98" w:rsidP="009E5C98">
      <w:pPr>
        <w:spacing w:after="0" w:line="276" w:lineRule="auto"/>
        <w:jc w:val="both"/>
        <w:rPr>
          <w:rFonts w:ascii="Verdana" w:eastAsia="Calibri" w:hAnsi="Verdana" w:cs="Arial"/>
          <w:color w:val="000000"/>
          <w:lang w:eastAsia="es-ES"/>
        </w:rPr>
      </w:pPr>
      <w:r w:rsidRPr="008E4F36">
        <w:rPr>
          <w:rFonts w:ascii="Verdana" w:eastAsia="Century Gothic" w:hAnsi="Verdana" w:cs="Century Gothic"/>
          <w:b/>
          <w:bCs/>
        </w:rPr>
        <w:t>2. Respuesta:</w:t>
      </w:r>
    </w:p>
    <w:p w14:paraId="517364DD" w14:textId="77777777" w:rsidR="009E5C98" w:rsidRPr="008E4F36" w:rsidRDefault="009E5C98" w:rsidP="009E5C98">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8828"/>
      </w:tblGrid>
      <w:tr w:rsidR="009E5C98" w:rsidRPr="008E4F36" w14:paraId="7A06A712" w14:textId="77777777" w:rsidTr="00885778">
        <w:tc>
          <w:tcPr>
            <w:tcW w:w="8828" w:type="dxa"/>
          </w:tcPr>
          <w:p w14:paraId="52F15EDB" w14:textId="77777777" w:rsidR="009E5C98" w:rsidRDefault="009E5C98" w:rsidP="00885778">
            <w:pPr>
              <w:spacing w:after="120" w:line="276" w:lineRule="auto"/>
              <w:jc w:val="both"/>
              <w:rPr>
                <w:rFonts w:ascii="Verdana" w:eastAsiaTheme="minorEastAsia" w:hAnsi="Verdana" w:cs="Arial"/>
                <w:lang w:eastAsia="es-CO"/>
              </w:rPr>
            </w:pPr>
            <w:r w:rsidRPr="004F1C0A">
              <w:rPr>
                <w:rFonts w:ascii="Verdana" w:eastAsia="Calibri" w:hAnsi="Verdana" w:cs="Arial"/>
                <w:lang w:val="es-MX"/>
              </w:rPr>
              <w:t xml:space="preserve">De acuerdo con el problema jurídico, objeto de consulta, </w:t>
            </w:r>
            <w:r>
              <w:rPr>
                <w:rFonts w:ascii="Verdana" w:eastAsiaTheme="minorEastAsia" w:hAnsi="Verdana" w:cs="Arial"/>
                <w:lang w:eastAsia="es-CO"/>
              </w:rPr>
              <w:t>se encuentra que l</w:t>
            </w:r>
            <w:r w:rsidRPr="00771E47">
              <w:rPr>
                <w:rFonts w:ascii="Verdana" w:eastAsiaTheme="minorEastAsia" w:hAnsi="Verdana" w:cs="Arial"/>
                <w:lang w:eastAsia="es-CO"/>
              </w:rPr>
              <w:t xml:space="preserve">os convenios interadministrativos, previstos en el artículo 95 de la Ley 489 de 1998, son instrumentos de cooperación que buscan la coordinación entre entidades públicas para alcanzar fines comunes de carácter administrativo y social. Su naturaleza se distingue por la finalidad asociativa, pues no persiguen la adquisición de bienes o servicios como los contratos estatales tradicionales, sino la articulación de esfuerzos, capacidades y recursos. </w:t>
            </w:r>
          </w:p>
          <w:p w14:paraId="10D0D8F8" w14:textId="77777777" w:rsidR="009E5C98" w:rsidRDefault="009E5C98" w:rsidP="00885778">
            <w:pPr>
              <w:spacing w:after="120" w:line="276" w:lineRule="auto"/>
              <w:ind w:firstLine="708"/>
              <w:jc w:val="both"/>
              <w:rPr>
                <w:rFonts w:ascii="Verdana" w:eastAsiaTheme="minorEastAsia" w:hAnsi="Verdana" w:cs="Arial"/>
                <w:lang w:eastAsia="es-CO"/>
              </w:rPr>
            </w:pPr>
            <w:r>
              <w:rPr>
                <w:rFonts w:ascii="Verdana" w:eastAsiaTheme="minorEastAsia" w:hAnsi="Verdana" w:cs="Arial"/>
                <w:lang w:eastAsia="es-CO"/>
              </w:rPr>
              <w:lastRenderedPageBreak/>
              <w:t xml:space="preserve">Ahora bien, </w:t>
            </w:r>
            <w:r w:rsidRPr="00FF1C59">
              <w:rPr>
                <w:rFonts w:ascii="Verdana" w:eastAsiaTheme="minorEastAsia" w:hAnsi="Verdana" w:cs="Arial"/>
                <w:lang w:eastAsia="es-CO"/>
              </w:rPr>
              <w:t>resulta pertinente precisar que los convenios interadministrativos de cooperación suscritos entre entidades del orden nacional y las entidades territoriales —departamentos, distritos, municipios y entidades descentralizadas— se encuentran sujetos a la restricción prevista en el artículo 38 de la Ley 996 de 2005. Dicha disposición establece que la celebración de estos convenios por parte de alcaldes, gobernadores, secretarios, gerentes y directores de entidades del orden municipal, departamental o distrital debe observar las limitaciones allí señaladas, particularmente cuando se trate de convenios destinados a la ejecución de recursos públicos.</w:t>
            </w:r>
          </w:p>
          <w:p w14:paraId="37205AAA" w14:textId="77777777" w:rsidR="009E5C98" w:rsidRDefault="009E5C98" w:rsidP="00885778">
            <w:pPr>
              <w:spacing w:after="120" w:line="276" w:lineRule="auto"/>
              <w:ind w:firstLine="708"/>
              <w:jc w:val="both"/>
              <w:rPr>
                <w:rFonts w:ascii="Verdana" w:eastAsiaTheme="minorEastAsia" w:hAnsi="Verdana" w:cs="Arial"/>
                <w:lang w:eastAsia="es-CO"/>
              </w:rPr>
            </w:pPr>
            <w:r>
              <w:rPr>
                <w:rFonts w:ascii="Verdana" w:eastAsiaTheme="minorEastAsia" w:hAnsi="Verdana" w:cs="Arial"/>
                <w:lang w:eastAsia="es-CO"/>
              </w:rPr>
              <w:t xml:space="preserve">En la medida en que la restricción establecida en el parágrafo del artículo 38 de la Ley 996 de 2005 no diferencia en su ámbito de </w:t>
            </w:r>
            <w:proofErr w:type="gramStart"/>
            <w:r>
              <w:rPr>
                <w:rFonts w:ascii="Verdana" w:eastAsiaTheme="minorEastAsia" w:hAnsi="Verdana" w:cs="Arial"/>
                <w:lang w:eastAsia="es-CO"/>
              </w:rPr>
              <w:t>aplicación  entre</w:t>
            </w:r>
            <w:proofErr w:type="gramEnd"/>
            <w:r>
              <w:rPr>
                <w:rFonts w:ascii="Verdana" w:eastAsiaTheme="minorEastAsia" w:hAnsi="Verdana" w:cs="Arial"/>
                <w:lang w:eastAsia="es-CO"/>
              </w:rPr>
              <w:t xml:space="preserve"> convenios marco y derivados, la celebración de ambos tipos de acuerdos entre entidades estatales, en los que se contemple la ejecución de recursos públicos, debe entenderse restringida para los entes territoriales y sus entidades descentralizadas. Esto con sustento en el principio interpretativo según el cual, </w:t>
            </w:r>
            <w:r w:rsidRPr="00193C30">
              <w:rPr>
                <w:rFonts w:ascii="Verdana" w:eastAsiaTheme="minorEastAsia" w:hAnsi="Verdana" w:cs="Arial"/>
                <w:i/>
                <w:iCs/>
                <w:lang w:eastAsia="es-CO"/>
              </w:rPr>
              <w:t>donde el legislador no distingue no le está dado al interprete hacerlo.</w:t>
            </w:r>
          </w:p>
          <w:p w14:paraId="6F430AEA" w14:textId="77777777" w:rsidR="009E5C98" w:rsidRPr="005D63E7" w:rsidRDefault="009E5C98" w:rsidP="00885778">
            <w:pPr>
              <w:spacing w:after="120" w:line="276" w:lineRule="auto"/>
              <w:ind w:firstLine="709"/>
              <w:jc w:val="both"/>
              <w:rPr>
                <w:rFonts w:ascii="Verdana" w:eastAsiaTheme="minorEastAsia" w:hAnsi="Verdana" w:cs="Arial"/>
                <w:lang w:eastAsia="es-CO"/>
              </w:rPr>
            </w:pPr>
            <w:r>
              <w:rPr>
                <w:rFonts w:ascii="Verdana" w:eastAsiaTheme="minorEastAsia" w:hAnsi="Verdana" w:cs="Arial"/>
                <w:lang w:eastAsia="es-CO"/>
              </w:rPr>
              <w:t>En ese sentido, d</w:t>
            </w:r>
            <w:r w:rsidRPr="00DA6629">
              <w:rPr>
                <w:rFonts w:ascii="Verdana" w:eastAsiaTheme="minorEastAsia" w:hAnsi="Verdana" w:cs="Arial"/>
                <w:lang w:eastAsia="es-CO"/>
              </w:rPr>
              <w:t>urante la vigencia de la restricción prevista en el parágrafo del artículo 38 de la Ley 996 de 2005, no resulta</w:t>
            </w:r>
            <w:r>
              <w:rPr>
                <w:rFonts w:ascii="Verdana" w:eastAsiaTheme="minorEastAsia" w:hAnsi="Verdana" w:cs="Arial"/>
                <w:lang w:eastAsia="es-CO"/>
              </w:rPr>
              <w:t xml:space="preserve"> </w:t>
            </w:r>
            <w:r w:rsidRPr="00DA6629">
              <w:rPr>
                <w:rFonts w:ascii="Verdana" w:eastAsiaTheme="minorEastAsia" w:hAnsi="Verdana" w:cs="Arial"/>
                <w:lang w:eastAsia="es-CO"/>
              </w:rPr>
              <w:t xml:space="preserve">procedente suscribir convenios interadministrativos que se originen en el desarrollo del objeto de un convenio principal cuando su formalización implique la celebración de un nuevo acuerdo para la ejecución de recursos públicos por parte de autoridades del orden territorial, en la medida en que la disposición establece de manera expresa y objetiva la prohibición de celebrar convenios interadministrativos dentro de los cuatro (4) meses anteriores a cualquier elección, sin distinguir entre convenios iniciales, adicionales, específicos o derivados; por tanto, atendiendo el carácter excepcional, preventivo y de interpretación estricta de las normas prohibitivas en materia electoral —criterio sostenido por la Corte Constitucional y el Consejo de Estado— no es jurídicamente admisible introducir excepciones no previstas por el legislador ni acudir a denominaciones formales que encubran la constitución de un nuevo vínculo jurídico con autonomía obligacional y compromiso de recursos públicos, pues ello desconocería la finalidad de neutralidad, transparencia, </w:t>
            </w:r>
            <w:r w:rsidRPr="00DA6629">
              <w:rPr>
                <w:rFonts w:ascii="Verdana" w:eastAsiaTheme="minorEastAsia" w:hAnsi="Verdana" w:cs="Arial"/>
                <w:lang w:eastAsia="es-CO"/>
              </w:rPr>
              <w:lastRenderedPageBreak/>
              <w:t>igualdad y moralidad administrativa que inspira el régimen de garantías; en consecuencia, durante dicho periodo únicamente son viables las actuaciones estrictamente encaminadas a la ejecución, cumplimiento, seguimiento o liquidación de convenios válidamente celebrados con anterioridad al inicio de la restricción, siempre que no comporten la creación de un nuevo acuerdo interadministrativo ni la asunción de obligaciones adicionales que desborden el marco jurídico previamente constituido.</w:t>
            </w:r>
          </w:p>
        </w:tc>
      </w:tr>
    </w:tbl>
    <w:p w14:paraId="6C444550" w14:textId="77777777" w:rsidR="009E5C98" w:rsidRDefault="009E5C98" w:rsidP="009E5C98">
      <w:pPr>
        <w:tabs>
          <w:tab w:val="left" w:pos="142"/>
          <w:tab w:val="left" w:pos="284"/>
        </w:tabs>
        <w:spacing w:after="0" w:line="276" w:lineRule="auto"/>
        <w:jc w:val="both"/>
        <w:rPr>
          <w:rFonts w:ascii="Verdana" w:eastAsia="Century Gothic" w:hAnsi="Verdana" w:cs="Century Gothic"/>
          <w:b/>
          <w:bCs/>
        </w:rPr>
      </w:pPr>
    </w:p>
    <w:p w14:paraId="1223FDEF" w14:textId="77777777" w:rsidR="009E5C98" w:rsidRPr="008E4F36" w:rsidRDefault="009E5C98" w:rsidP="009E5C98">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09D174A6" w14:textId="77777777" w:rsidR="009E5C98" w:rsidRDefault="009E5C98" w:rsidP="009E5C98">
      <w:pPr>
        <w:pStyle w:val="Prrafodelista"/>
        <w:tabs>
          <w:tab w:val="left" w:pos="142"/>
          <w:tab w:val="left" w:pos="284"/>
        </w:tabs>
        <w:spacing w:after="0" w:line="276" w:lineRule="auto"/>
        <w:ind w:left="0"/>
        <w:contextualSpacing w:val="0"/>
        <w:jc w:val="both"/>
        <w:rPr>
          <w:rFonts w:ascii="Verdana" w:eastAsia="Calibri" w:hAnsi="Verdana" w:cs="Arial"/>
        </w:rPr>
      </w:pPr>
    </w:p>
    <w:p w14:paraId="4374A7F8" w14:textId="77777777" w:rsidR="009E5C98" w:rsidRDefault="009E5C98" w:rsidP="009E5C98">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6D5CC09D" w14:textId="77777777" w:rsidR="009E5C98" w:rsidRDefault="009E5C98" w:rsidP="009E5C98">
      <w:pPr>
        <w:pStyle w:val="Prrafodelista"/>
        <w:tabs>
          <w:tab w:val="left" w:pos="142"/>
          <w:tab w:val="left" w:pos="284"/>
        </w:tabs>
        <w:spacing w:after="0" w:line="240" w:lineRule="auto"/>
        <w:ind w:left="0"/>
        <w:contextualSpacing w:val="0"/>
        <w:jc w:val="both"/>
        <w:rPr>
          <w:rFonts w:ascii="Verdana" w:eastAsia="Calibri" w:hAnsi="Verdana" w:cs="Arial"/>
        </w:rPr>
      </w:pPr>
    </w:p>
    <w:p w14:paraId="1A5639FA" w14:textId="77777777" w:rsidR="009E5C98" w:rsidRPr="005055D5" w:rsidRDefault="009E5C98" w:rsidP="009E5C98">
      <w:pPr>
        <w:tabs>
          <w:tab w:val="left" w:pos="426"/>
        </w:tabs>
        <w:spacing w:after="120" w:line="276" w:lineRule="auto"/>
        <w:jc w:val="both"/>
        <w:rPr>
          <w:rFonts w:ascii="Verdana" w:eastAsia="Times New Roman" w:hAnsi="Verdana" w:cs="Arial"/>
          <w:lang w:eastAsia="es-CO"/>
        </w:rPr>
      </w:pPr>
      <w:bookmarkStart w:id="2" w:name="_Hlk204856061"/>
      <w:bookmarkStart w:id="3" w:name="_Hlk78820161"/>
      <w:bookmarkStart w:id="4" w:name="_Hlk204854194"/>
      <w:r w:rsidRPr="005055D5">
        <w:rPr>
          <w:rFonts w:ascii="Verdana" w:eastAsia="Calibri" w:hAnsi="Verdana" w:cs="Arial"/>
        </w:rPr>
        <w:t>i. El ordenamiento jurídico colombiano contempla previsiones claras para evitar la obtención de beneficios personales en asuntos propios de la administración pública</w:t>
      </w:r>
      <w:r w:rsidRPr="005055D5">
        <w:rPr>
          <w:rFonts w:ascii="Verdana" w:eastAsia="Calibri" w:hAnsi="Verdana" w:cs="Arial"/>
          <w:i/>
        </w:rPr>
        <w:t xml:space="preserve">. </w:t>
      </w:r>
      <w:r w:rsidRPr="005055D5">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5055D5">
        <w:rPr>
          <w:rFonts w:ascii="Verdana" w:eastAsia="Calibri" w:hAnsi="Verdana" w:cs="Times New Roman"/>
          <w:vertAlign w:val="superscript"/>
        </w:rPr>
        <w:footnoteReference w:id="1"/>
      </w:r>
      <w:r w:rsidRPr="005055D5">
        <w:rPr>
          <w:rFonts w:ascii="Verdana" w:eastAsia="Calibri" w:hAnsi="Verdana" w:cs="Arial"/>
        </w:rPr>
        <w:t xml:space="preserve">. </w:t>
      </w:r>
    </w:p>
    <w:p w14:paraId="78FAF7DF" w14:textId="77777777" w:rsidR="009E5C98" w:rsidRPr="005055D5" w:rsidRDefault="009E5C98" w:rsidP="009E5C98">
      <w:pPr>
        <w:tabs>
          <w:tab w:val="left" w:pos="426"/>
        </w:tabs>
        <w:spacing w:after="0" w:line="276" w:lineRule="auto"/>
        <w:ind w:firstLine="709"/>
        <w:jc w:val="both"/>
        <w:rPr>
          <w:rFonts w:ascii="Verdana" w:eastAsia="Calibri" w:hAnsi="Verdana" w:cs="Arial"/>
          <w:lang w:val="es-ES_tradnl"/>
        </w:rPr>
      </w:pPr>
      <w:r w:rsidRPr="005055D5">
        <w:rPr>
          <w:rFonts w:ascii="Verdana" w:eastAsia="Times New Roman" w:hAnsi="Verdana" w:cs="Arial"/>
          <w:lang w:eastAsia="es-CO"/>
        </w:rPr>
        <w:t>En el mismo sentido</w:t>
      </w:r>
      <w:r w:rsidRPr="005055D5">
        <w:rPr>
          <w:rFonts w:ascii="Verdana" w:eastAsia="Times New Roman" w:hAnsi="Verdana" w:cs="Arial"/>
          <w:lang w:val="es-MX" w:eastAsia="es-CO"/>
        </w:rPr>
        <w:t xml:space="preserve">, </w:t>
      </w:r>
      <w:bookmarkStart w:id="5" w:name="_Hlk99576829"/>
      <w:r w:rsidRPr="005055D5">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055D5">
        <w:rPr>
          <w:rFonts w:ascii="Verdana" w:eastAsia="Times New Roman" w:hAnsi="Verdana" w:cs="Arial"/>
          <w:vertAlign w:val="superscript"/>
          <w:lang w:val="es-MX" w:eastAsia="es-CO"/>
        </w:rPr>
        <w:footnoteReference w:id="2"/>
      </w:r>
      <w:r w:rsidRPr="005055D5">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5055D5">
        <w:rPr>
          <w:rFonts w:ascii="Verdana" w:eastAsia="Calibri" w:hAnsi="Verdana" w:cs="Arial"/>
          <w:lang w:val="es-ES_tradnl"/>
        </w:rPr>
        <w:t xml:space="preserve"> </w:t>
      </w:r>
      <w:bookmarkEnd w:id="5"/>
      <w:r w:rsidRPr="005055D5">
        <w:rPr>
          <w:rFonts w:ascii="Verdana" w:eastAsia="Times New Roman" w:hAnsi="Verdana" w:cs="Arial"/>
          <w:lang w:val="es-MX" w:eastAsia="es-CO"/>
        </w:rPr>
        <w:t xml:space="preserve">En armonía </w:t>
      </w:r>
      <w:r w:rsidRPr="005055D5">
        <w:rPr>
          <w:rFonts w:ascii="Verdana" w:eastAsia="Times New Roman" w:hAnsi="Verdana" w:cs="Arial"/>
          <w:lang w:val="es-MX" w:eastAsia="es-CO"/>
        </w:rPr>
        <w:lastRenderedPageBreak/>
        <w:t>con lo anterior, la Corte Constitucional ha abordado la definición de la Ley de Garantías Electorales. De esta manera, explica que tiene como propósito:</w:t>
      </w:r>
    </w:p>
    <w:p w14:paraId="4F040DDD" w14:textId="77777777" w:rsidR="009E5C98" w:rsidRPr="005055D5" w:rsidRDefault="009E5C98" w:rsidP="009E5C98">
      <w:pPr>
        <w:spacing w:after="0" w:line="276" w:lineRule="auto"/>
        <w:ind w:right="709"/>
        <w:contextualSpacing/>
        <w:jc w:val="both"/>
        <w:rPr>
          <w:rFonts w:ascii="Verdana" w:eastAsia="Times New Roman" w:hAnsi="Verdana" w:cs="Arial"/>
          <w:lang w:val="es-ES" w:eastAsia="es-CO"/>
        </w:rPr>
      </w:pPr>
    </w:p>
    <w:p w14:paraId="6994A7D5" w14:textId="77777777" w:rsidR="009E5C98" w:rsidRPr="005055D5" w:rsidRDefault="009E5C98" w:rsidP="009E5C98">
      <w:pPr>
        <w:spacing w:after="0" w:line="240" w:lineRule="auto"/>
        <w:ind w:left="709" w:right="709"/>
        <w:contextualSpacing/>
        <w:jc w:val="both"/>
        <w:rPr>
          <w:rFonts w:ascii="Verdana" w:eastAsia="Times New Roman" w:hAnsi="Verdana" w:cs="Arial"/>
          <w:sz w:val="20"/>
          <w:szCs w:val="20"/>
          <w:lang w:val="es-MX" w:eastAsia="es-CO"/>
        </w:rPr>
      </w:pPr>
      <w:r w:rsidRPr="005055D5">
        <w:rPr>
          <w:rFonts w:ascii="Verdana" w:eastAsia="Times New Roman" w:hAnsi="Verdana" w:cs="Arial"/>
          <w:sz w:val="20"/>
          <w:szCs w:val="20"/>
          <w:lang w:val="es-ES" w:eastAsia="es-CO"/>
        </w:rPr>
        <w:t xml:space="preserve">“[…] </w:t>
      </w:r>
      <w:r w:rsidRPr="005055D5">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6F77A56" w14:textId="77777777" w:rsidR="009E5C98" w:rsidRPr="005055D5" w:rsidRDefault="009E5C98" w:rsidP="009E5C98">
      <w:pPr>
        <w:spacing w:after="0" w:line="240" w:lineRule="auto"/>
        <w:ind w:left="709" w:right="709"/>
        <w:contextualSpacing/>
        <w:jc w:val="both"/>
        <w:rPr>
          <w:rFonts w:ascii="Verdana" w:eastAsia="Times New Roman" w:hAnsi="Verdana" w:cs="Arial"/>
          <w:sz w:val="20"/>
          <w:szCs w:val="20"/>
          <w:lang w:val="es-MX" w:eastAsia="es-CO"/>
        </w:rPr>
      </w:pPr>
      <w:r w:rsidRPr="005055D5">
        <w:rPr>
          <w:rFonts w:ascii="Verdana" w:eastAsia="Times New Roman" w:hAnsi="Verdana" w:cs="Arial"/>
          <w:sz w:val="20"/>
          <w:szCs w:val="20"/>
          <w:lang w:val="es-MX" w:eastAsia="es-CO"/>
        </w:rPr>
        <w:t xml:space="preserve">[…] </w:t>
      </w:r>
    </w:p>
    <w:p w14:paraId="5F1CF48E" w14:textId="77777777" w:rsidR="009E5C98" w:rsidRPr="005055D5" w:rsidRDefault="009E5C98" w:rsidP="009E5C98">
      <w:pPr>
        <w:spacing w:after="0" w:line="240" w:lineRule="auto"/>
        <w:ind w:left="709" w:right="709"/>
        <w:contextualSpacing/>
        <w:jc w:val="both"/>
        <w:rPr>
          <w:rFonts w:ascii="Verdana" w:eastAsia="Times New Roman" w:hAnsi="Verdana" w:cs="Arial"/>
          <w:sz w:val="12"/>
          <w:szCs w:val="12"/>
          <w:lang w:val="es-MX" w:eastAsia="es-CO"/>
        </w:rPr>
      </w:pPr>
    </w:p>
    <w:p w14:paraId="74DED814" w14:textId="77777777" w:rsidR="009E5C98" w:rsidRPr="005055D5" w:rsidRDefault="009E5C98" w:rsidP="009E5C98">
      <w:pPr>
        <w:spacing w:after="0" w:line="240" w:lineRule="auto"/>
        <w:ind w:left="709" w:right="709"/>
        <w:contextualSpacing/>
        <w:jc w:val="both"/>
        <w:rPr>
          <w:rFonts w:ascii="Verdana" w:eastAsia="Times New Roman" w:hAnsi="Verdana" w:cs="Arial"/>
          <w:sz w:val="20"/>
          <w:szCs w:val="20"/>
          <w:lang w:val="es-MX" w:eastAsia="es-CO"/>
        </w:rPr>
      </w:pPr>
      <w:r w:rsidRPr="005055D5">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5055D5">
        <w:rPr>
          <w:rFonts w:ascii="Verdana" w:eastAsia="Calibri" w:hAnsi="Verdana" w:cs="Arial"/>
          <w:sz w:val="20"/>
          <w:szCs w:val="20"/>
          <w:vertAlign w:val="superscript"/>
          <w:lang w:val="es-MX"/>
        </w:rPr>
        <w:footnoteReference w:id="3"/>
      </w:r>
    </w:p>
    <w:p w14:paraId="24147812" w14:textId="77777777" w:rsidR="009E5C98" w:rsidRPr="005055D5" w:rsidRDefault="009E5C98" w:rsidP="009E5C98">
      <w:pPr>
        <w:spacing w:after="0" w:line="276" w:lineRule="auto"/>
        <w:ind w:firstLine="709"/>
        <w:jc w:val="both"/>
        <w:rPr>
          <w:rFonts w:ascii="Verdana" w:eastAsia="Times New Roman" w:hAnsi="Verdana" w:cs="Arial"/>
          <w:lang w:val="es-MX" w:eastAsia="es-CO"/>
        </w:rPr>
      </w:pPr>
      <w:bookmarkStart w:id="6" w:name="_Hlk78818186"/>
    </w:p>
    <w:p w14:paraId="404F074E" w14:textId="77777777" w:rsidR="009E5C98" w:rsidRPr="005055D5" w:rsidRDefault="009E5C98" w:rsidP="009E5C98">
      <w:pPr>
        <w:spacing w:after="0" w:line="276" w:lineRule="auto"/>
        <w:ind w:firstLine="709"/>
        <w:jc w:val="both"/>
        <w:rPr>
          <w:rFonts w:ascii="Verdana" w:eastAsia="Times New Roman" w:hAnsi="Verdana" w:cs="Arial"/>
          <w:lang w:val="es-MX" w:eastAsia="es-CO"/>
        </w:rPr>
      </w:pPr>
      <w:r w:rsidRPr="005055D5">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6"/>
      <w:r w:rsidRPr="005055D5">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32D82117" w14:textId="77777777" w:rsidR="009E5C98" w:rsidRPr="005055D5" w:rsidRDefault="009E5C98" w:rsidP="009E5C98">
      <w:pPr>
        <w:spacing w:after="0" w:line="276" w:lineRule="auto"/>
        <w:ind w:firstLine="709"/>
        <w:jc w:val="both"/>
        <w:rPr>
          <w:rFonts w:ascii="Verdana" w:eastAsia="Times New Roman" w:hAnsi="Verdana" w:cs="Arial"/>
          <w:lang w:val="es-MX" w:eastAsia="es-CO"/>
        </w:rPr>
      </w:pPr>
    </w:p>
    <w:p w14:paraId="287A3C75" w14:textId="77777777" w:rsidR="009E5C98" w:rsidRPr="005055D5" w:rsidRDefault="009E5C98" w:rsidP="009E5C98">
      <w:pPr>
        <w:spacing w:after="0" w:line="240" w:lineRule="auto"/>
        <w:ind w:left="709" w:right="709"/>
        <w:contextualSpacing/>
        <w:jc w:val="both"/>
        <w:rPr>
          <w:rFonts w:ascii="Verdana" w:eastAsia="Times New Roman" w:hAnsi="Verdana" w:cs="Arial"/>
          <w:sz w:val="20"/>
          <w:szCs w:val="20"/>
          <w:lang w:val="es-MX" w:eastAsia="es-CO"/>
        </w:rPr>
      </w:pPr>
      <w:r w:rsidRPr="005055D5">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5055D5">
        <w:rPr>
          <w:rFonts w:ascii="Verdana" w:eastAsia="Times New Roman" w:hAnsi="Verdana" w:cs="Arial"/>
          <w:sz w:val="20"/>
          <w:szCs w:val="20"/>
          <w:lang w:val="es-MX" w:eastAsia="es-CO"/>
        </w:rPr>
        <w:t>legis</w:t>
      </w:r>
      <w:proofErr w:type="spellEnd"/>
      <w:r w:rsidRPr="005055D5">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46E2AD2" w14:textId="77777777" w:rsidR="009E5C98" w:rsidRPr="005055D5" w:rsidRDefault="009E5C98" w:rsidP="009E5C98">
      <w:pPr>
        <w:spacing w:after="0" w:line="240" w:lineRule="auto"/>
        <w:ind w:right="709"/>
        <w:contextualSpacing/>
        <w:jc w:val="both"/>
        <w:rPr>
          <w:rFonts w:ascii="Verdana" w:eastAsia="Times New Roman" w:hAnsi="Verdana" w:cs="Arial"/>
          <w:sz w:val="12"/>
          <w:szCs w:val="12"/>
          <w:lang w:val="es-MX" w:eastAsia="es-CO"/>
        </w:rPr>
      </w:pPr>
    </w:p>
    <w:p w14:paraId="416D9DB8" w14:textId="77777777" w:rsidR="009E5C98" w:rsidRPr="005055D5" w:rsidRDefault="009E5C98" w:rsidP="009E5C98">
      <w:pPr>
        <w:spacing w:after="0" w:line="240" w:lineRule="auto"/>
        <w:ind w:left="709" w:right="709"/>
        <w:contextualSpacing/>
        <w:jc w:val="both"/>
        <w:rPr>
          <w:rFonts w:ascii="Verdana" w:eastAsia="Times New Roman" w:hAnsi="Verdana" w:cs="Arial"/>
          <w:sz w:val="20"/>
          <w:szCs w:val="20"/>
          <w:lang w:val="es-MX" w:eastAsia="es-CO"/>
        </w:rPr>
      </w:pPr>
      <w:r w:rsidRPr="005055D5">
        <w:rPr>
          <w:rFonts w:ascii="Verdana" w:eastAsia="Times New Roman" w:hAnsi="Verdana" w:cs="Arial"/>
          <w:sz w:val="20"/>
          <w:szCs w:val="20"/>
          <w:lang w:val="es-MX" w:eastAsia="es-CO"/>
        </w:rPr>
        <w:lastRenderedPageBreak/>
        <w:t>La jurisprudencia de la Corte Constitucional</w:t>
      </w:r>
      <w:r w:rsidRPr="005055D5">
        <w:rPr>
          <w:rFonts w:ascii="Verdana" w:eastAsia="Times New Roman" w:hAnsi="Verdana" w:cs="Arial"/>
          <w:sz w:val="20"/>
          <w:szCs w:val="20"/>
          <w:vertAlign w:val="superscript"/>
          <w:lang w:val="es-MX" w:eastAsia="es-CO"/>
        </w:rPr>
        <w:footnoteReference w:id="4"/>
      </w:r>
      <w:r w:rsidRPr="005055D5">
        <w:rPr>
          <w:rFonts w:ascii="Verdana" w:eastAsia="Times New Roman" w:hAnsi="Verdana" w:cs="Arial"/>
          <w:sz w:val="20"/>
          <w:szCs w:val="20"/>
          <w:lang w:val="es-MX" w:eastAsia="es-CO"/>
        </w:rPr>
        <w:t> y del Consejo de Estado</w:t>
      </w:r>
      <w:r w:rsidRPr="005055D5">
        <w:rPr>
          <w:rFonts w:ascii="Verdana" w:eastAsia="Times New Roman" w:hAnsi="Verdana" w:cs="Arial"/>
          <w:sz w:val="20"/>
          <w:szCs w:val="20"/>
          <w:vertAlign w:val="superscript"/>
          <w:lang w:val="es-MX" w:eastAsia="es-CO"/>
        </w:rPr>
        <w:footnoteReference w:id="5"/>
      </w:r>
      <w:r w:rsidRPr="005055D5">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5055D5">
        <w:rPr>
          <w:rFonts w:ascii="Verdana" w:eastAsia="Times New Roman" w:hAnsi="Verdana" w:cs="Arial"/>
          <w:sz w:val="20"/>
          <w:szCs w:val="20"/>
          <w:vertAlign w:val="superscript"/>
          <w:lang w:val="es-MX" w:eastAsia="es-CO"/>
        </w:rPr>
        <w:footnoteReference w:id="6"/>
      </w:r>
      <w:r w:rsidRPr="005055D5">
        <w:rPr>
          <w:rFonts w:ascii="Verdana" w:eastAsia="Times New Roman" w:hAnsi="Verdana" w:cs="Arial"/>
          <w:sz w:val="20"/>
          <w:szCs w:val="20"/>
          <w:lang w:val="es-MX" w:eastAsia="es-CO"/>
        </w:rPr>
        <w:t>.</w:t>
      </w:r>
    </w:p>
    <w:p w14:paraId="2548772F" w14:textId="77777777" w:rsidR="009E5C98" w:rsidRPr="005055D5" w:rsidRDefault="009E5C98" w:rsidP="009E5C98">
      <w:pPr>
        <w:spacing w:after="0" w:line="276" w:lineRule="auto"/>
        <w:jc w:val="both"/>
        <w:rPr>
          <w:rFonts w:ascii="Verdana" w:eastAsia="Calibri" w:hAnsi="Verdana" w:cs="Arial"/>
          <w:bCs/>
          <w:lang w:val="es-ES_tradnl"/>
        </w:rPr>
      </w:pPr>
    </w:p>
    <w:p w14:paraId="681109A8" w14:textId="77777777" w:rsidR="009E5C98" w:rsidRDefault="009E5C98" w:rsidP="009E5C98">
      <w:pPr>
        <w:spacing w:after="0" w:line="276" w:lineRule="auto"/>
        <w:ind w:firstLine="709"/>
        <w:jc w:val="both"/>
        <w:rPr>
          <w:rFonts w:ascii="Verdana" w:eastAsia="Arial" w:hAnsi="Verdana" w:cs="Arial"/>
          <w:lang w:val="es-ES" w:eastAsia="es-ES" w:bidi="es-ES"/>
        </w:rPr>
      </w:pPr>
      <w:r w:rsidRPr="005055D5">
        <w:rPr>
          <w:rFonts w:ascii="Verdana" w:eastAsia="Times New Roman" w:hAnsi="Verdana" w:cs="Arial"/>
          <w:lang w:val="es-MX" w:eastAsia="es-CO"/>
        </w:rPr>
        <w:t>De</w:t>
      </w:r>
      <w:r w:rsidRPr="005055D5">
        <w:rPr>
          <w:rFonts w:ascii="Verdana" w:eastAsia="Arial" w:hAnsi="Verdana" w:cs="Arial"/>
          <w:lang w:val="es-ES" w:eastAsia="es-ES" w:bidi="es-ES"/>
        </w:rPr>
        <w:t xml:space="preserve"> conformidad con lo anterior, </w:t>
      </w:r>
      <w:bookmarkStart w:id="7" w:name="_Hlk77236098"/>
      <w:bookmarkStart w:id="8" w:name="_Hlk100679383"/>
      <w:r w:rsidRPr="005055D5">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0AC6C16" w14:textId="77777777" w:rsidR="009E5C98" w:rsidRPr="005055D5" w:rsidRDefault="009E5C98" w:rsidP="009E5C98">
      <w:pPr>
        <w:spacing w:after="0" w:line="276" w:lineRule="auto"/>
        <w:ind w:firstLine="709"/>
        <w:jc w:val="both"/>
        <w:rPr>
          <w:rFonts w:ascii="Verdana" w:eastAsia="Arial" w:hAnsi="Verdana" w:cs="Arial"/>
          <w:lang w:val="es-ES" w:eastAsia="es-ES" w:bidi="es-ES"/>
        </w:rPr>
      </w:pPr>
    </w:p>
    <w:p w14:paraId="21BB8413" w14:textId="77777777" w:rsidR="009E5C98" w:rsidRPr="005055D5" w:rsidRDefault="009E5C98" w:rsidP="009E5C98">
      <w:pPr>
        <w:spacing w:after="120" w:line="276" w:lineRule="auto"/>
        <w:jc w:val="both"/>
        <w:rPr>
          <w:rFonts w:ascii="Verdana" w:eastAsia="Arial" w:hAnsi="Verdana" w:cs="Arial"/>
          <w:lang w:val="es-ES" w:eastAsia="es-ES" w:bidi="es-ES"/>
        </w:rPr>
      </w:pPr>
      <w:proofErr w:type="spellStart"/>
      <w:r w:rsidRPr="005055D5">
        <w:rPr>
          <w:rFonts w:ascii="Verdana" w:eastAsia="Arial" w:hAnsi="Verdana" w:cs="Arial"/>
          <w:lang w:val="es-ES" w:eastAsia="es-ES" w:bidi="es-ES"/>
        </w:rPr>
        <w:t>ii</w:t>
      </w:r>
      <w:proofErr w:type="spellEnd"/>
      <w:r w:rsidRPr="005055D5">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7"/>
    </w:p>
    <w:p w14:paraId="31C69EF3" w14:textId="77777777" w:rsidR="009E5C98" w:rsidRPr="005055D5" w:rsidRDefault="009E5C98" w:rsidP="009E5C98">
      <w:pPr>
        <w:spacing w:after="120" w:line="276" w:lineRule="auto"/>
        <w:ind w:firstLine="708"/>
        <w:jc w:val="both"/>
        <w:rPr>
          <w:rFonts w:ascii="Verdana" w:eastAsia="Calibri" w:hAnsi="Verdana" w:cs="Arial"/>
        </w:rPr>
      </w:pPr>
      <w:r w:rsidRPr="005055D5">
        <w:rPr>
          <w:rFonts w:ascii="Verdana" w:eastAsia="Calibri" w:hAnsi="Verdana" w:cs="Arial"/>
        </w:rPr>
        <w:t xml:space="preserve">Por un lado, el </w:t>
      </w:r>
      <w:r w:rsidRPr="005055D5">
        <w:rPr>
          <w:rFonts w:ascii="Verdana" w:eastAsia="Calibri" w:hAnsi="Verdana" w:cs="Arial"/>
          <w:i/>
          <w:iCs/>
        </w:rPr>
        <w:t>artículo 33 de la Ley 996 de 2005</w:t>
      </w:r>
      <w:r w:rsidRPr="005055D5">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5055D5">
        <w:rPr>
          <w:rFonts w:ascii="Verdana" w:eastAsia="Calibri" w:hAnsi="Verdana" w:cs="Arial"/>
        </w:rPr>
        <w:lastRenderedPageBreak/>
        <w:t>acciones terroristas, desastres naturales o casos de fuerza mayor, y los que deban realizar las entidades sanitarias y hospitalarias”</w:t>
      </w:r>
      <w:r w:rsidRPr="005055D5">
        <w:rPr>
          <w:rFonts w:ascii="Verdana" w:eastAsia="Calibri" w:hAnsi="Verdana" w:cs="Arial"/>
          <w:vertAlign w:val="superscript"/>
        </w:rPr>
        <w:footnoteReference w:id="7"/>
      </w:r>
      <w:r w:rsidRPr="005055D5">
        <w:rPr>
          <w:rFonts w:ascii="Verdana" w:eastAsia="Calibri" w:hAnsi="Verdana" w:cs="Arial"/>
        </w:rPr>
        <w:t>.</w:t>
      </w:r>
    </w:p>
    <w:p w14:paraId="2BCCA626" w14:textId="77777777" w:rsidR="009E5C98" w:rsidRPr="005055D5" w:rsidRDefault="009E5C98" w:rsidP="009E5C98">
      <w:pPr>
        <w:widowControl w:val="0"/>
        <w:autoSpaceDE w:val="0"/>
        <w:autoSpaceDN w:val="0"/>
        <w:spacing w:after="120" w:line="276" w:lineRule="auto"/>
        <w:ind w:right="113" w:firstLine="709"/>
        <w:jc w:val="both"/>
        <w:rPr>
          <w:rFonts w:ascii="Verdana" w:eastAsia="Arial" w:hAnsi="Verdana" w:cs="Arial"/>
          <w:lang w:val="es-ES" w:eastAsia="es-ES" w:bidi="es-ES"/>
        </w:rPr>
      </w:pPr>
      <w:r w:rsidRPr="005055D5">
        <w:rPr>
          <w:rFonts w:ascii="Verdana" w:eastAsia="Calibri" w:hAnsi="Verdana" w:cs="Arial"/>
        </w:rPr>
        <w:t xml:space="preserve">Por otro lado, </w:t>
      </w:r>
      <w:r w:rsidRPr="005055D5">
        <w:rPr>
          <w:rFonts w:ascii="Verdana" w:eastAsia="Calibri" w:hAnsi="Verdana" w:cs="Arial"/>
          <w:i/>
          <w:iCs/>
        </w:rPr>
        <w:t>el parágrafo del artículo 38 de la Ley 996 de 2005</w:t>
      </w:r>
      <w:r w:rsidRPr="005055D5">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5055D5">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055D5">
        <w:rPr>
          <w:rFonts w:ascii="Verdana" w:eastAsia="Calibri" w:hAnsi="Verdana" w:cs="Arial"/>
        </w:rPr>
        <w:t>”</w:t>
      </w:r>
      <w:bookmarkEnd w:id="8"/>
      <w:r w:rsidRPr="005055D5">
        <w:rPr>
          <w:rFonts w:ascii="Verdana" w:eastAsia="Calibri" w:hAnsi="Verdana" w:cs="Arial"/>
          <w:vertAlign w:val="superscript"/>
        </w:rPr>
        <w:footnoteReference w:id="8"/>
      </w:r>
      <w:r w:rsidRPr="005055D5">
        <w:rPr>
          <w:rFonts w:ascii="Verdana" w:eastAsia="Calibri" w:hAnsi="Verdana" w:cs="Arial"/>
          <w:lang w:val="es-MX"/>
        </w:rPr>
        <w:t>.</w:t>
      </w:r>
      <w:r w:rsidRPr="005055D5">
        <w:rPr>
          <w:rFonts w:ascii="Verdana" w:eastAsia="Arial" w:hAnsi="Verdana" w:cs="Arial"/>
          <w:lang w:val="es-ES" w:eastAsia="es-ES" w:bidi="es-ES"/>
        </w:rPr>
        <w:t xml:space="preserve"> </w:t>
      </w:r>
    </w:p>
    <w:p w14:paraId="650EB96C" w14:textId="77777777" w:rsidR="009E5C98" w:rsidRPr="005055D5" w:rsidRDefault="009E5C98" w:rsidP="009E5C98">
      <w:pPr>
        <w:spacing w:after="120" w:line="276" w:lineRule="auto"/>
        <w:ind w:firstLine="708"/>
        <w:jc w:val="both"/>
        <w:rPr>
          <w:rFonts w:ascii="Verdana" w:eastAsia="Times New Roman" w:hAnsi="Verdana" w:cs="Arial"/>
          <w:bCs/>
          <w:lang w:eastAsia="es-CO"/>
        </w:rPr>
      </w:pPr>
      <w:r w:rsidRPr="005055D5">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sidRPr="005055D5">
        <w:rPr>
          <w:rFonts w:ascii="Verdana" w:eastAsia="Times New Roman" w:hAnsi="Verdana" w:cs="Arial"/>
          <w:bCs/>
          <w:lang w:eastAsia="es-CO"/>
        </w:rPr>
        <w:t>1. </w:t>
      </w:r>
      <w:r w:rsidRPr="005055D5">
        <w:rPr>
          <w:rFonts w:ascii="Verdana" w:eastAsia="Times New Roman" w:hAnsi="Verdana" w:cs="Arial"/>
          <w:bCs/>
          <w:i/>
          <w:iCs/>
          <w:lang w:eastAsia="es-CO"/>
        </w:rPr>
        <w:t>Gral.</w:t>
      </w:r>
      <w:r w:rsidRPr="005055D5">
        <w:rPr>
          <w:rFonts w:ascii="Verdana" w:eastAsia="Times New Roman" w:hAnsi="Verdana" w:cs="Arial"/>
          <w:bCs/>
          <w:lang w:eastAsia="es-CO"/>
        </w:rPr>
        <w:t xml:space="preserve"> Otorgar o firmar un contrato. 2. </w:t>
      </w:r>
      <w:proofErr w:type="spellStart"/>
      <w:r w:rsidRPr="005055D5">
        <w:rPr>
          <w:rFonts w:ascii="Verdana" w:eastAsia="Times New Roman" w:hAnsi="Verdana" w:cs="Arial"/>
          <w:bCs/>
          <w:i/>
          <w:iCs/>
          <w:lang w:eastAsia="es-CO"/>
        </w:rPr>
        <w:t>Proc</w:t>
      </w:r>
      <w:proofErr w:type="spellEnd"/>
      <w:r w:rsidRPr="005055D5">
        <w:rPr>
          <w:rFonts w:ascii="Verdana" w:eastAsia="Times New Roman" w:hAnsi="Verdana" w:cs="Arial"/>
          <w:bCs/>
          <w:i/>
          <w:iCs/>
          <w:lang w:eastAsia="es-CO"/>
        </w:rPr>
        <w:t>.</w:t>
      </w:r>
      <w:r w:rsidRPr="005055D5">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00EC583A" w14:textId="77777777" w:rsidR="009E5C98" w:rsidRPr="005055D5" w:rsidRDefault="009E5C98" w:rsidP="009E5C98">
      <w:pPr>
        <w:spacing w:after="120" w:line="276" w:lineRule="auto"/>
        <w:ind w:firstLine="708"/>
        <w:jc w:val="both"/>
        <w:rPr>
          <w:rFonts w:ascii="Verdana" w:eastAsia="Times New Roman" w:hAnsi="Verdana" w:cs="Arial"/>
          <w:bCs/>
          <w:lang w:val="es-ES" w:eastAsia="es-CO"/>
        </w:rPr>
      </w:pPr>
      <w:r w:rsidRPr="005055D5">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5055D5">
        <w:rPr>
          <w:rFonts w:ascii="Verdana" w:eastAsia="Times New Roman" w:hAnsi="Verdana" w:cs="Arial"/>
          <w:bCs/>
          <w:lang w:val="es-ES" w:eastAsia="es-CO"/>
        </w:rPr>
        <w:t xml:space="preserve">la existencia de los contratos estatales, es decir, la producción de efectos jurídicos en los términos del artículo 1501 </w:t>
      </w:r>
      <w:r w:rsidRPr="005055D5">
        <w:rPr>
          <w:rFonts w:ascii="Verdana" w:eastAsia="Times New Roman" w:hAnsi="Verdana" w:cs="Arial"/>
          <w:bCs/>
          <w:i/>
          <w:lang w:val="es-ES" w:eastAsia="es-CO"/>
        </w:rPr>
        <w:t>ibidem</w:t>
      </w:r>
      <w:r w:rsidRPr="005055D5">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w:t>
      </w:r>
      <w:r w:rsidRPr="005055D5">
        <w:rPr>
          <w:rFonts w:ascii="Verdana" w:eastAsia="Times New Roman" w:hAnsi="Verdana" w:cs="Arial"/>
          <w:bCs/>
          <w:lang w:val="es-ES" w:eastAsia="es-CO"/>
        </w:rPr>
        <w:lastRenderedPageBreak/>
        <w:t xml:space="preserve">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06016371" w14:textId="77777777" w:rsidR="009E5C98" w:rsidRPr="005055D5" w:rsidRDefault="009E5C98" w:rsidP="009E5C98">
      <w:pPr>
        <w:spacing w:after="120" w:line="276" w:lineRule="auto"/>
        <w:ind w:firstLine="708"/>
        <w:jc w:val="both"/>
        <w:rPr>
          <w:rFonts w:ascii="Verdana" w:eastAsia="Times New Roman" w:hAnsi="Verdana" w:cs="Arial"/>
          <w:bCs/>
          <w:lang w:val="es-ES" w:eastAsia="es-CO"/>
        </w:rPr>
      </w:pPr>
      <w:r w:rsidRPr="005055D5">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7E50ACA2" w14:textId="77777777" w:rsidR="009E5C98" w:rsidRPr="005055D5" w:rsidRDefault="009E5C98" w:rsidP="009E5C98">
      <w:pPr>
        <w:spacing w:after="120" w:line="276" w:lineRule="auto"/>
        <w:ind w:firstLine="708"/>
        <w:jc w:val="both"/>
        <w:rPr>
          <w:rFonts w:ascii="Verdana" w:eastAsia="Times New Roman" w:hAnsi="Verdana" w:cs="Arial"/>
          <w:bCs/>
          <w:lang w:val="es-ES" w:eastAsia="es-CO"/>
        </w:rPr>
      </w:pPr>
      <w:r w:rsidRPr="005055D5">
        <w:rPr>
          <w:rFonts w:ascii="Verdana" w:eastAsia="Times New Roman" w:hAnsi="Verdana" w:cs="Arial"/>
          <w:bCs/>
          <w:lang w:val="es-ES" w:eastAsia="es-CO"/>
        </w:rPr>
        <w:t xml:space="preserve">Asimismo, </w:t>
      </w:r>
      <w:r w:rsidRPr="005055D5">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5055D5">
        <w:rPr>
          <w:rFonts w:ascii="Verdana" w:eastAsia="Times New Roman" w:hAnsi="Verdana" w:cs="Arial"/>
          <w:bCs/>
          <w:lang w:val="es-MX" w:eastAsia="es-CO"/>
        </w:rPr>
        <w:t>entrada en vigencia</w:t>
      </w:r>
      <w:proofErr w:type="gramEnd"/>
      <w:r w:rsidRPr="005055D5">
        <w:rPr>
          <w:rFonts w:ascii="Verdana" w:eastAsia="Times New Roman" w:hAnsi="Verdana" w:cs="Arial"/>
          <w:bCs/>
          <w:lang w:val="es-MX" w:eastAsia="es-CO"/>
        </w:rPr>
        <w:t xml:space="preserve"> de las prohibiciones anotadas, así como la cesión de </w:t>
      </w:r>
      <w:proofErr w:type="gramStart"/>
      <w:r w:rsidRPr="005055D5">
        <w:rPr>
          <w:rFonts w:ascii="Verdana" w:eastAsia="Times New Roman" w:hAnsi="Verdana" w:cs="Arial"/>
          <w:bCs/>
          <w:lang w:val="es-MX" w:eastAsia="es-CO"/>
        </w:rPr>
        <w:t>los mismos</w:t>
      </w:r>
      <w:proofErr w:type="gramEnd"/>
      <w:r w:rsidRPr="005055D5">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5055D5">
        <w:rPr>
          <w:rFonts w:ascii="Verdana" w:eastAsia="Times New Roman" w:hAnsi="Verdana" w:cs="Arial"/>
          <w:bCs/>
          <w:vertAlign w:val="superscript"/>
          <w:lang w:val="es-MX" w:eastAsia="es-CO"/>
        </w:rPr>
        <w:footnoteReference w:id="9"/>
      </w:r>
      <w:r w:rsidRPr="005055D5">
        <w:rPr>
          <w:rFonts w:ascii="Verdana" w:eastAsia="Times New Roman" w:hAnsi="Verdana" w:cs="Arial"/>
          <w:bCs/>
          <w:lang w:val="es-MX" w:eastAsia="es-CO"/>
        </w:rPr>
        <w:t xml:space="preserve">. </w:t>
      </w:r>
    </w:p>
    <w:p w14:paraId="77FBAC3B" w14:textId="77777777" w:rsidR="009E5C98" w:rsidRPr="005055D5" w:rsidRDefault="009E5C98" w:rsidP="009E5C98">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5055D5">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0D0B4B3F" w14:textId="77777777" w:rsidR="009E5C98" w:rsidRPr="005055D5" w:rsidRDefault="009E5C98" w:rsidP="009E5C98">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05527473" w14:textId="77777777" w:rsidR="009E5C98" w:rsidRPr="005055D5" w:rsidRDefault="009E5C98" w:rsidP="009E5C98">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5055D5">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11" w:name="_Hlk76109421"/>
      <w:r w:rsidRPr="005055D5">
        <w:rPr>
          <w:rFonts w:ascii="Verdana" w:eastAsia="Arial" w:hAnsi="Verdana" w:cs="Arial"/>
          <w:sz w:val="20"/>
          <w:szCs w:val="20"/>
          <w:lang w:eastAsia="es-ES" w:bidi="es-ES"/>
        </w:rPr>
        <w:t>se integran parcialmente</w:t>
      </w:r>
      <w:bookmarkEnd w:id="11"/>
      <w:r w:rsidRPr="005055D5">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w:t>
      </w:r>
      <w:r w:rsidRPr="005055D5">
        <w:rPr>
          <w:rFonts w:ascii="Verdana" w:eastAsia="Arial" w:hAnsi="Verdana" w:cs="Arial"/>
          <w:sz w:val="20"/>
          <w:szCs w:val="20"/>
          <w:lang w:eastAsia="es-ES" w:bidi="es-ES"/>
        </w:rPr>
        <w:lastRenderedPageBreak/>
        <w:t xml:space="preserve">restricciones de los artículos 32 y 33 con sus excepciones, así como las del parágrafo del artículo 38. En cambio, para elecciones en general, excluyendo las correspondientes a </w:t>
      </w:r>
      <w:proofErr w:type="gramStart"/>
      <w:r w:rsidRPr="005055D5">
        <w:rPr>
          <w:rFonts w:ascii="Verdana" w:eastAsia="Arial" w:hAnsi="Verdana" w:cs="Arial"/>
          <w:sz w:val="20"/>
          <w:szCs w:val="20"/>
          <w:lang w:eastAsia="es-ES" w:bidi="es-ES"/>
        </w:rPr>
        <w:t>Presidente</w:t>
      </w:r>
      <w:proofErr w:type="gramEnd"/>
      <w:r w:rsidRPr="005055D5">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5055D5">
        <w:rPr>
          <w:rFonts w:ascii="Verdana" w:eastAsia="Arial" w:hAnsi="Verdana" w:cs="Arial"/>
          <w:sz w:val="20"/>
          <w:szCs w:val="20"/>
          <w:vertAlign w:val="superscript"/>
          <w:lang w:eastAsia="es-ES" w:bidi="es-ES"/>
        </w:rPr>
        <w:footnoteReference w:id="10"/>
      </w:r>
    </w:p>
    <w:p w14:paraId="474A1AF8" w14:textId="77777777" w:rsidR="009E5C98" w:rsidRPr="005055D5" w:rsidRDefault="009E5C98" w:rsidP="009E5C98">
      <w:pPr>
        <w:widowControl w:val="0"/>
        <w:autoSpaceDE w:val="0"/>
        <w:autoSpaceDN w:val="0"/>
        <w:spacing w:after="0" w:line="276" w:lineRule="auto"/>
        <w:contextualSpacing/>
        <w:rPr>
          <w:rFonts w:ascii="Verdana" w:eastAsia="Arial" w:hAnsi="Verdana" w:cs="Arial"/>
          <w:lang w:val="es-ES" w:eastAsia="es-ES" w:bidi="es-ES"/>
        </w:rPr>
      </w:pPr>
    </w:p>
    <w:p w14:paraId="00F988F8" w14:textId="77777777" w:rsidR="009E5C98" w:rsidRPr="005055D5" w:rsidRDefault="009E5C98" w:rsidP="009E5C98">
      <w:pPr>
        <w:spacing w:after="120" w:line="276" w:lineRule="auto"/>
        <w:ind w:firstLine="709"/>
        <w:jc w:val="both"/>
        <w:rPr>
          <w:rFonts w:ascii="Verdana" w:eastAsia="Arial" w:hAnsi="Verdana" w:cs="Arial"/>
          <w:lang w:val="es-ES" w:eastAsia="es-ES" w:bidi="es-ES"/>
        </w:rPr>
      </w:pPr>
      <w:r w:rsidRPr="005055D5">
        <w:rPr>
          <w:rFonts w:ascii="Verdana" w:eastAsia="Arial" w:hAnsi="Verdana" w:cs="Arial"/>
          <w:lang w:val="es-ES" w:eastAsia="es-ES" w:bidi="es-ES"/>
        </w:rPr>
        <w:t xml:space="preserve">De conformidad con lo anterior, </w:t>
      </w:r>
      <w:bookmarkStart w:id="12" w:name="_Hlk77236420"/>
      <w:bookmarkStart w:id="13" w:name="_Hlk78818435"/>
      <w:bookmarkStart w:id="14" w:name="_Hlk75780333"/>
      <w:r w:rsidRPr="005055D5">
        <w:rPr>
          <w:rFonts w:ascii="Verdana" w:eastAsia="Arial" w:hAnsi="Verdana" w:cs="Arial"/>
          <w:lang w:val="es-ES" w:eastAsia="es-ES" w:bidi="es-ES"/>
        </w:rPr>
        <w:t xml:space="preserve">la Ley 996 de 2005 establece dos (2) tipos de restricciones en materia de contratación, las cuales coinciden parcialmente. </w:t>
      </w:r>
      <w:r w:rsidRPr="005055D5">
        <w:rPr>
          <w:rFonts w:ascii="Verdana" w:eastAsia="Arial" w:hAnsi="Verdana" w:cs="Arial"/>
          <w:i/>
          <w:lang w:val="es-ES" w:eastAsia="es-ES" w:bidi="es-ES"/>
        </w:rPr>
        <w:t>En primer lugar</w:t>
      </w:r>
      <w:r w:rsidRPr="005055D5">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5055D5">
        <w:rPr>
          <w:rFonts w:ascii="Verdana" w:eastAsia="Arial" w:hAnsi="Verdana" w:cs="Arial"/>
          <w:i/>
          <w:lang w:val="es-ES" w:eastAsia="es-ES" w:bidi="es-ES"/>
        </w:rPr>
        <w:t>En segundo lugar</w:t>
      </w:r>
      <w:r w:rsidRPr="005055D5">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2"/>
    </w:p>
    <w:bookmarkEnd w:id="13"/>
    <w:p w14:paraId="000842A7" w14:textId="77777777" w:rsidR="009E5C98" w:rsidRPr="005055D5" w:rsidRDefault="009E5C98" w:rsidP="009E5C98">
      <w:pPr>
        <w:spacing w:after="120" w:line="276" w:lineRule="auto"/>
        <w:ind w:firstLine="709"/>
        <w:jc w:val="both"/>
        <w:rPr>
          <w:rFonts w:ascii="Verdana" w:eastAsia="Arial" w:hAnsi="Verdana" w:cs="Arial"/>
          <w:lang w:val="es-ES" w:eastAsia="es-ES" w:bidi="es-ES"/>
        </w:rPr>
      </w:pPr>
      <w:r w:rsidRPr="005055D5">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5055D5">
        <w:rPr>
          <w:rFonts w:ascii="Verdana" w:eastAsia="Arial" w:hAnsi="Verdana" w:cs="Arial"/>
          <w:lang w:val="es-ES" w:eastAsia="es-ES" w:bidi="es-ES"/>
        </w:rPr>
        <w:t>Presidente</w:t>
      </w:r>
      <w:proofErr w:type="gramEnd"/>
      <w:r w:rsidRPr="005055D5">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5055D5">
        <w:rPr>
          <w:rFonts w:ascii="Verdana" w:eastAsia="Arial" w:hAnsi="Verdana" w:cs="Arial"/>
          <w:lang w:val="es-ES" w:eastAsia="es-ES" w:bidi="es-ES"/>
        </w:rPr>
        <w:t>Presidente</w:t>
      </w:r>
      <w:proofErr w:type="gramEnd"/>
      <w:r w:rsidRPr="005055D5">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4"/>
    <w:p w14:paraId="57F1A8C1" w14:textId="77777777" w:rsidR="009E5C98" w:rsidRPr="005055D5" w:rsidRDefault="009E5C98" w:rsidP="009E5C98">
      <w:pPr>
        <w:spacing w:after="0" w:line="276" w:lineRule="auto"/>
        <w:ind w:firstLine="709"/>
        <w:jc w:val="both"/>
        <w:rPr>
          <w:rFonts w:ascii="Verdana" w:eastAsia="Arial" w:hAnsi="Verdana" w:cs="Arial"/>
          <w:lang w:val="es-ES" w:eastAsia="es-ES" w:bidi="es-ES"/>
        </w:rPr>
      </w:pPr>
      <w:r w:rsidRPr="005055D5">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5055D5">
        <w:rPr>
          <w:rFonts w:ascii="Verdana" w:eastAsia="Arial" w:hAnsi="Verdana" w:cs="Arial"/>
          <w:lang w:val="es-ES" w:eastAsia="es-ES" w:bidi="es-ES"/>
        </w:rPr>
        <w:t>Presidente</w:t>
      </w:r>
      <w:proofErr w:type="gramEnd"/>
      <w:r w:rsidRPr="005055D5">
        <w:rPr>
          <w:rFonts w:ascii="Verdana" w:eastAsia="Arial" w:hAnsi="Verdana" w:cs="Arial"/>
          <w:lang w:val="es-ES" w:eastAsia="es-ES" w:bidi="es-ES"/>
        </w:rPr>
        <w:t xml:space="preserve"> o el </w:t>
      </w:r>
      <w:proofErr w:type="gramStart"/>
      <w:r w:rsidRPr="005055D5">
        <w:rPr>
          <w:rFonts w:ascii="Verdana" w:eastAsia="Arial" w:hAnsi="Verdana" w:cs="Arial"/>
          <w:lang w:val="es-ES" w:eastAsia="es-ES" w:bidi="es-ES"/>
        </w:rPr>
        <w:t>Vicepresidente</w:t>
      </w:r>
      <w:proofErr w:type="gramEnd"/>
      <w:r w:rsidRPr="005055D5">
        <w:rPr>
          <w:rFonts w:ascii="Verdana" w:eastAsia="Arial" w:hAnsi="Verdana" w:cs="Arial"/>
          <w:lang w:val="es-ES" w:eastAsia="es-ES" w:bidi="es-ES"/>
        </w:rPr>
        <w:t xml:space="preserve"> desde que éstos –estando en ejercicio de su cargo– manifiesten el interés de ser candidato </w:t>
      </w:r>
      <w:r w:rsidRPr="005055D5">
        <w:rPr>
          <w:rFonts w:ascii="Verdana" w:eastAsia="Arial" w:hAnsi="Verdana" w:cs="Arial"/>
          <w:lang w:val="es-ES" w:eastAsia="es-ES" w:bidi="es-ES"/>
        </w:rPr>
        <w:lastRenderedPageBreak/>
        <w:t xml:space="preserve">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5055D5">
        <w:rPr>
          <w:rFonts w:ascii="Verdana" w:eastAsia="Arial" w:hAnsi="Verdana" w:cs="Arial"/>
          <w:lang w:val="es-ES" w:eastAsia="es-ES" w:bidi="es-ES"/>
        </w:rPr>
        <w:t>Presidente</w:t>
      </w:r>
      <w:proofErr w:type="gramEnd"/>
      <w:r w:rsidRPr="005055D5">
        <w:rPr>
          <w:rFonts w:ascii="Verdana" w:eastAsia="Arial" w:hAnsi="Verdana" w:cs="Arial"/>
          <w:lang w:val="es-ES" w:eastAsia="es-ES" w:bidi="es-ES"/>
        </w:rPr>
        <w:t xml:space="preserve"> y el </w:t>
      </w:r>
      <w:proofErr w:type="gramStart"/>
      <w:r w:rsidRPr="005055D5">
        <w:rPr>
          <w:rFonts w:ascii="Verdana" w:eastAsia="Arial" w:hAnsi="Verdana" w:cs="Arial"/>
          <w:lang w:val="es-ES" w:eastAsia="es-ES" w:bidi="es-ES"/>
        </w:rPr>
        <w:t>Vicepresidente</w:t>
      </w:r>
      <w:proofErr w:type="gramEnd"/>
      <w:r w:rsidRPr="005055D5">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5055D5">
        <w:rPr>
          <w:rFonts w:ascii="Verdana" w:eastAsia="Arial" w:hAnsi="Verdana" w:cs="Arial"/>
          <w:lang w:val="es-ES" w:eastAsia="es-ES" w:bidi="es-ES"/>
        </w:rPr>
        <w:t>Vicepresidente</w:t>
      </w:r>
      <w:proofErr w:type="gramEnd"/>
      <w:r w:rsidRPr="005055D5">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6CE3E045" w14:textId="77777777" w:rsidR="009E5C98" w:rsidRPr="00DA73EA" w:rsidRDefault="009E5C98" w:rsidP="009E5C98">
      <w:pPr>
        <w:spacing w:after="120" w:line="276" w:lineRule="auto"/>
        <w:ind w:firstLine="709"/>
        <w:jc w:val="both"/>
        <w:rPr>
          <w:rFonts w:ascii="Verdana" w:hAnsi="Verdana" w:cs="Arial"/>
          <w:bCs/>
          <w:lang w:eastAsia="x-none"/>
        </w:rPr>
      </w:pPr>
      <w:r w:rsidRPr="00DA73EA">
        <w:rPr>
          <w:rFonts w:ascii="Verdana" w:eastAsia="Times New Roman" w:hAnsi="Verdana" w:cs="Arial"/>
          <w:bCs/>
          <w:lang w:val="es-MX" w:eastAsia="x-none"/>
        </w:rPr>
        <w:t xml:space="preserve">Teniendo en cuenta lo expuesto, </w:t>
      </w:r>
      <w:r w:rsidRPr="00DA73EA">
        <w:rPr>
          <w:rFonts w:ascii="Verdana" w:hAnsi="Verdana" w:cs="Arial"/>
          <w:bCs/>
          <w:lang w:eastAsia="x-none"/>
        </w:rPr>
        <w:t xml:space="preserve">durante la vigencia de las restricciones consagradas en el parágrafo del artículo 38 de la </w:t>
      </w:r>
      <w:r w:rsidRPr="00DA73EA">
        <w:rPr>
          <w:rFonts w:ascii="Verdana" w:eastAsia="Times New Roman" w:hAnsi="Verdana" w:cs="Arial"/>
          <w:bCs/>
          <w:lang w:eastAsia="x-none"/>
        </w:rPr>
        <w:t>Ley 996 de 2005</w:t>
      </w:r>
      <w:r w:rsidRPr="00DA73EA">
        <w:rPr>
          <w:rFonts w:ascii="Verdana" w:hAnsi="Verdana" w:cs="Arial"/>
          <w:bCs/>
          <w:lang w:eastAsia="x-none"/>
        </w:rPr>
        <w:t xml:space="preserve">, suscribir convenios interadministrativos que se originen en el desarrollo del objeto de un convenio principal cuando su formalización implique la celebración de un nuevo acuerdo para la ejecución de recursos públicos por parte de autoridades del orden territorial, en tanto la disposición establece una prohibición expresa, objetiva y temporal de </w:t>
      </w:r>
      <w:r w:rsidRPr="00DA73EA">
        <w:rPr>
          <w:rFonts w:ascii="Verdana" w:eastAsia="Times New Roman" w:hAnsi="Verdana" w:cs="Arial"/>
          <w:bCs/>
          <w:lang w:eastAsia="x-none"/>
        </w:rPr>
        <w:t>celebrar convenios interadministrativos</w:t>
      </w:r>
      <w:r w:rsidRPr="00DA73EA">
        <w:rPr>
          <w:rFonts w:ascii="Verdana" w:hAnsi="Verdana" w:cs="Arial"/>
          <w:bCs/>
          <w:lang w:eastAsia="x-none"/>
        </w:rPr>
        <w:t xml:space="preserve"> dentro de los cuatro (4) meses anteriores a cualquier elección, sin efectuar distinción alguna respecto de su modalidad, denominación o conexidad con acuerdos previamente celebrados.</w:t>
      </w:r>
    </w:p>
    <w:p w14:paraId="7D1F96D2" w14:textId="77777777" w:rsidR="009E5C98" w:rsidRPr="00DA73EA" w:rsidRDefault="009E5C98" w:rsidP="009E5C98">
      <w:pPr>
        <w:spacing w:after="120" w:line="276" w:lineRule="auto"/>
        <w:ind w:firstLine="709"/>
        <w:jc w:val="both"/>
        <w:rPr>
          <w:rFonts w:ascii="Verdana" w:eastAsia="Times New Roman" w:hAnsi="Verdana" w:cs="Arial"/>
          <w:bCs/>
          <w:lang w:eastAsia="x-none"/>
        </w:rPr>
      </w:pPr>
      <w:r w:rsidRPr="00DA73EA">
        <w:rPr>
          <w:rFonts w:ascii="Verdana" w:eastAsia="Times New Roman" w:hAnsi="Verdana" w:cs="Arial"/>
          <w:bCs/>
          <w:lang w:eastAsia="x-none"/>
        </w:rPr>
        <w:t>Dicha restricción encuentra fundamento en los artículos 2, 13, 127 y 209 de la Constitución Política, orientados a garantizar la igualdad en la contienda electoral, la moralidad administrativa, la transparencia en el manejo de los recursos públicos y la neutralidad de la función administrativa. La Corte Constitucional ha sostenido que el régimen de garantías constituye un instrumento legítimo y razonable para preservar el equilibrio democrático, evitando que la contratación estatal se utilice como mecanismo de favorecimiento político o de incidencia indebida en los procesos electorales.</w:t>
      </w:r>
    </w:p>
    <w:p w14:paraId="3FE9FBE3" w14:textId="77777777" w:rsidR="009E5C98" w:rsidRPr="00DA73EA" w:rsidRDefault="009E5C98" w:rsidP="009E5C98">
      <w:pPr>
        <w:spacing w:after="120" w:line="276" w:lineRule="auto"/>
        <w:ind w:firstLine="709"/>
        <w:jc w:val="both"/>
        <w:rPr>
          <w:rFonts w:ascii="Verdana" w:eastAsia="Times New Roman" w:hAnsi="Verdana" w:cs="Arial"/>
          <w:bCs/>
          <w:lang w:eastAsia="x-none"/>
        </w:rPr>
      </w:pPr>
      <w:r w:rsidRPr="00DA73EA">
        <w:rPr>
          <w:rFonts w:ascii="Verdana" w:eastAsia="Times New Roman" w:hAnsi="Verdana" w:cs="Arial"/>
          <w:bCs/>
          <w:lang w:eastAsia="x-none"/>
        </w:rPr>
        <w:t>Por su parte, el Consejo de Estado ha reiterado que las normas que establecen prohibiciones en materia electoral son de carácter excepcional y, por ende, de interpretación estricta. Esto significa que no pueden extenderse por analogía a supuestos no previstos por el legislador, pero tampoco pueden restringirse mediante interpretaciones que vacíen su contenido material o permitan su elusión a través de fórmulas formales.</w:t>
      </w:r>
      <w:r>
        <w:rPr>
          <w:rFonts w:ascii="Verdana" w:eastAsia="Times New Roman" w:hAnsi="Verdana" w:cs="Arial"/>
          <w:bCs/>
          <w:lang w:eastAsia="x-none"/>
        </w:rPr>
        <w:t xml:space="preserve"> </w:t>
      </w:r>
      <w:r w:rsidRPr="00DA73EA">
        <w:rPr>
          <w:rFonts w:ascii="Verdana" w:eastAsia="Times New Roman" w:hAnsi="Verdana" w:cs="Arial"/>
          <w:bCs/>
          <w:lang w:eastAsia="x-none"/>
        </w:rPr>
        <w:t xml:space="preserve">En ese orden, el análisis debe </w:t>
      </w:r>
      <w:r w:rsidRPr="00DA73EA">
        <w:rPr>
          <w:rFonts w:ascii="Verdana" w:eastAsia="Times New Roman" w:hAnsi="Verdana" w:cs="Arial"/>
          <w:bCs/>
          <w:lang w:eastAsia="x-none"/>
        </w:rPr>
        <w:lastRenderedPageBreak/>
        <w:t>ser sustancial y no meramente nominal. Si el instrumento que se pretende suscribir durante el periodo preelectoral comporta una nueva manifestación de voluntad, genera obligaciones autónomas, amplía el objeto o compromete recursos públicos adicionales, se configura materialmente la celebración de un nuevo convenio interadministrativo prohibido, aun cuando se presente como desarrollo o ejecución de uno previamente celebrado.</w:t>
      </w:r>
    </w:p>
    <w:p w14:paraId="0E710836" w14:textId="77777777" w:rsidR="009E5C98" w:rsidRDefault="009E5C98" w:rsidP="009E5C98">
      <w:pPr>
        <w:spacing w:after="120" w:line="276" w:lineRule="auto"/>
        <w:ind w:firstLine="708"/>
        <w:jc w:val="both"/>
        <w:rPr>
          <w:rFonts w:ascii="Verdana" w:eastAsiaTheme="minorEastAsia" w:hAnsi="Verdana" w:cs="Arial"/>
          <w:lang w:eastAsia="es-CO"/>
        </w:rPr>
      </w:pPr>
      <w:r>
        <w:rPr>
          <w:rFonts w:ascii="Verdana" w:eastAsiaTheme="minorEastAsia" w:hAnsi="Verdana" w:cs="Arial"/>
          <w:lang w:eastAsia="es-CO"/>
        </w:rPr>
        <w:t xml:space="preserve">En cuanto al tema específico objeto de consulta, debe advertir que la restricción establecida en el parágrafo del artículo 38 de la Ley 996 de 2005 no diferencia en su ámbito de </w:t>
      </w:r>
      <w:proofErr w:type="gramStart"/>
      <w:r>
        <w:rPr>
          <w:rFonts w:ascii="Verdana" w:eastAsiaTheme="minorEastAsia" w:hAnsi="Verdana" w:cs="Arial"/>
          <w:lang w:eastAsia="es-CO"/>
        </w:rPr>
        <w:t>aplicación  entre</w:t>
      </w:r>
      <w:proofErr w:type="gramEnd"/>
      <w:r>
        <w:rPr>
          <w:rFonts w:ascii="Verdana" w:eastAsiaTheme="minorEastAsia" w:hAnsi="Verdana" w:cs="Arial"/>
          <w:lang w:eastAsia="es-CO"/>
        </w:rPr>
        <w:t xml:space="preserve"> convenios marco y derivados, la celebración de ambos tipos de acuerdos entre entidades estatales, en los que se contemple la ejecución de recursos públicos, debe entenderse restringida para los entes territoriales y sus entidades descentralizadas. Esto con sustento en el principio interpretativo según el cual, </w:t>
      </w:r>
      <w:r w:rsidRPr="00A06E75">
        <w:rPr>
          <w:rFonts w:ascii="Verdana" w:eastAsiaTheme="minorEastAsia" w:hAnsi="Verdana" w:cs="Arial"/>
          <w:i/>
          <w:iCs/>
          <w:lang w:eastAsia="es-CO"/>
        </w:rPr>
        <w:t>donde el legislador no distingue no le está dado al interprete hacerlo.</w:t>
      </w:r>
    </w:p>
    <w:p w14:paraId="2154C3CE" w14:textId="77777777" w:rsidR="009E5C98" w:rsidRPr="00DA73EA" w:rsidRDefault="009E5C98" w:rsidP="009E5C98">
      <w:pPr>
        <w:spacing w:after="120" w:line="276" w:lineRule="auto"/>
        <w:ind w:firstLine="709"/>
        <w:jc w:val="both"/>
        <w:rPr>
          <w:rFonts w:ascii="Verdana" w:eastAsia="Times New Roman" w:hAnsi="Verdana" w:cs="Arial"/>
          <w:bCs/>
          <w:lang w:eastAsia="x-none"/>
        </w:rPr>
      </w:pPr>
      <w:r w:rsidRPr="00DA73EA">
        <w:rPr>
          <w:rFonts w:ascii="Verdana" w:eastAsia="Times New Roman" w:hAnsi="Verdana" w:cs="Arial"/>
          <w:bCs/>
          <w:lang w:eastAsia="x-none"/>
        </w:rPr>
        <w:t>En consecuencia, durante el término de restricción únicamente resultan admisibles las actuaciones estrictamente inherentes a la ejecución, cumplimiento, seguimiento o liquidación de convenios válidamente celebrados con anterioridad al inicio del periodo prohibido, siempre que no impliquen la constitución de un nuevo vínculo jurídico ni la asunción de obligaciones adicionales que desborden el marco obligacional previamente constituido.</w:t>
      </w:r>
    </w:p>
    <w:p w14:paraId="4BE8748D" w14:textId="77777777" w:rsidR="009E5C98" w:rsidRPr="005055D5" w:rsidRDefault="009E5C98" w:rsidP="009E5C98">
      <w:pPr>
        <w:spacing w:after="120" w:line="276" w:lineRule="auto"/>
        <w:jc w:val="both"/>
        <w:rPr>
          <w:rFonts w:ascii="Verdana" w:eastAsia="Arial" w:hAnsi="Verdana" w:cs="Arial"/>
          <w:bCs/>
          <w:color w:val="000000"/>
        </w:rPr>
      </w:pPr>
      <w:proofErr w:type="spellStart"/>
      <w:r w:rsidRPr="005055D5">
        <w:rPr>
          <w:rFonts w:ascii="Verdana" w:eastAsia="Arial" w:hAnsi="Verdana" w:cs="Arial"/>
          <w:lang w:val="es-ES" w:eastAsia="es-ES" w:bidi="es-ES"/>
        </w:rPr>
        <w:t>i</w:t>
      </w:r>
      <w:r>
        <w:rPr>
          <w:rFonts w:ascii="Verdana" w:eastAsia="Arial" w:hAnsi="Verdana" w:cs="Arial"/>
          <w:lang w:val="es-ES" w:eastAsia="es-ES" w:bidi="es-ES"/>
        </w:rPr>
        <w:t>ii</w:t>
      </w:r>
      <w:proofErr w:type="spellEnd"/>
      <w:r w:rsidRPr="005055D5">
        <w:rPr>
          <w:rFonts w:ascii="Verdana" w:eastAsia="Arial" w:hAnsi="Verdana" w:cs="Arial"/>
          <w:lang w:val="es-ES" w:eastAsia="es-ES" w:bidi="es-ES"/>
        </w:rPr>
        <w:t xml:space="preserve">. </w:t>
      </w:r>
      <w:r w:rsidRPr="005055D5">
        <w:rPr>
          <w:rFonts w:ascii="Verdana" w:eastAsia="Calibri" w:hAnsi="Verdana" w:cs="Arial"/>
          <w:bCs/>
          <w:color w:val="000000"/>
        </w:rPr>
        <w:t>Al margen de la explicación precedente debe advertirse que el análisis requerido para resolver problemas específicos en torno a la gestión contractual de las entidades públicas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FCC2056" w14:textId="77777777" w:rsidR="009E5C98" w:rsidRDefault="009E5C98" w:rsidP="009E5C98">
      <w:pPr>
        <w:spacing w:after="0" w:line="276" w:lineRule="auto"/>
        <w:ind w:firstLine="708"/>
        <w:jc w:val="both"/>
        <w:rPr>
          <w:rFonts w:ascii="Verdana" w:eastAsia="Calibri" w:hAnsi="Verdana" w:cs="Arial"/>
          <w:bCs/>
          <w:color w:val="000000"/>
        </w:rPr>
      </w:pPr>
      <w:r w:rsidRPr="005055D5">
        <w:rPr>
          <w:rFonts w:ascii="Verdana" w:eastAsia="Calibri" w:hAnsi="Verdana" w:cs="Arial"/>
          <w:bCs/>
          <w:color w:val="000000"/>
        </w:rPr>
        <w:t xml:space="preserve">Dentro de este marco, la entidad contratante definirá en cada caso concreto lo relacionado con el tema objeto de consulta. Al tratarse de un análisis que debe realizarse en el procedimiento contractual específico, la Agencia no </w:t>
      </w:r>
      <w:r w:rsidRPr="005055D5">
        <w:rPr>
          <w:rFonts w:ascii="Verdana" w:eastAsia="Calibri" w:hAnsi="Verdana" w:cs="Arial"/>
          <w:bCs/>
          <w:color w:val="000000"/>
        </w:rPr>
        <w:lastRenderedPageBreak/>
        <w:t>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5015849" w14:textId="77777777" w:rsidR="009E5C98" w:rsidRPr="00742A56" w:rsidRDefault="009E5C98" w:rsidP="009E5C98">
      <w:pPr>
        <w:spacing w:after="0" w:line="276" w:lineRule="auto"/>
        <w:jc w:val="both"/>
        <w:rPr>
          <w:rFonts w:ascii="Verdana" w:hAnsi="Verdana" w:cs="Arial"/>
          <w:bCs/>
          <w:color w:val="000000" w:themeColor="text1"/>
        </w:rPr>
      </w:pPr>
    </w:p>
    <w:bookmarkEnd w:id="2"/>
    <w:bookmarkEnd w:id="3"/>
    <w:p w14:paraId="5FA4C893" w14:textId="77777777" w:rsidR="009E5C98" w:rsidRPr="001F283D" w:rsidRDefault="009E5C98" w:rsidP="009E5C98">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4"/>
    <w:p w14:paraId="4FAFAA5C" w14:textId="77777777" w:rsidR="009E5C98" w:rsidRPr="00593A5F" w:rsidRDefault="009E5C98" w:rsidP="009E5C9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E5C98" w:rsidRPr="002407CE" w14:paraId="1FF1D5B4" w14:textId="77777777" w:rsidTr="00885778">
        <w:trPr>
          <w:trHeight w:val="870"/>
          <w:jc w:val="center"/>
        </w:trPr>
        <w:tc>
          <w:tcPr>
            <w:tcW w:w="8647" w:type="dxa"/>
          </w:tcPr>
          <w:p w14:paraId="21276809" w14:textId="77777777" w:rsidR="009E5C98" w:rsidRDefault="009E5C98" w:rsidP="009E5C98">
            <w:pPr>
              <w:pStyle w:val="Prrafodelista"/>
              <w:widowControl w:val="0"/>
              <w:numPr>
                <w:ilvl w:val="0"/>
                <w:numId w:val="2"/>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Constitución Política de 1991, artículos 69, 127, 190, 197 y 286.</w:t>
            </w:r>
          </w:p>
          <w:p w14:paraId="7FCEE839" w14:textId="77777777" w:rsidR="009E5C98" w:rsidRDefault="009E5C98" w:rsidP="009E5C98">
            <w:pPr>
              <w:pStyle w:val="Prrafodelista"/>
              <w:widowControl w:val="0"/>
              <w:numPr>
                <w:ilvl w:val="0"/>
                <w:numId w:val="2"/>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80 de 1993, artículos 2, 39 y 41.</w:t>
            </w:r>
          </w:p>
          <w:p w14:paraId="3FAFD36F" w14:textId="77777777" w:rsidR="009E5C98" w:rsidRDefault="009E5C98" w:rsidP="009E5C98">
            <w:pPr>
              <w:pStyle w:val="Prrafodelista"/>
              <w:widowControl w:val="0"/>
              <w:numPr>
                <w:ilvl w:val="0"/>
                <w:numId w:val="2"/>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Ley 489 de 1998, artículo 95. </w:t>
            </w:r>
          </w:p>
          <w:p w14:paraId="574F258F" w14:textId="77777777" w:rsidR="009E5C98" w:rsidRDefault="009E5C98" w:rsidP="009E5C98">
            <w:pPr>
              <w:pStyle w:val="Prrafodelista"/>
              <w:widowControl w:val="0"/>
              <w:numPr>
                <w:ilvl w:val="0"/>
                <w:numId w:val="2"/>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996 de 2005, artículos 33 y 38.</w:t>
            </w:r>
          </w:p>
          <w:p w14:paraId="1260CFCB" w14:textId="77777777" w:rsidR="009E5C98" w:rsidRDefault="009E5C98" w:rsidP="009E5C98">
            <w:pPr>
              <w:pStyle w:val="Prrafodelista"/>
              <w:widowControl w:val="0"/>
              <w:numPr>
                <w:ilvl w:val="0"/>
                <w:numId w:val="2"/>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1150 de 2007, artículo 2.</w:t>
            </w:r>
          </w:p>
          <w:p w14:paraId="2710675A" w14:textId="77777777" w:rsidR="009E5C98" w:rsidRDefault="009E5C98" w:rsidP="009E5C98">
            <w:pPr>
              <w:pStyle w:val="Prrafodelista"/>
              <w:widowControl w:val="0"/>
              <w:numPr>
                <w:ilvl w:val="0"/>
                <w:numId w:val="2"/>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Código Civil, artículos 27, 31 y 1501.</w:t>
            </w:r>
          </w:p>
          <w:p w14:paraId="3B59C1E9" w14:textId="77777777" w:rsidR="009E5C98" w:rsidRDefault="009E5C98" w:rsidP="009E5C98">
            <w:pPr>
              <w:pStyle w:val="Prrafodelista"/>
              <w:widowControl w:val="0"/>
              <w:numPr>
                <w:ilvl w:val="0"/>
                <w:numId w:val="2"/>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Decreto 1077 de 2015, artículos </w:t>
            </w:r>
            <w:r w:rsidRPr="00C9323E">
              <w:rPr>
                <w:rFonts w:ascii="Verdana" w:hAnsi="Verdana" w:cs="Arial"/>
                <w:bCs/>
              </w:rPr>
              <w:t>2.3.4.4.8. y 2.3.4.4.11.</w:t>
            </w:r>
          </w:p>
          <w:p w14:paraId="7D70D5CB" w14:textId="77777777" w:rsidR="009E5C98" w:rsidRPr="00401590" w:rsidRDefault="009E5C98" w:rsidP="009E5C98">
            <w:pPr>
              <w:pStyle w:val="Prrafodelista"/>
              <w:widowControl w:val="0"/>
              <w:numPr>
                <w:ilvl w:val="0"/>
                <w:numId w:val="2"/>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Resolución 574 de 2022. </w:t>
            </w:r>
            <w:r w:rsidRPr="00585673">
              <w:rPr>
                <w:rFonts w:ascii="Verdana" w:eastAsia="Calibri" w:hAnsi="Verdana" w:cs="Arial"/>
                <w:bCs/>
                <w:color w:val="FF0000"/>
              </w:rPr>
              <w:t xml:space="preserve"> </w:t>
            </w:r>
          </w:p>
          <w:p w14:paraId="6CC6B7E4" w14:textId="77777777" w:rsidR="009E5C98" w:rsidRPr="00401590" w:rsidRDefault="009E5C98" w:rsidP="009E5C98">
            <w:pPr>
              <w:pStyle w:val="Prrafodelista"/>
              <w:widowControl w:val="0"/>
              <w:numPr>
                <w:ilvl w:val="0"/>
                <w:numId w:val="2"/>
              </w:numPr>
              <w:autoSpaceDE w:val="0"/>
              <w:autoSpaceDN w:val="0"/>
              <w:spacing w:before="120" w:after="120" w:line="276" w:lineRule="auto"/>
              <w:contextualSpacing w:val="0"/>
              <w:jc w:val="both"/>
              <w:rPr>
                <w:rFonts w:ascii="Verdana" w:hAnsi="Verdana" w:cs="Arial"/>
              </w:rPr>
            </w:pPr>
            <w:r w:rsidRPr="00401590">
              <w:rPr>
                <w:rFonts w:ascii="Verdana" w:hAnsi="Verdana" w:cs="Arial"/>
              </w:rPr>
              <w:t xml:space="preserve">Consejo de Estado, Sala de Consulta y Servicio Civil. Concepto de 20 de febrero de 2006. C.P. Enrique José Arboleda Perdomo. Rad. 1727. </w:t>
            </w:r>
          </w:p>
          <w:p w14:paraId="1E899C71" w14:textId="77777777" w:rsidR="009E5C98" w:rsidRPr="00401590" w:rsidRDefault="009E5C98" w:rsidP="009E5C98">
            <w:pPr>
              <w:pStyle w:val="Prrafodelista"/>
              <w:widowControl w:val="0"/>
              <w:numPr>
                <w:ilvl w:val="0"/>
                <w:numId w:val="2"/>
              </w:numPr>
              <w:autoSpaceDE w:val="0"/>
              <w:autoSpaceDN w:val="0"/>
              <w:spacing w:before="120" w:after="120" w:line="276" w:lineRule="auto"/>
              <w:contextualSpacing w:val="0"/>
              <w:jc w:val="both"/>
              <w:rPr>
                <w:rFonts w:ascii="Verdana" w:hAnsi="Verdana" w:cs="Arial"/>
              </w:rPr>
            </w:pPr>
            <w:r w:rsidRPr="00401590">
              <w:rPr>
                <w:rFonts w:ascii="Verdana" w:hAnsi="Verdana" w:cs="Arial"/>
              </w:rPr>
              <w:t>Consejo de Estado, Sala de Consulta y Servicio Civil. Concepto de 6 de abril de 2006.C.P. Enrique José Arboleda Perdomo. Rad. 1738</w:t>
            </w:r>
          </w:p>
          <w:p w14:paraId="20436336" w14:textId="77777777" w:rsidR="009E5C98" w:rsidRPr="00401590" w:rsidRDefault="009E5C98" w:rsidP="009E5C98">
            <w:pPr>
              <w:pStyle w:val="Prrafodelista"/>
              <w:widowControl w:val="0"/>
              <w:numPr>
                <w:ilvl w:val="0"/>
                <w:numId w:val="2"/>
              </w:numPr>
              <w:autoSpaceDE w:val="0"/>
              <w:autoSpaceDN w:val="0"/>
              <w:spacing w:before="120" w:after="120" w:line="276" w:lineRule="auto"/>
              <w:contextualSpacing w:val="0"/>
              <w:jc w:val="both"/>
              <w:rPr>
                <w:rFonts w:ascii="Verdana" w:hAnsi="Verdana" w:cs="Arial"/>
              </w:rPr>
            </w:pPr>
            <w:r w:rsidRPr="00401590">
              <w:rPr>
                <w:rFonts w:ascii="Verdana" w:hAnsi="Verdana" w:cs="Arial"/>
              </w:rPr>
              <w:t xml:space="preserve">Consejo de Estado, Sala de Consulta y Servicio Civil de fecha 24 de julio de 2013. C. P. Álvaro Namén Vargas. Rad. 2166, </w:t>
            </w:r>
          </w:p>
          <w:p w14:paraId="5441BF05" w14:textId="77777777" w:rsidR="009E5C98" w:rsidRPr="00401590" w:rsidRDefault="009E5C98" w:rsidP="009E5C98">
            <w:pPr>
              <w:pStyle w:val="Prrafodelista"/>
              <w:widowControl w:val="0"/>
              <w:numPr>
                <w:ilvl w:val="0"/>
                <w:numId w:val="2"/>
              </w:numPr>
              <w:autoSpaceDE w:val="0"/>
              <w:autoSpaceDN w:val="0"/>
              <w:spacing w:before="120" w:after="120" w:line="276" w:lineRule="auto"/>
              <w:contextualSpacing w:val="0"/>
              <w:jc w:val="both"/>
              <w:rPr>
                <w:rFonts w:ascii="Verdana" w:hAnsi="Verdana" w:cs="Arial"/>
              </w:rPr>
            </w:pPr>
            <w:r w:rsidRPr="00401590">
              <w:rPr>
                <w:rFonts w:ascii="Verdana" w:hAnsi="Verdana" w:cs="Arial"/>
              </w:rPr>
              <w:t xml:space="preserve">Consejo de Estado. Sala de Consulta y Servicio Civil. Concepto del 2 de septiembre de 2013. C.P. Álvaro Namén </w:t>
            </w:r>
            <w:proofErr w:type="spellStart"/>
            <w:r w:rsidRPr="00401590">
              <w:rPr>
                <w:rFonts w:ascii="Verdana" w:hAnsi="Verdana" w:cs="Arial"/>
              </w:rPr>
              <w:t>Vargas.Rad</w:t>
            </w:r>
            <w:proofErr w:type="spellEnd"/>
            <w:r w:rsidRPr="00401590">
              <w:rPr>
                <w:rFonts w:ascii="Verdana" w:hAnsi="Verdana" w:cs="Arial"/>
              </w:rPr>
              <w:t xml:space="preserve">. 2168. </w:t>
            </w:r>
          </w:p>
          <w:p w14:paraId="794A09B1" w14:textId="77777777" w:rsidR="009E5C98" w:rsidRPr="00401590" w:rsidRDefault="009E5C98" w:rsidP="009E5C98">
            <w:pPr>
              <w:pStyle w:val="Prrafodelista"/>
              <w:widowControl w:val="0"/>
              <w:numPr>
                <w:ilvl w:val="0"/>
                <w:numId w:val="2"/>
              </w:numPr>
              <w:autoSpaceDE w:val="0"/>
              <w:autoSpaceDN w:val="0"/>
              <w:spacing w:before="120" w:after="120" w:line="276" w:lineRule="auto"/>
              <w:contextualSpacing w:val="0"/>
              <w:jc w:val="both"/>
              <w:rPr>
                <w:rFonts w:ascii="Verdana" w:hAnsi="Verdana" w:cs="Arial"/>
              </w:rPr>
            </w:pPr>
            <w:r w:rsidRPr="00401590">
              <w:rPr>
                <w:rFonts w:ascii="Verdana" w:hAnsi="Verdana" w:cs="Arial"/>
              </w:rPr>
              <w:t>Consejo de Estado. Sala de Consulta y Servicio Civil. Concepto del 17 de febrero de 2015. C.P. William Zambrano Cetina. Rad. 2269.</w:t>
            </w:r>
          </w:p>
          <w:p w14:paraId="2862B434" w14:textId="77777777" w:rsidR="009E5C98" w:rsidRPr="00401590" w:rsidRDefault="009E5C98" w:rsidP="009E5C98">
            <w:pPr>
              <w:pStyle w:val="Prrafodelista"/>
              <w:widowControl w:val="0"/>
              <w:numPr>
                <w:ilvl w:val="0"/>
                <w:numId w:val="2"/>
              </w:numPr>
              <w:autoSpaceDE w:val="0"/>
              <w:autoSpaceDN w:val="0"/>
              <w:spacing w:before="120" w:after="120" w:line="276" w:lineRule="auto"/>
              <w:contextualSpacing w:val="0"/>
              <w:jc w:val="both"/>
              <w:rPr>
                <w:rFonts w:ascii="Verdana" w:hAnsi="Verdana" w:cs="Arial"/>
              </w:rPr>
            </w:pPr>
            <w:r w:rsidRPr="00401590">
              <w:rPr>
                <w:rFonts w:ascii="Verdana" w:hAnsi="Verdana" w:cs="Arial"/>
              </w:rPr>
              <w:t>Consejo de Estado, Sala de Consulta y Servicio Civil, Concepto de 8 de mayo de 2018. C.P. Álvaro Namén Vargas. Rad. 2382.</w:t>
            </w:r>
          </w:p>
          <w:p w14:paraId="6DA7EDC1" w14:textId="77777777" w:rsidR="009E5C98" w:rsidRPr="00401590" w:rsidRDefault="009E5C98" w:rsidP="009E5C98">
            <w:pPr>
              <w:pStyle w:val="Prrafodelista"/>
              <w:widowControl w:val="0"/>
              <w:numPr>
                <w:ilvl w:val="0"/>
                <w:numId w:val="2"/>
              </w:numPr>
              <w:autoSpaceDE w:val="0"/>
              <w:autoSpaceDN w:val="0"/>
              <w:spacing w:before="120" w:after="120" w:line="276" w:lineRule="auto"/>
              <w:contextualSpacing w:val="0"/>
              <w:jc w:val="both"/>
              <w:rPr>
                <w:rFonts w:ascii="Verdana" w:hAnsi="Verdana" w:cs="Arial"/>
              </w:rPr>
            </w:pPr>
            <w:r w:rsidRPr="00401590">
              <w:rPr>
                <w:rFonts w:ascii="Verdana" w:hAnsi="Verdana" w:cs="Arial"/>
              </w:rPr>
              <w:lastRenderedPageBreak/>
              <w:t>Consejo de Estado. Sección Tercera, Subsección A. Sentencia del 14 de junio de 2019, C.P.: Marta Nubia Velásquez Rico. Rad.: 25000-23-37-000-2010-02552-01 (AP).</w:t>
            </w:r>
          </w:p>
          <w:p w14:paraId="5E58EE29" w14:textId="77777777" w:rsidR="009E5C98" w:rsidRPr="00401590" w:rsidRDefault="009E5C98" w:rsidP="009E5C98">
            <w:pPr>
              <w:pStyle w:val="Prrafodelista"/>
              <w:widowControl w:val="0"/>
              <w:numPr>
                <w:ilvl w:val="0"/>
                <w:numId w:val="2"/>
              </w:numPr>
              <w:autoSpaceDE w:val="0"/>
              <w:autoSpaceDN w:val="0"/>
              <w:spacing w:before="120" w:after="120" w:line="276" w:lineRule="auto"/>
              <w:contextualSpacing w:val="0"/>
              <w:jc w:val="both"/>
              <w:rPr>
                <w:rFonts w:ascii="Verdana" w:hAnsi="Verdana" w:cs="Arial"/>
              </w:rPr>
            </w:pPr>
            <w:r w:rsidRPr="00401590">
              <w:rPr>
                <w:rFonts w:ascii="Verdana" w:hAnsi="Verdana" w:cs="Arial"/>
              </w:rPr>
              <w:t xml:space="preserve">Consejo de Estado, Sección Tercera, Subsección A. Sentencia del 16 de agosto de 2022, C.P.: María Adriana Marín. </w:t>
            </w:r>
            <w:proofErr w:type="spellStart"/>
            <w:r w:rsidRPr="00401590">
              <w:rPr>
                <w:rFonts w:ascii="Verdana" w:hAnsi="Verdana" w:cs="Arial"/>
              </w:rPr>
              <w:t>Exp</w:t>
            </w:r>
            <w:proofErr w:type="spellEnd"/>
            <w:r w:rsidRPr="00401590">
              <w:rPr>
                <w:rFonts w:ascii="Verdana" w:hAnsi="Verdana" w:cs="Arial"/>
              </w:rPr>
              <w:t>. 60434.</w:t>
            </w:r>
          </w:p>
          <w:p w14:paraId="14B58E36" w14:textId="77777777" w:rsidR="009E5C98" w:rsidRPr="00401590" w:rsidRDefault="009E5C98" w:rsidP="009E5C98">
            <w:pPr>
              <w:pStyle w:val="Prrafodelista"/>
              <w:widowControl w:val="0"/>
              <w:numPr>
                <w:ilvl w:val="0"/>
                <w:numId w:val="2"/>
              </w:numPr>
              <w:autoSpaceDE w:val="0"/>
              <w:autoSpaceDN w:val="0"/>
              <w:spacing w:before="120" w:after="120" w:line="276" w:lineRule="auto"/>
              <w:contextualSpacing w:val="0"/>
              <w:jc w:val="both"/>
              <w:rPr>
                <w:rFonts w:ascii="Verdana" w:hAnsi="Verdana" w:cs="Arial"/>
              </w:rPr>
            </w:pPr>
            <w:r w:rsidRPr="00401590">
              <w:rPr>
                <w:rFonts w:ascii="Verdana" w:hAnsi="Verdana" w:cs="Arial"/>
              </w:rPr>
              <w:t xml:space="preserve">Consejo de Estado, Sección Tercera, Subsección B. Auto del 4 de octubre de 2024. C.P: Fredy Ibarra Martínez. </w:t>
            </w:r>
            <w:proofErr w:type="spellStart"/>
            <w:r w:rsidRPr="00401590">
              <w:rPr>
                <w:rFonts w:ascii="Verdana" w:hAnsi="Verdana" w:cs="Arial"/>
              </w:rPr>
              <w:t>Exp</w:t>
            </w:r>
            <w:proofErr w:type="spellEnd"/>
            <w:r w:rsidRPr="00401590">
              <w:rPr>
                <w:rFonts w:ascii="Verdana" w:hAnsi="Verdana" w:cs="Arial"/>
              </w:rPr>
              <w:t>. 70.313.</w:t>
            </w:r>
          </w:p>
          <w:p w14:paraId="141D7600" w14:textId="77777777" w:rsidR="009E5C98" w:rsidRPr="00401590" w:rsidRDefault="009E5C98" w:rsidP="009E5C98">
            <w:pPr>
              <w:pStyle w:val="Prrafodelista"/>
              <w:widowControl w:val="0"/>
              <w:numPr>
                <w:ilvl w:val="0"/>
                <w:numId w:val="2"/>
              </w:numPr>
              <w:autoSpaceDE w:val="0"/>
              <w:autoSpaceDN w:val="0"/>
              <w:spacing w:before="120" w:after="120" w:line="276" w:lineRule="auto"/>
              <w:contextualSpacing w:val="0"/>
              <w:jc w:val="both"/>
              <w:rPr>
                <w:rFonts w:ascii="Verdana" w:hAnsi="Verdana" w:cs="Arial"/>
              </w:rPr>
            </w:pPr>
            <w:r w:rsidRPr="00401590">
              <w:rPr>
                <w:rFonts w:ascii="Verdana" w:hAnsi="Verdana" w:cs="Arial"/>
              </w:rPr>
              <w:t xml:space="preserve">Consejo de Estado, Sección Tercera, Subsección A. Sentencia del 25 de mayo de 2025. C.P. María Adriana Marín Hernández. </w:t>
            </w:r>
            <w:proofErr w:type="spellStart"/>
            <w:r w:rsidRPr="00401590">
              <w:rPr>
                <w:rFonts w:ascii="Verdana" w:hAnsi="Verdana" w:cs="Arial"/>
              </w:rPr>
              <w:t>Exp</w:t>
            </w:r>
            <w:proofErr w:type="spellEnd"/>
            <w:r w:rsidRPr="00401590">
              <w:rPr>
                <w:rFonts w:ascii="Verdana" w:hAnsi="Verdana" w:cs="Arial"/>
              </w:rPr>
              <w:t>. 70.504.</w:t>
            </w:r>
          </w:p>
          <w:p w14:paraId="4944A34F" w14:textId="77777777" w:rsidR="009E5C98" w:rsidRPr="00401590" w:rsidRDefault="009E5C98" w:rsidP="009E5C98">
            <w:pPr>
              <w:pStyle w:val="Prrafodelista"/>
              <w:widowControl w:val="0"/>
              <w:numPr>
                <w:ilvl w:val="0"/>
                <w:numId w:val="2"/>
              </w:numPr>
              <w:autoSpaceDE w:val="0"/>
              <w:autoSpaceDN w:val="0"/>
              <w:spacing w:before="120" w:after="120" w:line="276" w:lineRule="auto"/>
              <w:contextualSpacing w:val="0"/>
              <w:jc w:val="both"/>
              <w:rPr>
                <w:rFonts w:ascii="Verdana" w:hAnsi="Verdana" w:cs="Arial"/>
              </w:rPr>
            </w:pPr>
            <w:r w:rsidRPr="00401590">
              <w:rPr>
                <w:rFonts w:ascii="Verdana" w:hAnsi="Verdana" w:cs="Arial"/>
              </w:rPr>
              <w:t>Consejo de Estado, Sección Tercera. Subsección B. Sentencia 17 de octubre de 2025. C.P. Fredy Ibarra Martínez</w:t>
            </w:r>
          </w:p>
          <w:p w14:paraId="6939E836" w14:textId="77777777" w:rsidR="009E5C98" w:rsidRPr="00401590" w:rsidRDefault="009E5C98" w:rsidP="009E5C98">
            <w:pPr>
              <w:pStyle w:val="Prrafodelista"/>
              <w:widowControl w:val="0"/>
              <w:numPr>
                <w:ilvl w:val="0"/>
                <w:numId w:val="2"/>
              </w:numPr>
              <w:autoSpaceDE w:val="0"/>
              <w:autoSpaceDN w:val="0"/>
              <w:spacing w:before="120" w:after="120" w:line="276" w:lineRule="auto"/>
              <w:contextualSpacing w:val="0"/>
              <w:jc w:val="both"/>
              <w:rPr>
                <w:rFonts w:ascii="Verdana" w:hAnsi="Verdana" w:cs="Arial"/>
              </w:rPr>
            </w:pPr>
            <w:r w:rsidRPr="00BF5885">
              <w:rPr>
                <w:rFonts w:ascii="Verdana" w:hAnsi="Verdana" w:cs="Arial"/>
                <w:lang w:val="pt-BR"/>
              </w:rPr>
              <w:t xml:space="preserve">Corte Constitucional. Sentencia C-671 de 2005. </w:t>
            </w:r>
            <w:r w:rsidRPr="00401590">
              <w:rPr>
                <w:rFonts w:ascii="Verdana" w:hAnsi="Verdana" w:cs="Arial"/>
              </w:rPr>
              <w:t xml:space="preserve">M.P. Álvaro Tafur Galvis. </w:t>
            </w:r>
          </w:p>
          <w:p w14:paraId="6D8E49A3" w14:textId="77777777" w:rsidR="009E5C98" w:rsidRPr="00401590" w:rsidRDefault="009E5C98" w:rsidP="009E5C98">
            <w:pPr>
              <w:pStyle w:val="Prrafodelista"/>
              <w:widowControl w:val="0"/>
              <w:numPr>
                <w:ilvl w:val="0"/>
                <w:numId w:val="2"/>
              </w:numPr>
              <w:autoSpaceDE w:val="0"/>
              <w:autoSpaceDN w:val="0"/>
              <w:spacing w:before="120" w:after="120" w:line="276" w:lineRule="auto"/>
              <w:contextualSpacing w:val="0"/>
              <w:jc w:val="both"/>
              <w:rPr>
                <w:rFonts w:ascii="Verdana" w:hAnsi="Verdana" w:cs="Arial"/>
              </w:rPr>
            </w:pPr>
            <w:r w:rsidRPr="00401590">
              <w:rPr>
                <w:rFonts w:ascii="Verdana" w:hAnsi="Verdana" w:cs="Arial"/>
              </w:rPr>
              <w:t>Corte Constitucional, Sentencia C- 1153 de 2005, M.P. Marco Gerardo Monroy Cabra.</w:t>
            </w:r>
          </w:p>
          <w:p w14:paraId="06ABF33F" w14:textId="77777777" w:rsidR="009E5C98" w:rsidRPr="00401590" w:rsidRDefault="009E5C98" w:rsidP="009E5C98">
            <w:pPr>
              <w:pStyle w:val="Prrafodelista"/>
              <w:widowControl w:val="0"/>
              <w:numPr>
                <w:ilvl w:val="0"/>
                <w:numId w:val="2"/>
              </w:numPr>
              <w:autoSpaceDE w:val="0"/>
              <w:autoSpaceDN w:val="0"/>
              <w:spacing w:before="120" w:after="120" w:line="276" w:lineRule="auto"/>
              <w:contextualSpacing w:val="0"/>
              <w:jc w:val="both"/>
              <w:rPr>
                <w:rFonts w:ascii="Verdana" w:hAnsi="Verdana" w:cs="Arial"/>
              </w:rPr>
            </w:pPr>
            <w:r w:rsidRPr="00401590">
              <w:rPr>
                <w:rFonts w:ascii="Verdana" w:hAnsi="Verdana" w:cs="Arial"/>
              </w:rPr>
              <w:t xml:space="preserve">CHAVÉZ MARÍN, Augusto Ramón. Los convenios de la Administración. Entre la gestión pública y la actividad contractual. Bogotá: Temis, 2020. </w:t>
            </w:r>
          </w:p>
          <w:p w14:paraId="0D9F6346" w14:textId="77777777" w:rsidR="009E5C98" w:rsidRPr="00401590" w:rsidRDefault="009E5C98" w:rsidP="009E5C98">
            <w:pPr>
              <w:pStyle w:val="Prrafodelista"/>
              <w:widowControl w:val="0"/>
              <w:numPr>
                <w:ilvl w:val="0"/>
                <w:numId w:val="2"/>
              </w:numPr>
              <w:autoSpaceDE w:val="0"/>
              <w:autoSpaceDN w:val="0"/>
              <w:spacing w:before="120" w:after="120" w:line="276" w:lineRule="auto"/>
              <w:contextualSpacing w:val="0"/>
              <w:jc w:val="both"/>
              <w:rPr>
                <w:rFonts w:ascii="Verdana" w:hAnsi="Verdana" w:cs="Arial"/>
              </w:rPr>
            </w:pPr>
            <w:r w:rsidRPr="00401590">
              <w:rPr>
                <w:rFonts w:ascii="Verdana" w:hAnsi="Verdana" w:cs="Arial"/>
              </w:rPr>
              <w:t>CLARO SOLAR, Luis. Explicaciones de derecho civil chileno y comparado. Volumen I. Tomo I. Santiago: Editorial Jurídica de Chile, 2013. p. 119. Énfasis dentro del texto).</w:t>
            </w:r>
          </w:p>
          <w:p w14:paraId="36B02E6D" w14:textId="77777777" w:rsidR="009E5C98" w:rsidRPr="004C1C8E" w:rsidRDefault="009E5C98" w:rsidP="009E5C98">
            <w:pPr>
              <w:pStyle w:val="Prrafodelista"/>
              <w:widowControl w:val="0"/>
              <w:numPr>
                <w:ilvl w:val="0"/>
                <w:numId w:val="2"/>
              </w:numPr>
              <w:autoSpaceDE w:val="0"/>
              <w:autoSpaceDN w:val="0"/>
              <w:spacing w:after="120" w:line="276" w:lineRule="auto"/>
              <w:ind w:left="714" w:hanging="357"/>
              <w:contextualSpacing w:val="0"/>
              <w:jc w:val="both"/>
              <w:rPr>
                <w:rFonts w:ascii="Verdana" w:hAnsi="Verdana" w:cs="Arial"/>
                <w:color w:val="000000" w:themeColor="text1"/>
              </w:rPr>
            </w:pPr>
            <w:r w:rsidRPr="00401590">
              <w:rPr>
                <w:rFonts w:ascii="Verdana" w:hAnsi="Verdana" w:cs="Arial"/>
              </w:rPr>
              <w:t>SANTOS RODRÍGUEZ, Jorge Enrique. Consideraciones sobre los contratos y convenios interadministrativos. En: Revista Digital de Derecho Administrativo, 2008.</w:t>
            </w:r>
          </w:p>
        </w:tc>
      </w:tr>
    </w:tbl>
    <w:p w14:paraId="1BA02685" w14:textId="77777777" w:rsidR="009E5C98" w:rsidRPr="00277E26" w:rsidRDefault="009E5C98" w:rsidP="009E5C98">
      <w:pPr>
        <w:widowControl w:val="0"/>
        <w:autoSpaceDE w:val="0"/>
        <w:autoSpaceDN w:val="0"/>
        <w:spacing w:after="0" w:line="276" w:lineRule="auto"/>
        <w:jc w:val="both"/>
        <w:rPr>
          <w:rFonts w:ascii="Verdana" w:hAnsi="Verdana" w:cs="Arial"/>
        </w:rPr>
      </w:pPr>
    </w:p>
    <w:p w14:paraId="69F284C5" w14:textId="77777777" w:rsidR="009E5C98" w:rsidRDefault="009E5C98" w:rsidP="009E5C98">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17DC6C36" w14:textId="77777777" w:rsidR="009E5C98" w:rsidRPr="00B515A7" w:rsidRDefault="009E5C98" w:rsidP="009E5C98">
      <w:pPr>
        <w:tabs>
          <w:tab w:val="left" w:pos="142"/>
          <w:tab w:val="left" w:pos="284"/>
        </w:tabs>
        <w:spacing w:after="0" w:line="276" w:lineRule="auto"/>
        <w:jc w:val="both"/>
        <w:rPr>
          <w:rFonts w:ascii="Verdana" w:eastAsia="Century Gothic" w:hAnsi="Verdana" w:cs="Century Gothic"/>
          <w:b/>
          <w:bCs/>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w:t>
      </w:r>
      <w:r w:rsidRPr="00177E85">
        <w:rPr>
          <w:rFonts w:ascii="Verdana" w:hAnsi="Verdana" w:cs="Arial"/>
          <w:shd w:val="clear" w:color="auto" w:fill="FFFFFF"/>
        </w:rPr>
        <w:lastRenderedPageBreak/>
        <w:t xml:space="preserve">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C-1343 del 20 de octubre de 2025, C-1350 del 1˚ de octubre de 2025, C-1401 del 22 de octubre de 2025, C-1512 del 27 de octubre de 2025, C-1488 del 30 de octubre de 2025, C-1596 del 6 de noviembre de 2025, C-1509 del 19 de noviembre de 2025, C-1773 del 5 de diciembre de 2025, C-1646 del 17 de diciembre de 2025, C-1703 del 29 de diciembre de 2025, C-068 del 27 de enero de 2026</w:t>
      </w:r>
      <w:r>
        <w:rPr>
          <w:rFonts w:ascii="Verdana" w:hAnsi="Verdana"/>
        </w:rPr>
        <w:t>.</w:t>
      </w:r>
      <w:r>
        <w:rPr>
          <w:rFonts w:ascii="Verdana" w:hAnsi="Verdana" w:cs="Arial"/>
          <w:shd w:val="clear" w:color="auto" w:fill="FFFFFF"/>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E3003A5" w14:textId="77777777" w:rsidR="009E5C98" w:rsidRPr="00185EE9" w:rsidRDefault="009E5C98" w:rsidP="009E5C98">
      <w:pPr>
        <w:spacing w:after="0" w:line="256" w:lineRule="auto"/>
        <w:jc w:val="both"/>
        <w:rPr>
          <w:rFonts w:ascii="Verdana" w:eastAsia="Calibri" w:hAnsi="Verdana" w:cs="Times New Roman"/>
        </w:rPr>
      </w:pPr>
      <w:hyperlink r:id="rId9"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1308BB58" w14:textId="77777777" w:rsidR="009E5C98" w:rsidRPr="00900D7D" w:rsidRDefault="009E5C98" w:rsidP="009E5C98">
      <w:pPr>
        <w:widowControl w:val="0"/>
        <w:autoSpaceDE w:val="0"/>
        <w:autoSpaceDN w:val="0"/>
        <w:spacing w:after="120" w:line="276" w:lineRule="auto"/>
        <w:jc w:val="both"/>
        <w:rPr>
          <w:rFonts w:ascii="Verdana" w:eastAsia="Calibri" w:hAnsi="Verdana" w:cs="Arial"/>
          <w:color w:val="000000" w:themeColor="text1"/>
          <w:lang w:eastAsia="es-ES_tradnl"/>
        </w:rPr>
      </w:pPr>
    </w:p>
    <w:p w14:paraId="5107CFBF" w14:textId="77777777" w:rsidR="009E5C98" w:rsidRPr="00237766" w:rsidRDefault="009E5C98" w:rsidP="009E5C98">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3B9B5BE" w14:textId="77777777" w:rsidR="009E5C98" w:rsidRPr="008E4F36" w:rsidRDefault="009E5C98" w:rsidP="009E5C98">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767E0E51" w14:textId="77777777" w:rsidR="009E5C98" w:rsidRPr="008E4F36" w:rsidRDefault="009E5C98" w:rsidP="009E5C98">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5CF82087" w14:textId="77777777" w:rsidR="009E5C98" w:rsidRPr="008E4F36" w:rsidRDefault="009E5C98" w:rsidP="009E5C98">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3604B27C" w14:textId="77777777" w:rsidR="009E5C98" w:rsidRPr="008E4F36" w:rsidRDefault="009E5C98" w:rsidP="009E5C98">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0" w:history="1">
        <w:r w:rsidRPr="008E4F36">
          <w:rPr>
            <w:rStyle w:val="Hipervnculo"/>
            <w:rFonts w:ascii="Verdana" w:hAnsi="Verdana"/>
          </w:rPr>
          <w:t>www.colombiacompra.gov.co</w:t>
        </w:r>
      </w:hyperlink>
    </w:p>
    <w:p w14:paraId="6D4017E9" w14:textId="77777777" w:rsidR="009E5C98" w:rsidRPr="008E4F36" w:rsidRDefault="009E5C98" w:rsidP="009E5C98">
      <w:pPr>
        <w:spacing w:before="120" w:after="0" w:line="276" w:lineRule="auto"/>
        <w:jc w:val="both"/>
        <w:rPr>
          <w:rFonts w:ascii="Verdana" w:hAnsi="Verdana"/>
        </w:rPr>
      </w:pPr>
      <w:r w:rsidRPr="008E4F36">
        <w:rPr>
          <w:rFonts w:ascii="Verdana" w:hAnsi="Verdana"/>
        </w:rPr>
        <w:lastRenderedPageBreak/>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4EE22FD1" w14:textId="77777777" w:rsidR="009E5C98" w:rsidRPr="008E4F36" w:rsidRDefault="009E5C98" w:rsidP="009E5C98">
      <w:pPr>
        <w:spacing w:after="0" w:line="276" w:lineRule="auto"/>
        <w:jc w:val="both"/>
        <w:rPr>
          <w:rFonts w:ascii="Verdana" w:hAnsi="Verdana"/>
        </w:rPr>
      </w:pPr>
    </w:p>
    <w:p w14:paraId="56514D99" w14:textId="77777777" w:rsidR="009E5C98" w:rsidRPr="008E4F36" w:rsidRDefault="009E5C98" w:rsidP="009E5C98">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081ADD46" w14:textId="77777777" w:rsidR="009E5C98" w:rsidRPr="008E4F36" w:rsidRDefault="009E5C98" w:rsidP="009E5C98">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09A76F1F" w14:textId="77777777" w:rsidR="009E5C98" w:rsidRPr="008E4F36" w:rsidRDefault="009E5C98" w:rsidP="009E5C98">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775E9D93" w14:textId="77777777" w:rsidR="009E5C98" w:rsidRDefault="009E5C98" w:rsidP="009E5C98">
      <w:pPr>
        <w:spacing w:before="120" w:after="0" w:line="276" w:lineRule="auto"/>
        <w:jc w:val="both"/>
        <w:rPr>
          <w:rFonts w:ascii="Verdana" w:hAnsi="Verdana"/>
        </w:rPr>
      </w:pPr>
    </w:p>
    <w:p w14:paraId="03CFFBC7" w14:textId="77777777" w:rsidR="009E5C98" w:rsidRPr="00FB6C33" w:rsidRDefault="009E5C98" w:rsidP="009E5C98">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CFAC002" w14:textId="77777777" w:rsidR="009E5C98" w:rsidRPr="008E4F36" w:rsidRDefault="009E5C98" w:rsidP="009E5C98">
      <w:pPr>
        <w:spacing w:after="0" w:line="276" w:lineRule="auto"/>
        <w:jc w:val="both"/>
        <w:rPr>
          <w:rFonts w:ascii="Verdana" w:eastAsia="Calibri" w:hAnsi="Verdana" w:cs="Times New Roman"/>
        </w:rPr>
      </w:pPr>
    </w:p>
    <w:p w14:paraId="1AA4E7D8" w14:textId="77777777" w:rsidR="009E5C98" w:rsidRDefault="009E5C98" w:rsidP="009E5C98">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27E41FEC" w14:textId="563AD09A" w:rsidR="009E5C98" w:rsidRPr="00F55E62" w:rsidRDefault="00F55E62" w:rsidP="00F55E62">
      <w:pPr>
        <w:spacing w:after="0" w:line="256" w:lineRule="auto"/>
        <w:jc w:val="center"/>
        <w:rPr>
          <w:noProof/>
        </w:rPr>
      </w:pPr>
      <w:r w:rsidRPr="002C3AD6">
        <w:rPr>
          <w:rFonts w:ascii="Century Gothic" w:hAnsi="Century Gothic"/>
          <w:noProof/>
          <w:lang w:val="en-US"/>
        </w:rPr>
        <w:drawing>
          <wp:inline distT="0" distB="0" distL="0" distR="0" wp14:anchorId="1DC44BFC" wp14:editId="0EA3CDEE">
            <wp:extent cx="3279140" cy="1298864"/>
            <wp:effectExtent l="0" t="0" r="0" b="0"/>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1"/>
                    <a:stretch>
                      <a:fillRect/>
                    </a:stretch>
                  </pic:blipFill>
                  <pic:spPr>
                    <a:xfrm>
                      <a:off x="0" y="0"/>
                      <a:ext cx="3314806" cy="1312991"/>
                    </a:xfrm>
                    <a:prstGeom prst="rect">
                      <a:avLst/>
                    </a:prstGeom>
                  </pic:spPr>
                </pic:pic>
              </a:graphicData>
            </a:graphic>
          </wp:inline>
        </w:drawing>
      </w:r>
      <w:bookmarkEnd w:id="0"/>
      <w:bookmarkEnd w:id="1"/>
    </w:p>
    <w:p w14:paraId="75A96956" w14:textId="77777777" w:rsidR="009E5C98" w:rsidRDefault="009E5C98" w:rsidP="009E5C98">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E5C98" w:rsidRPr="002423D6" w14:paraId="4F63E6B6" w14:textId="77777777" w:rsidTr="00885778">
        <w:trPr>
          <w:trHeight w:val="315"/>
        </w:trPr>
        <w:tc>
          <w:tcPr>
            <w:tcW w:w="893" w:type="dxa"/>
            <w:vAlign w:val="center"/>
            <w:hideMark/>
          </w:tcPr>
          <w:p w14:paraId="7F3B08D1" w14:textId="77777777" w:rsidR="009E5C98" w:rsidRPr="002423D6" w:rsidRDefault="009E5C98" w:rsidP="00885778">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6CE2E71" w14:textId="77777777" w:rsidR="009E5C98" w:rsidRPr="002423D6" w:rsidRDefault="009E5C98" w:rsidP="00885778">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Andreina Cerpa Muñoz</w:t>
            </w:r>
            <w:r w:rsidRPr="002423D6">
              <w:rPr>
                <w:rFonts w:ascii="Verdana" w:eastAsia="Arial" w:hAnsi="Verdana" w:cs="Arial"/>
                <w:color w:val="000000" w:themeColor="text1"/>
                <w:sz w:val="16"/>
                <w:szCs w:val="16"/>
              </w:rPr>
              <w:t xml:space="preserve"> </w:t>
            </w:r>
          </w:p>
          <w:p w14:paraId="7ED869E8" w14:textId="77777777" w:rsidR="009E5C98" w:rsidRPr="002423D6" w:rsidRDefault="009E5C98" w:rsidP="00885778">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9E5C98" w:rsidRPr="002423D6" w14:paraId="42B050AF" w14:textId="77777777" w:rsidTr="00885778">
        <w:trPr>
          <w:trHeight w:val="330"/>
        </w:trPr>
        <w:tc>
          <w:tcPr>
            <w:tcW w:w="893" w:type="dxa"/>
            <w:vAlign w:val="center"/>
            <w:hideMark/>
          </w:tcPr>
          <w:p w14:paraId="4696B0A7" w14:textId="77777777" w:rsidR="009E5C98" w:rsidRPr="002423D6" w:rsidRDefault="009E5C98" w:rsidP="00885778">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E03DD06" w14:textId="77777777" w:rsidR="009E5C98" w:rsidRPr="002423D6" w:rsidRDefault="009E5C98" w:rsidP="00885778">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Alejandro Sarmiento Cantillo </w:t>
            </w:r>
          </w:p>
          <w:p w14:paraId="1542E74E" w14:textId="77777777" w:rsidR="009E5C98" w:rsidRPr="002423D6" w:rsidRDefault="009E5C98" w:rsidP="00885778">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 xml:space="preserve">Gestor </w:t>
            </w:r>
            <w:r w:rsidRPr="00250F55">
              <w:rPr>
                <w:rFonts w:ascii="Verdana" w:hAnsi="Verdana" w:cs="Arial"/>
                <w:color w:val="000000" w:themeColor="text1"/>
                <w:sz w:val="16"/>
                <w:szCs w:val="16"/>
              </w:rPr>
              <w:t>T1</w:t>
            </w:r>
            <w:r>
              <w:rPr>
                <w:rFonts w:ascii="Verdana" w:hAnsi="Verdana" w:cs="Arial"/>
                <w:color w:val="000000" w:themeColor="text1"/>
                <w:sz w:val="16"/>
                <w:szCs w:val="16"/>
              </w:rPr>
              <w:t>-</w:t>
            </w:r>
            <w:r w:rsidRPr="00250F55">
              <w:rPr>
                <w:rFonts w:ascii="Verdana" w:hAnsi="Verdana" w:cs="Arial"/>
                <w:color w:val="000000" w:themeColor="text1"/>
                <w:sz w:val="16"/>
                <w:szCs w:val="16"/>
              </w:rPr>
              <w:t>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9E5C98" w:rsidRPr="002423D6" w14:paraId="69AF6A59" w14:textId="77777777" w:rsidTr="00885778">
        <w:trPr>
          <w:trHeight w:val="300"/>
        </w:trPr>
        <w:tc>
          <w:tcPr>
            <w:tcW w:w="893" w:type="dxa"/>
            <w:vAlign w:val="center"/>
          </w:tcPr>
          <w:p w14:paraId="01143001" w14:textId="77777777" w:rsidR="009E5C98" w:rsidRPr="002423D6" w:rsidRDefault="009E5C98" w:rsidP="00885778">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E825573" w14:textId="77777777" w:rsidR="009E5C98" w:rsidRPr="002423D6" w:rsidRDefault="009E5C98" w:rsidP="00885778">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69151ABB" w14:textId="77777777" w:rsidR="009E5C98" w:rsidRPr="002423D6" w:rsidRDefault="009E5C98" w:rsidP="00885778">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098FC030" w14:textId="77777777" w:rsidR="009E5C98" w:rsidRPr="00265F6F" w:rsidRDefault="009E5C98" w:rsidP="009E5C98"/>
    <w:p w14:paraId="17873333" w14:textId="77777777" w:rsidR="000F5A42" w:rsidRPr="009E5C98" w:rsidRDefault="000F5A42" w:rsidP="009E5C98"/>
    <w:sectPr w:rsidR="000F5A42" w:rsidRPr="009E5C98" w:rsidSect="007F0531">
      <w:headerReference w:type="default" r:id="rId12"/>
      <w:footerReference w:type="default" r:id="rId13"/>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A71C54" w14:textId="77777777" w:rsidR="00D87634" w:rsidRDefault="00D87634">
      <w:pPr>
        <w:spacing w:after="0" w:line="240" w:lineRule="auto"/>
      </w:pPr>
      <w:r>
        <w:separator/>
      </w:r>
    </w:p>
  </w:endnote>
  <w:endnote w:type="continuationSeparator" w:id="0">
    <w:p w14:paraId="08B7A759" w14:textId="77777777" w:rsidR="00D87634" w:rsidRDefault="00D87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36F93" w14:textId="77777777" w:rsidR="007F0531" w:rsidRDefault="007F0531" w:rsidP="000849D5">
    <w:pPr>
      <w:spacing w:after="0"/>
      <w:rPr>
        <w:rFonts w:ascii="Verdana" w:hAnsi="Verdana"/>
        <w:b/>
        <w:bCs/>
        <w:sz w:val="20"/>
        <w:szCs w:val="20"/>
      </w:rPr>
    </w:pPr>
  </w:p>
  <w:p w14:paraId="62AC5FFF" w14:textId="77777777" w:rsidR="007F0531" w:rsidRPr="00174B77" w:rsidRDefault="007F0531"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9EBB4BF" w14:textId="77777777" w:rsidR="007F0531" w:rsidRDefault="007F0531"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3281C793" w14:textId="77777777" w:rsidR="007F0531" w:rsidRPr="00E41027" w:rsidRDefault="007F0531" w:rsidP="000849D5">
    <w:pPr>
      <w:spacing w:after="0"/>
      <w:jc w:val="both"/>
      <w:rPr>
        <w:rFonts w:ascii="Verdana" w:hAnsi="Verdana"/>
        <w:sz w:val="18"/>
        <w:szCs w:val="18"/>
      </w:rPr>
    </w:pPr>
    <w:r w:rsidRPr="00E41027">
      <w:rPr>
        <w:rFonts w:ascii="Verdana" w:hAnsi="Verdana"/>
        <w:sz w:val="18"/>
        <w:szCs w:val="18"/>
      </w:rPr>
      <w:t>Mesa de servicio: (+57) 601 7456788</w:t>
    </w:r>
  </w:p>
  <w:p w14:paraId="37D2111E" w14:textId="77777777" w:rsidR="007F0531" w:rsidRDefault="007F0531"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10E78704" w14:textId="77777777" w:rsidR="007F0531" w:rsidRPr="007D04B2" w:rsidRDefault="007F0531" w:rsidP="000849D5">
    <w:pPr>
      <w:pStyle w:val="Piedepgina"/>
    </w:pPr>
  </w:p>
  <w:p w14:paraId="1D335323" w14:textId="77777777" w:rsidR="007F0531" w:rsidRPr="000849D5" w:rsidRDefault="007F0531"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57611" w14:textId="77777777" w:rsidR="00D87634" w:rsidRDefault="00D87634">
      <w:pPr>
        <w:spacing w:after="0" w:line="240" w:lineRule="auto"/>
      </w:pPr>
      <w:r>
        <w:separator/>
      </w:r>
    </w:p>
  </w:footnote>
  <w:footnote w:type="continuationSeparator" w:id="0">
    <w:p w14:paraId="057FAE3E" w14:textId="77777777" w:rsidR="00D87634" w:rsidRDefault="00D87634">
      <w:pPr>
        <w:spacing w:after="0" w:line="240" w:lineRule="auto"/>
      </w:pPr>
      <w:r>
        <w:continuationSeparator/>
      </w:r>
    </w:p>
  </w:footnote>
  <w:footnote w:id="1">
    <w:p w14:paraId="1C30AC61" w14:textId="77777777" w:rsidR="009E5C98" w:rsidRPr="00625FFD" w:rsidRDefault="009E5C98" w:rsidP="009E5C98">
      <w:pPr>
        <w:pStyle w:val="Textonotapie"/>
        <w:ind w:firstLine="709"/>
        <w:jc w:val="both"/>
        <w:rPr>
          <w:rFonts w:ascii="Verdana" w:hAnsi="Verdana" w:cs="Arial"/>
          <w:sz w:val="14"/>
          <w:szCs w:val="14"/>
        </w:rPr>
      </w:pPr>
      <w:r w:rsidRPr="00625FFD">
        <w:rPr>
          <w:rStyle w:val="Refdenotaalpie"/>
          <w:rFonts w:ascii="Verdana" w:hAnsi="Verdana" w:cs="Arial"/>
          <w:sz w:val="14"/>
          <w:szCs w:val="14"/>
        </w:rPr>
        <w:footnoteRef/>
      </w:r>
      <w:r w:rsidRPr="00625FFD">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251CAA0" w14:textId="77777777" w:rsidR="009E5C98" w:rsidRPr="00625FFD" w:rsidRDefault="009E5C98" w:rsidP="009E5C98">
      <w:pPr>
        <w:pStyle w:val="Textonotapie"/>
        <w:ind w:firstLine="709"/>
        <w:jc w:val="both"/>
        <w:rPr>
          <w:rFonts w:ascii="Verdana" w:hAnsi="Verdana" w:cs="Arial"/>
          <w:sz w:val="14"/>
          <w:szCs w:val="14"/>
        </w:rPr>
      </w:pPr>
      <w:r w:rsidRPr="00625FFD">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66D7173E" w14:textId="77777777" w:rsidR="009E5C98" w:rsidRPr="004674CF" w:rsidRDefault="009E5C98" w:rsidP="009E5C98">
      <w:pPr>
        <w:pStyle w:val="Textonotapie"/>
        <w:ind w:firstLine="709"/>
        <w:jc w:val="both"/>
        <w:rPr>
          <w:rFonts w:ascii="Verdana" w:hAnsi="Verdana" w:cs="Arial"/>
          <w:sz w:val="16"/>
          <w:szCs w:val="16"/>
        </w:rPr>
      </w:pPr>
      <w:r w:rsidRPr="00625FFD">
        <w:rPr>
          <w:rStyle w:val="Refdenotaalpie"/>
          <w:rFonts w:ascii="Verdana" w:hAnsi="Verdana" w:cs="Arial"/>
          <w:sz w:val="14"/>
          <w:szCs w:val="14"/>
        </w:rPr>
        <w:footnoteRef/>
      </w:r>
      <w:r w:rsidRPr="00625FFD">
        <w:rPr>
          <w:rFonts w:ascii="Verdana" w:hAnsi="Verdana" w:cs="Arial"/>
          <w:sz w:val="14"/>
          <w:szCs w:val="14"/>
        </w:rPr>
        <w:t xml:space="preserve"> Gaceta del Congreso de la República No. 71 del 2005.</w:t>
      </w:r>
    </w:p>
  </w:footnote>
  <w:footnote w:id="3">
    <w:p w14:paraId="64A38B6D" w14:textId="77777777" w:rsidR="009E5C98" w:rsidRPr="00625FFD" w:rsidRDefault="009E5C98" w:rsidP="009E5C98">
      <w:pPr>
        <w:pStyle w:val="Textonotapie"/>
        <w:ind w:firstLine="709"/>
        <w:jc w:val="both"/>
        <w:rPr>
          <w:rFonts w:ascii="Verdana" w:hAnsi="Verdana" w:cs="Arial"/>
          <w:sz w:val="14"/>
          <w:szCs w:val="14"/>
          <w:lang w:val="pt-BR"/>
        </w:rPr>
      </w:pPr>
      <w:r w:rsidRPr="00625FFD">
        <w:rPr>
          <w:rStyle w:val="Refdenotaalpie"/>
          <w:rFonts w:ascii="Verdana" w:hAnsi="Verdana" w:cs="Arial"/>
          <w:sz w:val="14"/>
          <w:szCs w:val="14"/>
        </w:rPr>
        <w:footnoteRef/>
      </w:r>
      <w:r w:rsidRPr="00625FFD">
        <w:rPr>
          <w:rFonts w:ascii="Verdana" w:hAnsi="Verdana" w:cs="Arial"/>
          <w:sz w:val="14"/>
          <w:szCs w:val="14"/>
          <w:lang w:val="pt-BR"/>
        </w:rPr>
        <w:t xml:space="preserve"> Corte Constitucional, Sentencia C- 1153 de 2005, M.P. Marco Gerardo </w:t>
      </w:r>
      <w:r w:rsidRPr="00625FFD">
        <w:rPr>
          <w:rFonts w:ascii="Verdana" w:hAnsi="Verdana" w:cs="Arial"/>
          <w:sz w:val="14"/>
          <w:szCs w:val="14"/>
          <w:lang w:val="pt-BR"/>
        </w:rPr>
        <w:t>Monroy Cabra.</w:t>
      </w:r>
    </w:p>
  </w:footnote>
  <w:footnote w:id="4">
    <w:p w14:paraId="7128AFA2" w14:textId="77777777" w:rsidR="009E5C98" w:rsidRPr="0006483B" w:rsidRDefault="009E5C98" w:rsidP="009E5C98">
      <w:pPr>
        <w:pStyle w:val="Textonotapie"/>
        <w:ind w:firstLine="709"/>
        <w:jc w:val="both"/>
        <w:rPr>
          <w:rFonts w:ascii="Verdana" w:hAnsi="Verdana" w:cs="Arial"/>
          <w:sz w:val="14"/>
          <w:szCs w:val="14"/>
          <w:lang w:val="pt-BR"/>
        </w:rPr>
      </w:pPr>
      <w:r w:rsidRPr="0006483B">
        <w:rPr>
          <w:rStyle w:val="Refdenotaalpie"/>
          <w:rFonts w:ascii="Verdana" w:hAnsi="Verdana" w:cs="Arial"/>
          <w:sz w:val="14"/>
          <w:szCs w:val="14"/>
        </w:rPr>
        <w:footnoteRef/>
      </w:r>
      <w:r w:rsidRPr="0006483B">
        <w:rPr>
          <w:rFonts w:ascii="Verdana" w:hAnsi="Verdana" w:cs="Arial"/>
          <w:sz w:val="14"/>
          <w:szCs w:val="14"/>
          <w:lang w:val="pt-BR"/>
        </w:rPr>
        <w:t xml:space="preserve"> Corte Constitucional. Sentencias: C-233 de 4 de abril de 2002, expediente: D-3704; C-551 de 9 de </w:t>
      </w:r>
      <w:r w:rsidRPr="0006483B">
        <w:rPr>
          <w:rFonts w:ascii="Verdana" w:hAnsi="Verdana" w:cs="Arial"/>
          <w:sz w:val="14"/>
          <w:szCs w:val="14"/>
          <w:lang w:val="pt-BR"/>
        </w:rPr>
        <w:t>julio de 2003, expediente: CRF-001 de 9 de julio de 2003; C-652 de 5 de agosto de 2003, expediente: D-4330; C-353 de 20 de mayo de 2009, expediente: D-7518, C-541 de 30 de junio de 2010, expediente: DD7966; entre otras.</w:t>
      </w:r>
    </w:p>
  </w:footnote>
  <w:footnote w:id="5">
    <w:p w14:paraId="40E6CE4A" w14:textId="77777777" w:rsidR="009E5C98" w:rsidRPr="0006483B" w:rsidRDefault="009E5C98" w:rsidP="009E5C98">
      <w:pPr>
        <w:pStyle w:val="Textonotapie"/>
        <w:ind w:firstLine="709"/>
        <w:jc w:val="both"/>
        <w:rPr>
          <w:rFonts w:ascii="Verdana" w:hAnsi="Verdana" w:cs="Arial"/>
          <w:sz w:val="14"/>
          <w:szCs w:val="14"/>
          <w:lang w:val="es-CO"/>
        </w:rPr>
      </w:pPr>
      <w:r w:rsidRPr="0006483B">
        <w:rPr>
          <w:rStyle w:val="Refdenotaalpie"/>
          <w:rFonts w:ascii="Verdana" w:hAnsi="Verdana" w:cs="Arial"/>
          <w:sz w:val="14"/>
          <w:szCs w:val="14"/>
        </w:rPr>
        <w:footnoteRef/>
      </w:r>
      <w:r w:rsidRPr="0006483B">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7184D136" w14:textId="77777777" w:rsidR="009E5C98" w:rsidRPr="004674CF" w:rsidRDefault="009E5C98" w:rsidP="009E5C98">
      <w:pPr>
        <w:pStyle w:val="Textonotapie"/>
        <w:ind w:firstLine="709"/>
        <w:jc w:val="both"/>
        <w:rPr>
          <w:rFonts w:ascii="Verdana" w:hAnsi="Verdana" w:cs="Arial"/>
          <w:sz w:val="16"/>
          <w:szCs w:val="16"/>
        </w:rPr>
      </w:pPr>
      <w:r w:rsidRPr="0006483B">
        <w:rPr>
          <w:rStyle w:val="Refdenotaalpie"/>
          <w:rFonts w:ascii="Verdana" w:hAnsi="Verdana" w:cs="Arial"/>
          <w:sz w:val="14"/>
          <w:szCs w:val="14"/>
        </w:rPr>
        <w:footnoteRef/>
      </w:r>
      <w:r w:rsidRPr="0006483B">
        <w:rPr>
          <w:rFonts w:ascii="Verdana" w:hAnsi="Verdana" w:cs="Arial"/>
          <w:sz w:val="14"/>
          <w:szCs w:val="14"/>
        </w:rPr>
        <w:t xml:space="preserve"> Consejo de Estado, Sala de Consulta y Servicio Civil de fecha 24 de julio de 2013, radicado 2166, C. P. Álvaro Namén Vargas.</w:t>
      </w:r>
      <w:r w:rsidRPr="004674CF">
        <w:rPr>
          <w:rFonts w:ascii="Verdana" w:hAnsi="Verdana" w:cs="Arial"/>
          <w:sz w:val="16"/>
          <w:szCs w:val="16"/>
        </w:rPr>
        <w:t xml:space="preserve">  </w:t>
      </w:r>
    </w:p>
  </w:footnote>
  <w:footnote w:id="7">
    <w:p w14:paraId="0F5AE6C7" w14:textId="77777777" w:rsidR="009E5C98" w:rsidRPr="004F4B4E" w:rsidRDefault="009E5C98" w:rsidP="009E5C98">
      <w:pPr>
        <w:spacing w:after="0" w:line="240" w:lineRule="auto"/>
        <w:ind w:firstLine="709"/>
        <w:jc w:val="both"/>
        <w:rPr>
          <w:rFonts w:ascii="Verdana" w:eastAsia="Times New Roman" w:hAnsi="Verdana" w:cs="Arial"/>
          <w:sz w:val="14"/>
          <w:szCs w:val="14"/>
        </w:rPr>
      </w:pPr>
      <w:r w:rsidRPr="004F4B4E">
        <w:rPr>
          <w:rStyle w:val="Refdenotaalpie"/>
          <w:rFonts w:ascii="Verdana" w:hAnsi="Verdana" w:cs="Arial"/>
          <w:sz w:val="14"/>
          <w:szCs w:val="14"/>
        </w:rPr>
        <w:footnoteRef/>
      </w:r>
      <w:r w:rsidRPr="004F4B4E">
        <w:rPr>
          <w:rFonts w:ascii="Verdana" w:hAnsi="Verdana" w:cs="Arial"/>
          <w:sz w:val="14"/>
          <w:szCs w:val="14"/>
        </w:rPr>
        <w:t xml:space="preserve"> </w:t>
      </w:r>
      <w:bookmarkStart w:id="9" w:name="33"/>
      <w:r w:rsidRPr="004F4B4E">
        <w:rPr>
          <w:rFonts w:ascii="Verdana" w:eastAsia="Calibri" w:hAnsi="Verdana" w:cs="Arial"/>
          <w:color w:val="000000"/>
          <w:sz w:val="14"/>
          <w:szCs w:val="14"/>
        </w:rPr>
        <w:t>“</w:t>
      </w:r>
      <w:r w:rsidRPr="004F4B4E">
        <w:rPr>
          <w:rFonts w:ascii="Verdana" w:eastAsia="Times New Roman" w:hAnsi="Verdana" w:cs="Arial"/>
          <w:sz w:val="14"/>
          <w:szCs w:val="14"/>
        </w:rPr>
        <w:t>Artículo 33. Restricciones a la contratación pública.</w:t>
      </w:r>
      <w:bookmarkEnd w:id="9"/>
      <w:r w:rsidRPr="004F4B4E">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2D5411F9" w14:textId="77777777" w:rsidR="009E5C98" w:rsidRPr="004F4B4E" w:rsidRDefault="009E5C98" w:rsidP="009E5C98">
      <w:pPr>
        <w:spacing w:after="0" w:line="240" w:lineRule="auto"/>
        <w:ind w:firstLine="709"/>
        <w:jc w:val="both"/>
        <w:rPr>
          <w:rFonts w:ascii="Verdana" w:eastAsia="Times New Roman" w:hAnsi="Verdana" w:cs="Arial"/>
          <w:sz w:val="14"/>
          <w:szCs w:val="14"/>
        </w:rPr>
      </w:pPr>
      <w:r w:rsidRPr="004F4B4E">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F4B4E">
        <w:rPr>
          <w:rFonts w:ascii="Verdana" w:eastAsia="Calibri" w:hAnsi="Verdana" w:cs="Arial"/>
          <w:color w:val="000000"/>
          <w:sz w:val="14"/>
          <w:szCs w:val="14"/>
        </w:rPr>
        <w:t>”</w:t>
      </w:r>
      <w:r w:rsidRPr="004F4B4E">
        <w:rPr>
          <w:rFonts w:ascii="Verdana" w:eastAsia="Times New Roman" w:hAnsi="Verdana" w:cs="Arial"/>
          <w:sz w:val="14"/>
          <w:szCs w:val="14"/>
        </w:rPr>
        <w:t>.</w:t>
      </w:r>
    </w:p>
  </w:footnote>
  <w:footnote w:id="8">
    <w:p w14:paraId="0D424158" w14:textId="77777777" w:rsidR="009E5C98" w:rsidRPr="004F4B4E" w:rsidRDefault="009E5C98" w:rsidP="009E5C98">
      <w:pPr>
        <w:pStyle w:val="NormalWeb"/>
        <w:spacing w:before="0" w:beforeAutospacing="0" w:after="0" w:afterAutospacing="0"/>
        <w:ind w:firstLine="709"/>
        <w:jc w:val="both"/>
        <w:rPr>
          <w:rFonts w:ascii="Verdana" w:hAnsi="Verdana" w:cs="Arial"/>
          <w:sz w:val="14"/>
          <w:szCs w:val="14"/>
          <w:lang w:val="es-MX"/>
        </w:rPr>
      </w:pPr>
      <w:r w:rsidRPr="004F4B4E">
        <w:rPr>
          <w:rStyle w:val="Refdenotaalpie"/>
          <w:rFonts w:ascii="Verdana" w:eastAsiaTheme="majorEastAsia" w:hAnsi="Verdana" w:cs="Arial"/>
          <w:sz w:val="14"/>
          <w:szCs w:val="14"/>
        </w:rPr>
        <w:footnoteRef/>
      </w:r>
      <w:r w:rsidRPr="004F4B4E">
        <w:rPr>
          <w:rFonts w:ascii="Verdana" w:hAnsi="Verdana" w:cs="Arial"/>
          <w:sz w:val="14"/>
          <w:szCs w:val="14"/>
        </w:rPr>
        <w:t xml:space="preserve"> </w:t>
      </w:r>
      <w:bookmarkStart w:id="10" w:name="38"/>
      <w:r w:rsidRPr="004F4B4E">
        <w:rPr>
          <w:rFonts w:ascii="Verdana" w:eastAsia="Calibri" w:hAnsi="Verdana" w:cs="Arial"/>
          <w:color w:val="000000"/>
          <w:sz w:val="14"/>
          <w:szCs w:val="14"/>
        </w:rPr>
        <w:t>“</w:t>
      </w:r>
      <w:r w:rsidRPr="004F4B4E">
        <w:rPr>
          <w:rFonts w:ascii="Verdana" w:hAnsi="Verdana" w:cs="Arial"/>
          <w:sz w:val="14"/>
          <w:szCs w:val="14"/>
          <w:lang w:val="es-MX"/>
        </w:rPr>
        <w:t>Artículo 38. Prohibiciones para los servidores públicos. A los empleados del Estado les está prohibido:</w:t>
      </w:r>
      <w:bookmarkEnd w:id="10"/>
      <w:r w:rsidRPr="004F4B4E">
        <w:rPr>
          <w:rFonts w:ascii="Verdana" w:hAnsi="Verdana" w:cs="Arial"/>
          <w:sz w:val="14"/>
          <w:szCs w:val="14"/>
          <w:lang w:val="es-MX"/>
        </w:rPr>
        <w:t xml:space="preserve"> […]</w:t>
      </w:r>
    </w:p>
    <w:p w14:paraId="41D1962D" w14:textId="77777777" w:rsidR="009E5C98" w:rsidRPr="004674CF" w:rsidRDefault="009E5C98" w:rsidP="009E5C98">
      <w:pPr>
        <w:pStyle w:val="NormalWeb"/>
        <w:spacing w:before="0" w:beforeAutospacing="0" w:after="0" w:afterAutospacing="0"/>
        <w:ind w:firstLine="709"/>
        <w:jc w:val="both"/>
        <w:rPr>
          <w:rFonts w:ascii="Verdana" w:hAnsi="Verdana" w:cs="Arial"/>
          <w:sz w:val="16"/>
          <w:szCs w:val="16"/>
          <w:lang w:val="es-MX"/>
        </w:rPr>
      </w:pPr>
      <w:r w:rsidRPr="004F4B4E">
        <w:rPr>
          <w:rStyle w:val="baj"/>
          <w:rFonts w:ascii="Verdana" w:hAnsi="Verdana" w:cs="Arial"/>
          <w:sz w:val="14"/>
          <w:szCs w:val="14"/>
          <w:lang w:val="es-MX"/>
        </w:rPr>
        <w:t>Parágrafo.</w:t>
      </w:r>
      <w:r w:rsidRPr="004F4B4E">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F4B4E">
        <w:rPr>
          <w:rFonts w:ascii="Verdana" w:eastAsia="Calibri" w:hAnsi="Verdana" w:cs="Arial"/>
          <w:color w:val="000000"/>
          <w:sz w:val="14"/>
          <w:szCs w:val="14"/>
        </w:rPr>
        <w:t>”</w:t>
      </w:r>
      <w:r w:rsidRPr="004F4B4E">
        <w:rPr>
          <w:rFonts w:ascii="Verdana" w:hAnsi="Verdana" w:cs="Arial"/>
          <w:sz w:val="14"/>
          <w:szCs w:val="14"/>
          <w:lang w:val="es-MX"/>
        </w:rPr>
        <w:t>.</w:t>
      </w:r>
    </w:p>
  </w:footnote>
  <w:footnote w:id="9">
    <w:p w14:paraId="207B0195" w14:textId="77777777" w:rsidR="009E5C98" w:rsidRPr="004674CF" w:rsidRDefault="009E5C98" w:rsidP="009E5C98">
      <w:pPr>
        <w:pStyle w:val="Textonotapie"/>
        <w:ind w:firstLine="708"/>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16.5. </w:t>
      </w:r>
    </w:p>
  </w:footnote>
  <w:footnote w:id="10">
    <w:p w14:paraId="29F884AD" w14:textId="77777777" w:rsidR="009E5C98" w:rsidRPr="004674CF" w:rsidRDefault="009E5C98" w:rsidP="009E5C98">
      <w:pPr>
        <w:spacing w:after="0" w:line="240" w:lineRule="auto"/>
        <w:ind w:left="100" w:right="244" w:firstLine="608"/>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39AB2" w14:textId="77777777" w:rsidR="007F0531" w:rsidRDefault="007F0531"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3A1A653" wp14:editId="3B766D22">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494586EB" wp14:editId="0B55CFD9">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0425E0E" w14:textId="77777777" w:rsidR="007F0531" w:rsidRDefault="007F0531" w:rsidP="00515FB5">
    <w:pPr>
      <w:pStyle w:val="Encabezado"/>
    </w:pPr>
  </w:p>
  <w:p w14:paraId="7D1F0C2F" w14:textId="77777777" w:rsidR="007F0531" w:rsidRDefault="007F0531" w:rsidP="00515FB5">
    <w:pPr>
      <w:pStyle w:val="Encabezado"/>
    </w:pPr>
  </w:p>
  <w:p w14:paraId="2B2363C2" w14:textId="77777777" w:rsidR="007F0531" w:rsidRDefault="007F0531" w:rsidP="00515FB5">
    <w:pPr>
      <w:pStyle w:val="Encabezado"/>
    </w:pPr>
  </w:p>
  <w:p w14:paraId="09EB9DC3" w14:textId="77777777" w:rsidR="007F0531" w:rsidRPr="00515FB5" w:rsidRDefault="007F0531"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0.9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54E78AA"/>
    <w:multiLevelType w:val="multilevel"/>
    <w:tmpl w:val="E7149D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3"/>
  </w:num>
  <w:num w:numId="3" w16cid:durableId="390349800">
    <w:abstractNumId w:val="4"/>
  </w:num>
  <w:num w:numId="4" w16cid:durableId="619845936">
    <w:abstractNumId w:val="2"/>
  </w:num>
  <w:num w:numId="5" w16cid:durableId="12012367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531"/>
    <w:rsid w:val="000561FF"/>
    <w:rsid w:val="00057B69"/>
    <w:rsid w:val="0006483B"/>
    <w:rsid w:val="00095413"/>
    <w:rsid w:val="000C4F40"/>
    <w:rsid w:val="000D21F5"/>
    <w:rsid w:val="000F08B7"/>
    <w:rsid w:val="000F5A42"/>
    <w:rsid w:val="00135D9B"/>
    <w:rsid w:val="00153CAE"/>
    <w:rsid w:val="00180E4C"/>
    <w:rsid w:val="001B6D97"/>
    <w:rsid w:val="001E75AE"/>
    <w:rsid w:val="002A2CBD"/>
    <w:rsid w:val="002C2EAA"/>
    <w:rsid w:val="002E3827"/>
    <w:rsid w:val="00352CD6"/>
    <w:rsid w:val="003869D0"/>
    <w:rsid w:val="00391E09"/>
    <w:rsid w:val="003972B9"/>
    <w:rsid w:val="003B2F63"/>
    <w:rsid w:val="003D02EC"/>
    <w:rsid w:val="003D61D8"/>
    <w:rsid w:val="003E61DD"/>
    <w:rsid w:val="00423920"/>
    <w:rsid w:val="004330D0"/>
    <w:rsid w:val="0047227E"/>
    <w:rsid w:val="004829D0"/>
    <w:rsid w:val="004A3A4C"/>
    <w:rsid w:val="004C1C8E"/>
    <w:rsid w:val="004C509B"/>
    <w:rsid w:val="004E60C1"/>
    <w:rsid w:val="004F4B4E"/>
    <w:rsid w:val="005055D5"/>
    <w:rsid w:val="00572762"/>
    <w:rsid w:val="005B0509"/>
    <w:rsid w:val="005D63E7"/>
    <w:rsid w:val="00625FFD"/>
    <w:rsid w:val="006271BC"/>
    <w:rsid w:val="0062750E"/>
    <w:rsid w:val="00634C7C"/>
    <w:rsid w:val="00677D98"/>
    <w:rsid w:val="00702421"/>
    <w:rsid w:val="007252C9"/>
    <w:rsid w:val="007A7A93"/>
    <w:rsid w:val="007D11BA"/>
    <w:rsid w:val="007F0531"/>
    <w:rsid w:val="00847EB5"/>
    <w:rsid w:val="00872158"/>
    <w:rsid w:val="0088006A"/>
    <w:rsid w:val="008A2293"/>
    <w:rsid w:val="008A4589"/>
    <w:rsid w:val="008C6F22"/>
    <w:rsid w:val="008C7657"/>
    <w:rsid w:val="00974729"/>
    <w:rsid w:val="009968C4"/>
    <w:rsid w:val="00997570"/>
    <w:rsid w:val="009E5C98"/>
    <w:rsid w:val="00A12218"/>
    <w:rsid w:val="00A53476"/>
    <w:rsid w:val="00A74A23"/>
    <w:rsid w:val="00A90678"/>
    <w:rsid w:val="00A9781F"/>
    <w:rsid w:val="00A97F85"/>
    <w:rsid w:val="00B515A7"/>
    <w:rsid w:val="00B540F1"/>
    <w:rsid w:val="00B83E43"/>
    <w:rsid w:val="00BF4E16"/>
    <w:rsid w:val="00C2601A"/>
    <w:rsid w:val="00C651B1"/>
    <w:rsid w:val="00CC6AA8"/>
    <w:rsid w:val="00D246C4"/>
    <w:rsid w:val="00D537A3"/>
    <w:rsid w:val="00D86D1D"/>
    <w:rsid w:val="00D87634"/>
    <w:rsid w:val="00DA6629"/>
    <w:rsid w:val="00DA73EA"/>
    <w:rsid w:val="00E1115B"/>
    <w:rsid w:val="00E22D2D"/>
    <w:rsid w:val="00EA0ADB"/>
    <w:rsid w:val="00EC13BC"/>
    <w:rsid w:val="00ED1467"/>
    <w:rsid w:val="00F050BF"/>
    <w:rsid w:val="00F55E62"/>
    <w:rsid w:val="00F816A4"/>
    <w:rsid w:val="00F9543C"/>
    <w:rsid w:val="00FA680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9B3BA"/>
  <w15:chartTrackingRefBased/>
  <w15:docId w15:val="{15DFBD9C-A328-4651-9CE5-4E3FA7D53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0531"/>
    <w:rPr>
      <w:kern w:val="0"/>
      <w14:ligatures w14:val="none"/>
    </w:rPr>
  </w:style>
  <w:style w:type="paragraph" w:styleId="Ttulo1">
    <w:name w:val="heading 1"/>
    <w:basedOn w:val="Normal"/>
    <w:next w:val="Normal"/>
    <w:link w:val="Ttulo1Car"/>
    <w:uiPriority w:val="9"/>
    <w:qFormat/>
    <w:rsid w:val="007F05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F05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F053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F053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F053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F053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F053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F053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F053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F053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F053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F053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F053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F053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F053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F053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F053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F0531"/>
    <w:rPr>
      <w:rFonts w:eastAsiaTheme="majorEastAsia" w:cstheme="majorBidi"/>
      <w:color w:val="272727" w:themeColor="text1" w:themeTint="D8"/>
    </w:rPr>
  </w:style>
  <w:style w:type="paragraph" w:styleId="Ttulo">
    <w:name w:val="Title"/>
    <w:basedOn w:val="Normal"/>
    <w:next w:val="Normal"/>
    <w:link w:val="TtuloCar"/>
    <w:uiPriority w:val="10"/>
    <w:qFormat/>
    <w:rsid w:val="007F05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F053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F053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F053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F0531"/>
    <w:pPr>
      <w:spacing w:before="160"/>
      <w:jc w:val="center"/>
    </w:pPr>
    <w:rPr>
      <w:i/>
      <w:iCs/>
      <w:color w:val="404040" w:themeColor="text1" w:themeTint="BF"/>
    </w:rPr>
  </w:style>
  <w:style w:type="character" w:customStyle="1" w:styleId="CitaCar">
    <w:name w:val="Cita Car"/>
    <w:basedOn w:val="Fuentedeprrafopredeter"/>
    <w:link w:val="Cita"/>
    <w:uiPriority w:val="29"/>
    <w:rsid w:val="007F0531"/>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7F0531"/>
    <w:pPr>
      <w:ind w:left="720"/>
      <w:contextualSpacing/>
    </w:pPr>
  </w:style>
  <w:style w:type="character" w:styleId="nfasisintenso">
    <w:name w:val="Intense Emphasis"/>
    <w:basedOn w:val="Fuentedeprrafopredeter"/>
    <w:uiPriority w:val="21"/>
    <w:qFormat/>
    <w:rsid w:val="007F0531"/>
    <w:rPr>
      <w:i/>
      <w:iCs/>
      <w:color w:val="0F4761" w:themeColor="accent1" w:themeShade="BF"/>
    </w:rPr>
  </w:style>
  <w:style w:type="paragraph" w:styleId="Citadestacada">
    <w:name w:val="Intense Quote"/>
    <w:basedOn w:val="Normal"/>
    <w:next w:val="Normal"/>
    <w:link w:val="CitadestacadaCar"/>
    <w:uiPriority w:val="30"/>
    <w:qFormat/>
    <w:rsid w:val="007F05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F0531"/>
    <w:rPr>
      <w:i/>
      <w:iCs/>
      <w:color w:val="0F4761" w:themeColor="accent1" w:themeShade="BF"/>
    </w:rPr>
  </w:style>
  <w:style w:type="character" w:styleId="Referenciaintensa">
    <w:name w:val="Intense Reference"/>
    <w:basedOn w:val="Fuentedeprrafopredeter"/>
    <w:uiPriority w:val="32"/>
    <w:qFormat/>
    <w:rsid w:val="007F0531"/>
    <w:rPr>
      <w:b/>
      <w:bCs/>
      <w:smallCaps/>
      <w:color w:val="0F4761" w:themeColor="accent1" w:themeShade="BF"/>
      <w:spacing w:val="5"/>
    </w:rPr>
  </w:style>
  <w:style w:type="paragraph" w:styleId="Encabezado">
    <w:name w:val="header"/>
    <w:basedOn w:val="Normal"/>
    <w:link w:val="EncabezadoCar"/>
    <w:uiPriority w:val="99"/>
    <w:unhideWhenUsed/>
    <w:rsid w:val="007F053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F0531"/>
    <w:rPr>
      <w:kern w:val="0"/>
      <w14:ligatures w14:val="none"/>
    </w:rPr>
  </w:style>
  <w:style w:type="paragraph" w:styleId="Piedepgina">
    <w:name w:val="footer"/>
    <w:basedOn w:val="Normal"/>
    <w:link w:val="PiedepginaCar"/>
    <w:uiPriority w:val="99"/>
    <w:unhideWhenUsed/>
    <w:rsid w:val="007F053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F0531"/>
    <w:rPr>
      <w:kern w:val="0"/>
      <w14:ligatures w14:val="none"/>
    </w:rPr>
  </w:style>
  <w:style w:type="table" w:styleId="Tablaconcuadrcula">
    <w:name w:val="Table Grid"/>
    <w:basedOn w:val="Tablanormal"/>
    <w:uiPriority w:val="39"/>
    <w:qFormat/>
    <w:rsid w:val="007F053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F0531"/>
    <w:rPr>
      <w:color w:val="467886" w:themeColor="hyperlink"/>
      <w:u w:val="single"/>
    </w:rPr>
  </w:style>
  <w:style w:type="character" w:customStyle="1" w:styleId="normaltextrun">
    <w:name w:val="normaltextrun"/>
    <w:basedOn w:val="Fuentedeprrafopredeter"/>
    <w:rsid w:val="007F0531"/>
  </w:style>
  <w:style w:type="character" w:customStyle="1" w:styleId="eop">
    <w:name w:val="eop"/>
    <w:basedOn w:val="Fuentedeprrafopredeter"/>
    <w:rsid w:val="007F0531"/>
  </w:style>
  <w:style w:type="paragraph" w:customStyle="1" w:styleId="paragraph">
    <w:name w:val="paragraph"/>
    <w:basedOn w:val="Normal"/>
    <w:rsid w:val="007F0531"/>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F0531"/>
  </w:style>
  <w:style w:type="paragraph" w:styleId="NormalWeb">
    <w:name w:val="Normal (Web)"/>
    <w:basedOn w:val="Normal"/>
    <w:link w:val="NormalWebCar"/>
    <w:uiPriority w:val="99"/>
    <w:unhideWhenUsed/>
    <w:rsid w:val="007F0531"/>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7F0531"/>
    <w:rPr>
      <w:rFonts w:ascii="Times New Roman" w:eastAsia="Times New Roman" w:hAnsi="Times New Roman" w:cs="Times New Roman"/>
      <w:kern w:val="0"/>
      <w:sz w:val="24"/>
      <w:szCs w:val="24"/>
      <w:lang w:eastAsia="es-CO"/>
      <w14:ligatures w14:val="none"/>
    </w:rPr>
  </w:style>
  <w:style w:type="character" w:styleId="Mencinsinresolver">
    <w:name w:val="Unresolved Mention"/>
    <w:basedOn w:val="Fuentedeprrafopredeter"/>
    <w:uiPriority w:val="99"/>
    <w:semiHidden/>
    <w:unhideWhenUsed/>
    <w:rsid w:val="000F08B7"/>
    <w:rPr>
      <w:color w:val="605E5C"/>
      <w:shd w:val="clear" w:color="auto" w:fill="E1DFDD"/>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0561FF"/>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0561FF"/>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0561FF"/>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0561FF"/>
    <w:rPr>
      <w:vertAlign w:val="superscript"/>
    </w:rPr>
  </w:style>
  <w:style w:type="paragraph" w:customStyle="1" w:styleId="Appelnotedebasde">
    <w:name w:val="Appel note de bas de..."/>
    <w:basedOn w:val="Normal"/>
    <w:link w:val="Refdenotaalpie"/>
    <w:uiPriority w:val="99"/>
    <w:rsid w:val="000561FF"/>
    <w:pPr>
      <w:spacing w:line="240" w:lineRule="exact"/>
    </w:pPr>
    <w:rPr>
      <w:kern w:val="2"/>
      <w:vertAlign w:val="superscript"/>
      <w14:ligatures w14:val="standardContextual"/>
    </w:rPr>
  </w:style>
  <w:style w:type="character" w:customStyle="1" w:styleId="baj">
    <w:name w:val="b_aj"/>
    <w:basedOn w:val="Fuentedeprrafopredeter"/>
    <w:rsid w:val="000561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ridica@corozal-sucre.gov.co"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olombiacompra.gov.co" TargetMode="External"/><Relationship Id="rId4" Type="http://schemas.openxmlformats.org/officeDocument/2006/relationships/webSettings" Target="webSettings.xml"/><Relationship Id="rId9" Type="http://schemas.openxmlformats.org/officeDocument/2006/relationships/hyperlink" Target="https://relatoria.colombiacompra.gov.co/busqueda/concepto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CBDF20B-EBF9-48D9-964A-FD265C29C7F0}"/>
</file>

<file path=customXml/itemProps2.xml><?xml version="1.0" encoding="utf-8"?>
<ds:datastoreItem xmlns:ds="http://schemas.openxmlformats.org/officeDocument/2006/customXml" ds:itemID="{CE81A84B-3714-4618-8165-3D9A2635A442}"/>
</file>

<file path=customXml/itemProps3.xml><?xml version="1.0" encoding="utf-8"?>
<ds:datastoreItem xmlns:ds="http://schemas.openxmlformats.org/officeDocument/2006/customXml" ds:itemID="{A35261B6-A925-4EDB-909C-3015DD8E13FE}"/>
</file>

<file path=docProps/app.xml><?xml version="1.0" encoding="utf-8"?>
<Properties xmlns="http://schemas.openxmlformats.org/officeDocument/2006/extended-properties" xmlns:vt="http://schemas.openxmlformats.org/officeDocument/2006/docPropsVTypes">
  <Template>Normal</Template>
  <TotalTime>305</TotalTime>
  <Pages>19</Pages>
  <Words>6540</Words>
  <Characters>34142</Characters>
  <Application>Microsoft Office Word</Application>
  <DocSecurity>0</DocSecurity>
  <Lines>644</Lines>
  <Paragraphs>109</Paragraphs>
  <ScaleCrop>false</ScaleCrop>
  <Company/>
  <LinksUpToDate>false</LinksUpToDate>
  <CharactersWithSpaces>40573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75</cp:revision>
  <dcterms:created xsi:type="dcterms:W3CDTF">2026-02-12T16:10:00Z</dcterms:created>
  <dcterms:modified xsi:type="dcterms:W3CDTF">2026-02-20T16:16:00Z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