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D97A" w14:textId="04EEEE14" w:rsidR="00732FE3" w:rsidRPr="00E87EA6" w:rsidRDefault="005B1A18" w:rsidP="00F84D0B">
      <w:pPr>
        <w:pStyle w:val="Textoindependiente"/>
        <w:spacing w:before="90"/>
        <w:jc w:val="both"/>
        <w:rPr>
          <w:rFonts w:ascii="Verdana" w:hAnsi="Verdana"/>
          <w:b/>
          <w:lang w:val="es-ES_tradnl"/>
        </w:rPr>
      </w:pPr>
      <w:bookmarkStart w:id="0" w:name="_Hlk181166130"/>
      <w:bookmarkStart w:id="1" w:name="_Hlk209714638"/>
      <w:r w:rsidRPr="00E87EA6">
        <w:rPr>
          <w:rFonts w:ascii="Verdana" w:hAnsi="Verdana"/>
          <w:b/>
          <w:lang w:val="es-ES_tradnl"/>
        </w:rPr>
        <w:t xml:space="preserve">GARANTÍA DE ÚNICA DE CUMPLIMIENTO – Definición – Fundamento normativo </w:t>
      </w:r>
    </w:p>
    <w:p w14:paraId="23C3E869" w14:textId="77777777" w:rsidR="005B1A18" w:rsidRPr="00B03B23" w:rsidRDefault="005B1A18" w:rsidP="00F84D0B">
      <w:pPr>
        <w:pStyle w:val="Textoindependiente"/>
        <w:spacing w:before="90"/>
        <w:jc w:val="both"/>
        <w:rPr>
          <w:rFonts w:ascii="Verdana" w:hAnsi="Verdana"/>
          <w:sz w:val="20"/>
          <w:szCs w:val="20"/>
          <w:lang w:val="es-ES_tradnl"/>
        </w:rPr>
      </w:pPr>
      <w:r w:rsidRPr="00B03B23">
        <w:rPr>
          <w:rFonts w:ascii="Verdana" w:hAnsi="Verdana"/>
          <w:sz w:val="20"/>
          <w:szCs w:val="20"/>
          <w:lang w:val="es-ES_tradnl"/>
        </w:rPr>
        <w:t xml:space="preserve">[…] mediante la </w:t>
      </w:r>
      <w:r w:rsidRPr="00B03B23">
        <w:rPr>
          <w:rFonts w:ascii="Verdana" w:hAnsi="Verdana"/>
          <w:i/>
          <w:iCs/>
          <w:sz w:val="20"/>
          <w:szCs w:val="20"/>
          <w:lang w:val="es-ES_tradnl"/>
        </w:rPr>
        <w:t>garantía de única de cumplimiento</w:t>
      </w:r>
      <w:r w:rsidRPr="00B03B23">
        <w:rPr>
          <w:rFonts w:ascii="Verdana" w:hAnsi="Verdana"/>
          <w:sz w:val="20"/>
          <w:szCs w:val="20"/>
          <w:lang w:val="es-ES_tradnl"/>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2DB7DAD7"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B03B23">
        <w:rPr>
          <w:rFonts w:ascii="Verdana" w:hAnsi="Verdana"/>
          <w:sz w:val="20"/>
          <w:szCs w:val="20"/>
        </w:rPr>
        <w:t>ii</w:t>
      </w:r>
      <w:proofErr w:type="spellEnd"/>
      <w:r w:rsidRPr="00B03B23">
        <w:rPr>
          <w:rFonts w:ascii="Verdana" w:hAnsi="Verdana"/>
          <w:sz w:val="20"/>
          <w:szCs w:val="20"/>
        </w:rPr>
        <w:t xml:space="preserve">) garantías bancarias o </w:t>
      </w:r>
      <w:proofErr w:type="spellStart"/>
      <w:r w:rsidRPr="00B03B23">
        <w:rPr>
          <w:rFonts w:ascii="Verdana" w:hAnsi="Verdana"/>
          <w:sz w:val="20"/>
          <w:szCs w:val="20"/>
        </w:rPr>
        <w:t>iii</w:t>
      </w:r>
      <w:proofErr w:type="spellEnd"/>
      <w:r w:rsidRPr="00B03B23">
        <w:rPr>
          <w:rFonts w:ascii="Verdana" w:hAnsi="Verdana"/>
          <w:sz w:val="20"/>
          <w:szCs w:val="20"/>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015323A8" w14:textId="77777777" w:rsidR="005B1A18" w:rsidRPr="00E87EA6" w:rsidRDefault="005B1A18" w:rsidP="00F84D0B">
      <w:pPr>
        <w:pStyle w:val="Textoindependiente"/>
        <w:spacing w:before="90"/>
        <w:jc w:val="both"/>
        <w:rPr>
          <w:rFonts w:ascii="Verdana" w:hAnsi="Verdana"/>
          <w:b/>
          <w:lang w:val="es-ES_tradnl"/>
        </w:rPr>
      </w:pPr>
      <w:r w:rsidRPr="00E87EA6">
        <w:rPr>
          <w:rFonts w:ascii="Verdana" w:hAnsi="Verdana"/>
          <w:b/>
          <w:lang w:val="es-ES_tradnl"/>
        </w:rPr>
        <w:t xml:space="preserve">LIQUIDACIÓN DEL CONTRATO – Definición – Objetivo </w:t>
      </w:r>
    </w:p>
    <w:p w14:paraId="6D8B8453"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B03B23">
        <w:rPr>
          <w:rFonts w:ascii="Verdana" w:hAnsi="Verdana"/>
          <w:i/>
          <w:iCs/>
          <w:sz w:val="20"/>
          <w:szCs w:val="20"/>
        </w:rPr>
        <w:t>liquidar</w:t>
      </w:r>
      <w:r w:rsidRPr="00B03B23">
        <w:rPr>
          <w:rFonts w:ascii="Verdana" w:hAnsi="Verdana"/>
          <w:sz w:val="20"/>
          <w:szCs w:val="20"/>
        </w:rPr>
        <w:t xml:space="preserve"> supone un ajuste en relación con las cuentas y el estado de cumplimiento del contrato estatal y, por otro, que la </w:t>
      </w:r>
      <w:r w:rsidRPr="00B03B23">
        <w:rPr>
          <w:rFonts w:ascii="Verdana" w:hAnsi="Verdana"/>
          <w:i/>
          <w:iCs/>
          <w:sz w:val="20"/>
          <w:szCs w:val="20"/>
        </w:rPr>
        <w:t>liquidación</w:t>
      </w:r>
      <w:r w:rsidRPr="00B03B23">
        <w:rPr>
          <w:rFonts w:ascii="Verdana" w:hAnsi="Verdana"/>
          <w:sz w:val="20"/>
          <w:szCs w:val="20"/>
        </w:rPr>
        <w:t xml:space="preserve"> debe incluir el análisis de las condiciones de calidad y oportunidad en la entrega de los bienes, obras o servicios, así como el balance económico y el comportamiento financiero del negocio.</w:t>
      </w:r>
    </w:p>
    <w:p w14:paraId="1C604902" w14:textId="77777777" w:rsidR="005B1A18" w:rsidRDefault="005B1A18" w:rsidP="00F84D0B">
      <w:pPr>
        <w:pStyle w:val="Textoindependiente"/>
        <w:spacing w:before="90"/>
        <w:jc w:val="both"/>
        <w:rPr>
          <w:rFonts w:ascii="Verdana" w:hAnsi="Verdana"/>
          <w:b/>
          <w:lang w:val="es-ES_tradnl"/>
        </w:rPr>
      </w:pPr>
      <w:r w:rsidRPr="00E87EA6">
        <w:rPr>
          <w:rFonts w:ascii="Verdana" w:hAnsi="Verdana"/>
          <w:b/>
          <w:lang w:val="es-ES_tradnl"/>
        </w:rPr>
        <w:t>LIQUIDACIÓN DEL CONTRATO – Normativa</w:t>
      </w:r>
    </w:p>
    <w:p w14:paraId="34DDA379" w14:textId="77777777" w:rsidR="005B1A18" w:rsidRPr="005239C5" w:rsidRDefault="005B1A18" w:rsidP="00F84D0B">
      <w:pPr>
        <w:pStyle w:val="Textoindependiente"/>
        <w:spacing w:before="90"/>
        <w:jc w:val="both"/>
        <w:rPr>
          <w:rFonts w:ascii="Verdana" w:hAnsi="Verdana"/>
          <w:sz w:val="20"/>
          <w:szCs w:val="20"/>
        </w:rPr>
      </w:pPr>
      <w:r w:rsidRPr="00B03B23">
        <w:rPr>
          <w:rFonts w:ascii="Verdana" w:hAnsi="Verdana"/>
          <w:sz w:val="20"/>
          <w:szCs w:val="20"/>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35D53951" w14:textId="77777777" w:rsidR="005B1A18" w:rsidRPr="00E87EA6" w:rsidRDefault="005B1A18" w:rsidP="00F84D0B">
      <w:pPr>
        <w:pStyle w:val="Textoindependiente"/>
        <w:spacing w:before="90"/>
        <w:jc w:val="both"/>
        <w:rPr>
          <w:rFonts w:ascii="Verdana" w:hAnsi="Verdana"/>
          <w:b/>
          <w:lang w:val="es-ES_tradnl"/>
        </w:rPr>
      </w:pPr>
      <w:r w:rsidRPr="00E87EA6">
        <w:rPr>
          <w:rFonts w:ascii="Verdana" w:hAnsi="Verdana"/>
          <w:b/>
          <w:lang w:val="es-ES_tradnl"/>
        </w:rPr>
        <w:t>LIQUIDACIÓN DEL CONTRATO – Garantía única de cumplimiento – Suficiencia</w:t>
      </w:r>
    </w:p>
    <w:p w14:paraId="5004A287" w14:textId="77777777" w:rsidR="005B1A18" w:rsidRPr="00B03B23"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El artículo 2.2.1.2.3.1.12 regula la suficiencia de la garantía de cumplimiento. Esta debe </w:t>
      </w:r>
      <w:r w:rsidRPr="00B03B23">
        <w:rPr>
          <w:rFonts w:ascii="Verdana" w:hAnsi="Verdana"/>
          <w:sz w:val="20"/>
          <w:szCs w:val="20"/>
        </w:rPr>
        <w:lastRenderedPageBreak/>
        <w:t xml:space="preserve">tener una vigencia mínima hasta la liquidación y, por regla general un valor de por lo menos el diez por ciento (10%) del total del contrato, siempre que este sea inferior a un millón (1.000.000) de </w:t>
      </w:r>
      <w:proofErr w:type="spellStart"/>
      <w:r w:rsidRPr="00B03B23">
        <w:rPr>
          <w:rFonts w:ascii="Verdana" w:hAnsi="Verdana"/>
          <w:sz w:val="20"/>
          <w:szCs w:val="20"/>
        </w:rPr>
        <w:t>smmlv</w:t>
      </w:r>
      <w:proofErr w:type="spellEnd"/>
      <w:r w:rsidRPr="00B03B23">
        <w:rPr>
          <w:rFonts w:ascii="Verdana" w:hAnsi="Verdana"/>
          <w:sz w:val="20"/>
          <w:szCs w:val="20"/>
        </w:rPr>
        <w:t>. Conforme la norma citada, el amparo cubre tanto el plazo de ejecución como el plazo de vigencia del contrato. Así, la cobertura mínima del amparo de cumplimiento cubre el plazo de ejecución y el plazo de vigencia,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p>
    <w:p w14:paraId="262CCDF2" w14:textId="2CBFD2C6" w:rsidR="005B1A18" w:rsidRDefault="005B1A18" w:rsidP="00F84D0B">
      <w:pPr>
        <w:pStyle w:val="Textoindependiente"/>
        <w:spacing w:before="90"/>
        <w:jc w:val="both"/>
        <w:rPr>
          <w:rFonts w:ascii="Verdana" w:hAnsi="Verdana"/>
          <w:sz w:val="20"/>
          <w:szCs w:val="20"/>
        </w:rPr>
      </w:pPr>
      <w:r w:rsidRPr="00B03B23">
        <w:rPr>
          <w:rFonts w:ascii="Verdana" w:hAnsi="Verdana"/>
          <w:sz w:val="20"/>
          <w:szCs w:val="20"/>
        </w:rPr>
        <w:t xml:space="preserve">Dentro de este marco, 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w:t>
      </w:r>
      <w:r>
        <w:rPr>
          <w:rFonts w:ascii="Verdana" w:hAnsi="Verdana"/>
          <w:sz w:val="20"/>
          <w:szCs w:val="20"/>
        </w:rPr>
        <w:t>actuación</w:t>
      </w:r>
      <w:r w:rsidR="005D3F76">
        <w:rPr>
          <w:rFonts w:ascii="Verdana" w:hAnsi="Verdana"/>
          <w:sz w:val="20"/>
          <w:szCs w:val="20"/>
        </w:rPr>
        <w:t xml:space="preserve">. </w:t>
      </w:r>
    </w:p>
    <w:p w14:paraId="00022907" w14:textId="77777777" w:rsidR="005D3F76" w:rsidRDefault="005D3F76" w:rsidP="00F84D0B">
      <w:pPr>
        <w:pStyle w:val="Textoindependiente"/>
        <w:spacing w:before="90"/>
        <w:jc w:val="both"/>
        <w:rPr>
          <w:rFonts w:ascii="Verdana" w:hAnsi="Verdana"/>
          <w:sz w:val="20"/>
          <w:szCs w:val="20"/>
        </w:rPr>
      </w:pPr>
    </w:p>
    <w:p w14:paraId="7A1D6E1E"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Ejercicio</w:t>
      </w:r>
      <w:r w:rsidRPr="00260737">
        <w:rPr>
          <w:rFonts w:ascii="Verdana" w:eastAsia="Arial" w:hAnsi="Verdana" w:cs="Arial"/>
          <w:b/>
          <w:bCs/>
          <w:spacing w:val="-2"/>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3"/>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2"/>
          <w:lang w:val="es-ES"/>
        </w:rPr>
        <w:t xml:space="preserve"> </w:t>
      </w:r>
      <w:r w:rsidRPr="00260737">
        <w:rPr>
          <w:rFonts w:ascii="Verdana" w:eastAsia="Arial" w:hAnsi="Verdana" w:cs="Arial"/>
          <w:b/>
          <w:bCs/>
          <w:lang w:val="es-ES"/>
        </w:rPr>
        <w:t>y</w:t>
      </w:r>
      <w:r w:rsidRPr="00260737">
        <w:rPr>
          <w:rFonts w:ascii="Verdana" w:eastAsia="Arial" w:hAnsi="Verdana" w:cs="Arial"/>
          <w:b/>
          <w:bCs/>
          <w:spacing w:val="-5"/>
          <w:lang w:val="es-ES"/>
        </w:rPr>
        <w:t xml:space="preserve"> </w:t>
      </w:r>
      <w:r w:rsidRPr="00260737">
        <w:rPr>
          <w:rFonts w:ascii="Verdana" w:eastAsia="Arial" w:hAnsi="Verdana" w:cs="Arial"/>
          <w:b/>
          <w:bCs/>
          <w:lang w:val="es-ES"/>
        </w:rPr>
        <w:t>vigilancia</w:t>
      </w:r>
    </w:p>
    <w:p w14:paraId="5616625E"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33C89886" w14:textId="77777777" w:rsidR="00AD3C17" w:rsidRPr="00260737" w:rsidRDefault="00AD3C17" w:rsidP="00F84D0B">
      <w:pPr>
        <w:widowControl w:val="0"/>
        <w:autoSpaceDE w:val="0"/>
        <w:autoSpaceDN w:val="0"/>
        <w:spacing w:after="0" w:line="240" w:lineRule="auto"/>
        <w:ind w:right="122"/>
        <w:jc w:val="both"/>
        <w:rPr>
          <w:rFonts w:ascii="Verdana" w:eastAsia="Arial MT" w:hAnsi="Verdana" w:cs="Arial"/>
          <w:sz w:val="20"/>
          <w:szCs w:val="20"/>
          <w:lang w:val="es-ES"/>
        </w:rPr>
      </w:pPr>
      <w:r w:rsidRPr="00260737">
        <w:rPr>
          <w:rFonts w:ascii="Verdana" w:eastAsia="Arial MT" w:hAnsi="Verdana" w:cs="Arial"/>
          <w:sz w:val="20"/>
          <w:szCs w:val="20"/>
          <w:lang w:val="es-ES"/>
        </w:rPr>
        <w:t>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las entidades estatales 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3190277E" w14:textId="77777777" w:rsidR="00AD3C17" w:rsidRPr="00260737" w:rsidRDefault="00AD3C17" w:rsidP="00F84D0B">
      <w:pPr>
        <w:widowControl w:val="0"/>
        <w:autoSpaceDE w:val="0"/>
        <w:autoSpaceDN w:val="0"/>
        <w:spacing w:after="0" w:line="240" w:lineRule="auto"/>
        <w:jc w:val="both"/>
        <w:rPr>
          <w:rFonts w:ascii="Verdana" w:eastAsia="Arial MT" w:hAnsi="Verdana" w:cs="Arial MT"/>
          <w:sz w:val="20"/>
          <w:szCs w:val="20"/>
          <w:lang w:val="es-ES"/>
        </w:rPr>
      </w:pPr>
    </w:p>
    <w:p w14:paraId="0247EC50"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w:hAnsi="Verdana" w:cs="Arial"/>
          <w:b/>
          <w:bCs/>
          <w:lang w:val="es-ES"/>
        </w:rPr>
        <w:t>CONTRATO ESTATAL</w:t>
      </w:r>
      <w:r w:rsidRPr="00260737">
        <w:rPr>
          <w:rFonts w:ascii="Verdana" w:eastAsia="Arial" w:hAnsi="Verdana" w:cs="Arial"/>
          <w:b/>
          <w:bCs/>
          <w:spacing w:val="3"/>
          <w:lang w:val="es-ES"/>
        </w:rPr>
        <w:t xml:space="preserve"> </w:t>
      </w:r>
      <w:r w:rsidRPr="00260737">
        <w:rPr>
          <w:rFonts w:ascii="Verdana" w:eastAsia="Arial" w:hAnsi="Verdana" w:cs="Arial"/>
          <w:b/>
          <w:bCs/>
          <w:lang w:val="es-ES"/>
        </w:rPr>
        <w:t>–</w:t>
      </w:r>
      <w:r w:rsidRPr="00260737">
        <w:rPr>
          <w:rFonts w:ascii="Verdana" w:eastAsia="Arial" w:hAnsi="Verdana" w:cs="Arial"/>
          <w:b/>
          <w:bCs/>
          <w:spacing w:val="-2"/>
          <w:lang w:val="es-ES"/>
        </w:rPr>
        <w:t xml:space="preserve"> </w:t>
      </w:r>
      <w:r w:rsidRPr="00260737">
        <w:rPr>
          <w:rFonts w:ascii="Verdana" w:eastAsia="Arial" w:hAnsi="Verdana" w:cs="Arial"/>
          <w:b/>
          <w:bCs/>
          <w:lang w:val="es-ES"/>
        </w:rPr>
        <w:t>Funciones</w:t>
      </w:r>
      <w:r w:rsidRPr="00260737">
        <w:rPr>
          <w:rFonts w:ascii="Verdana" w:eastAsia="Arial" w:hAnsi="Verdana" w:cs="Arial"/>
          <w:b/>
          <w:bCs/>
          <w:spacing w:val="-4"/>
          <w:lang w:val="es-ES"/>
        </w:rPr>
        <w:t xml:space="preserve"> </w:t>
      </w:r>
      <w:r w:rsidRPr="00260737">
        <w:rPr>
          <w:rFonts w:ascii="Verdana" w:eastAsia="Arial" w:hAnsi="Verdana" w:cs="Arial"/>
          <w:b/>
          <w:bCs/>
          <w:lang w:val="es-ES"/>
        </w:rPr>
        <w:t>de</w:t>
      </w:r>
      <w:r w:rsidRPr="00260737">
        <w:rPr>
          <w:rFonts w:ascii="Verdana" w:eastAsia="Arial" w:hAnsi="Verdana" w:cs="Arial"/>
          <w:b/>
          <w:bCs/>
          <w:spacing w:val="-2"/>
          <w:lang w:val="es-ES"/>
        </w:rPr>
        <w:t xml:space="preserve"> </w:t>
      </w:r>
      <w:r w:rsidRPr="00260737">
        <w:rPr>
          <w:rFonts w:ascii="Verdana" w:eastAsia="Arial" w:hAnsi="Verdana" w:cs="Arial"/>
          <w:b/>
          <w:bCs/>
          <w:lang w:val="es-ES"/>
        </w:rPr>
        <w:t>control</w:t>
      </w:r>
      <w:r w:rsidRPr="00260737">
        <w:rPr>
          <w:rFonts w:ascii="Verdana" w:eastAsia="Arial" w:hAnsi="Verdana" w:cs="Arial"/>
          <w:b/>
          <w:bCs/>
          <w:spacing w:val="-3"/>
          <w:lang w:val="es-ES"/>
        </w:rPr>
        <w:t xml:space="preserve"> </w:t>
      </w:r>
      <w:r w:rsidRPr="00260737">
        <w:rPr>
          <w:rFonts w:ascii="Verdana" w:eastAsia="Arial" w:hAnsi="Verdana" w:cs="Arial"/>
          <w:b/>
          <w:bCs/>
          <w:lang w:val="es-ES"/>
        </w:rPr>
        <w:t>y</w:t>
      </w:r>
      <w:r w:rsidRPr="00260737">
        <w:rPr>
          <w:rFonts w:ascii="Verdana" w:eastAsia="Arial" w:hAnsi="Verdana" w:cs="Arial"/>
          <w:b/>
          <w:bCs/>
          <w:spacing w:val="-3"/>
          <w:lang w:val="es-ES"/>
        </w:rPr>
        <w:t xml:space="preserve"> </w:t>
      </w:r>
      <w:r w:rsidRPr="00260737">
        <w:rPr>
          <w:rFonts w:ascii="Verdana" w:eastAsia="Arial" w:hAnsi="Verdana" w:cs="Arial"/>
          <w:b/>
          <w:bCs/>
          <w:lang w:val="es-ES"/>
        </w:rPr>
        <w:t>vigilancia</w:t>
      </w:r>
    </w:p>
    <w:p w14:paraId="1C415CE1"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1294F6D7"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z w:val="20"/>
          <w:szCs w:val="20"/>
          <w:lang w:val="es-ES"/>
        </w:rPr>
        <w:t>El seguimiento de la ejecución del contrato para la dirección, control y vigilancia de su</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correcto cumplimiento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Por esto, el EGCAP alude a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obligación mencionada, que guarda relación con el principio de responsabilidad que rige la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celebración y ejecución de los contratos estatales. Así, por ejemplo, los artículos 4, 5, 12, 14 y</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26</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pacing w:val="-1"/>
          <w:sz w:val="20"/>
          <w:szCs w:val="20"/>
          <w:lang w:val="es-ES"/>
        </w:rPr>
        <w:t>la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Ley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80</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1993</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consagran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normas</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relacionadas</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control</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vigilancia</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ejecución</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los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estatales.</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Estas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disposiciones</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establecen,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aspectos,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 xml:space="preserve">las entidades estatales </w:t>
      </w:r>
      <w:r w:rsidRPr="00260737">
        <w:rPr>
          <w:rFonts w:ascii="Verdana" w:eastAsia="Arial MT" w:hAnsi="Verdana" w:cs="Arial"/>
          <w:sz w:val="20"/>
          <w:szCs w:val="20"/>
          <w:lang w:val="es-ES"/>
        </w:rPr>
        <w:lastRenderedPageBreak/>
        <w:t>de velar por el correcto y oportuno cumplimiento de las prestaciones del</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contrato, las especificaciones de los bienes, obras y servicios objeto de este, y las condiciones</w:t>
      </w:r>
      <w:r w:rsidRPr="00260737">
        <w:rPr>
          <w:rFonts w:ascii="Verdana" w:eastAsia="Arial MT" w:hAnsi="Verdana" w:cs="Arial"/>
          <w:spacing w:val="1"/>
          <w:sz w:val="20"/>
          <w:szCs w:val="20"/>
          <w:lang w:val="es-ES"/>
        </w:rPr>
        <w:t xml:space="preserve"> </w:t>
      </w:r>
      <w:r w:rsidRPr="00260737">
        <w:rPr>
          <w:rFonts w:ascii="Verdana" w:eastAsia="Arial MT" w:hAnsi="Verdana" w:cs="Arial"/>
          <w:spacing w:val="-1"/>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pacing w:val="-1"/>
          <w:sz w:val="20"/>
          <w:szCs w:val="20"/>
          <w:lang w:val="es-ES"/>
        </w:rPr>
        <w:t>calidad</w:t>
      </w:r>
      <w:r w:rsidRPr="00260737">
        <w:rPr>
          <w:rFonts w:ascii="Verdana" w:eastAsia="Arial MT" w:hAnsi="Verdana" w:cs="Arial"/>
          <w:spacing w:val="-10"/>
          <w:sz w:val="20"/>
          <w:szCs w:val="20"/>
          <w:lang w:val="es-ES"/>
        </w:rPr>
        <w:t xml:space="preserve"> </w:t>
      </w:r>
      <w:r w:rsidRPr="00260737">
        <w:rPr>
          <w:rFonts w:ascii="Verdana" w:eastAsia="Arial MT" w:hAnsi="Verdana" w:cs="Arial"/>
          <w:spacing w:val="-1"/>
          <w:sz w:val="20"/>
          <w:szCs w:val="20"/>
          <w:lang w:val="es-ES"/>
        </w:rPr>
        <w:t>ofrecidas,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entre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otras.</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obligación</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se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predica,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2"/>
          <w:sz w:val="20"/>
          <w:szCs w:val="20"/>
          <w:lang w:val="es-ES"/>
        </w:rPr>
        <w:t xml:space="preserve"> </w:t>
      </w:r>
      <w:r w:rsidRPr="00260737">
        <w:rPr>
          <w:rFonts w:ascii="Verdana" w:eastAsia="Arial MT" w:hAnsi="Verdana" w:cs="Arial"/>
          <w:sz w:val="20"/>
          <w:szCs w:val="20"/>
          <w:lang w:val="es-ES"/>
        </w:rPr>
        <w:t>principio,</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del</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jefe</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representante</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legal de la entidad, por tener la responsabilidad de la dirección y manejo de la actividad</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contractual, pero también de los servidores públicos que intervienen en ella. En ese sentido, las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entidades estatales deben ejercer el control de la ejecución del contrato y, de ser el caso, tomar</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medidas para exigir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adecuado cumplimiento.</w:t>
      </w:r>
    </w:p>
    <w:p w14:paraId="77CE4B14" w14:textId="77777777" w:rsidR="00AD3C17" w:rsidRPr="00260737" w:rsidRDefault="00AD3C17" w:rsidP="00F84D0B">
      <w:pPr>
        <w:widowControl w:val="0"/>
        <w:autoSpaceDE w:val="0"/>
        <w:autoSpaceDN w:val="0"/>
        <w:spacing w:after="0" w:line="240" w:lineRule="auto"/>
        <w:jc w:val="both"/>
        <w:rPr>
          <w:rFonts w:ascii="Verdana" w:eastAsia="Arial MT" w:hAnsi="Verdana" w:cs="Arial MT"/>
          <w:b/>
          <w:sz w:val="20"/>
          <w:szCs w:val="20"/>
          <w:lang w:val="es-ES"/>
        </w:rPr>
      </w:pPr>
    </w:p>
    <w:p w14:paraId="40232837"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lang w:val="es-ES"/>
        </w:rPr>
      </w:pPr>
      <w:r w:rsidRPr="00260737">
        <w:rPr>
          <w:rFonts w:ascii="Verdana" w:eastAsia="Arial MT" w:hAnsi="Verdana" w:cs="Arial MT"/>
          <w:b/>
          <w:lang w:val="es-ES"/>
        </w:rPr>
        <w:t>SUPERVISIÓN</w:t>
      </w:r>
      <w:r w:rsidRPr="00260737">
        <w:rPr>
          <w:rFonts w:ascii="Verdana" w:eastAsia="Arial MT" w:hAnsi="Verdana" w:cs="Arial MT"/>
          <w:b/>
          <w:spacing w:val="-5"/>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Ejercicio</w:t>
      </w:r>
      <w:r w:rsidRPr="00260737">
        <w:rPr>
          <w:rFonts w:ascii="Verdana" w:eastAsia="Arial MT" w:hAnsi="Verdana" w:cs="Arial MT"/>
          <w:b/>
          <w:spacing w:val="-3"/>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Contratista</w:t>
      </w:r>
      <w:r w:rsidRPr="00260737">
        <w:rPr>
          <w:rFonts w:ascii="Verdana" w:eastAsia="Arial MT" w:hAnsi="Verdana" w:cs="Arial MT"/>
          <w:b/>
          <w:spacing w:val="-4"/>
          <w:lang w:val="es-ES"/>
        </w:rPr>
        <w:t xml:space="preserve"> </w:t>
      </w:r>
      <w:r w:rsidRPr="00260737">
        <w:rPr>
          <w:rFonts w:ascii="Verdana" w:eastAsia="Arial MT" w:hAnsi="Verdana" w:cs="Arial MT"/>
          <w:b/>
          <w:lang w:val="es-ES"/>
        </w:rPr>
        <w:t>–</w:t>
      </w:r>
      <w:r w:rsidRPr="00260737">
        <w:rPr>
          <w:rFonts w:ascii="Verdana" w:eastAsia="Arial MT" w:hAnsi="Verdana" w:cs="Arial MT"/>
          <w:b/>
          <w:spacing w:val="-5"/>
          <w:lang w:val="es-ES"/>
        </w:rPr>
        <w:t xml:space="preserve"> </w:t>
      </w:r>
      <w:r w:rsidRPr="00260737">
        <w:rPr>
          <w:rFonts w:ascii="Verdana" w:eastAsia="Arial MT" w:hAnsi="Verdana" w:cs="Arial MT"/>
          <w:b/>
          <w:lang w:val="es-ES"/>
        </w:rPr>
        <w:t>Apoyo</w:t>
      </w:r>
      <w:r w:rsidRPr="00260737">
        <w:rPr>
          <w:rFonts w:ascii="Verdana" w:eastAsia="Arial MT" w:hAnsi="Verdana" w:cs="Arial MT"/>
          <w:b/>
          <w:spacing w:val="-5"/>
          <w:lang w:val="es-ES"/>
        </w:rPr>
        <w:t xml:space="preserve"> </w:t>
      </w:r>
      <w:r w:rsidRPr="00260737">
        <w:rPr>
          <w:rFonts w:ascii="Verdana" w:eastAsia="Arial MT" w:hAnsi="Verdana" w:cs="Arial MT"/>
          <w:b/>
          <w:lang w:val="es-ES"/>
        </w:rPr>
        <w:t>a</w:t>
      </w:r>
      <w:r w:rsidRPr="00260737">
        <w:rPr>
          <w:rFonts w:ascii="Verdana" w:eastAsia="Arial MT" w:hAnsi="Verdana" w:cs="Arial MT"/>
          <w:b/>
          <w:spacing w:val="-4"/>
          <w:lang w:val="es-ES"/>
        </w:rPr>
        <w:t xml:space="preserve"> </w:t>
      </w:r>
      <w:r w:rsidRPr="00260737">
        <w:rPr>
          <w:rFonts w:ascii="Verdana" w:eastAsia="Arial MT" w:hAnsi="Verdana" w:cs="Arial MT"/>
          <w:b/>
          <w:lang w:val="es-ES"/>
        </w:rPr>
        <w:t>la</w:t>
      </w:r>
      <w:r w:rsidRPr="00260737">
        <w:rPr>
          <w:rFonts w:ascii="Verdana" w:eastAsia="Arial MT" w:hAnsi="Verdana" w:cs="Arial MT"/>
          <w:b/>
          <w:spacing w:val="-59"/>
          <w:lang w:val="es-ES"/>
        </w:rPr>
        <w:t xml:space="preserve"> </w:t>
      </w:r>
      <w:r w:rsidRPr="00260737">
        <w:rPr>
          <w:rFonts w:ascii="Verdana" w:eastAsia="Arial MT" w:hAnsi="Verdana" w:cs="Arial MT"/>
          <w:b/>
          <w:lang w:val="es-ES"/>
        </w:rPr>
        <w:t>supervisión</w:t>
      </w:r>
      <w:r w:rsidRPr="00260737">
        <w:rPr>
          <w:rFonts w:ascii="Verdana" w:eastAsia="Arial" w:hAnsi="Verdana" w:cs="Arial"/>
          <w:b/>
          <w:bCs/>
          <w:lang w:val="es-ES"/>
        </w:rPr>
        <w:t xml:space="preserve"> </w:t>
      </w:r>
    </w:p>
    <w:p w14:paraId="1FCA99D4" w14:textId="77777777" w:rsidR="00AD3C17" w:rsidRPr="00260737" w:rsidRDefault="00AD3C17" w:rsidP="00F84D0B">
      <w:pPr>
        <w:widowControl w:val="0"/>
        <w:autoSpaceDE w:val="0"/>
        <w:autoSpaceDN w:val="0"/>
        <w:spacing w:after="0" w:line="240" w:lineRule="auto"/>
        <w:jc w:val="both"/>
        <w:outlineLvl w:val="0"/>
        <w:rPr>
          <w:rFonts w:ascii="Verdana" w:eastAsia="Arial" w:hAnsi="Verdana" w:cs="Arial"/>
          <w:b/>
          <w:bCs/>
          <w:sz w:val="20"/>
          <w:szCs w:val="20"/>
          <w:lang w:val="es-ES"/>
        </w:rPr>
      </w:pPr>
    </w:p>
    <w:p w14:paraId="3A7C174F"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r w:rsidRPr="00260737">
        <w:rPr>
          <w:rFonts w:ascii="Verdana" w:eastAsia="Arial MT" w:hAnsi="Verdana" w:cs="Arial"/>
          <w:spacing w:val="-1"/>
          <w:sz w:val="20"/>
          <w:szCs w:val="20"/>
          <w:lang w:val="es-ES"/>
        </w:rPr>
        <w:t>[…] se</w:t>
      </w:r>
      <w:r w:rsidRPr="00260737">
        <w:rPr>
          <w:rFonts w:ascii="Verdana" w:eastAsia="Arial MT" w:hAnsi="Verdana" w:cs="Arial"/>
          <w:spacing w:val="-19"/>
          <w:sz w:val="20"/>
          <w:szCs w:val="20"/>
          <w:lang w:val="es-ES"/>
        </w:rPr>
        <w:t xml:space="preserve"> </w:t>
      </w:r>
      <w:r w:rsidRPr="00260737">
        <w:rPr>
          <w:rFonts w:ascii="Verdana" w:eastAsia="Arial MT" w:hAnsi="Verdana" w:cs="Arial"/>
          <w:spacing w:val="-1"/>
          <w:sz w:val="20"/>
          <w:szCs w:val="20"/>
          <w:lang w:val="es-ES"/>
        </w:rPr>
        <w:t>reitera</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lo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expuesto</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en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el</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concepto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emitido</w:t>
      </w:r>
      <w:r w:rsidRPr="00260737">
        <w:rPr>
          <w:rFonts w:ascii="Verdana" w:eastAsia="Arial MT" w:hAnsi="Verdana" w:cs="Arial"/>
          <w:spacing w:val="-14"/>
          <w:sz w:val="20"/>
          <w:szCs w:val="20"/>
          <w:lang w:val="es-ES"/>
        </w:rPr>
        <w:t xml:space="preserve"> </w:t>
      </w:r>
      <w:r w:rsidRPr="00260737">
        <w:rPr>
          <w:rFonts w:ascii="Verdana" w:eastAsia="Arial MT" w:hAnsi="Verdana" w:cs="Arial"/>
          <w:sz w:val="20"/>
          <w:szCs w:val="20"/>
          <w:lang w:val="es-ES"/>
        </w:rPr>
        <w:t>por</w:t>
      </w:r>
      <w:r w:rsidRPr="00260737">
        <w:rPr>
          <w:rFonts w:ascii="Verdana" w:eastAsia="Arial MT" w:hAnsi="Verdana" w:cs="Arial"/>
          <w:spacing w:val="-15"/>
          <w:sz w:val="20"/>
          <w:szCs w:val="20"/>
          <w:lang w:val="es-ES"/>
        </w:rPr>
        <w:t xml:space="preserve"> </w:t>
      </w:r>
      <w:r w:rsidRPr="00260737">
        <w:rPr>
          <w:rFonts w:ascii="Verdana" w:eastAsia="Arial MT" w:hAnsi="Verdana" w:cs="Arial"/>
          <w:sz w:val="20"/>
          <w:szCs w:val="20"/>
          <w:lang w:val="es-ES"/>
        </w:rPr>
        <w:t>esta</w:t>
      </w:r>
      <w:r w:rsidRPr="00260737">
        <w:rPr>
          <w:rFonts w:ascii="Verdana" w:eastAsia="Arial MT" w:hAnsi="Verdana" w:cs="Arial"/>
          <w:spacing w:val="-16"/>
          <w:sz w:val="20"/>
          <w:szCs w:val="20"/>
          <w:lang w:val="es-ES"/>
        </w:rPr>
        <w:t xml:space="preserve"> </w:t>
      </w:r>
      <w:r w:rsidRPr="00260737">
        <w:rPr>
          <w:rFonts w:ascii="Verdana" w:eastAsia="Arial MT" w:hAnsi="Verdana" w:cs="Arial"/>
          <w:sz w:val="20"/>
          <w:szCs w:val="20"/>
          <w:lang w:val="es-ES"/>
        </w:rPr>
        <w:t>Agencia</w:t>
      </w:r>
      <w:r w:rsidRPr="00260737">
        <w:rPr>
          <w:rFonts w:ascii="Verdana" w:eastAsia="Arial MT" w:hAnsi="Verdana" w:cs="Arial"/>
          <w:spacing w:val="-13"/>
          <w:sz w:val="20"/>
          <w:szCs w:val="20"/>
          <w:lang w:val="es-ES"/>
        </w:rPr>
        <w:t xml:space="preserve"> </w:t>
      </w:r>
      <w:r w:rsidRPr="00260737">
        <w:rPr>
          <w:rFonts w:ascii="Verdana" w:eastAsia="Arial MT" w:hAnsi="Verdana" w:cs="Arial"/>
          <w:sz w:val="20"/>
          <w:szCs w:val="20"/>
          <w:lang w:val="es-ES"/>
        </w:rPr>
        <w:t>con</w:t>
      </w:r>
      <w:r w:rsidRPr="00260737">
        <w:rPr>
          <w:rFonts w:ascii="Verdana" w:eastAsia="Arial MT" w:hAnsi="Verdana" w:cs="Arial"/>
          <w:spacing w:val="-17"/>
          <w:sz w:val="20"/>
          <w:szCs w:val="20"/>
          <w:lang w:val="es-ES"/>
        </w:rPr>
        <w:t xml:space="preserve"> </w:t>
      </w:r>
      <w:r w:rsidRPr="00260737">
        <w:rPr>
          <w:rFonts w:ascii="Verdana" w:eastAsia="Arial MT" w:hAnsi="Verdana" w:cs="Arial"/>
          <w:sz w:val="20"/>
          <w:szCs w:val="20"/>
          <w:lang w:val="es-ES"/>
        </w:rPr>
        <w:t>radicado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4201913000008240, del 20 de diciembre de 2019, en cuya oportunidad se señaló</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que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seguimiento de la ejecución del contrato para su dirección, control y vigilancia del correcto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cumplimiento del objeto es un deber legal que permite a las entidades estatales tomar medidas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orientadas a la satisfacción de los fines de la contratación, dentro de las cuales, se encuentra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posibilidad de pactar y ejercer las cláusulas exorbitantes, la designación de una supervisión o la</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contratación de una interventoría para vigilar la ejecución del contrato y la facultad de pactar 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imponer multas, cláusula penal o hacer efectivas las garantías del contrato, previa declaratoria</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 incumplimiento de las obligaciones del contrato, en aras de lograr la satisfacción de las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necesidades de bienes, obras o servicios que se pretenden suplir con la celebración de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estatales”.</w:t>
      </w:r>
    </w:p>
    <w:p w14:paraId="4596FB81"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w:sz w:val="20"/>
          <w:szCs w:val="20"/>
          <w:lang w:val="es-ES"/>
        </w:rPr>
      </w:pPr>
    </w:p>
    <w:p w14:paraId="4C3B5A7B" w14:textId="77777777" w:rsidR="00AD3C17" w:rsidRPr="00260737" w:rsidRDefault="00AD3C17" w:rsidP="00F84D0B">
      <w:pPr>
        <w:widowControl w:val="0"/>
        <w:autoSpaceDE w:val="0"/>
        <w:autoSpaceDN w:val="0"/>
        <w:spacing w:after="0" w:line="240" w:lineRule="auto"/>
        <w:ind w:right="113"/>
        <w:jc w:val="both"/>
        <w:rPr>
          <w:rFonts w:ascii="Verdana" w:eastAsia="Arial MT" w:hAnsi="Verdana" w:cs="Arial MT"/>
          <w:sz w:val="20"/>
          <w:szCs w:val="20"/>
          <w:lang w:val="es-ES"/>
        </w:rPr>
      </w:pPr>
      <w:r w:rsidRPr="00260737">
        <w:rPr>
          <w:rFonts w:ascii="Verdana" w:eastAsia="Arial MT" w:hAnsi="Verdana" w:cs="Arial"/>
          <w:sz w:val="20"/>
          <w:szCs w:val="20"/>
          <w:lang w:val="es-ES"/>
        </w:rPr>
        <w:t>Por lo tanto, la responsabilidad por el control y vigilancia de la ejecución del contrato está</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a cargo de la entidad estatal contratante y, en consecuencia, es esta quien debe supervisar los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mediante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sus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funcionarios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servidores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públicos,</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únicamente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puede</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contratar</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personal en caso de necesitarlo como apoyo a su gestión en la supervisión. De este modo, el</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contratista podría fungir de apoyo a la supervisión del contrato, en la medida en que el contrato</w:t>
      </w:r>
      <w:r w:rsidRPr="00260737">
        <w:rPr>
          <w:rFonts w:ascii="Verdana" w:eastAsia="Arial MT" w:hAnsi="Verdana" w:cs="Arial"/>
          <w:spacing w:val="1"/>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prestación</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6"/>
          <w:sz w:val="20"/>
          <w:szCs w:val="20"/>
          <w:lang w:val="es-ES"/>
        </w:rPr>
        <w:t xml:space="preserve"> </w:t>
      </w:r>
      <w:r w:rsidRPr="00260737">
        <w:rPr>
          <w:rFonts w:ascii="Verdana" w:eastAsia="Arial MT" w:hAnsi="Verdana" w:cs="Arial"/>
          <w:sz w:val="20"/>
          <w:szCs w:val="20"/>
          <w:lang w:val="es-ES"/>
        </w:rPr>
        <w:t>servicios</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profesionales</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apoyo</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a</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gestión</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tenga</w:t>
      </w:r>
      <w:r w:rsidRPr="00260737">
        <w:rPr>
          <w:rFonts w:ascii="Verdana" w:eastAsia="Arial MT" w:hAnsi="Verdana" w:cs="Arial"/>
          <w:spacing w:val="-3"/>
          <w:sz w:val="20"/>
          <w:szCs w:val="20"/>
          <w:lang w:val="es-ES"/>
        </w:rPr>
        <w:t xml:space="preserve"> </w:t>
      </w:r>
      <w:r w:rsidRPr="00260737">
        <w:rPr>
          <w:rFonts w:ascii="Verdana" w:eastAsia="Arial MT" w:hAnsi="Verdana" w:cs="Arial"/>
          <w:sz w:val="20"/>
          <w:szCs w:val="20"/>
          <w:lang w:val="es-ES"/>
        </w:rPr>
        <w:t>como</w:t>
      </w:r>
      <w:r w:rsidRPr="00260737">
        <w:rPr>
          <w:rFonts w:ascii="Verdana" w:eastAsia="Arial MT" w:hAnsi="Verdana" w:cs="Arial"/>
          <w:spacing w:val="-4"/>
          <w:sz w:val="20"/>
          <w:szCs w:val="20"/>
          <w:lang w:val="es-ES"/>
        </w:rPr>
        <w:t xml:space="preserve"> </w:t>
      </w:r>
      <w:r w:rsidRPr="00260737">
        <w:rPr>
          <w:rFonts w:ascii="Verdana" w:eastAsia="Arial MT" w:hAnsi="Verdana" w:cs="Arial"/>
          <w:sz w:val="20"/>
          <w:szCs w:val="20"/>
          <w:lang w:val="es-ES"/>
        </w:rPr>
        <w:t>objeto</w:t>
      </w:r>
      <w:r w:rsidRPr="00260737">
        <w:rPr>
          <w:rFonts w:ascii="Verdana" w:eastAsia="Arial MT" w:hAnsi="Verdana" w:cs="Arial"/>
          <w:spacing w:val="-5"/>
          <w:sz w:val="20"/>
          <w:szCs w:val="20"/>
          <w:lang w:val="es-ES"/>
        </w:rPr>
        <w:t xml:space="preserve"> </w:t>
      </w:r>
      <w:r w:rsidRPr="00260737">
        <w:rPr>
          <w:rFonts w:ascii="Verdana" w:eastAsia="Arial MT" w:hAnsi="Verdana" w:cs="Arial"/>
          <w:sz w:val="20"/>
          <w:szCs w:val="20"/>
          <w:lang w:val="es-ES"/>
        </w:rPr>
        <w:t>obligaciones</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dirigidas a apoyar dicha actividad de supervisión de contratos. En tal sentido, los contratistas no</w:t>
      </w:r>
      <w:r w:rsidRPr="00260737">
        <w:rPr>
          <w:rFonts w:ascii="Verdana" w:eastAsia="Arial MT" w:hAnsi="Verdana" w:cs="Arial"/>
          <w:spacing w:val="-59"/>
          <w:sz w:val="20"/>
          <w:szCs w:val="20"/>
          <w:lang w:val="es-ES"/>
        </w:rPr>
        <w:t xml:space="preserve"> </w:t>
      </w:r>
      <w:r w:rsidRPr="00260737">
        <w:rPr>
          <w:rFonts w:ascii="Verdana" w:eastAsia="Arial MT" w:hAnsi="Verdana" w:cs="Arial"/>
          <w:sz w:val="20"/>
          <w:szCs w:val="20"/>
          <w:lang w:val="es-ES"/>
        </w:rPr>
        <w:t>pueden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asumir</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11"/>
          <w:sz w:val="20"/>
          <w:szCs w:val="20"/>
          <w:lang w:val="es-ES"/>
        </w:rPr>
        <w:t xml:space="preserve"> </w:t>
      </w:r>
      <w:r w:rsidRPr="00260737">
        <w:rPr>
          <w:rFonts w:ascii="Verdana" w:eastAsia="Arial MT" w:hAnsi="Verdana" w:cs="Arial"/>
          <w:sz w:val="20"/>
          <w:szCs w:val="20"/>
          <w:lang w:val="es-ES"/>
        </w:rPr>
        <w:t>forma</w:t>
      </w:r>
      <w:r w:rsidRPr="00260737">
        <w:rPr>
          <w:rFonts w:ascii="Verdana" w:eastAsia="Arial MT" w:hAnsi="Verdana" w:cs="Arial"/>
          <w:spacing w:val="-9"/>
          <w:sz w:val="20"/>
          <w:szCs w:val="20"/>
          <w:lang w:val="es-ES"/>
        </w:rPr>
        <w:t xml:space="preserve"> </w:t>
      </w:r>
      <w:r w:rsidRPr="00260737">
        <w:rPr>
          <w:rFonts w:ascii="Verdana" w:eastAsia="Arial MT" w:hAnsi="Verdana" w:cs="Arial"/>
          <w:sz w:val="20"/>
          <w:szCs w:val="20"/>
          <w:lang w:val="es-ES"/>
        </w:rPr>
        <w:t>íntegra,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directa</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y</w:t>
      </w:r>
      <w:r w:rsidRPr="00260737">
        <w:rPr>
          <w:rFonts w:ascii="Verdana" w:eastAsia="Arial MT" w:hAnsi="Verdana" w:cs="Arial"/>
          <w:spacing w:val="-10"/>
          <w:sz w:val="20"/>
          <w:szCs w:val="20"/>
          <w:lang w:val="es-ES"/>
        </w:rPr>
        <w:t xml:space="preserve"> </w:t>
      </w:r>
      <w:r w:rsidRPr="00260737">
        <w:rPr>
          <w:rFonts w:ascii="Verdana" w:eastAsia="Arial MT" w:hAnsi="Verdana" w:cs="Arial"/>
          <w:sz w:val="20"/>
          <w:szCs w:val="20"/>
          <w:lang w:val="es-ES"/>
        </w:rPr>
        <w:t>excluyente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la</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actividad</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supervisión</w:t>
      </w:r>
      <w:r w:rsidRPr="00260737">
        <w:rPr>
          <w:rFonts w:ascii="Verdana" w:eastAsia="Arial MT" w:hAnsi="Verdana" w:cs="Arial"/>
          <w:spacing w:val="-8"/>
          <w:sz w:val="20"/>
          <w:szCs w:val="20"/>
          <w:lang w:val="es-ES"/>
        </w:rPr>
        <w:t xml:space="preserve"> </w:t>
      </w:r>
      <w:r w:rsidRPr="00260737">
        <w:rPr>
          <w:rFonts w:ascii="Verdana" w:eastAsia="Arial MT" w:hAnsi="Verdana" w:cs="Arial"/>
          <w:sz w:val="20"/>
          <w:szCs w:val="20"/>
          <w:lang w:val="es-ES"/>
        </w:rPr>
        <w:t>de</w:t>
      </w:r>
      <w:r w:rsidRPr="00260737">
        <w:rPr>
          <w:rFonts w:ascii="Verdana" w:eastAsia="Arial MT" w:hAnsi="Verdana" w:cs="Arial"/>
          <w:spacing w:val="-7"/>
          <w:sz w:val="20"/>
          <w:szCs w:val="20"/>
          <w:lang w:val="es-ES"/>
        </w:rPr>
        <w:t xml:space="preserve"> </w:t>
      </w:r>
      <w:r w:rsidRPr="00260737">
        <w:rPr>
          <w:rFonts w:ascii="Verdana" w:eastAsia="Arial MT" w:hAnsi="Verdana" w:cs="Arial"/>
          <w:sz w:val="20"/>
          <w:szCs w:val="20"/>
          <w:lang w:val="es-ES"/>
        </w:rPr>
        <w:t xml:space="preserve">los contratos estatales. </w:t>
      </w:r>
    </w:p>
    <w:p w14:paraId="1C0AF9A0" w14:textId="77777777" w:rsidR="00AD3C17" w:rsidRPr="00260737" w:rsidRDefault="00AD3C17" w:rsidP="00AD3C17">
      <w:pPr>
        <w:spacing w:after="0"/>
        <w:rPr>
          <w:rFonts w:ascii="Verdana" w:hAnsi="Verdana"/>
          <w:lang w:val="es-ES"/>
        </w:rPr>
      </w:pPr>
    </w:p>
    <w:p w14:paraId="2B55590D" w14:textId="77777777" w:rsidR="005D3F76" w:rsidRDefault="005D3F76" w:rsidP="005B1A18">
      <w:pPr>
        <w:pStyle w:val="Textoindependiente"/>
        <w:spacing w:before="90"/>
        <w:jc w:val="both"/>
        <w:rPr>
          <w:rFonts w:ascii="Verdana" w:hAnsi="Verdana"/>
          <w:sz w:val="20"/>
          <w:szCs w:val="20"/>
        </w:rPr>
      </w:pPr>
    </w:p>
    <w:p w14:paraId="15FDCCDB" w14:textId="77777777" w:rsidR="005B1A18" w:rsidRDefault="005B1A18" w:rsidP="005B1A18">
      <w:pPr>
        <w:pStyle w:val="Textoindependiente"/>
        <w:spacing w:before="90"/>
        <w:jc w:val="both"/>
        <w:rPr>
          <w:rFonts w:ascii="Verdana" w:hAnsi="Verdana"/>
          <w:sz w:val="20"/>
          <w:szCs w:val="20"/>
        </w:rPr>
      </w:pPr>
    </w:p>
    <w:p w14:paraId="1705479D" w14:textId="77777777" w:rsidR="005B1A18" w:rsidRDefault="005B1A18" w:rsidP="005B1A18">
      <w:pPr>
        <w:pStyle w:val="Textoindependiente"/>
        <w:spacing w:before="90"/>
        <w:jc w:val="both"/>
        <w:rPr>
          <w:rFonts w:ascii="Verdana" w:hAnsi="Verdana"/>
          <w:sz w:val="20"/>
          <w:szCs w:val="20"/>
        </w:rPr>
      </w:pPr>
    </w:p>
    <w:p w14:paraId="4A38BB78" w14:textId="77777777" w:rsidR="005B1A18" w:rsidRDefault="005B1A18" w:rsidP="005B1A18">
      <w:pPr>
        <w:pStyle w:val="Textoindependiente"/>
        <w:spacing w:before="90"/>
        <w:jc w:val="both"/>
        <w:rPr>
          <w:rFonts w:ascii="Verdana" w:hAnsi="Verdana"/>
          <w:sz w:val="20"/>
          <w:szCs w:val="20"/>
        </w:rPr>
      </w:pPr>
    </w:p>
    <w:p w14:paraId="34B6FCF3" w14:textId="77777777" w:rsidR="005B1A18" w:rsidRDefault="005B1A18" w:rsidP="005B1A18">
      <w:pPr>
        <w:pStyle w:val="Textoindependiente"/>
        <w:spacing w:before="90"/>
        <w:jc w:val="both"/>
        <w:rPr>
          <w:rFonts w:ascii="Verdana" w:hAnsi="Verdana"/>
          <w:sz w:val="20"/>
          <w:szCs w:val="20"/>
        </w:rPr>
      </w:pPr>
    </w:p>
    <w:p w14:paraId="484608EB" w14:textId="77777777" w:rsidR="005B1A18" w:rsidRDefault="005B1A18" w:rsidP="005B1A18">
      <w:pPr>
        <w:pStyle w:val="Textoindependiente"/>
        <w:spacing w:before="90"/>
        <w:jc w:val="both"/>
        <w:rPr>
          <w:rFonts w:ascii="Verdana" w:hAnsi="Verdana"/>
          <w:sz w:val="20"/>
          <w:szCs w:val="20"/>
        </w:rPr>
      </w:pPr>
    </w:p>
    <w:p w14:paraId="0BE0BCAB" w14:textId="77777777" w:rsidR="005B1A18" w:rsidRDefault="005B1A18" w:rsidP="005B1A18">
      <w:pPr>
        <w:pStyle w:val="Textoindependiente"/>
        <w:spacing w:before="90"/>
        <w:jc w:val="both"/>
        <w:rPr>
          <w:rFonts w:ascii="Verdana" w:hAnsi="Verdana"/>
          <w:sz w:val="20"/>
          <w:szCs w:val="20"/>
        </w:rPr>
      </w:pPr>
    </w:p>
    <w:p w14:paraId="1C9E7244" w14:textId="15366C92" w:rsidR="00BD1E5A" w:rsidRPr="00F84D0B" w:rsidRDefault="002675E2" w:rsidP="005B1A18">
      <w:pPr>
        <w:pStyle w:val="Textoindependiente"/>
        <w:spacing w:before="90"/>
        <w:jc w:val="both"/>
        <w:rPr>
          <w:rFonts w:ascii="Verdana" w:hAnsi="Verdana"/>
        </w:rPr>
      </w:pPr>
      <w:r w:rsidRPr="00F84D0B">
        <w:rPr>
          <w:rFonts w:ascii="Verdana" w:hAnsi="Verdana"/>
          <w:noProof/>
        </w:rPr>
        <w:lastRenderedPageBreak/>
        <w:drawing>
          <wp:anchor distT="0" distB="0" distL="114300" distR="114300" simplePos="0" relativeHeight="251659264" behindDoc="1" locked="0" layoutInCell="1" allowOverlap="1" wp14:anchorId="4E6A8D7F" wp14:editId="5509A2CB">
            <wp:simplePos x="0" y="0"/>
            <wp:positionH relativeFrom="column">
              <wp:posOffset>3192780</wp:posOffset>
            </wp:positionH>
            <wp:positionV relativeFrom="paragraph">
              <wp:posOffset>135255</wp:posOffset>
            </wp:positionV>
            <wp:extent cx="2505075" cy="685800"/>
            <wp:effectExtent l="0" t="0" r="9525" b="0"/>
            <wp:wrapTight wrapText="bothSides">
              <wp:wrapPolygon edited="0">
                <wp:start x="0" y="0"/>
                <wp:lineTo x="0" y="21000"/>
                <wp:lineTo x="21518" y="21000"/>
                <wp:lineTo x="21518" y="0"/>
                <wp:lineTo x="0" y="0"/>
              </wp:wrapPolygon>
            </wp:wrapTight>
            <wp:docPr id="69205141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05141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05075" cy="685800"/>
                    </a:xfrm>
                    <a:prstGeom prst="rect">
                      <a:avLst/>
                    </a:prstGeom>
                  </pic:spPr>
                </pic:pic>
              </a:graphicData>
            </a:graphic>
          </wp:anchor>
        </w:drawing>
      </w:r>
      <w:r w:rsidRPr="00F84D0B">
        <w:rPr>
          <w:rFonts w:ascii="Verdana" w:hAnsi="Verdana"/>
          <w:lang w:val="es-CO"/>
        </w:rPr>
        <w:t xml:space="preserve">Bogotá D.C., 17 febrero 2026 </w:t>
      </w:r>
    </w:p>
    <w:p w14:paraId="0592584C" w14:textId="51EBE88C" w:rsidR="00BD1E5A" w:rsidRDefault="00BD1E5A" w:rsidP="00BD1E5A">
      <w:pPr>
        <w:spacing w:after="0" w:line="240" w:lineRule="auto"/>
        <w:rPr>
          <w:rFonts w:ascii="Verdana" w:hAnsi="Verdana"/>
        </w:rPr>
      </w:pPr>
    </w:p>
    <w:p w14:paraId="23AF2574" w14:textId="3983ED61" w:rsidR="00F41280" w:rsidRDefault="00F41280" w:rsidP="00BD1E5A">
      <w:pPr>
        <w:spacing w:after="0" w:line="240" w:lineRule="auto"/>
        <w:rPr>
          <w:rFonts w:ascii="Verdana" w:hAnsi="Verdana"/>
        </w:rPr>
      </w:pPr>
    </w:p>
    <w:bookmarkEnd w:id="0"/>
    <w:p w14:paraId="1444FDE0" w14:textId="34E36716" w:rsidR="00BD1E5A" w:rsidRDefault="00BD1E5A" w:rsidP="00BD1E5A">
      <w:pPr>
        <w:spacing w:after="0" w:line="240" w:lineRule="auto"/>
        <w:rPr>
          <w:rFonts w:ascii="Verdana" w:hAnsi="Verdana"/>
        </w:rPr>
      </w:pPr>
    </w:p>
    <w:p w14:paraId="35CC3711" w14:textId="77777777" w:rsidR="00BD1E5A" w:rsidRPr="00631045" w:rsidRDefault="00BD1E5A" w:rsidP="00BD1E5A">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66965F5" w14:textId="77777777" w:rsidR="00BD1E5A" w:rsidRDefault="00BD1E5A" w:rsidP="00BD1E5A">
      <w:pPr>
        <w:spacing w:after="0" w:line="240" w:lineRule="auto"/>
        <w:rPr>
          <w:rFonts w:ascii="Verdana" w:eastAsia="Calibri" w:hAnsi="Verdana" w:cs="Arial"/>
          <w:b/>
          <w:bCs/>
          <w:lang w:eastAsia="es-ES"/>
        </w:rPr>
      </w:pPr>
      <w:r w:rsidRPr="006939EC">
        <w:rPr>
          <w:rFonts w:ascii="Verdana" w:eastAsia="Calibri" w:hAnsi="Verdana" w:cs="Arial"/>
          <w:b/>
          <w:bCs/>
          <w:lang w:eastAsia="es-ES"/>
        </w:rPr>
        <w:t>Héctor Javier Herrera López</w:t>
      </w:r>
    </w:p>
    <w:p w14:paraId="44795F97" w14:textId="77777777" w:rsidR="00BD1E5A" w:rsidRPr="006939EC" w:rsidRDefault="00BD1E5A" w:rsidP="00BD1E5A">
      <w:pPr>
        <w:spacing w:after="0" w:line="240" w:lineRule="auto"/>
        <w:rPr>
          <w:rFonts w:ascii="Verdana" w:hAnsi="Verdana"/>
        </w:rPr>
      </w:pPr>
      <w:hyperlink r:id="rId11" w:history="1">
        <w:r w:rsidRPr="006939EC">
          <w:rPr>
            <w:rStyle w:val="Hipervnculo"/>
            <w:rFonts w:ascii="Verdana" w:hAnsi="Verdana"/>
          </w:rPr>
          <w:t>soluciones@activosti.com</w:t>
        </w:r>
      </w:hyperlink>
    </w:p>
    <w:p w14:paraId="7F54F9CB" w14:textId="77777777" w:rsidR="00BD1E5A" w:rsidRDefault="00BD1E5A" w:rsidP="00BD1E5A">
      <w:pPr>
        <w:spacing w:after="0" w:line="240" w:lineRule="auto"/>
        <w:rPr>
          <w:rFonts w:ascii="Verdana" w:hAnsi="Verdana"/>
        </w:rPr>
      </w:pPr>
      <w:r>
        <w:rPr>
          <w:rFonts w:ascii="Verdana" w:hAnsi="Verdana"/>
        </w:rPr>
        <w:t>Bogotá D.C.</w:t>
      </w:r>
      <w:r w:rsidRPr="00ED46C7">
        <w:rPr>
          <w:rFonts w:ascii="Verdana" w:hAnsi="Verdana"/>
        </w:rPr>
        <w:t xml:space="preserve"> </w:t>
      </w:r>
    </w:p>
    <w:p w14:paraId="79FFEE0F" w14:textId="77777777" w:rsidR="00BD1E5A" w:rsidRPr="00FE3DEC" w:rsidRDefault="00BD1E5A" w:rsidP="00BD1E5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D1E5A" w:rsidRPr="00593A5F" w14:paraId="0A6EFE1C" w14:textId="77777777" w:rsidTr="003C1E28">
        <w:trPr>
          <w:trHeight w:val="273"/>
        </w:trPr>
        <w:tc>
          <w:tcPr>
            <w:tcW w:w="2295" w:type="dxa"/>
          </w:tcPr>
          <w:p w14:paraId="6A5CA577" w14:textId="77777777" w:rsidR="00BD1E5A" w:rsidRPr="00E5644F" w:rsidRDefault="00BD1E5A" w:rsidP="003C1E28">
            <w:pPr>
              <w:jc w:val="both"/>
              <w:rPr>
                <w:rFonts w:ascii="Verdana" w:eastAsia="Calibri" w:hAnsi="Verdana" w:cs="Arial"/>
                <w:b/>
                <w:bCs/>
                <w:color w:val="7030A0"/>
                <w:lang w:val="es-ES_tradnl" w:eastAsia="es-ES_tradnl"/>
              </w:rPr>
            </w:pPr>
          </w:p>
        </w:tc>
        <w:tc>
          <w:tcPr>
            <w:tcW w:w="6481" w:type="dxa"/>
            <w:gridSpan w:val="2"/>
          </w:tcPr>
          <w:p w14:paraId="7F44B558" w14:textId="77777777" w:rsidR="00BD1E5A" w:rsidRPr="001773DA" w:rsidRDefault="00BD1E5A" w:rsidP="003C1E28">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 xml:space="preserve">016 </w:t>
            </w:r>
            <w:r w:rsidRPr="001773DA">
              <w:rPr>
                <w:rFonts w:ascii="Verdana" w:eastAsia="Calibri" w:hAnsi="Verdana" w:cs="Arial"/>
                <w:b/>
                <w:bCs/>
                <w:lang w:val="es-ES" w:eastAsia="es-ES"/>
              </w:rPr>
              <w:t>de 202</w:t>
            </w:r>
            <w:r>
              <w:rPr>
                <w:rFonts w:ascii="Verdana" w:eastAsia="Calibri" w:hAnsi="Verdana" w:cs="Arial"/>
                <w:b/>
                <w:bCs/>
                <w:lang w:val="es-ES" w:eastAsia="es-ES"/>
              </w:rPr>
              <w:t>6</w:t>
            </w:r>
          </w:p>
          <w:p w14:paraId="09EDFF7C" w14:textId="77777777" w:rsidR="00BD1E5A" w:rsidRPr="001773DA" w:rsidRDefault="00BD1E5A" w:rsidP="003C1E28">
            <w:pPr>
              <w:jc w:val="both"/>
              <w:rPr>
                <w:rFonts w:ascii="Verdana" w:eastAsia="Calibri" w:hAnsi="Verdana" w:cs="Arial"/>
                <w:b/>
                <w:bCs/>
                <w:color w:val="7030A0"/>
                <w:lang w:val="es-ES" w:eastAsia="es-ES"/>
              </w:rPr>
            </w:pPr>
          </w:p>
        </w:tc>
      </w:tr>
      <w:tr w:rsidR="00BD1E5A" w:rsidRPr="00280D79" w14:paraId="7536249B" w14:textId="77777777" w:rsidTr="003C1E28">
        <w:trPr>
          <w:trHeight w:val="1583"/>
        </w:trPr>
        <w:tc>
          <w:tcPr>
            <w:tcW w:w="2295" w:type="dxa"/>
          </w:tcPr>
          <w:p w14:paraId="5F172547" w14:textId="77777777" w:rsidR="00BD1E5A" w:rsidRPr="00593A5F" w:rsidRDefault="00BD1E5A" w:rsidP="003C1E2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5FDFBF9" w14:textId="77777777" w:rsidR="00BD1E5A" w:rsidRPr="00782182" w:rsidRDefault="00BD1E5A" w:rsidP="000D6420">
            <w:pPr>
              <w:spacing w:line="276" w:lineRule="auto"/>
              <w:jc w:val="both"/>
              <w:rPr>
                <w:rFonts w:ascii="Verdana" w:eastAsia="Calibri" w:hAnsi="Verdana" w:cs="Arial"/>
                <w:lang w:val="es-ES" w:eastAsia="es-ES"/>
              </w:rPr>
            </w:pPr>
            <w:r w:rsidRPr="00E87EA6">
              <w:rPr>
                <w:rFonts w:ascii="Verdana" w:eastAsia="Calibri" w:hAnsi="Verdana" w:cs="Arial"/>
                <w:lang w:val="es-ES" w:eastAsia="es-ES"/>
              </w:rPr>
              <w:t>GARANTÍA DE ÚNICA DE CUMPLIMIENTO – Definición – Fundamento normativo / LIQUIDACIÓN DEL CONTRATO – Definición - Objetivo   / LIQUIDACIÓN DEL CONTRATO – Normativa / LIQUIDACIÓN DEL CONTRATO – Garantía Única de Cumplimiento – Suficiencia</w:t>
            </w:r>
            <w:r>
              <w:rPr>
                <w:rFonts w:ascii="Verdana" w:eastAsia="Calibri" w:hAnsi="Verdana" w:cs="Arial"/>
                <w:lang w:val="es-ES" w:eastAsia="es-ES"/>
              </w:rPr>
              <w:t xml:space="preserve"> / </w:t>
            </w:r>
            <w:r w:rsidRPr="00782182">
              <w:rPr>
                <w:rFonts w:ascii="Verdana" w:eastAsia="Calibri" w:hAnsi="Verdana" w:cs="Arial"/>
                <w:lang w:val="es-ES" w:eastAsia="es-ES"/>
              </w:rPr>
              <w:t xml:space="preserve">CONTRATO ESTATAL – Ejercicio – Funciones de control y vigilancia / CONTRATO ESTATAL – Funciones de control y vigilancia / SUPERVISIÓN – Ejercicio – Contratista – Apoyo a la supervisión </w:t>
            </w:r>
          </w:p>
          <w:p w14:paraId="4BB83781" w14:textId="77777777" w:rsidR="00BD1E5A" w:rsidRPr="006939EC" w:rsidRDefault="00BD1E5A" w:rsidP="003C1E28">
            <w:pPr>
              <w:jc w:val="both"/>
              <w:rPr>
                <w:rFonts w:ascii="Verdana" w:eastAsia="Calibri" w:hAnsi="Verdana" w:cs="Arial"/>
                <w:b/>
                <w:highlight w:val="yellow"/>
                <w:lang w:val="es-ES" w:eastAsia="es-ES"/>
              </w:rPr>
            </w:pPr>
          </w:p>
        </w:tc>
      </w:tr>
      <w:tr w:rsidR="00BD1E5A" w:rsidRPr="00593A5F" w14:paraId="5FED1E11" w14:textId="77777777" w:rsidTr="003C1E28">
        <w:trPr>
          <w:trHeight w:val="545"/>
        </w:trPr>
        <w:tc>
          <w:tcPr>
            <w:tcW w:w="2295" w:type="dxa"/>
          </w:tcPr>
          <w:p w14:paraId="392738DB" w14:textId="77777777" w:rsidR="00BD1E5A" w:rsidRPr="006730E9" w:rsidRDefault="00BD1E5A" w:rsidP="003C1E2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0BD0ECA" w14:textId="77777777" w:rsidR="00BD1E5A" w:rsidRPr="006730E9" w:rsidRDefault="00BD1E5A" w:rsidP="003C1E2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9128B">
              <w:rPr>
                <w:rFonts w:ascii="Verdana" w:eastAsia="Calibri" w:hAnsi="Verdana" w:cs="Arial"/>
                <w:lang w:eastAsia="es-ES_tradnl"/>
              </w:rPr>
              <w:t>1_2026_01_06_000110</w:t>
            </w:r>
            <w:r>
              <w:rPr>
                <w:rFonts w:ascii="Verdana" w:eastAsia="Calibri" w:hAnsi="Verdana" w:cs="Arial"/>
                <w:lang w:eastAsia="es-ES_tradnl"/>
              </w:rPr>
              <w:t xml:space="preserve"> </w:t>
            </w:r>
          </w:p>
        </w:tc>
      </w:tr>
      <w:tr w:rsidR="00BD1E5A" w:rsidRPr="00DB23D2" w14:paraId="7EE79B69" w14:textId="77777777" w:rsidTr="003C1E28">
        <w:trPr>
          <w:gridAfter w:val="1"/>
          <w:wAfter w:w="319" w:type="dxa"/>
          <w:trHeight w:val="242"/>
        </w:trPr>
        <w:tc>
          <w:tcPr>
            <w:tcW w:w="8457" w:type="dxa"/>
            <w:gridSpan w:val="2"/>
          </w:tcPr>
          <w:p w14:paraId="26A76558" w14:textId="77777777" w:rsidR="00BD1E5A" w:rsidRPr="00DB23D2" w:rsidRDefault="00BD1E5A" w:rsidP="003C1E28">
            <w:pPr>
              <w:spacing w:line="276" w:lineRule="auto"/>
              <w:jc w:val="both"/>
              <w:rPr>
                <w:rFonts w:ascii="Verdana" w:eastAsia="Calibri" w:hAnsi="Verdana" w:cs="Arial"/>
                <w:lang w:val="es-ES_tradnl" w:eastAsia="es-ES"/>
              </w:rPr>
            </w:pPr>
          </w:p>
        </w:tc>
      </w:tr>
    </w:tbl>
    <w:p w14:paraId="1641FF10" w14:textId="77777777" w:rsidR="00BD1E5A" w:rsidRPr="006730E9" w:rsidRDefault="00BD1E5A" w:rsidP="00BD1E5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Herrera;</w:t>
      </w:r>
    </w:p>
    <w:p w14:paraId="7CE2BC49" w14:textId="77777777" w:rsidR="00BD1E5A" w:rsidRDefault="00BD1E5A" w:rsidP="00BD1E5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15E348F" w14:textId="77777777" w:rsidR="00BD1E5A" w:rsidRPr="006730E9" w:rsidRDefault="00BD1E5A" w:rsidP="00BD1E5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21</w:t>
      </w:r>
      <w:r w:rsidRPr="00E72E05">
        <w:rPr>
          <w:rFonts w:ascii="Verdana" w:eastAsia="Calibri" w:hAnsi="Verdana" w:cs="Arial"/>
          <w:lang w:val="es-ES" w:eastAsia="es-ES"/>
        </w:rPr>
        <w:t xml:space="preserve"> de </w:t>
      </w:r>
      <w:r>
        <w:rPr>
          <w:rFonts w:ascii="Verdana" w:eastAsia="Calibri" w:hAnsi="Verdana" w:cs="Arial"/>
          <w:lang w:val="es-ES" w:eastAsia="es-ES"/>
        </w:rPr>
        <w:t>noviembre</w:t>
      </w:r>
      <w:r w:rsidRPr="00E72E05">
        <w:rPr>
          <w:rFonts w:ascii="Verdana" w:eastAsia="Calibri" w:hAnsi="Verdana" w:cs="Arial"/>
          <w:lang w:val="es-ES" w:eastAsia="es-ES"/>
        </w:rPr>
        <w:t xml:space="preserve"> de 2025</w:t>
      </w:r>
      <w:r>
        <w:rPr>
          <w:rFonts w:ascii="Verdana" w:eastAsia="Calibri" w:hAnsi="Verdana" w:cs="Arial"/>
          <w:lang w:val="es-ES" w:eastAsia="es-ES"/>
        </w:rPr>
        <w:t xml:space="preserve"> y reiterada el 6 de enero de 2026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36130520" w14:textId="77777777" w:rsidR="00BD1E5A" w:rsidRPr="001773DA" w:rsidRDefault="00BD1E5A" w:rsidP="00BD1E5A">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49FEA0E5" w14:textId="71EBB0C6"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r w:rsidRPr="0049128B">
        <w:rPr>
          <w:rFonts w:ascii="Verdana" w:eastAsia="Century Gothic" w:hAnsi="Verdana" w:cs="Century Gothic"/>
          <w:i/>
          <w:iCs/>
          <w:sz w:val="20"/>
          <w:szCs w:val="20"/>
        </w:rPr>
        <w:t xml:space="preserve">PRIMERA. Se precise, en términos generales, el alcance de la regla según la cual la garantía única de cumplimiento debe tener vigencia mínima hasta la liquidación del contrato (artículo 2.2.1.2.3.1.12 del Decreto 1082 de 2015), en relación con los eventos expresamente previstos en el artículo 2.2.1.2.3.1.18 del mismo decreto para la modificación o ampliación de la garantía, particularmente cuando el </w:t>
      </w:r>
      <w:r w:rsidRPr="0049128B">
        <w:rPr>
          <w:rFonts w:ascii="Verdana" w:eastAsia="Century Gothic" w:hAnsi="Verdana" w:cs="Century Gothic"/>
          <w:i/>
          <w:iCs/>
          <w:sz w:val="20"/>
          <w:szCs w:val="20"/>
        </w:rPr>
        <w:lastRenderedPageBreak/>
        <w:t>contrato ya ha sido ejecutado y no se han configurado reclamaciones, prórrogas ni adiciones contractuales.</w:t>
      </w:r>
    </w:p>
    <w:p w14:paraId="486F3DEB"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EA73A35"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49128B">
        <w:rPr>
          <w:rFonts w:ascii="Verdana" w:eastAsia="Century Gothic" w:hAnsi="Verdana" w:cs="Century Gothic"/>
          <w:i/>
          <w:iCs/>
          <w:sz w:val="20"/>
          <w:szCs w:val="20"/>
        </w:rPr>
        <w:t>SEGUNDA. Se indique, de manera general, cuál es la autoridad llamada a definir, en caso de controversia, la procedencia de exigir la ampliación de la garantía única de cumplimiento una vez finalizado el plazo de ejecución contractual y antes de la liquidación del contrato.</w:t>
      </w:r>
    </w:p>
    <w:p w14:paraId="2070FB4B" w14:textId="77777777" w:rsidR="00BD1E5A"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9651F6C" w14:textId="755E5776" w:rsidR="00BD1E5A" w:rsidRPr="00B350FE" w:rsidRDefault="00BD1E5A" w:rsidP="00BD1E5A">
      <w:pPr>
        <w:tabs>
          <w:tab w:val="left" w:pos="142"/>
          <w:tab w:val="left" w:pos="567"/>
        </w:tabs>
        <w:spacing w:after="0" w:line="240" w:lineRule="auto"/>
        <w:ind w:left="709" w:right="709"/>
        <w:jc w:val="both"/>
        <w:rPr>
          <w:rFonts w:ascii="Verdana" w:eastAsia="Century Gothic" w:hAnsi="Verdana" w:cs="Century Gothic"/>
          <w:i/>
          <w:iCs/>
          <w:sz w:val="20"/>
          <w:szCs w:val="20"/>
        </w:rPr>
      </w:pPr>
      <w:r w:rsidRPr="0049128B">
        <w:rPr>
          <w:rFonts w:ascii="Verdana" w:eastAsia="Century Gothic" w:hAnsi="Verdana" w:cs="Century Gothic"/>
          <w:i/>
          <w:iCs/>
          <w:sz w:val="20"/>
          <w:szCs w:val="20"/>
        </w:rPr>
        <w:t xml:space="preserve">TERCERA. Se informe, en términos generales, cuáles son los mecanismos previstos en el ordenamiento jurídico para resolver diferencias de interpretación relacionadas con la exigibilidad de garantías en la etapa posterior a la ejecución </w:t>
      </w:r>
      <w:r w:rsidR="00A33193" w:rsidRPr="0049128B">
        <w:rPr>
          <w:rFonts w:ascii="Verdana" w:eastAsia="Century Gothic" w:hAnsi="Verdana" w:cs="Century Gothic"/>
          <w:i/>
          <w:iCs/>
          <w:sz w:val="20"/>
          <w:szCs w:val="20"/>
        </w:rPr>
        <w:t>contractual.</w:t>
      </w:r>
      <w:r w:rsidR="00A33193" w:rsidRPr="00B350FE">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w:t>
      </w:r>
      <w:r w:rsidR="00A33193">
        <w:rPr>
          <w:rFonts w:ascii="Verdana" w:eastAsia="Century Gothic" w:hAnsi="Verdana" w:cs="Century Gothic"/>
          <w:i/>
          <w:iCs/>
          <w:sz w:val="20"/>
          <w:szCs w:val="20"/>
        </w:rPr>
        <w:t>”</w:t>
      </w:r>
      <w:r w:rsidRPr="00B350FE">
        <w:rPr>
          <w:rFonts w:ascii="Verdana" w:eastAsia="Century Gothic" w:hAnsi="Verdana" w:cs="Century Gothic"/>
          <w:i/>
          <w:iCs/>
          <w:sz w:val="20"/>
          <w:szCs w:val="20"/>
        </w:rPr>
        <w:t xml:space="preserve"> </w:t>
      </w:r>
    </w:p>
    <w:p w14:paraId="27734E66" w14:textId="77777777" w:rsidR="00BD1E5A" w:rsidRDefault="00BD1E5A" w:rsidP="00BD1E5A">
      <w:pPr>
        <w:spacing w:after="0" w:line="276" w:lineRule="auto"/>
        <w:ind w:firstLine="709"/>
        <w:jc w:val="both"/>
        <w:rPr>
          <w:rFonts w:ascii="Verdana" w:eastAsia="Calibri" w:hAnsi="Verdana" w:cs="Arial"/>
          <w:lang w:val="es-ES" w:eastAsia="es-ES"/>
        </w:rPr>
      </w:pPr>
    </w:p>
    <w:p w14:paraId="0D936292" w14:textId="77777777" w:rsidR="00BD1E5A" w:rsidRPr="00AA3B9F" w:rsidRDefault="00BD1E5A" w:rsidP="00BD1E5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A392166" w14:textId="77777777" w:rsidR="00BD1E5A" w:rsidRPr="00AA3B9F" w:rsidRDefault="00BD1E5A" w:rsidP="00BD1E5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C34642" w14:textId="77777777" w:rsidR="00BD1E5A" w:rsidRDefault="00BD1E5A" w:rsidP="00BD1E5A">
      <w:pPr>
        <w:pStyle w:val="Prrafodelista"/>
        <w:tabs>
          <w:tab w:val="left" w:pos="142"/>
          <w:tab w:val="left" w:pos="284"/>
        </w:tabs>
        <w:spacing w:after="0" w:line="240" w:lineRule="auto"/>
        <w:ind w:left="425" w:right="1185"/>
        <w:jc w:val="both"/>
        <w:rPr>
          <w:rFonts w:ascii="Verdana" w:eastAsia="Century Gothic" w:hAnsi="Verdana" w:cs="Century Gothic"/>
          <w:i/>
          <w:iCs/>
        </w:rPr>
      </w:pPr>
    </w:p>
    <w:p w14:paraId="5A6B23A6" w14:textId="77777777" w:rsidR="00BD1E5A" w:rsidRDefault="00BD1E5A" w:rsidP="00BD1E5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B4370B1" w14:textId="77777777" w:rsidR="00BD1E5A" w:rsidRDefault="00BD1E5A" w:rsidP="00BD1E5A">
      <w:pPr>
        <w:pStyle w:val="Prrafodelista"/>
        <w:tabs>
          <w:tab w:val="left" w:pos="142"/>
          <w:tab w:val="left" w:pos="284"/>
        </w:tabs>
        <w:spacing w:after="0" w:line="276" w:lineRule="auto"/>
        <w:ind w:left="0"/>
        <w:jc w:val="both"/>
        <w:rPr>
          <w:rFonts w:ascii="Verdana" w:eastAsia="Century Gothic" w:hAnsi="Verdana" w:cs="Century Gothic"/>
          <w:b/>
          <w:bCs/>
        </w:rPr>
      </w:pPr>
    </w:p>
    <w:p w14:paraId="45472AE4" w14:textId="79E9849A" w:rsidR="00BD1E5A" w:rsidRDefault="00BD1E5A" w:rsidP="00BD1E5A">
      <w:pPr>
        <w:spacing w:after="0" w:line="276" w:lineRule="auto"/>
        <w:jc w:val="both"/>
        <w:rPr>
          <w:rFonts w:ascii="Verdana" w:eastAsia="Calibri" w:hAnsi="Verdana" w:cs="Arial"/>
          <w:lang w:eastAsia="es-ES"/>
        </w:rPr>
      </w:pPr>
      <w:r w:rsidRPr="152F85F5">
        <w:rPr>
          <w:rFonts w:ascii="Verdana" w:eastAsia="Calibri" w:hAnsi="Verdana" w:cs="Arial"/>
          <w:lang w:eastAsia="es-ES"/>
        </w:rPr>
        <w:t>De acuerdo con el contenido de su solicitud, esta Agencia resolverá el siguiente problema jurídico:</w:t>
      </w:r>
      <w:bookmarkStart w:id="3" w:name="_Hlk196737317"/>
      <w:r w:rsidRPr="152F85F5">
        <w:rPr>
          <w:rFonts w:ascii="Verdana" w:eastAsia="Calibri" w:hAnsi="Verdana" w:cs="Arial"/>
          <w:lang w:eastAsia="es-ES"/>
        </w:rPr>
        <w:t xml:space="preserve"> </w:t>
      </w:r>
      <w:r>
        <w:rPr>
          <w:rFonts w:ascii="Verdana" w:eastAsia="Calibri" w:hAnsi="Verdana" w:cs="Arial"/>
          <w:lang w:eastAsia="es-ES"/>
        </w:rPr>
        <w:t>i)</w:t>
      </w:r>
      <w:r w:rsidRPr="0049128B">
        <w:rPr>
          <w:rFonts w:ascii="Verdana" w:eastAsia="Calibri" w:hAnsi="Verdana" w:cs="Arial"/>
          <w:lang w:eastAsia="es-ES"/>
        </w:rPr>
        <w:t xml:space="preserve"> </w:t>
      </w:r>
      <w:r w:rsidRPr="00720ECC">
        <w:rPr>
          <w:rFonts w:ascii="Verdana" w:eastAsia="Calibri" w:hAnsi="Verdana" w:cs="Arial"/>
          <w:lang w:eastAsia="es-ES"/>
        </w:rPr>
        <w:t xml:space="preserve">¿Debe mantenerse o ampliarse la garantía única de cumplimiento hasta la liquidación del contrato, conforme al artículo 2.2.1.2.3.1.12 del Decreto 1082 de 2015, aun cuando el contrato ya fue </w:t>
      </w:r>
      <w:r w:rsidRPr="00720ECC">
        <w:rPr>
          <w:rFonts w:ascii="Verdana" w:eastAsia="Calibri" w:hAnsi="Verdana" w:cs="Arial"/>
          <w:lang w:eastAsia="es-ES"/>
        </w:rPr>
        <w:lastRenderedPageBreak/>
        <w:t>ejecutado sin reclamaciones, prórrogas ni adiciones, y no se configura ninguno de los eventos previstos en el artículo 2.2.1.2.3.1.18 para su modificación o ampliación?</w:t>
      </w:r>
      <w:r w:rsidR="008B13B8">
        <w:rPr>
          <w:rFonts w:ascii="Verdana" w:eastAsia="Calibri" w:hAnsi="Verdana" w:cs="Arial"/>
          <w:lang w:eastAsia="es-ES"/>
        </w:rPr>
        <w:t>; y</w:t>
      </w:r>
      <w:r>
        <w:rPr>
          <w:rFonts w:ascii="Verdana" w:eastAsia="Calibri" w:hAnsi="Verdana" w:cs="Arial"/>
          <w:lang w:eastAsia="es-ES"/>
        </w:rPr>
        <w:t xml:space="preserve"> </w:t>
      </w:r>
      <w:proofErr w:type="spellStart"/>
      <w:r>
        <w:rPr>
          <w:rFonts w:ascii="Verdana" w:eastAsia="Calibri" w:hAnsi="Verdana" w:cs="Arial"/>
          <w:lang w:eastAsia="es-ES"/>
        </w:rPr>
        <w:t>ii</w:t>
      </w:r>
      <w:proofErr w:type="spellEnd"/>
      <w:r>
        <w:rPr>
          <w:rFonts w:ascii="Verdana" w:eastAsia="Calibri" w:hAnsi="Verdana" w:cs="Arial"/>
          <w:lang w:eastAsia="es-ES"/>
        </w:rPr>
        <w:t>)</w:t>
      </w:r>
      <w:r w:rsidRPr="0049128B">
        <w:t xml:space="preserve"> </w:t>
      </w:r>
      <w:r w:rsidRPr="00587DED">
        <w:rPr>
          <w:rFonts w:ascii="Verdana" w:hAnsi="Verdana"/>
        </w:rPr>
        <w:t>¿</w:t>
      </w:r>
      <w:r w:rsidR="008B13B8">
        <w:rPr>
          <w:rFonts w:ascii="Verdana" w:hAnsi="Verdana"/>
        </w:rPr>
        <w:t>q</w:t>
      </w:r>
      <w:r w:rsidRPr="00587DED">
        <w:rPr>
          <w:rFonts w:ascii="Verdana" w:hAnsi="Verdana"/>
        </w:rPr>
        <w:t>uién tiene la responsabilidad de supervisar el cumplimiento de la obligación de mantener o ampliar la garantía única de cumplimiento en la etapa posterior a la ejecución contractual y, en caso de incumplimiento, qué autoridad es competente para exigirla?</w:t>
      </w:r>
      <w:r w:rsidRPr="00587DED">
        <w:rPr>
          <w:rFonts w:ascii="Verdana" w:eastAsia="Calibri" w:hAnsi="Verdana" w:cs="Arial"/>
          <w:lang w:eastAsia="es-ES"/>
        </w:rPr>
        <w:t xml:space="preserve"> </w:t>
      </w:r>
    </w:p>
    <w:p w14:paraId="56453894" w14:textId="77777777" w:rsidR="00BD1E5A" w:rsidRPr="001773DA" w:rsidRDefault="00BD1E5A" w:rsidP="00BD1E5A">
      <w:pPr>
        <w:spacing w:after="0" w:line="276" w:lineRule="auto"/>
        <w:jc w:val="both"/>
        <w:rPr>
          <w:rFonts w:ascii="Verdana" w:eastAsia="Century Gothic" w:hAnsi="Verdana" w:cs="Century Gothic"/>
        </w:rPr>
      </w:pPr>
    </w:p>
    <w:bookmarkEnd w:id="3"/>
    <w:p w14:paraId="3898781B" w14:textId="77777777" w:rsidR="00BD1E5A" w:rsidRDefault="00BD1E5A" w:rsidP="00BD1E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C4484B1" w14:textId="77777777" w:rsidR="00BD1E5A" w:rsidRPr="00593A5F"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1E5A" w:rsidRPr="00593A5F" w14:paraId="08C30C42" w14:textId="77777777" w:rsidTr="003C1E28">
        <w:trPr>
          <w:trHeight w:val="888"/>
        </w:trPr>
        <w:tc>
          <w:tcPr>
            <w:tcW w:w="8828" w:type="dxa"/>
          </w:tcPr>
          <w:p w14:paraId="7BA34ED1" w14:textId="77777777" w:rsidR="00BD1E5A" w:rsidRPr="00314959" w:rsidRDefault="00BD1E5A" w:rsidP="003C1E28">
            <w:pPr>
              <w:spacing w:after="120" w:line="276" w:lineRule="auto"/>
              <w:jc w:val="both"/>
              <w:rPr>
                <w:rFonts w:ascii="Verdana" w:eastAsia="Verdana" w:hAnsi="Verdana" w:cs="Verdana"/>
              </w:rPr>
            </w:pPr>
            <w:r>
              <w:rPr>
                <w:rFonts w:ascii="Verdana" w:eastAsia="Calibri" w:hAnsi="Verdana" w:cs="Arial"/>
                <w:bCs/>
                <w:lang w:eastAsia="es-ES_tradnl"/>
              </w:rPr>
              <w:t>i)</w:t>
            </w:r>
            <w:r w:rsidRPr="00033B67">
              <w:rPr>
                <w:rFonts w:ascii="Times New Roman" w:eastAsia="Times New Roman" w:hAnsi="Times New Roman" w:cs="Times New Roman"/>
                <w:sz w:val="24"/>
                <w:szCs w:val="24"/>
                <w:lang w:eastAsia="es-CO"/>
              </w:rPr>
              <w:t xml:space="preserve"> </w:t>
            </w:r>
            <w:r>
              <w:rPr>
                <w:rFonts w:ascii="Verdana" w:eastAsia="Calibri" w:hAnsi="Verdana" w:cs="Arial"/>
                <w:bCs/>
                <w:lang w:eastAsia="es-ES_tradnl"/>
              </w:rPr>
              <w:t xml:space="preserve"> </w:t>
            </w:r>
            <w:r w:rsidRPr="00314959">
              <w:rPr>
                <w:rFonts w:ascii="Verdana" w:eastAsia="Calibri" w:hAnsi="Verdana" w:cs="Arial"/>
                <w:bCs/>
                <w:lang w:eastAsia="es-ES_tradnl"/>
              </w:rPr>
              <w:t>Conforme al artículo 2.2.1.2.3.1.12 del Decreto 1082 de 2015, la garantía única de cumplimiento debe tener una vigencia mínima igual al plazo de ejecución del contrato más el plazo previsto para su liquidación. Esto significa que su cobertura no se agota con la terminación material de las obligaciones, sino que debe mantenerse vigente hasta la suscripción del acta de liquidación o hasta el vencimiento del término legal para liquidar, si no se pactó uno contractual.</w:t>
            </w:r>
          </w:p>
          <w:p w14:paraId="4313A3EF" w14:textId="77777777" w:rsidR="00BD1E5A" w:rsidRPr="00314959" w:rsidRDefault="00BD1E5A" w:rsidP="003C1E28">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El hecho de que el contrato haya sido ejecutado sin reclamaciones, prórrogas ni adiciones no exonera al contratista de mantener la garantía vigente hasta la liquidación, pues esta etapa tiene como finalidad verificar el cumplimiento integral de las obligaciones, efectuar el cruce de cuentas y dejar constancia de salvedades, si las hay. Mientras no se produzca la liquidación, subsiste el riesgo contractual que la garantía ampara.</w:t>
            </w:r>
          </w:p>
          <w:p w14:paraId="6384D2FA" w14:textId="0846C706" w:rsidR="00BD1E5A" w:rsidRPr="00033B67" w:rsidRDefault="00BD1E5A" w:rsidP="003C1E28">
            <w:pPr>
              <w:spacing w:after="120" w:line="276" w:lineRule="auto"/>
              <w:ind w:firstLine="709"/>
              <w:jc w:val="both"/>
              <w:rPr>
                <w:rFonts w:ascii="Verdana" w:eastAsia="Calibri" w:hAnsi="Verdana" w:cs="Arial"/>
                <w:bCs/>
                <w:lang w:eastAsia="es-ES_tradnl"/>
              </w:rPr>
            </w:pPr>
            <w:r w:rsidRPr="00314959">
              <w:rPr>
                <w:rFonts w:ascii="Verdana" w:eastAsia="Calibri" w:hAnsi="Verdana" w:cs="Arial"/>
                <w:bCs/>
                <w:lang w:eastAsia="es-ES_tradnl"/>
              </w:rPr>
              <w:t xml:space="preserve">Ahora bien, </w:t>
            </w:r>
            <w:r>
              <w:rPr>
                <w:rFonts w:ascii="Verdana" w:eastAsia="Calibri" w:hAnsi="Verdana" w:cs="Arial"/>
                <w:bCs/>
                <w:lang w:eastAsia="es-ES_tradnl"/>
              </w:rPr>
              <w:t>r</w:t>
            </w:r>
            <w:r w:rsidRPr="00E57B21">
              <w:rPr>
                <w:rFonts w:ascii="Verdana" w:eastAsia="Calibri" w:hAnsi="Verdana" w:cs="Arial"/>
                <w:bCs/>
                <w:lang w:eastAsia="es-ES_tradnl"/>
              </w:rPr>
              <w:t>especto a el artículo 2.2.1.2.3.1.18 del Decreto 1082 de 2015 señala que el contratista está obligado a ampliar el valor de la garantía ante adiciones y su vigencia ante prórrogas del plazo. No obstante, en la etapa de liquidación, la Entidad debe verificar que la suficiencia de los amparos de cumplimiento, buen manejo del anticipo y calidad sigan siendo proporcionales a los saldos pendientes y riesgos remanentes. Si el plazo para liquidar el contrato ha vencido sin que se haya realizado dicho trámite (ya sea de mutuo acuerdo o unilateralmente), la entidad debe evaluar la vigencia de los amparos, pues la falta de liquidación oportuna no desaparece el riesgo, pero altera la exigibilidad de ciertas coberturas que dependen de la existencia de un vínculo contractual vigente.</w:t>
            </w:r>
          </w:p>
          <w:p w14:paraId="799EA1C6" w14:textId="540B883E" w:rsidR="00BD1E5A" w:rsidRPr="001164AA" w:rsidRDefault="00D31C62" w:rsidP="000A2673">
            <w:pPr>
              <w:spacing w:after="120" w:line="276" w:lineRule="auto"/>
              <w:ind w:firstLine="709"/>
              <w:jc w:val="both"/>
              <w:rPr>
                <w:rFonts w:ascii="Verdana" w:eastAsia="Calibri" w:hAnsi="Verdana" w:cs="Arial"/>
                <w:bCs/>
                <w:lang w:eastAsia="es-ES_tradnl"/>
              </w:rPr>
            </w:pPr>
            <w:r>
              <w:rPr>
                <w:rFonts w:ascii="Verdana" w:eastAsia="Calibri" w:hAnsi="Verdana" w:cs="Arial"/>
                <w:bCs/>
                <w:lang w:eastAsia="es-ES_tradnl"/>
              </w:rPr>
              <w:t>Igualmente</w:t>
            </w:r>
            <w:r w:rsidR="000A2673" w:rsidRPr="00033B67">
              <w:rPr>
                <w:rFonts w:ascii="Verdana" w:eastAsia="Calibri" w:hAnsi="Verdana" w:cs="Arial"/>
                <w:bCs/>
                <w:lang w:eastAsia="es-ES_tradnl"/>
              </w:rPr>
              <w:t xml:space="preserve">, la jurisprudencia del Consejo de Estado ha precisado que el contrato no se entiende plenamente extinguido con la sola finalización del </w:t>
            </w:r>
            <w:r w:rsidR="000A2673" w:rsidRPr="00033B67">
              <w:rPr>
                <w:rFonts w:ascii="Verdana" w:eastAsia="Calibri" w:hAnsi="Verdana" w:cs="Arial"/>
                <w:bCs/>
                <w:lang w:eastAsia="es-ES_tradnl"/>
              </w:rPr>
              <w:lastRenderedPageBreak/>
              <w:t>plazo de ejecución, pues subsisten obligaciones hasta el momento en que se realiza el corte de cuentas definitivo. Por ello, mientras el contrato no haya sido liquidado —bien sea de mutuo acuerdo, unilateralmente o judicialmente, conforme al artículo 11 de la Ley 1150 de 2007—, la administración conserva la competencia para verificar el cumplimiento integral y, en su caso, declarar incumplimientos ocurridos durante la ejecución.</w:t>
            </w:r>
          </w:p>
          <w:p w14:paraId="7F96CF46" w14:textId="5A0771DD" w:rsidR="00A064A7" w:rsidRDefault="00BD1E5A" w:rsidP="00A064A7">
            <w:pPr>
              <w:spacing w:after="120" w:line="276" w:lineRule="auto"/>
              <w:ind w:firstLine="709"/>
              <w:jc w:val="both"/>
              <w:rPr>
                <w:rFonts w:ascii="Verdana" w:eastAsia="Calibri" w:hAnsi="Verdana" w:cs="Arial"/>
                <w:bCs/>
                <w:lang w:eastAsia="es-ES_tradnl"/>
              </w:rPr>
            </w:pPr>
            <w:proofErr w:type="spellStart"/>
            <w:r w:rsidRPr="001164AA">
              <w:rPr>
                <w:rFonts w:ascii="Verdana" w:eastAsia="Calibri" w:hAnsi="Verdana" w:cs="Arial"/>
                <w:bCs/>
                <w:lang w:eastAsia="es-ES_tradnl"/>
              </w:rPr>
              <w:t>ii</w:t>
            </w:r>
            <w:proofErr w:type="spellEnd"/>
            <w:r w:rsidRPr="001164AA">
              <w:rPr>
                <w:rFonts w:ascii="Verdana" w:eastAsia="Calibri" w:hAnsi="Verdana" w:cs="Arial"/>
                <w:bCs/>
                <w:lang w:eastAsia="es-ES_tradnl"/>
              </w:rPr>
              <w:t xml:space="preserve">) </w:t>
            </w:r>
            <w:r w:rsidRPr="00743F88">
              <w:rPr>
                <w:rFonts w:ascii="Verdana" w:eastAsia="Calibri" w:hAnsi="Verdana" w:cs="Arial"/>
                <w:bCs/>
                <w:lang w:eastAsia="es-ES_tradnl"/>
              </w:rPr>
              <w:t>De conformidad con el artículo 83 de la Ley 1474 de 2011, la responsabilidad general de vigilancia y control de la ejecución contractual corresponde a la entidad estatal contratante</w:t>
            </w:r>
            <w:r w:rsidR="00F1603F">
              <w:rPr>
                <w:rFonts w:ascii="Verdana" w:eastAsia="Calibri" w:hAnsi="Verdana" w:cs="Arial"/>
                <w:bCs/>
                <w:lang w:eastAsia="es-ES_tradnl"/>
              </w:rPr>
              <w:t>.</w:t>
            </w:r>
            <w:r w:rsidRPr="00743F88">
              <w:rPr>
                <w:rFonts w:ascii="Verdana" w:eastAsia="Calibri" w:hAnsi="Verdana" w:cs="Arial"/>
                <w:bCs/>
                <w:lang w:eastAsia="es-ES_tradnl"/>
              </w:rPr>
              <w:t xml:space="preserve"> </w:t>
            </w:r>
            <w:r w:rsidR="00F1603F">
              <w:rPr>
                <w:rFonts w:ascii="Verdana" w:eastAsia="Calibri" w:hAnsi="Verdana" w:cs="Arial"/>
                <w:bCs/>
                <w:lang w:eastAsia="es-ES_tradnl"/>
              </w:rPr>
              <w:t>N</w:t>
            </w:r>
            <w:r w:rsidRPr="00743F88">
              <w:rPr>
                <w:rFonts w:ascii="Verdana" w:eastAsia="Calibri" w:hAnsi="Verdana" w:cs="Arial"/>
                <w:bCs/>
                <w:lang w:eastAsia="es-ES_tradnl"/>
              </w:rPr>
              <w:t>o obstante, funcionalmente es el supervisor del contrato quien debe verificar que la garantía única de cumplimiento se mantenga vigente hasta la liquidación o que sea ampliada cuando proceda, en desarrollo del deber de seguimiento técnico, administrativo, financiero y jurídico previsto también en los artículos 4, 5, 14 y 26 de la Ley 80 de 1993 y en el Decreto 1082 de 2015</w:t>
            </w:r>
            <w:r w:rsidR="00F1603F">
              <w:rPr>
                <w:rFonts w:ascii="Verdana" w:eastAsia="Calibri" w:hAnsi="Verdana" w:cs="Arial"/>
                <w:bCs/>
                <w:lang w:eastAsia="es-ES_tradnl"/>
              </w:rPr>
              <w:t>.</w:t>
            </w:r>
            <w:r w:rsidRPr="00743F88">
              <w:rPr>
                <w:rFonts w:ascii="Verdana" w:eastAsia="Calibri" w:hAnsi="Verdana" w:cs="Arial"/>
                <w:bCs/>
                <w:lang w:eastAsia="es-ES_tradnl"/>
              </w:rPr>
              <w:t xml:space="preserve"> </w:t>
            </w:r>
            <w:r w:rsidR="00F1603F">
              <w:rPr>
                <w:rFonts w:ascii="Verdana" w:eastAsia="Calibri" w:hAnsi="Verdana" w:cs="Arial"/>
                <w:bCs/>
                <w:lang w:eastAsia="es-ES_tradnl"/>
              </w:rPr>
              <w:t>E</w:t>
            </w:r>
            <w:r w:rsidRPr="00743F88">
              <w:rPr>
                <w:rFonts w:ascii="Verdana" w:eastAsia="Calibri" w:hAnsi="Verdana" w:cs="Arial"/>
                <w:bCs/>
                <w:lang w:eastAsia="es-ES_tradnl"/>
              </w:rPr>
              <w:t xml:space="preserve">n consecuencia, le corresponde </w:t>
            </w:r>
            <w:r w:rsidR="00A064A7">
              <w:rPr>
                <w:rFonts w:ascii="Verdana" w:eastAsia="Calibri" w:hAnsi="Verdana" w:cs="Arial"/>
                <w:bCs/>
                <w:lang w:eastAsia="es-ES_tradnl"/>
              </w:rPr>
              <w:t>al supervisor</w:t>
            </w:r>
            <w:r w:rsidRPr="00743F88">
              <w:rPr>
                <w:rFonts w:ascii="Verdana" w:eastAsia="Calibri" w:hAnsi="Verdana" w:cs="Arial"/>
                <w:bCs/>
                <w:lang w:eastAsia="es-ES_tradnl"/>
              </w:rPr>
              <w:t xml:space="preserve"> advertir oportunamente el vencimiento de la póliza, requerir al contratista y dejar constancia en el expediente contractual, sin que ello implique que su facultad sea absoluta, pues no puede exigir informes o actuaciones ajenas al marco jurídico del contrato, limitándose a las competencias propias de la supervisión, tales como aprobar facturas o documentos equivalentes, validar el cumplimiento de requisitos para el pago, tramitar pagos parciales y verificar que el contratista se encuentre al día en sus aportes al sistema de seguridad social, entre otras</w:t>
            </w:r>
            <w:r w:rsidR="00A064A7">
              <w:rPr>
                <w:rFonts w:ascii="Verdana" w:eastAsia="Calibri" w:hAnsi="Verdana" w:cs="Arial"/>
                <w:bCs/>
                <w:lang w:eastAsia="es-ES_tradnl"/>
              </w:rPr>
              <w:t>.</w:t>
            </w:r>
            <w:r w:rsidRPr="00743F88">
              <w:rPr>
                <w:rFonts w:ascii="Verdana" w:eastAsia="Calibri" w:hAnsi="Verdana" w:cs="Arial"/>
                <w:bCs/>
                <w:lang w:eastAsia="es-ES_tradnl"/>
              </w:rPr>
              <w:t xml:space="preserve"> </w:t>
            </w:r>
          </w:p>
          <w:p w14:paraId="55B12AC8" w14:textId="4DED0ADC" w:rsidR="00BD1E5A" w:rsidRPr="00743F88" w:rsidRDefault="00A064A7" w:rsidP="00FF72B1">
            <w:pPr>
              <w:spacing w:after="120" w:line="276" w:lineRule="auto"/>
              <w:ind w:firstLine="709"/>
              <w:jc w:val="both"/>
              <w:rPr>
                <w:rFonts w:ascii="Verdana" w:eastAsia="Arial" w:hAnsi="Verdana" w:cs="Arial"/>
                <w:color w:val="000000" w:themeColor="text1"/>
              </w:rPr>
            </w:pPr>
            <w:r>
              <w:rPr>
                <w:rFonts w:ascii="Verdana" w:eastAsia="Calibri" w:hAnsi="Verdana" w:cs="Arial"/>
                <w:bCs/>
                <w:lang w:eastAsia="es-ES_tradnl"/>
              </w:rPr>
              <w:t>P</w:t>
            </w:r>
            <w:r w:rsidR="00BD1E5A" w:rsidRPr="00743F88">
              <w:rPr>
                <w:rFonts w:ascii="Verdana" w:eastAsia="Calibri" w:hAnsi="Verdana" w:cs="Arial"/>
                <w:bCs/>
                <w:lang w:eastAsia="es-ES_tradnl"/>
              </w:rPr>
              <w:t>or su parte, la decisión de imponer multas, declarar el incumplimiento o adelantar el procedimiento sancionatorio conforme al artículo 86 de la Ley 1474 de 2011 corresponde al representante legal u ordenador del gasto, mientras el contrato no haya sido liquidado conforme al artículo 11 de la Ley 1150 de 2007</w:t>
            </w:r>
            <w:r>
              <w:rPr>
                <w:rFonts w:ascii="Verdana" w:eastAsia="Calibri" w:hAnsi="Verdana" w:cs="Arial"/>
                <w:bCs/>
                <w:lang w:eastAsia="es-ES_tradnl"/>
              </w:rPr>
              <w:t>. No obstante,</w:t>
            </w:r>
            <w:r w:rsidR="00BD1E5A" w:rsidRPr="00743F88">
              <w:rPr>
                <w:rFonts w:ascii="Verdana" w:eastAsia="Calibri" w:hAnsi="Verdana" w:cs="Arial"/>
                <w:bCs/>
                <w:lang w:eastAsia="es-ES_tradnl"/>
              </w:rPr>
              <w:t xml:space="preserve"> una vez suscrita el acta de liquidación o agotada la competencia temporal para liquidar y sancionar, cualquier controversia sobre la garantía deberá ventilarse ante la Jurisdicción de lo Contencioso Administrativo, cuya máxima autoridad es el Consejo de Estado, sin perjuicio de las responsabilidades disciplinarias o fiscales derivadas de una eventual omisión en el deber de supervisión.</w:t>
            </w:r>
            <w:r w:rsidR="00BD1E5A">
              <w:rPr>
                <w:rFonts w:ascii="Verdana" w:eastAsia="Calibri" w:hAnsi="Verdana" w:cs="Arial"/>
                <w:bCs/>
                <w:lang w:eastAsia="es-ES_tradnl"/>
              </w:rPr>
              <w:t xml:space="preserve"> </w:t>
            </w:r>
          </w:p>
        </w:tc>
      </w:tr>
    </w:tbl>
    <w:p w14:paraId="3DB9EC09" w14:textId="77777777" w:rsidR="00BD1E5A" w:rsidRDefault="00BD1E5A" w:rsidP="00BD1E5A">
      <w:pPr>
        <w:tabs>
          <w:tab w:val="left" w:pos="142"/>
          <w:tab w:val="left" w:pos="284"/>
        </w:tabs>
        <w:spacing w:after="0" w:line="276" w:lineRule="auto"/>
        <w:jc w:val="both"/>
        <w:rPr>
          <w:rFonts w:ascii="Verdana" w:eastAsia="Century Gothic" w:hAnsi="Verdana" w:cs="Century Gothic"/>
          <w:b/>
          <w:bCs/>
          <w:lang w:val="es-ES"/>
        </w:rPr>
      </w:pPr>
    </w:p>
    <w:p w14:paraId="20A0E79E" w14:textId="77777777" w:rsidR="00BD1E5A" w:rsidRPr="00593A5F" w:rsidRDefault="00BD1E5A" w:rsidP="00BD1E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7E263C6" w14:textId="77777777" w:rsidR="00BD1E5A" w:rsidRDefault="00BD1E5A" w:rsidP="00BD1E5A">
      <w:pPr>
        <w:spacing w:after="0" w:line="276" w:lineRule="auto"/>
        <w:ind w:firstLine="708"/>
        <w:jc w:val="both"/>
        <w:rPr>
          <w:rFonts w:ascii="Verdana" w:eastAsia="Calibri" w:hAnsi="Verdana" w:cs="Arial"/>
          <w:color w:val="000000" w:themeColor="text1"/>
        </w:rPr>
      </w:pPr>
    </w:p>
    <w:p w14:paraId="231A98CB" w14:textId="77777777" w:rsidR="00BD1E5A" w:rsidRPr="00E87EA6" w:rsidRDefault="00BD1E5A" w:rsidP="00BD1E5A">
      <w:pPr>
        <w:spacing w:line="276" w:lineRule="auto"/>
        <w:jc w:val="both"/>
        <w:rPr>
          <w:rFonts w:ascii="Verdana" w:eastAsia="Calibri" w:hAnsi="Verdana" w:cs="Arial"/>
        </w:rPr>
      </w:pPr>
      <w:bookmarkStart w:id="4" w:name="_Hlk108519028"/>
      <w:r w:rsidRPr="00E87EA6">
        <w:rPr>
          <w:rFonts w:ascii="Verdana" w:eastAsia="Calibri" w:hAnsi="Verdana" w:cs="Arial"/>
        </w:rPr>
        <w:lastRenderedPageBreak/>
        <w:t xml:space="preserve">Lo anterior se sustenta en las siguientes consideraciones: </w:t>
      </w:r>
    </w:p>
    <w:p w14:paraId="4E6472DF" w14:textId="77777777" w:rsidR="00BD1E5A" w:rsidRDefault="00BD1E5A" w:rsidP="00BD1E5A">
      <w:pPr>
        <w:spacing w:after="120" w:line="276" w:lineRule="auto"/>
        <w:jc w:val="both"/>
        <w:rPr>
          <w:rFonts w:ascii="Verdana" w:eastAsia="Times New Roman" w:hAnsi="Verdana" w:cs="Arial"/>
          <w:lang w:eastAsia="es-CO"/>
        </w:rPr>
      </w:pPr>
      <w:proofErr w:type="spellStart"/>
      <w:r>
        <w:rPr>
          <w:rFonts w:ascii="Verdana" w:eastAsia="Calibri" w:hAnsi="Verdana" w:cs="Arial"/>
          <w:bCs/>
          <w:lang w:eastAsia="es-ES_tradnl"/>
        </w:rPr>
        <w:t>i.</w:t>
      </w:r>
      <w:r w:rsidRPr="00E57B21">
        <w:rPr>
          <w:rFonts w:ascii="Verdana" w:eastAsia="Calibri" w:hAnsi="Verdana" w:cs="Arial"/>
          <w:bCs/>
          <w:lang w:eastAsia="es-ES_tradnl"/>
        </w:rPr>
        <w:t>De</w:t>
      </w:r>
      <w:proofErr w:type="spellEnd"/>
      <w:r w:rsidRPr="00E57B21">
        <w:rPr>
          <w:rFonts w:ascii="Verdana" w:eastAsia="Calibri" w:hAnsi="Verdana" w:cs="Arial"/>
          <w:bCs/>
          <w:lang w:eastAsia="es-ES_tradnl"/>
        </w:rPr>
        <w:t xml:space="preserve"> manera preliminar, resulta pertinente indicar que el artículo 2.2.1.2.3.1.12 del Decreto 1082 de 2015 regula la suficiencia de la garantía única de cumplimiento, estableciendo que esta debe cubrir los diversos riesgos asociados a la contratación. Es fundamental aclarar que la vigencia y el valor amparado no son uniformes, sino que varían según la naturaleza de cada amparo contenido en la póliza. Así, mientras que el amparo de cumplimiento debe extenderse, por regla general, hasta la liquidación del contrato o el agotamiento del plazo para ello, otros riesgos como el de salarios y prestaciones sociales deben cubrir el plazo de ejecución y tres años más, y el de calidad del servicio o de los bienes debe activarse a partir de la entrega para cubrir el término de garantía técnica pactado. En el caso de la Responsabilidad Civil Extracontractual (RCE), esta opera como un amparo autónomo cuya vigencia se sujeta al plazo de ejecución de las actividades riesgosas.</w:t>
      </w:r>
    </w:p>
    <w:p w14:paraId="7E97A7A7" w14:textId="77777777" w:rsidR="00BD1E5A" w:rsidRPr="00F8361C" w:rsidRDefault="00BD1E5A" w:rsidP="00BD1E5A">
      <w:pPr>
        <w:spacing w:before="120" w:after="0" w:line="276" w:lineRule="auto"/>
        <w:ind w:firstLine="708"/>
        <w:jc w:val="both"/>
        <w:rPr>
          <w:rFonts w:ascii="Verdana" w:eastAsia="Times New Roman" w:hAnsi="Verdana" w:cs="Arial"/>
          <w:lang w:eastAsia="es-CO"/>
        </w:rPr>
      </w:pPr>
      <w:r w:rsidRPr="00F8361C">
        <w:rPr>
          <w:rFonts w:ascii="Verdana" w:eastAsia="Times New Roman" w:hAnsi="Verdana" w:cs="Arial"/>
          <w:lang w:eastAsia="es-CO"/>
        </w:rPr>
        <w:t>Es preciso aclarar que el cumplimiento de los términos de suficiencia de la garantía no es una facultad discrecional de la entidad o del contratista, sino una obligación legal de estricto cumplimiento. El Decreto 1082 de 2015</w:t>
      </w:r>
      <w:r>
        <w:rPr>
          <w:rFonts w:ascii="Verdana" w:eastAsia="Times New Roman" w:hAnsi="Verdana" w:cs="Arial"/>
          <w:lang w:eastAsia="es-CO"/>
        </w:rPr>
        <w:t xml:space="preserve">, en su artículo </w:t>
      </w:r>
      <w:r w:rsidRPr="00F8361C">
        <w:rPr>
          <w:rFonts w:ascii="Verdana" w:eastAsia="Times New Roman" w:hAnsi="Verdana" w:cs="Arial"/>
          <w:lang w:eastAsia="es-CO"/>
        </w:rPr>
        <w:t>2.2.1.2.3.1.12</w:t>
      </w:r>
      <w:r>
        <w:rPr>
          <w:rFonts w:ascii="Verdana" w:eastAsia="Times New Roman" w:hAnsi="Verdana" w:cs="Arial"/>
          <w:lang w:eastAsia="es-CO"/>
        </w:rPr>
        <w:t>,</w:t>
      </w:r>
      <w:r w:rsidRPr="00F8361C">
        <w:rPr>
          <w:rFonts w:ascii="Verdana" w:eastAsia="Times New Roman" w:hAnsi="Verdana" w:cs="Arial"/>
          <w:lang w:eastAsia="es-CO"/>
        </w:rPr>
        <w:t xml:space="preserve"> establece parámetros mínimos que deben ser observados para asegurar la protección del patrimonio público.</w:t>
      </w:r>
    </w:p>
    <w:p w14:paraId="1B07BF49" w14:textId="77777777" w:rsidR="00BD1E5A" w:rsidRPr="00F8361C" w:rsidRDefault="00BD1E5A" w:rsidP="00BD1E5A">
      <w:pPr>
        <w:spacing w:before="120" w:after="0" w:line="276" w:lineRule="auto"/>
        <w:ind w:left="709" w:right="1041"/>
        <w:jc w:val="both"/>
        <w:rPr>
          <w:rFonts w:ascii="Verdana" w:eastAsia="Times New Roman" w:hAnsi="Verdana" w:cs="Arial"/>
          <w:sz w:val="20"/>
          <w:szCs w:val="20"/>
          <w:lang w:eastAsia="es-CO"/>
        </w:rPr>
      </w:pPr>
      <w:r w:rsidRPr="00F8361C">
        <w:rPr>
          <w:rFonts w:ascii="Verdana" w:eastAsia="Times New Roman" w:hAnsi="Verdana" w:cs="Arial"/>
          <w:b/>
          <w:bCs/>
          <w:sz w:val="20"/>
          <w:szCs w:val="20"/>
          <w:lang w:eastAsia="es-CO"/>
        </w:rPr>
        <w:t>Artículo 2.2.1.2.3.1.12.</w:t>
      </w:r>
      <w:r w:rsidRPr="00F8361C">
        <w:rPr>
          <w:rFonts w:ascii="Verdana" w:eastAsia="Times New Roman" w:hAnsi="Verdana" w:cs="Arial"/>
          <w:sz w:val="20"/>
          <w:szCs w:val="20"/>
          <w:lang w:eastAsia="es-CO"/>
        </w:rPr>
        <w:t xml:space="preserve"> Suficiencia de los amparos. La garantía única de cumplimiento debe cubrir los Riesgos en la cuantía y vigencia que se señala a continuación: [...] 1. Amparo de cumplimiento. El valor de este amparo debe ser de por lo menos el diez por ciento (10%) del valor del contrato, y su vigencia debe ser por lo menos igual a la del contrato y cuatro (4) meses más. En los contratos con un valor superior a un millón (1.000.000) de SMMLV, el valor del amparo de cumplimiento debe ser el diez por ciento (10%) del valor del contrato hasta un millón (1.000.000) de SMMLV, y el cinco por ciento (5%) del valor que exceda un millón (1.000.000) de SMMLV.</w:t>
      </w:r>
    </w:p>
    <w:p w14:paraId="134212B0" w14:textId="77777777" w:rsidR="00BD1E5A" w:rsidRPr="00E87EA6" w:rsidRDefault="00BD1E5A" w:rsidP="00BD1E5A">
      <w:pPr>
        <w:spacing w:before="120" w:after="0" w:line="276" w:lineRule="auto"/>
        <w:ind w:firstLine="708"/>
        <w:jc w:val="both"/>
        <w:rPr>
          <w:rFonts w:ascii="Verdana" w:eastAsia="Calibri" w:hAnsi="Verdana" w:cs="Arial"/>
        </w:rPr>
      </w:pPr>
      <w:r w:rsidRPr="00E87EA6">
        <w:rPr>
          <w:rFonts w:ascii="Verdana" w:eastAsia="Calibri" w:hAnsi="Verdana" w:cs="Arial"/>
        </w:rPr>
        <w:t xml:space="preserve">Al respecto, la jurisprudencia define el </w:t>
      </w:r>
      <w:r w:rsidRPr="152F85F5">
        <w:rPr>
          <w:rFonts w:ascii="Verdana" w:eastAsia="Calibri" w:hAnsi="Verdana" w:cs="Arial"/>
          <w:i/>
          <w:iCs/>
        </w:rPr>
        <w:t>plazo de ejecución</w:t>
      </w:r>
      <w:r w:rsidRPr="00E87EA6">
        <w:rPr>
          <w:rFonts w:ascii="Verdana" w:eastAsia="Calibri" w:hAnsi="Verdana" w:cs="Arial"/>
        </w:rPr>
        <w:t xml:space="preserve"> como el establecido para la realización de las prestaciones contractuales y, de igual forma, considera que el </w:t>
      </w:r>
      <w:r w:rsidRPr="152F85F5">
        <w:rPr>
          <w:rFonts w:ascii="Verdana" w:eastAsia="Calibri" w:hAnsi="Verdana" w:cs="Arial"/>
          <w:i/>
          <w:iCs/>
        </w:rPr>
        <w:t>plazo de vigencia</w:t>
      </w:r>
      <w:r w:rsidRPr="00E87EA6">
        <w:rPr>
          <w:rFonts w:ascii="Verdana" w:eastAsia="Calibri" w:hAnsi="Verdana" w:cs="Arial"/>
        </w:rPr>
        <w:t xml:space="preserve"> de este no ha finalizado mientras </w:t>
      </w:r>
      <w:r w:rsidRPr="00E87EA6">
        <w:rPr>
          <w:rFonts w:ascii="Verdana" w:eastAsia="Calibri" w:hAnsi="Verdana" w:cs="Arial"/>
        </w:rPr>
        <w:lastRenderedPageBreak/>
        <w:t>subsista la obligación para las partes de liquidar el contrato</w:t>
      </w:r>
      <w:r w:rsidRPr="00E87EA6">
        <w:rPr>
          <w:rFonts w:ascii="Verdana" w:eastAsia="Calibri" w:hAnsi="Verdana" w:cs="Arial"/>
          <w:vertAlign w:val="superscript"/>
        </w:rPr>
        <w:footnoteReference w:id="1"/>
      </w:r>
      <w:r w:rsidRPr="00E87EA6">
        <w:rPr>
          <w:rFonts w:ascii="Verdana" w:eastAsia="Calibri" w:hAnsi="Verdana" w:cs="Arial"/>
        </w:rPr>
        <w:t>. Por ello, explica lo siguiente:</w:t>
      </w:r>
    </w:p>
    <w:p w14:paraId="68D3A222" w14:textId="77777777" w:rsidR="00BD1E5A" w:rsidRPr="00E87EA6" w:rsidRDefault="00BD1E5A" w:rsidP="00BD1E5A">
      <w:pPr>
        <w:spacing w:after="0" w:line="276" w:lineRule="auto"/>
        <w:ind w:firstLine="708"/>
        <w:jc w:val="both"/>
        <w:rPr>
          <w:rFonts w:ascii="Verdana" w:eastAsia="Calibri" w:hAnsi="Verdana" w:cs="Arial"/>
        </w:rPr>
      </w:pPr>
    </w:p>
    <w:p w14:paraId="19FFD509" w14:textId="77777777" w:rsidR="00BD1E5A" w:rsidRPr="00E87EA6" w:rsidRDefault="00BD1E5A" w:rsidP="00BD1E5A">
      <w:pPr>
        <w:spacing w:after="0" w:line="276" w:lineRule="auto"/>
        <w:ind w:left="709" w:right="709"/>
        <w:jc w:val="both"/>
        <w:rPr>
          <w:rFonts w:ascii="Verdana" w:eastAsia="Times New Roman" w:hAnsi="Verdana" w:cs="Arial"/>
          <w:sz w:val="20"/>
          <w:szCs w:val="20"/>
          <w:lang w:eastAsia="es-CO"/>
        </w:rPr>
      </w:pPr>
      <w:r w:rsidRPr="00E87EA6">
        <w:rPr>
          <w:rFonts w:ascii="Verdana" w:eastAsia="Times New Roman" w:hAnsi="Verdana" w:cs="Arial"/>
          <w:sz w:val="20"/>
          <w:szCs w:val="20"/>
          <w:lang w:eastAsia="es-CO"/>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87EA6">
        <w:rPr>
          <w:rFonts w:ascii="Verdana" w:eastAsia="Times New Roman" w:hAnsi="Verdana" w:cs="Arial"/>
          <w:sz w:val="20"/>
          <w:szCs w:val="20"/>
          <w:vertAlign w:val="superscript"/>
          <w:lang w:eastAsia="es-CO"/>
        </w:rPr>
        <w:footnoteReference w:id="2"/>
      </w:r>
      <w:r w:rsidRPr="00E87EA6">
        <w:rPr>
          <w:rFonts w:ascii="Verdana" w:eastAsia="Times New Roman" w:hAnsi="Verdana" w:cs="Arial"/>
          <w:sz w:val="20"/>
          <w:szCs w:val="20"/>
          <w:lang w:eastAsia="es-CO"/>
        </w:rPr>
        <w:t>.</w:t>
      </w:r>
    </w:p>
    <w:p w14:paraId="069C7637" w14:textId="77777777" w:rsidR="00BD1E5A" w:rsidRPr="00E87EA6" w:rsidRDefault="00BD1E5A" w:rsidP="00BD1E5A">
      <w:pPr>
        <w:spacing w:after="0" w:line="276" w:lineRule="auto"/>
        <w:jc w:val="both"/>
        <w:rPr>
          <w:rFonts w:ascii="Verdana" w:eastAsia="Times New Roman" w:hAnsi="Verdana" w:cs="Arial"/>
          <w:lang w:eastAsia="es-CO"/>
        </w:rPr>
      </w:pPr>
    </w:p>
    <w:p w14:paraId="3B6FDB72" w14:textId="77777777" w:rsidR="00BD1E5A" w:rsidRPr="00720ECC" w:rsidRDefault="00BD1E5A" w:rsidP="00BD1E5A">
      <w:pPr>
        <w:spacing w:after="120" w:line="276" w:lineRule="auto"/>
        <w:ind w:right="-68" w:firstLine="708"/>
        <w:jc w:val="both"/>
        <w:rPr>
          <w:rFonts w:ascii="Verdana" w:eastAsia="Times New Roman" w:hAnsi="Verdana" w:cs="Arial"/>
          <w:lang w:val="es-ES" w:eastAsia="es-ES"/>
        </w:rPr>
      </w:pPr>
      <w:r w:rsidRPr="00E87EA6">
        <w:rPr>
          <w:rFonts w:ascii="Verdana" w:eastAsia="Times New Roman" w:hAnsi="Verdana" w:cs="Arial"/>
          <w:lang w:eastAsia="es-CO"/>
        </w:rPr>
        <w:t xml:space="preserve">Así, la cobertura mínima del amparo de cumplimiento cubre el </w:t>
      </w:r>
      <w:r w:rsidRPr="00E87EA6">
        <w:rPr>
          <w:rFonts w:ascii="Verdana" w:eastAsia="Times New Roman" w:hAnsi="Verdana" w:cs="Arial"/>
          <w:i/>
          <w:iCs/>
          <w:lang w:eastAsia="es-CO"/>
        </w:rPr>
        <w:t>plazo de ejecución</w:t>
      </w:r>
      <w:r w:rsidRPr="00E87EA6">
        <w:rPr>
          <w:rFonts w:ascii="Verdana" w:eastAsia="Times New Roman" w:hAnsi="Verdana" w:cs="Arial"/>
          <w:lang w:eastAsia="es-CO"/>
        </w:rPr>
        <w:t xml:space="preserve"> y el </w:t>
      </w:r>
      <w:r w:rsidRPr="00E87EA6">
        <w:rPr>
          <w:rFonts w:ascii="Verdana" w:eastAsia="Times New Roman" w:hAnsi="Verdana" w:cs="Arial"/>
          <w:i/>
          <w:iCs/>
          <w:lang w:eastAsia="es-CO"/>
        </w:rPr>
        <w:t>plazo de vigencia</w:t>
      </w:r>
      <w:r w:rsidRPr="00E87EA6">
        <w:rPr>
          <w:rFonts w:ascii="Verdana" w:eastAsia="Times New Roman" w:hAnsi="Verdana" w:cs="Arial"/>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87EA6">
        <w:rPr>
          <w:rFonts w:ascii="Verdana" w:eastAsia="Times New Roman" w:hAnsi="Verdana" w:cs="Arial"/>
          <w:vertAlign w:val="superscript"/>
          <w:lang w:eastAsia="es-CO"/>
        </w:rPr>
        <w:footnoteReference w:id="3"/>
      </w:r>
      <w:r w:rsidRPr="00E87EA6">
        <w:rPr>
          <w:rFonts w:ascii="Verdana" w:eastAsia="Times New Roman" w:hAnsi="Verdana" w:cs="Arial"/>
          <w:lang w:eastAsia="es-CO"/>
        </w:rPr>
        <w:t xml:space="preserve">. Teniendo en cuenta lo anterior, corresponde analizar los plazos para liquidar los contratos estatales, aspecto que </w:t>
      </w:r>
      <w:r w:rsidRPr="00720ECC">
        <w:rPr>
          <w:rFonts w:ascii="Verdana" w:eastAsia="Times New Roman" w:hAnsi="Verdana" w:cs="Arial"/>
          <w:lang w:val="es-ES" w:eastAsia="es-ES"/>
        </w:rPr>
        <w:t>se abordará en el siguiente apartado.</w:t>
      </w:r>
    </w:p>
    <w:p w14:paraId="4D42787C" w14:textId="77777777" w:rsidR="00BD1E5A" w:rsidRPr="00E87EA6" w:rsidRDefault="00BD1E5A" w:rsidP="00BD1E5A">
      <w:pPr>
        <w:spacing w:after="120" w:line="276" w:lineRule="auto"/>
        <w:ind w:right="-68" w:firstLine="708"/>
        <w:jc w:val="both"/>
        <w:rPr>
          <w:rFonts w:ascii="Verdana" w:eastAsia="Calibri" w:hAnsi="Verdana" w:cs="Arial"/>
          <w:lang w:val="es-ES"/>
        </w:rPr>
      </w:pPr>
      <w:r w:rsidRPr="00720ECC">
        <w:rPr>
          <w:rFonts w:ascii="Verdana" w:eastAsia="Times New Roman" w:hAnsi="Verdana" w:cs="Arial"/>
          <w:lang w:val="es-ES" w:eastAsia="es-ES"/>
        </w:rPr>
        <w:t>La liquidación del contrato estatal</w:t>
      </w:r>
      <w:r w:rsidRPr="00E87EA6">
        <w:rPr>
          <w:rFonts w:ascii="Verdana" w:eastAsia="Calibri" w:hAnsi="Verdana" w:cs="Arial"/>
          <w:lang w:val="es-ES"/>
        </w:rPr>
        <w:t xml:space="preserve"> es el ajuste de cuentas en el cual se realiza un balance económico, técnico y jurídico </w:t>
      </w:r>
      <w:r w:rsidRPr="00E87EA6">
        <w:rPr>
          <w:rFonts w:ascii="Verdana" w:eastAsia="Calibri" w:hAnsi="Verdana" w:cs="Arial"/>
          <w:lang w:val="es-ES"/>
        </w:rPr>
        <w:tab/>
        <w:t xml:space="preserve">del negocio. Así lo manifestó el Consejo de Estado en la sentencia del 20 de octubre de 2014, en la que consideró, por un lado, que </w:t>
      </w:r>
      <w:r w:rsidRPr="00E87EA6">
        <w:rPr>
          <w:rFonts w:ascii="Verdana" w:eastAsia="Calibri" w:hAnsi="Verdana" w:cs="Arial"/>
          <w:i/>
          <w:lang w:val="es-ES"/>
        </w:rPr>
        <w:t>liquidar</w:t>
      </w:r>
      <w:r w:rsidRPr="00E87EA6">
        <w:rPr>
          <w:rFonts w:ascii="Verdana" w:eastAsia="Calibri" w:hAnsi="Verdana" w:cs="Arial"/>
          <w:lang w:val="es-ES"/>
        </w:rPr>
        <w:t xml:space="preserve"> supone un ajuste en relación con las cuentas y el estado de cumplimiento del contrato estatal y, por otro, que la </w:t>
      </w:r>
      <w:r w:rsidRPr="00E87EA6">
        <w:rPr>
          <w:rFonts w:ascii="Verdana" w:eastAsia="Calibri" w:hAnsi="Verdana" w:cs="Arial"/>
          <w:i/>
          <w:lang w:val="es-ES"/>
        </w:rPr>
        <w:t>liquidación</w:t>
      </w:r>
      <w:r w:rsidRPr="00E87EA6">
        <w:rPr>
          <w:rFonts w:ascii="Verdana" w:eastAsia="Calibri" w:hAnsi="Verdana" w:cs="Arial"/>
          <w:lang w:val="es-ES"/>
        </w:rPr>
        <w:t xml:space="preserve"> debe incluir el análisis de las condiciones de calidad y oportunidad en la entrega </w:t>
      </w:r>
      <w:r w:rsidRPr="00E87EA6">
        <w:rPr>
          <w:rFonts w:ascii="Verdana" w:eastAsia="Calibri" w:hAnsi="Verdana" w:cs="Arial"/>
          <w:lang w:val="es-ES"/>
        </w:rPr>
        <w:lastRenderedPageBreak/>
        <w:t>de los bienes, obras o servicios, así como el balance económico y el comportamiento financiero del negocio</w:t>
      </w:r>
      <w:r w:rsidRPr="00E87EA6">
        <w:rPr>
          <w:rFonts w:ascii="Verdana" w:eastAsia="Calibri" w:hAnsi="Verdana" w:cs="Arial"/>
          <w:vertAlign w:val="superscript"/>
          <w:lang w:val="es-ES"/>
        </w:rPr>
        <w:footnoteReference w:id="4"/>
      </w:r>
      <w:r w:rsidRPr="00E87EA6">
        <w:rPr>
          <w:rFonts w:ascii="Verdana" w:eastAsia="Calibri" w:hAnsi="Verdana" w:cs="Arial"/>
          <w:lang w:val="es-ES"/>
        </w:rPr>
        <w:t>. En tal sentido, explica:</w:t>
      </w:r>
    </w:p>
    <w:p w14:paraId="0A14FF3F" w14:textId="77777777" w:rsidR="00BD1E5A" w:rsidRPr="00E87EA6" w:rsidRDefault="00BD1E5A" w:rsidP="00BD1E5A">
      <w:pPr>
        <w:spacing w:after="0" w:line="276" w:lineRule="auto"/>
        <w:ind w:firstLine="708"/>
        <w:jc w:val="both"/>
        <w:rPr>
          <w:rFonts w:ascii="Verdana" w:eastAsia="Calibri" w:hAnsi="Verdana" w:cs="Arial"/>
          <w:lang w:val="es-ES_tradnl"/>
        </w:rPr>
      </w:pPr>
    </w:p>
    <w:p w14:paraId="6290D153" w14:textId="77777777" w:rsidR="00BD1E5A" w:rsidRPr="00E87EA6" w:rsidRDefault="00BD1E5A" w:rsidP="00BD1E5A">
      <w:pPr>
        <w:spacing w:after="0" w:line="276" w:lineRule="auto"/>
        <w:ind w:left="709" w:right="709"/>
        <w:jc w:val="both"/>
        <w:rPr>
          <w:rFonts w:ascii="Verdana" w:eastAsia="Calibri" w:hAnsi="Verdana" w:cs="Arial"/>
          <w:sz w:val="20"/>
          <w:szCs w:val="20"/>
          <w:lang w:val="es-ES_tradnl"/>
        </w:rPr>
      </w:pPr>
      <w:r w:rsidRPr="00E87EA6">
        <w:rPr>
          <w:rFonts w:ascii="Verdana" w:eastAsia="Calibri" w:hAnsi="Verdana" w:cs="Arial"/>
          <w:sz w:val="20"/>
          <w:szCs w:val="20"/>
          <w:lang w:val="es-ES_tradnl"/>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87EA6">
        <w:rPr>
          <w:rFonts w:ascii="Verdana" w:eastAsia="Calibri" w:hAnsi="Verdana" w:cs="Arial"/>
          <w:sz w:val="20"/>
          <w:szCs w:val="20"/>
          <w:vertAlign w:val="superscript"/>
          <w:lang w:val="es-ES_tradnl"/>
        </w:rPr>
        <w:footnoteReference w:id="5"/>
      </w:r>
      <w:r w:rsidRPr="00E87EA6">
        <w:rPr>
          <w:rFonts w:ascii="Verdana" w:eastAsia="Calibri" w:hAnsi="Verdana" w:cs="Arial"/>
          <w:sz w:val="20"/>
          <w:szCs w:val="20"/>
          <w:lang w:val="es-ES_tradnl"/>
        </w:rPr>
        <w:t>.</w:t>
      </w:r>
    </w:p>
    <w:p w14:paraId="68BB5B41" w14:textId="77777777" w:rsidR="00BD1E5A" w:rsidRPr="00E87EA6" w:rsidRDefault="00BD1E5A" w:rsidP="00BD1E5A">
      <w:pPr>
        <w:spacing w:after="0" w:line="276" w:lineRule="auto"/>
        <w:ind w:left="709" w:right="709"/>
        <w:jc w:val="both"/>
        <w:rPr>
          <w:rFonts w:ascii="Verdana" w:eastAsia="Calibri" w:hAnsi="Verdana" w:cs="Arial"/>
          <w:lang w:val="es-ES_tradnl"/>
        </w:rPr>
      </w:pPr>
    </w:p>
    <w:p w14:paraId="76A8C159" w14:textId="77777777" w:rsidR="00BD1E5A" w:rsidRPr="002838AE" w:rsidRDefault="00BD1E5A" w:rsidP="00BD1E5A">
      <w:pPr>
        <w:spacing w:after="120" w:line="276" w:lineRule="auto"/>
        <w:ind w:right="-68" w:firstLine="708"/>
        <w:jc w:val="both"/>
        <w:rPr>
          <w:rFonts w:ascii="Verdana" w:eastAsia="Times New Roman" w:hAnsi="Verdana" w:cs="Arial"/>
          <w:lang w:val="es-ES" w:eastAsia="es-ES"/>
        </w:rPr>
      </w:pPr>
      <w:bookmarkStart w:id="5" w:name="_Hlk217937765"/>
      <w:r w:rsidRPr="002838AE">
        <w:rPr>
          <w:rFonts w:ascii="Verdana" w:eastAsia="Times New Roman" w:hAnsi="Verdana" w:cs="Arial"/>
          <w:lang w:val="es-ES"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define el alcance sustantivo de la liquidación, estableciendo que los contratos de tracto sucesivo, aquellos cuya ejecución se prolongue en el tiempo y los demás que lo requieran, serán objeto de este trámite. Si bien la norma exceptúa de esta obligatoriedad a los contratos de prestación de servicios profesionales y de apoyo a la gestión, es imperativo considerar lo dispuesto en el inciso cuarto del artículo 60 de la Ley 80 de 1993.</w:t>
      </w:r>
    </w:p>
    <w:p w14:paraId="430E7362" w14:textId="77777777" w:rsidR="00BD1E5A" w:rsidRDefault="00BD1E5A" w:rsidP="00BD1E5A">
      <w:pPr>
        <w:spacing w:after="120" w:line="276" w:lineRule="auto"/>
        <w:ind w:right="-68" w:firstLine="708"/>
        <w:jc w:val="both"/>
        <w:rPr>
          <w:rFonts w:ascii="Verdana" w:eastAsia="Times New Roman" w:hAnsi="Verdana" w:cs="Arial"/>
          <w:lang w:val="es-ES" w:eastAsia="es-ES"/>
        </w:rPr>
      </w:pPr>
      <w:r w:rsidRPr="002838AE">
        <w:rPr>
          <w:rFonts w:ascii="Verdana" w:eastAsia="Times New Roman" w:hAnsi="Verdana" w:cs="Arial"/>
          <w:lang w:val="es-ES" w:eastAsia="es-ES"/>
        </w:rPr>
        <w:t xml:space="preserve">Dicha norma establece una obligación de carácter no facultativo respecto a la protección del interés público durante esta etapa: </w:t>
      </w:r>
      <w:r w:rsidRPr="002838AE">
        <w:rPr>
          <w:rFonts w:ascii="Verdana" w:eastAsia="Times New Roman" w:hAnsi="Verdana" w:cs="Arial"/>
          <w:i/>
          <w:iCs/>
          <w:lang w:val="es-ES" w:eastAsia="es-ES"/>
        </w:rPr>
        <w:t>"Para la liquidación se exigirá la extensión de la vigencia de las garantías de cumplimiento, de estabilidad y calidad de la obra, bienes y servicios, o de salarios y prestaciones sociales, según el caso, para respaldar las obligaciones que deba cumplir el contratista con posterioridad a la extinción del contrato"</w:t>
      </w:r>
      <w:r w:rsidRPr="002838AE">
        <w:rPr>
          <w:rFonts w:ascii="Verdana" w:eastAsia="Times New Roman" w:hAnsi="Verdana" w:cs="Arial"/>
          <w:lang w:val="es-ES" w:eastAsia="es-ES"/>
        </w:rPr>
        <w:t>.</w:t>
      </w:r>
    </w:p>
    <w:p w14:paraId="1C6D60C7" w14:textId="77777777" w:rsidR="00BD1E5A" w:rsidRPr="00E87EA6" w:rsidRDefault="00BD1E5A" w:rsidP="00BD1E5A">
      <w:pPr>
        <w:spacing w:after="120" w:line="276" w:lineRule="auto"/>
        <w:ind w:right="-68" w:firstLine="708"/>
        <w:jc w:val="both"/>
        <w:rPr>
          <w:rFonts w:ascii="Verdana" w:eastAsia="Times New Roman" w:hAnsi="Verdana" w:cs="Arial"/>
          <w:lang w:val="es-ES" w:eastAsia="es-ES"/>
        </w:rPr>
      </w:pPr>
      <w:r>
        <w:rPr>
          <w:rFonts w:ascii="Verdana" w:eastAsia="Times New Roman" w:hAnsi="Verdana" w:cs="Arial"/>
          <w:lang w:val="es-ES" w:eastAsia="es-ES"/>
        </w:rPr>
        <w:lastRenderedPageBreak/>
        <w:t>Por su parte e</w:t>
      </w:r>
      <w:r w:rsidRPr="152F85F5">
        <w:rPr>
          <w:rFonts w:ascii="Verdana" w:eastAsia="Times New Roman" w:hAnsi="Verdana" w:cs="Arial"/>
          <w:lang w:val="es-ES" w:eastAsia="es-ES"/>
        </w:rPr>
        <w:t>l artículo 11 de la Ley 1150 de 2007</w:t>
      </w:r>
      <w:r w:rsidRPr="152F85F5">
        <w:rPr>
          <w:rFonts w:ascii="Verdana" w:eastAsia="Times New Roman" w:hAnsi="Verdana" w:cs="Arial"/>
          <w:vertAlign w:val="superscript"/>
          <w:lang w:val="es-ES" w:eastAsia="es-ES"/>
        </w:rPr>
        <w:footnoteReference w:id="6"/>
      </w:r>
      <w:r w:rsidRPr="152F85F5">
        <w:rPr>
          <w:rFonts w:ascii="Verdana" w:eastAsia="Times New Roman" w:hAnsi="Verdana" w:cs="Arial"/>
          <w:lang w:val="es-ES" w:eastAsia="es-ES"/>
        </w:rPr>
        <w:t xml:space="preserve"> contiene las reglas de tipo procedimental para liquidar los contratos estatales, que se pasan a explicar. </w:t>
      </w:r>
    </w:p>
    <w:bookmarkEnd w:id="5"/>
    <w:p w14:paraId="2B267488" w14:textId="77777777" w:rsidR="00BD1E5A" w:rsidRPr="00E87EA6" w:rsidRDefault="00BD1E5A" w:rsidP="00BD1E5A">
      <w:pPr>
        <w:spacing w:after="120" w:line="276" w:lineRule="auto"/>
        <w:ind w:firstLine="709"/>
        <w:jc w:val="both"/>
        <w:rPr>
          <w:rFonts w:ascii="Verdana" w:eastAsia="Calibri" w:hAnsi="Verdana" w:cs="Arial"/>
          <w:lang w:val="es-ES"/>
        </w:rPr>
      </w:pPr>
      <w:r w:rsidRPr="00E87EA6">
        <w:rPr>
          <w:rFonts w:ascii="Verdana" w:eastAsia="Calibri" w:hAnsi="Verdana" w:cs="Arial"/>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7D514EC2" w14:textId="77777777" w:rsidR="00BD1E5A" w:rsidRPr="00E87EA6" w:rsidRDefault="00BD1E5A" w:rsidP="00BD1E5A">
      <w:pPr>
        <w:spacing w:after="0" w:line="276" w:lineRule="auto"/>
        <w:ind w:firstLine="709"/>
        <w:jc w:val="both"/>
        <w:rPr>
          <w:rFonts w:ascii="Verdana" w:eastAsia="Calibri" w:hAnsi="Verdana" w:cs="Arial"/>
          <w:lang w:val="es-ES"/>
        </w:rPr>
      </w:pPr>
      <w:r w:rsidRPr="00E87EA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la expedición del acto administrativo que ordene la terminación del contrato o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la fecha del acuerdo que disponga la terminación del contrato.  Ahora bien, el término de cuatro (4) meses previsto en el artículo 11 de la Ley 1150 de 2007, dado su carácter supletivo, solo resulta aplicable ante la ausencia de regulación del mismo en el pliego de condiciones –documento equivalente– y ante la falta de acuerdo entre las partes en torno al plazo de liquidación bilateral. Durante este </w:t>
      </w:r>
      <w:r w:rsidRPr="00E87EA6">
        <w:rPr>
          <w:rFonts w:ascii="Verdana" w:eastAsia="Calibri" w:hAnsi="Verdana" w:cs="Arial"/>
          <w:lang w:val="es-ES"/>
        </w:rPr>
        <w:lastRenderedPageBreak/>
        <w:t>término el contratista puede solicitar que se adelante el trámite de liquidación. Sin embargo, es responsabilidad de la entidad estatal convocarlo para adelantar la liquidación de común acuerdo o notificarlo para que se presente a la liquidación</w:t>
      </w:r>
      <w:r w:rsidRPr="00E87EA6">
        <w:rPr>
          <w:rFonts w:ascii="Verdana" w:eastAsia="Calibri" w:hAnsi="Verdana" w:cs="Arial"/>
          <w:vertAlign w:val="superscript"/>
          <w:lang w:val="es-ES"/>
        </w:rPr>
        <w:footnoteReference w:id="7"/>
      </w:r>
      <w:r w:rsidRPr="00E87EA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87EA6">
        <w:rPr>
          <w:rFonts w:ascii="Verdana" w:eastAsia="Calibri" w:hAnsi="Verdana" w:cs="Arial"/>
          <w:vertAlign w:val="superscript"/>
          <w:lang w:val="es-ES"/>
        </w:rPr>
        <w:footnoteReference w:id="8"/>
      </w:r>
      <w:r w:rsidRPr="00E87EA6">
        <w:rPr>
          <w:rFonts w:ascii="Verdana" w:eastAsia="Calibri" w:hAnsi="Verdana" w:cs="Arial"/>
          <w:lang w:val="es-ES"/>
        </w:rPr>
        <w:t>. Si no es posible efectuar la liquidación de manera bilateral en los términos anteriormente explicados, el ordenamiento jurídico prevé una habilitación competencial, de carácter subsidiario, para que la entidad estatal realice la liquidación unilateralmente. Sobre el punto, el Consejo de Estado ha señalado:</w:t>
      </w:r>
    </w:p>
    <w:p w14:paraId="33476203"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5487D88B" w14:textId="77777777" w:rsidR="00BD1E5A" w:rsidRPr="00E87EA6" w:rsidRDefault="00BD1E5A" w:rsidP="00BD1E5A">
      <w:pPr>
        <w:spacing w:after="0" w:line="276" w:lineRule="auto"/>
        <w:ind w:left="709" w:right="709"/>
        <w:jc w:val="both"/>
        <w:rPr>
          <w:rFonts w:ascii="Verdana" w:eastAsia="Times New Roman" w:hAnsi="Verdana" w:cs="Arial"/>
          <w:sz w:val="20"/>
          <w:szCs w:val="20"/>
          <w:lang w:val="es-ES_tradnl" w:eastAsia="es-ES"/>
        </w:rPr>
      </w:pPr>
      <w:r w:rsidRPr="00E87EA6">
        <w:rPr>
          <w:rFonts w:ascii="Verdana" w:eastAsia="Times New Roman" w:hAnsi="Verdana" w:cs="Arial"/>
          <w:sz w:val="20"/>
          <w:szCs w:val="20"/>
          <w:lang w:val="es-ES_tradnl" w:eastAsia="es-ES"/>
        </w:rPr>
        <w:t>“Al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87EA6">
        <w:rPr>
          <w:rFonts w:ascii="Verdana" w:eastAsia="Times New Roman" w:hAnsi="Verdana" w:cs="Arial"/>
          <w:sz w:val="20"/>
          <w:szCs w:val="20"/>
          <w:vertAlign w:val="superscript"/>
          <w:lang w:val="es-ES_tradnl" w:eastAsia="es-ES"/>
        </w:rPr>
        <w:footnoteReference w:id="9"/>
      </w:r>
      <w:r w:rsidRPr="00E87EA6">
        <w:rPr>
          <w:rFonts w:ascii="Verdana" w:eastAsia="Times New Roman" w:hAnsi="Verdana" w:cs="Arial"/>
          <w:sz w:val="20"/>
          <w:szCs w:val="20"/>
          <w:lang w:val="es-ES_tradnl" w:eastAsia="es-ES"/>
        </w:rPr>
        <w:t xml:space="preserve">. </w:t>
      </w:r>
    </w:p>
    <w:p w14:paraId="7A8B22F6"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46C928BC" w14:textId="77777777" w:rsidR="00BD1E5A" w:rsidRPr="00E87EA6" w:rsidRDefault="00BD1E5A" w:rsidP="00BD1E5A">
      <w:pPr>
        <w:spacing w:after="0" w:line="276" w:lineRule="auto"/>
        <w:ind w:right="-68" w:firstLine="709"/>
        <w:jc w:val="both"/>
        <w:rPr>
          <w:rFonts w:ascii="Verdana" w:eastAsia="Times New Roman" w:hAnsi="Verdana" w:cs="Arial"/>
          <w:lang w:val="es-ES" w:eastAsia="es-ES"/>
        </w:rPr>
      </w:pPr>
      <w:r w:rsidRPr="00E87EA6">
        <w:rPr>
          <w:rFonts w:ascii="Verdana" w:eastAsia="Times New Roman" w:hAnsi="Verdana" w:cs="Arial"/>
          <w:lang w:val="es-ES" w:eastAsia="es-ES"/>
        </w:rPr>
        <w:t xml:space="preserve">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w:t>
      </w:r>
      <w:r w:rsidRPr="00E87EA6">
        <w:rPr>
          <w:rFonts w:ascii="Verdana" w:eastAsia="Times New Roman" w:hAnsi="Verdana" w:cs="Arial"/>
          <w:lang w:val="es-ES" w:eastAsia="es-ES"/>
        </w:rPr>
        <w:lastRenderedPageBreak/>
        <w:t>por la ley</w:t>
      </w:r>
      <w:r w:rsidRPr="00E87EA6">
        <w:rPr>
          <w:rFonts w:ascii="Verdana" w:eastAsia="Times New Roman" w:hAnsi="Verdana" w:cs="Arial"/>
          <w:vertAlign w:val="superscript"/>
          <w:lang w:val="es-ES" w:eastAsia="es-ES"/>
        </w:rPr>
        <w:footnoteReference w:id="10"/>
      </w:r>
      <w:r w:rsidRPr="00E87EA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2E2C8765" w14:textId="77777777" w:rsidR="00BD1E5A" w:rsidRPr="00E87EA6" w:rsidRDefault="00BD1E5A" w:rsidP="00BD1E5A">
      <w:pPr>
        <w:spacing w:after="0" w:line="276" w:lineRule="auto"/>
        <w:ind w:left="709" w:right="760"/>
        <w:jc w:val="both"/>
        <w:rPr>
          <w:rFonts w:ascii="Verdana" w:eastAsia="Times New Roman" w:hAnsi="Verdana" w:cs="Arial"/>
          <w:sz w:val="20"/>
          <w:szCs w:val="20"/>
          <w:lang w:val="es-ES_tradnl" w:eastAsia="es-ES"/>
        </w:rPr>
      </w:pPr>
    </w:p>
    <w:p w14:paraId="7D52F206" w14:textId="77777777" w:rsidR="00BD1E5A" w:rsidRPr="00E87EA6" w:rsidRDefault="00BD1E5A" w:rsidP="00BD1E5A">
      <w:pPr>
        <w:spacing w:after="0" w:line="276" w:lineRule="auto"/>
        <w:ind w:left="709" w:right="709"/>
        <w:jc w:val="both"/>
        <w:rPr>
          <w:rFonts w:ascii="Verdana" w:eastAsia="Times New Roman" w:hAnsi="Verdana" w:cs="Arial"/>
          <w:sz w:val="20"/>
          <w:szCs w:val="20"/>
          <w:lang w:val="es-ES" w:eastAsia="es-ES"/>
        </w:rPr>
      </w:pPr>
      <w:r w:rsidRPr="00E87EA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87EA6">
        <w:rPr>
          <w:rFonts w:ascii="Verdana" w:eastAsia="Times New Roman" w:hAnsi="Verdana" w:cs="Arial"/>
          <w:sz w:val="20"/>
          <w:szCs w:val="20"/>
          <w:lang w:val="es-ES" w:eastAsia="es-ES"/>
        </w:rPr>
        <w:t>liquidatorio</w:t>
      </w:r>
      <w:proofErr w:type="spellEnd"/>
      <w:r w:rsidRPr="00E87EA6">
        <w:rPr>
          <w:rFonts w:ascii="Verdana" w:eastAsia="Times New Roman" w:hAnsi="Verdana" w:cs="Arial"/>
          <w:sz w:val="20"/>
          <w:szCs w:val="20"/>
          <w:lang w:val="es-ES" w:eastAsia="es-ES"/>
        </w:rPr>
        <w:t xml:space="preserve"> se logre dentro del lapso de dos años contados a partir del vencimiento del término legalmente conocido para la liquidación unilateral, pues ese es el lapso que el ordenamiento ha fijado para el ejercicio oportuno de la acción”</w:t>
      </w:r>
      <w:r w:rsidRPr="00E87EA6">
        <w:rPr>
          <w:rFonts w:ascii="Verdana" w:eastAsia="Times New Roman" w:hAnsi="Verdana" w:cs="Arial"/>
          <w:sz w:val="20"/>
          <w:szCs w:val="20"/>
          <w:vertAlign w:val="superscript"/>
          <w:lang w:val="es-ES" w:eastAsia="es-ES"/>
        </w:rPr>
        <w:footnoteReference w:id="11"/>
      </w:r>
      <w:r w:rsidRPr="00E87EA6">
        <w:rPr>
          <w:rFonts w:ascii="Verdana" w:eastAsia="Times New Roman" w:hAnsi="Verdana" w:cs="Arial"/>
          <w:sz w:val="20"/>
          <w:szCs w:val="20"/>
          <w:lang w:val="es-ES" w:eastAsia="es-ES"/>
        </w:rPr>
        <w:t>.</w:t>
      </w:r>
    </w:p>
    <w:p w14:paraId="721BC331" w14:textId="77777777" w:rsidR="00BD1E5A" w:rsidRPr="00E87EA6" w:rsidRDefault="00BD1E5A" w:rsidP="00BD1E5A">
      <w:pPr>
        <w:spacing w:after="0" w:line="276" w:lineRule="auto"/>
        <w:ind w:left="709" w:right="760"/>
        <w:jc w:val="both"/>
        <w:rPr>
          <w:rFonts w:ascii="Verdana" w:eastAsia="Times New Roman" w:hAnsi="Verdana" w:cs="Arial"/>
          <w:lang w:val="es-ES_tradnl" w:eastAsia="es-ES"/>
        </w:rPr>
      </w:pPr>
    </w:p>
    <w:p w14:paraId="2E1C281C" w14:textId="77777777" w:rsidR="00BD1E5A" w:rsidRPr="00E87EA6" w:rsidRDefault="00BD1E5A" w:rsidP="00BD1E5A">
      <w:pPr>
        <w:spacing w:after="120" w:line="276" w:lineRule="auto"/>
        <w:jc w:val="both"/>
        <w:rPr>
          <w:rFonts w:ascii="Verdana" w:eastAsia="Calibri" w:hAnsi="Verdana" w:cs="Arial"/>
          <w:lang w:val="es-ES_tradnl"/>
        </w:rPr>
      </w:pPr>
      <w:r w:rsidRPr="00E87EA6">
        <w:rPr>
          <w:rFonts w:ascii="Verdana" w:eastAsia="Calibri" w:hAnsi="Verdana" w:cs="Arial"/>
          <w:lang w:val="es-ES_tradnl"/>
        </w:rPr>
        <w:tab/>
        <w:t>Así las cosas,</w:t>
      </w:r>
      <w:r>
        <w:rPr>
          <w:rFonts w:ascii="Verdana" w:eastAsia="Calibri" w:hAnsi="Verdana" w:cs="Arial"/>
          <w:lang w:val="es-ES_tradnl"/>
        </w:rPr>
        <w:t xml:space="preserve"> </w:t>
      </w:r>
      <w:r w:rsidRPr="00E87EA6">
        <w:rPr>
          <w:rFonts w:ascii="Verdana" w:eastAsia="Calibri" w:hAnsi="Verdana" w:cs="Arial"/>
          <w:lang w:val="es-ES_tradnl"/>
        </w:rPr>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87EA6">
        <w:rPr>
          <w:rFonts w:ascii="Verdana" w:eastAsia="Calibri" w:hAnsi="Verdana" w:cs="Arial"/>
          <w:vertAlign w:val="superscript"/>
          <w:lang w:val="es-ES_tradnl"/>
        </w:rPr>
        <w:footnoteReference w:id="12"/>
      </w:r>
      <w:r w:rsidRPr="00E87EA6">
        <w:rPr>
          <w:rFonts w:ascii="Verdana" w:eastAsia="Calibri" w:hAnsi="Verdana" w:cs="Arial"/>
          <w:lang w:val="es-ES_tradnl"/>
        </w:rPr>
        <w:t xml:space="preserve">. </w:t>
      </w:r>
    </w:p>
    <w:p w14:paraId="093B9703" w14:textId="77777777" w:rsidR="00BD1E5A" w:rsidRDefault="00BD1E5A" w:rsidP="00BD1E5A">
      <w:pPr>
        <w:spacing w:line="276" w:lineRule="auto"/>
        <w:ind w:firstLine="709"/>
        <w:jc w:val="both"/>
        <w:rPr>
          <w:rFonts w:ascii="Verdana" w:eastAsia="Calibri" w:hAnsi="Verdana" w:cs="Arial"/>
          <w:lang w:val="es-ES"/>
        </w:rPr>
      </w:pPr>
      <w:r w:rsidRPr="00E87EA6">
        <w:rPr>
          <w:rFonts w:ascii="Verdana" w:eastAsia="Calibri" w:hAnsi="Verdana" w:cs="Arial"/>
          <w:lang w:val="es-ES"/>
        </w:rPr>
        <w:t xml:space="preserve">En suma, de acuerdo con el artículo 11 de la Ley 1150 de 2007, existen tres (3) tipos de liquidación: i) bilateral,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unilateral y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xml:space="preserve">)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w:t>
      </w:r>
      <w:r w:rsidRPr="00E87EA6">
        <w:rPr>
          <w:rFonts w:ascii="Verdana" w:eastAsia="Calibri" w:hAnsi="Verdana" w:cs="Arial"/>
          <w:lang w:val="es-ES"/>
        </w:rPr>
        <w:lastRenderedPageBreak/>
        <w:t>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bookmarkEnd w:id="4"/>
    </w:p>
    <w:p w14:paraId="4E1D0397" w14:textId="77777777" w:rsidR="00BD1E5A" w:rsidRPr="00260737" w:rsidRDefault="00BD1E5A" w:rsidP="00BD1E5A">
      <w:pPr>
        <w:widowControl w:val="0"/>
        <w:autoSpaceDE w:val="0"/>
        <w:autoSpaceDN w:val="0"/>
        <w:spacing w:after="120" w:line="276" w:lineRule="auto"/>
        <w:jc w:val="both"/>
        <w:rPr>
          <w:rFonts w:ascii="Verdana" w:eastAsia="Arial MT" w:hAnsi="Verdana" w:cs="Arial"/>
          <w:color w:val="000000" w:themeColor="text1"/>
          <w:lang w:val="es-ES"/>
        </w:rPr>
      </w:pPr>
      <w:proofErr w:type="spellStart"/>
      <w:r>
        <w:rPr>
          <w:rFonts w:ascii="Verdana" w:eastAsia="Calibri" w:hAnsi="Verdana" w:cs="Arial"/>
          <w:lang w:val="es-ES"/>
        </w:rPr>
        <w:t>ii</w:t>
      </w:r>
      <w:proofErr w:type="spellEnd"/>
      <w:r>
        <w:rPr>
          <w:rFonts w:ascii="Verdana" w:eastAsia="Calibri" w:hAnsi="Verdana" w:cs="Arial"/>
          <w:lang w:val="es-ES"/>
        </w:rPr>
        <w:t>.</w:t>
      </w:r>
      <w:r w:rsidRPr="00782182">
        <w:rPr>
          <w:rFonts w:ascii="Verdana" w:eastAsia="Arial MT" w:hAnsi="Verdana" w:cs="Arial"/>
          <w:color w:val="000000" w:themeColor="text1"/>
          <w:lang w:val="es-ES"/>
        </w:rPr>
        <w:t xml:space="preserve"> </w:t>
      </w:r>
      <w:r w:rsidRPr="00260737">
        <w:rPr>
          <w:rFonts w:ascii="Verdana" w:eastAsia="Arial MT" w:hAnsi="Verdana" w:cs="Arial"/>
          <w:color w:val="000000" w:themeColor="text1"/>
          <w:lang w:val="es-ES"/>
        </w:rPr>
        <w:t>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través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actividad</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Estado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adquiere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bienes,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obras</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cumplir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los fines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ordenamiento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jurídico,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garantizando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así</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continuidad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eficiente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prestación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servicios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derechos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intereses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administrados</w:t>
      </w:r>
      <w:r w:rsidRPr="00260737">
        <w:rPr>
          <w:rFonts w:ascii="Verdana" w:eastAsia="Arial MT" w:hAnsi="Verdana" w:cs="Arial"/>
          <w:color w:val="000000" w:themeColor="text1"/>
          <w:vertAlign w:val="superscript"/>
          <w:lang w:val="es-ES"/>
        </w:rPr>
        <w:footnoteReference w:id="13"/>
      </w:r>
      <w:r w:rsidRPr="00260737">
        <w:rPr>
          <w:rFonts w:ascii="Verdana" w:eastAsia="Arial MT" w:hAnsi="Verdana" w:cs="Arial"/>
          <w:color w:val="000000" w:themeColor="text1"/>
          <w:lang w:val="es-ES"/>
        </w:rPr>
        <w:t>. Para la garantía de los fines de interés general involucrados en la contratación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entidades</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Estatuto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General</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Contratación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Administración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Pública</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adelante EGCAP– dispone que, en la etapa de ejecución del contrato, las autoridades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participan</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ella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tienen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controlar</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8"/>
          <w:lang w:val="es-ES"/>
        </w:rPr>
        <w:t xml:space="preserve"> </w:t>
      </w:r>
      <w:r w:rsidRPr="00260737">
        <w:rPr>
          <w:rFonts w:ascii="Verdana" w:eastAsia="Arial MT" w:hAnsi="Verdana" w:cs="Arial"/>
          <w:color w:val="000000" w:themeColor="text1"/>
          <w:lang w:val="es-ES"/>
        </w:rPr>
        <w:t>vigilar</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correcta ejecución del objeto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 anterior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busca que las finalidades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perseguidas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 estatales 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logren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manera satisfactoria.</w:t>
      </w:r>
    </w:p>
    <w:p w14:paraId="4A1F85DB"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El seguimiento de la ejecución del contrato, para la dirección, control y vigilancia de 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correcto cumplimiento,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Por esto, el EGCAP alude a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mencionada, que guarda relación con el principio de responsabilidad que rige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celebración y ejecución de los contratos estatales. Así, por ejemplo, los artículos 4, 5, 12, 14 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26</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la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80</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1993</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consagran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normas</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relacionadas</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otras.</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Esta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obligación</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predica,</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9"/>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11"/>
          <w:lang w:val="es-ES"/>
        </w:rPr>
        <w:t xml:space="preserve"> </w:t>
      </w:r>
      <w:r w:rsidRPr="00260737">
        <w:rPr>
          <w:rFonts w:ascii="Verdana" w:eastAsia="Arial MT" w:hAnsi="Verdana" w:cs="Arial"/>
          <w:color w:val="000000" w:themeColor="text1"/>
          <w:lang w:val="es-ES"/>
        </w:rPr>
        <w:t>jefe</w:t>
      </w:r>
      <w:r w:rsidRPr="00260737">
        <w:rPr>
          <w:rFonts w:ascii="Verdana" w:eastAsia="Arial MT" w:hAnsi="Verdana" w:cs="Arial"/>
          <w:color w:val="000000" w:themeColor="text1"/>
          <w:spacing w:val="-10"/>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representante</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legal de la entidad, por tener la responsabilidad de la dirección y manejo de la actividad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 pero también de los servidores públicos que intervienen en ella. En ese sentido, las</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entidades estatales deben ejercer el control de la ejecución del contrato y, de ser el caso, tomar</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medidas para exigir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lastRenderedPageBreak/>
        <w:t>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adecuado cumplimiento.</w:t>
      </w:r>
    </w:p>
    <w:p w14:paraId="365EFFC5"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Las Leyes 1150 de 2007 y 1474 de 2011 complementan el régimen jurídico de 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 los contratos estatales. Allí se impone el debido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proceso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como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rector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sancionatoria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entre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otros eventos,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imposición de multas y la decisión de hacer efectiva la cláusula penal; principio que debe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spacing w:val="-1"/>
          <w:lang w:val="es-ES"/>
        </w:rPr>
        <w:t>respetarse</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spacing w:val="-1"/>
          <w:lang w:val="es-ES"/>
        </w:rPr>
        <w:t>en</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el</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spacing w:val="-1"/>
          <w:lang w:val="es-ES"/>
        </w:rPr>
        <w:t>ejercicio</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spacing w:val="-1"/>
          <w:lang w:val="es-ES"/>
        </w:rPr>
        <w:t>del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spacing w:val="-1"/>
          <w:lang w:val="es-ES"/>
        </w:rPr>
        <w:t>control</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6"/>
          <w:lang w:val="es-ES"/>
        </w:rPr>
        <w:t xml:space="preserve"> </w:t>
      </w:r>
      <w:r w:rsidRPr="00260737">
        <w:rPr>
          <w:rFonts w:ascii="Verdana" w:eastAsia="Arial MT" w:hAnsi="Verdana" w:cs="Arial"/>
          <w:color w:val="000000" w:themeColor="text1"/>
          <w:lang w:val="es-ES"/>
        </w:rPr>
        <w:t>vigilancia</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3"/>
          <w:lang w:val="es-ES"/>
        </w:rPr>
        <w:t xml:space="preserve"> </w:t>
      </w:r>
      <w:r w:rsidRPr="00260737">
        <w:rPr>
          <w:rFonts w:ascii="Verdana" w:eastAsia="Arial MT" w:hAnsi="Verdana" w:cs="Arial"/>
          <w:color w:val="000000" w:themeColor="text1"/>
          <w:lang w:val="es-ES"/>
        </w:rPr>
        <w:t>ejecución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4"/>
      </w:r>
      <w:r w:rsidRPr="00260737">
        <w:rPr>
          <w:rFonts w:ascii="Verdana" w:eastAsia="Arial MT" w:hAnsi="Verdana" w:cs="Arial"/>
          <w:color w:val="000000" w:themeColor="text1"/>
          <w:lang w:val="es-ES"/>
        </w:rPr>
        <w:t>.</w:t>
      </w:r>
      <w:r w:rsidRPr="00260737">
        <w:rPr>
          <w:rFonts w:ascii="Verdana" w:eastAsia="Arial MT" w:hAnsi="Verdana" w:cs="Arial"/>
          <w:color w:val="000000" w:themeColor="text1"/>
          <w:spacing w:val="-15"/>
          <w:lang w:val="es-ES"/>
        </w:rPr>
        <w:t xml:space="preserve"> </w:t>
      </w:r>
      <w:r w:rsidRPr="00260737">
        <w:rPr>
          <w:rFonts w:ascii="Verdana" w:eastAsia="Arial MT" w:hAnsi="Verdana" w:cs="Arial"/>
          <w:color w:val="000000" w:themeColor="text1"/>
          <w:lang w:val="es-ES"/>
        </w:rPr>
        <w:t>También</w:t>
      </w:r>
      <w:r w:rsidRPr="00260737">
        <w:rPr>
          <w:rFonts w:ascii="Verdana" w:eastAsia="Arial MT" w:hAnsi="Verdana" w:cs="Arial"/>
          <w:color w:val="000000" w:themeColor="text1"/>
          <w:spacing w:val="-14"/>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17"/>
          <w:lang w:val="es-ES"/>
        </w:rPr>
        <w:t xml:space="preserve"> </w:t>
      </w:r>
      <w:r w:rsidRPr="00260737">
        <w:rPr>
          <w:rFonts w:ascii="Verdana" w:eastAsia="Arial MT" w:hAnsi="Verdana" w:cs="Arial"/>
          <w:color w:val="000000" w:themeColor="text1"/>
          <w:lang w:val="es-ES"/>
        </w:rPr>
        <w:t>establecen</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los límites de la responsabilidad del representante legal ante la delegación de sus funciones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materia</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contractual</w:t>
      </w:r>
      <w:r w:rsidRPr="00260737">
        <w:rPr>
          <w:rFonts w:ascii="Verdana" w:eastAsia="Arial MT" w:hAnsi="Verdana" w:cs="Arial"/>
          <w:color w:val="000000" w:themeColor="text1"/>
          <w:vertAlign w:val="superscript"/>
          <w:lang w:val="es-ES"/>
        </w:rPr>
        <w:footnoteReference w:id="15"/>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se</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regula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supervisión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interventoría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estatales</w:t>
      </w:r>
      <w:r w:rsidRPr="00260737">
        <w:rPr>
          <w:rFonts w:ascii="Verdana" w:eastAsia="Arial MT" w:hAnsi="Verdana" w:cs="Arial"/>
          <w:color w:val="000000" w:themeColor="text1"/>
          <w:vertAlign w:val="superscript"/>
          <w:lang w:val="es-ES"/>
        </w:rPr>
        <w:footnoteReference w:id="16"/>
      </w:r>
      <w:r w:rsidRPr="00260737">
        <w:rPr>
          <w:rFonts w:ascii="Verdana" w:eastAsia="Arial MT" w:hAnsi="Verdana" w:cs="Arial"/>
          <w:color w:val="000000" w:themeColor="text1"/>
          <w:lang w:val="es-ES"/>
        </w:rPr>
        <w:t>.</w:t>
      </w:r>
    </w:p>
    <w:p w14:paraId="758700E7"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jurisprudencia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contencioso-administrativa,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por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parte,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ha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considerado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que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obligación de vigilar la correcta ejecución del objeto contractual es una función de la entidad</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los siguientes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260737">
        <w:rPr>
          <w:rFonts w:ascii="Verdana" w:eastAsia="Arial MT" w:hAnsi="Verdana" w:cs="Arial"/>
          <w:color w:val="000000" w:themeColor="text1"/>
          <w:vertAlign w:val="superscript"/>
          <w:lang w:val="es-ES"/>
        </w:rPr>
        <w:footnoteReference w:id="17"/>
      </w:r>
      <w:r w:rsidRPr="00260737">
        <w:rPr>
          <w:rFonts w:ascii="Verdana" w:eastAsia="Arial MT" w:hAnsi="Verdana" w:cs="Arial"/>
          <w:color w:val="000000" w:themeColor="text1"/>
          <w:lang w:val="es-ES"/>
        </w:rPr>
        <w:t>.</w:t>
      </w:r>
    </w:p>
    <w:p w14:paraId="573AA40A"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spacing w:val="-1"/>
          <w:lang w:val="es-ES"/>
        </w:rPr>
        <w:t>En esta perspectiva,</w:t>
      </w:r>
      <w:r w:rsidRPr="00260737">
        <w:rPr>
          <w:rFonts w:ascii="Verdana" w:eastAsia="Arial MT" w:hAnsi="Verdana" w:cs="Arial"/>
          <w:color w:val="000000" w:themeColor="text1"/>
          <w:lang w:val="es-ES"/>
        </w:rPr>
        <w:t xml:space="preserve">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seguimiento de la ejecución del contrato para su dirección, control y vigilancia del correcto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cumplimiento del objeto es un deber legal que permite a las entidades estatales tomar medidas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orientadas a la satisfacción de los fines de la contratación, dentro de las cuales, se encuentra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posibilidad de pactar y ejercer las cláusulas exorbitantes, la designación de una supervisión o la</w:t>
      </w:r>
      <w:r w:rsidRPr="00260737">
        <w:rPr>
          <w:rFonts w:ascii="Verdana" w:eastAsia="Arial MT" w:hAnsi="Verdana" w:cs="Arial"/>
          <w:color w:val="000000" w:themeColor="text1"/>
          <w:spacing w:val="-59"/>
          <w:lang w:val="es-ES"/>
        </w:rPr>
        <w:t xml:space="preserve">              </w:t>
      </w:r>
      <w:r w:rsidRPr="00260737">
        <w:rPr>
          <w:rFonts w:ascii="Verdana" w:eastAsia="Arial MT" w:hAnsi="Verdana" w:cs="Arial"/>
          <w:color w:val="000000" w:themeColor="text1"/>
          <w:lang w:val="es-ES"/>
        </w:rPr>
        <w:t>contratación de una interventoría para vigilar la ejecución del contrato y la facultad de pactar 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imponer multas, cláusula penal o hacer efectivas las garantías del contrato, previa declaratoria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 incumplimiento de las obligaciones del contrato, en aras de lograr la satisfacción de las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necesidades de bienes, obras o servicios que se pretenden suplir con la celebración de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estatales. Por lo tanto, la responsabilidad por el control y vigilancia de </w:t>
      </w:r>
      <w:r w:rsidRPr="00260737">
        <w:rPr>
          <w:rFonts w:ascii="Verdana" w:eastAsia="Arial MT" w:hAnsi="Verdana" w:cs="Arial"/>
          <w:color w:val="000000" w:themeColor="text1"/>
          <w:lang w:val="es-ES"/>
        </w:rPr>
        <w:lastRenderedPageBreak/>
        <w:t>la ejecución del contrato está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a cargo de la Entidad Estatal contratante y, en consecuencia, es esta quien debe supervisar los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mediante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funcionarios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servidores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públicos,</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y</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únicamente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contratar</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 xml:space="preserve">personal en caso de necesitarlo como apoyo a su gestión en la supervisión. </w:t>
      </w:r>
    </w:p>
    <w:p w14:paraId="7FB3F2DD" w14:textId="77777777" w:rsidR="00BD1E5A" w:rsidRPr="00260737" w:rsidRDefault="00BD1E5A" w:rsidP="00BD1E5A">
      <w:pPr>
        <w:widowControl w:val="0"/>
        <w:autoSpaceDE w:val="0"/>
        <w:autoSpaceDN w:val="0"/>
        <w:spacing w:after="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Ahora bien, La Ley 1474 de 2011 enmarcó el seguimiento, control y vigilancia de la ejecución del contrato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estatal</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dentro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principio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moralidad</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administrativa. En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efecto,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83</w:t>
      </w:r>
      <w:r w:rsidRPr="00260737">
        <w:rPr>
          <w:rFonts w:ascii="Verdana" w:eastAsia="Arial MT" w:hAnsi="Verdana" w:cs="Arial"/>
          <w:color w:val="000000" w:themeColor="text1"/>
          <w:spacing w:val="4"/>
          <w:lang w:val="es-ES"/>
        </w:rPr>
        <w:t xml:space="preserve"> </w:t>
      </w:r>
      <w:r w:rsidRPr="00260737">
        <w:rPr>
          <w:rFonts w:ascii="Verdana" w:eastAsia="Arial MT" w:hAnsi="Verdana" w:cs="Arial"/>
          <w:i/>
          <w:color w:val="000000" w:themeColor="text1"/>
          <w:lang w:val="es-ES"/>
        </w:rPr>
        <w:t>ibidem</w:t>
      </w:r>
      <w:r w:rsidRPr="00260737">
        <w:rPr>
          <w:rFonts w:ascii="Verdana" w:eastAsia="Arial MT" w:hAnsi="Verdana" w:cs="Arial"/>
          <w:i/>
          <w:color w:val="000000" w:themeColor="text1"/>
          <w:spacing w:val="1"/>
          <w:lang w:val="es-ES"/>
        </w:rPr>
        <w:t xml:space="preserve"> </w:t>
      </w:r>
      <w:r w:rsidRPr="00260737">
        <w:rPr>
          <w:rFonts w:ascii="Verdana" w:eastAsia="Arial MT" w:hAnsi="Verdana" w:cs="Arial"/>
          <w:color w:val="000000" w:themeColor="text1"/>
          <w:lang w:val="es-ES"/>
        </w:rPr>
        <w:t>dispone: “Con el fin de proteger la moralidad administrativa, de prevenir la ocurrencia de actos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corrupción y de tutelar la transparencia de la actividad contractual, las entidades públicas están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obligadas a vigilar permanentemente la correcta ejecución del objeto contratado a través de un</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supervisor o un interventor, según corresponda”. El legislador, además, definió las nociones de</w:t>
      </w:r>
      <w:r w:rsidRPr="00260737">
        <w:rPr>
          <w:rFonts w:ascii="Verdana" w:eastAsia="Arial MT" w:hAnsi="Verdana" w:cs="Arial"/>
          <w:color w:val="000000" w:themeColor="text1"/>
          <w:spacing w:val="1"/>
          <w:lang w:val="es-ES"/>
        </w:rPr>
        <w:t xml:space="preserve"> </w:t>
      </w:r>
      <w:r w:rsidRPr="00260737">
        <w:rPr>
          <w:rFonts w:ascii="Verdana" w:eastAsia="Arial MT" w:hAnsi="Verdana" w:cs="Arial"/>
          <w:i/>
          <w:color w:val="000000" w:themeColor="text1"/>
          <w:lang w:val="es-ES"/>
        </w:rPr>
        <w:t xml:space="preserve">supervisión </w:t>
      </w:r>
      <w:r w:rsidRPr="00260737">
        <w:rPr>
          <w:rFonts w:ascii="Verdana" w:eastAsia="Arial MT" w:hAnsi="Verdana" w:cs="Arial"/>
          <w:color w:val="000000" w:themeColor="text1"/>
          <w:lang w:val="es-ES"/>
        </w:rPr>
        <w:t xml:space="preserve">e </w:t>
      </w:r>
      <w:r w:rsidRPr="00260737">
        <w:rPr>
          <w:rFonts w:ascii="Verdana" w:eastAsia="Arial MT" w:hAnsi="Verdana" w:cs="Arial"/>
          <w:i/>
          <w:color w:val="000000" w:themeColor="text1"/>
          <w:lang w:val="es-ES"/>
        </w:rPr>
        <w:t>interventoría</w:t>
      </w:r>
      <w:r w:rsidRPr="00260737">
        <w:rPr>
          <w:rFonts w:ascii="Verdana" w:eastAsia="Arial MT" w:hAnsi="Verdana" w:cs="Arial"/>
          <w:color w:val="000000" w:themeColor="text1"/>
          <w:lang w:val="es-ES"/>
        </w:rPr>
        <w:t>, como mecanismos que pueden usar las entidades estatales para</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vigilar el</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contrato,</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2"/>
          <w:lang w:val="es-ES"/>
        </w:rPr>
        <w:t xml:space="preserve"> </w:t>
      </w:r>
      <w:r w:rsidRPr="00260737">
        <w:rPr>
          <w:rFonts w:ascii="Verdana" w:eastAsia="Arial MT" w:hAnsi="Verdana" w:cs="Arial"/>
          <w:color w:val="000000" w:themeColor="text1"/>
          <w:lang w:val="es-ES"/>
        </w:rPr>
        <w:t>estos términos:</w:t>
      </w:r>
    </w:p>
    <w:p w14:paraId="35790352" w14:textId="77777777" w:rsidR="00BD1E5A" w:rsidRPr="00260737" w:rsidRDefault="00BD1E5A" w:rsidP="00BD1E5A">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7E811E27" w14:textId="77777777" w:rsidR="00BD1E5A" w:rsidRPr="00260737" w:rsidRDefault="00BD1E5A" w:rsidP="00BD1E5A">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consistirá</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técnico,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administrativo,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 y jurídico que sobre el cumplimiento del objeto del contrato, es ejercida por</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 misma entidad estatal cuando no requieren conocimientos especializados. Para la</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supervisión, la Entidad estatal podrá contratar personal de apoyo, a través de los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contratos</w:t>
      </w:r>
      <w:r w:rsidRPr="00260737">
        <w:rPr>
          <w:rFonts w:ascii="Verdana" w:eastAsia="Arial MT" w:hAnsi="Verdana" w:cs="Arial"/>
          <w:color w:val="000000" w:themeColor="text1"/>
          <w:spacing w:val="-2"/>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prestación</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servicios</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que sean requeridos.</w:t>
      </w:r>
    </w:p>
    <w:p w14:paraId="3A6EB54E" w14:textId="77777777" w:rsidR="00BD1E5A" w:rsidRPr="00260737" w:rsidRDefault="00BD1E5A" w:rsidP="00BD1E5A">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260737">
        <w:rPr>
          <w:rFonts w:ascii="Verdana" w:eastAsia="Arial MT" w:hAnsi="Verdana" w:cs="Arial"/>
          <w:color w:val="000000" w:themeColor="text1"/>
          <w:sz w:val="20"/>
          <w:szCs w:val="20"/>
          <w:lang w:val="es-ES"/>
        </w:rPr>
        <w:t>La interventoría consistirá en el seguimiento técnico que sobre el cumplimiento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realice una persona natural o jurídica contratada para tal fin por la Entidad</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Estatal,</w:t>
      </w:r>
      <w:r w:rsidRPr="00260737">
        <w:rPr>
          <w:rFonts w:ascii="Verdana" w:eastAsia="Arial MT" w:hAnsi="Verdana" w:cs="Arial"/>
          <w:color w:val="000000" w:themeColor="text1"/>
          <w:spacing w:val="-11"/>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seguimiento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suponga</w:t>
      </w:r>
      <w:r w:rsidRPr="00260737">
        <w:rPr>
          <w:rFonts w:ascii="Verdana" w:eastAsia="Arial MT" w:hAnsi="Verdana" w:cs="Arial"/>
          <w:color w:val="000000" w:themeColor="text1"/>
          <w:spacing w:val="-12"/>
          <w:sz w:val="20"/>
          <w:szCs w:val="20"/>
          <w:lang w:val="es-ES"/>
        </w:rPr>
        <w:t xml:space="preserve"> </w:t>
      </w:r>
      <w:r w:rsidRPr="00260737">
        <w:rPr>
          <w:rFonts w:ascii="Verdana" w:eastAsia="Arial MT" w:hAnsi="Verdana" w:cs="Arial"/>
          <w:color w:val="000000" w:themeColor="text1"/>
          <w:sz w:val="20"/>
          <w:szCs w:val="20"/>
          <w:lang w:val="es-ES"/>
        </w:rPr>
        <w:t>conocimiento</w:t>
      </w:r>
      <w:r w:rsidRPr="00260737">
        <w:rPr>
          <w:rFonts w:ascii="Verdana" w:eastAsia="Arial MT" w:hAnsi="Verdana" w:cs="Arial"/>
          <w:color w:val="000000" w:themeColor="text1"/>
          <w:spacing w:val="-13"/>
          <w:sz w:val="20"/>
          <w:szCs w:val="20"/>
          <w:lang w:val="es-ES"/>
        </w:rPr>
        <w:t xml:space="preserve"> </w:t>
      </w:r>
      <w:r w:rsidRPr="00260737">
        <w:rPr>
          <w:rFonts w:ascii="Verdana" w:eastAsia="Arial MT" w:hAnsi="Verdana" w:cs="Arial"/>
          <w:color w:val="000000" w:themeColor="text1"/>
          <w:sz w:val="20"/>
          <w:szCs w:val="20"/>
          <w:lang w:val="es-ES"/>
        </w:rPr>
        <w:t>especializado</w:t>
      </w:r>
      <w:r w:rsidRPr="00260737">
        <w:rPr>
          <w:rFonts w:ascii="Verdana" w:eastAsia="Arial MT" w:hAnsi="Verdana" w:cs="Arial"/>
          <w:color w:val="000000" w:themeColor="text1"/>
          <w:spacing w:val="-9"/>
          <w:sz w:val="20"/>
          <w:szCs w:val="20"/>
          <w:lang w:val="es-ES"/>
        </w:rPr>
        <w:t xml:space="preserve"> </w:t>
      </w:r>
      <w:r w:rsidRPr="00260737">
        <w:rPr>
          <w:rFonts w:ascii="Verdana" w:eastAsia="Arial MT" w:hAnsi="Verdana" w:cs="Arial"/>
          <w:color w:val="000000" w:themeColor="text1"/>
          <w:sz w:val="20"/>
          <w:szCs w:val="20"/>
          <w:lang w:val="es-ES"/>
        </w:rPr>
        <w:t>en</w:t>
      </w:r>
      <w:r w:rsidRPr="00260737">
        <w:rPr>
          <w:rFonts w:ascii="Verdana" w:eastAsia="Arial MT" w:hAnsi="Verdana" w:cs="Arial"/>
          <w:color w:val="000000" w:themeColor="text1"/>
          <w:spacing w:val="-10"/>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materia,</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cuando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complejidad</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extensión</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del</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mismo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lo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justifiquen.</w:t>
      </w:r>
      <w:r w:rsidRPr="00260737">
        <w:rPr>
          <w:rFonts w:ascii="Verdana" w:eastAsia="Arial MT" w:hAnsi="Verdana" w:cs="Arial"/>
          <w:color w:val="000000" w:themeColor="text1"/>
          <w:spacing w:val="-7"/>
          <w:sz w:val="20"/>
          <w:szCs w:val="20"/>
          <w:lang w:val="es-ES"/>
        </w:rPr>
        <w:t xml:space="preserve"> </w:t>
      </w:r>
      <w:r w:rsidRPr="00260737">
        <w:rPr>
          <w:rFonts w:ascii="Verdana" w:eastAsia="Arial MT" w:hAnsi="Verdana" w:cs="Arial"/>
          <w:color w:val="000000" w:themeColor="text1"/>
          <w:sz w:val="20"/>
          <w:szCs w:val="20"/>
          <w:lang w:val="es-ES"/>
        </w:rPr>
        <w:t>No</w:t>
      </w:r>
      <w:r w:rsidRPr="00260737">
        <w:rPr>
          <w:rFonts w:ascii="Verdana" w:eastAsia="Arial MT" w:hAnsi="Verdana" w:cs="Arial"/>
          <w:color w:val="000000" w:themeColor="text1"/>
          <w:spacing w:val="-6"/>
          <w:sz w:val="20"/>
          <w:szCs w:val="20"/>
          <w:lang w:val="es-ES"/>
        </w:rPr>
        <w:t xml:space="preserve"> </w:t>
      </w:r>
      <w:r w:rsidRPr="00260737">
        <w:rPr>
          <w:rFonts w:ascii="Verdana" w:eastAsia="Arial MT" w:hAnsi="Verdana" w:cs="Arial"/>
          <w:color w:val="000000" w:themeColor="text1"/>
          <w:sz w:val="20"/>
          <w:szCs w:val="20"/>
          <w:lang w:val="es-ES"/>
        </w:rPr>
        <w:t>obstante,</w:t>
      </w:r>
      <w:r w:rsidRPr="00260737">
        <w:rPr>
          <w:rFonts w:ascii="Verdana" w:eastAsia="Arial MT" w:hAnsi="Verdana" w:cs="Arial"/>
          <w:color w:val="000000" w:themeColor="text1"/>
          <w:spacing w:val="-56"/>
          <w:sz w:val="20"/>
          <w:szCs w:val="20"/>
          <w:lang w:val="es-ES"/>
        </w:rPr>
        <w:t xml:space="preserve"> </w:t>
      </w:r>
      <w:r w:rsidRPr="00260737">
        <w:rPr>
          <w:rFonts w:ascii="Verdana" w:eastAsia="Arial MT" w:hAnsi="Verdana" w:cs="Arial"/>
          <w:color w:val="000000" w:themeColor="text1"/>
          <w:sz w:val="20"/>
          <w:szCs w:val="20"/>
          <w:lang w:val="es-ES"/>
        </w:rPr>
        <w:t>lo anterior cuando la entidad lo encuentre justificado y acorde a la naturaleza del</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 principal, podrá contratar el seguimiento administrativo, técnico, financiero,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contable,</w:t>
      </w:r>
      <w:r w:rsidRPr="00260737">
        <w:rPr>
          <w:rFonts w:ascii="Verdana" w:eastAsia="Arial MT" w:hAnsi="Verdana" w:cs="Arial"/>
          <w:color w:val="000000" w:themeColor="text1"/>
          <w:spacing w:val="-3"/>
          <w:sz w:val="20"/>
          <w:szCs w:val="20"/>
          <w:lang w:val="es-ES"/>
        </w:rPr>
        <w:t xml:space="preserve"> </w:t>
      </w:r>
      <w:r w:rsidRPr="00260737">
        <w:rPr>
          <w:rFonts w:ascii="Verdana" w:eastAsia="Arial MT" w:hAnsi="Verdana" w:cs="Arial"/>
          <w:color w:val="000000" w:themeColor="text1"/>
          <w:sz w:val="20"/>
          <w:szCs w:val="20"/>
          <w:lang w:val="es-ES"/>
        </w:rPr>
        <w:t>jurídico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del objeto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contrato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dentro</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de</w:t>
      </w:r>
      <w:r w:rsidRPr="00260737">
        <w:rPr>
          <w:rFonts w:ascii="Verdana" w:eastAsia="Arial MT" w:hAnsi="Verdana" w:cs="Arial"/>
          <w:color w:val="000000" w:themeColor="text1"/>
          <w:spacing w:val="-1"/>
          <w:sz w:val="20"/>
          <w:szCs w:val="20"/>
          <w:lang w:val="es-ES"/>
        </w:rPr>
        <w:t xml:space="preserve"> </w:t>
      </w:r>
      <w:r w:rsidRPr="00260737">
        <w:rPr>
          <w:rFonts w:ascii="Verdana" w:eastAsia="Arial MT" w:hAnsi="Verdana" w:cs="Arial"/>
          <w:color w:val="000000" w:themeColor="text1"/>
          <w:sz w:val="20"/>
          <w:szCs w:val="20"/>
          <w:lang w:val="es-ES"/>
        </w:rPr>
        <w:t>la</w:t>
      </w:r>
      <w:r w:rsidRPr="00260737">
        <w:rPr>
          <w:rFonts w:ascii="Verdana" w:eastAsia="Arial MT" w:hAnsi="Verdana" w:cs="Arial"/>
          <w:color w:val="000000" w:themeColor="text1"/>
          <w:spacing w:val="-4"/>
          <w:sz w:val="20"/>
          <w:szCs w:val="20"/>
          <w:lang w:val="es-ES"/>
        </w:rPr>
        <w:t xml:space="preserve"> </w:t>
      </w:r>
      <w:r w:rsidRPr="00260737">
        <w:rPr>
          <w:rFonts w:ascii="Verdana" w:eastAsia="Arial MT" w:hAnsi="Verdana" w:cs="Arial"/>
          <w:color w:val="000000" w:themeColor="text1"/>
          <w:sz w:val="20"/>
          <w:szCs w:val="20"/>
          <w:lang w:val="es-ES"/>
        </w:rPr>
        <w:t>interventoría”.</w:t>
      </w:r>
    </w:p>
    <w:p w14:paraId="442E43FB" w14:textId="77777777" w:rsidR="00BD1E5A" w:rsidRPr="00260737" w:rsidRDefault="00BD1E5A" w:rsidP="00BD1E5A">
      <w:pPr>
        <w:widowControl w:val="0"/>
        <w:autoSpaceDE w:val="0"/>
        <w:autoSpaceDN w:val="0"/>
        <w:spacing w:before="8" w:after="0" w:line="276" w:lineRule="auto"/>
        <w:rPr>
          <w:rFonts w:ascii="Verdana" w:eastAsia="Arial MT" w:hAnsi="Verdana" w:cs="Arial"/>
          <w:color w:val="000000" w:themeColor="text1"/>
          <w:lang w:val="es-ES"/>
        </w:rPr>
      </w:pPr>
    </w:p>
    <w:p w14:paraId="3DF2DB6F"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 xml:space="preserve">En este punto, se reitera lo expuesto por esta Agencia desde el Concepto 4201913000008240 del 20 de diciembre de 2019, en cuya oportunidad se señaló que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w:t>
      </w:r>
      <w:r w:rsidRPr="00260737">
        <w:rPr>
          <w:rFonts w:ascii="Verdana" w:eastAsia="Arial MT" w:hAnsi="Verdana" w:cs="Arial"/>
          <w:color w:val="000000" w:themeColor="text1"/>
          <w:lang w:val="es-ES"/>
        </w:rPr>
        <w:lastRenderedPageBreak/>
        <w:t>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28D916B4"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tanto, la responsabilidad por el control y vigilancia de la ejecución del contrato está a cargo de la entidad estatal contratante y, en consecuencia, es ésta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2B48C804" w14:textId="77777777" w:rsidR="00BD1E5A" w:rsidRPr="00260737" w:rsidRDefault="00BD1E5A" w:rsidP="00BD1E5A">
      <w:pPr>
        <w:widowControl w:val="0"/>
        <w:autoSpaceDE w:val="0"/>
        <w:autoSpaceDN w:val="0"/>
        <w:spacing w:after="120" w:line="276" w:lineRule="auto"/>
        <w:ind w:firstLine="709"/>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Por lo demás, quien ejerza la vigilancia de la ejecución del contrato</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puede</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hacer</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uso</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6"/>
          <w:lang w:val="es-ES"/>
        </w:rPr>
        <w:t xml:space="preserve"> </w:t>
      </w:r>
      <w:r w:rsidRPr="00260737">
        <w:rPr>
          <w:rFonts w:ascii="Verdana" w:eastAsia="Arial MT" w:hAnsi="Verdana" w:cs="Arial"/>
          <w:color w:val="000000" w:themeColor="text1"/>
          <w:lang w:val="es-ES"/>
        </w:rPr>
        <w:t>las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facultades</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previstas</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en</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el</w:t>
      </w:r>
      <w:r w:rsidRPr="00260737">
        <w:rPr>
          <w:rFonts w:ascii="Verdana" w:eastAsia="Arial MT" w:hAnsi="Verdana" w:cs="Arial"/>
          <w:color w:val="000000" w:themeColor="text1"/>
          <w:spacing w:val="-4"/>
          <w:lang w:val="es-ES"/>
        </w:rPr>
        <w:t xml:space="preserve"> </w:t>
      </w:r>
      <w:r w:rsidRPr="00260737">
        <w:rPr>
          <w:rFonts w:ascii="Verdana" w:eastAsia="Arial MT" w:hAnsi="Verdana" w:cs="Arial"/>
          <w:color w:val="000000" w:themeColor="text1"/>
          <w:lang w:val="es-ES"/>
        </w:rPr>
        <w:t>artículo</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84</w:t>
      </w:r>
      <w:r w:rsidRPr="00260737">
        <w:rPr>
          <w:rFonts w:ascii="Verdana" w:eastAsia="Arial MT" w:hAnsi="Verdana" w:cs="Arial"/>
          <w:color w:val="000000" w:themeColor="text1"/>
          <w:spacing w:val="-3"/>
          <w:lang w:val="es-ES"/>
        </w:rPr>
        <w:t xml:space="preserve"> </w:t>
      </w:r>
      <w:r w:rsidRPr="00260737">
        <w:rPr>
          <w:rFonts w:ascii="Verdana" w:eastAsia="Arial MT" w:hAnsi="Verdana" w:cs="Arial"/>
          <w:color w:val="000000" w:themeColor="text1"/>
          <w:lang w:val="es-ES"/>
        </w:rPr>
        <w:t>de</w:t>
      </w:r>
      <w:r w:rsidRPr="00260737">
        <w:rPr>
          <w:rFonts w:ascii="Verdana" w:eastAsia="Arial MT" w:hAnsi="Verdana" w:cs="Arial"/>
          <w:color w:val="000000" w:themeColor="text1"/>
          <w:spacing w:val="-7"/>
          <w:lang w:val="es-ES"/>
        </w:rPr>
        <w:t xml:space="preserve"> </w:t>
      </w:r>
      <w:r w:rsidRPr="00260737">
        <w:rPr>
          <w:rFonts w:ascii="Verdana" w:eastAsia="Arial MT" w:hAnsi="Verdana" w:cs="Arial"/>
          <w:color w:val="000000" w:themeColor="text1"/>
          <w:lang w:val="es-ES"/>
        </w:rPr>
        <w:t>la</w:t>
      </w:r>
      <w:r w:rsidRPr="00260737">
        <w:rPr>
          <w:rFonts w:ascii="Verdana" w:eastAsia="Arial MT" w:hAnsi="Verdana" w:cs="Arial"/>
          <w:color w:val="000000" w:themeColor="text1"/>
          <w:spacing w:val="-5"/>
          <w:lang w:val="es-ES"/>
        </w:rPr>
        <w:t xml:space="preserve"> </w:t>
      </w:r>
      <w:r w:rsidRPr="00260737">
        <w:rPr>
          <w:rFonts w:ascii="Verdana" w:eastAsia="Arial MT" w:hAnsi="Verdana" w:cs="Arial"/>
          <w:color w:val="000000" w:themeColor="text1"/>
          <w:lang w:val="es-ES"/>
        </w:rPr>
        <w:t>Ley</w:t>
      </w:r>
      <w:r w:rsidRPr="00260737">
        <w:rPr>
          <w:rFonts w:ascii="Verdana" w:eastAsia="Arial MT" w:hAnsi="Verdana" w:cs="Arial"/>
          <w:color w:val="000000" w:themeColor="text1"/>
          <w:spacing w:val="-58"/>
          <w:lang w:val="es-ES"/>
        </w:rPr>
        <w:t xml:space="preserve"> </w:t>
      </w:r>
      <w:r w:rsidRPr="00260737">
        <w:rPr>
          <w:rFonts w:ascii="Verdana" w:eastAsia="Arial MT" w:hAnsi="Verdana" w:cs="Arial"/>
          <w:color w:val="000000" w:themeColor="text1"/>
          <w:lang w:val="es-ES"/>
        </w:rPr>
        <w:t>1474 de 2011 para efectuar el seguimiento al cumplimiento obligacional del contrato y estará</w:t>
      </w:r>
      <w:r w:rsidRPr="00260737">
        <w:rPr>
          <w:rFonts w:ascii="Verdana" w:eastAsia="Arial MT" w:hAnsi="Verdana" w:cs="Arial"/>
          <w:color w:val="000000" w:themeColor="text1"/>
          <w:spacing w:val="1"/>
          <w:lang w:val="es-ES"/>
        </w:rPr>
        <w:t xml:space="preserve"> </w:t>
      </w:r>
      <w:r w:rsidRPr="00260737">
        <w:rPr>
          <w:rFonts w:ascii="Verdana" w:eastAsia="Arial MT" w:hAnsi="Verdana" w:cs="Arial"/>
          <w:color w:val="000000" w:themeColor="text1"/>
          <w:lang w:val="es-ES"/>
        </w:rPr>
        <w:t>sometido a los deberes y responsabilidades que implica el ejercicio de dicha actividad. En este contexto, “Los interventores y supervisores están facultados para solicitar informes, aclaraciones y explicaciones sobre el desarrollo de la ejecución contractual […]”.</w:t>
      </w:r>
    </w:p>
    <w:p w14:paraId="222E0604" w14:textId="77777777" w:rsidR="00BD1E5A" w:rsidRPr="00260737" w:rsidRDefault="00BD1E5A" w:rsidP="00BD1E5A">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Arial MT" w:hAnsi="Verdana" w:cs="Arial"/>
          <w:color w:val="000000" w:themeColor="text1"/>
          <w:lang w:val="es-ES"/>
        </w:rPr>
        <w:t>Sin embargo, la facultad de control y vigilancia realizada por el supervisor no es absoluta, pues no puede solicitar informes, aclaraciones y explicaciones ajenas al marco jurídico de la actividad desplegada por el contratista. Por ello, en lo relacionado con el seguimiento financiero y contable, la doctrina considera que el supervisor está facultado para aprobar la factura o documento equivalente para cancelar el valor del contrato, aprobar el formato de cumplimiento de requisitos de pago, tramitar la cancelación de pagos parciales, verificar que el contratista se encuentre al día en los pagos al sistema de seguridad social, entre otras</w:t>
      </w:r>
      <w:r w:rsidRPr="00260737">
        <w:rPr>
          <w:rStyle w:val="Refdenotaalpie"/>
          <w:rFonts w:ascii="Verdana" w:eastAsia="Arial MT" w:hAnsi="Verdana" w:cs="Arial"/>
          <w:color w:val="000000" w:themeColor="text1"/>
          <w:lang w:val="es-ES"/>
        </w:rPr>
        <w:footnoteReference w:id="18"/>
      </w:r>
      <w:r w:rsidRPr="00260737">
        <w:rPr>
          <w:rFonts w:ascii="Verdana" w:eastAsia="Arial MT" w:hAnsi="Verdana" w:cs="Arial"/>
          <w:color w:val="000000" w:themeColor="text1"/>
          <w:lang w:val="es-ES"/>
        </w:rPr>
        <w:t xml:space="preserve">. </w:t>
      </w:r>
    </w:p>
    <w:p w14:paraId="5AA982A5" w14:textId="77777777" w:rsidR="00BD1E5A" w:rsidRPr="00782182" w:rsidRDefault="00BD1E5A" w:rsidP="00BD1E5A">
      <w:pPr>
        <w:widowControl w:val="0"/>
        <w:autoSpaceDE w:val="0"/>
        <w:autoSpaceDN w:val="0"/>
        <w:spacing w:after="120" w:line="276" w:lineRule="auto"/>
        <w:ind w:firstLine="708"/>
        <w:jc w:val="both"/>
        <w:rPr>
          <w:rFonts w:ascii="Verdana" w:eastAsia="Arial MT" w:hAnsi="Verdana" w:cs="Arial"/>
          <w:color w:val="000000" w:themeColor="text1"/>
          <w:lang w:val="es-ES"/>
        </w:rPr>
      </w:pPr>
      <w:r w:rsidRPr="00260737">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260737">
        <w:rPr>
          <w:rFonts w:ascii="Verdana" w:eastAsia="Calibri" w:hAnsi="Verdana" w:cs="Arial"/>
          <w:bCs/>
          <w:color w:val="000000" w:themeColor="text1"/>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05E0D0" w14:textId="77777777" w:rsidR="00BD1E5A" w:rsidRPr="008E2432" w:rsidRDefault="00BD1E5A" w:rsidP="00BD1E5A">
      <w:pPr>
        <w:spacing w:after="0" w:line="276" w:lineRule="auto"/>
        <w:ind w:firstLine="708"/>
        <w:jc w:val="both"/>
        <w:rPr>
          <w:rFonts w:ascii="Verdana" w:eastAsia="Calibri" w:hAnsi="Verdana" w:cs="Times New Roman"/>
          <w:lang w:val="es-ES"/>
        </w:rPr>
      </w:pPr>
    </w:p>
    <w:p w14:paraId="608E627A" w14:textId="77777777" w:rsidR="00BD1E5A" w:rsidRPr="0060676F" w:rsidRDefault="00BD1E5A" w:rsidP="00BD1E5A">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164D722" w14:textId="77777777" w:rsidR="00BD1E5A" w:rsidRPr="00593A5F" w:rsidRDefault="00BD1E5A" w:rsidP="00BD1E5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1E5A" w:rsidRPr="00593A5F" w14:paraId="4E4E93AF" w14:textId="77777777" w:rsidTr="003C1E28">
        <w:trPr>
          <w:trHeight w:val="870"/>
        </w:trPr>
        <w:tc>
          <w:tcPr>
            <w:tcW w:w="8647" w:type="dxa"/>
          </w:tcPr>
          <w:p w14:paraId="249E1403"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80 de 1993, artículo 60. Disponible en: </w:t>
            </w:r>
            <w:hyperlink r:id="rId12" w:history="1">
              <w:r w:rsidRPr="00E87EA6">
                <w:rPr>
                  <w:rFonts w:ascii="Verdana" w:eastAsia="Calibri" w:hAnsi="Verdana" w:cs="Arial"/>
                  <w:u w:val="single"/>
                </w:rPr>
                <w:t>https://relatoria.colombiacompra.gov.co/normativa/ley-80-de-1993/</w:t>
              </w:r>
            </w:hyperlink>
          </w:p>
          <w:p w14:paraId="5F7276B4"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4540B966"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Ley 1150 de 2007, artículo 11. Disponible en: </w:t>
            </w:r>
            <w:hyperlink r:id="rId13" w:history="1">
              <w:r w:rsidRPr="00E87EA6">
                <w:rPr>
                  <w:rFonts w:ascii="Verdana" w:eastAsia="Calibri" w:hAnsi="Verdana" w:cs="Arial"/>
                  <w:u w:val="single"/>
                </w:rPr>
                <w:t>https://relatoria.colombiacompra.gov.co/normativa/ley-1150-de-2007/</w:t>
              </w:r>
            </w:hyperlink>
          </w:p>
          <w:p w14:paraId="5F154802"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Código de Comercio, artículo 1048. Disponible en: </w:t>
            </w:r>
            <w:hyperlink r:id="rId14" w:history="1">
              <w:r w:rsidRPr="00E87EA6">
                <w:rPr>
                  <w:rFonts w:ascii="Verdana" w:eastAsia="Calibri" w:hAnsi="Verdana" w:cs="Arial"/>
                  <w:u w:val="single"/>
                </w:rPr>
                <w:t>https://relatoria.colombiacompra.gov.co/normativa/codigo-de-comercio-decreto-410-de-1971/</w:t>
              </w:r>
            </w:hyperlink>
          </w:p>
          <w:p w14:paraId="4E785948"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7A05EFDA"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Decreto</w:t>
            </w:r>
            <w:r w:rsidRPr="00E87EA6">
              <w:rPr>
                <w:rFonts w:ascii="Verdana" w:eastAsia="Calibri" w:hAnsi="Verdana" w:cs="Arial"/>
              </w:rPr>
              <w:tab/>
              <w:t>1082</w:t>
            </w:r>
            <w:r w:rsidRPr="00E87EA6">
              <w:rPr>
                <w:rFonts w:ascii="Verdana" w:eastAsia="Calibri" w:hAnsi="Verdana" w:cs="Arial"/>
              </w:rPr>
              <w:tab/>
              <w:t>de</w:t>
            </w:r>
            <w:r w:rsidRPr="00E87EA6">
              <w:rPr>
                <w:rFonts w:ascii="Verdana" w:eastAsia="Calibri" w:hAnsi="Verdana" w:cs="Arial"/>
              </w:rPr>
              <w:tab/>
              <w:t>2015,</w:t>
            </w:r>
            <w:r w:rsidRPr="00E87EA6">
              <w:rPr>
                <w:rFonts w:ascii="Verdana" w:eastAsia="Calibri" w:hAnsi="Verdana" w:cs="Arial"/>
              </w:rPr>
              <w:tab/>
              <w:t>artículos</w:t>
            </w:r>
            <w:r w:rsidRPr="00E87EA6">
              <w:rPr>
                <w:rFonts w:ascii="Verdana" w:eastAsia="Calibri" w:hAnsi="Verdana" w:cs="Arial"/>
              </w:rPr>
              <w:tab/>
              <w:t>2.2.1.2.3.1.3,</w:t>
            </w:r>
            <w:r w:rsidRPr="00E87EA6">
              <w:rPr>
                <w:rFonts w:ascii="Verdana" w:eastAsia="Calibri" w:hAnsi="Verdana" w:cs="Arial"/>
              </w:rPr>
              <w:tab/>
              <w:t xml:space="preserve">2.2.1.2.3.1.7, 2.2.1.2.3.1.12. Disponible en: </w:t>
            </w:r>
            <w:hyperlink r:id="rId15" w:history="1">
              <w:r w:rsidRPr="00E87EA6">
                <w:rPr>
                  <w:rFonts w:ascii="Verdana" w:eastAsia="Calibri" w:hAnsi="Verdana" w:cs="Arial"/>
                  <w:u w:val="single"/>
                </w:rPr>
                <w:t>https://relatoria.colombiacompra.gov.co/normativa/decreto-1082-de-2015/</w:t>
              </w:r>
            </w:hyperlink>
          </w:p>
          <w:p w14:paraId="50CF7016"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410BD96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Subsección A. Sentencia del 12 de febrero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28278. C.P. Carlos Alberto Zambrano Barrera. Disponible: </w:t>
            </w:r>
            <w:hyperlink r:id="rId16" w:history="1">
              <w:r w:rsidRPr="00E87EA6">
                <w:rPr>
                  <w:rFonts w:ascii="Verdana" w:eastAsia="Calibri" w:hAnsi="Verdana" w:cs="Arial"/>
                  <w:u w:val="single"/>
                </w:rPr>
                <w:t>https://relatoria.colombiacompra.gov.co/providencias/25000-23-26-000-2003-00874-01_28278/</w:t>
              </w:r>
            </w:hyperlink>
          </w:p>
          <w:p w14:paraId="7EA117D7"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051C8CD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29 de julio de 2015. </w:t>
            </w:r>
            <w:proofErr w:type="spellStart"/>
            <w:r w:rsidRPr="00E87EA6">
              <w:rPr>
                <w:rFonts w:ascii="Verdana" w:eastAsia="Calibri" w:hAnsi="Verdana" w:cs="Arial"/>
              </w:rPr>
              <w:t>Exp</w:t>
            </w:r>
            <w:proofErr w:type="spellEnd"/>
            <w:r w:rsidRPr="00E87EA6">
              <w:rPr>
                <w:rFonts w:ascii="Verdana" w:eastAsia="Calibri" w:hAnsi="Verdana" w:cs="Arial"/>
              </w:rPr>
              <w:t xml:space="preserve">. 42.494. C.P. Jaime Orlando Santofimio Gamboa. Disponible en: </w:t>
            </w:r>
            <w:hyperlink r:id="rId17" w:history="1">
              <w:r w:rsidRPr="00E87EA6">
                <w:rPr>
                  <w:rFonts w:ascii="Verdana" w:eastAsia="Calibri" w:hAnsi="Verdana" w:cs="Arial"/>
                  <w:u w:val="single"/>
                </w:rPr>
                <w:t>https://relatoria.colombiacompra.gov.co/providencias/25000-23-26-000-2007-00108-01_42494/</w:t>
              </w:r>
            </w:hyperlink>
          </w:p>
          <w:p w14:paraId="3354DA92"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5951D62C"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Sección Tercera. Subsección C. Radicado No. 05001-23-31-000-1998-00038-01. Número Interno 27.777. M.P.</w:t>
            </w:r>
          </w:p>
          <w:p w14:paraId="33924C99"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r w:rsidRPr="00E87EA6">
              <w:rPr>
                <w:rFonts w:ascii="Verdana" w:eastAsia="Calibri" w:hAnsi="Verdana" w:cs="Arial"/>
              </w:rPr>
              <w:t>Enrique Gil Botero</w:t>
            </w:r>
          </w:p>
          <w:p w14:paraId="0E9151AB" w14:textId="77777777" w:rsidR="00BD1E5A" w:rsidRPr="00E87EA6" w:rsidRDefault="00BD1E5A" w:rsidP="003C1E28">
            <w:pPr>
              <w:widowControl w:val="0"/>
              <w:autoSpaceDE w:val="0"/>
              <w:autoSpaceDN w:val="0"/>
              <w:spacing w:after="120"/>
              <w:jc w:val="both"/>
              <w:rPr>
                <w:rFonts w:ascii="Verdana" w:eastAsia="Calibri" w:hAnsi="Verdana" w:cs="Arial"/>
              </w:rPr>
            </w:pPr>
          </w:p>
          <w:p w14:paraId="77F6B68E"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Sentencia del 13 de septiembre de 1999. </w:t>
            </w:r>
            <w:proofErr w:type="spellStart"/>
            <w:r w:rsidRPr="00E87EA6">
              <w:rPr>
                <w:rFonts w:ascii="Verdana" w:eastAsia="Calibri" w:hAnsi="Verdana" w:cs="Arial"/>
              </w:rPr>
              <w:t>Exp</w:t>
            </w:r>
            <w:proofErr w:type="spellEnd"/>
            <w:r w:rsidRPr="00E87EA6">
              <w:rPr>
                <w:rFonts w:ascii="Verdana" w:eastAsia="Calibri" w:hAnsi="Verdana" w:cs="Arial"/>
              </w:rPr>
              <w:t>. 10.264. C.P. Ricardo Hoyos Duque.</w:t>
            </w:r>
          </w:p>
          <w:p w14:paraId="4EC65095"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290E4CA8"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CONSEJO DE ESTADO. Sala de Consulta y Servicio Civil. Concepto de 28 de junio de 2016. Radicación: 2253. C.P. Álvaro Namén Vargas</w:t>
            </w:r>
          </w:p>
          <w:p w14:paraId="249F8B6B" w14:textId="77777777" w:rsidR="00BD1E5A" w:rsidRPr="00E87EA6" w:rsidRDefault="00BD1E5A" w:rsidP="00BD1E5A">
            <w:pPr>
              <w:widowControl w:val="0"/>
              <w:numPr>
                <w:ilvl w:val="0"/>
                <w:numId w:val="17"/>
              </w:numPr>
              <w:autoSpaceDE w:val="0"/>
              <w:autoSpaceDN w:val="0"/>
              <w:spacing w:after="120"/>
              <w:contextualSpacing/>
              <w:jc w:val="both"/>
              <w:rPr>
                <w:rFonts w:ascii="Verdana" w:eastAsia="Calibri" w:hAnsi="Verdana" w:cs="Arial"/>
              </w:rPr>
            </w:pPr>
            <w:r w:rsidRPr="00E87EA6">
              <w:rPr>
                <w:rFonts w:ascii="Verdana" w:eastAsia="Calibri" w:hAnsi="Verdana" w:cs="Arial"/>
              </w:rPr>
              <w:t xml:space="preserve">CONSEJO DE ESTADO. Sección Tercera. Sala Plena. Auto de 1 de agosto de 2019. </w:t>
            </w:r>
            <w:proofErr w:type="spellStart"/>
            <w:r w:rsidRPr="00E87EA6">
              <w:rPr>
                <w:rFonts w:ascii="Verdana" w:eastAsia="Calibri" w:hAnsi="Verdana" w:cs="Arial"/>
              </w:rPr>
              <w:t>Exp</w:t>
            </w:r>
            <w:proofErr w:type="spellEnd"/>
            <w:r w:rsidRPr="00E87EA6">
              <w:rPr>
                <w:rFonts w:ascii="Verdana" w:eastAsia="Calibri" w:hAnsi="Verdana" w:cs="Arial"/>
              </w:rPr>
              <w:t xml:space="preserve">. 62009. C.P. Jaime Enrique Rodríguez Navas. Disponible en: </w:t>
            </w:r>
            <w:hyperlink r:id="rId18" w:history="1">
              <w:r w:rsidRPr="00E87EA6">
                <w:rPr>
                  <w:rFonts w:ascii="Verdana" w:eastAsia="Calibri" w:hAnsi="Verdana" w:cs="Arial"/>
                  <w:u w:val="single"/>
                </w:rPr>
                <w:t>https://relatoria.colombiacompra.gov.co/providencias/2019_05001-23-33-000-2018-00342-01_62009/</w:t>
              </w:r>
            </w:hyperlink>
          </w:p>
          <w:p w14:paraId="17B45F2A"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7DB3992F" w14:textId="77777777" w:rsidR="00BD1E5A" w:rsidRPr="00E87EA6" w:rsidRDefault="00BD1E5A" w:rsidP="00BD1E5A">
            <w:pPr>
              <w:widowControl w:val="0"/>
              <w:numPr>
                <w:ilvl w:val="0"/>
                <w:numId w:val="17"/>
              </w:numPr>
              <w:autoSpaceDE w:val="0"/>
              <w:autoSpaceDN w:val="0"/>
              <w:spacing w:after="120"/>
              <w:contextualSpacing/>
              <w:rPr>
                <w:rFonts w:ascii="Verdana" w:eastAsia="Calibri" w:hAnsi="Verdana" w:cs="Arial"/>
              </w:rPr>
            </w:pPr>
            <w:r w:rsidRPr="00E87EA6">
              <w:rPr>
                <w:rFonts w:ascii="Verdana" w:eastAsia="Calibri" w:hAnsi="Verdana" w:cs="Arial"/>
              </w:rPr>
              <w:t>COLOMBIA COMPRA EFICIENTE. Guía para la Liquidación de los Procesos</w:t>
            </w:r>
            <w:r w:rsidRPr="00E87EA6">
              <w:rPr>
                <w:rFonts w:ascii="Verdana" w:eastAsia="Calibri" w:hAnsi="Verdana" w:cs="Arial"/>
              </w:rPr>
              <w:tab/>
              <w:t>de</w:t>
            </w:r>
            <w:r w:rsidRPr="00E87EA6">
              <w:rPr>
                <w:rFonts w:ascii="Verdana" w:eastAsia="Calibri" w:hAnsi="Verdana" w:cs="Arial"/>
              </w:rPr>
              <w:tab/>
              <w:t>Contratación.</w:t>
            </w:r>
            <w:r w:rsidRPr="00E87EA6">
              <w:rPr>
                <w:rFonts w:ascii="Verdana" w:eastAsia="Calibri" w:hAnsi="Verdana" w:cs="Arial"/>
              </w:rPr>
              <w:tab/>
              <w:t>Disponible</w:t>
            </w:r>
            <w:r w:rsidRPr="00E87EA6">
              <w:rPr>
                <w:rFonts w:ascii="Verdana" w:eastAsia="Calibri" w:hAnsi="Verdana" w:cs="Arial"/>
              </w:rPr>
              <w:tab/>
              <w:t xml:space="preserve">en: </w:t>
            </w:r>
            <w:hyperlink r:id="rId19" w:history="1">
              <w:r w:rsidRPr="00E87EA6">
                <w:rPr>
                  <w:rFonts w:ascii="Verdana" w:eastAsia="Calibri" w:hAnsi="Verdana" w:cs="Arial"/>
                  <w:u w:val="single"/>
                </w:rPr>
                <w:t>https://www.colombiacompra.gov.co/sites/cce_public/files/cce_documents/cce_guia_liquidacion_procesos.pdf</w:t>
              </w:r>
            </w:hyperlink>
          </w:p>
          <w:p w14:paraId="6E08927D" w14:textId="77777777" w:rsidR="00BD1E5A" w:rsidRPr="00E87EA6" w:rsidRDefault="00BD1E5A" w:rsidP="003C1E28">
            <w:pPr>
              <w:widowControl w:val="0"/>
              <w:autoSpaceDE w:val="0"/>
              <w:autoSpaceDN w:val="0"/>
              <w:spacing w:after="120"/>
              <w:ind w:left="720"/>
              <w:contextualSpacing/>
              <w:jc w:val="both"/>
              <w:rPr>
                <w:rFonts w:ascii="Verdana" w:eastAsia="Calibri" w:hAnsi="Verdana" w:cs="Arial"/>
              </w:rPr>
            </w:pPr>
          </w:p>
          <w:p w14:paraId="59E8AD56" w14:textId="77777777" w:rsidR="00BD1E5A" w:rsidRPr="00332677" w:rsidRDefault="00BD1E5A" w:rsidP="003C1E28">
            <w:pPr>
              <w:pStyle w:val="Prrafodelista"/>
              <w:widowControl w:val="0"/>
              <w:autoSpaceDE w:val="0"/>
              <w:autoSpaceDN w:val="0"/>
              <w:jc w:val="both"/>
              <w:rPr>
                <w:rFonts w:ascii="Verdana" w:hAnsi="Verdana" w:cs="Arial"/>
              </w:rPr>
            </w:pPr>
            <w:r w:rsidRPr="00E87EA6">
              <w:rPr>
                <w:rFonts w:ascii="Verdana" w:eastAsia="Calibri" w:hAnsi="Verdana" w:cs="Arial"/>
              </w:rPr>
              <w:t>PALACIO HINCAPIÉ, Juan Ángel. La contratación de las entidades estatales. Octava edición. Medellín: Librería Jurídica Sánchez R. SAS, 2020.</w:t>
            </w:r>
          </w:p>
        </w:tc>
      </w:tr>
    </w:tbl>
    <w:p w14:paraId="37847971" w14:textId="77777777" w:rsidR="00BD1E5A"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033A7DC" w14:textId="77777777" w:rsidR="00BD1E5A" w:rsidRDefault="00BD1E5A" w:rsidP="00BD1E5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8BB8B87" w14:textId="77777777" w:rsidR="00BD1E5A" w:rsidRPr="00593A5F" w:rsidRDefault="00BD1E5A" w:rsidP="00BD1E5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E45D09" w14:textId="77777777" w:rsidR="00BD1E5A" w:rsidRPr="002A22D8" w:rsidRDefault="00BD1E5A" w:rsidP="00BD1E5A">
      <w:pPr>
        <w:widowControl w:val="0"/>
        <w:autoSpaceDE w:val="0"/>
        <w:autoSpaceDN w:val="0"/>
        <w:spacing w:after="0" w:line="276" w:lineRule="auto"/>
        <w:jc w:val="both"/>
        <w:rPr>
          <w:rFonts w:ascii="Verdana" w:hAnsi="Verdana" w:cs="Arial"/>
          <w:bCs/>
          <w:shd w:val="clear" w:color="auto" w:fill="FFFFFF"/>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y </w:t>
      </w:r>
      <w:r>
        <w:rPr>
          <w:rFonts w:ascii="Verdana" w:eastAsia="Calibri" w:hAnsi="Verdana" w:cs="Arial"/>
          <w:lang w:val="es-ES_tradnl" w:eastAsia="es-ES"/>
        </w:rPr>
        <w:t xml:space="preserve">C-330 del 24 de abril de 2025,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w:t>
      </w:r>
      <w:r w:rsidRPr="00185EE9">
        <w:rPr>
          <w:rFonts w:ascii="Verdana" w:eastAsia="Calibri" w:hAnsi="Verdana" w:cs="Times New Roman"/>
        </w:rPr>
        <w:lastRenderedPageBreak/>
        <w:t>enlace:</w:t>
      </w:r>
    </w:p>
    <w:p w14:paraId="5CD1F570" w14:textId="77777777" w:rsidR="00BD1E5A" w:rsidRPr="0065720B" w:rsidRDefault="00BD1E5A" w:rsidP="00BD1E5A">
      <w:pPr>
        <w:widowControl w:val="0"/>
        <w:autoSpaceDE w:val="0"/>
        <w:autoSpaceDN w:val="0"/>
        <w:spacing w:after="0" w:line="276" w:lineRule="auto"/>
        <w:jc w:val="both"/>
        <w:rPr>
          <w:rStyle w:val="normaltextrun"/>
          <w:rFonts w:ascii="Verdana" w:eastAsia="Calibri" w:hAnsi="Verdana" w:cs="Arial"/>
          <w:lang w:val="es-ES_tradnl" w:eastAsia="en-GB"/>
        </w:rPr>
      </w:pPr>
      <w:hyperlink r:id="rId20"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DC1BB5A" w14:textId="77777777" w:rsidR="00BD1E5A" w:rsidRPr="00505CD6" w:rsidRDefault="00BD1E5A" w:rsidP="00BD1E5A">
      <w:pPr>
        <w:widowControl w:val="0"/>
        <w:autoSpaceDE w:val="0"/>
        <w:autoSpaceDN w:val="0"/>
        <w:spacing w:after="0" w:line="276" w:lineRule="auto"/>
        <w:jc w:val="both"/>
        <w:rPr>
          <w:rFonts w:ascii="Verdana" w:hAnsi="Verdana" w:cs="Arial"/>
          <w:color w:val="000000" w:themeColor="text1"/>
          <w:shd w:val="clear" w:color="auto" w:fill="FFFFFF"/>
        </w:rPr>
      </w:pPr>
    </w:p>
    <w:p w14:paraId="0C3D5A98" w14:textId="77777777" w:rsidR="00BD1E5A" w:rsidRPr="00103B90" w:rsidRDefault="00BD1E5A" w:rsidP="00BD1E5A">
      <w:pPr>
        <w:widowControl w:val="0"/>
        <w:autoSpaceDE w:val="0"/>
        <w:autoSpaceDN w:val="0"/>
        <w:spacing w:after="0" w:line="276" w:lineRule="auto"/>
        <w:jc w:val="both"/>
        <w:rPr>
          <w:rFonts w:ascii="Verdana" w:hAnsi="Verdana"/>
        </w:rPr>
      </w:pPr>
    </w:p>
    <w:p w14:paraId="28C9261A" w14:textId="77777777" w:rsidR="00BD1E5A" w:rsidRPr="00505CD6" w:rsidRDefault="00BD1E5A" w:rsidP="00BD1E5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7C785B7" w14:textId="77777777" w:rsidR="00BD1E5A" w:rsidRPr="00505CD6" w:rsidRDefault="00BD1E5A" w:rsidP="00BD1E5A">
      <w:pPr>
        <w:widowControl w:val="0"/>
        <w:autoSpaceDE w:val="0"/>
        <w:autoSpaceDN w:val="0"/>
        <w:spacing w:after="0" w:line="276" w:lineRule="auto"/>
        <w:jc w:val="both"/>
        <w:rPr>
          <w:rFonts w:ascii="Verdana" w:hAnsi="Verdana" w:cs="Arial"/>
        </w:rPr>
      </w:pPr>
    </w:p>
    <w:p w14:paraId="0C420E08" w14:textId="26905ECE" w:rsidR="00BD1E5A" w:rsidRDefault="00BD1E5A" w:rsidP="001D5AF1">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4D854C6" w14:textId="4DFBDFE8" w:rsidR="00BD1E5A" w:rsidRDefault="001D5AF1" w:rsidP="001D5AF1">
      <w:pPr>
        <w:spacing w:line="276" w:lineRule="auto"/>
        <w:jc w:val="center"/>
        <w:rPr>
          <w:noProof/>
        </w:rPr>
      </w:pPr>
      <w:r w:rsidRPr="002C3AD6">
        <w:rPr>
          <w:rFonts w:ascii="Century Gothic" w:hAnsi="Century Gothic"/>
          <w:noProof/>
          <w:lang w:val="en-US"/>
        </w:rPr>
        <w:drawing>
          <wp:inline distT="0" distB="0" distL="0" distR="0" wp14:anchorId="2486EF1C" wp14:editId="678FBDAA">
            <wp:extent cx="3279140" cy="1298864"/>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4806" cy="131299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1E5A" w:rsidRPr="002423D6" w14:paraId="53AE6B28" w14:textId="77777777" w:rsidTr="003C1E28">
        <w:trPr>
          <w:trHeight w:val="315"/>
        </w:trPr>
        <w:tc>
          <w:tcPr>
            <w:tcW w:w="893" w:type="dxa"/>
            <w:vAlign w:val="center"/>
            <w:hideMark/>
          </w:tcPr>
          <w:bookmarkEnd w:id="1"/>
          <w:p w14:paraId="0A39122A"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7A8DC1" w14:textId="77777777" w:rsidR="00BD1E5A" w:rsidRPr="002423D6" w:rsidRDefault="00BD1E5A" w:rsidP="003C1E2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5A9CFD4D" w14:textId="77777777" w:rsidR="00BD1E5A" w:rsidRPr="002423D6" w:rsidRDefault="00BD1E5A" w:rsidP="003C1E28">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BD1E5A" w:rsidRPr="002423D6" w14:paraId="10FD6CF5" w14:textId="77777777" w:rsidTr="003C1E28">
        <w:trPr>
          <w:trHeight w:val="330"/>
        </w:trPr>
        <w:tc>
          <w:tcPr>
            <w:tcW w:w="893" w:type="dxa"/>
            <w:vAlign w:val="center"/>
            <w:hideMark/>
          </w:tcPr>
          <w:p w14:paraId="6551C4DB"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F9F1E9" w14:textId="77777777" w:rsidR="00BD1E5A" w:rsidRPr="002423D6" w:rsidRDefault="00BD1E5A" w:rsidP="003C1E2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6BC21DC8" w14:textId="77777777" w:rsidR="00BD1E5A" w:rsidRPr="002423D6" w:rsidRDefault="00BD1E5A" w:rsidP="003C1E2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BD1E5A" w:rsidRPr="002423D6" w14:paraId="0EC01F5C" w14:textId="77777777" w:rsidTr="003C1E28">
        <w:trPr>
          <w:trHeight w:val="300"/>
        </w:trPr>
        <w:tc>
          <w:tcPr>
            <w:tcW w:w="893" w:type="dxa"/>
            <w:vAlign w:val="center"/>
          </w:tcPr>
          <w:p w14:paraId="6549AAAC" w14:textId="77777777" w:rsidR="00BD1E5A" w:rsidRPr="002423D6" w:rsidRDefault="00BD1E5A" w:rsidP="003C1E28">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25871D" w14:textId="77777777" w:rsidR="00BD1E5A" w:rsidRPr="002423D6" w:rsidRDefault="00BD1E5A" w:rsidP="003C1E2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78BD3C52" w14:textId="77777777" w:rsidR="00BD1E5A" w:rsidRPr="002423D6" w:rsidRDefault="00BD1E5A" w:rsidP="003C1E28">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7B7FD2C7" w14:textId="77777777" w:rsidR="00BD1E5A" w:rsidRPr="00F8204E" w:rsidRDefault="00BD1E5A" w:rsidP="00BD1E5A"/>
    <w:p w14:paraId="0F293BF4" w14:textId="252D5A18" w:rsidR="00127233" w:rsidRPr="00A171CD" w:rsidRDefault="00111C1C" w:rsidP="00A171CD">
      <w:r>
        <w:t xml:space="preserve"> </w:t>
      </w:r>
    </w:p>
    <w:sectPr w:rsidR="00127233" w:rsidRPr="00A171CD"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EC5C7" w14:textId="77777777" w:rsidR="0016081A" w:rsidRDefault="0016081A" w:rsidP="004A1847">
      <w:pPr>
        <w:spacing w:after="0" w:line="240" w:lineRule="auto"/>
      </w:pPr>
      <w:r>
        <w:separator/>
      </w:r>
    </w:p>
  </w:endnote>
  <w:endnote w:type="continuationSeparator" w:id="0">
    <w:p w14:paraId="5F8F4C0A" w14:textId="77777777" w:rsidR="0016081A" w:rsidRDefault="0016081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08671" w14:textId="77777777" w:rsidR="0016081A" w:rsidRDefault="0016081A" w:rsidP="004A1847">
      <w:pPr>
        <w:spacing w:after="0" w:line="240" w:lineRule="auto"/>
      </w:pPr>
      <w:r>
        <w:separator/>
      </w:r>
    </w:p>
  </w:footnote>
  <w:footnote w:type="continuationSeparator" w:id="0">
    <w:p w14:paraId="2C8656B7" w14:textId="77777777" w:rsidR="0016081A" w:rsidRDefault="0016081A" w:rsidP="004A1847">
      <w:pPr>
        <w:spacing w:after="0" w:line="240" w:lineRule="auto"/>
      </w:pPr>
      <w:r>
        <w:continuationSeparator/>
      </w:r>
    </w:p>
  </w:footnote>
  <w:footnote w:id="1">
    <w:p w14:paraId="3F4E5E02" w14:textId="77777777" w:rsidR="00BD1E5A" w:rsidRPr="005A7BCE" w:rsidRDefault="00BD1E5A" w:rsidP="00BD1E5A">
      <w:pPr>
        <w:pStyle w:val="Textonotapie"/>
        <w:ind w:firstLine="709"/>
        <w:jc w:val="both"/>
        <w:rPr>
          <w:rFonts w:ascii="Verdana" w:hAnsi="Verdana" w:cs="Arial"/>
          <w:sz w:val="16"/>
          <w:szCs w:val="16"/>
        </w:rPr>
      </w:pPr>
      <w:r w:rsidRPr="005A7BCE">
        <w:rPr>
          <w:rStyle w:val="Refdenotaalpie"/>
          <w:rFonts w:ascii="Verdana" w:hAnsi="Verdana"/>
          <w:sz w:val="16"/>
          <w:szCs w:val="16"/>
        </w:rPr>
        <w:footnoteRef/>
      </w:r>
      <w:r w:rsidRPr="005A7BCE">
        <w:rPr>
          <w:rFonts w:ascii="Verdana" w:hAnsi="Verdana" w:cs="Arial"/>
          <w:sz w:val="16"/>
          <w:szCs w:val="16"/>
        </w:rPr>
        <w:t xml:space="preserve"> CONSEJO DE ESTADO. Sección Tercera. Sentencia del 29 de julio de 2015. Exp. 42.494. C.P. Jaime Orlando Santofimio Gamboa.</w:t>
      </w:r>
    </w:p>
  </w:footnote>
  <w:footnote w:id="2">
    <w:p w14:paraId="3C79381C" w14:textId="77777777" w:rsidR="00BD1E5A" w:rsidRPr="007148BA" w:rsidRDefault="00BD1E5A" w:rsidP="00BD1E5A">
      <w:pPr>
        <w:pStyle w:val="Textonotapie"/>
        <w:ind w:firstLine="708"/>
        <w:jc w:val="both"/>
        <w:rPr>
          <w:rFonts w:ascii="Verdana" w:hAnsi="Verdana" w:cs="Arial"/>
          <w:sz w:val="16"/>
          <w:szCs w:val="16"/>
        </w:rPr>
      </w:pPr>
      <w:r w:rsidRPr="007148BA">
        <w:rPr>
          <w:rStyle w:val="Refdenotaalpie"/>
          <w:rFonts w:ascii="Verdana" w:hAnsi="Verdana"/>
          <w:sz w:val="16"/>
          <w:szCs w:val="16"/>
        </w:rPr>
        <w:footnoteRef/>
      </w:r>
      <w:r w:rsidRPr="007148BA">
        <w:rPr>
          <w:rFonts w:ascii="Verdana" w:hAnsi="Verdana" w:cs="Arial"/>
          <w:sz w:val="16"/>
          <w:szCs w:val="16"/>
        </w:rPr>
        <w:t xml:space="preserve"> CONSEJO DE ESTADO. Sección Tercera. Sentencia del 13 de septiembre de 1999. Exp. 10.264. C.P. Ricardo Hoyos Duque.</w:t>
      </w:r>
    </w:p>
  </w:footnote>
  <w:footnote w:id="3">
    <w:p w14:paraId="116A6BA8" w14:textId="77777777" w:rsidR="00BD1E5A" w:rsidRPr="007148BA" w:rsidRDefault="00BD1E5A" w:rsidP="00BD1E5A">
      <w:pPr>
        <w:pStyle w:val="Textonotapie"/>
        <w:ind w:firstLine="708"/>
        <w:jc w:val="both"/>
        <w:rPr>
          <w:rFonts w:ascii="Verdana" w:hAnsi="Verdana" w:cs="Arial"/>
          <w:sz w:val="16"/>
          <w:szCs w:val="16"/>
          <w:lang w:val="es-ES"/>
        </w:rPr>
      </w:pPr>
      <w:r w:rsidRPr="007148BA">
        <w:rPr>
          <w:rStyle w:val="Refdenotaalpie"/>
          <w:rFonts w:ascii="Verdana" w:hAnsi="Verdana"/>
          <w:sz w:val="16"/>
          <w:szCs w:val="16"/>
        </w:rPr>
        <w:footnoteRef/>
      </w:r>
      <w:r w:rsidRPr="007148BA">
        <w:rPr>
          <w:rFonts w:ascii="Verdana" w:hAnsi="Verdana" w:cs="Arial"/>
          <w:sz w:val="16"/>
          <w:szCs w:val="16"/>
        </w:rPr>
        <w:t xml:space="preserve"> PALACIO HINCAPIÉ, Juan Ángel. La contratación de las entidades estatales. Octava edición. Medellín: Librería Jurídica Sánchez R. SAS, 2020. p. 659.</w:t>
      </w:r>
    </w:p>
  </w:footnote>
  <w:footnote w:id="4">
    <w:p w14:paraId="3AB0CB92" w14:textId="77777777" w:rsidR="00BD1E5A" w:rsidRPr="007148BA" w:rsidRDefault="00BD1E5A" w:rsidP="00BD1E5A">
      <w:pPr>
        <w:spacing w:after="0" w:line="240" w:lineRule="auto"/>
        <w:ind w:firstLine="709"/>
        <w:jc w:val="both"/>
        <w:rPr>
          <w:rFonts w:ascii="Verdana" w:hAnsi="Verdana" w:cs="Arial"/>
          <w:color w:val="000000"/>
          <w:sz w:val="16"/>
          <w:szCs w:val="16"/>
        </w:rPr>
      </w:pPr>
      <w:r w:rsidRPr="007148BA">
        <w:rPr>
          <w:rStyle w:val="Refdenotaalpie"/>
          <w:rFonts w:ascii="Verdana" w:hAnsi="Verdana"/>
          <w:color w:val="000000"/>
          <w:sz w:val="16"/>
          <w:szCs w:val="16"/>
        </w:rPr>
        <w:footnoteRef/>
      </w:r>
      <w:r w:rsidRPr="007148BA">
        <w:rPr>
          <w:rFonts w:ascii="Verdana" w:hAnsi="Verdana" w:cs="Arial"/>
          <w:color w:val="000000"/>
          <w:sz w:val="16"/>
          <w:szCs w:val="16"/>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2B7E7B14"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i/>
          <w:iCs/>
          <w:color w:val="000000"/>
          <w:sz w:val="16"/>
          <w:szCs w:val="16"/>
        </w:rPr>
        <w:t>Ibidem</w:t>
      </w:r>
      <w:r w:rsidRPr="00E87EA6">
        <w:rPr>
          <w:rFonts w:ascii="Verdana" w:hAnsi="Verdana" w:cs="Arial"/>
          <w:color w:val="000000"/>
          <w:sz w:val="16"/>
          <w:szCs w:val="16"/>
        </w:rPr>
        <w:t>.</w:t>
      </w:r>
    </w:p>
  </w:footnote>
  <w:footnote w:id="6">
    <w:p w14:paraId="2E447C58"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w:t>
      </w:r>
      <w:r w:rsidRPr="00E87EA6">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1462F9CA"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3415683D"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44CCC4B"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014634D0"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COLOMBIA COMPRA EFICIENTE. Guía para la Liquidación de los Procesos de Contratación. página 5, disponible en: </w:t>
      </w:r>
      <w:hyperlink r:id="rId1" w:history="1">
        <w:r w:rsidRPr="00E87EA6">
          <w:rPr>
            <w:rStyle w:val="Hipervnculo"/>
            <w:rFonts w:ascii="Verdana" w:hAnsi="Verdana" w:cs="Arial"/>
            <w:color w:val="000000"/>
            <w:sz w:val="16"/>
            <w:szCs w:val="16"/>
          </w:rPr>
          <w:t>https://www.colombiacompra.gov.co/sites/cce_public/files/cce_documents/cce_guia_liquidacion_procesos.pdf</w:t>
        </w:r>
      </w:hyperlink>
      <w:r w:rsidRPr="00E87EA6">
        <w:rPr>
          <w:rFonts w:ascii="Verdana" w:hAnsi="Verdana" w:cs="Arial"/>
          <w:color w:val="000000"/>
          <w:sz w:val="16"/>
          <w:szCs w:val="16"/>
        </w:rPr>
        <w:t xml:space="preserve"> </w:t>
      </w:r>
    </w:p>
  </w:footnote>
  <w:footnote w:id="8">
    <w:p w14:paraId="7D64C1B0"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9">
    <w:p w14:paraId="1D676AA3"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Sala de Consulta y Servicio Civil. Concepto de 28 de junio de 2016. Radicación: 2253. C.P. Álvaro Namén Vargas. </w:t>
      </w:r>
    </w:p>
  </w:footnote>
  <w:footnote w:id="10">
    <w:p w14:paraId="2372AB3C" w14:textId="77777777" w:rsidR="00BD1E5A" w:rsidRPr="00E87EA6" w:rsidRDefault="00BD1E5A" w:rsidP="00BD1E5A">
      <w:pPr>
        <w:pStyle w:val="Textonotapie"/>
        <w:ind w:firstLine="709"/>
        <w:jc w:val="both"/>
        <w:rPr>
          <w:rFonts w:ascii="Verdana" w:hAnsi="Verdana" w:cs="Arial"/>
          <w:color w:val="000000"/>
          <w:sz w:val="16"/>
          <w:szCs w:val="16"/>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11">
    <w:p w14:paraId="011FE33C" w14:textId="77777777" w:rsidR="00BD1E5A" w:rsidRPr="00E87EA6" w:rsidRDefault="00BD1E5A" w:rsidP="00BD1E5A">
      <w:pPr>
        <w:pStyle w:val="Textonotapie"/>
        <w:ind w:firstLine="709"/>
        <w:jc w:val="both"/>
        <w:rPr>
          <w:rFonts w:ascii="Verdana" w:hAnsi="Verdana" w:cs="Arial"/>
          <w:color w:val="000000"/>
          <w:sz w:val="16"/>
          <w:szCs w:val="16"/>
          <w:lang w:val="es-ES"/>
        </w:rPr>
      </w:pPr>
      <w:r w:rsidRPr="00E87EA6">
        <w:rPr>
          <w:rStyle w:val="Refdenotaalpie"/>
          <w:rFonts w:ascii="Verdana" w:hAnsi="Verdana"/>
          <w:color w:val="000000"/>
          <w:sz w:val="16"/>
          <w:szCs w:val="16"/>
        </w:rPr>
        <w:footnoteRef/>
      </w:r>
      <w:r w:rsidRPr="00E87EA6">
        <w:rPr>
          <w:rFonts w:ascii="Verdana" w:hAnsi="Verdana" w:cs="Arial"/>
          <w:color w:val="000000"/>
          <w:sz w:val="16"/>
          <w:szCs w:val="16"/>
        </w:rPr>
        <w:t xml:space="preserve"> CONSEJO DE ESTADO. Sección Tercera. Sala Plena. Auto de 1 de agosto de 2019. Exp. 62009. C.P. Jaime Enrique Rodríguez Navas. </w:t>
      </w:r>
    </w:p>
  </w:footnote>
  <w:footnote w:id="12">
    <w:p w14:paraId="3F5D1E62" w14:textId="77777777" w:rsidR="00BD1E5A" w:rsidRPr="00E87EA6" w:rsidRDefault="00BD1E5A" w:rsidP="00BD1E5A">
      <w:pPr>
        <w:pStyle w:val="Textonotapie"/>
        <w:ind w:firstLine="709"/>
        <w:jc w:val="both"/>
        <w:rPr>
          <w:rFonts w:ascii="Verdana" w:hAnsi="Verdana" w:cs="Arial"/>
          <w:sz w:val="16"/>
          <w:szCs w:val="16"/>
          <w:lang w:val="es-ES"/>
        </w:rPr>
      </w:pPr>
      <w:r w:rsidRPr="00E87EA6">
        <w:rPr>
          <w:rStyle w:val="Refdenotaalpie"/>
          <w:rFonts w:ascii="Verdana" w:hAnsi="Verdana"/>
          <w:sz w:val="16"/>
          <w:szCs w:val="16"/>
        </w:rPr>
        <w:footnoteRef/>
      </w:r>
      <w:r w:rsidRPr="00E87EA6">
        <w:rPr>
          <w:rFonts w:ascii="Verdana" w:hAnsi="Verdana" w:cs="Arial"/>
          <w:sz w:val="16"/>
          <w:szCs w:val="16"/>
        </w:rPr>
        <w:t xml:space="preserve"> </w:t>
      </w:r>
      <w:r w:rsidRPr="00E87EA6">
        <w:rPr>
          <w:rFonts w:ascii="Verdana" w:hAnsi="Verdana" w:cs="Arial"/>
          <w:sz w:val="16"/>
          <w:szCs w:val="16"/>
          <w:lang w:val="es-ES"/>
        </w:rPr>
        <w:t>Ibidem.</w:t>
      </w:r>
    </w:p>
  </w:footnote>
  <w:footnote w:id="13">
    <w:p w14:paraId="7263682C" w14:textId="77777777" w:rsidR="00BD1E5A" w:rsidRPr="00984E13" w:rsidRDefault="00BD1E5A" w:rsidP="00BD1E5A">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14">
    <w:p w14:paraId="6AA04BBB" w14:textId="77777777" w:rsidR="00BD1E5A" w:rsidRPr="00587DED" w:rsidRDefault="00BD1E5A" w:rsidP="00BD1E5A">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17</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2007.</w:t>
      </w:r>
    </w:p>
  </w:footnote>
  <w:footnote w:id="15">
    <w:p w14:paraId="22862691" w14:textId="77777777" w:rsidR="00BD1E5A" w:rsidRPr="00587DED" w:rsidRDefault="00BD1E5A" w:rsidP="00BD1E5A">
      <w:pPr>
        <w:pStyle w:val="Textonotapie"/>
        <w:ind w:firstLine="709"/>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 21</w:t>
      </w:r>
      <w:r w:rsidRPr="00587DED">
        <w:rPr>
          <w:rFonts w:ascii="Verdana" w:hAnsi="Verdana" w:cs="Arial"/>
          <w:spacing w:val="-1"/>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3"/>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1150 de</w:t>
      </w:r>
      <w:r w:rsidRPr="00587DED">
        <w:rPr>
          <w:rFonts w:ascii="Verdana" w:hAnsi="Verdana" w:cs="Arial"/>
          <w:spacing w:val="-5"/>
          <w:sz w:val="14"/>
          <w:szCs w:val="14"/>
        </w:rPr>
        <w:t xml:space="preserve"> </w:t>
      </w:r>
      <w:r w:rsidRPr="00587DED">
        <w:rPr>
          <w:rFonts w:ascii="Verdana" w:hAnsi="Verdana" w:cs="Arial"/>
          <w:sz w:val="14"/>
          <w:szCs w:val="14"/>
        </w:rPr>
        <w:t xml:space="preserve">2007. </w:t>
      </w:r>
    </w:p>
  </w:footnote>
  <w:footnote w:id="16">
    <w:p w14:paraId="0F825628" w14:textId="77777777" w:rsidR="00BD1E5A" w:rsidRPr="00587DED" w:rsidRDefault="00BD1E5A" w:rsidP="00BD1E5A">
      <w:pPr>
        <w:spacing w:after="0" w:line="240" w:lineRule="auto"/>
        <w:ind w:firstLine="708"/>
        <w:jc w:val="both"/>
        <w:rPr>
          <w:rFonts w:ascii="Verdana" w:hAnsi="Verdana" w:cs="Arial"/>
          <w:sz w:val="14"/>
          <w:szCs w:val="14"/>
        </w:rPr>
      </w:pPr>
      <w:r w:rsidRPr="00587DED">
        <w:rPr>
          <w:rStyle w:val="Refdenotaalpie"/>
          <w:rFonts w:ascii="Verdana" w:hAnsi="Verdana" w:cs="Arial"/>
          <w:sz w:val="14"/>
          <w:szCs w:val="14"/>
        </w:rPr>
        <w:footnoteRef/>
      </w:r>
      <w:r w:rsidRPr="00587DED">
        <w:rPr>
          <w:rFonts w:ascii="Verdana" w:hAnsi="Verdana" w:cs="Arial"/>
          <w:sz w:val="14"/>
          <w:szCs w:val="14"/>
        </w:rPr>
        <w:t xml:space="preserve"> Artículos</w:t>
      </w:r>
      <w:r w:rsidRPr="00587DED">
        <w:rPr>
          <w:rFonts w:ascii="Verdana" w:hAnsi="Verdana" w:cs="Arial"/>
          <w:spacing w:val="-3"/>
          <w:sz w:val="14"/>
          <w:szCs w:val="14"/>
        </w:rPr>
        <w:t xml:space="preserve"> </w:t>
      </w:r>
      <w:r w:rsidRPr="00587DED">
        <w:rPr>
          <w:rFonts w:ascii="Verdana" w:hAnsi="Verdana" w:cs="Arial"/>
          <w:sz w:val="14"/>
          <w:szCs w:val="14"/>
        </w:rPr>
        <w:t>83</w:t>
      </w:r>
      <w:r w:rsidRPr="00587DED">
        <w:rPr>
          <w:rFonts w:ascii="Verdana" w:hAnsi="Verdana" w:cs="Arial"/>
          <w:spacing w:val="-2"/>
          <w:sz w:val="14"/>
          <w:szCs w:val="14"/>
        </w:rPr>
        <w:t xml:space="preserve"> </w:t>
      </w:r>
      <w:r w:rsidRPr="00587DED">
        <w:rPr>
          <w:rFonts w:ascii="Verdana" w:hAnsi="Verdana" w:cs="Arial"/>
          <w:sz w:val="14"/>
          <w:szCs w:val="14"/>
        </w:rPr>
        <w:t>a</w:t>
      </w:r>
      <w:r w:rsidRPr="00587DED">
        <w:rPr>
          <w:rFonts w:ascii="Verdana" w:hAnsi="Verdana" w:cs="Arial"/>
          <w:spacing w:val="-1"/>
          <w:sz w:val="14"/>
          <w:szCs w:val="14"/>
        </w:rPr>
        <w:t xml:space="preserve"> </w:t>
      </w:r>
      <w:r w:rsidRPr="00587DED">
        <w:rPr>
          <w:rFonts w:ascii="Verdana" w:hAnsi="Verdana" w:cs="Arial"/>
          <w:sz w:val="14"/>
          <w:szCs w:val="14"/>
        </w:rPr>
        <w:t>86</w:t>
      </w:r>
      <w:r w:rsidRPr="00587DED">
        <w:rPr>
          <w:rFonts w:ascii="Verdana" w:hAnsi="Verdana" w:cs="Arial"/>
          <w:spacing w:val="-3"/>
          <w:sz w:val="14"/>
          <w:szCs w:val="14"/>
        </w:rPr>
        <w:t xml:space="preserve"> </w:t>
      </w:r>
      <w:r w:rsidRPr="00587DED">
        <w:rPr>
          <w:rFonts w:ascii="Verdana" w:hAnsi="Verdana" w:cs="Arial"/>
          <w:sz w:val="14"/>
          <w:szCs w:val="14"/>
        </w:rPr>
        <w:t>de</w:t>
      </w:r>
      <w:r w:rsidRPr="00587DED">
        <w:rPr>
          <w:rFonts w:ascii="Verdana" w:hAnsi="Verdana" w:cs="Arial"/>
          <w:spacing w:val="-2"/>
          <w:sz w:val="14"/>
          <w:szCs w:val="14"/>
        </w:rPr>
        <w:t xml:space="preserve"> </w:t>
      </w:r>
      <w:r w:rsidRPr="00587DED">
        <w:rPr>
          <w:rFonts w:ascii="Verdana" w:hAnsi="Verdana" w:cs="Arial"/>
          <w:sz w:val="14"/>
          <w:szCs w:val="14"/>
        </w:rPr>
        <w:t>la</w:t>
      </w:r>
      <w:r w:rsidRPr="00587DED">
        <w:rPr>
          <w:rFonts w:ascii="Verdana" w:hAnsi="Verdana" w:cs="Arial"/>
          <w:spacing w:val="-1"/>
          <w:sz w:val="14"/>
          <w:szCs w:val="14"/>
        </w:rPr>
        <w:t xml:space="preserve"> </w:t>
      </w:r>
      <w:r w:rsidRPr="00587DED">
        <w:rPr>
          <w:rFonts w:ascii="Verdana" w:hAnsi="Verdana" w:cs="Arial"/>
          <w:sz w:val="14"/>
          <w:szCs w:val="14"/>
        </w:rPr>
        <w:t>Ley</w:t>
      </w:r>
      <w:r w:rsidRPr="00587DED">
        <w:rPr>
          <w:rFonts w:ascii="Verdana" w:hAnsi="Verdana" w:cs="Arial"/>
          <w:spacing w:val="-3"/>
          <w:sz w:val="14"/>
          <w:szCs w:val="14"/>
        </w:rPr>
        <w:t xml:space="preserve"> </w:t>
      </w:r>
      <w:r w:rsidRPr="00587DED">
        <w:rPr>
          <w:rFonts w:ascii="Verdana" w:hAnsi="Verdana" w:cs="Arial"/>
          <w:sz w:val="14"/>
          <w:szCs w:val="14"/>
        </w:rPr>
        <w:t>1474</w:t>
      </w:r>
      <w:r w:rsidRPr="00587DED">
        <w:rPr>
          <w:rFonts w:ascii="Verdana" w:hAnsi="Verdana" w:cs="Arial"/>
          <w:spacing w:val="4"/>
          <w:sz w:val="14"/>
          <w:szCs w:val="14"/>
        </w:rPr>
        <w:t xml:space="preserve"> </w:t>
      </w:r>
      <w:r w:rsidRPr="00587DED">
        <w:rPr>
          <w:rFonts w:ascii="Verdana" w:hAnsi="Verdana" w:cs="Arial"/>
          <w:sz w:val="14"/>
          <w:szCs w:val="14"/>
        </w:rPr>
        <w:t>de</w:t>
      </w:r>
      <w:r w:rsidRPr="00587DED">
        <w:rPr>
          <w:rFonts w:ascii="Verdana" w:hAnsi="Verdana" w:cs="Arial"/>
          <w:spacing w:val="-3"/>
          <w:sz w:val="14"/>
          <w:szCs w:val="14"/>
        </w:rPr>
        <w:t xml:space="preserve"> </w:t>
      </w:r>
      <w:r w:rsidRPr="00587DED">
        <w:rPr>
          <w:rFonts w:ascii="Verdana" w:hAnsi="Verdana" w:cs="Arial"/>
          <w:sz w:val="14"/>
          <w:szCs w:val="14"/>
        </w:rPr>
        <w:t>2011.</w:t>
      </w:r>
    </w:p>
  </w:footnote>
  <w:footnote w:id="17">
    <w:p w14:paraId="162FE8F7" w14:textId="77777777" w:rsidR="00BD1E5A" w:rsidRPr="00984E13" w:rsidRDefault="00BD1E5A" w:rsidP="00BD1E5A">
      <w:pPr>
        <w:pStyle w:val="Textonotapie"/>
        <w:ind w:firstLine="709"/>
        <w:jc w:val="both"/>
        <w:rPr>
          <w:rFonts w:ascii="Verdana" w:hAnsi="Verdana" w:cs="Arial"/>
          <w:sz w:val="16"/>
          <w:szCs w:val="16"/>
        </w:rPr>
      </w:pPr>
      <w:r w:rsidRPr="00587DED">
        <w:rPr>
          <w:rStyle w:val="Refdenotaalpie"/>
          <w:rFonts w:ascii="Verdana" w:hAnsi="Verdana" w:cs="Arial"/>
          <w:sz w:val="14"/>
          <w:szCs w:val="14"/>
        </w:rPr>
        <w:footnoteRef/>
      </w:r>
      <w:r w:rsidRPr="00587DED">
        <w:rPr>
          <w:rFonts w:ascii="Verdana" w:hAnsi="Verdana" w:cs="Arial"/>
          <w:sz w:val="14"/>
          <w:szCs w:val="14"/>
        </w:rPr>
        <w:t xml:space="preserve"> </w:t>
      </w:r>
      <w:r w:rsidRPr="00587DED">
        <w:rPr>
          <w:rFonts w:ascii="Verdana" w:hAnsi="Verdana" w:cs="Arial"/>
          <w:spacing w:val="-1"/>
          <w:sz w:val="14"/>
          <w:szCs w:val="14"/>
        </w:rPr>
        <w:t>CONSEJO</w:t>
      </w:r>
      <w:r w:rsidRPr="00587DED">
        <w:rPr>
          <w:rFonts w:ascii="Verdana" w:hAnsi="Verdana" w:cs="Arial"/>
          <w:spacing w:val="-13"/>
          <w:sz w:val="14"/>
          <w:szCs w:val="14"/>
        </w:rPr>
        <w:t xml:space="preserve"> </w:t>
      </w:r>
      <w:r w:rsidRPr="00587DED">
        <w:rPr>
          <w:rFonts w:ascii="Verdana" w:hAnsi="Verdana" w:cs="Arial"/>
          <w:spacing w:val="-1"/>
          <w:sz w:val="14"/>
          <w:szCs w:val="14"/>
        </w:rPr>
        <w:t>DE</w:t>
      </w:r>
      <w:r w:rsidRPr="00587DED">
        <w:rPr>
          <w:rFonts w:ascii="Verdana" w:hAnsi="Verdana" w:cs="Arial"/>
          <w:spacing w:val="-13"/>
          <w:sz w:val="14"/>
          <w:szCs w:val="14"/>
        </w:rPr>
        <w:t xml:space="preserve"> </w:t>
      </w:r>
      <w:r w:rsidRPr="00587DED">
        <w:rPr>
          <w:rFonts w:ascii="Verdana" w:hAnsi="Verdana" w:cs="Arial"/>
          <w:spacing w:val="-1"/>
          <w:sz w:val="14"/>
          <w:szCs w:val="14"/>
        </w:rPr>
        <w:t>ESTADO.</w:t>
      </w:r>
      <w:r w:rsidRPr="00587DED">
        <w:rPr>
          <w:rFonts w:ascii="Verdana" w:hAnsi="Verdana" w:cs="Arial"/>
          <w:spacing w:val="-12"/>
          <w:sz w:val="14"/>
          <w:szCs w:val="14"/>
        </w:rPr>
        <w:t xml:space="preserve"> </w:t>
      </w:r>
      <w:r w:rsidRPr="00587DED">
        <w:rPr>
          <w:rFonts w:ascii="Verdana" w:hAnsi="Verdana" w:cs="Arial"/>
          <w:spacing w:val="-1"/>
          <w:sz w:val="14"/>
          <w:szCs w:val="14"/>
        </w:rPr>
        <w:t>Sección</w:t>
      </w:r>
      <w:r w:rsidRPr="00587DED">
        <w:rPr>
          <w:rFonts w:ascii="Verdana" w:hAnsi="Verdana" w:cs="Arial"/>
          <w:spacing w:val="-11"/>
          <w:sz w:val="14"/>
          <w:szCs w:val="14"/>
        </w:rPr>
        <w:t xml:space="preserve"> </w:t>
      </w:r>
      <w:r w:rsidRPr="00587DED">
        <w:rPr>
          <w:rFonts w:ascii="Verdana" w:hAnsi="Verdana" w:cs="Arial"/>
          <w:sz w:val="14"/>
          <w:szCs w:val="14"/>
        </w:rPr>
        <w:t>Tercera.</w:t>
      </w:r>
      <w:r w:rsidRPr="00587DED">
        <w:rPr>
          <w:rFonts w:ascii="Verdana" w:hAnsi="Verdana" w:cs="Arial"/>
          <w:spacing w:val="-12"/>
          <w:sz w:val="14"/>
          <w:szCs w:val="14"/>
        </w:rPr>
        <w:t xml:space="preserve"> </w:t>
      </w:r>
      <w:r w:rsidRPr="00587DED">
        <w:rPr>
          <w:rFonts w:ascii="Verdana" w:hAnsi="Verdana" w:cs="Arial"/>
          <w:sz w:val="14"/>
          <w:szCs w:val="14"/>
        </w:rPr>
        <w:t>Sentencia</w:t>
      </w:r>
      <w:r w:rsidRPr="00587DED">
        <w:rPr>
          <w:rFonts w:ascii="Verdana" w:hAnsi="Verdana" w:cs="Arial"/>
          <w:spacing w:val="-12"/>
          <w:sz w:val="14"/>
          <w:szCs w:val="14"/>
        </w:rPr>
        <w:t xml:space="preserve"> </w:t>
      </w:r>
      <w:r w:rsidRPr="00587DED">
        <w:rPr>
          <w:rFonts w:ascii="Verdana" w:hAnsi="Verdana" w:cs="Arial"/>
          <w:sz w:val="14"/>
          <w:szCs w:val="14"/>
        </w:rPr>
        <w:t>del</w:t>
      </w:r>
      <w:r w:rsidRPr="00587DED">
        <w:rPr>
          <w:rFonts w:ascii="Verdana" w:hAnsi="Verdana" w:cs="Arial"/>
          <w:spacing w:val="-11"/>
          <w:sz w:val="14"/>
          <w:szCs w:val="14"/>
        </w:rPr>
        <w:t xml:space="preserve"> </w:t>
      </w:r>
      <w:r w:rsidRPr="00587DED">
        <w:rPr>
          <w:rFonts w:ascii="Verdana" w:hAnsi="Verdana" w:cs="Arial"/>
          <w:sz w:val="14"/>
          <w:szCs w:val="14"/>
        </w:rPr>
        <w:t>27</w:t>
      </w:r>
      <w:r w:rsidRPr="00587DED">
        <w:rPr>
          <w:rFonts w:ascii="Verdana" w:hAnsi="Verdana" w:cs="Arial"/>
          <w:spacing w:val="-14"/>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noviembre</w:t>
      </w:r>
      <w:r w:rsidRPr="00587DED">
        <w:rPr>
          <w:rFonts w:ascii="Verdana" w:hAnsi="Verdana" w:cs="Arial"/>
          <w:spacing w:val="-12"/>
          <w:sz w:val="14"/>
          <w:szCs w:val="14"/>
        </w:rPr>
        <w:t xml:space="preserve"> </w:t>
      </w:r>
      <w:r w:rsidRPr="00587DED">
        <w:rPr>
          <w:rFonts w:ascii="Verdana" w:hAnsi="Verdana" w:cs="Arial"/>
          <w:sz w:val="14"/>
          <w:szCs w:val="14"/>
        </w:rPr>
        <w:t>de</w:t>
      </w:r>
      <w:r w:rsidRPr="00587DED">
        <w:rPr>
          <w:rFonts w:ascii="Verdana" w:hAnsi="Verdana" w:cs="Arial"/>
          <w:spacing w:val="-12"/>
          <w:sz w:val="14"/>
          <w:szCs w:val="14"/>
        </w:rPr>
        <w:t xml:space="preserve"> </w:t>
      </w:r>
      <w:r w:rsidRPr="00587DED">
        <w:rPr>
          <w:rFonts w:ascii="Verdana" w:hAnsi="Verdana" w:cs="Arial"/>
          <w:sz w:val="14"/>
          <w:szCs w:val="14"/>
        </w:rPr>
        <w:t>2017.</w:t>
      </w:r>
      <w:r w:rsidRPr="00587DED">
        <w:rPr>
          <w:rFonts w:ascii="Verdana" w:hAnsi="Verdana" w:cs="Arial"/>
          <w:spacing w:val="-8"/>
          <w:sz w:val="14"/>
          <w:szCs w:val="14"/>
        </w:rPr>
        <w:t xml:space="preserve"> </w:t>
      </w:r>
      <w:r w:rsidRPr="00587DED">
        <w:rPr>
          <w:rFonts w:ascii="Verdana" w:hAnsi="Verdana" w:cs="Arial"/>
          <w:sz w:val="14"/>
          <w:szCs w:val="14"/>
        </w:rPr>
        <w:t>Exp.</w:t>
      </w:r>
      <w:r w:rsidRPr="00587DED">
        <w:rPr>
          <w:rFonts w:ascii="Verdana" w:hAnsi="Verdana" w:cs="Arial"/>
          <w:spacing w:val="-12"/>
          <w:sz w:val="14"/>
          <w:szCs w:val="14"/>
        </w:rPr>
        <w:t xml:space="preserve"> </w:t>
      </w:r>
      <w:r w:rsidRPr="00587DED">
        <w:rPr>
          <w:rFonts w:ascii="Verdana" w:hAnsi="Verdana" w:cs="Arial"/>
          <w:sz w:val="14"/>
          <w:szCs w:val="14"/>
        </w:rPr>
        <w:t>51.802.</w:t>
      </w:r>
      <w:r w:rsidRPr="00587DED">
        <w:rPr>
          <w:rFonts w:ascii="Verdana" w:hAnsi="Verdana" w:cs="Arial"/>
          <w:spacing w:val="-9"/>
          <w:sz w:val="14"/>
          <w:szCs w:val="14"/>
        </w:rPr>
        <w:t xml:space="preserve"> </w:t>
      </w:r>
      <w:r w:rsidRPr="00587DED">
        <w:rPr>
          <w:rFonts w:ascii="Verdana" w:hAnsi="Verdana" w:cs="Arial"/>
          <w:sz w:val="14"/>
          <w:szCs w:val="14"/>
        </w:rPr>
        <w:t>M.P.</w:t>
      </w:r>
      <w:r w:rsidRPr="00587DED">
        <w:rPr>
          <w:rFonts w:ascii="Verdana" w:hAnsi="Verdana" w:cs="Arial"/>
          <w:spacing w:val="-12"/>
          <w:sz w:val="14"/>
          <w:szCs w:val="14"/>
        </w:rPr>
        <w:t xml:space="preserve"> </w:t>
      </w:r>
      <w:r w:rsidRPr="00587DED">
        <w:rPr>
          <w:rFonts w:ascii="Verdana" w:hAnsi="Verdana" w:cs="Arial"/>
          <w:sz w:val="14"/>
          <w:szCs w:val="14"/>
        </w:rPr>
        <w:t>Jaime</w:t>
      </w:r>
      <w:r w:rsidRPr="00587DED">
        <w:rPr>
          <w:rFonts w:ascii="Verdana" w:hAnsi="Verdana" w:cs="Arial"/>
          <w:spacing w:val="-47"/>
          <w:sz w:val="14"/>
          <w:szCs w:val="14"/>
        </w:rPr>
        <w:t xml:space="preserve"> </w:t>
      </w:r>
      <w:r w:rsidRPr="00587DED">
        <w:rPr>
          <w:rFonts w:ascii="Verdana" w:hAnsi="Verdana" w:cs="Arial"/>
          <w:sz w:val="14"/>
          <w:szCs w:val="14"/>
        </w:rPr>
        <w:t>Orlando</w:t>
      </w:r>
      <w:r w:rsidRPr="00587DED">
        <w:rPr>
          <w:rFonts w:ascii="Verdana" w:hAnsi="Verdana" w:cs="Arial"/>
          <w:spacing w:val="-1"/>
          <w:sz w:val="14"/>
          <w:szCs w:val="14"/>
        </w:rPr>
        <w:t xml:space="preserve"> </w:t>
      </w:r>
      <w:r w:rsidRPr="00587DED">
        <w:rPr>
          <w:rFonts w:ascii="Verdana" w:hAnsi="Verdana" w:cs="Arial"/>
          <w:sz w:val="14"/>
          <w:szCs w:val="14"/>
        </w:rPr>
        <w:t>Santofimio.</w:t>
      </w:r>
    </w:p>
  </w:footnote>
  <w:footnote w:id="18">
    <w:p w14:paraId="47091A8E" w14:textId="77777777" w:rsidR="00BD1E5A" w:rsidRPr="00984E13" w:rsidRDefault="00BD1E5A" w:rsidP="00BD1E5A">
      <w:pPr>
        <w:pStyle w:val="Textonotapie"/>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SUÁREZ BELTRÁN, Gonzalo. Estudios de derecho contractual público. Bogotá: Legis, 2014. p. 262.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14.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234974688">
    <w:abstractNumId w:val="0"/>
  </w:num>
  <w:num w:numId="17" w16cid:durableId="13857133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673"/>
    <w:rsid w:val="000A683E"/>
    <w:rsid w:val="000B19B9"/>
    <w:rsid w:val="000D0334"/>
    <w:rsid w:val="000D5DA7"/>
    <w:rsid w:val="000D6420"/>
    <w:rsid w:val="000F6486"/>
    <w:rsid w:val="0010440B"/>
    <w:rsid w:val="00111C1C"/>
    <w:rsid w:val="001141DA"/>
    <w:rsid w:val="00116940"/>
    <w:rsid w:val="00121403"/>
    <w:rsid w:val="00125105"/>
    <w:rsid w:val="00127233"/>
    <w:rsid w:val="00136B3D"/>
    <w:rsid w:val="0015699B"/>
    <w:rsid w:val="0016081A"/>
    <w:rsid w:val="001A33BF"/>
    <w:rsid w:val="001D5AF1"/>
    <w:rsid w:val="001E4177"/>
    <w:rsid w:val="001F0B24"/>
    <w:rsid w:val="001F7DC6"/>
    <w:rsid w:val="0022400B"/>
    <w:rsid w:val="002421BB"/>
    <w:rsid w:val="0025796E"/>
    <w:rsid w:val="002675E2"/>
    <w:rsid w:val="002707A2"/>
    <w:rsid w:val="002951A0"/>
    <w:rsid w:val="0029602E"/>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19B3"/>
    <w:rsid w:val="003A779E"/>
    <w:rsid w:val="003D0F4D"/>
    <w:rsid w:val="003D5B0D"/>
    <w:rsid w:val="003E0499"/>
    <w:rsid w:val="003E4F80"/>
    <w:rsid w:val="003E6439"/>
    <w:rsid w:val="003F3941"/>
    <w:rsid w:val="00406575"/>
    <w:rsid w:val="00406748"/>
    <w:rsid w:val="00414C74"/>
    <w:rsid w:val="0042722E"/>
    <w:rsid w:val="0044528D"/>
    <w:rsid w:val="00466E39"/>
    <w:rsid w:val="004A1847"/>
    <w:rsid w:val="004A305D"/>
    <w:rsid w:val="004F21C4"/>
    <w:rsid w:val="004F685F"/>
    <w:rsid w:val="00535837"/>
    <w:rsid w:val="005566E8"/>
    <w:rsid w:val="00561A47"/>
    <w:rsid w:val="00574867"/>
    <w:rsid w:val="00591460"/>
    <w:rsid w:val="005A65E0"/>
    <w:rsid w:val="005B1A18"/>
    <w:rsid w:val="005B4CF5"/>
    <w:rsid w:val="005C3777"/>
    <w:rsid w:val="005C5CDC"/>
    <w:rsid w:val="005D3F76"/>
    <w:rsid w:val="005D476C"/>
    <w:rsid w:val="006200BF"/>
    <w:rsid w:val="006219F8"/>
    <w:rsid w:val="00626F1C"/>
    <w:rsid w:val="006302F7"/>
    <w:rsid w:val="00646B9F"/>
    <w:rsid w:val="00646D60"/>
    <w:rsid w:val="00665D70"/>
    <w:rsid w:val="006900D9"/>
    <w:rsid w:val="006A65F8"/>
    <w:rsid w:val="00706C16"/>
    <w:rsid w:val="00732FE3"/>
    <w:rsid w:val="007340C3"/>
    <w:rsid w:val="007445E7"/>
    <w:rsid w:val="0075235A"/>
    <w:rsid w:val="00756841"/>
    <w:rsid w:val="007649AB"/>
    <w:rsid w:val="00771D0C"/>
    <w:rsid w:val="00777867"/>
    <w:rsid w:val="007833AC"/>
    <w:rsid w:val="00787CF3"/>
    <w:rsid w:val="007A47AD"/>
    <w:rsid w:val="007B268C"/>
    <w:rsid w:val="007B7171"/>
    <w:rsid w:val="007C0C0F"/>
    <w:rsid w:val="007C3DC2"/>
    <w:rsid w:val="007E5497"/>
    <w:rsid w:val="00806F5F"/>
    <w:rsid w:val="00820278"/>
    <w:rsid w:val="008258C9"/>
    <w:rsid w:val="00834C86"/>
    <w:rsid w:val="00844AE9"/>
    <w:rsid w:val="00867F95"/>
    <w:rsid w:val="008843B6"/>
    <w:rsid w:val="00891928"/>
    <w:rsid w:val="008A446D"/>
    <w:rsid w:val="008B13B8"/>
    <w:rsid w:val="008B25F1"/>
    <w:rsid w:val="008C3E42"/>
    <w:rsid w:val="008D180B"/>
    <w:rsid w:val="008F0EA7"/>
    <w:rsid w:val="009127DC"/>
    <w:rsid w:val="00912FB7"/>
    <w:rsid w:val="00923EEF"/>
    <w:rsid w:val="009379F8"/>
    <w:rsid w:val="009419F9"/>
    <w:rsid w:val="0095685E"/>
    <w:rsid w:val="00961B09"/>
    <w:rsid w:val="00965334"/>
    <w:rsid w:val="0097093E"/>
    <w:rsid w:val="009A0DFA"/>
    <w:rsid w:val="009A1C6F"/>
    <w:rsid w:val="009B2D26"/>
    <w:rsid w:val="009C71FA"/>
    <w:rsid w:val="009C72E7"/>
    <w:rsid w:val="009C7F7E"/>
    <w:rsid w:val="009D3058"/>
    <w:rsid w:val="009F3A13"/>
    <w:rsid w:val="00A064A7"/>
    <w:rsid w:val="00A122D3"/>
    <w:rsid w:val="00A14468"/>
    <w:rsid w:val="00A171CD"/>
    <w:rsid w:val="00A17F13"/>
    <w:rsid w:val="00A20739"/>
    <w:rsid w:val="00A23AF9"/>
    <w:rsid w:val="00A33193"/>
    <w:rsid w:val="00A33C78"/>
    <w:rsid w:val="00A97F85"/>
    <w:rsid w:val="00AA0010"/>
    <w:rsid w:val="00AB0ADB"/>
    <w:rsid w:val="00AC7E4E"/>
    <w:rsid w:val="00AD3C17"/>
    <w:rsid w:val="00B00C0E"/>
    <w:rsid w:val="00B01B1A"/>
    <w:rsid w:val="00B0381D"/>
    <w:rsid w:val="00B34ADF"/>
    <w:rsid w:val="00B371D7"/>
    <w:rsid w:val="00B44A47"/>
    <w:rsid w:val="00B70225"/>
    <w:rsid w:val="00B72CD3"/>
    <w:rsid w:val="00B72FFF"/>
    <w:rsid w:val="00B75F0B"/>
    <w:rsid w:val="00BA6999"/>
    <w:rsid w:val="00BC3D36"/>
    <w:rsid w:val="00BC73FD"/>
    <w:rsid w:val="00BD1E5A"/>
    <w:rsid w:val="00BD54A6"/>
    <w:rsid w:val="00BD7F72"/>
    <w:rsid w:val="00BE5B96"/>
    <w:rsid w:val="00BF7425"/>
    <w:rsid w:val="00C04FB3"/>
    <w:rsid w:val="00C07649"/>
    <w:rsid w:val="00C11D8B"/>
    <w:rsid w:val="00C15139"/>
    <w:rsid w:val="00C31032"/>
    <w:rsid w:val="00C330EB"/>
    <w:rsid w:val="00C50D69"/>
    <w:rsid w:val="00C5365C"/>
    <w:rsid w:val="00C70595"/>
    <w:rsid w:val="00C754BE"/>
    <w:rsid w:val="00C76B1C"/>
    <w:rsid w:val="00C925AC"/>
    <w:rsid w:val="00CB6357"/>
    <w:rsid w:val="00CC1B26"/>
    <w:rsid w:val="00CF39E7"/>
    <w:rsid w:val="00D1623B"/>
    <w:rsid w:val="00D301F2"/>
    <w:rsid w:val="00D31C62"/>
    <w:rsid w:val="00D361FD"/>
    <w:rsid w:val="00D423A2"/>
    <w:rsid w:val="00D44E26"/>
    <w:rsid w:val="00D520D8"/>
    <w:rsid w:val="00D63AC2"/>
    <w:rsid w:val="00D7383B"/>
    <w:rsid w:val="00D7788A"/>
    <w:rsid w:val="00DA231B"/>
    <w:rsid w:val="00DC39FC"/>
    <w:rsid w:val="00DF24A4"/>
    <w:rsid w:val="00DF5254"/>
    <w:rsid w:val="00E02524"/>
    <w:rsid w:val="00E16408"/>
    <w:rsid w:val="00E20894"/>
    <w:rsid w:val="00E245AB"/>
    <w:rsid w:val="00E2764C"/>
    <w:rsid w:val="00E27F2E"/>
    <w:rsid w:val="00E322E7"/>
    <w:rsid w:val="00E35E29"/>
    <w:rsid w:val="00E50AFE"/>
    <w:rsid w:val="00E60B40"/>
    <w:rsid w:val="00E75C92"/>
    <w:rsid w:val="00E771DC"/>
    <w:rsid w:val="00E8772A"/>
    <w:rsid w:val="00E90F6B"/>
    <w:rsid w:val="00E9267B"/>
    <w:rsid w:val="00E92C27"/>
    <w:rsid w:val="00EA0E3D"/>
    <w:rsid w:val="00EC38A7"/>
    <w:rsid w:val="00EE1AA8"/>
    <w:rsid w:val="00F1603F"/>
    <w:rsid w:val="00F168AD"/>
    <w:rsid w:val="00F23FEA"/>
    <w:rsid w:val="00F31EDC"/>
    <w:rsid w:val="00F41280"/>
    <w:rsid w:val="00F462B3"/>
    <w:rsid w:val="00F5664F"/>
    <w:rsid w:val="00F666C4"/>
    <w:rsid w:val="00F76AFC"/>
    <w:rsid w:val="00F84D0B"/>
    <w:rsid w:val="00FA47C0"/>
    <w:rsid w:val="00FB5DD1"/>
    <w:rsid w:val="00FC2B5D"/>
    <w:rsid w:val="00FD57B8"/>
    <w:rsid w:val="00FF1449"/>
    <w:rsid w:val="00FF72B1"/>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D1E5A"/>
    <w:rPr>
      <w:rFonts w:ascii="Geomanist Light" w:hAnsi="Geomanist Light"/>
      <w:lang w:val="es-ES"/>
    </w:rPr>
  </w:style>
  <w:style w:type="paragraph" w:customStyle="1" w:styleId="Appelnotedebasde">
    <w:name w:val="Appel note de bas de..."/>
    <w:basedOn w:val="Normal"/>
    <w:link w:val="Refdenotaalpie"/>
    <w:uiPriority w:val="99"/>
    <w:rsid w:val="00BD1E5A"/>
    <w:pPr>
      <w:spacing w:line="240" w:lineRule="exact"/>
    </w:pPr>
    <w:rPr>
      <w:vertAlign w:val="superscript"/>
    </w:rPr>
  </w:style>
  <w:style w:type="paragraph" w:styleId="Textoindependiente">
    <w:name w:val="Body Text"/>
    <w:basedOn w:val="Normal"/>
    <w:link w:val="TextoindependienteCar"/>
    <w:uiPriority w:val="1"/>
    <w:qFormat/>
    <w:rsid w:val="00BD1E5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D1E5A"/>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providencias/2019_05001-23-33-000-2018-00342-01_62009/"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relatoria.colombiacompra.gov.co/normativa/ley-80-de-1993/" TargetMode="External"/><Relationship Id="rId17" Type="http://schemas.openxmlformats.org/officeDocument/2006/relationships/hyperlink" Target="https://relatoria.colombiacompra.gov.co/providencias/25000-23-26-000-2007-00108-01_4249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relatoria.colombiacompra.gov.co/providencias/25000-23-26-000-2003-00874-01_28278/" TargetMode="External"/><Relationship Id="rId20" Type="http://schemas.openxmlformats.org/officeDocument/2006/relationships/hyperlink" Target="https://relatoria.colombiacompra.gov.co/busqueda/concepto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luciones@activosti.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relatoria.colombiacompra.gov.co/normativa/decreto-1082-de-2015/"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sites/cce_public/files/cce_documents/cce_guia_liquidacion_procesos.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codigo-de-comercio-decreto-410-de-1971/"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E198B5-AC50-4645-B63D-19647D5A4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20</Pages>
  <Words>7026</Words>
  <Characters>38227</Characters>
  <Application>Microsoft Office Word</Application>
  <DocSecurity>0</DocSecurity>
  <Lines>721</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45127</CharactersWithSpaces>
  <SharedDoc>false</SharedDoc>
  <HLinks>
    <vt:vector size="66" baseType="variant">
      <vt:variant>
        <vt:i4>7471218</vt:i4>
      </vt:variant>
      <vt:variant>
        <vt:i4>27</vt:i4>
      </vt:variant>
      <vt:variant>
        <vt:i4>0</vt:i4>
      </vt:variant>
      <vt:variant>
        <vt:i4>5</vt:i4>
      </vt:variant>
      <vt:variant>
        <vt:lpwstr>https://relatoria.colombiacompra.gov.co/busqueda/conceptos</vt:lpwstr>
      </vt:variant>
      <vt:variant>
        <vt:lpwstr/>
      </vt:variant>
      <vt:variant>
        <vt:i4>8257615</vt:i4>
      </vt:variant>
      <vt:variant>
        <vt:i4>24</vt:i4>
      </vt:variant>
      <vt:variant>
        <vt:i4>0</vt:i4>
      </vt:variant>
      <vt:variant>
        <vt:i4>5</vt:i4>
      </vt:variant>
      <vt:variant>
        <vt:lpwstr>https://www.colombiacompra.gov.co/sites/cce_public/files/cce_documents/cce_guia_liquidacion_procesos.pdf</vt:lpwstr>
      </vt:variant>
      <vt:variant>
        <vt:lpwstr/>
      </vt:variant>
      <vt:variant>
        <vt:i4>3539053</vt:i4>
      </vt:variant>
      <vt:variant>
        <vt:i4>21</vt:i4>
      </vt:variant>
      <vt:variant>
        <vt:i4>0</vt:i4>
      </vt:variant>
      <vt:variant>
        <vt:i4>5</vt:i4>
      </vt:variant>
      <vt:variant>
        <vt:lpwstr>https://relatoria.colombiacompra.gov.co/providencias/2019_05001-23-33-000-2018-00342-01_62009/</vt:lpwstr>
      </vt:variant>
      <vt:variant>
        <vt:lpwstr/>
      </vt:variant>
      <vt:variant>
        <vt:i4>1376307</vt:i4>
      </vt:variant>
      <vt:variant>
        <vt:i4>18</vt:i4>
      </vt:variant>
      <vt:variant>
        <vt:i4>0</vt:i4>
      </vt:variant>
      <vt:variant>
        <vt:i4>5</vt:i4>
      </vt:variant>
      <vt:variant>
        <vt:lpwstr>https://relatoria.colombiacompra.gov.co/providencias/25000-23-26-000-2007-00108-01_42494/</vt:lpwstr>
      </vt:variant>
      <vt:variant>
        <vt:lpwstr/>
      </vt:variant>
      <vt:variant>
        <vt:i4>1966134</vt:i4>
      </vt:variant>
      <vt:variant>
        <vt:i4>15</vt:i4>
      </vt:variant>
      <vt:variant>
        <vt:i4>0</vt:i4>
      </vt:variant>
      <vt:variant>
        <vt:i4>5</vt:i4>
      </vt:variant>
      <vt:variant>
        <vt:lpwstr>https://relatoria.colombiacompra.gov.co/providencias/25000-23-26-000-2003-00874-01_28278/</vt:lpwstr>
      </vt:variant>
      <vt:variant>
        <vt:lpwstr/>
      </vt:variant>
      <vt:variant>
        <vt:i4>3276916</vt:i4>
      </vt:variant>
      <vt:variant>
        <vt:i4>12</vt:i4>
      </vt:variant>
      <vt:variant>
        <vt:i4>0</vt:i4>
      </vt:variant>
      <vt:variant>
        <vt:i4>5</vt:i4>
      </vt:variant>
      <vt:variant>
        <vt:lpwstr>https://relatoria.colombiacompra.gov.co/normativa/decreto-1082-de-2015/</vt:lpwstr>
      </vt:variant>
      <vt:variant>
        <vt:lpwstr/>
      </vt:variant>
      <vt:variant>
        <vt:i4>6029338</vt:i4>
      </vt:variant>
      <vt:variant>
        <vt:i4>9</vt:i4>
      </vt:variant>
      <vt:variant>
        <vt:i4>0</vt:i4>
      </vt:variant>
      <vt:variant>
        <vt:i4>5</vt:i4>
      </vt:variant>
      <vt:variant>
        <vt:lpwstr>https://relatoria.colombiacompra.gov.co/normativa/codigo-de-comercio-decreto-410-de-1971/</vt:lpwstr>
      </vt:variant>
      <vt:variant>
        <vt:lpwstr/>
      </vt:variant>
      <vt:variant>
        <vt:i4>3473504</vt:i4>
      </vt:variant>
      <vt:variant>
        <vt:i4>6</vt:i4>
      </vt:variant>
      <vt:variant>
        <vt:i4>0</vt:i4>
      </vt:variant>
      <vt:variant>
        <vt:i4>5</vt:i4>
      </vt:variant>
      <vt:variant>
        <vt:lpwstr>https://relatoria.colombiacompra.gov.co/normativa/ley-1150-de-2007/</vt:lpwstr>
      </vt:variant>
      <vt:variant>
        <vt:lpwstr/>
      </vt:variant>
      <vt:variant>
        <vt:i4>589910</vt:i4>
      </vt:variant>
      <vt:variant>
        <vt:i4>3</vt:i4>
      </vt:variant>
      <vt:variant>
        <vt:i4>0</vt:i4>
      </vt:variant>
      <vt:variant>
        <vt:i4>5</vt:i4>
      </vt:variant>
      <vt:variant>
        <vt:lpwstr>https://relatoria.colombiacompra.gov.co/normativa/ley-80-de-1993/</vt:lpwstr>
      </vt:variant>
      <vt:variant>
        <vt:lpwstr/>
      </vt:variant>
      <vt:variant>
        <vt:i4>262206</vt:i4>
      </vt:variant>
      <vt:variant>
        <vt:i4>0</vt:i4>
      </vt:variant>
      <vt:variant>
        <vt:i4>0</vt:i4>
      </vt:variant>
      <vt:variant>
        <vt:i4>5</vt:i4>
      </vt:variant>
      <vt:variant>
        <vt:lpwstr>mailto:soluciones@activosti.com</vt:lpwstr>
      </vt:variant>
      <vt:variant>
        <vt:lpwstr/>
      </vt:variant>
      <vt:variant>
        <vt:i4>8257615</vt:i4>
      </vt:variant>
      <vt:variant>
        <vt:i4>0</vt:i4>
      </vt:variant>
      <vt:variant>
        <vt:i4>0</vt:i4>
      </vt:variant>
      <vt:variant>
        <vt:i4>5</vt:i4>
      </vt:variant>
      <vt:variant>
        <vt:lpwstr>https://www.colombiacompra.gov.co/sites/cce_public/files/cce_documents/cce_guia_liquidacion_procesos.pdf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17</cp:revision>
  <cp:lastPrinted>2023-01-10T21:18:00Z</cp:lastPrinted>
  <dcterms:created xsi:type="dcterms:W3CDTF">2026-02-17T16:08:00Z</dcterms:created>
  <dcterms:modified xsi:type="dcterms:W3CDTF">2026-02-24T14:13:00Z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