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5B31B" w14:textId="28278D51" w:rsidR="009515CD" w:rsidRDefault="009515CD" w:rsidP="009515CD">
      <w:pPr>
        <w:jc w:val="both"/>
        <w:rPr>
          <w:rFonts w:ascii="Verdana" w:eastAsia="Calibri" w:hAnsi="Verdana" w:cs="Arial"/>
          <w:b/>
          <w:bCs/>
          <w:lang w:eastAsia="es-ES"/>
        </w:rPr>
      </w:pPr>
      <w:bookmarkStart w:id="0" w:name="_Hlk143780582"/>
      <w:r w:rsidRPr="009515CD">
        <w:rPr>
          <w:rFonts w:ascii="Verdana" w:eastAsia="Calibri" w:hAnsi="Verdana" w:cs="Arial"/>
          <w:b/>
          <w:bCs/>
          <w:lang w:eastAsia="es-ES"/>
        </w:rPr>
        <w:t>CONTRATO DE PRESTACIÓN DE SERVICIOS – Concepto</w:t>
      </w:r>
    </w:p>
    <w:p w14:paraId="1F7D1F99" w14:textId="1E31E5DC" w:rsidR="00805438" w:rsidRPr="00805438" w:rsidRDefault="00805438" w:rsidP="009515CD">
      <w:pPr>
        <w:jc w:val="both"/>
        <w:rPr>
          <w:rFonts w:ascii="Verdana" w:eastAsia="Arial" w:hAnsi="Verdana" w:cs="Arial"/>
          <w:color w:val="000000" w:themeColor="text1"/>
          <w:sz w:val="20"/>
          <w:szCs w:val="20"/>
          <w:lang w:val="es-ES"/>
        </w:rPr>
      </w:pPr>
      <w:r w:rsidRPr="00805438">
        <w:rPr>
          <w:rFonts w:ascii="Verdana" w:eastAsia="Arial" w:hAnsi="Verdana" w:cs="Arial"/>
          <w:color w:val="000000" w:themeColor="text1"/>
          <w:sz w:val="20"/>
          <w:szCs w:val="20"/>
          <w:lang w:val="es-ES"/>
        </w:rPr>
        <w:t>En la etapa precontractual de la contratación estatal, cuando la Administración está elaborando los estudios previos, para lograr con éxito el proceso de contratación que requiere para satisfacer una necesidad de bienes, obras o servicios con la finalidad de cumplir los cometidos estatales, debe analizarse, según el objeto a contratar, cuál es el tipo de contrato, las obligaciones y prestaciones a pactar que mejor satisfagan los intereses de la Administración como entidad contratante. Es así como, por ejemplo, el artículo 40 de la Ley 80 de 1993 permite que dentro del contenido de un contrato estatal se admitan las estipulaciones conformes con las normas civiles, comerciales y las especiales previstas en dicha ley que correspondan a su esencia y naturaleza. Por ello, las entidades pueden celebrar todos los contratos y acuerdos permitidos por la autonomía de la voluntad requeridos para cumplir con los fines estatales.</w:t>
      </w:r>
    </w:p>
    <w:p w14:paraId="12A3C5A0" w14:textId="1158ADF2" w:rsidR="009515CD" w:rsidRDefault="009515CD" w:rsidP="009515CD">
      <w:pPr>
        <w:jc w:val="both"/>
        <w:rPr>
          <w:rFonts w:ascii="Verdana" w:eastAsia="Calibri" w:hAnsi="Verdana" w:cs="Arial"/>
          <w:b/>
          <w:bCs/>
          <w:lang w:eastAsia="es-ES"/>
        </w:rPr>
      </w:pPr>
      <w:r w:rsidRPr="009515CD">
        <w:rPr>
          <w:rFonts w:ascii="Verdana" w:eastAsia="Calibri" w:hAnsi="Verdana" w:cs="Arial"/>
          <w:b/>
          <w:bCs/>
          <w:lang w:eastAsia="es-ES"/>
        </w:rPr>
        <w:t>CONTRATO DE PRESTACIÓN DE SERVICIOS – Condiciones del pago de honorarios</w:t>
      </w:r>
    </w:p>
    <w:p w14:paraId="6F383F88" w14:textId="68C362E5" w:rsidR="00551E51" w:rsidRPr="0097157A" w:rsidRDefault="00551E51" w:rsidP="0097157A">
      <w:pPr>
        <w:spacing w:after="120" w:line="276" w:lineRule="auto"/>
        <w:jc w:val="both"/>
        <w:rPr>
          <w:rFonts w:ascii="Verdana" w:eastAsia="Arial" w:hAnsi="Verdana" w:cs="Arial"/>
          <w:color w:val="000000" w:themeColor="text1"/>
          <w:sz w:val="20"/>
          <w:szCs w:val="20"/>
          <w:lang w:val="es-ES"/>
        </w:rPr>
      </w:pPr>
      <w:r w:rsidRPr="0097157A">
        <w:rPr>
          <w:rFonts w:ascii="Verdana" w:eastAsia="Arial" w:hAnsi="Verdana" w:cs="Arial"/>
          <w:color w:val="000000" w:themeColor="text1"/>
          <w:sz w:val="20"/>
          <w:szCs w:val="20"/>
          <w:lang w:val="es-ES"/>
        </w:rPr>
        <w:t xml:space="preserve">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97157A">
        <w:rPr>
          <w:rFonts w:ascii="Verdana" w:eastAsia="Arial" w:hAnsi="Verdana" w:cs="Arial"/>
          <w:color w:val="000000" w:themeColor="text1"/>
          <w:sz w:val="20"/>
          <w:szCs w:val="20"/>
          <w:lang w:val="es-ES"/>
        </w:rPr>
        <w:t>ii</w:t>
      </w:r>
      <w:proofErr w:type="spellEnd"/>
      <w:r w:rsidRPr="0097157A">
        <w:rPr>
          <w:rFonts w:ascii="Verdana" w:eastAsia="Arial" w:hAnsi="Verdana" w:cs="Arial"/>
          <w:color w:val="000000" w:themeColor="text1"/>
          <w:sz w:val="20"/>
          <w:szCs w:val="20"/>
          <w:lang w:val="es-ES"/>
        </w:rPr>
        <w:t xml:space="preserve">) el precio global –que equivale al monto total, sin discriminar unidades–, y </w:t>
      </w:r>
      <w:proofErr w:type="spellStart"/>
      <w:r w:rsidRPr="0097157A">
        <w:rPr>
          <w:rFonts w:ascii="Verdana" w:eastAsia="Arial" w:hAnsi="Verdana" w:cs="Arial"/>
          <w:color w:val="000000" w:themeColor="text1"/>
          <w:sz w:val="20"/>
          <w:szCs w:val="20"/>
          <w:lang w:val="es-ES"/>
        </w:rPr>
        <w:t>iii</w:t>
      </w:r>
      <w:proofErr w:type="spellEnd"/>
      <w:r w:rsidRPr="0097157A">
        <w:rPr>
          <w:rFonts w:ascii="Verdana" w:eastAsia="Arial" w:hAnsi="Verdana" w:cs="Arial"/>
          <w:color w:val="000000" w:themeColor="text1"/>
          <w:sz w:val="20"/>
          <w:szCs w:val="20"/>
          <w:lang w:val="es-ES"/>
        </w:rPr>
        <w:t>) la administración delegada de recursos –en la que se distinguen los costos de inversión de los honorarios del administrador–.</w:t>
      </w:r>
    </w:p>
    <w:p w14:paraId="7EC57D03" w14:textId="106520B0" w:rsidR="009515CD" w:rsidRDefault="009515CD" w:rsidP="009515CD">
      <w:pPr>
        <w:jc w:val="both"/>
        <w:rPr>
          <w:rFonts w:ascii="Arial" w:eastAsia="Calibri" w:hAnsi="Arial" w:cs="Arial"/>
          <w:b/>
          <w:bCs/>
        </w:rPr>
      </w:pPr>
      <w:r w:rsidRPr="009515CD">
        <w:rPr>
          <w:rFonts w:ascii="Verdana" w:eastAsia="Calibri" w:hAnsi="Verdana" w:cs="Arial"/>
          <w:b/>
          <w:bCs/>
          <w:lang w:eastAsia="es-ES"/>
        </w:rPr>
        <w:t>SUPERVISIÓN – Noción ‒ Ley 1474 de 2011</w:t>
      </w:r>
      <w:r w:rsidRPr="009515CD">
        <w:rPr>
          <w:rFonts w:ascii="Arial" w:eastAsia="Calibri" w:hAnsi="Arial" w:cs="Arial"/>
          <w:b/>
          <w:bCs/>
        </w:rPr>
        <w:t xml:space="preserve"> </w:t>
      </w:r>
    </w:p>
    <w:p w14:paraId="5FD98ABA" w14:textId="68D836D0" w:rsidR="00EB47D2" w:rsidRPr="00E84E07" w:rsidRDefault="0058544F" w:rsidP="00EB47D2">
      <w:pPr>
        <w:spacing w:after="120" w:line="240" w:lineRule="auto"/>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w:t>
      </w:r>
      <w:r w:rsidR="00EB47D2" w:rsidRPr="00E84E07">
        <w:rPr>
          <w:rFonts w:ascii="Verdana" w:eastAsia="Arial" w:hAnsi="Verdana" w:cs="Arial"/>
          <w:color w:val="000000" w:themeColor="text1"/>
          <w:sz w:val="20"/>
          <w:szCs w:val="20"/>
          <w:lang w:val="es-ES"/>
        </w:rPr>
        <w:t xml:space="preserve"> </w:t>
      </w:r>
      <w:r w:rsidR="00EB47D2" w:rsidRPr="00E84E07">
        <w:rPr>
          <w:rFonts w:ascii="Verdana" w:eastAsia="Arial" w:hAnsi="Verdana" w:cs="Arial"/>
          <w:color w:val="000000" w:themeColor="text1"/>
          <w:sz w:val="20"/>
          <w:szCs w:val="20"/>
          <w:lang w:val="es-ES"/>
        </w:rPr>
        <w:t>la supervisión contractual, conforme a lo dispuesto en el artículo 83 de la Ley 1474 de 2011, corresponde al seguimiento técnico, administrativo, financiero, contable y jurídico que ejerce directamente la entidad estatal sobre el cumplimiento del objeto contractual, cuando dicho seguimiento no exige conocimientos especializados.</w:t>
      </w:r>
    </w:p>
    <w:p w14:paraId="37ABF33D" w14:textId="77777777" w:rsidR="00EB47D2" w:rsidRPr="00E84E07" w:rsidRDefault="00EB47D2" w:rsidP="00EB47D2">
      <w:pPr>
        <w:spacing w:after="120" w:line="240" w:lineRule="auto"/>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 xml:space="preserve">La citada disposición consagra a cargo de las entidades estatales el deber de ejercer vigilancia permanente sobre la correcta ejecución de los contratos estatales, como </w:t>
      </w:r>
      <w:r w:rsidRPr="00E84E07">
        <w:rPr>
          <w:rFonts w:ascii="Verdana" w:eastAsia="Arial" w:hAnsi="Verdana" w:cs="Arial"/>
          <w:color w:val="000000" w:themeColor="text1"/>
          <w:sz w:val="20"/>
          <w:szCs w:val="20"/>
          <w:lang w:val="es-ES"/>
        </w:rPr>
        <w:lastRenderedPageBreak/>
        <w:t>instrumento orientado a la protección de la moralidad administrativa, la prevención de actos de corrupción y la garantía de la transparencia en la actividad contractual. En consecuencia, la supervisión no se circunscribe a una verificación meramente formal, sino que comporta una función integral de control, dirigida a constatar que las obligaciones a cargo del contratista se ejecuten en los términos, condiciones y plazos pactados, y con observancia del marco legal y contractual aplicable.</w:t>
      </w:r>
    </w:p>
    <w:p w14:paraId="5A9F33B0" w14:textId="77777777" w:rsidR="00EB47D2" w:rsidRPr="00E84E07" w:rsidRDefault="00EB47D2" w:rsidP="00EB47D2">
      <w:pPr>
        <w:spacing w:after="120" w:line="240" w:lineRule="auto"/>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En ese sentido, el artículo 83 de la Ley 1474 de 2011 dispone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288EE08C" w14:textId="77777777" w:rsidR="00EB47D2" w:rsidRPr="00E84E07" w:rsidRDefault="00EB47D2" w:rsidP="00E84E07">
      <w:pPr>
        <w:spacing w:after="120" w:line="240" w:lineRule="auto"/>
        <w:ind w:right="49"/>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p>
    <w:p w14:paraId="44111EDB" w14:textId="77777777" w:rsidR="00EB47D2" w:rsidRPr="009515CD" w:rsidRDefault="00EB47D2" w:rsidP="009515CD">
      <w:pPr>
        <w:jc w:val="both"/>
        <w:rPr>
          <w:rFonts w:ascii="Arial" w:eastAsia="Calibri" w:hAnsi="Arial" w:cs="Arial"/>
          <w:b/>
          <w:bCs/>
          <w:color w:val="000000" w:themeColor="text1"/>
        </w:rPr>
      </w:pPr>
    </w:p>
    <w:p w14:paraId="51756576" w14:textId="77777777" w:rsidR="00F51299" w:rsidRDefault="00F51299">
      <w:pPr>
        <w:rPr>
          <w:rFonts w:ascii="Verdana" w:hAnsi="Verdana"/>
        </w:rPr>
      </w:pPr>
      <w:r>
        <w:rPr>
          <w:rFonts w:ascii="Verdana" w:hAnsi="Verdana"/>
        </w:rPr>
        <w:br w:type="page"/>
      </w:r>
    </w:p>
    <w:p w14:paraId="1468C46D" w14:textId="43593C91" w:rsidR="00C15139" w:rsidRPr="0024624F" w:rsidRDefault="00300CCF" w:rsidP="00C15139">
      <w:pPr>
        <w:spacing w:after="0"/>
        <w:rPr>
          <w:rFonts w:ascii="Verdana" w:hAnsi="Verdana"/>
        </w:rPr>
      </w:pPr>
      <w:r w:rsidRPr="00300CCF">
        <w:rPr>
          <w:rFonts w:ascii="Verdana" w:eastAsia="Calibri" w:hAnsi="Verdana" w:cs="Times New Roman"/>
          <w:b/>
          <w:bCs/>
        </w:rPr>
        <w:lastRenderedPageBreak/>
        <w:drawing>
          <wp:anchor distT="0" distB="0" distL="114300" distR="114300" simplePos="0" relativeHeight="251659264" behindDoc="1" locked="0" layoutInCell="1" allowOverlap="1" wp14:anchorId="22F32B8D" wp14:editId="130899F6">
            <wp:simplePos x="0" y="0"/>
            <wp:positionH relativeFrom="column">
              <wp:posOffset>3051379</wp:posOffset>
            </wp:positionH>
            <wp:positionV relativeFrom="paragraph">
              <wp:posOffset>215564</wp:posOffset>
            </wp:positionV>
            <wp:extent cx="2868643" cy="814074"/>
            <wp:effectExtent l="0" t="0" r="8255" b="5080"/>
            <wp:wrapNone/>
            <wp:docPr id="178475893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758938"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68643" cy="814074"/>
                    </a:xfrm>
                    <a:prstGeom prst="rect">
                      <a:avLst/>
                    </a:prstGeom>
                  </pic:spPr>
                </pic:pic>
              </a:graphicData>
            </a:graphic>
            <wp14:sizeRelH relativeFrom="margin">
              <wp14:pctWidth>0</wp14:pctWidth>
            </wp14:sizeRelH>
            <wp14:sizeRelV relativeFrom="margin">
              <wp14:pctHeight>0</wp14:pctHeight>
            </wp14:sizeRelV>
          </wp:anchor>
        </w:drawing>
      </w:r>
      <w:r w:rsidR="00C15139" w:rsidRPr="0024624F">
        <w:rPr>
          <w:rFonts w:ascii="Verdana" w:hAnsi="Verdana"/>
        </w:rPr>
        <w:t xml:space="preserve">Bogotá D.C., </w:t>
      </w:r>
      <w:r w:rsidR="001B329B">
        <w:rPr>
          <w:rFonts w:ascii="Verdana" w:hAnsi="Verdana"/>
        </w:rPr>
        <w:t xml:space="preserve">16 </w:t>
      </w:r>
      <w:proofErr w:type="gramStart"/>
      <w:r w:rsidR="001B329B">
        <w:rPr>
          <w:rFonts w:ascii="Verdana" w:hAnsi="Verdana"/>
        </w:rPr>
        <w:t>Febrero</w:t>
      </w:r>
      <w:proofErr w:type="gramEnd"/>
      <w:r w:rsidR="001B329B">
        <w:rPr>
          <w:rFonts w:ascii="Verdana" w:hAnsi="Verdana"/>
        </w:rPr>
        <w:t xml:space="preserve"> 2026</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3E99E42F" w14:textId="70DC0E79" w:rsidR="00060BFB" w:rsidRPr="00C15DD4" w:rsidRDefault="00060BFB" w:rsidP="00060BFB">
      <w:pPr>
        <w:spacing w:after="0" w:line="276" w:lineRule="auto"/>
        <w:jc w:val="both"/>
        <w:rPr>
          <w:rFonts w:ascii="Verdana" w:eastAsia="Calibri" w:hAnsi="Verdana" w:cs="Arial"/>
          <w:lang w:eastAsia="es-ES"/>
        </w:rPr>
      </w:pPr>
      <w:bookmarkStart w:id="1" w:name="_Hlk186494164"/>
      <w:bookmarkEnd w:id="0"/>
      <w:r w:rsidRPr="00C15DD4">
        <w:rPr>
          <w:rFonts w:ascii="Verdana" w:eastAsia="Calibri" w:hAnsi="Verdana" w:cs="Arial"/>
          <w:lang w:eastAsia="es-ES"/>
        </w:rPr>
        <w:t>Señor</w:t>
      </w:r>
    </w:p>
    <w:p w14:paraId="30D3B6E4" w14:textId="42E1BCC6" w:rsidR="00060BFB" w:rsidRPr="00C15DD4" w:rsidRDefault="00060BFB" w:rsidP="00060BFB">
      <w:pPr>
        <w:spacing w:after="0" w:line="276" w:lineRule="auto"/>
        <w:rPr>
          <w:rFonts w:ascii="Verdana" w:eastAsia="Calibri" w:hAnsi="Verdana" w:cs="Arial"/>
          <w:b/>
          <w:bCs/>
          <w:lang w:eastAsia="es-ES"/>
        </w:rPr>
      </w:pPr>
      <w:r>
        <w:rPr>
          <w:rFonts w:ascii="Verdana" w:eastAsia="Calibri" w:hAnsi="Verdana" w:cs="Times New Roman"/>
          <w:b/>
          <w:bCs/>
        </w:rPr>
        <w:t>José Gabriel Bernal Ayala</w:t>
      </w:r>
      <w:r w:rsidRPr="00C15DD4">
        <w:rPr>
          <w:rFonts w:ascii="Verdana" w:eastAsia="Calibri" w:hAnsi="Verdana" w:cs="Times New Roman"/>
          <w:b/>
          <w:bCs/>
        </w:rPr>
        <w:tab/>
      </w:r>
      <w:r w:rsidRPr="00C15DD4">
        <w:rPr>
          <w:rFonts w:ascii="Verdana" w:eastAsia="Calibri" w:hAnsi="Verdana" w:cs="Times New Roman"/>
          <w:b/>
          <w:bCs/>
        </w:rPr>
        <w:tab/>
      </w:r>
    </w:p>
    <w:p w14:paraId="451C1E2C" w14:textId="77777777" w:rsidR="00060BFB" w:rsidRDefault="00060BFB" w:rsidP="00060BFB">
      <w:pPr>
        <w:spacing w:after="0" w:line="276" w:lineRule="auto"/>
        <w:rPr>
          <w:rFonts w:ascii="Verdana" w:hAnsi="Verdana"/>
        </w:rPr>
      </w:pPr>
      <w:hyperlink r:id="rId11" w:history="1">
        <w:r w:rsidRPr="00160884">
          <w:rPr>
            <w:rStyle w:val="Hipervnculo"/>
            <w:rFonts w:ascii="Verdana" w:hAnsi="Verdana"/>
          </w:rPr>
          <w:t>gerencia@blpabogados.com.co</w:t>
        </w:r>
      </w:hyperlink>
    </w:p>
    <w:p w14:paraId="62BE538D" w14:textId="77777777" w:rsidR="00060BFB" w:rsidRPr="00C15DD4" w:rsidRDefault="00060BFB" w:rsidP="00060BFB">
      <w:pPr>
        <w:spacing w:after="0" w:line="276" w:lineRule="auto"/>
        <w:rPr>
          <w:rFonts w:ascii="Verdana" w:eastAsia="Calibri" w:hAnsi="Verdana" w:cs="Times New Roman"/>
        </w:rPr>
      </w:pPr>
      <w:r w:rsidRPr="00C15DD4">
        <w:rPr>
          <w:rFonts w:ascii="Verdana" w:eastAsia="Calibri" w:hAnsi="Verdana" w:cs="Times New Roman"/>
        </w:rPr>
        <w:t>Ciudad</w:t>
      </w:r>
    </w:p>
    <w:p w14:paraId="3A9832B2" w14:textId="77777777" w:rsidR="00060BFB" w:rsidRPr="00C15DD4" w:rsidRDefault="00060BFB" w:rsidP="00060BFB">
      <w:pPr>
        <w:spacing w:after="0" w:line="276" w:lineRule="auto"/>
        <w:rPr>
          <w:rFonts w:ascii="Verdana" w:eastAsia="Calibri" w:hAnsi="Verdana" w:cs="Arial"/>
          <w:lang w:eastAsia="es-ES"/>
        </w:rPr>
      </w:pPr>
    </w:p>
    <w:p w14:paraId="7BDDB4C5" w14:textId="77777777" w:rsidR="00060BFB" w:rsidRDefault="00060BFB" w:rsidP="00060BFB">
      <w:pPr>
        <w:spacing w:after="0" w:line="276" w:lineRule="auto"/>
        <w:ind w:left="2124" w:firstLine="708"/>
        <w:rPr>
          <w:rFonts w:ascii="Verdana" w:eastAsia="Calibri" w:hAnsi="Verdana" w:cs="Arial"/>
          <w:b/>
          <w:bCs/>
          <w:color w:val="000000"/>
          <w:lang w:eastAsia="es-ES_tradnl"/>
        </w:rPr>
      </w:pPr>
    </w:p>
    <w:p w14:paraId="036CEF2B" w14:textId="50412071" w:rsidR="00060BFB" w:rsidRPr="00C15DD4" w:rsidRDefault="00060BFB" w:rsidP="00060BFB">
      <w:pPr>
        <w:spacing w:after="0" w:line="276" w:lineRule="auto"/>
        <w:ind w:left="2124" w:firstLine="708"/>
        <w:rPr>
          <w:rFonts w:ascii="Verdana" w:eastAsia="Calibri" w:hAnsi="Verdana" w:cs="Arial"/>
          <w:b/>
          <w:bCs/>
          <w:lang w:eastAsia="es-ES"/>
        </w:rPr>
      </w:pPr>
      <w:r w:rsidRPr="00C15DD4">
        <w:rPr>
          <w:rFonts w:ascii="Verdana" w:eastAsia="Calibri" w:hAnsi="Verdana" w:cs="Arial"/>
          <w:b/>
          <w:bCs/>
          <w:lang w:eastAsia="es-ES"/>
        </w:rPr>
        <w:t xml:space="preserve">Concepto C – </w:t>
      </w:r>
      <w:r>
        <w:rPr>
          <w:rFonts w:ascii="Verdana" w:eastAsia="Calibri" w:hAnsi="Verdana" w:cs="Arial"/>
          <w:b/>
          <w:bCs/>
          <w:lang w:eastAsia="es-ES"/>
        </w:rPr>
        <w:t>0</w:t>
      </w:r>
      <w:r w:rsidRPr="00C15DD4">
        <w:rPr>
          <w:rFonts w:ascii="Verdana" w:eastAsia="Calibri" w:hAnsi="Verdana" w:cs="Arial"/>
          <w:b/>
          <w:bCs/>
          <w:lang w:eastAsia="es-ES"/>
        </w:rPr>
        <w:t>0</w:t>
      </w:r>
      <w:r>
        <w:rPr>
          <w:rFonts w:ascii="Verdana" w:eastAsia="Calibri" w:hAnsi="Verdana" w:cs="Arial"/>
          <w:b/>
          <w:bCs/>
          <w:lang w:eastAsia="es-ES"/>
        </w:rPr>
        <w:t>17</w:t>
      </w:r>
      <w:r w:rsidRPr="00C15DD4">
        <w:rPr>
          <w:rFonts w:ascii="Verdana" w:eastAsia="Calibri" w:hAnsi="Verdana" w:cs="Arial"/>
          <w:b/>
          <w:bCs/>
          <w:lang w:eastAsia="es-ES"/>
        </w:rPr>
        <w:t xml:space="preserve"> de 20</w:t>
      </w:r>
      <w:r w:rsidR="0064584A">
        <w:rPr>
          <w:rFonts w:ascii="Verdana" w:eastAsia="Calibri" w:hAnsi="Verdana" w:cs="Arial"/>
          <w:b/>
          <w:bCs/>
          <w:lang w:eastAsia="es-ES"/>
        </w:rPr>
        <w:t>2</w:t>
      </w:r>
      <w:r w:rsidRPr="00C15DD4">
        <w:rPr>
          <w:rFonts w:ascii="Verdana" w:eastAsia="Calibri" w:hAnsi="Verdana" w:cs="Arial"/>
          <w:b/>
          <w:bCs/>
          <w:lang w:eastAsia="es-ES"/>
        </w:rPr>
        <w:t>6</w:t>
      </w:r>
    </w:p>
    <w:p w14:paraId="051FF301" w14:textId="77777777" w:rsidR="00060BFB" w:rsidRPr="00C15DD4" w:rsidRDefault="00060BFB" w:rsidP="00060BFB">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60BFB" w:rsidRPr="00C15DD4" w14:paraId="5126B504" w14:textId="77777777" w:rsidTr="00A209C6">
        <w:trPr>
          <w:trHeight w:val="884"/>
        </w:trPr>
        <w:tc>
          <w:tcPr>
            <w:tcW w:w="2689" w:type="dxa"/>
          </w:tcPr>
          <w:p w14:paraId="35BA318D" w14:textId="77777777" w:rsidR="00060BFB" w:rsidRPr="00C15DD4" w:rsidRDefault="00060BFB" w:rsidP="00A209C6">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430BACF0" w14:textId="77777777" w:rsidR="00060BFB" w:rsidRDefault="00060BFB" w:rsidP="00A209C6">
            <w:pPr>
              <w:jc w:val="both"/>
              <w:rPr>
                <w:rFonts w:ascii="Arial" w:eastAsia="Calibri" w:hAnsi="Arial" w:cs="Arial"/>
                <w:bCs/>
                <w:color w:val="000000" w:themeColor="text1"/>
              </w:rPr>
            </w:pPr>
            <w:r w:rsidRPr="00E80A33">
              <w:rPr>
                <w:rFonts w:ascii="Verdana" w:eastAsia="Calibri" w:hAnsi="Verdana" w:cs="Arial"/>
                <w:lang w:eastAsia="es-ES"/>
              </w:rPr>
              <w:t xml:space="preserve">CONTRATO DE PRESTACIÓN DE SERVICIOS – Concepto </w:t>
            </w:r>
            <w:r w:rsidRPr="00C15DAA">
              <w:rPr>
                <w:rFonts w:ascii="Verdana" w:eastAsia="Calibri" w:hAnsi="Verdana" w:cs="Arial"/>
                <w:lang w:eastAsia="es-ES"/>
              </w:rPr>
              <w:t>/ CONTRATO DE PRESTACIÓN DE SERVICIOS – Condiciones del pago de honorarios / SUPERVISIÓN – Noción ‒ Ley 1474 de 2011</w:t>
            </w:r>
            <w:r w:rsidRPr="00A945B9">
              <w:rPr>
                <w:rFonts w:ascii="Arial" w:eastAsia="Calibri" w:hAnsi="Arial" w:cs="Arial"/>
                <w:bCs/>
              </w:rPr>
              <w:t xml:space="preserve"> </w:t>
            </w:r>
          </w:p>
          <w:p w14:paraId="31F64E4D" w14:textId="77777777" w:rsidR="00060BFB" w:rsidRPr="00C15DD4" w:rsidRDefault="00060BFB" w:rsidP="00A209C6">
            <w:pPr>
              <w:jc w:val="both"/>
              <w:rPr>
                <w:rFonts w:ascii="Verdana" w:eastAsia="Calibri" w:hAnsi="Verdana" w:cs="Arial"/>
                <w:lang w:eastAsia="es-ES"/>
              </w:rPr>
            </w:pPr>
          </w:p>
        </w:tc>
      </w:tr>
      <w:tr w:rsidR="00060BFB" w:rsidRPr="00C15DD4" w14:paraId="40754FB0" w14:textId="77777777" w:rsidTr="00A209C6">
        <w:tc>
          <w:tcPr>
            <w:tcW w:w="2689" w:type="dxa"/>
          </w:tcPr>
          <w:p w14:paraId="54FB3A83" w14:textId="77777777" w:rsidR="00060BFB" w:rsidRPr="00C15DD4" w:rsidRDefault="00060BFB" w:rsidP="00A209C6">
            <w:pPr>
              <w:spacing w:line="276" w:lineRule="auto"/>
              <w:jc w:val="both"/>
              <w:rPr>
                <w:rFonts w:ascii="Verdana" w:eastAsia="Calibri" w:hAnsi="Verdana" w:cs="Arial"/>
                <w:b/>
                <w:lang w:eastAsia="es-ES_tradnl"/>
              </w:rPr>
            </w:pPr>
            <w:r>
              <w:rPr>
                <w:rFonts w:ascii="Verdana" w:eastAsia="Calibri" w:hAnsi="Verdana" w:cs="Arial"/>
                <w:b/>
                <w:lang w:eastAsia="es-ES_tradnl"/>
              </w:rPr>
              <w:t xml:space="preserve"> </w:t>
            </w: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4500882F" w14:textId="77777777" w:rsidR="00060BFB" w:rsidRPr="00C15DD4" w:rsidRDefault="00060BFB" w:rsidP="00A209C6">
            <w:pPr>
              <w:spacing w:line="276" w:lineRule="auto"/>
              <w:jc w:val="both"/>
              <w:rPr>
                <w:rFonts w:ascii="Verdana" w:eastAsia="Calibri" w:hAnsi="Verdana" w:cs="Arial"/>
                <w:lang w:eastAsia="es-ES_tradnl"/>
              </w:rPr>
            </w:pPr>
            <w:r w:rsidRPr="00C15DD4">
              <w:rPr>
                <w:rFonts w:ascii="Verdana" w:eastAsia="Calibri" w:hAnsi="Verdana" w:cs="Arial"/>
                <w:lang w:eastAsia="es-ES_tradnl"/>
              </w:rPr>
              <w:t>Respuesta a consultas con radicado No. 1_2026_01_02_000</w:t>
            </w:r>
            <w:r>
              <w:rPr>
                <w:rFonts w:ascii="Verdana" w:eastAsia="Calibri" w:hAnsi="Verdana" w:cs="Arial"/>
                <w:lang w:eastAsia="es-ES_tradnl"/>
              </w:rPr>
              <w:t>112</w:t>
            </w:r>
          </w:p>
        </w:tc>
      </w:tr>
    </w:tbl>
    <w:p w14:paraId="6F7ED9E4" w14:textId="77777777" w:rsidR="00060BFB" w:rsidRPr="00C15DD4" w:rsidRDefault="00060BFB" w:rsidP="00060BFB">
      <w:pPr>
        <w:spacing w:after="0" w:line="276" w:lineRule="auto"/>
        <w:jc w:val="both"/>
        <w:rPr>
          <w:rFonts w:ascii="Verdana" w:eastAsia="Calibri" w:hAnsi="Verdana" w:cs="Arial"/>
          <w:color w:val="000000"/>
          <w:lang w:eastAsia="es-ES_tradnl"/>
        </w:rPr>
      </w:pPr>
    </w:p>
    <w:p w14:paraId="707A008D" w14:textId="77777777" w:rsidR="00060BFB" w:rsidRPr="00C15DD4" w:rsidRDefault="00060BFB" w:rsidP="00060BFB">
      <w:pPr>
        <w:spacing w:after="0" w:line="276" w:lineRule="auto"/>
        <w:jc w:val="both"/>
        <w:rPr>
          <w:rFonts w:ascii="Verdana" w:eastAsia="Calibri" w:hAnsi="Verdana" w:cs="Arial"/>
          <w:color w:val="000000"/>
          <w:lang w:eastAsia="es-ES_tradnl"/>
        </w:rPr>
      </w:pPr>
    </w:p>
    <w:p w14:paraId="137423D3" w14:textId="26ADAFB5" w:rsidR="00060BFB" w:rsidRPr="00C15DD4" w:rsidRDefault="00060BFB" w:rsidP="00060BFB">
      <w:pPr>
        <w:spacing w:after="0" w:line="276" w:lineRule="auto"/>
        <w:jc w:val="both"/>
        <w:rPr>
          <w:rFonts w:ascii="Verdana" w:eastAsia="Calibri" w:hAnsi="Verdana" w:cs="Arial"/>
          <w:lang w:eastAsia="es-ES"/>
        </w:rPr>
      </w:pPr>
      <w:r w:rsidRPr="00C15DD4">
        <w:rPr>
          <w:rFonts w:ascii="Verdana" w:eastAsia="Calibri" w:hAnsi="Verdana" w:cs="Arial"/>
          <w:lang w:eastAsia="es-ES"/>
        </w:rPr>
        <w:t xml:space="preserve">Estimado </w:t>
      </w:r>
      <w:r w:rsidR="00632515">
        <w:rPr>
          <w:rFonts w:ascii="Verdana" w:eastAsia="Calibri" w:hAnsi="Verdana" w:cs="Arial"/>
          <w:lang w:eastAsia="es-ES"/>
        </w:rPr>
        <w:t>señor Bernal:</w:t>
      </w:r>
    </w:p>
    <w:p w14:paraId="698F2034" w14:textId="77777777" w:rsidR="00060BFB" w:rsidRPr="00C15DD4" w:rsidRDefault="00060BFB" w:rsidP="00060BFB">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32D360D4" w14:textId="77777777" w:rsidR="00060BFB" w:rsidRPr="00C15DD4" w:rsidRDefault="00060BFB" w:rsidP="00060BFB">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la Agencia Nacional de Contratación Pública – Colombia Compra Eficiente responde su solicitud de concepto del 0</w:t>
      </w:r>
      <w:r>
        <w:rPr>
          <w:rFonts w:ascii="Verdana" w:eastAsia="Calibri" w:hAnsi="Verdana" w:cs="Arial"/>
          <w:color w:val="000000"/>
          <w:lang w:eastAsia="es-ES"/>
        </w:rPr>
        <w:t>6</w:t>
      </w:r>
      <w:r w:rsidRPr="00C15DD4">
        <w:rPr>
          <w:rFonts w:ascii="Verdana" w:eastAsia="Calibri" w:hAnsi="Verdana" w:cs="Arial"/>
          <w:color w:val="000000"/>
          <w:lang w:eastAsia="es-ES"/>
        </w:rPr>
        <w:t xml:space="preserve"> de enero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2" w:name="_Hlk95313578"/>
    </w:p>
    <w:p w14:paraId="72367B1B" w14:textId="77777777" w:rsidR="00060BFB" w:rsidRPr="00C15DD4" w:rsidRDefault="00060BFB" w:rsidP="00060BFB">
      <w:pPr>
        <w:spacing w:after="0" w:line="276" w:lineRule="auto"/>
        <w:jc w:val="both"/>
        <w:rPr>
          <w:rFonts w:ascii="Verdana" w:eastAsia="Calibri" w:hAnsi="Verdana" w:cs="Arial"/>
          <w:i/>
          <w:iCs/>
          <w:lang w:eastAsia="es-ES"/>
        </w:rPr>
      </w:pPr>
    </w:p>
    <w:p w14:paraId="20EA274B" w14:textId="7B721054" w:rsidR="00060BFB" w:rsidRPr="00397228" w:rsidRDefault="00060BFB" w:rsidP="00397228">
      <w:pPr>
        <w:spacing w:after="0" w:line="240" w:lineRule="auto"/>
        <w:ind w:left="709" w:right="709"/>
        <w:jc w:val="both"/>
        <w:rPr>
          <w:rFonts w:ascii="Verdana" w:eastAsia="Aptos" w:hAnsi="Verdana" w:cs="Times New Roman"/>
          <w:kern w:val="2"/>
          <w:sz w:val="20"/>
          <w:szCs w:val="20"/>
          <w14:ligatures w14:val="standardContextual"/>
        </w:rPr>
      </w:pPr>
      <w:r w:rsidRPr="00397228">
        <w:rPr>
          <w:rFonts w:ascii="Verdana" w:eastAsia="Arial" w:hAnsi="Verdana" w:cs="Arial"/>
          <w:i/>
          <w:color w:val="000000"/>
          <w:sz w:val="20"/>
          <w:szCs w:val="20"/>
        </w:rPr>
        <w:t>“</w:t>
      </w:r>
      <w:bookmarkEnd w:id="2"/>
      <w:r w:rsidR="00AE716B" w:rsidRPr="00397228">
        <w:rPr>
          <w:rFonts w:ascii="Verdana" w:eastAsia="Arial" w:hAnsi="Verdana" w:cs="Arial"/>
          <w:iCs/>
          <w:color w:val="000000"/>
          <w:sz w:val="20"/>
          <w:szCs w:val="20"/>
        </w:rPr>
        <w:t>[…]</w:t>
      </w:r>
      <w:r w:rsidR="00211EA0" w:rsidRPr="00397228">
        <w:rPr>
          <w:rFonts w:ascii="Verdana" w:eastAsia="Arial" w:hAnsi="Verdana" w:cs="Arial"/>
          <w:iCs/>
          <w:color w:val="000000"/>
          <w:sz w:val="20"/>
          <w:szCs w:val="20"/>
        </w:rPr>
        <w:t xml:space="preserve"> </w:t>
      </w:r>
      <w:r w:rsidRPr="00397228">
        <w:rPr>
          <w:rFonts w:ascii="Verdana" w:eastAsia="Aptos" w:hAnsi="Verdana" w:cs="Times New Roman"/>
          <w:kern w:val="2"/>
          <w:sz w:val="20"/>
          <w:szCs w:val="20"/>
          <w14:ligatures w14:val="standardContextual"/>
        </w:rPr>
        <w:t>Si el pago de los honorarios se pactó por instalamentos según el avance de ejecución ¿el dinero pagado en cada instalamento, previa aprobación de la ejecución parcial, se considera dinero de libre disposición del contratista una vez lo recibe? Se resalta que la pregunta no tiene relación con la figura del anticipo, sino pago de honorarios por ejecución.</w:t>
      </w:r>
    </w:p>
    <w:p w14:paraId="51F223BD" w14:textId="62309F2F" w:rsidR="00060BFB" w:rsidRPr="00397228" w:rsidRDefault="00060BFB" w:rsidP="00397228">
      <w:pPr>
        <w:spacing w:after="0" w:line="240" w:lineRule="auto"/>
        <w:ind w:left="709" w:right="709"/>
        <w:jc w:val="both"/>
        <w:rPr>
          <w:rFonts w:ascii="Verdana" w:eastAsia="Aptos" w:hAnsi="Verdana" w:cs="Times New Roman"/>
          <w:kern w:val="2"/>
          <w:sz w:val="20"/>
          <w:szCs w:val="20"/>
          <w14:ligatures w14:val="standardContextual"/>
        </w:rPr>
      </w:pPr>
      <w:r w:rsidRPr="00397228">
        <w:rPr>
          <w:rFonts w:ascii="Verdana" w:eastAsia="Aptos" w:hAnsi="Verdana" w:cs="Times New Roman"/>
          <w:kern w:val="2"/>
          <w:sz w:val="20"/>
          <w:szCs w:val="20"/>
          <w14:ligatures w14:val="standardContextual"/>
        </w:rPr>
        <w:t>¿Qué alcance tiene la supervisión financiera por el contratante en un contrato de prestación de servicios?</w:t>
      </w:r>
    </w:p>
    <w:p w14:paraId="5151EC0A" w14:textId="63C1F539" w:rsidR="00060BFB" w:rsidRPr="00397228" w:rsidRDefault="00060BFB" w:rsidP="00397228">
      <w:pPr>
        <w:spacing w:after="0" w:line="240" w:lineRule="auto"/>
        <w:ind w:left="709" w:right="709"/>
        <w:jc w:val="both"/>
        <w:rPr>
          <w:rFonts w:ascii="Verdana" w:eastAsia="Aptos" w:hAnsi="Verdana" w:cs="Times New Roman"/>
          <w:kern w:val="2"/>
          <w:sz w:val="20"/>
          <w:szCs w:val="20"/>
          <w14:ligatures w14:val="standardContextual"/>
        </w:rPr>
      </w:pPr>
      <w:r w:rsidRPr="00397228">
        <w:rPr>
          <w:rFonts w:ascii="Verdana" w:eastAsia="Aptos" w:hAnsi="Verdana" w:cs="Times New Roman"/>
          <w:kern w:val="2"/>
          <w:sz w:val="20"/>
          <w:szCs w:val="20"/>
          <w14:ligatures w14:val="standardContextual"/>
        </w:rPr>
        <w:t>La supervisión del contratante ¿puede rechazar valores que el contratista pagó por IVA u otros impuestos asociados a la ejecución del contrato?:</w:t>
      </w:r>
      <w:r w:rsidRPr="00397228">
        <w:rPr>
          <w:rFonts w:ascii="Verdana" w:eastAsia="Calibri" w:hAnsi="Verdana" w:cs="Times New Roman"/>
          <w:sz w:val="20"/>
          <w:szCs w:val="20"/>
        </w:rPr>
        <w:t>”</w:t>
      </w:r>
      <w:r w:rsidR="00096AE1" w:rsidRPr="00397228">
        <w:rPr>
          <w:rFonts w:ascii="Verdana" w:eastAsia="Calibri" w:hAnsi="Verdana" w:cs="Times New Roman"/>
          <w:sz w:val="20"/>
          <w:szCs w:val="20"/>
        </w:rPr>
        <w:t xml:space="preserve"> [Sic]</w:t>
      </w:r>
    </w:p>
    <w:p w14:paraId="4ED9286E" w14:textId="77777777" w:rsidR="00060BFB" w:rsidRPr="00C15DD4" w:rsidRDefault="00060BFB" w:rsidP="00060BFB">
      <w:pPr>
        <w:spacing w:after="0" w:line="276" w:lineRule="auto"/>
        <w:ind w:right="709"/>
        <w:jc w:val="both"/>
        <w:rPr>
          <w:rFonts w:ascii="Verdana" w:eastAsia="Aptos" w:hAnsi="Verdana" w:cs="Times New Roman"/>
          <w:kern w:val="2"/>
          <w14:ligatures w14:val="standardContextual"/>
        </w:rPr>
      </w:pPr>
    </w:p>
    <w:p w14:paraId="7BF0D3E8" w14:textId="77777777" w:rsidR="00060BFB" w:rsidRPr="00C15DD4" w:rsidRDefault="00060BFB" w:rsidP="00060BFB">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60FE6437" w14:textId="77777777" w:rsidR="00060BFB" w:rsidRPr="00C15DD4" w:rsidRDefault="00060BFB" w:rsidP="0064584A">
      <w:pPr>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1A57726A" w14:textId="77777777" w:rsidR="00060BFB" w:rsidRPr="00C15DD4" w:rsidRDefault="00060BFB" w:rsidP="00060BFB">
      <w:pPr>
        <w:spacing w:after="0" w:line="276" w:lineRule="auto"/>
        <w:ind w:firstLine="709"/>
        <w:jc w:val="both"/>
        <w:rPr>
          <w:rFonts w:ascii="Verdana" w:eastAsia="Calibri" w:hAnsi="Verdana" w:cs="Arial"/>
          <w:color w:val="000000"/>
          <w:lang w:eastAsia="es-ES"/>
        </w:rPr>
      </w:pPr>
    </w:p>
    <w:p w14:paraId="27CD1D95" w14:textId="77777777" w:rsidR="00060BFB" w:rsidRPr="00C15DD4" w:rsidRDefault="00060BFB" w:rsidP="00060BFB">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C15DD4">
        <w:rPr>
          <w:rFonts w:ascii="Verdana" w:eastAsia="Century Gothic" w:hAnsi="Verdana" w:cs="Century Gothic"/>
          <w:b/>
          <w:bCs/>
        </w:rPr>
        <w:t>Problema planteado:</w:t>
      </w:r>
    </w:p>
    <w:p w14:paraId="02F4A524" w14:textId="77777777" w:rsidR="00060BFB" w:rsidRPr="00C15DD4" w:rsidRDefault="00060BFB" w:rsidP="00060BFB">
      <w:pPr>
        <w:tabs>
          <w:tab w:val="left" w:pos="426"/>
        </w:tabs>
        <w:spacing w:after="0" w:line="276" w:lineRule="auto"/>
        <w:jc w:val="both"/>
        <w:rPr>
          <w:rFonts w:ascii="Verdana" w:eastAsia="Century Gothic" w:hAnsi="Verdana" w:cs="Century Gothic"/>
        </w:rPr>
      </w:pPr>
    </w:p>
    <w:p w14:paraId="7E6FF88B" w14:textId="45A21C1B" w:rsidR="00060BFB" w:rsidRPr="00C15DD4" w:rsidRDefault="00060BFB" w:rsidP="00060BFB">
      <w:pPr>
        <w:snapToGrid w:val="0"/>
        <w:spacing w:after="0" w:line="276" w:lineRule="auto"/>
        <w:jc w:val="both"/>
        <w:rPr>
          <w:rFonts w:ascii="Verdana" w:eastAsia="Century Gothic" w:hAnsi="Verdana" w:cs="Arial"/>
        </w:rPr>
      </w:pPr>
      <w:r w:rsidRPr="00C15DD4">
        <w:rPr>
          <w:rFonts w:ascii="Verdana" w:eastAsia="Century Gothic" w:hAnsi="Verdana" w:cs="Century Gothic"/>
        </w:rPr>
        <w:t xml:space="preserve">De acuerdo con el contenido de su solicitud, esta Agencia resolverá los siguientes problemas jurídicos: </w:t>
      </w:r>
      <w:r>
        <w:rPr>
          <w:rFonts w:ascii="Verdana" w:eastAsia="Century Gothic" w:hAnsi="Verdana" w:cs="Century Gothic"/>
        </w:rPr>
        <w:t>i</w:t>
      </w:r>
      <w:r w:rsidRPr="007E3ABF">
        <w:rPr>
          <w:rFonts w:ascii="Verdana" w:eastAsia="Century Gothic" w:hAnsi="Verdana" w:cs="Century Gothic"/>
        </w:rPr>
        <w:t xml:space="preserve">. </w:t>
      </w:r>
      <w:r w:rsidRPr="007E3ABF">
        <w:rPr>
          <w:rFonts w:ascii="Verdana" w:eastAsia="Aptos" w:hAnsi="Verdana" w:cs="Times New Roman"/>
        </w:rPr>
        <w:t>¿Qué</w:t>
      </w:r>
      <w:r>
        <w:rPr>
          <w:rFonts w:ascii="Verdana" w:eastAsia="Aptos" w:hAnsi="Verdana" w:cs="Times New Roman"/>
        </w:rPr>
        <w:t xml:space="preserve"> aspectos debe tener en cuenta una entidad estatal para fijar el valor de un contrato y sus formas de pago?  </w:t>
      </w:r>
      <w:proofErr w:type="spellStart"/>
      <w:r>
        <w:rPr>
          <w:rFonts w:ascii="Verdana" w:eastAsia="Aptos" w:hAnsi="Verdana" w:cs="Times New Roman"/>
        </w:rPr>
        <w:t>ii</w:t>
      </w:r>
      <w:proofErr w:type="spellEnd"/>
      <w:r>
        <w:rPr>
          <w:rFonts w:ascii="Verdana" w:eastAsia="Aptos" w:hAnsi="Verdana" w:cs="Times New Roman"/>
        </w:rPr>
        <w:t>. ¿Cuál es el alcance de la supervisión en un contrato de prestación de servicios?</w:t>
      </w:r>
    </w:p>
    <w:p w14:paraId="289EDB9E" w14:textId="77777777" w:rsidR="00060BFB" w:rsidRPr="00C15DD4" w:rsidRDefault="00060BFB" w:rsidP="00060BFB">
      <w:pPr>
        <w:snapToGrid w:val="0"/>
        <w:spacing w:after="0" w:line="276" w:lineRule="auto"/>
        <w:jc w:val="both"/>
        <w:rPr>
          <w:rFonts w:ascii="Verdana" w:eastAsia="Calibri" w:hAnsi="Verdana" w:cs="Arial"/>
          <w:color w:val="7030A0"/>
        </w:rPr>
      </w:pPr>
    </w:p>
    <w:p w14:paraId="715C1530" w14:textId="77777777" w:rsidR="00060BFB" w:rsidRPr="00C15DD4" w:rsidRDefault="00060BFB" w:rsidP="00060BFB">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C15DD4">
        <w:rPr>
          <w:rFonts w:ascii="Verdana" w:eastAsia="Century Gothic" w:hAnsi="Verdana" w:cs="Century Gothic"/>
          <w:b/>
          <w:bCs/>
        </w:rPr>
        <w:t>Respuestas:</w:t>
      </w:r>
    </w:p>
    <w:p w14:paraId="74A5B5A4" w14:textId="77777777" w:rsidR="00060BFB" w:rsidRPr="00C15DD4" w:rsidRDefault="00060BFB" w:rsidP="00060BF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60BFB" w:rsidRPr="00C15DD4" w14:paraId="4D8E3082" w14:textId="77777777" w:rsidTr="00A209C6">
        <w:trPr>
          <w:jc w:val="center"/>
        </w:trPr>
        <w:tc>
          <w:tcPr>
            <w:tcW w:w="8828" w:type="dxa"/>
          </w:tcPr>
          <w:p w14:paraId="28FE7E31" w14:textId="3642FD22" w:rsidR="00785AC4" w:rsidRPr="00BF17A5" w:rsidRDefault="00E77FC3" w:rsidP="005E3D92">
            <w:pPr>
              <w:spacing w:after="120" w:line="276" w:lineRule="auto"/>
              <w:jc w:val="both"/>
              <w:rPr>
                <w:rFonts w:ascii="Verdana" w:hAnsi="Verdana" w:cs="Arial"/>
                <w:bCs/>
                <w:lang w:val="es-ES"/>
              </w:rPr>
            </w:pPr>
            <w:bookmarkStart w:id="3" w:name="_Hlk171694685"/>
            <w:r>
              <w:rPr>
                <w:rFonts w:ascii="Verdana" w:hAnsi="Verdana" w:cs="Arial"/>
                <w:lang w:val="es-ES"/>
              </w:rPr>
              <w:t xml:space="preserve">i. </w:t>
            </w:r>
            <w:r w:rsidRPr="00794C2C">
              <w:rPr>
                <w:rFonts w:ascii="Verdana" w:hAnsi="Verdana" w:cs="Arial"/>
                <w:lang w:val="es-ES"/>
              </w:rPr>
              <w:t xml:space="preserve">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w:t>
            </w:r>
            <w:r w:rsidRPr="00794C2C">
              <w:rPr>
                <w:rFonts w:ascii="Verdana" w:hAnsi="Verdana" w:cs="Arial"/>
                <w:lang w:val="es-ES"/>
              </w:rPr>
              <w:lastRenderedPageBreak/>
              <w:t>contrato, pues hay algunas modalidades más comunes en los de obra pública; otras más utilizadas en los de prestación de servicios y otras más indicadas para los de concesión, por mencionar algunos ejemplos</w:t>
            </w:r>
            <w:r w:rsidRPr="00794C2C">
              <w:rPr>
                <w:rStyle w:val="Refdenotaalpie"/>
                <w:rFonts w:ascii="Verdana" w:hAnsi="Verdana" w:cs="Arial"/>
                <w:lang w:val="es-ES"/>
              </w:rPr>
              <w:footnoteReference w:id="1"/>
            </w:r>
            <w:r w:rsidRPr="00794C2C">
              <w:rPr>
                <w:rFonts w:ascii="Verdana" w:hAnsi="Verdana" w:cs="Arial"/>
                <w:lang w:val="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794C2C">
              <w:rPr>
                <w:rFonts w:ascii="Verdana" w:hAnsi="Verdana" w:cs="Arial"/>
                <w:lang w:val="es-ES"/>
              </w:rPr>
              <w:t>ii</w:t>
            </w:r>
            <w:proofErr w:type="spellEnd"/>
            <w:r w:rsidRPr="00794C2C">
              <w:rPr>
                <w:rFonts w:ascii="Verdana" w:hAnsi="Verdana" w:cs="Arial"/>
                <w:lang w:val="es-ES"/>
              </w:rPr>
              <w:t xml:space="preserve">) el precio global –que equivale al monto total, sin discriminar unidades–, y </w:t>
            </w:r>
            <w:proofErr w:type="spellStart"/>
            <w:r w:rsidRPr="00794C2C">
              <w:rPr>
                <w:rFonts w:ascii="Verdana" w:hAnsi="Verdana" w:cs="Arial"/>
                <w:lang w:val="es-ES"/>
              </w:rPr>
              <w:t>iii</w:t>
            </w:r>
            <w:proofErr w:type="spellEnd"/>
            <w:r w:rsidRPr="00794C2C">
              <w:rPr>
                <w:rFonts w:ascii="Verdana" w:hAnsi="Verdana" w:cs="Arial"/>
                <w:lang w:val="es-ES"/>
              </w:rPr>
              <w:t>) la administración delegada de recursos –en la que se distinguen los costos de inversión de los honorarios del administrador–.</w:t>
            </w:r>
          </w:p>
          <w:p w14:paraId="484702F5" w14:textId="2479545A" w:rsidR="00151D37" w:rsidRPr="005A34C9" w:rsidRDefault="006B07A7" w:rsidP="005E3D92">
            <w:pPr>
              <w:spacing w:after="120" w:line="276" w:lineRule="auto"/>
              <w:jc w:val="both"/>
              <w:rPr>
                <w:rFonts w:ascii="Verdana" w:hAnsi="Verdana"/>
              </w:rPr>
            </w:pPr>
            <w:r>
              <w:rPr>
                <w:rFonts w:ascii="Verdana" w:eastAsia="Calibri" w:hAnsi="Verdana" w:cs="Times New Roman"/>
                <w:lang w:val="es-ES"/>
              </w:rPr>
              <w:t>Finalmente, es de precisar que el análisis</w:t>
            </w:r>
            <w:r w:rsidRPr="00DB4737">
              <w:rPr>
                <w:rFonts w:ascii="Verdana" w:eastAsia="Calibri" w:hAnsi="Verdana" w:cs="Times New Roman"/>
                <w:lang w:val="es-ES"/>
              </w:rPr>
              <w:t xml:space="preserve"> para resolver problemas específicos en </w:t>
            </w:r>
            <w:r w:rsidRPr="00EB77EF">
              <w:rPr>
                <w:rFonts w:ascii="Verdana" w:eastAsia="Calibri" w:hAnsi="Verdana" w:cs="Times New Roman"/>
                <w:lang w:val="es-ES"/>
              </w:rPr>
              <w:t xml:space="preserve">torno a </w:t>
            </w:r>
            <w:r w:rsidRPr="00EB77EF">
              <w:rPr>
                <w:rFonts w:ascii="Verdana" w:eastAsia="Century Gothic" w:hAnsi="Verdana" w:cs="Century Gothic"/>
              </w:rPr>
              <w:t>los</w:t>
            </w:r>
            <w:r w:rsidRPr="00C17F27">
              <w:rPr>
                <w:rFonts w:ascii="Verdana" w:eastAsia="Century Gothic" w:hAnsi="Verdana" w:cs="Century Gothic"/>
              </w:rPr>
              <w:t xml:space="preserve"> procesos de contratación</w:t>
            </w:r>
            <w:r>
              <w:rPr>
                <w:rFonts w:ascii="Verdana" w:eastAsia="Century Gothic" w:hAnsi="Verdana" w:cs="Century Gothic"/>
              </w:rPr>
              <w:t>, así como la estructuración de la forma de pago</w:t>
            </w:r>
            <w:r w:rsidRPr="00C17F27">
              <w:rPr>
                <w:rFonts w:ascii="Verdana" w:eastAsia="Century Gothic" w:hAnsi="Verdana" w:cs="Century Gothic"/>
              </w:rPr>
              <w:t xml:space="preserve"> bajo la modalidad de monto agotable</w:t>
            </w:r>
            <w:r>
              <w:rPr>
                <w:rFonts w:ascii="Verdana" w:eastAsia="Century Gothic" w:hAnsi="Verdana" w:cs="Century Gothic"/>
              </w:rPr>
              <w:t>,</w:t>
            </w:r>
            <w:r w:rsidRPr="00C17F27">
              <w:rPr>
                <w:rFonts w:ascii="Verdana" w:eastAsia="Century Gothic" w:hAnsi="Verdana" w:cs="Century Gothic"/>
              </w:rPr>
              <w:t xml:space="preserve"> </w:t>
            </w:r>
            <w:r w:rsidRPr="00DB4737">
              <w:rPr>
                <w:rFonts w:ascii="Verdana" w:eastAsia="Calibri" w:hAnsi="Verdana" w:cs="Times New Roman"/>
                <w:lang w:val="es-ES"/>
              </w:rPr>
              <w:t>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810813" w:rsidRPr="00843FED">
              <w:rPr>
                <w:rFonts w:ascii="Verdana" w:eastAsia="Calibri" w:hAnsi="Verdana" w:cs="Arial"/>
              </w:rPr>
              <w:t xml:space="preserve"> </w:t>
            </w:r>
          </w:p>
          <w:p w14:paraId="28DA097D" w14:textId="2E1BEEBF" w:rsidR="00D16777" w:rsidRPr="00644ABD" w:rsidRDefault="006B07A7" w:rsidP="00D16777">
            <w:pPr>
              <w:spacing w:after="120" w:line="276" w:lineRule="auto"/>
              <w:jc w:val="both"/>
              <w:rPr>
                <w:rFonts w:ascii="Verdana" w:eastAsia="Times New Roman" w:hAnsi="Verdana" w:cs="Arial"/>
                <w:i/>
                <w:lang w:val="es-ES" w:eastAsia="es-ES"/>
              </w:rPr>
            </w:pPr>
            <w:proofErr w:type="spellStart"/>
            <w:r>
              <w:rPr>
                <w:rFonts w:ascii="Verdana" w:hAnsi="Verdana"/>
              </w:rPr>
              <w:lastRenderedPageBreak/>
              <w:t>ii</w:t>
            </w:r>
            <w:proofErr w:type="spellEnd"/>
            <w:r>
              <w:rPr>
                <w:rFonts w:ascii="Verdana" w:hAnsi="Verdana"/>
              </w:rPr>
              <w:t xml:space="preserve">. Ahora, </w:t>
            </w:r>
            <w:proofErr w:type="gramStart"/>
            <w:r>
              <w:rPr>
                <w:rFonts w:ascii="Verdana" w:hAnsi="Verdana"/>
              </w:rPr>
              <w:t>en relación al</w:t>
            </w:r>
            <w:proofErr w:type="gramEnd"/>
            <w:r>
              <w:rPr>
                <w:rFonts w:ascii="Verdana" w:hAnsi="Verdana"/>
              </w:rPr>
              <w:t xml:space="preserve"> segundo problema jurídico,</w:t>
            </w:r>
            <w:r w:rsidR="00BF17A5">
              <w:rPr>
                <w:rFonts w:ascii="Verdana" w:hAnsi="Verdana"/>
              </w:rPr>
              <w:t xml:space="preserve"> </w:t>
            </w:r>
            <w:r w:rsidR="005E3D92">
              <w:rPr>
                <w:rFonts w:ascii="Verdana" w:hAnsi="Verdana"/>
              </w:rPr>
              <w:t>d</w:t>
            </w:r>
            <w:proofErr w:type="spellStart"/>
            <w:r w:rsidR="00D16777" w:rsidRPr="002534C3">
              <w:rPr>
                <w:rFonts w:ascii="Verdana" w:hAnsi="Verdana" w:cs="Arial"/>
                <w:lang w:val="es-ES" w:eastAsia="es-ES"/>
              </w:rPr>
              <w:t>e</w:t>
            </w:r>
            <w:proofErr w:type="spellEnd"/>
            <w:r w:rsidR="00D16777" w:rsidRPr="002534C3">
              <w:rPr>
                <w:rFonts w:ascii="Verdana" w:hAnsi="Verdana" w:cs="Arial"/>
                <w:lang w:val="es-ES" w:eastAsia="es-ES"/>
              </w:rPr>
              <w:t xml:space="preserv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r w:rsidR="00D16777">
              <w:rPr>
                <w:rFonts w:ascii="Verdana" w:hAnsi="Verdana" w:cs="Arial"/>
                <w:lang w:val="es-ES" w:eastAsia="es-ES"/>
              </w:rPr>
              <w:t xml:space="preserve"> </w:t>
            </w:r>
            <w:r w:rsidR="00D16777" w:rsidRPr="00644ABD">
              <w:rPr>
                <w:rFonts w:ascii="Verdana" w:eastAsia="Times New Roman" w:hAnsi="Verdana" w:cs="Arial"/>
                <w:i/>
                <w:lang w:val="es-ES" w:eastAsia="es-ES"/>
              </w:rPr>
              <w:t xml:space="preserve">“La supervisión consistirá en el seguimiento técnico, administrativo, financiero, contable, y jurídico </w:t>
            </w:r>
            <w:proofErr w:type="gramStart"/>
            <w:r w:rsidR="00D16777" w:rsidRPr="00644ABD">
              <w:rPr>
                <w:rFonts w:ascii="Verdana" w:eastAsia="Times New Roman" w:hAnsi="Verdana" w:cs="Arial"/>
                <w:i/>
                <w:lang w:val="es-ES" w:eastAsia="es-ES"/>
              </w:rPr>
              <w:t>que</w:t>
            </w:r>
            <w:proofErr w:type="gramEnd"/>
            <w:r w:rsidR="00D16777" w:rsidRPr="00644ABD">
              <w:rPr>
                <w:rFonts w:ascii="Verdana" w:eastAsia="Times New Roman" w:hAnsi="Verdana" w:cs="Arial"/>
                <w:i/>
                <w:lang w:val="es-ES" w:eastAsia="es-ES"/>
              </w:rPr>
              <w:t xml:space="preserve"> sobre el cumplimiento del objeto del contrato, es ejercida por la misma entidad estatal cuando no requieren conocimientos</w:t>
            </w:r>
            <w:r w:rsidR="00D16777" w:rsidRPr="00644ABD">
              <w:rPr>
                <w:rFonts w:ascii="Verdana" w:hAnsi="Verdana" w:cs="Arial"/>
                <w:lang w:val="es-ES" w:eastAsia="es-ES"/>
              </w:rPr>
              <w:t xml:space="preserve"> </w:t>
            </w:r>
            <w:r w:rsidR="00D16777" w:rsidRPr="00644ABD">
              <w:rPr>
                <w:rFonts w:ascii="Verdana" w:eastAsia="Times New Roman" w:hAnsi="Verdana" w:cs="Arial"/>
                <w:i/>
                <w:lang w:val="es-ES" w:eastAsia="es-ES"/>
              </w:rPr>
              <w:t>especializados. Para la supervisión, la Entidad estatal podrá contratar personal de apoyo, a través de los contratos de prestación de servicios que sean requeridos</w:t>
            </w:r>
            <w:r w:rsidR="00D16777" w:rsidRPr="00644ABD">
              <w:rPr>
                <w:rFonts w:ascii="Verdana" w:eastAsia="Times New Roman" w:hAnsi="Verdana" w:cs="Arial"/>
                <w:lang w:val="es-ES" w:eastAsia="es-ES"/>
              </w:rPr>
              <w:t>”</w:t>
            </w:r>
            <w:r w:rsidR="00D16777" w:rsidRPr="00644ABD">
              <w:rPr>
                <w:rFonts w:ascii="Verdana" w:eastAsia="Times New Roman" w:hAnsi="Verdana" w:cs="Arial"/>
                <w:i/>
                <w:lang w:val="es-ES" w:eastAsia="es-ES"/>
              </w:rPr>
              <w:t>.</w:t>
            </w:r>
          </w:p>
          <w:p w14:paraId="4FAAC6EB" w14:textId="77777777" w:rsidR="00D16777" w:rsidRPr="0027034B" w:rsidRDefault="00D16777" w:rsidP="005E3D92">
            <w:pPr>
              <w:spacing w:after="120" w:line="276" w:lineRule="auto"/>
              <w:jc w:val="both"/>
              <w:rPr>
                <w:rFonts w:ascii="Verdana" w:hAnsi="Verdana" w:cs="Arial"/>
                <w:lang w:val="es-ES_tradnl" w:eastAsia="es-ES"/>
              </w:rPr>
            </w:pPr>
            <w:r w:rsidRPr="0027034B">
              <w:rPr>
                <w:rFonts w:ascii="Verdana" w:hAnsi="Verdana" w:cs="Arial"/>
                <w:lang w:val="es-ES_tradnl" w:eastAsia="es-ES"/>
              </w:rPr>
              <w:t>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04EB6978" w14:textId="4C26DCEE" w:rsidR="00116BCB" w:rsidRPr="00116BCB" w:rsidRDefault="00D16777" w:rsidP="005E3D92">
            <w:pPr>
              <w:spacing w:after="120" w:line="276" w:lineRule="auto"/>
              <w:jc w:val="both"/>
              <w:rPr>
                <w:rFonts w:ascii="Verdana" w:hAnsi="Verdana" w:cs="Arial"/>
                <w:lang w:val="es-ES_tradnl" w:eastAsia="es-ES"/>
              </w:rPr>
            </w:pPr>
            <w:r w:rsidRPr="00116BCB">
              <w:rPr>
                <w:rFonts w:ascii="Verdana" w:hAnsi="Verdana" w:cs="Arial"/>
                <w:lang w:val="es-ES_tradnl" w:eastAsia="es-ES"/>
              </w:rPr>
              <w:t>Por tanto, nada obsta para que el ordenador del gasto sea el supervisor de un contrato, ya que es su responsabilidad, o que decida designar un supervisor, siempre y cuando se garantice la adecuada vigilancia del contratista, para hacer el correcto seguimiento técnico, administrativo, financiero, contable, y jurídico del contrato.</w:t>
            </w:r>
          </w:p>
          <w:p w14:paraId="7DED57E1" w14:textId="77777777" w:rsidR="005E3D92" w:rsidRDefault="00060BFB" w:rsidP="005E3D92">
            <w:pPr>
              <w:spacing w:after="120" w:line="276" w:lineRule="auto"/>
              <w:jc w:val="both"/>
              <w:rPr>
                <w:rFonts w:ascii="Verdana" w:hAnsi="Verdana"/>
              </w:rPr>
            </w:pPr>
            <w:r w:rsidRPr="00116BCB">
              <w:rPr>
                <w:rFonts w:ascii="Verdana" w:hAnsi="Verdana" w:cs="Arial"/>
                <w:lang w:val="es-ES_tradnl" w:eastAsia="es-ES"/>
              </w:rPr>
              <w:t>En ese sentido, la obligación general de vigilancia de la ejecución del contrato implica que los supervisores de la generalidad de contratos –incluso los de prestación de servicios– tienen el deber de aprobar o rechazar las entregas realizadas por el contratista</w:t>
            </w:r>
            <w:r w:rsidRPr="005A34C9">
              <w:rPr>
                <w:rFonts w:ascii="Verdana" w:hAnsi="Verdana"/>
              </w:rPr>
              <w:t xml:space="preserve">, según se ajusten o no a las condiciones pactadas. En todo caso, es importante que tales funciones sean concordantes con las obligaciones del respectivo contrato, por lo que en el marco de la autonomía que tiene la entidad para desarrollar el proceso de contratación, podría optar por realizar estipulaciones dentro del pliego de condiciones o la minuta del contrato tendientes a señalar actividades específicas cuyo desarrollo esté sujeto a mecanismos concretos de vigilancia por parte del supervisor, como, por ejemplo, el levantamiento de actas de las diferentes entregas que realice el contratista, la presentación de informes, la celebración de reuniones periódicas y, en general, las actuaciones que sean pertinentes para garantizar </w:t>
            </w:r>
            <w:r w:rsidRPr="005A34C9">
              <w:rPr>
                <w:rFonts w:ascii="Verdana" w:hAnsi="Verdana"/>
              </w:rPr>
              <w:lastRenderedPageBreak/>
              <w:t xml:space="preserve">la vigilancia de la debida ejecución del respectivo contrato estatal y el cumplimiento de sus objetivos.  </w:t>
            </w:r>
          </w:p>
          <w:p w14:paraId="5BB973C2" w14:textId="7FE7E29B" w:rsidR="00060BFB" w:rsidRPr="00116BCB" w:rsidRDefault="00060BFB" w:rsidP="005E3D92">
            <w:pPr>
              <w:spacing w:after="120" w:line="276" w:lineRule="auto"/>
              <w:jc w:val="both"/>
              <w:rPr>
                <w:rFonts w:ascii="Verdana" w:hAnsi="Verdana"/>
              </w:rPr>
            </w:pPr>
            <w:r w:rsidRPr="005A34C9">
              <w:rPr>
                <w:rFonts w:ascii="Verdana" w:hAnsi="Verdana"/>
              </w:rPr>
              <w:t xml:space="preserve">Precisado lo anterior, es importante indicar que, esta Agencia expidió la “Guía para el ejercicio de las funciones de supervisión e interventoría de los contratos suscritos por las Entidades Estatales”, </w:t>
            </w:r>
            <w:r>
              <w:rPr>
                <w:rFonts w:ascii="Verdana" w:hAnsi="Verdana"/>
              </w:rPr>
              <w:t xml:space="preserve">donde se </w:t>
            </w:r>
            <w:r w:rsidRPr="005A34C9">
              <w:rPr>
                <w:rFonts w:ascii="Verdana" w:hAnsi="Verdana"/>
              </w:rPr>
              <w:t>precisa que la supervisión es el seguimiento integral que debe realizar la entidad a la ejecución del contrato para asegurar que este cumpla con su propósito, lo cual exige una revisión constante de las prestaciones contractuales y de sus componentes técnicos, administrativos, financieros, contables y jurídicos</w:t>
            </w:r>
            <w:r w:rsidRPr="00116BCB">
              <w:rPr>
                <w:rFonts w:ascii="Verdana" w:hAnsi="Verdana"/>
              </w:rPr>
              <w:t xml:space="preserve">. </w:t>
            </w:r>
          </w:p>
          <w:p w14:paraId="70D4D9F4" w14:textId="6D8E84C5" w:rsidR="00060BFB" w:rsidRPr="004065A5" w:rsidRDefault="00060BFB" w:rsidP="005E3D92">
            <w:pPr>
              <w:spacing w:after="120" w:line="276" w:lineRule="auto"/>
              <w:jc w:val="both"/>
              <w:rPr>
                <w:rFonts w:ascii="Verdana" w:hAnsi="Verdana"/>
              </w:rPr>
            </w:pPr>
            <w:r w:rsidRPr="004065A5">
              <w:rPr>
                <w:rFonts w:ascii="Verdana" w:hAnsi="Verdana"/>
              </w:rPr>
              <w:t xml:space="preserve">En desarrollo de estas disposiciones, la </w:t>
            </w:r>
            <w:r w:rsidRPr="00116BCB">
              <w:rPr>
                <w:rFonts w:ascii="Verdana" w:hAnsi="Verdana"/>
              </w:rPr>
              <w:t>“</w:t>
            </w:r>
            <w:r w:rsidRPr="002B6A6A">
              <w:rPr>
                <w:rFonts w:ascii="Verdana" w:hAnsi="Verdana"/>
              </w:rPr>
              <w:t>Guía para el ejercicio de las funciones de supervisión e interventoría de los contratos suscritos por las Entidades Estatales”, e</w:t>
            </w:r>
            <w:r w:rsidRPr="004065A5">
              <w:rPr>
                <w:rFonts w:ascii="Verdana" w:hAnsi="Verdana"/>
              </w:rPr>
              <w:t>xpedida por Colombia Compra Eficiente, precisa que, en el ámbito financiero y contable, el supervisor o interventor debe ejercer control sobre las actuaciones del contratista y de la entidad en materia presupuestal, financiera y contable, lo cual comprende, entre otras, las siguientes funciones:</w:t>
            </w:r>
          </w:p>
          <w:p w14:paraId="30BA57C2" w14:textId="77777777" w:rsidR="00060BFB" w:rsidRPr="004065A5" w:rsidRDefault="00060BFB" w:rsidP="00060BFB">
            <w:pPr>
              <w:numPr>
                <w:ilvl w:val="0"/>
                <w:numId w:val="19"/>
              </w:numPr>
              <w:spacing w:line="276" w:lineRule="auto"/>
              <w:jc w:val="both"/>
              <w:rPr>
                <w:rFonts w:ascii="Verdana" w:hAnsi="Verdana"/>
              </w:rPr>
            </w:pPr>
            <w:r w:rsidRPr="004065A5">
              <w:rPr>
                <w:rFonts w:ascii="Verdana" w:hAnsi="Verdana"/>
              </w:rPr>
              <w:t>Realizar seguimiento a la gestión financiera del contrato, incluyendo el registro presupuestal, la planeación de los pagos y la disponibilidad de recursos.</w:t>
            </w:r>
          </w:p>
          <w:p w14:paraId="77C57987" w14:textId="77777777" w:rsidR="00060BFB" w:rsidRPr="004065A5" w:rsidRDefault="00060BFB" w:rsidP="00060BFB">
            <w:pPr>
              <w:numPr>
                <w:ilvl w:val="0"/>
                <w:numId w:val="19"/>
              </w:numPr>
              <w:spacing w:line="276" w:lineRule="auto"/>
              <w:jc w:val="both"/>
              <w:rPr>
                <w:rFonts w:ascii="Verdana" w:hAnsi="Verdana"/>
              </w:rPr>
            </w:pPr>
            <w:r w:rsidRPr="004065A5">
              <w:rPr>
                <w:rFonts w:ascii="Verdana" w:hAnsi="Verdana"/>
              </w:rPr>
              <w:t>Verificar los documentos requeridos para efectuar los pagos al contratista, incluido el recibo a satisfacción de los bienes o servicios contratados.</w:t>
            </w:r>
          </w:p>
          <w:p w14:paraId="6DD417E4" w14:textId="77777777" w:rsidR="00060BFB" w:rsidRPr="004065A5" w:rsidRDefault="00060BFB" w:rsidP="00060BFB">
            <w:pPr>
              <w:numPr>
                <w:ilvl w:val="0"/>
                <w:numId w:val="19"/>
              </w:numPr>
              <w:spacing w:line="276" w:lineRule="auto"/>
              <w:jc w:val="both"/>
              <w:rPr>
                <w:rFonts w:ascii="Verdana" w:hAnsi="Verdana"/>
              </w:rPr>
            </w:pPr>
            <w:r w:rsidRPr="004065A5">
              <w:rPr>
                <w:rFonts w:ascii="Verdana" w:hAnsi="Verdana"/>
              </w:rPr>
              <w:t>Documentar los pagos y los ajustes contractuales, y controlar el balance presupuestal para efectos de los desembolsos y de la liquidación del contrato.</w:t>
            </w:r>
          </w:p>
          <w:p w14:paraId="7CA57CBC" w14:textId="77777777" w:rsidR="00060BFB" w:rsidRPr="004065A5" w:rsidRDefault="00060BFB" w:rsidP="00060BFB">
            <w:pPr>
              <w:numPr>
                <w:ilvl w:val="0"/>
                <w:numId w:val="19"/>
              </w:numPr>
              <w:spacing w:line="276" w:lineRule="auto"/>
              <w:jc w:val="both"/>
              <w:rPr>
                <w:rFonts w:ascii="Verdana" w:hAnsi="Verdana"/>
              </w:rPr>
            </w:pPr>
            <w:r w:rsidRPr="004065A5">
              <w:rPr>
                <w:rFonts w:ascii="Verdana" w:hAnsi="Verdana"/>
              </w:rPr>
              <w:t>Verificar la entrega y adecuada amortización de los anticipos pactados, conforme a la ley y al contrato.</w:t>
            </w:r>
          </w:p>
          <w:p w14:paraId="73AF42B0" w14:textId="77777777" w:rsidR="00060BFB" w:rsidRPr="004065A5" w:rsidRDefault="00060BFB" w:rsidP="00060BFB">
            <w:pPr>
              <w:numPr>
                <w:ilvl w:val="0"/>
                <w:numId w:val="19"/>
              </w:numPr>
              <w:spacing w:line="276" w:lineRule="auto"/>
              <w:jc w:val="both"/>
              <w:rPr>
                <w:rFonts w:ascii="Verdana" w:hAnsi="Verdana"/>
              </w:rPr>
            </w:pPr>
            <w:r w:rsidRPr="004065A5">
              <w:rPr>
                <w:rFonts w:ascii="Verdana" w:hAnsi="Verdana"/>
              </w:rPr>
              <w:t>Constatar que las actividades adicionales que impliquen incremento del valor o modificación del objeto contractual cuenten con la debida autorización y justificación técnica, presupuestal y jurídica.</w:t>
            </w:r>
          </w:p>
          <w:p w14:paraId="2E79FD77" w14:textId="358CC7FE" w:rsidR="00116BCB" w:rsidRPr="005E3D92" w:rsidRDefault="00060BFB" w:rsidP="005E3D92">
            <w:pPr>
              <w:pStyle w:val="Prrafodelista"/>
              <w:numPr>
                <w:ilvl w:val="0"/>
                <w:numId w:val="19"/>
              </w:numPr>
              <w:spacing w:after="120" w:line="276" w:lineRule="auto"/>
              <w:jc w:val="both"/>
              <w:rPr>
                <w:rFonts w:ascii="Verdana" w:hAnsi="Verdana"/>
              </w:rPr>
            </w:pPr>
            <w:r w:rsidRPr="005E3D92">
              <w:rPr>
                <w:rFonts w:ascii="Verdana" w:hAnsi="Verdana"/>
              </w:rPr>
              <w:t>Coordinar los trámites necesarios para la liquidación del contrato y aportar los documentos soporte correspondientes.</w:t>
            </w:r>
          </w:p>
          <w:p w14:paraId="4792D87F" w14:textId="77777777" w:rsidR="00391AC6" w:rsidRDefault="00060BFB" w:rsidP="00391AC6">
            <w:pPr>
              <w:spacing w:after="120" w:line="276" w:lineRule="auto"/>
              <w:jc w:val="both"/>
              <w:rPr>
                <w:rFonts w:ascii="Verdana" w:hAnsi="Verdana"/>
              </w:rPr>
            </w:pPr>
            <w:r w:rsidRPr="004065A5">
              <w:rPr>
                <w:rFonts w:ascii="Verdana" w:hAnsi="Verdana"/>
              </w:rPr>
              <w:t>De lo anterior se desprende que la supervisión financiera</w:t>
            </w:r>
            <w:r w:rsidRPr="002B6A6A">
              <w:rPr>
                <w:rFonts w:ascii="Verdana" w:hAnsi="Verdana"/>
              </w:rPr>
              <w:t xml:space="preserve"> no se limita a la revisión formal de facturas o cuentas de cobro</w:t>
            </w:r>
            <w:r w:rsidRPr="004065A5">
              <w:rPr>
                <w:rFonts w:ascii="Verdana" w:hAnsi="Verdana"/>
              </w:rPr>
              <w:t xml:space="preserve">, sino que comprende el control </w:t>
            </w:r>
            <w:r w:rsidRPr="004065A5">
              <w:rPr>
                <w:rFonts w:ascii="Verdana" w:hAnsi="Verdana"/>
              </w:rPr>
              <w:lastRenderedPageBreak/>
              <w:t>del manejo de los recursos públicos asociados al contrato, desde su programación presupuestal hasta su liquidación.</w:t>
            </w:r>
          </w:p>
          <w:p w14:paraId="6264BC06" w14:textId="7658CBE4" w:rsidR="00060BFB" w:rsidRPr="00391AC6" w:rsidRDefault="00060BFB" w:rsidP="00391AC6">
            <w:pPr>
              <w:spacing w:after="120" w:line="276" w:lineRule="auto"/>
              <w:jc w:val="both"/>
              <w:rPr>
                <w:rFonts w:ascii="Verdana" w:hAnsi="Verdana"/>
              </w:rPr>
            </w:pPr>
            <w:r w:rsidRPr="004065A5">
              <w:rPr>
                <w:rFonts w:ascii="Verdana" w:hAnsi="Verdana"/>
              </w:rPr>
              <w:t>Este entendimiento ha sido acogido por la jurisprudencia de la Sección Tercera del Consejo de Estado, la cual ha sostenido que el supervisor contractual debe ejercer una labor activa de verificación sobre el cumplimiento de las obligaciones contractuales, incluidos los aspectos financieros, en cuanto estos inciden en la correcta ejecución del contrato y en la protección del patrimonio público.</w:t>
            </w:r>
          </w:p>
        </w:tc>
      </w:tr>
    </w:tbl>
    <w:p w14:paraId="62E7CE81" w14:textId="77777777" w:rsidR="00060BFB" w:rsidRPr="00C15DD4" w:rsidRDefault="00060BFB" w:rsidP="00060BFB">
      <w:pPr>
        <w:tabs>
          <w:tab w:val="left" w:pos="142"/>
          <w:tab w:val="left" w:pos="284"/>
        </w:tabs>
        <w:spacing w:after="0" w:line="276" w:lineRule="auto"/>
        <w:jc w:val="both"/>
        <w:rPr>
          <w:rFonts w:ascii="Verdana" w:eastAsia="Century Gothic" w:hAnsi="Verdana" w:cs="Century Gothic"/>
          <w:b/>
          <w:bCs/>
        </w:rPr>
      </w:pPr>
    </w:p>
    <w:bookmarkEnd w:id="3"/>
    <w:p w14:paraId="71EA1E8D" w14:textId="77777777" w:rsidR="00060BFB" w:rsidRPr="00C15DD4" w:rsidRDefault="00060BFB" w:rsidP="00060BFB">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Razones de las respuestas:</w:t>
      </w:r>
    </w:p>
    <w:p w14:paraId="3DA2F272" w14:textId="77777777" w:rsidR="00060BFB" w:rsidRPr="00C15DD4" w:rsidRDefault="00060BFB" w:rsidP="00060BFB">
      <w:pPr>
        <w:tabs>
          <w:tab w:val="left" w:pos="142"/>
          <w:tab w:val="left" w:pos="284"/>
        </w:tabs>
        <w:spacing w:after="0" w:line="276" w:lineRule="auto"/>
        <w:ind w:left="360"/>
        <w:jc w:val="both"/>
        <w:rPr>
          <w:rFonts w:ascii="Verdana" w:eastAsia="Century Gothic" w:hAnsi="Verdana" w:cs="Century Gothic"/>
          <w:b/>
          <w:bCs/>
        </w:rPr>
      </w:pPr>
    </w:p>
    <w:p w14:paraId="2F3BD68F" w14:textId="77777777" w:rsidR="00060BFB" w:rsidRPr="00C15DD4" w:rsidRDefault="00060BFB" w:rsidP="00295A24">
      <w:pPr>
        <w:pStyle w:val="Textoindependiente"/>
        <w:spacing w:line="276" w:lineRule="auto"/>
        <w:ind w:left="261"/>
        <w:jc w:val="both"/>
        <w:rPr>
          <w:spacing w:val="-2"/>
          <w:lang w:val="es-CO"/>
        </w:rPr>
      </w:pPr>
      <w:r w:rsidRPr="00C15DD4">
        <w:rPr>
          <w:lang w:val="es-CO"/>
        </w:rPr>
        <w:t>Lo</w:t>
      </w:r>
      <w:r w:rsidRPr="00C15DD4">
        <w:rPr>
          <w:spacing w:val="-4"/>
          <w:lang w:val="es-CO"/>
        </w:rPr>
        <w:t xml:space="preserve"> </w:t>
      </w:r>
      <w:r w:rsidRPr="00C15DD4">
        <w:rPr>
          <w:lang w:val="es-CO"/>
        </w:rPr>
        <w:t>anterior</w:t>
      </w:r>
      <w:r w:rsidRPr="00C15DD4">
        <w:rPr>
          <w:spacing w:val="-8"/>
          <w:lang w:val="es-CO"/>
        </w:rPr>
        <w:t xml:space="preserve"> </w:t>
      </w:r>
      <w:r w:rsidRPr="00C15DD4">
        <w:rPr>
          <w:lang w:val="es-CO"/>
        </w:rPr>
        <w:t>se</w:t>
      </w:r>
      <w:r w:rsidRPr="00C15DD4">
        <w:rPr>
          <w:spacing w:val="-5"/>
          <w:lang w:val="es-CO"/>
        </w:rPr>
        <w:t xml:space="preserve"> </w:t>
      </w:r>
      <w:r w:rsidRPr="00C15DD4">
        <w:rPr>
          <w:lang w:val="es-CO"/>
        </w:rPr>
        <w:t>sustenta</w:t>
      </w:r>
      <w:r w:rsidRPr="00C15DD4">
        <w:rPr>
          <w:spacing w:val="-8"/>
          <w:lang w:val="es-CO"/>
        </w:rPr>
        <w:t xml:space="preserve"> </w:t>
      </w:r>
      <w:r w:rsidRPr="00C15DD4">
        <w:rPr>
          <w:lang w:val="es-CO"/>
        </w:rPr>
        <w:t>en</w:t>
      </w:r>
      <w:r w:rsidRPr="00C15DD4">
        <w:rPr>
          <w:spacing w:val="-4"/>
          <w:lang w:val="es-CO"/>
        </w:rPr>
        <w:t xml:space="preserve"> </w:t>
      </w:r>
      <w:r w:rsidRPr="00C15DD4">
        <w:rPr>
          <w:lang w:val="es-CO"/>
        </w:rPr>
        <w:t>las</w:t>
      </w:r>
      <w:r w:rsidRPr="00C15DD4">
        <w:rPr>
          <w:spacing w:val="-5"/>
          <w:lang w:val="es-CO"/>
        </w:rPr>
        <w:t xml:space="preserve"> </w:t>
      </w:r>
      <w:r w:rsidRPr="00C15DD4">
        <w:rPr>
          <w:lang w:val="es-CO"/>
        </w:rPr>
        <w:t>siguientes</w:t>
      </w:r>
      <w:r w:rsidRPr="00C15DD4">
        <w:rPr>
          <w:spacing w:val="-4"/>
          <w:lang w:val="es-CO"/>
        </w:rPr>
        <w:t xml:space="preserve"> </w:t>
      </w:r>
      <w:r w:rsidRPr="00C15DD4">
        <w:rPr>
          <w:spacing w:val="-2"/>
          <w:lang w:val="es-CO"/>
        </w:rPr>
        <w:t>consideraciones:</w:t>
      </w:r>
    </w:p>
    <w:p w14:paraId="25A2E8F1" w14:textId="77777777" w:rsidR="00060BFB" w:rsidRPr="00C15DD4" w:rsidRDefault="00060BFB" w:rsidP="00060BFB">
      <w:pPr>
        <w:pStyle w:val="Textoindependiente"/>
        <w:spacing w:line="276" w:lineRule="auto"/>
        <w:ind w:left="260"/>
        <w:jc w:val="both"/>
        <w:rPr>
          <w:spacing w:val="-2"/>
          <w:lang w:val="es-CO"/>
        </w:rPr>
      </w:pPr>
    </w:p>
    <w:p w14:paraId="2C691944" w14:textId="012CE06A" w:rsidR="00EC1D8C" w:rsidRDefault="00EC1D8C" w:rsidP="00EC1D8C">
      <w:pPr>
        <w:spacing w:after="120" w:line="276" w:lineRule="auto"/>
        <w:ind w:firstLine="568"/>
        <w:jc w:val="both"/>
        <w:rPr>
          <w:rFonts w:ascii="Verdana" w:hAnsi="Verdana" w:cs="Arial"/>
          <w:bCs/>
        </w:rPr>
      </w:pPr>
      <w:r>
        <w:rPr>
          <w:rFonts w:ascii="Verdana" w:hAnsi="Verdana" w:cs="Arial"/>
          <w:bCs/>
          <w:lang w:eastAsia="es-ES_tradnl"/>
        </w:rPr>
        <w:t>E</w:t>
      </w:r>
      <w:r w:rsidRPr="00371F29">
        <w:rPr>
          <w:rFonts w:ascii="Verdana" w:eastAsia="Calibri" w:hAnsi="Verdana" w:cs="Arial"/>
          <w:lang w:val="es-MX"/>
        </w:rPr>
        <w:t xml:space="preserve">n la etapa precontractual de la contratación estatal, cuando la Administración está elaborando los estudios previos, para lograr con éxito el proceso de contratación que requiere para satisfacer una necesidad de bienes, obras o servicios con la finalidad de cumplir los cometidos estatales, debe analizarse, según el objeto a contratar, cuál es el tipo de contrato, las obligaciones y prestaciones a pactar que mejor satisfagan los intereses de la Administración como entidad contratante. </w:t>
      </w:r>
      <w:r w:rsidRPr="00371F29">
        <w:rPr>
          <w:rFonts w:ascii="Verdana" w:hAnsi="Verdana" w:cs="Arial"/>
          <w:bCs/>
        </w:rPr>
        <w:t>Es así como, por ejemplo, el artículo 40 de la Ley 80 de 1993 permite que dentro del contenido de un contrato estatal se admitan las estipulaciones conformes con las normas civiles, comerciales y las especiales previstas en dicha ley que correspondan a su esencia y naturaleza. Por ello, las entidades pueden celebrar todos los contratos y acuerdos permitidos por la autonomía de la voluntad requeridos para cumplir con los fines estatales.</w:t>
      </w:r>
    </w:p>
    <w:p w14:paraId="79E1F594" w14:textId="7D270788" w:rsidR="00EC1D8C" w:rsidRPr="00794C2C" w:rsidRDefault="00EC1D8C" w:rsidP="008A2E55">
      <w:pPr>
        <w:pStyle w:val="Textoindependiente"/>
        <w:spacing w:after="240" w:line="276" w:lineRule="auto"/>
        <w:ind w:right="49" w:firstLine="708"/>
        <w:jc w:val="both"/>
        <w:rPr>
          <w:rFonts w:eastAsia="Calibri" w:cs="Arial"/>
          <w:lang w:val="es-MX"/>
        </w:rPr>
      </w:pPr>
      <w:r w:rsidRPr="00794C2C">
        <w:rPr>
          <w:rFonts w:eastAsia="Calibri"/>
          <w:lang w:val="es-MX"/>
        </w:rPr>
        <w:t>Ahora bien, El precio es el “valor pecuniario en que se estima algo”</w:t>
      </w:r>
      <w:r w:rsidRPr="00794C2C">
        <w:rPr>
          <w:rStyle w:val="Refdenotaalpie"/>
          <w:rFonts w:eastAsia="Calibri"/>
          <w:lang w:val="es-MX"/>
        </w:rPr>
        <w:footnoteReference w:id="2"/>
      </w:r>
      <w:r w:rsidRPr="00794C2C">
        <w:rPr>
          <w:rFonts w:eastAsia="Calibri"/>
          <w:lang w:val="es-MX"/>
        </w:rPr>
        <w:t>. En nuestro ordenamiento jurídico, tenemos una definición de precio en el Código Civil y en el Código de Comercio. Ambas codificaciones, al regular el contrato de compraventa, definen el precio como el dinero que el comprador entrega a cambio de la cosa vendida:</w:t>
      </w:r>
    </w:p>
    <w:p w14:paraId="6C973A81" w14:textId="77777777" w:rsidR="00EC1D8C" w:rsidRPr="008A2E55" w:rsidRDefault="00EC1D8C" w:rsidP="008A2E55">
      <w:pPr>
        <w:spacing w:after="120" w:line="240" w:lineRule="auto"/>
        <w:ind w:left="709" w:right="709"/>
        <w:jc w:val="both"/>
        <w:rPr>
          <w:rFonts w:ascii="Verdana" w:eastAsia="Calibri" w:hAnsi="Verdana" w:cs="Arial"/>
          <w:sz w:val="20"/>
          <w:szCs w:val="20"/>
          <w:lang w:val="es-MX"/>
        </w:rPr>
      </w:pPr>
      <w:r w:rsidRPr="008A2E55">
        <w:rPr>
          <w:rFonts w:ascii="Verdana" w:eastAsia="Calibri" w:hAnsi="Verdana" w:cs="Arial"/>
          <w:sz w:val="20"/>
          <w:szCs w:val="20"/>
          <w:lang w:val="es-MX"/>
        </w:rPr>
        <w:t>“[</w:t>
      </w:r>
      <w:bookmarkStart w:id="4" w:name="_Hlk204013098"/>
      <w:r w:rsidRPr="008A2E55">
        <w:rPr>
          <w:rFonts w:ascii="Verdana" w:eastAsia="Calibri" w:hAnsi="Verdana" w:cs="Arial"/>
          <w:sz w:val="20"/>
          <w:szCs w:val="20"/>
          <w:lang w:val="es-MX"/>
        </w:rPr>
        <w:t>Artículo 1849 del Código Civil</w:t>
      </w:r>
      <w:bookmarkEnd w:id="4"/>
      <w:r w:rsidRPr="008A2E55">
        <w:rPr>
          <w:rFonts w:ascii="Verdana" w:eastAsia="Calibri" w:hAnsi="Verdana" w:cs="Arial"/>
          <w:sz w:val="20"/>
          <w:szCs w:val="20"/>
          <w:lang w:val="es-MX"/>
        </w:rPr>
        <w:t xml:space="preserve">]: La compraventa es un contrato en que una de las partes se obliga a dar una cosa y la otra a pagarla en dinero. </w:t>
      </w:r>
      <w:r w:rsidRPr="008A2E55">
        <w:rPr>
          <w:rFonts w:ascii="Verdana" w:eastAsia="Calibri" w:hAnsi="Verdana" w:cs="Arial"/>
          <w:sz w:val="20"/>
          <w:szCs w:val="20"/>
          <w:lang w:val="es-MX"/>
        </w:rPr>
        <w:lastRenderedPageBreak/>
        <w:t>Aquella se dice vender y esta comprar. El dinero que el comprador da por la cosa vendida se llama precio.</w:t>
      </w:r>
    </w:p>
    <w:p w14:paraId="6F9C18B3" w14:textId="63D73F62" w:rsidR="00EC1D8C" w:rsidRPr="008A2E55" w:rsidRDefault="00EC1D8C" w:rsidP="008A2E55">
      <w:pPr>
        <w:spacing w:line="240" w:lineRule="auto"/>
        <w:ind w:left="709" w:right="709"/>
        <w:jc w:val="both"/>
        <w:rPr>
          <w:rFonts w:ascii="Verdana" w:eastAsia="Calibri" w:hAnsi="Verdana" w:cs="Arial"/>
          <w:sz w:val="20"/>
          <w:szCs w:val="20"/>
          <w:lang w:val="es-MX"/>
        </w:rPr>
      </w:pPr>
      <w:r w:rsidRPr="008A2E55">
        <w:rPr>
          <w:rFonts w:ascii="Verdana" w:eastAsia="Calibri" w:hAnsi="Verdana" w:cs="Arial"/>
          <w:sz w:val="20"/>
          <w:szCs w:val="20"/>
          <w:lang w:val="es-MX"/>
        </w:rPr>
        <w:t>[</w:t>
      </w:r>
      <w:bookmarkStart w:id="5" w:name="_Hlk204013106"/>
      <w:r w:rsidRPr="008A2E55">
        <w:rPr>
          <w:rFonts w:ascii="Verdana" w:eastAsia="Calibri" w:hAnsi="Verdana" w:cs="Arial"/>
          <w:sz w:val="20"/>
          <w:szCs w:val="20"/>
          <w:lang w:val="es-MX"/>
        </w:rPr>
        <w:t>Artículo 905 del Código de Comercio</w:t>
      </w:r>
      <w:bookmarkEnd w:id="5"/>
      <w:r w:rsidRPr="008A2E55">
        <w:rPr>
          <w:rFonts w:ascii="Verdana" w:eastAsia="Calibri" w:hAnsi="Verdana" w:cs="Arial"/>
          <w:sz w:val="20"/>
          <w:szCs w:val="20"/>
          <w:lang w:val="es-MX"/>
        </w:rPr>
        <w:t>]: La compraventa es un contrato en que una de las partes se obliga a trasmitir la propiedad de una cosa y la otra a pagarla en dinero. El dinero que el comprador da por la cosa vendida se llama precio”.</w:t>
      </w:r>
      <w:bookmarkStart w:id="6" w:name="_Hlk131175734"/>
    </w:p>
    <w:p w14:paraId="526C6F6E" w14:textId="77777777" w:rsidR="00EC1D8C" w:rsidRPr="00794C2C" w:rsidRDefault="00EC1D8C" w:rsidP="00EC1D8C">
      <w:pPr>
        <w:spacing w:after="120" w:line="276" w:lineRule="auto"/>
        <w:ind w:firstLine="708"/>
        <w:jc w:val="both"/>
        <w:rPr>
          <w:rFonts w:ascii="Verdana" w:hAnsi="Verdana" w:cs="Arial"/>
          <w:bCs/>
          <w:lang w:val="es-ES_tradnl"/>
        </w:rPr>
      </w:pPr>
      <w:r w:rsidRPr="00794C2C">
        <w:rPr>
          <w:rFonts w:ascii="Verdana" w:hAnsi="Verdana" w:cs="Arial"/>
          <w:bCs/>
          <w:lang w:val="es-ES_tradnl"/>
        </w:rPr>
        <w:t>Como es sabido, uno de los elementos de los contratos estatales es el precio,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entidad estatal y el contratista</w:t>
      </w:r>
      <w:r w:rsidRPr="00794C2C">
        <w:rPr>
          <w:rStyle w:val="Refdenotaalpie"/>
          <w:rFonts w:ascii="Verdana" w:hAnsi="Verdana" w:cs="Arial"/>
          <w:bCs/>
          <w:lang w:val="es-ES_tradnl"/>
        </w:rPr>
        <w:footnoteReference w:id="3"/>
      </w:r>
      <w:r w:rsidRPr="00794C2C">
        <w:rPr>
          <w:rFonts w:ascii="Verdana" w:hAnsi="Verdana" w:cs="Arial"/>
          <w:bCs/>
          <w:lang w:val="es-ES_tradnl"/>
        </w:rPr>
        <w:t>. El precio es un importante elemento para el contratista, porque equivale a la 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w:t>
      </w:r>
      <w:r w:rsidRPr="00794C2C">
        <w:rPr>
          <w:rStyle w:val="Refdenotaalpie"/>
          <w:rFonts w:ascii="Verdana" w:hAnsi="Verdana" w:cs="Arial"/>
          <w:bCs/>
          <w:lang w:val="es-ES_tradnl"/>
        </w:rPr>
        <w:footnoteReference w:id="4"/>
      </w:r>
      <w:r w:rsidRPr="00794C2C">
        <w:rPr>
          <w:rFonts w:ascii="Verdana" w:hAnsi="Verdana" w:cs="Arial"/>
          <w:bCs/>
          <w:lang w:val="es-ES_tradnl"/>
        </w:rPr>
        <w:t>, en los términos de los artículos 1864 y 1865 del Código Civil y, de manera general está compuesto por dos elementos esenciales: los costos y la utilidad, cuya estructuración interna depende de las condiciones técnicas, financieras, regulatorias, etc. de cada contrato</w:t>
      </w:r>
      <w:r w:rsidRPr="00794C2C">
        <w:rPr>
          <w:rStyle w:val="Refdenotaalpie"/>
          <w:rFonts w:ascii="Verdana" w:hAnsi="Verdana" w:cs="Arial"/>
          <w:bCs/>
          <w:lang w:val="es-ES_tradnl"/>
        </w:rPr>
        <w:footnoteReference w:id="5"/>
      </w:r>
      <w:r w:rsidRPr="00794C2C">
        <w:rPr>
          <w:rFonts w:ascii="Verdana" w:hAnsi="Verdana" w:cs="Arial"/>
          <w:bCs/>
          <w:lang w:val="es-ES_tradnl"/>
        </w:rPr>
        <w:t>.</w:t>
      </w:r>
      <w:bookmarkStart w:id="8" w:name="_Hlk131175799"/>
      <w:bookmarkEnd w:id="6"/>
    </w:p>
    <w:p w14:paraId="24FBC3A0" w14:textId="77777777" w:rsidR="00EC1D8C" w:rsidRPr="00794C2C" w:rsidRDefault="00EC1D8C" w:rsidP="00EC1D8C">
      <w:pPr>
        <w:spacing w:after="120" w:line="276" w:lineRule="auto"/>
        <w:ind w:firstLine="709"/>
        <w:jc w:val="both"/>
        <w:rPr>
          <w:rFonts w:ascii="Verdana" w:hAnsi="Verdana" w:cs="Arial"/>
          <w:bCs/>
          <w:lang w:val="es-ES"/>
        </w:rPr>
      </w:pPr>
      <w:r w:rsidRPr="00794C2C">
        <w:rPr>
          <w:rFonts w:ascii="Verdana" w:hAnsi="Verdana" w:cs="Arial"/>
          <w:lang w:val="es-ES"/>
        </w:rPr>
        <w:t xml:space="preserve">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w:t>
      </w:r>
      <w:r w:rsidRPr="00794C2C">
        <w:rPr>
          <w:rFonts w:ascii="Verdana" w:hAnsi="Verdana" w:cs="Arial"/>
          <w:lang w:val="es-ES"/>
        </w:rPr>
        <w:lastRenderedPageBreak/>
        <w:t>metodología generalmente depende del tipo de contrato, pues hay algunas modalidades más comunes en los de obra pública; otras más utilizadas en los de prestación de servicios y otras más indicadas para los de concesión, por mencionar algunos ejemplos</w:t>
      </w:r>
      <w:r w:rsidRPr="00794C2C">
        <w:rPr>
          <w:rStyle w:val="Refdenotaalpie"/>
          <w:rFonts w:ascii="Verdana" w:hAnsi="Verdana" w:cs="Arial"/>
          <w:lang w:val="es-ES"/>
        </w:rPr>
        <w:footnoteReference w:id="6"/>
      </w:r>
      <w:r w:rsidRPr="00794C2C">
        <w:rPr>
          <w:rFonts w:ascii="Verdana" w:hAnsi="Verdana" w:cs="Arial"/>
          <w:lang w:val="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794C2C">
        <w:rPr>
          <w:rFonts w:ascii="Verdana" w:hAnsi="Verdana" w:cs="Arial"/>
          <w:lang w:val="es-ES"/>
        </w:rPr>
        <w:t>ii</w:t>
      </w:r>
      <w:proofErr w:type="spellEnd"/>
      <w:r w:rsidRPr="00794C2C">
        <w:rPr>
          <w:rFonts w:ascii="Verdana" w:hAnsi="Verdana" w:cs="Arial"/>
          <w:lang w:val="es-ES"/>
        </w:rPr>
        <w:t xml:space="preserve">) el precio global –que equivale al monto total, sin discriminar unidades–, y </w:t>
      </w:r>
      <w:proofErr w:type="spellStart"/>
      <w:r w:rsidRPr="00794C2C">
        <w:rPr>
          <w:rFonts w:ascii="Verdana" w:hAnsi="Verdana" w:cs="Arial"/>
          <w:lang w:val="es-ES"/>
        </w:rPr>
        <w:t>iii</w:t>
      </w:r>
      <w:proofErr w:type="spellEnd"/>
      <w:r w:rsidRPr="00794C2C">
        <w:rPr>
          <w:rFonts w:ascii="Verdana" w:hAnsi="Verdana" w:cs="Arial"/>
          <w:lang w:val="es-ES"/>
        </w:rPr>
        <w:t>) la administración delegada de recursos –en la que se distinguen los costos de inversión de los honorarios del administrador–.</w:t>
      </w:r>
      <w:bookmarkEnd w:id="8"/>
    </w:p>
    <w:p w14:paraId="1114D426" w14:textId="77777777" w:rsidR="00060BFB" w:rsidRPr="0040090B" w:rsidRDefault="00060BFB" w:rsidP="00060BFB">
      <w:pPr>
        <w:spacing w:after="120" w:line="276" w:lineRule="auto"/>
        <w:ind w:firstLine="709"/>
        <w:jc w:val="both"/>
        <w:rPr>
          <w:rFonts w:ascii="Verdana" w:hAnsi="Verdana" w:cs="Arial"/>
          <w:bCs/>
          <w:color w:val="000000" w:themeColor="text1"/>
        </w:rPr>
      </w:pPr>
      <w:r w:rsidRPr="0040090B">
        <w:rPr>
          <w:rFonts w:ascii="Verdana" w:hAnsi="Verdana" w:cs="Arial"/>
          <w:bCs/>
          <w:color w:val="000000" w:themeColor="text1"/>
        </w:rPr>
        <w:t>Ahora bien, en relación con el segundo problema jurídico planteado, es preciso señalar que la supervisión contractual, conforme a lo dispuesto en el artículo 83 de la Ley 1474 de 2011, corresponde al seguimiento técnico, administrativo, financiero, contable y jurídico que ejerce directamente la entidad estatal sobre el cumplimiento del objeto contractual, cuando dicho seguimiento no exige conocimientos especializados.</w:t>
      </w:r>
    </w:p>
    <w:p w14:paraId="671B7CAF" w14:textId="77777777" w:rsidR="00060BFB" w:rsidRPr="0040090B" w:rsidRDefault="00060BFB" w:rsidP="00060BFB">
      <w:pPr>
        <w:spacing w:after="120" w:line="276" w:lineRule="auto"/>
        <w:ind w:firstLine="709"/>
        <w:jc w:val="both"/>
        <w:rPr>
          <w:rFonts w:ascii="Verdana" w:hAnsi="Verdana" w:cs="Arial"/>
          <w:bCs/>
          <w:color w:val="000000" w:themeColor="text1"/>
        </w:rPr>
      </w:pPr>
      <w:r w:rsidRPr="0040090B">
        <w:rPr>
          <w:rFonts w:ascii="Verdana" w:hAnsi="Verdana" w:cs="Arial"/>
          <w:bCs/>
          <w:color w:val="000000" w:themeColor="text1"/>
        </w:rPr>
        <w:t xml:space="preserve">La citada disposición consagra a cargo de las entidades </w:t>
      </w:r>
      <w:r>
        <w:rPr>
          <w:rFonts w:ascii="Verdana" w:hAnsi="Verdana" w:cs="Arial"/>
          <w:bCs/>
          <w:color w:val="000000" w:themeColor="text1"/>
        </w:rPr>
        <w:t>estatales</w:t>
      </w:r>
      <w:r w:rsidRPr="0040090B">
        <w:rPr>
          <w:rFonts w:ascii="Verdana" w:hAnsi="Verdana" w:cs="Arial"/>
          <w:bCs/>
          <w:color w:val="000000" w:themeColor="text1"/>
        </w:rPr>
        <w:t xml:space="preserve"> el deber de ejercer vigilancia permanente sobre la correcta ejecución de los contratos estatales, como instrumento orientado a la protección de la moralidad administrativa, la prevención de actos de corrupción y la garantía de la transparencia en la actividad contractual. En consecuencia, la supervisión no se circunscribe a una verificación meramente formal, sino que comporta una </w:t>
      </w:r>
      <w:r w:rsidRPr="0040090B">
        <w:rPr>
          <w:rFonts w:ascii="Verdana" w:hAnsi="Verdana" w:cs="Arial"/>
          <w:bCs/>
          <w:color w:val="000000" w:themeColor="text1"/>
        </w:rPr>
        <w:lastRenderedPageBreak/>
        <w:t>función integral de control, dirigida a constatar que las obligaciones a cargo del contratista se ejecuten en los términos, condiciones y plazos pactados, y con observancia del marco legal y contractual aplicable.</w:t>
      </w:r>
    </w:p>
    <w:p w14:paraId="248B3F56" w14:textId="77777777" w:rsidR="00060BFB" w:rsidRPr="0040090B" w:rsidRDefault="00060BFB" w:rsidP="00060BFB">
      <w:pPr>
        <w:spacing w:after="120" w:line="276" w:lineRule="auto"/>
        <w:ind w:firstLine="709"/>
        <w:jc w:val="both"/>
        <w:rPr>
          <w:rFonts w:ascii="Verdana" w:hAnsi="Verdana" w:cs="Arial"/>
          <w:bCs/>
          <w:color w:val="000000" w:themeColor="text1"/>
        </w:rPr>
      </w:pPr>
      <w:r w:rsidRPr="0040090B">
        <w:rPr>
          <w:rFonts w:ascii="Verdana" w:hAnsi="Verdana" w:cs="Arial"/>
          <w:bCs/>
          <w:color w:val="000000" w:themeColor="text1"/>
        </w:rPr>
        <w:t>En ese sentido, el artículo 83 de la Ley 1474 de 2011 dispone</w:t>
      </w:r>
      <w:r>
        <w:rPr>
          <w:rFonts w:ascii="Verdana" w:hAnsi="Verdana" w:cs="Arial"/>
          <w:bCs/>
          <w:color w:val="000000" w:themeColor="text1"/>
        </w:rPr>
        <w:t xml:space="preserve"> que </w:t>
      </w:r>
      <w:r w:rsidRPr="0040090B">
        <w:rPr>
          <w:rFonts w:ascii="Verdana" w:hAnsi="Verdana" w:cs="Arial"/>
          <w:bCs/>
          <w:color w:val="000000" w:themeColor="text1"/>
        </w:rPr>
        <w:t>“Con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0D098017" w14:textId="77777777" w:rsidR="00060BFB" w:rsidRPr="008A2E55" w:rsidRDefault="00060BFB" w:rsidP="008A2E55">
      <w:pPr>
        <w:spacing w:after="120" w:line="240" w:lineRule="auto"/>
        <w:ind w:left="709" w:right="758" w:firstLine="709"/>
        <w:jc w:val="both"/>
        <w:rPr>
          <w:rFonts w:ascii="Verdana" w:hAnsi="Verdana" w:cs="Arial"/>
          <w:bCs/>
          <w:color w:val="000000" w:themeColor="text1"/>
          <w:sz w:val="20"/>
          <w:szCs w:val="20"/>
        </w:rPr>
      </w:pPr>
      <w:r w:rsidRPr="008A2E55">
        <w:rPr>
          <w:rFonts w:ascii="Verdana" w:hAnsi="Verdana" w:cs="Arial"/>
          <w:bCs/>
          <w:color w:val="000000" w:themeColor="text1"/>
          <w:sz w:val="20"/>
          <w:szCs w:val="20"/>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p>
    <w:p w14:paraId="4083AE86" w14:textId="77777777" w:rsidR="00060BFB" w:rsidRPr="0040090B" w:rsidRDefault="00060BFB" w:rsidP="00060BFB">
      <w:pPr>
        <w:spacing w:after="120" w:line="276" w:lineRule="auto"/>
        <w:ind w:firstLine="709"/>
        <w:jc w:val="both"/>
        <w:rPr>
          <w:rFonts w:ascii="Verdana" w:hAnsi="Verdana" w:cs="Arial"/>
          <w:bCs/>
          <w:color w:val="000000" w:themeColor="text1"/>
        </w:rPr>
      </w:pPr>
      <w:r w:rsidRPr="0040090B">
        <w:rPr>
          <w:rFonts w:ascii="Verdana" w:hAnsi="Verdana" w:cs="Arial"/>
          <w:bCs/>
          <w:color w:val="000000" w:themeColor="text1"/>
        </w:rPr>
        <w:t xml:space="preserve">De otra parte, el artículo 84 </w:t>
      </w:r>
      <w:r>
        <w:rPr>
          <w:rFonts w:ascii="Verdana" w:hAnsi="Verdana" w:cs="Arial"/>
          <w:bCs/>
          <w:color w:val="000000" w:themeColor="text1"/>
        </w:rPr>
        <w:t>de la misma ley</w:t>
      </w:r>
      <w:r w:rsidRPr="0040090B">
        <w:rPr>
          <w:rFonts w:ascii="Verdana" w:hAnsi="Verdana" w:cs="Arial"/>
          <w:bCs/>
          <w:color w:val="000000" w:themeColor="text1"/>
        </w:rPr>
        <w:t xml:space="preserve"> establece que las funciones del supervisor comprenden el seguimiento al cumplimiento de las obligaciones contractuales a cargo del contratista, así como la facultad de requerir aclaraciones, explicaciones e informes sobre el desarrollo y ejecución del contrato.</w:t>
      </w:r>
    </w:p>
    <w:p w14:paraId="16CB1F0D" w14:textId="77777777" w:rsidR="00060BFB" w:rsidRDefault="00060BFB" w:rsidP="00060BFB">
      <w:pPr>
        <w:spacing w:after="120" w:line="276" w:lineRule="auto"/>
        <w:ind w:firstLine="709"/>
        <w:jc w:val="both"/>
        <w:rPr>
          <w:rFonts w:ascii="Verdana" w:eastAsia="Times New Roman" w:hAnsi="Verdana" w:cs="Arial"/>
          <w:shd w:val="clear" w:color="auto" w:fill="FFFFFF"/>
        </w:rPr>
      </w:pPr>
      <w:r w:rsidRPr="00F008DA">
        <w:rPr>
          <w:rFonts w:ascii="Verdana" w:eastAsia="Times New Roman" w:hAnsi="Verdana" w:cs="Arial"/>
          <w:shd w:val="clear" w:color="auto" w:fill="FFFFFF"/>
          <w:lang w:val="es-ES"/>
        </w:rPr>
        <w:t>Así mismo, la Agencia</w:t>
      </w:r>
      <w:r w:rsidRPr="00F008DA">
        <w:rPr>
          <w:rFonts w:ascii="Verdana" w:eastAsia="Times New Roman" w:hAnsi="Verdana" w:cs="Arial"/>
          <w:color w:val="000000"/>
          <w:lang w:val="es-ES_tradnl" w:eastAsia="es-ES_tradnl"/>
        </w:rPr>
        <w:t xml:space="preserve">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w:t>
      </w:r>
      <w:r w:rsidRPr="00F008DA">
        <w:rPr>
          <w:rFonts w:ascii="Verdana" w:eastAsia="Times New Roman" w:hAnsi="Verdana" w:cs="Arial"/>
          <w:shd w:val="clear" w:color="auto" w:fill="FFFFFF"/>
          <w:lang w:val="es-ES"/>
        </w:rPr>
        <w:t xml:space="preserve">consagró que la supervisión del contrato estatal corresponde al funcionario público de la entidad. </w:t>
      </w:r>
      <w:r w:rsidRPr="00F008DA">
        <w:rPr>
          <w:rFonts w:ascii="Verdana" w:hAnsi="Verdana" w:cs="Arial"/>
        </w:rPr>
        <w:t xml:space="preserve">Así mismo, allí se señala que, </w:t>
      </w:r>
      <w:r w:rsidRPr="00F008DA">
        <w:rPr>
          <w:rFonts w:ascii="Verdana" w:eastAsia="Times New Roman" w:hAnsi="Verdana" w:cs="Arial"/>
          <w:shd w:val="clear" w:color="auto" w:fill="FFFFFF"/>
        </w:rPr>
        <w:t>en la etapa de planeación del Proceso de Contratación</w:t>
      </w:r>
      <w:r w:rsidRPr="00F008DA">
        <w:rPr>
          <w:rFonts w:ascii="Verdana" w:eastAsia="Times New Roman" w:hAnsi="Verdana" w:cs="Arial"/>
          <w:i/>
          <w:iCs/>
          <w:shd w:val="clear" w:color="auto" w:fill="FFFFFF"/>
        </w:rPr>
        <w:t xml:space="preserve">, </w:t>
      </w:r>
      <w:r w:rsidRPr="00650DD4">
        <w:rPr>
          <w:rFonts w:ascii="Verdana" w:eastAsia="Times New Roman" w:hAnsi="Verdana" w:cs="Arial"/>
          <w:shd w:val="clear" w:color="auto" w:fill="FFFFFF"/>
        </w:rPr>
        <w:t>la Entidad Estatal debe identificar el perfil del supervisor para poderlo designar a más tardar al final de la audiencia de adjudicación, cuando el Proceso de Contratación es competitivo o en la fecha de la forma del contrato en los Procesos de Contratación sin competencia</w:t>
      </w:r>
      <w:r w:rsidRPr="00F008DA">
        <w:rPr>
          <w:rFonts w:ascii="Verdana" w:eastAsia="Times New Roman" w:hAnsi="Verdana" w:cs="Arial"/>
          <w:i/>
          <w:iCs/>
          <w:shd w:val="clear" w:color="auto" w:fill="FFFFFF"/>
        </w:rPr>
        <w:t>.</w:t>
      </w:r>
      <w:r w:rsidRPr="00F008DA">
        <w:rPr>
          <w:rFonts w:ascii="Verdana" w:eastAsia="Times New Roman" w:hAnsi="Verdana" w:cs="Arial"/>
          <w:shd w:val="clear" w:color="auto" w:fill="FFFFFF"/>
        </w:rPr>
        <w:t xml:space="preserve"> La Entidad Estatal puede designar el supervisor en cualquier momento del Proceso de Contratación una vez iniciada la etapa de planeación. El supervisor no requiere un perfil predeterminado, pero es recomendable que el supervisor pueda actuar como par del contratista supervisado.</w:t>
      </w:r>
      <w:r w:rsidRPr="00AE6535">
        <w:rPr>
          <w:rFonts w:ascii="Verdana" w:eastAsia="Times New Roman" w:hAnsi="Verdana" w:cs="Arial"/>
          <w:shd w:val="clear" w:color="auto" w:fill="FFFFFF"/>
        </w:rPr>
        <w:t xml:space="preserve"> </w:t>
      </w:r>
    </w:p>
    <w:p w14:paraId="0972FD6F" w14:textId="77777777" w:rsidR="00060BFB" w:rsidRPr="00553B8E" w:rsidRDefault="00060BFB" w:rsidP="00060BFB">
      <w:pPr>
        <w:spacing w:after="120" w:line="276" w:lineRule="auto"/>
        <w:ind w:firstLine="709"/>
        <w:jc w:val="both"/>
        <w:rPr>
          <w:rFonts w:ascii="Verdana" w:eastAsia="Times New Roman" w:hAnsi="Verdana" w:cs="Arial"/>
          <w:shd w:val="clear" w:color="auto" w:fill="FFFFFF"/>
        </w:rPr>
      </w:pPr>
      <w:r>
        <w:rPr>
          <w:rFonts w:ascii="Verdana" w:eastAsia="Calibri" w:hAnsi="Verdana" w:cs="Arial"/>
        </w:rPr>
        <w:lastRenderedPageBreak/>
        <w:t xml:space="preserve">En este sentido, es preciso señalar que la </w:t>
      </w:r>
      <w:r w:rsidRPr="00651CC8">
        <w:rPr>
          <w:rFonts w:ascii="Verdana" w:eastAsia="Calibri" w:hAnsi="Verdana" w:cs="Arial"/>
        </w:rPr>
        <w:t xml:space="preserve">labor </w:t>
      </w:r>
      <w:r>
        <w:rPr>
          <w:rFonts w:ascii="Verdana" w:eastAsia="Calibri" w:hAnsi="Verdana" w:cs="Arial"/>
        </w:rPr>
        <w:t xml:space="preserve">de la supervisión </w:t>
      </w:r>
      <w:r w:rsidRPr="00651CC8">
        <w:rPr>
          <w:rFonts w:ascii="Verdana" w:eastAsia="Calibri" w:hAnsi="Verdana" w:cs="Arial"/>
        </w:rPr>
        <w:t xml:space="preserve">debe ir dirigida a verificar el </w:t>
      </w:r>
      <w:r w:rsidRPr="007B7575">
        <w:rPr>
          <w:rFonts w:ascii="Verdana" w:eastAsia="Calibri" w:hAnsi="Verdana" w:cs="Arial"/>
        </w:rPr>
        <w:t xml:space="preserve">cumplimiento de las condiciones pactadas, por lo que </w:t>
      </w:r>
      <w:r>
        <w:rPr>
          <w:rFonts w:ascii="Verdana" w:eastAsia="Calibri" w:hAnsi="Verdana" w:cs="Arial"/>
        </w:rPr>
        <w:t xml:space="preserve">quienes ejercen el rol de supervisores </w:t>
      </w:r>
      <w:r w:rsidRPr="007B7575">
        <w:rPr>
          <w:rFonts w:ascii="Verdana" w:eastAsia="Calibri" w:hAnsi="Verdana" w:cs="Arial"/>
        </w:rPr>
        <w:t xml:space="preserve">están facultados para solicitar informes, aclaraciones y explicaciones sobre el desarrollo de la ejecución contractual, impartir instrucciones al contratista y hacer recomendaciones encaminadas a lograr la correcta ejecución del objeto contratado. </w:t>
      </w:r>
    </w:p>
    <w:p w14:paraId="1B713849" w14:textId="77777777" w:rsidR="00060BFB" w:rsidRPr="007B7575" w:rsidRDefault="00060BFB" w:rsidP="00060BFB">
      <w:pPr>
        <w:spacing w:after="120" w:line="276" w:lineRule="auto"/>
        <w:ind w:firstLine="709"/>
        <w:jc w:val="both"/>
        <w:rPr>
          <w:rFonts w:ascii="Verdana" w:eastAsia="Calibri" w:hAnsi="Verdana" w:cs="Arial"/>
        </w:rPr>
      </w:pPr>
      <w:r>
        <w:rPr>
          <w:rFonts w:ascii="Verdana" w:eastAsia="Calibri" w:hAnsi="Verdana" w:cs="Arial"/>
        </w:rPr>
        <w:t>De lo anterior</w:t>
      </w:r>
      <w:r w:rsidRPr="007B7575">
        <w:rPr>
          <w:rFonts w:ascii="Verdana" w:eastAsia="Calibri" w:hAnsi="Verdana" w:cs="Arial"/>
        </w:rPr>
        <w:t xml:space="preserve"> se desprende </w:t>
      </w:r>
      <w:r w:rsidRPr="3BD955A3">
        <w:rPr>
          <w:rFonts w:ascii="Verdana" w:eastAsia="Calibri" w:hAnsi="Verdana" w:cs="Arial"/>
        </w:rPr>
        <w:t>que</w:t>
      </w:r>
      <w:r w:rsidRPr="007B7575">
        <w:rPr>
          <w:rFonts w:ascii="Verdana" w:eastAsia="Calibri" w:hAnsi="Verdana" w:cs="Arial"/>
        </w:rPr>
        <w:t xml:space="preserve">, el ejercicio de la vigilancia de la ejecución del contrato estatal conlleva la tarea de velar por el cumplimiento de los plazos, calidades, cantidades y adecuada ejecución de los recursos del contrato. Debido a esto, es a los supervisores y/o interventores a quienes corresponde verificar las entregas realizadas por el contratista, determinando si las mismas se ajustan a las condiciones pactadas. </w:t>
      </w:r>
    </w:p>
    <w:p w14:paraId="6188FB65" w14:textId="77777777" w:rsidR="00060BFB" w:rsidRPr="007B7575" w:rsidRDefault="00060BFB" w:rsidP="00060BFB">
      <w:pPr>
        <w:spacing w:after="120" w:line="276" w:lineRule="auto"/>
        <w:ind w:firstLine="709"/>
        <w:jc w:val="both"/>
        <w:rPr>
          <w:rFonts w:ascii="Verdana" w:eastAsia="Calibri" w:hAnsi="Verdana" w:cs="Arial"/>
        </w:rPr>
      </w:pPr>
      <w:r>
        <w:rPr>
          <w:rFonts w:ascii="Verdana" w:eastAsia="Calibri" w:hAnsi="Verdana" w:cs="Arial"/>
        </w:rPr>
        <w:t>En ese orden de ideas</w:t>
      </w:r>
      <w:r w:rsidRPr="007B7575">
        <w:rPr>
          <w:rFonts w:ascii="Verdana" w:eastAsia="Calibri" w:hAnsi="Verdana" w:cs="Arial"/>
        </w:rPr>
        <w:t xml:space="preserve">, la obligación general de vigilancia de la ejecución del contrato </w:t>
      </w:r>
      <w:r>
        <w:rPr>
          <w:rFonts w:ascii="Verdana" w:eastAsia="Calibri" w:hAnsi="Verdana" w:cs="Arial"/>
        </w:rPr>
        <w:t>aplica a</w:t>
      </w:r>
      <w:r w:rsidRPr="007B7575">
        <w:rPr>
          <w:rFonts w:ascii="Verdana" w:eastAsia="Calibri" w:hAnsi="Verdana" w:cs="Arial"/>
        </w:rPr>
        <w:t xml:space="preserve"> los de prestación de servicios</w:t>
      </w:r>
      <w:r>
        <w:rPr>
          <w:rFonts w:ascii="Verdana" w:eastAsia="Calibri" w:hAnsi="Verdana" w:cs="Arial"/>
        </w:rPr>
        <w:t>, en los cuales el supervisor</w:t>
      </w:r>
      <w:r w:rsidRPr="000C27C3">
        <w:rPr>
          <w:rFonts w:ascii="Verdana" w:eastAsia="Calibri" w:hAnsi="Verdana" w:cs="Arial"/>
        </w:rPr>
        <w:t xml:space="preserve">– </w:t>
      </w:r>
      <w:r w:rsidRPr="3BD955A3">
        <w:rPr>
          <w:rFonts w:ascii="Verdana" w:eastAsia="Calibri" w:hAnsi="Verdana" w:cs="Arial"/>
        </w:rPr>
        <w:t>tiene</w:t>
      </w:r>
      <w:r w:rsidRPr="007B7575">
        <w:rPr>
          <w:rFonts w:ascii="Verdana" w:eastAsia="Calibri" w:hAnsi="Verdana" w:cs="Arial"/>
        </w:rPr>
        <w:t xml:space="preserve"> el deber de aprobar o rechazar las entregas realizadas por el contratista, </w:t>
      </w:r>
      <w:r>
        <w:rPr>
          <w:rFonts w:ascii="Verdana" w:eastAsia="Calibri" w:hAnsi="Verdana" w:cs="Arial"/>
        </w:rPr>
        <w:t>conforme</w:t>
      </w:r>
      <w:r w:rsidRPr="007B7575">
        <w:rPr>
          <w:rFonts w:ascii="Verdana" w:eastAsia="Calibri" w:hAnsi="Verdana" w:cs="Arial"/>
        </w:rPr>
        <w:t xml:space="preserve"> a las condiciones pactadas. En todo caso, es importante que tales funciones sean concordantes con las obligaciones </w:t>
      </w:r>
      <w:r>
        <w:rPr>
          <w:rFonts w:ascii="Verdana" w:eastAsia="Calibri" w:hAnsi="Verdana" w:cs="Arial"/>
        </w:rPr>
        <w:t xml:space="preserve">contenidas en </w:t>
      </w:r>
      <w:r w:rsidRPr="3BD955A3">
        <w:rPr>
          <w:rFonts w:ascii="Verdana" w:eastAsia="Calibri" w:hAnsi="Verdana" w:cs="Arial"/>
        </w:rPr>
        <w:t>el</w:t>
      </w:r>
      <w:r w:rsidRPr="007B7575">
        <w:rPr>
          <w:rFonts w:ascii="Verdana" w:eastAsia="Calibri" w:hAnsi="Verdana" w:cs="Arial"/>
        </w:rPr>
        <w:t xml:space="preserve"> respectivo contrato</w:t>
      </w:r>
      <w:r>
        <w:rPr>
          <w:rFonts w:ascii="Verdana" w:eastAsia="Calibri" w:hAnsi="Verdana" w:cs="Arial"/>
        </w:rPr>
        <w:t>. Por ello,</w:t>
      </w:r>
      <w:r w:rsidRPr="007B7575">
        <w:rPr>
          <w:rFonts w:ascii="Verdana" w:eastAsia="Calibri" w:hAnsi="Verdana" w:cs="Arial"/>
        </w:rPr>
        <w:t xml:space="preserve"> en el marco de la autonomía que tiene la entidad para desarrollar el proceso de contratación, </w:t>
      </w:r>
      <w:r w:rsidRPr="3BD955A3">
        <w:rPr>
          <w:rFonts w:ascii="Verdana" w:eastAsia="Calibri" w:hAnsi="Verdana" w:cs="Arial"/>
        </w:rPr>
        <w:t>puede</w:t>
      </w:r>
      <w:r>
        <w:rPr>
          <w:rFonts w:ascii="Verdana" w:eastAsia="Calibri" w:hAnsi="Verdana" w:cs="Arial"/>
        </w:rPr>
        <w:t xml:space="preserve"> incluir</w:t>
      </w:r>
      <w:r w:rsidRPr="007B7575">
        <w:rPr>
          <w:rFonts w:ascii="Verdana" w:eastAsia="Calibri" w:hAnsi="Verdana" w:cs="Arial"/>
        </w:rPr>
        <w:t xml:space="preserve"> estipulaciones dentro de la minuta del contrato</w:t>
      </w:r>
      <w:r w:rsidRPr="000C27C3">
        <w:rPr>
          <w:rFonts w:ascii="Verdana" w:eastAsia="Calibri" w:hAnsi="Verdana" w:cs="Arial"/>
        </w:rPr>
        <w:t xml:space="preserve"> o los documentos contractuales</w:t>
      </w:r>
      <w:r w:rsidRPr="007B7575">
        <w:rPr>
          <w:rFonts w:ascii="Verdana" w:eastAsia="Calibri" w:hAnsi="Verdana" w:cs="Arial"/>
        </w:rPr>
        <w:t xml:space="preserve"> tendientes a señalar actividades específicas cuyo desarrollo esté sujeto a mecanismos concretos de vigilancia por parte del supervisor, como, por ejemplo, el levantamiento de actas de las diferentes entregas que realice el contratista, la presentación de informes, la celebración de reuniones periódicas y, en general, las actuaciones que sean pertinentes para garantizar la vigilancia de la debida ejecución del respectivo contrato estatal y el cumplimiento de sus objetivos.  </w:t>
      </w:r>
    </w:p>
    <w:p w14:paraId="5F213857" w14:textId="77777777" w:rsidR="00060BFB" w:rsidRDefault="00060BFB" w:rsidP="00060BFB">
      <w:pPr>
        <w:spacing w:after="120" w:line="276" w:lineRule="auto"/>
        <w:ind w:firstLine="709"/>
        <w:jc w:val="both"/>
        <w:rPr>
          <w:rFonts w:ascii="Verdana" w:eastAsia="Calibri" w:hAnsi="Verdana" w:cs="Arial"/>
        </w:rPr>
      </w:pPr>
      <w:r w:rsidRPr="007B7575">
        <w:rPr>
          <w:rFonts w:ascii="Verdana" w:eastAsia="Calibri" w:hAnsi="Verdana" w:cs="Arial"/>
        </w:rPr>
        <w:t>Sin perjuicio de lo anterior, debe recordarse que la autonomía del contratista en la ejecución del contrato es un elemento característico de los contratos de prestación de servicios</w:t>
      </w:r>
      <w:r w:rsidRPr="3BD955A3">
        <w:rPr>
          <w:rFonts w:ascii="Verdana" w:eastAsia="Calibri" w:hAnsi="Verdana" w:cs="Arial"/>
        </w:rPr>
        <w:t>, lo</w:t>
      </w:r>
      <w:r w:rsidRPr="007B7575">
        <w:rPr>
          <w:rFonts w:ascii="Verdana" w:eastAsia="Calibri" w:hAnsi="Verdana" w:cs="Arial"/>
        </w:rPr>
        <w:t xml:space="preserve"> cual supone la ausencia de dependencia entre la entidad contratante y el contratista. Esto resulta importante por cuanto, el ejercicio de las labores propias de la vigilancia a la ejecución de contratos no puede devenir en una relación de subordinación entre el supervisor y el contratista, en la medida que ello no solo socavaría la independencia del contratista para ejecutar el contrato, sino que podría devenir en la existencia de una relación laboral, en atención a la figura del contrato realidad.</w:t>
      </w:r>
    </w:p>
    <w:p w14:paraId="187B5BF7" w14:textId="77777777" w:rsidR="00060BFB" w:rsidRPr="00CD4777" w:rsidRDefault="00060BFB" w:rsidP="00060BFB">
      <w:pPr>
        <w:spacing w:after="120" w:line="276" w:lineRule="auto"/>
        <w:ind w:firstLine="709"/>
        <w:jc w:val="both"/>
        <w:rPr>
          <w:rFonts w:ascii="Verdana" w:eastAsia="Times New Roman" w:hAnsi="Verdana" w:cs="Arial"/>
          <w:bCs/>
          <w:lang w:val="es-ES"/>
        </w:rPr>
      </w:pPr>
      <w:r>
        <w:rPr>
          <w:rFonts w:ascii="Verdana" w:eastAsia="Times New Roman" w:hAnsi="Verdana" w:cs="Arial"/>
          <w:bCs/>
          <w:lang w:val="es-ES"/>
        </w:rPr>
        <w:lastRenderedPageBreak/>
        <w:t>S</w:t>
      </w:r>
      <w:r w:rsidRPr="00B7290B">
        <w:rPr>
          <w:rFonts w:ascii="Verdana" w:eastAsia="Times New Roman" w:hAnsi="Verdana" w:cs="Arial"/>
          <w:bCs/>
          <w:lang w:val="es-ES"/>
        </w:rPr>
        <w:t>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7290B">
        <w:rPr>
          <w:rFonts w:ascii="Verdana" w:eastAsia="Times New Roman" w:hAnsi="Verdana" w:cs="Arial"/>
          <w:bCs/>
          <w:vertAlign w:val="superscript"/>
          <w:lang w:val="es-ES"/>
        </w:rPr>
        <w:footnoteReference w:id="7"/>
      </w:r>
      <w:r w:rsidRPr="00B7290B">
        <w:rPr>
          <w:rFonts w:ascii="Verdana" w:eastAsia="Times New Roman" w:hAnsi="Verdana" w:cs="Arial"/>
          <w:bCs/>
          <w:lang w:val="es-ES"/>
        </w:rPr>
        <w:t xml:space="preserve">–; </w:t>
      </w:r>
      <w:proofErr w:type="spellStart"/>
      <w:r w:rsidRPr="00B7290B">
        <w:rPr>
          <w:rFonts w:ascii="Verdana" w:eastAsia="Times New Roman" w:hAnsi="Verdana" w:cs="Arial"/>
          <w:bCs/>
          <w:lang w:val="es-ES"/>
        </w:rPr>
        <w:t>ii</w:t>
      </w:r>
      <w:proofErr w:type="spellEnd"/>
      <w:r w:rsidRPr="00B7290B">
        <w:rPr>
          <w:rFonts w:ascii="Verdana" w:eastAsia="Times New Roman" w:hAnsi="Verdana" w:cs="Arial"/>
          <w:bCs/>
          <w:lang w:val="es-ES"/>
        </w:rPr>
        <w:t xml:space="preserve">) no requiere conocimientos tan especializados como la interventoría; </w:t>
      </w:r>
      <w:proofErr w:type="spellStart"/>
      <w:r w:rsidRPr="00B7290B">
        <w:rPr>
          <w:rFonts w:ascii="Verdana" w:eastAsia="Times New Roman" w:hAnsi="Verdana" w:cs="Arial"/>
          <w:bCs/>
          <w:lang w:val="es-ES"/>
        </w:rPr>
        <w:t>iii</w:t>
      </w:r>
      <w:proofErr w:type="spellEnd"/>
      <w:r w:rsidRPr="00B7290B">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B7290B">
        <w:rPr>
          <w:rFonts w:ascii="Verdana" w:eastAsia="Times New Roman" w:hAnsi="Verdana" w:cs="Arial"/>
          <w:bCs/>
          <w:lang w:val="es-ES"/>
        </w:rPr>
        <w:t>iv</w:t>
      </w:r>
      <w:proofErr w:type="spellEnd"/>
      <w:r w:rsidRPr="00B7290B">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4F83DDF5" w14:textId="77777777" w:rsidR="00060BFB" w:rsidRPr="00B976C0" w:rsidRDefault="00060BFB" w:rsidP="00060BFB">
      <w:pPr>
        <w:spacing w:after="120" w:line="276" w:lineRule="auto"/>
        <w:ind w:firstLine="709"/>
        <w:jc w:val="both"/>
        <w:rPr>
          <w:rFonts w:ascii="Verdana" w:hAnsi="Verdana" w:cs="Arial"/>
        </w:rPr>
      </w:pPr>
      <w:r w:rsidRPr="00B976C0">
        <w:rPr>
          <w:rFonts w:ascii="Verdana" w:hAnsi="Verdana" w:cs="Arial"/>
        </w:rPr>
        <w:t xml:space="preserve">A la luz de lo anterior, si bien es cierto que para el ejercicio de la supervisión contractual no se requieren conocimientos técnicos especializados, también lo es que las funciones de seguimiento comprenden diversos ámbitos, tales como los aspectos técnicos, administrativos, financieros, contables y jurídicos. </w:t>
      </w:r>
      <w:r w:rsidRPr="00893170">
        <w:rPr>
          <w:rFonts w:ascii="Verdana" w:hAnsi="Verdana" w:cs="Arial"/>
        </w:rPr>
        <w:t>Dentro de este conjunto de dimensiones, la supervisión financiera reviste particular relevancia, en la medida en que permite verificar el adecuado manejo de los recursos públicos y la correspondencia entre las obligaciones económicas asumidas y su efectiva ejecución</w:t>
      </w:r>
      <w:r w:rsidRPr="00B976C0">
        <w:rPr>
          <w:rFonts w:ascii="Verdana" w:hAnsi="Verdana" w:cs="Arial"/>
        </w:rPr>
        <w:t>.</w:t>
      </w:r>
    </w:p>
    <w:p w14:paraId="10E6E7EF" w14:textId="77777777" w:rsidR="00060BFB" w:rsidRPr="00B976C0" w:rsidRDefault="00060BFB" w:rsidP="00060BFB">
      <w:pPr>
        <w:spacing w:after="120" w:line="276" w:lineRule="auto"/>
        <w:ind w:firstLine="709"/>
        <w:jc w:val="both"/>
        <w:rPr>
          <w:rFonts w:ascii="Verdana" w:hAnsi="Verdana" w:cs="Arial"/>
        </w:rPr>
      </w:pPr>
      <w:r w:rsidRPr="00B976C0">
        <w:rPr>
          <w:rFonts w:ascii="Verdana" w:hAnsi="Verdana" w:cs="Arial"/>
        </w:rPr>
        <w:t>En ese orden de ideas, el alcance de la supervisión financiera en los contratos estatales se encuentra claramente definido tanto en el marco legal vigente como en los lineamientos técnicos expedidos por la Agencia Nacional de Contratación Pública – Colombia Compra Eficiente.</w:t>
      </w:r>
    </w:p>
    <w:p w14:paraId="055C6CD5" w14:textId="77777777" w:rsidR="00060BFB" w:rsidRPr="00FC7825" w:rsidRDefault="00060BFB" w:rsidP="00060BFB">
      <w:pPr>
        <w:spacing w:after="120" w:line="276" w:lineRule="auto"/>
        <w:ind w:firstLine="709"/>
        <w:jc w:val="both"/>
        <w:rPr>
          <w:rFonts w:ascii="Verdana" w:eastAsia="Calibri" w:hAnsi="Verdana" w:cs="Arial"/>
          <w:bCs/>
          <w:color w:val="000000"/>
          <w:kern w:val="2"/>
          <w14:ligatures w14:val="standardContextual"/>
        </w:rPr>
      </w:pPr>
      <w:r w:rsidRPr="00A66D11">
        <w:rPr>
          <w:rFonts w:ascii="Verdana" w:eastAsia="Calibri" w:hAnsi="Verdana" w:cs="Arial"/>
          <w:bCs/>
          <w:color w:val="000000"/>
          <w:kern w:val="2"/>
          <w14:ligatures w14:val="standardContextual"/>
        </w:rPr>
        <w:t>En virtud de estas disposiciones</w:t>
      </w:r>
      <w:r w:rsidRPr="00FC7825">
        <w:rPr>
          <w:rFonts w:ascii="Verdana" w:eastAsia="Calibri" w:hAnsi="Verdana" w:cs="Arial"/>
          <w:bCs/>
          <w:color w:val="000000"/>
          <w:kern w:val="2"/>
          <w14:ligatures w14:val="standardContextual"/>
        </w:rPr>
        <w:t xml:space="preserve">, la </w:t>
      </w:r>
      <w:r w:rsidRPr="00D448D5">
        <w:rPr>
          <w:rFonts w:ascii="Verdana" w:eastAsia="Calibri" w:hAnsi="Verdana" w:cs="Arial"/>
          <w:color w:val="000000"/>
          <w:kern w:val="2"/>
          <w14:ligatures w14:val="standardContextual"/>
        </w:rPr>
        <w:t>“Guía para el ejercicio de las funciones de supervisión e interventoría de los contratos suscritos por las Entidades Estatales” expedida por Colombia Compra Eficiente precisa que, en el ámbito del seguimiento financiero y contable,</w:t>
      </w:r>
      <w:r w:rsidRPr="00FC7825">
        <w:rPr>
          <w:rFonts w:ascii="Verdana" w:eastAsia="Calibri" w:hAnsi="Verdana" w:cs="Arial"/>
          <w:bCs/>
          <w:color w:val="000000"/>
          <w:kern w:val="2"/>
          <w14:ligatures w14:val="standardContextual"/>
        </w:rPr>
        <w:t xml:space="preserve"> el supervisor o interventor debe ejercer control sobre las actuaciones del contratista en términos presupuestales, financieros y contables, lo cual comprende, entre otras, las siguientes funciones:</w:t>
      </w:r>
    </w:p>
    <w:p w14:paraId="45C7D2EA" w14:textId="77777777" w:rsidR="00060BFB" w:rsidRPr="00FC7825" w:rsidRDefault="00060BFB" w:rsidP="00060BFB">
      <w:pPr>
        <w:numPr>
          <w:ilvl w:val="0"/>
          <w:numId w:val="18"/>
        </w:numPr>
        <w:spacing w:after="120" w:line="276" w:lineRule="auto"/>
        <w:jc w:val="both"/>
        <w:rPr>
          <w:rFonts w:ascii="Verdana" w:eastAsia="Calibri" w:hAnsi="Verdana" w:cs="Arial"/>
          <w:bCs/>
          <w:color w:val="000000"/>
          <w:kern w:val="2"/>
          <w14:ligatures w14:val="standardContextual"/>
        </w:rPr>
      </w:pPr>
      <w:r w:rsidRPr="00FC7825">
        <w:rPr>
          <w:rFonts w:ascii="Verdana" w:eastAsia="Calibri" w:hAnsi="Verdana" w:cs="Arial"/>
          <w:bCs/>
          <w:color w:val="000000"/>
          <w:kern w:val="2"/>
          <w14:ligatures w14:val="standardContextual"/>
        </w:rPr>
        <w:lastRenderedPageBreak/>
        <w:t>Realizar seguimiento a la gestión financiera del contrato por parte de la Entidad Estatal, incluyendo el registro presupuestal, la planeación de los pagos previstos y la disponibilidad de caja.</w:t>
      </w:r>
    </w:p>
    <w:p w14:paraId="1DF322F1" w14:textId="77777777" w:rsidR="00060BFB" w:rsidRPr="00FC7825" w:rsidRDefault="00060BFB" w:rsidP="00060BFB">
      <w:pPr>
        <w:numPr>
          <w:ilvl w:val="0"/>
          <w:numId w:val="18"/>
        </w:numPr>
        <w:spacing w:after="120" w:line="276" w:lineRule="auto"/>
        <w:jc w:val="both"/>
        <w:rPr>
          <w:rFonts w:ascii="Verdana" w:eastAsia="Calibri" w:hAnsi="Verdana" w:cs="Arial"/>
          <w:bCs/>
          <w:color w:val="000000"/>
          <w:kern w:val="2"/>
          <w14:ligatures w14:val="standardContextual"/>
        </w:rPr>
      </w:pPr>
      <w:r w:rsidRPr="00FC7825">
        <w:rPr>
          <w:rFonts w:ascii="Verdana" w:eastAsia="Calibri" w:hAnsi="Verdana" w:cs="Arial"/>
          <w:bCs/>
          <w:color w:val="000000"/>
          <w:kern w:val="2"/>
          <w14:ligatures w14:val="standardContextual"/>
        </w:rPr>
        <w:t>Revisar los documentos necesarios para efectuar los pagos al contratista, incluido el recibo a satisfacción de los bienes o servicios contratados.</w:t>
      </w:r>
    </w:p>
    <w:p w14:paraId="1390396A" w14:textId="77777777" w:rsidR="00060BFB" w:rsidRPr="00FC7825" w:rsidRDefault="00060BFB" w:rsidP="00060BFB">
      <w:pPr>
        <w:numPr>
          <w:ilvl w:val="0"/>
          <w:numId w:val="18"/>
        </w:numPr>
        <w:spacing w:after="120" w:line="276" w:lineRule="auto"/>
        <w:jc w:val="both"/>
        <w:rPr>
          <w:rFonts w:ascii="Verdana" w:eastAsia="Calibri" w:hAnsi="Verdana" w:cs="Arial"/>
          <w:bCs/>
          <w:color w:val="000000"/>
          <w:kern w:val="2"/>
          <w14:ligatures w14:val="standardContextual"/>
        </w:rPr>
      </w:pPr>
      <w:r w:rsidRPr="00FC7825">
        <w:rPr>
          <w:rFonts w:ascii="Verdana" w:eastAsia="Calibri" w:hAnsi="Verdana" w:cs="Arial"/>
          <w:bCs/>
          <w:color w:val="000000"/>
          <w:kern w:val="2"/>
          <w14:ligatures w14:val="standardContextual"/>
        </w:rPr>
        <w:t>Documentar los pagos y los ajustes que se efectúen al contrato y controlar el balance presupuestal para efectos de los pagos y de la liquidación contractual.</w:t>
      </w:r>
    </w:p>
    <w:p w14:paraId="1EF76463" w14:textId="77777777" w:rsidR="00060BFB" w:rsidRPr="00FC7825" w:rsidRDefault="00060BFB" w:rsidP="00060BFB">
      <w:pPr>
        <w:numPr>
          <w:ilvl w:val="0"/>
          <w:numId w:val="18"/>
        </w:numPr>
        <w:spacing w:after="120" w:line="276" w:lineRule="auto"/>
        <w:jc w:val="both"/>
        <w:rPr>
          <w:rFonts w:ascii="Verdana" w:eastAsia="Calibri" w:hAnsi="Verdana" w:cs="Arial"/>
          <w:bCs/>
          <w:color w:val="000000"/>
          <w:kern w:val="2"/>
          <w14:ligatures w14:val="standardContextual"/>
        </w:rPr>
      </w:pPr>
      <w:r w:rsidRPr="00FC7825">
        <w:rPr>
          <w:rFonts w:ascii="Verdana" w:eastAsia="Calibri" w:hAnsi="Verdana" w:cs="Arial"/>
          <w:bCs/>
          <w:color w:val="000000"/>
          <w:kern w:val="2"/>
          <w14:ligatures w14:val="standardContextual"/>
        </w:rPr>
        <w:t>Verificar la entrega de los anticipos pactados y su adecuada amortización, conforme a la ley y al contrato.</w:t>
      </w:r>
    </w:p>
    <w:p w14:paraId="13D2EB61" w14:textId="77777777" w:rsidR="00060BFB" w:rsidRPr="00FC7825" w:rsidRDefault="00060BFB" w:rsidP="00060BFB">
      <w:pPr>
        <w:numPr>
          <w:ilvl w:val="0"/>
          <w:numId w:val="18"/>
        </w:numPr>
        <w:spacing w:after="120" w:line="276" w:lineRule="auto"/>
        <w:jc w:val="both"/>
        <w:rPr>
          <w:rFonts w:ascii="Verdana" w:eastAsia="Calibri" w:hAnsi="Verdana" w:cs="Arial"/>
          <w:bCs/>
          <w:color w:val="000000"/>
          <w:kern w:val="2"/>
          <w14:ligatures w14:val="standardContextual"/>
        </w:rPr>
      </w:pPr>
      <w:r w:rsidRPr="00FC7825">
        <w:rPr>
          <w:rFonts w:ascii="Verdana" w:eastAsia="Calibri" w:hAnsi="Verdana" w:cs="Arial"/>
          <w:bCs/>
          <w:color w:val="000000"/>
          <w:kern w:val="2"/>
          <w14:ligatures w14:val="standardContextual"/>
        </w:rPr>
        <w:t>Verificar que las actividades adicionales que impliquen incremento del valor o modificación del objeto contractual cuenten con la debida autorización y estén justificadas técnica, presupuestal y jurídicamente.</w:t>
      </w:r>
    </w:p>
    <w:p w14:paraId="1D9CB1AC" w14:textId="77777777" w:rsidR="00060BFB" w:rsidRPr="00FC7825" w:rsidRDefault="00060BFB" w:rsidP="00060BFB">
      <w:pPr>
        <w:numPr>
          <w:ilvl w:val="0"/>
          <w:numId w:val="18"/>
        </w:numPr>
        <w:spacing w:after="120" w:line="276" w:lineRule="auto"/>
        <w:jc w:val="both"/>
        <w:rPr>
          <w:rFonts w:ascii="Verdana" w:eastAsia="Calibri" w:hAnsi="Verdana" w:cs="Arial"/>
          <w:bCs/>
          <w:color w:val="000000"/>
          <w:kern w:val="2"/>
          <w14:ligatures w14:val="standardContextual"/>
        </w:rPr>
      </w:pPr>
      <w:r w:rsidRPr="00FC7825">
        <w:rPr>
          <w:rFonts w:ascii="Verdana" w:eastAsia="Calibri" w:hAnsi="Verdana" w:cs="Arial"/>
          <w:bCs/>
          <w:color w:val="000000"/>
          <w:kern w:val="2"/>
          <w14:ligatures w14:val="standardContextual"/>
        </w:rPr>
        <w:t>Coordinar los trámites necesarios para la liquidación del contrato y aportar los documentos soporte correspondientes.</w:t>
      </w:r>
    </w:p>
    <w:p w14:paraId="2BE11C86" w14:textId="09A0D3DE" w:rsidR="00060BFB" w:rsidRDefault="00060BFB" w:rsidP="002A0319">
      <w:pPr>
        <w:spacing w:after="0" w:line="276" w:lineRule="auto"/>
        <w:ind w:firstLine="709"/>
        <w:jc w:val="both"/>
        <w:rPr>
          <w:rFonts w:ascii="Verdana" w:eastAsia="Calibri" w:hAnsi="Verdana" w:cs="Arial"/>
          <w:bCs/>
          <w:color w:val="000000"/>
          <w:kern w:val="2"/>
          <w14:ligatures w14:val="standardContextual"/>
        </w:rPr>
      </w:pPr>
      <w:r w:rsidRPr="00FC7825">
        <w:rPr>
          <w:rFonts w:ascii="Verdana" w:eastAsia="Calibri" w:hAnsi="Verdana" w:cs="Arial"/>
          <w:bCs/>
          <w:color w:val="000000"/>
          <w:kern w:val="2"/>
          <w14:ligatures w14:val="standardContextual"/>
        </w:rPr>
        <w:t xml:space="preserve">De esta manera, </w:t>
      </w:r>
      <w:r>
        <w:rPr>
          <w:rFonts w:ascii="Verdana" w:eastAsia="Calibri" w:hAnsi="Verdana" w:cs="Arial"/>
          <w:bCs/>
          <w:color w:val="000000"/>
          <w:kern w:val="2"/>
          <w14:ligatures w14:val="standardContextual"/>
        </w:rPr>
        <w:t xml:space="preserve">vemos que </w:t>
      </w:r>
      <w:r w:rsidRPr="00FC7825">
        <w:rPr>
          <w:rFonts w:ascii="Verdana" w:eastAsia="Calibri" w:hAnsi="Verdana" w:cs="Arial"/>
          <w:bCs/>
          <w:color w:val="000000"/>
          <w:kern w:val="2"/>
          <w14:ligatures w14:val="standardContextual"/>
        </w:rPr>
        <w:t>la supervisión financiera no se limita a una revisión meramente formal de facturas o cuentas de cobro, sino que implica un control integral del manejo de los recursos públicos asociados al contrato, desde su programación presupuestal hasta su liquidación final.</w:t>
      </w:r>
    </w:p>
    <w:p w14:paraId="178525FB" w14:textId="77777777" w:rsidR="002A0319" w:rsidRPr="002A0319" w:rsidRDefault="002A0319" w:rsidP="002A0319">
      <w:pPr>
        <w:spacing w:after="0" w:line="276" w:lineRule="auto"/>
        <w:ind w:firstLine="709"/>
        <w:jc w:val="both"/>
        <w:rPr>
          <w:rFonts w:ascii="Verdana" w:eastAsia="Calibri" w:hAnsi="Verdana" w:cs="Arial"/>
          <w:bCs/>
          <w:color w:val="000000"/>
          <w:kern w:val="2"/>
          <w14:ligatures w14:val="standardContextual"/>
        </w:rPr>
      </w:pPr>
    </w:p>
    <w:p w14:paraId="76100995" w14:textId="77777777" w:rsidR="00060BFB" w:rsidRPr="00C15DD4" w:rsidRDefault="00060BFB" w:rsidP="00060BFB">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Referencias normativas y jurisprudenciales:</w:t>
      </w:r>
    </w:p>
    <w:p w14:paraId="604C8F37" w14:textId="77777777" w:rsidR="00060BFB" w:rsidRPr="00C15DD4" w:rsidRDefault="00060BFB" w:rsidP="00060BFB">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60BFB" w:rsidRPr="00C15DD4" w14:paraId="53B35D19" w14:textId="77777777" w:rsidTr="00A209C6">
        <w:trPr>
          <w:trHeight w:val="410"/>
          <w:jc w:val="center"/>
        </w:trPr>
        <w:tc>
          <w:tcPr>
            <w:tcW w:w="8647" w:type="dxa"/>
          </w:tcPr>
          <w:p w14:paraId="741F1502" w14:textId="77777777" w:rsidR="00060BFB" w:rsidRPr="00305CCE" w:rsidRDefault="00060BFB" w:rsidP="002A0319">
            <w:pPr>
              <w:pStyle w:val="Prrafodelista"/>
              <w:numPr>
                <w:ilvl w:val="0"/>
                <w:numId w:val="17"/>
              </w:numPr>
              <w:spacing w:line="276" w:lineRule="auto"/>
              <w:rPr>
                <w:rFonts w:ascii="Verdana" w:hAnsi="Verdana" w:cs="Arial"/>
              </w:rPr>
            </w:pPr>
            <w:r w:rsidRPr="002C6D87">
              <w:rPr>
                <w:rFonts w:ascii="Verdana" w:hAnsi="Verdana" w:cs="Arial"/>
              </w:rPr>
              <w:t>Ley 80 de 1993, artículo</w:t>
            </w:r>
            <w:r>
              <w:rPr>
                <w:rFonts w:ascii="Verdana" w:hAnsi="Verdana" w:cs="Arial"/>
              </w:rPr>
              <w:t>s 3, 5, 25 y</w:t>
            </w:r>
            <w:r w:rsidRPr="002C6D87">
              <w:rPr>
                <w:rFonts w:ascii="Verdana" w:hAnsi="Verdana" w:cs="Arial"/>
              </w:rPr>
              <w:t xml:space="preserve"> 32, numeral 3º. </w:t>
            </w:r>
          </w:p>
          <w:p w14:paraId="6775DA5F" w14:textId="77777777" w:rsidR="00060BFB" w:rsidRDefault="00060BFB" w:rsidP="002A0319">
            <w:pPr>
              <w:pStyle w:val="Prrafodelista"/>
              <w:numPr>
                <w:ilvl w:val="0"/>
                <w:numId w:val="17"/>
              </w:numPr>
              <w:spacing w:line="276" w:lineRule="auto"/>
              <w:rPr>
                <w:rFonts w:ascii="Verdana" w:hAnsi="Verdana" w:cs="Arial"/>
              </w:rPr>
            </w:pPr>
            <w:r w:rsidRPr="002C6D87">
              <w:rPr>
                <w:rFonts w:ascii="Verdana" w:hAnsi="Verdana" w:cs="Arial"/>
              </w:rPr>
              <w:t xml:space="preserve">Ley 1150 de 2007, artículo 2, numeral 4º, literal h). </w:t>
            </w:r>
          </w:p>
          <w:p w14:paraId="2F47570A" w14:textId="77777777" w:rsidR="00060BFB" w:rsidRPr="00305CCE" w:rsidRDefault="00060BFB" w:rsidP="002A0319">
            <w:pPr>
              <w:pStyle w:val="Prrafodelista"/>
              <w:numPr>
                <w:ilvl w:val="0"/>
                <w:numId w:val="17"/>
              </w:numPr>
              <w:spacing w:line="276" w:lineRule="auto"/>
              <w:rPr>
                <w:rFonts w:ascii="Verdana" w:hAnsi="Verdana" w:cs="Arial"/>
              </w:rPr>
            </w:pPr>
            <w:r w:rsidRPr="00B7290B">
              <w:rPr>
                <w:rFonts w:ascii="Verdana" w:eastAsia="Times New Roman" w:hAnsi="Verdana" w:cs="Arial"/>
                <w:bCs/>
              </w:rPr>
              <w:t>Ley 1474 de 2011</w:t>
            </w:r>
            <w:r>
              <w:rPr>
                <w:rFonts w:ascii="Verdana" w:eastAsia="Times New Roman" w:hAnsi="Verdana" w:cs="Arial"/>
                <w:bCs/>
              </w:rPr>
              <w:t>, artículos 83 y 84</w:t>
            </w:r>
          </w:p>
          <w:p w14:paraId="5EE2DD05" w14:textId="77777777" w:rsidR="00060BFB" w:rsidRDefault="00060BFB" w:rsidP="002A0319">
            <w:pPr>
              <w:numPr>
                <w:ilvl w:val="0"/>
                <w:numId w:val="17"/>
              </w:numPr>
              <w:spacing w:line="276" w:lineRule="auto"/>
              <w:rPr>
                <w:rFonts w:ascii="Verdana" w:hAnsi="Verdana" w:cs="Arial"/>
              </w:rPr>
            </w:pPr>
            <w:r w:rsidRPr="3BD955A3">
              <w:rPr>
                <w:rFonts w:ascii="Verdana" w:eastAsia="Calibri" w:hAnsi="Verdana" w:cs="Arial"/>
                <w:color w:val="000000" w:themeColor="text1"/>
              </w:rPr>
              <w:t xml:space="preserve">Decreto 1068 de 2015, artículos 2.8.4.1.2., </w:t>
            </w:r>
            <w:r w:rsidRPr="00FF02AF">
              <w:rPr>
                <w:rFonts w:ascii="Verdana" w:hAnsi="Verdana" w:cs="Arial"/>
              </w:rPr>
              <w:t>2.8.4.4.6</w:t>
            </w:r>
            <w:r>
              <w:rPr>
                <w:rFonts w:ascii="Verdana" w:hAnsi="Verdana" w:cs="Arial"/>
              </w:rPr>
              <w:t>.</w:t>
            </w:r>
          </w:p>
          <w:p w14:paraId="4045E01C" w14:textId="77777777" w:rsidR="00060BFB" w:rsidRPr="003C7B51" w:rsidRDefault="00060BFB" w:rsidP="002A0319">
            <w:pPr>
              <w:pStyle w:val="Prrafodelista"/>
              <w:numPr>
                <w:ilvl w:val="0"/>
                <w:numId w:val="17"/>
              </w:numPr>
              <w:spacing w:line="276" w:lineRule="auto"/>
              <w:jc w:val="both"/>
              <w:rPr>
                <w:rFonts w:ascii="Verdana" w:hAnsi="Verdana" w:cs="Arial"/>
                <w:lang w:val="es-MX"/>
              </w:rPr>
            </w:pPr>
            <w:r w:rsidRPr="004A38AC">
              <w:rPr>
                <w:rFonts w:ascii="Verdana" w:hAnsi="Verdana" w:cs="Arial"/>
                <w:lang w:val="es-MX"/>
              </w:rPr>
              <w:t xml:space="preserve">Consejo de Estado. Sala de lo Contencioso Administrativo. Sección Tercera. Subsección </w:t>
            </w:r>
            <w:r>
              <w:rPr>
                <w:rFonts w:ascii="Verdana" w:hAnsi="Verdana" w:cs="Arial"/>
                <w:lang w:val="es-MX"/>
              </w:rPr>
              <w:t>A</w:t>
            </w:r>
            <w:r w:rsidRPr="004A38AC">
              <w:rPr>
                <w:rFonts w:ascii="Verdana" w:hAnsi="Verdana" w:cs="Arial"/>
                <w:lang w:val="es-MX"/>
              </w:rPr>
              <w:t xml:space="preserve">. Sentencia del </w:t>
            </w:r>
            <w:r>
              <w:rPr>
                <w:rFonts w:ascii="Verdana" w:hAnsi="Verdana" w:cs="Arial"/>
                <w:lang w:val="es-MX"/>
              </w:rPr>
              <w:t>7</w:t>
            </w:r>
            <w:r w:rsidRPr="004A38AC">
              <w:rPr>
                <w:rFonts w:ascii="Verdana" w:hAnsi="Verdana" w:cs="Arial"/>
                <w:lang w:val="es-MX"/>
              </w:rPr>
              <w:t xml:space="preserve"> de </w:t>
            </w:r>
            <w:r>
              <w:rPr>
                <w:rFonts w:ascii="Verdana" w:hAnsi="Verdana" w:cs="Arial"/>
                <w:lang w:val="es-MX"/>
              </w:rPr>
              <w:t>noviembre de 2025</w:t>
            </w:r>
            <w:r w:rsidRPr="004A38AC">
              <w:rPr>
                <w:rFonts w:ascii="Verdana" w:hAnsi="Verdana" w:cs="Arial"/>
                <w:lang w:val="es-MX"/>
              </w:rPr>
              <w:t xml:space="preserve">. </w:t>
            </w:r>
            <w:proofErr w:type="spellStart"/>
            <w:r w:rsidRPr="004A38AC">
              <w:rPr>
                <w:rFonts w:ascii="Verdana" w:hAnsi="Verdana" w:cs="Arial"/>
                <w:lang w:val="es-MX"/>
              </w:rPr>
              <w:t>Exp</w:t>
            </w:r>
            <w:proofErr w:type="spellEnd"/>
            <w:r w:rsidRPr="004A38AC">
              <w:rPr>
                <w:rFonts w:ascii="Verdana" w:hAnsi="Verdana" w:cs="Arial"/>
                <w:lang w:val="es-MX"/>
              </w:rPr>
              <w:t xml:space="preserve">. </w:t>
            </w:r>
            <w:r>
              <w:rPr>
                <w:rFonts w:ascii="Verdana" w:hAnsi="Verdana" w:cs="Arial"/>
                <w:lang w:val="es-MX"/>
              </w:rPr>
              <w:t>72111</w:t>
            </w:r>
            <w:r w:rsidRPr="004A38AC">
              <w:rPr>
                <w:rFonts w:ascii="Verdana" w:hAnsi="Verdana" w:cs="Arial"/>
                <w:lang w:val="es-MX"/>
              </w:rPr>
              <w:t xml:space="preserve">. Consejero Ponente: </w:t>
            </w:r>
            <w:r>
              <w:rPr>
                <w:rFonts w:ascii="Verdana" w:hAnsi="Verdana" w:cs="Arial"/>
                <w:lang w:val="es-MX"/>
              </w:rPr>
              <w:t>Fernando Alexei Pardo Flórez</w:t>
            </w:r>
            <w:r w:rsidRPr="004A38AC">
              <w:rPr>
                <w:rFonts w:ascii="Verdana" w:hAnsi="Verdana" w:cs="Arial"/>
                <w:lang w:val="es-MX"/>
              </w:rPr>
              <w:t>.</w:t>
            </w:r>
          </w:p>
        </w:tc>
      </w:tr>
    </w:tbl>
    <w:p w14:paraId="23077A80" w14:textId="77777777" w:rsidR="00060BFB" w:rsidRPr="00C15DD4" w:rsidRDefault="00060BFB" w:rsidP="00060BFB">
      <w:pPr>
        <w:widowControl w:val="0"/>
        <w:autoSpaceDE w:val="0"/>
        <w:autoSpaceDN w:val="0"/>
        <w:spacing w:after="0" w:line="276" w:lineRule="auto"/>
        <w:jc w:val="both"/>
        <w:rPr>
          <w:rFonts w:ascii="Verdana" w:eastAsia="Calibri" w:hAnsi="Verdana" w:cs="Arial"/>
        </w:rPr>
      </w:pPr>
    </w:p>
    <w:p w14:paraId="70F341FC" w14:textId="77777777" w:rsidR="00060BFB" w:rsidRPr="00C15DD4" w:rsidRDefault="00060BFB" w:rsidP="00060BFB">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Doctrina de la Agencia Nacional de Contratación Pública:</w:t>
      </w:r>
    </w:p>
    <w:p w14:paraId="3F37574F" w14:textId="77777777" w:rsidR="00060BFB" w:rsidRPr="00C15DD4" w:rsidRDefault="00060BFB" w:rsidP="00060BFB">
      <w:pPr>
        <w:widowControl w:val="0"/>
        <w:autoSpaceDE w:val="0"/>
        <w:autoSpaceDN w:val="0"/>
        <w:spacing w:after="0" w:line="276" w:lineRule="auto"/>
        <w:jc w:val="both"/>
        <w:rPr>
          <w:rFonts w:ascii="Verdana" w:eastAsia="Calibri" w:hAnsi="Verdana" w:cs="Arial"/>
          <w:color w:val="000000"/>
          <w:kern w:val="2"/>
          <w:shd w:val="clear" w:color="auto" w:fill="FFFFFF"/>
          <w14:ligatures w14:val="standardContextual"/>
        </w:rPr>
      </w:pPr>
    </w:p>
    <w:p w14:paraId="03580546" w14:textId="258AE5AE" w:rsidR="00060BFB" w:rsidRPr="00C15DD4" w:rsidRDefault="00060BFB" w:rsidP="00D11031">
      <w:pPr>
        <w:spacing w:line="276" w:lineRule="auto"/>
        <w:jc w:val="both"/>
        <w:rPr>
          <w:rFonts w:ascii="Verdana" w:eastAsia="Times New Roman" w:hAnsi="Verdana" w:cs="Arial"/>
          <w:shd w:val="clear" w:color="auto" w:fill="FFFFFF"/>
        </w:rPr>
      </w:pPr>
      <w:r w:rsidRPr="007620A6">
        <w:rPr>
          <w:rFonts w:ascii="Verdana" w:hAnsi="Verdana" w:cs="Arial"/>
          <w:shd w:val="clear" w:color="auto" w:fill="FFFFFF"/>
          <w:lang w:val="es-ES"/>
        </w:rPr>
        <w:t>Sobre los contratos de prestación de servicios, así como los requisitos para su celebración, entre otros, se pronunció esta Subdirección en los conceptos</w:t>
      </w:r>
      <w:r w:rsidRPr="007620A6">
        <w:rPr>
          <w:rFonts w:ascii="Verdana" w:hAnsi="Verdana" w:cs="Arial"/>
          <w:shd w:val="clear" w:color="auto" w:fill="FFFFFF"/>
        </w:rPr>
        <w:t xml:space="preserve"> </w:t>
      </w:r>
      <w:r w:rsidRPr="007620A6">
        <w:rPr>
          <w:rFonts w:ascii="Verdana" w:hAnsi="Verdana" w:cs="Arial"/>
          <w:shd w:val="clear" w:color="auto" w:fill="FFFFFF"/>
          <w:lang w:val="es-ES"/>
        </w:rPr>
        <w:lastRenderedPageBreak/>
        <w:t>4201913000006452 del 07 de octubre de 2019, 4201912000006434 del 30 de octubre de 2019, 4201913000006444 del 01 de noviembre de 2019, 4201913000006331 del 07 de noviembre de 2019, 4201912000006692 del 12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w:t>
      </w:r>
      <w:r w:rsidRPr="007620A6">
        <w:rPr>
          <w:rFonts w:ascii="Verdana" w:hAnsi="Verdana" w:cs="Arial"/>
          <w:lang w:val="es-ES"/>
        </w:rPr>
        <w:t xml:space="preserve">, C-441 del 16 de mayo de 2025, C-517 del 27 de mayo de 2025, entre otros.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p>
    <w:p w14:paraId="3C99DB28" w14:textId="540EE5D8" w:rsidR="00060BFB" w:rsidRPr="00C15DD4" w:rsidRDefault="00060BFB" w:rsidP="007042E1">
      <w:pPr>
        <w:spacing w:line="276" w:lineRule="auto"/>
        <w:jc w:val="both"/>
        <w:rPr>
          <w:rFonts w:ascii="Verdana" w:hAnsi="Verdana"/>
        </w:rPr>
      </w:pPr>
      <w:r w:rsidRPr="00C15DD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5796FE9" w14:textId="77777777" w:rsidR="00060BFB" w:rsidRPr="00C15DD4" w:rsidRDefault="00060BFB" w:rsidP="00060BFB">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C15DD4">
        <w:rPr>
          <w:rFonts w:ascii="Verdana" w:eastAsia="Verdana" w:hAnsi="Verdana" w:cs="Verdana"/>
          <w:lang w:val="es-CO"/>
        </w:rPr>
        <w:t xml:space="preserve">Línea nacional gratuita o servicio a la ciudadanía (Mesa de servicio): </w:t>
      </w:r>
      <w:r w:rsidRPr="00C15DD4">
        <w:rPr>
          <w:rStyle w:val="Hipervnculo"/>
          <w:rFonts w:ascii="Verdana" w:hAnsi="Verdana"/>
          <w:lang w:val="es-CO"/>
        </w:rPr>
        <w:t>01800 0520808</w:t>
      </w:r>
    </w:p>
    <w:p w14:paraId="4EC72A71" w14:textId="0899F876" w:rsidR="00060BFB" w:rsidRPr="00C15DD4" w:rsidRDefault="00060BFB" w:rsidP="00060BFB">
      <w:pPr>
        <w:pStyle w:val="Prrafodelista"/>
        <w:numPr>
          <w:ilvl w:val="0"/>
          <w:numId w:val="15"/>
        </w:numPr>
        <w:spacing w:after="0" w:line="276" w:lineRule="auto"/>
        <w:rPr>
          <w:rFonts w:ascii="Verdana" w:eastAsia="Verdana" w:hAnsi="Verdana" w:cs="Verdana"/>
          <w:color w:val="4472C4" w:themeColor="accent1"/>
          <w:u w:val="single"/>
          <w:lang w:val="es-CO"/>
        </w:rPr>
      </w:pPr>
      <w:r w:rsidRPr="00C15DD4">
        <w:rPr>
          <w:rFonts w:ascii="Verdana" w:eastAsia="Verdana" w:hAnsi="Verdana" w:cs="Verdana"/>
          <w:lang w:val="es-CO"/>
        </w:rPr>
        <w:t>Línea en Bogotá (Mesa de servicio</w:t>
      </w:r>
      <w:r w:rsidR="00D11031" w:rsidRPr="00C15DD4">
        <w:rPr>
          <w:rFonts w:ascii="Verdana" w:eastAsia="Verdana" w:hAnsi="Verdana" w:cs="Verdana"/>
          <w:lang w:val="es-CO"/>
        </w:rPr>
        <w:t>):</w:t>
      </w:r>
      <w:r w:rsidR="00D11031" w:rsidRPr="00C15DD4">
        <w:rPr>
          <w:rStyle w:val="Hipervnculo"/>
          <w:rFonts w:ascii="Verdana" w:hAnsi="Verdana"/>
          <w:lang w:val="es-CO"/>
        </w:rPr>
        <w:t xml:space="preserve"> +</w:t>
      </w:r>
      <w:r w:rsidRPr="00C15DD4">
        <w:rPr>
          <w:rStyle w:val="Hipervnculo"/>
          <w:rFonts w:ascii="Verdana" w:hAnsi="Verdana"/>
          <w:lang w:val="es-CO"/>
        </w:rPr>
        <w:t>57 601 7456788</w:t>
      </w:r>
    </w:p>
    <w:p w14:paraId="49B40100" w14:textId="77777777" w:rsidR="00060BFB" w:rsidRPr="00C15DD4" w:rsidRDefault="00060BFB" w:rsidP="00060BFB">
      <w:pPr>
        <w:pStyle w:val="Prrafodelista"/>
        <w:numPr>
          <w:ilvl w:val="0"/>
          <w:numId w:val="15"/>
        </w:numPr>
        <w:spacing w:after="0" w:line="276" w:lineRule="auto"/>
        <w:rPr>
          <w:rFonts w:ascii="Verdana" w:eastAsia="Verdana" w:hAnsi="Verdana" w:cs="Verdana"/>
          <w:color w:val="0000FF"/>
          <w:u w:val="single"/>
          <w:lang w:val="es-CO"/>
        </w:rPr>
      </w:pPr>
      <w:r w:rsidRPr="00C15DD4">
        <w:rPr>
          <w:rFonts w:ascii="Verdana" w:eastAsia="Verdana" w:hAnsi="Verdana" w:cs="Verdana"/>
          <w:lang w:val="es-CO"/>
        </w:rPr>
        <w:t xml:space="preserve">Correo de radicación de correspondencia: </w:t>
      </w:r>
      <w:hyperlink r:id="rId13" w:history="1">
        <w:r w:rsidRPr="00C15DD4">
          <w:rPr>
            <w:rStyle w:val="Hipervnculo"/>
            <w:rFonts w:ascii="Verdana" w:eastAsia="Verdana" w:hAnsi="Verdana" w:cs="Verdana"/>
            <w:lang w:val="es-CO"/>
          </w:rPr>
          <w:t>ventanilladeradicacion@colombiacompra.gov.co</w:t>
        </w:r>
      </w:hyperlink>
    </w:p>
    <w:p w14:paraId="5808D452" w14:textId="66701B5B" w:rsidR="00060BFB" w:rsidRPr="00D11031" w:rsidRDefault="00060BFB" w:rsidP="00CD7040">
      <w:pPr>
        <w:pStyle w:val="Prrafodelista"/>
        <w:numPr>
          <w:ilvl w:val="0"/>
          <w:numId w:val="15"/>
        </w:numPr>
        <w:spacing w:after="0" w:line="276" w:lineRule="auto"/>
        <w:ind w:left="720"/>
        <w:jc w:val="both"/>
        <w:rPr>
          <w:rFonts w:ascii="Verdana" w:hAnsi="Verdana"/>
        </w:rPr>
      </w:pPr>
      <w:r w:rsidRPr="007042E1">
        <w:rPr>
          <w:rFonts w:ascii="Verdana" w:eastAsia="Verdana" w:hAnsi="Verdana" w:cs="Verdana"/>
          <w:lang w:val="es-CO"/>
        </w:rPr>
        <w:lastRenderedPageBreak/>
        <w:t xml:space="preserve">Formulario web para PQRSD: </w:t>
      </w:r>
      <w:hyperlink r:id="rId14" w:history="1">
        <w:r w:rsidRPr="007042E1">
          <w:rPr>
            <w:rStyle w:val="Hipervnculo"/>
            <w:rFonts w:ascii="Verdana" w:eastAsia="Verdana" w:hAnsi="Verdana" w:cs="Verdana"/>
            <w:lang w:val="es-CO"/>
          </w:rPr>
          <w:t>https://www.colombiacompra.gov.co/pqrsd/informacion-importante-antes-de-formular-una-pqrsd</w:t>
        </w:r>
      </w:hyperlink>
    </w:p>
    <w:p w14:paraId="4E442787" w14:textId="77777777" w:rsidR="00D11031" w:rsidRPr="007042E1" w:rsidRDefault="00D11031" w:rsidP="00D11031">
      <w:pPr>
        <w:pStyle w:val="Prrafodelista"/>
        <w:spacing w:after="0" w:line="276" w:lineRule="auto"/>
        <w:jc w:val="both"/>
        <w:rPr>
          <w:rFonts w:ascii="Verdana" w:hAnsi="Verdana"/>
        </w:rPr>
      </w:pPr>
    </w:p>
    <w:p w14:paraId="0043E223" w14:textId="51B0978D" w:rsidR="00060BFB" w:rsidRPr="00C15DD4" w:rsidRDefault="00060BFB" w:rsidP="007042E1">
      <w:pPr>
        <w:spacing w:line="276" w:lineRule="auto"/>
        <w:rPr>
          <w:rFonts w:ascii="Verdana" w:hAnsi="Verdana"/>
        </w:rPr>
      </w:pPr>
      <w:r w:rsidRPr="00C15DD4">
        <w:rPr>
          <w:rFonts w:ascii="Verdana" w:hAnsi="Verdana"/>
        </w:rPr>
        <w:t>Evalúa el servicio que ofrece la Agencia por el canal de atención de PQRSD en el siguiente enlace:</w:t>
      </w:r>
      <w:r w:rsidR="007042E1">
        <w:rPr>
          <w:rFonts w:ascii="Verdana" w:hAnsi="Verdana"/>
        </w:rPr>
        <w:t xml:space="preserve"> </w:t>
      </w:r>
      <w:hyperlink r:id="rId15" w:history="1">
        <w:r w:rsidR="007042E1" w:rsidRPr="00E202FD">
          <w:rPr>
            <w:rStyle w:val="Hipervnculo"/>
            <w:rFonts w:ascii="Verdana" w:hAnsi="Verdana"/>
          </w:rPr>
          <w:t>https://forms.office.com/r/pPHyWVs2SZ</w:t>
        </w:r>
      </w:hyperlink>
      <w:r w:rsidRPr="00C15DD4">
        <w:rPr>
          <w:rFonts w:ascii="Verdana" w:hAnsi="Verdana"/>
        </w:rPr>
        <w:t xml:space="preserve"> .¡Ayúdanos a mejorar porque el compromiso es de todos!</w:t>
      </w:r>
    </w:p>
    <w:p w14:paraId="09024421" w14:textId="5EEFB251" w:rsidR="00060BFB" w:rsidRPr="00C15DD4" w:rsidRDefault="00060BFB" w:rsidP="007042E1">
      <w:pPr>
        <w:spacing w:line="276" w:lineRule="auto"/>
        <w:jc w:val="both"/>
        <w:rPr>
          <w:rFonts w:ascii="Verdana" w:hAnsi="Verdana"/>
        </w:rPr>
      </w:pPr>
      <w:r w:rsidRPr="00C15DD4">
        <w:rPr>
          <w:rFonts w:ascii="Verdana" w:hAnsi="Verdana"/>
        </w:rPr>
        <w:t xml:space="preserve">Por último, lo invitamos a seguirnos en las redes sociales en las cuales se difunde información institucional: </w:t>
      </w:r>
    </w:p>
    <w:p w14:paraId="36FC52A5" w14:textId="77777777" w:rsidR="00060BFB" w:rsidRPr="00C15DD4" w:rsidRDefault="00060BFB" w:rsidP="00060BFB">
      <w:pPr>
        <w:spacing w:after="0" w:line="276" w:lineRule="auto"/>
        <w:jc w:val="both"/>
        <w:rPr>
          <w:rFonts w:ascii="Verdana" w:hAnsi="Verdana"/>
        </w:rPr>
      </w:pPr>
      <w:r w:rsidRPr="00C15DD4">
        <w:rPr>
          <w:rFonts w:ascii="Verdana" w:hAnsi="Verdana"/>
        </w:rPr>
        <w:t xml:space="preserve">Twitter: </w:t>
      </w:r>
      <w:r w:rsidRPr="00C15DD4">
        <w:rPr>
          <w:rStyle w:val="Hipervnculo"/>
          <w:rFonts w:ascii="Verdana" w:hAnsi="Verdana"/>
        </w:rPr>
        <w:t>@colombiacompra</w:t>
      </w:r>
      <w:r w:rsidRPr="00C15DD4">
        <w:rPr>
          <w:rFonts w:ascii="Verdana" w:hAnsi="Verdana"/>
        </w:rPr>
        <w:t xml:space="preserve"> </w:t>
      </w:r>
    </w:p>
    <w:p w14:paraId="08FB67AD" w14:textId="77777777" w:rsidR="00060BFB" w:rsidRPr="00C15DD4" w:rsidRDefault="00060BFB" w:rsidP="00060BFB">
      <w:pPr>
        <w:spacing w:after="0" w:line="276" w:lineRule="auto"/>
        <w:jc w:val="both"/>
        <w:rPr>
          <w:rFonts w:ascii="Verdana" w:hAnsi="Verdana"/>
        </w:rPr>
      </w:pPr>
      <w:r w:rsidRPr="00C15DD4">
        <w:rPr>
          <w:rFonts w:ascii="Verdana" w:hAnsi="Verdana"/>
        </w:rPr>
        <w:t xml:space="preserve">Facebook: </w:t>
      </w:r>
      <w:proofErr w:type="spellStart"/>
      <w:r w:rsidRPr="00C15DD4">
        <w:rPr>
          <w:rStyle w:val="Hipervnculo"/>
          <w:rFonts w:ascii="Verdana" w:hAnsi="Verdana"/>
        </w:rPr>
        <w:t>ColombiaCompraEficiente</w:t>
      </w:r>
      <w:proofErr w:type="spellEnd"/>
    </w:p>
    <w:p w14:paraId="2FC50242" w14:textId="77777777" w:rsidR="00060BFB" w:rsidRPr="00C15DD4" w:rsidRDefault="00060BFB" w:rsidP="00060BFB">
      <w:pPr>
        <w:spacing w:after="0" w:line="276" w:lineRule="auto"/>
        <w:jc w:val="both"/>
        <w:rPr>
          <w:rFonts w:ascii="Verdana" w:hAnsi="Verdana"/>
        </w:rPr>
      </w:pPr>
      <w:r w:rsidRPr="00C15DD4">
        <w:rPr>
          <w:rFonts w:ascii="Verdana" w:hAnsi="Verdana"/>
        </w:rPr>
        <w:t xml:space="preserve">LinkedIn: </w:t>
      </w:r>
      <w:r w:rsidRPr="00C15DD4">
        <w:rPr>
          <w:rStyle w:val="Hipervnculo"/>
          <w:rFonts w:ascii="Verdana" w:hAnsi="Verdana"/>
        </w:rPr>
        <w:t>Agencia Nacional de Contratación Pública - Colombia Compra Eficiente</w:t>
      </w:r>
      <w:r w:rsidRPr="00C15DD4">
        <w:rPr>
          <w:rFonts w:ascii="Verdana" w:hAnsi="Verdana"/>
        </w:rPr>
        <w:t xml:space="preserve"> Instagram: </w:t>
      </w:r>
      <w:r w:rsidRPr="00C15DD4">
        <w:rPr>
          <w:rStyle w:val="Hipervnculo"/>
          <w:rFonts w:ascii="Verdana" w:hAnsi="Verdana"/>
        </w:rPr>
        <w:t>@colombiacompraeficiente_cce</w:t>
      </w:r>
    </w:p>
    <w:p w14:paraId="33F47079" w14:textId="77777777" w:rsidR="00060BFB" w:rsidRPr="00C15DD4" w:rsidRDefault="00060BFB" w:rsidP="00060BFB">
      <w:pPr>
        <w:spacing w:after="0" w:line="276" w:lineRule="auto"/>
        <w:jc w:val="both"/>
        <w:rPr>
          <w:rFonts w:ascii="Verdana" w:hAnsi="Verdana"/>
        </w:rPr>
      </w:pPr>
    </w:p>
    <w:p w14:paraId="438BAB46" w14:textId="77777777" w:rsidR="00060BFB" w:rsidRPr="00C15DD4" w:rsidRDefault="00060BFB" w:rsidP="00060BFB">
      <w:pPr>
        <w:spacing w:after="0" w:line="276" w:lineRule="auto"/>
        <w:jc w:val="both"/>
        <w:rPr>
          <w:rFonts w:ascii="Verdana" w:eastAsia="Calibri" w:hAnsi="Verdana" w:cs="Times New Roman"/>
          <w:bCs/>
        </w:rPr>
      </w:pPr>
      <w:r w:rsidRPr="00C15DD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03663AF" w14:textId="77777777" w:rsidR="00060BFB" w:rsidRPr="00C15DD4" w:rsidRDefault="00060BFB" w:rsidP="00060BFB">
      <w:pPr>
        <w:spacing w:after="0" w:line="276" w:lineRule="auto"/>
        <w:jc w:val="both"/>
        <w:rPr>
          <w:rFonts w:ascii="Verdana" w:hAnsi="Verdana"/>
        </w:rPr>
      </w:pPr>
    </w:p>
    <w:p w14:paraId="219B26D0" w14:textId="3EDCC0E6" w:rsidR="00060BFB" w:rsidRPr="00C15DD4" w:rsidRDefault="00060BFB" w:rsidP="00060BFB">
      <w:pPr>
        <w:spacing w:after="0" w:line="276" w:lineRule="auto"/>
        <w:rPr>
          <w:rFonts w:ascii="Verdana" w:eastAsia="Times New Roman" w:hAnsi="Verdana" w:cs="Arial"/>
          <w:lang w:eastAsia="es-CO"/>
        </w:rPr>
      </w:pPr>
      <w:bookmarkStart w:id="9" w:name="_Hlk117695077"/>
    </w:p>
    <w:p w14:paraId="4F866395" w14:textId="4BA288F2" w:rsidR="00E95DFC" w:rsidRPr="00E95DFC" w:rsidRDefault="00E95DFC" w:rsidP="00E95DFC">
      <w:pPr>
        <w:spacing w:after="0" w:line="240" w:lineRule="auto"/>
        <w:rPr>
          <w:rFonts w:ascii="Times New Roman" w:eastAsia="Times New Roman" w:hAnsi="Times New Roman" w:cs="Times New Roman"/>
          <w:sz w:val="24"/>
          <w:szCs w:val="24"/>
          <w:lang w:eastAsia="es-CO"/>
        </w:rPr>
      </w:pPr>
    </w:p>
    <w:p w14:paraId="582CC52A" w14:textId="356C8B60" w:rsidR="00060BFB" w:rsidRPr="00C15DD4" w:rsidRDefault="00E95DFC" w:rsidP="00060BFB">
      <w:pPr>
        <w:spacing w:after="0" w:line="276" w:lineRule="auto"/>
        <w:rPr>
          <w:rFonts w:ascii="Verdana" w:eastAsia="Times New Roman" w:hAnsi="Verdana" w:cs="Arial"/>
          <w:lang w:eastAsia="es-CO"/>
        </w:rPr>
      </w:pPr>
      <w:r w:rsidRPr="00E95DFC">
        <w:rPr>
          <w:rFonts w:ascii="Times New Roman" w:eastAsia="Times New Roman" w:hAnsi="Times New Roman" w:cs="Times New Roman"/>
          <w:noProof/>
          <w:sz w:val="24"/>
          <w:szCs w:val="24"/>
          <w:lang w:eastAsia="es-CO"/>
        </w:rPr>
        <w:drawing>
          <wp:anchor distT="0" distB="0" distL="114300" distR="114300" simplePos="0" relativeHeight="251660288" behindDoc="1" locked="0" layoutInCell="1" allowOverlap="1" wp14:anchorId="71A73B12" wp14:editId="202BA517">
            <wp:simplePos x="0" y="0"/>
            <wp:positionH relativeFrom="margin">
              <wp:align>center</wp:align>
            </wp:positionH>
            <wp:positionV relativeFrom="paragraph">
              <wp:posOffset>4445</wp:posOffset>
            </wp:positionV>
            <wp:extent cx="2639060" cy="981710"/>
            <wp:effectExtent l="0" t="0" r="8890" b="8890"/>
            <wp:wrapNone/>
            <wp:docPr id="5" name="Imagen 4"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descr="Texto&#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39060" cy="981710"/>
                    </a:xfrm>
                    <a:prstGeom prst="rect">
                      <a:avLst/>
                    </a:prstGeom>
                    <a:noFill/>
                    <a:ln>
                      <a:noFill/>
                    </a:ln>
                  </pic:spPr>
                </pic:pic>
              </a:graphicData>
            </a:graphic>
          </wp:anchor>
        </w:drawing>
      </w:r>
      <w:r w:rsidR="00060BFB" w:rsidRPr="00C15DD4">
        <w:rPr>
          <w:rFonts w:ascii="Verdana" w:eastAsia="Times New Roman" w:hAnsi="Verdana" w:cs="Arial"/>
          <w:lang w:eastAsia="es-CO"/>
        </w:rPr>
        <w:t>Atentamente,</w:t>
      </w:r>
      <w:r w:rsidR="00060BFB">
        <w:rPr>
          <w:rFonts w:ascii="Verdana" w:eastAsia="Times New Roman" w:hAnsi="Verdana" w:cs="Arial"/>
          <w:lang w:eastAsia="es-CO"/>
        </w:rPr>
        <w:t xml:space="preserve"> </w:t>
      </w:r>
    </w:p>
    <w:p w14:paraId="4894C0A9" w14:textId="77777777" w:rsidR="00060BFB" w:rsidRPr="00C15DD4" w:rsidRDefault="00060BFB" w:rsidP="00060BFB">
      <w:pPr>
        <w:spacing w:after="0" w:line="276" w:lineRule="auto"/>
        <w:jc w:val="center"/>
        <w:rPr>
          <w:rFonts w:ascii="Verdana" w:eastAsia="Times New Roman" w:hAnsi="Verdana" w:cs="Arial"/>
          <w:lang w:eastAsia="es-CO"/>
        </w:rPr>
      </w:pPr>
      <w:r w:rsidRPr="00C15DD4">
        <w:rPr>
          <w:rFonts w:ascii="Verdana" w:eastAsia="Times New Roman" w:hAnsi="Verdana" w:cs="Arial"/>
          <w:lang w:eastAsia="es-CO"/>
        </w:rPr>
        <w:t xml:space="preserve"> </w:t>
      </w:r>
    </w:p>
    <w:p w14:paraId="0DAFFC86" w14:textId="77777777" w:rsidR="00060BFB" w:rsidRPr="00C15DD4" w:rsidRDefault="00060BFB" w:rsidP="00060BFB">
      <w:pPr>
        <w:spacing w:after="0" w:line="276" w:lineRule="auto"/>
        <w:jc w:val="center"/>
        <w:rPr>
          <w:rFonts w:ascii="Verdana" w:eastAsia="Times New Roman" w:hAnsi="Verdana" w:cs="Arial"/>
          <w:lang w:eastAsia="es-CO"/>
        </w:rPr>
      </w:pPr>
    </w:p>
    <w:bookmarkEnd w:id="9"/>
    <w:p w14:paraId="33774E16" w14:textId="77777777" w:rsidR="00060BFB" w:rsidRDefault="00060BFB" w:rsidP="00060BFB">
      <w:pPr>
        <w:spacing w:after="0" w:line="276" w:lineRule="auto"/>
        <w:jc w:val="center"/>
        <w:rPr>
          <w:rFonts w:ascii="Verdana" w:eastAsia="Times New Roman" w:hAnsi="Verdana" w:cs="Arial"/>
        </w:rPr>
      </w:pPr>
    </w:p>
    <w:p w14:paraId="02FB7EAF" w14:textId="77777777" w:rsidR="00060BFB" w:rsidRDefault="00060BFB" w:rsidP="00060BFB">
      <w:pPr>
        <w:spacing w:after="0" w:line="276" w:lineRule="auto"/>
        <w:jc w:val="center"/>
        <w:rPr>
          <w:rFonts w:ascii="Verdana" w:eastAsia="Times New Roman" w:hAnsi="Verdana" w:cs="Arial"/>
        </w:rPr>
      </w:pPr>
    </w:p>
    <w:p w14:paraId="0537A724" w14:textId="77777777" w:rsidR="00060BFB" w:rsidRPr="00C15DD4" w:rsidRDefault="00060BFB" w:rsidP="00060BFB">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60BFB" w:rsidRPr="00C15DD4" w14:paraId="7EB90EE2" w14:textId="77777777" w:rsidTr="00A209C6">
        <w:trPr>
          <w:trHeight w:val="315"/>
        </w:trPr>
        <w:tc>
          <w:tcPr>
            <w:tcW w:w="893" w:type="dxa"/>
            <w:vAlign w:val="center"/>
            <w:hideMark/>
          </w:tcPr>
          <w:p w14:paraId="4313BFF6" w14:textId="77777777" w:rsidR="00060BFB" w:rsidRPr="00C15DD4" w:rsidRDefault="00060BFB" w:rsidP="00A209C6">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67B80D75" w14:textId="77777777" w:rsidR="00060BFB" w:rsidRPr="00C15DD4" w:rsidRDefault="00060BFB" w:rsidP="00A209C6">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1AE92EE7" w14:textId="77777777" w:rsidR="00060BFB" w:rsidRPr="00C15DD4" w:rsidRDefault="00060BFB" w:rsidP="00A209C6">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060BFB" w:rsidRPr="00C15DD4" w14:paraId="11DDEFD7" w14:textId="77777777" w:rsidTr="00A209C6">
        <w:trPr>
          <w:trHeight w:val="330"/>
        </w:trPr>
        <w:tc>
          <w:tcPr>
            <w:tcW w:w="893" w:type="dxa"/>
            <w:vAlign w:val="center"/>
            <w:hideMark/>
          </w:tcPr>
          <w:p w14:paraId="1C7CF26F" w14:textId="77777777" w:rsidR="00060BFB" w:rsidRPr="00C15DD4" w:rsidRDefault="00060BFB" w:rsidP="00A209C6">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06D4965" w14:textId="77777777" w:rsidR="00060BFB" w:rsidRPr="00C15DD4" w:rsidRDefault="00060BFB" w:rsidP="00A209C6">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Martha Alicia Romero Vargas</w:t>
            </w:r>
          </w:p>
          <w:p w14:paraId="7BA55C96" w14:textId="77777777" w:rsidR="00060BFB" w:rsidRPr="00C15DD4" w:rsidRDefault="00060BFB" w:rsidP="00A209C6">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Gestor T1 - 15</w:t>
            </w:r>
            <w:r w:rsidRPr="007F092D">
              <w:rPr>
                <w:rFonts w:ascii="Verdana" w:eastAsia="Times New Roman" w:hAnsi="Verdana" w:cs="Arial"/>
                <w:color w:val="000000"/>
                <w:sz w:val="16"/>
                <w:szCs w:val="16"/>
              </w:rPr>
              <w:t xml:space="preserve"> de la Subdirección de Gestión Contractual</w:t>
            </w:r>
          </w:p>
        </w:tc>
      </w:tr>
      <w:tr w:rsidR="00060BFB" w:rsidRPr="00C15DD4" w14:paraId="056A7678" w14:textId="77777777" w:rsidTr="00A209C6">
        <w:trPr>
          <w:trHeight w:val="300"/>
        </w:trPr>
        <w:tc>
          <w:tcPr>
            <w:tcW w:w="893" w:type="dxa"/>
            <w:vAlign w:val="center"/>
            <w:hideMark/>
          </w:tcPr>
          <w:p w14:paraId="0A46C82D" w14:textId="77777777" w:rsidR="00060BFB" w:rsidRPr="00C15DD4" w:rsidRDefault="00060BFB" w:rsidP="00A209C6">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587A1B3F" w14:textId="77777777" w:rsidR="00060BFB" w:rsidRPr="00C15DD4" w:rsidRDefault="00060BFB" w:rsidP="00A209C6">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5F7422DE" w14:textId="77777777" w:rsidR="00060BFB" w:rsidRPr="00C15DD4" w:rsidRDefault="00060BFB" w:rsidP="00A209C6">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bookmarkEnd w:id="1"/>
    </w:tbl>
    <w:p w14:paraId="604F8892" w14:textId="77777777" w:rsidR="00060BFB" w:rsidRPr="007F092D" w:rsidRDefault="00060BFB" w:rsidP="00060BFB">
      <w:pPr>
        <w:spacing w:after="0" w:line="276" w:lineRule="auto"/>
        <w:jc w:val="both"/>
        <w:textAlignment w:val="baseline"/>
        <w:rPr>
          <w:rFonts w:ascii="Verdana" w:eastAsia="Times New Roman" w:hAnsi="Verdana" w:cs="Segoe UI"/>
          <w:lang w:eastAsia="es-CO"/>
        </w:rPr>
      </w:pPr>
    </w:p>
    <w:p w14:paraId="0F293BF4" w14:textId="1F7AC160" w:rsidR="00127233" w:rsidRPr="0015699B" w:rsidRDefault="00127233" w:rsidP="00B03C65">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2955A" w14:textId="77777777" w:rsidR="00197232" w:rsidRDefault="00197232" w:rsidP="004A1847">
      <w:pPr>
        <w:spacing w:after="0" w:line="240" w:lineRule="auto"/>
      </w:pPr>
      <w:r>
        <w:separator/>
      </w:r>
    </w:p>
  </w:endnote>
  <w:endnote w:type="continuationSeparator" w:id="0">
    <w:p w14:paraId="550E0782" w14:textId="77777777" w:rsidR="00197232" w:rsidRDefault="0019723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BB5A9" w14:textId="77777777" w:rsidR="00197232" w:rsidRDefault="00197232" w:rsidP="004A1847">
      <w:pPr>
        <w:spacing w:after="0" w:line="240" w:lineRule="auto"/>
      </w:pPr>
      <w:r>
        <w:separator/>
      </w:r>
    </w:p>
  </w:footnote>
  <w:footnote w:type="continuationSeparator" w:id="0">
    <w:p w14:paraId="24906271" w14:textId="77777777" w:rsidR="00197232" w:rsidRDefault="00197232" w:rsidP="004A1847">
      <w:pPr>
        <w:spacing w:after="0" w:line="240" w:lineRule="auto"/>
      </w:pPr>
      <w:r>
        <w:continuationSeparator/>
      </w:r>
    </w:p>
  </w:footnote>
  <w:footnote w:id="1">
    <w:p w14:paraId="27C4B66B" w14:textId="77777777" w:rsidR="00E77FC3" w:rsidRPr="00F11D40" w:rsidRDefault="00E77FC3" w:rsidP="00E77FC3">
      <w:pPr>
        <w:pStyle w:val="Textonotapie"/>
        <w:jc w:val="both"/>
        <w:rPr>
          <w:rFonts w:ascii="Verdana" w:hAnsi="Verdana" w:cs="Arial"/>
          <w:sz w:val="16"/>
          <w:szCs w:val="16"/>
        </w:rPr>
      </w:pPr>
    </w:p>
    <w:p w14:paraId="4096FA31" w14:textId="77777777" w:rsidR="00E77FC3" w:rsidRPr="00F11D40" w:rsidRDefault="00E77FC3" w:rsidP="00E77FC3">
      <w:pPr>
        <w:pStyle w:val="Textonotapie"/>
        <w:jc w:val="both"/>
        <w:rPr>
          <w:rFonts w:ascii="Verdana" w:hAnsi="Verdana" w:cs="Arial"/>
          <w:sz w:val="16"/>
          <w:szCs w:val="16"/>
          <w:lang w:val="es-ES"/>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F11D40">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7B090309" w14:textId="77777777" w:rsidR="00E77FC3" w:rsidRPr="00F11D40" w:rsidRDefault="00E77FC3" w:rsidP="00E77FC3">
      <w:pPr>
        <w:pStyle w:val="Textonotapie"/>
        <w:jc w:val="both"/>
        <w:rPr>
          <w:rFonts w:ascii="Verdana" w:hAnsi="Verdana" w:cs="Arial"/>
          <w:sz w:val="16"/>
          <w:szCs w:val="16"/>
          <w:lang w:val="es-ES"/>
        </w:rPr>
      </w:pPr>
      <w:r w:rsidRPr="00F11D40">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F11D40">
        <w:rPr>
          <w:rFonts w:ascii="Verdana" w:hAnsi="Verdana" w:cs="Arial"/>
          <w:i/>
          <w:iCs/>
          <w:sz w:val="16"/>
          <w:szCs w:val="16"/>
          <w:lang w:val="es-ES"/>
        </w:rPr>
        <w:t>costos directos</w:t>
      </w:r>
      <w:r w:rsidRPr="00F11D40">
        <w:rPr>
          <w:rFonts w:ascii="Verdana" w:hAnsi="Verdana" w:cs="Arial"/>
          <w:sz w:val="16"/>
          <w:szCs w:val="16"/>
          <w:lang w:val="es-ES"/>
        </w:rPr>
        <w:t xml:space="preserve"> y los</w:t>
      </w:r>
      <w:r w:rsidRPr="00F11D40">
        <w:rPr>
          <w:rFonts w:ascii="Verdana" w:hAnsi="Verdana" w:cs="Arial"/>
          <w:i/>
          <w:iCs/>
          <w:sz w:val="16"/>
          <w:szCs w:val="16"/>
          <w:lang w:val="es-ES"/>
        </w:rPr>
        <w:t xml:space="preserve"> costos indirectos</w:t>
      </w:r>
      <w:r w:rsidRPr="00F11D40">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F11D40">
        <w:rPr>
          <w:rFonts w:ascii="Verdana" w:hAnsi="Verdana" w:cs="Arial"/>
          <w:i/>
          <w:iCs/>
          <w:sz w:val="16"/>
          <w:szCs w:val="16"/>
          <w:lang w:val="es-ES"/>
        </w:rPr>
        <w:t>ítems</w:t>
      </w:r>
      <w:r w:rsidRPr="00F11D40">
        <w:rPr>
          <w:rFonts w:ascii="Verdana" w:hAnsi="Verdana" w:cs="Arial"/>
          <w:sz w:val="16"/>
          <w:szCs w:val="16"/>
          <w:lang w:val="es-ES"/>
        </w:rPr>
        <w:t xml:space="preserve"> que componen el contrato–. Los costos </w:t>
      </w:r>
      <w:r w:rsidRPr="00F11D40">
        <w:rPr>
          <w:rFonts w:ascii="Verdana" w:hAnsi="Verdana" w:cs="Arial"/>
          <w:i/>
          <w:iCs/>
          <w:sz w:val="16"/>
          <w:szCs w:val="16"/>
          <w:lang w:val="es-ES"/>
        </w:rPr>
        <w:t>indirectos</w:t>
      </w:r>
      <w:r w:rsidRPr="00F11D40">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
    <w:p w14:paraId="698CA3D8" w14:textId="77777777" w:rsidR="00EC1D8C" w:rsidRPr="00F11D40" w:rsidRDefault="00EC1D8C" w:rsidP="00EC1D8C">
      <w:pPr>
        <w:pStyle w:val="Textonotapie"/>
        <w:jc w:val="both"/>
        <w:rPr>
          <w:rFonts w:ascii="Verdana" w:hAnsi="Verdana" w:cs="Arial"/>
          <w:sz w:val="16"/>
          <w:szCs w:val="16"/>
          <w:lang w:val="es-ES"/>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F11D40">
        <w:rPr>
          <w:rFonts w:ascii="Verdana" w:hAnsi="Verdana" w:cs="Arial"/>
          <w:sz w:val="16"/>
          <w:szCs w:val="16"/>
          <w:lang w:val="es-ES"/>
        </w:rPr>
        <w:t>Diccionario de la Lengua Española.</w:t>
      </w:r>
    </w:p>
    <w:p w14:paraId="537683B0" w14:textId="77777777" w:rsidR="00EC1D8C" w:rsidRPr="00F11D40" w:rsidRDefault="00EC1D8C" w:rsidP="00EC1D8C">
      <w:pPr>
        <w:pStyle w:val="Textonotapie"/>
        <w:jc w:val="both"/>
        <w:rPr>
          <w:rFonts w:ascii="Verdana" w:hAnsi="Verdana" w:cs="Arial"/>
          <w:sz w:val="16"/>
          <w:szCs w:val="16"/>
          <w:lang w:val="es-ES"/>
        </w:rPr>
      </w:pPr>
    </w:p>
  </w:footnote>
  <w:footnote w:id="3">
    <w:p w14:paraId="04A6D833" w14:textId="77777777" w:rsidR="00EC1D8C" w:rsidRPr="00D11031" w:rsidRDefault="00EC1D8C" w:rsidP="00EC1D8C">
      <w:pPr>
        <w:pStyle w:val="Textonotapie"/>
        <w:jc w:val="both"/>
        <w:rPr>
          <w:rFonts w:ascii="Verdana" w:hAnsi="Verdana" w:cs="Arial"/>
          <w:sz w:val="14"/>
          <w:szCs w:val="14"/>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D11031">
        <w:rPr>
          <w:rFonts w:ascii="Verdana" w:hAnsi="Verdana" w:cs="Arial"/>
          <w:sz w:val="14"/>
          <w:szCs w:val="14"/>
        </w:rPr>
        <w:t xml:space="preserve">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Wolker Kluwer, 2018. P. 268).     </w:t>
      </w:r>
    </w:p>
    <w:p w14:paraId="0FC0C72A" w14:textId="77777777" w:rsidR="00EC1D8C" w:rsidRPr="00D11031" w:rsidRDefault="00EC1D8C" w:rsidP="00EC1D8C">
      <w:pPr>
        <w:pStyle w:val="Textonotapie"/>
        <w:jc w:val="both"/>
        <w:rPr>
          <w:rFonts w:ascii="Verdana" w:hAnsi="Verdana" w:cs="Arial"/>
          <w:sz w:val="14"/>
          <w:szCs w:val="14"/>
        </w:rPr>
      </w:pPr>
    </w:p>
  </w:footnote>
  <w:footnote w:id="4">
    <w:p w14:paraId="71A5574B" w14:textId="77777777" w:rsidR="00EC1D8C" w:rsidRPr="00D11031" w:rsidRDefault="00EC1D8C" w:rsidP="00EC1D8C">
      <w:pPr>
        <w:pStyle w:val="Textonotapie"/>
        <w:jc w:val="both"/>
        <w:rPr>
          <w:rFonts w:ascii="Verdana" w:hAnsi="Verdana" w:cs="Arial"/>
          <w:sz w:val="14"/>
          <w:szCs w:val="14"/>
          <w:lang w:val="es-ES"/>
        </w:rPr>
      </w:pPr>
      <w:r w:rsidRPr="00D11031">
        <w:rPr>
          <w:rStyle w:val="Refdenotaalpie"/>
          <w:rFonts w:ascii="Verdana" w:hAnsi="Verdana" w:cs="Arial"/>
          <w:sz w:val="14"/>
          <w:szCs w:val="14"/>
        </w:rPr>
        <w:footnoteRef/>
      </w:r>
      <w:r w:rsidRPr="00D11031">
        <w:rPr>
          <w:rFonts w:ascii="Verdana" w:hAnsi="Verdana" w:cs="Arial"/>
          <w:sz w:val="14"/>
          <w:szCs w:val="14"/>
        </w:rPr>
        <w:t xml:space="preserve"> </w:t>
      </w:r>
      <w:r w:rsidRPr="00D11031">
        <w:rPr>
          <w:rFonts w:ascii="Verdana" w:hAnsi="Verdana" w:cs="Arial"/>
          <w:sz w:val="14"/>
          <w:szCs w:val="14"/>
          <w:lang w:val="es-ES"/>
        </w:rPr>
        <w:t xml:space="preserve">MARÍN CORTÉS, Fabián G. El precio. Ed. Librería Jurídica Sánchez R. Ltda. y Centro de Estudios de Derecho Administrativo, Medellín, 2012, p. 60. </w:t>
      </w:r>
    </w:p>
  </w:footnote>
  <w:footnote w:id="5">
    <w:p w14:paraId="6F12CB8F" w14:textId="77777777" w:rsidR="00EC1D8C" w:rsidRPr="00D11031" w:rsidRDefault="00EC1D8C" w:rsidP="00EC1D8C">
      <w:pPr>
        <w:pStyle w:val="Textonotapie"/>
        <w:jc w:val="both"/>
        <w:rPr>
          <w:rFonts w:ascii="Verdana" w:hAnsi="Verdana" w:cs="Arial"/>
          <w:sz w:val="14"/>
          <w:szCs w:val="14"/>
        </w:rPr>
      </w:pPr>
    </w:p>
    <w:p w14:paraId="3F181BC5" w14:textId="77777777" w:rsidR="00EC1D8C" w:rsidRPr="00F11D40" w:rsidRDefault="00EC1D8C" w:rsidP="00EC1D8C">
      <w:pPr>
        <w:pStyle w:val="Textonotapie"/>
        <w:jc w:val="both"/>
        <w:rPr>
          <w:rFonts w:ascii="Verdana" w:hAnsi="Verdana" w:cs="Arial"/>
          <w:sz w:val="16"/>
          <w:szCs w:val="16"/>
        </w:rPr>
      </w:pPr>
      <w:r w:rsidRPr="00D11031">
        <w:rPr>
          <w:rStyle w:val="Refdenotaalpie"/>
          <w:rFonts w:ascii="Verdana" w:hAnsi="Verdana" w:cs="Arial"/>
          <w:sz w:val="14"/>
          <w:szCs w:val="14"/>
        </w:rPr>
        <w:footnoteRef/>
      </w:r>
      <w:r w:rsidRPr="00D11031">
        <w:rPr>
          <w:rFonts w:ascii="Verdana" w:hAnsi="Verdana" w:cs="Arial"/>
          <w:sz w:val="14"/>
          <w:szCs w:val="14"/>
        </w:rPr>
        <w:t xml:space="preserve"> </w:t>
      </w:r>
      <w:bookmarkStart w:id="7" w:name="_Hlk204013139"/>
      <w:r w:rsidRPr="00D11031">
        <w:rPr>
          <w:rFonts w:ascii="Verdana" w:hAnsi="Verdana" w:cs="Arial"/>
          <w:sz w:val="14"/>
          <w:szCs w:val="14"/>
          <w:lang w:val="es-ES"/>
        </w:rPr>
        <w:t>Consejo de Estado, Sección Tercera, Subsección A sentencia de 19 de julio de 2018, M.P. Marta Nubia Velázquez Rico, Rad. 2013-01826(57.576)</w:t>
      </w:r>
      <w:r w:rsidRPr="00F11D40">
        <w:rPr>
          <w:rFonts w:ascii="Verdana" w:hAnsi="Verdana" w:cs="Arial"/>
          <w:sz w:val="16"/>
          <w:szCs w:val="16"/>
        </w:rPr>
        <w:t xml:space="preserve"> </w:t>
      </w:r>
      <w:bookmarkEnd w:id="7"/>
    </w:p>
  </w:footnote>
  <w:footnote w:id="6">
    <w:p w14:paraId="1AEE20EC" w14:textId="77777777" w:rsidR="00EC1D8C" w:rsidRPr="00F11D40" w:rsidRDefault="00EC1D8C" w:rsidP="00EC1D8C">
      <w:pPr>
        <w:pStyle w:val="Textonotapie"/>
        <w:jc w:val="both"/>
        <w:rPr>
          <w:rFonts w:ascii="Verdana" w:hAnsi="Verdana" w:cs="Arial"/>
          <w:sz w:val="16"/>
          <w:szCs w:val="16"/>
        </w:rPr>
      </w:pPr>
    </w:p>
    <w:p w14:paraId="3C71B4BB" w14:textId="77777777" w:rsidR="00EC1D8C" w:rsidRPr="00D11031" w:rsidRDefault="00EC1D8C" w:rsidP="00EC1D8C">
      <w:pPr>
        <w:pStyle w:val="Textonotapie"/>
        <w:jc w:val="both"/>
        <w:rPr>
          <w:rFonts w:ascii="Verdana" w:hAnsi="Verdana" w:cs="Arial"/>
          <w:sz w:val="14"/>
          <w:szCs w:val="14"/>
          <w:lang w:val="es-ES"/>
        </w:rPr>
      </w:pPr>
      <w:r w:rsidRPr="00D11031">
        <w:rPr>
          <w:rStyle w:val="Refdenotaalpie"/>
          <w:rFonts w:ascii="Verdana" w:hAnsi="Verdana" w:cs="Arial"/>
          <w:sz w:val="14"/>
          <w:szCs w:val="14"/>
        </w:rPr>
        <w:footnoteRef/>
      </w:r>
      <w:r w:rsidRPr="00D11031">
        <w:rPr>
          <w:rFonts w:ascii="Verdana" w:hAnsi="Verdana" w:cs="Arial"/>
          <w:sz w:val="14"/>
          <w:szCs w:val="14"/>
        </w:rPr>
        <w:t xml:space="preserve"> </w:t>
      </w:r>
      <w:r w:rsidRPr="00D11031">
        <w:rPr>
          <w:rFonts w:ascii="Verdana" w:hAnsi="Verdana" w:cs="Arial"/>
          <w:sz w:val="14"/>
          <w:szCs w:val="14"/>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712F5035" w14:textId="77777777" w:rsidR="00EC1D8C" w:rsidRPr="00D11031" w:rsidRDefault="00EC1D8C" w:rsidP="00EC1D8C">
      <w:pPr>
        <w:pStyle w:val="Textonotapie"/>
        <w:jc w:val="both"/>
        <w:rPr>
          <w:rFonts w:ascii="Verdana" w:hAnsi="Verdana" w:cs="Arial"/>
          <w:sz w:val="14"/>
          <w:szCs w:val="14"/>
          <w:lang w:val="es-ES"/>
        </w:rPr>
      </w:pPr>
      <w:r w:rsidRPr="00D11031">
        <w:rPr>
          <w:rFonts w:ascii="Verdana" w:hAnsi="Verdana" w:cs="Arial"/>
          <w:sz w:val="14"/>
          <w:szCs w:val="14"/>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D11031">
        <w:rPr>
          <w:rFonts w:ascii="Verdana" w:hAnsi="Verdana" w:cs="Arial"/>
          <w:i/>
          <w:iCs/>
          <w:sz w:val="14"/>
          <w:szCs w:val="14"/>
          <w:lang w:val="es-ES"/>
        </w:rPr>
        <w:t>costos directos</w:t>
      </w:r>
      <w:r w:rsidRPr="00D11031">
        <w:rPr>
          <w:rFonts w:ascii="Verdana" w:hAnsi="Verdana" w:cs="Arial"/>
          <w:sz w:val="14"/>
          <w:szCs w:val="14"/>
          <w:lang w:val="es-ES"/>
        </w:rPr>
        <w:t xml:space="preserve"> y los</w:t>
      </w:r>
      <w:r w:rsidRPr="00D11031">
        <w:rPr>
          <w:rFonts w:ascii="Verdana" w:hAnsi="Verdana" w:cs="Arial"/>
          <w:i/>
          <w:iCs/>
          <w:sz w:val="14"/>
          <w:szCs w:val="14"/>
          <w:lang w:val="es-ES"/>
        </w:rPr>
        <w:t xml:space="preserve"> costos indirectos</w:t>
      </w:r>
      <w:r w:rsidRPr="00D11031">
        <w:rPr>
          <w:rFonts w:ascii="Verdana" w:hAnsi="Verdana" w:cs="Arial"/>
          <w:sz w:val="14"/>
          <w:szCs w:val="14"/>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D11031">
        <w:rPr>
          <w:rFonts w:ascii="Verdana" w:hAnsi="Verdana" w:cs="Arial"/>
          <w:i/>
          <w:iCs/>
          <w:sz w:val="14"/>
          <w:szCs w:val="14"/>
          <w:lang w:val="es-ES"/>
        </w:rPr>
        <w:t>ítems</w:t>
      </w:r>
      <w:r w:rsidRPr="00D11031">
        <w:rPr>
          <w:rFonts w:ascii="Verdana" w:hAnsi="Verdana" w:cs="Arial"/>
          <w:sz w:val="14"/>
          <w:szCs w:val="14"/>
          <w:lang w:val="es-ES"/>
        </w:rPr>
        <w:t xml:space="preserve"> que componen el contrato–. Los costos </w:t>
      </w:r>
      <w:r w:rsidRPr="00D11031">
        <w:rPr>
          <w:rFonts w:ascii="Verdana" w:hAnsi="Verdana" w:cs="Arial"/>
          <w:i/>
          <w:iCs/>
          <w:sz w:val="14"/>
          <w:szCs w:val="14"/>
          <w:lang w:val="es-ES"/>
        </w:rPr>
        <w:t>indirectos</w:t>
      </w:r>
      <w:r w:rsidRPr="00D11031">
        <w:rPr>
          <w:rFonts w:ascii="Verdana" w:hAnsi="Verdana" w:cs="Arial"/>
          <w:sz w:val="14"/>
          <w:szCs w:val="14"/>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7">
    <w:p w14:paraId="42661AF2" w14:textId="77777777" w:rsidR="00060BFB" w:rsidRPr="009B0144" w:rsidRDefault="00060BFB" w:rsidP="00060BFB">
      <w:pPr>
        <w:pStyle w:val="Textonotapie"/>
        <w:ind w:firstLine="709"/>
        <w:jc w:val="both"/>
        <w:rPr>
          <w:rFonts w:ascii="Verdana" w:hAnsi="Verdana"/>
          <w:sz w:val="16"/>
          <w:szCs w:val="16"/>
        </w:rPr>
      </w:pPr>
      <w:r w:rsidRPr="003053CE">
        <w:rPr>
          <w:rFonts w:ascii="Verdana" w:hAnsi="Verdana"/>
          <w:sz w:val="12"/>
          <w:szCs w:val="12"/>
          <w:vertAlign w:val="superscript"/>
        </w:rPr>
        <w:footnoteRef/>
      </w:r>
      <w:r w:rsidRPr="003053CE">
        <w:rPr>
          <w:rFonts w:ascii="Verdana" w:hAnsi="Verdana"/>
          <w:sz w:val="12"/>
          <w:szCs w:val="12"/>
        </w:rPr>
        <w:t xml:space="preserve"> </w:t>
      </w:r>
      <w:r w:rsidRPr="00D11031">
        <w:rPr>
          <w:rFonts w:ascii="Verdana" w:hAnsi="Verdana"/>
          <w:sz w:val="14"/>
          <w:szCs w:val="14"/>
        </w:rPr>
        <w:t>A excepción de la interventoría del contrato de obra adjudicado por licitación pública que es obligatoria según el numeral 1° del artículo 32 de la Ley 80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DE3514E"/>
    <w:multiLevelType w:val="hybridMultilevel"/>
    <w:tmpl w:val="10A6EC60"/>
    <w:lvl w:ilvl="0" w:tplc="9B9065A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F750770"/>
    <w:multiLevelType w:val="multilevel"/>
    <w:tmpl w:val="1A268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F51664"/>
    <w:multiLevelType w:val="hybridMultilevel"/>
    <w:tmpl w:val="F8822ABC"/>
    <w:lvl w:ilvl="0" w:tplc="8E34E73E">
      <w:start w:val="1"/>
      <w:numFmt w:val="lowerRoman"/>
      <w:lvlText w:val="%1."/>
      <w:lvlJc w:val="left"/>
      <w:pPr>
        <w:ind w:left="1080" w:hanging="720"/>
      </w:pPr>
      <w:rPr>
        <w:rFonts w:eastAsiaTheme="minorHAnsi" w:cstheme="minorBid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18122A"/>
    <w:multiLevelType w:val="hybridMultilevel"/>
    <w:tmpl w:val="4D7ABAC6"/>
    <w:lvl w:ilvl="0" w:tplc="098EE78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A0607C3"/>
    <w:multiLevelType w:val="multilevel"/>
    <w:tmpl w:val="E53CB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9"/>
  </w:num>
  <w:num w:numId="2" w16cid:durableId="19822139">
    <w:abstractNumId w:val="1"/>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8"/>
  </w:num>
  <w:num w:numId="8" w16cid:durableId="152644682">
    <w:abstractNumId w:val="16"/>
  </w:num>
  <w:num w:numId="9" w16cid:durableId="1317221377">
    <w:abstractNumId w:val="10"/>
  </w:num>
  <w:num w:numId="10" w16cid:durableId="1471245386">
    <w:abstractNumId w:val="15"/>
  </w:num>
  <w:num w:numId="11" w16cid:durableId="289172385">
    <w:abstractNumId w:val="11"/>
  </w:num>
  <w:num w:numId="12" w16cid:durableId="1470781324">
    <w:abstractNumId w:val="0"/>
  </w:num>
  <w:num w:numId="13" w16cid:durableId="1512908409">
    <w:abstractNumId w:val="5"/>
  </w:num>
  <w:num w:numId="14" w16cid:durableId="895897244">
    <w:abstractNumId w:val="18"/>
  </w:num>
  <w:num w:numId="15" w16cid:durableId="390349800">
    <w:abstractNumId w:val="14"/>
  </w:num>
  <w:num w:numId="16" w16cid:durableId="2038387874">
    <w:abstractNumId w:val="13"/>
  </w:num>
  <w:num w:numId="17" w16cid:durableId="1240798036">
    <w:abstractNumId w:val="6"/>
  </w:num>
  <w:num w:numId="18" w16cid:durableId="331303822">
    <w:abstractNumId w:val="3"/>
  </w:num>
  <w:num w:numId="19" w16cid:durableId="1368602900">
    <w:abstractNumId w:val="19"/>
  </w:num>
  <w:num w:numId="20" w16cid:durableId="1880507576">
    <w:abstractNumId w:val="12"/>
  </w:num>
  <w:num w:numId="21" w16cid:durableId="1604921134">
    <w:abstractNumId w:val="4"/>
  </w:num>
  <w:num w:numId="22" w16cid:durableId="15496871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0BFB"/>
    <w:rsid w:val="00061B2A"/>
    <w:rsid w:val="00082362"/>
    <w:rsid w:val="00096AE1"/>
    <w:rsid w:val="000A683E"/>
    <w:rsid w:val="000B19B9"/>
    <w:rsid w:val="000B25E9"/>
    <w:rsid w:val="000D0334"/>
    <w:rsid w:val="000D5DA7"/>
    <w:rsid w:val="000E6E95"/>
    <w:rsid w:val="000F6486"/>
    <w:rsid w:val="00116940"/>
    <w:rsid w:val="00116BCB"/>
    <w:rsid w:val="00125105"/>
    <w:rsid w:val="00127233"/>
    <w:rsid w:val="00151D37"/>
    <w:rsid w:val="0015699B"/>
    <w:rsid w:val="00197232"/>
    <w:rsid w:val="001A33BF"/>
    <w:rsid w:val="001B329B"/>
    <w:rsid w:val="001E4177"/>
    <w:rsid w:val="001F0B24"/>
    <w:rsid w:val="001F60E1"/>
    <w:rsid w:val="001F7DC6"/>
    <w:rsid w:val="00211EA0"/>
    <w:rsid w:val="0022400B"/>
    <w:rsid w:val="002421BB"/>
    <w:rsid w:val="0025796E"/>
    <w:rsid w:val="002707A2"/>
    <w:rsid w:val="002951A0"/>
    <w:rsid w:val="00295A24"/>
    <w:rsid w:val="002962BC"/>
    <w:rsid w:val="002A0319"/>
    <w:rsid w:val="002A093D"/>
    <w:rsid w:val="002A0DD0"/>
    <w:rsid w:val="002A49AC"/>
    <w:rsid w:val="002A64FD"/>
    <w:rsid w:val="002C7A84"/>
    <w:rsid w:val="002E2BF8"/>
    <w:rsid w:val="002E4FD9"/>
    <w:rsid w:val="00300CCF"/>
    <w:rsid w:val="0030657A"/>
    <w:rsid w:val="00320FDC"/>
    <w:rsid w:val="00322A85"/>
    <w:rsid w:val="00324168"/>
    <w:rsid w:val="00330834"/>
    <w:rsid w:val="0033471E"/>
    <w:rsid w:val="003448F4"/>
    <w:rsid w:val="00374F5E"/>
    <w:rsid w:val="00377E3E"/>
    <w:rsid w:val="00391AC6"/>
    <w:rsid w:val="00397228"/>
    <w:rsid w:val="003A779E"/>
    <w:rsid w:val="003D0F4D"/>
    <w:rsid w:val="003D54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1E51"/>
    <w:rsid w:val="005566E8"/>
    <w:rsid w:val="00574867"/>
    <w:rsid w:val="0058544F"/>
    <w:rsid w:val="00591460"/>
    <w:rsid w:val="005A65E0"/>
    <w:rsid w:val="005C3777"/>
    <w:rsid w:val="005C5CDC"/>
    <w:rsid w:val="005D476C"/>
    <w:rsid w:val="005E3D92"/>
    <w:rsid w:val="006200BF"/>
    <w:rsid w:val="006219F8"/>
    <w:rsid w:val="006302F7"/>
    <w:rsid w:val="00632515"/>
    <w:rsid w:val="0064584A"/>
    <w:rsid w:val="00646B9F"/>
    <w:rsid w:val="00665D70"/>
    <w:rsid w:val="006900D9"/>
    <w:rsid w:val="006B07A7"/>
    <w:rsid w:val="006B53E7"/>
    <w:rsid w:val="006E7FE1"/>
    <w:rsid w:val="007042E1"/>
    <w:rsid w:val="00706C16"/>
    <w:rsid w:val="007340C3"/>
    <w:rsid w:val="0075235A"/>
    <w:rsid w:val="00756841"/>
    <w:rsid w:val="007649AB"/>
    <w:rsid w:val="00771D0C"/>
    <w:rsid w:val="007833AC"/>
    <w:rsid w:val="00785AC4"/>
    <w:rsid w:val="007B268C"/>
    <w:rsid w:val="007B7171"/>
    <w:rsid w:val="007C0C0F"/>
    <w:rsid w:val="007C3DC2"/>
    <w:rsid w:val="007C6E79"/>
    <w:rsid w:val="007E5497"/>
    <w:rsid w:val="00805438"/>
    <w:rsid w:val="00806F5F"/>
    <w:rsid w:val="00810813"/>
    <w:rsid w:val="00820278"/>
    <w:rsid w:val="008258C9"/>
    <w:rsid w:val="00844AE9"/>
    <w:rsid w:val="008562D8"/>
    <w:rsid w:val="00867F95"/>
    <w:rsid w:val="008843B6"/>
    <w:rsid w:val="00891928"/>
    <w:rsid w:val="008A2E55"/>
    <w:rsid w:val="008A446D"/>
    <w:rsid w:val="008B25F1"/>
    <w:rsid w:val="008D180B"/>
    <w:rsid w:val="008E4AA7"/>
    <w:rsid w:val="008F0EA7"/>
    <w:rsid w:val="00923EEF"/>
    <w:rsid w:val="009419F9"/>
    <w:rsid w:val="009515CD"/>
    <w:rsid w:val="0095685E"/>
    <w:rsid w:val="00961B09"/>
    <w:rsid w:val="00965334"/>
    <w:rsid w:val="0097093E"/>
    <w:rsid w:val="0097157A"/>
    <w:rsid w:val="009A0DFA"/>
    <w:rsid w:val="009A1C6F"/>
    <w:rsid w:val="009B2D26"/>
    <w:rsid w:val="009C71FA"/>
    <w:rsid w:val="009C72E7"/>
    <w:rsid w:val="009C7F7E"/>
    <w:rsid w:val="009D3058"/>
    <w:rsid w:val="009F3A13"/>
    <w:rsid w:val="00A05EDC"/>
    <w:rsid w:val="00A122D3"/>
    <w:rsid w:val="00A14468"/>
    <w:rsid w:val="00A17F13"/>
    <w:rsid w:val="00A20739"/>
    <w:rsid w:val="00A23AF9"/>
    <w:rsid w:val="00A33C78"/>
    <w:rsid w:val="00A74E4C"/>
    <w:rsid w:val="00AB0ADB"/>
    <w:rsid w:val="00AE716B"/>
    <w:rsid w:val="00B00C0E"/>
    <w:rsid w:val="00B01B1A"/>
    <w:rsid w:val="00B0381D"/>
    <w:rsid w:val="00B03C65"/>
    <w:rsid w:val="00B430D7"/>
    <w:rsid w:val="00B44A47"/>
    <w:rsid w:val="00B72CD3"/>
    <w:rsid w:val="00B72FFF"/>
    <w:rsid w:val="00BC3D36"/>
    <w:rsid w:val="00BD54A6"/>
    <w:rsid w:val="00BD7F72"/>
    <w:rsid w:val="00BF17A5"/>
    <w:rsid w:val="00BF3D82"/>
    <w:rsid w:val="00BF7425"/>
    <w:rsid w:val="00C04FB3"/>
    <w:rsid w:val="00C11D8B"/>
    <w:rsid w:val="00C13260"/>
    <w:rsid w:val="00C15139"/>
    <w:rsid w:val="00C15DAA"/>
    <w:rsid w:val="00C330EB"/>
    <w:rsid w:val="00C34046"/>
    <w:rsid w:val="00C50D69"/>
    <w:rsid w:val="00C5365C"/>
    <w:rsid w:val="00C754BE"/>
    <w:rsid w:val="00C76514"/>
    <w:rsid w:val="00C76B1C"/>
    <w:rsid w:val="00C925AC"/>
    <w:rsid w:val="00CB6357"/>
    <w:rsid w:val="00CC1B26"/>
    <w:rsid w:val="00D11031"/>
    <w:rsid w:val="00D16777"/>
    <w:rsid w:val="00D361FD"/>
    <w:rsid w:val="00D423A2"/>
    <w:rsid w:val="00D44E26"/>
    <w:rsid w:val="00D520D8"/>
    <w:rsid w:val="00D63AC2"/>
    <w:rsid w:val="00D7383B"/>
    <w:rsid w:val="00D7788A"/>
    <w:rsid w:val="00D97944"/>
    <w:rsid w:val="00DA231B"/>
    <w:rsid w:val="00DC39FC"/>
    <w:rsid w:val="00DD2E1E"/>
    <w:rsid w:val="00DF5254"/>
    <w:rsid w:val="00E02524"/>
    <w:rsid w:val="00E034A7"/>
    <w:rsid w:val="00E16408"/>
    <w:rsid w:val="00E20894"/>
    <w:rsid w:val="00E245AB"/>
    <w:rsid w:val="00E2764C"/>
    <w:rsid w:val="00E27F2E"/>
    <w:rsid w:val="00E50AFE"/>
    <w:rsid w:val="00E75C92"/>
    <w:rsid w:val="00E771DC"/>
    <w:rsid w:val="00E77FC3"/>
    <w:rsid w:val="00E84E07"/>
    <w:rsid w:val="00E8772A"/>
    <w:rsid w:val="00E90F6B"/>
    <w:rsid w:val="00E92C27"/>
    <w:rsid w:val="00E95DFC"/>
    <w:rsid w:val="00EA0E3D"/>
    <w:rsid w:val="00EA4C29"/>
    <w:rsid w:val="00EB47D2"/>
    <w:rsid w:val="00EC1D8C"/>
    <w:rsid w:val="00EC38A7"/>
    <w:rsid w:val="00EE1AA8"/>
    <w:rsid w:val="00F23FEA"/>
    <w:rsid w:val="00F31EDC"/>
    <w:rsid w:val="00F462B3"/>
    <w:rsid w:val="00F51299"/>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60BF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60BFB"/>
    <w:rPr>
      <w:rFonts w:ascii="Geomanist Light" w:hAnsi="Geomanist Light"/>
      <w:lang w:val="es-ES"/>
    </w:rPr>
  </w:style>
  <w:style w:type="paragraph" w:styleId="Textoindependiente">
    <w:name w:val="Body Text"/>
    <w:basedOn w:val="Normal"/>
    <w:link w:val="TextoindependienteCar"/>
    <w:uiPriority w:val="1"/>
    <w:qFormat/>
    <w:rsid w:val="00060BFB"/>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60BFB"/>
    <w:rPr>
      <w:rFonts w:ascii="Verdana" w:eastAsia="Verdana" w:hAnsi="Verdana" w:cs="Verdana"/>
      <w:lang w:val="es-ES"/>
    </w:rPr>
  </w:style>
  <w:style w:type="paragraph" w:styleId="Subttulo">
    <w:name w:val="Subtitle"/>
    <w:basedOn w:val="Normal"/>
    <w:next w:val="Normal"/>
    <w:link w:val="SubttuloCar"/>
    <w:uiPriority w:val="11"/>
    <w:qFormat/>
    <w:rsid w:val="0081081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10813"/>
    <w:rPr>
      <w:rFonts w:eastAsiaTheme="majorEastAsia" w:cstheme="majorBidi"/>
      <w:color w:val="595959" w:themeColor="text1" w:themeTint="A6"/>
      <w:spacing w:val="15"/>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blpabogados.com.co"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475DD2B-1B91-4D7D-BD4A-C59B9DCD3FF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16</Pages>
  <Words>5105</Words>
  <Characters>27979</Characters>
  <Application>Microsoft Office Word</Application>
  <DocSecurity>0</DocSecurity>
  <Lines>559</Lines>
  <Paragraphs>130</Paragraphs>
  <ScaleCrop>false</ScaleCrop>
  <Company/>
  <LinksUpToDate>false</LinksUpToDate>
  <CharactersWithSpaces>32954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14</cp:revision>
  <cp:lastPrinted>2023-01-10T21:18:00Z</cp:lastPrinted>
  <dcterms:created xsi:type="dcterms:W3CDTF">2026-02-16T16:44:00Z</dcterms:created>
  <dcterms:modified xsi:type="dcterms:W3CDTF">2026-02-17T14:50:00Z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