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A8BF0" w14:textId="77777777" w:rsidR="00B72DE9" w:rsidRDefault="00B72DE9" w:rsidP="30821638">
      <w:pPr>
        <w:spacing w:after="0"/>
        <w:rPr>
          <w:rFonts w:ascii="Verdana" w:eastAsia="Verdana" w:hAnsi="Verdana" w:cs="Verdana"/>
        </w:rPr>
      </w:pPr>
      <w:bookmarkStart w:id="0" w:name="_Hlk143780582"/>
    </w:p>
    <w:p w14:paraId="503A0E2A"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REGISTRO NACIONAL DE OBRAS CIVILES INCONCLUSAS – Concepto – Ley 2020 de 2020</w:t>
      </w:r>
    </w:p>
    <w:p w14:paraId="5E3E4476" w14:textId="77777777" w:rsidR="00B72DE9" w:rsidRDefault="00B72DE9" w:rsidP="00B72DE9">
      <w:pPr>
        <w:tabs>
          <w:tab w:val="left" w:pos="0"/>
        </w:tabs>
        <w:snapToGrid w:val="0"/>
        <w:spacing w:after="0" w:line="240" w:lineRule="auto"/>
        <w:contextualSpacing/>
        <w:jc w:val="both"/>
        <w:rPr>
          <w:rFonts w:ascii="Verdana" w:eastAsia="Calibri" w:hAnsi="Verdana" w:cs="Arial"/>
          <w:bCs/>
          <w:color w:val="000000"/>
          <w:sz w:val="20"/>
          <w:szCs w:val="20"/>
          <w:lang w:val="es-ES" w:eastAsia="es-ES_tradnl"/>
        </w:rPr>
      </w:pPr>
    </w:p>
    <w:p w14:paraId="15D54F97" w14:textId="77777777" w:rsidR="00B72DE9" w:rsidRPr="00212E41" w:rsidRDefault="00B72DE9" w:rsidP="00B72DE9">
      <w:pPr>
        <w:tabs>
          <w:tab w:val="left" w:pos="0"/>
        </w:tabs>
        <w:snapToGrid w:val="0"/>
        <w:spacing w:after="0" w:line="240" w:lineRule="auto"/>
        <w:contextualSpacing/>
        <w:jc w:val="both"/>
        <w:rPr>
          <w:rFonts w:ascii="Verdana" w:eastAsia="Calibri" w:hAnsi="Verdana" w:cs="Arial"/>
          <w:color w:val="000000"/>
          <w:sz w:val="20"/>
          <w:szCs w:val="20"/>
          <w:lang w:val="es-ES" w:eastAsia="en-GB"/>
        </w:rPr>
      </w:pPr>
      <w:r w:rsidRPr="00212E41">
        <w:rPr>
          <w:rFonts w:ascii="Verdana" w:eastAsia="Calibri" w:hAnsi="Verdana" w:cs="Arial"/>
          <w:bCs/>
          <w:color w:val="000000"/>
          <w:sz w:val="20"/>
          <w:szCs w:val="20"/>
          <w:lang w:val="es-ES" w:eastAsia="es-ES_tradnl"/>
        </w:rPr>
        <w:t xml:space="preserve">La Ley 2020 de 2020 creó el </w:t>
      </w:r>
      <w:r w:rsidRPr="00212E41">
        <w:rPr>
          <w:rFonts w:ascii="Verdana" w:eastAsia="Calibri" w:hAnsi="Verdana" w:cs="Arial"/>
          <w:color w:val="000000"/>
          <w:sz w:val="20"/>
          <w:szCs w:val="2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212E41">
        <w:rPr>
          <w:rFonts w:ascii="Verdana" w:eastAsia="Calibri" w:hAnsi="Verdana" w:cs="Arial"/>
          <w:i/>
          <w:iCs/>
          <w:color w:val="000000"/>
          <w:sz w:val="20"/>
          <w:szCs w:val="20"/>
          <w:lang w:val="es-ES" w:eastAsia="en-GB"/>
        </w:rPr>
        <w:t>obra civil inconclusa</w:t>
      </w:r>
      <w:r w:rsidRPr="00212E41">
        <w:rPr>
          <w:rFonts w:ascii="Verdana" w:eastAsia="Calibri" w:hAnsi="Verdana" w:cs="Arial"/>
          <w:color w:val="000000"/>
          <w:sz w:val="20"/>
          <w:szCs w:val="2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335B1CD6" w14:textId="77777777" w:rsidR="00B72DE9" w:rsidRDefault="00B72DE9" w:rsidP="00B72DE9">
      <w:pPr>
        <w:snapToGrid w:val="0"/>
        <w:contextualSpacing/>
        <w:jc w:val="both"/>
        <w:rPr>
          <w:rFonts w:ascii="Verdana" w:eastAsia="Calibri" w:hAnsi="Verdana" w:cs="Arial"/>
          <w:b/>
          <w:sz w:val="20"/>
          <w:szCs w:val="20"/>
          <w:lang w:val="es-ES"/>
        </w:rPr>
      </w:pPr>
    </w:p>
    <w:p w14:paraId="496E146F"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OBRAS CIVILES INCONCLUSAS – Liquidación contractual – Alcance</w:t>
      </w:r>
    </w:p>
    <w:p w14:paraId="1F12C63C" w14:textId="77777777" w:rsidR="00B72DE9" w:rsidRDefault="00B72DE9" w:rsidP="00B72DE9">
      <w:pPr>
        <w:snapToGrid w:val="0"/>
        <w:contextualSpacing/>
        <w:jc w:val="both"/>
        <w:rPr>
          <w:rFonts w:ascii="Verdana" w:eastAsia="Calibri" w:hAnsi="Verdana" w:cs="Arial"/>
          <w:sz w:val="20"/>
          <w:szCs w:val="20"/>
          <w:lang w:val="es-ES" w:eastAsia="es-ES_tradnl"/>
        </w:rPr>
      </w:pPr>
    </w:p>
    <w:p w14:paraId="2E4BB275" w14:textId="77777777" w:rsidR="00B72DE9" w:rsidRPr="00212E41" w:rsidRDefault="00B72DE9" w:rsidP="00B72DE9">
      <w:pPr>
        <w:snapToGrid w:val="0"/>
        <w:spacing w:after="0" w:line="240" w:lineRule="auto"/>
        <w:contextualSpacing/>
        <w:jc w:val="both"/>
        <w:rPr>
          <w:rFonts w:ascii="Verdana" w:eastAsia="Calibri" w:hAnsi="Verdana" w:cs="Arial"/>
          <w:b/>
          <w:sz w:val="20"/>
          <w:szCs w:val="20"/>
          <w:lang w:val="es-ES"/>
        </w:rPr>
      </w:pPr>
      <w:r w:rsidRPr="00212E41">
        <w:rPr>
          <w:rFonts w:ascii="Verdana" w:eastAsia="Calibri" w:hAnsi="Verdana" w:cs="Arial"/>
          <w:sz w:val="20"/>
          <w:szCs w:val="20"/>
          <w:lang w:val="es-ES" w:eastAsia="es-ES_tradnl"/>
        </w:rPr>
        <w:t xml:space="preserve">[…] cuando </w:t>
      </w:r>
      <w:r w:rsidRPr="00212E41">
        <w:rPr>
          <w:rFonts w:ascii="Verdana" w:hAnsi="Verdana" w:cs="Arial"/>
          <w:color w:val="000000" w:themeColor="text1"/>
          <w:sz w:val="20"/>
          <w:szCs w:val="20"/>
          <w:lang w:val="es-ES"/>
        </w:rPr>
        <w:t xml:space="preserve">el </w:t>
      </w:r>
      <w:r w:rsidRPr="00212E41">
        <w:rPr>
          <w:rFonts w:ascii="Verdana" w:eastAsia="Calibri" w:hAnsi="Verdana" w:cs="Arial"/>
          <w:sz w:val="20"/>
          <w:szCs w:val="20"/>
          <w:lang w:val="es-ES" w:eastAsia="es-ES_tradnl"/>
        </w:rPr>
        <w:t>literal a) del artículo 2 de la Ley 2020 de 2020 se refiere al “</w:t>
      </w:r>
      <w:r w:rsidRPr="00212E41">
        <w:rPr>
          <w:rFonts w:ascii="Verdana" w:eastAsia="Calibri" w:hAnsi="Verdana" w:cs="Arial"/>
          <w:i/>
          <w:iCs/>
          <w:sz w:val="20"/>
          <w:szCs w:val="20"/>
          <w:lang w:val="es-ES" w:eastAsia="es-ES_tradnl"/>
        </w:rPr>
        <w:t>vencimiento del término de liquidación contractual”</w:t>
      </w:r>
      <w:r w:rsidRPr="00212E41">
        <w:rPr>
          <w:rFonts w:ascii="Verdana" w:eastAsia="Calibri" w:hAnsi="Verdana" w:cs="Arial"/>
          <w:sz w:val="20"/>
          <w:szCs w:val="20"/>
          <w:lang w:val="es-ES" w:eastAsia="es-ES_tradnl"/>
        </w:rPr>
        <w:t xml:space="preserve"> es necesario interpretar que incluye únicamente el término pactado para la liquidación, o el término de la liquidación bilateral o unilateral. De esta forma, si el contrato es liquidado de común acuerdo, las entidades podrán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2909F0FF" w14:textId="77777777" w:rsidR="00B72DE9" w:rsidRDefault="00B72DE9" w:rsidP="00B72DE9">
      <w:pPr>
        <w:snapToGrid w:val="0"/>
        <w:contextualSpacing/>
        <w:jc w:val="both"/>
        <w:rPr>
          <w:rFonts w:ascii="Verdana" w:eastAsia="Calibri" w:hAnsi="Verdana" w:cs="Arial"/>
          <w:b/>
          <w:sz w:val="20"/>
          <w:szCs w:val="20"/>
          <w:lang w:val="es-ES"/>
        </w:rPr>
      </w:pPr>
    </w:p>
    <w:p w14:paraId="7D6F2CD7" w14:textId="77777777" w:rsidR="00B72DE9" w:rsidRPr="00212E41" w:rsidRDefault="00B72DE9" w:rsidP="00B72DE9">
      <w:pPr>
        <w:snapToGrid w:val="0"/>
        <w:spacing w:after="0" w:line="240" w:lineRule="auto"/>
        <w:contextualSpacing/>
        <w:jc w:val="both"/>
        <w:rPr>
          <w:rFonts w:ascii="Verdana" w:eastAsia="Calibri" w:hAnsi="Verdana" w:cs="Arial"/>
          <w:b/>
          <w:lang w:val="es-ES" w:eastAsia="es-ES"/>
        </w:rPr>
      </w:pPr>
      <w:r w:rsidRPr="00212E41">
        <w:rPr>
          <w:rFonts w:ascii="Verdana" w:eastAsia="Calibri" w:hAnsi="Verdana" w:cs="Arial"/>
          <w:b/>
          <w:lang w:val="es-ES"/>
        </w:rPr>
        <w:t xml:space="preserve">OBRAS CIVILES INCONCLUSAS – Procesos judiciales pendientes </w:t>
      </w:r>
    </w:p>
    <w:p w14:paraId="2D183BE1" w14:textId="77777777" w:rsidR="00B72DE9" w:rsidRDefault="00B72DE9" w:rsidP="00B72DE9">
      <w:pPr>
        <w:snapToGrid w:val="0"/>
        <w:contextualSpacing/>
        <w:jc w:val="both"/>
        <w:rPr>
          <w:rFonts w:ascii="Verdana" w:hAnsi="Verdana" w:cs="Arial"/>
          <w:sz w:val="20"/>
          <w:szCs w:val="20"/>
          <w:lang w:val="es-ES"/>
        </w:rPr>
      </w:pPr>
    </w:p>
    <w:p w14:paraId="15BDDF50"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tengan 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 </w:t>
      </w:r>
    </w:p>
    <w:p w14:paraId="302CB8DC" w14:textId="77777777" w:rsidR="00B72DE9" w:rsidRDefault="00B72DE9" w:rsidP="00B72DE9">
      <w:pPr>
        <w:snapToGrid w:val="0"/>
        <w:contextualSpacing/>
        <w:jc w:val="both"/>
        <w:rPr>
          <w:rFonts w:ascii="Verdana" w:hAnsi="Verdana" w:cs="Arial"/>
          <w:sz w:val="20"/>
          <w:szCs w:val="20"/>
          <w:lang w:val="es-ES"/>
        </w:rPr>
      </w:pPr>
    </w:p>
    <w:p w14:paraId="3EBC9D9F"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Así, el parágrafo segundo busca evitar que ocurran contradicciones entre las decisiones que adopte la entidad en sede administrativa y aquellas que posteriormente tome la administración de justicia, para lo cual estipula la necesidad de que las entidades </w:t>
      </w:r>
      <w:r w:rsidRPr="00212E41">
        <w:rPr>
          <w:rFonts w:ascii="Verdana" w:hAnsi="Verdana" w:cs="Arial"/>
          <w:sz w:val="20"/>
          <w:szCs w:val="20"/>
          <w:lang w:val="es-ES"/>
        </w:rPr>
        <w:lastRenderedPageBreak/>
        <w:t xml:space="preserve">esperen la decisión por parte de la jurisdicción competente de manera previa a decidir sobre la terminación o demolición de la obra. </w:t>
      </w:r>
    </w:p>
    <w:p w14:paraId="64F7C476" w14:textId="77777777" w:rsidR="00B72DE9" w:rsidRDefault="00B72DE9" w:rsidP="00B72DE9">
      <w:pPr>
        <w:spacing w:after="0" w:line="276" w:lineRule="auto"/>
        <w:rPr>
          <w:rFonts w:ascii="Verdana" w:hAnsi="Verdana"/>
        </w:rPr>
      </w:pPr>
    </w:p>
    <w:p w14:paraId="0070857F" w14:textId="77777777" w:rsidR="00B72DE9" w:rsidRDefault="00B72DE9">
      <w:pPr>
        <w:rPr>
          <w:rFonts w:ascii="Verdana" w:eastAsia="Verdana" w:hAnsi="Verdana" w:cs="Verdana"/>
        </w:rPr>
      </w:pPr>
      <w:r>
        <w:rPr>
          <w:rFonts w:ascii="Verdana" w:eastAsia="Verdana" w:hAnsi="Verdana" w:cs="Verdana"/>
        </w:rPr>
        <w:br w:type="page"/>
      </w:r>
    </w:p>
    <w:p w14:paraId="1468C46D" w14:textId="1C7E12DA" w:rsidR="00C15139" w:rsidRPr="0024624F" w:rsidRDefault="00B72DE9" w:rsidP="30821638">
      <w:pPr>
        <w:spacing w:after="0"/>
        <w:rPr>
          <w:rFonts w:ascii="Verdana" w:eastAsia="Verdana" w:hAnsi="Verdana" w:cs="Verdana"/>
        </w:rPr>
      </w:pPr>
      <w:r w:rsidRPr="00B72DE9">
        <w:rPr>
          <w:rFonts w:ascii="Verdana" w:eastAsia="Verdana" w:hAnsi="Verdana" w:cs="Verdana"/>
          <w:noProof/>
          <w:lang w:val="es-MX"/>
        </w:rPr>
        <w:lastRenderedPageBreak/>
        <w:drawing>
          <wp:anchor distT="0" distB="0" distL="114300" distR="114300" simplePos="0" relativeHeight="251659265" behindDoc="1" locked="0" layoutInCell="1" allowOverlap="1" wp14:anchorId="1FECA2A3" wp14:editId="31BB950D">
            <wp:simplePos x="0" y="0"/>
            <wp:positionH relativeFrom="column">
              <wp:posOffset>3380740</wp:posOffset>
            </wp:positionH>
            <wp:positionV relativeFrom="paragraph">
              <wp:posOffset>339783</wp:posOffset>
            </wp:positionV>
            <wp:extent cx="2189480" cy="782320"/>
            <wp:effectExtent l="0" t="0" r="1270" b="0"/>
            <wp:wrapTight wrapText="bothSides">
              <wp:wrapPolygon edited="0">
                <wp:start x="0" y="0"/>
                <wp:lineTo x="0" y="21039"/>
                <wp:lineTo x="21425" y="21039"/>
                <wp:lineTo x="21425" y="0"/>
                <wp:lineTo x="0" y="0"/>
              </wp:wrapPolygon>
            </wp:wrapTight>
            <wp:docPr id="1676643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89480" cy="78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 xml:space="preserve">Bogotá D.C., </w:t>
      </w:r>
      <w:r w:rsidR="00EF01FC">
        <w:rPr>
          <w:rFonts w:ascii="Verdana" w:eastAsia="Verdana" w:hAnsi="Verdana" w:cs="Verdana"/>
        </w:rPr>
        <w:t>16 de febrero de 2026</w:t>
      </w:r>
      <w:r w:rsidR="00C15139">
        <w:tab/>
      </w:r>
      <w:r w:rsidR="00C15139">
        <w:br/>
      </w:r>
      <w:r w:rsidR="00C15139">
        <w:tab/>
      </w:r>
    </w:p>
    <w:p w14:paraId="3B27AFCD" w14:textId="2E5DFFDB" w:rsidR="002A0DD0" w:rsidRPr="001C7BFC" w:rsidRDefault="00430D50" w:rsidP="30821638">
      <w:pPr>
        <w:spacing w:after="0" w:line="240" w:lineRule="auto"/>
        <w:jc w:val="both"/>
        <w:rPr>
          <w:rFonts w:ascii="Verdana" w:eastAsia="Verdana" w:hAnsi="Verdana" w:cs="Verdana"/>
          <w:lang w:val="es-MX"/>
        </w:rPr>
      </w:pPr>
      <w:r w:rsidRPr="001C7BFC">
        <w:rPr>
          <w:rFonts w:ascii="Verdana" w:eastAsia="Verdana" w:hAnsi="Verdana" w:cs="Verdana"/>
          <w:lang w:val="es-MX"/>
        </w:rPr>
        <w:t xml:space="preserve">Señor </w:t>
      </w:r>
    </w:p>
    <w:p w14:paraId="2346C1C0" w14:textId="5E3E62F5" w:rsidR="00430D50" w:rsidRDefault="00430D50" w:rsidP="30821638">
      <w:pPr>
        <w:spacing w:after="0" w:line="240" w:lineRule="auto"/>
        <w:jc w:val="both"/>
        <w:rPr>
          <w:rFonts w:ascii="Verdana" w:eastAsia="Verdana" w:hAnsi="Verdana" w:cs="Verdana"/>
          <w:b/>
          <w:bCs/>
          <w:lang w:val="es-MX"/>
        </w:rPr>
      </w:pPr>
      <w:r>
        <w:rPr>
          <w:rFonts w:ascii="Verdana" w:eastAsia="Verdana" w:hAnsi="Verdana" w:cs="Verdana"/>
          <w:b/>
          <w:bCs/>
          <w:lang w:val="es-MX"/>
        </w:rPr>
        <w:t xml:space="preserve">Iván Darío Gutiérrez Cardozo </w:t>
      </w:r>
    </w:p>
    <w:p w14:paraId="05CBF0A6" w14:textId="14866535" w:rsidR="00430D50" w:rsidRPr="001C7BFC" w:rsidRDefault="001C7BFC" w:rsidP="30821638">
      <w:pPr>
        <w:spacing w:after="0" w:line="240" w:lineRule="auto"/>
        <w:jc w:val="both"/>
        <w:rPr>
          <w:rFonts w:ascii="Verdana" w:eastAsia="Verdana" w:hAnsi="Verdana" w:cs="Verdana"/>
          <w:lang w:val="es-MX"/>
        </w:rPr>
      </w:pPr>
      <w:hyperlink r:id="rId11" w:history="1">
        <w:r w:rsidRPr="001C7BFC">
          <w:rPr>
            <w:rStyle w:val="Hipervnculo"/>
            <w:rFonts w:ascii="Verdana" w:eastAsia="Verdana" w:hAnsi="Verdana" w:cs="Verdana"/>
            <w:lang w:val="es-MX"/>
          </w:rPr>
          <w:t>ivandariog@hotmail.com</w:t>
        </w:r>
      </w:hyperlink>
      <w:r w:rsidRPr="001C7BFC">
        <w:rPr>
          <w:rFonts w:ascii="Verdana" w:eastAsia="Verdana" w:hAnsi="Verdana" w:cs="Verdana"/>
          <w:lang w:val="es-MX"/>
        </w:rPr>
        <w:t xml:space="preserve"> </w:t>
      </w:r>
    </w:p>
    <w:p w14:paraId="4EFB921C" w14:textId="2E2A41B9" w:rsidR="001C7BFC" w:rsidRDefault="001C7BFC" w:rsidP="30821638">
      <w:pPr>
        <w:spacing w:after="0" w:line="240" w:lineRule="auto"/>
        <w:jc w:val="both"/>
        <w:rPr>
          <w:rFonts w:ascii="Verdana" w:eastAsia="Verdana" w:hAnsi="Verdana" w:cs="Verdana"/>
          <w:lang w:val="es-MX"/>
        </w:rPr>
      </w:pPr>
      <w:r w:rsidRPr="001C7BFC">
        <w:rPr>
          <w:rFonts w:ascii="Verdana" w:eastAsia="Verdana" w:hAnsi="Verdana" w:cs="Verdana"/>
          <w:lang w:val="es-MX"/>
        </w:rPr>
        <w:t>Neiva, Colombia</w:t>
      </w:r>
    </w:p>
    <w:p w14:paraId="6F8005C0" w14:textId="77777777" w:rsidR="001C7BFC" w:rsidRDefault="001C7BFC" w:rsidP="30821638">
      <w:pPr>
        <w:spacing w:after="0" w:line="240" w:lineRule="auto"/>
        <w:jc w:val="both"/>
        <w:rPr>
          <w:rFonts w:ascii="Verdana" w:eastAsia="Verdana" w:hAnsi="Verdana" w:cs="Verdana"/>
          <w:lang w:val="es-MX"/>
        </w:rPr>
      </w:pPr>
    </w:p>
    <w:p w14:paraId="23B8213C" w14:textId="01987297" w:rsidR="000D15BD" w:rsidRPr="00E46C82" w:rsidRDefault="000D15BD" w:rsidP="000D15BD">
      <w:pPr>
        <w:spacing w:after="0" w:line="276" w:lineRule="auto"/>
        <w:ind w:left="2694"/>
        <w:rPr>
          <w:rFonts w:ascii="Verdana" w:eastAsia="Calibri" w:hAnsi="Verdana" w:cs="Arial"/>
          <w:b/>
          <w:bCs/>
          <w:color w:val="000000" w:themeColor="text1"/>
          <w:lang w:val="es-ES" w:eastAsia="es-ES_tradnl"/>
        </w:rPr>
      </w:pPr>
      <w:r w:rsidRPr="00E46C82">
        <w:rPr>
          <w:rFonts w:ascii="Verdana" w:eastAsia="Calibri" w:hAnsi="Verdana" w:cs="Arial"/>
          <w:b/>
          <w:bCs/>
          <w:color w:val="000000" w:themeColor="text1"/>
          <w:lang w:val="es-ES" w:eastAsia="es-ES_tradnl"/>
        </w:rPr>
        <w:t>Concepto C</w:t>
      </w:r>
      <w:r>
        <w:rPr>
          <w:rFonts w:ascii="Verdana" w:eastAsia="Calibri" w:hAnsi="Verdana" w:cs="Arial"/>
          <w:b/>
          <w:bCs/>
          <w:color w:val="000000" w:themeColor="text1"/>
          <w:lang w:val="es-ES" w:eastAsia="es-ES_tradnl"/>
        </w:rPr>
        <w:t>-018</w:t>
      </w:r>
      <w:r w:rsidRPr="00E46C82">
        <w:rPr>
          <w:rFonts w:ascii="Verdana" w:eastAsia="Calibri" w:hAnsi="Verdana" w:cs="Arial"/>
          <w:b/>
          <w:bCs/>
          <w:color w:val="000000" w:themeColor="text1"/>
          <w:lang w:val="es-ES" w:eastAsia="es-ES_tradnl"/>
        </w:rPr>
        <w:t xml:space="preserve"> de 202</w:t>
      </w:r>
      <w:r>
        <w:rPr>
          <w:rFonts w:ascii="Verdana" w:eastAsia="Calibri" w:hAnsi="Verdana" w:cs="Arial"/>
          <w:b/>
          <w:bCs/>
          <w:color w:val="000000" w:themeColor="text1"/>
          <w:lang w:val="es-ES" w:eastAsia="es-ES_tradnl"/>
        </w:rPr>
        <w:t>6</w:t>
      </w:r>
    </w:p>
    <w:p w14:paraId="69DFC4C0" w14:textId="77777777" w:rsidR="000D15BD" w:rsidRPr="00E46C82" w:rsidRDefault="000D15BD" w:rsidP="000D15BD">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0D15BD" w:rsidRPr="00E46C82" w14:paraId="526B04B9" w14:textId="77777777" w:rsidTr="00EF6CC1">
        <w:tc>
          <w:tcPr>
            <w:tcW w:w="2694" w:type="dxa"/>
          </w:tcPr>
          <w:p w14:paraId="488BE9CE" w14:textId="77777777" w:rsidR="000D15BD" w:rsidRPr="00E46C82" w:rsidRDefault="000D15BD" w:rsidP="00EF6CC1">
            <w:pPr>
              <w:spacing w:line="276" w:lineRule="auto"/>
              <w:rPr>
                <w:rFonts w:ascii="Verdana" w:eastAsia="Calibri" w:hAnsi="Verdana" w:cs="Arial"/>
                <w:color w:val="7030A0"/>
                <w:lang w:val="es-ES" w:eastAsia="es-ES_tradnl"/>
              </w:rPr>
            </w:pPr>
            <w:r w:rsidRPr="00E46C82">
              <w:rPr>
                <w:rFonts w:ascii="Verdana" w:eastAsia="Calibri" w:hAnsi="Verdana" w:cs="Arial"/>
                <w:b/>
                <w:lang w:val="es-ES" w:eastAsia="es-ES_tradnl"/>
              </w:rPr>
              <w:t>Temas</w:t>
            </w:r>
          </w:p>
        </w:tc>
        <w:tc>
          <w:tcPr>
            <w:tcW w:w="6095" w:type="dxa"/>
          </w:tcPr>
          <w:p w14:paraId="3A956325" w14:textId="77777777" w:rsidR="000D15BD" w:rsidRPr="00E46C82" w:rsidRDefault="000D15BD" w:rsidP="00EF6CC1">
            <w:pPr>
              <w:spacing w:line="276" w:lineRule="auto"/>
              <w:jc w:val="both"/>
              <w:rPr>
                <w:rFonts w:ascii="Verdana" w:eastAsia="Calibri" w:hAnsi="Verdana" w:cs="Arial"/>
                <w:lang w:val="es-ES" w:eastAsia="es-ES"/>
              </w:rPr>
            </w:pPr>
            <w:r w:rsidRPr="00E46C82">
              <w:rPr>
                <w:rFonts w:ascii="Verdana" w:eastAsia="Calibri" w:hAnsi="Verdana" w:cs="Arial"/>
                <w:bCs/>
                <w:lang w:val="es-ES"/>
              </w:rPr>
              <w:t>REGISTRO NACIONAL DE OBRAS CIVILES INCONCLUSAS – Concepto – Ley 2020 de 2020 / 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Liquidación contractual </w:t>
            </w:r>
            <w:r w:rsidRPr="00E46C82">
              <w:rPr>
                <w:rFonts w:ascii="Verdana" w:eastAsia="Calibri" w:hAnsi="Verdana" w:cs="Arial"/>
                <w:bCs/>
                <w:lang w:val="es-ES"/>
              </w:rPr>
              <w:t>–</w:t>
            </w:r>
            <w:r>
              <w:rPr>
                <w:rFonts w:ascii="Verdana" w:eastAsia="Calibri" w:hAnsi="Verdana" w:cs="Arial"/>
                <w:bCs/>
                <w:lang w:val="es-ES"/>
              </w:rPr>
              <w:t xml:space="preserve"> Alcance / </w:t>
            </w:r>
            <w:r w:rsidRPr="00E46C82">
              <w:rPr>
                <w:rFonts w:ascii="Verdana" w:eastAsia="Calibri" w:hAnsi="Verdana" w:cs="Arial"/>
                <w:bCs/>
                <w:lang w:val="es-ES"/>
              </w:rPr>
              <w:t>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Procesos judiciales pendientes </w:t>
            </w:r>
          </w:p>
          <w:p w14:paraId="10095E15" w14:textId="77777777" w:rsidR="000D15BD" w:rsidRPr="00E46C82" w:rsidRDefault="000D15BD" w:rsidP="00EF6CC1">
            <w:pPr>
              <w:spacing w:line="276" w:lineRule="auto"/>
              <w:jc w:val="both"/>
              <w:rPr>
                <w:rFonts w:ascii="Verdana" w:eastAsia="Calibri" w:hAnsi="Verdana" w:cs="Arial"/>
                <w:bCs/>
                <w:lang w:val="es-ES"/>
              </w:rPr>
            </w:pPr>
          </w:p>
        </w:tc>
      </w:tr>
      <w:tr w:rsidR="000D15BD" w:rsidRPr="00E46C82" w14:paraId="082DCE57" w14:textId="77777777" w:rsidTr="00EF6CC1">
        <w:tc>
          <w:tcPr>
            <w:tcW w:w="2694" w:type="dxa"/>
          </w:tcPr>
          <w:p w14:paraId="6EA116C7" w14:textId="77777777" w:rsidR="000D15BD" w:rsidRPr="00E46C82" w:rsidRDefault="000D15BD" w:rsidP="00EF6CC1">
            <w:pPr>
              <w:spacing w:line="276" w:lineRule="auto"/>
              <w:rPr>
                <w:rFonts w:ascii="Verdana" w:eastAsia="Calibri" w:hAnsi="Verdana" w:cs="Arial"/>
                <w:b/>
                <w:color w:val="000000" w:themeColor="text1"/>
                <w:lang w:val="es-ES" w:eastAsia="es-ES_tradnl"/>
              </w:rPr>
            </w:pPr>
            <w:r w:rsidRPr="00E46C82">
              <w:rPr>
                <w:rFonts w:ascii="Verdana" w:eastAsia="Calibri" w:hAnsi="Verdana" w:cs="Arial"/>
                <w:b/>
                <w:color w:val="000000" w:themeColor="text1"/>
                <w:lang w:val="es-ES" w:eastAsia="es-ES_tradnl"/>
              </w:rPr>
              <w:t>Radicación:</w:t>
            </w:r>
          </w:p>
        </w:tc>
        <w:tc>
          <w:tcPr>
            <w:tcW w:w="6095" w:type="dxa"/>
          </w:tcPr>
          <w:p w14:paraId="6AC506FF" w14:textId="77777777" w:rsidR="009C7761" w:rsidRPr="00E46C82" w:rsidRDefault="000D15BD" w:rsidP="00EF6CC1">
            <w:pPr>
              <w:spacing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Respuesta a consulta radicado No. </w:t>
            </w:r>
          </w:p>
          <w:p w14:paraId="34F3CDE0" w14:textId="26DEF95F" w:rsidR="000D15BD" w:rsidRPr="009C7761" w:rsidRDefault="009C7761" w:rsidP="009C7761">
            <w:pPr>
              <w:jc w:val="both"/>
              <w:rPr>
                <w:rFonts w:ascii="Verdana" w:hAnsi="Verdana" w:cs="Calibri"/>
              </w:rPr>
            </w:pPr>
            <w:r>
              <w:rPr>
                <w:rFonts w:ascii="Verdana" w:hAnsi="Verdana" w:cs="Calibri"/>
              </w:rPr>
              <w:t>1_2026_01_07_000119</w:t>
            </w:r>
          </w:p>
        </w:tc>
      </w:tr>
    </w:tbl>
    <w:p w14:paraId="6051896A" w14:textId="77777777" w:rsidR="000D15BD" w:rsidRPr="00E46C82" w:rsidRDefault="000D15BD" w:rsidP="000D15BD">
      <w:pPr>
        <w:spacing w:after="0" w:line="276" w:lineRule="auto"/>
        <w:jc w:val="both"/>
        <w:rPr>
          <w:rFonts w:ascii="Verdana" w:eastAsia="Calibri" w:hAnsi="Verdana" w:cs="Arial"/>
          <w:color w:val="000000" w:themeColor="text1"/>
          <w:lang w:val="es-ES" w:eastAsia="es-ES_tradnl"/>
        </w:rPr>
      </w:pPr>
    </w:p>
    <w:p w14:paraId="33118EFC" w14:textId="39DB6E47" w:rsidR="000D15BD" w:rsidRDefault="000D15BD"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Estimado </w:t>
      </w:r>
      <w:r>
        <w:rPr>
          <w:rFonts w:ascii="Verdana" w:eastAsia="Calibri" w:hAnsi="Verdana" w:cs="Arial"/>
          <w:color w:val="000000" w:themeColor="text1"/>
          <w:lang w:val="es-ES" w:eastAsia="es-ES_tradnl"/>
        </w:rPr>
        <w:t>señor</w:t>
      </w:r>
      <w:r w:rsidRPr="00E46C82">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Gutiérrez</w:t>
      </w:r>
      <w:r w:rsidRPr="00E46C82">
        <w:rPr>
          <w:rFonts w:ascii="Verdana" w:eastAsia="Calibri" w:hAnsi="Verdana" w:cs="Arial"/>
          <w:color w:val="000000" w:themeColor="text1"/>
          <w:lang w:val="es-ES" w:eastAsia="es-ES_tradnl"/>
        </w:rPr>
        <w:t xml:space="preserve">: </w:t>
      </w:r>
    </w:p>
    <w:p w14:paraId="4AB9196B" w14:textId="27434646" w:rsidR="001021FE" w:rsidRDefault="001021FE"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w:t>
      </w:r>
      <w:r w:rsidR="009C7761">
        <w:rPr>
          <w:rFonts w:ascii="Verdana" w:eastAsia="Calibri" w:hAnsi="Verdana" w:cs="Arial"/>
          <w:color w:val="000000" w:themeColor="text1"/>
          <w:lang w:val="es-ES" w:eastAsia="es-ES_tradnl"/>
        </w:rPr>
        <w:t>7</w:t>
      </w:r>
      <w:r w:rsidRPr="00E46C82">
        <w:rPr>
          <w:rFonts w:ascii="Verdana" w:eastAsia="Calibri" w:hAnsi="Verdana" w:cs="Arial"/>
          <w:color w:val="000000" w:themeColor="text1"/>
          <w:lang w:val="es-ES" w:eastAsia="es-ES_tradnl"/>
        </w:rPr>
        <w:t xml:space="preserve"> de </w:t>
      </w:r>
      <w:r w:rsidR="009C7761">
        <w:rPr>
          <w:rFonts w:ascii="Verdana" w:eastAsia="Calibri" w:hAnsi="Verdana" w:cs="Arial"/>
          <w:color w:val="000000" w:themeColor="text1"/>
          <w:lang w:val="es-ES" w:eastAsia="es-ES_tradnl"/>
        </w:rPr>
        <w:t>enero</w:t>
      </w:r>
      <w:r w:rsidRPr="00E46C82">
        <w:rPr>
          <w:rFonts w:ascii="Verdana" w:eastAsia="Calibri" w:hAnsi="Verdana" w:cs="Arial"/>
          <w:color w:val="000000" w:themeColor="text1"/>
          <w:lang w:val="es-ES" w:eastAsia="es-ES_tradnl"/>
        </w:rPr>
        <w:t xml:space="preserve"> de 202</w:t>
      </w:r>
      <w:r w:rsidR="009C7761">
        <w:rPr>
          <w:rFonts w:ascii="Verdana" w:eastAsia="Calibri" w:hAnsi="Verdana" w:cs="Arial"/>
          <w:color w:val="000000" w:themeColor="text1"/>
          <w:lang w:val="es-ES" w:eastAsia="es-ES_tradnl"/>
        </w:rPr>
        <w:t>6</w:t>
      </w:r>
      <w:r w:rsidRPr="00E46C82">
        <w:rPr>
          <w:rFonts w:ascii="Verdana" w:eastAsia="Calibri" w:hAnsi="Verdana" w:cs="Arial"/>
          <w:color w:val="000000" w:themeColor="text1"/>
          <w:lang w:val="es-ES" w:eastAsia="es-ES_tradnl"/>
        </w:rPr>
        <w:t xml:space="preserve">, en las cuales manifiesta lo siguiente: </w:t>
      </w:r>
    </w:p>
    <w:p w14:paraId="6DBE7D88" w14:textId="77777777" w:rsidR="004F79B3" w:rsidRDefault="004F79B3" w:rsidP="004F79B3">
      <w:pPr>
        <w:spacing w:after="120" w:line="276" w:lineRule="auto"/>
        <w:ind w:left="709" w:right="709"/>
        <w:jc w:val="both"/>
        <w:rPr>
          <w:rFonts w:ascii="Verdana" w:eastAsia="Calibri" w:hAnsi="Verdana" w:cs="Arial"/>
          <w:color w:val="000000" w:themeColor="text1"/>
          <w:lang w:val="es-ES" w:eastAsia="es-ES_tradnl"/>
        </w:rPr>
      </w:pPr>
    </w:p>
    <w:p w14:paraId="221F4C62" w14:textId="1EE745B9" w:rsidR="00384255" w:rsidRDefault="00365F36" w:rsidP="00B50A96">
      <w:pPr>
        <w:spacing w:after="120" w:line="276" w:lineRule="auto"/>
        <w:ind w:left="709" w:right="709"/>
        <w:jc w:val="both"/>
        <w:rPr>
          <w:rFonts w:ascii="Verdana" w:eastAsia="Times New Roman" w:hAnsi="Verdana" w:cs="Arial"/>
          <w:i/>
          <w:iCs/>
          <w:color w:val="000000" w:themeColor="text1"/>
          <w:sz w:val="21"/>
          <w:szCs w:val="21"/>
          <w:lang w:val="es-ES" w:eastAsia="es-ES_tradnl"/>
        </w:rPr>
      </w:pPr>
      <w:r w:rsidRPr="00365F36">
        <w:rPr>
          <w:rFonts w:ascii="Verdana" w:eastAsia="Times New Roman" w:hAnsi="Verdana" w:cs="Arial"/>
          <w:i/>
          <w:iCs/>
          <w:color w:val="000000" w:themeColor="text1"/>
          <w:sz w:val="21"/>
          <w:szCs w:val="21"/>
          <w:lang w:val="es-ES" w:eastAsia="es-ES_tradnl"/>
        </w:rPr>
        <w:t>“</w:t>
      </w:r>
      <w:r w:rsidR="008206CA">
        <w:rPr>
          <w:rFonts w:ascii="Verdana" w:eastAsia="Times New Roman" w:hAnsi="Verdana" w:cs="Arial"/>
          <w:i/>
          <w:iCs/>
          <w:color w:val="000000" w:themeColor="text1"/>
          <w:sz w:val="21"/>
          <w:szCs w:val="21"/>
          <w:lang w:val="es-ES" w:eastAsia="es-ES_tradnl"/>
        </w:rPr>
        <w:t xml:space="preserve">¿es posible adelantar, un proceso contractual, para terminar </w:t>
      </w:r>
      <w:r w:rsidR="008664A3">
        <w:rPr>
          <w:rFonts w:ascii="Verdana" w:eastAsia="Times New Roman" w:hAnsi="Verdana" w:cs="Arial"/>
          <w:i/>
          <w:iCs/>
          <w:color w:val="000000" w:themeColor="text1"/>
          <w:sz w:val="21"/>
          <w:szCs w:val="21"/>
          <w:lang w:val="es-ES" w:eastAsia="es-ES_tradnl"/>
        </w:rPr>
        <w:t>una obra pública inconclusa donde se siniestr</w:t>
      </w:r>
      <w:r w:rsidR="00874CFF">
        <w:rPr>
          <w:rFonts w:ascii="Verdana" w:eastAsia="Times New Roman" w:hAnsi="Verdana" w:cs="Arial"/>
          <w:i/>
          <w:iCs/>
          <w:color w:val="000000" w:themeColor="text1"/>
          <w:sz w:val="21"/>
          <w:szCs w:val="21"/>
          <w:lang w:val="es-ES" w:eastAsia="es-ES_tradnl"/>
        </w:rPr>
        <w:t>o</w:t>
      </w:r>
      <w:r w:rsidR="008664A3">
        <w:rPr>
          <w:rFonts w:ascii="Verdana" w:eastAsia="Times New Roman" w:hAnsi="Verdana" w:cs="Arial"/>
          <w:i/>
          <w:iCs/>
          <w:color w:val="000000" w:themeColor="text1"/>
          <w:sz w:val="21"/>
          <w:szCs w:val="21"/>
          <w:lang w:val="es-ES" w:eastAsia="es-ES_tradnl"/>
        </w:rPr>
        <w:t xml:space="preserve"> al c</w:t>
      </w:r>
      <w:r w:rsidR="00123E26">
        <w:rPr>
          <w:rFonts w:ascii="Verdana" w:eastAsia="Times New Roman" w:hAnsi="Verdana" w:cs="Arial"/>
          <w:i/>
          <w:iCs/>
          <w:color w:val="000000" w:themeColor="text1"/>
          <w:sz w:val="21"/>
          <w:szCs w:val="21"/>
          <w:lang w:val="es-ES" w:eastAsia="es-ES_tradnl"/>
        </w:rPr>
        <w:t xml:space="preserve">ontratista por incumplimiento? ¿Cuándo a razón de la declaratoria de incumplimiento, el contratista </w:t>
      </w:r>
      <w:r w:rsidR="00832852">
        <w:rPr>
          <w:rFonts w:ascii="Verdana" w:eastAsia="Times New Roman" w:hAnsi="Verdana" w:cs="Arial"/>
          <w:i/>
          <w:iCs/>
          <w:color w:val="000000" w:themeColor="text1"/>
          <w:sz w:val="21"/>
          <w:szCs w:val="21"/>
          <w:lang w:val="es-ES" w:eastAsia="es-ES_tradnl"/>
        </w:rPr>
        <w:t xml:space="preserve">promueve controversias contractuales para la liquidación del </w:t>
      </w:r>
      <w:r w:rsidR="00B6799B">
        <w:rPr>
          <w:rFonts w:ascii="Verdana" w:eastAsia="Times New Roman" w:hAnsi="Verdana" w:cs="Arial"/>
          <w:i/>
          <w:iCs/>
          <w:color w:val="000000" w:themeColor="text1"/>
          <w:sz w:val="21"/>
          <w:szCs w:val="21"/>
          <w:lang w:val="es-ES" w:eastAsia="es-ES_tradnl"/>
        </w:rPr>
        <w:t xml:space="preserve">contrato, este proceso judicial que involucra la obra sin terminar, </w:t>
      </w:r>
      <w:r w:rsidR="00B72DE9">
        <w:rPr>
          <w:rFonts w:ascii="Verdana" w:eastAsia="Times New Roman" w:hAnsi="Verdana" w:cs="Arial"/>
          <w:i/>
          <w:iCs/>
          <w:color w:val="000000" w:themeColor="text1"/>
          <w:sz w:val="21"/>
          <w:szCs w:val="21"/>
          <w:lang w:val="es-ES" w:eastAsia="es-ES_tradnl"/>
        </w:rPr>
        <w:t>está</w:t>
      </w:r>
      <w:r w:rsidR="00B6799B">
        <w:rPr>
          <w:rFonts w:ascii="Verdana" w:eastAsia="Times New Roman" w:hAnsi="Verdana" w:cs="Arial"/>
          <w:i/>
          <w:iCs/>
          <w:color w:val="000000" w:themeColor="text1"/>
          <w:sz w:val="21"/>
          <w:szCs w:val="21"/>
          <w:lang w:val="es-ES" w:eastAsia="es-ES_tradnl"/>
        </w:rPr>
        <w:t xml:space="preserve"> dentro del alcance del artículo 5 del parágrafo 2 de la </w:t>
      </w:r>
      <w:r w:rsidR="00874CFF">
        <w:rPr>
          <w:rFonts w:ascii="Verdana" w:eastAsia="Times New Roman" w:hAnsi="Verdana" w:cs="Arial"/>
          <w:i/>
          <w:iCs/>
          <w:color w:val="000000" w:themeColor="text1"/>
          <w:sz w:val="21"/>
          <w:szCs w:val="21"/>
          <w:lang w:val="es-ES" w:eastAsia="es-ES_tradnl"/>
        </w:rPr>
        <w:t xml:space="preserve">Ley 2020 del 2020?” (SIC). </w:t>
      </w:r>
    </w:p>
    <w:p w14:paraId="2E8266A5" w14:textId="77777777" w:rsidR="00874CFF" w:rsidRDefault="00874CFF" w:rsidP="00365F36">
      <w:pPr>
        <w:spacing w:after="0" w:line="240" w:lineRule="auto"/>
        <w:ind w:left="709" w:right="709"/>
        <w:jc w:val="both"/>
        <w:rPr>
          <w:rFonts w:ascii="Verdana" w:eastAsia="Times New Roman" w:hAnsi="Verdana" w:cs="Arial"/>
          <w:i/>
          <w:iCs/>
          <w:color w:val="000000" w:themeColor="text1"/>
          <w:sz w:val="21"/>
          <w:szCs w:val="21"/>
          <w:lang w:val="es-ES" w:eastAsia="es-ES_tradnl"/>
        </w:rPr>
      </w:pPr>
    </w:p>
    <w:p w14:paraId="30E8B318" w14:textId="77777777" w:rsidR="00976C1E" w:rsidRPr="00E46C82"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46C82">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6C82">
        <w:rPr>
          <w:rFonts w:ascii="Verdana" w:eastAsia="Calibri" w:hAnsi="Verdana" w:cs="Arial"/>
          <w:color w:val="000000" w:themeColor="text1"/>
          <w:lang w:val="es-ES" w:eastAsia="es-ES_tradnl"/>
        </w:rPr>
        <w:tab/>
      </w:r>
    </w:p>
    <w:p w14:paraId="6A2B62C7" w14:textId="77777777" w:rsidR="00976C1E"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de su consulta. </w:t>
      </w:r>
    </w:p>
    <w:p w14:paraId="26AE071E" w14:textId="77777777" w:rsidR="00B04F2E" w:rsidRPr="00E46C82" w:rsidRDefault="00B04F2E" w:rsidP="00B04F2E">
      <w:pPr>
        <w:tabs>
          <w:tab w:val="left" w:pos="0"/>
          <w:tab w:val="left" w:pos="284"/>
        </w:tabs>
        <w:spacing w:before="240" w:after="0" w:line="276" w:lineRule="auto"/>
        <w:jc w:val="both"/>
        <w:rPr>
          <w:rFonts w:ascii="Verdana" w:eastAsia="Calibri" w:hAnsi="Verdana" w:cs="Arial"/>
          <w:b/>
          <w:color w:val="000000" w:themeColor="text1"/>
          <w:lang w:val="es-ES"/>
        </w:rPr>
      </w:pPr>
      <w:r w:rsidRPr="00E46C82">
        <w:rPr>
          <w:rFonts w:ascii="Verdana" w:eastAsia="Calibri" w:hAnsi="Verdana" w:cs="Arial"/>
          <w:b/>
          <w:color w:val="000000" w:themeColor="text1"/>
          <w:lang w:val="es-ES"/>
        </w:rPr>
        <w:t>1. Problema planteado:</w:t>
      </w:r>
    </w:p>
    <w:p w14:paraId="7D53DBDE" w14:textId="77777777" w:rsidR="00B04F2E" w:rsidRDefault="00B04F2E" w:rsidP="00B04F2E">
      <w:pPr>
        <w:tabs>
          <w:tab w:val="left" w:pos="0"/>
          <w:tab w:val="left" w:pos="284"/>
        </w:tabs>
        <w:spacing w:after="0" w:line="276" w:lineRule="auto"/>
        <w:jc w:val="both"/>
        <w:rPr>
          <w:rFonts w:ascii="Verdana" w:eastAsia="Calibri" w:hAnsi="Verdana" w:cs="Arial"/>
          <w:b/>
          <w:color w:val="000000" w:themeColor="text1"/>
          <w:lang w:val="es-ES"/>
        </w:rPr>
      </w:pPr>
    </w:p>
    <w:p w14:paraId="1526C8EA" w14:textId="45816049" w:rsidR="00B04F2E" w:rsidRPr="00E46C82" w:rsidRDefault="00B04F2E" w:rsidP="00B04F2E">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 xml:space="preserve">acuerdo con el contenido de su solicitud, esta Agencia resolverá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siguiente</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00C03DC7">
        <w:rPr>
          <w:rFonts w:ascii="Verdana" w:eastAsia="Calibri" w:hAnsi="Verdana" w:cs="Arial"/>
          <w:color w:val="000000" w:themeColor="text1"/>
          <w:lang w:val="es-ES" w:eastAsia="es-ES"/>
        </w:rPr>
        <w:t>:</w:t>
      </w:r>
      <w:r w:rsidR="00C73D38">
        <w:rPr>
          <w:rFonts w:ascii="Verdana" w:eastAsia="Calibri" w:hAnsi="Verdana" w:cs="Arial"/>
          <w:color w:val="000000" w:themeColor="text1"/>
          <w:lang w:val="es-ES" w:eastAsia="es-ES"/>
        </w:rPr>
        <w:t xml:space="preserve"> </w:t>
      </w:r>
      <w:r w:rsidRPr="00E46C82">
        <w:rPr>
          <w:rFonts w:ascii="Verdana" w:eastAsia="Calibri" w:hAnsi="Verdana" w:cs="Arial"/>
          <w:color w:val="000000"/>
          <w:lang w:val="es-ES" w:eastAsia="en-GB"/>
        </w:rPr>
        <w:t xml:space="preserve">¿Cuál es el alcance de la potestad establecida en el artículo 5 de dicha ley y de la limitación establecida en </w:t>
      </w:r>
      <w:r w:rsidR="00BD21F0">
        <w:rPr>
          <w:rFonts w:ascii="Verdana" w:eastAsia="Calibri" w:hAnsi="Verdana" w:cs="Arial"/>
          <w:color w:val="000000"/>
          <w:lang w:val="es-ES" w:eastAsia="en-GB"/>
        </w:rPr>
        <w:t>el parágrafo 2</w:t>
      </w:r>
      <w:r w:rsidRPr="00E46C82">
        <w:rPr>
          <w:rFonts w:ascii="Verdana" w:eastAsia="Calibri" w:hAnsi="Verdana" w:cs="Arial"/>
          <w:color w:val="000000"/>
          <w:lang w:val="es-ES" w:eastAsia="en-GB"/>
        </w:rPr>
        <w:t xml:space="preserve"> respecto a obras inconclusas con proceso judiciales?</w:t>
      </w:r>
    </w:p>
    <w:p w14:paraId="0BF676D4" w14:textId="77777777" w:rsidR="00B04F2E" w:rsidRPr="00E46C82" w:rsidRDefault="00B04F2E" w:rsidP="00B04F2E">
      <w:pPr>
        <w:spacing w:after="0" w:line="276" w:lineRule="auto"/>
        <w:jc w:val="both"/>
        <w:rPr>
          <w:rFonts w:ascii="Verdana" w:eastAsia="Calibri" w:hAnsi="Verdana" w:cs="Arial"/>
          <w:color w:val="7030A0"/>
          <w:u w:val="single"/>
          <w:lang w:val="es-ES" w:eastAsia="es-ES_tradnl"/>
        </w:rPr>
      </w:pPr>
    </w:p>
    <w:p w14:paraId="59B5CA9D" w14:textId="5A6F1E6D" w:rsidR="00D055D4" w:rsidRDefault="00B04F2E" w:rsidP="00D055D4">
      <w:pPr>
        <w:widowControl w:val="0"/>
        <w:tabs>
          <w:tab w:val="left" w:pos="382"/>
        </w:tabs>
        <w:autoSpaceDE w:val="0"/>
        <w:autoSpaceDN w:val="0"/>
        <w:spacing w:line="276" w:lineRule="auto"/>
        <w:outlineLvl w:val="0"/>
        <w:rPr>
          <w:rFonts w:ascii="Verdana" w:eastAsia="Verdana" w:hAnsi="Verdana" w:cs="Verdana"/>
          <w:b/>
          <w:bCs/>
          <w:spacing w:val="-2"/>
          <w:lang w:val="es-ES"/>
        </w:rPr>
      </w:pPr>
      <w:r w:rsidRPr="00E46C82">
        <w:rPr>
          <w:rFonts w:ascii="Verdana" w:eastAsia="Verdana" w:hAnsi="Verdana" w:cs="Verdana"/>
          <w:b/>
          <w:bCs/>
          <w:spacing w:val="-2"/>
          <w:lang w:val="es-ES"/>
        </w:rPr>
        <w:t>2. Respuesta:</w:t>
      </w:r>
    </w:p>
    <w:p w14:paraId="479C4B6F" w14:textId="36F5D4F0" w:rsidR="00C47F88" w:rsidRPr="00E46C82" w:rsidRDefault="005B219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Pr>
          <w:rFonts w:ascii="Verdana" w:eastAsia="Verdana" w:hAnsi="Verdana" w:cs="Verdana"/>
          <w:spacing w:val="-2"/>
          <w:lang w:val="es-ES"/>
        </w:rPr>
        <w:t xml:space="preserve">i) </w:t>
      </w:r>
      <w:r w:rsidR="00333A22">
        <w:rPr>
          <w:rFonts w:ascii="Verdana" w:eastAsia="Verdana" w:hAnsi="Verdana" w:cs="Verdana"/>
          <w:spacing w:val="-2"/>
          <w:lang w:val="es-ES"/>
        </w:rPr>
        <w:t>E</w:t>
      </w:r>
      <w:r w:rsidR="00FE33B6">
        <w:rPr>
          <w:rFonts w:ascii="Verdana" w:eastAsia="Verdana" w:hAnsi="Verdana" w:cs="Verdana"/>
          <w:spacing w:val="-2"/>
          <w:lang w:val="es-ES"/>
        </w:rPr>
        <w:t>n cuanto a la aplicación de la regla establecid</w:t>
      </w:r>
      <w:r>
        <w:rPr>
          <w:rFonts w:ascii="Verdana" w:eastAsia="Verdana" w:hAnsi="Verdana" w:cs="Verdana"/>
          <w:spacing w:val="-2"/>
          <w:lang w:val="es-ES"/>
        </w:rPr>
        <w:t>a</w:t>
      </w:r>
      <w:r w:rsidR="00AE5499">
        <w:rPr>
          <w:rFonts w:ascii="Verdana" w:eastAsia="Verdana" w:hAnsi="Verdana" w:cs="Verdana"/>
          <w:spacing w:val="-2"/>
          <w:lang w:val="es-ES"/>
        </w:rPr>
        <w:t xml:space="preserve"> en el parágrafo segundo del artículo 5 de la Ley 2020 de 2020</w:t>
      </w:r>
      <w:r w:rsidR="000A0792">
        <w:rPr>
          <w:rFonts w:ascii="Verdana" w:eastAsia="Verdana" w:hAnsi="Verdana" w:cs="Verdana"/>
          <w:spacing w:val="-2"/>
          <w:lang w:val="es-ES"/>
        </w:rPr>
        <w:t xml:space="preserve">, </w:t>
      </w:r>
      <w:r w:rsidR="00C47F88" w:rsidRPr="00E46C82">
        <w:rPr>
          <w:rFonts w:ascii="Verdana" w:hAnsi="Verdana" w:cs="Arial"/>
          <w:lang w:val="es-ES"/>
        </w:rPr>
        <w:t xml:space="preserve">la Agencia concuerda con la interpretación adoptada por la Contraloría General de la República, según la cual las obras que </w:t>
      </w:r>
      <w:r w:rsidR="00C47F88">
        <w:rPr>
          <w:rFonts w:ascii="Verdana" w:hAnsi="Verdana" w:cs="Arial"/>
          <w:lang w:val="es-ES"/>
        </w:rPr>
        <w:t xml:space="preserve">tengan </w:t>
      </w:r>
      <w:r w:rsidR="00C47F88" w:rsidRPr="00E46C82">
        <w:rPr>
          <w:rFonts w:ascii="Verdana" w:hAnsi="Verdana" w:cs="Arial"/>
          <w:lang w:val="es-ES"/>
        </w:rPr>
        <w:t>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w:t>
      </w:r>
      <w:r w:rsidR="00C47F88">
        <w:rPr>
          <w:rFonts w:ascii="Verdana" w:hAnsi="Verdana" w:cs="Arial"/>
          <w:lang w:val="es-ES"/>
        </w:rPr>
        <w:t>.</w:t>
      </w:r>
      <w:r w:rsidR="00C47F88" w:rsidRPr="00E46C82">
        <w:rPr>
          <w:rFonts w:ascii="Verdana" w:hAnsi="Verdana" w:cs="Arial"/>
          <w:lang w:val="es-ES"/>
        </w:rPr>
        <w:t xml:space="preserve"> </w:t>
      </w:r>
    </w:p>
    <w:p w14:paraId="5206B95D"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w:t>
      </w:r>
      <w:r w:rsidRPr="00E46C82">
        <w:rPr>
          <w:rFonts w:ascii="Verdana" w:hAnsi="Verdana" w:cs="Arial"/>
          <w:lang w:val="es-ES"/>
        </w:rPr>
        <w:lastRenderedPageBreak/>
        <w:t>la decisión terminación o demolición.</w:t>
      </w:r>
      <w:r>
        <w:rPr>
          <w:rFonts w:ascii="Verdana" w:hAnsi="Verdana" w:cs="Arial"/>
          <w:lang w:val="es-ES"/>
        </w:rPr>
        <w:t xml:space="preserve"> Así</w:t>
      </w:r>
      <w:r w:rsidRPr="00E46C82">
        <w:rPr>
          <w:rFonts w:ascii="Verdana" w:hAnsi="Verdana" w:cs="Arial"/>
          <w:lang w:val="es-ES"/>
        </w:rPr>
        <w:t xml:space="preserve">,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67020F08"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55079579"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1EFE2E8E"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w:t>
      </w:r>
    </w:p>
    <w:p w14:paraId="6DE4D8F9" w14:textId="184CD122" w:rsidR="00FE33B6" w:rsidRPr="00A96147" w:rsidRDefault="00FE33B6" w:rsidP="00DA7D10">
      <w:pPr>
        <w:widowControl w:val="0"/>
        <w:tabs>
          <w:tab w:val="left" w:pos="382"/>
        </w:tabs>
        <w:autoSpaceDE w:val="0"/>
        <w:autoSpaceDN w:val="0"/>
        <w:spacing w:line="276" w:lineRule="auto"/>
        <w:jc w:val="both"/>
        <w:outlineLvl w:val="0"/>
        <w:rPr>
          <w:rFonts w:ascii="Verdana" w:eastAsia="Verdana" w:hAnsi="Verdana" w:cs="Verdana"/>
          <w:spacing w:val="-2"/>
          <w:lang w:val="es-ES"/>
        </w:rPr>
      </w:pPr>
    </w:p>
    <w:p w14:paraId="02BAFBFC" w14:textId="2035A8CE" w:rsidR="000D09EE" w:rsidRDefault="000D09EE"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r>
        <w:rPr>
          <w:rFonts w:ascii="Verdana" w:eastAsia="Verdana" w:hAnsi="Verdana" w:cs="Verdana"/>
          <w:b/>
          <w:bCs/>
          <w:spacing w:val="-2"/>
          <w:lang w:val="es-ES"/>
        </w:rPr>
        <w:t xml:space="preserve">3. </w:t>
      </w:r>
      <w:r w:rsidR="00485FB1">
        <w:rPr>
          <w:rFonts w:ascii="Verdana" w:eastAsia="Verdana" w:hAnsi="Verdana" w:cs="Verdana"/>
          <w:b/>
          <w:bCs/>
          <w:spacing w:val="-2"/>
          <w:lang w:val="es-ES"/>
        </w:rPr>
        <w:t xml:space="preserve">Razones de la respuesta: </w:t>
      </w:r>
    </w:p>
    <w:p w14:paraId="7634CB62" w14:textId="77777777" w:rsidR="00485FB1" w:rsidRDefault="00485FB1"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p>
    <w:p w14:paraId="2C65E628" w14:textId="1F844D50" w:rsidR="000605D1" w:rsidRDefault="001A1596" w:rsidP="00B50A96">
      <w:pPr>
        <w:widowControl w:val="0"/>
        <w:tabs>
          <w:tab w:val="left" w:pos="382"/>
        </w:tabs>
        <w:autoSpaceDE w:val="0"/>
        <w:autoSpaceDN w:val="0"/>
        <w:spacing w:after="120" w:line="276" w:lineRule="auto"/>
        <w:outlineLvl w:val="0"/>
        <w:rPr>
          <w:rFonts w:ascii="Verdana" w:eastAsia="Verdana" w:hAnsi="Verdana" w:cs="Verdana"/>
          <w:spacing w:val="-2"/>
          <w:lang w:val="es-ES"/>
        </w:rPr>
      </w:pPr>
      <w:r>
        <w:rPr>
          <w:rFonts w:ascii="Verdana" w:eastAsia="Verdana" w:hAnsi="Verdana" w:cs="Verdana"/>
          <w:spacing w:val="-2"/>
          <w:lang w:val="es-ES"/>
        </w:rPr>
        <w:t xml:space="preserve">lo anterior se sustenta en las siguientes consideraciones: </w:t>
      </w:r>
    </w:p>
    <w:p w14:paraId="4790E1B9" w14:textId="77777777" w:rsidR="001A1596" w:rsidRPr="00E46C82"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1A1596">
        <w:rPr>
          <w:rFonts w:ascii="Verdana" w:hAnsi="Verdana" w:cs="Arial"/>
          <w:lang w:val="es-ES"/>
        </w:rPr>
        <w:t>i)</w:t>
      </w:r>
      <w:r w:rsidRPr="00E46C82">
        <w:rPr>
          <w:rFonts w:ascii="Verdana" w:hAnsi="Verdana" w:cs="Arial"/>
          <w:lang w:val="es-ES"/>
        </w:rPr>
        <w:t xml:space="preserve"> </w:t>
      </w: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w:t>
      </w:r>
      <w:r w:rsidRPr="00E46C82">
        <w:rPr>
          <w:rFonts w:ascii="Verdana" w:eastAsia="Calibri" w:hAnsi="Verdana" w:cs="Arial"/>
          <w:color w:val="000000"/>
          <w:lang w:val="es-ES" w:eastAsia="en-GB"/>
        </w:rPr>
        <w:lastRenderedPageBreak/>
        <w:t xml:space="preserve">terminación 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C3044CF" w14:textId="77777777" w:rsidR="001A1596"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576EF246"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56514B9C"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w:t>
      </w:r>
      <w:r w:rsidRPr="00E46C82">
        <w:rPr>
          <w:rFonts w:ascii="Verdana" w:eastAsia="Calibri" w:hAnsi="Verdana" w:cs="Arial"/>
          <w:color w:val="000000"/>
          <w:lang w:val="es-ES" w:eastAsia="en-GB"/>
        </w:rPr>
        <w:lastRenderedPageBreak/>
        <w:t xml:space="preserve">de un comité técnico designado por el representante legal de la entidad contratante. </w:t>
      </w:r>
    </w:p>
    <w:p w14:paraId="07CE73E5" w14:textId="77777777" w:rsidR="00981114" w:rsidRPr="00E46C82"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E46C82">
        <w:rPr>
          <w:rFonts w:ascii="Verdana" w:eastAsia="Calibri" w:hAnsi="Verdana" w:cs="Arial"/>
          <w:color w:val="000000"/>
          <w:vertAlign w:val="superscript"/>
          <w:lang w:val="es-ES" w:eastAsia="en-GB"/>
        </w:rPr>
        <w:footnoteReference w:id="1"/>
      </w:r>
      <w:r w:rsidRPr="00E46C82">
        <w:rPr>
          <w:rFonts w:ascii="Verdana" w:eastAsia="Calibri" w:hAnsi="Verdana" w:cs="Arial"/>
          <w:color w:val="000000"/>
          <w:lang w:val="es-ES"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1640D1F7" w14:textId="77777777" w:rsidR="00981114"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2"/>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p w14:paraId="58E3DABA" w14:textId="77777777" w:rsidR="00357DB0" w:rsidRPr="00E46C82"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Por ello los artículos 5 y 13 </w:t>
      </w:r>
      <w:r w:rsidRPr="00E46C82">
        <w:rPr>
          <w:rFonts w:ascii="Verdana" w:eastAsia="Calibri" w:hAnsi="Verdana" w:cs="Arial"/>
          <w:i/>
          <w:color w:val="000000"/>
          <w:lang w:val="es-ES" w:eastAsia="en-GB"/>
        </w:rPr>
        <w:t>ibídem</w:t>
      </w:r>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w:t>
      </w:r>
      <w:r w:rsidRPr="00E46C82">
        <w:rPr>
          <w:rFonts w:ascii="Verdana" w:eastAsia="Calibri" w:hAnsi="Verdana" w:cs="Arial"/>
          <w:color w:val="000000"/>
          <w:lang w:val="es-ES" w:eastAsia="en-GB"/>
        </w:rPr>
        <w:lastRenderedPageBreak/>
        <w:t>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3"/>
      </w:r>
      <w:r w:rsidRPr="00E46C82">
        <w:rPr>
          <w:rFonts w:ascii="Verdana" w:eastAsia="Calibri" w:hAnsi="Verdana" w:cs="Arial"/>
          <w:color w:val="000000"/>
          <w:lang w:val="es-ES" w:eastAsia="en-GB"/>
        </w:rPr>
        <w:t xml:space="preserve">. </w:t>
      </w:r>
    </w:p>
    <w:p w14:paraId="7E0CF092" w14:textId="77777777" w:rsidR="001C755A"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w:t>
      </w:r>
    </w:p>
    <w:p w14:paraId="387CCC8B" w14:textId="77777777" w:rsidR="007300A9" w:rsidRPr="00E46C82"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w:t>
      </w:r>
      <w:r w:rsidRPr="00E46C82">
        <w:rPr>
          <w:rFonts w:ascii="Verdana" w:eastAsia="Calibri" w:hAnsi="Verdana" w:cs="Arial"/>
          <w:i/>
          <w:iCs/>
          <w:color w:val="000000"/>
          <w:lang w:val="es-ES" w:eastAsia="en-GB"/>
        </w:rPr>
        <w:lastRenderedPageBreak/>
        <w:t xml:space="preserve">datos sobre obras inconclusas en todo el territorio nacional. El inventario de obras civiles inconclusas reportado por las entidades estatales hará parte integral del banco de proyectos de la respectiva entidad”. </w:t>
      </w:r>
    </w:p>
    <w:p w14:paraId="26BFCC96" w14:textId="77777777" w:rsidR="007300A9" w:rsidRPr="00E46C82" w:rsidRDefault="007300A9" w:rsidP="00B50A96">
      <w:pPr>
        <w:tabs>
          <w:tab w:val="left" w:pos="0"/>
        </w:tabs>
        <w:spacing w:after="12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6"/>
      </w:r>
      <w:r w:rsidRPr="00E46C82">
        <w:rPr>
          <w:rFonts w:ascii="Verdana" w:eastAsia="Times New Roman" w:hAnsi="Verdana" w:cs="Arial"/>
          <w:color w:val="000000"/>
          <w:lang w:val="es-ES" w:eastAsia="es-ES_tradnl"/>
        </w:rPr>
        <w:t>.</w:t>
      </w:r>
    </w:p>
    <w:p w14:paraId="27185309" w14:textId="77777777" w:rsidR="007300A9"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29268D70"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w:t>
      </w:r>
      <w:r w:rsidRPr="00E46C82">
        <w:rPr>
          <w:rFonts w:ascii="Verdana" w:eastAsia="Calibri" w:hAnsi="Verdana" w:cs="Arial"/>
          <w:color w:val="000000"/>
          <w:lang w:val="es-ES" w:eastAsia="en-GB"/>
        </w:rPr>
        <w:lastRenderedPageBreak/>
        <w:t xml:space="preserve">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w:t>
      </w:r>
    </w:p>
    <w:p w14:paraId="470CCC51"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Igualmente, conforme al artículo 15 </w:t>
      </w:r>
      <w:r w:rsidRPr="00E46C82">
        <w:rPr>
          <w:rFonts w:ascii="Verdana" w:eastAsia="Calibri" w:hAnsi="Verdana" w:cs="Arial"/>
          <w:i/>
          <w:iCs/>
          <w:color w:val="000000"/>
          <w:lang w:val="es-ES" w:eastAsia="en-GB"/>
        </w:rPr>
        <w:t>ibídem</w:t>
      </w:r>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funcionamiento. Para tales efectos, la Contraloría General de la República establecerá los criterios y el término para su incorporación. </w:t>
      </w:r>
    </w:p>
    <w:p w14:paraId="510715F8" w14:textId="77777777" w:rsidR="002F06BF" w:rsidRDefault="002F06BF" w:rsidP="00B50A96">
      <w:pPr>
        <w:spacing w:after="120" w:line="276" w:lineRule="auto"/>
        <w:ind w:firstLine="709"/>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284967A" w14:textId="77777777" w:rsidR="00EA61CC" w:rsidRPr="00E46C82" w:rsidRDefault="00EA61CC" w:rsidP="00B50A96">
      <w:pPr>
        <w:spacing w:after="120" w:line="276" w:lineRule="auto"/>
        <w:ind w:firstLine="709"/>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638DCA44"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w:t>
      </w:r>
      <w:r w:rsidRPr="00E46C82">
        <w:rPr>
          <w:rFonts w:ascii="Verdana" w:eastAsia="Calibri" w:hAnsi="Verdana" w:cs="Arial"/>
          <w:color w:val="000000"/>
          <w:lang w:val="es-ES" w:eastAsia="en-GB"/>
        </w:rPr>
        <w:lastRenderedPageBreak/>
        <w:t>normativa vigente</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caducidad y/o terminación unilateral del contrato de obra, tendrá en cuenta en la parte motiva, la documentación que repose en el registro. </w:t>
      </w:r>
    </w:p>
    <w:p w14:paraId="51958DF6"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anotación de la obra en el Registro Nacional de Obras Civiles Inconclusas solo operará a solicitud de la entidad estatal una vez haya sido demolida o finalizada exitosamente.</w:t>
      </w:r>
    </w:p>
    <w:p w14:paraId="7173E87C" w14:textId="00DBD936" w:rsidR="00EA61CC" w:rsidRDefault="00384CDA" w:rsidP="00B50A96">
      <w:pPr>
        <w:spacing w:after="120" w:line="276" w:lineRule="auto"/>
        <w:ind w:firstLine="709"/>
        <w:jc w:val="both"/>
        <w:rPr>
          <w:rFonts w:ascii="Verdana" w:eastAsia="Calibri" w:hAnsi="Verdana" w:cs="Arial"/>
          <w:lang w:val="es-ES" w:eastAsia="es-ES_tradnl"/>
        </w:rPr>
      </w:pPr>
      <w:r>
        <w:rPr>
          <w:rFonts w:ascii="Verdana" w:eastAsia="Calibri" w:hAnsi="Verdana" w:cs="Arial"/>
          <w:color w:val="000000"/>
          <w:lang w:val="es-ES" w:eastAsia="en-GB"/>
        </w:rPr>
        <w:t>De acuerdo con</w:t>
      </w:r>
      <w:r w:rsidR="00EA61CC" w:rsidRPr="00E46C82">
        <w:rPr>
          <w:rFonts w:ascii="Verdana" w:eastAsia="Calibri" w:hAnsi="Verdana" w:cs="Arial"/>
          <w:color w:val="000000"/>
          <w:lang w:val="es-ES" w:eastAsia="en-GB"/>
        </w:rPr>
        <w:t xml:space="preserve"> el literal a) del artículo 2 de la Ley 2020 de 2020 </w:t>
      </w:r>
      <w:r>
        <w:rPr>
          <w:rFonts w:ascii="Verdana" w:eastAsia="Calibri" w:hAnsi="Verdana" w:cs="Arial"/>
          <w:color w:val="000000"/>
          <w:lang w:val="es-ES" w:eastAsia="en-GB"/>
        </w:rPr>
        <w:t xml:space="preserve">el cual </w:t>
      </w:r>
      <w:r w:rsidR="00EA61CC" w:rsidRPr="00E46C82">
        <w:rPr>
          <w:rFonts w:ascii="Verdana" w:eastAsia="Calibri" w:hAnsi="Verdana" w:cs="Arial"/>
          <w:color w:val="000000"/>
          <w:lang w:val="es-ES" w:eastAsia="en-GB"/>
        </w:rPr>
        <w:t xml:space="preserve">definió la </w:t>
      </w:r>
      <w:r w:rsidR="00EA61CC" w:rsidRPr="00E46C82">
        <w:rPr>
          <w:rFonts w:ascii="Verdana" w:eastAsia="Calibri" w:hAnsi="Verdana" w:cs="Arial"/>
          <w:i/>
          <w:iCs/>
          <w:color w:val="000000"/>
          <w:lang w:val="es-ES" w:eastAsia="en-GB"/>
        </w:rPr>
        <w:t>obra civil inconclusa</w:t>
      </w:r>
      <w:r w:rsidR="00EA61CC" w:rsidRPr="00E46C82">
        <w:rPr>
          <w:rFonts w:ascii="Verdana" w:eastAsia="Calibri" w:hAnsi="Verdana" w:cs="Arial"/>
          <w:color w:val="000000"/>
          <w:lang w:val="es-ES" w:eastAsia="en-GB"/>
        </w:rPr>
        <w:t xml:space="preserve"> como aquella </w:t>
      </w:r>
      <w:r w:rsidR="00EA61CC"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00EA61CC" w:rsidRPr="00E46C82">
        <w:rPr>
          <w:rFonts w:ascii="Verdana" w:eastAsia="Calibri" w:hAnsi="Verdana" w:cs="Arial"/>
          <w:lang w:val="es-ES" w:eastAsia="es-ES_tradnl"/>
        </w:rPr>
        <w:t>.</w:t>
      </w:r>
    </w:p>
    <w:p w14:paraId="5F276AB5" w14:textId="77777777" w:rsidR="005F14F5" w:rsidRPr="00E46C82" w:rsidRDefault="005F14F5" w:rsidP="00B50A96">
      <w:pPr>
        <w:spacing w:after="120" w:line="276" w:lineRule="auto"/>
        <w:ind w:firstLine="709"/>
        <w:jc w:val="both"/>
        <w:rPr>
          <w:rFonts w:ascii="Verdana" w:hAnsi="Verdana"/>
          <w:lang w:val="es-ES" w:eastAsia="es-ES_tradnl"/>
        </w:rPr>
      </w:pPr>
      <w:r w:rsidRPr="00E46C82">
        <w:rPr>
          <w:rFonts w:ascii="Verdana" w:eastAsia="Calibri" w:hAnsi="Verdana" w:cs="Arial"/>
          <w:lang w:val="es-ES" w:eastAsia="es-ES_tradnl"/>
        </w:rPr>
        <w:t xml:space="preserve">Por tanto, de esta definición se puede establecer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w:t>
      </w:r>
      <w:r w:rsidRPr="00E46C82">
        <w:rPr>
          <w:rFonts w:ascii="Verdana" w:eastAsia="Calibri" w:hAnsi="Verdana" w:cs="Arial"/>
          <w:lang w:val="es-ES" w:eastAsia="es-ES_tradnl"/>
        </w:rPr>
        <w:lastRenderedPageBreak/>
        <w:t xml:space="preserve">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15122205" w14:textId="77777777" w:rsidR="005F015B" w:rsidRPr="00E46C82" w:rsidRDefault="005F015B" w:rsidP="00B50A96">
      <w:pPr>
        <w:pStyle w:val="Sinespaciado"/>
        <w:spacing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9"/>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lugar que, en 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 </w:t>
      </w:r>
    </w:p>
    <w:p w14:paraId="73AFCE7D"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segundo lugar, el artículo 11 de la Ley 1150 de 2007 establece que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3A9185D9"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lastRenderedPageBreak/>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0"/>
      </w:r>
      <w:r w:rsidRPr="00E46C82">
        <w:rPr>
          <w:rFonts w:ascii="Verdana" w:hAnsi="Verdana" w:cs="Arial"/>
          <w:color w:val="000000" w:themeColor="text1"/>
          <w:lang w:val="es-ES"/>
        </w:rPr>
        <w:t xml:space="preserve">, la liquidación podrá ser realizada en cualquier tiempo dentro de los dos años siguientes al vencimiento del término referido. Durante estos dos años la liquidación podrá hacerse de mutuo acuerdo, unilateralmente por la entidad, o podrá ser solicitada judicialmente. </w:t>
      </w:r>
    </w:p>
    <w:p w14:paraId="7BC8BA28"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5E9A990D" w14:textId="013D6F0A"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efecto, la interpretación sistemática-finalística busca que prevalezca el sentido razonable de la disposición dentro del contexto del ordenamiento jurídico, tomando la finalidad que busca cumplir</w:t>
      </w:r>
      <w:r w:rsidRPr="00E46C82">
        <w:rPr>
          <w:rStyle w:val="Refdenotaalpie"/>
          <w:rFonts w:ascii="Verdana" w:hAnsi="Verdana" w:cs="Arial"/>
          <w:color w:val="000000" w:themeColor="text1"/>
          <w:lang w:val="es-ES"/>
        </w:rPr>
        <w:footnoteReference w:id="11"/>
      </w:r>
      <w:r w:rsidRPr="00E46C82">
        <w:rPr>
          <w:rFonts w:ascii="Verdana" w:hAnsi="Verdana" w:cs="Arial"/>
          <w:color w:val="000000" w:themeColor="text1"/>
          <w:lang w:val="es-ES"/>
        </w:rPr>
        <w:t xml:space="preserve">. Bajo esta perspectiva, el término de un </w:t>
      </w:r>
      <w:r w:rsidR="00612EFC" w:rsidRPr="00E46C82">
        <w:rPr>
          <w:rFonts w:ascii="Verdana" w:hAnsi="Verdana" w:cs="Arial"/>
          <w:color w:val="000000" w:themeColor="text1"/>
          <w:lang w:val="es-ES"/>
        </w:rPr>
        <w:t>año para</w:t>
      </w:r>
      <w:r w:rsidRPr="00E46C82">
        <w:rPr>
          <w:rFonts w:ascii="Verdana" w:hAnsi="Verdana" w:cs="Arial"/>
          <w:color w:val="000000" w:themeColor="text1"/>
          <w:lang w:val="es-ES"/>
        </w:rPr>
        <w:t xml:space="preserve">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6BEE5FC3" w14:textId="34B99846" w:rsidR="005F015B" w:rsidRDefault="005F015B" w:rsidP="00B50A96">
      <w:pPr>
        <w:spacing w:after="120" w:line="276" w:lineRule="auto"/>
        <w:ind w:firstLine="709"/>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la entidad podrá calificar la obra como inconclusa </w:t>
      </w:r>
      <w:r w:rsidRPr="00E46C82">
        <w:rPr>
          <w:rFonts w:ascii="Verdana" w:eastAsia="Calibri" w:hAnsi="Verdana" w:cs="Arial"/>
          <w:lang w:val="es-ES" w:eastAsia="es-ES_tradnl"/>
        </w:rPr>
        <w:lastRenderedPageBreak/>
        <w:t>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2"/>
      </w:r>
      <w:r w:rsidRPr="00E46C82">
        <w:rPr>
          <w:rFonts w:ascii="Verdana" w:eastAsia="Calibri" w:hAnsi="Verdana" w:cs="Arial"/>
          <w:lang w:val="es-ES" w:eastAsia="es-ES_tradnl"/>
        </w:rPr>
        <w:t>.</w:t>
      </w:r>
    </w:p>
    <w:p w14:paraId="5104A89D"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3AC56A73"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hAnsi="Verdana" w:cs="Arial"/>
          <w:lang w:val="es-ES"/>
        </w:rPr>
        <w:t>Como se dijo antes, la norma busca que las entidades tengan la capacidad de adoptar decisiones para reparar las irregularidades presentadas en las obras que no cumplen con el objeto contratado y que puedan elaborar un diagnóstico oportuno con el fin de determinar la viabilidad técnica, jurídica y financiera de terminar o demoler la obra. En este contexto, la norma tiene como fin relevante el de crear un sistema de prevención que permita a las entidades detectar y atender de manera a tiempo las obras que se encuentren en riesgo de abandono e incorporar planes de acción que le permitan determinar la viabilidad de terminarlas o demolerlas.</w:t>
      </w:r>
    </w:p>
    <w:p w14:paraId="1526C9E2" w14:textId="4E51F793" w:rsidR="00BD0A87" w:rsidRPr="00BD0A87" w:rsidRDefault="003F5660" w:rsidP="00B50A96">
      <w:pPr>
        <w:spacing w:after="120" w:line="276" w:lineRule="auto"/>
        <w:ind w:firstLine="709"/>
        <w:jc w:val="both"/>
        <w:rPr>
          <w:rFonts w:ascii="Verdana" w:eastAsia="Calibri" w:hAnsi="Verdana" w:cs="Arial"/>
          <w:lang w:val="es-ES" w:eastAsia="es-ES_tradnl"/>
        </w:rPr>
      </w:pPr>
      <w:r w:rsidRPr="00581D1F">
        <w:rPr>
          <w:rFonts w:ascii="Verdana" w:eastAsia="Times New Roman" w:hAnsi="Verdana" w:cs="Arial"/>
          <w:lang w:val="es-ES" w:eastAsia="es-ES_tradnl"/>
        </w:rPr>
        <w:t>En consideración a lo señalado</w:t>
      </w:r>
      <w:r w:rsidRPr="00581D1F">
        <w:rPr>
          <w:rFonts w:ascii="Verdana" w:eastAsia="Calibri" w:hAnsi="Verdana" w:cs="Arial"/>
          <w:lang w:val="es-ES" w:eastAsia="es-ES_tradnl"/>
        </w:rPr>
        <w:t>, corresponde a la entidad determinar en cada caso concreto si ha trascurrido un año después de fenecida la oportunidad para liquidar el contrato, sin que la obra se encuentre concluida en los términos del literal a) del artículo 2 de la Ley 2020 de 2020, pues solo en este supuesto procederá la anotación en el referido registro y su evaluación, en los términos establecidos en el artículo 6 de la Ley 2020 de 2020, así como en la forma indicada en los pliegos de condiciones.</w:t>
      </w:r>
      <w:r w:rsidRPr="00E46C82">
        <w:rPr>
          <w:rFonts w:ascii="Verdana" w:eastAsia="Calibri" w:hAnsi="Verdana" w:cs="Arial"/>
          <w:lang w:val="es-ES" w:eastAsia="es-ES_tradnl"/>
        </w:rPr>
        <w:t xml:space="preserve"> </w:t>
      </w:r>
    </w:p>
    <w:p w14:paraId="0C1BAC76" w14:textId="4A26EDA8"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 Por otra parte, el artículo 5 de la Ley 2020 de 2020 dispuso que corresponde a la Entidad Estatal contratante decidir sore la intervención física de terminación o demolición del oba civil inconclusa. Para lo anterior, deberán contar con el concepto jurídico, técnico y financiero de las áreas con competencias y funciones relacionadas con la obra inconclusa, así como con conceptos externos cuando lo consideren pertinente. Por su parte, el parágrafo segundo del referido artículo estableció una regla especifica aplicable a aquellas obras inconclusas que cuenten con procesos judiciales en curso. En estos supuestos, dispuso que las entidades deberán tener en cuenta el fallo ejecutoriado correspondiente para decidir sobre la terminación o demolición de la obra. </w:t>
      </w:r>
    </w:p>
    <w:p w14:paraId="1CB3D7AD" w14:textId="77777777"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En cuanto a la aplicación de esta regla, la Agencia concuerda con la interpretación adoptada por la Contraloría General de la República. Al respecto el ente de control ha señalado que, aunque la norma autoriza a la entidad para que adopte la decisión sobre la terminación o demolición de la obra en instancia administrativa, el parágrafo segundo impone que las obras que cuenten con un proceso judicial en curso deban contar con un fallo ejecutoriado de manera previa a que la entidad tome dicha decisión. En efecto, en estos supuestos, la decisión administrativa respecto de la obra está supeditada a la existencia de la decisión judicial definitiva</w:t>
      </w:r>
      <w:r w:rsidRPr="00E46C82">
        <w:rPr>
          <w:rStyle w:val="Refdenotaalpie"/>
          <w:rFonts w:ascii="Verdana" w:hAnsi="Verdana" w:cs="Arial"/>
          <w:lang w:val="es-ES"/>
        </w:rPr>
        <w:footnoteReference w:id="13"/>
      </w:r>
      <w:r w:rsidRPr="00E46C82">
        <w:rPr>
          <w:rFonts w:ascii="Verdana" w:hAnsi="Verdana" w:cs="Arial"/>
          <w:lang w:val="es-ES"/>
        </w:rPr>
        <w:t xml:space="preserve">. </w:t>
      </w:r>
    </w:p>
    <w:p w14:paraId="3A65D327" w14:textId="77777777" w:rsidR="00BD0A87"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De esta manera,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3EFC54C5"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w:t>
      </w:r>
      <w:r w:rsidRPr="00E46C82">
        <w:rPr>
          <w:rFonts w:ascii="Verdana" w:hAnsi="Verdana" w:cs="Arial"/>
          <w:lang w:val="es-ES"/>
        </w:rPr>
        <w:lastRenderedPageBreak/>
        <w:t xml:space="preserve">inconclusa. En contraste, no tendrán dicho efecto las acciones coactivas que adelanten las entidades por su carácter administrativo. </w:t>
      </w:r>
    </w:p>
    <w:p w14:paraId="714CEE31"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643FA222" w14:textId="29E1E295"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decidir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sobre la obra. </w:t>
      </w:r>
    </w:p>
    <w:p w14:paraId="704D2BCD" w14:textId="5B1C00A0" w:rsidR="001C0E4E"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 Sin embargo, el ejercicio de esta potestad se encuentra condicionado a que las entidades cuenten con la disponibilidad de recursos compatibles con el marco fiscal de mediano plazo y al cumplimiento de la regla fiscal de cada entidad.</w:t>
      </w:r>
    </w:p>
    <w:p w14:paraId="07ADCAF7" w14:textId="77777777" w:rsidR="00117DA0" w:rsidRPr="00E46C82"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Adicionalmente, las entidades deben adoptar estas decisiones con base en el concepto jurídico, técnico y financiero de las áreas cuyas competencias y funciones se encuentren relacionadas con la obra, o los conceptos externos que resulten pertinentes. En este sentido, el parágrafo cuarto del artículo quinto determina que las entidades deben solicitar de manera previa el diagnostico, informe y evaluación del área de la entidad competente con el fin de establecer la viabilidad de terminar o demoler la obra. En cualquier caso, la entidad solo podrá ordenar la demolición en casos de ruina o amenaza grave a los derechos fundamentales o colectivos. Esta decisión será adoptada mediante acto </w:t>
      </w:r>
      <w:r w:rsidRPr="00E46C82">
        <w:rPr>
          <w:rFonts w:ascii="Verdana" w:hAnsi="Verdana" w:cs="Arial"/>
          <w:lang w:val="es-ES"/>
        </w:rPr>
        <w:lastRenderedPageBreak/>
        <w:t xml:space="preserve">administrativo del representante legal de la entidad, del cual deberá remitir copia a la </w:t>
      </w:r>
      <w:r w:rsidRPr="00011C35">
        <w:rPr>
          <w:rFonts w:ascii="Verdana" w:hAnsi="Verdana" w:cs="Arial"/>
          <w:lang w:val="es-ES"/>
        </w:rPr>
        <w:t>Contraloría General de la República o a las Contralorías Territoriales, para lo de su competencia.</w:t>
      </w:r>
    </w:p>
    <w:p w14:paraId="31502379" w14:textId="57BBF5A6"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Además de lo señalado, el artículo quinto de la Ley 2020 de 2020 no estableció requisito adicional de manera expresa para que la entidad decida sobre la terminación o demolición de la obra, como que el contrato se encuentre liquidado. Sin embargo, dos aspectos de la norma sugieren que este debe ser el caso para que la entidad pueda adoptar la decisión de contratar </w:t>
      </w:r>
      <w:r>
        <w:rPr>
          <w:rFonts w:ascii="Verdana" w:hAnsi="Verdana" w:cs="Arial"/>
          <w:lang w:val="es-ES"/>
        </w:rPr>
        <w:t xml:space="preserve">con un tercero </w:t>
      </w:r>
      <w:r w:rsidRPr="00E46C82">
        <w:rPr>
          <w:rFonts w:ascii="Verdana" w:hAnsi="Verdana" w:cs="Arial"/>
          <w:lang w:val="es-ES"/>
        </w:rPr>
        <w:t>la terminación de la obra o de declarar la demolición mediante acto administrativo</w:t>
      </w:r>
      <w:r>
        <w:rPr>
          <w:rFonts w:ascii="Verdana" w:hAnsi="Verdana" w:cs="Arial"/>
          <w:lang w:val="es-ES"/>
        </w:rPr>
        <w:t>.</w:t>
      </w:r>
    </w:p>
    <w:p w14:paraId="6A6DA635" w14:textId="77777777"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primer lugar, el artículo quinto establece que la entidad decidirá sobre la terminación de la “obra civil inconclusa”, término que se encuentra expresamente definido en el </w:t>
      </w:r>
      <w:r>
        <w:rPr>
          <w:rFonts w:ascii="Verdana" w:hAnsi="Verdana" w:cs="Arial"/>
          <w:lang w:val="es-ES"/>
        </w:rPr>
        <w:t>literal</w:t>
      </w:r>
      <w:r w:rsidRPr="00E46C82">
        <w:rPr>
          <w:rFonts w:ascii="Verdana" w:hAnsi="Verdana" w:cs="Arial"/>
          <w:lang w:val="es-ES"/>
        </w:rPr>
        <w:t xml:space="preserve"> a</w:t>
      </w:r>
      <w:r>
        <w:rPr>
          <w:rFonts w:ascii="Verdana" w:hAnsi="Verdana" w:cs="Arial"/>
          <w:lang w:val="es-ES"/>
        </w:rPr>
        <w:t>)</w:t>
      </w:r>
      <w:r w:rsidRPr="00E46C82">
        <w:rPr>
          <w:rFonts w:ascii="Verdana" w:hAnsi="Verdana" w:cs="Arial"/>
          <w:lang w:val="es-ES"/>
        </w:rPr>
        <w:t xml:space="preserve"> del artículo segundo de la Ley 2020 de 2020, según el cual:</w:t>
      </w:r>
    </w:p>
    <w:p w14:paraId="3B8A7C17" w14:textId="77777777" w:rsidR="000C0D6D" w:rsidRPr="00E46C82" w:rsidRDefault="000C0D6D" w:rsidP="00B50A96">
      <w:pPr>
        <w:spacing w:after="0" w:line="240" w:lineRule="auto"/>
        <w:ind w:left="709" w:right="709"/>
        <w:rPr>
          <w:rFonts w:ascii="Verdana" w:hAnsi="Verdana" w:cs="Arial"/>
          <w:sz w:val="21"/>
          <w:szCs w:val="21"/>
          <w:lang w:val="es-ES"/>
        </w:rPr>
      </w:pPr>
      <w:r w:rsidRPr="00E46C82">
        <w:rPr>
          <w:rFonts w:ascii="Verdana" w:hAnsi="Verdana" w:cs="Arial"/>
          <w:sz w:val="21"/>
          <w:szCs w:val="21"/>
          <w:lang w:val="es-ES"/>
        </w:rPr>
        <w:t>“Para efectos de la presente ley, se tendrán en cuenta las siguientes definiciones:</w:t>
      </w:r>
    </w:p>
    <w:p w14:paraId="4AC757BF" w14:textId="77777777" w:rsidR="000C0D6D" w:rsidRPr="0080347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057ACDBA" w14:textId="5C7E089C" w:rsidR="00117DA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Cuando la obra civil no haya concluido de manera satisfactoria por causas que no sean imputables al contratista, un comité técnico, designado por el representante legal de la entidad contratante, definirá si efectivamente corresponde a una obra civil inconclusa</w:t>
      </w:r>
      <w:r>
        <w:rPr>
          <w:rFonts w:ascii="Verdana" w:hAnsi="Verdana" w:cs="Arial"/>
          <w:sz w:val="21"/>
          <w:szCs w:val="21"/>
          <w:lang w:val="es-ES"/>
        </w:rPr>
        <w:t xml:space="preserve"> […]</w:t>
      </w:r>
      <w:r w:rsidRPr="00E46C82">
        <w:rPr>
          <w:rFonts w:ascii="Verdana" w:hAnsi="Verdana" w:cs="Arial"/>
          <w:sz w:val="21"/>
          <w:szCs w:val="21"/>
          <w:lang w:val="es-ES"/>
        </w:rPr>
        <w:t>”</w:t>
      </w:r>
      <w:r w:rsidRPr="00803470">
        <w:rPr>
          <w:rFonts w:ascii="Verdana" w:hAnsi="Verdana" w:cs="Arial"/>
          <w:sz w:val="21"/>
          <w:szCs w:val="21"/>
          <w:lang w:val="es-ES"/>
        </w:rPr>
        <w:t>.</w:t>
      </w:r>
    </w:p>
    <w:p w14:paraId="453471D8" w14:textId="77777777" w:rsidR="00DE1788" w:rsidRDefault="00DE1788" w:rsidP="00DE1788">
      <w:pPr>
        <w:spacing w:after="0" w:line="276" w:lineRule="auto"/>
        <w:ind w:left="709" w:right="709"/>
        <w:jc w:val="both"/>
        <w:rPr>
          <w:rFonts w:ascii="Verdana" w:hAnsi="Verdana" w:cs="Arial"/>
          <w:sz w:val="21"/>
          <w:szCs w:val="21"/>
          <w:lang w:val="es-ES"/>
        </w:rPr>
      </w:pPr>
    </w:p>
    <w:p w14:paraId="6EFDC1FC" w14:textId="77777777" w:rsidR="00A628AE" w:rsidRDefault="00A628AE"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virtud de lo anterior,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 xml:space="preserve">el artículo segundo condiciona el ejercicio de la potestad referida en el artículo quinto a que se trate de una obra inconclusa, es decir, </w:t>
      </w:r>
      <w:r w:rsidRPr="00E46C82">
        <w:rPr>
          <w:rFonts w:ascii="Verdana" w:hAnsi="Verdana" w:cs="Arial"/>
          <w:lang w:val="es-ES"/>
        </w:rPr>
        <w:lastRenderedPageBreak/>
        <w:t>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0D2CBB50" w14:textId="77777777" w:rsidR="00F96424" w:rsidRDefault="00F96424" w:rsidP="00B50A96">
      <w:pPr>
        <w:spacing w:after="120" w:line="276" w:lineRule="auto"/>
        <w:ind w:firstLine="709"/>
        <w:jc w:val="both"/>
        <w:rPr>
          <w:rFonts w:ascii="Verdana" w:hAnsi="Verdana" w:cs="Arial"/>
          <w:lang w:val="es-ES"/>
        </w:rPr>
      </w:pPr>
      <w:r w:rsidRPr="00E46C82">
        <w:rPr>
          <w:rFonts w:ascii="Verdana" w:hAnsi="Verdana" w:cs="Arial"/>
          <w:lang w:val="es-ES"/>
        </w:rPr>
        <w:t>En segundo lugar, se destaca que el artículo quinto es claro en condicionar la decisión de la administración sobre la terminación o demolición de la obra a que cuente con la disponibilidad de recursos compatibles con el marco fiscal de mediano plazo y la regla fiscal de cada entidad. Lo anterior es reiterado en el artículo 13, según el cual:</w:t>
      </w:r>
    </w:p>
    <w:p w14:paraId="52F1504E" w14:textId="77777777" w:rsidR="00A673E8" w:rsidRDefault="00A673E8" w:rsidP="00B50A96">
      <w:pPr>
        <w:spacing w:after="0" w:line="240" w:lineRule="auto"/>
        <w:ind w:left="709" w:right="709"/>
        <w:jc w:val="both"/>
        <w:rPr>
          <w:rFonts w:ascii="Verdana" w:hAnsi="Verdana" w:cs="Arial"/>
          <w:sz w:val="21"/>
          <w:szCs w:val="21"/>
          <w:lang w:val="es-ES"/>
        </w:rPr>
      </w:pPr>
      <w:r>
        <w:rPr>
          <w:rFonts w:ascii="Verdana" w:hAnsi="Verdana" w:cs="Arial"/>
          <w:b/>
          <w:bCs/>
          <w:sz w:val="21"/>
          <w:szCs w:val="21"/>
          <w:u w:val="single"/>
          <w:lang w:val="es-ES"/>
        </w:rPr>
        <w:t>“</w:t>
      </w:r>
      <w:r w:rsidRPr="00E46C82">
        <w:rPr>
          <w:rFonts w:ascii="Verdana" w:hAnsi="Verdana" w:cs="Arial"/>
          <w:sz w:val="21"/>
          <w:szCs w:val="21"/>
          <w:lang w:val="es-ES"/>
        </w:rPr>
        <w:t>Las entidades estatales para el cumplimiento de las obligaciones que se derivan de la presente ley, podrán, según la disponibilidad de recursos compatibles con el marco fiscal de mediano plazo y la regla fiscal de cada entidad, disponer de las partidas pertinentes necesarias</w:t>
      </w:r>
      <w:r>
        <w:rPr>
          <w:rFonts w:ascii="Verdana" w:hAnsi="Verdana" w:cs="Arial"/>
          <w:sz w:val="21"/>
          <w:szCs w:val="21"/>
          <w:lang w:val="es-ES"/>
        </w:rPr>
        <w:t>”</w:t>
      </w:r>
      <w:r w:rsidRPr="00E46C82">
        <w:rPr>
          <w:rFonts w:ascii="Verdana" w:hAnsi="Verdana" w:cs="Arial"/>
          <w:sz w:val="21"/>
          <w:szCs w:val="21"/>
          <w:lang w:val="es-ES"/>
        </w:rPr>
        <w:t>.</w:t>
      </w:r>
    </w:p>
    <w:p w14:paraId="4019F511" w14:textId="77777777" w:rsidR="00B50A96" w:rsidRPr="00B05F54" w:rsidRDefault="00B50A96" w:rsidP="00B50A96">
      <w:pPr>
        <w:spacing w:after="0" w:line="240" w:lineRule="auto"/>
        <w:ind w:left="709" w:right="709"/>
        <w:jc w:val="both"/>
        <w:rPr>
          <w:rFonts w:ascii="Verdana" w:hAnsi="Verdana" w:cs="Arial"/>
          <w:sz w:val="21"/>
          <w:szCs w:val="21"/>
          <w:lang w:val="es-ES"/>
        </w:rPr>
      </w:pPr>
    </w:p>
    <w:p w14:paraId="4C8D853A" w14:textId="77777777" w:rsidR="00F41996" w:rsidRPr="00E46C82"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 xml:space="preserve">. </w:t>
      </w:r>
    </w:p>
    <w:p w14:paraId="6C3CF30F" w14:textId="77777777" w:rsidR="00F41996"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esta medida, el propósito de la norma es identificar el estado real de la infraestructura de obra, con miras a elaborar un diagnóstico sobre la viabilidad técnica, financiera y jurídica de terminar o demoler la obra, asegurando que pueda realizar una inversión de sus recursos para la intervención de esta. Por ello los artículos 5 y 13 de la Ley 2020 de 2020 disponen que la </w:t>
      </w:r>
      <w:r>
        <w:rPr>
          <w:rFonts w:ascii="Verdana" w:hAnsi="Verdana" w:cs="Arial"/>
          <w:lang w:val="es-ES"/>
        </w:rPr>
        <w:t>E</w:t>
      </w:r>
      <w:r w:rsidRPr="00E46C82">
        <w:rPr>
          <w:rFonts w:ascii="Verdana" w:hAnsi="Verdana" w:cs="Arial"/>
          <w:lang w:val="es-ES"/>
        </w:rPr>
        <w:t xml:space="preserve">ntidad </w:t>
      </w:r>
      <w:r>
        <w:rPr>
          <w:rFonts w:ascii="Verdana" w:hAnsi="Verdana" w:cs="Arial"/>
          <w:lang w:val="es-ES"/>
        </w:rPr>
        <w:t>E</w:t>
      </w:r>
      <w:r w:rsidRPr="00E46C82">
        <w:rPr>
          <w:rFonts w:ascii="Verdana" w:hAnsi="Verdana" w:cs="Arial"/>
          <w:lang w:val="es-ES"/>
        </w:rPr>
        <w:t>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33A600F8" w14:textId="52E3C0CB" w:rsidR="00CA59CC" w:rsidRPr="00E46C82" w:rsidRDefault="00CA59CC"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potestades, la entidad deberá adoptar </w:t>
      </w:r>
      <w:r w:rsidRPr="00E46C82">
        <w:rPr>
          <w:rFonts w:ascii="Verdana" w:hAnsi="Verdana" w:cs="Arial"/>
          <w:lang w:val="es-ES"/>
        </w:rPr>
        <w:t xml:space="preserve">las gestiones necesarias para actuar de manera oportuna e impedir la materialización de un deterioro o daño que afecte aún más el patrimonio público. </w:t>
      </w:r>
    </w:p>
    <w:p w14:paraId="027FF8C6" w14:textId="77777777" w:rsidR="00CA59CC" w:rsidRPr="00E46C82" w:rsidRDefault="00CA59CC" w:rsidP="00B50A96">
      <w:pPr>
        <w:spacing w:after="120" w:line="276" w:lineRule="auto"/>
        <w:ind w:firstLine="709"/>
        <w:jc w:val="both"/>
        <w:rPr>
          <w:rFonts w:ascii="Verdana" w:eastAsia="Calibri" w:hAnsi="Verdana" w:cs="Arial"/>
          <w:lang w:val="es-ES"/>
        </w:rPr>
      </w:pPr>
      <w:r>
        <w:rPr>
          <w:rFonts w:ascii="Verdana" w:eastAsia="Calibri" w:hAnsi="Verdana" w:cs="Arial"/>
          <w:lang w:val="es-ES"/>
        </w:rPr>
        <w:t>Finalmente</w:t>
      </w:r>
      <w:r w:rsidRPr="00E46C82">
        <w:rPr>
          <w:rFonts w:ascii="Verdana" w:eastAsia="Calibri" w:hAnsi="Verdana" w:cs="Arial"/>
          <w:lang w:val="es-ES"/>
        </w:rPr>
        <w:t xml:space="preserve">, esta Agencia </w:t>
      </w:r>
      <w:r w:rsidRPr="00E46C82">
        <w:rPr>
          <w:rFonts w:ascii="Verdana" w:eastAsia="Arial" w:hAnsi="Verdana" w:cs="Arial"/>
          <w:lang w:val="es-ES"/>
        </w:rPr>
        <w:t xml:space="preserve">advierte que el análisis sobre </w:t>
      </w:r>
      <w:r>
        <w:rPr>
          <w:rFonts w:ascii="Verdana" w:eastAsia="Arial" w:hAnsi="Verdana" w:cs="Arial"/>
          <w:lang w:val="es-ES"/>
        </w:rPr>
        <w:t xml:space="preserve">la viabilidad de terminar o demoler una obra inconclusa </w:t>
      </w:r>
      <w:r w:rsidRPr="00E46C82">
        <w:rPr>
          <w:rFonts w:ascii="Verdana" w:eastAsia="Arial" w:hAnsi="Verdana" w:cs="Arial"/>
          <w:lang w:val="es-ES"/>
        </w:rPr>
        <w:t xml:space="preserve">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2776CC5" w14:textId="77777777" w:rsidR="00CA59CC" w:rsidRDefault="00CA59CC" w:rsidP="00B50A96">
      <w:pPr>
        <w:spacing w:after="120" w:line="276" w:lineRule="auto"/>
        <w:ind w:firstLine="709"/>
        <w:jc w:val="both"/>
        <w:rPr>
          <w:rFonts w:ascii="Verdana" w:eastAsia="Arial" w:hAnsi="Verdana" w:cs="Arial"/>
          <w:bCs/>
          <w:lang w:val="es-ES"/>
        </w:rPr>
      </w:pPr>
      <w:r w:rsidRPr="00E46C82">
        <w:rPr>
          <w:rFonts w:ascii="Verdana" w:eastAsia="Arial" w:hAnsi="Verdana" w:cs="Arial"/>
          <w:bCs/>
          <w:lang w:val="es-ES"/>
        </w:rPr>
        <w:t>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 las necesidades de la entidad pública.</w:t>
      </w:r>
    </w:p>
    <w:p w14:paraId="3A1A37ED" w14:textId="77777777" w:rsidR="008B2E1D" w:rsidRDefault="008B2E1D" w:rsidP="00945BC7">
      <w:pPr>
        <w:spacing w:after="120" w:line="276" w:lineRule="auto"/>
        <w:jc w:val="both"/>
        <w:rPr>
          <w:rFonts w:ascii="Verdana" w:eastAsia="Arial" w:hAnsi="Verdana" w:cs="Arial"/>
          <w:bCs/>
          <w:lang w:val="es-ES"/>
        </w:rPr>
      </w:pPr>
    </w:p>
    <w:p w14:paraId="38B7F2D7" w14:textId="77777777" w:rsidR="008B2E1D" w:rsidRDefault="008B2E1D" w:rsidP="00945BC7">
      <w:pPr>
        <w:tabs>
          <w:tab w:val="left" w:pos="142"/>
          <w:tab w:val="left" w:pos="284"/>
        </w:tabs>
        <w:spacing w:after="120" w:line="276" w:lineRule="auto"/>
        <w:jc w:val="both"/>
        <w:rPr>
          <w:rFonts w:ascii="Verdana" w:eastAsia="Century Gothic" w:hAnsi="Verdana" w:cs="Century Gothic"/>
          <w:b/>
          <w:bCs/>
          <w:lang w:val="es-ES"/>
        </w:rPr>
      </w:pPr>
      <w:r w:rsidRPr="00E46C82">
        <w:rPr>
          <w:rFonts w:ascii="Verdana" w:eastAsia="Century Gothic" w:hAnsi="Verdana" w:cs="Century Gothic"/>
          <w:b/>
          <w:bCs/>
          <w:lang w:val="es-ES"/>
        </w:rPr>
        <w:t>4. Referencias normativas, jurisprudenciales y otras fuentes:</w:t>
      </w:r>
    </w:p>
    <w:p w14:paraId="23B87415" w14:textId="77777777" w:rsidR="00945BC7" w:rsidRPr="00E46C82" w:rsidRDefault="00945BC7" w:rsidP="00BD5373">
      <w:p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jc w:val="both"/>
        <w:rPr>
          <w:rFonts w:ascii="Verdana" w:eastAsia="Century Gothic" w:hAnsi="Verdana" w:cs="Century Gothic"/>
          <w:b/>
          <w:bCs/>
          <w:color w:val="7030A0"/>
          <w:lang w:val="es-ES"/>
        </w:rPr>
      </w:pPr>
    </w:p>
    <w:p w14:paraId="25723CCE" w14:textId="77777777" w:rsidR="00DE61D4" w:rsidRDefault="00945BC7"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945BC7">
        <w:rPr>
          <w:rFonts w:ascii="Verdana" w:eastAsia="Century Gothic" w:hAnsi="Verdana" w:cs="Century Gothic"/>
        </w:rPr>
        <w:t>Constitución Política de Colombia, artículos 345 y 346</w:t>
      </w:r>
      <w:r>
        <w:rPr>
          <w:rFonts w:ascii="Verdana" w:eastAsia="Century Gothic" w:hAnsi="Verdana" w:cs="Century Gothic"/>
        </w:rPr>
        <w:t>.</w:t>
      </w:r>
    </w:p>
    <w:p w14:paraId="66EA799A" w14:textId="77777777"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2020 de 2020, artículo 1, 2, 5 y 13.</w:t>
      </w:r>
    </w:p>
    <w:p w14:paraId="481BD3F7" w14:textId="3DC919AB"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1150 de 2007, artículo 11.</w:t>
      </w:r>
    </w:p>
    <w:p w14:paraId="508005A9" w14:textId="09AF6ED3" w:rsid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Ley 1437 de 2011, artículo 164.</w:t>
      </w:r>
    </w:p>
    <w:p w14:paraId="41BAAF99" w14:textId="0749040C" w:rsidR="001C4652" w:rsidRP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Contraloría General de la República, Concepto CGR-</w:t>
      </w:r>
      <w:r w:rsidR="00BD5373">
        <w:rPr>
          <w:rFonts w:ascii="Verdana" w:eastAsia="Century Gothic" w:hAnsi="Verdana" w:cs="Century Gothic"/>
        </w:rPr>
        <w:t>OJ-033 de 2022, reiterado en el Concepto CGR-OJ-0004-2023.</w:t>
      </w:r>
    </w:p>
    <w:p w14:paraId="70D91340" w14:textId="3887C702" w:rsidR="00C42066" w:rsidRDefault="00BD5373" w:rsidP="00B50A96">
      <w:pPr>
        <w:spacing w:before="240" w:after="120" w:line="276" w:lineRule="auto"/>
        <w:jc w:val="both"/>
        <w:rPr>
          <w:rFonts w:ascii="Verdana" w:hAnsi="Verdana" w:cs="Arial"/>
          <w:b/>
          <w:bCs/>
          <w:lang w:val="es-ES"/>
        </w:rPr>
      </w:pPr>
      <w:r w:rsidRPr="00C42066">
        <w:rPr>
          <w:rFonts w:ascii="Verdana" w:hAnsi="Verdana" w:cs="Arial"/>
          <w:b/>
          <w:bCs/>
          <w:lang w:val="es-ES"/>
        </w:rPr>
        <w:lastRenderedPageBreak/>
        <w:t xml:space="preserve">5. Doctrina de la Agencia Nacional de </w:t>
      </w:r>
      <w:r w:rsidR="00C42066" w:rsidRPr="00C42066">
        <w:rPr>
          <w:rFonts w:ascii="Verdana" w:hAnsi="Verdana" w:cs="Arial"/>
          <w:b/>
          <w:bCs/>
          <w:lang w:val="es-ES"/>
        </w:rPr>
        <w:t>Contratación</w:t>
      </w:r>
      <w:r w:rsidRPr="00C42066">
        <w:rPr>
          <w:rFonts w:ascii="Verdana" w:hAnsi="Verdana" w:cs="Arial"/>
          <w:b/>
          <w:bCs/>
          <w:lang w:val="es-ES"/>
        </w:rPr>
        <w:t xml:space="preserve"> Pública</w:t>
      </w:r>
      <w:r w:rsidR="00C42066" w:rsidRPr="00C42066">
        <w:rPr>
          <w:rFonts w:ascii="Verdana" w:hAnsi="Verdana" w:cs="Arial"/>
          <w:b/>
          <w:bCs/>
          <w:lang w:val="es-ES"/>
        </w:rPr>
        <w:t>:</w:t>
      </w:r>
    </w:p>
    <w:p w14:paraId="623E76D2" w14:textId="012F954B" w:rsidR="00A4392C" w:rsidRDefault="00A4392C" w:rsidP="00B50A96">
      <w:pPr>
        <w:widowControl w:val="0"/>
        <w:autoSpaceDE w:val="0"/>
        <w:autoSpaceDN w:val="0"/>
        <w:spacing w:after="120" w:line="276" w:lineRule="auto"/>
        <w:jc w:val="both"/>
        <w:rPr>
          <w:rFonts w:ascii="Verdana" w:hAnsi="Verdana"/>
        </w:rPr>
      </w:pPr>
      <w:r w:rsidRPr="00A4392C">
        <w:rPr>
          <w:rStyle w:val="normaltextrun"/>
          <w:rFonts w:ascii="Verdana" w:hAnsi="Verdana" w:cs="Arial"/>
          <w:color w:val="000000" w:themeColor="text1"/>
          <w:shd w:val="clear" w:color="auto" w:fill="FFFFFF"/>
          <w:lang w:val="es-ES"/>
        </w:rPr>
        <w:t>Sobre el Registro Nacional de Obras Civiles Inconclusas, esta Subdirección se ha pronunciado en los conceptos Nro. C-088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w:t>
      </w:r>
      <w:r w:rsidR="005C6698">
        <w:rPr>
          <w:rStyle w:val="normaltextrun"/>
          <w:rFonts w:ascii="Verdana" w:hAnsi="Verdana" w:cs="Arial"/>
          <w:color w:val="000000" w:themeColor="text1"/>
          <w:shd w:val="clear" w:color="auto" w:fill="FFFFFF"/>
          <w:lang w:val="es-ES"/>
        </w:rPr>
        <w:t>,</w:t>
      </w:r>
      <w:r w:rsidRPr="00A4392C">
        <w:rPr>
          <w:rStyle w:val="normaltextrun"/>
          <w:rFonts w:ascii="Verdana" w:hAnsi="Verdana" w:cs="Arial"/>
          <w:color w:val="000000" w:themeColor="text1"/>
          <w:shd w:val="clear" w:color="auto" w:fill="FFFFFF"/>
          <w:lang w:val="es-ES"/>
        </w:rPr>
        <w:t xml:space="preserve"> C-351 del 24 de abril de 2025</w:t>
      </w:r>
      <w:r w:rsidR="005C6698">
        <w:rPr>
          <w:rStyle w:val="normaltextrun"/>
          <w:rFonts w:ascii="Verdana" w:hAnsi="Verdana" w:cs="Arial"/>
          <w:color w:val="000000" w:themeColor="text1"/>
          <w:shd w:val="clear" w:color="auto" w:fill="FFFFFF"/>
          <w:lang w:val="es-ES"/>
        </w:rPr>
        <w:t xml:space="preserve"> y C-1249 del 14 de octubre de 2025</w:t>
      </w:r>
      <w:r w:rsidR="00C05225">
        <w:rPr>
          <w:rStyle w:val="normaltextrun"/>
          <w:rFonts w:ascii="Verdana" w:hAnsi="Verdana" w:cs="Arial"/>
          <w:color w:val="000000" w:themeColor="text1"/>
          <w:shd w:val="clear" w:color="auto" w:fill="FFFFFF"/>
          <w:lang w:val="es-ES"/>
        </w:rPr>
        <w:t xml:space="preserve"> entre otros</w:t>
      </w:r>
      <w:r w:rsidRPr="00A4392C">
        <w:rPr>
          <w:rStyle w:val="normaltextrun"/>
          <w:rFonts w:ascii="Verdana" w:hAnsi="Verdana" w:cs="Arial"/>
          <w:color w:val="000000" w:themeColor="text1"/>
          <w:shd w:val="clear" w:color="auto" w:fill="FFFFFF"/>
          <w:lang w:val="es-ES"/>
        </w:rPr>
        <w:t xml:space="preserve">. Estos y otros conceptos se encuentran </w:t>
      </w:r>
      <w:r w:rsidRPr="00A4392C">
        <w:rPr>
          <w:rStyle w:val="normaltextrun"/>
          <w:rFonts w:ascii="Verdana" w:hAnsi="Verdana" w:cs="Arial"/>
          <w:shd w:val="clear" w:color="auto" w:fill="FFFFFF"/>
          <w:lang w:val="es-ES"/>
        </w:rPr>
        <w:t>disponibles para consulta en el Sistema de relatoría de la Agencia,</w:t>
      </w:r>
      <w:r w:rsidRPr="00A4392C">
        <w:rPr>
          <w:rStyle w:val="normaltextrun"/>
          <w:rFonts w:ascii="Verdana" w:hAnsi="Verdana"/>
          <w:shd w:val="clear" w:color="auto" w:fill="FFFFFF"/>
          <w:lang w:val="es-ES"/>
        </w:rPr>
        <w:t xml:space="preserve"> al cual puede accederse a través del siguiente enlace: </w:t>
      </w:r>
      <w:hyperlink r:id="rId12" w:history="1">
        <w:r w:rsidRPr="00A4392C">
          <w:rPr>
            <w:rStyle w:val="Hipervnculo"/>
            <w:rFonts w:ascii="Verdana" w:eastAsia="Calibri" w:hAnsi="Verdana" w:cs="Arial"/>
            <w:lang w:val="es-ES" w:eastAsia="es-ES_tradnl"/>
          </w:rPr>
          <w:t>https://relatoria.colombiacompra.gov.co/busqueda/conceptos</w:t>
        </w:r>
      </w:hyperlink>
    </w:p>
    <w:p w14:paraId="0909B6D1" w14:textId="77777777" w:rsidR="00CF14C2" w:rsidRPr="00A4392C" w:rsidRDefault="00CF14C2" w:rsidP="00A4392C">
      <w:pPr>
        <w:widowControl w:val="0"/>
        <w:autoSpaceDE w:val="0"/>
        <w:autoSpaceDN w:val="0"/>
        <w:spacing w:after="120" w:line="276" w:lineRule="auto"/>
        <w:jc w:val="both"/>
        <w:rPr>
          <w:rStyle w:val="normaltextrun"/>
          <w:rFonts w:ascii="Verdana" w:hAnsi="Verdana" w:cs="Arial"/>
          <w:color w:val="000000" w:themeColor="text1"/>
          <w:shd w:val="clear" w:color="auto" w:fill="FFFFFF"/>
          <w:lang w:val="es-ES"/>
        </w:rPr>
      </w:pPr>
    </w:p>
    <w:p w14:paraId="17BEFFFF"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Por último, lo invitamos a seguirnos en las redes sociales en las cuales se difunde información institucional: </w:t>
      </w:r>
    </w:p>
    <w:p w14:paraId="156F998E" w14:textId="77777777" w:rsidR="00CF14C2" w:rsidRPr="00E46C82" w:rsidRDefault="00CF14C2" w:rsidP="00CF14C2">
      <w:pPr>
        <w:spacing w:after="0" w:line="276" w:lineRule="auto"/>
        <w:jc w:val="both"/>
        <w:rPr>
          <w:rFonts w:ascii="Verdana" w:hAnsi="Verdana"/>
          <w:color w:val="000000" w:themeColor="text1"/>
          <w:lang w:val="es-ES"/>
        </w:rPr>
      </w:pPr>
    </w:p>
    <w:p w14:paraId="75628DBC"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Twitter: </w:t>
      </w:r>
      <w:r w:rsidRPr="00E46C82">
        <w:rPr>
          <w:rStyle w:val="Hipervnculo"/>
          <w:rFonts w:ascii="Verdana" w:eastAsia="Calibri" w:hAnsi="Verdana" w:cs="Arial"/>
          <w:lang w:val="es-ES" w:eastAsia="es-ES_tradnl"/>
        </w:rPr>
        <w:t>@colombiacompra</w:t>
      </w:r>
      <w:r w:rsidRPr="00E46C82">
        <w:rPr>
          <w:rFonts w:ascii="Verdana" w:hAnsi="Verdana"/>
          <w:color w:val="000000" w:themeColor="text1"/>
          <w:lang w:val="es-ES"/>
        </w:rPr>
        <w:t xml:space="preserve"> </w:t>
      </w:r>
    </w:p>
    <w:p w14:paraId="60E46B7E" w14:textId="77777777" w:rsidR="00CF14C2" w:rsidRPr="00E46C82" w:rsidRDefault="00CF14C2" w:rsidP="00CF14C2">
      <w:pPr>
        <w:spacing w:after="0" w:line="276" w:lineRule="auto"/>
        <w:jc w:val="both"/>
        <w:rPr>
          <w:rFonts w:ascii="Verdana" w:eastAsia="Calibri" w:hAnsi="Verdana" w:cs="Arial"/>
          <w:color w:val="000000" w:themeColor="text1"/>
          <w:u w:val="single"/>
          <w:lang w:val="es-ES" w:eastAsia="es-ES_tradnl"/>
        </w:rPr>
      </w:pPr>
      <w:r w:rsidRPr="00E46C82">
        <w:rPr>
          <w:rFonts w:ascii="Verdana" w:hAnsi="Verdana"/>
          <w:color w:val="000000" w:themeColor="text1"/>
          <w:lang w:val="es-ES"/>
        </w:rPr>
        <w:t xml:space="preserve">Facebook: </w:t>
      </w:r>
      <w:r w:rsidRPr="00E46C82">
        <w:rPr>
          <w:rStyle w:val="Hipervnculo"/>
          <w:rFonts w:ascii="Verdana" w:eastAsia="Calibri" w:hAnsi="Verdana" w:cs="Arial"/>
          <w:lang w:val="es-ES" w:eastAsia="es-ES_tradnl"/>
        </w:rPr>
        <w:t>ColombiaCompraEficiente</w:t>
      </w:r>
    </w:p>
    <w:p w14:paraId="35FCA6E7" w14:textId="77777777" w:rsidR="00CF14C2" w:rsidRPr="00E46C82" w:rsidRDefault="00CF14C2" w:rsidP="00CF14C2">
      <w:pPr>
        <w:spacing w:after="0" w:line="276" w:lineRule="auto"/>
        <w:jc w:val="both"/>
        <w:rPr>
          <w:rFonts w:ascii="Verdana" w:hAnsi="Verdana"/>
          <w:color w:val="0000FF"/>
          <w:lang w:val="es-ES"/>
        </w:rPr>
      </w:pPr>
      <w:r w:rsidRPr="00E46C82">
        <w:rPr>
          <w:rFonts w:ascii="Verdana" w:hAnsi="Verdana"/>
          <w:color w:val="000000" w:themeColor="text1"/>
          <w:lang w:val="es-ES"/>
        </w:rPr>
        <w:t xml:space="preserve">LinkedIn: </w:t>
      </w:r>
      <w:r w:rsidRPr="00E46C82">
        <w:rPr>
          <w:rStyle w:val="Hipervnculo"/>
          <w:rFonts w:ascii="Verdana" w:eastAsia="Calibri" w:hAnsi="Verdana" w:cs="Arial"/>
          <w:lang w:val="es-ES" w:eastAsia="es-ES_tradnl"/>
        </w:rPr>
        <w:t xml:space="preserve">Agencia Nacional de Contratación Pública - Colombia Compra Eficiente </w:t>
      </w:r>
      <w:r w:rsidRPr="00E46C82">
        <w:rPr>
          <w:rFonts w:ascii="Verdana" w:hAnsi="Verdana"/>
          <w:color w:val="000000" w:themeColor="text1"/>
          <w:lang w:val="es-ES"/>
        </w:rPr>
        <w:t xml:space="preserve">Instagram: </w:t>
      </w:r>
      <w:r w:rsidRPr="00E46C82">
        <w:rPr>
          <w:rStyle w:val="Hipervnculo"/>
          <w:rFonts w:ascii="Verdana" w:eastAsia="Calibri" w:hAnsi="Verdana" w:cs="Arial"/>
          <w:lang w:val="es-ES" w:eastAsia="es-ES_tradnl"/>
        </w:rPr>
        <w:t>@colombiacompraeficiente_cce</w:t>
      </w:r>
    </w:p>
    <w:p w14:paraId="389BB580" w14:textId="77777777" w:rsidR="00CF14C2" w:rsidRPr="00E46C82" w:rsidRDefault="00CF14C2" w:rsidP="00CF14C2">
      <w:pPr>
        <w:widowControl w:val="0"/>
        <w:autoSpaceDE w:val="0"/>
        <w:autoSpaceDN w:val="0"/>
        <w:spacing w:after="0" w:line="276" w:lineRule="auto"/>
        <w:jc w:val="both"/>
        <w:rPr>
          <w:rFonts w:ascii="Verdana" w:hAnsi="Verdana"/>
          <w:color w:val="000000" w:themeColor="text1"/>
          <w:lang w:val="es-ES"/>
        </w:rPr>
      </w:pPr>
    </w:p>
    <w:p w14:paraId="488EB136" w14:textId="77777777" w:rsidR="00CF14C2" w:rsidRPr="00E46C82" w:rsidRDefault="00CF14C2" w:rsidP="00CF14C2">
      <w:pPr>
        <w:widowControl w:val="0"/>
        <w:autoSpaceDE w:val="0"/>
        <w:autoSpaceDN w:val="0"/>
        <w:spacing w:after="0" w:line="276" w:lineRule="auto"/>
        <w:jc w:val="both"/>
        <w:rPr>
          <w:rFonts w:ascii="Verdana" w:hAnsi="Verdana" w:cs="Arial"/>
          <w:color w:val="000000" w:themeColor="text1"/>
          <w:lang w:val="es-ES"/>
        </w:rPr>
      </w:pPr>
      <w:r w:rsidRPr="00E46C8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3149EC" w14:textId="77777777" w:rsidR="00CF14C2" w:rsidRPr="00E46C82" w:rsidRDefault="00CF14C2" w:rsidP="00CF14C2">
      <w:pPr>
        <w:spacing w:after="0" w:line="276" w:lineRule="auto"/>
        <w:ind w:firstLine="709"/>
        <w:jc w:val="both"/>
        <w:rPr>
          <w:rFonts w:ascii="Verdana" w:eastAsia="Times New Roman" w:hAnsi="Verdana" w:cs="Arial"/>
          <w:color w:val="000000" w:themeColor="text1"/>
          <w:lang w:val="es-ES" w:eastAsia="es-ES_tradnl"/>
        </w:rPr>
      </w:pPr>
    </w:p>
    <w:p w14:paraId="0C394757" w14:textId="0F71D0E3" w:rsidR="00DE1788" w:rsidRDefault="00B72DE9" w:rsidP="00CF14C2">
      <w:pPr>
        <w:spacing w:after="0" w:line="276" w:lineRule="auto"/>
        <w:rPr>
          <w:rFonts w:ascii="Verdana" w:hAnsi="Verdana" w:cs="Arial"/>
          <w:color w:val="000000" w:themeColor="text1"/>
          <w:lang w:val="es-ES" w:eastAsia="es-CO"/>
        </w:rPr>
      </w:pPr>
      <w:r w:rsidRPr="00580D84">
        <w:rPr>
          <w:rFonts w:ascii="Verdana" w:eastAsia="Verdana" w:hAnsi="Verdana" w:cs="Verdana"/>
          <w:b/>
          <w:bCs/>
          <w:noProof/>
          <w:lang w:val="es-MX"/>
        </w:rPr>
        <w:drawing>
          <wp:anchor distT="0" distB="0" distL="114300" distR="114300" simplePos="0" relativeHeight="251661313" behindDoc="1" locked="0" layoutInCell="1" allowOverlap="1" wp14:anchorId="4FCD0604" wp14:editId="4FCE90A0">
            <wp:simplePos x="0" y="0"/>
            <wp:positionH relativeFrom="column">
              <wp:posOffset>1440872</wp:posOffset>
            </wp:positionH>
            <wp:positionV relativeFrom="paragraph">
              <wp:posOffset>168968</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CF14C2" w:rsidRPr="00E46C82">
        <w:rPr>
          <w:rFonts w:ascii="Verdana" w:eastAsia="Times New Roman" w:hAnsi="Verdana" w:cs="Arial"/>
          <w:color w:val="000000" w:themeColor="text1"/>
          <w:lang w:val="es-ES" w:eastAsia="es-CO"/>
        </w:rPr>
        <w:t>Atentamente,</w:t>
      </w:r>
      <w:r w:rsidR="00CF14C2" w:rsidRPr="00E46C82">
        <w:rPr>
          <w:rFonts w:ascii="Verdana" w:hAnsi="Verdana" w:cs="Arial"/>
          <w:color w:val="000000" w:themeColor="text1"/>
          <w:lang w:val="es-ES" w:eastAsia="es-CO"/>
        </w:rPr>
        <w:t xml:space="preserve"> </w:t>
      </w:r>
    </w:p>
    <w:p w14:paraId="20A6FE86" w14:textId="5BACCE43" w:rsidR="00CF14C2" w:rsidRPr="00CF14C2" w:rsidRDefault="00CF14C2" w:rsidP="00CF14C2">
      <w:pPr>
        <w:spacing w:after="0" w:line="276" w:lineRule="auto"/>
        <w:rPr>
          <w:rFonts w:ascii="Verdana" w:hAnsi="Verdana" w:cs="Arial"/>
          <w:color w:val="000000" w:themeColor="text1"/>
          <w:lang w:val="es-ES" w:eastAsia="es-CO"/>
        </w:rPr>
      </w:pPr>
    </w:p>
    <w:p w14:paraId="15C208B4" w14:textId="44D3807C" w:rsidR="000C0D6D" w:rsidRDefault="000C0D6D" w:rsidP="000C0D6D">
      <w:pPr>
        <w:spacing w:after="120" w:line="276" w:lineRule="auto"/>
        <w:ind w:left="709" w:right="709"/>
        <w:jc w:val="both"/>
        <w:rPr>
          <w:rFonts w:ascii="Verdana" w:hAnsi="Verdana" w:cs="Arial"/>
          <w:lang w:val="es-ES"/>
        </w:rPr>
      </w:pPr>
    </w:p>
    <w:p w14:paraId="0B8E2383" w14:textId="504956D3" w:rsidR="00117DA0" w:rsidRPr="00E46C82" w:rsidRDefault="00117DA0" w:rsidP="00117DA0">
      <w:pPr>
        <w:spacing w:after="0" w:line="276" w:lineRule="auto"/>
        <w:ind w:firstLine="708"/>
        <w:jc w:val="both"/>
        <w:rPr>
          <w:rFonts w:ascii="Verdana" w:hAnsi="Verdana" w:cs="Arial"/>
          <w:lang w:val="es-ES"/>
        </w:rPr>
      </w:pPr>
    </w:p>
    <w:p w14:paraId="45ABF0C4" w14:textId="45CA0A93" w:rsidR="00CF14C2" w:rsidRPr="00E46C82" w:rsidRDefault="00CF14C2" w:rsidP="003344BC">
      <w:pPr>
        <w:spacing w:after="120" w:line="276" w:lineRule="auto"/>
        <w:ind w:firstLine="709"/>
        <w:jc w:val="both"/>
        <w:rPr>
          <w:rFonts w:ascii="Verdana" w:hAnsi="Verdana" w:cs="Arial"/>
          <w:lang w:val="es-ES"/>
        </w:rPr>
      </w:pPr>
    </w:p>
    <w:p w14:paraId="3D293787" w14:textId="465808D3" w:rsidR="00051105" w:rsidRDefault="00051105" w:rsidP="00C27227">
      <w:pPr>
        <w:spacing w:after="120" w:line="276" w:lineRule="auto"/>
        <w:ind w:firstLine="709"/>
        <w:jc w:val="both"/>
        <w:rPr>
          <w:rFonts w:ascii="Verdana" w:eastAsia="Times New Roman" w:hAnsi="Verdana" w:cs="Arial"/>
          <w:lang w:val="es-ES" w:eastAsia="es-ES_tradnl"/>
        </w:rPr>
      </w:pPr>
    </w:p>
    <w:p w14:paraId="63178BE7" w14:textId="77777777" w:rsidR="00581D1F" w:rsidRDefault="00581D1F" w:rsidP="00581D1F">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581D1F" w:rsidRPr="00B45B4E" w14:paraId="383BF028" w14:textId="77777777" w:rsidTr="00EF6CC1">
        <w:trPr>
          <w:trHeight w:val="315"/>
        </w:trPr>
        <w:tc>
          <w:tcPr>
            <w:tcW w:w="857" w:type="dxa"/>
            <w:tcBorders>
              <w:top w:val="nil"/>
              <w:left w:val="nil"/>
              <w:bottom w:val="nil"/>
              <w:right w:val="nil"/>
            </w:tcBorders>
            <w:vAlign w:val="center"/>
            <w:hideMark/>
          </w:tcPr>
          <w:p w14:paraId="195F097E"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6DFBE1D1" w14:textId="77777777" w:rsidR="00581D1F" w:rsidRPr="00B45B4E" w:rsidRDefault="00581D1F" w:rsidP="00EF6CC1">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7312EDDB"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581D1F" w:rsidRPr="00B45B4E" w14:paraId="07220F6A" w14:textId="77777777" w:rsidTr="00EF6CC1">
        <w:trPr>
          <w:trHeight w:val="315"/>
        </w:trPr>
        <w:tc>
          <w:tcPr>
            <w:tcW w:w="857" w:type="dxa"/>
            <w:tcBorders>
              <w:top w:val="nil"/>
              <w:left w:val="nil"/>
              <w:bottom w:val="nil"/>
              <w:right w:val="nil"/>
            </w:tcBorders>
            <w:vAlign w:val="center"/>
            <w:hideMark/>
          </w:tcPr>
          <w:p w14:paraId="6E790346"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37F7EFB" w14:textId="489DB501" w:rsidR="00581D1F" w:rsidRDefault="00717AE1" w:rsidP="00EF6CC1">
            <w:pPr>
              <w:spacing w:after="0" w:line="240" w:lineRule="auto"/>
              <w:jc w:val="both"/>
              <w:rPr>
                <w:rFonts w:ascii="Verdana" w:hAnsi="Verdana" w:cs="Arial"/>
                <w:sz w:val="16"/>
                <w:szCs w:val="16"/>
              </w:rPr>
            </w:pPr>
            <w:r>
              <w:rPr>
                <w:rFonts w:ascii="Verdana" w:hAnsi="Verdana" w:cs="Arial"/>
                <w:sz w:val="16"/>
                <w:szCs w:val="16"/>
              </w:rPr>
              <w:t>Martha Alicia Romero Vargas</w:t>
            </w:r>
            <w:r w:rsidR="00581D1F">
              <w:rPr>
                <w:rFonts w:ascii="Verdana" w:hAnsi="Verdana" w:cs="Arial"/>
                <w:sz w:val="16"/>
                <w:szCs w:val="16"/>
              </w:rPr>
              <w:t xml:space="preserve"> </w:t>
            </w:r>
          </w:p>
          <w:p w14:paraId="3D37220D" w14:textId="77777777" w:rsidR="00581D1F" w:rsidRPr="00B45B4E" w:rsidRDefault="00581D1F" w:rsidP="00EF6CC1">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581D1F" w:rsidRPr="00B45B4E" w14:paraId="4A95C53E" w14:textId="77777777" w:rsidTr="00EF6CC1">
        <w:trPr>
          <w:trHeight w:val="300"/>
        </w:trPr>
        <w:tc>
          <w:tcPr>
            <w:tcW w:w="857" w:type="dxa"/>
            <w:tcBorders>
              <w:top w:val="nil"/>
              <w:left w:val="nil"/>
              <w:bottom w:val="nil"/>
              <w:right w:val="nil"/>
            </w:tcBorders>
            <w:vAlign w:val="center"/>
            <w:hideMark/>
          </w:tcPr>
          <w:p w14:paraId="40B5FBF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208F53B9"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358BADC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6EBCA639" w14:textId="77777777" w:rsidR="00581D1F" w:rsidRPr="00FC2867" w:rsidRDefault="00581D1F" w:rsidP="00581D1F">
      <w:pPr>
        <w:spacing w:after="0"/>
        <w:rPr>
          <w:rFonts w:ascii="Verdana" w:hAnsi="Verdana" w:cs="Arial"/>
          <w:sz w:val="16"/>
          <w:szCs w:val="16"/>
        </w:rPr>
      </w:pPr>
    </w:p>
    <w:p w14:paraId="1862F5A5" w14:textId="77777777" w:rsidR="00581D1F" w:rsidRPr="00E46C82" w:rsidRDefault="00581D1F" w:rsidP="00581D1F">
      <w:pPr>
        <w:spacing w:after="120" w:line="276" w:lineRule="auto"/>
        <w:jc w:val="both"/>
        <w:rPr>
          <w:rFonts w:ascii="Verdana" w:eastAsia="Times New Roman" w:hAnsi="Verdana" w:cs="Arial"/>
          <w:lang w:val="es-ES" w:eastAsia="es-ES_tradnl"/>
        </w:rPr>
      </w:pPr>
    </w:p>
    <w:p w14:paraId="4E994829" w14:textId="689D5273" w:rsidR="008B1AEF" w:rsidRPr="00D83064" w:rsidRDefault="008B1AEF" w:rsidP="00C27227">
      <w:pPr>
        <w:spacing w:after="120" w:line="276" w:lineRule="auto"/>
        <w:ind w:firstLine="709"/>
        <w:jc w:val="both"/>
        <w:rPr>
          <w:rFonts w:ascii="Verdana" w:eastAsia="Calibri" w:hAnsi="Verdana" w:cs="Arial"/>
          <w:lang w:val="es-ES" w:eastAsia="es-ES_tradnl"/>
        </w:rPr>
      </w:pPr>
    </w:p>
    <w:p w14:paraId="25AACB07" w14:textId="77777777" w:rsidR="00BC62E8" w:rsidRPr="00E46C82" w:rsidRDefault="00BC62E8" w:rsidP="00EA61CC">
      <w:pPr>
        <w:spacing w:before="120" w:after="0" w:line="276" w:lineRule="auto"/>
        <w:ind w:firstLine="709"/>
        <w:jc w:val="both"/>
        <w:rPr>
          <w:rFonts w:ascii="Verdana" w:eastAsia="Calibri" w:hAnsi="Verdana" w:cs="Arial"/>
          <w:lang w:val="es-ES" w:eastAsia="es-ES_tradnl"/>
        </w:rPr>
      </w:pPr>
    </w:p>
    <w:p w14:paraId="3D6CD97D" w14:textId="77777777" w:rsidR="002F06BF" w:rsidRPr="00E46C82" w:rsidRDefault="002F06BF" w:rsidP="002F06BF">
      <w:pPr>
        <w:spacing w:after="120" w:line="276" w:lineRule="auto"/>
        <w:ind w:firstLine="709"/>
        <w:jc w:val="both"/>
        <w:rPr>
          <w:rFonts w:ascii="Verdana" w:eastAsia="Times New Roman" w:hAnsi="Verdana" w:cs="Arial"/>
          <w:bCs/>
          <w:color w:val="000000"/>
          <w:lang w:val="es-ES" w:eastAsia="es-ES_tradnl"/>
        </w:rPr>
      </w:pPr>
    </w:p>
    <w:p w14:paraId="2180E8D9" w14:textId="77777777" w:rsidR="00F6001A" w:rsidRPr="00E46C82" w:rsidRDefault="00F6001A" w:rsidP="002F06BF">
      <w:pPr>
        <w:tabs>
          <w:tab w:val="left" w:pos="0"/>
        </w:tabs>
        <w:spacing w:after="120" w:line="276" w:lineRule="auto"/>
        <w:ind w:firstLine="709"/>
        <w:jc w:val="both"/>
        <w:rPr>
          <w:rFonts w:ascii="Verdana" w:eastAsia="Calibri" w:hAnsi="Verdana" w:cs="Arial"/>
          <w:color w:val="000000"/>
          <w:lang w:val="es-ES" w:eastAsia="en-GB"/>
        </w:rPr>
      </w:pPr>
    </w:p>
    <w:p w14:paraId="384B0290" w14:textId="5216BAAE" w:rsidR="00357DB0" w:rsidRPr="00E46C82" w:rsidRDefault="00357DB0" w:rsidP="002F06BF">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w:t>
      </w:r>
    </w:p>
    <w:p w14:paraId="6B1FA635" w14:textId="77777777" w:rsidR="006B2CCE" w:rsidRPr="00E46C82" w:rsidRDefault="006B2CCE" w:rsidP="002F06BF">
      <w:pPr>
        <w:tabs>
          <w:tab w:val="left" w:pos="0"/>
        </w:tabs>
        <w:spacing w:after="120" w:line="276" w:lineRule="auto"/>
        <w:ind w:firstLine="709"/>
        <w:jc w:val="both"/>
        <w:rPr>
          <w:rFonts w:ascii="Verdana" w:eastAsia="Calibri" w:hAnsi="Verdana" w:cs="Arial"/>
          <w:color w:val="000000"/>
          <w:lang w:val="es-ES" w:eastAsia="en-GB"/>
        </w:rPr>
      </w:pPr>
    </w:p>
    <w:bookmarkEnd w:id="1"/>
    <w:p w14:paraId="330E78CE" w14:textId="77777777" w:rsidR="0041076F" w:rsidRPr="00E46C82" w:rsidRDefault="0041076F" w:rsidP="002F06BF">
      <w:pPr>
        <w:tabs>
          <w:tab w:val="left" w:pos="0"/>
        </w:tabs>
        <w:spacing w:after="120" w:line="276" w:lineRule="auto"/>
        <w:ind w:firstLine="709"/>
        <w:jc w:val="both"/>
        <w:rPr>
          <w:rFonts w:ascii="Verdana" w:eastAsia="Calibri" w:hAnsi="Verdana" w:cs="Arial"/>
          <w:color w:val="000000"/>
          <w:lang w:val="es-ES" w:eastAsia="en-GB"/>
        </w:rPr>
      </w:pPr>
    </w:p>
    <w:p w14:paraId="02CC816F" w14:textId="77777777" w:rsidR="001A1596" w:rsidRDefault="001A1596" w:rsidP="001A1596">
      <w:pPr>
        <w:widowControl w:val="0"/>
        <w:tabs>
          <w:tab w:val="left" w:pos="382"/>
        </w:tabs>
        <w:autoSpaceDE w:val="0"/>
        <w:autoSpaceDN w:val="0"/>
        <w:spacing w:line="276" w:lineRule="auto"/>
        <w:outlineLvl w:val="0"/>
        <w:rPr>
          <w:rFonts w:ascii="Verdana" w:eastAsia="Verdana" w:hAnsi="Verdana" w:cs="Verdana"/>
          <w:b/>
          <w:bCs/>
          <w:spacing w:val="-2"/>
          <w:lang w:val="es-ES"/>
        </w:rPr>
      </w:pPr>
    </w:p>
    <w:p w14:paraId="1A7B1BD6" w14:textId="77777777" w:rsidR="001A1596" w:rsidRDefault="001A1596" w:rsidP="001A1596">
      <w:pPr>
        <w:widowControl w:val="0"/>
        <w:tabs>
          <w:tab w:val="left" w:pos="382"/>
        </w:tabs>
        <w:autoSpaceDE w:val="0"/>
        <w:autoSpaceDN w:val="0"/>
        <w:spacing w:after="120" w:line="276" w:lineRule="auto"/>
        <w:outlineLvl w:val="0"/>
        <w:rPr>
          <w:rFonts w:ascii="Verdana" w:eastAsia="Verdana" w:hAnsi="Verdana" w:cs="Verdana"/>
          <w:spacing w:val="-2"/>
          <w:lang w:val="es-ES"/>
        </w:rPr>
      </w:pPr>
    </w:p>
    <w:p w14:paraId="7C37E1B3" w14:textId="77777777" w:rsidR="001A1596" w:rsidRPr="001A1596" w:rsidRDefault="001A1596" w:rsidP="00B04F2E">
      <w:pPr>
        <w:widowControl w:val="0"/>
        <w:tabs>
          <w:tab w:val="left" w:pos="382"/>
        </w:tabs>
        <w:autoSpaceDE w:val="0"/>
        <w:autoSpaceDN w:val="0"/>
        <w:spacing w:after="0" w:line="276" w:lineRule="auto"/>
        <w:outlineLvl w:val="0"/>
        <w:rPr>
          <w:rFonts w:ascii="Verdana" w:eastAsia="Verdana" w:hAnsi="Verdana" w:cs="Verdana"/>
          <w:spacing w:val="-2"/>
          <w:lang w:val="es-ES"/>
        </w:rPr>
      </w:pPr>
    </w:p>
    <w:p w14:paraId="0B5CEC2F" w14:textId="77777777" w:rsidR="00B04F2E" w:rsidRPr="00E46C82" w:rsidRDefault="00B04F2E" w:rsidP="00B04F2E">
      <w:pPr>
        <w:widowControl w:val="0"/>
        <w:tabs>
          <w:tab w:val="left" w:pos="382"/>
        </w:tabs>
        <w:autoSpaceDE w:val="0"/>
        <w:autoSpaceDN w:val="0"/>
        <w:spacing w:after="0" w:line="276" w:lineRule="auto"/>
        <w:outlineLvl w:val="0"/>
        <w:rPr>
          <w:rFonts w:ascii="Verdana" w:eastAsia="Verdana" w:hAnsi="Verdana" w:cs="Verdana"/>
          <w:b/>
          <w:bCs/>
          <w:lang w:val="es-ES"/>
        </w:rPr>
      </w:pPr>
    </w:p>
    <w:p w14:paraId="76E05B24" w14:textId="77777777" w:rsidR="00B04F2E" w:rsidRPr="00E46C82" w:rsidRDefault="00B04F2E" w:rsidP="00B04F2E">
      <w:pPr>
        <w:tabs>
          <w:tab w:val="left" w:pos="142"/>
          <w:tab w:val="left" w:pos="284"/>
        </w:tabs>
        <w:spacing w:after="0" w:line="276" w:lineRule="auto"/>
        <w:jc w:val="both"/>
        <w:rPr>
          <w:rFonts w:ascii="Verdana" w:eastAsia="Century Gothic" w:hAnsi="Verdana" w:cs="Century Gothic"/>
          <w:b/>
          <w:bCs/>
          <w:color w:val="7030A0"/>
          <w:lang w:val="es-ES"/>
        </w:rPr>
      </w:pPr>
    </w:p>
    <w:p w14:paraId="35B84635" w14:textId="77777777" w:rsidR="00DD6302" w:rsidRPr="00E46C82" w:rsidRDefault="00DD6302" w:rsidP="00976C1E">
      <w:pPr>
        <w:spacing w:after="120" w:line="276" w:lineRule="auto"/>
        <w:ind w:firstLine="709"/>
        <w:jc w:val="both"/>
        <w:rPr>
          <w:rFonts w:ascii="Verdana" w:eastAsia="Calibri" w:hAnsi="Verdana" w:cs="Arial"/>
          <w:color w:val="000000" w:themeColor="text1"/>
          <w:lang w:val="es-ES" w:eastAsia="es-ES"/>
        </w:rPr>
      </w:pPr>
    </w:p>
    <w:p w14:paraId="1D795BF0" w14:textId="77777777" w:rsidR="00976C1E" w:rsidRPr="00E46C82" w:rsidRDefault="00976C1E" w:rsidP="00976C1E">
      <w:pPr>
        <w:spacing w:after="120" w:line="276" w:lineRule="auto"/>
        <w:ind w:firstLine="709"/>
        <w:jc w:val="both"/>
        <w:rPr>
          <w:rFonts w:ascii="Verdana" w:eastAsia="Times New Roman" w:hAnsi="Verdana" w:cs="Arial"/>
          <w:color w:val="7030A0"/>
          <w:lang w:val="es-ES" w:eastAsia="es-ES_tradnl"/>
        </w:rPr>
      </w:pPr>
    </w:p>
    <w:p w14:paraId="7222822B" w14:textId="77777777" w:rsidR="00976C1E" w:rsidRDefault="00976C1E"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93BB7BE" w14:textId="7CA51973" w:rsidR="00874CFF" w:rsidRDefault="00874CFF"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05963E5" w14:textId="77777777" w:rsidR="00874CFF" w:rsidRPr="00365F36" w:rsidRDefault="00874CFF" w:rsidP="00976C1E">
      <w:pPr>
        <w:spacing w:after="120" w:line="276" w:lineRule="auto"/>
        <w:ind w:firstLine="709"/>
        <w:jc w:val="both"/>
        <w:rPr>
          <w:rFonts w:ascii="Verdana" w:eastAsia="Calibri" w:hAnsi="Verdana" w:cs="Arial"/>
          <w:color w:val="000000" w:themeColor="text1"/>
          <w:sz w:val="21"/>
          <w:szCs w:val="21"/>
          <w:lang w:val="es-ES" w:eastAsia="es-ES_tradnl"/>
        </w:rPr>
      </w:pPr>
    </w:p>
    <w:p w14:paraId="2831C990" w14:textId="77777777" w:rsidR="00602FD5" w:rsidRPr="00365F36" w:rsidRDefault="00602FD5" w:rsidP="00976C1E">
      <w:pPr>
        <w:spacing w:after="120" w:line="276" w:lineRule="auto"/>
        <w:ind w:firstLine="709"/>
        <w:jc w:val="both"/>
        <w:rPr>
          <w:rFonts w:ascii="Verdana" w:eastAsia="Calibri" w:hAnsi="Verdana" w:cs="Arial"/>
          <w:bCs/>
          <w:color w:val="000000" w:themeColor="text1"/>
          <w:sz w:val="21"/>
          <w:szCs w:val="21"/>
          <w:lang w:val="es-ES" w:eastAsia="es-ES_tradnl"/>
        </w:rPr>
      </w:pPr>
    </w:p>
    <w:p w14:paraId="777798E2" w14:textId="77777777" w:rsidR="001C7BFC" w:rsidRPr="001C7BFC" w:rsidRDefault="001C7BFC" w:rsidP="00976C1E">
      <w:pPr>
        <w:spacing w:after="120" w:line="276" w:lineRule="auto"/>
        <w:ind w:firstLine="709"/>
        <w:jc w:val="both"/>
        <w:rPr>
          <w:rFonts w:ascii="Verdana" w:eastAsia="Verdana" w:hAnsi="Verdana" w:cs="Verdana"/>
          <w:lang w:val="es-MX"/>
        </w:rPr>
      </w:pPr>
    </w:p>
    <w:bookmarkEnd w:id="0"/>
    <w:p w14:paraId="3900974D" w14:textId="7C869462" w:rsidR="003D5B0D" w:rsidRPr="00D83064" w:rsidRDefault="003D5B0D" w:rsidP="30821638">
      <w:pPr>
        <w:spacing w:after="0" w:line="240" w:lineRule="auto"/>
        <w:textAlignment w:val="baseline"/>
        <w:rPr>
          <w:rFonts w:ascii="Verdana" w:eastAsia="Verdana" w:hAnsi="Verdana" w:cs="Verdana"/>
          <w:color w:val="0000FF"/>
          <w:u w:val="single"/>
        </w:rPr>
      </w:pPr>
    </w:p>
    <w:sectPr w:rsidR="003D5B0D" w:rsidRPr="00D8306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087E5" w14:textId="77777777" w:rsidR="007C644E" w:rsidRDefault="007C644E" w:rsidP="004A1847">
      <w:pPr>
        <w:spacing w:after="0" w:line="240" w:lineRule="auto"/>
      </w:pPr>
      <w:r>
        <w:separator/>
      </w:r>
    </w:p>
  </w:endnote>
  <w:endnote w:type="continuationSeparator" w:id="0">
    <w:p w14:paraId="0D061CE4" w14:textId="77777777" w:rsidR="007C644E" w:rsidRDefault="007C644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79C062" w14:textId="77777777" w:rsidR="007C644E" w:rsidRDefault="007C644E" w:rsidP="004A1847">
      <w:pPr>
        <w:spacing w:after="0" w:line="240" w:lineRule="auto"/>
      </w:pPr>
      <w:r>
        <w:separator/>
      </w:r>
    </w:p>
  </w:footnote>
  <w:footnote w:type="continuationSeparator" w:id="0">
    <w:p w14:paraId="5EF73845" w14:textId="77777777" w:rsidR="007C644E" w:rsidRDefault="007C644E" w:rsidP="004A1847">
      <w:pPr>
        <w:spacing w:after="0" w:line="240" w:lineRule="auto"/>
      </w:pPr>
      <w:r>
        <w:continuationSeparator/>
      </w:r>
    </w:p>
  </w:footnote>
  <w:footnote w:id="1">
    <w:p w14:paraId="4FC3A5EE" w14:textId="77777777" w:rsidR="00981114" w:rsidRPr="00B50A96" w:rsidRDefault="00981114" w:rsidP="00981114">
      <w:pPr>
        <w:pStyle w:val="Textonotapie"/>
        <w:tabs>
          <w:tab w:val="left" w:pos="1138"/>
        </w:tabs>
        <w:snapToGrid w:val="0"/>
        <w:ind w:firstLine="709"/>
        <w:contextualSpacing/>
        <w:jc w:val="both"/>
        <w:rPr>
          <w:rFonts w:ascii="Verdana" w:hAnsi="Verdana" w:cs="Arial"/>
          <w:sz w:val="16"/>
          <w:szCs w:val="16"/>
        </w:rPr>
      </w:pPr>
      <w:r w:rsidRPr="007539AE">
        <w:rPr>
          <w:rFonts w:ascii="Verdana" w:hAnsi="Verdana" w:cs="Arial"/>
          <w:sz w:val="15"/>
          <w:szCs w:val="15"/>
        </w:rPr>
        <w:tab/>
      </w: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el particular, se puede consultar la Gaceta 158 del cuarto debate en el Senado. Disponible en: </w:t>
      </w:r>
      <w:hyperlink r:id="rId1" w:history="1">
        <w:r w:rsidRPr="00B50A96">
          <w:rPr>
            <w:rFonts w:ascii="Verdana" w:hAnsi="Verdana" w:cs="Arial"/>
            <w:sz w:val="16"/>
            <w:szCs w:val="16"/>
            <w:lang w:val="es-ES"/>
          </w:rPr>
          <w:t>http://svrpubindc.imprenta.gov.co/senado/index.xhtml;jsessionid=b3ba7213a248bacd37376ffcedca</w:t>
        </w:r>
      </w:hyperlink>
      <w:r w:rsidRPr="00B50A96">
        <w:rPr>
          <w:rFonts w:ascii="Verdana" w:hAnsi="Verdana" w:cs="Arial"/>
          <w:sz w:val="16"/>
          <w:szCs w:val="16"/>
          <w:lang w:val="es-ES"/>
        </w:rPr>
        <w:t xml:space="preserve">  </w:t>
      </w:r>
      <w:r w:rsidRPr="00B50A96">
        <w:rPr>
          <w:rFonts w:ascii="Verdana" w:hAnsi="Verdana" w:cs="Arial"/>
          <w:sz w:val="16"/>
          <w:szCs w:val="16"/>
        </w:rPr>
        <w:t xml:space="preserve"> </w:t>
      </w:r>
    </w:p>
  </w:footnote>
  <w:footnote w:id="2">
    <w:p w14:paraId="1FC173F4" w14:textId="77777777" w:rsidR="00981114" w:rsidRPr="00B50A96" w:rsidRDefault="00981114" w:rsidP="00981114">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Exposición de motivos del Proyecto de Ley No. 025 de 2018 Cámara. Disponible en: http://leyes.senado.gov.co/proyectos/images/documentos/Textos%20Radicados/Ponencias/2018/gaceta_563.pdf</w:t>
      </w:r>
    </w:p>
  </w:footnote>
  <w:footnote w:id="3">
    <w:p w14:paraId="30AE24DB" w14:textId="77777777" w:rsidR="00357DB0" w:rsidRPr="00B50A96" w:rsidRDefault="00357DB0" w:rsidP="00357DB0">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4">
    <w:p w14:paraId="6B36511D"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1DD2C55E"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Fonts w:ascii="Verdana" w:hAnsi="Verdana" w:cs="Arial"/>
          <w:sz w:val="16"/>
          <w:szCs w:val="16"/>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5">
    <w:p w14:paraId="39EA5621" w14:textId="77777777" w:rsidR="007300A9" w:rsidRPr="00B50A96" w:rsidRDefault="007300A9" w:rsidP="007300A9">
      <w:pPr>
        <w:pStyle w:val="Textonotapie"/>
        <w:snapToGrid w:val="0"/>
        <w:ind w:firstLine="709"/>
        <w:contextualSpacing/>
        <w:jc w:val="both"/>
        <w:rPr>
          <w:rFonts w:ascii="Verdana" w:hAnsi="Verdana" w:cs="Arial"/>
          <w:color w:val="4472C4" w:themeColor="accent1"/>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2" w:history="1">
        <w:r w:rsidRPr="00B50A96">
          <w:rPr>
            <w:rStyle w:val="Hipervnculo1"/>
            <w:rFonts w:ascii="Verdana" w:hAnsi="Verdana" w:cs="Arial"/>
            <w:color w:val="4472C4" w:themeColor="accent1"/>
            <w:sz w:val="16"/>
            <w:szCs w:val="16"/>
          </w:rPr>
          <w:t>https://www.contraloria.gov.co/documents/20181/1776254/CIRCULAR_2020EE0096013_REGISTRO_NACIONAL_OBRAS_INCONCLUSAS.PDF/785952d4-4b41-48cb-916b-4881c3b4a095</w:t>
        </w:r>
      </w:hyperlink>
    </w:p>
  </w:footnote>
  <w:footnote w:id="6">
    <w:p w14:paraId="6DF7058E" w14:textId="77777777" w:rsidR="007300A9" w:rsidRPr="00B50A96" w:rsidRDefault="007300A9" w:rsidP="007300A9">
      <w:pPr>
        <w:pStyle w:val="Textonotapie"/>
        <w:snapToGrid w:val="0"/>
        <w:ind w:firstLine="709"/>
        <w:contextualSpacing/>
        <w:jc w:val="both"/>
        <w:rPr>
          <w:rFonts w:ascii="Verdana" w:eastAsia="Calibri" w:hAnsi="Verdana" w:cs="Arial"/>
          <w:sz w:val="16"/>
          <w:szCs w:val="16"/>
          <w:lang w:val="es-ES_tradnl" w:eastAsia="en-GB"/>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CO"/>
        </w:rPr>
        <w:t xml:space="preserve">Al respecto, el parágrafo 3 </w:t>
      </w:r>
      <w:r w:rsidRPr="00B50A96">
        <w:rPr>
          <w:rFonts w:ascii="Verdana" w:eastAsia="Calibri" w:hAnsi="Verdana" w:cs="Arial"/>
          <w:sz w:val="16"/>
          <w:szCs w:val="16"/>
          <w:lang w:val="es-ES_tradnl" w:eastAsia="en-GB"/>
        </w:rPr>
        <w:t xml:space="preserve">del artículo 3 de la Ley 2020 de 2020 establece lo siguiente: </w:t>
      </w:r>
      <w:r w:rsidRPr="00B50A96">
        <w:rPr>
          <w:rFonts w:ascii="Verdana" w:hAnsi="Verdana" w:cs="Arial"/>
          <w:sz w:val="16"/>
          <w:szCs w:val="16"/>
          <w:lang w:val="es-ES"/>
        </w:rPr>
        <w:t>“</w:t>
      </w:r>
      <w:r w:rsidRPr="00B50A96">
        <w:rPr>
          <w:rFonts w:ascii="Verdana" w:eastAsia="Calibri" w:hAnsi="Verdana" w:cs="Arial"/>
          <w:sz w:val="16"/>
          <w:szCs w:val="16"/>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389D030F" w14:textId="77777777" w:rsidR="007300A9" w:rsidRPr="00B50A96" w:rsidRDefault="007300A9" w:rsidP="007300A9">
      <w:pPr>
        <w:pStyle w:val="Textonotapie"/>
        <w:snapToGrid w:val="0"/>
        <w:ind w:firstLine="709"/>
        <w:contextualSpacing/>
        <w:jc w:val="both"/>
        <w:rPr>
          <w:rFonts w:ascii="Verdana" w:hAnsi="Verdana" w:cs="Arial"/>
          <w:sz w:val="16"/>
          <w:szCs w:val="16"/>
          <w:lang w:val="es-CO"/>
        </w:rPr>
      </w:pPr>
      <w:r w:rsidRPr="00B50A96">
        <w:rPr>
          <w:rFonts w:ascii="Verdana" w:hAnsi="Verdana" w:cs="Arial"/>
          <w:sz w:val="16"/>
          <w:szCs w:val="16"/>
          <w:lang w:val="es-ES"/>
        </w:rPr>
        <w:t>“</w:t>
      </w:r>
      <w:r w:rsidRPr="00B50A96">
        <w:rPr>
          <w:rFonts w:ascii="Verdana" w:eastAsia="Calibri" w:hAnsi="Verdana" w:cs="Arial"/>
          <w:sz w:val="16"/>
          <w:szCs w:val="16"/>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B50A96">
        <w:rPr>
          <w:rFonts w:ascii="Verdana" w:hAnsi="Verdana" w:cs="Arial"/>
          <w:sz w:val="16"/>
          <w:szCs w:val="16"/>
          <w:lang w:val="es-ES"/>
        </w:rPr>
        <w:t>”.</w:t>
      </w:r>
    </w:p>
  </w:footnote>
  <w:footnote w:id="7">
    <w:p w14:paraId="7A8B34A1" w14:textId="77777777" w:rsidR="007300A9" w:rsidRPr="00B50A96" w:rsidRDefault="007300A9" w:rsidP="007300A9">
      <w:pPr>
        <w:pStyle w:val="Textonotapie"/>
        <w:snapToGrid w:val="0"/>
        <w:ind w:firstLine="708"/>
        <w:contextualSpacing/>
        <w:jc w:val="both"/>
        <w:rPr>
          <w:rFonts w:ascii="Verdana" w:hAnsi="Verdana" w:cs="Arial"/>
          <w:sz w:val="16"/>
          <w:szCs w:val="16"/>
          <w:lang w:val="es-CO"/>
        </w:rPr>
      </w:pPr>
      <w:r w:rsidRPr="00B50A96">
        <w:rPr>
          <w:rStyle w:val="Refdenotaalpie"/>
          <w:rFonts w:ascii="Verdana" w:hAnsi="Verdana" w:cs="Arial"/>
          <w:sz w:val="16"/>
          <w:szCs w:val="16"/>
        </w:rPr>
        <w:footnoteRef/>
      </w:r>
      <w:r w:rsidRPr="00B50A96">
        <w:rPr>
          <w:rFonts w:ascii="Verdana" w:hAnsi="Verdana" w:cs="Arial"/>
          <w:sz w:val="16"/>
          <w:szCs w:val="16"/>
        </w:rPr>
        <w:t xml:space="preserve"> Puede ser consultada en: </w:t>
      </w:r>
      <w:hyperlink r:id="rId3" w:history="1">
        <w:r w:rsidRPr="00B50A96">
          <w:rPr>
            <w:rStyle w:val="Hipervnculo1"/>
            <w:rFonts w:ascii="Verdana" w:hAnsi="Verdana" w:cs="Arial"/>
            <w:color w:val="4472C4" w:themeColor="accent1"/>
            <w:sz w:val="16"/>
            <w:szCs w:val="16"/>
          </w:rPr>
          <w:t>https://www.contraloria.gov.co/web/relatoria/normatividad-y-relatoria</w:t>
        </w:r>
      </w:hyperlink>
      <w:r w:rsidRPr="00B50A96">
        <w:rPr>
          <w:rStyle w:val="Hipervnculo1"/>
          <w:rFonts w:ascii="Verdana" w:hAnsi="Verdana" w:cs="Arial"/>
          <w:color w:val="4472C4" w:themeColor="accent1"/>
          <w:sz w:val="16"/>
          <w:szCs w:val="16"/>
        </w:rPr>
        <w:t xml:space="preserve"> </w:t>
      </w:r>
    </w:p>
  </w:footnote>
  <w:footnote w:id="8">
    <w:p w14:paraId="06AAE040" w14:textId="2D9BEA54" w:rsidR="00EA61CC" w:rsidRPr="00784856" w:rsidRDefault="00EA61CC" w:rsidP="00EA61CC">
      <w:pPr>
        <w:pStyle w:val="Textonotapie"/>
        <w:snapToGrid w:val="0"/>
        <w:ind w:firstLine="709"/>
        <w:contextualSpacing/>
        <w:jc w:val="both"/>
        <w:rPr>
          <w:rFonts w:ascii="Verdana" w:hAnsi="Verdana" w:cs="Arial"/>
          <w:sz w:val="16"/>
          <w:szCs w:val="16"/>
          <w:lang w:val="es-CO"/>
        </w:rPr>
      </w:pPr>
      <w:r w:rsidRPr="00784856">
        <w:rPr>
          <w:rStyle w:val="Refdenotaalpie"/>
          <w:rFonts w:ascii="Verdana" w:hAnsi="Verdana" w:cs="Arial"/>
          <w:sz w:val="16"/>
          <w:szCs w:val="16"/>
        </w:rPr>
        <w:footnoteRef/>
      </w:r>
      <w:r w:rsidRPr="00784856">
        <w:rPr>
          <w:rFonts w:ascii="Verdana" w:hAnsi="Verdana" w:cs="Arial"/>
          <w:sz w:val="16"/>
          <w:szCs w:val="16"/>
        </w:rPr>
        <w:t xml:space="preserve"> </w:t>
      </w:r>
      <w:r w:rsidRPr="00784856">
        <w:rPr>
          <w:rFonts w:ascii="Verdana" w:hAnsi="Verdana" w:cs="Arial"/>
          <w:sz w:val="16"/>
          <w:szCs w:val="16"/>
          <w:lang w:val="es-ES"/>
        </w:rPr>
        <w:t xml:space="preserve">“Artículo 9. Responsables. Los responsables de hacer el inventario de obras </w:t>
      </w:r>
      <w:r w:rsidR="0061392A" w:rsidRPr="00784856">
        <w:rPr>
          <w:rFonts w:ascii="Verdana" w:hAnsi="Verdana" w:cs="Arial"/>
          <w:sz w:val="16"/>
          <w:szCs w:val="16"/>
          <w:lang w:val="es-ES"/>
        </w:rPr>
        <w:t>inconclusas</w:t>
      </w:r>
      <w:r w:rsidRPr="00784856">
        <w:rPr>
          <w:rFonts w:ascii="Verdana" w:hAnsi="Verdana" w:cs="Arial"/>
          <w:sz w:val="16"/>
          <w:szCs w:val="16"/>
          <w:lang w:val="es-ES"/>
        </w:rPr>
        <w:t xml:space="preserve">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9">
    <w:p w14:paraId="32DCA617"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eastAsiaTheme="minorHAnsi" w:hAnsi="Verdana" w:cs="Arial"/>
          <w:sz w:val="16"/>
          <w:szCs w:val="16"/>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5DC89B6"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4"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w:t>
      </w:r>
    </w:p>
    <w:p w14:paraId="089BDE4B"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5"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0">
    <w:p w14:paraId="5EAB882F"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Style w:val="Refdenotaalpie"/>
          <w:rFonts w:ascii="Verdana" w:hAnsi="Verdana" w:cs="Arial"/>
          <w:sz w:val="16"/>
          <w:szCs w:val="16"/>
        </w:rPr>
        <w:footnoteRef/>
      </w:r>
      <w:r w:rsidRPr="00784856">
        <w:rPr>
          <w:rFonts w:ascii="Verdana" w:hAnsi="Verdana" w:cs="Arial"/>
          <w:sz w:val="16"/>
          <w:szCs w:val="16"/>
        </w:rPr>
        <w:t xml:space="preserve"> “Artículo 164. Oportunidad para presentar la demanda. La demanda deberá ser presentada: </w:t>
      </w:r>
    </w:p>
    <w:p w14:paraId="759461F7"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sz w:val="16"/>
          <w:szCs w:val="16"/>
        </w:rPr>
        <w:t>[…]</w:t>
      </w:r>
    </w:p>
    <w:p w14:paraId="587F3A57"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2. En los siguientes términos, so pena de que opere la caducidad:</w:t>
      </w:r>
    </w:p>
    <w:p w14:paraId="23EDEDF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j) En las relativas a contratos el término para demandar será de dos (2) años que se contarán a partir del día siguiente a la ocurrencia de los motivos de hecho o de derecho que les sirvan de fundamento.</w:t>
      </w:r>
    </w:p>
    <w:p w14:paraId="79CE750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w:t>
      </w:r>
    </w:p>
    <w:p w14:paraId="006C1052"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color w:val="333333"/>
          <w:sz w:val="16"/>
          <w:szCs w:val="16"/>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1">
    <w:p w14:paraId="4CBAC2A0"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Corte CONSTITUCIONAL, C-147 de 1998. </w:t>
      </w:r>
    </w:p>
  </w:footnote>
  <w:footnote w:id="12">
    <w:p w14:paraId="33C94DBE"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Esta ha sido la interpretación sostenida en diversos conceptos por parte de la Contraloría General de la República: CGR-OJ-195-2020 y CGR-OJ-0004-2023, entre otros. </w:t>
      </w:r>
    </w:p>
  </w:footnote>
  <w:footnote w:id="13">
    <w:p w14:paraId="6F6247B2" w14:textId="086967AA" w:rsidR="00BD0A87" w:rsidRPr="00784856" w:rsidRDefault="00BD0A87" w:rsidP="00BD0A87">
      <w:pPr>
        <w:pStyle w:val="Textonotapie"/>
        <w:ind w:firstLine="708"/>
        <w:rPr>
          <w:rFonts w:ascii="Verdana" w:hAnsi="Verdana"/>
          <w:sz w:val="16"/>
          <w:szCs w:val="16"/>
          <w:lang w:val="es-ES"/>
        </w:rPr>
      </w:pPr>
      <w:r w:rsidRPr="00784856">
        <w:rPr>
          <w:rStyle w:val="Refdenotaalpie"/>
          <w:rFonts w:ascii="Verdana" w:hAnsi="Verdana"/>
          <w:sz w:val="16"/>
          <w:szCs w:val="16"/>
        </w:rPr>
        <w:footnoteRef/>
      </w:r>
      <w:r w:rsidR="00B50A96">
        <w:rPr>
          <w:rFonts w:ascii="Verdana" w:hAnsi="Verdana"/>
          <w:sz w:val="16"/>
          <w:szCs w:val="16"/>
        </w:rPr>
        <w:t xml:space="preserve"> </w:t>
      </w:r>
      <w:r w:rsidRPr="00784856">
        <w:rPr>
          <w:rFonts w:ascii="Verdana" w:hAnsi="Verdana"/>
          <w:sz w:val="16"/>
          <w:szCs w:val="16"/>
        </w:rPr>
        <w:t xml:space="preserve">Contraloría General de la República, Concepto CGR-OJ-033 de 2022, reiterado en el concepto CGR-OJ-0004-2023.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55886317" w14:textId="77777777" w:rsidR="00B72DE9" w:rsidRDefault="00B72DE9" w:rsidP="000D5DA7">
    <w:pPr>
      <w:spacing w:after="0" w:line="480" w:lineRule="auto"/>
      <w:rPr>
        <w:rFonts w:ascii="Verdana" w:hAnsi="Verdana"/>
        <w:sz w:val="24"/>
        <w:szCs w:val="24"/>
      </w:rPr>
    </w:pPr>
  </w:p>
  <w:p w14:paraId="1FD1C243" w14:textId="09E5F22D"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615001F0"/>
    <w:multiLevelType w:val="hybridMultilevel"/>
    <w:tmpl w:val="0D8E7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0038485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C7"/>
    <w:rsid w:val="00016F78"/>
    <w:rsid w:val="0003141E"/>
    <w:rsid w:val="00037412"/>
    <w:rsid w:val="00046945"/>
    <w:rsid w:val="00051105"/>
    <w:rsid w:val="000605D1"/>
    <w:rsid w:val="00061B2A"/>
    <w:rsid w:val="00066A0C"/>
    <w:rsid w:val="00082362"/>
    <w:rsid w:val="0008794A"/>
    <w:rsid w:val="000A0792"/>
    <w:rsid w:val="000A683E"/>
    <w:rsid w:val="000B19B9"/>
    <w:rsid w:val="000B54FF"/>
    <w:rsid w:val="000C0D6D"/>
    <w:rsid w:val="000C1108"/>
    <w:rsid w:val="000C41C2"/>
    <w:rsid w:val="000D0334"/>
    <w:rsid w:val="000D09EE"/>
    <w:rsid w:val="000D15BD"/>
    <w:rsid w:val="000D4F55"/>
    <w:rsid w:val="000D5DA7"/>
    <w:rsid w:val="000F4DF9"/>
    <w:rsid w:val="000F6486"/>
    <w:rsid w:val="0010016B"/>
    <w:rsid w:val="001021FE"/>
    <w:rsid w:val="00116940"/>
    <w:rsid w:val="00117DA0"/>
    <w:rsid w:val="00123E26"/>
    <w:rsid w:val="00125105"/>
    <w:rsid w:val="00125F07"/>
    <w:rsid w:val="00127233"/>
    <w:rsid w:val="0015699B"/>
    <w:rsid w:val="00170F48"/>
    <w:rsid w:val="00171C7B"/>
    <w:rsid w:val="00180051"/>
    <w:rsid w:val="001803B1"/>
    <w:rsid w:val="00183810"/>
    <w:rsid w:val="001A1596"/>
    <w:rsid w:val="001A33BF"/>
    <w:rsid w:val="001C0E4E"/>
    <w:rsid w:val="001C4652"/>
    <w:rsid w:val="001C755A"/>
    <w:rsid w:val="001C7BFC"/>
    <w:rsid w:val="001E068A"/>
    <w:rsid w:val="001E4177"/>
    <w:rsid w:val="001F0B24"/>
    <w:rsid w:val="001F7DC6"/>
    <w:rsid w:val="002223AC"/>
    <w:rsid w:val="0022400B"/>
    <w:rsid w:val="002421BB"/>
    <w:rsid w:val="0025796E"/>
    <w:rsid w:val="002707A2"/>
    <w:rsid w:val="00285088"/>
    <w:rsid w:val="002951A0"/>
    <w:rsid w:val="002962BC"/>
    <w:rsid w:val="002A093D"/>
    <w:rsid w:val="002A0DD0"/>
    <w:rsid w:val="002A49AC"/>
    <w:rsid w:val="002A64FD"/>
    <w:rsid w:val="002B609D"/>
    <w:rsid w:val="002C3FFE"/>
    <w:rsid w:val="002C7A84"/>
    <w:rsid w:val="002E2BF8"/>
    <w:rsid w:val="002E3F19"/>
    <w:rsid w:val="002E4FD9"/>
    <w:rsid w:val="002F06BF"/>
    <w:rsid w:val="0030657A"/>
    <w:rsid w:val="00307435"/>
    <w:rsid w:val="00310BD9"/>
    <w:rsid w:val="003153D2"/>
    <w:rsid w:val="00322A85"/>
    <w:rsid w:val="00324168"/>
    <w:rsid w:val="00330834"/>
    <w:rsid w:val="00333A22"/>
    <w:rsid w:val="003344BC"/>
    <w:rsid w:val="00340272"/>
    <w:rsid w:val="003448F4"/>
    <w:rsid w:val="00357DB0"/>
    <w:rsid w:val="00365F36"/>
    <w:rsid w:val="00370B48"/>
    <w:rsid w:val="00374F5E"/>
    <w:rsid w:val="00377E3E"/>
    <w:rsid w:val="00384255"/>
    <w:rsid w:val="00384CDA"/>
    <w:rsid w:val="003A046C"/>
    <w:rsid w:val="003A779E"/>
    <w:rsid w:val="003C2375"/>
    <w:rsid w:val="003C570C"/>
    <w:rsid w:val="003D0F4D"/>
    <w:rsid w:val="003D5B0D"/>
    <w:rsid w:val="003E0499"/>
    <w:rsid w:val="003E4F80"/>
    <w:rsid w:val="003E6439"/>
    <w:rsid w:val="003F3941"/>
    <w:rsid w:val="003F5660"/>
    <w:rsid w:val="00406575"/>
    <w:rsid w:val="0041076F"/>
    <w:rsid w:val="00414C74"/>
    <w:rsid w:val="0042722E"/>
    <w:rsid w:val="00430D50"/>
    <w:rsid w:val="00442924"/>
    <w:rsid w:val="0044528D"/>
    <w:rsid w:val="00466E39"/>
    <w:rsid w:val="00485FB1"/>
    <w:rsid w:val="004A016E"/>
    <w:rsid w:val="004A1847"/>
    <w:rsid w:val="004A305D"/>
    <w:rsid w:val="004A6495"/>
    <w:rsid w:val="004B35CC"/>
    <w:rsid w:val="004F14CD"/>
    <w:rsid w:val="004F21C4"/>
    <w:rsid w:val="004F685F"/>
    <w:rsid w:val="004F79B3"/>
    <w:rsid w:val="00530A70"/>
    <w:rsid w:val="00556298"/>
    <w:rsid w:val="005566E8"/>
    <w:rsid w:val="00562FF9"/>
    <w:rsid w:val="00574867"/>
    <w:rsid w:val="00581D1F"/>
    <w:rsid w:val="00591460"/>
    <w:rsid w:val="00593009"/>
    <w:rsid w:val="005A65E0"/>
    <w:rsid w:val="005B2198"/>
    <w:rsid w:val="005C3777"/>
    <w:rsid w:val="005C5CDC"/>
    <w:rsid w:val="005C6698"/>
    <w:rsid w:val="005D476C"/>
    <w:rsid w:val="005F015B"/>
    <w:rsid w:val="005F14F5"/>
    <w:rsid w:val="00602FD5"/>
    <w:rsid w:val="00606575"/>
    <w:rsid w:val="00612EFC"/>
    <w:rsid w:val="0061392A"/>
    <w:rsid w:val="00614072"/>
    <w:rsid w:val="006200BF"/>
    <w:rsid w:val="006219F8"/>
    <w:rsid w:val="00621AD2"/>
    <w:rsid w:val="006302F7"/>
    <w:rsid w:val="00646B9F"/>
    <w:rsid w:val="00665D70"/>
    <w:rsid w:val="006861C1"/>
    <w:rsid w:val="006900D9"/>
    <w:rsid w:val="006B2CCE"/>
    <w:rsid w:val="006D1F30"/>
    <w:rsid w:val="006D3CED"/>
    <w:rsid w:val="006E42D2"/>
    <w:rsid w:val="006E7FE1"/>
    <w:rsid w:val="006F53F5"/>
    <w:rsid w:val="00706C16"/>
    <w:rsid w:val="007135F5"/>
    <w:rsid w:val="00717AE1"/>
    <w:rsid w:val="007300A9"/>
    <w:rsid w:val="007340C3"/>
    <w:rsid w:val="0075235A"/>
    <w:rsid w:val="00756841"/>
    <w:rsid w:val="007649AB"/>
    <w:rsid w:val="00771D0C"/>
    <w:rsid w:val="007833AC"/>
    <w:rsid w:val="00784856"/>
    <w:rsid w:val="007B268C"/>
    <w:rsid w:val="007B591F"/>
    <w:rsid w:val="007B7171"/>
    <w:rsid w:val="007C0C0F"/>
    <w:rsid w:val="007C3DC2"/>
    <w:rsid w:val="007C644E"/>
    <w:rsid w:val="007E5497"/>
    <w:rsid w:val="00806F5F"/>
    <w:rsid w:val="00820278"/>
    <w:rsid w:val="008206CA"/>
    <w:rsid w:val="008258C9"/>
    <w:rsid w:val="00832852"/>
    <w:rsid w:val="00844AE9"/>
    <w:rsid w:val="008505E7"/>
    <w:rsid w:val="008657BD"/>
    <w:rsid w:val="008664A3"/>
    <w:rsid w:val="00867F95"/>
    <w:rsid w:val="00870288"/>
    <w:rsid w:val="00874CFF"/>
    <w:rsid w:val="0088041F"/>
    <w:rsid w:val="008843B6"/>
    <w:rsid w:val="00891928"/>
    <w:rsid w:val="008A370D"/>
    <w:rsid w:val="008A446D"/>
    <w:rsid w:val="008B1AEF"/>
    <w:rsid w:val="008B25F1"/>
    <w:rsid w:val="008B2E1D"/>
    <w:rsid w:val="008D180B"/>
    <w:rsid w:val="008F0EA7"/>
    <w:rsid w:val="008F21DC"/>
    <w:rsid w:val="0090195F"/>
    <w:rsid w:val="009072E2"/>
    <w:rsid w:val="00911C93"/>
    <w:rsid w:val="00914361"/>
    <w:rsid w:val="00915E9B"/>
    <w:rsid w:val="00923EEF"/>
    <w:rsid w:val="009419F9"/>
    <w:rsid w:val="00945BC7"/>
    <w:rsid w:val="0095685E"/>
    <w:rsid w:val="00961B09"/>
    <w:rsid w:val="00965334"/>
    <w:rsid w:val="0097093E"/>
    <w:rsid w:val="00976C1E"/>
    <w:rsid w:val="00981114"/>
    <w:rsid w:val="009A0DFA"/>
    <w:rsid w:val="009A1C6F"/>
    <w:rsid w:val="009B2D26"/>
    <w:rsid w:val="009C71FA"/>
    <w:rsid w:val="009C72E7"/>
    <w:rsid w:val="009C7761"/>
    <w:rsid w:val="009C7F7E"/>
    <w:rsid w:val="009D3058"/>
    <w:rsid w:val="009F3A13"/>
    <w:rsid w:val="00A122D3"/>
    <w:rsid w:val="00A14468"/>
    <w:rsid w:val="00A17F13"/>
    <w:rsid w:val="00A20739"/>
    <w:rsid w:val="00A23AF9"/>
    <w:rsid w:val="00A33C78"/>
    <w:rsid w:val="00A4392C"/>
    <w:rsid w:val="00A628AE"/>
    <w:rsid w:val="00A673E8"/>
    <w:rsid w:val="00A73A48"/>
    <w:rsid w:val="00A917A5"/>
    <w:rsid w:val="00A96147"/>
    <w:rsid w:val="00AB0ADB"/>
    <w:rsid w:val="00AE5499"/>
    <w:rsid w:val="00AE7502"/>
    <w:rsid w:val="00AE7CB4"/>
    <w:rsid w:val="00AF2635"/>
    <w:rsid w:val="00AF42E9"/>
    <w:rsid w:val="00B00C0E"/>
    <w:rsid w:val="00B01B1A"/>
    <w:rsid w:val="00B0381D"/>
    <w:rsid w:val="00B04F2E"/>
    <w:rsid w:val="00B14BB3"/>
    <w:rsid w:val="00B44A47"/>
    <w:rsid w:val="00B50A96"/>
    <w:rsid w:val="00B6799B"/>
    <w:rsid w:val="00B72CD3"/>
    <w:rsid w:val="00B72DE9"/>
    <w:rsid w:val="00B72FFF"/>
    <w:rsid w:val="00B92628"/>
    <w:rsid w:val="00BA70E4"/>
    <w:rsid w:val="00BC3D36"/>
    <w:rsid w:val="00BC62E8"/>
    <w:rsid w:val="00BD0A87"/>
    <w:rsid w:val="00BD21F0"/>
    <w:rsid w:val="00BD5373"/>
    <w:rsid w:val="00BD54A6"/>
    <w:rsid w:val="00BD7F72"/>
    <w:rsid w:val="00BF4076"/>
    <w:rsid w:val="00BF7425"/>
    <w:rsid w:val="00C03DC7"/>
    <w:rsid w:val="00C04FB3"/>
    <w:rsid w:val="00C05225"/>
    <w:rsid w:val="00C11D8B"/>
    <w:rsid w:val="00C15139"/>
    <w:rsid w:val="00C27227"/>
    <w:rsid w:val="00C330EB"/>
    <w:rsid w:val="00C42066"/>
    <w:rsid w:val="00C4459B"/>
    <w:rsid w:val="00C47F88"/>
    <w:rsid w:val="00C50D69"/>
    <w:rsid w:val="00C5365C"/>
    <w:rsid w:val="00C73D38"/>
    <w:rsid w:val="00C754BE"/>
    <w:rsid w:val="00C76B1C"/>
    <w:rsid w:val="00C925AC"/>
    <w:rsid w:val="00CA1E40"/>
    <w:rsid w:val="00CA59CC"/>
    <w:rsid w:val="00CB6357"/>
    <w:rsid w:val="00CC1969"/>
    <w:rsid w:val="00CC1B26"/>
    <w:rsid w:val="00CC58AD"/>
    <w:rsid w:val="00CD389F"/>
    <w:rsid w:val="00CE7823"/>
    <w:rsid w:val="00CF14C2"/>
    <w:rsid w:val="00D055D4"/>
    <w:rsid w:val="00D272E9"/>
    <w:rsid w:val="00D361FD"/>
    <w:rsid w:val="00D423A2"/>
    <w:rsid w:val="00D44E26"/>
    <w:rsid w:val="00D520D8"/>
    <w:rsid w:val="00D60A9B"/>
    <w:rsid w:val="00D63AC2"/>
    <w:rsid w:val="00D7383B"/>
    <w:rsid w:val="00D7788A"/>
    <w:rsid w:val="00D83064"/>
    <w:rsid w:val="00D86A1B"/>
    <w:rsid w:val="00DA231B"/>
    <w:rsid w:val="00DA4685"/>
    <w:rsid w:val="00DA7D10"/>
    <w:rsid w:val="00DB5A12"/>
    <w:rsid w:val="00DC39FC"/>
    <w:rsid w:val="00DD6302"/>
    <w:rsid w:val="00DE1788"/>
    <w:rsid w:val="00DE61D4"/>
    <w:rsid w:val="00DF0DB0"/>
    <w:rsid w:val="00DF5254"/>
    <w:rsid w:val="00E002F3"/>
    <w:rsid w:val="00E02524"/>
    <w:rsid w:val="00E16408"/>
    <w:rsid w:val="00E20894"/>
    <w:rsid w:val="00E245AB"/>
    <w:rsid w:val="00E2764C"/>
    <w:rsid w:val="00E27F2E"/>
    <w:rsid w:val="00E4325D"/>
    <w:rsid w:val="00E50AFE"/>
    <w:rsid w:val="00E66268"/>
    <w:rsid w:val="00E73DC8"/>
    <w:rsid w:val="00E75C92"/>
    <w:rsid w:val="00E75DE5"/>
    <w:rsid w:val="00E771DC"/>
    <w:rsid w:val="00E8772A"/>
    <w:rsid w:val="00E90F6B"/>
    <w:rsid w:val="00E92C27"/>
    <w:rsid w:val="00E93E5F"/>
    <w:rsid w:val="00EA0E3D"/>
    <w:rsid w:val="00EA61CC"/>
    <w:rsid w:val="00EB7737"/>
    <w:rsid w:val="00EC38A7"/>
    <w:rsid w:val="00EE1AA8"/>
    <w:rsid w:val="00EF01FC"/>
    <w:rsid w:val="00EF6CC1"/>
    <w:rsid w:val="00F23FEA"/>
    <w:rsid w:val="00F26C0F"/>
    <w:rsid w:val="00F31EDC"/>
    <w:rsid w:val="00F41996"/>
    <w:rsid w:val="00F4566F"/>
    <w:rsid w:val="00F462B3"/>
    <w:rsid w:val="00F5664F"/>
    <w:rsid w:val="00F6001A"/>
    <w:rsid w:val="00F666C4"/>
    <w:rsid w:val="00F76AFC"/>
    <w:rsid w:val="00F96424"/>
    <w:rsid w:val="00FA47C0"/>
    <w:rsid w:val="00FA6D4F"/>
    <w:rsid w:val="00FB5DD1"/>
    <w:rsid w:val="00FB5EDD"/>
    <w:rsid w:val="00FC2B5D"/>
    <w:rsid w:val="00FD56AD"/>
    <w:rsid w:val="00FE33B6"/>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9E540A-751C-42DF-87EB-2F6AC31F1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1114"/>
    <w:pPr>
      <w:spacing w:line="240" w:lineRule="exact"/>
    </w:pPr>
    <w:rPr>
      <w:vertAlign w:val="superscript"/>
    </w:rPr>
  </w:style>
  <w:style w:type="character" w:customStyle="1" w:styleId="Hipervnculo1">
    <w:name w:val="Hipervínculo1"/>
    <w:basedOn w:val="Fuentedeprrafopredeter"/>
    <w:uiPriority w:val="99"/>
    <w:unhideWhenUsed/>
    <w:rsid w:val="007300A9"/>
    <w:rPr>
      <w:color w:val="F2F2F2"/>
      <w:u w:val="single"/>
    </w:rPr>
  </w:style>
  <w:style w:type="character" w:customStyle="1" w:styleId="NormalWebCar">
    <w:name w:val="Normal (Web) Car"/>
    <w:link w:val="NormalWeb"/>
    <w:uiPriority w:val="99"/>
    <w:locked/>
    <w:rsid w:val="005F015B"/>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5F015B"/>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5B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1838559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web/relatoria/normatividad-y-relatoria" TargetMode="External"/><Relationship Id="rId2" Type="http://schemas.openxmlformats.org/officeDocument/2006/relationships/hyperlink" Target="https://www.contraloria.gov.co/documents/20181/1776254/CIRCULAR_2020EE0096013_REGISTRO_NACIONAL_OBRAS_INCONCLUSAS.PDF/785952d4-4b41-48cb-916b-4881c3b4a095" TargetMode="External"/><Relationship Id="rId1" Type="http://schemas.openxmlformats.org/officeDocument/2006/relationships/hyperlink" Target="http://svrpubindc.imprenta.gov.co/senado/index.xhtml;jsessionid=b3ba7213a248bacd37376ffcedca"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www.secretariasenado.gov.co/senado/basedoc/codigo_contencioso_administrativ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602C7C7-F0FA-43A8-95DE-70A9219A4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6588</Words>
  <Characters>36235</Characters>
  <Application>Microsoft Office Word</Application>
  <DocSecurity>0</DocSecurity>
  <Lines>301</Lines>
  <Paragraphs>85</Paragraphs>
  <ScaleCrop>false</ScaleCrop>
  <Company/>
  <LinksUpToDate>false</LinksUpToDate>
  <CharactersWithSpaces>42738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2023-01-11T00:18:00Z</cp:lastPrinted>
  <dcterms:created xsi:type="dcterms:W3CDTF">2026-02-18T15:54:00Z</dcterms:created>
  <dcterms:modified xsi:type="dcterms:W3CDTF">2026-06-04T15:09:00Z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