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52804" w14:textId="77777777" w:rsidR="000B0D23" w:rsidRDefault="000B0D23" w:rsidP="000B0D23">
      <w:pPr>
        <w:spacing w:after="0"/>
        <w:rPr>
          <w:rFonts w:ascii="Verdana" w:hAnsi="Verdana"/>
          <w:b/>
          <w:bCs/>
        </w:rPr>
      </w:pPr>
      <w:bookmarkStart w:id="0" w:name="_Hlk143780582"/>
      <w:r w:rsidRPr="005B2CC5">
        <w:rPr>
          <w:rFonts w:ascii="Verdana" w:hAnsi="Verdana"/>
          <w:b/>
          <w:bCs/>
        </w:rPr>
        <w:t>SELECCIÓN ABREVIADA – Modalidad de selección – Naturaleza</w:t>
      </w:r>
    </w:p>
    <w:p w14:paraId="4E6CDB4C" w14:textId="77777777" w:rsidR="000B0D23" w:rsidRPr="005B2CC5" w:rsidRDefault="000B0D23" w:rsidP="000B0D23">
      <w:pPr>
        <w:spacing w:after="0"/>
        <w:jc w:val="both"/>
        <w:rPr>
          <w:rFonts w:ascii="Verdana" w:hAnsi="Verdana"/>
          <w:sz w:val="20"/>
          <w:szCs w:val="20"/>
        </w:rPr>
      </w:pPr>
    </w:p>
    <w:p w14:paraId="4125D524" w14:textId="77777777" w:rsidR="000B0D23" w:rsidRDefault="000B0D23" w:rsidP="000B0D23">
      <w:pPr>
        <w:spacing w:after="0"/>
        <w:jc w:val="both"/>
        <w:rPr>
          <w:rFonts w:ascii="Verdana" w:hAnsi="Verdana"/>
          <w:sz w:val="20"/>
          <w:szCs w:val="20"/>
        </w:rPr>
      </w:pPr>
      <w:r w:rsidRPr="005B2CC5">
        <w:rPr>
          <w:rFonts w:ascii="Verdana" w:hAnsi="Verdana"/>
          <w:sz w:val="20"/>
          <w:szCs w:val="20"/>
        </w:rPr>
        <w:t>Respecto de la selección abreviada, el numeral 2° del artículo 2 de Ley 1150 de 2007 la define en los siguientes términos: “2.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w:t>
      </w:r>
    </w:p>
    <w:p w14:paraId="636E9A72" w14:textId="77777777" w:rsidR="000B0D23" w:rsidRPr="005B2CC5" w:rsidRDefault="000B0D23" w:rsidP="000B0D23">
      <w:pPr>
        <w:spacing w:after="0"/>
        <w:jc w:val="both"/>
        <w:rPr>
          <w:rFonts w:ascii="Verdana" w:hAnsi="Verdana"/>
          <w:sz w:val="20"/>
          <w:szCs w:val="20"/>
        </w:rPr>
      </w:pPr>
    </w:p>
    <w:p w14:paraId="2527F57C" w14:textId="77777777" w:rsidR="000B0D23" w:rsidRPr="005B2CC5" w:rsidRDefault="000B0D23" w:rsidP="000B0D23">
      <w:pPr>
        <w:spacing w:after="0"/>
        <w:jc w:val="both"/>
        <w:rPr>
          <w:rFonts w:ascii="Verdana" w:hAnsi="Verdana"/>
          <w:sz w:val="20"/>
          <w:szCs w:val="20"/>
        </w:rPr>
      </w:pPr>
      <w:r w:rsidRPr="005B2CC5">
        <w:rPr>
          <w:rFonts w:ascii="Verdana" w:hAnsi="Verdana"/>
          <w:sz w:val="20"/>
          <w:szCs w:val="20"/>
        </w:rPr>
        <w:t>Esta norma contempla una modalidad de selección que se caracteriza por tener etapas simplificadas y términos más cortos que la licitación pública, lo cual se justifica por la complejidad de los asuntos que se contratan a través de esta modalidad, que requieren de procedimientos ágiles y eficientes.</w:t>
      </w:r>
    </w:p>
    <w:p w14:paraId="0901695F" w14:textId="77777777" w:rsidR="000B0D23" w:rsidRDefault="000B0D23" w:rsidP="000B0D23">
      <w:pPr>
        <w:spacing w:after="0"/>
        <w:rPr>
          <w:rFonts w:ascii="Verdana" w:hAnsi="Verdana"/>
        </w:rPr>
      </w:pPr>
    </w:p>
    <w:p w14:paraId="16341464" w14:textId="77777777" w:rsidR="000B0D23" w:rsidRPr="00150C89" w:rsidRDefault="000B0D23" w:rsidP="000B0D23">
      <w:pPr>
        <w:spacing w:after="0"/>
        <w:rPr>
          <w:rFonts w:ascii="Verdana" w:hAnsi="Verdana"/>
          <w:b/>
          <w:bCs/>
        </w:rPr>
      </w:pPr>
      <w:r w:rsidRPr="00150C89">
        <w:rPr>
          <w:rFonts w:ascii="Verdana" w:hAnsi="Verdana"/>
          <w:b/>
          <w:bCs/>
        </w:rPr>
        <w:t>SELECCIÓN ABREVIADA MENOR CUANTÍA – Manifestación de interés – Sorteo</w:t>
      </w:r>
      <w:r>
        <w:rPr>
          <w:rFonts w:ascii="Verdana" w:hAnsi="Verdana"/>
          <w:b/>
          <w:bCs/>
        </w:rPr>
        <w:t xml:space="preserve"> </w:t>
      </w:r>
      <w:r w:rsidRPr="00150C89">
        <w:rPr>
          <w:rFonts w:ascii="Verdana" w:hAnsi="Verdana"/>
          <w:b/>
          <w:bCs/>
        </w:rPr>
        <w:t xml:space="preserve">– </w:t>
      </w:r>
      <w:r>
        <w:rPr>
          <w:rFonts w:ascii="Verdana" w:hAnsi="Verdana"/>
          <w:b/>
          <w:bCs/>
        </w:rPr>
        <w:t>Documentos tipo</w:t>
      </w:r>
    </w:p>
    <w:p w14:paraId="66FF009D" w14:textId="77777777" w:rsidR="000B0D23" w:rsidRPr="005F642C" w:rsidRDefault="000B0D23" w:rsidP="000B0D23">
      <w:pPr>
        <w:spacing w:after="0"/>
        <w:rPr>
          <w:rFonts w:ascii="Verdana" w:hAnsi="Verdana"/>
          <w:b/>
          <w:bCs/>
          <w:highlight w:val="yellow"/>
        </w:rPr>
      </w:pPr>
    </w:p>
    <w:p w14:paraId="5FC78164" w14:textId="77777777" w:rsidR="000B0D23" w:rsidRDefault="000B0D23" w:rsidP="000B0D23">
      <w:pPr>
        <w:spacing w:after="0"/>
        <w:jc w:val="both"/>
        <w:rPr>
          <w:rFonts w:ascii="Verdana" w:hAnsi="Verdana"/>
          <w:sz w:val="20"/>
          <w:szCs w:val="20"/>
        </w:rPr>
      </w:pPr>
      <w:r w:rsidRPr="00B12086">
        <w:rPr>
          <w:rFonts w:ascii="Verdana" w:hAnsi="Verdana"/>
          <w:sz w:val="20"/>
          <w:szCs w:val="20"/>
        </w:rPr>
        <w:t>Respecto al problema jurídico planteado debe señalarse que, la manifestación de interés es un requisito especial para las modalidades de concurso de méritos con precalificación y la selección abreviada de menor cuantía. Tratándose de esta última modalidad, la manifestación de interés es un acto de comunicación del interesado, en virtud del cual, como su nombre lo indica, expresa el interés en participar en el proceso de selección, sin que le sea exigida la presentación de requisitos habilitantes como ocurre en el concurso de méritos con precalificación. Dicha manifestación de interés debe ser presentada en la forma establecida en el pliego de condiciones físico o electrónico, según corresponda a la plataforma del SECOP I o el SECOP II en que se adelante el proceso.</w:t>
      </w:r>
    </w:p>
    <w:p w14:paraId="03BBCAEC" w14:textId="77777777" w:rsidR="000B0D23" w:rsidRPr="00B12086" w:rsidRDefault="000B0D23" w:rsidP="000B0D23">
      <w:pPr>
        <w:spacing w:after="0"/>
        <w:jc w:val="both"/>
        <w:rPr>
          <w:rFonts w:ascii="Verdana" w:hAnsi="Verdana"/>
          <w:sz w:val="20"/>
          <w:szCs w:val="20"/>
        </w:rPr>
      </w:pPr>
    </w:p>
    <w:p w14:paraId="5664814C" w14:textId="77777777" w:rsidR="000B0D23" w:rsidRDefault="000B0D23" w:rsidP="000B0D23">
      <w:pPr>
        <w:spacing w:after="0"/>
        <w:jc w:val="both"/>
        <w:rPr>
          <w:rFonts w:ascii="Verdana" w:hAnsi="Verdana"/>
          <w:sz w:val="20"/>
          <w:szCs w:val="20"/>
        </w:rPr>
      </w:pPr>
      <w:r w:rsidRPr="00B12086">
        <w:rPr>
          <w:rFonts w:ascii="Verdana" w:hAnsi="Verdana"/>
          <w:sz w:val="20"/>
          <w:szCs w:val="20"/>
        </w:rPr>
        <w:t>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68C117F9" w14:textId="77777777" w:rsidR="000B0D23" w:rsidRPr="00B12086" w:rsidRDefault="000B0D23" w:rsidP="000B0D23">
      <w:pPr>
        <w:spacing w:after="0"/>
        <w:jc w:val="both"/>
        <w:rPr>
          <w:rFonts w:ascii="Verdana" w:hAnsi="Verdana"/>
          <w:sz w:val="20"/>
          <w:szCs w:val="20"/>
        </w:rPr>
      </w:pPr>
    </w:p>
    <w:p w14:paraId="52C1A3B7" w14:textId="77777777" w:rsidR="000B0D23" w:rsidRDefault="000B0D23" w:rsidP="000B0D23">
      <w:pPr>
        <w:spacing w:after="0"/>
        <w:jc w:val="both"/>
        <w:rPr>
          <w:rFonts w:ascii="Verdana" w:hAnsi="Verdana"/>
          <w:sz w:val="20"/>
          <w:szCs w:val="20"/>
        </w:rPr>
      </w:pPr>
      <w:r w:rsidRPr="00871FA1">
        <w:rPr>
          <w:rFonts w:ascii="Verdana" w:hAnsi="Verdana"/>
          <w:sz w:val="20"/>
          <w:szCs w:val="20"/>
        </w:rPr>
        <w:t xml:space="preserve">De la misma manera, el Decreto 1082 de 2015 no establece reglas para la realización del sorteo, por lo que será la entidad contratante la encargada de definir el procedimiento en modo, tiempo y lugar, lo cual deberá ser orientado por los principios que rigen la contratación pública. De la misma manera, respecto de los documentos tipo de la modalidad de selección abreviada de menor cuantía de infraestructura de transporte </w:t>
      </w:r>
      <w:r w:rsidRPr="00871FA1">
        <w:rPr>
          <w:rFonts w:ascii="Verdana" w:hAnsi="Verdana"/>
          <w:sz w:val="20"/>
          <w:szCs w:val="20"/>
        </w:rPr>
        <w:lastRenderedPageBreak/>
        <w:t>(versión 3), el documento base dispone: “</w:t>
      </w:r>
      <w:r w:rsidRPr="00FF76A3">
        <w:rPr>
          <w:rFonts w:ascii="Verdana" w:hAnsi="Verdana"/>
          <w:sz w:val="20"/>
          <w:szCs w:val="20"/>
        </w:rPr>
        <w:t>[En el presente numeral la entidad estatal debe indicar, cuando reciba más de diez (10) manifestaciones de interés, si continuará el proceso con todos los que lo manifestaron o si hace un sorteo para seleccionar máximo diez (10), con quienes continuará el proceso de contratación]</w:t>
      </w:r>
      <w:r w:rsidRPr="00871FA1">
        <w:rPr>
          <w:rFonts w:ascii="Verdana" w:hAnsi="Verdana"/>
          <w:sz w:val="20"/>
          <w:szCs w:val="20"/>
        </w:rPr>
        <w:t>”.</w:t>
      </w:r>
    </w:p>
    <w:p w14:paraId="69B291C6" w14:textId="77777777" w:rsidR="000B0D23" w:rsidRPr="00FF76A3" w:rsidRDefault="000B0D23" w:rsidP="000B0D23">
      <w:pPr>
        <w:spacing w:after="0"/>
        <w:jc w:val="both"/>
        <w:rPr>
          <w:rFonts w:ascii="Verdana" w:hAnsi="Verdana"/>
          <w:sz w:val="20"/>
          <w:szCs w:val="20"/>
        </w:rPr>
      </w:pPr>
    </w:p>
    <w:p w14:paraId="028F4129" w14:textId="77777777" w:rsidR="000B0D23" w:rsidRDefault="000B0D23" w:rsidP="000B0D23">
      <w:pPr>
        <w:spacing w:after="0"/>
        <w:jc w:val="both"/>
        <w:rPr>
          <w:rFonts w:ascii="Verdana" w:hAnsi="Verdana"/>
          <w:sz w:val="20"/>
          <w:szCs w:val="20"/>
        </w:rPr>
      </w:pPr>
      <w:r w:rsidRPr="00871FA1">
        <w:rPr>
          <w:rFonts w:ascii="Verdana" w:hAnsi="Verdana"/>
          <w:sz w:val="20"/>
          <w:szCs w:val="20"/>
        </w:rPr>
        <w:t>Por tanto, las reglas del sorteo las define la entidad contratante en el apartado correspondiente del documento base, ya que es un aspecto que la entidad puede incluir porque es una disposición que se encuentra entre corchetes y resaltados en gris –[texto]–, lo que significa que se puede modificar indicando cómo hará el sorteo, virtual o presencial, y quienes deben participar.</w:t>
      </w:r>
    </w:p>
    <w:p w14:paraId="4CC36868" w14:textId="77777777" w:rsidR="000B0D23" w:rsidRPr="00871FA1" w:rsidRDefault="000B0D23" w:rsidP="000B0D23">
      <w:pPr>
        <w:spacing w:after="0"/>
        <w:jc w:val="both"/>
        <w:rPr>
          <w:rFonts w:ascii="Verdana" w:hAnsi="Verdana"/>
          <w:sz w:val="20"/>
          <w:szCs w:val="20"/>
        </w:rPr>
      </w:pPr>
    </w:p>
    <w:p w14:paraId="7F89458E" w14:textId="77777777" w:rsidR="000B0D23" w:rsidRPr="00150C89" w:rsidRDefault="000B0D23" w:rsidP="000B0D23">
      <w:pPr>
        <w:spacing w:after="0"/>
        <w:rPr>
          <w:rFonts w:ascii="Verdana" w:hAnsi="Verdana"/>
          <w:b/>
          <w:bCs/>
        </w:rPr>
      </w:pPr>
      <w:r w:rsidRPr="00150C89">
        <w:rPr>
          <w:rFonts w:ascii="Verdana" w:hAnsi="Verdana"/>
          <w:b/>
          <w:bCs/>
        </w:rPr>
        <w:t xml:space="preserve">SELECCIÓN ABREVIADA MENOR CUANTÍA – Manifestación de interés – </w:t>
      </w:r>
      <w:r>
        <w:rPr>
          <w:rFonts w:ascii="Verdana" w:hAnsi="Verdana"/>
          <w:b/>
          <w:bCs/>
        </w:rPr>
        <w:t xml:space="preserve">Documentos tipo </w:t>
      </w:r>
      <w:r w:rsidRPr="00150C89">
        <w:rPr>
          <w:rFonts w:ascii="Verdana" w:hAnsi="Verdana"/>
          <w:b/>
          <w:bCs/>
        </w:rPr>
        <w:t>–</w:t>
      </w:r>
      <w:r>
        <w:rPr>
          <w:rFonts w:ascii="Verdana" w:hAnsi="Verdana"/>
          <w:b/>
          <w:bCs/>
        </w:rPr>
        <w:t xml:space="preserve"> Formato 10</w:t>
      </w:r>
    </w:p>
    <w:p w14:paraId="503E5F62" w14:textId="77777777" w:rsidR="000B0D23" w:rsidRDefault="000B0D23" w:rsidP="000B0D23">
      <w:pPr>
        <w:spacing w:after="0"/>
        <w:rPr>
          <w:rFonts w:ascii="Verdana" w:hAnsi="Verdana"/>
          <w:b/>
          <w:bCs/>
        </w:rPr>
      </w:pPr>
    </w:p>
    <w:p w14:paraId="03DE03C1" w14:textId="77777777" w:rsidR="000B0D23" w:rsidRPr="00486BAC" w:rsidRDefault="000B0D23" w:rsidP="000B0D23">
      <w:pPr>
        <w:spacing w:after="0"/>
        <w:jc w:val="both"/>
        <w:rPr>
          <w:rFonts w:ascii="Verdana" w:hAnsi="Verdana"/>
          <w:sz w:val="20"/>
          <w:szCs w:val="20"/>
        </w:rPr>
      </w:pPr>
      <w:r w:rsidRPr="00486BAC">
        <w:rPr>
          <w:rFonts w:ascii="Verdana" w:hAnsi="Verdana"/>
          <w:sz w:val="20"/>
          <w:szCs w:val="20"/>
        </w:rPr>
        <w:t xml:space="preserve">De acuerdo con el Documento base de los documentos tipo de la modalidad de selección abreviada de menor cuantía de infraestructura de transporte (versión 3), “[Para los procesos en SECOP II el proponente debe manifestar su interés mediante el módulo correspondiente, de acuerdo con la Guía para manifestar interés y la Guía para presentar Ofertas en el SECOP II, por lo cual no se requerirá el Formato 10 – Carta Manifestación de Interés]”. </w:t>
      </w:r>
    </w:p>
    <w:p w14:paraId="7742ABB9" w14:textId="77777777" w:rsidR="000B0D23" w:rsidRPr="00486BAC" w:rsidRDefault="000B0D23" w:rsidP="000B0D23">
      <w:pPr>
        <w:spacing w:after="0"/>
        <w:jc w:val="both"/>
        <w:rPr>
          <w:rFonts w:ascii="Verdana" w:hAnsi="Verdana"/>
          <w:sz w:val="20"/>
          <w:szCs w:val="20"/>
        </w:rPr>
      </w:pPr>
    </w:p>
    <w:p w14:paraId="53C2C347" w14:textId="77777777" w:rsidR="000B0D23" w:rsidRPr="00486BAC" w:rsidRDefault="000B0D23" w:rsidP="000B0D23">
      <w:pPr>
        <w:spacing w:after="0"/>
        <w:jc w:val="both"/>
        <w:rPr>
          <w:rFonts w:ascii="Verdana" w:hAnsi="Verdana"/>
          <w:sz w:val="20"/>
          <w:szCs w:val="20"/>
        </w:rPr>
      </w:pPr>
      <w:r w:rsidRPr="00486BAC">
        <w:rPr>
          <w:rFonts w:ascii="Verdana" w:hAnsi="Verdana"/>
          <w:sz w:val="20"/>
          <w:szCs w:val="20"/>
        </w:rPr>
        <w:t>En ese sentido, es claro que no se debe utilizar el Formato 10 cuando se manifiesta interés en la plataforma, y la entidad contratante no podrá exigir que se anexen formatos o formularios adicionales a la manifestación de interés electrónica, siempre que se cumpla con lo requerido en el Documento base de los documentos tipo, esto es, que se manifieste interés en el módulo correspondiente y de la forma que indica la Guía para presentar Ofertas en el SECOP II.</w:t>
      </w:r>
    </w:p>
    <w:p w14:paraId="71CA6A5C" w14:textId="77777777" w:rsidR="000B0D23" w:rsidRDefault="000B0D23" w:rsidP="000B0D23">
      <w:pPr>
        <w:spacing w:after="0"/>
        <w:rPr>
          <w:rFonts w:ascii="Verdana" w:hAnsi="Verdana"/>
          <w:b/>
          <w:bCs/>
        </w:rPr>
      </w:pPr>
    </w:p>
    <w:p w14:paraId="7D5F3704" w14:textId="77777777" w:rsidR="000B0D23" w:rsidRDefault="000B0D23" w:rsidP="000B0D23">
      <w:pPr>
        <w:spacing w:after="0"/>
        <w:rPr>
          <w:rFonts w:ascii="Verdana" w:hAnsi="Verdana"/>
          <w:b/>
          <w:bCs/>
        </w:rPr>
      </w:pPr>
    </w:p>
    <w:p w14:paraId="48CE8E5C" w14:textId="77777777" w:rsidR="000B0D23" w:rsidRDefault="000B0D23" w:rsidP="000B0D23">
      <w:pPr>
        <w:spacing w:after="0"/>
        <w:rPr>
          <w:rFonts w:ascii="Verdana" w:hAnsi="Verdana"/>
          <w:b/>
          <w:bCs/>
        </w:rPr>
      </w:pPr>
    </w:p>
    <w:p w14:paraId="37384DA4" w14:textId="77777777" w:rsidR="000B0D23" w:rsidRDefault="000B0D23" w:rsidP="000B0D23">
      <w:pPr>
        <w:spacing w:after="0"/>
        <w:rPr>
          <w:rFonts w:ascii="Verdana" w:hAnsi="Verdana"/>
          <w:b/>
          <w:bCs/>
        </w:rPr>
      </w:pPr>
    </w:p>
    <w:p w14:paraId="06076DD7" w14:textId="77777777" w:rsidR="000B0D23" w:rsidRDefault="000B0D23" w:rsidP="000B0D23">
      <w:pPr>
        <w:spacing w:after="0"/>
        <w:rPr>
          <w:rFonts w:ascii="Verdana" w:hAnsi="Verdana"/>
          <w:b/>
          <w:bCs/>
        </w:rPr>
      </w:pPr>
    </w:p>
    <w:p w14:paraId="660D7BBD" w14:textId="77777777" w:rsidR="000B0D23" w:rsidRDefault="000B0D23" w:rsidP="000B0D23">
      <w:pPr>
        <w:spacing w:after="0"/>
        <w:rPr>
          <w:rFonts w:ascii="Verdana" w:hAnsi="Verdana"/>
          <w:b/>
          <w:bCs/>
        </w:rPr>
      </w:pPr>
    </w:p>
    <w:p w14:paraId="2E50E910" w14:textId="77777777" w:rsidR="000B0D23" w:rsidRDefault="000B0D23" w:rsidP="000B0D23">
      <w:pPr>
        <w:spacing w:after="0"/>
        <w:rPr>
          <w:rFonts w:ascii="Verdana" w:hAnsi="Verdana"/>
          <w:b/>
          <w:bCs/>
        </w:rPr>
      </w:pPr>
    </w:p>
    <w:p w14:paraId="7109D7C3" w14:textId="77777777" w:rsidR="000B0D23" w:rsidRDefault="000B0D23" w:rsidP="000B0D23">
      <w:pPr>
        <w:spacing w:after="0"/>
        <w:rPr>
          <w:rFonts w:ascii="Verdana" w:hAnsi="Verdana"/>
          <w:b/>
          <w:bCs/>
        </w:rPr>
      </w:pPr>
    </w:p>
    <w:p w14:paraId="21A74296" w14:textId="77777777" w:rsidR="000B0D23" w:rsidRDefault="000B0D23" w:rsidP="000B0D23">
      <w:pPr>
        <w:spacing w:after="0"/>
        <w:rPr>
          <w:rFonts w:ascii="Verdana" w:hAnsi="Verdana"/>
          <w:b/>
          <w:bCs/>
        </w:rPr>
      </w:pPr>
    </w:p>
    <w:p w14:paraId="28B239F4" w14:textId="77777777" w:rsidR="000B0D23" w:rsidRDefault="000B0D23" w:rsidP="000B0D23">
      <w:pPr>
        <w:spacing w:after="0"/>
        <w:rPr>
          <w:rFonts w:ascii="Verdana" w:hAnsi="Verdana"/>
          <w:b/>
          <w:bCs/>
        </w:rPr>
      </w:pPr>
    </w:p>
    <w:p w14:paraId="586607BA" w14:textId="77777777" w:rsidR="000B0D23" w:rsidRDefault="000B0D23" w:rsidP="000B0D23">
      <w:pPr>
        <w:spacing w:after="0"/>
        <w:rPr>
          <w:rFonts w:ascii="Verdana" w:hAnsi="Verdana"/>
          <w:b/>
          <w:bCs/>
        </w:rPr>
      </w:pPr>
    </w:p>
    <w:p w14:paraId="5D434C5A" w14:textId="77777777" w:rsidR="000B0D23" w:rsidRDefault="000B0D23" w:rsidP="000B0D23">
      <w:pPr>
        <w:spacing w:after="0"/>
        <w:rPr>
          <w:rFonts w:ascii="Verdana" w:hAnsi="Verdana"/>
          <w:b/>
          <w:bCs/>
        </w:rPr>
      </w:pPr>
    </w:p>
    <w:p w14:paraId="79D4F41B" w14:textId="77777777" w:rsidR="000B0D23" w:rsidRDefault="000B0D23" w:rsidP="000B0D23">
      <w:pPr>
        <w:spacing w:after="0"/>
        <w:rPr>
          <w:rFonts w:ascii="Verdana" w:hAnsi="Verdana"/>
          <w:b/>
          <w:bCs/>
        </w:rPr>
      </w:pPr>
    </w:p>
    <w:p w14:paraId="79A5A0B9" w14:textId="77777777" w:rsidR="000B0D23" w:rsidRDefault="000B0D23" w:rsidP="000B0D23">
      <w:pPr>
        <w:spacing w:after="0"/>
        <w:rPr>
          <w:rFonts w:ascii="Verdana" w:hAnsi="Verdana"/>
          <w:b/>
          <w:bCs/>
        </w:rPr>
      </w:pPr>
    </w:p>
    <w:p w14:paraId="6213CF38" w14:textId="261C9F26" w:rsidR="000B0D23" w:rsidRDefault="000B0D23" w:rsidP="000B0D23">
      <w:pPr>
        <w:rPr>
          <w:rFonts w:ascii="Verdana" w:hAnsi="Verdana"/>
        </w:rPr>
      </w:pPr>
      <w:r w:rsidRPr="00DC489A">
        <w:rPr>
          <w:rFonts w:ascii="Verdana" w:hAnsi="Verdana"/>
        </w:rPr>
        <w:lastRenderedPageBreak/>
        <w:t xml:space="preserve">Bogotá D.C., </w:t>
      </w:r>
      <w:r w:rsidR="00050376">
        <w:rPr>
          <w:rFonts w:ascii="Verdana" w:hAnsi="Verdana"/>
        </w:rPr>
        <w:t>16 de febrero de 2026</w:t>
      </w:r>
    </w:p>
    <w:p w14:paraId="5BEAB4F4" w14:textId="77777777" w:rsidR="00050376" w:rsidRDefault="00050376" w:rsidP="000B0D23">
      <w:pPr>
        <w:rPr>
          <w:rFonts w:ascii="Verdana" w:hAnsi="Verdana"/>
        </w:rPr>
      </w:pPr>
    </w:p>
    <w:p w14:paraId="13A04C54" w14:textId="0BDC603A" w:rsidR="00050376" w:rsidRDefault="00050376" w:rsidP="00050376">
      <w:pPr>
        <w:jc w:val="right"/>
        <w:rPr>
          <w:rFonts w:ascii="Verdana" w:hAnsi="Verdana"/>
        </w:rPr>
      </w:pPr>
      <w:r w:rsidRPr="00050376">
        <w:rPr>
          <w:rFonts w:ascii="Verdana" w:hAnsi="Verdana"/>
        </w:rPr>
        <w:drawing>
          <wp:inline distT="0" distB="0" distL="0" distR="0" wp14:anchorId="20644380" wp14:editId="3EE8F7C1">
            <wp:extent cx="3696216" cy="1000265"/>
            <wp:effectExtent l="0" t="0" r="0" b="9525"/>
            <wp:docPr id="24249415"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49415" name="Imagen 1" descr="Interfaz de usuario gráfica, Texto&#10;&#10;El contenido generado por IA puede ser incorrecto."/>
                    <pic:cNvPicPr/>
                  </pic:nvPicPr>
                  <pic:blipFill>
                    <a:blip r:embed="rId10"/>
                    <a:stretch>
                      <a:fillRect/>
                    </a:stretch>
                  </pic:blipFill>
                  <pic:spPr>
                    <a:xfrm>
                      <a:off x="0" y="0"/>
                      <a:ext cx="3696216" cy="1000265"/>
                    </a:xfrm>
                    <a:prstGeom prst="rect">
                      <a:avLst/>
                    </a:prstGeom>
                  </pic:spPr>
                </pic:pic>
              </a:graphicData>
            </a:graphic>
          </wp:inline>
        </w:drawing>
      </w:r>
    </w:p>
    <w:p w14:paraId="2D01747B" w14:textId="77777777" w:rsidR="000B0D23" w:rsidRPr="0044528D" w:rsidRDefault="000B0D23" w:rsidP="000B0D23">
      <w:pPr>
        <w:spacing w:after="0"/>
        <w:rPr>
          <w:rFonts w:ascii="Verdana" w:hAnsi="Verdana"/>
        </w:rPr>
      </w:pPr>
    </w:p>
    <w:p w14:paraId="2BDE640F" w14:textId="77777777" w:rsidR="000B0D23" w:rsidRPr="008D179B" w:rsidRDefault="000B0D23" w:rsidP="000B0D23">
      <w:pPr>
        <w:spacing w:after="0" w:line="240" w:lineRule="auto"/>
        <w:jc w:val="both"/>
        <w:rPr>
          <w:rFonts w:ascii="Verdana" w:eastAsia="Calibri" w:hAnsi="Verdana" w:cs="Arial"/>
          <w:lang w:val="es-ES" w:eastAsia="es-ES"/>
        </w:rPr>
      </w:pPr>
      <w:r w:rsidRPr="008D179B">
        <w:rPr>
          <w:rFonts w:ascii="Verdana" w:eastAsia="Calibri" w:hAnsi="Verdana" w:cs="Arial"/>
          <w:lang w:val="es-ES" w:eastAsia="es-ES"/>
        </w:rPr>
        <w:t>Señor</w:t>
      </w:r>
      <w:r>
        <w:rPr>
          <w:rFonts w:ascii="Verdana" w:eastAsia="Calibri" w:hAnsi="Verdana" w:cs="Arial"/>
          <w:lang w:val="es-ES" w:eastAsia="es-ES"/>
        </w:rPr>
        <w:t>a</w:t>
      </w:r>
    </w:p>
    <w:p w14:paraId="0DB150F8" w14:textId="77777777" w:rsidR="000B0D23" w:rsidRPr="008D179B" w:rsidRDefault="000B0D23" w:rsidP="000B0D23">
      <w:pPr>
        <w:spacing w:after="0" w:line="240" w:lineRule="auto"/>
        <w:rPr>
          <w:rFonts w:ascii="Verdana" w:eastAsia="Calibri" w:hAnsi="Verdana" w:cs="Arial"/>
          <w:b/>
          <w:lang w:val="es-ES" w:eastAsia="es-ES"/>
        </w:rPr>
      </w:pPr>
      <w:r>
        <w:rPr>
          <w:rFonts w:ascii="Verdana" w:eastAsia="Calibri" w:hAnsi="Verdana" w:cs="Arial"/>
          <w:b/>
          <w:lang w:val="es-ES" w:eastAsia="es-ES"/>
        </w:rPr>
        <w:t>Nicolle Daniela Rueda Fernández</w:t>
      </w:r>
    </w:p>
    <w:p w14:paraId="667BF270" w14:textId="77777777" w:rsidR="000B0D23" w:rsidRPr="008D179B" w:rsidRDefault="000B0D23" w:rsidP="000B0D23">
      <w:pPr>
        <w:spacing w:after="0" w:line="240" w:lineRule="auto"/>
        <w:rPr>
          <w:rFonts w:ascii="Verdana" w:hAnsi="Verdana" w:cs="ArialMT"/>
        </w:rPr>
      </w:pPr>
      <w:r>
        <w:rPr>
          <w:rFonts w:ascii="Verdana" w:eastAsia="Calibri" w:hAnsi="Verdana" w:cs="Arial"/>
          <w:lang w:val="es-ES" w:eastAsia="es-ES"/>
        </w:rPr>
        <w:t>Bucaramanga, Santander</w:t>
      </w:r>
    </w:p>
    <w:p w14:paraId="3C10A34E" w14:textId="77777777" w:rsidR="000B0D23" w:rsidRDefault="000B0D23" w:rsidP="000B0D23">
      <w:pPr>
        <w:spacing w:after="0" w:line="240" w:lineRule="auto"/>
        <w:rPr>
          <w:rFonts w:ascii="Verdana" w:eastAsia="Calibri" w:hAnsi="Verdana" w:cs="Arial"/>
          <w:b/>
          <w:bCs/>
          <w:color w:val="000000"/>
          <w:lang w:val="es-ES_tradnl" w:eastAsia="es-ES_tradnl"/>
        </w:rPr>
      </w:pPr>
    </w:p>
    <w:p w14:paraId="6555C166" w14:textId="77777777" w:rsidR="000B0D23" w:rsidRDefault="000B0D23" w:rsidP="000B0D2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B0D23" w14:paraId="3A65B763" w14:textId="77777777" w:rsidTr="001B1B6F">
        <w:trPr>
          <w:trHeight w:val="218"/>
        </w:trPr>
        <w:tc>
          <w:tcPr>
            <w:tcW w:w="2689" w:type="dxa"/>
          </w:tcPr>
          <w:p w14:paraId="25E94CA2" w14:textId="77777777" w:rsidR="000B0D23" w:rsidRDefault="000B0D23" w:rsidP="001B1B6F">
            <w:pPr>
              <w:jc w:val="both"/>
              <w:rPr>
                <w:rFonts w:ascii="Verdana" w:eastAsia="Calibri" w:hAnsi="Verdana" w:cs="Arial"/>
                <w:b/>
                <w:bCs/>
                <w:color w:val="7030A0"/>
                <w:lang w:val="es-ES_tradnl" w:eastAsia="es-ES_tradnl"/>
              </w:rPr>
            </w:pPr>
          </w:p>
        </w:tc>
        <w:tc>
          <w:tcPr>
            <w:tcW w:w="6100" w:type="dxa"/>
            <w:hideMark/>
          </w:tcPr>
          <w:p w14:paraId="022DAFE2" w14:textId="77777777" w:rsidR="000B0D23" w:rsidRDefault="000B0D23" w:rsidP="001B1B6F">
            <w:pPr>
              <w:jc w:val="both"/>
              <w:rPr>
                <w:rFonts w:ascii="Verdana" w:eastAsia="Calibri" w:hAnsi="Verdana" w:cs="Arial"/>
                <w:b/>
                <w:bCs/>
                <w:lang w:val="es-ES" w:eastAsia="es-ES"/>
              </w:rPr>
            </w:pPr>
            <w:r>
              <w:rPr>
                <w:rFonts w:ascii="Verdana" w:eastAsia="Calibri" w:hAnsi="Verdana" w:cs="Arial"/>
                <w:b/>
                <w:bCs/>
                <w:lang w:val="es-ES" w:eastAsia="es-ES"/>
              </w:rPr>
              <w:t>Concepto C-019 de 2026</w:t>
            </w:r>
          </w:p>
          <w:p w14:paraId="2DC11A17" w14:textId="77777777" w:rsidR="000B0D23" w:rsidRDefault="000B0D23" w:rsidP="001B1B6F">
            <w:pPr>
              <w:jc w:val="both"/>
              <w:rPr>
                <w:rFonts w:ascii="Verdana" w:eastAsia="Calibri" w:hAnsi="Verdana" w:cs="Arial"/>
                <w:b/>
                <w:bCs/>
                <w:lang w:val="es-ES" w:eastAsia="es-ES"/>
              </w:rPr>
            </w:pPr>
          </w:p>
          <w:p w14:paraId="6412A58B" w14:textId="77777777" w:rsidR="000B0D23" w:rsidRDefault="000B0D23" w:rsidP="001B1B6F">
            <w:pPr>
              <w:jc w:val="both"/>
              <w:rPr>
                <w:rFonts w:ascii="Verdana" w:eastAsia="Calibri" w:hAnsi="Verdana" w:cs="Arial"/>
                <w:b/>
                <w:bCs/>
                <w:lang w:val="es-ES" w:eastAsia="es-ES"/>
              </w:rPr>
            </w:pPr>
          </w:p>
        </w:tc>
      </w:tr>
      <w:tr w:rsidR="000B0D23" w14:paraId="25DACB1A" w14:textId="77777777" w:rsidTr="001B1B6F">
        <w:trPr>
          <w:trHeight w:val="884"/>
        </w:trPr>
        <w:tc>
          <w:tcPr>
            <w:tcW w:w="2689" w:type="dxa"/>
            <w:hideMark/>
          </w:tcPr>
          <w:p w14:paraId="6B392E66" w14:textId="77777777" w:rsidR="000B0D23" w:rsidRPr="00486BAC" w:rsidRDefault="000B0D23" w:rsidP="001B1B6F">
            <w:pPr>
              <w:jc w:val="both"/>
              <w:rPr>
                <w:rFonts w:ascii="Verdana" w:eastAsia="Calibri" w:hAnsi="Verdana" w:cs="Arial"/>
                <w:color w:val="000000"/>
                <w:lang w:val="es-ES_tradnl" w:eastAsia="es-ES_tradnl"/>
              </w:rPr>
            </w:pPr>
            <w:r w:rsidRPr="00486BAC">
              <w:rPr>
                <w:rFonts w:ascii="Verdana" w:eastAsia="Calibri" w:hAnsi="Verdana" w:cs="Arial"/>
                <w:b/>
                <w:color w:val="000000"/>
                <w:lang w:val="es-ES_tradnl" w:eastAsia="es-ES_tradnl"/>
              </w:rPr>
              <w:t>Temas:</w:t>
            </w:r>
            <w:r w:rsidRPr="00486BAC">
              <w:rPr>
                <w:rFonts w:ascii="Verdana" w:eastAsia="Calibri" w:hAnsi="Verdana" w:cs="Arial"/>
                <w:color w:val="000000"/>
                <w:lang w:val="es-ES_tradnl" w:eastAsia="es-ES_tradnl"/>
              </w:rPr>
              <w:t xml:space="preserve">                   </w:t>
            </w:r>
          </w:p>
        </w:tc>
        <w:tc>
          <w:tcPr>
            <w:tcW w:w="6100" w:type="dxa"/>
            <w:hideMark/>
          </w:tcPr>
          <w:p w14:paraId="0BB5EC4E" w14:textId="77777777" w:rsidR="000B0D23" w:rsidRPr="00486BAC" w:rsidRDefault="000B0D23" w:rsidP="001B1B6F">
            <w:pPr>
              <w:jc w:val="both"/>
              <w:rPr>
                <w:rFonts w:ascii="Verdana" w:hAnsi="Verdana" w:cs="Arial"/>
                <w:lang w:val="es-ES" w:eastAsia="es-ES"/>
              </w:rPr>
            </w:pPr>
            <w:r w:rsidRPr="00486BAC">
              <w:rPr>
                <w:rFonts w:ascii="Verdana" w:eastAsia="Times New Roman" w:hAnsi="Verdana" w:cs="Arial"/>
                <w:lang w:val="es-MX" w:eastAsia="es-CO"/>
              </w:rPr>
              <w:t>SELECCIÓN ABREVIADA – Modalidad de selección – Naturaleza </w:t>
            </w:r>
            <w:r w:rsidRPr="00486BAC">
              <w:rPr>
                <w:rFonts w:ascii="Verdana" w:eastAsia="Times New Roman" w:hAnsi="Verdana" w:cs="Arial"/>
                <w:lang w:eastAsia="es-CO"/>
              </w:rPr>
              <w:t xml:space="preserve">/ </w:t>
            </w:r>
            <w:r w:rsidRPr="00C17DEA">
              <w:rPr>
                <w:rFonts w:ascii="Verdana" w:eastAsia="Times New Roman" w:hAnsi="Verdana" w:cs="Arial"/>
                <w:lang w:val="es-MX" w:eastAsia="es-CO"/>
              </w:rPr>
              <w:t>SELECCIÓN ABREVIADA MENOR CUANTÍA – Manifestación de interés – Sorteo – Documentos tipo</w:t>
            </w:r>
            <w:r>
              <w:rPr>
                <w:rFonts w:ascii="Verdana" w:eastAsia="Times New Roman" w:hAnsi="Verdana" w:cs="Arial"/>
                <w:lang w:val="es-MX" w:eastAsia="es-CO"/>
              </w:rPr>
              <w:t xml:space="preserve"> </w:t>
            </w:r>
            <w:r w:rsidRPr="00486BAC">
              <w:rPr>
                <w:rFonts w:ascii="Verdana" w:eastAsia="Times New Roman" w:hAnsi="Verdana" w:cs="Arial"/>
                <w:lang w:val="es-MX" w:eastAsia="es-CO"/>
              </w:rPr>
              <w:t>/ SELECCIÓN ABREVIADA MENOR CUANTÍA – Manifestación de interés – Documentos tipo</w:t>
            </w:r>
            <w:r>
              <w:rPr>
                <w:rFonts w:ascii="Verdana" w:eastAsia="Times New Roman" w:hAnsi="Verdana" w:cs="Arial"/>
                <w:lang w:val="es-MX" w:eastAsia="es-CO"/>
              </w:rPr>
              <w:t xml:space="preserve"> </w:t>
            </w:r>
            <w:r w:rsidRPr="00866392">
              <w:rPr>
                <w:rFonts w:ascii="Verdana" w:eastAsia="Times New Roman" w:hAnsi="Verdana" w:cs="Arial"/>
                <w:lang w:val="es-MX" w:eastAsia="es-CO"/>
              </w:rPr>
              <w:t>– Formato</w:t>
            </w:r>
            <w:r>
              <w:rPr>
                <w:rFonts w:ascii="Verdana" w:eastAsia="Times New Roman" w:hAnsi="Verdana" w:cs="Arial"/>
                <w:lang w:val="es-MX" w:eastAsia="es-CO"/>
              </w:rPr>
              <w:t xml:space="preserve"> 10</w:t>
            </w:r>
          </w:p>
          <w:p w14:paraId="5D371984" w14:textId="77777777" w:rsidR="000B0D23" w:rsidRPr="00486BAC" w:rsidRDefault="000B0D23" w:rsidP="001B1B6F">
            <w:pPr>
              <w:spacing w:line="276" w:lineRule="auto"/>
              <w:jc w:val="both"/>
              <w:rPr>
                <w:rFonts w:ascii="Verdana" w:eastAsia="Calibri" w:hAnsi="Verdana" w:cs="Arial"/>
                <w:lang w:val="es-ES" w:eastAsia="es-ES"/>
              </w:rPr>
            </w:pPr>
          </w:p>
        </w:tc>
      </w:tr>
      <w:tr w:rsidR="000B0D23" w14:paraId="1D5B4C84" w14:textId="77777777" w:rsidTr="001B1B6F">
        <w:tc>
          <w:tcPr>
            <w:tcW w:w="2689" w:type="dxa"/>
            <w:hideMark/>
          </w:tcPr>
          <w:p w14:paraId="55AE585F" w14:textId="77777777" w:rsidR="000B0D23" w:rsidRDefault="000B0D23" w:rsidP="001B1B6F">
            <w:pPr>
              <w:jc w:val="both"/>
              <w:rPr>
                <w:rFonts w:ascii="Verdana" w:eastAsia="Calibri" w:hAnsi="Verdana" w:cs="Arial"/>
                <w:b/>
                <w:color w:val="7030A0"/>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tcPr>
          <w:p w14:paraId="1C8109A2" w14:textId="77777777" w:rsidR="000B0D23" w:rsidRDefault="000B0D23" w:rsidP="001B1B6F">
            <w:pPr>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consulta con radicado No. </w:t>
            </w:r>
            <w:r w:rsidRPr="00D26CE5">
              <w:rPr>
                <w:rFonts w:ascii="Verdana" w:hAnsi="Verdana" w:cs="Calibri"/>
              </w:rPr>
              <w:t>1_2026_01_07_000136</w:t>
            </w:r>
          </w:p>
        </w:tc>
      </w:tr>
    </w:tbl>
    <w:p w14:paraId="5293346D" w14:textId="77777777" w:rsidR="000B0D23" w:rsidRDefault="000B0D23" w:rsidP="000B0D23">
      <w:pPr>
        <w:spacing w:after="0" w:line="240" w:lineRule="auto"/>
        <w:jc w:val="both"/>
        <w:rPr>
          <w:rFonts w:ascii="Verdana" w:eastAsia="Calibri" w:hAnsi="Verdana" w:cs="Arial"/>
          <w:color w:val="000000"/>
          <w:lang w:val="es-ES_tradnl" w:eastAsia="es-ES_tradnl"/>
        </w:rPr>
      </w:pPr>
    </w:p>
    <w:p w14:paraId="744F1695" w14:textId="77777777" w:rsidR="000B0D23" w:rsidRDefault="000B0D23" w:rsidP="000B0D23">
      <w:pPr>
        <w:spacing w:after="0" w:line="240" w:lineRule="auto"/>
        <w:jc w:val="both"/>
        <w:rPr>
          <w:rFonts w:ascii="Verdana" w:eastAsia="Calibri" w:hAnsi="Verdana" w:cs="Arial"/>
          <w:color w:val="000000"/>
          <w:lang w:val="es-ES_tradnl" w:eastAsia="es-ES_tradnl"/>
        </w:rPr>
      </w:pPr>
    </w:p>
    <w:p w14:paraId="19223BEE" w14:textId="77777777" w:rsidR="000B0D23" w:rsidRDefault="000B0D23" w:rsidP="000B0D2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Rueda,</w:t>
      </w:r>
    </w:p>
    <w:p w14:paraId="5161DF38" w14:textId="77777777" w:rsidR="000B0D23" w:rsidRDefault="000B0D23" w:rsidP="000B0D2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2BD454E" w14:textId="77777777" w:rsidR="000B0D23" w:rsidRDefault="000B0D23" w:rsidP="000B0D23">
      <w:pPr>
        <w:spacing w:after="0" w:line="276" w:lineRule="auto"/>
        <w:ind w:right="49"/>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7 de enero de 2026, en la cual manifiesta lo siguiente: </w:t>
      </w:r>
    </w:p>
    <w:p w14:paraId="221892A3" w14:textId="77777777" w:rsidR="000B0D23" w:rsidRDefault="000B0D23" w:rsidP="000B0D2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3BE2DC4" w14:textId="77777777" w:rsidR="000B0D23" w:rsidRPr="00CA0E49" w:rsidRDefault="000B0D23" w:rsidP="000B0D23">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CA0E49">
        <w:rPr>
          <w:rFonts w:ascii="Verdana" w:eastAsia="Century Gothic" w:hAnsi="Verdana" w:cs="Century Gothic"/>
          <w:sz w:val="20"/>
          <w:szCs w:val="20"/>
          <w:lang w:val="es-ES"/>
        </w:rPr>
        <w:t>1. En una selección abreviada de menor cuantía contratos donde cuyo objeto es infraestructura de transporte, se aplica pliego tipo, al haber manifestación de interés, adicionalmente se deberá llenar un formulario como anexo? A efectos de poder participar en el sorteo?</w:t>
      </w:r>
    </w:p>
    <w:p w14:paraId="51EE74AB" w14:textId="77777777" w:rsidR="000B0D23" w:rsidRPr="00CA0E49" w:rsidRDefault="000B0D23" w:rsidP="000B0D23">
      <w:pPr>
        <w:spacing w:after="0" w:line="240" w:lineRule="auto"/>
        <w:ind w:left="709" w:right="709"/>
        <w:jc w:val="both"/>
        <w:rPr>
          <w:rFonts w:ascii="Verdana" w:eastAsia="Century Gothic" w:hAnsi="Verdana" w:cs="Century Gothic"/>
          <w:sz w:val="20"/>
          <w:szCs w:val="20"/>
          <w:lang w:val="es-ES"/>
        </w:rPr>
      </w:pPr>
      <w:r w:rsidRPr="00CA0E49">
        <w:rPr>
          <w:rFonts w:ascii="Verdana" w:eastAsia="Century Gothic" w:hAnsi="Verdana" w:cs="Century Gothic"/>
          <w:sz w:val="20"/>
          <w:szCs w:val="20"/>
          <w:lang w:val="es-ES"/>
        </w:rPr>
        <w:lastRenderedPageBreak/>
        <w:t>2. Si virtualmente se da click al manifestar el interés, pero omitió un formulario, la entidad</w:t>
      </w:r>
      <w:r>
        <w:rPr>
          <w:rFonts w:ascii="Verdana" w:eastAsia="Century Gothic" w:hAnsi="Verdana" w:cs="Century Gothic"/>
          <w:sz w:val="20"/>
          <w:szCs w:val="20"/>
          <w:lang w:val="es-ES"/>
        </w:rPr>
        <w:t xml:space="preserve"> </w:t>
      </w:r>
      <w:r w:rsidRPr="00CA0E49">
        <w:rPr>
          <w:rFonts w:ascii="Verdana" w:eastAsia="Century Gothic" w:hAnsi="Verdana" w:cs="Century Gothic"/>
          <w:sz w:val="20"/>
          <w:szCs w:val="20"/>
          <w:lang w:val="es-ES"/>
        </w:rPr>
        <w:t>puede negar el acceso? Solicito fundamentos jurídicos.</w:t>
      </w:r>
    </w:p>
    <w:p w14:paraId="43FEB45D" w14:textId="77777777" w:rsidR="000B0D23" w:rsidRPr="00CA0E49" w:rsidRDefault="000B0D23" w:rsidP="000B0D23">
      <w:pPr>
        <w:spacing w:after="0" w:line="240" w:lineRule="auto"/>
        <w:ind w:left="709" w:right="709"/>
        <w:jc w:val="both"/>
        <w:rPr>
          <w:rFonts w:ascii="Verdana" w:eastAsia="Century Gothic" w:hAnsi="Verdana" w:cs="Century Gothic"/>
          <w:sz w:val="20"/>
          <w:szCs w:val="20"/>
          <w:lang w:val="es-ES"/>
        </w:rPr>
      </w:pPr>
      <w:r w:rsidRPr="00CA0E49">
        <w:rPr>
          <w:rFonts w:ascii="Verdana" w:eastAsia="Century Gothic" w:hAnsi="Verdana" w:cs="Century Gothic"/>
          <w:sz w:val="20"/>
          <w:szCs w:val="20"/>
          <w:lang w:val="es-ES"/>
        </w:rPr>
        <w:t>3. Qué pasa si se da click a la manifestación de interés y además, se llenó el formulario de “manifestación de interés” firmado, y como no estuvo presente en la audiencia de</w:t>
      </w:r>
      <w:r>
        <w:rPr>
          <w:rFonts w:ascii="Verdana" w:eastAsia="Century Gothic" w:hAnsi="Verdana" w:cs="Century Gothic"/>
          <w:sz w:val="20"/>
          <w:szCs w:val="20"/>
          <w:lang w:val="es-ES"/>
        </w:rPr>
        <w:t xml:space="preserve"> </w:t>
      </w:r>
      <w:r w:rsidRPr="00CA0E49">
        <w:rPr>
          <w:rFonts w:ascii="Verdana" w:eastAsia="Century Gothic" w:hAnsi="Verdana" w:cs="Century Gothic"/>
          <w:sz w:val="20"/>
          <w:szCs w:val="20"/>
          <w:lang w:val="es-ES"/>
        </w:rPr>
        <w:t>sorteo, ¿la entidad puede excluir al oferente del sorteo durante la audiencia?</w:t>
      </w:r>
    </w:p>
    <w:p w14:paraId="1D5A315F" w14:textId="77777777" w:rsidR="000B0D23" w:rsidRPr="00CA0E49" w:rsidRDefault="000B0D23" w:rsidP="000B0D23">
      <w:pPr>
        <w:spacing w:after="0" w:line="240" w:lineRule="auto"/>
        <w:ind w:left="709" w:right="709"/>
        <w:jc w:val="both"/>
        <w:rPr>
          <w:rFonts w:ascii="Verdana" w:eastAsia="Century Gothic" w:hAnsi="Verdana" w:cs="Century Gothic"/>
          <w:sz w:val="20"/>
          <w:szCs w:val="20"/>
          <w:lang w:val="es-ES"/>
        </w:rPr>
      </w:pPr>
      <w:r w:rsidRPr="00CA0E49">
        <w:rPr>
          <w:rFonts w:ascii="Verdana" w:eastAsia="Century Gothic" w:hAnsi="Verdana" w:cs="Century Gothic"/>
          <w:sz w:val="20"/>
          <w:szCs w:val="20"/>
          <w:lang w:val="es-ES"/>
        </w:rPr>
        <w:t>4. Todos aquellos que no se conecten a la audiencia de sorteo ¿la entidad las puede excluir de dicho sorteo? Solicito fundamentos jurídicos.</w:t>
      </w:r>
    </w:p>
    <w:p w14:paraId="2824DE55" w14:textId="77777777" w:rsidR="000B0D23" w:rsidRPr="00B63483" w:rsidRDefault="000B0D23" w:rsidP="000B0D23">
      <w:pPr>
        <w:spacing w:after="0" w:line="240" w:lineRule="auto"/>
        <w:ind w:left="709" w:right="709"/>
        <w:jc w:val="both"/>
        <w:rPr>
          <w:rStyle w:val="normaltextrun"/>
          <w:rFonts w:ascii="Verdana" w:eastAsia="Century Gothic" w:hAnsi="Verdana" w:cs="Century Gothic"/>
          <w:sz w:val="20"/>
          <w:szCs w:val="20"/>
          <w:lang w:val="es-ES"/>
        </w:rPr>
      </w:pPr>
      <w:r w:rsidRPr="00CA0E49">
        <w:rPr>
          <w:rFonts w:ascii="Verdana" w:eastAsia="Century Gothic" w:hAnsi="Verdana" w:cs="Century Gothic"/>
          <w:sz w:val="20"/>
          <w:szCs w:val="20"/>
          <w:lang w:val="es-ES"/>
        </w:rPr>
        <w:t>5. Los proponentes deben estar presentes en la audiencia de sorteo obligatoriamente o la entidad puede abstenerse de impedir que vaya interesados o proponentes a la audiencia de sorteo de forma presencial?</w:t>
      </w:r>
      <w:r>
        <w:rPr>
          <w:rStyle w:val="normaltextrun"/>
          <w:rFonts w:ascii="Verdana" w:hAnsi="Verdana" w:cs="Arial"/>
          <w:sz w:val="20"/>
          <w:szCs w:val="20"/>
          <w:shd w:val="clear" w:color="auto" w:fill="FFFFFF"/>
          <w:lang w:val="es-ES"/>
        </w:rPr>
        <w:t>”</w:t>
      </w:r>
    </w:p>
    <w:p w14:paraId="29722E09" w14:textId="77777777" w:rsidR="000B0D23" w:rsidRDefault="000B0D23" w:rsidP="000B0D23">
      <w:pPr>
        <w:spacing w:after="0" w:line="240" w:lineRule="auto"/>
        <w:ind w:left="709" w:right="1858"/>
        <w:jc w:val="both"/>
        <w:rPr>
          <w:rStyle w:val="normaltextrun"/>
          <w:rFonts w:ascii="Verdana" w:hAnsi="Verdana" w:cs="Arial"/>
          <w:sz w:val="20"/>
          <w:szCs w:val="20"/>
          <w:shd w:val="clear" w:color="auto" w:fill="FFFFFF"/>
          <w:lang w:val="es-ES"/>
        </w:rPr>
      </w:pPr>
    </w:p>
    <w:p w14:paraId="1C5CC9DE" w14:textId="77777777" w:rsidR="000B0D23" w:rsidRDefault="000B0D23" w:rsidP="000B0D23">
      <w:pPr>
        <w:spacing w:after="120" w:line="276" w:lineRule="auto"/>
        <w:ind w:right="49"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EB8FEC6" w14:textId="77777777" w:rsidR="000B0D23" w:rsidRDefault="000B0D23" w:rsidP="000B0D23">
      <w:pPr>
        <w:spacing w:after="0" w:line="276" w:lineRule="auto"/>
        <w:ind w:right="49"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problemas</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A12C375" w14:textId="77777777" w:rsidR="000B0D23" w:rsidRDefault="000B0D23" w:rsidP="000B0D23">
      <w:pPr>
        <w:spacing w:after="0" w:line="276" w:lineRule="auto"/>
        <w:ind w:right="49" w:firstLine="709"/>
        <w:jc w:val="both"/>
        <w:rPr>
          <w:rFonts w:ascii="Verdana" w:eastAsia="Calibri" w:hAnsi="Verdana" w:cs="Arial"/>
          <w:color w:val="000000"/>
          <w:lang w:val="es-ES" w:eastAsia="es-ES"/>
        </w:rPr>
      </w:pPr>
    </w:p>
    <w:p w14:paraId="0CE10499" w14:textId="77777777" w:rsidR="000B0D23" w:rsidRDefault="000B0D23" w:rsidP="000B0D23">
      <w:pPr>
        <w:pStyle w:val="Prrafodelista"/>
        <w:numPr>
          <w:ilvl w:val="0"/>
          <w:numId w:val="16"/>
        </w:numPr>
        <w:tabs>
          <w:tab w:val="left" w:pos="142"/>
          <w:tab w:val="left" w:pos="284"/>
        </w:tabs>
        <w:spacing w:after="0" w:line="276" w:lineRule="auto"/>
        <w:ind w:left="0" w:right="49" w:firstLine="0"/>
        <w:jc w:val="both"/>
        <w:rPr>
          <w:rFonts w:ascii="Verdana" w:eastAsia="Century Gothic" w:hAnsi="Verdana" w:cs="Century Gothic"/>
          <w:b/>
          <w:bCs/>
        </w:rPr>
      </w:pPr>
      <w:r>
        <w:rPr>
          <w:rFonts w:ascii="Verdana" w:eastAsia="Century Gothic" w:hAnsi="Verdana" w:cs="Century Gothic"/>
          <w:b/>
          <w:bCs/>
        </w:rPr>
        <w:t>Problemas planteados:</w:t>
      </w:r>
    </w:p>
    <w:p w14:paraId="2F7A11B0" w14:textId="77777777" w:rsidR="000B0D23" w:rsidRDefault="000B0D23" w:rsidP="000B0D23">
      <w:pPr>
        <w:tabs>
          <w:tab w:val="left" w:pos="426"/>
        </w:tabs>
        <w:spacing w:after="0" w:line="276" w:lineRule="auto"/>
        <w:ind w:right="49"/>
        <w:jc w:val="both"/>
        <w:rPr>
          <w:rFonts w:ascii="Verdana" w:eastAsia="Century Gothic" w:hAnsi="Verdana" w:cs="Century Gothic"/>
          <w:lang w:val="es-ES"/>
        </w:rPr>
      </w:pPr>
    </w:p>
    <w:p w14:paraId="790557F0" w14:textId="4C3A60A2" w:rsidR="000B0D23" w:rsidRPr="00FC7531" w:rsidRDefault="000B0D23" w:rsidP="000B0D23">
      <w:pPr>
        <w:spacing w:after="0" w:line="276" w:lineRule="auto"/>
        <w:ind w:right="49"/>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w:t>
      </w:r>
      <w:r w:rsidRPr="0049500E">
        <w:rPr>
          <w:rFonts w:ascii="Verdana" w:eastAsia="Calibri" w:hAnsi="Verdana" w:cs="Arial"/>
          <w:shd w:val="clear" w:color="auto" w:fill="FFFFFF"/>
          <w:lang w:val="es-MX" w:eastAsia="es-ES_tradnl"/>
        </w:rPr>
        <w:t>¿</w:t>
      </w:r>
      <w:r>
        <w:rPr>
          <w:rFonts w:ascii="Verdana" w:eastAsia="Calibri" w:hAnsi="Verdana" w:cs="Arial"/>
          <w:shd w:val="clear" w:color="auto" w:fill="FFFFFF"/>
          <w:lang w:val="es-MX" w:eastAsia="es-ES_tradnl"/>
        </w:rPr>
        <w:t>Cómo se debe manifestar interés en los procesos regidos por los documentos tipo de la modalidad de selección abreviada de menor cuantía</w:t>
      </w:r>
      <w:r w:rsidRPr="00317DC3">
        <w:t xml:space="preserve"> </w:t>
      </w:r>
      <w:r w:rsidRPr="00317DC3">
        <w:rPr>
          <w:rFonts w:ascii="Verdana" w:eastAsia="Calibri" w:hAnsi="Verdana" w:cs="Arial"/>
          <w:shd w:val="clear" w:color="auto" w:fill="FFFFFF"/>
          <w:lang w:val="es-MX" w:eastAsia="es-ES_tradnl"/>
        </w:rPr>
        <w:t>de infraestructura de transporte (versión 3)</w:t>
      </w:r>
      <w:r w:rsidRPr="0049500E">
        <w:rPr>
          <w:rFonts w:ascii="Verdana" w:eastAsia="Calibri" w:hAnsi="Verdana" w:cs="Arial"/>
          <w:shd w:val="clear" w:color="auto" w:fill="FFFFFF"/>
          <w:lang w:val="es-MX" w:eastAsia="es-ES_tradnl"/>
        </w:rPr>
        <w:t>?</w:t>
      </w:r>
      <w:r>
        <w:rPr>
          <w:rFonts w:ascii="Verdana" w:eastAsia="Calibri" w:hAnsi="Verdana" w:cs="Arial"/>
          <w:shd w:val="clear" w:color="auto" w:fill="FFFFFF"/>
          <w:lang w:val="es-MX" w:eastAsia="es-ES_tradnl"/>
        </w:rPr>
        <w:t xml:space="preserve"> y ii) </w:t>
      </w:r>
      <w:r w:rsidRPr="0049500E">
        <w:rPr>
          <w:rFonts w:ascii="Verdana" w:eastAsia="Calibri" w:hAnsi="Verdana" w:cs="Arial"/>
          <w:shd w:val="clear" w:color="auto" w:fill="FFFFFF"/>
          <w:lang w:val="es-MX" w:eastAsia="es-ES_tradnl"/>
        </w:rPr>
        <w:t>¿</w:t>
      </w:r>
      <w:r>
        <w:rPr>
          <w:rFonts w:ascii="Verdana" w:eastAsia="Calibri" w:hAnsi="Verdana" w:cs="Arial"/>
          <w:shd w:val="clear" w:color="auto" w:fill="FFFFFF"/>
          <w:lang w:val="es-MX" w:eastAsia="es-ES_tradnl"/>
        </w:rPr>
        <w:t xml:space="preserve">Cómo se debe realizar </w:t>
      </w:r>
      <w:r>
        <w:rPr>
          <w:rFonts w:ascii="Verdana" w:eastAsia="Calibri" w:hAnsi="Verdana" w:cs="Arial"/>
          <w:shd w:val="clear" w:color="auto" w:fill="FFFFFF"/>
          <w:lang w:val="es-MX" w:eastAsia="es-ES_tradnl"/>
        </w:rPr>
        <w:lastRenderedPageBreak/>
        <w:t>el sorteo cuando se reciben más de 10 manifestaciones de interés en los procesos regidos por los documentos tipo de la modalidad de selección abreviada de menor cuantía</w:t>
      </w:r>
      <w:r w:rsidRPr="00317DC3">
        <w:t xml:space="preserve"> </w:t>
      </w:r>
      <w:r w:rsidRPr="00317DC3">
        <w:rPr>
          <w:rFonts w:ascii="Verdana" w:eastAsia="Calibri" w:hAnsi="Verdana" w:cs="Arial"/>
          <w:shd w:val="clear" w:color="auto" w:fill="FFFFFF"/>
          <w:lang w:val="es-MX" w:eastAsia="es-ES_tradnl"/>
        </w:rPr>
        <w:t>de infraestructura de transporte (versión 3)</w:t>
      </w:r>
      <w:r w:rsidRPr="0049500E">
        <w:rPr>
          <w:rFonts w:ascii="Verdana" w:eastAsia="Calibri" w:hAnsi="Verdana" w:cs="Arial"/>
          <w:shd w:val="clear" w:color="auto" w:fill="FFFFFF"/>
          <w:lang w:val="es-MX" w:eastAsia="es-ES_tradnl"/>
        </w:rPr>
        <w:t>?</w:t>
      </w:r>
    </w:p>
    <w:p w14:paraId="5D0B8B92" w14:textId="77777777" w:rsidR="000B0D23" w:rsidRPr="00CC4C08" w:rsidRDefault="000B0D23" w:rsidP="000B0D23">
      <w:pPr>
        <w:spacing w:after="0" w:line="276" w:lineRule="auto"/>
        <w:jc w:val="both"/>
        <w:rPr>
          <w:rFonts w:ascii="Verdana" w:eastAsia="Calibri" w:hAnsi="Verdana" w:cs="Arial"/>
          <w:color w:val="7030A0"/>
        </w:rPr>
      </w:pPr>
    </w:p>
    <w:p w14:paraId="1EF643C5" w14:textId="77777777" w:rsidR="000B0D23" w:rsidRDefault="000B0D23" w:rsidP="000B0D2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Respuestas:</w:t>
      </w:r>
    </w:p>
    <w:p w14:paraId="6892AD56" w14:textId="77777777" w:rsidR="000B0D23" w:rsidRDefault="000B0D23" w:rsidP="000B0D2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0D23" w14:paraId="7A769E4A" w14:textId="77777777" w:rsidTr="001B1B6F">
        <w:tc>
          <w:tcPr>
            <w:tcW w:w="8828" w:type="dxa"/>
            <w:tcBorders>
              <w:top w:val="dotted" w:sz="4" w:space="0" w:color="auto"/>
              <w:left w:val="dotted" w:sz="4" w:space="0" w:color="auto"/>
              <w:bottom w:val="dotted" w:sz="4" w:space="0" w:color="auto"/>
              <w:right w:val="dotted" w:sz="4" w:space="0" w:color="auto"/>
            </w:tcBorders>
          </w:tcPr>
          <w:p w14:paraId="5E10B51A" w14:textId="769A1106" w:rsidR="000B0D23" w:rsidRPr="00697C9B" w:rsidRDefault="000B0D23" w:rsidP="001B1B6F">
            <w:pPr>
              <w:spacing w:after="120" w:line="276" w:lineRule="auto"/>
              <w:jc w:val="both"/>
              <w:rPr>
                <w:rFonts w:ascii="Verdana" w:hAnsi="Verdana" w:cs="Arial"/>
                <w:lang w:eastAsia="es-ES"/>
              </w:rPr>
            </w:pPr>
            <w:r>
              <w:rPr>
                <w:rFonts w:ascii="Verdana" w:eastAsia="Calibri" w:hAnsi="Verdana" w:cs="Arial"/>
                <w:lang w:val="es-ES"/>
              </w:rPr>
              <w:t xml:space="preserve">i) De acuerdo con el Documento base de </w:t>
            </w:r>
            <w:r>
              <w:rPr>
                <w:rFonts w:ascii="Verdana" w:eastAsia="Calibri" w:hAnsi="Verdana" w:cs="Arial"/>
                <w:shd w:val="clear" w:color="auto" w:fill="FFFFFF"/>
                <w:lang w:val="es-MX" w:eastAsia="es-ES_tradnl"/>
              </w:rPr>
              <w:t>los documentos tipo de la modalidad de selección abreviada de menor cuantía</w:t>
            </w:r>
            <w:r w:rsidRPr="00317DC3">
              <w:t xml:space="preserve"> </w:t>
            </w:r>
            <w:r w:rsidRPr="00317DC3">
              <w:rPr>
                <w:rFonts w:ascii="Verdana" w:eastAsia="Calibri" w:hAnsi="Verdana" w:cs="Arial"/>
                <w:shd w:val="clear" w:color="auto" w:fill="FFFFFF"/>
                <w:lang w:val="es-MX" w:eastAsia="es-ES_tradnl"/>
              </w:rPr>
              <w:t xml:space="preserve">de infraestructura de transporte (versión </w:t>
            </w:r>
            <w:r w:rsidRPr="00697C9B">
              <w:rPr>
                <w:rFonts w:ascii="Verdana" w:eastAsia="Calibri" w:hAnsi="Verdana" w:cs="Arial"/>
                <w:shd w:val="clear" w:color="auto" w:fill="FFFFFF"/>
                <w:lang w:val="es-MX" w:eastAsia="es-ES_tradnl"/>
              </w:rPr>
              <w:t>3) “</w:t>
            </w:r>
            <w:r w:rsidRPr="00697C9B">
              <w:rPr>
                <w:rFonts w:ascii="Verdana" w:eastAsia="Arial,Calibri" w:hAnsi="Verdana" w:cs="Arial"/>
                <w:highlight w:val="lightGray"/>
                <w:lang w:eastAsia="es-CO"/>
              </w:rPr>
              <w:t>[</w:t>
            </w:r>
            <w:r w:rsidRPr="00697C9B">
              <w:rPr>
                <w:rFonts w:ascii="Verdana" w:hAnsi="Verdana" w:cs="Arial"/>
                <w:highlight w:val="lightGray"/>
                <w:lang w:eastAsia="es-ES"/>
              </w:rPr>
              <w:t xml:space="preserve">Para los procesos en SECOP II el proponente debe manifestar su interés mediante el módulo correspondiente, de acuerdo con la Guía para manifestar interés y la Guía para presentar Ofertas en el SECOP II, por lo cual no se </w:t>
            </w:r>
            <w:r w:rsidRPr="00697C9B">
              <w:rPr>
                <w:rFonts w:ascii="Verdana" w:eastAsiaTheme="minorEastAsia" w:hAnsi="Verdana" w:cs="Arial"/>
                <w:highlight w:val="lightGray"/>
                <w:lang w:eastAsia="es-ES"/>
              </w:rPr>
              <w:t xml:space="preserve">requerirá el Formato 10 – Carta Manifestación de Interés]”. </w:t>
            </w:r>
          </w:p>
          <w:p w14:paraId="42007FC3" w14:textId="77777777" w:rsidR="000B0D23" w:rsidRPr="00697C9B" w:rsidRDefault="000B0D23" w:rsidP="001B1B6F">
            <w:pPr>
              <w:spacing w:after="120" w:line="276" w:lineRule="auto"/>
              <w:ind w:firstLine="709"/>
              <w:jc w:val="both"/>
              <w:rPr>
                <w:rFonts w:ascii="Verdana" w:eastAsia="Calibri" w:hAnsi="Verdana" w:cs="Arial"/>
              </w:rPr>
            </w:pPr>
            <w:r>
              <w:rPr>
                <w:rFonts w:ascii="Verdana" w:eastAsia="Calibri" w:hAnsi="Verdana" w:cs="Arial"/>
              </w:rPr>
              <w:t xml:space="preserve">En </w:t>
            </w:r>
            <w:r w:rsidRPr="00E2791A">
              <w:rPr>
                <w:rFonts w:ascii="Verdana" w:eastAsia="Calibri" w:hAnsi="Verdana" w:cs="Arial"/>
                <w:lang w:val="es-ES"/>
              </w:rPr>
              <w:t>ese</w:t>
            </w:r>
            <w:r>
              <w:rPr>
                <w:rFonts w:ascii="Verdana" w:eastAsia="Calibri" w:hAnsi="Verdana" w:cs="Arial"/>
              </w:rPr>
              <w:t xml:space="preserve"> sentido, es claro que no se debe utilizar el Formato 10 cuando se manifiesta interés en la plataforma, y la entidad contratante no podrá exigir que se anexen formatos o formularios adicionales a la manifestación de interés electrónica, siempre que se cumpla con lo requerido en el Documento base de los documentos tipo, esto es, que se manifieste interés en el módulo correspondiente y de la forma que indica la </w:t>
            </w:r>
            <w:r w:rsidRPr="00FF2743">
              <w:rPr>
                <w:rFonts w:ascii="Verdana" w:eastAsia="Calibri" w:hAnsi="Verdana" w:cs="Arial"/>
              </w:rPr>
              <w:t>Guía para presentar Ofertas en el SECOP II</w:t>
            </w:r>
            <w:r>
              <w:rPr>
                <w:rFonts w:ascii="Verdana" w:eastAsia="Calibri" w:hAnsi="Verdana" w:cs="Arial"/>
              </w:rPr>
              <w:t>.</w:t>
            </w:r>
          </w:p>
          <w:p w14:paraId="28322319" w14:textId="77777777" w:rsidR="000B0D23" w:rsidRPr="000F79DD" w:rsidRDefault="000B0D23" w:rsidP="001B1B6F">
            <w:pPr>
              <w:widowControl w:val="0"/>
              <w:autoSpaceDE w:val="0"/>
              <w:autoSpaceDN w:val="0"/>
              <w:spacing w:after="120" w:line="276" w:lineRule="auto"/>
              <w:ind w:right="49"/>
              <w:jc w:val="both"/>
              <w:rPr>
                <w:rFonts w:ascii="Verdana" w:eastAsia="Calibri" w:hAnsi="Verdana" w:cs="Arial"/>
                <w:lang w:val="es-ES"/>
              </w:rPr>
            </w:pPr>
            <w:r>
              <w:rPr>
                <w:rFonts w:ascii="Verdana" w:eastAsia="Calibri" w:hAnsi="Verdana" w:cs="Arial"/>
                <w:lang w:val="es-ES"/>
              </w:rPr>
              <w:t>ii) Respecto al problema jurídico planteado debe señalarse que, la</w:t>
            </w:r>
            <w:r w:rsidRPr="000F79DD">
              <w:rPr>
                <w:rFonts w:ascii="Verdana" w:eastAsia="Calibri" w:hAnsi="Verdana" w:cs="Arial"/>
                <w:lang w:val="es-ES"/>
              </w:rPr>
              <w:t xml:space="preserve"> manifestación de interés es un requisito especial para las modalidades de concurso de méritos con precalificación y la selección abreviada de menor cuantía. Tratándose de esta última modalidad, la manifestación de interés es un acto de comunicación del interesado, en virtud del cual, como su nombre lo indica, expresa el interés en participar en el proceso de selección, sin que le sea exigida la presentación de requisitos habilitantes como ocurre en el concurso de méritos con precalificación. Dicha manifestación de interés debe ser presentada en la forma establecida en el pliego de condiciones físico o electrónico, según corresponda a la plataforma del SECOP I o el SECOP II en que se adelante el proceso.</w:t>
            </w:r>
          </w:p>
          <w:p w14:paraId="267945F5" w14:textId="77777777" w:rsidR="000B0D23" w:rsidRDefault="000B0D23" w:rsidP="001B1B6F">
            <w:pPr>
              <w:spacing w:after="120" w:line="276" w:lineRule="auto"/>
              <w:ind w:firstLine="709"/>
              <w:jc w:val="both"/>
              <w:rPr>
                <w:rFonts w:ascii="Verdana" w:eastAsia="Calibri" w:hAnsi="Verdana" w:cs="Arial"/>
                <w:lang w:val="es-ES"/>
              </w:rPr>
            </w:pPr>
            <w:r w:rsidRPr="000F79DD">
              <w:rPr>
                <w:rFonts w:ascii="Verdana" w:eastAsia="Calibri" w:hAnsi="Verdana" w:cs="Arial"/>
                <w:lang w:val="es-ES"/>
              </w:rPr>
              <w:t xml:space="preserve">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w:t>
            </w:r>
            <w:r w:rsidRPr="000F79DD">
              <w:rPr>
                <w:rFonts w:ascii="Verdana" w:eastAsia="Calibri" w:hAnsi="Verdana" w:cs="Arial"/>
                <w:lang w:val="es-ES"/>
              </w:rPr>
              <w:lastRenderedPageBreak/>
              <w:t>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157D939C" w14:textId="77777777" w:rsidR="000B0D23" w:rsidRPr="00FF76A3" w:rsidRDefault="000B0D23" w:rsidP="001B1B6F">
            <w:pPr>
              <w:spacing w:after="120" w:line="276" w:lineRule="auto"/>
              <w:ind w:firstLine="709"/>
              <w:jc w:val="both"/>
              <w:rPr>
                <w:rFonts w:ascii="Verdana" w:hAnsi="Verdana" w:cs="Arial"/>
                <w:sz w:val="21"/>
                <w:szCs w:val="21"/>
                <w:lang w:eastAsia="es-ES"/>
              </w:rPr>
            </w:pPr>
            <w:r>
              <w:rPr>
                <w:rFonts w:ascii="Verdana" w:eastAsia="Calibri" w:hAnsi="Verdana" w:cs="Arial"/>
                <w:lang w:val="es-ES"/>
              </w:rPr>
              <w:t xml:space="preserve">De la misma manera, el Decreto 1082 de 2015 no establece reglas para la realización del sorteo, por lo que será la entidad contratante la encargada de definir el procedimiento en modo, tiempo y lugar, lo cual deberá ser orientado por los principios que rigen la </w:t>
            </w:r>
            <w:r w:rsidRPr="000F79DD">
              <w:rPr>
                <w:rFonts w:ascii="Verdana" w:eastAsia="Calibri" w:hAnsi="Verdana" w:cs="Arial"/>
                <w:lang w:val="es-ES"/>
              </w:rPr>
              <w:t>contratación pública</w:t>
            </w:r>
            <w:r>
              <w:rPr>
                <w:rFonts w:ascii="Verdana" w:eastAsia="Calibri" w:hAnsi="Verdana" w:cs="Arial"/>
                <w:lang w:val="es-ES"/>
              </w:rPr>
              <w:t xml:space="preserve">. De la misma manera, respecto de </w:t>
            </w:r>
            <w:r>
              <w:rPr>
                <w:rFonts w:ascii="Verdana" w:eastAsia="Calibri" w:hAnsi="Verdana" w:cs="Arial"/>
                <w:shd w:val="clear" w:color="auto" w:fill="FFFFFF"/>
                <w:lang w:val="es-MX" w:eastAsia="es-ES_tradnl"/>
              </w:rPr>
              <w:t xml:space="preserve">los documentos tipo de la modalidad de selección abreviada de </w:t>
            </w:r>
            <w:r w:rsidRPr="00D267D0">
              <w:rPr>
                <w:rFonts w:ascii="Verdana" w:eastAsia="Calibri" w:hAnsi="Verdana" w:cs="Arial"/>
                <w:lang w:val="es-ES"/>
              </w:rPr>
              <w:t>menor cuantía de infraestructura de transporte (versión 3), el documento base dispone: “</w:t>
            </w:r>
            <w:r w:rsidRPr="00D267D0">
              <w:rPr>
                <w:rFonts w:ascii="Verdana" w:eastAsia="Calibri" w:hAnsi="Verdana" w:cs="Arial"/>
                <w:highlight w:val="lightGray"/>
                <w:lang w:val="es-ES"/>
              </w:rPr>
              <w:t>[En el presente numeral la entidad estatal debe indicar, cuando reciba más de diez (10) manifestaciones de interés, si continuará el proceso con todos los que lo manifestaron o si hace un sorteo para seleccionar máximo diez (10), con quienes continuará el proceso de contratación</w:t>
            </w:r>
            <w:r w:rsidRPr="00D267D0">
              <w:rPr>
                <w:rFonts w:ascii="Verdana" w:eastAsia="Calibri" w:hAnsi="Verdana" w:cs="Arial"/>
                <w:lang w:val="es-ES"/>
              </w:rPr>
              <w:t>]”.</w:t>
            </w:r>
          </w:p>
          <w:p w14:paraId="0D9485B7" w14:textId="77777777" w:rsidR="000B0D23" w:rsidRDefault="000B0D23" w:rsidP="001B1B6F">
            <w:pPr>
              <w:spacing w:after="120" w:line="276" w:lineRule="auto"/>
              <w:ind w:firstLine="709"/>
              <w:jc w:val="both"/>
              <w:rPr>
                <w:rFonts w:ascii="Verdana" w:eastAsia="Calibri" w:hAnsi="Verdana" w:cs="Arial"/>
                <w:lang w:val="es-ES"/>
              </w:rPr>
            </w:pPr>
            <w:r>
              <w:rPr>
                <w:rFonts w:ascii="Verdana" w:eastAsia="Calibri" w:hAnsi="Verdana" w:cs="Arial"/>
              </w:rPr>
              <w:t xml:space="preserve">Por tanto, las reglas del sorteo las define la entidad contratante en el apartado correspondiente del documento base, ya que es un aspecto que la entidad puede incluir porque es una disposición </w:t>
            </w:r>
            <w:r>
              <w:rPr>
                <w:rFonts w:ascii="Verdana" w:eastAsia="Times New Roman" w:hAnsi="Verdana" w:cs="Arial"/>
                <w:kern w:val="2"/>
                <w:shd w:val="clear" w:color="auto" w:fill="FFFFFF"/>
                <w:lang w:val="es-ES" w:eastAsia="es-ES"/>
                <w14:ligatures w14:val="standardContextual"/>
              </w:rPr>
              <w:t xml:space="preserve">que </w:t>
            </w:r>
            <w:r w:rsidRPr="000F540C">
              <w:rPr>
                <w:rFonts w:ascii="Verdana" w:eastAsia="Times New Roman" w:hAnsi="Verdana" w:cs="Arial"/>
                <w:kern w:val="2"/>
                <w:shd w:val="clear" w:color="auto" w:fill="FFFFFF"/>
                <w:lang w:val="es-ES" w:eastAsia="es-ES"/>
                <w14:ligatures w14:val="standardContextual"/>
              </w:rPr>
              <w:t xml:space="preserve">se encuentra entre corchetes y resaltados en gris </w:t>
            </w:r>
            <w:r w:rsidRPr="000F540C">
              <w:rPr>
                <w:rFonts w:ascii="Verdana" w:eastAsia="Times New Roman" w:hAnsi="Verdana" w:cs="Arial"/>
                <w:kern w:val="2"/>
                <w:highlight w:val="lightGray"/>
                <w:shd w:val="clear" w:color="auto" w:fill="FFFFFF"/>
                <w:lang w:val="es-ES" w:eastAsia="es-ES"/>
                <w14:ligatures w14:val="standardContextual"/>
              </w:rPr>
              <w:t>–[texto]–</w:t>
            </w:r>
            <w:r>
              <w:rPr>
                <w:rFonts w:ascii="Verdana" w:eastAsia="Times New Roman" w:hAnsi="Verdana" w:cs="Arial"/>
                <w:kern w:val="2"/>
                <w:shd w:val="clear" w:color="auto" w:fill="FFFFFF"/>
                <w:lang w:val="es-ES" w:eastAsia="es-ES"/>
                <w14:ligatures w14:val="standardContextual"/>
              </w:rPr>
              <w:t>, lo que significa que se puede modificar indicando cómo hará el sorteo, virtual o presencial, y quienes deben participar.</w:t>
            </w:r>
          </w:p>
          <w:p w14:paraId="15DA803F" w14:textId="77777777" w:rsidR="000B0D23" w:rsidRPr="0049500E" w:rsidRDefault="000B0D23" w:rsidP="001B1B6F">
            <w:pPr>
              <w:spacing w:after="120" w:line="276" w:lineRule="auto"/>
              <w:ind w:firstLine="709"/>
              <w:jc w:val="both"/>
              <w:rPr>
                <w:rFonts w:ascii="Verdana" w:eastAsia="Calibri" w:hAnsi="Verdana" w:cs="Arial"/>
                <w:color w:val="7030A0"/>
              </w:rPr>
            </w:pPr>
            <w:r>
              <w:rPr>
                <w:rFonts w:ascii="Verdana" w:eastAsia="Calibri" w:hAnsi="Verdana" w:cs="Arial"/>
                <w:lang w:val="es-ES"/>
              </w:rPr>
              <w:t>En todo caso,</w:t>
            </w:r>
            <w:r w:rsidRPr="00082754">
              <w:rPr>
                <w:rFonts w:ascii="Verdana" w:eastAsia="Calibri" w:hAnsi="Verdana" w:cs="Arial"/>
                <w:color w:val="000000"/>
                <w:lang w:val="es-ES_tradnl"/>
              </w:rPr>
              <w:t xml:space="preserve"> es importante advertir que compete a cada Entidad Estatal definir cómo adelantará el procedimiento correspondiente.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tc>
      </w:tr>
    </w:tbl>
    <w:p w14:paraId="33A37FEF" w14:textId="77777777" w:rsidR="000B0D23" w:rsidRDefault="000B0D23" w:rsidP="000B0D23">
      <w:pPr>
        <w:tabs>
          <w:tab w:val="left" w:pos="142"/>
          <w:tab w:val="left" w:pos="284"/>
        </w:tabs>
        <w:spacing w:after="0" w:line="276" w:lineRule="auto"/>
        <w:jc w:val="both"/>
        <w:rPr>
          <w:rFonts w:ascii="Verdana" w:eastAsia="Century Gothic" w:hAnsi="Verdana" w:cs="Century Gothic"/>
          <w:b/>
          <w:bCs/>
          <w:lang w:val="es-ES"/>
        </w:rPr>
      </w:pPr>
    </w:p>
    <w:p w14:paraId="226FC1D4" w14:textId="77777777" w:rsidR="000B0D23" w:rsidRDefault="000B0D23" w:rsidP="000B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46B98DD" w14:textId="77777777" w:rsidR="000B0D23" w:rsidRDefault="000B0D23" w:rsidP="000B0D23">
      <w:pPr>
        <w:spacing w:after="0" w:line="276" w:lineRule="auto"/>
        <w:jc w:val="both"/>
        <w:rPr>
          <w:rFonts w:ascii="Verdana" w:eastAsia="Calibri" w:hAnsi="Verdana" w:cs="Arial"/>
          <w:color w:val="7030A0"/>
          <w:lang w:val="es-ES"/>
        </w:rPr>
      </w:pPr>
    </w:p>
    <w:p w14:paraId="1ED42EA1" w14:textId="77777777" w:rsidR="000B0D23" w:rsidRDefault="000B0D23" w:rsidP="000B0D23">
      <w:pPr>
        <w:spacing w:after="0" w:line="276" w:lineRule="auto"/>
        <w:ind w:right="49"/>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D0D8FE2" w14:textId="77777777" w:rsidR="000B0D23" w:rsidRDefault="000B0D23" w:rsidP="000B0D23">
      <w:pPr>
        <w:spacing w:after="0" w:line="276" w:lineRule="auto"/>
        <w:ind w:right="49"/>
        <w:jc w:val="both"/>
        <w:rPr>
          <w:rFonts w:ascii="Verdana" w:eastAsia="Calibri" w:hAnsi="Verdana" w:cs="Arial"/>
          <w:lang w:val="es-ES"/>
        </w:rPr>
      </w:pPr>
    </w:p>
    <w:p w14:paraId="1C55B030" w14:textId="77777777" w:rsidR="000B0D23" w:rsidRDefault="000B0D23" w:rsidP="000B0D23">
      <w:pPr>
        <w:pStyle w:val="NormalWeb"/>
        <w:spacing w:before="0" w:beforeAutospacing="0" w:after="120" w:afterAutospacing="0" w:line="276" w:lineRule="auto"/>
        <w:jc w:val="both"/>
        <w:rPr>
          <w:rFonts w:ascii="Verdana" w:eastAsia="Calibri" w:hAnsi="Verdana" w:cs="Arial"/>
          <w:color w:val="000000"/>
          <w:kern w:val="2"/>
          <w:sz w:val="22"/>
          <w:szCs w:val="22"/>
          <w:lang w:val="es-MX" w:eastAsia="en-US"/>
          <w14:ligatures w14:val="standardContextual"/>
        </w:rPr>
      </w:pPr>
      <w:r>
        <w:rPr>
          <w:rFonts w:ascii="Verdana" w:eastAsia="Calibri" w:hAnsi="Verdana" w:cs="Arial"/>
          <w:lang w:val="es-ES"/>
        </w:rPr>
        <w:t>i) E</w:t>
      </w:r>
      <w:r>
        <w:rPr>
          <w:rFonts w:ascii="Verdana" w:eastAsia="Calibri" w:hAnsi="Verdana" w:cs="Arial"/>
          <w:color w:val="000000"/>
          <w:kern w:val="2"/>
          <w:sz w:val="22"/>
          <w:szCs w:val="22"/>
          <w:lang w:val="es-MX" w:eastAsia="en-US"/>
          <w14:ligatures w14:val="standardContextual"/>
        </w:rPr>
        <w:t xml:space="preserve">n virtud de la </w:t>
      </w:r>
      <w:r w:rsidRPr="00603095">
        <w:rPr>
          <w:rFonts w:ascii="Verdana" w:eastAsia="Calibri" w:hAnsi="Verdana" w:cs="Arial"/>
          <w:color w:val="000000"/>
          <w:kern w:val="2"/>
          <w:sz w:val="22"/>
          <w:szCs w:val="22"/>
          <w:lang w:val="es-MX" w:eastAsia="en-US"/>
          <w14:ligatures w14:val="standardContextual"/>
        </w:rPr>
        <w:t>Ley 2022 de 2020</w:t>
      </w:r>
      <w:r>
        <w:rPr>
          <w:rFonts w:ascii="Verdana" w:eastAsia="Calibri" w:hAnsi="Verdana" w:cs="Arial"/>
          <w:color w:val="000000"/>
          <w:kern w:val="2"/>
          <w:sz w:val="22"/>
          <w:szCs w:val="22"/>
          <w:lang w:val="es-MX" w:eastAsia="en-US"/>
          <w14:ligatures w14:val="standardContextual"/>
        </w:rPr>
        <w:t xml:space="preserve">, la cual modificó el artículo 4 de la </w:t>
      </w:r>
      <w:r w:rsidRPr="00603095">
        <w:rPr>
          <w:rFonts w:ascii="Verdana" w:eastAsia="Calibri" w:hAnsi="Verdana" w:cs="Arial"/>
          <w:color w:val="000000"/>
          <w:kern w:val="2"/>
          <w:sz w:val="22"/>
          <w:szCs w:val="22"/>
          <w:lang w:val="es-MX" w:eastAsia="en-US"/>
          <w14:ligatures w14:val="standardContextual"/>
        </w:rPr>
        <w:t>Ley 1882 de 2018</w:t>
      </w:r>
      <w:r>
        <w:rPr>
          <w:rFonts w:ascii="Verdana" w:eastAsia="Calibri" w:hAnsi="Verdana" w:cs="Arial"/>
          <w:color w:val="000000"/>
          <w:kern w:val="2"/>
          <w:sz w:val="22"/>
          <w:szCs w:val="22"/>
          <w:lang w:val="es-MX" w:eastAsia="en-US"/>
          <w14:ligatures w14:val="standardContextual"/>
        </w:rPr>
        <w:t xml:space="preserve">, las Entidades Estatales cuya contratación se rige por el Estatuto General de Contratación de la Administración Pública -EGCAP- deberán aplicar de manera obligatoria los Documentos Tipo adoptados por </w:t>
      </w:r>
      <w:r w:rsidRPr="00603095">
        <w:rPr>
          <w:rFonts w:ascii="Verdana" w:eastAsia="Calibri" w:hAnsi="Verdana" w:cs="Arial"/>
          <w:color w:val="000000"/>
          <w:kern w:val="2"/>
          <w:sz w:val="22"/>
          <w:szCs w:val="22"/>
          <w:lang w:val="es-MX" w:eastAsia="en-US"/>
          <w14:ligatures w14:val="standardContextual"/>
        </w:rPr>
        <w:t>la Agencia Nacional de Contratación Pública – Colombia Compra Eficiente</w:t>
      </w:r>
      <w:r>
        <w:rPr>
          <w:rFonts w:ascii="Verdana" w:eastAsia="Calibri" w:hAnsi="Verdana" w:cs="Arial"/>
          <w:color w:val="000000"/>
          <w:kern w:val="2"/>
          <w:sz w:val="22"/>
          <w:szCs w:val="22"/>
          <w:lang w:val="es-MX" w:eastAsia="en-US"/>
          <w14:ligatures w14:val="standardContextual"/>
        </w:rPr>
        <w:t>.</w:t>
      </w:r>
    </w:p>
    <w:p w14:paraId="1E54E82C" w14:textId="77777777" w:rsidR="000B0D23" w:rsidRPr="003160BA" w:rsidRDefault="000B0D23" w:rsidP="000B0D23">
      <w:pPr>
        <w:pStyle w:val="NormalWeb"/>
        <w:spacing w:before="120" w:beforeAutospacing="0" w:after="120" w:afterAutospacing="0" w:line="276" w:lineRule="auto"/>
        <w:ind w:firstLine="708"/>
        <w:jc w:val="both"/>
        <w:rPr>
          <w:rFonts w:ascii="Verdana" w:eastAsia="Calibri" w:hAnsi="Verdana" w:cs="Arial"/>
          <w:color w:val="000000"/>
          <w:kern w:val="2"/>
          <w:sz w:val="22"/>
          <w:szCs w:val="22"/>
          <w:lang w:val="es-MX" w:eastAsia="en-US"/>
          <w14:ligatures w14:val="standardContextual"/>
        </w:rPr>
      </w:pPr>
      <w:r w:rsidRPr="003160BA">
        <w:rPr>
          <w:rFonts w:ascii="Verdana" w:eastAsia="Calibri" w:hAnsi="Verdana" w:cs="Arial"/>
          <w:color w:val="000000"/>
          <w:kern w:val="2"/>
          <w:sz w:val="22"/>
          <w:szCs w:val="22"/>
          <w:lang w:val="es-MX" w:eastAsia="en-US"/>
          <w14:ligatures w14:val="standardContextual"/>
        </w:rPr>
        <w:t>Con sustento en esta competencia, esta Agencia ha expedido diversos grupos de Documentos Tipo aplicables principalmente a la contratación de obras públicas de infraestructura de transporte, agua potable, saneamiento básico y social, pero también para interventoría y consultoría de estudios de ingeniería. Así mismo, la Agencia también ha expedido Documentos Tipo para la modalidad de selección de contratación directa, para los procesos de gestión catastral con enfoque multipropósito que se celebren a través de contratos interadministrativos y para la contratación directa de convenios solidarios para la ejecución de obras hasta la menor cuantía con organismos de acción comunal.</w:t>
      </w:r>
    </w:p>
    <w:p w14:paraId="3A5BA572" w14:textId="77777777" w:rsidR="000B0D23" w:rsidRDefault="000B0D23" w:rsidP="000B0D23">
      <w:pPr>
        <w:tabs>
          <w:tab w:val="left" w:pos="709"/>
        </w:tabs>
        <w:snapToGrid w:val="0"/>
        <w:spacing w:before="120" w:after="120" w:line="276" w:lineRule="auto"/>
        <w:ind w:firstLine="708"/>
        <w:jc w:val="both"/>
        <w:rPr>
          <w:rFonts w:ascii="Verdana" w:eastAsia="Calibri" w:hAnsi="Verdana" w:cs="Arial"/>
          <w:bCs/>
          <w:lang w:val="es-ES"/>
        </w:rPr>
      </w:pPr>
      <w:r>
        <w:rPr>
          <w:rFonts w:ascii="Verdana" w:eastAsia="Calibri" w:hAnsi="Verdana" w:cs="Arial"/>
          <w:lang w:val="es-ES_tradnl"/>
        </w:rPr>
        <w:t>En este sentido, las entidades deberán verificar si los procesos de contratación de selección abreviada de menor cuantía que adelanten se encuentran cobijados por l</w:t>
      </w:r>
      <w:r w:rsidRPr="00454626">
        <w:rPr>
          <w:rFonts w:ascii="Verdana" w:eastAsia="Calibri" w:hAnsi="Verdana" w:cs="Arial"/>
          <w:lang w:val="es-ES_tradnl"/>
        </w:rPr>
        <w:t xml:space="preserve">os Documentos Tipo expedidos por </w:t>
      </w:r>
      <w:r>
        <w:rPr>
          <w:rFonts w:ascii="Verdana" w:eastAsia="Calibri" w:hAnsi="Verdana" w:cs="Arial"/>
          <w:lang w:val="es-ES_tradnl"/>
        </w:rPr>
        <w:t xml:space="preserve">la Agencia Nacional de Contratación Pública </w:t>
      </w:r>
      <w:r>
        <w:rPr>
          <w:rFonts w:ascii="Symbol" w:eastAsia="Symbol" w:hAnsi="Symbol" w:cs="Symbol"/>
          <w:lang w:val="es-ES_tradnl"/>
        </w:rPr>
        <w:t>-</w:t>
      </w:r>
      <w:r>
        <w:rPr>
          <w:rFonts w:ascii="Verdana" w:eastAsia="Calibri" w:hAnsi="Verdana" w:cs="Arial"/>
          <w:lang w:val="es-ES_tradnl"/>
        </w:rPr>
        <w:t xml:space="preserve"> Colombia Compra Eficiente</w:t>
      </w:r>
      <w:r>
        <w:rPr>
          <w:rStyle w:val="Refdenotaalpie"/>
          <w:rFonts w:ascii="Verdana" w:eastAsia="Calibri" w:hAnsi="Verdana" w:cs="Arial"/>
          <w:lang w:val="es-ES_tradnl"/>
        </w:rPr>
        <w:footnoteReference w:id="1"/>
      </w:r>
      <w:r>
        <w:rPr>
          <w:rFonts w:ascii="Verdana" w:eastAsia="Calibri" w:hAnsi="Verdana" w:cs="Arial"/>
          <w:lang w:val="es-ES_tradnl"/>
        </w:rPr>
        <w:t xml:space="preserve">. De esta manera, si </w:t>
      </w:r>
      <w:r w:rsidRPr="008E79FF">
        <w:rPr>
          <w:rFonts w:ascii="Verdana" w:eastAsia="Calibri" w:hAnsi="Verdana" w:cs="Arial"/>
          <w:bCs/>
          <w:lang w:val="es-ES"/>
        </w:rPr>
        <w:t xml:space="preserve">el objeto contractual y la modalidad en la que debe contratarse están dentro del ámbito de aplicación de </w:t>
      </w:r>
      <w:r>
        <w:rPr>
          <w:rFonts w:ascii="Verdana" w:eastAsia="Calibri" w:hAnsi="Verdana" w:cs="Arial"/>
          <w:bCs/>
          <w:lang w:val="es-ES"/>
        </w:rPr>
        <w:t>sus</w:t>
      </w:r>
      <w:r w:rsidRPr="008E79FF">
        <w:rPr>
          <w:rFonts w:ascii="Verdana" w:eastAsia="Calibri" w:hAnsi="Verdana" w:cs="Arial"/>
          <w:bCs/>
          <w:lang w:val="es-ES"/>
        </w:rPr>
        <w:t xml:space="preserve"> resoluciones</w:t>
      </w:r>
      <w:r>
        <w:rPr>
          <w:rFonts w:ascii="Verdana" w:eastAsia="Calibri" w:hAnsi="Verdana" w:cs="Arial"/>
          <w:bCs/>
          <w:lang w:val="es-ES"/>
        </w:rPr>
        <w:t>, el proceso de contratación deberá adelantarse de acuerdo con las condiciones que allí se señalen.</w:t>
      </w:r>
    </w:p>
    <w:p w14:paraId="68E6C880" w14:textId="77777777" w:rsidR="000B0D23" w:rsidRDefault="000B0D23" w:rsidP="000B0D23">
      <w:pPr>
        <w:spacing w:before="120" w:after="120" w:line="276" w:lineRule="auto"/>
        <w:ind w:firstLine="708"/>
        <w:jc w:val="both"/>
        <w:rPr>
          <w:rFonts w:ascii="Verdana" w:eastAsia="Arial" w:hAnsi="Verdana" w:cstheme="majorHAnsi"/>
          <w:lang w:val="es-ES"/>
        </w:rPr>
      </w:pPr>
      <w:r>
        <w:rPr>
          <w:rFonts w:ascii="Verdana" w:eastAsia="Calibri" w:hAnsi="Verdana" w:cs="Arial"/>
          <w:bCs/>
          <w:lang w:val="es-ES"/>
        </w:rPr>
        <w:t xml:space="preserve">Cuando el proceso para contratar mediante selección abreviada de menor cuantía se encuentre cobijado por los Documentos Tipo, las entidades deberán aplicar de forma obligatoria las disposiciones que señalen para manifestar interés. </w:t>
      </w:r>
      <w:r>
        <w:rPr>
          <w:rFonts w:ascii="Verdana" w:eastAsia="Times New Roman" w:hAnsi="Verdana" w:cs="Arial"/>
          <w:kern w:val="2"/>
          <w:shd w:val="clear" w:color="auto" w:fill="FFFFFF"/>
          <w:lang w:val="es-ES" w:eastAsia="es-ES"/>
          <w14:ligatures w14:val="standardContextual"/>
        </w:rPr>
        <w:t>Es decir, que no podrán alterar el contenido del documento base, salvo en</w:t>
      </w:r>
      <w:r w:rsidRPr="000F540C">
        <w:rPr>
          <w:rFonts w:ascii="Verdana" w:eastAsia="Times New Roman" w:hAnsi="Verdana" w:cs="Arial"/>
          <w:kern w:val="2"/>
          <w:shd w:val="clear" w:color="auto" w:fill="FFFFFF"/>
          <w:lang w:val="es-ES" w:eastAsia="es-ES"/>
          <w14:ligatures w14:val="standardContextual"/>
        </w:rPr>
        <w:t xml:space="preserve"> aquellos aspectos </w:t>
      </w:r>
      <w:r>
        <w:rPr>
          <w:rFonts w:ascii="Verdana" w:eastAsia="Times New Roman" w:hAnsi="Verdana" w:cs="Arial"/>
          <w:kern w:val="2"/>
          <w:shd w:val="clear" w:color="auto" w:fill="FFFFFF"/>
          <w:lang w:val="es-ES" w:eastAsia="es-ES"/>
          <w14:ligatures w14:val="standardContextual"/>
        </w:rPr>
        <w:t xml:space="preserve">que el documento lo permita, es decir, en las disposiciones que </w:t>
      </w:r>
      <w:r w:rsidRPr="000F540C">
        <w:rPr>
          <w:rFonts w:ascii="Verdana" w:eastAsia="Times New Roman" w:hAnsi="Verdana" w:cs="Arial"/>
          <w:kern w:val="2"/>
          <w:shd w:val="clear" w:color="auto" w:fill="FFFFFF"/>
          <w:lang w:val="es-ES" w:eastAsia="es-ES"/>
          <w14:ligatures w14:val="standardContextual"/>
        </w:rPr>
        <w:t xml:space="preserve">se encuentran entre corchetes y resaltados en gris </w:t>
      </w:r>
      <w:r w:rsidRPr="000F540C">
        <w:rPr>
          <w:rFonts w:ascii="Verdana" w:eastAsia="Times New Roman" w:hAnsi="Verdana" w:cs="Arial"/>
          <w:kern w:val="2"/>
          <w:highlight w:val="lightGray"/>
          <w:shd w:val="clear" w:color="auto" w:fill="FFFFFF"/>
          <w:lang w:val="es-ES" w:eastAsia="es-ES"/>
          <w14:ligatures w14:val="standardContextual"/>
        </w:rPr>
        <w:t>–[texto]–</w:t>
      </w:r>
      <w:r>
        <w:rPr>
          <w:rFonts w:ascii="Verdana" w:eastAsia="Times New Roman" w:hAnsi="Verdana" w:cs="Arial"/>
          <w:kern w:val="2"/>
          <w:shd w:val="clear" w:color="auto" w:fill="FFFFFF"/>
          <w:lang w:val="es-ES" w:eastAsia="es-ES"/>
          <w14:ligatures w14:val="standardContextual"/>
        </w:rPr>
        <w:t>.</w:t>
      </w:r>
      <w:r>
        <w:rPr>
          <w:rFonts w:ascii="Verdana" w:eastAsia="Calibri" w:hAnsi="Verdana" w:cs="Arial"/>
          <w:lang w:val="es-ES_tradnl"/>
        </w:rPr>
        <w:t xml:space="preserve"> </w:t>
      </w:r>
      <w:r w:rsidRPr="00FA11F3">
        <w:rPr>
          <w:rFonts w:ascii="Verdana" w:eastAsia="Times New Roman" w:hAnsi="Verdana" w:cs="Arial"/>
          <w:kern w:val="2"/>
          <w:shd w:val="clear" w:color="auto" w:fill="FFFFFF"/>
          <w:lang w:val="es-ES_tradnl" w:eastAsia="es-ES_tradnl"/>
          <w14:ligatures w14:val="standardContextual"/>
        </w:rPr>
        <w:t>Así por</w:t>
      </w:r>
      <w:r>
        <w:rPr>
          <w:rFonts w:ascii="Verdana" w:eastAsia="Times New Roman" w:hAnsi="Verdana" w:cs="Arial"/>
          <w:kern w:val="2"/>
          <w:shd w:val="clear" w:color="auto" w:fill="FFFFFF"/>
          <w:lang w:val="es-ES_tradnl" w:eastAsia="es-ES_tradnl"/>
          <w14:ligatures w14:val="standardContextual"/>
        </w:rPr>
        <w:t xml:space="preserve"> ejemplo, y teniendo en cuenta que</w:t>
      </w:r>
      <w:r w:rsidRPr="00FA11F3">
        <w:rPr>
          <w:rFonts w:ascii="Verdana" w:eastAsia="Arial" w:hAnsi="Verdana" w:cstheme="majorHAnsi"/>
          <w:lang w:val="es-ES"/>
        </w:rPr>
        <w:t xml:space="preserve"> </w:t>
      </w:r>
      <w:r>
        <w:rPr>
          <w:rFonts w:ascii="Verdana" w:eastAsia="Arial" w:hAnsi="Verdana" w:cstheme="majorHAnsi"/>
          <w:lang w:val="es-ES"/>
        </w:rPr>
        <w:t xml:space="preserve">en su consulta usted menciona los pliegos tipo de menor cuantía sin mencionar el sector o la versión de estos, para absolver </w:t>
      </w:r>
      <w:r>
        <w:rPr>
          <w:rFonts w:ascii="Verdana" w:eastAsia="Arial" w:hAnsi="Verdana" w:cstheme="majorHAnsi"/>
          <w:lang w:val="es-ES"/>
        </w:rPr>
        <w:lastRenderedPageBreak/>
        <w:t xml:space="preserve">su consulta nos referiremos a los </w:t>
      </w:r>
      <w:r w:rsidRPr="001C4C87">
        <w:rPr>
          <w:rFonts w:ascii="Verdana" w:eastAsia="Arial" w:hAnsi="Verdana" w:cstheme="majorHAnsi"/>
          <w:lang w:val="es-ES"/>
        </w:rPr>
        <w:t>documentos tipo de la modalidad de selección abreviada de menor cuantía de infraestructura de transporte (versión 3)</w:t>
      </w:r>
      <w:r>
        <w:rPr>
          <w:rFonts w:ascii="Verdana" w:eastAsia="Arial" w:hAnsi="Verdana" w:cstheme="majorHAnsi"/>
          <w:lang w:val="es-ES"/>
        </w:rPr>
        <w:t>, cuyo documento base, señala en el numeral 2.3:</w:t>
      </w:r>
    </w:p>
    <w:p w14:paraId="78A6B847" w14:textId="77777777" w:rsidR="000B0D23" w:rsidRPr="00AD6F95" w:rsidRDefault="000B0D23" w:rsidP="000B0D23">
      <w:pPr>
        <w:spacing w:after="0" w:line="240" w:lineRule="auto"/>
        <w:ind w:left="709" w:right="709"/>
        <w:jc w:val="both"/>
        <w:rPr>
          <w:rFonts w:ascii="Verdana" w:hAnsi="Verdana" w:cs="Arial"/>
          <w:sz w:val="21"/>
          <w:szCs w:val="21"/>
          <w:lang w:eastAsia="es-ES"/>
        </w:rPr>
      </w:pPr>
      <w:r w:rsidRPr="00AD6F95">
        <w:rPr>
          <w:rFonts w:ascii="Verdana" w:eastAsia="Aptos" w:hAnsi="Verdana" w:cs="Arial"/>
          <w:sz w:val="21"/>
          <w:szCs w:val="21"/>
          <w:lang w:val="es-ES" w:eastAsia="es-MX"/>
        </w:rPr>
        <w:t>“</w:t>
      </w:r>
      <w:r w:rsidRPr="00AD6F95">
        <w:rPr>
          <w:rFonts w:ascii="Verdana" w:hAnsi="Verdana" w:cs="Arial"/>
          <w:sz w:val="21"/>
          <w:szCs w:val="21"/>
          <w:lang w:eastAsia="es-ES"/>
        </w:rPr>
        <w:t>Los interesados en participar en el presente proceso de selección contarán con un término de tres (3) días hábiles contados a partir de la fecha de apertura del proceso de contratación para manifestar su intención de participar. Los interesados deben enviar una comunicación suscrita por la persona natural, el representante legal de la persona jurídica, por todos los integrantes del proponente plural (</w:t>
      </w:r>
      <w:r w:rsidRPr="00AD6F95">
        <w:rPr>
          <w:rFonts w:ascii="Verdana" w:hAnsi="Verdana" w:cs="Arial"/>
          <w:sz w:val="21"/>
          <w:szCs w:val="21"/>
          <w:lang w:eastAsia="es-ES"/>
        </w:rPr>
        <w:fldChar w:fldCharType="begin"/>
      </w:r>
      <w:r w:rsidRPr="00AD6F95">
        <w:rPr>
          <w:rFonts w:ascii="Verdana" w:hAnsi="Verdana" w:cs="Arial"/>
          <w:sz w:val="21"/>
          <w:szCs w:val="21"/>
          <w:lang w:eastAsia="es-ES"/>
        </w:rPr>
        <w:instrText xml:space="preserve"> REF _Ref25305885 \h  \* MERGEFORMAT </w:instrText>
      </w:r>
      <w:r w:rsidRPr="00AD6F95">
        <w:rPr>
          <w:rFonts w:ascii="Verdana" w:hAnsi="Verdana" w:cs="Arial"/>
          <w:sz w:val="21"/>
          <w:szCs w:val="21"/>
          <w:lang w:eastAsia="es-ES"/>
        </w:rPr>
      </w:r>
      <w:r w:rsidRPr="00AD6F95">
        <w:rPr>
          <w:rFonts w:ascii="Verdana" w:hAnsi="Verdana" w:cs="Arial"/>
          <w:sz w:val="21"/>
          <w:szCs w:val="21"/>
          <w:lang w:eastAsia="es-ES"/>
        </w:rPr>
        <w:fldChar w:fldCharType="separate"/>
      </w:r>
      <w:r w:rsidRPr="00AD6F95">
        <w:rPr>
          <w:rFonts w:ascii="Verdana" w:eastAsia="Arial,Times New Roman" w:hAnsi="Verdana" w:cs="Arial"/>
          <w:sz w:val="21"/>
          <w:szCs w:val="21"/>
          <w:lang w:eastAsia="es-ES"/>
        </w:rPr>
        <w:t>Formato 10 – Carta Manifestación de Interés</w:t>
      </w:r>
      <w:r w:rsidRPr="00AD6F95">
        <w:rPr>
          <w:rFonts w:ascii="Verdana" w:hAnsi="Verdana" w:cs="Arial"/>
          <w:sz w:val="21"/>
          <w:szCs w:val="21"/>
          <w:lang w:eastAsia="es-ES"/>
        </w:rPr>
        <w:fldChar w:fldCharType="end"/>
      </w:r>
      <w:r w:rsidRPr="00AD6F95">
        <w:rPr>
          <w:rFonts w:ascii="Verdana" w:hAnsi="Verdana" w:cs="Arial"/>
          <w:sz w:val="21"/>
          <w:szCs w:val="21"/>
          <w:lang w:eastAsia="es-ES"/>
        </w:rPr>
        <w:t xml:space="preserve">), según corresponda, al correo electrónico, o a falta de este a la dirección física indicada en el numeral </w:t>
      </w:r>
      <w:r w:rsidRPr="00AD6F95">
        <w:rPr>
          <w:rFonts w:ascii="Verdana" w:hAnsi="Verdana" w:cs="Arial"/>
          <w:sz w:val="21"/>
          <w:szCs w:val="21"/>
          <w:lang w:eastAsia="es-ES"/>
        </w:rPr>
        <w:fldChar w:fldCharType="begin"/>
      </w:r>
      <w:r w:rsidRPr="00AD6F95">
        <w:rPr>
          <w:rFonts w:ascii="Verdana" w:hAnsi="Verdana" w:cs="Arial"/>
          <w:sz w:val="21"/>
          <w:szCs w:val="21"/>
          <w:lang w:eastAsia="es-ES"/>
        </w:rPr>
        <w:instrText xml:space="preserve"> REF _Ref25305833 \r \h  \* MERGEFORMAT </w:instrText>
      </w:r>
      <w:r w:rsidRPr="00AD6F95">
        <w:rPr>
          <w:rFonts w:ascii="Verdana" w:hAnsi="Verdana" w:cs="Arial"/>
          <w:sz w:val="21"/>
          <w:szCs w:val="21"/>
          <w:lang w:eastAsia="es-ES"/>
        </w:rPr>
      </w:r>
      <w:r w:rsidRPr="00AD6F95">
        <w:rPr>
          <w:rFonts w:ascii="Verdana" w:hAnsi="Verdana" w:cs="Arial"/>
          <w:sz w:val="21"/>
          <w:szCs w:val="21"/>
          <w:lang w:eastAsia="es-ES"/>
        </w:rPr>
        <w:fldChar w:fldCharType="separate"/>
      </w:r>
      <w:r w:rsidRPr="00AD6F95">
        <w:rPr>
          <w:rFonts w:ascii="Verdana" w:hAnsi="Verdana" w:cs="Arial"/>
          <w:sz w:val="21"/>
          <w:szCs w:val="21"/>
          <w:lang w:eastAsia="es-ES"/>
        </w:rPr>
        <w:t>1.3</w:t>
      </w:r>
      <w:r w:rsidRPr="00AD6F95">
        <w:rPr>
          <w:rFonts w:ascii="Verdana" w:hAnsi="Verdana" w:cs="Arial"/>
          <w:sz w:val="21"/>
          <w:szCs w:val="21"/>
          <w:lang w:eastAsia="es-ES"/>
        </w:rPr>
        <w:fldChar w:fldCharType="end"/>
      </w:r>
      <w:r w:rsidRPr="00AD6F95">
        <w:rPr>
          <w:rFonts w:ascii="Verdana" w:hAnsi="Verdana" w:cs="Arial"/>
          <w:sz w:val="21"/>
          <w:szCs w:val="21"/>
          <w:lang w:eastAsia="es-ES"/>
        </w:rPr>
        <w:t xml:space="preserve"> del presente pliego. </w:t>
      </w:r>
    </w:p>
    <w:p w14:paraId="2EF87D92"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highlight w:val="lightGray"/>
          <w:lang w:eastAsia="es-ES"/>
        </w:rPr>
        <w:t>[En el presente numeral la entidad estatal debe indicar, cuando reciba más de diez (10) manifestaciones de interés, si continuará el proceso con todos los que lo manifestaron o si hace un sorteo para seleccionar máximo diez (10), con quienes continuará el proceso de contratación]</w:t>
      </w:r>
    </w:p>
    <w:p w14:paraId="0DF61499"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highlight w:val="lightGray"/>
          <w:lang w:eastAsia="es-ES"/>
        </w:rPr>
        <w:t>[En los procesos estructurados por lotes o segmentos, las manifestaciones de interés, al igual que el sorteo al que se refiere la Sección 2.4, se realizarán frente a cada uno de los lotes. En tal sentido, el proponente debe indicar en la manifestación de interés el lote o los lotes a los que se presenta. La entidad determinará, en caso que reciba más de diez (10) manifestaciones para uno lote o segmento si continúa con todos o si realiza el sorteo para seleccionar máximo diez (10)]</w:t>
      </w:r>
    </w:p>
    <w:p w14:paraId="3480DACB"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eastAsia="Arial,Calibri" w:hAnsi="Verdana" w:cs="Arial"/>
          <w:sz w:val="21"/>
          <w:szCs w:val="21"/>
          <w:highlight w:val="lightGray"/>
          <w:lang w:eastAsia="es-CO"/>
        </w:rPr>
        <w:t>[</w:t>
      </w:r>
      <w:r w:rsidRPr="00FF76A3">
        <w:rPr>
          <w:rFonts w:ascii="Verdana" w:hAnsi="Verdana" w:cs="Arial"/>
          <w:sz w:val="21"/>
          <w:szCs w:val="21"/>
          <w:highlight w:val="lightGray"/>
          <w:lang w:eastAsia="es-ES"/>
        </w:rPr>
        <w:t xml:space="preserve">Para los procesos en SECOP II el proponente debe manifestar su interés mediante el módulo correspondiente, de acuerdo con la Guía para manifestar interés y la Guía para presentar Ofertas en el SECOP II, por lo cual no se </w:t>
      </w:r>
      <w:r w:rsidRPr="00FF76A3">
        <w:rPr>
          <w:rFonts w:ascii="Verdana" w:eastAsiaTheme="minorEastAsia" w:hAnsi="Verdana" w:cs="Arial"/>
          <w:sz w:val="21"/>
          <w:szCs w:val="21"/>
          <w:highlight w:val="lightGray"/>
          <w:lang w:eastAsia="es-ES"/>
        </w:rPr>
        <w:t xml:space="preserve">requerirá el Formato 10 – Carta Manifestación de Interés]. </w:t>
      </w:r>
    </w:p>
    <w:p w14:paraId="4E5673D7"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highlight w:val="lightGray"/>
          <w:lang w:eastAsia="es-ES"/>
        </w:rPr>
        <w:t>[Cuando la entidad estatal cuente con una plataforma o sistema tecnológico de información para realizar la manifestación de interés, debe adaptar la presente sección]</w:t>
      </w:r>
      <w:r w:rsidRPr="00FF76A3">
        <w:rPr>
          <w:rFonts w:ascii="Verdana" w:hAnsi="Verdana" w:cs="Arial"/>
          <w:sz w:val="21"/>
          <w:szCs w:val="21"/>
          <w:lang w:eastAsia="es-ES"/>
        </w:rPr>
        <w:t>.</w:t>
      </w:r>
    </w:p>
    <w:p w14:paraId="65A6CDA1"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lang w:eastAsia="es-ES"/>
        </w:rPr>
        <w:t>En dicho documento se debe manifestar de forma expresa el interés de participar en el proceso de selección,</w:t>
      </w:r>
      <w:r w:rsidRPr="00FF76A3">
        <w:rPr>
          <w:rFonts w:ascii="Verdana" w:hAnsi="Verdana" w:cs="Arial"/>
          <w:sz w:val="21"/>
          <w:szCs w:val="21"/>
          <w:lang w:eastAsia="es-CO"/>
        </w:rPr>
        <w:t xml:space="preserve"> 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objeto</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número</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del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proceso de contratación,</w:t>
      </w:r>
      <w:r w:rsidRPr="00FF76A3">
        <w:rPr>
          <w:rFonts w:ascii="Verdana" w:hAnsi="Verdana" w:cs="Arial"/>
          <w:sz w:val="21"/>
          <w:szCs w:val="21"/>
          <w:lang w:eastAsia="es-ES"/>
        </w:rPr>
        <w:t xml:space="preserve"> </w:t>
      </w:r>
      <w:r w:rsidRPr="00FF76A3">
        <w:rPr>
          <w:rFonts w:ascii="Verdana" w:hAnsi="Verdana" w:cs="Arial"/>
          <w:sz w:val="21"/>
          <w:szCs w:val="21"/>
          <w:lang w:eastAsia="es-CO"/>
        </w:rPr>
        <w:t>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nombre</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de</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la</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entidad,</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nombre</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y</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dirección</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comercial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del</w:t>
      </w:r>
      <w:r w:rsidRPr="00FF76A3">
        <w:rPr>
          <w:rFonts w:ascii="Verdana" w:eastAsia="Arial" w:hAnsi="Verdana" w:cs="Arial"/>
          <w:sz w:val="21"/>
          <w:szCs w:val="21"/>
          <w:lang w:eastAsia="es-CO"/>
        </w:rPr>
        <w:t xml:space="preserve"> interesado</w:t>
      </w:r>
      <w:r w:rsidRPr="00FF76A3">
        <w:rPr>
          <w:rFonts w:ascii="Verdana" w:hAnsi="Verdana" w:cs="Arial"/>
          <w:sz w:val="21"/>
          <w:szCs w:val="21"/>
          <w:lang w:eastAsia="es-CO"/>
        </w:rPr>
        <w:t xml:space="preserve"> y 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nombre</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del</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representante</w:t>
      </w:r>
      <w:r w:rsidRPr="00FF76A3">
        <w:rPr>
          <w:rFonts w:ascii="Verdana" w:eastAsia="Arial" w:hAnsi="Verdana" w:cs="Arial"/>
          <w:sz w:val="21"/>
          <w:szCs w:val="21"/>
          <w:lang w:eastAsia="es-CO"/>
        </w:rPr>
        <w:t xml:space="preserve"> </w:t>
      </w:r>
      <w:r w:rsidRPr="00FF76A3">
        <w:rPr>
          <w:rFonts w:ascii="Verdana" w:hAnsi="Verdana" w:cs="Arial"/>
          <w:sz w:val="21"/>
          <w:szCs w:val="21"/>
          <w:lang w:eastAsia="es-CO"/>
        </w:rPr>
        <w:t>legal</w:t>
      </w:r>
      <w:r w:rsidRPr="00FF76A3">
        <w:rPr>
          <w:rFonts w:ascii="Verdana" w:hAnsi="Verdana" w:cs="Arial"/>
          <w:sz w:val="21"/>
          <w:szCs w:val="21"/>
          <w:lang w:eastAsia="es-ES"/>
        </w:rPr>
        <w:t>.</w:t>
      </w:r>
    </w:p>
    <w:p w14:paraId="4B2B811D"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lang w:eastAsia="es-ES"/>
        </w:rPr>
        <w:t xml:space="preserve">Tratándose de consorcio y uniones temporales, se debe indicar claramente quienes lo integrarán y el porcentaje de participación </w:t>
      </w:r>
      <w:r w:rsidRPr="00FF76A3">
        <w:rPr>
          <w:rFonts w:ascii="Verdana" w:hAnsi="Verdana" w:cs="Arial"/>
          <w:sz w:val="21"/>
          <w:szCs w:val="21"/>
          <w:highlight w:val="lightGray"/>
          <w:lang w:eastAsia="es-ES"/>
        </w:rPr>
        <w:t>[Los porcentajes señalados en el Formato 10 – Carta de manifestación de interés son indicativos y podrán ser modificados de acuerdo con los límites establecidos en este pliego de condiciones].</w:t>
      </w:r>
    </w:p>
    <w:p w14:paraId="5F051764"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lang w:eastAsia="es-ES"/>
        </w:rPr>
        <w:t xml:space="preserve">La manifestación de interés constituye una condición de procedibilidad para participar, so pena de rechazo de la oferta; por lo tanto, solo </w:t>
      </w:r>
      <w:r w:rsidRPr="00FF76A3">
        <w:rPr>
          <w:rFonts w:ascii="Verdana" w:hAnsi="Verdana" w:cs="Arial"/>
          <w:sz w:val="21"/>
          <w:szCs w:val="21"/>
          <w:lang w:eastAsia="es-ES"/>
        </w:rPr>
        <w:lastRenderedPageBreak/>
        <w:t>puede presentar oferta quien manifestó interés, y debe hacerlo en la forma individual o como proponente plural, según como se haya inscrito. Quienes manifiesten interés bajo la forma de proponente plural deben presentar la oferta con los integrantes inscritos, sin incluir otros. Sin embargo, es posible reducir el número de integrantes, siempre y cuando la oferta no la presente un solo miembro.</w:t>
      </w:r>
    </w:p>
    <w:p w14:paraId="615F39B5" w14:textId="77777777" w:rsidR="000B0D23" w:rsidRPr="00FF76A3" w:rsidRDefault="000B0D23" w:rsidP="000B0D23">
      <w:pPr>
        <w:spacing w:after="0" w:line="240" w:lineRule="auto"/>
        <w:ind w:left="709" w:right="709"/>
        <w:jc w:val="both"/>
        <w:rPr>
          <w:rFonts w:ascii="Verdana" w:hAnsi="Verdana" w:cs="Arial"/>
          <w:sz w:val="21"/>
          <w:szCs w:val="21"/>
          <w:lang w:eastAsia="es-ES"/>
        </w:rPr>
      </w:pPr>
      <w:r w:rsidRPr="00FF76A3">
        <w:rPr>
          <w:rFonts w:ascii="Verdana" w:hAnsi="Verdana" w:cs="Arial"/>
          <w:sz w:val="21"/>
          <w:szCs w:val="21"/>
          <w:lang w:eastAsia="es-ES"/>
        </w:rPr>
        <w:t>En caso de duplicidad de manifestación de interés, bien sea individualmente y/o como integrante de una estructura plural, se tomará como válida únicamente la primera en el tiempo, y las demás se desestimarán. Por lo tanto, tratándose de consorcios o uniones temporales</w:t>
      </w:r>
      <w:r w:rsidRPr="00FF76A3" w:rsidDel="006506ED">
        <w:rPr>
          <w:rFonts w:ascii="Verdana" w:hAnsi="Verdana" w:cs="Arial"/>
          <w:sz w:val="21"/>
          <w:szCs w:val="21"/>
          <w:lang w:eastAsia="es-ES"/>
        </w:rPr>
        <w:t xml:space="preserve"> </w:t>
      </w:r>
      <w:r w:rsidRPr="00FF76A3">
        <w:rPr>
          <w:rFonts w:ascii="Verdana" w:hAnsi="Verdana" w:cs="Arial"/>
          <w:sz w:val="21"/>
          <w:szCs w:val="21"/>
          <w:lang w:eastAsia="es-ES"/>
        </w:rPr>
        <w:t>donde uno o varios integrantes incurran en esta conducta, se desestimarán las demás manifestaciones de interés de los consorcios o uniones temporales donde un mismo integrante o integrantes sean coincidentes.</w:t>
      </w:r>
    </w:p>
    <w:p w14:paraId="1D35C18D" w14:textId="77777777" w:rsidR="000B0D23" w:rsidRPr="00AD6F95" w:rsidRDefault="000B0D23" w:rsidP="000B0D23">
      <w:pPr>
        <w:spacing w:after="0" w:line="240" w:lineRule="auto"/>
        <w:ind w:left="709" w:right="709"/>
        <w:jc w:val="both"/>
        <w:rPr>
          <w:rFonts w:ascii="Verdana" w:hAnsi="Verdana" w:cs="Arial"/>
          <w:sz w:val="21"/>
          <w:szCs w:val="21"/>
          <w:highlight w:val="lightGray"/>
          <w:lang w:eastAsia="es-ES"/>
        </w:rPr>
      </w:pPr>
      <w:r w:rsidRPr="00FF76A3">
        <w:rPr>
          <w:rFonts w:ascii="Verdana" w:hAnsi="Verdana" w:cs="Arial"/>
          <w:sz w:val="21"/>
          <w:szCs w:val="21"/>
          <w:highlight w:val="lightGray"/>
          <w:lang w:eastAsia="es-ES"/>
        </w:rPr>
        <w:t>[En los procesos de contratación adelantados por SECOP II el proponente plural debe manifestar interés utilizando el módulo correspondiente de acuerdo con la Guía para manifestar interés y la Guía para presentar Ofertas en el SECOP II, y no podrá hacerlo si solamente manifestó interés uno de los miembros del proponente plural desde su cuenta singular]</w:t>
      </w:r>
      <w:r w:rsidRPr="00AD6F95">
        <w:rPr>
          <w:rFonts w:ascii="Verdana" w:eastAsia="Aptos" w:hAnsi="Verdana" w:cs="Arial"/>
          <w:sz w:val="21"/>
          <w:szCs w:val="21"/>
          <w:lang w:val="es-ES" w:eastAsia="es-MX"/>
        </w:rPr>
        <w:t>”.</w:t>
      </w:r>
    </w:p>
    <w:p w14:paraId="324F0E2C" w14:textId="77777777" w:rsidR="000B0D23" w:rsidRDefault="000B0D23" w:rsidP="000B0D23">
      <w:pPr>
        <w:spacing w:before="120" w:after="120" w:line="276" w:lineRule="auto"/>
        <w:ind w:firstLine="879"/>
        <w:jc w:val="both"/>
        <w:rPr>
          <w:rFonts w:ascii="Verdana" w:eastAsia="Calibri" w:hAnsi="Verdana" w:cs="Arial"/>
          <w:kern w:val="2"/>
          <w:lang w:val="es-ES_tradnl"/>
          <w14:ligatures w14:val="standardContextual"/>
        </w:rPr>
      </w:pPr>
      <w:r>
        <w:rPr>
          <w:rFonts w:ascii="Verdana" w:eastAsia="Arial" w:hAnsi="Verdana" w:cstheme="majorHAnsi"/>
          <w:lang w:val="es-ES"/>
        </w:rPr>
        <w:t xml:space="preserve">Sin embargo, en ejercicio de la autonomía mencionada anteriormente, las entidades deberán diligenciar los espacios marcados en corchetes y gris, de acuerdo con el estudio previo, pero para responder su pregunta es claro que el documento base dispone que cuando se manifieste interés en la plataforma, no se </w:t>
      </w:r>
      <w:r w:rsidRPr="00112EC6">
        <w:rPr>
          <w:rFonts w:ascii="Verdana" w:eastAsia="Arial" w:hAnsi="Verdana" w:cstheme="majorHAnsi"/>
          <w:lang w:val="es-ES"/>
        </w:rPr>
        <w:t xml:space="preserve">requerirá el </w:t>
      </w:r>
      <w:r w:rsidRPr="00FF76A3">
        <w:rPr>
          <w:rFonts w:ascii="Verdana" w:hAnsi="Verdana" w:cs="Arial"/>
          <w:highlight w:val="lightGray"/>
          <w:lang w:eastAsia="es-ES"/>
        </w:rPr>
        <w:t>Formato 10 – Carta de manifestación de interés</w:t>
      </w:r>
      <w:r w:rsidRPr="00112EC6">
        <w:rPr>
          <w:rFonts w:ascii="Verdana" w:eastAsia="Times New Roman" w:hAnsi="Verdana" w:cs="Arial"/>
          <w:kern w:val="2"/>
          <w:shd w:val="clear" w:color="auto" w:fill="FFFFFF"/>
          <w:lang w:val="es-ES_tradnl" w:eastAsia="es-ES_tradnl"/>
          <w14:ligatures w14:val="standardContextual"/>
        </w:rPr>
        <w:t>.</w:t>
      </w:r>
      <w:r>
        <w:rPr>
          <w:rFonts w:ascii="Verdana" w:eastAsia="Times New Roman" w:hAnsi="Verdana" w:cs="Arial"/>
          <w:kern w:val="2"/>
          <w:shd w:val="clear" w:color="auto" w:fill="FFFFFF"/>
          <w:lang w:val="es-ES_tradnl" w:eastAsia="es-ES_tradnl"/>
          <w14:ligatures w14:val="standardContextual"/>
        </w:rPr>
        <w:t xml:space="preserve"> </w:t>
      </w:r>
    </w:p>
    <w:p w14:paraId="1DDF808F" w14:textId="77777777" w:rsidR="000B0D23" w:rsidRDefault="000B0D23" w:rsidP="000B0D23">
      <w:pPr>
        <w:tabs>
          <w:tab w:val="left" w:pos="709"/>
        </w:tabs>
        <w:snapToGrid w:val="0"/>
        <w:spacing w:after="0" w:line="276" w:lineRule="auto"/>
        <w:contextualSpacing/>
        <w:jc w:val="both"/>
        <w:rPr>
          <w:rFonts w:ascii="Verdana" w:hAnsi="Verdana" w:cs="Arial"/>
        </w:rPr>
      </w:pPr>
      <w:r>
        <w:rPr>
          <w:rFonts w:ascii="Verdana" w:eastAsia="Aptos" w:hAnsi="Verdana" w:cs="Arial"/>
          <w:bCs/>
        </w:rPr>
        <w:tab/>
      </w:r>
      <w:r>
        <w:rPr>
          <w:rFonts w:ascii="Verdana" w:eastAsia="Calibri" w:hAnsi="Verdana" w:cs="Arial"/>
          <w:color w:val="000000" w:themeColor="text1"/>
          <w:lang w:val="es-ES" w:eastAsia="es-ES" w:bidi="es-ES"/>
        </w:rPr>
        <w:t xml:space="preserve">En cualquier caso, </w:t>
      </w:r>
      <w:r w:rsidRPr="002C6323">
        <w:rPr>
          <w:rFonts w:ascii="Verdana" w:hAnsi="Verdana" w:cs="Arial"/>
        </w:rPr>
        <w:t xml:space="preserve">el análisis requerido para </w:t>
      </w:r>
      <w:r>
        <w:rPr>
          <w:rFonts w:ascii="Verdana" w:eastAsia="Calibri" w:hAnsi="Verdana" w:cs="Arial"/>
          <w:color w:val="000000"/>
          <w:lang w:val="es-ES" w:eastAsia="es-ES"/>
        </w:rPr>
        <w:t xml:space="preserve">definir la manifestación de interés </w:t>
      </w:r>
      <w:r w:rsidRPr="002C6323">
        <w:rPr>
          <w:rFonts w:ascii="Verdana" w:hAnsi="Verdana" w:cs="Arial"/>
        </w:rPr>
        <w:t>debe ser realizado por quienes tengan interés en ello</w:t>
      </w:r>
      <w:r>
        <w:rPr>
          <w:rFonts w:ascii="Verdana" w:hAnsi="Verdana" w:cs="Arial"/>
        </w:rPr>
        <w:t xml:space="preserve"> según las particularidades del caso</w:t>
      </w:r>
      <w:r w:rsidRPr="002C6323">
        <w:rPr>
          <w:rFonts w:ascii="Verdana" w:hAnsi="Verdana" w:cs="Arial"/>
        </w:rPr>
        <w:t xml:space="preserve">, de acuerdo con lo explicado </w:t>
      </w:r>
      <w:r>
        <w:rPr>
          <w:rFonts w:ascii="Verdana" w:hAnsi="Verdana" w:cs="Arial"/>
        </w:rPr>
        <w:t>anteriormente</w:t>
      </w:r>
      <w:r w:rsidRPr="002C6323">
        <w:rPr>
          <w:rFonts w:ascii="Verdana" w:hAnsi="Verdana" w:cs="Arial"/>
        </w:rPr>
        <w:t>. De esta manera, la entidad contratante definirá en cada caso concreto lo relacionado con</w:t>
      </w:r>
      <w:r>
        <w:rPr>
          <w:rFonts w:ascii="Verdana" w:hAnsi="Verdana" w:cs="Arial"/>
        </w:rPr>
        <w:t xml:space="preserve"> la manifestación de interés, considerando en todo caso la procedencia e inalterabilidad de las condiciones que para ello establezcan los Documentos Tipo adoptados por esta Agencia.</w:t>
      </w:r>
    </w:p>
    <w:p w14:paraId="2253A7DF" w14:textId="77777777" w:rsidR="000B0D23" w:rsidRDefault="000B0D23" w:rsidP="000B0D23">
      <w:pPr>
        <w:spacing w:after="0" w:line="276" w:lineRule="auto"/>
        <w:ind w:right="49"/>
        <w:jc w:val="both"/>
        <w:rPr>
          <w:rFonts w:ascii="Verdana" w:eastAsia="Calibri" w:hAnsi="Verdana" w:cs="Arial"/>
          <w:lang w:val="es-ES"/>
        </w:rPr>
      </w:pPr>
    </w:p>
    <w:p w14:paraId="7E5BD925" w14:textId="77777777" w:rsidR="000B0D23" w:rsidRPr="007033D5" w:rsidRDefault="000B0D23" w:rsidP="000B0D23">
      <w:pPr>
        <w:spacing w:after="120" w:line="276" w:lineRule="auto"/>
        <w:jc w:val="both"/>
        <w:rPr>
          <w:rFonts w:ascii="Verdana" w:hAnsi="Verdana" w:cs="Arial"/>
          <w:lang w:val="es-ES"/>
        </w:rPr>
      </w:pPr>
      <w:r w:rsidRPr="4180DC64">
        <w:rPr>
          <w:rFonts w:ascii="Verdana" w:hAnsi="Verdana" w:cs="Arial"/>
          <w:lang w:val="es-ES"/>
        </w:rPr>
        <w:t xml:space="preserve">ii) 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w:t>
      </w:r>
      <w:r w:rsidRPr="4180DC64">
        <w:rPr>
          <w:rFonts w:ascii="Verdana" w:hAnsi="Verdana" w:cs="Arial"/>
          <w:lang w:val="es-ES"/>
        </w:rPr>
        <w:lastRenderedPageBreak/>
        <w:t>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4180DC64">
        <w:rPr>
          <w:rStyle w:val="Refdenotaalpie"/>
          <w:rFonts w:ascii="Verdana" w:hAnsi="Verdana" w:cs="Arial"/>
          <w:lang w:val="es-ES"/>
        </w:rPr>
        <w:footnoteReference w:id="2"/>
      </w:r>
      <w:r w:rsidRPr="4180DC64">
        <w:rPr>
          <w:rFonts w:ascii="Verdana" w:hAnsi="Verdana" w:cs="Arial"/>
          <w:lang w:val="es-ES"/>
        </w:rPr>
        <w:t>.</w:t>
      </w:r>
    </w:p>
    <w:p w14:paraId="24A6570E" w14:textId="77777777" w:rsidR="000B0D23" w:rsidRPr="007033D5" w:rsidRDefault="000B0D23" w:rsidP="000B0D23">
      <w:pPr>
        <w:spacing w:after="120" w:line="276" w:lineRule="auto"/>
        <w:ind w:firstLine="709"/>
        <w:jc w:val="both"/>
        <w:rPr>
          <w:rFonts w:ascii="Verdana" w:eastAsia="Calibri" w:hAnsi="Verdana" w:cs="Arial"/>
        </w:rPr>
      </w:pPr>
      <w:r>
        <w:rPr>
          <w:rFonts w:ascii="Verdana" w:hAnsi="Verdana" w:cs="Arial"/>
          <w:lang w:val="es-ES"/>
        </w:rPr>
        <w:t>De conformidad c</w:t>
      </w:r>
      <w:r w:rsidRPr="2D0A47FB">
        <w:rPr>
          <w:rFonts w:ascii="Verdana" w:hAnsi="Verdana" w:cs="Arial"/>
          <w:lang w:val="es-ES"/>
        </w:rPr>
        <w:t xml:space="preserve">on el artículo 2 de la Ley 1150, los procedimientos actualmente regulados son los siguientes: i) licitación pública, ii) selección abreviada, iii) concurso de méritos, iv) mínima cuantía y v) contratación directa. En dichos procedimientos constan </w:t>
      </w:r>
      <w:r w:rsidRPr="2D0A47FB">
        <w:rPr>
          <w:rFonts w:ascii="Verdana" w:eastAsia="Calibri" w:hAnsi="Verdana" w:cs="Arial"/>
        </w:rPr>
        <w:t>las etapas para la adquisición de obras, bienes y servicios, por lo que cada entidad es responsable de estructurar los procedimientos de contratación, siempre que respete el principio de legalidad.</w:t>
      </w:r>
    </w:p>
    <w:p w14:paraId="1C667C3F" w14:textId="77777777" w:rsidR="000B0D23" w:rsidRPr="007033D5" w:rsidRDefault="000B0D23" w:rsidP="000B0D23">
      <w:pPr>
        <w:spacing w:after="120" w:line="276" w:lineRule="auto"/>
        <w:ind w:firstLine="709"/>
        <w:jc w:val="both"/>
        <w:rPr>
          <w:rFonts w:ascii="Verdana" w:eastAsia="Calibri" w:hAnsi="Verdana" w:cs="Arial"/>
        </w:rPr>
      </w:pPr>
      <w:bookmarkStart w:id="1" w:name="_Hlk39596760"/>
      <w:r w:rsidRPr="007033D5">
        <w:rPr>
          <w:rFonts w:ascii="Verdana" w:eastAsia="Calibri" w:hAnsi="Verdana" w:cs="Arial"/>
        </w:rPr>
        <w:t xml:space="preserve">Respecto a la selección abreviada, </w:t>
      </w:r>
      <w:bookmarkStart w:id="2" w:name="_Hlk39070608"/>
      <w:r w:rsidRPr="007033D5">
        <w:rPr>
          <w:rFonts w:ascii="Verdana" w:eastAsia="Calibri" w:hAnsi="Verdana" w:cs="Arial"/>
        </w:rPr>
        <w:t>el numeral 2 del artículo 2 de la Ley 1150 de 2007</w:t>
      </w:r>
      <w:bookmarkEnd w:id="2"/>
      <w:r w:rsidRPr="007033D5">
        <w:rPr>
          <w:rFonts w:ascii="Verdana" w:eastAsia="Calibri" w:hAnsi="Verdana" w:cs="Arial"/>
        </w:rPr>
        <w:t xml:space="preserve">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7033D5">
        <w:rPr>
          <w:rStyle w:val="Refdenotaalpie"/>
          <w:rFonts w:ascii="Verdana" w:eastAsia="Calibri" w:hAnsi="Verdana" w:cs="Arial"/>
        </w:rPr>
        <w:footnoteReference w:id="3"/>
      </w:r>
      <w:r w:rsidRPr="007033D5">
        <w:rPr>
          <w:rFonts w:ascii="Verdana" w:eastAsia="Calibri" w:hAnsi="Verdana" w:cs="Arial"/>
        </w:rPr>
        <w:t xml:space="preserve">. </w:t>
      </w:r>
    </w:p>
    <w:p w14:paraId="22B92D4B" w14:textId="77777777" w:rsidR="000B0D23" w:rsidRDefault="000B0D23" w:rsidP="000B0D23">
      <w:pPr>
        <w:spacing w:after="0" w:line="276" w:lineRule="auto"/>
        <w:ind w:firstLine="709"/>
        <w:jc w:val="both"/>
        <w:rPr>
          <w:rFonts w:ascii="Verdana" w:eastAsia="Calibri" w:hAnsi="Verdana" w:cs="Arial"/>
        </w:rPr>
      </w:pPr>
      <w:bookmarkStart w:id="3" w:name="_Hlk39174727"/>
      <w:r w:rsidRPr="007033D5">
        <w:rPr>
          <w:rFonts w:ascii="Verdana" w:eastAsia="Calibri" w:hAnsi="Verdana" w:cs="Arial"/>
        </w:rPr>
        <w:lastRenderedPageBreak/>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1"/>
      <w:bookmarkEnd w:id="3"/>
      <w:r w:rsidRPr="007033D5">
        <w:rPr>
          <w:rFonts w:ascii="Verdana" w:eastAsia="Calibri" w:hAnsi="Verdana" w:cs="Arial"/>
        </w:rPr>
        <w:t>. En la exposición de motivos se explica lo siguiente:</w:t>
      </w:r>
    </w:p>
    <w:p w14:paraId="350B56C3" w14:textId="77777777" w:rsidR="000B0D23" w:rsidRPr="007033D5" w:rsidRDefault="000B0D23" w:rsidP="000B0D23">
      <w:pPr>
        <w:spacing w:after="0" w:line="276" w:lineRule="auto"/>
        <w:ind w:firstLine="709"/>
        <w:jc w:val="both"/>
        <w:rPr>
          <w:rFonts w:ascii="Verdana" w:eastAsia="Calibri" w:hAnsi="Verdana" w:cs="Arial"/>
        </w:rPr>
      </w:pPr>
    </w:p>
    <w:p w14:paraId="0F0C3961" w14:textId="77777777" w:rsidR="000B0D23" w:rsidRPr="0049500E" w:rsidRDefault="000B0D23" w:rsidP="000B0D23">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6301FD1A" w14:textId="77777777" w:rsidR="000B0D23" w:rsidRPr="0049500E" w:rsidRDefault="000B0D23" w:rsidP="000B0D23">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5E57B77E" w14:textId="77777777" w:rsidR="000B0D23" w:rsidRDefault="000B0D23" w:rsidP="000B0D23">
      <w:pPr>
        <w:spacing w:after="0" w:line="240" w:lineRule="auto"/>
        <w:ind w:left="709" w:right="709"/>
        <w:jc w:val="both"/>
        <w:rPr>
          <w:rFonts w:ascii="Verdana" w:eastAsia="Calibri" w:hAnsi="Verdana" w:cs="Arial"/>
          <w:sz w:val="20"/>
          <w:szCs w:val="20"/>
        </w:rPr>
      </w:pPr>
      <w:r w:rsidRPr="0049500E">
        <w:rPr>
          <w:rFonts w:ascii="Verdana" w:eastAsia="Calibri" w:hAnsi="Verdana" w:cs="Arial"/>
          <w:sz w:val="20"/>
          <w:szCs w:val="20"/>
        </w:rPr>
        <w:t xml:space="preserve">– Adicionalmente en esta categoría se recoge la llamada “menor cuantía” (sólo aplicable en lo sucesivo a bienes o servicios diferentes de los anteriores), así como otros procesos que por su naturaleza o </w:t>
      </w:r>
      <w:r w:rsidRPr="0049500E">
        <w:rPr>
          <w:rFonts w:ascii="Verdana" w:eastAsia="Calibri" w:hAnsi="Verdana" w:cs="Arial"/>
          <w:sz w:val="20"/>
          <w:szCs w:val="20"/>
        </w:rPr>
        <w:lastRenderedPageBreak/>
        <w:t>circunstancias deben ser objeto de tratamiento expedido, tales como la defensa y seguridad nacional, entre otras”</w:t>
      </w:r>
      <w:r w:rsidRPr="0049500E">
        <w:rPr>
          <w:rStyle w:val="Refdenotaalpie"/>
          <w:rFonts w:ascii="Verdana" w:eastAsia="Calibri" w:hAnsi="Verdana" w:cs="Arial"/>
          <w:sz w:val="20"/>
          <w:szCs w:val="20"/>
        </w:rPr>
        <w:footnoteReference w:id="4"/>
      </w:r>
      <w:r w:rsidRPr="0049500E">
        <w:rPr>
          <w:rFonts w:ascii="Verdana" w:eastAsia="Calibri" w:hAnsi="Verdana" w:cs="Arial"/>
          <w:sz w:val="20"/>
          <w:szCs w:val="20"/>
        </w:rPr>
        <w:t>.</w:t>
      </w:r>
    </w:p>
    <w:p w14:paraId="66274FF0" w14:textId="77777777" w:rsidR="000B0D23" w:rsidRPr="00A566A9" w:rsidRDefault="000B0D23" w:rsidP="000B0D23">
      <w:pPr>
        <w:spacing w:after="0" w:line="276" w:lineRule="auto"/>
        <w:ind w:left="709" w:right="709"/>
        <w:jc w:val="both"/>
        <w:rPr>
          <w:rFonts w:ascii="Verdana" w:eastAsia="Calibri" w:hAnsi="Verdana" w:cs="Arial"/>
        </w:rPr>
      </w:pPr>
    </w:p>
    <w:p w14:paraId="0D328B00" w14:textId="77777777" w:rsidR="000B0D23" w:rsidRPr="007033D5" w:rsidRDefault="000B0D23" w:rsidP="000B0D23">
      <w:pPr>
        <w:spacing w:after="120" w:line="276" w:lineRule="auto"/>
        <w:ind w:firstLine="709"/>
        <w:jc w:val="both"/>
        <w:rPr>
          <w:rFonts w:ascii="Verdana" w:eastAsia="Calibri" w:hAnsi="Verdana" w:cs="Arial"/>
        </w:rPr>
      </w:pPr>
      <w:r w:rsidRPr="007033D5">
        <w:rPr>
          <w:rFonts w:ascii="Verdana" w:eastAsia="Calibri" w:hAnsi="Verdana" w:cs="Arial"/>
        </w:rPr>
        <w:t>De esta manera, la selección abreviada se caracteriza por tener etapas más sencillas y términos relativamente más cortos que los de la licitación pública, lo cual se justifica por las circunstancias, la naturaleza y los objetos que se contratan a través de esta modalidad, los cuales requieren de procedimientos más agiles, sencillos y eficientes. A continuación, el Decreto 1082 de 2015 desarrolla las causales, regulando el pliego de condiciones, el procedimiento, las etapas, entre otros.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7033D5">
        <w:rPr>
          <w:rStyle w:val="Refdenotaalpie"/>
          <w:rFonts w:ascii="Verdana" w:eastAsia="Calibri" w:hAnsi="Verdana" w:cs="Arial"/>
        </w:rPr>
        <w:footnoteReference w:id="5"/>
      </w:r>
      <w:r w:rsidRPr="007033D5">
        <w:rPr>
          <w:rFonts w:ascii="Verdana" w:eastAsia="Calibri" w:hAnsi="Verdana" w:cs="Arial"/>
        </w:rPr>
        <w:t xml:space="preserve">. </w:t>
      </w:r>
    </w:p>
    <w:p w14:paraId="670B262F" w14:textId="77777777" w:rsidR="000B0D23" w:rsidRPr="0049500E" w:rsidRDefault="000B0D23" w:rsidP="000B0D23">
      <w:pPr>
        <w:spacing w:after="0" w:line="276" w:lineRule="auto"/>
        <w:ind w:firstLine="708"/>
        <w:contextualSpacing/>
        <w:jc w:val="both"/>
        <w:rPr>
          <w:rFonts w:ascii="Verdana" w:eastAsia="Calibri" w:hAnsi="Verdana" w:cs="Arial"/>
          <w:lang w:val="es-MX" w:eastAsia="es-ES_tradnl"/>
        </w:rPr>
      </w:pPr>
      <w:r w:rsidRPr="007033D5">
        <w:rPr>
          <w:rFonts w:ascii="Verdana" w:eastAsia="Calibri" w:hAnsi="Verdana" w:cs="Arial"/>
          <w:color w:val="000000" w:themeColor="text1"/>
          <w:lang w:val="es-MX"/>
        </w:rPr>
        <w:t xml:space="preserve">Conforme al literal b) del artículo 2.2 de la Ley 1150 de 2007, una de las causales de selección abreviada es la de menor cuantía. </w:t>
      </w:r>
      <w:r w:rsidRPr="0049500E">
        <w:rPr>
          <w:rFonts w:ascii="Verdana" w:eastAsia="Calibri" w:hAnsi="Verdana" w:cs="Arial"/>
          <w:lang w:val="es-MX" w:eastAsia="es-ES_tradnl"/>
        </w:rPr>
        <w:t>Los objetos respecto de los cuales procede el adelantamiento de procesos de selección abreviada están asociados a unas circunstancias diversas y concretas, delimitadas por unas causales expresamente consagradas en el numeral 2 del artículo 2 de la Ley 1150 de 2007. Una de las de mayor relevancia es la referida</w:t>
      </w:r>
      <w:r w:rsidRPr="0049500E">
        <w:rPr>
          <w:rFonts w:ascii="Verdana" w:eastAsia="Calibri" w:hAnsi="Verdana" w:cs="Arial"/>
          <w:b/>
          <w:bCs/>
          <w:lang w:val="es-MX" w:eastAsia="es-ES_tradnl"/>
        </w:rPr>
        <w:t xml:space="preserve"> </w:t>
      </w:r>
      <w:r w:rsidRPr="0049500E">
        <w:rPr>
          <w:rFonts w:ascii="Verdana" w:eastAsia="Calibri" w:hAnsi="Verdana" w:cs="Arial"/>
          <w:lang w:val="es-MX" w:eastAsia="es-ES_tradnl"/>
        </w:rPr>
        <w:t xml:space="preserve">a los negocios que no superan la menor cuantía de la entidad, la cual aplica en función de unos rangos y topes señalados por la propia norma, y medibles respecto del presupuesto anual de la entidad. El numeral 2° del artículo 2 de la Ley 1150 de 2007 regula esta causal de la siguiente forma:  </w:t>
      </w:r>
    </w:p>
    <w:p w14:paraId="31C4D934" w14:textId="77777777" w:rsidR="000B0D23" w:rsidRPr="0049500E" w:rsidRDefault="000B0D23" w:rsidP="000B0D23">
      <w:pPr>
        <w:spacing w:after="0" w:line="240" w:lineRule="auto"/>
        <w:jc w:val="both"/>
        <w:rPr>
          <w:rFonts w:ascii="Verdana" w:eastAsia="Calibri" w:hAnsi="Verdana" w:cs="Arial"/>
          <w:lang w:val="es-MX" w:eastAsia="es-ES_tradnl"/>
        </w:rPr>
      </w:pPr>
    </w:p>
    <w:p w14:paraId="67CD6A98"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shd w:val="clear" w:color="auto" w:fill="FFFFFF"/>
          <w:lang w:eastAsia="es-ES_tradnl"/>
        </w:rPr>
        <w:t>“</w:t>
      </w:r>
      <w:r w:rsidRPr="0049500E">
        <w:rPr>
          <w:rFonts w:ascii="Verdana" w:eastAsia="Calibri" w:hAnsi="Verdana" w:cs="Arial"/>
          <w:sz w:val="20"/>
          <w:szCs w:val="20"/>
          <w:lang w:val="es-MX" w:eastAsia="es-ES_tradnl"/>
        </w:rPr>
        <w:t xml:space="preserve">Serán causales de selección abreviada las siguientes: </w:t>
      </w:r>
    </w:p>
    <w:p w14:paraId="4E7F26BB"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p>
    <w:p w14:paraId="7EFDA1C8"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w:t>
      </w:r>
    </w:p>
    <w:p w14:paraId="63346B4B"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p>
    <w:p w14:paraId="6D04FCFA"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7369EFC3"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p>
    <w:p w14:paraId="4220103D" w14:textId="77777777" w:rsidR="000B0D23" w:rsidRPr="0049500E" w:rsidRDefault="000B0D23" w:rsidP="000B0D23">
      <w:pPr>
        <w:spacing w:after="0" w:line="240" w:lineRule="auto"/>
        <w:ind w:left="709" w:right="709"/>
        <w:contextualSpacing/>
        <w:jc w:val="both"/>
        <w:rPr>
          <w:rFonts w:ascii="Verdana" w:eastAsia="Calibri" w:hAnsi="Verdana" w:cs="Arial"/>
          <w:sz w:val="20"/>
          <w:szCs w:val="20"/>
          <w:lang w:val="es-MX" w:eastAsia="es-ES_tradnl"/>
        </w:rPr>
      </w:pPr>
      <w:r w:rsidRPr="0049500E">
        <w:rPr>
          <w:rFonts w:ascii="Verdana" w:eastAsia="Calibri" w:hAnsi="Verdana" w:cs="Arial"/>
          <w:sz w:val="20"/>
          <w:szCs w:val="20"/>
          <w:lang w:val="es-MX" w:eastAsia="es-ES_tradnl"/>
        </w:rPr>
        <w:lastRenderedPageBreak/>
        <w:t xml:space="preserve">Para las entidades que tengan un presupuesto anual superior o igual a 1.200.000 salarios mínimos legales mensuales, la menor cuantía será hasta 1.000 salarios mínimos legales mensuales. </w:t>
      </w:r>
    </w:p>
    <w:p w14:paraId="631BCC80"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3C812A42"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850.000 salarios mínimos legales mensuales e inferiores a 1.200.000 salarios mínimos legales mensuales, la menor cuantía será hasta 850 salarios mínimos legales mensuales. </w:t>
      </w:r>
    </w:p>
    <w:p w14:paraId="423F0510"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06B1FD8C"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400.000 salarios mínimos legales mensuales e inferior a 850.000 salarios mínimos legales mensuales, la menor cuantía será hasta 650 salarios mínimos legales mensuales. </w:t>
      </w:r>
    </w:p>
    <w:p w14:paraId="7558A951"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656470E0"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 xml:space="preserve">Las que tengan un presupuesto anual superior o igual a 120.000 salarios mínimos legales mensuales e inferior a 400.000 salarios mínimos legales mensuales, la menor cuantía será hasta 450 salarios mínimos legales mensuales. </w:t>
      </w:r>
    </w:p>
    <w:p w14:paraId="594B234E"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329650B0" w14:textId="77777777" w:rsidR="000B0D23" w:rsidRPr="00EC37AA"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EC37AA">
        <w:rPr>
          <w:rFonts w:ascii="Verdana" w:eastAsia="Calibri" w:hAnsi="Verdana" w:cs="Arial"/>
          <w:color w:val="000000" w:themeColor="text1"/>
          <w:sz w:val="20"/>
          <w:szCs w:val="20"/>
        </w:rPr>
        <w:t>Las que tengan un presupuesto anual inferior a 120.000 salarios mínimos legales mensuales, la menor cuantía será hasta 280 salarios mínimos legales mensuales”.</w:t>
      </w:r>
    </w:p>
    <w:p w14:paraId="4BA23240" w14:textId="77777777" w:rsidR="000B0D23" w:rsidRPr="0082023C" w:rsidRDefault="000B0D23" w:rsidP="000B0D23">
      <w:pPr>
        <w:spacing w:after="0" w:line="276" w:lineRule="auto"/>
        <w:ind w:left="709" w:right="680"/>
        <w:jc w:val="both"/>
        <w:rPr>
          <w:rFonts w:ascii="Arial" w:eastAsia="Calibri" w:hAnsi="Arial" w:cs="Arial"/>
          <w:lang w:val="es-MX" w:eastAsia="es-ES_tradnl"/>
        </w:rPr>
      </w:pPr>
    </w:p>
    <w:p w14:paraId="286E9193" w14:textId="77777777" w:rsidR="000B0D23" w:rsidRPr="0049500E" w:rsidRDefault="000B0D23" w:rsidP="000B0D23">
      <w:pPr>
        <w:spacing w:after="120" w:line="276" w:lineRule="auto"/>
        <w:ind w:firstLine="709"/>
        <w:jc w:val="both"/>
        <w:rPr>
          <w:rFonts w:ascii="Verdana" w:eastAsia="Calibri" w:hAnsi="Verdana" w:cs="Arial"/>
          <w:shd w:val="clear" w:color="auto" w:fill="FFFFFF"/>
          <w:lang w:eastAsia="es-ES"/>
        </w:rPr>
      </w:pPr>
      <w:r w:rsidRPr="4E641234">
        <w:rPr>
          <w:rFonts w:ascii="Verdana" w:eastAsia="Calibri" w:hAnsi="Verdana" w:cs="Arial"/>
          <w:shd w:val="clear" w:color="auto" w:fill="FFFFFF"/>
          <w:lang w:eastAsia="es-ES"/>
        </w:rPr>
        <w:t>De este modo, se evidencia que la procedencia de la causal de selección abreviada de menor cuantía se encuentra directamente vinculada con el presupuesto anual de cada Entidad Estatal, de manera que los procedimientos de selección cuyo presupuesto oficial no superen el tope de la menor cuantía, se adelantarán bajo la modalidad de selección abreviada, ya que si se supera este tope corresponderá adelantar una licitación pública, siempre y cuando el único factor que pueda o deba tenerse en consideración es el valor estimado del contrato, esto es, sin considerar factores tales como la naturaleza de los productos, su destinación o características</w:t>
      </w:r>
      <w:r>
        <w:rPr>
          <w:rFonts w:ascii="Verdana" w:eastAsia="Calibri" w:hAnsi="Verdana" w:cs="Arial"/>
          <w:shd w:val="clear" w:color="auto" w:fill="FFFFFF"/>
          <w:lang w:eastAsia="es-ES"/>
        </w:rPr>
        <w:t>.</w:t>
      </w:r>
    </w:p>
    <w:p w14:paraId="34D38374" w14:textId="77777777" w:rsidR="000B0D23" w:rsidRPr="0046339D" w:rsidRDefault="000B0D23" w:rsidP="000B0D23">
      <w:pPr>
        <w:spacing w:after="120" w:line="276" w:lineRule="auto"/>
        <w:ind w:firstLine="708"/>
        <w:jc w:val="both"/>
        <w:rPr>
          <w:rFonts w:ascii="Verdana" w:eastAsia="Calibri" w:hAnsi="Verdana" w:cs="Arial"/>
        </w:rPr>
      </w:pPr>
      <w:r>
        <w:rPr>
          <w:rFonts w:ascii="Verdana" w:eastAsia="Calibri" w:hAnsi="Verdana" w:cs="Arial"/>
          <w:lang w:val="es-ES_tradnl"/>
        </w:rPr>
        <w:t>Por otra parte,</w:t>
      </w:r>
      <w:r w:rsidRPr="00E54703">
        <w:rPr>
          <w:rFonts w:ascii="Verdana" w:eastAsia="Calibri" w:hAnsi="Verdana" w:cs="Arial"/>
        </w:rPr>
        <w:t xml:space="preserve"> </w:t>
      </w:r>
      <w:r w:rsidRPr="004B0BDE">
        <w:rPr>
          <w:rFonts w:ascii="Verdana" w:eastAsia="Calibri" w:hAnsi="Verdana" w:cs="Arial"/>
        </w:rPr>
        <w:t xml:space="preserve">en relación con el problema jurídico planteado se tiene que, el </w:t>
      </w:r>
      <w:r>
        <w:rPr>
          <w:rFonts w:ascii="Verdana" w:eastAsia="Calibri" w:hAnsi="Verdana" w:cs="Arial"/>
        </w:rPr>
        <w:t xml:space="preserve">artículo </w:t>
      </w:r>
      <w:r w:rsidRPr="00393518">
        <w:rPr>
          <w:rFonts w:ascii="Verdana" w:eastAsia="Calibri" w:hAnsi="Verdana" w:cs="Arial"/>
        </w:rPr>
        <w:t>2.2.1.2.1.2.20.</w:t>
      </w:r>
      <w:r>
        <w:rPr>
          <w:rFonts w:ascii="Verdana" w:eastAsia="Calibri" w:hAnsi="Verdana" w:cs="Arial"/>
        </w:rPr>
        <w:t xml:space="preserve"> del Decreto 1082 de 2015 define el procedimiento para la selección abreviada de menor cuantía,</w:t>
      </w:r>
      <w:r w:rsidRPr="0046339D">
        <w:rPr>
          <w:rFonts w:ascii="Verdana" w:eastAsia="Calibri" w:hAnsi="Verdana" w:cs="Arial"/>
        </w:rPr>
        <w:t xml:space="preserve"> de la siguiente manera:</w:t>
      </w:r>
    </w:p>
    <w:p w14:paraId="3166C4D2"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Artículo 2.2.1.2.1.2.20. Procedimiento para la selección abreviada de menor cuantía. Además de las normas generales establecidas en el presente título, las siguientes reglas son aplicables a la selección abreviada de menor cuantía:</w:t>
      </w:r>
    </w:p>
    <w:p w14:paraId="4E99714C"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6F9C559C"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lastRenderedPageBreak/>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5B8D3C2E"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544A89F3"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4A9B15EE"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3AA51F75"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3.    Si hay lugar a sorteo, el plazo para la presentación de las ofertas empezará a correr el día hábil siguiente a la fecha en la cual la Entidad Estatal informe a los interesados el resultado del sorteo.</w:t>
      </w:r>
    </w:p>
    <w:p w14:paraId="6BB496BB"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p>
    <w:p w14:paraId="0A076BDD" w14:textId="77777777" w:rsidR="000B0D23" w:rsidRPr="00B96894" w:rsidRDefault="000B0D23" w:rsidP="000B0D23">
      <w:pPr>
        <w:spacing w:after="0" w:line="240" w:lineRule="auto"/>
        <w:ind w:left="709" w:right="709"/>
        <w:contextualSpacing/>
        <w:jc w:val="both"/>
        <w:rPr>
          <w:rFonts w:ascii="Verdana" w:eastAsia="Calibri" w:hAnsi="Verdana" w:cs="Arial"/>
          <w:color w:val="000000" w:themeColor="text1"/>
          <w:sz w:val="20"/>
          <w:szCs w:val="20"/>
        </w:rPr>
      </w:pPr>
      <w:r w:rsidRPr="00B96894">
        <w:rPr>
          <w:rFonts w:ascii="Verdana" w:eastAsia="Calibri" w:hAnsi="Verdana" w:cs="Arial"/>
          <w:color w:val="000000" w:themeColor="text1"/>
          <w:sz w:val="20"/>
          <w:szCs w:val="20"/>
        </w:rPr>
        <w:t>[…]</w:t>
      </w:r>
    </w:p>
    <w:p w14:paraId="59C1AE5D" w14:textId="77777777" w:rsidR="000B0D23" w:rsidRPr="0046339D" w:rsidRDefault="000B0D23" w:rsidP="000B0D23">
      <w:pPr>
        <w:spacing w:after="120" w:line="276" w:lineRule="auto"/>
        <w:ind w:firstLine="708"/>
        <w:jc w:val="both"/>
        <w:rPr>
          <w:rFonts w:ascii="Verdana" w:eastAsia="Calibri" w:hAnsi="Verdana" w:cs="Arial"/>
        </w:rPr>
      </w:pPr>
    </w:p>
    <w:p w14:paraId="764AFEA6" w14:textId="77777777" w:rsidR="000B0D23" w:rsidRPr="0046339D" w:rsidRDefault="000B0D23" w:rsidP="000B0D23">
      <w:pPr>
        <w:spacing w:after="120" w:line="276" w:lineRule="auto"/>
        <w:ind w:firstLine="708"/>
        <w:jc w:val="both"/>
        <w:rPr>
          <w:rFonts w:ascii="Verdana" w:eastAsia="Calibri" w:hAnsi="Verdana" w:cs="Arial"/>
        </w:rPr>
      </w:pPr>
      <w:r w:rsidRPr="0046339D">
        <w:rPr>
          <w:rFonts w:ascii="Verdana" w:eastAsia="Calibri" w:hAnsi="Verdana" w:cs="Arial"/>
        </w:rPr>
        <w:t xml:space="preserve">El numeral primero del artículo citado, dispone que el interesado debe manifestar su </w:t>
      </w:r>
      <w:r>
        <w:rPr>
          <w:rFonts w:ascii="Verdana" w:eastAsia="Calibri" w:hAnsi="Verdana" w:cs="Arial"/>
        </w:rPr>
        <w:t>“</w:t>
      </w:r>
      <w:r w:rsidRPr="0046339D">
        <w:rPr>
          <w:rFonts w:ascii="Verdana" w:eastAsia="Calibri" w:hAnsi="Verdana" w:cs="Arial"/>
        </w:rPr>
        <w:t>intención</w:t>
      </w:r>
      <w:r>
        <w:rPr>
          <w:rFonts w:ascii="Verdana" w:eastAsia="Calibri" w:hAnsi="Verdana" w:cs="Arial"/>
        </w:rPr>
        <w:t>”</w:t>
      </w:r>
      <w:r w:rsidRPr="0046339D">
        <w:rPr>
          <w:rFonts w:ascii="Verdana" w:eastAsia="Calibri" w:hAnsi="Verdana" w:cs="Arial"/>
        </w:rPr>
        <w:t xml:space="preserve"> de participar en los procesos de selección abreviada de menor cuantía. Conviene precisar que el fin de esta disposición es que quienes estén interesados expresen a la entidad la intención de hacer parte del procedimiento. Por ello, la finalidad es que los interesados puedan participar, en igualdad de condiciones, en el procedimiento de contratación, de manera que, permite que expresen a la entidad pública su interés de presentarse al proceso de selección abreviada de menor cuantía. En tal sentido, la manifestación de interés presentada dentro de un proceso de selección abreviada de menor cuantía es un acto de comunicación del interesado, en virtud del cual, como su nombre lo indica, expresa el interés en participar en el proceso de selección, sin que le sea exigida la presentación de requisitos habilitantes como ocurre en el concurso de méritos, no obstante, requiere que se verifique que haya sido presentada en la forma y oportunidad establecida en el pliego de condiciones.</w:t>
      </w:r>
    </w:p>
    <w:p w14:paraId="3618107B" w14:textId="77777777" w:rsidR="000B0D23" w:rsidRDefault="000B0D23" w:rsidP="000B0D23">
      <w:pPr>
        <w:spacing w:after="120" w:line="276" w:lineRule="auto"/>
        <w:ind w:firstLine="709"/>
        <w:jc w:val="both"/>
        <w:rPr>
          <w:rFonts w:ascii="Verdana" w:eastAsia="Calibri" w:hAnsi="Verdana" w:cs="Arial"/>
          <w:lang w:val="es-ES"/>
        </w:rPr>
      </w:pPr>
      <w:r w:rsidRPr="0046339D">
        <w:rPr>
          <w:rFonts w:ascii="Verdana" w:eastAsia="Calibri" w:hAnsi="Verdana" w:cs="Arial"/>
        </w:rPr>
        <w:t xml:space="preserve">En lo que tiene que ver con </w:t>
      </w:r>
      <w:r>
        <w:rPr>
          <w:rFonts w:ascii="Verdana" w:eastAsia="Calibri" w:hAnsi="Verdana" w:cs="Arial"/>
        </w:rPr>
        <w:t>la recepción de manifestaciones de interés, se observa que la norma señala un número máximo de diez (10), y que en caso de que la entidad contratante reciba un número superior, debe adelantar un sorteo, respecto del cual no se señalan reglas a seguir. Así mismo, e</w:t>
      </w:r>
      <w:r w:rsidRPr="000F79DD">
        <w:rPr>
          <w:rFonts w:ascii="Verdana" w:eastAsia="Calibri" w:hAnsi="Verdana" w:cs="Arial"/>
          <w:lang w:val="es-ES"/>
        </w:rPr>
        <w:t xml:space="preserv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w:t>
      </w:r>
      <w:r w:rsidRPr="000F79DD">
        <w:rPr>
          <w:rFonts w:ascii="Verdana" w:eastAsia="Calibri" w:hAnsi="Verdana" w:cs="Arial"/>
          <w:lang w:val="es-ES"/>
        </w:rPr>
        <w:lastRenderedPageBreak/>
        <w:t>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543D00FF" w14:textId="77777777" w:rsidR="000B0D23" w:rsidRPr="00FF76A3" w:rsidRDefault="000B0D23" w:rsidP="000B0D23">
      <w:pPr>
        <w:spacing w:after="120" w:line="276" w:lineRule="auto"/>
        <w:ind w:firstLine="709"/>
        <w:jc w:val="both"/>
        <w:rPr>
          <w:rFonts w:ascii="Verdana" w:hAnsi="Verdana" w:cs="Arial"/>
          <w:sz w:val="21"/>
          <w:szCs w:val="21"/>
          <w:lang w:eastAsia="es-ES"/>
        </w:rPr>
      </w:pPr>
      <w:r>
        <w:rPr>
          <w:rFonts w:ascii="Verdana" w:eastAsia="Calibri" w:hAnsi="Verdana" w:cs="Arial"/>
          <w:lang w:val="es-ES"/>
        </w:rPr>
        <w:t xml:space="preserve">De la misma manera, el Decreto 1082 de 2015 no establece reglas para la realización del sorteo, por lo que será la entidad contratante la encargada de definir el procedimiento en modo, tiempo y lugar, lo cual deberá ser orientado por los principios que rigen la </w:t>
      </w:r>
      <w:r w:rsidRPr="000F79DD">
        <w:rPr>
          <w:rFonts w:ascii="Verdana" w:eastAsia="Calibri" w:hAnsi="Verdana" w:cs="Arial"/>
          <w:lang w:val="es-ES"/>
        </w:rPr>
        <w:t>contratación pública</w:t>
      </w:r>
      <w:r>
        <w:rPr>
          <w:rFonts w:ascii="Verdana" w:eastAsia="Calibri" w:hAnsi="Verdana" w:cs="Arial"/>
          <w:lang w:val="es-ES"/>
        </w:rPr>
        <w:t xml:space="preserve">. De la misma manera, respecto de </w:t>
      </w:r>
      <w:r>
        <w:rPr>
          <w:rFonts w:ascii="Verdana" w:eastAsia="Calibri" w:hAnsi="Verdana" w:cs="Arial"/>
          <w:shd w:val="clear" w:color="auto" w:fill="FFFFFF"/>
          <w:lang w:val="es-MX" w:eastAsia="es-ES_tradnl"/>
        </w:rPr>
        <w:t>los documentos tipo de la modalidad de selección abreviada de menor cuantía</w:t>
      </w:r>
      <w:r w:rsidRPr="00317DC3">
        <w:t xml:space="preserve"> </w:t>
      </w:r>
      <w:r w:rsidRPr="00317DC3">
        <w:rPr>
          <w:rFonts w:ascii="Verdana" w:eastAsia="Calibri" w:hAnsi="Verdana" w:cs="Arial"/>
          <w:shd w:val="clear" w:color="auto" w:fill="FFFFFF"/>
          <w:lang w:val="es-MX" w:eastAsia="es-ES_tradnl"/>
        </w:rPr>
        <w:t xml:space="preserve">de infraestructura de transporte (versión </w:t>
      </w:r>
      <w:r w:rsidRPr="00697C9B">
        <w:rPr>
          <w:rFonts w:ascii="Verdana" w:eastAsia="Calibri" w:hAnsi="Verdana" w:cs="Arial"/>
          <w:shd w:val="clear" w:color="auto" w:fill="FFFFFF"/>
          <w:lang w:val="es-MX" w:eastAsia="es-ES_tradnl"/>
        </w:rPr>
        <w:t>3),</w:t>
      </w:r>
      <w:r>
        <w:rPr>
          <w:rFonts w:ascii="Verdana" w:eastAsia="Calibri" w:hAnsi="Verdana" w:cs="Arial"/>
          <w:shd w:val="clear" w:color="auto" w:fill="FFFFFF"/>
          <w:lang w:val="es-MX" w:eastAsia="es-ES_tradnl"/>
        </w:rPr>
        <w:t xml:space="preserve"> el documento base dispone: “</w:t>
      </w:r>
      <w:r w:rsidRPr="00FF76A3">
        <w:rPr>
          <w:rFonts w:ascii="Verdana" w:hAnsi="Verdana" w:cs="Arial"/>
          <w:sz w:val="21"/>
          <w:szCs w:val="21"/>
          <w:highlight w:val="lightGray"/>
          <w:lang w:eastAsia="es-ES"/>
        </w:rPr>
        <w:t>[En el presente numeral la entidad estatal debe indicar, cuando reciba más de diez (10) manifestaciones de interés, si continuará el proceso con todos los que lo manifestaron o si hace un sorteo para seleccionar máximo diez (10), con quienes continuará el proceso de contratación]</w:t>
      </w:r>
      <w:r>
        <w:rPr>
          <w:rFonts w:ascii="Verdana" w:hAnsi="Verdana" w:cs="Arial"/>
          <w:sz w:val="21"/>
          <w:szCs w:val="21"/>
          <w:lang w:eastAsia="es-ES"/>
        </w:rPr>
        <w:t>”.</w:t>
      </w:r>
    </w:p>
    <w:p w14:paraId="435C06F6" w14:textId="77777777" w:rsidR="000B0D23" w:rsidRDefault="000B0D23" w:rsidP="000B0D23">
      <w:pPr>
        <w:spacing w:after="120" w:line="276" w:lineRule="auto"/>
        <w:ind w:firstLine="709"/>
        <w:jc w:val="both"/>
        <w:rPr>
          <w:rFonts w:ascii="Verdana" w:eastAsia="Calibri" w:hAnsi="Verdana" w:cs="Arial"/>
          <w:lang w:val="es-ES"/>
        </w:rPr>
      </w:pPr>
      <w:r>
        <w:rPr>
          <w:rFonts w:ascii="Verdana" w:eastAsia="Calibri" w:hAnsi="Verdana" w:cs="Arial"/>
        </w:rPr>
        <w:t xml:space="preserve">Por tanto, las reglas del sorteo las define la entidad contratante en el apartado correspondiente del documento base, ya que es un aspecto que la entidad puede incluir porque es una disposición </w:t>
      </w:r>
      <w:r>
        <w:rPr>
          <w:rFonts w:ascii="Verdana" w:eastAsia="Times New Roman" w:hAnsi="Verdana" w:cs="Arial"/>
          <w:kern w:val="2"/>
          <w:shd w:val="clear" w:color="auto" w:fill="FFFFFF"/>
          <w:lang w:val="es-ES" w:eastAsia="es-ES"/>
          <w14:ligatures w14:val="standardContextual"/>
        </w:rPr>
        <w:t xml:space="preserve">que </w:t>
      </w:r>
      <w:r w:rsidRPr="000F540C">
        <w:rPr>
          <w:rFonts w:ascii="Verdana" w:eastAsia="Times New Roman" w:hAnsi="Verdana" w:cs="Arial"/>
          <w:kern w:val="2"/>
          <w:shd w:val="clear" w:color="auto" w:fill="FFFFFF"/>
          <w:lang w:val="es-ES" w:eastAsia="es-ES"/>
          <w14:ligatures w14:val="standardContextual"/>
        </w:rPr>
        <w:t xml:space="preserve">se encuentra entre corchetes y resaltados en gris </w:t>
      </w:r>
      <w:r w:rsidRPr="000F540C">
        <w:rPr>
          <w:rFonts w:ascii="Verdana" w:eastAsia="Times New Roman" w:hAnsi="Verdana" w:cs="Arial"/>
          <w:kern w:val="2"/>
          <w:highlight w:val="lightGray"/>
          <w:shd w:val="clear" w:color="auto" w:fill="FFFFFF"/>
          <w:lang w:val="es-ES" w:eastAsia="es-ES"/>
          <w14:ligatures w14:val="standardContextual"/>
        </w:rPr>
        <w:t>–[texto]–</w:t>
      </w:r>
      <w:r>
        <w:rPr>
          <w:rFonts w:ascii="Verdana" w:eastAsia="Times New Roman" w:hAnsi="Verdana" w:cs="Arial"/>
          <w:kern w:val="2"/>
          <w:shd w:val="clear" w:color="auto" w:fill="FFFFFF"/>
          <w:lang w:val="es-ES" w:eastAsia="es-ES"/>
          <w14:ligatures w14:val="standardContextual"/>
        </w:rPr>
        <w:t>, lo que significa que se puede modificar indicando cómo hará el sorteo, virtual o presencial, y quienes deben participar.</w:t>
      </w:r>
    </w:p>
    <w:p w14:paraId="3C83DA6B" w14:textId="77777777" w:rsidR="000B0D23" w:rsidRDefault="000B0D23" w:rsidP="000B0D23">
      <w:pPr>
        <w:spacing w:after="120" w:line="276" w:lineRule="auto"/>
        <w:ind w:firstLine="709"/>
        <w:jc w:val="both"/>
        <w:rPr>
          <w:rFonts w:ascii="Verdana" w:eastAsia="Calibri" w:hAnsi="Verdana" w:cs="Arial"/>
          <w:color w:val="000000"/>
          <w:lang w:val="es-ES_tradnl"/>
        </w:rPr>
      </w:pPr>
      <w:r>
        <w:rPr>
          <w:rFonts w:ascii="Verdana" w:eastAsia="Calibri" w:hAnsi="Verdana" w:cs="Arial"/>
          <w:lang w:val="es-ES"/>
        </w:rPr>
        <w:t xml:space="preserve">En </w:t>
      </w:r>
      <w:r w:rsidRPr="002161F4">
        <w:rPr>
          <w:rFonts w:ascii="Verdana" w:eastAsia="Calibri" w:hAnsi="Verdana" w:cs="Arial"/>
        </w:rPr>
        <w:t>todo</w:t>
      </w:r>
      <w:r>
        <w:rPr>
          <w:rFonts w:ascii="Verdana" w:eastAsia="Calibri" w:hAnsi="Verdana" w:cs="Arial"/>
          <w:lang w:val="es-ES"/>
        </w:rPr>
        <w:t xml:space="preserve"> caso,</w:t>
      </w:r>
      <w:r w:rsidRPr="00082754">
        <w:rPr>
          <w:rFonts w:ascii="Verdana" w:eastAsia="Calibri" w:hAnsi="Verdana" w:cs="Arial"/>
          <w:color w:val="000000"/>
          <w:lang w:val="es-ES_tradnl"/>
        </w:rPr>
        <w:t xml:space="preserve"> es importante advertir que compete a cada Entidad Estatal definir cómo adelantará el procedimiento correspondiente.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295F068D" w14:textId="77777777" w:rsidR="000B0D23" w:rsidRPr="001F7FC2" w:rsidRDefault="000B0D23" w:rsidP="000B0D23">
      <w:pPr>
        <w:spacing w:after="120" w:line="276" w:lineRule="auto"/>
        <w:ind w:firstLine="709"/>
        <w:jc w:val="both"/>
        <w:rPr>
          <w:rFonts w:ascii="Verdana" w:hAnsi="Verdana" w:cs="Arial"/>
        </w:rPr>
      </w:pPr>
    </w:p>
    <w:p w14:paraId="3D8B143B" w14:textId="77777777" w:rsidR="000B0D23" w:rsidRPr="003E229F" w:rsidRDefault="000B0D23" w:rsidP="000B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Referencias normativas, jurisprudenciales y otras fuentes:</w:t>
      </w:r>
    </w:p>
    <w:p w14:paraId="1B940071" w14:textId="77777777" w:rsidR="000B0D23" w:rsidRPr="001F7FC2" w:rsidRDefault="000B0D23" w:rsidP="000B0D2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B0D23" w:rsidRPr="001F7FC2" w14:paraId="4EE38BB1" w14:textId="77777777" w:rsidTr="001B1B6F">
        <w:trPr>
          <w:trHeight w:val="870"/>
        </w:trPr>
        <w:tc>
          <w:tcPr>
            <w:tcW w:w="8647" w:type="dxa"/>
            <w:tcBorders>
              <w:top w:val="dotted" w:sz="4" w:space="0" w:color="auto"/>
              <w:left w:val="dotted" w:sz="4" w:space="0" w:color="auto"/>
              <w:bottom w:val="dotted" w:sz="4" w:space="0" w:color="auto"/>
              <w:right w:val="dotted" w:sz="4" w:space="0" w:color="auto"/>
            </w:tcBorders>
            <w:hideMark/>
          </w:tcPr>
          <w:p w14:paraId="17E19CD6" w14:textId="77777777" w:rsidR="000B0D23" w:rsidRPr="001F7FC2" w:rsidRDefault="000B0D23" w:rsidP="001B1B6F">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Calibri" w:hAnsi="Verdana" w:cs="Arial"/>
                <w:lang w:val="es-ES"/>
              </w:rPr>
              <w:lastRenderedPageBreak/>
              <w:t xml:space="preserve">Ley 1150 de 2007. Artículo </w:t>
            </w:r>
            <w:r>
              <w:rPr>
                <w:rFonts w:ascii="Verdana" w:eastAsia="Calibri" w:hAnsi="Verdana" w:cs="Arial"/>
                <w:lang w:val="es-ES"/>
              </w:rPr>
              <w:t>2.</w:t>
            </w:r>
          </w:p>
          <w:p w14:paraId="454A708B" w14:textId="77777777" w:rsidR="000B0D23" w:rsidRPr="001F7FC2" w:rsidRDefault="000B0D23" w:rsidP="001B1B6F">
            <w:pPr>
              <w:widowControl w:val="0"/>
              <w:numPr>
                <w:ilvl w:val="0"/>
                <w:numId w:val="17"/>
              </w:numPr>
              <w:autoSpaceDE w:val="0"/>
              <w:autoSpaceDN w:val="0"/>
              <w:spacing w:line="276" w:lineRule="auto"/>
              <w:contextualSpacing/>
              <w:jc w:val="both"/>
              <w:rPr>
                <w:rFonts w:ascii="Verdana" w:eastAsia="Calibri" w:hAnsi="Verdana" w:cs="Arial"/>
                <w:lang w:val="es-ES"/>
              </w:rPr>
            </w:pPr>
            <w:r w:rsidRPr="001F7FC2">
              <w:rPr>
                <w:rFonts w:ascii="Verdana" w:eastAsia="Arial" w:hAnsi="Verdana" w:cs="Arial"/>
                <w:color w:val="000000" w:themeColor="text1"/>
              </w:rPr>
              <w:t xml:space="preserve">Decreto 1082 de 2015. Artículo </w:t>
            </w:r>
            <w:r w:rsidRPr="009913CB">
              <w:rPr>
                <w:rFonts w:ascii="Verdana" w:eastAsia="Arial" w:hAnsi="Verdana" w:cs="Arial"/>
                <w:color w:val="000000" w:themeColor="text1"/>
              </w:rPr>
              <w:t>2.2.1.2.1.2.20.</w:t>
            </w:r>
          </w:p>
          <w:p w14:paraId="53CC642E" w14:textId="77777777" w:rsidR="000B0D23" w:rsidRPr="001F7FC2" w:rsidRDefault="000B0D23" w:rsidP="001B1B6F">
            <w:pPr>
              <w:widowControl w:val="0"/>
              <w:numPr>
                <w:ilvl w:val="0"/>
                <w:numId w:val="17"/>
              </w:numPr>
              <w:autoSpaceDE w:val="0"/>
              <w:autoSpaceDN w:val="0"/>
              <w:spacing w:line="276" w:lineRule="auto"/>
              <w:contextualSpacing/>
              <w:jc w:val="both"/>
              <w:rPr>
                <w:rFonts w:ascii="Verdana" w:eastAsia="Aptos" w:hAnsi="Verdana" w:cs="Arial"/>
              </w:rPr>
            </w:pPr>
            <w:r w:rsidRPr="00D313B6">
              <w:rPr>
                <w:rFonts w:ascii="Verdana" w:hAnsi="Verdana"/>
                <w:lang w:val="es-ES"/>
              </w:rPr>
              <w:t>CONSEJO DE ESTADO. Sección Tercera. Sentencia del 23 de junio de 2010. Rad. 16.367. C.P. Enrique Gil Botero</w:t>
            </w:r>
            <w:r w:rsidRPr="001F7FC2">
              <w:rPr>
                <w:rFonts w:ascii="Verdana" w:eastAsia="Aptos" w:hAnsi="Verdana" w:cs="Arial"/>
              </w:rPr>
              <w:t>.</w:t>
            </w:r>
          </w:p>
          <w:p w14:paraId="632C10D3" w14:textId="77777777" w:rsidR="000B0D23" w:rsidRDefault="000B0D23" w:rsidP="001B1B6F">
            <w:pPr>
              <w:widowControl w:val="0"/>
              <w:numPr>
                <w:ilvl w:val="0"/>
                <w:numId w:val="17"/>
              </w:numPr>
              <w:autoSpaceDE w:val="0"/>
              <w:autoSpaceDN w:val="0"/>
              <w:spacing w:line="276" w:lineRule="auto"/>
              <w:contextualSpacing/>
              <w:jc w:val="both"/>
              <w:rPr>
                <w:rFonts w:ascii="Verdana" w:eastAsia="Aptos" w:hAnsi="Verdana" w:cs="Arial"/>
              </w:rPr>
            </w:pPr>
            <w:r w:rsidRPr="001F7FC2">
              <w:rPr>
                <w:rFonts w:ascii="Verdana" w:eastAsia="Aptos" w:hAnsi="Verdana" w:cs="Arial"/>
              </w:rPr>
              <w:t>CONSEJO DE ESTADO. Sección Tercera. Subsección A. Sentencia del 23 de julio de 2015. Exp. 36.805. C. P. Hernán Andrade Rincón.</w:t>
            </w:r>
          </w:p>
          <w:p w14:paraId="2C8E5FDF" w14:textId="77777777" w:rsidR="000B0D23" w:rsidRPr="001F7FC2" w:rsidRDefault="000B0D23" w:rsidP="001B1B6F">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Calibri" w:hAnsi="Verdana" w:cs="Arial"/>
                <w:shd w:val="clear" w:color="auto" w:fill="FFFFFF"/>
                <w:lang w:val="es-MX" w:eastAsia="es-ES_tradnl"/>
              </w:rPr>
              <w:t>Documentos tipo de la modalidad de selección abreviada de menor cuantía</w:t>
            </w:r>
            <w:r w:rsidRPr="00317DC3">
              <w:t xml:space="preserve"> </w:t>
            </w:r>
            <w:r w:rsidRPr="00317DC3">
              <w:rPr>
                <w:rFonts w:ascii="Verdana" w:eastAsia="Calibri" w:hAnsi="Verdana" w:cs="Arial"/>
                <w:shd w:val="clear" w:color="auto" w:fill="FFFFFF"/>
                <w:lang w:val="es-MX" w:eastAsia="es-ES_tradnl"/>
              </w:rPr>
              <w:t>de infraestructura de transporte (versión 3)</w:t>
            </w:r>
            <w:r>
              <w:rPr>
                <w:rFonts w:ascii="Verdana" w:eastAsia="Calibri" w:hAnsi="Verdana" w:cs="Arial"/>
                <w:shd w:val="clear" w:color="auto" w:fill="FFFFFF"/>
                <w:lang w:val="es-MX" w:eastAsia="es-ES_tradnl"/>
              </w:rPr>
              <w:t xml:space="preserve">. Disponible en: </w:t>
            </w:r>
            <w:hyperlink r:id="rId11" w:history="1">
              <w:r w:rsidRPr="002836CA">
                <w:rPr>
                  <w:rStyle w:val="Hipervnculo"/>
                  <w:rFonts w:ascii="Verdana" w:eastAsia="Calibri" w:hAnsi="Verdana" w:cs="Arial"/>
                  <w:shd w:val="clear" w:color="auto" w:fill="FFFFFF"/>
                  <w:lang w:val="es-MX" w:eastAsia="es-ES_tradnl"/>
                </w:rPr>
                <w:t>https://www.colombiacompra.gov.co/normativa-y-relatoria/documentos-tipo</w:t>
              </w:r>
            </w:hyperlink>
            <w:r>
              <w:rPr>
                <w:rFonts w:ascii="Verdana" w:eastAsia="Calibri" w:hAnsi="Verdana" w:cs="Arial"/>
                <w:shd w:val="clear" w:color="auto" w:fill="FFFFFF"/>
                <w:lang w:val="es-MX" w:eastAsia="es-ES_tradnl"/>
              </w:rPr>
              <w:t xml:space="preserve"> </w:t>
            </w:r>
          </w:p>
          <w:p w14:paraId="6D00B318" w14:textId="77777777" w:rsidR="000B0D23" w:rsidRPr="001F7FC2" w:rsidRDefault="000B0D23" w:rsidP="001B1B6F">
            <w:pPr>
              <w:widowControl w:val="0"/>
              <w:autoSpaceDE w:val="0"/>
              <w:autoSpaceDN w:val="0"/>
              <w:spacing w:line="276" w:lineRule="auto"/>
              <w:ind w:left="720"/>
              <w:contextualSpacing/>
              <w:jc w:val="both"/>
              <w:rPr>
                <w:rFonts w:ascii="Verdana" w:eastAsia="Aptos" w:hAnsi="Verdana" w:cs="Arial"/>
              </w:rPr>
            </w:pPr>
          </w:p>
        </w:tc>
      </w:tr>
    </w:tbl>
    <w:p w14:paraId="0A72D567" w14:textId="77777777" w:rsidR="000B0D23" w:rsidRPr="001F7FC2" w:rsidRDefault="000B0D23" w:rsidP="000B0D23">
      <w:pPr>
        <w:widowControl w:val="0"/>
        <w:autoSpaceDE w:val="0"/>
        <w:autoSpaceDN w:val="0"/>
        <w:spacing w:after="0" w:line="276" w:lineRule="auto"/>
        <w:jc w:val="both"/>
        <w:rPr>
          <w:rFonts w:ascii="Verdana" w:hAnsi="Verdana" w:cs="Arial"/>
        </w:rPr>
      </w:pPr>
    </w:p>
    <w:p w14:paraId="72718A8F" w14:textId="77777777" w:rsidR="000B0D23" w:rsidRPr="003E229F" w:rsidRDefault="000B0D23" w:rsidP="000B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F7FC2">
        <w:rPr>
          <w:rFonts w:ascii="Verdana" w:eastAsia="Century Gothic" w:hAnsi="Verdana" w:cs="Century Gothic"/>
          <w:b/>
          <w:bCs/>
        </w:rPr>
        <w:t>Doctrina de la Agencia Nacional de Contratación Pública:</w:t>
      </w:r>
    </w:p>
    <w:p w14:paraId="08DD8E5B" w14:textId="77777777" w:rsidR="000B0D23" w:rsidRPr="001F7FC2" w:rsidRDefault="000B0D23" w:rsidP="000B0D23">
      <w:pPr>
        <w:widowControl w:val="0"/>
        <w:autoSpaceDE w:val="0"/>
        <w:autoSpaceDN w:val="0"/>
        <w:spacing w:after="0" w:line="276" w:lineRule="auto"/>
        <w:jc w:val="both"/>
        <w:rPr>
          <w:rFonts w:ascii="Verdana" w:hAnsi="Verdana" w:cs="Arial"/>
        </w:rPr>
      </w:pPr>
    </w:p>
    <w:p w14:paraId="36AAFD05" w14:textId="77777777" w:rsidR="000B0D23" w:rsidRPr="00A566A9" w:rsidRDefault="000B0D23" w:rsidP="000B0D23">
      <w:pPr>
        <w:widowControl w:val="0"/>
        <w:autoSpaceDE w:val="0"/>
        <w:autoSpaceDN w:val="0"/>
        <w:spacing w:after="0" w:line="276" w:lineRule="auto"/>
        <w:jc w:val="both"/>
        <w:rPr>
          <w:rStyle w:val="normaltextrun"/>
          <w:rFonts w:ascii="Verdana" w:hAnsi="Verdana"/>
          <w:color w:val="FF0000"/>
          <w:shd w:val="clear" w:color="auto" w:fill="FFFFFF"/>
          <w:lang w:val="es-ES"/>
        </w:rPr>
      </w:pPr>
      <w:r w:rsidRPr="001F7FC2">
        <w:rPr>
          <w:rFonts w:ascii="Verdana" w:eastAsia="Calibri" w:hAnsi="Verdana" w:cs="Times New Roman"/>
        </w:rPr>
        <w:t xml:space="preserve">Sobre la modalidad de selección abreviada de menor cuantía, esta Subdirección se ha pronunciado en conceptos </w:t>
      </w:r>
      <w:r>
        <w:rPr>
          <w:rFonts w:ascii="Verdana" w:eastAsia="Calibri" w:hAnsi="Verdana" w:cs="Times New Roman"/>
        </w:rPr>
        <w:t xml:space="preserve">C-425 del 6 de julio de 2022, </w:t>
      </w:r>
      <w:r w:rsidRPr="001F7FC2">
        <w:rPr>
          <w:rFonts w:ascii="Verdana" w:eastAsia="Calibri" w:hAnsi="Verdana" w:cs="Times New Roman"/>
        </w:rPr>
        <w:t>C-687 del 20 de octubre de 2022, C-313 del 31 de julio de 2023, C-377 del 8 de agosto de 2024, C- 535 del 24 de septiembre de 2024, C-840 del 11 de diciembre de 2024, C-716 del 15 de julio de 2025, C-803 del 31 de julio 2025 y C-1150 del 26 de agosto de 2025,</w:t>
      </w:r>
      <w:r>
        <w:rPr>
          <w:rFonts w:ascii="Verdana" w:eastAsia="Calibri" w:hAnsi="Verdana" w:cs="Times New Roman"/>
        </w:rPr>
        <w:t xml:space="preserve"> C-1639 del 17 de diciembre de 2025,</w:t>
      </w:r>
      <w:r w:rsidRPr="00103E5F">
        <w:t xml:space="preserve"> </w:t>
      </w:r>
      <w:r w:rsidRPr="00103E5F">
        <w:rPr>
          <w:rFonts w:ascii="Verdana" w:eastAsia="Calibri" w:hAnsi="Verdana" w:cs="Times New Roman"/>
        </w:rPr>
        <w:t>C-1862 de</w:t>
      </w:r>
      <w:r>
        <w:rPr>
          <w:rFonts w:ascii="Verdana" w:eastAsia="Calibri" w:hAnsi="Verdana" w:cs="Times New Roman"/>
        </w:rPr>
        <w:t>l 20 de enero de</w:t>
      </w:r>
      <w:r w:rsidRPr="00103E5F">
        <w:rPr>
          <w:rFonts w:ascii="Verdana" w:eastAsia="Calibri" w:hAnsi="Verdana" w:cs="Times New Roman"/>
        </w:rPr>
        <w:t xml:space="preserve"> 202</w:t>
      </w:r>
      <w:r>
        <w:rPr>
          <w:rFonts w:ascii="Verdana" w:eastAsia="Calibri" w:hAnsi="Verdana" w:cs="Times New Roman"/>
        </w:rPr>
        <w:t>6,</w:t>
      </w:r>
      <w:r w:rsidRPr="001F7FC2">
        <w:rPr>
          <w:rFonts w:ascii="Verdana" w:eastAsia="Calibri" w:hAnsi="Verdana" w:cs="Times New Roman"/>
        </w:rPr>
        <w:t xml:space="preserve"> entre otros. </w:t>
      </w:r>
      <w:r w:rsidRPr="001F7FC2">
        <w:rPr>
          <w:rStyle w:val="normaltextrun"/>
          <w:rFonts w:ascii="Verdana" w:hAnsi="Verdana" w:cs="Arial"/>
          <w:shd w:val="clear" w:color="auto" w:fill="FFFFFF"/>
          <w:lang w:val="es-ES"/>
        </w:rPr>
        <w:t>Es</w:t>
      </w:r>
      <w:r w:rsidRPr="001F7FC2">
        <w:rPr>
          <w:rFonts w:ascii="Verdana" w:hAnsi="Verdana"/>
        </w:rPr>
        <w:t>tos y otros conceptos se encuentran disponibles para consulta en el Sistema de relatoría de la Agencia, al cual se puede acceder a través del siguiente enlace:</w:t>
      </w:r>
      <w:r w:rsidRPr="001F7FC2">
        <w:rPr>
          <w:rStyle w:val="normaltextrun"/>
          <w:rFonts w:ascii="Verdana" w:hAnsi="Verdana" w:cs="Arial"/>
          <w:shd w:val="clear" w:color="auto" w:fill="FFFFFF"/>
          <w:lang w:val="es-ES"/>
        </w:rPr>
        <w:t xml:space="preserve"> </w:t>
      </w:r>
      <w:hyperlink r:id="rId12" w:history="1">
        <w:r w:rsidRPr="001F7FC2">
          <w:rPr>
            <w:rStyle w:val="Hipervnculo"/>
            <w:rFonts w:ascii="Verdana" w:hAnsi="Verdana" w:cs="Arial"/>
            <w:shd w:val="clear" w:color="auto" w:fill="FFFFFF"/>
            <w:lang w:val="es-ES"/>
          </w:rPr>
          <w:t>https://relatoria.colombiacompra.gov.co/busqueda/conceptos</w:t>
        </w:r>
      </w:hyperlink>
    </w:p>
    <w:p w14:paraId="58B978FD" w14:textId="77777777" w:rsidR="000B0D23" w:rsidRPr="001F7FC2" w:rsidRDefault="000B0D23" w:rsidP="000B0D2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6CECEE3" w14:textId="77777777" w:rsidR="000B0D23" w:rsidRPr="001F7FC2" w:rsidRDefault="000B0D23" w:rsidP="000B0D23">
      <w:pPr>
        <w:spacing w:after="0" w:line="276" w:lineRule="auto"/>
        <w:jc w:val="both"/>
        <w:rPr>
          <w:rFonts w:ascii="Verdana" w:hAnsi="Verdana"/>
        </w:rPr>
      </w:pPr>
    </w:p>
    <w:p w14:paraId="66E39EB9" w14:textId="77777777" w:rsidR="000B0D23" w:rsidRPr="001F7FC2" w:rsidRDefault="000B0D23" w:rsidP="000B0D23">
      <w:pPr>
        <w:spacing w:after="0" w:line="276" w:lineRule="auto"/>
        <w:jc w:val="both"/>
        <w:rPr>
          <w:rFonts w:ascii="Verdana" w:hAnsi="Verdana"/>
        </w:rPr>
      </w:pPr>
      <w:r w:rsidRPr="001F7FC2">
        <w:rPr>
          <w:rFonts w:ascii="Verdana" w:hAnsi="Verdana"/>
        </w:rPr>
        <w:t xml:space="preserve">Por último, lo invitamos a seguirnos en las redes sociales en las cuales se difunde información institucional: </w:t>
      </w:r>
    </w:p>
    <w:p w14:paraId="454D0B41" w14:textId="77777777" w:rsidR="000B0D23" w:rsidRPr="001F7FC2" w:rsidRDefault="000B0D23" w:rsidP="000B0D23">
      <w:pPr>
        <w:spacing w:after="0" w:line="276" w:lineRule="auto"/>
        <w:jc w:val="both"/>
        <w:rPr>
          <w:rFonts w:ascii="Verdana" w:hAnsi="Verdana"/>
        </w:rPr>
      </w:pPr>
    </w:p>
    <w:p w14:paraId="37B5939B" w14:textId="77777777" w:rsidR="000B0D23" w:rsidRPr="001F7FC2" w:rsidRDefault="000B0D23" w:rsidP="000B0D23">
      <w:pPr>
        <w:spacing w:after="0" w:line="276" w:lineRule="auto"/>
        <w:jc w:val="both"/>
        <w:rPr>
          <w:rFonts w:ascii="Verdana" w:hAnsi="Verdana"/>
        </w:rPr>
      </w:pPr>
      <w:r w:rsidRPr="001F7FC2">
        <w:rPr>
          <w:rFonts w:ascii="Verdana" w:hAnsi="Verdana"/>
        </w:rPr>
        <w:t xml:space="preserve">Twitter: </w:t>
      </w:r>
      <w:r w:rsidRPr="001F7FC2">
        <w:rPr>
          <w:rStyle w:val="Hipervnculo"/>
          <w:rFonts w:ascii="Verdana" w:hAnsi="Verdana"/>
          <w:color w:val="4472C4" w:themeColor="accent1"/>
        </w:rPr>
        <w:t>@colombiacompra</w:t>
      </w:r>
      <w:r w:rsidRPr="001F7FC2">
        <w:rPr>
          <w:rFonts w:ascii="Verdana" w:hAnsi="Verdana"/>
          <w:color w:val="4472C4" w:themeColor="accent1"/>
        </w:rPr>
        <w:t xml:space="preserve"> </w:t>
      </w:r>
    </w:p>
    <w:p w14:paraId="4BEC76BA" w14:textId="77777777" w:rsidR="000B0D23" w:rsidRPr="001F7FC2" w:rsidRDefault="000B0D23" w:rsidP="000B0D23">
      <w:pPr>
        <w:spacing w:after="0" w:line="276" w:lineRule="auto"/>
        <w:jc w:val="both"/>
        <w:rPr>
          <w:rFonts w:ascii="Verdana" w:hAnsi="Verdana"/>
        </w:rPr>
      </w:pPr>
      <w:r w:rsidRPr="001F7FC2">
        <w:rPr>
          <w:rFonts w:ascii="Verdana" w:hAnsi="Verdana"/>
        </w:rPr>
        <w:t xml:space="preserve">Facebook: </w:t>
      </w:r>
      <w:r w:rsidRPr="001F7FC2">
        <w:rPr>
          <w:rStyle w:val="Hipervnculo"/>
          <w:rFonts w:ascii="Verdana" w:hAnsi="Verdana"/>
          <w:color w:val="4472C4" w:themeColor="accent1"/>
        </w:rPr>
        <w:t>ColombiaCompraEficiente</w:t>
      </w:r>
    </w:p>
    <w:p w14:paraId="49939A1B" w14:textId="77777777" w:rsidR="000B0D23" w:rsidRPr="001F7FC2" w:rsidRDefault="000B0D23" w:rsidP="000B0D23">
      <w:pPr>
        <w:spacing w:after="0" w:line="276" w:lineRule="auto"/>
        <w:jc w:val="both"/>
        <w:rPr>
          <w:rFonts w:ascii="Verdana" w:hAnsi="Verdana"/>
        </w:rPr>
      </w:pPr>
      <w:r w:rsidRPr="001F7FC2">
        <w:rPr>
          <w:rFonts w:ascii="Verdana" w:hAnsi="Verdana"/>
        </w:rPr>
        <w:t xml:space="preserve">LinkedIn: </w:t>
      </w:r>
      <w:r w:rsidRPr="001F7FC2">
        <w:rPr>
          <w:rStyle w:val="Hipervnculo"/>
          <w:rFonts w:ascii="Verdana" w:hAnsi="Verdana"/>
          <w:color w:val="4472C4" w:themeColor="accent1"/>
        </w:rPr>
        <w:t>Agencia Nacional de Contratación Pública - Colombia Compra Eficiente</w:t>
      </w:r>
      <w:r w:rsidRPr="001F7FC2">
        <w:rPr>
          <w:rFonts w:ascii="Verdana" w:hAnsi="Verdana"/>
          <w:color w:val="4472C4" w:themeColor="accent1"/>
        </w:rPr>
        <w:t xml:space="preserve"> </w:t>
      </w:r>
      <w:r w:rsidRPr="001F7FC2">
        <w:rPr>
          <w:rFonts w:ascii="Verdana" w:hAnsi="Verdana"/>
        </w:rPr>
        <w:t xml:space="preserve">Instagram: </w:t>
      </w:r>
      <w:r w:rsidRPr="001F7FC2">
        <w:rPr>
          <w:rStyle w:val="Hipervnculo"/>
          <w:rFonts w:ascii="Verdana" w:hAnsi="Verdana"/>
          <w:color w:val="4472C4" w:themeColor="accent1"/>
        </w:rPr>
        <w:t>@colombiacompraeficiente_cce</w:t>
      </w:r>
    </w:p>
    <w:p w14:paraId="3E8BE429" w14:textId="77777777" w:rsidR="000B0D23" w:rsidRPr="001F7FC2" w:rsidRDefault="000B0D23" w:rsidP="000B0D23">
      <w:pPr>
        <w:widowControl w:val="0"/>
        <w:autoSpaceDE w:val="0"/>
        <w:autoSpaceDN w:val="0"/>
        <w:spacing w:after="0" w:line="276" w:lineRule="auto"/>
        <w:jc w:val="both"/>
        <w:rPr>
          <w:rFonts w:ascii="Verdana" w:hAnsi="Verdana" w:cs="Arial"/>
        </w:rPr>
      </w:pPr>
    </w:p>
    <w:bookmarkEnd w:id="0"/>
    <w:p w14:paraId="17BCD762" w14:textId="77777777" w:rsidR="000B0D23" w:rsidRPr="00F55E7C" w:rsidRDefault="000B0D23" w:rsidP="000B0D23">
      <w:pPr>
        <w:widowControl w:val="0"/>
        <w:autoSpaceDE w:val="0"/>
        <w:autoSpaceDN w:val="0"/>
        <w:spacing w:after="0" w:line="276" w:lineRule="auto"/>
        <w:jc w:val="both"/>
        <w:rPr>
          <w:rFonts w:ascii="Verdana" w:eastAsia="Calibri" w:hAnsi="Verdana" w:cs="Arial"/>
          <w:lang w:val="es-ES_tradnl"/>
        </w:rPr>
      </w:pPr>
      <w:r w:rsidRPr="00F55E7C">
        <w:rPr>
          <w:rFonts w:ascii="Verdana" w:eastAsia="Calibri" w:hAnsi="Verdana" w:cs="Arial"/>
        </w:rPr>
        <w:t xml:space="preserve">Este concepto tiene el alcance previsto en el artículo 28 del Código de Procedimiento Administrativo y de lo Contencioso Administrativo </w:t>
      </w:r>
      <w:r w:rsidRPr="00F55E7C">
        <w:rPr>
          <w:rFonts w:ascii="Verdana" w:eastAsia="Calibri" w:hAnsi="Verdana" w:cs="Arial"/>
          <w:lang w:val="es-ES_tradnl"/>
        </w:rPr>
        <w:t xml:space="preserve">y las expresiones aquí utilizadas con mayúscula inicial deben ser entendidas con el </w:t>
      </w:r>
      <w:r w:rsidRPr="00F55E7C">
        <w:rPr>
          <w:rFonts w:ascii="Verdana" w:eastAsia="Calibri" w:hAnsi="Verdana" w:cs="Arial"/>
          <w:lang w:val="es-ES_tradnl"/>
        </w:rPr>
        <w:lastRenderedPageBreak/>
        <w:t>significado que les otorga el artículo 2.2.1.1.1.3.1. del Decreto 1082 de 2015.</w:t>
      </w:r>
    </w:p>
    <w:p w14:paraId="429F7FF3" w14:textId="77777777" w:rsidR="000B0D23" w:rsidRPr="00F55E7C" w:rsidRDefault="000B0D23" w:rsidP="000B0D23">
      <w:pPr>
        <w:widowControl w:val="0"/>
        <w:autoSpaceDE w:val="0"/>
        <w:autoSpaceDN w:val="0"/>
        <w:spacing w:after="0" w:line="276" w:lineRule="auto"/>
        <w:jc w:val="both"/>
        <w:rPr>
          <w:rFonts w:ascii="Verdana" w:eastAsia="Calibri" w:hAnsi="Verdana" w:cs="Arial"/>
        </w:rPr>
      </w:pPr>
    </w:p>
    <w:p w14:paraId="7BFC73B3" w14:textId="77777777" w:rsidR="000B0D23" w:rsidRPr="00F55E7C" w:rsidRDefault="000B0D23" w:rsidP="000B0D23">
      <w:pPr>
        <w:spacing w:after="0" w:line="276" w:lineRule="auto"/>
        <w:rPr>
          <w:rFonts w:ascii="Verdana" w:eastAsia="Calibri" w:hAnsi="Verdana" w:cs="Arial"/>
          <w:lang w:eastAsia="es-CO"/>
        </w:rPr>
      </w:pPr>
      <w:r w:rsidRPr="00F55E7C">
        <w:rPr>
          <w:rFonts w:ascii="Verdana" w:eastAsia="Times New Roman" w:hAnsi="Verdana" w:cs="Arial"/>
          <w:lang w:eastAsia="es-CO"/>
        </w:rPr>
        <w:t>Atentamente,</w:t>
      </w:r>
      <w:r w:rsidRPr="00F55E7C">
        <w:rPr>
          <w:rFonts w:ascii="Verdana" w:eastAsia="Calibri" w:hAnsi="Verdana" w:cs="Arial"/>
          <w:lang w:eastAsia="es-CO"/>
        </w:rPr>
        <w:t xml:space="preserve"> </w:t>
      </w:r>
    </w:p>
    <w:p w14:paraId="1EEFA5D9" w14:textId="7CEC2CE5" w:rsidR="000B0D23" w:rsidRPr="00F55E7C" w:rsidRDefault="00050376" w:rsidP="000B0D23">
      <w:pPr>
        <w:spacing w:line="276" w:lineRule="auto"/>
        <w:jc w:val="center"/>
        <w:rPr>
          <w:rFonts w:ascii="Verdana" w:eastAsia="Times New Roman" w:hAnsi="Verdana" w:cs="Arial"/>
          <w:sz w:val="24"/>
          <w:szCs w:val="24"/>
          <w:lang w:eastAsia="es-ES"/>
        </w:rPr>
      </w:pPr>
      <w:r>
        <w:rPr>
          <w:noProof/>
        </w:rPr>
        <w:drawing>
          <wp:inline distT="0" distB="0" distL="0" distR="0" wp14:anchorId="0B835291" wp14:editId="48034471">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0B0D23" w:rsidRPr="00F55E7C" w14:paraId="3FD9FC78" w14:textId="77777777" w:rsidTr="001B1B6F">
        <w:trPr>
          <w:trHeight w:val="315"/>
        </w:trPr>
        <w:tc>
          <w:tcPr>
            <w:tcW w:w="993" w:type="dxa"/>
            <w:vAlign w:val="center"/>
            <w:hideMark/>
          </w:tcPr>
          <w:p w14:paraId="6ABA2735" w14:textId="77777777" w:rsidR="000B0D23" w:rsidRPr="00F55E7C" w:rsidRDefault="000B0D23" w:rsidP="001B1B6F">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027F10FF"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Ximena Ríos López</w:t>
            </w:r>
          </w:p>
          <w:p w14:paraId="5FBBB9F6"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Gestor T1 -11 Subdirección de Gestión Contractual</w:t>
            </w:r>
          </w:p>
        </w:tc>
      </w:tr>
      <w:tr w:rsidR="000B0D23" w:rsidRPr="00F55E7C" w14:paraId="1B42364B" w14:textId="77777777" w:rsidTr="001B1B6F">
        <w:trPr>
          <w:trHeight w:val="330"/>
        </w:trPr>
        <w:tc>
          <w:tcPr>
            <w:tcW w:w="993" w:type="dxa"/>
            <w:vAlign w:val="center"/>
            <w:hideMark/>
          </w:tcPr>
          <w:p w14:paraId="28B759DE" w14:textId="77777777" w:rsidR="000B0D23" w:rsidRPr="00F55E7C" w:rsidRDefault="000B0D23" w:rsidP="001B1B6F">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1CFF5E0F"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Martha Romero</w:t>
            </w:r>
          </w:p>
          <w:p w14:paraId="0BC83913"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Gestor T1 -15 Subdirección de Gestión Contractual</w:t>
            </w:r>
          </w:p>
        </w:tc>
      </w:tr>
      <w:tr w:rsidR="000B0D23" w:rsidRPr="00F55E7C" w14:paraId="295D3348" w14:textId="77777777" w:rsidTr="001B1B6F">
        <w:trPr>
          <w:trHeight w:val="300"/>
        </w:trPr>
        <w:tc>
          <w:tcPr>
            <w:tcW w:w="993" w:type="dxa"/>
            <w:vAlign w:val="center"/>
            <w:hideMark/>
          </w:tcPr>
          <w:p w14:paraId="56298B0D" w14:textId="77777777" w:rsidR="000B0D23" w:rsidRPr="00F55E7C" w:rsidRDefault="000B0D23" w:rsidP="001B1B6F">
            <w:pPr>
              <w:spacing w:after="0" w:line="276" w:lineRule="auto"/>
              <w:rPr>
                <w:rFonts w:ascii="Verdana" w:eastAsia="Calibri" w:hAnsi="Verdana" w:cs="Arial"/>
                <w:bCs/>
                <w:sz w:val="16"/>
                <w:szCs w:val="16"/>
                <w:lang w:eastAsia="es-CO"/>
              </w:rPr>
            </w:pPr>
            <w:r w:rsidRPr="00F55E7C">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12C84738"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Carolina Quintero Gacharná</w:t>
            </w:r>
          </w:p>
          <w:p w14:paraId="2860EC7D" w14:textId="77777777" w:rsidR="000B0D23" w:rsidRPr="00F55E7C" w:rsidRDefault="000B0D23" w:rsidP="001B1B6F">
            <w:pPr>
              <w:spacing w:after="0" w:line="240" w:lineRule="auto"/>
              <w:rPr>
                <w:rFonts w:ascii="Verdana" w:eastAsia="Calibri" w:hAnsi="Verdana" w:cs="Arial"/>
                <w:sz w:val="16"/>
                <w:szCs w:val="16"/>
                <w:lang w:eastAsia="es-CO"/>
              </w:rPr>
            </w:pPr>
            <w:r w:rsidRPr="00F55E7C">
              <w:rPr>
                <w:rFonts w:ascii="Verdana" w:eastAsia="Calibri" w:hAnsi="Verdana" w:cs="Arial"/>
                <w:sz w:val="16"/>
                <w:szCs w:val="16"/>
                <w:lang w:eastAsia="es-CO"/>
              </w:rPr>
              <w:t>Subdirectora de Gestión Contractual ANCP – CCE</w:t>
            </w:r>
          </w:p>
        </w:tc>
      </w:tr>
    </w:tbl>
    <w:p w14:paraId="778509A6" w14:textId="77777777" w:rsidR="000B0D23" w:rsidRPr="00F55E7C" w:rsidRDefault="000B0D23" w:rsidP="000B0D23">
      <w:pPr>
        <w:widowControl w:val="0"/>
        <w:autoSpaceDE w:val="0"/>
        <w:autoSpaceDN w:val="0"/>
        <w:spacing w:after="0" w:line="276" w:lineRule="auto"/>
        <w:jc w:val="both"/>
      </w:pPr>
    </w:p>
    <w:p w14:paraId="0F293BF4" w14:textId="691C44D1" w:rsidR="00127233" w:rsidRPr="00B25564" w:rsidRDefault="00127233" w:rsidP="00B25564"/>
    <w:sectPr w:rsidR="00127233" w:rsidRPr="00B2556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479B0" w14:textId="77777777" w:rsidR="00452D97" w:rsidRDefault="00452D97" w:rsidP="004A1847">
      <w:pPr>
        <w:spacing w:after="0" w:line="240" w:lineRule="auto"/>
      </w:pPr>
      <w:r>
        <w:separator/>
      </w:r>
    </w:p>
  </w:endnote>
  <w:endnote w:type="continuationSeparator" w:id="0">
    <w:p w14:paraId="2BD175F5" w14:textId="77777777" w:rsidR="00452D97" w:rsidRDefault="00452D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Times New Roman">
    <w:altName w:val="Arial"/>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A6BE9" w14:textId="77777777" w:rsidR="00452D97" w:rsidRDefault="00452D97" w:rsidP="004A1847">
      <w:pPr>
        <w:spacing w:after="0" w:line="240" w:lineRule="auto"/>
      </w:pPr>
      <w:r>
        <w:separator/>
      </w:r>
    </w:p>
  </w:footnote>
  <w:footnote w:type="continuationSeparator" w:id="0">
    <w:p w14:paraId="7AD79459" w14:textId="77777777" w:rsidR="00452D97" w:rsidRDefault="00452D97" w:rsidP="004A1847">
      <w:pPr>
        <w:spacing w:after="0" w:line="240" w:lineRule="auto"/>
      </w:pPr>
      <w:r>
        <w:continuationSeparator/>
      </w:r>
    </w:p>
  </w:footnote>
  <w:footnote w:id="1">
    <w:p w14:paraId="5DE6C038" w14:textId="77777777" w:rsidR="000B0D23" w:rsidRPr="00295EFD" w:rsidRDefault="000B0D23" w:rsidP="000B0D23">
      <w:pPr>
        <w:pStyle w:val="Textonotapie"/>
        <w:ind w:firstLine="708"/>
        <w:jc w:val="both"/>
        <w:rPr>
          <w:rFonts w:ascii="Verdana" w:hAnsi="Verdana" w:cs="Arial"/>
          <w:color w:val="000000" w:themeColor="text1"/>
          <w:sz w:val="16"/>
          <w:szCs w:val="16"/>
        </w:rPr>
      </w:pPr>
      <w:r w:rsidRPr="00295EFD">
        <w:rPr>
          <w:rStyle w:val="Refdenotaalpie"/>
          <w:rFonts w:ascii="Verdana" w:hAnsi="Verdana"/>
          <w:sz w:val="16"/>
          <w:szCs w:val="16"/>
        </w:rPr>
        <w:footnoteRef/>
      </w:r>
      <w:r w:rsidRPr="00295EFD">
        <w:rPr>
          <w:rFonts w:ascii="Verdana" w:hAnsi="Verdana"/>
          <w:sz w:val="16"/>
          <w:szCs w:val="16"/>
        </w:rPr>
        <w:t xml:space="preserve"> </w:t>
      </w:r>
      <w:r w:rsidRPr="00295EFD">
        <w:rPr>
          <w:rFonts w:ascii="Verdana" w:hAnsi="Verdana" w:cs="Arial"/>
          <w:color w:val="000000" w:themeColor="text1"/>
          <w:sz w:val="16"/>
          <w:szCs w:val="16"/>
        </w:rPr>
        <w:t xml:space="preserve">Los Documentos Tipo expedidos por la Agencia Nacional de Contratación Pública – Colombia Compra Eficiente pueden ser consultados en el siguiente enlace: </w:t>
      </w:r>
      <w:hyperlink r:id="rId1" w:history="1">
        <w:r w:rsidRPr="003D1A46">
          <w:rPr>
            <w:rStyle w:val="Hipervnculo"/>
            <w:rFonts w:ascii="Verdana" w:hAnsi="Verdana" w:cs="Arial"/>
            <w:sz w:val="16"/>
            <w:szCs w:val="16"/>
          </w:rPr>
          <w:t>https://www.colombiacompra.gov.co/documentos-tipo/documentos-tipo</w:t>
        </w:r>
      </w:hyperlink>
    </w:p>
  </w:footnote>
  <w:footnote w:id="2">
    <w:p w14:paraId="78690C91" w14:textId="77777777" w:rsidR="000B0D23" w:rsidRPr="0049500E" w:rsidRDefault="000B0D23" w:rsidP="000B0D2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3">
    <w:p w14:paraId="711409EA" w14:textId="77777777" w:rsidR="000B0D23" w:rsidRPr="00604039" w:rsidRDefault="000B0D23" w:rsidP="000B0D23">
      <w:pPr>
        <w:pStyle w:val="Textonotapie"/>
        <w:ind w:firstLine="708"/>
        <w:jc w:val="both"/>
        <w:rPr>
          <w:rFonts w:ascii="Verdana" w:hAnsi="Verdana" w:cs="Arial"/>
          <w:sz w:val="16"/>
          <w:szCs w:val="16"/>
        </w:rPr>
      </w:pPr>
      <w:r w:rsidRPr="0049500E">
        <w:rPr>
          <w:rStyle w:val="Refdenotaalpie"/>
          <w:rFonts w:ascii="Verdana" w:hAnsi="Verdana" w:cs="Arial"/>
          <w:sz w:val="18"/>
          <w:szCs w:val="18"/>
        </w:rPr>
        <w:footnoteRef/>
      </w:r>
      <w:r w:rsidRPr="0049500E">
        <w:rPr>
          <w:rFonts w:ascii="Verdana" w:hAnsi="Verdana" w:cs="Arial"/>
          <w:sz w:val="18"/>
          <w:szCs w:val="18"/>
        </w:rPr>
        <w:t xml:space="preserve"> El numeral 2 del artículo 2 de la Ley 1150 de 2007 prescribe: “[…] Serán causales de selección abreviada las siguientes</w:t>
      </w:r>
      <w:r w:rsidRPr="00604039">
        <w:rPr>
          <w:rFonts w:ascii="Verdana" w:hAnsi="Verdana" w:cs="Arial"/>
          <w:sz w:val="16"/>
          <w:szCs w:val="16"/>
        </w:rPr>
        <w:t>:</w:t>
      </w:r>
    </w:p>
    <w:p w14:paraId="28CD3DEF"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64CDD143"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46E1F691"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65BD02D9"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w:t>
      </w:r>
    </w:p>
    <w:p w14:paraId="1F23276F"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22AC96AE"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521D6461"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e) La enajenación de bienes del Estado, con excepción de aquellos a que se refiere la Ley 226 de 1995.</w:t>
      </w:r>
    </w:p>
    <w:p w14:paraId="4CA0CEE7"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 xml:space="preserve">[…]; </w:t>
      </w:r>
    </w:p>
    <w:p w14:paraId="502E62D0"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 xml:space="preserve">f) Productos de origen o destinación agropecuarios que se ofrezcan en las bolsas de productos legalmente constituidas; </w:t>
      </w:r>
    </w:p>
    <w:p w14:paraId="1E9198CF"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52A00F78" w14:textId="77777777" w:rsidR="000B0D23" w:rsidRPr="007D48B0"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617E595D" w14:textId="77777777" w:rsidR="000B0D23" w:rsidRDefault="000B0D23" w:rsidP="000B0D23">
      <w:pPr>
        <w:pStyle w:val="Textonotapie"/>
        <w:ind w:firstLine="708"/>
        <w:jc w:val="both"/>
        <w:rPr>
          <w:rFonts w:ascii="Verdana" w:hAnsi="Verdana" w:cs="Arial"/>
          <w:sz w:val="16"/>
          <w:szCs w:val="16"/>
        </w:rPr>
      </w:pPr>
      <w:r w:rsidRPr="007D48B0">
        <w:rPr>
          <w:rFonts w:ascii="Verdana" w:hAnsi="Verdana" w:cs="Arial"/>
          <w:sz w:val="16"/>
          <w:szCs w:val="16"/>
        </w:rPr>
        <w:t>i) La contratación de bienes y servicios que se requieran para la defensa y seguridad nacional</w:t>
      </w:r>
      <w:r>
        <w:rPr>
          <w:rFonts w:ascii="Verdana" w:hAnsi="Verdana" w:cs="Arial"/>
          <w:sz w:val="16"/>
          <w:szCs w:val="16"/>
        </w:rPr>
        <w:t>.</w:t>
      </w:r>
    </w:p>
    <w:p w14:paraId="47373EC5" w14:textId="77777777" w:rsidR="000B0D23" w:rsidRPr="007D48B0" w:rsidRDefault="000B0D23" w:rsidP="000B0D23">
      <w:pPr>
        <w:pStyle w:val="Textonotapie"/>
        <w:ind w:firstLine="708"/>
        <w:jc w:val="both"/>
        <w:rPr>
          <w:rFonts w:ascii="Verdana" w:hAnsi="Verdana" w:cs="Arial"/>
          <w:sz w:val="16"/>
          <w:szCs w:val="16"/>
        </w:rPr>
      </w:pPr>
      <w:r>
        <w:rPr>
          <w:rFonts w:ascii="Verdana" w:hAnsi="Verdana" w:cs="Arial"/>
          <w:sz w:val="16"/>
          <w:szCs w:val="16"/>
        </w:rPr>
        <w:t xml:space="preserve">j) </w:t>
      </w:r>
      <w:r w:rsidRPr="000B48EE">
        <w:rPr>
          <w:rFonts w:ascii="Verdana" w:hAnsi="Verdana" w:cs="Arial"/>
          <w:sz w:val="16"/>
          <w:szCs w:val="16"/>
        </w:rPr>
        <w:t>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r>
        <w:rPr>
          <w:rFonts w:ascii="Verdana" w:hAnsi="Verdana" w:cs="Arial"/>
          <w:sz w:val="16"/>
          <w:szCs w:val="16"/>
        </w:rPr>
        <w:t>”</w:t>
      </w:r>
      <w:r w:rsidRPr="007D48B0">
        <w:rPr>
          <w:rFonts w:ascii="Verdana" w:hAnsi="Verdana" w:cs="Arial"/>
          <w:sz w:val="16"/>
          <w:szCs w:val="16"/>
        </w:rPr>
        <w:t>.</w:t>
      </w:r>
    </w:p>
  </w:footnote>
  <w:footnote w:id="4">
    <w:p w14:paraId="2D6FDA51" w14:textId="77777777" w:rsidR="000B0D23" w:rsidRDefault="000B0D23" w:rsidP="000B0D2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CONGRESO DE LA REPÚBLICA. Exposición de motivos de la Ley 1150 de 2007. Gaceta del Congreso No. 458 del 1º de agosto de 2005. p. 8. </w:t>
      </w:r>
    </w:p>
    <w:p w14:paraId="37172B98" w14:textId="77777777" w:rsidR="000B0D23" w:rsidRPr="0049500E" w:rsidRDefault="000B0D23" w:rsidP="000B0D23">
      <w:pPr>
        <w:pStyle w:val="Textonotapie"/>
        <w:ind w:firstLine="708"/>
        <w:jc w:val="both"/>
        <w:rPr>
          <w:rFonts w:ascii="Verdana" w:hAnsi="Verdana" w:cs="Arial"/>
          <w:sz w:val="18"/>
          <w:szCs w:val="18"/>
        </w:rPr>
      </w:pPr>
    </w:p>
  </w:footnote>
  <w:footnote w:id="5">
    <w:p w14:paraId="0EF03BB7" w14:textId="77777777" w:rsidR="000B0D23" w:rsidRPr="0049500E" w:rsidRDefault="000B0D23" w:rsidP="000B0D23">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CONSEJO DE ESTADO. Sección Tercera. Subsección A. Sentencia del 23 de julio de 2015. Exp. 36.805. C. P. Hernán Andrade Rincón.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583362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825416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157"/>
    <w:rsid w:val="00046945"/>
    <w:rsid w:val="00047047"/>
    <w:rsid w:val="00050376"/>
    <w:rsid w:val="00052EF1"/>
    <w:rsid w:val="00061B2A"/>
    <w:rsid w:val="00082362"/>
    <w:rsid w:val="000A683E"/>
    <w:rsid w:val="000B0D23"/>
    <w:rsid w:val="000B19B9"/>
    <w:rsid w:val="000D0334"/>
    <w:rsid w:val="000D5DA7"/>
    <w:rsid w:val="000F6486"/>
    <w:rsid w:val="00116940"/>
    <w:rsid w:val="00125105"/>
    <w:rsid w:val="00127233"/>
    <w:rsid w:val="0015699B"/>
    <w:rsid w:val="00161BD9"/>
    <w:rsid w:val="001A33BF"/>
    <w:rsid w:val="001E4177"/>
    <w:rsid w:val="001F0B24"/>
    <w:rsid w:val="001F534F"/>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2D97"/>
    <w:rsid w:val="00466E39"/>
    <w:rsid w:val="004A1847"/>
    <w:rsid w:val="004A305D"/>
    <w:rsid w:val="004F21C4"/>
    <w:rsid w:val="004F685F"/>
    <w:rsid w:val="005566E8"/>
    <w:rsid w:val="00574867"/>
    <w:rsid w:val="00591460"/>
    <w:rsid w:val="005A5179"/>
    <w:rsid w:val="005A65E0"/>
    <w:rsid w:val="005C3777"/>
    <w:rsid w:val="005C5CDC"/>
    <w:rsid w:val="005D476C"/>
    <w:rsid w:val="006200BF"/>
    <w:rsid w:val="006219F8"/>
    <w:rsid w:val="006302F7"/>
    <w:rsid w:val="00646B9F"/>
    <w:rsid w:val="00665D70"/>
    <w:rsid w:val="006900D9"/>
    <w:rsid w:val="006E7FE1"/>
    <w:rsid w:val="00706C16"/>
    <w:rsid w:val="007340C3"/>
    <w:rsid w:val="00742B0D"/>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436D"/>
    <w:rsid w:val="00A55B69"/>
    <w:rsid w:val="00AB0ADB"/>
    <w:rsid w:val="00B00C0E"/>
    <w:rsid w:val="00B01B1A"/>
    <w:rsid w:val="00B0381D"/>
    <w:rsid w:val="00B10258"/>
    <w:rsid w:val="00B25564"/>
    <w:rsid w:val="00B44A47"/>
    <w:rsid w:val="00B72CD3"/>
    <w:rsid w:val="00B72FFF"/>
    <w:rsid w:val="00B86351"/>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67D0"/>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36D8"/>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4180DC64"/>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B0D23"/>
    <w:rPr>
      <w:rFonts w:ascii="Geomanist Light" w:hAnsi="Geomanist Light"/>
      <w:lang w:val="es-ES"/>
    </w:rPr>
  </w:style>
  <w:style w:type="paragraph" w:customStyle="1" w:styleId="Appelnotedebasde">
    <w:name w:val="Appel note de bas de..."/>
    <w:basedOn w:val="Normal"/>
    <w:link w:val="Refdenotaalpie"/>
    <w:uiPriority w:val="99"/>
    <w:rsid w:val="000B0D2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B7DCD97-3491-4172-B2ED-99B5B39E990F}"/>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5303</Words>
  <Characters>29172</Characters>
  <Application>Microsoft Office Word</Application>
  <DocSecurity>0</DocSecurity>
  <Lines>243</Lines>
  <Paragraphs>68</Paragraphs>
  <ScaleCrop>false</ScaleCrop>
  <Company/>
  <LinksUpToDate>false</LinksUpToDate>
  <CharactersWithSpaces>34407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3</cp:revision>
  <cp:lastPrinted>2023-01-10T21:18:00Z</cp:lastPrinted>
  <dcterms:created xsi:type="dcterms:W3CDTF">2026-02-16T21:52:00Z</dcterms:created>
  <dcterms:modified xsi:type="dcterms:W3CDTF">2026-02-16T22:06:00Z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