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FDED6" w14:textId="77777777" w:rsidR="00034E0F" w:rsidRDefault="00034E0F" w:rsidP="00034E0F">
      <w:pPr>
        <w:spacing w:after="0" w:line="240" w:lineRule="auto"/>
        <w:jc w:val="both"/>
        <w:rPr>
          <w:rFonts w:ascii="Verdana" w:eastAsia="Times New Roman" w:hAnsi="Verdana" w:cs="Arial"/>
          <w:b/>
          <w:lang w:eastAsia="es-ES_tradnl"/>
        </w:rPr>
      </w:pPr>
      <w:bookmarkStart w:id="0" w:name="_Hlk143780582"/>
      <w:r w:rsidRPr="00DF5080">
        <w:rPr>
          <w:rFonts w:ascii="Verdana" w:eastAsia="Times New Roman" w:hAnsi="Verdana" w:cs="Arial"/>
          <w:b/>
          <w:lang w:eastAsia="es-ES_tradnl"/>
        </w:rPr>
        <w:t xml:space="preserve">CAPACIDAD RESIDUAL – Definición </w:t>
      </w:r>
    </w:p>
    <w:p w14:paraId="4745ABB3" w14:textId="77777777" w:rsidR="00F60977" w:rsidRDefault="00F60977" w:rsidP="00034E0F">
      <w:pPr>
        <w:spacing w:after="0" w:line="240" w:lineRule="auto"/>
        <w:jc w:val="both"/>
        <w:rPr>
          <w:rFonts w:ascii="Verdana" w:eastAsia="Times New Roman" w:hAnsi="Verdana" w:cs="Arial"/>
          <w:b/>
          <w:lang w:eastAsia="es-ES_tradnl"/>
        </w:rPr>
      </w:pPr>
    </w:p>
    <w:p w14:paraId="42E8D0E2" w14:textId="7E25808E" w:rsidR="00034E0F" w:rsidRPr="00F60977" w:rsidRDefault="00F60977" w:rsidP="00F60977">
      <w:pPr>
        <w:spacing w:after="120" w:line="240" w:lineRule="auto"/>
        <w:jc w:val="both"/>
        <w:rPr>
          <w:rFonts w:ascii="Verdana" w:eastAsia="Calibri" w:hAnsi="Verdana" w:cs="Times New Roman"/>
          <w:sz w:val="20"/>
          <w:szCs w:val="20"/>
        </w:rPr>
      </w:pPr>
      <w:r w:rsidRPr="00F60977">
        <w:rPr>
          <w:rFonts w:ascii="Verdana" w:eastAsia="Calibri" w:hAnsi="Verdana" w:cs="Times New Roman"/>
          <w:sz w:val="20"/>
          <w:szCs w:val="20"/>
        </w:rPr>
        <w:t>Es importante señalar que la Capacidad Residual o K de Contratación es la aptitud de un oferente para cumplir oportuna y cabalmente con el objeto de un contrato de obra, sin que sus otros compromisos contractuales afecten su habilidad de responder con el contrato objeto del Proceso de Contratación. Al respecto, el artículo 6 de la Ley 1150 de 2007 reguló la capacidad residual del proponente o K de contratación como condición para participar en los Procesos de Contratación de obra pública y demás que señala el reglamento. A su vez, el Decreto 1082 de 2015 señala la información que debe entregar el proponente interesado en un proceso de contratación para acreditar su Capacidad Residual.</w:t>
      </w:r>
    </w:p>
    <w:p w14:paraId="05136CB4" w14:textId="77777777" w:rsidR="00034E0F" w:rsidRDefault="00034E0F" w:rsidP="00D45947">
      <w:pPr>
        <w:spacing w:after="0" w:line="240" w:lineRule="auto"/>
        <w:jc w:val="both"/>
        <w:rPr>
          <w:rFonts w:ascii="Verdana" w:eastAsia="Times New Roman" w:hAnsi="Verdana" w:cs="Arial"/>
          <w:b/>
          <w:lang w:eastAsia="es-ES_tradnl"/>
        </w:rPr>
      </w:pPr>
    </w:p>
    <w:p w14:paraId="43DC6E13" w14:textId="78A24A90" w:rsidR="003878B5" w:rsidRDefault="00DE4314" w:rsidP="00D45947">
      <w:pPr>
        <w:spacing w:after="0" w:line="240" w:lineRule="auto"/>
        <w:jc w:val="both"/>
        <w:rPr>
          <w:rFonts w:ascii="Verdana" w:eastAsia="Times New Roman" w:hAnsi="Verdana" w:cs="Arial"/>
          <w:b/>
          <w:lang w:eastAsia="es-ES_tradnl"/>
        </w:rPr>
      </w:pPr>
      <w:r w:rsidRPr="00DE4314">
        <w:rPr>
          <w:rFonts w:ascii="Verdana" w:eastAsia="Times New Roman" w:hAnsi="Verdana" w:cs="Arial"/>
          <w:b/>
          <w:lang w:eastAsia="es-ES_tradnl"/>
        </w:rPr>
        <w:t>CAPACIDAD RESIDUAL – Documentos requeridos – Cálculo</w:t>
      </w:r>
    </w:p>
    <w:p w14:paraId="74156E3B" w14:textId="77777777" w:rsidR="00D45947" w:rsidRDefault="00D45947" w:rsidP="00D45947">
      <w:pPr>
        <w:spacing w:after="0" w:line="240" w:lineRule="auto"/>
        <w:jc w:val="both"/>
        <w:rPr>
          <w:rFonts w:ascii="Verdana" w:eastAsia="Times New Roman" w:hAnsi="Verdana" w:cs="Arial"/>
          <w:b/>
          <w:lang w:eastAsia="es-ES_tradnl"/>
        </w:rPr>
      </w:pPr>
    </w:p>
    <w:p w14:paraId="3F990703" w14:textId="387E6920" w:rsidR="003878B5" w:rsidRPr="003878B5" w:rsidRDefault="003878B5" w:rsidP="00F60977">
      <w:pPr>
        <w:spacing w:after="120" w:line="240" w:lineRule="auto"/>
        <w:jc w:val="both"/>
        <w:rPr>
          <w:rFonts w:ascii="Verdana" w:eastAsia="Calibri" w:hAnsi="Verdana" w:cs="Times New Roman"/>
          <w:sz w:val="20"/>
          <w:szCs w:val="20"/>
        </w:rPr>
      </w:pPr>
      <w:r>
        <w:rPr>
          <w:rFonts w:ascii="Verdana" w:eastAsia="Calibri" w:hAnsi="Verdana" w:cs="Times New Roman"/>
          <w:sz w:val="20"/>
          <w:szCs w:val="20"/>
        </w:rPr>
        <w:t xml:space="preserve">(..) </w:t>
      </w:r>
      <w:r w:rsidRPr="003878B5">
        <w:rPr>
          <w:rFonts w:ascii="Verdana" w:eastAsia="Calibri" w:hAnsi="Verdana" w:cs="Times New Roman"/>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6CAEDE4C" w14:textId="12C25D69" w:rsidR="003878B5" w:rsidRPr="003878B5" w:rsidRDefault="003878B5" w:rsidP="00F60977">
      <w:pPr>
        <w:spacing w:after="120" w:line="240" w:lineRule="auto"/>
        <w:jc w:val="both"/>
        <w:rPr>
          <w:rFonts w:ascii="Verdana" w:eastAsia="Calibri" w:hAnsi="Verdana" w:cs="Arial"/>
          <w:sz w:val="20"/>
          <w:szCs w:val="20"/>
        </w:rPr>
      </w:pPr>
      <w:r w:rsidRPr="003878B5">
        <w:rPr>
          <w:rFonts w:ascii="Verdana" w:eastAsia="Calibri" w:hAnsi="Verdana" w:cs="Times New Roman"/>
          <w:sz w:val="20"/>
          <w:szCs w:val="20"/>
        </w:rPr>
        <w:t xml:space="preserve">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3878B5">
        <w:rPr>
          <w:rFonts w:ascii="Verdana" w:eastAsia="Calibri" w:hAnsi="Verdana" w:cs="Arial"/>
          <w:sz w:val="20"/>
          <w:szCs w:val="20"/>
        </w:rPr>
        <w:t>y allegar toda información ordenada, en los términos y la forma en que hayan sido señalados, con el fin de que la entidad pueda calcular la Capacidad Residual del proponente y verificar si cumple o no con la requerida en el Proceso de Contratación que adelanta</w:t>
      </w:r>
      <w:r>
        <w:rPr>
          <w:rFonts w:ascii="Verdana" w:eastAsia="Calibri" w:hAnsi="Verdana" w:cs="Arial"/>
          <w:sz w:val="20"/>
          <w:szCs w:val="20"/>
        </w:rPr>
        <w:t xml:space="preserve"> (…)</w:t>
      </w:r>
    </w:p>
    <w:p w14:paraId="41860588" w14:textId="77777777" w:rsidR="00150111" w:rsidRPr="00925EE0" w:rsidRDefault="00150111" w:rsidP="00697766">
      <w:pPr>
        <w:spacing w:after="0" w:line="240" w:lineRule="auto"/>
        <w:jc w:val="both"/>
        <w:rPr>
          <w:rFonts w:ascii="Verdana" w:eastAsia="Times New Roman" w:hAnsi="Verdana" w:cs="Arial"/>
          <w:b/>
          <w:sz w:val="20"/>
          <w:szCs w:val="20"/>
          <w:lang w:eastAsia="es-ES_tradnl"/>
        </w:rPr>
      </w:pPr>
    </w:p>
    <w:p w14:paraId="2818F720" w14:textId="118EE7AF" w:rsidR="00034E0F" w:rsidRDefault="00034E0F" w:rsidP="00034E0F">
      <w:pPr>
        <w:spacing w:after="0" w:line="240" w:lineRule="auto"/>
        <w:jc w:val="both"/>
        <w:rPr>
          <w:rFonts w:ascii="Verdana" w:eastAsia="Times New Roman" w:hAnsi="Verdana" w:cs="Arial"/>
          <w:b/>
          <w:lang w:eastAsia="es-ES_tradnl"/>
        </w:rPr>
      </w:pPr>
      <w:r w:rsidRPr="00DF5080">
        <w:rPr>
          <w:rFonts w:ascii="Verdana" w:eastAsia="Times New Roman" w:hAnsi="Verdana" w:cs="Arial"/>
          <w:b/>
          <w:lang w:eastAsia="es-ES_tradnl"/>
        </w:rPr>
        <w:t xml:space="preserve">CAPACIDAD RESIDUAL – </w:t>
      </w:r>
      <w:r>
        <w:rPr>
          <w:rFonts w:ascii="Verdana" w:eastAsia="Times New Roman" w:hAnsi="Verdana" w:cs="Arial"/>
          <w:b/>
          <w:lang w:eastAsia="es-ES_tradnl"/>
        </w:rPr>
        <w:t xml:space="preserve">Empresas sociales del Estado </w:t>
      </w:r>
      <w:r w:rsidRPr="00DF5080">
        <w:rPr>
          <w:rFonts w:ascii="Verdana" w:eastAsia="Times New Roman" w:hAnsi="Verdana" w:cs="Arial"/>
          <w:b/>
          <w:lang w:eastAsia="es-ES_tradnl"/>
        </w:rPr>
        <w:t>–</w:t>
      </w:r>
      <w:r>
        <w:rPr>
          <w:rFonts w:ascii="Verdana" w:eastAsia="Times New Roman" w:hAnsi="Verdana" w:cs="Arial"/>
          <w:b/>
          <w:lang w:eastAsia="es-ES_tradnl"/>
        </w:rPr>
        <w:t xml:space="preserve"> Aplicación</w:t>
      </w:r>
    </w:p>
    <w:p w14:paraId="567416A3" w14:textId="77777777" w:rsidR="00150111" w:rsidRDefault="00150111" w:rsidP="00697766">
      <w:pPr>
        <w:spacing w:after="0" w:line="240" w:lineRule="auto"/>
        <w:jc w:val="both"/>
        <w:rPr>
          <w:rFonts w:ascii="Verdana" w:eastAsia="Times New Roman" w:hAnsi="Verdana" w:cs="Arial"/>
          <w:b/>
          <w:lang w:eastAsia="es-ES_tradnl"/>
        </w:rPr>
      </w:pPr>
    </w:p>
    <w:p w14:paraId="110E19ED" w14:textId="77777777" w:rsidR="005510D6" w:rsidRDefault="005510D6" w:rsidP="005510D6">
      <w:pPr>
        <w:spacing w:after="0" w:line="240" w:lineRule="auto"/>
        <w:jc w:val="both"/>
        <w:rPr>
          <w:rFonts w:ascii="Verdana" w:eastAsia="Calibri" w:hAnsi="Verdana" w:cs="Times New Roman"/>
          <w:sz w:val="20"/>
          <w:szCs w:val="20"/>
        </w:rPr>
      </w:pPr>
      <w:r w:rsidRPr="005510D6">
        <w:rPr>
          <w:rFonts w:ascii="Verdana" w:eastAsia="Calibri" w:hAnsi="Verdana" w:cs="Times New Roman"/>
          <w:sz w:val="20"/>
          <w:szCs w:val="20"/>
        </w:rPr>
        <w:t xml:space="preserve">En ese sentido, teniendo en cuenta que las normas mencionadas hacen parte del Estatuto General de Contratación de la Administración Pública que rige los procesos de contratación de las entidades sometidas a este, las Empresas Sociales del Estado se encuentran exceptuadas de dicho estatuto, ya que de acuerdo con el artículo 195 de la Ley 100 de 1993 su régimen jurídico en materia contractual es el derecho privado. Por tanto, la capacidad residual no sería aplicable para los procesos de contratación de las Empresas Sociales del Estado. </w:t>
      </w:r>
    </w:p>
    <w:p w14:paraId="45EBF6F8" w14:textId="77777777" w:rsidR="005510D6" w:rsidRPr="005510D6" w:rsidRDefault="005510D6" w:rsidP="005510D6">
      <w:pPr>
        <w:spacing w:after="0" w:line="240" w:lineRule="auto"/>
        <w:jc w:val="both"/>
        <w:rPr>
          <w:rFonts w:ascii="Verdana" w:eastAsia="Calibri" w:hAnsi="Verdana" w:cs="Times New Roman"/>
          <w:sz w:val="20"/>
          <w:szCs w:val="20"/>
        </w:rPr>
      </w:pPr>
    </w:p>
    <w:p w14:paraId="65055A0F" w14:textId="77777777" w:rsidR="005510D6" w:rsidRDefault="005510D6" w:rsidP="005510D6">
      <w:pPr>
        <w:spacing w:after="0" w:line="240" w:lineRule="auto"/>
        <w:jc w:val="both"/>
        <w:rPr>
          <w:rFonts w:ascii="Verdana" w:eastAsia="Calibri" w:hAnsi="Verdana" w:cs="Times New Roman"/>
          <w:sz w:val="20"/>
          <w:szCs w:val="20"/>
        </w:rPr>
      </w:pPr>
      <w:r w:rsidRPr="005510D6">
        <w:rPr>
          <w:rFonts w:ascii="Verdana" w:eastAsia="Calibri" w:hAnsi="Verdana" w:cs="Times New Roman"/>
          <w:sz w:val="20"/>
          <w:szCs w:val="20"/>
        </w:rPr>
        <w:t xml:space="preserve">No obstante, si bien las Empresas Sociales del Estado se rigen de manera predominante por normas de derecho privado y cuentan con un régimen contractual exceptuado, las </w:t>
      </w:r>
      <w:r w:rsidRPr="005510D6">
        <w:rPr>
          <w:rFonts w:ascii="Verdana" w:eastAsia="Calibri" w:hAnsi="Verdana" w:cs="Times New Roman"/>
          <w:sz w:val="20"/>
          <w:szCs w:val="20"/>
        </w:rPr>
        <w:lastRenderedPageBreak/>
        <w:t>disposiciones de derecho público que irradian su régimen jurídico les imponen el deber de cumplir los principios de la función administrativa y de la gestión fiscal que orientan su actividad contractual. De esta forma, la capacidad residual debe ser entendida como un requisito que salvaguarda los citados principios ya que asegura una adecuada ejecución de los contratos en la medida en que busca que el proponente que ejecuta un contrato de obra pueda hacerlo de forma eficiente, sin que los contratos de obra adicionales que se encuentre ejecutando, le impidan cumplir la prestación para la satisfacción del interés general.</w:t>
      </w:r>
    </w:p>
    <w:p w14:paraId="14622926" w14:textId="77777777" w:rsidR="005510D6" w:rsidRPr="005510D6" w:rsidRDefault="005510D6" w:rsidP="005510D6">
      <w:pPr>
        <w:spacing w:after="0" w:line="240" w:lineRule="auto"/>
        <w:jc w:val="both"/>
        <w:rPr>
          <w:rFonts w:ascii="Verdana" w:eastAsia="Calibri" w:hAnsi="Verdana" w:cs="Times New Roman"/>
          <w:sz w:val="20"/>
          <w:szCs w:val="20"/>
        </w:rPr>
      </w:pPr>
    </w:p>
    <w:p w14:paraId="22F60102" w14:textId="195CDDCC" w:rsidR="004B198A" w:rsidRPr="005510D6" w:rsidRDefault="005510D6" w:rsidP="005510D6">
      <w:pPr>
        <w:spacing w:after="0" w:line="240" w:lineRule="auto"/>
        <w:jc w:val="both"/>
        <w:rPr>
          <w:rFonts w:ascii="Verdana" w:hAnsi="Verdana" w:cs="Arial"/>
          <w:bCs/>
          <w:sz w:val="20"/>
          <w:szCs w:val="20"/>
        </w:rPr>
      </w:pPr>
      <w:r w:rsidRPr="005510D6">
        <w:rPr>
          <w:rFonts w:ascii="Verdana" w:eastAsia="Calibri" w:hAnsi="Verdana" w:cs="Times New Roman"/>
          <w:sz w:val="20"/>
          <w:szCs w:val="20"/>
        </w:rPr>
        <w:t>Así pues, a pesar de que la capacidad residual no es un requisito que de forma obligatoria deban exigir las Empresas Sociales del Estado, el mismo sí resulta recomendable en cumplimiento de los principios de la función administrativa y de la gestión fiscal, para asegurar la adecuada ejecución de los contratos de obra por parte del contratista.</w:t>
      </w:r>
    </w:p>
    <w:p w14:paraId="2E60BDAD" w14:textId="77777777" w:rsidR="004B198A" w:rsidRDefault="004B198A" w:rsidP="00697766">
      <w:pPr>
        <w:spacing w:after="0" w:line="240" w:lineRule="auto"/>
        <w:jc w:val="both"/>
        <w:rPr>
          <w:rFonts w:ascii="Verdana" w:hAnsi="Verdana" w:cs="Arial"/>
          <w:bCs/>
          <w:sz w:val="20"/>
          <w:szCs w:val="20"/>
          <w:lang w:val="es-MX"/>
        </w:rPr>
      </w:pPr>
    </w:p>
    <w:p w14:paraId="0EDFC9FD" w14:textId="77777777" w:rsidR="004B198A" w:rsidRDefault="004B198A" w:rsidP="00697766">
      <w:pPr>
        <w:spacing w:after="0" w:line="240" w:lineRule="auto"/>
        <w:jc w:val="both"/>
        <w:rPr>
          <w:rFonts w:ascii="Verdana" w:hAnsi="Verdana" w:cs="Arial"/>
          <w:bCs/>
          <w:sz w:val="20"/>
          <w:szCs w:val="20"/>
          <w:lang w:val="es-MX"/>
        </w:rPr>
      </w:pPr>
    </w:p>
    <w:p w14:paraId="5C175F70" w14:textId="77777777" w:rsidR="004B198A" w:rsidRDefault="004B198A" w:rsidP="00697766">
      <w:pPr>
        <w:spacing w:after="0" w:line="240" w:lineRule="auto"/>
        <w:jc w:val="both"/>
        <w:rPr>
          <w:rFonts w:ascii="Verdana" w:hAnsi="Verdana" w:cs="Arial"/>
          <w:bCs/>
          <w:sz w:val="20"/>
          <w:szCs w:val="20"/>
          <w:lang w:val="es-MX"/>
        </w:rPr>
      </w:pPr>
    </w:p>
    <w:p w14:paraId="4C5C12FB" w14:textId="77777777" w:rsidR="004B198A" w:rsidRDefault="004B198A" w:rsidP="00697766">
      <w:pPr>
        <w:spacing w:after="0" w:line="240" w:lineRule="auto"/>
        <w:jc w:val="both"/>
        <w:rPr>
          <w:rFonts w:ascii="Verdana" w:hAnsi="Verdana" w:cs="Arial"/>
          <w:bCs/>
          <w:sz w:val="20"/>
          <w:szCs w:val="20"/>
          <w:lang w:val="es-MX"/>
        </w:rPr>
      </w:pPr>
    </w:p>
    <w:p w14:paraId="560B7011" w14:textId="77777777" w:rsidR="004B198A" w:rsidRDefault="004B198A" w:rsidP="00697766">
      <w:pPr>
        <w:spacing w:after="0" w:line="240" w:lineRule="auto"/>
        <w:jc w:val="both"/>
        <w:rPr>
          <w:rFonts w:ascii="Verdana" w:hAnsi="Verdana" w:cs="Arial"/>
          <w:bCs/>
          <w:sz w:val="20"/>
          <w:szCs w:val="20"/>
          <w:lang w:val="es-MX"/>
        </w:rPr>
      </w:pPr>
    </w:p>
    <w:p w14:paraId="49889F39" w14:textId="77777777" w:rsidR="004B198A" w:rsidRDefault="004B198A" w:rsidP="00697766">
      <w:pPr>
        <w:spacing w:after="0" w:line="240" w:lineRule="auto"/>
        <w:jc w:val="both"/>
        <w:rPr>
          <w:rFonts w:ascii="Verdana" w:hAnsi="Verdana" w:cs="Arial"/>
          <w:bCs/>
          <w:sz w:val="20"/>
          <w:szCs w:val="20"/>
          <w:lang w:val="es-MX"/>
        </w:rPr>
      </w:pPr>
    </w:p>
    <w:p w14:paraId="5966F788" w14:textId="77777777" w:rsidR="004B198A" w:rsidRDefault="004B198A" w:rsidP="00697766">
      <w:pPr>
        <w:spacing w:after="0" w:line="240" w:lineRule="auto"/>
        <w:jc w:val="both"/>
        <w:rPr>
          <w:rFonts w:ascii="Verdana" w:hAnsi="Verdana" w:cs="Arial"/>
          <w:bCs/>
          <w:sz w:val="20"/>
          <w:szCs w:val="20"/>
          <w:lang w:val="es-MX"/>
        </w:rPr>
      </w:pPr>
    </w:p>
    <w:p w14:paraId="640C6155" w14:textId="77777777" w:rsidR="004B198A" w:rsidRDefault="004B198A" w:rsidP="00697766">
      <w:pPr>
        <w:spacing w:after="0" w:line="240" w:lineRule="auto"/>
        <w:jc w:val="both"/>
        <w:rPr>
          <w:rFonts w:ascii="Verdana" w:hAnsi="Verdana" w:cs="Arial"/>
          <w:bCs/>
          <w:sz w:val="20"/>
          <w:szCs w:val="20"/>
          <w:lang w:val="es-MX"/>
        </w:rPr>
      </w:pPr>
    </w:p>
    <w:p w14:paraId="191A2524" w14:textId="77777777" w:rsidR="00363964" w:rsidRDefault="00363964" w:rsidP="00697766">
      <w:pPr>
        <w:spacing w:after="0" w:line="240" w:lineRule="auto"/>
        <w:jc w:val="both"/>
        <w:rPr>
          <w:rFonts w:ascii="Verdana" w:hAnsi="Verdana" w:cs="Arial"/>
          <w:bCs/>
          <w:sz w:val="20"/>
          <w:szCs w:val="20"/>
          <w:lang w:val="es-MX"/>
        </w:rPr>
      </w:pPr>
    </w:p>
    <w:p w14:paraId="365601E8" w14:textId="77777777" w:rsidR="00363964" w:rsidRDefault="00363964" w:rsidP="00697766">
      <w:pPr>
        <w:spacing w:after="0" w:line="240" w:lineRule="auto"/>
        <w:jc w:val="both"/>
        <w:rPr>
          <w:rFonts w:ascii="Verdana" w:hAnsi="Verdana" w:cs="Arial"/>
          <w:bCs/>
          <w:sz w:val="20"/>
          <w:szCs w:val="20"/>
          <w:lang w:val="es-MX"/>
        </w:rPr>
      </w:pPr>
    </w:p>
    <w:p w14:paraId="7E59EE14" w14:textId="77777777" w:rsidR="00363964" w:rsidRDefault="00363964" w:rsidP="00697766">
      <w:pPr>
        <w:spacing w:after="0" w:line="240" w:lineRule="auto"/>
        <w:jc w:val="both"/>
        <w:rPr>
          <w:rFonts w:ascii="Verdana" w:hAnsi="Verdana" w:cs="Arial"/>
          <w:bCs/>
          <w:sz w:val="20"/>
          <w:szCs w:val="20"/>
          <w:lang w:val="es-MX"/>
        </w:rPr>
      </w:pPr>
    </w:p>
    <w:p w14:paraId="71B0CE0F" w14:textId="77777777" w:rsidR="00363964" w:rsidRDefault="00363964" w:rsidP="00697766">
      <w:pPr>
        <w:spacing w:after="0" w:line="240" w:lineRule="auto"/>
        <w:jc w:val="both"/>
        <w:rPr>
          <w:rFonts w:ascii="Verdana" w:hAnsi="Verdana" w:cs="Arial"/>
          <w:bCs/>
          <w:sz w:val="20"/>
          <w:szCs w:val="20"/>
          <w:lang w:val="es-MX"/>
        </w:rPr>
      </w:pPr>
    </w:p>
    <w:p w14:paraId="6CD8F2F4" w14:textId="77777777" w:rsidR="00363964" w:rsidRDefault="00363964" w:rsidP="00697766">
      <w:pPr>
        <w:spacing w:after="0" w:line="240" w:lineRule="auto"/>
        <w:jc w:val="both"/>
        <w:rPr>
          <w:rFonts w:ascii="Verdana" w:hAnsi="Verdana" w:cs="Arial"/>
          <w:bCs/>
          <w:sz w:val="20"/>
          <w:szCs w:val="20"/>
          <w:lang w:val="es-MX"/>
        </w:rPr>
      </w:pPr>
    </w:p>
    <w:p w14:paraId="7F01050E" w14:textId="77777777" w:rsidR="00363964" w:rsidRDefault="00363964" w:rsidP="00697766">
      <w:pPr>
        <w:spacing w:after="0" w:line="240" w:lineRule="auto"/>
        <w:jc w:val="both"/>
        <w:rPr>
          <w:rFonts w:ascii="Verdana" w:hAnsi="Verdana" w:cs="Arial"/>
          <w:bCs/>
          <w:sz w:val="20"/>
          <w:szCs w:val="20"/>
          <w:lang w:val="es-MX"/>
        </w:rPr>
      </w:pPr>
    </w:p>
    <w:p w14:paraId="7357745B" w14:textId="77777777" w:rsidR="00363964" w:rsidRDefault="00363964" w:rsidP="00697766">
      <w:pPr>
        <w:spacing w:after="0" w:line="240" w:lineRule="auto"/>
        <w:jc w:val="both"/>
        <w:rPr>
          <w:rFonts w:ascii="Verdana" w:hAnsi="Verdana" w:cs="Arial"/>
          <w:bCs/>
          <w:sz w:val="20"/>
          <w:szCs w:val="20"/>
          <w:lang w:val="es-MX"/>
        </w:rPr>
      </w:pPr>
    </w:p>
    <w:p w14:paraId="74FB7C29" w14:textId="77777777" w:rsidR="00363964" w:rsidRDefault="00363964" w:rsidP="00697766">
      <w:pPr>
        <w:spacing w:after="0" w:line="240" w:lineRule="auto"/>
        <w:jc w:val="both"/>
        <w:rPr>
          <w:rFonts w:ascii="Verdana" w:hAnsi="Verdana" w:cs="Arial"/>
          <w:bCs/>
          <w:sz w:val="20"/>
          <w:szCs w:val="20"/>
          <w:lang w:val="es-MX"/>
        </w:rPr>
      </w:pPr>
    </w:p>
    <w:p w14:paraId="6D0DB23C" w14:textId="77777777" w:rsidR="00363964" w:rsidRDefault="00363964" w:rsidP="00697766">
      <w:pPr>
        <w:spacing w:after="0" w:line="240" w:lineRule="auto"/>
        <w:jc w:val="both"/>
        <w:rPr>
          <w:rFonts w:ascii="Verdana" w:hAnsi="Verdana" w:cs="Arial"/>
          <w:bCs/>
          <w:sz w:val="20"/>
          <w:szCs w:val="20"/>
          <w:lang w:val="es-MX"/>
        </w:rPr>
      </w:pPr>
    </w:p>
    <w:p w14:paraId="2A6CC95D" w14:textId="77777777" w:rsidR="00363964" w:rsidRDefault="00363964" w:rsidP="00697766">
      <w:pPr>
        <w:spacing w:after="0" w:line="240" w:lineRule="auto"/>
        <w:jc w:val="both"/>
        <w:rPr>
          <w:rFonts w:ascii="Verdana" w:hAnsi="Verdana" w:cs="Arial"/>
          <w:bCs/>
          <w:sz w:val="20"/>
          <w:szCs w:val="20"/>
          <w:lang w:val="es-MX"/>
        </w:rPr>
      </w:pPr>
    </w:p>
    <w:p w14:paraId="6440F2D6" w14:textId="77777777" w:rsidR="00363964" w:rsidRDefault="00363964" w:rsidP="00697766">
      <w:pPr>
        <w:spacing w:after="0" w:line="240" w:lineRule="auto"/>
        <w:jc w:val="both"/>
        <w:rPr>
          <w:rFonts w:ascii="Verdana" w:hAnsi="Verdana" w:cs="Arial"/>
          <w:bCs/>
          <w:sz w:val="20"/>
          <w:szCs w:val="20"/>
          <w:lang w:val="es-MX"/>
        </w:rPr>
      </w:pPr>
    </w:p>
    <w:p w14:paraId="0E43697A" w14:textId="77777777" w:rsidR="00363964" w:rsidRDefault="00363964" w:rsidP="00697766">
      <w:pPr>
        <w:spacing w:after="0" w:line="240" w:lineRule="auto"/>
        <w:jc w:val="both"/>
        <w:rPr>
          <w:rFonts w:ascii="Verdana" w:hAnsi="Verdana" w:cs="Arial"/>
          <w:bCs/>
          <w:sz w:val="20"/>
          <w:szCs w:val="20"/>
          <w:lang w:val="es-MX"/>
        </w:rPr>
      </w:pPr>
    </w:p>
    <w:p w14:paraId="01A9853A" w14:textId="77777777" w:rsidR="00363964" w:rsidRDefault="00363964" w:rsidP="00697766">
      <w:pPr>
        <w:spacing w:after="0" w:line="240" w:lineRule="auto"/>
        <w:jc w:val="both"/>
        <w:rPr>
          <w:rFonts w:ascii="Verdana" w:hAnsi="Verdana" w:cs="Arial"/>
          <w:bCs/>
          <w:sz w:val="20"/>
          <w:szCs w:val="20"/>
          <w:lang w:val="es-MX"/>
        </w:rPr>
      </w:pPr>
    </w:p>
    <w:p w14:paraId="0A18981D" w14:textId="77777777" w:rsidR="00363964" w:rsidRDefault="00363964" w:rsidP="00697766">
      <w:pPr>
        <w:spacing w:after="0" w:line="240" w:lineRule="auto"/>
        <w:jc w:val="both"/>
        <w:rPr>
          <w:rFonts w:ascii="Verdana" w:hAnsi="Verdana" w:cs="Arial"/>
          <w:bCs/>
          <w:sz w:val="20"/>
          <w:szCs w:val="20"/>
          <w:lang w:val="es-MX"/>
        </w:rPr>
      </w:pPr>
    </w:p>
    <w:p w14:paraId="4C7BBA9A" w14:textId="77777777" w:rsidR="00363964" w:rsidRDefault="00363964" w:rsidP="00697766">
      <w:pPr>
        <w:spacing w:after="0" w:line="240" w:lineRule="auto"/>
        <w:jc w:val="both"/>
        <w:rPr>
          <w:rFonts w:ascii="Verdana" w:hAnsi="Verdana" w:cs="Arial"/>
          <w:bCs/>
          <w:sz w:val="20"/>
          <w:szCs w:val="20"/>
          <w:lang w:val="es-MX"/>
        </w:rPr>
      </w:pPr>
    </w:p>
    <w:p w14:paraId="5F4E7608" w14:textId="77777777" w:rsidR="00363964" w:rsidRDefault="00363964" w:rsidP="00697766">
      <w:pPr>
        <w:spacing w:after="0" w:line="240" w:lineRule="auto"/>
        <w:jc w:val="both"/>
        <w:rPr>
          <w:rFonts w:ascii="Verdana" w:hAnsi="Verdana" w:cs="Arial"/>
          <w:bCs/>
          <w:sz w:val="20"/>
          <w:szCs w:val="20"/>
          <w:lang w:val="es-MX"/>
        </w:rPr>
      </w:pPr>
    </w:p>
    <w:p w14:paraId="7A99515A" w14:textId="77777777" w:rsidR="00363964" w:rsidRDefault="00363964" w:rsidP="00697766">
      <w:pPr>
        <w:spacing w:after="0" w:line="240" w:lineRule="auto"/>
        <w:jc w:val="both"/>
        <w:rPr>
          <w:rFonts w:ascii="Verdana" w:hAnsi="Verdana" w:cs="Arial"/>
          <w:bCs/>
          <w:sz w:val="20"/>
          <w:szCs w:val="20"/>
          <w:lang w:val="es-MX"/>
        </w:rPr>
      </w:pPr>
    </w:p>
    <w:p w14:paraId="2B6B200B" w14:textId="77777777" w:rsidR="00363964" w:rsidRDefault="00363964" w:rsidP="00697766">
      <w:pPr>
        <w:spacing w:after="0" w:line="240" w:lineRule="auto"/>
        <w:jc w:val="both"/>
        <w:rPr>
          <w:rFonts w:ascii="Verdana" w:hAnsi="Verdana" w:cs="Arial"/>
          <w:bCs/>
          <w:sz w:val="20"/>
          <w:szCs w:val="20"/>
          <w:lang w:val="es-MX"/>
        </w:rPr>
      </w:pPr>
    </w:p>
    <w:p w14:paraId="0060B749" w14:textId="77777777" w:rsidR="00363964" w:rsidRDefault="00363964" w:rsidP="00697766">
      <w:pPr>
        <w:spacing w:after="0" w:line="240" w:lineRule="auto"/>
        <w:jc w:val="both"/>
        <w:rPr>
          <w:rFonts w:ascii="Verdana" w:hAnsi="Verdana" w:cs="Arial"/>
          <w:bCs/>
          <w:sz w:val="20"/>
          <w:szCs w:val="20"/>
          <w:lang w:val="es-MX"/>
        </w:rPr>
      </w:pPr>
    </w:p>
    <w:p w14:paraId="4850EBE8" w14:textId="77777777" w:rsidR="00363964" w:rsidRDefault="00363964" w:rsidP="00697766">
      <w:pPr>
        <w:spacing w:after="0" w:line="240" w:lineRule="auto"/>
        <w:jc w:val="both"/>
        <w:rPr>
          <w:rFonts w:ascii="Verdana" w:hAnsi="Verdana" w:cs="Arial"/>
          <w:bCs/>
          <w:sz w:val="20"/>
          <w:szCs w:val="20"/>
          <w:lang w:val="es-MX"/>
        </w:rPr>
      </w:pPr>
    </w:p>
    <w:p w14:paraId="60350DA3" w14:textId="77777777" w:rsidR="00363964" w:rsidRDefault="00363964" w:rsidP="00697766">
      <w:pPr>
        <w:spacing w:after="0" w:line="240" w:lineRule="auto"/>
        <w:jc w:val="both"/>
        <w:rPr>
          <w:rFonts w:ascii="Verdana" w:hAnsi="Verdana" w:cs="Arial"/>
          <w:bCs/>
          <w:sz w:val="20"/>
          <w:szCs w:val="20"/>
          <w:lang w:val="es-MX"/>
        </w:rPr>
      </w:pPr>
    </w:p>
    <w:p w14:paraId="604CBA0F" w14:textId="77777777" w:rsidR="00363964" w:rsidRDefault="00363964" w:rsidP="00697766">
      <w:pPr>
        <w:spacing w:after="0" w:line="240" w:lineRule="auto"/>
        <w:jc w:val="both"/>
        <w:rPr>
          <w:rFonts w:ascii="Verdana" w:hAnsi="Verdana" w:cs="Arial"/>
          <w:bCs/>
          <w:sz w:val="20"/>
          <w:szCs w:val="20"/>
          <w:lang w:val="es-MX"/>
        </w:rPr>
      </w:pPr>
    </w:p>
    <w:p w14:paraId="49CF0C72" w14:textId="77777777" w:rsidR="00363964" w:rsidRDefault="00363964" w:rsidP="00697766">
      <w:pPr>
        <w:spacing w:after="0" w:line="240" w:lineRule="auto"/>
        <w:jc w:val="both"/>
        <w:rPr>
          <w:rFonts w:ascii="Verdana" w:hAnsi="Verdana" w:cs="Arial"/>
          <w:bCs/>
          <w:sz w:val="20"/>
          <w:szCs w:val="20"/>
          <w:lang w:val="es-MX"/>
        </w:rPr>
      </w:pPr>
    </w:p>
    <w:p w14:paraId="6888D15B" w14:textId="77777777" w:rsidR="00363964" w:rsidRDefault="00363964" w:rsidP="00697766">
      <w:pPr>
        <w:spacing w:after="0" w:line="240" w:lineRule="auto"/>
        <w:jc w:val="both"/>
        <w:rPr>
          <w:rFonts w:ascii="Verdana" w:hAnsi="Verdana" w:cs="Arial"/>
          <w:bCs/>
          <w:sz w:val="20"/>
          <w:szCs w:val="20"/>
          <w:lang w:val="es-MX"/>
        </w:rPr>
      </w:pPr>
    </w:p>
    <w:p w14:paraId="6C47112A" w14:textId="77777777" w:rsidR="00363964" w:rsidRDefault="00363964" w:rsidP="00697766">
      <w:pPr>
        <w:spacing w:after="0" w:line="240" w:lineRule="auto"/>
        <w:jc w:val="both"/>
        <w:rPr>
          <w:rFonts w:ascii="Verdana" w:hAnsi="Verdana" w:cs="Arial"/>
          <w:bCs/>
          <w:sz w:val="20"/>
          <w:szCs w:val="20"/>
          <w:lang w:val="es-MX"/>
        </w:rPr>
      </w:pPr>
    </w:p>
    <w:bookmarkEnd w:id="0"/>
    <w:p w14:paraId="379B53C9" w14:textId="2120B5E0" w:rsidR="00697766" w:rsidRDefault="003C5CB1" w:rsidP="00697766">
      <w:pPr>
        <w:spacing w:after="0" w:line="240" w:lineRule="auto"/>
        <w:jc w:val="both"/>
        <w:rPr>
          <w:rFonts w:ascii="Verdana" w:hAnsi="Verdana"/>
        </w:rPr>
      </w:pPr>
      <w:r w:rsidRPr="003C5CB1">
        <w:rPr>
          <w:rFonts w:ascii="Verdana" w:hAnsi="Verdana"/>
        </w:rPr>
        <w:lastRenderedPageBreak/>
        <w:t xml:space="preserve">Bogotá D.C., </w:t>
      </w:r>
      <w:r w:rsidR="009E539D">
        <w:rPr>
          <w:rFonts w:ascii="Verdana" w:hAnsi="Verdana"/>
        </w:rPr>
        <w:t>11 de febrero de 2026</w:t>
      </w:r>
    </w:p>
    <w:p w14:paraId="10B31C36" w14:textId="77777777" w:rsidR="009E539D" w:rsidRDefault="009E539D" w:rsidP="00697766">
      <w:pPr>
        <w:spacing w:after="0" w:line="240" w:lineRule="auto"/>
        <w:jc w:val="both"/>
        <w:rPr>
          <w:rFonts w:ascii="Verdana" w:hAnsi="Verdana"/>
        </w:rPr>
      </w:pPr>
    </w:p>
    <w:p w14:paraId="4291B676" w14:textId="0980B087" w:rsidR="009E539D" w:rsidRDefault="009E539D" w:rsidP="009E539D">
      <w:pPr>
        <w:spacing w:after="0" w:line="240" w:lineRule="auto"/>
        <w:jc w:val="right"/>
        <w:rPr>
          <w:rFonts w:ascii="Verdana" w:hAnsi="Verdana" w:cs="Arial"/>
          <w:lang w:eastAsia="es-ES"/>
        </w:rPr>
      </w:pPr>
      <w:r w:rsidRPr="009E539D">
        <w:rPr>
          <w:rFonts w:ascii="Verdana" w:hAnsi="Verdana" w:cs="Arial"/>
          <w:lang w:eastAsia="es-ES"/>
        </w:rPr>
        <w:drawing>
          <wp:inline distT="0" distB="0" distL="0" distR="0" wp14:anchorId="2900ED35" wp14:editId="34B3D161">
            <wp:extent cx="3658111" cy="990738"/>
            <wp:effectExtent l="0" t="0" r="0" b="0"/>
            <wp:docPr id="123114527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145279" name="Imagen 1" descr="Texto&#10;&#10;El contenido generado por IA puede ser incorrecto."/>
                    <pic:cNvPicPr/>
                  </pic:nvPicPr>
                  <pic:blipFill>
                    <a:blip r:embed="rId10"/>
                    <a:stretch>
                      <a:fillRect/>
                    </a:stretch>
                  </pic:blipFill>
                  <pic:spPr>
                    <a:xfrm>
                      <a:off x="0" y="0"/>
                      <a:ext cx="3658111" cy="990738"/>
                    </a:xfrm>
                    <a:prstGeom prst="rect">
                      <a:avLst/>
                    </a:prstGeom>
                  </pic:spPr>
                </pic:pic>
              </a:graphicData>
            </a:graphic>
          </wp:inline>
        </w:drawing>
      </w:r>
    </w:p>
    <w:p w14:paraId="5CEA191D" w14:textId="33F6991B" w:rsidR="00697766" w:rsidRDefault="00697766" w:rsidP="00697766">
      <w:pPr>
        <w:spacing w:after="0" w:line="240" w:lineRule="auto"/>
        <w:jc w:val="both"/>
        <w:rPr>
          <w:rFonts w:ascii="Verdana" w:hAnsi="Verdana" w:cs="Arial"/>
          <w:lang w:eastAsia="es-ES"/>
        </w:rPr>
      </w:pPr>
    </w:p>
    <w:p w14:paraId="1BD2583C" w14:textId="4AEB3135" w:rsidR="00697766" w:rsidRDefault="00697766" w:rsidP="00FC01C6">
      <w:pPr>
        <w:spacing w:after="0" w:line="276" w:lineRule="auto"/>
        <w:jc w:val="both"/>
        <w:rPr>
          <w:rFonts w:ascii="Verdana" w:hAnsi="Verdana" w:cs="Arial"/>
          <w:lang w:eastAsia="es-ES"/>
        </w:rPr>
      </w:pPr>
      <w:r>
        <w:rPr>
          <w:rFonts w:ascii="Verdana" w:hAnsi="Verdana" w:cs="Arial"/>
          <w:lang w:eastAsia="es-ES"/>
        </w:rPr>
        <w:t>Señor</w:t>
      </w:r>
    </w:p>
    <w:p w14:paraId="6F8FC272" w14:textId="52C4D520" w:rsidR="00697766" w:rsidRDefault="00A715FD" w:rsidP="00FC01C6">
      <w:pPr>
        <w:spacing w:after="0" w:line="276" w:lineRule="auto"/>
        <w:jc w:val="both"/>
        <w:rPr>
          <w:rFonts w:ascii="Verdana" w:hAnsi="Verdana" w:cs="Arial"/>
          <w:b/>
          <w:bCs/>
          <w:lang w:eastAsia="es-ES"/>
        </w:rPr>
      </w:pPr>
      <w:r>
        <w:rPr>
          <w:rFonts w:ascii="Verdana" w:hAnsi="Verdana" w:cs="Arial"/>
          <w:b/>
          <w:bCs/>
          <w:lang w:eastAsia="es-ES"/>
        </w:rPr>
        <w:t>Carlos Andrés Pérez Chacón</w:t>
      </w:r>
    </w:p>
    <w:p w14:paraId="486EEDD9" w14:textId="67ED5E1F" w:rsidR="0001604E" w:rsidRPr="0001604E" w:rsidRDefault="0001604E" w:rsidP="0001604E">
      <w:pPr>
        <w:spacing w:after="0" w:line="276" w:lineRule="auto"/>
        <w:jc w:val="both"/>
        <w:rPr>
          <w:rFonts w:ascii="Verdana" w:hAnsi="Verdana" w:cs="Arial"/>
          <w:lang w:eastAsia="es-ES"/>
        </w:rPr>
      </w:pPr>
      <w:hyperlink r:id="rId11" w:history="1">
        <w:r w:rsidRPr="0001604E">
          <w:rPr>
            <w:rFonts w:ascii="Verdana" w:hAnsi="Verdana" w:cs="Arial"/>
            <w:lang w:eastAsia="es-ES"/>
          </w:rPr>
          <w:t>perezchaconabogado@outlook.co</w:t>
        </w:r>
      </w:hyperlink>
    </w:p>
    <w:p w14:paraId="633E1E3F" w14:textId="262A864D" w:rsidR="00697766" w:rsidRPr="00C56C01" w:rsidRDefault="00A715FD" w:rsidP="0001604E">
      <w:pPr>
        <w:spacing w:after="0" w:line="276" w:lineRule="auto"/>
        <w:jc w:val="both"/>
        <w:rPr>
          <w:rFonts w:ascii="Verdana" w:hAnsi="Verdana" w:cs="Arial"/>
          <w:lang w:eastAsia="es-ES"/>
        </w:rPr>
      </w:pPr>
      <w:r>
        <w:rPr>
          <w:rFonts w:ascii="Verdana" w:hAnsi="Verdana" w:cs="Arial"/>
          <w:lang w:eastAsia="es-ES"/>
        </w:rPr>
        <w:t>Mocoa, Putumayo</w:t>
      </w:r>
    </w:p>
    <w:p w14:paraId="611B3DE9" w14:textId="77777777" w:rsidR="00697766" w:rsidRPr="00C56C01" w:rsidRDefault="00697766" w:rsidP="00697766">
      <w:pPr>
        <w:spacing w:after="0" w:line="240" w:lineRule="auto"/>
        <w:rPr>
          <w:rFonts w:ascii="Verdana" w:hAnsi="Verdana" w:cs="Arial"/>
          <w:b/>
          <w:bCs/>
          <w:color w:val="000000"/>
          <w:lang w:eastAsia="es-ES_tradnl"/>
        </w:rPr>
      </w:pPr>
    </w:p>
    <w:p w14:paraId="6D230A7A" w14:textId="77777777" w:rsidR="00697766" w:rsidRPr="00C56C01" w:rsidRDefault="00697766" w:rsidP="00697766">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697766" w:rsidRPr="00A869FE" w14:paraId="4AF8DD70" w14:textId="77777777" w:rsidTr="000047C2">
        <w:trPr>
          <w:trHeight w:val="633"/>
        </w:trPr>
        <w:tc>
          <w:tcPr>
            <w:tcW w:w="2689" w:type="dxa"/>
          </w:tcPr>
          <w:p w14:paraId="7455EDAB" w14:textId="77777777" w:rsidR="00697766" w:rsidRPr="00C56C01" w:rsidRDefault="00697766" w:rsidP="000047C2">
            <w:pPr>
              <w:jc w:val="both"/>
              <w:rPr>
                <w:rFonts w:ascii="Verdana" w:hAnsi="Verdana" w:cs="Arial"/>
                <w:b/>
                <w:bCs/>
                <w:color w:val="7030A0"/>
                <w:lang w:eastAsia="es-ES_tradnl"/>
              </w:rPr>
            </w:pPr>
          </w:p>
        </w:tc>
        <w:tc>
          <w:tcPr>
            <w:tcW w:w="6100" w:type="dxa"/>
          </w:tcPr>
          <w:p w14:paraId="1F8BA2FF" w14:textId="5AC0DD4C" w:rsidR="00697766" w:rsidRPr="00A869FE" w:rsidRDefault="00697766" w:rsidP="000047C2">
            <w:pPr>
              <w:jc w:val="both"/>
              <w:rPr>
                <w:rFonts w:ascii="Verdana" w:hAnsi="Verdana" w:cs="Arial"/>
                <w:b/>
                <w:bCs/>
                <w:color w:val="7030A0"/>
                <w:lang w:eastAsia="es-ES"/>
              </w:rPr>
            </w:pPr>
            <w:r w:rsidRPr="00A869FE">
              <w:rPr>
                <w:rFonts w:ascii="Verdana" w:hAnsi="Verdana" w:cs="Arial"/>
                <w:b/>
                <w:bCs/>
                <w:lang w:eastAsia="es-ES"/>
              </w:rPr>
              <w:t xml:space="preserve">Concepto C – </w:t>
            </w:r>
            <w:r w:rsidR="004B198A">
              <w:rPr>
                <w:rFonts w:ascii="Verdana" w:hAnsi="Verdana" w:cs="Arial"/>
                <w:b/>
                <w:bCs/>
                <w:lang w:eastAsia="es-ES"/>
              </w:rPr>
              <w:t>023</w:t>
            </w:r>
            <w:r w:rsidRPr="00A869FE">
              <w:rPr>
                <w:rFonts w:ascii="Verdana" w:hAnsi="Verdana" w:cs="Arial"/>
                <w:b/>
                <w:bCs/>
                <w:lang w:eastAsia="es-ES"/>
              </w:rPr>
              <w:t xml:space="preserve"> de 202</w:t>
            </w:r>
            <w:r w:rsidR="004B198A">
              <w:rPr>
                <w:rFonts w:ascii="Verdana" w:hAnsi="Verdana" w:cs="Arial"/>
                <w:b/>
                <w:bCs/>
                <w:lang w:eastAsia="es-ES"/>
              </w:rPr>
              <w:t>6</w:t>
            </w:r>
          </w:p>
        </w:tc>
      </w:tr>
      <w:tr w:rsidR="00697766" w:rsidRPr="00A869FE" w14:paraId="76D07017" w14:textId="77777777" w:rsidTr="000047C2">
        <w:trPr>
          <w:trHeight w:val="884"/>
        </w:trPr>
        <w:tc>
          <w:tcPr>
            <w:tcW w:w="2689" w:type="dxa"/>
          </w:tcPr>
          <w:p w14:paraId="4853F27F" w14:textId="77777777" w:rsidR="00697766" w:rsidRPr="00034E0F" w:rsidRDefault="00697766" w:rsidP="000047C2">
            <w:pPr>
              <w:jc w:val="both"/>
              <w:rPr>
                <w:rFonts w:ascii="Verdana" w:hAnsi="Verdana" w:cs="Arial"/>
                <w:color w:val="000000"/>
                <w:lang w:eastAsia="es-ES_tradnl"/>
              </w:rPr>
            </w:pPr>
            <w:r w:rsidRPr="00034E0F">
              <w:rPr>
                <w:rFonts w:ascii="Verdana" w:hAnsi="Verdana" w:cs="Arial"/>
                <w:b/>
                <w:color w:val="000000"/>
                <w:lang w:eastAsia="es-ES_tradnl"/>
              </w:rPr>
              <w:t>Temas:</w:t>
            </w:r>
            <w:r w:rsidRPr="00034E0F">
              <w:rPr>
                <w:rFonts w:ascii="Verdana" w:hAnsi="Verdana" w:cs="Arial"/>
                <w:color w:val="000000"/>
                <w:lang w:eastAsia="es-ES_tradnl"/>
              </w:rPr>
              <w:t xml:space="preserve">                   </w:t>
            </w:r>
          </w:p>
        </w:tc>
        <w:tc>
          <w:tcPr>
            <w:tcW w:w="6100" w:type="dxa"/>
          </w:tcPr>
          <w:p w14:paraId="00E89CB5" w14:textId="143C4A0E" w:rsidR="00697766" w:rsidRPr="00034E0F" w:rsidRDefault="00661EC4" w:rsidP="00B04839">
            <w:pPr>
              <w:jc w:val="both"/>
              <w:rPr>
                <w:rFonts w:ascii="Verdana" w:eastAsia="Calibri" w:hAnsi="Verdana" w:cs="Arial"/>
                <w:lang w:eastAsia="es-ES"/>
              </w:rPr>
            </w:pPr>
            <w:r w:rsidRPr="00034E0F">
              <w:rPr>
                <w:rFonts w:ascii="Verdana" w:eastAsia="Calibri" w:hAnsi="Verdana" w:cs="Calibri"/>
                <w:lang w:val="es-ES"/>
              </w:rPr>
              <w:t xml:space="preserve">CAPACIDAD RESIDUAL – Definición / </w:t>
            </w:r>
            <w:r w:rsidRPr="00034E0F">
              <w:rPr>
                <w:rFonts w:ascii="Verdana" w:eastAsia="Calibri" w:hAnsi="Verdana" w:cs="Calibri"/>
                <w:bCs/>
                <w:lang w:val="es-ES_tradnl"/>
              </w:rPr>
              <w:t xml:space="preserve">CAPACIDAD RESIDUAL – Documentos requeridos – Cálculo / </w:t>
            </w:r>
            <w:r w:rsidR="00034E0F" w:rsidRPr="00034E0F">
              <w:rPr>
                <w:rFonts w:ascii="Verdana" w:eastAsia="Calibri" w:hAnsi="Verdana" w:cs="Calibri"/>
                <w:lang w:val="es-ES"/>
              </w:rPr>
              <w:t>CAPACIDAD RESIDUAL – Empresas sociales del Estado – Aplicación</w:t>
            </w:r>
          </w:p>
        </w:tc>
      </w:tr>
      <w:tr w:rsidR="00697766" w:rsidRPr="00A869FE" w14:paraId="2C0EAD7E" w14:textId="77777777" w:rsidTr="000047C2">
        <w:tc>
          <w:tcPr>
            <w:tcW w:w="2689" w:type="dxa"/>
          </w:tcPr>
          <w:p w14:paraId="3569263B" w14:textId="77777777" w:rsidR="00697766" w:rsidRPr="00A869FE" w:rsidRDefault="00697766" w:rsidP="000047C2">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1DEC7ED3" w14:textId="73701AF4" w:rsidR="00697766" w:rsidRPr="0087731B" w:rsidRDefault="00697766" w:rsidP="00B04839">
            <w:pPr>
              <w:jc w:val="both"/>
              <w:rPr>
                <w:rFonts w:ascii="Verdana" w:hAnsi="Verdana" w:cs="Arial"/>
                <w:lang w:eastAsia="es-ES_tradnl"/>
              </w:rPr>
            </w:pPr>
            <w:r w:rsidRPr="00A869FE">
              <w:rPr>
                <w:rFonts w:ascii="Verdana" w:hAnsi="Verdana" w:cs="Arial"/>
                <w:lang w:eastAsia="es-ES_tradnl"/>
              </w:rPr>
              <w:t xml:space="preserve">Respuesta a la consulta con radicado No. </w:t>
            </w:r>
            <w:r w:rsidR="007668E9" w:rsidRPr="007668E9">
              <w:rPr>
                <w:rFonts w:ascii="Verdana" w:hAnsi="Verdana" w:cs="Arial"/>
                <w:lang w:eastAsia="es-ES_tradnl"/>
              </w:rPr>
              <w:t>1_2026_01_08_000188</w:t>
            </w:r>
          </w:p>
          <w:p w14:paraId="14CA32E1" w14:textId="77777777" w:rsidR="00697766" w:rsidRPr="00A869FE" w:rsidRDefault="00697766" w:rsidP="00B04839">
            <w:pPr>
              <w:jc w:val="both"/>
              <w:rPr>
                <w:rFonts w:ascii="Verdana" w:hAnsi="Verdana" w:cs="Arial"/>
                <w:lang w:eastAsia="es-ES_tradnl"/>
              </w:rPr>
            </w:pPr>
          </w:p>
        </w:tc>
      </w:tr>
    </w:tbl>
    <w:p w14:paraId="4A2286C0" w14:textId="77777777" w:rsidR="00697766" w:rsidRPr="00A869FE" w:rsidRDefault="00697766" w:rsidP="00697766">
      <w:pPr>
        <w:spacing w:after="0" w:line="240" w:lineRule="auto"/>
        <w:jc w:val="both"/>
        <w:rPr>
          <w:rFonts w:ascii="Verdana" w:hAnsi="Verdana" w:cs="Arial"/>
          <w:color w:val="000000"/>
          <w:lang w:eastAsia="es-ES_tradnl"/>
        </w:rPr>
      </w:pPr>
    </w:p>
    <w:p w14:paraId="299854A2" w14:textId="620F8A52" w:rsidR="00697766" w:rsidRPr="00A869FE" w:rsidRDefault="00697766" w:rsidP="00697766">
      <w:pPr>
        <w:spacing w:after="0" w:line="276" w:lineRule="auto"/>
        <w:jc w:val="both"/>
        <w:rPr>
          <w:rFonts w:ascii="Verdana" w:hAnsi="Verdana" w:cs="Arial"/>
          <w:lang w:eastAsia="es-ES"/>
        </w:rPr>
      </w:pPr>
      <w:r w:rsidRPr="00A869FE">
        <w:rPr>
          <w:rFonts w:ascii="Verdana" w:hAnsi="Verdana" w:cs="Arial"/>
          <w:lang w:eastAsia="es-ES"/>
        </w:rPr>
        <w:t>Estimad</w:t>
      </w:r>
      <w:r w:rsidR="00D0245F">
        <w:rPr>
          <w:rFonts w:ascii="Verdana" w:hAnsi="Verdana" w:cs="Arial"/>
          <w:lang w:eastAsia="es-ES"/>
        </w:rPr>
        <w:t>o</w:t>
      </w:r>
      <w:r>
        <w:rPr>
          <w:rFonts w:ascii="Verdana" w:hAnsi="Verdana" w:cs="Arial"/>
          <w:lang w:eastAsia="es-ES"/>
        </w:rPr>
        <w:t xml:space="preserve"> </w:t>
      </w:r>
      <w:r w:rsidR="00A27B80">
        <w:rPr>
          <w:rFonts w:ascii="Verdana" w:hAnsi="Verdana" w:cs="Arial"/>
          <w:lang w:eastAsia="es-ES"/>
        </w:rPr>
        <w:t>S</w:t>
      </w:r>
      <w:r>
        <w:rPr>
          <w:rFonts w:ascii="Verdana" w:hAnsi="Verdana" w:cs="Arial"/>
          <w:lang w:eastAsia="es-ES"/>
        </w:rPr>
        <w:t xml:space="preserve">eñor </w:t>
      </w:r>
      <w:r w:rsidR="00D0245F">
        <w:rPr>
          <w:rFonts w:ascii="Verdana" w:hAnsi="Verdana" w:cs="Arial"/>
          <w:lang w:eastAsia="es-ES"/>
        </w:rPr>
        <w:t>Pérez</w:t>
      </w:r>
      <w:r>
        <w:rPr>
          <w:rFonts w:ascii="Verdana" w:hAnsi="Verdana" w:cs="Arial"/>
          <w:lang w:eastAsia="es-ES"/>
        </w:rPr>
        <w:t>,</w:t>
      </w:r>
    </w:p>
    <w:p w14:paraId="53F39F5F" w14:textId="77777777" w:rsidR="00697766" w:rsidRDefault="00697766" w:rsidP="0069776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435D528" w14:textId="5B3346CC" w:rsidR="00697766" w:rsidRDefault="00697766" w:rsidP="00697766">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radicada por usted el </w:t>
      </w:r>
      <w:r w:rsidR="007668E9">
        <w:rPr>
          <w:rFonts w:ascii="Verdana" w:eastAsia="Calibri" w:hAnsi="Verdana" w:cs="Arial"/>
          <w:lang w:val="es-ES" w:eastAsia="es-ES"/>
        </w:rPr>
        <w:t>8</w:t>
      </w:r>
      <w:r>
        <w:rPr>
          <w:rFonts w:ascii="Verdana" w:eastAsia="Calibri" w:hAnsi="Verdana" w:cs="Arial"/>
          <w:lang w:val="es-ES" w:eastAsia="es-ES"/>
        </w:rPr>
        <w:t xml:space="preserve"> de </w:t>
      </w:r>
      <w:r w:rsidR="007668E9">
        <w:rPr>
          <w:rFonts w:ascii="Verdana" w:eastAsia="Calibri" w:hAnsi="Verdana" w:cs="Arial"/>
          <w:lang w:val="es-ES" w:eastAsia="es-ES"/>
        </w:rPr>
        <w:t>enero</w:t>
      </w:r>
      <w:r>
        <w:rPr>
          <w:rFonts w:ascii="Verdana" w:eastAsia="Calibri" w:hAnsi="Verdana" w:cs="Arial"/>
          <w:lang w:val="es-ES" w:eastAsia="es-ES"/>
        </w:rPr>
        <w:t xml:space="preserve"> de 202</w:t>
      </w:r>
      <w:r w:rsidR="007668E9">
        <w:rPr>
          <w:rFonts w:ascii="Verdana" w:eastAsia="Calibri" w:hAnsi="Verdana" w:cs="Arial"/>
          <w:lang w:val="es-ES" w:eastAsia="es-ES"/>
        </w:rPr>
        <w:t>6</w:t>
      </w:r>
      <w:r>
        <w:rPr>
          <w:rFonts w:ascii="Verdana" w:eastAsia="Calibri" w:hAnsi="Verdana" w:cs="Arial"/>
          <w:lang w:val="es-ES" w:eastAsia="es-ES"/>
        </w:rPr>
        <w:t xml:space="preserve">, en la cual manifiesta lo siguiente: </w:t>
      </w:r>
    </w:p>
    <w:p w14:paraId="603F2A9C" w14:textId="77777777" w:rsidR="00697766" w:rsidRPr="00D54CA0" w:rsidRDefault="00697766" w:rsidP="0069776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4553573" w14:textId="4BE028EB" w:rsidR="00204ACE" w:rsidRPr="00204ACE" w:rsidRDefault="00697766" w:rsidP="00204ACE">
      <w:pPr>
        <w:spacing w:after="120" w:line="240" w:lineRule="auto"/>
        <w:ind w:left="709" w:right="709"/>
        <w:jc w:val="both"/>
        <w:rPr>
          <w:rFonts w:ascii="Verdana" w:eastAsia="Calibri" w:hAnsi="Verdana" w:cs="Arial"/>
          <w:i/>
          <w:iCs/>
          <w:color w:val="000000"/>
          <w:sz w:val="21"/>
          <w:szCs w:val="21"/>
          <w:lang w:val="es-ES" w:eastAsia="es-ES"/>
        </w:rPr>
      </w:pPr>
      <w:r w:rsidRPr="00204ACE">
        <w:rPr>
          <w:rFonts w:ascii="Verdana" w:eastAsia="Calibri" w:hAnsi="Verdana" w:cs="Arial"/>
          <w:i/>
          <w:iCs/>
          <w:color w:val="000000"/>
          <w:sz w:val="21"/>
          <w:szCs w:val="21"/>
          <w:lang w:val="es-ES" w:eastAsia="es-ES"/>
        </w:rPr>
        <w:t>“</w:t>
      </w:r>
      <w:r w:rsidR="00B46005" w:rsidRPr="00204ACE">
        <w:rPr>
          <w:rFonts w:ascii="Verdana" w:eastAsia="Calibri" w:hAnsi="Verdana" w:cs="Arial"/>
          <w:i/>
          <w:iCs/>
          <w:color w:val="000000"/>
          <w:sz w:val="21"/>
          <w:szCs w:val="21"/>
          <w:lang w:val="es-ES" w:eastAsia="es-ES"/>
        </w:rPr>
        <w:t>[…</w:t>
      </w:r>
      <w:proofErr w:type="gramStart"/>
      <w:r w:rsidR="00B46005" w:rsidRPr="00204ACE">
        <w:rPr>
          <w:rFonts w:ascii="Verdana" w:eastAsia="Calibri" w:hAnsi="Verdana" w:cs="Arial"/>
          <w:i/>
          <w:iCs/>
          <w:color w:val="000000"/>
          <w:sz w:val="21"/>
          <w:szCs w:val="21"/>
          <w:lang w:val="es-ES" w:eastAsia="es-ES"/>
        </w:rPr>
        <w:t>]</w:t>
      </w:r>
      <w:r w:rsidR="006B01D9" w:rsidRPr="00204ACE">
        <w:rPr>
          <w:rFonts w:ascii="Verdana" w:eastAsia="Calibri" w:hAnsi="Verdana" w:cs="Arial"/>
          <w:i/>
          <w:iCs/>
          <w:color w:val="000000"/>
          <w:sz w:val="21"/>
          <w:szCs w:val="21"/>
          <w:lang w:val="es-ES" w:eastAsia="es-ES"/>
        </w:rPr>
        <w:t>¿</w:t>
      </w:r>
      <w:proofErr w:type="gramEnd"/>
      <w:r w:rsidR="006B01D9" w:rsidRPr="00204ACE">
        <w:rPr>
          <w:rFonts w:ascii="Verdana" w:eastAsia="Calibri" w:hAnsi="Verdana" w:cs="Arial"/>
          <w:i/>
          <w:iCs/>
          <w:color w:val="000000"/>
          <w:sz w:val="21"/>
          <w:szCs w:val="21"/>
          <w:lang w:val="es-ES" w:eastAsia="es-ES"/>
        </w:rPr>
        <w:t>Es jurídicamente obligatorio que, en los estudios previos y</w:t>
      </w:r>
      <w:r w:rsidR="00204ACE" w:rsidRPr="00204ACE">
        <w:rPr>
          <w:rFonts w:ascii="Verdana" w:eastAsia="Calibri" w:hAnsi="Verdana" w:cs="Arial"/>
          <w:i/>
          <w:iCs/>
          <w:color w:val="000000"/>
          <w:sz w:val="21"/>
          <w:szCs w:val="21"/>
          <w:lang w:val="es-ES" w:eastAsia="es-ES"/>
        </w:rPr>
        <w:t xml:space="preserve"> </w:t>
      </w:r>
      <w:r w:rsidR="006B01D9" w:rsidRPr="00204ACE">
        <w:rPr>
          <w:rFonts w:ascii="Verdana" w:eastAsia="Calibri" w:hAnsi="Verdana" w:cs="Arial"/>
          <w:i/>
          <w:iCs/>
          <w:color w:val="000000"/>
          <w:sz w:val="21"/>
          <w:szCs w:val="21"/>
          <w:lang w:val="es-ES" w:eastAsia="es-ES"/>
        </w:rPr>
        <w:t>documentos del proceso contractual, se evalúe y exija la Capacidad Residual de Contratación (K) cuando una ESE adelanta un contrato de obra pública bajo la modalidad de contratación directa por mínima cuantía, conforme a su régimen especial, o dicha exigencia resulta aplicable únicamente a procesos de convocatoria pública o selección competitiva?</w:t>
      </w:r>
    </w:p>
    <w:p w14:paraId="35A4EAA5" w14:textId="77777777" w:rsidR="00204ACE" w:rsidRDefault="00204ACE" w:rsidP="00204ACE">
      <w:pPr>
        <w:spacing w:after="120" w:line="240" w:lineRule="auto"/>
        <w:ind w:left="709" w:right="709"/>
        <w:jc w:val="both"/>
        <w:rPr>
          <w:rFonts w:ascii="Verdana" w:eastAsia="Calibri" w:hAnsi="Verdana" w:cs="Arial"/>
          <w:i/>
          <w:iCs/>
          <w:color w:val="000000"/>
          <w:sz w:val="21"/>
          <w:szCs w:val="21"/>
          <w:lang w:val="es-ES" w:eastAsia="es-ES"/>
        </w:rPr>
      </w:pPr>
      <w:r w:rsidRPr="00204ACE">
        <w:rPr>
          <w:rFonts w:ascii="Verdana" w:eastAsia="Calibri" w:hAnsi="Verdana" w:cs="Arial"/>
          <w:i/>
          <w:iCs/>
          <w:color w:val="000000"/>
          <w:sz w:val="21"/>
          <w:szCs w:val="21"/>
          <w:lang w:val="es-ES" w:eastAsia="es-ES"/>
        </w:rPr>
        <w:lastRenderedPageBreak/>
        <w:t>[…]En los contratos de obra financiados total o parcialmente con recursos del Presupuesto General de la Nación, para los cuales la normativa sectorial del Ministerio de Salud y Protección Social exige la realización de convocatoria pública sin consideración a la cuantía, ¿es obligatorio exigir y evaluar la Capacidad Residual de Contratación (K) como requisito habilitante, en aplicación del Decreto 1082 de 2015 y de las reglas generales de la contratación estatal?</w:t>
      </w:r>
    </w:p>
    <w:p w14:paraId="3BFFF418" w14:textId="524CDF92" w:rsidR="00697766" w:rsidRPr="00204ACE" w:rsidRDefault="00CE0C1E" w:rsidP="00816325">
      <w:pPr>
        <w:spacing w:after="120" w:line="240" w:lineRule="auto"/>
        <w:ind w:left="709" w:right="709"/>
        <w:jc w:val="both"/>
        <w:rPr>
          <w:rFonts w:ascii="Verdana" w:eastAsia="Calibri" w:hAnsi="Verdana" w:cs="Arial"/>
          <w:i/>
          <w:iCs/>
          <w:color w:val="000000"/>
          <w:sz w:val="21"/>
          <w:szCs w:val="21"/>
          <w:lang w:val="es-ES" w:eastAsia="es-ES"/>
        </w:rPr>
      </w:pPr>
      <w:r w:rsidRPr="00204ACE">
        <w:rPr>
          <w:rFonts w:ascii="Verdana" w:eastAsia="Calibri" w:hAnsi="Verdana" w:cs="Arial"/>
          <w:i/>
          <w:iCs/>
          <w:color w:val="000000"/>
          <w:sz w:val="21"/>
          <w:szCs w:val="21"/>
          <w:lang w:val="es-ES" w:eastAsia="es-ES"/>
        </w:rPr>
        <w:t>[…</w:t>
      </w:r>
      <w:proofErr w:type="gramStart"/>
      <w:r w:rsidRPr="00204ACE">
        <w:rPr>
          <w:rFonts w:ascii="Verdana" w:eastAsia="Calibri" w:hAnsi="Verdana" w:cs="Arial"/>
          <w:i/>
          <w:iCs/>
          <w:color w:val="000000"/>
          <w:sz w:val="21"/>
          <w:szCs w:val="21"/>
          <w:lang w:val="es-ES" w:eastAsia="es-ES"/>
        </w:rPr>
        <w:t>]</w:t>
      </w:r>
      <w:r w:rsidR="00816325" w:rsidRPr="00816325">
        <w:rPr>
          <w:rFonts w:ascii="Verdana" w:eastAsia="Calibri" w:hAnsi="Verdana" w:cs="Arial"/>
          <w:i/>
          <w:iCs/>
          <w:color w:val="000000"/>
          <w:sz w:val="21"/>
          <w:szCs w:val="21"/>
          <w:lang w:val="es-ES" w:eastAsia="es-ES"/>
        </w:rPr>
        <w:t>¿</w:t>
      </w:r>
      <w:proofErr w:type="gramEnd"/>
      <w:r w:rsidR="00816325" w:rsidRPr="00816325">
        <w:rPr>
          <w:rFonts w:ascii="Verdana" w:eastAsia="Calibri" w:hAnsi="Verdana" w:cs="Arial"/>
          <w:i/>
          <w:iCs/>
          <w:color w:val="000000"/>
          <w:sz w:val="21"/>
          <w:szCs w:val="21"/>
          <w:lang w:val="es-ES" w:eastAsia="es-ES"/>
        </w:rPr>
        <w:t>La obligación de exigir la Capacidad Residual (K) en contratos de</w:t>
      </w:r>
      <w:r w:rsidR="00816325">
        <w:rPr>
          <w:rFonts w:ascii="Verdana" w:eastAsia="Calibri" w:hAnsi="Verdana" w:cs="Arial"/>
          <w:i/>
          <w:iCs/>
          <w:color w:val="000000"/>
          <w:sz w:val="21"/>
          <w:szCs w:val="21"/>
          <w:lang w:val="es-ES" w:eastAsia="es-ES"/>
        </w:rPr>
        <w:t xml:space="preserve"> </w:t>
      </w:r>
      <w:r w:rsidR="00816325" w:rsidRPr="00816325">
        <w:rPr>
          <w:rFonts w:ascii="Verdana" w:eastAsia="Calibri" w:hAnsi="Verdana" w:cs="Arial"/>
          <w:i/>
          <w:iCs/>
          <w:color w:val="000000"/>
          <w:sz w:val="21"/>
          <w:szCs w:val="21"/>
          <w:lang w:val="es-ES" w:eastAsia="es-ES"/>
        </w:rPr>
        <w:t>obra celebrados por las ESE depende principalmente de la modalidad de selección del contratista (contratación directa vs. convocatoria pública), o de la fuente de financiación de los recursos (recursos propios de la ESE vs. recursos del Presupuesto General de la Nación), o de la concurrencia de ambos factores?</w:t>
      </w:r>
      <w:r w:rsidR="00697766" w:rsidRPr="00204ACE">
        <w:rPr>
          <w:rFonts w:ascii="Verdana" w:eastAsia="Calibri" w:hAnsi="Verdana" w:cs="Arial"/>
          <w:i/>
          <w:iCs/>
          <w:color w:val="000000"/>
          <w:sz w:val="21"/>
          <w:szCs w:val="21"/>
          <w:lang w:val="es-ES" w:eastAsia="es-ES"/>
        </w:rPr>
        <w:t>”</w:t>
      </w:r>
    </w:p>
    <w:p w14:paraId="2A5BA27E" w14:textId="77777777" w:rsidR="00204ACE" w:rsidRPr="00D54CA0" w:rsidRDefault="00204ACE" w:rsidP="00204ACE">
      <w:pPr>
        <w:autoSpaceDE w:val="0"/>
        <w:autoSpaceDN w:val="0"/>
        <w:adjustRightInd w:val="0"/>
        <w:spacing w:after="0" w:line="240" w:lineRule="auto"/>
        <w:ind w:left="1416" w:right="709" w:hanging="707"/>
        <w:jc w:val="both"/>
        <w:rPr>
          <w:rFonts w:ascii="Verdana" w:eastAsia="Century Gothic" w:hAnsi="Verdana" w:cs="Century Gothic"/>
          <w:b/>
          <w:i/>
          <w:iCs/>
          <w:sz w:val="20"/>
          <w:szCs w:val="20"/>
        </w:rPr>
      </w:pPr>
    </w:p>
    <w:p w14:paraId="65442158" w14:textId="77777777" w:rsidR="00697766" w:rsidRDefault="00697766" w:rsidP="00697766">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1C02B01" w14:textId="77777777" w:rsidR="00697766" w:rsidRDefault="00697766" w:rsidP="0069776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43E6668" w14:textId="77777777" w:rsidR="00697766" w:rsidRDefault="00697766" w:rsidP="00697766">
      <w:pPr>
        <w:spacing w:after="0" w:line="276" w:lineRule="auto"/>
        <w:ind w:firstLine="709"/>
        <w:jc w:val="both"/>
        <w:rPr>
          <w:rFonts w:ascii="Verdana" w:eastAsia="Calibri" w:hAnsi="Verdana" w:cs="Arial"/>
          <w:color w:val="000000"/>
          <w:lang w:val="es-ES" w:eastAsia="es-ES"/>
        </w:rPr>
      </w:pPr>
    </w:p>
    <w:p w14:paraId="28EB8198"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DD77E94" w14:textId="77777777" w:rsidR="00697766" w:rsidRDefault="00697766" w:rsidP="00697766">
      <w:pPr>
        <w:tabs>
          <w:tab w:val="left" w:pos="426"/>
        </w:tabs>
        <w:spacing w:after="0" w:line="276" w:lineRule="auto"/>
        <w:jc w:val="both"/>
        <w:rPr>
          <w:rFonts w:ascii="Verdana" w:eastAsia="Century Gothic" w:hAnsi="Verdana" w:cs="Century Gothic"/>
          <w:lang w:val="es-ES"/>
        </w:rPr>
      </w:pPr>
    </w:p>
    <w:p w14:paraId="5533C530" w14:textId="125AB377" w:rsidR="00A147C1" w:rsidRDefault="00A147C1" w:rsidP="00A147C1">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 solicitud</w:t>
      </w:r>
      <w:r w:rsidRPr="00B57A1B">
        <w:rPr>
          <w:rFonts w:ascii="Verdana" w:eastAsia="Calibri" w:hAnsi="Verdana" w:cs="Times New Roman"/>
        </w:rPr>
        <w:t>, es</w:t>
      </w:r>
      <w:r>
        <w:rPr>
          <w:rFonts w:ascii="Verdana" w:eastAsia="Calibri" w:hAnsi="Verdana" w:cs="Times New Roman"/>
        </w:rPr>
        <w:t xml:space="preserve">ta Agencia procede a resolver </w:t>
      </w:r>
      <w:r w:rsidR="00360B08">
        <w:rPr>
          <w:rFonts w:ascii="Verdana" w:eastAsia="Calibri" w:hAnsi="Verdana" w:cs="Times New Roman"/>
        </w:rPr>
        <w:t>el</w:t>
      </w:r>
      <w:r>
        <w:rPr>
          <w:rFonts w:ascii="Verdana" w:eastAsia="Calibri" w:hAnsi="Verdana" w:cs="Times New Roman"/>
        </w:rPr>
        <w:t xml:space="preserve"> siguiente problema jurídico</w:t>
      </w:r>
      <w:r>
        <w:rPr>
          <w:rFonts w:ascii="Verdana" w:eastAsia="Calibri" w:hAnsi="Verdana" w:cs="Times New Roman"/>
          <w:iCs/>
          <w:lang w:val="es-ES"/>
        </w:rPr>
        <w:t xml:space="preserve">: </w:t>
      </w:r>
      <w:r w:rsidRPr="00FF5178">
        <w:rPr>
          <w:rFonts w:ascii="Verdana" w:eastAsia="Calibri" w:hAnsi="Verdana" w:cs="Times New Roman"/>
          <w:iCs/>
          <w:lang w:val="es-ES"/>
        </w:rPr>
        <w:t>¿</w:t>
      </w:r>
      <w:r w:rsidR="00AC5DE9">
        <w:rPr>
          <w:rFonts w:ascii="Verdana" w:eastAsia="Calibri" w:hAnsi="Verdana" w:cs="Times New Roman"/>
          <w:iCs/>
          <w:lang w:val="es-ES"/>
        </w:rPr>
        <w:t xml:space="preserve">Es aplicable la capacidad residual </w:t>
      </w:r>
      <w:r w:rsidR="00762EC7">
        <w:rPr>
          <w:rFonts w:ascii="Verdana" w:eastAsia="Calibri" w:hAnsi="Verdana" w:cs="Times New Roman"/>
          <w:iCs/>
          <w:lang w:val="es-ES"/>
        </w:rPr>
        <w:t>en</w:t>
      </w:r>
      <w:r w:rsidR="00AC5DE9">
        <w:rPr>
          <w:rFonts w:ascii="Verdana" w:eastAsia="Calibri" w:hAnsi="Verdana" w:cs="Times New Roman"/>
          <w:iCs/>
          <w:lang w:val="es-ES"/>
        </w:rPr>
        <w:t xml:space="preserve"> los procesos </w:t>
      </w:r>
      <w:r w:rsidR="00AC5DE9">
        <w:rPr>
          <w:rFonts w:ascii="Verdana" w:eastAsia="Calibri" w:hAnsi="Verdana" w:cs="Times New Roman"/>
          <w:iCs/>
          <w:lang w:val="es-ES"/>
        </w:rPr>
        <w:lastRenderedPageBreak/>
        <w:t>de contratación adelantados por las Empresas Sociales del Estado, cuyo régimen de contratación es exceptuado</w:t>
      </w:r>
      <w:r w:rsidRPr="00FF5178">
        <w:rPr>
          <w:rFonts w:ascii="Verdana" w:eastAsia="Calibri" w:hAnsi="Verdana" w:cs="Times New Roman"/>
          <w:iCs/>
          <w:lang w:val="es-ES"/>
        </w:rPr>
        <w:t>?</w:t>
      </w:r>
    </w:p>
    <w:p w14:paraId="08357EF7" w14:textId="77777777" w:rsidR="00697766" w:rsidRDefault="00697766" w:rsidP="00697766">
      <w:pPr>
        <w:spacing w:after="0" w:line="276" w:lineRule="auto"/>
        <w:jc w:val="both"/>
        <w:rPr>
          <w:rFonts w:ascii="Verdana" w:eastAsia="Calibri" w:hAnsi="Verdana" w:cs="Arial"/>
          <w:color w:val="7030A0"/>
          <w:lang w:val="es-ES"/>
        </w:rPr>
      </w:pPr>
    </w:p>
    <w:p w14:paraId="07547B43"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F096F4A" w14:textId="77777777" w:rsidR="00697766" w:rsidRDefault="00697766" w:rsidP="0069776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7766" w14:paraId="7E6A3DC0" w14:textId="77777777" w:rsidTr="000047C2">
        <w:tc>
          <w:tcPr>
            <w:tcW w:w="8828" w:type="dxa"/>
            <w:tcBorders>
              <w:top w:val="dotted" w:sz="4" w:space="0" w:color="auto"/>
              <w:left w:val="dotted" w:sz="4" w:space="0" w:color="auto"/>
              <w:bottom w:val="dotted" w:sz="4" w:space="0" w:color="auto"/>
              <w:right w:val="dotted" w:sz="4" w:space="0" w:color="auto"/>
            </w:tcBorders>
          </w:tcPr>
          <w:p w14:paraId="4624FB29" w14:textId="7292BBF6" w:rsidR="0064758F" w:rsidRPr="006E2EB6" w:rsidRDefault="0064758F" w:rsidP="0064758F">
            <w:pPr>
              <w:pStyle w:val="pf0"/>
              <w:jc w:val="both"/>
              <w:rPr>
                <w:rFonts w:ascii="Verdana" w:hAnsi="Verdana" w:cs="Arial"/>
                <w:sz w:val="22"/>
                <w:szCs w:val="22"/>
                <w:lang w:eastAsia="es-ES"/>
              </w:rPr>
            </w:pPr>
            <w:r w:rsidRPr="006E2EB6">
              <w:rPr>
                <w:rFonts w:ascii="Verdana" w:hAnsi="Verdana" w:cs="Arial"/>
                <w:sz w:val="22"/>
                <w:szCs w:val="22"/>
                <w:lang w:eastAsia="es-ES"/>
              </w:rPr>
              <w:t xml:space="preserve">De acuerdo con </w:t>
            </w:r>
            <w:r w:rsidR="00762EC7">
              <w:rPr>
                <w:rFonts w:ascii="Verdana" w:hAnsi="Verdana" w:cs="Arial"/>
                <w:sz w:val="22"/>
                <w:szCs w:val="22"/>
                <w:lang w:eastAsia="es-ES"/>
              </w:rPr>
              <w:t>el</w:t>
            </w:r>
            <w:r w:rsidRPr="006E2EB6">
              <w:rPr>
                <w:rFonts w:ascii="Verdana" w:hAnsi="Verdana" w:cs="Arial"/>
                <w:sz w:val="22"/>
                <w:szCs w:val="22"/>
                <w:lang w:eastAsia="es-ES"/>
              </w:rPr>
              <w:t xml:space="preserve"> problema jurídico, objeto de consulta, se expresa: </w:t>
            </w:r>
          </w:p>
          <w:p w14:paraId="2B4BEB76" w14:textId="4202E982" w:rsidR="0064758F" w:rsidRDefault="00762EC7" w:rsidP="0064758F">
            <w:pPr>
              <w:spacing w:after="120" w:line="276" w:lineRule="auto"/>
              <w:jc w:val="both"/>
              <w:rPr>
                <w:rFonts w:ascii="Verdana" w:eastAsia="Arial" w:hAnsi="Verdana" w:cs="Arial"/>
              </w:rPr>
            </w:pPr>
            <w:r>
              <w:rPr>
                <w:rFonts w:ascii="Verdana" w:eastAsia="Calibri" w:hAnsi="Verdana" w:cs="Arial"/>
                <w:bCs/>
                <w:color w:val="000000" w:themeColor="text1"/>
              </w:rPr>
              <w:t>E</w:t>
            </w:r>
            <w:r w:rsidR="0064758F" w:rsidRPr="00842E4E">
              <w:rPr>
                <w:rFonts w:ascii="Verdana" w:eastAsia="Calibri" w:hAnsi="Verdana" w:cs="Arial"/>
                <w:bCs/>
                <w:color w:val="000000" w:themeColor="text1"/>
              </w:rPr>
              <w:t xml:space="preserve">s importante señalar </w:t>
            </w:r>
            <w:r w:rsidR="0064758F">
              <w:rPr>
                <w:rFonts w:ascii="Verdana" w:eastAsia="Calibri" w:hAnsi="Verdana" w:cs="Arial"/>
                <w:bCs/>
                <w:color w:val="000000" w:themeColor="text1"/>
              </w:rPr>
              <w:t xml:space="preserve">que </w:t>
            </w:r>
            <w:r w:rsidR="00ED1407">
              <w:rPr>
                <w:rFonts w:ascii="Verdana" w:eastAsia="Calibri" w:hAnsi="Verdana" w:cs="Arial"/>
                <w:bCs/>
                <w:color w:val="000000" w:themeColor="text1"/>
              </w:rPr>
              <w:t>l</w:t>
            </w:r>
            <w:r w:rsidR="00ED1407" w:rsidRPr="00881D8A">
              <w:rPr>
                <w:rFonts w:ascii="Verdana" w:eastAsia="Calibri" w:hAnsi="Verdana" w:cs="Times New Roman"/>
              </w:rPr>
              <w:t xml:space="preserve">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r w:rsidR="00ED1407">
              <w:rPr>
                <w:rFonts w:ascii="Verdana" w:eastAsia="Calibri" w:hAnsi="Verdana" w:cs="Arial"/>
              </w:rPr>
              <w:t>Al respecto, e</w:t>
            </w:r>
            <w:r w:rsidR="00ED1407" w:rsidRPr="00795086">
              <w:rPr>
                <w:rFonts w:ascii="Verdana" w:eastAsia="Calibri" w:hAnsi="Verdana" w:cs="Arial"/>
              </w:rPr>
              <w:t>l artíc</w:t>
            </w:r>
            <w:r w:rsidR="00ED1407">
              <w:rPr>
                <w:rFonts w:ascii="Verdana" w:eastAsia="Calibri" w:hAnsi="Verdana" w:cs="Arial"/>
              </w:rPr>
              <w:t>ulo 6 de la Ley 1150 de 2007 reguló</w:t>
            </w:r>
            <w:r w:rsidR="00ED1407" w:rsidRPr="00795086">
              <w:rPr>
                <w:rFonts w:ascii="Verdana" w:eastAsia="Calibri" w:hAnsi="Verdana" w:cs="Arial"/>
              </w:rPr>
              <w:t xml:space="preserve"> la capacidad residual del proponente o K de contratación como condición para participar en los Procesos de Cont</w:t>
            </w:r>
            <w:r w:rsidR="00ED1407">
              <w:rPr>
                <w:rFonts w:ascii="Verdana" w:eastAsia="Calibri" w:hAnsi="Verdana" w:cs="Arial"/>
              </w:rPr>
              <w:t>ratación de obra pública y demás que señala el reglamento.</w:t>
            </w:r>
            <w:r w:rsidR="005259A8">
              <w:rPr>
                <w:rFonts w:ascii="Verdana" w:eastAsia="Calibri" w:hAnsi="Verdana" w:cs="Arial"/>
              </w:rPr>
              <w:t xml:space="preserve"> A su vez, el Decreto 1082 de 2015</w:t>
            </w:r>
            <w:r w:rsidR="00B61A1B" w:rsidRPr="00881D8A">
              <w:rPr>
                <w:rFonts w:ascii="Verdana" w:eastAsia="Arial" w:hAnsi="Verdana" w:cs="Arial"/>
              </w:rPr>
              <w:t xml:space="preserve"> señala la información que debe entregar el proponente interesado en un proceso de contratación para acreditar su Capacidad Residual</w:t>
            </w:r>
            <w:r w:rsidR="00B61A1B">
              <w:rPr>
                <w:rFonts w:ascii="Verdana" w:eastAsia="Arial" w:hAnsi="Verdana" w:cs="Arial"/>
              </w:rPr>
              <w:t>.</w:t>
            </w:r>
          </w:p>
          <w:p w14:paraId="691D08B9" w14:textId="77777777" w:rsidR="007A5C1E" w:rsidRDefault="00B61A1B" w:rsidP="00AA1A2E">
            <w:pPr>
              <w:spacing w:after="160" w:line="259"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En </w:t>
            </w:r>
            <w:r w:rsidRPr="00AA1A2E">
              <w:rPr>
                <w:rFonts w:ascii="Verdana" w:eastAsia="Calibri" w:hAnsi="Verdana" w:cs="Arial"/>
                <w:bCs/>
                <w:color w:val="000000" w:themeColor="text1"/>
              </w:rPr>
              <w:t>ese</w:t>
            </w:r>
            <w:r>
              <w:rPr>
                <w:rFonts w:ascii="Verdana" w:eastAsia="Arial" w:hAnsi="Verdana" w:cs="Arial"/>
                <w:bCs/>
                <w:color w:val="000000" w:themeColor="text1"/>
              </w:rPr>
              <w:t xml:space="preserve"> sentido, teniendo en cuenta que las normas mencionadas hacen parte de</w:t>
            </w:r>
            <w:r w:rsidR="00C83967">
              <w:rPr>
                <w:rFonts w:ascii="Verdana" w:eastAsia="Arial" w:hAnsi="Verdana" w:cs="Arial"/>
                <w:bCs/>
                <w:color w:val="000000" w:themeColor="text1"/>
              </w:rPr>
              <w:t xml:space="preserve">l </w:t>
            </w:r>
            <w:r w:rsidR="005A368E" w:rsidRPr="005A368E">
              <w:rPr>
                <w:rFonts w:ascii="Verdana" w:eastAsia="Arial" w:hAnsi="Verdana" w:cs="Arial"/>
                <w:bCs/>
                <w:color w:val="000000" w:themeColor="text1"/>
              </w:rPr>
              <w:t>Estatuto General de Contratación de la Administración P</w:t>
            </w:r>
            <w:r w:rsidR="005A368E">
              <w:rPr>
                <w:rFonts w:ascii="Verdana" w:eastAsia="Arial" w:hAnsi="Verdana" w:cs="Arial"/>
                <w:bCs/>
                <w:color w:val="000000" w:themeColor="text1"/>
              </w:rPr>
              <w:t xml:space="preserve">ública que rige los procesos de contratación de las entidades sometidas a este, </w:t>
            </w:r>
            <w:r w:rsidR="00CD3029">
              <w:rPr>
                <w:rFonts w:ascii="Verdana" w:eastAsia="Arial" w:hAnsi="Verdana" w:cs="Arial"/>
                <w:bCs/>
                <w:color w:val="000000" w:themeColor="text1"/>
              </w:rPr>
              <w:t>las Empresas Sociales del Estado se encuentran exceptuadas de dicho estatuto</w:t>
            </w:r>
            <w:r w:rsidR="00F64F06">
              <w:rPr>
                <w:rFonts w:ascii="Verdana" w:eastAsia="Arial" w:hAnsi="Verdana" w:cs="Arial"/>
                <w:bCs/>
                <w:color w:val="000000" w:themeColor="text1"/>
              </w:rPr>
              <w:t xml:space="preserve">, ya que de acuerdo con el artículo </w:t>
            </w:r>
            <w:r w:rsidR="005810C8">
              <w:rPr>
                <w:rFonts w:ascii="Verdana" w:eastAsia="Arial" w:hAnsi="Verdana" w:cs="Arial"/>
                <w:bCs/>
                <w:color w:val="000000" w:themeColor="text1"/>
              </w:rPr>
              <w:t>195 de la Ley 100 de 1993</w:t>
            </w:r>
            <w:r w:rsidR="00BE4F6B">
              <w:rPr>
                <w:rFonts w:ascii="Verdana" w:eastAsia="Arial" w:hAnsi="Verdana" w:cs="Arial"/>
                <w:bCs/>
                <w:color w:val="000000" w:themeColor="text1"/>
              </w:rPr>
              <w:t xml:space="preserve"> su régimen jurídico en materia contractual es el derecho privado</w:t>
            </w:r>
            <w:r w:rsidR="00F173FA">
              <w:rPr>
                <w:rFonts w:ascii="Verdana" w:eastAsia="Arial" w:hAnsi="Verdana" w:cs="Arial"/>
                <w:bCs/>
                <w:color w:val="000000" w:themeColor="text1"/>
              </w:rPr>
              <w:t>.</w:t>
            </w:r>
            <w:r w:rsidR="007A5C1E">
              <w:rPr>
                <w:rFonts w:ascii="Verdana" w:eastAsia="Arial" w:hAnsi="Verdana" w:cs="Arial"/>
                <w:bCs/>
                <w:color w:val="000000" w:themeColor="text1"/>
              </w:rPr>
              <w:t xml:space="preserve"> </w:t>
            </w:r>
            <w:r w:rsidR="0001764D">
              <w:rPr>
                <w:rFonts w:ascii="Verdana" w:eastAsia="Arial" w:hAnsi="Verdana" w:cs="Arial"/>
                <w:bCs/>
                <w:color w:val="000000" w:themeColor="text1"/>
              </w:rPr>
              <w:t xml:space="preserve">Por tanto, la capacidad residual no sería aplicable para los procesos de contratación de las Empresas Sociales del Estado. </w:t>
            </w:r>
          </w:p>
          <w:p w14:paraId="1DFD51E1" w14:textId="7A38386F" w:rsidR="00F173FA" w:rsidRDefault="00F173FA" w:rsidP="00272010">
            <w:pPr>
              <w:spacing w:after="160" w:line="259"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No obstante,</w:t>
            </w:r>
            <w:r w:rsidR="00AA1A2E">
              <w:rPr>
                <w:rFonts w:ascii="Verdana" w:eastAsia="Calibri" w:hAnsi="Verdana" w:cs="Arial"/>
                <w:bCs/>
                <w:color w:val="000000" w:themeColor="text1"/>
              </w:rPr>
              <w:t xml:space="preserve"> </w:t>
            </w:r>
            <w:r w:rsidR="00AA1A2E" w:rsidRPr="00B8014F">
              <w:rPr>
                <w:rFonts w:ascii="Verdana" w:hAnsi="Verdana"/>
              </w:rPr>
              <w:t xml:space="preserve">si bien las Empresas Sociales del Estado se rigen de manera predominante por normas de derecho privado y cuentan con un régimen contractual exceptuado, las disposiciones de derecho público que irradian su régimen jurídico les imponen el deber de </w:t>
            </w:r>
            <w:r w:rsidR="00272010">
              <w:rPr>
                <w:rFonts w:ascii="Verdana" w:hAnsi="Verdana"/>
              </w:rPr>
              <w:t>cumplir</w:t>
            </w:r>
            <w:r w:rsidR="00AA1A2E" w:rsidRPr="00B8014F">
              <w:rPr>
                <w:rFonts w:ascii="Verdana" w:hAnsi="Verdana"/>
              </w:rPr>
              <w:t xml:space="preserve"> los principios de la función administrativa y de la gestión fiscal que orientan su actividad contractual.</w:t>
            </w:r>
            <w:r w:rsidR="00AA1A2E">
              <w:rPr>
                <w:rFonts w:ascii="Verdana" w:hAnsi="Verdana"/>
              </w:rPr>
              <w:t xml:space="preserve"> </w:t>
            </w:r>
            <w:r w:rsidR="00D165B5">
              <w:rPr>
                <w:rFonts w:ascii="Verdana" w:hAnsi="Verdana"/>
              </w:rPr>
              <w:t xml:space="preserve">De esta forma, </w:t>
            </w:r>
            <w:r w:rsidR="00DB4494">
              <w:rPr>
                <w:rFonts w:ascii="Verdana" w:eastAsia="Calibri" w:hAnsi="Verdana" w:cs="Arial"/>
                <w:bCs/>
                <w:color w:val="000000" w:themeColor="text1"/>
              </w:rPr>
              <w:t>la capacidad residual debe ser entendida como un requisito que salvaguarda</w:t>
            </w:r>
            <w:r w:rsidR="00B22B1F">
              <w:rPr>
                <w:rFonts w:ascii="Verdana" w:eastAsia="Calibri" w:hAnsi="Verdana" w:cs="Arial"/>
                <w:bCs/>
                <w:color w:val="000000" w:themeColor="text1"/>
              </w:rPr>
              <w:t xml:space="preserve"> </w:t>
            </w:r>
            <w:r w:rsidR="0042123F">
              <w:rPr>
                <w:rFonts w:ascii="Verdana" w:eastAsia="Calibri" w:hAnsi="Verdana" w:cs="Arial"/>
                <w:bCs/>
                <w:color w:val="000000" w:themeColor="text1"/>
              </w:rPr>
              <w:t>los citados</w:t>
            </w:r>
            <w:r w:rsidR="00B22B1F">
              <w:rPr>
                <w:rFonts w:ascii="Verdana" w:eastAsia="Calibri" w:hAnsi="Verdana" w:cs="Arial"/>
                <w:bCs/>
                <w:color w:val="000000" w:themeColor="text1"/>
              </w:rPr>
              <w:t xml:space="preserve"> principios ya que asegura una adecuada</w:t>
            </w:r>
            <w:r w:rsidR="00DB4494">
              <w:rPr>
                <w:rFonts w:ascii="Verdana" w:eastAsia="Calibri" w:hAnsi="Verdana" w:cs="Arial"/>
                <w:bCs/>
                <w:color w:val="000000" w:themeColor="text1"/>
              </w:rPr>
              <w:t xml:space="preserve"> ejecución de los contratos en la medida en que busca </w:t>
            </w:r>
            <w:r w:rsidR="001E2D19">
              <w:rPr>
                <w:rFonts w:ascii="Verdana" w:eastAsia="Calibri" w:hAnsi="Verdana" w:cs="Arial"/>
                <w:bCs/>
                <w:color w:val="000000" w:themeColor="text1"/>
              </w:rPr>
              <w:t>que el proponente que ejecuta un contrato de obra pueda hacerlo de forma eficiente, sin que los</w:t>
            </w:r>
            <w:r w:rsidR="006B74A6">
              <w:rPr>
                <w:rFonts w:ascii="Verdana" w:eastAsia="Calibri" w:hAnsi="Verdana" w:cs="Arial"/>
                <w:bCs/>
                <w:color w:val="000000" w:themeColor="text1"/>
              </w:rPr>
              <w:t xml:space="preserve"> contratos de obra adicionales que se encuentre ejecutando, le impidan cumplir la prestación para la satisfacción del interés general.</w:t>
            </w:r>
          </w:p>
          <w:p w14:paraId="51EDFF1A" w14:textId="77777777" w:rsidR="00697766" w:rsidRDefault="00FB22FD" w:rsidP="005510D6">
            <w:pPr>
              <w:spacing w:after="16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lastRenderedPageBreak/>
              <w:t xml:space="preserve">Así pues, </w:t>
            </w:r>
            <w:r w:rsidR="00CA6F4B">
              <w:rPr>
                <w:rFonts w:ascii="Verdana" w:eastAsia="Calibri" w:hAnsi="Verdana" w:cs="Arial"/>
                <w:bCs/>
                <w:color w:val="000000" w:themeColor="text1"/>
              </w:rPr>
              <w:t xml:space="preserve">a pesar de que la capacidad residual no es un requisito que de forma obligatoria deban </w:t>
            </w:r>
            <w:r w:rsidR="008C5850">
              <w:rPr>
                <w:rFonts w:ascii="Verdana" w:eastAsia="Calibri" w:hAnsi="Verdana" w:cs="Arial"/>
                <w:bCs/>
                <w:color w:val="000000" w:themeColor="text1"/>
              </w:rPr>
              <w:t>exigir las Empresas Sociales del Estado, el mismo sí resulta recomendable en</w:t>
            </w:r>
            <w:r w:rsidR="008F1870">
              <w:rPr>
                <w:rFonts w:ascii="Verdana" w:eastAsia="Calibri" w:hAnsi="Verdana" w:cs="Arial"/>
                <w:bCs/>
                <w:color w:val="000000" w:themeColor="text1"/>
              </w:rPr>
              <w:t xml:space="preserve"> cumplimiento de los </w:t>
            </w:r>
            <w:r w:rsidR="008F1870" w:rsidRPr="00B37C2B">
              <w:rPr>
                <w:rFonts w:ascii="Verdana" w:eastAsia="Calibri" w:hAnsi="Verdana" w:cs="Arial"/>
                <w:bCs/>
                <w:color w:val="000000" w:themeColor="text1"/>
              </w:rPr>
              <w:t>principios de la función administrativa y de la gestión fiscal</w:t>
            </w:r>
            <w:r w:rsidR="008F1870">
              <w:rPr>
                <w:rFonts w:ascii="Verdana" w:eastAsia="Calibri" w:hAnsi="Verdana" w:cs="Arial"/>
                <w:bCs/>
                <w:color w:val="000000" w:themeColor="text1"/>
              </w:rPr>
              <w:t>, para asegurar la adecuada ejecución de los contratos de obra por parte del contratista.</w:t>
            </w:r>
          </w:p>
          <w:p w14:paraId="513BCE68" w14:textId="32605EC4" w:rsidR="005510D6" w:rsidRPr="00383475" w:rsidRDefault="005510D6" w:rsidP="005510D6">
            <w:pPr>
              <w:spacing w:after="160" w:line="276" w:lineRule="auto"/>
              <w:ind w:firstLine="709"/>
              <w:jc w:val="both"/>
              <w:rPr>
                <w:rFonts w:ascii="Verdana" w:hAnsi="Verdana"/>
              </w:rPr>
            </w:pPr>
            <w:r>
              <w:rPr>
                <w:rFonts w:ascii="Verdana" w:eastAsia="Calibri" w:hAnsi="Verdana" w:cs="Arial"/>
                <w:lang w:val="es-MX"/>
              </w:rPr>
              <w:t>Finalmente</w:t>
            </w:r>
            <w:r w:rsidRPr="007F47DF">
              <w:rPr>
                <w:rFonts w:ascii="Verdana" w:eastAsia="Calibri" w:hAnsi="Verdana" w:cs="Arial"/>
              </w:rPr>
              <w:t xml:space="preserv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w:t>
            </w:r>
            <w:r>
              <w:rPr>
                <w:rFonts w:ascii="Verdana" w:eastAsia="Calibri" w:hAnsi="Verdana" w:cs="Arial"/>
              </w:rPr>
              <w:t>es a</w:t>
            </w:r>
            <w:r w:rsidRPr="007F47DF">
              <w:rPr>
                <w:rFonts w:ascii="Verdana" w:eastAsia="Calibri" w:hAnsi="Verdana" w:cs="Arial"/>
              </w:rPr>
              <w:t xml:space="preserve"> las entidades públicas que </w:t>
            </w:r>
            <w:r>
              <w:rPr>
                <w:rFonts w:ascii="Verdana" w:eastAsia="Calibri" w:hAnsi="Verdana" w:cs="Arial"/>
              </w:rPr>
              <w:t>desarrollan la gestión contractual</w:t>
            </w:r>
            <w:r w:rsidRPr="007F47DF">
              <w:rPr>
                <w:rFonts w:ascii="Verdana" w:eastAsia="Calibri" w:hAnsi="Verdana" w:cs="Arial"/>
              </w:rPr>
              <w:t xml:space="preserve">, </w:t>
            </w:r>
            <w:r>
              <w:rPr>
                <w:rFonts w:ascii="Verdana" w:eastAsia="Calibri" w:hAnsi="Verdana" w:cs="Arial"/>
              </w:rPr>
              <w:t>a quienes les corresponde</w:t>
            </w:r>
            <w:r w:rsidRPr="007F47DF">
              <w:rPr>
                <w:rFonts w:ascii="Verdana" w:eastAsia="Calibri" w:hAnsi="Verdana" w:cs="Arial"/>
              </w:rPr>
              <w:t xml:space="preserve"> determinar en cada caso particular y concreto, con los principios básicos y las normas que rigen el Estatuto General de Contratación de la Administración Pública –EGCAP-</w:t>
            </w:r>
            <w:r w:rsidRPr="007F47DF">
              <w:rPr>
                <w:rFonts w:ascii="Verdana" w:eastAsia="Times New Roman" w:hAnsi="Verdana" w:cs="Times New Roman"/>
                <w:lang w:eastAsia="es-ES"/>
              </w:rPr>
              <w:t>.</w:t>
            </w:r>
          </w:p>
        </w:tc>
      </w:tr>
    </w:tbl>
    <w:p w14:paraId="4CCFE403" w14:textId="77777777" w:rsidR="00697766" w:rsidRDefault="00697766" w:rsidP="00697766">
      <w:pPr>
        <w:tabs>
          <w:tab w:val="left" w:pos="142"/>
          <w:tab w:val="left" w:pos="284"/>
        </w:tabs>
        <w:spacing w:after="0" w:line="276" w:lineRule="auto"/>
        <w:jc w:val="both"/>
        <w:rPr>
          <w:rFonts w:ascii="Verdana" w:eastAsia="Century Gothic" w:hAnsi="Verdana" w:cs="Century Gothic"/>
          <w:b/>
          <w:bCs/>
          <w:lang w:val="es-ES"/>
        </w:rPr>
      </w:pPr>
    </w:p>
    <w:p w14:paraId="5E6B2B44"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834186D" w14:textId="77777777" w:rsidR="00EE469F" w:rsidRDefault="00EE469F" w:rsidP="00697766">
      <w:pPr>
        <w:spacing w:after="0" w:line="276" w:lineRule="auto"/>
        <w:jc w:val="both"/>
        <w:rPr>
          <w:rFonts w:ascii="Verdana" w:eastAsia="Calibri" w:hAnsi="Verdana" w:cs="Arial"/>
          <w:lang w:val="es-ES"/>
        </w:rPr>
      </w:pPr>
    </w:p>
    <w:p w14:paraId="38C832A7" w14:textId="058B9DDF" w:rsidR="00697766" w:rsidRPr="00B96799" w:rsidRDefault="00697766" w:rsidP="0069776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34C0C3A" w14:textId="77777777" w:rsidR="00697766" w:rsidRPr="00593A5F" w:rsidRDefault="00697766" w:rsidP="00697766">
      <w:pPr>
        <w:spacing w:after="0" w:line="276" w:lineRule="auto"/>
        <w:jc w:val="both"/>
        <w:rPr>
          <w:rFonts w:ascii="Verdana" w:eastAsia="Calibri" w:hAnsi="Verdana" w:cs="Arial"/>
          <w:color w:val="7030A0"/>
          <w:lang w:val="es-ES"/>
        </w:rPr>
      </w:pPr>
    </w:p>
    <w:p w14:paraId="6C95C6E9" w14:textId="77777777" w:rsidR="008B4354" w:rsidRDefault="008B4354" w:rsidP="008B4354">
      <w:pPr>
        <w:spacing w:after="0" w:line="276" w:lineRule="auto"/>
        <w:jc w:val="both"/>
        <w:rPr>
          <w:rFonts w:ascii="Verdana" w:eastAsia="Calibri" w:hAnsi="Verdana" w:cs="Arial"/>
        </w:rPr>
      </w:pPr>
      <w:bookmarkStart w:id="1" w:name="_Hlk78820161"/>
      <w:r>
        <w:rPr>
          <w:rFonts w:ascii="Verdana" w:eastAsia="Calibri" w:hAnsi="Verdana" w:cs="Arial"/>
          <w:lang w:val="es-ES"/>
        </w:rPr>
        <w:t xml:space="preserve">i. </w:t>
      </w: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r>
        <w:rPr>
          <w:rFonts w:ascii="Verdana" w:eastAsia="Calibri" w:hAnsi="Verdana" w:cs="Arial"/>
        </w:rPr>
        <w:t>Al respecto, e</w:t>
      </w:r>
      <w:r w:rsidRPr="00795086">
        <w:rPr>
          <w:rFonts w:ascii="Verdana" w:eastAsia="Calibri" w:hAnsi="Verdana" w:cs="Arial"/>
        </w:rPr>
        <w:t>l artíc</w:t>
      </w:r>
      <w:r>
        <w:rPr>
          <w:rFonts w:ascii="Verdana" w:eastAsia="Calibri" w:hAnsi="Verdana" w:cs="Arial"/>
        </w:rPr>
        <w:t>ulo 6 de la Ley 1150 de 2007 reguló</w:t>
      </w:r>
      <w:r w:rsidRPr="00795086">
        <w:rPr>
          <w:rFonts w:ascii="Verdana" w:eastAsia="Calibri" w:hAnsi="Verdana" w:cs="Arial"/>
        </w:rPr>
        <w:t xml:space="preserve"> la capacidad residual del proponente o K de contratación como condición para participar en los Procesos de Cont</w:t>
      </w:r>
      <w:r>
        <w:rPr>
          <w:rFonts w:ascii="Verdana" w:eastAsia="Calibri" w:hAnsi="Verdana" w:cs="Arial"/>
        </w:rPr>
        <w:t xml:space="preserve">ratación de obra pública y demás que señala el reglamento. En torno a esta condición o requisito habilitante, </w:t>
      </w:r>
      <w:r w:rsidRPr="00795086">
        <w:rPr>
          <w:rFonts w:ascii="Verdana" w:eastAsia="Calibri" w:hAnsi="Verdana" w:cs="Arial"/>
        </w:rPr>
        <w:t xml:space="preserve">el parágrafo 1 </w:t>
      </w:r>
      <w:r w:rsidRPr="00795086">
        <w:rPr>
          <w:rFonts w:ascii="Verdana" w:eastAsia="Calibri" w:hAnsi="Verdana" w:cs="Arial"/>
          <w:i/>
          <w:iCs/>
        </w:rPr>
        <w:t>ibidem</w:t>
      </w:r>
      <w:r w:rsidRPr="00795086">
        <w:rPr>
          <w:rFonts w:ascii="Verdana" w:eastAsia="Calibri" w:hAnsi="Verdana" w:cs="Arial"/>
        </w:rPr>
        <w:t>, determinó que esta debe ser igual o superior a la establecida en</w:t>
      </w:r>
      <w:r>
        <w:rPr>
          <w:rFonts w:ascii="Verdana" w:eastAsia="Calibri" w:hAnsi="Verdana" w:cs="Arial"/>
        </w:rPr>
        <w:t xml:space="preserve"> los pliegos de condiciones. Al respecto prescribió:</w:t>
      </w:r>
    </w:p>
    <w:p w14:paraId="48FCD1F4" w14:textId="77777777" w:rsidR="008B4354" w:rsidRPr="00795086" w:rsidRDefault="008B4354" w:rsidP="008B4354">
      <w:pPr>
        <w:spacing w:after="0" w:line="276" w:lineRule="auto"/>
        <w:jc w:val="both"/>
        <w:rPr>
          <w:rFonts w:ascii="Verdana" w:eastAsia="Calibri" w:hAnsi="Verdana" w:cs="Arial"/>
        </w:rPr>
      </w:pPr>
    </w:p>
    <w:p w14:paraId="260F5A7B" w14:textId="77777777" w:rsidR="008B4354" w:rsidRPr="000146E8" w:rsidRDefault="008B4354" w:rsidP="008B4354">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360ED62F" w14:textId="77777777" w:rsidR="008B4354" w:rsidRPr="000146E8" w:rsidRDefault="008B4354" w:rsidP="008B4354">
      <w:pPr>
        <w:spacing w:after="0" w:line="240" w:lineRule="auto"/>
        <w:ind w:left="709" w:right="709"/>
        <w:contextualSpacing/>
        <w:jc w:val="both"/>
        <w:rPr>
          <w:rFonts w:ascii="Verdana" w:eastAsia="Calibri" w:hAnsi="Verdana" w:cs="Arial"/>
          <w:color w:val="000000"/>
          <w:sz w:val="20"/>
          <w:szCs w:val="20"/>
          <w:lang w:val="es-MX" w:eastAsia="en-GB"/>
        </w:rPr>
      </w:pPr>
    </w:p>
    <w:p w14:paraId="723B9712" w14:textId="77777777" w:rsidR="008B4354" w:rsidRPr="000146E8" w:rsidRDefault="008B4354" w:rsidP="008B4354">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 xml:space="preserve">Para establecer la capacidad residual del proponente o K de contratación, se deberán considerar todos los contratos que tenga en ejecución el proponente al momento de presentar la oferta. El desarrollo y ejecución </w:t>
      </w:r>
      <w:r w:rsidRPr="000146E8">
        <w:rPr>
          <w:rFonts w:ascii="Verdana" w:eastAsia="Calibri" w:hAnsi="Verdana" w:cs="Arial"/>
          <w:color w:val="000000"/>
          <w:sz w:val="20"/>
          <w:szCs w:val="20"/>
          <w:lang w:val="es-MX" w:eastAsia="en-GB"/>
        </w:rPr>
        <w:lastRenderedPageBreak/>
        <w:t>del contrato podrá dar lugar a que los valores que sean cancelados al contratista se consideren para establecer el real K de contratación, en cada oportunidad. El Gobierno Nacional reglamentará la materia”.</w:t>
      </w:r>
    </w:p>
    <w:p w14:paraId="731F911C" w14:textId="77777777" w:rsidR="008B4354" w:rsidRPr="00896002" w:rsidRDefault="008B4354" w:rsidP="008B4354">
      <w:pPr>
        <w:spacing w:after="0" w:line="276" w:lineRule="auto"/>
        <w:ind w:right="709"/>
        <w:jc w:val="both"/>
        <w:rPr>
          <w:rFonts w:ascii="Verdana" w:eastAsia="Calibri" w:hAnsi="Verdana" w:cs="Arial"/>
          <w:color w:val="000000"/>
          <w:lang w:val="es-MX" w:eastAsia="en-GB"/>
        </w:rPr>
      </w:pPr>
    </w:p>
    <w:p w14:paraId="1D0EDDE1" w14:textId="77777777" w:rsidR="008B4354" w:rsidRPr="008E047A" w:rsidRDefault="008B4354" w:rsidP="008B4354">
      <w:pPr>
        <w:spacing w:after="120" w:line="276" w:lineRule="auto"/>
        <w:ind w:firstLine="709"/>
        <w:jc w:val="both"/>
        <w:rPr>
          <w:rFonts w:ascii="Verdana" w:eastAsia="Calibri" w:hAnsi="Verdana" w:cs="Arial"/>
          <w:color w:val="000000"/>
          <w:lang w:eastAsia="en-GB"/>
        </w:rPr>
      </w:pPr>
      <w:r w:rsidRPr="00896002">
        <w:rPr>
          <w:rFonts w:ascii="Verdana" w:eastAsia="Calibri" w:hAnsi="Verdana" w:cs="Arial"/>
          <w:color w:val="000000"/>
          <w:lang w:val="es-MX" w:eastAsia="en-GB"/>
        </w:rPr>
        <w:t xml:space="preserve">De acuerdo con </w:t>
      </w:r>
      <w:r w:rsidRPr="00896002">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w:t>
      </w:r>
      <w:r>
        <w:rPr>
          <w:rFonts w:ascii="Verdana" w:eastAsia="Calibri" w:hAnsi="Verdana" w:cs="Arial"/>
          <w:color w:val="000000"/>
          <w:lang w:eastAsia="en-GB"/>
        </w:rPr>
        <w:t>ón”, según se infier</w:t>
      </w:r>
      <w:r w:rsidRPr="00896002">
        <w:rPr>
          <w:rFonts w:ascii="Verdana" w:eastAsia="Calibri" w:hAnsi="Verdana" w:cs="Arial"/>
          <w:color w:val="000000"/>
          <w:lang w:eastAsia="en-GB"/>
        </w:rPr>
        <w:t>e de la misma disposición, “[…] se deberá calcular mediante la evaluación de los siguientes factores: Experiencia (E), Capacidad Financiera (CF), Capacidad Técnica (CT), y Capacidad de Organización (CO)”.</w:t>
      </w:r>
    </w:p>
    <w:p w14:paraId="5E62BA35" w14:textId="77777777" w:rsidR="008B4354" w:rsidRPr="00881D8A" w:rsidRDefault="008B4354" w:rsidP="008B4354">
      <w:pPr>
        <w:widowControl w:val="0"/>
        <w:autoSpaceDE w:val="0"/>
        <w:autoSpaceDN w:val="0"/>
        <w:spacing w:after="120" w:line="276" w:lineRule="auto"/>
        <w:ind w:firstLine="709"/>
        <w:jc w:val="both"/>
        <w:rPr>
          <w:rFonts w:ascii="Verdana" w:eastAsia="Arial" w:hAnsi="Verdana" w:cs="Arial"/>
        </w:rPr>
      </w:pPr>
      <w:r w:rsidRPr="00881D8A">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Por su parte, el artículo 2.2.1.1.1.6.4. del Decreto 1082 de 2015 señala la información que debe entregar el proponente interesado en un proceso de contratación para acreditar su Capacidad Residual, de la siguiente forma: </w:t>
      </w:r>
    </w:p>
    <w:p w14:paraId="0C8E694F" w14:textId="77777777" w:rsidR="008B4354" w:rsidRPr="00881D8A" w:rsidRDefault="008B4354" w:rsidP="008B4354">
      <w:pPr>
        <w:widowControl w:val="0"/>
        <w:autoSpaceDE w:val="0"/>
        <w:autoSpaceDN w:val="0"/>
        <w:spacing w:after="0" w:line="276" w:lineRule="auto"/>
        <w:ind w:firstLine="709"/>
        <w:contextualSpacing/>
        <w:jc w:val="both"/>
        <w:rPr>
          <w:rFonts w:ascii="Verdana" w:eastAsia="Arial" w:hAnsi="Verdana" w:cs="Arial"/>
          <w:lang w:val="es-ES"/>
        </w:rPr>
      </w:pPr>
    </w:p>
    <w:p w14:paraId="4E6ABE4F"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7013C8E5"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420EDE1F"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4F6C1883"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00F53DD9"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5B5262A8"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029FA30C" w14:textId="77777777" w:rsidR="008B4354" w:rsidRDefault="008B4354" w:rsidP="008B4354">
      <w:pPr>
        <w:spacing w:after="0"/>
        <w:ind w:left="708" w:right="758"/>
        <w:jc w:val="both"/>
        <w:rPr>
          <w:rFonts w:ascii="Verdana" w:eastAsia="Calibri" w:hAnsi="Verdana" w:cs="Arial"/>
          <w:color w:val="000000"/>
          <w:sz w:val="20"/>
          <w:szCs w:val="20"/>
        </w:rPr>
      </w:pPr>
      <w:r w:rsidRPr="00881D8A">
        <w:rPr>
          <w:rFonts w:ascii="Verdana" w:eastAsia="Calibri" w:hAnsi="Verdana" w:cs="Arial"/>
          <w:color w:val="000000"/>
          <w:sz w:val="20"/>
          <w:szCs w:val="20"/>
        </w:rPr>
        <w:t xml:space="preserve">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w:t>
      </w:r>
      <w:r w:rsidRPr="00881D8A">
        <w:rPr>
          <w:rFonts w:ascii="Verdana" w:eastAsia="Calibri" w:hAnsi="Verdana" w:cs="Arial"/>
          <w:color w:val="000000"/>
          <w:sz w:val="20"/>
          <w:szCs w:val="20"/>
        </w:rPr>
        <w:lastRenderedPageBreak/>
        <w:t>Entidades Estatales solo deben solicitar como documento adicional el estado de resultados del año en que el proponente obtuvo el mayor ingreso operacional en los últimos cinco (5) años.</w:t>
      </w:r>
    </w:p>
    <w:p w14:paraId="413EC466" w14:textId="77777777" w:rsidR="008B4354" w:rsidRDefault="008B4354" w:rsidP="008B4354">
      <w:pPr>
        <w:spacing w:after="0"/>
        <w:ind w:left="708" w:right="758"/>
        <w:jc w:val="both"/>
        <w:rPr>
          <w:rFonts w:ascii="Verdana" w:eastAsia="Calibri" w:hAnsi="Verdana" w:cs="Arial"/>
          <w:color w:val="000000"/>
          <w:sz w:val="20"/>
          <w:szCs w:val="20"/>
        </w:rPr>
      </w:pPr>
    </w:p>
    <w:p w14:paraId="20014A03"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Proceso de Contratación de acuerdo con la siguiente fórmula:</w:t>
      </w:r>
    </w:p>
    <w:p w14:paraId="6C810E1C" w14:textId="77777777" w:rsidR="008B4354" w:rsidRPr="008E047A" w:rsidRDefault="008B4354" w:rsidP="008B4354">
      <w:pPr>
        <w:shd w:val="clear" w:color="auto" w:fill="FFFFFF"/>
        <w:spacing w:after="0" w:line="240" w:lineRule="auto"/>
        <w:ind w:left="709" w:right="709"/>
        <w:jc w:val="center"/>
        <w:rPr>
          <w:rFonts w:ascii="Verdana" w:eastAsia="Times New Roman" w:hAnsi="Verdana" w:cs="Times New Roman"/>
          <w:color w:val="333333"/>
          <w:sz w:val="20"/>
          <w:szCs w:val="20"/>
          <w:lang w:eastAsia="es-CO"/>
        </w:rPr>
      </w:pPr>
      <w:r w:rsidRPr="008E047A">
        <w:rPr>
          <w:rFonts w:ascii="Verdana" w:eastAsia="Times New Roman" w:hAnsi="Verdana" w:cs="Times New Roman"/>
          <w:i/>
          <w:iCs/>
          <w:color w:val="333333"/>
          <w:sz w:val="20"/>
          <w:szCs w:val="20"/>
          <w:lang w:eastAsia="es-CO"/>
        </w:rPr>
        <w:t>Capacidad Residual del Proceso de Contratación = Presupuesto oficial estimado - Anticipo</w:t>
      </w:r>
    </w:p>
    <w:p w14:paraId="2E072AC7"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Si el plazo estimado del contrato es superior a doce (12) meses, la Capacidad Residual del Proceso de Contratación equivale a la proporción lineal de doce (12) meses del presupuesto oficial estimado menos el anticipo cuando haya lugar.</w:t>
      </w:r>
    </w:p>
    <w:p w14:paraId="6400EFA1"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proponente de acuerdo con la siguiente fórmula:</w:t>
      </w:r>
    </w:p>
    <w:p w14:paraId="12F5DD71"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A cada uno de los factores se le asigna el siguiente puntaje máximo:</w:t>
      </w:r>
    </w:p>
    <w:tbl>
      <w:tblPr>
        <w:tblW w:w="3455" w:type="pct"/>
        <w:tblInd w:w="1126" w:type="dxa"/>
        <w:tblBorders>
          <w:top w:val="single" w:sz="6" w:space="0" w:color="C6C6C6"/>
          <w:left w:val="single" w:sz="6" w:space="0" w:color="C6C6C6"/>
          <w:bottom w:val="single" w:sz="6" w:space="0" w:color="C6C6C6"/>
          <w:right w:val="single" w:sz="6" w:space="0" w:color="C6C6C6"/>
        </w:tblBorders>
        <w:shd w:val="clear" w:color="auto" w:fill="FFFFFF"/>
        <w:tblCellMar>
          <w:left w:w="0" w:type="dxa"/>
          <w:right w:w="0" w:type="dxa"/>
        </w:tblCellMar>
        <w:tblLook w:val="04A0" w:firstRow="1" w:lastRow="0" w:firstColumn="1" w:lastColumn="0" w:noHBand="0" w:noVBand="1"/>
      </w:tblPr>
      <w:tblGrid>
        <w:gridCol w:w="2722"/>
        <w:gridCol w:w="3374"/>
      </w:tblGrid>
      <w:tr w:rsidR="008B4354" w:rsidRPr="008E047A" w14:paraId="2EB739D6"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7D3CE561"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b/>
                <w:bCs/>
                <w:color w:val="333333"/>
                <w:sz w:val="20"/>
                <w:szCs w:val="20"/>
                <w:lang w:eastAsia="es-CO"/>
              </w:rPr>
              <w:t>FACTOR</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2438B652"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b/>
                <w:bCs/>
                <w:color w:val="333333"/>
                <w:sz w:val="20"/>
                <w:szCs w:val="20"/>
                <w:lang w:eastAsia="es-CO"/>
              </w:rPr>
              <w:t>PUNTAJE MÁXIMO</w:t>
            </w:r>
          </w:p>
        </w:tc>
      </w:tr>
      <w:tr w:rsidR="008B4354" w:rsidRPr="008E047A" w14:paraId="37B9B6A8"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46329C9C"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Experiencia (E)</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1EAEECA8"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120</w:t>
            </w:r>
          </w:p>
        </w:tc>
      </w:tr>
      <w:tr w:rsidR="008B4354" w:rsidRPr="008E047A" w14:paraId="054230E9"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6AA12BC3"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Capacidad financiera (CF)</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4418C4C9"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40</w:t>
            </w:r>
          </w:p>
        </w:tc>
      </w:tr>
      <w:tr w:rsidR="008B4354" w:rsidRPr="008E047A" w14:paraId="1EF0E6D9"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575AFE9C"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Capacidad técnica (CT)</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58E687B4"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40</w:t>
            </w:r>
          </w:p>
        </w:tc>
      </w:tr>
      <w:tr w:rsidR="008B4354" w:rsidRPr="008E047A" w14:paraId="0868B213"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1AD4E03C"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Total</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73AB299F"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200</w:t>
            </w:r>
          </w:p>
        </w:tc>
      </w:tr>
    </w:tbl>
    <w:p w14:paraId="33843960"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p>
    <w:p w14:paraId="7299F3BC"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Capacidad de Organización no tiene asignación de puntaje en la fórmula porque su unidad de medida es en pesos colombianos y constituye un factor multiplicador de los demás factores.</w:t>
      </w:r>
    </w:p>
    <w:p w14:paraId="172867AA"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El proponente debe acreditar una Capacidad Residual superior o igual a la Capacidad Residual establecida en los Documentos del Proceso para el Proceso de Contratación.</w:t>
      </w:r>
    </w:p>
    <w:p w14:paraId="041D9BAF"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Por consiguiente, la Capacidad Residual del proponente es suficiente si:</w:t>
      </w:r>
    </w:p>
    <w:p w14:paraId="7EEA4184" w14:textId="77777777" w:rsidR="008B4354" w:rsidRPr="008E047A" w:rsidRDefault="008B4354" w:rsidP="008B4354">
      <w:pPr>
        <w:shd w:val="clear" w:color="auto" w:fill="FFFFFF"/>
        <w:spacing w:after="0" w:line="240" w:lineRule="auto"/>
        <w:ind w:left="709" w:right="709"/>
        <w:jc w:val="center"/>
        <w:rPr>
          <w:rFonts w:ascii="Verdana" w:eastAsia="Times New Roman" w:hAnsi="Verdana" w:cs="Times New Roman"/>
          <w:color w:val="333333"/>
          <w:sz w:val="20"/>
          <w:szCs w:val="20"/>
          <w:lang w:eastAsia="es-CO"/>
        </w:rPr>
      </w:pPr>
      <w:r w:rsidRPr="008E047A">
        <w:rPr>
          <w:rFonts w:ascii="Verdana" w:eastAsia="Times New Roman" w:hAnsi="Verdana" w:cs="Times New Roman"/>
          <w:i/>
          <w:iCs/>
          <w:color w:val="333333"/>
          <w:sz w:val="20"/>
          <w:szCs w:val="20"/>
          <w:lang w:eastAsia="es-CO"/>
        </w:rPr>
        <w:t>Capacidad Residual del proponente ≥ Capacidad Residual del Proceso de Contratación</w:t>
      </w:r>
    </w:p>
    <w:p w14:paraId="7BE066F3"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proponente de acuerdo con la metodología que defina Colombia Compra Eficiente, teniendo en cuenta los factores de: Experiencia (E), Capacidad Financiera (CF), Capacidad Técnica (CT), Capacidad de Organización (CO), y los saldos de los contratos en ejecución (SCE).</w:t>
      </w:r>
    </w:p>
    <w:p w14:paraId="6ADA7E2C" w14:textId="77777777" w:rsidR="008B4354" w:rsidRPr="00881D8A" w:rsidRDefault="008B4354" w:rsidP="008B4354">
      <w:pPr>
        <w:spacing w:after="0"/>
        <w:ind w:right="758"/>
        <w:jc w:val="both"/>
        <w:rPr>
          <w:rFonts w:ascii="Verdana" w:eastAsia="Calibri" w:hAnsi="Verdana" w:cs="Arial"/>
          <w:color w:val="000000"/>
          <w:sz w:val="20"/>
          <w:szCs w:val="20"/>
        </w:rPr>
      </w:pPr>
    </w:p>
    <w:p w14:paraId="5B274E9A" w14:textId="77777777" w:rsidR="008B4354" w:rsidRDefault="008B4354" w:rsidP="008B4354">
      <w:pPr>
        <w:spacing w:after="120" w:line="276" w:lineRule="auto"/>
        <w:ind w:firstLine="709"/>
        <w:jc w:val="both"/>
        <w:rPr>
          <w:rFonts w:ascii="Verdana" w:eastAsia="Arial" w:hAnsi="Verdana" w:cs="Arial"/>
        </w:rPr>
      </w:pPr>
      <w:r w:rsidRPr="00881D8A">
        <w:rPr>
          <w:rFonts w:ascii="Verdana" w:eastAsia="Calibri" w:hAnsi="Verdana" w:cs="Times New Roman"/>
        </w:rPr>
        <w:t xml:space="preserve">De acuerdo con lo anterior, el proponente que participe en un proceso de selección de una obra pública deberá acreditar la capacidad residual de contratación allegando para el efecto los documentos indicados en el </w:t>
      </w:r>
      <w:r w:rsidRPr="00881D8A">
        <w:rPr>
          <w:rFonts w:ascii="Verdana" w:eastAsia="Arial" w:hAnsi="Verdana" w:cs="Arial"/>
        </w:rPr>
        <w:t xml:space="preserve">2.2.1.1.1.6.4. del Decreto 1082 de 2015 antes descritos. </w:t>
      </w:r>
    </w:p>
    <w:p w14:paraId="0DFF4416" w14:textId="77777777" w:rsidR="008B435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 xml:space="preserve">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w:t>
      </w:r>
      <w:proofErr w:type="spellStart"/>
      <w:r w:rsidRPr="00180BA4">
        <w:rPr>
          <w:rFonts w:ascii="Verdana" w:eastAsia="Calibri" w:hAnsi="Verdana" w:cs="Arial"/>
        </w:rPr>
        <w:t>ii</w:t>
      </w:r>
      <w:proofErr w:type="spellEnd"/>
      <w:r w:rsidRPr="00180BA4">
        <w:rPr>
          <w:rFonts w:ascii="Verdana" w:eastAsia="Calibri" w:hAnsi="Verdana" w:cs="Arial"/>
        </w:rPr>
        <w:t xml:space="preserve">) La lista de los Contratos en Ejecución, suscritos por sociedades, consorcios o uniones temporales, en los cuales el proponente tenga participación, así como el valor y plazo de tales contratos. </w:t>
      </w:r>
      <w:proofErr w:type="spellStart"/>
      <w:r w:rsidRPr="00180BA4">
        <w:rPr>
          <w:rFonts w:ascii="Verdana" w:eastAsia="Calibri" w:hAnsi="Verdana" w:cs="Arial"/>
        </w:rPr>
        <w:t>iii</w:t>
      </w:r>
      <w:proofErr w:type="spellEnd"/>
      <w:r w:rsidRPr="00180BA4">
        <w:rPr>
          <w:rFonts w:ascii="Verdana" w:eastAsia="Calibri" w:hAnsi="Verdana" w:cs="Arial"/>
        </w:rPr>
        <w:t>) El estado de resultados auditado que contiene el mejor ingreso operacional de los últimos cinco (5) años y el balance general auditado del último año, suscrito por el interesado o su repre</w:t>
      </w:r>
      <w:r>
        <w:rPr>
          <w:rFonts w:ascii="Verdana" w:eastAsia="Calibri" w:hAnsi="Verdana" w:cs="Arial"/>
        </w:rPr>
        <w:t xml:space="preserve">sentante </w:t>
      </w:r>
      <w:r w:rsidRPr="00180BA4">
        <w:rPr>
          <w:rFonts w:ascii="Verdana" w:eastAsia="Calibri" w:hAnsi="Verdana" w:cs="Arial"/>
        </w:rPr>
        <w:t>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14E3C72D" w14:textId="77777777" w:rsidR="008B435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Ahora bien, para lo primero, esto es, para establecer la capacidad residual del proceso de contratac</w:t>
      </w:r>
      <w:r>
        <w:rPr>
          <w:rFonts w:ascii="Verdana" w:eastAsia="Calibri" w:hAnsi="Verdana" w:cs="Arial"/>
        </w:rPr>
        <w:t xml:space="preserve">ión “CRPC”, </w:t>
      </w:r>
      <w:r w:rsidRPr="00180BA4">
        <w:rPr>
          <w:rFonts w:ascii="Verdana" w:eastAsia="Calibri" w:hAnsi="Verdana" w:cs="Arial"/>
        </w:rPr>
        <w:t>debe determinar</w:t>
      </w:r>
      <w:r>
        <w:rPr>
          <w:rFonts w:ascii="Verdana" w:eastAsia="Calibri" w:hAnsi="Verdana" w:cs="Arial"/>
        </w:rPr>
        <w:t>se</w:t>
      </w:r>
      <w:r w:rsidRPr="00180BA4">
        <w:rPr>
          <w:rFonts w:ascii="Verdana" w:eastAsia="Calibri" w:hAnsi="Verdana" w:cs="Arial"/>
        </w:rPr>
        <w:t xml:space="preserv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015CD242" w14:textId="77777777" w:rsidR="008B4354" w:rsidRPr="00180BA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 xml:space="preserve">Para lo segundo, es decir, para verificar que cada proponente cumple con la CRPC, la entidad pública debe verificar que la capacidad residual del proponente “CRP” sea igual o superior a la capacidad referida en el párrafo precedente. De todas formas, previamente debe establecer la CRP, con fundamento en los siguientes factores: i) experiencia “E”;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w:t>
      </w:r>
      <w:r w:rsidRPr="00180BA4">
        <w:rPr>
          <w:rFonts w:ascii="Verdana" w:eastAsia="Calibri" w:hAnsi="Verdana" w:cs="Arial"/>
        </w:rPr>
        <w:lastRenderedPageBreak/>
        <w:t xml:space="preserve">financiera “CF”;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“CT”,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“CO”; y v) los saldos de los contratos en ejecución “SCE”, según la siguiente fórmula:</w:t>
      </w:r>
    </w:p>
    <w:p w14:paraId="60FAD756" w14:textId="77777777" w:rsidR="008B4354" w:rsidRPr="000F60AB" w:rsidRDefault="008B4354" w:rsidP="008B4354">
      <w:pPr>
        <w:pStyle w:val="Prrafodelista"/>
        <w:rPr>
          <w:rFonts w:ascii="Verdana" w:eastAsia="Calibri" w:hAnsi="Verdana" w:cs="Arial"/>
        </w:rPr>
      </w:pPr>
    </w:p>
    <w:p w14:paraId="1223E247" w14:textId="77777777" w:rsidR="008B4354" w:rsidRPr="000F60AB" w:rsidRDefault="008B4354" w:rsidP="008B4354">
      <w:pPr>
        <w:pStyle w:val="Prrafodelista"/>
        <w:rPr>
          <w:rFonts w:ascii="Verdana" w:eastAsia="Calibri" w:hAnsi="Verdana" w:cs="Arial"/>
        </w:rPr>
      </w:pPr>
      <w:r w:rsidRPr="000F60AB">
        <w:rPr>
          <w:rFonts w:ascii="Verdana" w:hAnsi="Verdana"/>
          <w:noProof/>
          <w:sz w:val="20"/>
          <w:lang w:val="en-US"/>
        </w:rPr>
        <w:drawing>
          <wp:inline distT="0" distB="0" distL="0" distR="0" wp14:anchorId="53D4EE24" wp14:editId="2AC0C149">
            <wp:extent cx="4641315" cy="674846"/>
            <wp:effectExtent l="0" t="0" r="0" b="0"/>
            <wp:docPr id="2"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2" cstate="print"/>
                    <a:stretch>
                      <a:fillRect/>
                    </a:stretch>
                  </pic:blipFill>
                  <pic:spPr>
                    <a:xfrm>
                      <a:off x="0" y="0"/>
                      <a:ext cx="4641315" cy="674846"/>
                    </a:xfrm>
                    <a:prstGeom prst="rect">
                      <a:avLst/>
                    </a:prstGeom>
                  </pic:spPr>
                </pic:pic>
              </a:graphicData>
            </a:graphic>
          </wp:inline>
        </w:drawing>
      </w:r>
    </w:p>
    <w:p w14:paraId="05AC692E" w14:textId="77777777" w:rsidR="008B4354" w:rsidRPr="000F60AB" w:rsidRDefault="008B4354" w:rsidP="008B4354">
      <w:pPr>
        <w:pStyle w:val="Prrafodelista"/>
        <w:rPr>
          <w:rFonts w:ascii="Verdana" w:eastAsia="Calibri" w:hAnsi="Verdana" w:cs="Arial"/>
        </w:rPr>
      </w:pPr>
    </w:p>
    <w:p w14:paraId="424BC3B5" w14:textId="77777777" w:rsidR="008B435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 xml:space="preserve">A cada uno de estos factores se les debe asignar el siguiente puntaje máximo: i) “E” 120; </w:t>
      </w:r>
      <w:proofErr w:type="spellStart"/>
      <w:r w:rsidRPr="00180BA4">
        <w:rPr>
          <w:rFonts w:ascii="Verdana" w:eastAsia="Calibri" w:hAnsi="Verdana" w:cs="Arial"/>
        </w:rPr>
        <w:t>ii</w:t>
      </w:r>
      <w:proofErr w:type="spellEnd"/>
      <w:r w:rsidRPr="00180BA4">
        <w:rPr>
          <w:rFonts w:ascii="Verdana" w:eastAsia="Calibri" w:hAnsi="Verdana" w:cs="Arial"/>
        </w:rPr>
        <w:t xml:space="preserve">) “CF” 40; y </w:t>
      </w:r>
      <w:proofErr w:type="spellStart"/>
      <w:r w:rsidRPr="00180BA4">
        <w:rPr>
          <w:rFonts w:ascii="Verdana" w:eastAsia="Calibri" w:hAnsi="Verdana" w:cs="Arial"/>
        </w:rPr>
        <w:t>iii</w:t>
      </w:r>
      <w:proofErr w:type="spellEnd"/>
      <w:r w:rsidRPr="00180BA4">
        <w:rPr>
          <w:rFonts w:ascii="Verdana" w:eastAsia="Calibri" w:hAnsi="Verdana" w:cs="Arial"/>
        </w:rPr>
        <w:t>)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6F9FC0DB" w14:textId="77777777" w:rsidR="008B4354" w:rsidRDefault="008B4354" w:rsidP="008B4354">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5EB6840C" w14:textId="77777777" w:rsidR="008B4354" w:rsidRDefault="008B4354" w:rsidP="008B4354">
      <w:pPr>
        <w:spacing w:after="120" w:line="276" w:lineRule="auto"/>
        <w:ind w:firstLine="709"/>
        <w:jc w:val="both"/>
        <w:rPr>
          <w:rFonts w:ascii="Verdana" w:eastAsia="Calibri" w:hAnsi="Verdana" w:cs="Arial"/>
        </w:rPr>
      </w:pPr>
      <w:proofErr w:type="spellStart"/>
      <w:r w:rsidRPr="008C45F5">
        <w:rPr>
          <w:rFonts w:ascii="Verdana" w:eastAsia="Calibri" w:hAnsi="Verdana" w:cs="Arial"/>
        </w:rPr>
        <w:t>ii</w:t>
      </w:r>
      <w:proofErr w:type="spellEnd"/>
      <w:r w:rsidRPr="008C45F5">
        <w:rPr>
          <w:rFonts w:ascii="Verdana" w:eastAsia="Calibri" w:hAnsi="Verdana" w:cs="Arial"/>
        </w:rPr>
        <w:t>)</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w:t>
      </w:r>
      <w:proofErr w:type="gramStart"/>
      <w:r w:rsidRPr="008C45F5">
        <w:rPr>
          <w:rFonts w:ascii="Verdana" w:eastAsia="Calibri" w:hAnsi="Verdana" w:cs="Arial"/>
        </w:rPr>
        <w:t>El puntaje a asignar</w:t>
      </w:r>
      <w:proofErr w:type="gramEnd"/>
      <w:r w:rsidRPr="008C45F5">
        <w:rPr>
          <w:rFonts w:ascii="Verdana" w:eastAsia="Calibri" w:hAnsi="Verdana" w:cs="Arial"/>
        </w:rPr>
        <w:t>, según la Guía, 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1AF4AF2E" w14:textId="77777777" w:rsidR="008B4354" w:rsidRPr="008C45F5" w:rsidRDefault="008B4354" w:rsidP="008B4354">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37F143FD" w14:textId="77777777" w:rsidR="008B4354" w:rsidRPr="000F60AB" w:rsidRDefault="008B4354" w:rsidP="008B4354">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8B4354" w:rsidRPr="000F60AB" w14:paraId="73DC46A7" w14:textId="77777777" w:rsidTr="00620CBD">
        <w:tc>
          <w:tcPr>
            <w:tcW w:w="2481" w:type="dxa"/>
            <w:shd w:val="clear" w:color="auto" w:fill="4472C4" w:themeFill="accent1"/>
            <w:vAlign w:val="center"/>
          </w:tcPr>
          <w:p w14:paraId="3DCA174E" w14:textId="77777777" w:rsidR="008B4354" w:rsidRPr="00DE6FBD" w:rsidRDefault="008B4354" w:rsidP="00620CBD">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0CECCF60" w14:textId="77777777" w:rsidR="008B4354" w:rsidRPr="00DE6FBD" w:rsidRDefault="008B4354" w:rsidP="00620CBD">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8B4354" w:rsidRPr="000F60AB" w14:paraId="694172CC" w14:textId="77777777" w:rsidTr="00620CBD">
        <w:tc>
          <w:tcPr>
            <w:tcW w:w="2481" w:type="dxa"/>
            <w:vAlign w:val="center"/>
          </w:tcPr>
          <w:p w14:paraId="648F5805"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6A30B29F"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8B4354" w:rsidRPr="000F60AB" w14:paraId="0A07FB37" w14:textId="77777777" w:rsidTr="00620CBD">
        <w:tc>
          <w:tcPr>
            <w:tcW w:w="2481" w:type="dxa"/>
            <w:vAlign w:val="center"/>
          </w:tcPr>
          <w:p w14:paraId="0EDDF1AD"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738D2D19"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8B4354" w:rsidRPr="000F60AB" w14:paraId="3A169865" w14:textId="77777777" w:rsidTr="00620CBD">
        <w:tc>
          <w:tcPr>
            <w:tcW w:w="2481" w:type="dxa"/>
            <w:vAlign w:val="center"/>
          </w:tcPr>
          <w:p w14:paraId="6F3D2C71"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18DEE57D"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 xml:space="preserve">USD 125.000 (Liquidados a la tasa de cambio determinada por el Ministerio de Comercio, </w:t>
            </w:r>
            <w:r w:rsidRPr="00DE6FBD">
              <w:rPr>
                <w:rFonts w:ascii="Verdana" w:eastAsia="Calibri" w:hAnsi="Verdana" w:cs="Arial"/>
                <w:sz w:val="20"/>
                <w:szCs w:val="20"/>
                <w:lang w:val="es-CO"/>
              </w:rPr>
              <w:lastRenderedPageBreak/>
              <w:t>Industria y Turismo cada 2 años para efectos del umbral del beneficio de las Mipyme.)</w:t>
            </w:r>
          </w:p>
        </w:tc>
      </w:tr>
    </w:tbl>
    <w:p w14:paraId="0FE12613" w14:textId="77777777" w:rsidR="008B4354" w:rsidRDefault="008B4354" w:rsidP="008B4354">
      <w:pPr>
        <w:spacing w:after="0" w:line="276" w:lineRule="auto"/>
        <w:jc w:val="both"/>
        <w:rPr>
          <w:rFonts w:ascii="Verdana" w:eastAsia="Calibri" w:hAnsi="Verdana" w:cs="Arial"/>
          <w:i/>
          <w:iCs/>
        </w:rPr>
      </w:pPr>
    </w:p>
    <w:p w14:paraId="4B7E500A" w14:textId="77777777" w:rsidR="008B4354" w:rsidRDefault="008B4354" w:rsidP="008B4354">
      <w:pPr>
        <w:spacing w:after="120" w:line="276" w:lineRule="auto"/>
        <w:ind w:firstLine="709"/>
        <w:jc w:val="both"/>
        <w:rPr>
          <w:rFonts w:ascii="Verdana" w:eastAsia="Calibri" w:hAnsi="Verdana" w:cs="Arial"/>
        </w:rPr>
      </w:pPr>
      <w:proofErr w:type="spellStart"/>
      <w:r>
        <w:rPr>
          <w:rFonts w:ascii="Verdana" w:eastAsia="Calibri" w:hAnsi="Verdana" w:cs="Arial"/>
          <w:i/>
          <w:iCs/>
        </w:rPr>
        <w:t>iv</w:t>
      </w:r>
      <w:proofErr w:type="spellEnd"/>
      <w:r>
        <w:rPr>
          <w:rFonts w:ascii="Verdana" w:eastAsia="Calibri" w:hAnsi="Verdana" w:cs="Arial"/>
          <w:i/>
          <w:iCs/>
        </w:rPr>
        <w:t xml:space="preserve">) </w:t>
      </w:r>
      <w:r w:rsidRPr="008C45F5">
        <w:rPr>
          <w:rFonts w:ascii="Verdana" w:eastAsia="Calibri" w:hAnsi="Verdana" w:cs="Arial"/>
          <w:i/>
          <w:iCs/>
        </w:rPr>
        <w:t xml:space="preserve">Saldos de los contratos en ejecución. </w:t>
      </w:r>
      <w:r w:rsidRPr="008C45F5">
        <w:rPr>
          <w:rFonts w:ascii="Verdana" w:eastAsia="Calibri" w:hAnsi="Verdana" w:cs="Arial"/>
        </w:rPr>
        <w:t>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360 días, solo se tendrá en cuenta la proporción lineal de 12 meses.</w:t>
      </w:r>
    </w:p>
    <w:p w14:paraId="47D15EC2" w14:textId="77777777" w:rsidR="008B4354" w:rsidRDefault="008B4354" w:rsidP="008B4354">
      <w:pPr>
        <w:spacing w:after="12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corresponde de un lado, a la relación entre “el valor total en pesos de los contratos </w:t>
      </w:r>
      <w:r w:rsidRPr="00DA3ABB">
        <w:rPr>
          <w:rFonts w:ascii="Verdana" w:eastAsia="Calibri" w:hAnsi="Verdana" w:cs="Arial"/>
          <w:i/>
          <w:iCs/>
        </w:rPr>
        <w:t>relacionados con la actividad de la construcción</w:t>
      </w:r>
      <w:r w:rsidRPr="008C45F5">
        <w:rPr>
          <w:rFonts w:ascii="Verdana" w:eastAsia="Calibri" w:hAnsi="Verdana" w:cs="Arial"/>
        </w:rPr>
        <w:t xml:space="preserve"> inscritos por el proponente en el Registro Único de Proponentes “RUP” en el segmento 72 […] del Clasificador de Bienes y Servicios”, y del otro, al presupuesto oficial estimado del Proceso de Contratación. La relación indica el número de veces que el proponente ha ejecutado contratos equivalentes a la cuantía del proceso de contratación.</w:t>
      </w:r>
    </w:p>
    <w:p w14:paraId="1382CBB8" w14:textId="77777777" w:rsidR="008B4354" w:rsidRPr="00842E4E" w:rsidRDefault="008B4354" w:rsidP="00FC01C6">
      <w:pPr>
        <w:spacing w:after="0" w:line="276" w:lineRule="auto"/>
        <w:ind w:firstLine="708"/>
        <w:jc w:val="both"/>
        <w:rPr>
          <w:rFonts w:ascii="Verdana" w:eastAsia="Calibri" w:hAnsi="Verdana" w:cs="Arial"/>
          <w:bCs/>
          <w:color w:val="000000" w:themeColor="text1"/>
        </w:rPr>
      </w:pPr>
    </w:p>
    <w:p w14:paraId="1A26B1E6" w14:textId="4CBE5659" w:rsidR="00220F9E" w:rsidRPr="00220F9E" w:rsidRDefault="008B4354" w:rsidP="00220F9E">
      <w:pPr>
        <w:spacing w:after="120" w:line="276" w:lineRule="auto"/>
        <w:jc w:val="both"/>
        <w:rPr>
          <w:rFonts w:ascii="Verdana" w:eastAsia="Calibri" w:hAnsi="Verdana" w:cs="Arial"/>
          <w:color w:val="000000" w:themeColor="text1"/>
        </w:rPr>
      </w:pPr>
      <w:proofErr w:type="spellStart"/>
      <w:r>
        <w:rPr>
          <w:rFonts w:ascii="Verdana" w:eastAsia="Calibri" w:hAnsi="Verdana" w:cs="Times New Roman"/>
        </w:rPr>
        <w:t>ii</w:t>
      </w:r>
      <w:proofErr w:type="spellEnd"/>
      <w:r>
        <w:rPr>
          <w:rFonts w:ascii="Verdana" w:eastAsia="Calibri" w:hAnsi="Verdana" w:cs="Times New Roman"/>
        </w:rPr>
        <w:t xml:space="preserve">. </w:t>
      </w:r>
      <w:bookmarkStart w:id="2" w:name="_Hlk96453635"/>
      <w:bookmarkEnd w:id="1"/>
      <w:r w:rsidR="00220F9E" w:rsidRPr="00220F9E">
        <w:rPr>
          <w:rFonts w:ascii="Verdana" w:eastAsia="Calibri" w:hAnsi="Verdana" w:cs="Arial"/>
        </w:rPr>
        <w:t xml:space="preserve">Finalmente, para resolver su consulta, </w:t>
      </w:r>
      <w:bookmarkEnd w:id="2"/>
      <w:r w:rsidR="00220F9E" w:rsidRPr="00220F9E">
        <w:rPr>
          <w:rFonts w:ascii="Verdana" w:eastAsia="Calibri" w:hAnsi="Verdana" w:cs="Arial"/>
          <w:color w:val="000000" w:themeColor="text1"/>
        </w:rPr>
        <w:t>esta Subdirección se ha pronunciado sobre los regímenes especiales de contratación, incluido el de las Empresas Sociales del Estado. Lo primero es decir que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59837A21" w14:textId="77777777" w:rsidR="00220F9E" w:rsidRPr="00220F9E" w:rsidRDefault="00220F9E" w:rsidP="00220F9E">
      <w:pPr>
        <w:spacing w:after="0" w:line="276" w:lineRule="auto"/>
        <w:jc w:val="both"/>
        <w:rPr>
          <w:rFonts w:ascii="Verdana" w:hAnsi="Verdana" w:cs="Arial"/>
          <w:bCs/>
          <w:lang w:val="es-ES"/>
        </w:rPr>
      </w:pPr>
      <w:r w:rsidRPr="00220F9E">
        <w:rPr>
          <w:rFonts w:ascii="Verdana" w:eastAsia="Calibri" w:hAnsi="Verdana" w:cs="Arial"/>
          <w:color w:val="000000" w:themeColor="text1"/>
        </w:rPr>
        <w:lastRenderedPageBreak/>
        <w:tab/>
      </w:r>
      <w:r w:rsidRPr="00220F9E">
        <w:rPr>
          <w:rFonts w:ascii="Verdana" w:hAnsi="Verdana" w:cs="Arial"/>
          <w:bCs/>
          <w:lang w:val="es-ES"/>
        </w:rPr>
        <w:t>La decisión hito-fundadora</w:t>
      </w:r>
      <w:r w:rsidRPr="00220F9E">
        <w:rPr>
          <w:rFonts w:ascii="Verdana" w:hAnsi="Verdana" w:cs="Arial"/>
          <w:bCs/>
          <w:vertAlign w:val="superscript"/>
          <w:lang w:val="es-ES"/>
        </w:rPr>
        <w:footnoteReference w:id="1"/>
      </w:r>
      <w:r w:rsidRPr="00220F9E">
        <w:rPr>
          <w:rFonts w:ascii="Verdana" w:hAnsi="Verdana" w:cs="Arial"/>
          <w:bCs/>
          <w:lang w:val="es-ES"/>
        </w:rPr>
        <w:t xml:space="preserve"> en este sentido, de acuerdo con lo señalado por la doctrina</w:t>
      </w:r>
      <w:r w:rsidRPr="00220F9E">
        <w:rPr>
          <w:rFonts w:ascii="Verdana" w:hAnsi="Verdana" w:cs="Arial"/>
          <w:bCs/>
          <w:vertAlign w:val="superscript"/>
          <w:lang w:val="es-ES"/>
        </w:rPr>
        <w:footnoteReference w:id="2"/>
      </w:r>
      <w:r w:rsidRPr="00220F9E">
        <w:rPr>
          <w:rFonts w:ascii="Verdana" w:hAnsi="Verdana" w:cs="Arial"/>
          <w:bCs/>
          <w:lang w:val="es-ES"/>
        </w:rPr>
        <w:t>, es un auto del 20 de agosto de 1998 del Consejo de Estado, donde se señaló</w:t>
      </w:r>
      <w:r w:rsidRPr="00220F9E">
        <w:rPr>
          <w:rFonts w:ascii="Verdana" w:hAnsi="Verdana" w:cs="Arial"/>
          <w:bCs/>
          <w:vertAlign w:val="superscript"/>
          <w:lang w:val="es-ES"/>
        </w:rPr>
        <w:footnoteReference w:id="3"/>
      </w:r>
      <w:r w:rsidRPr="00220F9E">
        <w:rPr>
          <w:rFonts w:ascii="Verdana" w:hAnsi="Verdana" w:cs="Arial"/>
          <w:bCs/>
          <w:lang w:val="es-ES"/>
        </w:rPr>
        <w:t>:</w:t>
      </w:r>
    </w:p>
    <w:p w14:paraId="23F118F6" w14:textId="77777777" w:rsidR="00220F9E" w:rsidRPr="00220F9E" w:rsidRDefault="00220F9E" w:rsidP="00220F9E">
      <w:pPr>
        <w:spacing w:after="0" w:line="276" w:lineRule="auto"/>
        <w:jc w:val="both"/>
        <w:rPr>
          <w:rFonts w:ascii="Verdana" w:hAnsi="Verdana" w:cs="Arial"/>
          <w:bCs/>
          <w:lang w:val="es-ES"/>
        </w:rPr>
      </w:pPr>
    </w:p>
    <w:p w14:paraId="73574817" w14:textId="77777777" w:rsidR="00220F9E" w:rsidRPr="00220F9E" w:rsidRDefault="00220F9E" w:rsidP="00220F9E">
      <w:pPr>
        <w:spacing w:after="0"/>
        <w:ind w:left="709" w:right="709"/>
        <w:jc w:val="both"/>
        <w:rPr>
          <w:rFonts w:ascii="Verdana" w:hAnsi="Verdana" w:cs="Arial"/>
          <w:sz w:val="20"/>
          <w:szCs w:val="20"/>
          <w:lang w:val="es-ES"/>
        </w:rPr>
      </w:pPr>
      <w:r w:rsidRPr="00220F9E">
        <w:rPr>
          <w:rFonts w:ascii="Verdana" w:hAnsi="Verdana" w:cs="Arial"/>
          <w:sz w:val="20"/>
          <w:szCs w:val="20"/>
          <w:lang w:val="es-ES"/>
        </w:rPr>
        <w:t>“A juicio de la Sala es preciso reconocer que, en las diversas regulaciones normativas sobre contratación de la administración pública, es posible identificar dos grandes categorías de actos contractuales:</w:t>
      </w:r>
    </w:p>
    <w:p w14:paraId="7675996E" w14:textId="77777777" w:rsidR="00220F9E" w:rsidRPr="00220F9E" w:rsidRDefault="00220F9E" w:rsidP="00220F9E">
      <w:pPr>
        <w:spacing w:after="0"/>
        <w:ind w:left="709" w:right="709"/>
        <w:jc w:val="both"/>
        <w:rPr>
          <w:rFonts w:ascii="Verdana" w:hAnsi="Verdana" w:cs="Arial"/>
          <w:bCs/>
          <w:sz w:val="20"/>
          <w:szCs w:val="20"/>
          <w:lang w:val="es-ES_tradnl"/>
        </w:rPr>
      </w:pPr>
    </w:p>
    <w:p w14:paraId="188C1390" w14:textId="77777777" w:rsidR="00220F9E" w:rsidRPr="00220F9E" w:rsidRDefault="00220F9E" w:rsidP="00220F9E">
      <w:pPr>
        <w:spacing w:after="0"/>
        <w:ind w:left="709" w:right="709"/>
        <w:jc w:val="both"/>
        <w:rPr>
          <w:rFonts w:ascii="Verdana" w:hAnsi="Verdana" w:cs="Arial"/>
          <w:sz w:val="20"/>
          <w:szCs w:val="20"/>
          <w:lang w:val="es-ES"/>
        </w:rPr>
      </w:pPr>
      <w:r w:rsidRPr="00220F9E">
        <w:rPr>
          <w:rFonts w:ascii="Verdana" w:hAnsi="Verdana" w:cs="Arial"/>
          <w:sz w:val="20"/>
          <w:szCs w:val="20"/>
          <w:lang w:val="es-ES"/>
        </w:rPr>
        <w:t>1ª Contratos estatales, propiamente dichos, que son aquellos que celebran las entidades públicas a que se refiere la ley 80 de 1993, y que por ende se regulan íntegramente por el régimen establecido en esta ley.  Por regla general, adquieren este carácter en razón del ente público contratante, es decir, se definen desde el punto de vista orgánico. Las controversias que se deriven de este tipo de contratos y de los procesos de ejecución o cumplimiento serán de conocimiento de la jurisdicción contenciosa administrativa.</w:t>
      </w:r>
    </w:p>
    <w:p w14:paraId="50D745DE" w14:textId="77777777" w:rsidR="00220F9E" w:rsidRPr="00220F9E" w:rsidRDefault="00220F9E" w:rsidP="00220F9E">
      <w:pPr>
        <w:spacing w:after="0"/>
        <w:ind w:left="709" w:right="709"/>
        <w:jc w:val="both"/>
        <w:rPr>
          <w:rFonts w:ascii="Verdana" w:hAnsi="Verdana" w:cs="Arial"/>
          <w:bCs/>
          <w:sz w:val="20"/>
          <w:szCs w:val="20"/>
          <w:lang w:val="es-ES_tradnl"/>
        </w:rPr>
      </w:pPr>
    </w:p>
    <w:p w14:paraId="6DA02538" w14:textId="77777777" w:rsidR="00220F9E" w:rsidRPr="00220F9E" w:rsidRDefault="00220F9E" w:rsidP="00220F9E">
      <w:pPr>
        <w:spacing w:after="0"/>
        <w:ind w:left="709" w:right="709"/>
        <w:jc w:val="both"/>
        <w:rPr>
          <w:rFonts w:ascii="Verdana" w:hAnsi="Verdana" w:cs="Arial"/>
          <w:sz w:val="20"/>
          <w:szCs w:val="20"/>
          <w:lang w:val="es-ES"/>
        </w:rPr>
      </w:pPr>
      <w:r w:rsidRPr="00220F9E">
        <w:rPr>
          <w:rFonts w:ascii="Verdana" w:hAnsi="Verdana" w:cs="Arial"/>
          <w:sz w:val="20"/>
          <w:szCs w:val="20"/>
          <w:lang w:val="es-ES"/>
        </w:rPr>
        <w:t>2ª Contratos especiales sujetos a un régimen legal propio. Por regla general, el juez a quien compete conocer de sus controversias es el juez administrativo, en razón de que su celebración y ejecución constituye una actividad reglada, es decir, es el ejercicio pleno de una función administrativa, de conformidad con el art. 82 del C.C.A. antes referido”.</w:t>
      </w:r>
    </w:p>
    <w:p w14:paraId="33C0D1CD" w14:textId="77777777" w:rsidR="00220F9E" w:rsidRPr="00220F9E" w:rsidRDefault="00220F9E" w:rsidP="00220F9E">
      <w:pPr>
        <w:spacing w:after="0"/>
        <w:ind w:left="709" w:right="709"/>
        <w:jc w:val="both"/>
        <w:rPr>
          <w:rFonts w:ascii="Verdana" w:hAnsi="Verdana" w:cs="Arial"/>
          <w:sz w:val="21"/>
          <w:szCs w:val="21"/>
          <w:lang w:val="es-ES"/>
        </w:rPr>
      </w:pPr>
    </w:p>
    <w:p w14:paraId="073D7414" w14:textId="77777777" w:rsidR="00220F9E" w:rsidRPr="00220F9E" w:rsidRDefault="00220F9E" w:rsidP="00220F9E">
      <w:pPr>
        <w:spacing w:after="120" w:line="276" w:lineRule="auto"/>
        <w:ind w:firstLine="709"/>
        <w:jc w:val="both"/>
        <w:rPr>
          <w:rFonts w:ascii="Verdana" w:hAnsi="Verdana" w:cs="Arial"/>
          <w:bCs/>
          <w:lang w:val="es-ES"/>
        </w:rPr>
      </w:pPr>
      <w:r w:rsidRPr="00220F9E">
        <w:rPr>
          <w:rFonts w:ascii="Verdana" w:hAnsi="Verdana" w:cs="Arial"/>
          <w:bCs/>
          <w:lang w:val="es-ES"/>
        </w:rPr>
        <w:t>El Consejo de Estado identificó la existencia de un único tipo de contrato: el contrato estatal; pero dos grandes categorías que responden a su régimen jurídico: contrato estatal con un régimen jurídico de derecho público-administrativo y contrato estatal con un régimen jurídico especial, por regla general de derecho privado.</w:t>
      </w:r>
    </w:p>
    <w:p w14:paraId="5B9AC522" w14:textId="77777777" w:rsidR="00220F9E" w:rsidRPr="00220F9E" w:rsidRDefault="00220F9E" w:rsidP="00220F9E">
      <w:pPr>
        <w:spacing w:after="120" w:line="276" w:lineRule="auto"/>
        <w:ind w:firstLine="709"/>
        <w:jc w:val="both"/>
        <w:rPr>
          <w:rFonts w:ascii="Verdana" w:hAnsi="Verdana" w:cs="Arial"/>
          <w:bCs/>
          <w:lang w:val="es-ES"/>
        </w:rPr>
      </w:pPr>
      <w:r w:rsidRPr="00220F9E">
        <w:rPr>
          <w:rFonts w:ascii="Verdana" w:hAnsi="Verdana" w:cs="Arial"/>
          <w:bCs/>
          <w:lang w:val="es-ES"/>
        </w:rPr>
        <w:t xml:space="preserve">En este punto vale la pena resaltar que, en el ordenamiento jurídico colombiano, cuando se piensa en los regímenes especiales de contratación, se suele hacer referencia al régimen de determinadas entidades estatales. Tal sería </w:t>
      </w:r>
      <w:r w:rsidRPr="00220F9E">
        <w:rPr>
          <w:rFonts w:ascii="Verdana" w:hAnsi="Verdana" w:cs="Arial"/>
          <w:bCs/>
          <w:lang w:val="es-ES"/>
        </w:rPr>
        <w:lastRenderedPageBreak/>
        <w:t xml:space="preserve">el caso de las empresas de servicios públicos domiciliarios, de conformidad con el artículo 31 de la Ley 142 de 1994, de las entidades indicadas en el artículo 14 de la Ley 1150 de 2007, de las universidades estatales u oficiales, según el artículo 93 de la Ley 30 de 1993, etc. Esta afirmación, sin embargo, no pretende desconocer que dicho régimen especial se otorga justamente en consideración al especial tipo de actividades desplegadas por estas entidades. </w:t>
      </w:r>
    </w:p>
    <w:p w14:paraId="5B898716" w14:textId="77777777" w:rsidR="00220F9E" w:rsidRPr="00220F9E" w:rsidRDefault="00220F9E" w:rsidP="00220F9E">
      <w:pPr>
        <w:spacing w:after="120" w:line="276" w:lineRule="auto"/>
        <w:ind w:firstLine="709"/>
        <w:jc w:val="both"/>
        <w:rPr>
          <w:rFonts w:ascii="Verdana" w:hAnsi="Verdana" w:cs="Arial"/>
          <w:bCs/>
          <w:lang w:val="es-ES"/>
        </w:rPr>
      </w:pPr>
      <w:r w:rsidRPr="00220F9E">
        <w:rPr>
          <w:rFonts w:ascii="Verdana" w:hAnsi="Verdana" w:cs="Arial"/>
          <w:bCs/>
          <w:lang w:val="es-ES"/>
        </w:rPr>
        <w:t>Ahora bien, los regímenes especiales de contratación en el ordenamiento colombiano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220F9E">
        <w:rPr>
          <w:rFonts w:ascii="Verdana" w:hAnsi="Verdana" w:cs="Arial"/>
          <w:bCs/>
          <w:vertAlign w:val="superscript"/>
          <w:lang w:val="es-ES"/>
        </w:rPr>
        <w:footnoteReference w:id="4"/>
      </w:r>
      <w:r w:rsidRPr="00220F9E">
        <w:rPr>
          <w:rFonts w:ascii="Verdana" w:hAnsi="Verdana" w:cs="Arial"/>
          <w:bCs/>
          <w:lang w:val="es-ES"/>
        </w:rPr>
        <w:t xml:space="preserve">, que establece un régimen especial de derecho privado debido a la consideración que merece el objeto a contratar. </w:t>
      </w:r>
    </w:p>
    <w:p w14:paraId="461039BF" w14:textId="77777777" w:rsidR="00220F9E" w:rsidRPr="00220F9E" w:rsidRDefault="00220F9E" w:rsidP="00220F9E">
      <w:pPr>
        <w:spacing w:after="120" w:line="276" w:lineRule="auto"/>
        <w:ind w:firstLine="709"/>
        <w:jc w:val="both"/>
        <w:rPr>
          <w:rFonts w:ascii="Verdana" w:hAnsi="Verdana" w:cs="Arial"/>
          <w:bCs/>
          <w:lang w:val="es-ES"/>
        </w:rPr>
      </w:pPr>
      <w:r w:rsidRPr="00220F9E">
        <w:rPr>
          <w:rFonts w:ascii="Verdana" w:hAnsi="Verdana" w:cs="Arial"/>
          <w:bCs/>
          <w:lang w:val="es-ES"/>
        </w:rPr>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1562 de 2012, son regímenes especiales a la luz del derecho de la contratación estatal. Por lo mismo, tanto uno como otro régimen están sometidos, en principio, al derecho privado, pero con algunas particularidades propias del derecho público. </w:t>
      </w:r>
    </w:p>
    <w:p w14:paraId="77843DA8" w14:textId="77777777" w:rsidR="00220F9E" w:rsidRPr="00220F9E" w:rsidRDefault="00220F9E" w:rsidP="00220F9E">
      <w:pPr>
        <w:spacing w:after="0" w:line="276" w:lineRule="auto"/>
        <w:ind w:firstLine="709"/>
        <w:jc w:val="both"/>
        <w:rPr>
          <w:rFonts w:ascii="Verdana" w:hAnsi="Verdana" w:cs="Arial"/>
          <w:bCs/>
          <w:lang w:val="es-ES"/>
        </w:rPr>
      </w:pPr>
      <w:r w:rsidRPr="00220F9E">
        <w:rPr>
          <w:rFonts w:ascii="Verdana" w:hAnsi="Verdana" w:cs="Arial"/>
          <w:bCs/>
          <w:lang w:val="es-ES"/>
        </w:rPr>
        <w:t xml:space="preserve">El régimen de derecho privado que, por regla general, caracteriza a los regímenes especiales no significa que no existan “dosis” de derecho público </w:t>
      </w:r>
      <w:r w:rsidRPr="00220F9E">
        <w:rPr>
          <w:rFonts w:ascii="Verdana" w:hAnsi="Verdana" w:cs="Arial"/>
          <w:bCs/>
          <w:lang w:val="es-ES"/>
        </w:rPr>
        <w:lastRenderedPageBreak/>
        <w:t>administrativo que tienen como fin último garantizar que los regímenes especiales de contratación también se ordenen hacia la consecución de los fines del Estado. 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w:t>
      </w:r>
    </w:p>
    <w:p w14:paraId="273E5E1A" w14:textId="77777777" w:rsidR="00220F9E" w:rsidRPr="00220F9E" w:rsidRDefault="00220F9E" w:rsidP="00220F9E">
      <w:pPr>
        <w:spacing w:after="0" w:line="276" w:lineRule="auto"/>
        <w:ind w:firstLine="709"/>
        <w:jc w:val="both"/>
        <w:rPr>
          <w:rFonts w:ascii="Verdana" w:hAnsi="Verdana" w:cs="Arial"/>
          <w:bCs/>
          <w:lang w:val="es-ES"/>
        </w:rPr>
      </w:pPr>
      <w:r w:rsidRPr="00220F9E">
        <w:rPr>
          <w:rFonts w:ascii="Verdana" w:hAnsi="Verdana" w:cs="Arial"/>
          <w:bCs/>
          <w:lang w:val="es-ES"/>
        </w:rPr>
        <w:t xml:space="preserve"> </w:t>
      </w:r>
    </w:p>
    <w:p w14:paraId="1EACDFE4" w14:textId="77777777" w:rsidR="00220F9E" w:rsidRPr="00220F9E" w:rsidRDefault="00220F9E" w:rsidP="00220F9E">
      <w:pPr>
        <w:spacing w:after="0"/>
        <w:ind w:left="708" w:right="709"/>
        <w:jc w:val="both"/>
        <w:rPr>
          <w:rFonts w:ascii="Verdana" w:hAnsi="Verdana" w:cs="Arial"/>
          <w:bCs/>
          <w:sz w:val="20"/>
          <w:szCs w:val="20"/>
          <w:lang w:val="es-ES"/>
        </w:rPr>
      </w:pPr>
      <w:r w:rsidRPr="00220F9E">
        <w:rPr>
          <w:rFonts w:ascii="Verdana" w:hAnsi="Verdana" w:cs="Arial"/>
          <w:bCs/>
          <w:sz w:val="20"/>
          <w:szCs w:val="20"/>
          <w:lang w:val="es-ES"/>
        </w:rPr>
        <w:t>“Artículo 13. Principios generales de la actividad contractual para entidades no sometidas al estatuto general de contratación de la administración pública.</w:t>
      </w:r>
      <w:r w:rsidRPr="00220F9E">
        <w:rPr>
          <w:rFonts w:ascii="Verdana" w:hAnsi="Verdana" w:cs="Arial"/>
          <w:b/>
          <w:sz w:val="20"/>
          <w:szCs w:val="20"/>
          <w:lang w:val="es-ES"/>
        </w:rPr>
        <w:t xml:space="preserve"> </w:t>
      </w:r>
      <w:r w:rsidRPr="00220F9E">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3" w:anchor="209" w:history="1">
        <w:r w:rsidRPr="00220F9E">
          <w:rPr>
            <w:rFonts w:ascii="Verdana" w:hAnsi="Verdana" w:cs="Arial"/>
            <w:bCs/>
            <w:sz w:val="20"/>
            <w:szCs w:val="20"/>
            <w:lang w:val="es-ES"/>
          </w:rPr>
          <w:t>209</w:t>
        </w:r>
      </w:hyperlink>
      <w:r w:rsidRPr="00220F9E">
        <w:rPr>
          <w:rFonts w:ascii="Verdana" w:hAnsi="Verdana" w:cs="Arial"/>
          <w:bCs/>
          <w:sz w:val="20"/>
          <w:szCs w:val="20"/>
          <w:lang w:val="es-ES"/>
        </w:rPr>
        <w:t> y </w:t>
      </w:r>
      <w:hyperlink r:id="rId14" w:anchor="267" w:history="1">
        <w:r w:rsidRPr="00220F9E">
          <w:rPr>
            <w:rFonts w:ascii="Verdana" w:hAnsi="Verdana" w:cs="Arial"/>
            <w:bCs/>
            <w:sz w:val="20"/>
            <w:szCs w:val="20"/>
            <w:lang w:val="es-ES"/>
          </w:rPr>
          <w:t>267</w:t>
        </w:r>
      </w:hyperlink>
      <w:r w:rsidRPr="00220F9E">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6915FC80" w14:textId="77777777" w:rsidR="00220F9E" w:rsidRPr="00220F9E" w:rsidRDefault="00220F9E" w:rsidP="00220F9E">
      <w:pPr>
        <w:spacing w:after="0"/>
        <w:ind w:left="708" w:right="758"/>
        <w:jc w:val="both"/>
        <w:rPr>
          <w:rFonts w:ascii="Verdana" w:hAnsi="Verdana" w:cs="Arial"/>
          <w:bCs/>
          <w:lang w:val="es-ES"/>
        </w:rPr>
      </w:pPr>
    </w:p>
    <w:p w14:paraId="0B84B011" w14:textId="77777777" w:rsidR="00220F9E" w:rsidRDefault="00220F9E" w:rsidP="00220F9E">
      <w:pPr>
        <w:spacing w:after="0" w:line="276" w:lineRule="auto"/>
        <w:jc w:val="both"/>
        <w:rPr>
          <w:rFonts w:ascii="Verdana" w:hAnsi="Verdana" w:cs="Arial"/>
          <w:bCs/>
          <w:lang w:val="es-ES"/>
        </w:rPr>
      </w:pPr>
      <w:r w:rsidRPr="00220F9E">
        <w:rPr>
          <w:rFonts w:ascii="Verdana" w:hAnsi="Verdana" w:cs="Arial"/>
          <w:bCs/>
          <w:lang w:val="es-ES"/>
        </w:rPr>
        <w:tab/>
        <w:t>De conformidad con lo establecido en este artículo, las entidades estatales que cuenten con un régimen contractual excepcional al del EGCAP, esto es, regímenes especiales, “aplicarán en desarrollo de su actividad contractual […] los principios de la función administrativa y de la gestión fiscal […] y estarán 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 –como es el caso de las Empresas de Servicios Públicos o las Empresas Sociales del Estado–, como cuando la entidad tenga un régimen especial solamente para cierto tipo de contratos, como es el supuesto del artículo 66 de la Ley 1523 de 2012.</w:t>
      </w:r>
    </w:p>
    <w:p w14:paraId="7C632F6C" w14:textId="3513A125" w:rsidR="00220F9E" w:rsidRPr="00220F9E" w:rsidRDefault="00220F9E" w:rsidP="00220F9E">
      <w:pPr>
        <w:spacing w:after="120" w:line="276" w:lineRule="auto"/>
        <w:ind w:firstLine="708"/>
        <w:jc w:val="both"/>
        <w:rPr>
          <w:rFonts w:ascii="Verdana" w:eastAsia="Calibri" w:hAnsi="Verdana" w:cs="Arial"/>
          <w:color w:val="000000" w:themeColor="text1"/>
        </w:rPr>
      </w:pPr>
      <w:r w:rsidRPr="00220F9E">
        <w:rPr>
          <w:rFonts w:ascii="Verdana" w:eastAsia="Calibri" w:hAnsi="Verdana" w:cs="Arial"/>
          <w:color w:val="000000" w:themeColor="text1"/>
        </w:rPr>
        <w:t>Ahora bien, dentro de la estructura de la Administración pública se encuentran las entidades descentralizadas por servicios, y dentro de dicha categoría se ubican las Entidades Sociales del Estado, a las que se refiere en su consulta, las cuales, sin perjuicio del control de tutela, tienen personería jurídica, autonomía administrativa y patrimonio propio.</w:t>
      </w:r>
      <w:r w:rsidRPr="00220F9E">
        <w:rPr>
          <w:rFonts w:ascii="Verdana" w:eastAsia="Calibri" w:hAnsi="Verdana" w:cs="Arial"/>
          <w:b/>
          <w:bCs/>
          <w:color w:val="000000" w:themeColor="text1"/>
        </w:rPr>
        <w:t xml:space="preserve"> </w:t>
      </w:r>
      <w:r w:rsidRPr="00220F9E">
        <w:rPr>
          <w:rFonts w:ascii="Verdana" w:eastAsia="Calibri" w:hAnsi="Verdana" w:cs="Arial"/>
          <w:color w:val="000000" w:themeColor="text1"/>
        </w:rPr>
        <w:t xml:space="preserve">Estas entidades, de acuerdo con lo que establece el artículo 83 de la Ley 489 de 1998, son “creadas por la Nación o por las entidades territoriales para la prestación en forma directa de servicios </w:t>
      </w:r>
      <w:r w:rsidRPr="00220F9E">
        <w:rPr>
          <w:rFonts w:ascii="Verdana" w:eastAsia="Calibri" w:hAnsi="Verdana" w:cs="Arial"/>
          <w:color w:val="000000" w:themeColor="text1"/>
        </w:rPr>
        <w:lastRenderedPageBreak/>
        <w:t xml:space="preserve">de salud”. Su régimen jurídico lo conforman las Leyes 100 de 1993 y 344 de 1996, así como también la Ley 489 de 1998, pero esta última únicamente en relación con los asuntos no regulados en las dos leyes mencionadas o en las normas que las reglamentan y complementan o en las que pudieran llegar a hacerlo. </w:t>
      </w:r>
    </w:p>
    <w:p w14:paraId="041F4BBB" w14:textId="77777777" w:rsidR="00220F9E" w:rsidRPr="00220F9E" w:rsidRDefault="00220F9E" w:rsidP="00220F9E">
      <w:pPr>
        <w:spacing w:before="120" w:after="0" w:line="276" w:lineRule="auto"/>
        <w:ind w:firstLine="708"/>
        <w:jc w:val="both"/>
        <w:rPr>
          <w:rFonts w:ascii="Verdana" w:eastAsia="Calibri" w:hAnsi="Verdana" w:cs="Arial"/>
          <w:color w:val="000000" w:themeColor="text1"/>
        </w:rPr>
      </w:pPr>
      <w:r w:rsidRPr="00220F9E">
        <w:rPr>
          <w:rFonts w:ascii="Verdana" w:eastAsia="Calibri" w:hAnsi="Verdana" w:cs="Arial"/>
          <w:color w:val="000000" w:themeColor="text1"/>
          <w:lang w:val="es-ES"/>
        </w:rPr>
        <w:t>El artículo 194 de la Ley 100 de 1993 señala:</w:t>
      </w:r>
    </w:p>
    <w:p w14:paraId="3FA90466" w14:textId="77777777" w:rsidR="00220F9E" w:rsidRPr="00220F9E" w:rsidRDefault="00220F9E" w:rsidP="00220F9E">
      <w:pPr>
        <w:spacing w:after="0" w:line="276" w:lineRule="auto"/>
        <w:jc w:val="both"/>
        <w:rPr>
          <w:rFonts w:ascii="Verdana" w:eastAsia="Calibri" w:hAnsi="Verdana" w:cs="Arial"/>
          <w:color w:val="000000" w:themeColor="text1"/>
          <w:lang w:val="es-ES"/>
        </w:rPr>
      </w:pPr>
    </w:p>
    <w:p w14:paraId="521A9120"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rPr>
      </w:pPr>
      <w:r w:rsidRPr="00220F9E">
        <w:rPr>
          <w:rFonts w:ascii="Verdana" w:eastAsia="Calibri" w:hAnsi="Verdana" w:cs="Arial"/>
          <w:color w:val="000000" w:themeColor="text1"/>
          <w:sz w:val="20"/>
          <w:szCs w:val="20"/>
        </w:rPr>
        <w:t xml:space="preserve">“Artículo 194. </w:t>
      </w:r>
      <w:r w:rsidRPr="00220F9E">
        <w:rPr>
          <w:rFonts w:ascii="Verdana" w:eastAsia="Calibri" w:hAnsi="Verdana" w:cs="Arial"/>
          <w:i/>
          <w:iCs/>
          <w:color w:val="000000" w:themeColor="text1"/>
          <w:sz w:val="20"/>
          <w:szCs w:val="20"/>
        </w:rPr>
        <w:t>Naturaleza</w:t>
      </w:r>
      <w:r w:rsidRPr="00220F9E">
        <w:rPr>
          <w:rFonts w:ascii="Verdana" w:eastAsia="Calibri" w:hAnsi="Verdana" w:cs="Arial"/>
          <w:color w:val="000000" w:themeColor="text1"/>
          <w:sz w:val="20"/>
          <w:szCs w:val="20"/>
        </w:rPr>
        <w:t>.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603E4AD2" w14:textId="77777777" w:rsidR="00220F9E" w:rsidRPr="00220F9E" w:rsidRDefault="00220F9E" w:rsidP="00220F9E">
      <w:pPr>
        <w:spacing w:after="0" w:line="276" w:lineRule="auto"/>
        <w:jc w:val="both"/>
        <w:rPr>
          <w:rFonts w:ascii="Verdana" w:eastAsia="Calibri" w:hAnsi="Verdana" w:cs="Arial"/>
          <w:color w:val="000000" w:themeColor="text1"/>
          <w:lang w:val="es-ES"/>
        </w:rPr>
      </w:pPr>
      <w:r w:rsidRPr="00220F9E">
        <w:rPr>
          <w:rFonts w:ascii="Verdana" w:eastAsia="Calibri" w:hAnsi="Verdana" w:cs="Arial"/>
          <w:color w:val="000000" w:themeColor="text1"/>
          <w:lang w:val="es-ES"/>
        </w:rPr>
        <w:tab/>
        <w:t xml:space="preserve"> </w:t>
      </w:r>
    </w:p>
    <w:p w14:paraId="50C93E18" w14:textId="77777777" w:rsidR="00220F9E" w:rsidRPr="00220F9E" w:rsidRDefault="00220F9E" w:rsidP="00220F9E">
      <w:pPr>
        <w:spacing w:after="0" w:line="276" w:lineRule="auto"/>
        <w:jc w:val="both"/>
        <w:rPr>
          <w:rFonts w:ascii="Verdana" w:eastAsia="Calibri" w:hAnsi="Verdana" w:cs="Arial"/>
          <w:color w:val="000000" w:themeColor="text1"/>
          <w:lang w:val="es-ES"/>
        </w:rPr>
      </w:pPr>
      <w:r w:rsidRPr="00220F9E">
        <w:rPr>
          <w:rFonts w:ascii="Verdana" w:eastAsia="Calibri" w:hAnsi="Verdana" w:cs="Arial"/>
          <w:color w:val="000000" w:themeColor="text1"/>
          <w:lang w:val="es-ES"/>
        </w:rPr>
        <w:tab/>
        <w:t xml:space="preserve">Por otro lado, el artículo 195 </w:t>
      </w:r>
      <w:r w:rsidRPr="00220F9E">
        <w:rPr>
          <w:rFonts w:ascii="Verdana" w:eastAsia="Calibri" w:hAnsi="Verdana" w:cs="Arial"/>
          <w:i/>
          <w:iCs/>
          <w:color w:val="000000" w:themeColor="text1"/>
          <w:lang w:val="es-ES"/>
        </w:rPr>
        <w:t>ibidem</w:t>
      </w:r>
      <w:r w:rsidRPr="00220F9E">
        <w:rPr>
          <w:rFonts w:ascii="Verdana" w:eastAsia="Calibri" w:hAnsi="Verdana" w:cs="Arial"/>
          <w:color w:val="000000" w:themeColor="text1"/>
          <w:lang w:val="es-ES"/>
        </w:rPr>
        <w:t xml:space="preserve"> establece que dichas entidades estatales se someterán al régimen jurídico establecido en sus numerales. Particularmente, en materia contractual, en su numeral 6 dicha disposición consagra que se regirán por el derecho privado, pero tendrán la facultad de incorporar en el texto contractual las cláusulas exorbitantes previstas en el Estatuto General de Contratación de la Administración Pública – en adelante EGCAP. A continuación, se cita el contenido del numeral 6:</w:t>
      </w:r>
    </w:p>
    <w:p w14:paraId="535FF675" w14:textId="77777777" w:rsidR="00220F9E" w:rsidRPr="00220F9E" w:rsidRDefault="00220F9E" w:rsidP="00220F9E">
      <w:pPr>
        <w:spacing w:after="0" w:line="276" w:lineRule="auto"/>
        <w:jc w:val="both"/>
        <w:rPr>
          <w:rFonts w:ascii="Verdana" w:eastAsia="Calibri" w:hAnsi="Verdana" w:cs="Arial"/>
          <w:color w:val="000000" w:themeColor="text1"/>
          <w:lang w:val="es-ES"/>
        </w:rPr>
      </w:pPr>
    </w:p>
    <w:p w14:paraId="237EDB3F"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rPr>
      </w:pPr>
      <w:r w:rsidRPr="00220F9E">
        <w:rPr>
          <w:rFonts w:ascii="Verdana" w:eastAsia="Calibri" w:hAnsi="Verdana" w:cs="Arial"/>
          <w:color w:val="000000" w:themeColor="text1"/>
          <w:sz w:val="20"/>
          <w:szCs w:val="20"/>
        </w:rPr>
        <w:t xml:space="preserve">“Artículo 195. </w:t>
      </w:r>
      <w:r w:rsidRPr="00220F9E">
        <w:rPr>
          <w:rFonts w:ascii="Verdana" w:eastAsia="Calibri" w:hAnsi="Verdana" w:cs="Arial"/>
          <w:i/>
          <w:iCs/>
          <w:color w:val="000000" w:themeColor="text1"/>
          <w:sz w:val="20"/>
          <w:szCs w:val="20"/>
        </w:rPr>
        <w:t>Régimen jurídico</w:t>
      </w:r>
      <w:r w:rsidRPr="00220F9E">
        <w:rPr>
          <w:rFonts w:ascii="Verdana" w:eastAsia="Calibri" w:hAnsi="Verdana" w:cs="Arial"/>
          <w:color w:val="000000" w:themeColor="text1"/>
          <w:sz w:val="20"/>
          <w:szCs w:val="20"/>
        </w:rPr>
        <w:t>. Las Empresas Sociales de Salud se someterán al siguiente régimen jurídico: </w:t>
      </w:r>
    </w:p>
    <w:p w14:paraId="54ADB336"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rPr>
      </w:pPr>
    </w:p>
    <w:p w14:paraId="26C108B8"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rPr>
      </w:pPr>
      <w:r w:rsidRPr="00220F9E">
        <w:rPr>
          <w:rFonts w:ascii="Verdana" w:eastAsia="Calibri" w:hAnsi="Verdana" w:cs="Arial"/>
          <w:color w:val="000000" w:themeColor="text1"/>
          <w:sz w:val="20"/>
          <w:szCs w:val="20"/>
        </w:rPr>
        <w:t>[…]</w:t>
      </w:r>
    </w:p>
    <w:p w14:paraId="5678361C"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rPr>
      </w:pPr>
    </w:p>
    <w:p w14:paraId="5CC0C402"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rPr>
      </w:pPr>
      <w:r w:rsidRPr="00220F9E">
        <w:rPr>
          <w:rFonts w:ascii="Verdana" w:eastAsia="Calibri" w:hAnsi="Verdana" w:cs="Arial"/>
          <w:color w:val="000000" w:themeColor="text1"/>
          <w:sz w:val="20"/>
          <w:szCs w:val="20"/>
        </w:rPr>
        <w:t>6. En materia contractual se regirá por el derecho privado, pero podrá discrecionalmente utilizar las cláusulas exorbitantes previstas en el estatuto General de Contratación de la administración pública. </w:t>
      </w:r>
    </w:p>
    <w:p w14:paraId="6A2C79E2" w14:textId="77777777" w:rsidR="00220F9E" w:rsidRPr="00220F9E" w:rsidRDefault="00220F9E" w:rsidP="00220F9E">
      <w:pPr>
        <w:spacing w:after="0" w:line="276" w:lineRule="auto"/>
        <w:ind w:left="709" w:right="709"/>
        <w:jc w:val="both"/>
        <w:rPr>
          <w:rFonts w:ascii="Verdana" w:eastAsia="Calibri" w:hAnsi="Verdana" w:cs="Arial"/>
          <w:color w:val="000000" w:themeColor="text1"/>
          <w:sz w:val="21"/>
          <w:szCs w:val="21"/>
        </w:rPr>
      </w:pPr>
    </w:p>
    <w:p w14:paraId="474CC84A" w14:textId="77777777" w:rsidR="00220F9E" w:rsidRPr="00220F9E" w:rsidRDefault="00220F9E" w:rsidP="00220F9E">
      <w:pPr>
        <w:spacing w:after="0" w:line="276" w:lineRule="auto"/>
        <w:ind w:firstLine="708"/>
        <w:jc w:val="both"/>
        <w:rPr>
          <w:rFonts w:ascii="Verdana" w:eastAsia="Calibri" w:hAnsi="Verdana" w:cs="Arial"/>
          <w:color w:val="000000" w:themeColor="text1"/>
          <w:lang w:val="es-ES"/>
        </w:rPr>
      </w:pPr>
      <w:r w:rsidRPr="00220F9E">
        <w:rPr>
          <w:rFonts w:ascii="Verdana" w:eastAsia="Calibri" w:hAnsi="Verdana" w:cs="Arial"/>
          <w:color w:val="000000" w:themeColor="text1"/>
          <w:lang w:val="es-ES"/>
        </w:rPr>
        <w:t>La justificación de que las Empresas Sociales del Estado tengan un régimen excepcional fue explicada por la Corte Constitucional cuando indicó en la Sentencia C-665 del 8 de junio de 2000 lo siguiente:</w:t>
      </w:r>
    </w:p>
    <w:p w14:paraId="67AC9C04" w14:textId="77777777" w:rsidR="00220F9E" w:rsidRPr="00220F9E" w:rsidRDefault="00220F9E" w:rsidP="00220F9E">
      <w:pPr>
        <w:spacing w:after="0" w:line="276" w:lineRule="auto"/>
        <w:jc w:val="both"/>
        <w:rPr>
          <w:rFonts w:ascii="Verdana" w:eastAsia="Calibri" w:hAnsi="Verdana" w:cs="Arial"/>
          <w:color w:val="000000" w:themeColor="text1"/>
          <w:lang w:val="es-ES"/>
        </w:rPr>
      </w:pPr>
    </w:p>
    <w:p w14:paraId="63EA3D30" w14:textId="77777777" w:rsidR="00220F9E" w:rsidRPr="00220F9E" w:rsidRDefault="00220F9E" w:rsidP="00220F9E">
      <w:pPr>
        <w:spacing w:after="0" w:line="240" w:lineRule="auto"/>
        <w:ind w:left="709" w:right="709"/>
        <w:jc w:val="both"/>
        <w:rPr>
          <w:rFonts w:ascii="Verdana" w:eastAsia="Calibri" w:hAnsi="Verdana" w:cs="Arial"/>
          <w:color w:val="000000" w:themeColor="text1"/>
          <w:sz w:val="20"/>
          <w:szCs w:val="20"/>
          <w:lang w:val="es-ES"/>
        </w:rPr>
      </w:pPr>
      <w:r w:rsidRPr="00220F9E">
        <w:rPr>
          <w:rFonts w:ascii="Verdana" w:eastAsia="Calibri" w:hAnsi="Verdana" w:cs="Arial"/>
          <w:color w:val="000000" w:themeColor="text1"/>
          <w:sz w:val="20"/>
          <w:szCs w:val="20"/>
          <w:lang w:val="es-ES"/>
        </w:rPr>
        <w:t xml:space="preserve">“es claro que las empresas sociales del Estado son entes que no pueden confundirse con los establecimientos públicos y que constituyen una nueva categoría de entidad descentralizada concebida con un objeto específico que la propia legislación ha señalado y que justifica, por razón de los </w:t>
      </w:r>
      <w:r w:rsidRPr="00220F9E">
        <w:rPr>
          <w:rFonts w:ascii="Verdana" w:eastAsia="Calibri" w:hAnsi="Verdana" w:cs="Arial"/>
          <w:color w:val="000000" w:themeColor="text1"/>
          <w:sz w:val="20"/>
          <w:szCs w:val="20"/>
          <w:lang w:val="es-ES"/>
        </w:rPr>
        <w:lastRenderedPageBreak/>
        <w:t>propósitos constitucionales que mediante su existencia persigue el legislador, unas ciertas reglas y normatividad también especial […]”</w:t>
      </w:r>
      <w:r w:rsidRPr="00220F9E">
        <w:rPr>
          <w:rFonts w:ascii="Verdana" w:eastAsia="Calibri" w:hAnsi="Verdana" w:cs="Arial"/>
          <w:color w:val="000000" w:themeColor="text1"/>
          <w:sz w:val="20"/>
          <w:szCs w:val="20"/>
          <w:vertAlign w:val="superscript"/>
          <w:lang w:val="es-ES"/>
        </w:rPr>
        <w:footnoteReference w:id="5"/>
      </w:r>
    </w:p>
    <w:p w14:paraId="2C3A3E52" w14:textId="77777777" w:rsidR="00220F9E" w:rsidRPr="00220F9E" w:rsidRDefault="00220F9E" w:rsidP="00220F9E">
      <w:pPr>
        <w:spacing w:after="0" w:line="276" w:lineRule="auto"/>
        <w:ind w:left="709" w:right="709"/>
        <w:jc w:val="both"/>
        <w:rPr>
          <w:rFonts w:ascii="Verdana" w:eastAsia="Calibri" w:hAnsi="Verdana" w:cs="Arial"/>
          <w:color w:val="000000" w:themeColor="text1"/>
          <w:sz w:val="21"/>
          <w:szCs w:val="21"/>
          <w:lang w:val="es-ES"/>
        </w:rPr>
      </w:pPr>
    </w:p>
    <w:p w14:paraId="51758822" w14:textId="08709A03" w:rsidR="00220F9E" w:rsidRPr="00220F9E" w:rsidRDefault="00220F9E" w:rsidP="00220F9E">
      <w:pPr>
        <w:spacing w:after="120" w:line="276" w:lineRule="auto"/>
        <w:ind w:firstLine="708"/>
        <w:jc w:val="both"/>
        <w:rPr>
          <w:rFonts w:ascii="Verdana" w:eastAsia="Calibri" w:hAnsi="Verdana" w:cs="Arial"/>
          <w:color w:val="000000" w:themeColor="text1"/>
          <w:sz w:val="21"/>
          <w:szCs w:val="21"/>
        </w:rPr>
      </w:pPr>
      <w:r w:rsidRPr="00220F9E">
        <w:rPr>
          <w:rFonts w:ascii="Verdana" w:eastAsia="Calibri" w:hAnsi="Verdana" w:cs="Arial"/>
          <w:color w:val="000000" w:themeColor="text1"/>
          <w:lang w:val="es-ES"/>
        </w:rPr>
        <w:t>Conforme a l</w:t>
      </w:r>
      <w:r w:rsidR="00986384">
        <w:rPr>
          <w:rFonts w:ascii="Verdana" w:eastAsia="Calibri" w:hAnsi="Verdana" w:cs="Arial"/>
          <w:color w:val="000000" w:themeColor="text1"/>
          <w:lang w:val="es-ES"/>
        </w:rPr>
        <w:t>a</w:t>
      </w:r>
      <w:r w:rsidRPr="00220F9E">
        <w:rPr>
          <w:rFonts w:ascii="Verdana" w:eastAsia="Calibri" w:hAnsi="Verdana" w:cs="Arial"/>
          <w:color w:val="000000" w:themeColor="text1"/>
          <w:lang w:val="es-ES"/>
        </w:rPr>
        <w:t xml:space="preserve"> sentencia citada, a juicio de la Corte Constitucional, en virtud de que las Empresas Sociales del Estado prestan el servicio público de salud, se requiere de un tratamiento diferencial para que dichas entidades estatales prestadoras del servicio logren el cumplimiento de sus fines, sin que los contratos suscritos por aquellas escapen de en un mínimo de derecho público, limitando de forma significativa la excepción al régimen general.</w:t>
      </w:r>
      <w:r w:rsidRPr="00220F9E">
        <w:rPr>
          <w:rFonts w:ascii="Verdana" w:eastAsia="Calibri" w:hAnsi="Verdana" w:cs="Arial"/>
          <w:color w:val="000000" w:themeColor="text1"/>
          <w:sz w:val="21"/>
          <w:szCs w:val="21"/>
        </w:rPr>
        <w:tab/>
      </w:r>
    </w:p>
    <w:p w14:paraId="24F470F9" w14:textId="77777777" w:rsidR="00220F9E" w:rsidRPr="00220F9E" w:rsidRDefault="00220F9E" w:rsidP="00220F9E">
      <w:pPr>
        <w:spacing w:after="120" w:line="276" w:lineRule="auto"/>
        <w:jc w:val="both"/>
        <w:rPr>
          <w:rFonts w:ascii="Verdana" w:eastAsia="Calibri" w:hAnsi="Verdana" w:cs="Arial"/>
          <w:color w:val="000000" w:themeColor="text1"/>
        </w:rPr>
      </w:pPr>
      <w:r w:rsidRPr="00220F9E">
        <w:rPr>
          <w:rFonts w:ascii="Verdana" w:eastAsia="Calibri" w:hAnsi="Verdana" w:cs="Arial"/>
          <w:color w:val="000000" w:themeColor="text1"/>
        </w:rPr>
        <w:tab/>
        <w:t>Considerando la actividad desarrollada, se itera, la prestación de los servicios de salud,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lo relacionado con cláusulas exorbitantes, materia en relación con la cual están habilitadas para aplicar las disposiciones del EGCAP, como lo prevé el citado artículo 195, numeral 6 de la Ley 100 de 1993.</w:t>
      </w:r>
    </w:p>
    <w:p w14:paraId="509EB428" w14:textId="77777777" w:rsidR="00220F9E" w:rsidRPr="00220F9E" w:rsidRDefault="00220F9E" w:rsidP="00220F9E">
      <w:pPr>
        <w:spacing w:after="120" w:line="276" w:lineRule="auto"/>
        <w:jc w:val="both"/>
        <w:rPr>
          <w:rFonts w:ascii="Verdana" w:eastAsia="Calibri" w:hAnsi="Verdana" w:cs="Arial"/>
          <w:lang w:eastAsia="es-ES"/>
        </w:rPr>
      </w:pPr>
      <w:r w:rsidRPr="00220F9E">
        <w:rPr>
          <w:rFonts w:ascii="Verdana" w:eastAsia="Calibri" w:hAnsi="Verdana" w:cs="Arial"/>
          <w:color w:val="000000" w:themeColor="text1"/>
        </w:rPr>
        <w:tab/>
        <w:t xml:space="preserve">En esta medida, </w:t>
      </w:r>
      <w:r w:rsidRPr="00220F9E">
        <w:rPr>
          <w:rFonts w:ascii="Verdana" w:eastAsia="Calibri" w:hAnsi="Verdana" w:cs="Arial"/>
          <w:lang w:eastAsia="es-ES"/>
        </w:rPr>
        <w:t>las Empresas Sociales del Estado deberán aplicar las disposiciones del EGCAP, por especial disposición de la Ley 100, que autoriza a estas empresas a incorporar las cláusulas excepcionales, siempre que decidan usarlas.</w:t>
      </w:r>
      <w:r w:rsidRPr="00220F9E">
        <w:rPr>
          <w:rFonts w:ascii="Verdana" w:eastAsia="Calibri" w:hAnsi="Verdana" w:cs="Arial"/>
          <w:color w:val="000000" w:themeColor="text1"/>
        </w:rPr>
        <w:t xml:space="preserve"> </w:t>
      </w:r>
      <w:bookmarkStart w:id="4" w:name="_Hlk41238857"/>
      <w:r w:rsidRPr="00220F9E">
        <w:rPr>
          <w:rFonts w:ascii="Verdana" w:eastAsia="Calibri" w:hAnsi="Verdana" w:cs="Arial"/>
          <w:color w:val="000000" w:themeColor="text1"/>
        </w:rPr>
        <w:t xml:space="preserve">Con todo, tales entidades deben tener en cuenta y aplicar los principios de la función administrativa y de la gestión fiscal, contenidos, respectivamente, en los artículos 209 y 267 de la Constitución Política. </w:t>
      </w:r>
    </w:p>
    <w:p w14:paraId="7372491B" w14:textId="77777777" w:rsidR="00220F9E" w:rsidRPr="00220F9E" w:rsidRDefault="00220F9E" w:rsidP="00220F9E">
      <w:pPr>
        <w:tabs>
          <w:tab w:val="left" w:pos="709"/>
        </w:tabs>
        <w:spacing w:after="120" w:line="276" w:lineRule="auto"/>
        <w:jc w:val="both"/>
        <w:rPr>
          <w:rFonts w:ascii="Verdana" w:eastAsia="Calibri" w:hAnsi="Verdana" w:cs="Arial"/>
          <w:color w:val="000000" w:themeColor="text1"/>
        </w:rPr>
      </w:pPr>
      <w:r w:rsidRPr="00220F9E">
        <w:rPr>
          <w:rFonts w:ascii="Verdana" w:eastAsia="Calibri" w:hAnsi="Verdana" w:cs="Arial"/>
          <w:color w:val="000000" w:themeColor="text1"/>
          <w:lang w:val="es-ES"/>
        </w:rPr>
        <w:tab/>
        <w:t xml:space="preserve">Esta también ha sido la interpretación del Ministerio de la Protección Social, que en Concepto No. </w:t>
      </w:r>
      <w:r w:rsidRPr="00220F9E">
        <w:rPr>
          <w:rFonts w:ascii="Verdana" w:eastAsia="Calibri" w:hAnsi="Verdana" w:cs="Arial"/>
          <w:color w:val="000000" w:themeColor="text1"/>
        </w:rPr>
        <w:t>201942301304712</w:t>
      </w:r>
      <w:r w:rsidRPr="00220F9E">
        <w:rPr>
          <w:rFonts w:ascii="Verdana" w:eastAsia="Calibri" w:hAnsi="Verdana" w:cs="Arial"/>
          <w:color w:val="000000" w:themeColor="text1"/>
          <w:lang w:val="es-ES"/>
        </w:rPr>
        <w:t xml:space="preserve"> de 2019, en reiteración de lo expuesto por la Sala de Consulta y Servicio Civil del Consejo de Estado</w:t>
      </w:r>
      <w:r w:rsidRPr="00220F9E">
        <w:rPr>
          <w:rFonts w:ascii="Verdana" w:eastAsia="Calibri" w:hAnsi="Verdana" w:cs="Arial"/>
          <w:color w:val="000000" w:themeColor="text1"/>
          <w:vertAlign w:val="superscript"/>
          <w:lang w:val="es-ES"/>
        </w:rPr>
        <w:footnoteReference w:id="6"/>
      </w:r>
      <w:r w:rsidRPr="00220F9E">
        <w:rPr>
          <w:rFonts w:ascii="Verdana" w:eastAsia="Calibri" w:hAnsi="Verdana" w:cs="Arial"/>
          <w:color w:val="000000" w:themeColor="text1"/>
          <w:lang w:val="es-ES"/>
        </w:rPr>
        <w:t xml:space="preserve">, expresó que “[…] </w:t>
      </w:r>
      <w:r w:rsidRPr="00220F9E">
        <w:rPr>
          <w:rFonts w:ascii="Verdana" w:eastAsia="Calibri" w:hAnsi="Verdana" w:cs="Arial"/>
          <w:color w:val="000000" w:themeColor="text1"/>
        </w:rPr>
        <w:t xml:space="preserve">el régimen de contratación de las Empresas Sociales del Estado, está sometido al derecho privado por disposición legal y la facultad discrecional de </w:t>
      </w:r>
      <w:r w:rsidRPr="00220F9E">
        <w:rPr>
          <w:rFonts w:ascii="Verdana" w:eastAsia="Calibri" w:hAnsi="Verdana" w:cs="Arial"/>
          <w:color w:val="000000" w:themeColor="text1"/>
        </w:rPr>
        <w:lastRenderedPageBreak/>
        <w:t>pactar las cláusulas excepcionales dota a las mentadas entidades de herramientas especiales para garantizar ciertos fines”</w:t>
      </w:r>
      <w:r w:rsidRPr="00220F9E">
        <w:rPr>
          <w:rFonts w:ascii="Verdana" w:eastAsia="Calibri" w:hAnsi="Verdana" w:cs="Arial"/>
          <w:color w:val="000000" w:themeColor="text1"/>
          <w:vertAlign w:val="superscript"/>
          <w:lang w:val="es-ES"/>
        </w:rPr>
        <w:footnoteReference w:id="7"/>
      </w:r>
      <w:r w:rsidRPr="00220F9E">
        <w:rPr>
          <w:rFonts w:ascii="Verdana" w:eastAsia="Calibri" w:hAnsi="Verdana" w:cs="Arial"/>
          <w:color w:val="000000" w:themeColor="text1"/>
          <w:lang w:val="es-ES"/>
        </w:rPr>
        <w:t xml:space="preserve">. </w:t>
      </w:r>
    </w:p>
    <w:p w14:paraId="026B8434" w14:textId="77777777" w:rsidR="00220F9E" w:rsidRPr="00220F9E" w:rsidRDefault="00220F9E" w:rsidP="00220F9E">
      <w:pPr>
        <w:spacing w:after="120" w:line="276" w:lineRule="auto"/>
        <w:ind w:firstLine="709"/>
        <w:jc w:val="both"/>
        <w:rPr>
          <w:rFonts w:ascii="Verdana" w:eastAsia="Calibri" w:hAnsi="Verdana" w:cs="Arial"/>
          <w:color w:val="000000" w:themeColor="text1"/>
        </w:rPr>
      </w:pPr>
      <w:r w:rsidRPr="00220F9E">
        <w:rPr>
          <w:rFonts w:ascii="Verdana" w:eastAsia="Calibri" w:hAnsi="Verdana" w:cs="Arial"/>
          <w:color w:val="000000" w:themeColor="text1"/>
        </w:rPr>
        <w:t>Al referirse al régimen contractual de las Empresas Sociales del Estado,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w:t>
      </w:r>
      <w:r w:rsidRPr="00220F9E">
        <w:rPr>
          <w:rFonts w:ascii="Verdana" w:eastAsia="Calibri" w:hAnsi="Verdana" w:cs="Arial"/>
          <w:color w:val="000000" w:themeColor="text1"/>
          <w:vertAlign w:val="superscript"/>
        </w:rPr>
        <w:footnoteReference w:id="8"/>
      </w:r>
      <w:r w:rsidRPr="00220F9E">
        <w:rPr>
          <w:rFonts w:ascii="Verdana" w:eastAsia="Calibri" w:hAnsi="Verdana" w:cs="Arial"/>
          <w:color w:val="000000" w:themeColor="text1"/>
        </w:rPr>
        <w:t>.</w:t>
      </w:r>
    </w:p>
    <w:p w14:paraId="56D4AE1A" w14:textId="7CD4A95D" w:rsidR="00DA39C4" w:rsidRDefault="00220F9E" w:rsidP="00DA39C4">
      <w:pPr>
        <w:ind w:firstLine="709"/>
        <w:jc w:val="both"/>
        <w:rPr>
          <w:rFonts w:ascii="Verdana" w:eastAsia="Calibri" w:hAnsi="Verdana" w:cs="Arial"/>
          <w:bCs/>
          <w:color w:val="000000" w:themeColor="text1"/>
        </w:rPr>
      </w:pPr>
      <w:r w:rsidRPr="00220F9E">
        <w:rPr>
          <w:rFonts w:ascii="Verdana" w:eastAsia="Arial" w:hAnsi="Verdana" w:cs="Arial"/>
        </w:rPr>
        <w:t xml:space="preserve">Ahora bien, </w:t>
      </w:r>
      <w:r w:rsidR="00755A24">
        <w:rPr>
          <w:rFonts w:ascii="Verdana" w:eastAsia="Arial" w:hAnsi="Verdana" w:cs="Arial"/>
        </w:rPr>
        <w:t>e</w:t>
      </w:r>
      <w:r w:rsidRPr="00220F9E">
        <w:rPr>
          <w:rFonts w:ascii="Verdana" w:eastAsia="Arial" w:hAnsi="Verdana" w:cs="Arial"/>
        </w:rPr>
        <w:t xml:space="preserve">n relación con el interrogante planteado, y con fundamento en el régimen aplicable a las Empresas Sociales del Estado (ESE), debe precisarse que, independientemente del régimen contractual que les sea aplicable, </w:t>
      </w:r>
      <w:r w:rsidR="00DA39C4" w:rsidRPr="00B8014F">
        <w:rPr>
          <w:rFonts w:ascii="Verdana" w:hAnsi="Verdana"/>
        </w:rPr>
        <w:t xml:space="preserve">si bien las Empresas Sociales del Estado se rigen de manera predominante por normas de derecho privado y cuentan con un régimen contractual exceptuado, las disposiciones de derecho público que irradian su régimen jurídico les imponen el deber de </w:t>
      </w:r>
      <w:r w:rsidR="00DA39C4">
        <w:rPr>
          <w:rFonts w:ascii="Verdana" w:hAnsi="Verdana"/>
        </w:rPr>
        <w:t>cumplir</w:t>
      </w:r>
      <w:r w:rsidR="00DA39C4" w:rsidRPr="00B8014F">
        <w:rPr>
          <w:rFonts w:ascii="Verdana" w:hAnsi="Verdana"/>
        </w:rPr>
        <w:t xml:space="preserve"> los principios de la función administrativa y de la gestión fiscal que orientan su actividad contractual.</w:t>
      </w:r>
      <w:r w:rsidR="00DA39C4">
        <w:rPr>
          <w:rFonts w:ascii="Verdana" w:hAnsi="Verdana"/>
        </w:rPr>
        <w:t xml:space="preserve"> De esta forma, </w:t>
      </w:r>
      <w:r w:rsidR="00DA39C4">
        <w:rPr>
          <w:rFonts w:ascii="Verdana" w:eastAsia="Calibri" w:hAnsi="Verdana" w:cs="Arial"/>
          <w:bCs/>
          <w:color w:val="000000" w:themeColor="text1"/>
        </w:rPr>
        <w:t>la capacidad residual debe ser entendida como un requisito que salvaguarda los citados principios ya que asegura una adecuada ejecución de los contratos en la medida en que busca que el proponente que ejecuta un contrato de obra pueda hacerlo de forma eficiente, sin que los contratos de obra adicionales que se encuentre ejecutando, le impidan cumplir la prestación para la satisfacción del interés general.</w:t>
      </w:r>
    </w:p>
    <w:p w14:paraId="3828016C" w14:textId="77777777" w:rsidR="00DA39C4" w:rsidRDefault="00DA39C4" w:rsidP="00DA39C4">
      <w:pPr>
        <w:spacing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Así pues, a pesar de que la capacidad residual no es un requisito que de forma obligatoria deban exigir las Empresas Sociales del Estado, el mismo sí resulta recomendable en cumplimiento de los </w:t>
      </w:r>
      <w:r w:rsidRPr="00B37C2B">
        <w:rPr>
          <w:rFonts w:ascii="Verdana" w:eastAsia="Calibri" w:hAnsi="Verdana" w:cs="Arial"/>
          <w:bCs/>
          <w:color w:val="000000" w:themeColor="text1"/>
        </w:rPr>
        <w:t>principios de la función administrativa y de la gestión fiscal</w:t>
      </w:r>
      <w:r>
        <w:rPr>
          <w:rFonts w:ascii="Verdana" w:eastAsia="Calibri" w:hAnsi="Verdana" w:cs="Arial"/>
          <w:bCs/>
          <w:color w:val="000000" w:themeColor="text1"/>
        </w:rPr>
        <w:t>, para asegurar la adecuada ejecución de los contratos de obra por parte del contratista.</w:t>
      </w:r>
    </w:p>
    <w:p w14:paraId="52117F11" w14:textId="77777777" w:rsidR="00220F9E" w:rsidRPr="00220F9E" w:rsidRDefault="00220F9E" w:rsidP="00220F9E">
      <w:pPr>
        <w:spacing w:after="120" w:line="276" w:lineRule="auto"/>
        <w:ind w:firstLine="709"/>
        <w:jc w:val="both"/>
        <w:rPr>
          <w:rFonts w:ascii="Verdana" w:eastAsia="Arial" w:hAnsi="Verdana" w:cs="Arial"/>
        </w:rPr>
      </w:pPr>
      <w:r w:rsidRPr="00220F9E">
        <w:rPr>
          <w:rFonts w:ascii="Verdana" w:eastAsia="Arial" w:hAnsi="Verdana" w:cs="Arial"/>
        </w:rPr>
        <w:t xml:space="preserve">Lo anterior se explica en que, si bien las Empresas Sociales del Estado cuentan con un régimen contractual exceptuado y se rigen predominantemente por normas de derecho privado, no dejan de ser entidades estatales que integran </w:t>
      </w:r>
      <w:r w:rsidRPr="00220F9E">
        <w:rPr>
          <w:rFonts w:ascii="Verdana" w:eastAsia="Arial" w:hAnsi="Verdana" w:cs="Arial"/>
        </w:rPr>
        <w:lastRenderedPageBreak/>
        <w:t>la Rama Ejecutiva del poder público y administran recursos públicos. En consecuencia, su actividad contractual permanece sujeta a los límites, principios y controles propios del derecho público, los cuales informan e integran su régimen especial y condicionan la validez de los contratos que celebren.</w:t>
      </w:r>
    </w:p>
    <w:p w14:paraId="0444856C" w14:textId="77777777" w:rsidR="00220F9E" w:rsidRPr="00220F9E" w:rsidRDefault="00220F9E" w:rsidP="00220F9E">
      <w:pPr>
        <w:spacing w:after="120" w:line="276" w:lineRule="auto"/>
        <w:ind w:firstLine="709"/>
        <w:jc w:val="both"/>
        <w:rPr>
          <w:rFonts w:ascii="Verdana" w:eastAsia="Arial" w:hAnsi="Verdana" w:cs="Arial"/>
        </w:rPr>
      </w:pPr>
      <w:r w:rsidRPr="00220F9E">
        <w:rPr>
          <w:rFonts w:ascii="Verdana" w:eastAsia="Arial" w:hAnsi="Verdana" w:cs="Arial"/>
        </w:rPr>
        <w:t>Así, las ESE no se encuentran exentas del cumplimiento de los principios constitucionales que rigen la función administrativa y la gestión fiscal, ni del régimen de inhabilidades e incompatibilidades, conforme a lo dispuesto en el artículo 13 de la Ley 1150 de 2007 y a la reiterada jurisprudencia del Consejo de Estado.</w:t>
      </w:r>
      <w:bookmarkEnd w:id="4"/>
    </w:p>
    <w:p w14:paraId="70EAE5CD" w14:textId="77777777" w:rsidR="003F5D15" w:rsidRDefault="003F5D15" w:rsidP="008B4354">
      <w:pPr>
        <w:spacing w:after="120" w:line="276" w:lineRule="auto"/>
        <w:jc w:val="both"/>
        <w:rPr>
          <w:rFonts w:ascii="Verdana" w:eastAsia="Calibri" w:hAnsi="Verdana" w:cs="Arial"/>
          <w:color w:val="000000" w:themeColor="text1"/>
          <w:lang w:val="es-ES"/>
        </w:rPr>
      </w:pPr>
    </w:p>
    <w:p w14:paraId="21317CF0" w14:textId="39183660" w:rsidR="008B4354" w:rsidRPr="00B16AC6" w:rsidRDefault="008B4354" w:rsidP="008B4354">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w:t>
      </w:r>
      <w:r>
        <w:rPr>
          <w:rFonts w:ascii="Verdana" w:hAnsi="Verdana" w:cs="Arial"/>
          <w:lang w:val="es-ES_tradnl" w:eastAsia="es-ES"/>
        </w:rPr>
        <w:t>roc</w:t>
      </w:r>
      <w:r w:rsidRPr="00B17041">
        <w:rPr>
          <w:rFonts w:ascii="Verdana" w:hAnsi="Verdana" w:cs="Arial"/>
          <w:lang w:val="es-ES_tradnl" w:eastAsia="es-ES"/>
        </w:rPr>
        <w:t>edente debe advertirse que el análisis requerido para resolver pr</w:t>
      </w:r>
      <w:r>
        <w:rPr>
          <w:rFonts w:ascii="Verdana" w:hAnsi="Verdana" w:cs="Arial"/>
          <w:lang w:val="es-ES_tradnl" w:eastAsia="es-ES"/>
        </w:rPr>
        <w:t>oblemas específicos para procesos de contratación de obra pública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292C67A" w14:textId="77777777" w:rsidR="008B4354" w:rsidRPr="00B17041" w:rsidRDefault="008B4354" w:rsidP="008B4354">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FB375E6" w14:textId="77777777" w:rsidR="00697766" w:rsidRPr="007542AA" w:rsidRDefault="00697766" w:rsidP="00697766">
      <w:pPr>
        <w:spacing w:after="0" w:line="276" w:lineRule="auto"/>
        <w:ind w:firstLine="708"/>
        <w:jc w:val="both"/>
        <w:rPr>
          <w:rFonts w:ascii="Verdana" w:hAnsi="Verdana" w:cs="Arial"/>
          <w:iCs/>
        </w:rPr>
      </w:pPr>
    </w:p>
    <w:p w14:paraId="72BEA6EF"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17170960" w14:textId="77777777" w:rsidR="00697766" w:rsidRDefault="00697766" w:rsidP="00697766">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97766" w:rsidRPr="00B80E68" w14:paraId="0DF9994D" w14:textId="77777777" w:rsidTr="000047C2">
        <w:trPr>
          <w:trHeight w:val="870"/>
        </w:trPr>
        <w:tc>
          <w:tcPr>
            <w:tcW w:w="8647" w:type="dxa"/>
            <w:tcBorders>
              <w:top w:val="dotted" w:sz="4" w:space="0" w:color="auto"/>
              <w:left w:val="dotted" w:sz="4" w:space="0" w:color="auto"/>
              <w:bottom w:val="dotted" w:sz="4" w:space="0" w:color="auto"/>
              <w:right w:val="dotted" w:sz="4" w:space="0" w:color="auto"/>
            </w:tcBorders>
            <w:hideMark/>
          </w:tcPr>
          <w:p w14:paraId="6CDD58EC" w14:textId="23127D73" w:rsidR="001700FA" w:rsidRDefault="001700FA" w:rsidP="00363D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hAnsi="Verdana" w:cs="Arial"/>
                <w:color w:val="000000" w:themeColor="text1"/>
              </w:rPr>
              <w:t>Constitución Política de Colombia. Artículo 209.</w:t>
            </w:r>
          </w:p>
          <w:p w14:paraId="368845C1" w14:textId="1FA08A10" w:rsidR="00363D30" w:rsidRDefault="00363D30" w:rsidP="00363D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lastRenderedPageBreak/>
              <w:t>Ley 1150 de 2007, artículo 6</w:t>
            </w:r>
            <w:r w:rsidR="00201B86">
              <w:rPr>
                <w:rFonts w:ascii="Verdana" w:eastAsia="Arial MT" w:hAnsi="Verdana" w:cs="Arial"/>
                <w:lang w:val="es-ES" w:eastAsia="es-ES" w:bidi="es-ES"/>
              </w:rPr>
              <w:t xml:space="preserve"> y 13</w:t>
            </w:r>
            <w:r>
              <w:rPr>
                <w:rFonts w:ascii="Verdana" w:eastAsia="Arial MT" w:hAnsi="Verdana" w:cs="Arial"/>
                <w:lang w:val="es-ES" w:eastAsia="es-ES" w:bidi="es-ES"/>
              </w:rPr>
              <w:t xml:space="preserve">. </w:t>
            </w:r>
          </w:p>
          <w:p w14:paraId="5E1D0F28" w14:textId="36A25407" w:rsidR="001700FA" w:rsidRDefault="001700FA" w:rsidP="00363D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100 de 1993, artículos</w:t>
            </w:r>
            <w:r w:rsidR="00692700">
              <w:rPr>
                <w:rFonts w:ascii="Verdana" w:eastAsia="Arial MT" w:hAnsi="Verdana" w:cs="Arial"/>
                <w:lang w:val="es-ES" w:eastAsia="es-ES" w:bidi="es-ES"/>
              </w:rPr>
              <w:t xml:space="preserve"> 194 y</w:t>
            </w:r>
            <w:r>
              <w:rPr>
                <w:rFonts w:ascii="Verdana" w:eastAsia="Arial MT" w:hAnsi="Verdana" w:cs="Arial"/>
                <w:lang w:val="es-ES" w:eastAsia="es-ES" w:bidi="es-ES"/>
              </w:rPr>
              <w:t xml:space="preserve"> 195</w:t>
            </w:r>
            <w:r w:rsidR="00832053">
              <w:rPr>
                <w:rFonts w:ascii="Verdana" w:eastAsia="Arial MT" w:hAnsi="Verdana" w:cs="Arial"/>
                <w:lang w:val="es-ES" w:eastAsia="es-ES" w:bidi="es-ES"/>
              </w:rPr>
              <w:t>.</w:t>
            </w:r>
          </w:p>
          <w:p w14:paraId="14CA31F6" w14:textId="77777777" w:rsidR="00363D30" w:rsidRDefault="00363D30"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Decreto 1082 de 2015, articulo 2.2.1.1.1.3.1., 2.2.1.1.1.6.4. </w:t>
            </w:r>
          </w:p>
          <w:p w14:paraId="5EFD7E92" w14:textId="01EB670C" w:rsidR="006D065E" w:rsidRPr="00EF647F" w:rsidRDefault="006D065E" w:rsidP="006D065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D065E">
              <w:rPr>
                <w:rFonts w:ascii="Verdana" w:eastAsia="Arial MT" w:hAnsi="Verdana" w:cs="Arial"/>
                <w:lang w:val="es-ES" w:eastAsia="es-ES" w:bidi="es-ES"/>
              </w:rPr>
              <w:t xml:space="preserve">CONSEJO DE ESTADO. Sección Tercera. Auto del 20 de agosto de 1998. </w:t>
            </w:r>
            <w:proofErr w:type="spellStart"/>
            <w:r w:rsidRPr="006D065E">
              <w:rPr>
                <w:rFonts w:ascii="Verdana" w:eastAsia="Arial MT" w:hAnsi="Verdana" w:cs="Arial"/>
                <w:lang w:val="es-ES" w:eastAsia="es-ES" w:bidi="es-ES"/>
              </w:rPr>
              <w:t>Exp</w:t>
            </w:r>
            <w:proofErr w:type="spellEnd"/>
            <w:r w:rsidRPr="006D065E">
              <w:rPr>
                <w:rFonts w:ascii="Verdana" w:eastAsia="Arial MT" w:hAnsi="Verdana" w:cs="Arial"/>
                <w:lang w:val="es-ES" w:eastAsia="es-ES" w:bidi="es-ES"/>
              </w:rPr>
              <w:t>. 14.202.  C.P. Juan de Dios Montes Bermúdez.</w:t>
            </w:r>
          </w:p>
          <w:p w14:paraId="23293BA1" w14:textId="59FC1F72" w:rsidR="00832053" w:rsidRDefault="00832053"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32053">
              <w:rPr>
                <w:rFonts w:ascii="Verdana" w:eastAsia="Arial MT" w:hAnsi="Verdana" w:cs="Arial"/>
                <w:lang w:val="es-ES" w:eastAsia="es-ES" w:bidi="es-ES"/>
              </w:rPr>
              <w:t>Corte Constitucional, Sentencia C-665 del 8 de junio de 2000. Expediente D-2705. Dr. José Gregorio Hernández Galindo</w:t>
            </w:r>
          </w:p>
          <w:p w14:paraId="1A3E9885" w14:textId="77777777" w:rsidR="00A62495" w:rsidRDefault="00A62495" w:rsidP="00A6249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62495">
              <w:rPr>
                <w:rFonts w:ascii="Verdana" w:eastAsia="Arial MT" w:hAnsi="Verdana" w:cs="Arial"/>
                <w:lang w:val="es-ES" w:eastAsia="es-ES" w:bidi="es-ES"/>
              </w:rPr>
              <w:t>Consejo de Estado. Sala de Consulta y Servicio Civil. Concepto del 27 de agosto de 1998, radicación No. 1.127, M.P. Javier Henao Hidrón; y concepto del 6 de abril de 2000. Radicación No. 1.263, M.P. Flavio Augusto Rodriguez Arce</w:t>
            </w:r>
          </w:p>
          <w:p w14:paraId="027749BC" w14:textId="66F46721" w:rsidR="00A62495" w:rsidRPr="00A62495" w:rsidRDefault="00A62495" w:rsidP="00A6249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62495">
              <w:rPr>
                <w:rFonts w:ascii="Verdana" w:eastAsia="Arial MT" w:hAnsi="Verdana" w:cs="Arial"/>
                <w:lang w:val="es-ES" w:eastAsia="es-ES" w:bidi="es-ES"/>
              </w:rPr>
              <w:t>Consejo de Estado. Sección Tercera. Subsección “C”. Providencia del 8 de abril de 2014. Expediente No. 25801. M.P. Enrique Gil Botero.</w:t>
            </w:r>
          </w:p>
          <w:p w14:paraId="2076DC2F" w14:textId="25506029" w:rsidR="00A62495" w:rsidRDefault="00A62495" w:rsidP="00A6249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62495">
              <w:rPr>
                <w:rFonts w:ascii="Verdana" w:eastAsia="Arial MT" w:hAnsi="Verdana" w:cs="Arial"/>
                <w:lang w:val="es-ES" w:eastAsia="es-ES" w:bidi="es-ES"/>
              </w:rPr>
              <w:t>Ministerio de Salud y la Protección Social. Concepto del 16 de agosto de 2019. Expediente No. 201942301304712.</w:t>
            </w:r>
          </w:p>
          <w:p w14:paraId="0261D7B4" w14:textId="77777777" w:rsidR="006F0DEF" w:rsidRPr="006D065E" w:rsidRDefault="006F0DEF" w:rsidP="006F0DE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D065E">
              <w:rPr>
                <w:rFonts w:ascii="Verdana" w:eastAsia="Arial MT" w:hAnsi="Verdana" w:cs="Arial"/>
                <w:lang w:val="es-ES" w:eastAsia="es-ES" w:bidi="es-ES"/>
              </w:rPr>
              <w:t>MEDINA LÓPEZ, Diego Eduardo. El derecho de los jueces: obligatoriedad del precedente constitucional, análisis de sentencias y líneas jurisprudenciales y teoría del derecho judicial. Bogotá: Legis, 2006.</w:t>
            </w:r>
          </w:p>
          <w:p w14:paraId="7E9CCA43" w14:textId="77777777" w:rsidR="006F0DEF" w:rsidRPr="006D065E" w:rsidRDefault="006F0DEF" w:rsidP="006F0DE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D065E">
              <w:rPr>
                <w:rFonts w:ascii="Verdana" w:eastAsia="Arial MT" w:hAnsi="Verdana" w:cs="Arial"/>
                <w:lang w:val="es-ES" w:eastAsia="es-ES" w:bidi="es-ES"/>
              </w:rPr>
              <w:t xml:space="preserve">EXPÓSITO VÉLEZ, Juan Carlos. Definición de los </w:t>
            </w:r>
            <w:r>
              <w:rPr>
                <w:rFonts w:ascii="Verdana" w:eastAsia="Arial MT" w:hAnsi="Verdana" w:cs="Arial"/>
                <w:lang w:val="es-ES" w:eastAsia="es-ES" w:bidi="es-ES"/>
              </w:rPr>
              <w:t>“</w:t>
            </w:r>
            <w:r w:rsidRPr="006D065E">
              <w:rPr>
                <w:rFonts w:ascii="Verdana" w:eastAsia="Arial MT" w:hAnsi="Verdana" w:cs="Arial"/>
                <w:lang w:val="es-ES" w:eastAsia="es-ES" w:bidi="es-ES"/>
              </w:rPr>
              <w:t>Contratos Estatales</w:t>
            </w:r>
            <w:r>
              <w:rPr>
                <w:rFonts w:ascii="Verdana" w:eastAsia="Arial MT" w:hAnsi="Verdana" w:cs="Arial"/>
                <w:lang w:val="es-ES" w:eastAsia="es-ES" w:bidi="es-ES"/>
              </w:rPr>
              <w:t>”</w:t>
            </w:r>
            <w:r w:rsidRPr="006D065E">
              <w:rPr>
                <w:rFonts w:ascii="Verdana" w:eastAsia="Arial MT" w:hAnsi="Verdana" w:cs="Arial"/>
                <w:lang w:val="es-ES" w:eastAsia="es-ES" w:bidi="es-ES"/>
              </w:rPr>
              <w:t xml:space="preserve">.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p w14:paraId="092559DD" w14:textId="77777777" w:rsidR="00363D30" w:rsidRDefault="00363D30"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Agencia Nacional de Contratación Pública –Colombia Compra Eficiente. Guía para Determinar y Verificar la Capacidad Residual del Proponente en los Procesos de Contratación de Obra Pública. Disponible en línea: </w:t>
            </w:r>
            <w:hyperlink r:id="rId15" w:history="1">
              <w:r w:rsidRPr="00C47168">
                <w:rPr>
                  <w:rStyle w:val="Hipervnculo"/>
                  <w:rFonts w:ascii="Verdana" w:eastAsia="Arial MT" w:hAnsi="Verdana" w:cs="Arial"/>
                  <w:lang w:val="es-ES" w:eastAsia="es-ES" w:bidi="es-ES"/>
                </w:rPr>
                <w:t>https://www.colombiacompra.gov.co/archivos/manual/guia-para-determinar-y-verificar-la-capacidad-residual-del-proponente-en-los-procesos-de-contratacion-de-obra-publica</w:t>
              </w:r>
            </w:hyperlink>
            <w:r>
              <w:rPr>
                <w:rFonts w:ascii="Verdana" w:eastAsia="Arial MT" w:hAnsi="Verdana" w:cs="Arial"/>
                <w:lang w:val="es-ES" w:eastAsia="es-ES" w:bidi="es-ES"/>
              </w:rPr>
              <w:t>.</w:t>
            </w:r>
            <w:r w:rsidRPr="00EF647F">
              <w:rPr>
                <w:rFonts w:ascii="Verdana" w:eastAsia="Arial MT" w:hAnsi="Verdana" w:cs="Arial"/>
                <w:lang w:val="es-ES" w:eastAsia="es-ES" w:bidi="es-ES"/>
              </w:rPr>
              <w:t xml:space="preserve"> 2023. </w:t>
            </w:r>
            <w:r>
              <w:rPr>
                <w:rFonts w:ascii="Verdana" w:eastAsia="Arial MT" w:hAnsi="Verdana" w:cs="Arial"/>
                <w:lang w:val="es-ES" w:eastAsia="es-ES" w:bidi="es-ES"/>
              </w:rPr>
              <w:t xml:space="preserve"> </w:t>
            </w:r>
          </w:p>
          <w:p w14:paraId="2D721E1A" w14:textId="0706529D" w:rsidR="00697766" w:rsidRPr="00EB3177" w:rsidRDefault="00363D30" w:rsidP="00201B86">
            <w:pPr>
              <w:numPr>
                <w:ilvl w:val="0"/>
                <w:numId w:val="17"/>
              </w:numPr>
              <w:spacing w:line="276" w:lineRule="auto"/>
              <w:contextualSpacing/>
              <w:jc w:val="both"/>
              <w:rPr>
                <w:rFonts w:ascii="Verdana" w:eastAsia="Arial MT" w:hAnsi="Verdana" w:cs="Arial"/>
                <w:lang w:eastAsia="es-ES" w:bidi="es-ES"/>
              </w:rPr>
            </w:pPr>
            <w:r w:rsidRPr="00FB3E90">
              <w:rPr>
                <w:rFonts w:ascii="Verdana" w:eastAsia="Arial MT" w:hAnsi="Verdana" w:cs="Arial"/>
                <w:lang w:val="es-ES" w:eastAsia="es-ES" w:bidi="es-ES"/>
              </w:rPr>
              <w:lastRenderedPageBreak/>
              <w:t xml:space="preserve">Agencia Nacional de Contratación Pública -Colombia Compra Eficiente. Manual para determinar y verificar Los Requisitos Habilitantes en los Procesos de Contratación  </w:t>
            </w:r>
            <w:hyperlink r:id="rId16" w:history="1">
              <w:r w:rsidRPr="00AE16E3">
                <w:rPr>
                  <w:rStyle w:val="Hipervnculo"/>
                  <w:rFonts w:ascii="Verdana" w:eastAsia="Arial MT" w:hAnsi="Verdana" w:cs="Arial"/>
                  <w:lang w:val="es-ES" w:eastAsia="es-ES" w:bidi="es-ES"/>
                </w:rPr>
                <w:t>https://www.colombiacompra.gov.co/archivos/manual/manual-para-determinar-y-verificar-los-requisitos-habilitantes-en-los-procesos-de-contratacion</w:t>
              </w:r>
            </w:hyperlink>
            <w:r w:rsidRPr="00FB3E90">
              <w:rPr>
                <w:rFonts w:ascii="Verdana" w:eastAsia="Arial MT" w:hAnsi="Verdana" w:cs="Arial"/>
                <w:lang w:val="es-ES" w:eastAsia="es-ES" w:bidi="es-ES"/>
              </w:rPr>
              <w:t>.</w:t>
            </w:r>
            <w:r>
              <w:rPr>
                <w:rFonts w:ascii="Verdana" w:eastAsia="Arial MT" w:hAnsi="Verdana" w:cs="Arial"/>
                <w:lang w:val="es-ES" w:eastAsia="es-ES" w:bidi="es-ES"/>
              </w:rPr>
              <w:t xml:space="preserve"> 2023.</w:t>
            </w:r>
          </w:p>
        </w:tc>
      </w:tr>
    </w:tbl>
    <w:p w14:paraId="3B7AC7E2" w14:textId="77777777" w:rsidR="00697766" w:rsidRPr="00B80E68" w:rsidRDefault="00697766" w:rsidP="00697766">
      <w:pPr>
        <w:widowControl w:val="0"/>
        <w:autoSpaceDE w:val="0"/>
        <w:autoSpaceDN w:val="0"/>
        <w:spacing w:after="0" w:line="276" w:lineRule="auto"/>
        <w:jc w:val="both"/>
        <w:rPr>
          <w:rFonts w:ascii="Verdana" w:hAnsi="Verdana" w:cs="Arial"/>
        </w:rPr>
      </w:pPr>
    </w:p>
    <w:p w14:paraId="705309AE"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3CA75D95" w14:textId="77777777" w:rsidR="00697766" w:rsidRDefault="00697766" w:rsidP="00697766">
      <w:pPr>
        <w:widowControl w:val="0"/>
        <w:autoSpaceDE w:val="0"/>
        <w:autoSpaceDN w:val="0"/>
        <w:spacing w:after="0" w:line="276" w:lineRule="auto"/>
        <w:jc w:val="both"/>
        <w:rPr>
          <w:rFonts w:ascii="Verdana" w:hAnsi="Verdana" w:cs="Arial"/>
        </w:rPr>
      </w:pPr>
    </w:p>
    <w:p w14:paraId="05867085" w14:textId="5D0AB655" w:rsidR="006B05E9" w:rsidRPr="00C303C5" w:rsidRDefault="006B05E9" w:rsidP="006B05E9">
      <w:pPr>
        <w:widowControl w:val="0"/>
        <w:autoSpaceDE w:val="0"/>
        <w:autoSpaceDN w:val="0"/>
        <w:spacing w:after="0" w:line="276" w:lineRule="auto"/>
        <w:jc w:val="both"/>
        <w:rPr>
          <w:rFonts w:ascii="Verdana" w:hAnsi="Verdana" w:cs="Arial"/>
          <w:shd w:val="clear" w:color="auto" w:fill="FFFFFF"/>
          <w:lang w:val="es-ES"/>
        </w:rPr>
      </w:pPr>
      <w:r w:rsidRPr="00B57A1B">
        <w:rPr>
          <w:rFonts w:ascii="Verdana" w:hAnsi="Verdana" w:cs="Arial"/>
          <w:shd w:val="clear" w:color="auto" w:fill="FFFFFF"/>
        </w:rPr>
        <w:t>Esta Subdirección se ha pronunciado</w:t>
      </w:r>
      <w:r>
        <w:rPr>
          <w:rFonts w:ascii="Verdana" w:hAnsi="Verdana" w:cs="Arial"/>
          <w:shd w:val="clear" w:color="auto" w:fill="FFFFFF"/>
        </w:rPr>
        <w:t xml:space="preserve"> sobre la capacidad residual en los conceptos </w:t>
      </w:r>
      <w:r w:rsidRPr="00EF647F">
        <w:rPr>
          <w:rFonts w:ascii="Verdana" w:hAnsi="Verdana" w:cs="Arial"/>
          <w:shd w:val="clear" w:color="auto" w:fill="FFFFFF"/>
          <w:lang w:val="es-ES"/>
        </w:rPr>
        <w:t>C-438 de 2025, C-486 de 2025, C-619 de 2025, C-1228 de 2025</w:t>
      </w:r>
      <w:r>
        <w:rPr>
          <w:rFonts w:ascii="Verdana" w:hAnsi="Verdana" w:cs="Arial"/>
          <w:shd w:val="clear" w:color="auto" w:fill="FFFFFF"/>
          <w:lang w:val="es-ES"/>
        </w:rPr>
        <w:t>, C-1349 del 28 de octubre de 2025, C-1409 del 13 de noviembre de 2025, C-1795 del 30 de diciembre de 2025,</w:t>
      </w:r>
      <w:r w:rsidR="00E84F51" w:rsidRPr="00E84F51">
        <w:t xml:space="preserve"> </w:t>
      </w:r>
      <w:r w:rsidR="00E84F51" w:rsidRPr="00E84F51">
        <w:rPr>
          <w:rFonts w:ascii="Verdana" w:hAnsi="Verdana" w:cs="Arial"/>
          <w:shd w:val="clear" w:color="auto" w:fill="FFFFFF"/>
          <w:lang w:val="es-ES"/>
        </w:rPr>
        <w:t>C</w:t>
      </w:r>
      <w:r w:rsidR="00E84F51">
        <w:rPr>
          <w:rFonts w:ascii="Verdana" w:hAnsi="Verdana" w:cs="Arial"/>
          <w:shd w:val="clear" w:color="auto" w:fill="FFFFFF"/>
          <w:lang w:val="es-ES"/>
        </w:rPr>
        <w:t>-</w:t>
      </w:r>
      <w:r w:rsidR="00E84F51" w:rsidRPr="00E84F51">
        <w:rPr>
          <w:rFonts w:ascii="Verdana" w:hAnsi="Verdana" w:cs="Arial"/>
          <w:shd w:val="clear" w:color="auto" w:fill="FFFFFF"/>
          <w:lang w:val="es-ES"/>
        </w:rPr>
        <w:t>1809 de</w:t>
      </w:r>
      <w:r w:rsidR="00E84F51">
        <w:rPr>
          <w:rFonts w:ascii="Verdana" w:hAnsi="Verdana" w:cs="Arial"/>
          <w:shd w:val="clear" w:color="auto" w:fill="FFFFFF"/>
          <w:lang w:val="es-ES"/>
        </w:rPr>
        <w:t>l 2</w:t>
      </w:r>
      <w:r w:rsidR="004B198A">
        <w:rPr>
          <w:rFonts w:ascii="Verdana" w:hAnsi="Verdana" w:cs="Arial"/>
          <w:shd w:val="clear" w:color="auto" w:fill="FFFFFF"/>
          <w:lang w:val="es-ES"/>
        </w:rPr>
        <w:t>1</w:t>
      </w:r>
      <w:r w:rsidR="00E84F51">
        <w:rPr>
          <w:rFonts w:ascii="Verdana" w:hAnsi="Verdana" w:cs="Arial"/>
          <w:shd w:val="clear" w:color="auto" w:fill="FFFFFF"/>
          <w:lang w:val="es-ES"/>
        </w:rPr>
        <w:t xml:space="preserve"> de enero</w:t>
      </w:r>
      <w:r w:rsidR="00E84F51" w:rsidRPr="00E84F51">
        <w:rPr>
          <w:rFonts w:ascii="Verdana" w:hAnsi="Verdana" w:cs="Arial"/>
          <w:shd w:val="clear" w:color="auto" w:fill="FFFFFF"/>
          <w:lang w:val="es-ES"/>
        </w:rPr>
        <w:t xml:space="preserve"> </w:t>
      </w:r>
      <w:r w:rsidR="00E84F51">
        <w:rPr>
          <w:rFonts w:ascii="Verdana" w:hAnsi="Verdana" w:cs="Arial"/>
          <w:shd w:val="clear" w:color="auto" w:fill="FFFFFF"/>
          <w:lang w:val="es-ES"/>
        </w:rPr>
        <w:t xml:space="preserve">de </w:t>
      </w:r>
      <w:r w:rsidR="00E84F51" w:rsidRPr="00E84F51">
        <w:rPr>
          <w:rFonts w:ascii="Verdana" w:hAnsi="Verdana" w:cs="Arial"/>
          <w:shd w:val="clear" w:color="auto" w:fill="FFFFFF"/>
          <w:lang w:val="es-ES"/>
        </w:rPr>
        <w:t>202</w:t>
      </w:r>
      <w:r w:rsidR="00E84F51">
        <w:rPr>
          <w:rFonts w:ascii="Verdana" w:hAnsi="Verdana" w:cs="Arial"/>
          <w:shd w:val="clear" w:color="auto" w:fill="FFFFFF"/>
          <w:lang w:val="es-ES"/>
        </w:rPr>
        <w:t>6,</w:t>
      </w:r>
      <w:r>
        <w:rPr>
          <w:rFonts w:ascii="Verdana" w:hAnsi="Verdana" w:cs="Arial"/>
          <w:shd w:val="clear" w:color="auto" w:fill="FFFFFF"/>
          <w:lang w:val="es-ES"/>
        </w:rPr>
        <w:t xml:space="preserve"> entre otros</w:t>
      </w:r>
      <w:r>
        <w:rPr>
          <w:rFonts w:ascii="Verdana" w:hAnsi="Verdana" w:cs="Arial"/>
          <w:shd w:val="clear" w:color="auto" w:fill="FFFFFF"/>
        </w:rPr>
        <w:t xml:space="preserve">. </w:t>
      </w:r>
      <w:r w:rsidRPr="00C303C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1975C5C" w14:textId="7ED88062" w:rsidR="006B05E9" w:rsidRPr="00185EE9" w:rsidRDefault="006B05E9" w:rsidP="006B05E9">
      <w:pPr>
        <w:spacing w:after="0" w:line="256" w:lineRule="auto"/>
        <w:jc w:val="both"/>
        <w:rPr>
          <w:rFonts w:ascii="Verdana" w:eastAsia="Calibri" w:hAnsi="Verdana" w:cs="Times New Roman"/>
        </w:rPr>
      </w:pPr>
      <w:hyperlink r:id="rId17" w:history="1">
        <w:r w:rsidRPr="00C303C5">
          <w:rPr>
            <w:rStyle w:val="Hipervnculo"/>
            <w:rFonts w:ascii="Verdana" w:eastAsia="Calibri" w:hAnsi="Verdana" w:cs="Times New Roman"/>
            <w:lang w:val="es-ES"/>
          </w:rPr>
          <w:t>https://relatoria.colombiacompra.gov.co/busqueda/conceptos</w:t>
        </w:r>
      </w:hyperlink>
    </w:p>
    <w:p w14:paraId="4DA362B9" w14:textId="77777777" w:rsidR="0022017D" w:rsidRDefault="0022017D" w:rsidP="00697766">
      <w:pPr>
        <w:spacing w:after="0"/>
        <w:jc w:val="both"/>
        <w:rPr>
          <w:rFonts w:ascii="Verdana" w:hAnsi="Verdana" w:cs="Arial"/>
          <w:bCs/>
          <w:shd w:val="clear" w:color="auto" w:fill="FFFFFF"/>
          <w:lang w:val="es-ES"/>
        </w:rPr>
      </w:pPr>
    </w:p>
    <w:p w14:paraId="7D7463CF" w14:textId="77777777" w:rsidR="00697766" w:rsidRPr="00F84F36" w:rsidRDefault="00697766" w:rsidP="00697766">
      <w:pPr>
        <w:spacing w:after="0"/>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278B1">
        <w:rPr>
          <w:rFonts w:ascii="Verdana" w:hAnsi="Verdana" w:cs="Arial"/>
          <w:shd w:val="clear" w:color="auto" w:fill="FFFFFF"/>
        </w:rPr>
        <w:t>Wayúu</w:t>
      </w:r>
      <w:proofErr w:type="spellEnd"/>
      <w:r w:rsidRPr="008278B1">
        <w:rPr>
          <w:rFonts w:ascii="Verdana" w:hAnsi="Verdana" w:cs="Arial"/>
          <w:shd w:val="clear" w:color="auto" w:fill="FFFFFF"/>
        </w:rPr>
        <w:t>. Puede consultar la guía en el siguiente enlace: </w:t>
      </w:r>
      <w:hyperlink r:id="rId18" w:tgtFrame="_blank" w:tooltip="Dirección URL original: https://www.colombiacompra.gov.co/wp-content/uploads/2025/05/GUIA-DE-LINEAMIENTOS-DE-TRANSPARENCIA-Y-SELECCION-OBJETIVA-1.0.pdf. Haga clic o pulse si confía en este vínculo." w:history="1">
        <w:r w:rsidRPr="008278B1">
          <w:rPr>
            <w:rStyle w:val="Hipervnculo"/>
            <w:rFonts w:ascii="Verdana" w:hAnsi="Verdana"/>
          </w:rPr>
          <w:t>Guía de lineamientos de transparencia y selección objetiva para el departamento de La Guajira – Objetivo sexto constitucional de la Sentencia T-302 del 2017</w:t>
        </w:r>
      </w:hyperlink>
    </w:p>
    <w:p w14:paraId="7525EF70" w14:textId="77777777" w:rsidR="00697766" w:rsidRPr="008278B1" w:rsidRDefault="00697766" w:rsidP="00697766">
      <w:pPr>
        <w:spacing w:after="0"/>
        <w:jc w:val="both"/>
        <w:rPr>
          <w:rFonts w:ascii="Verdana" w:hAnsi="Verdana" w:cs="Arial"/>
          <w:shd w:val="clear" w:color="auto" w:fill="FFFFFF"/>
        </w:rPr>
      </w:pPr>
    </w:p>
    <w:p w14:paraId="4B5F839D"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2A48F57A" w14:textId="77777777" w:rsidR="00697766" w:rsidRPr="008278B1" w:rsidRDefault="00697766" w:rsidP="00697766">
      <w:pPr>
        <w:spacing w:after="0"/>
        <w:jc w:val="both"/>
        <w:rPr>
          <w:rFonts w:ascii="Verdana" w:hAnsi="Verdana" w:cs="Arial"/>
          <w:shd w:val="clear" w:color="auto" w:fill="FFFFFF"/>
        </w:rPr>
      </w:pPr>
    </w:p>
    <w:p w14:paraId="4BFE222F"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6F724F3F"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w:t>
      </w:r>
      <w:proofErr w:type="spellStart"/>
      <w:r w:rsidRPr="008278B1">
        <w:rPr>
          <w:rStyle w:val="Hipervnculo"/>
          <w:rFonts w:ascii="Verdana" w:hAnsi="Verdana"/>
          <w:lang w:val="es-ES"/>
        </w:rPr>
        <w:t>ColombiaCompraEficiente</w:t>
      </w:r>
      <w:proofErr w:type="spellEnd"/>
    </w:p>
    <w:p w14:paraId="0F570C7D"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lastRenderedPageBreak/>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1986E0C5"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6669925F" w14:textId="77777777" w:rsidR="00697766" w:rsidRPr="008278B1" w:rsidRDefault="00697766" w:rsidP="00697766">
      <w:pPr>
        <w:widowControl w:val="0"/>
        <w:autoSpaceDE w:val="0"/>
        <w:autoSpaceDN w:val="0"/>
        <w:spacing w:after="0" w:line="276" w:lineRule="auto"/>
        <w:jc w:val="both"/>
        <w:rPr>
          <w:rFonts w:ascii="Verdana" w:hAnsi="Verdana" w:cs="Arial"/>
          <w:lang w:val="es-ES"/>
        </w:rPr>
      </w:pPr>
    </w:p>
    <w:p w14:paraId="7B21382D" w14:textId="77777777" w:rsidR="00697766" w:rsidRPr="008278B1" w:rsidRDefault="00697766" w:rsidP="00697766">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475053E" w14:textId="77777777" w:rsidR="00697766" w:rsidRPr="008278B1" w:rsidRDefault="00697766" w:rsidP="00697766">
      <w:pPr>
        <w:widowControl w:val="0"/>
        <w:autoSpaceDE w:val="0"/>
        <w:autoSpaceDN w:val="0"/>
        <w:spacing w:after="0" w:line="276" w:lineRule="auto"/>
        <w:jc w:val="both"/>
        <w:rPr>
          <w:rFonts w:ascii="Verdana" w:hAnsi="Verdana" w:cs="Arial"/>
          <w:lang w:val="es-ES"/>
        </w:rPr>
      </w:pPr>
    </w:p>
    <w:p w14:paraId="5856EEC5" w14:textId="77777777" w:rsidR="00697766" w:rsidRDefault="00697766" w:rsidP="00697766">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34E59CEA" w14:textId="77777777" w:rsidR="003B4708" w:rsidRDefault="003B4708" w:rsidP="00697766">
      <w:pPr>
        <w:spacing w:after="0" w:line="276" w:lineRule="auto"/>
        <w:rPr>
          <w:rFonts w:ascii="Verdana" w:hAnsi="Verdana" w:cs="Arial"/>
          <w:lang w:val="es-ES" w:eastAsia="es-CO"/>
        </w:rPr>
      </w:pPr>
    </w:p>
    <w:p w14:paraId="1A12CDD7" w14:textId="24F9BB17" w:rsidR="00697766" w:rsidRPr="008278B1" w:rsidRDefault="009E539D" w:rsidP="002C23F8">
      <w:pPr>
        <w:spacing w:after="0" w:line="276" w:lineRule="auto"/>
        <w:jc w:val="center"/>
        <w:rPr>
          <w:rFonts w:ascii="Verdana" w:hAnsi="Verdana" w:cs="Arial"/>
          <w:lang w:val="es-ES" w:eastAsia="es-CO"/>
        </w:rPr>
      </w:pPr>
      <w:r>
        <w:rPr>
          <w:noProof/>
        </w:rPr>
        <w:drawing>
          <wp:inline distT="0" distB="0" distL="0" distR="0" wp14:anchorId="1B8B2AA3" wp14:editId="44EF7B6B">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p w14:paraId="0F73E960" w14:textId="77777777" w:rsidR="00697766" w:rsidRPr="00A869FE" w:rsidRDefault="00697766" w:rsidP="002C23F8">
      <w:pPr>
        <w:spacing w:after="0" w:line="240" w:lineRule="auto"/>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7766" w:rsidRPr="00A869FE" w14:paraId="6CCCD296" w14:textId="77777777" w:rsidTr="000047C2">
        <w:trPr>
          <w:trHeight w:val="315"/>
        </w:trPr>
        <w:tc>
          <w:tcPr>
            <w:tcW w:w="893" w:type="dxa"/>
            <w:vAlign w:val="center"/>
            <w:hideMark/>
          </w:tcPr>
          <w:p w14:paraId="6CCCB4D4" w14:textId="77777777" w:rsidR="00697766" w:rsidRPr="00A869FE" w:rsidRDefault="00697766" w:rsidP="000047C2">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442289F" w14:textId="4D016281" w:rsidR="00697766" w:rsidRPr="00A869FE" w:rsidRDefault="00883639" w:rsidP="000047C2">
            <w:pPr>
              <w:spacing w:line="256" w:lineRule="auto"/>
              <w:rPr>
                <w:rFonts w:ascii="Verdana" w:eastAsia="Calibri" w:hAnsi="Verdana" w:cs="Times New Roman"/>
                <w:sz w:val="16"/>
                <w:szCs w:val="16"/>
              </w:rPr>
            </w:pPr>
            <w:r w:rsidRPr="00883639">
              <w:rPr>
                <w:rFonts w:ascii="Verdana" w:eastAsia="Calibri" w:hAnsi="Verdana" w:cs="Times New Roman"/>
                <w:sz w:val="16"/>
                <w:szCs w:val="16"/>
              </w:rPr>
              <w:t>Ximena Ríos López</w:t>
            </w:r>
          </w:p>
          <w:p w14:paraId="791D1C1F" w14:textId="220BB2EE" w:rsidR="00697766" w:rsidRPr="00A869FE" w:rsidRDefault="00883639" w:rsidP="000047C2">
            <w:pPr>
              <w:contextualSpacing/>
              <w:rPr>
                <w:rFonts w:ascii="Verdana" w:eastAsia="Arial" w:hAnsi="Verdana" w:cs="Arial"/>
                <w:sz w:val="16"/>
                <w:szCs w:val="16"/>
              </w:rPr>
            </w:pPr>
            <w:r w:rsidRPr="00EB7A79">
              <w:rPr>
                <w:rFonts w:ascii="Verdana" w:hAnsi="Verdana" w:cs="Arial"/>
                <w:sz w:val="16"/>
                <w:szCs w:val="16"/>
                <w:lang w:eastAsia="es-ES"/>
              </w:rPr>
              <w:t>Gestor T1 ‒ 1</w:t>
            </w:r>
            <w:r>
              <w:rPr>
                <w:rFonts w:ascii="Verdana" w:hAnsi="Verdana" w:cs="Arial"/>
                <w:sz w:val="16"/>
                <w:szCs w:val="16"/>
                <w:lang w:eastAsia="es-ES"/>
              </w:rPr>
              <w:t>1</w:t>
            </w:r>
            <w:r w:rsidRPr="00EB7A79">
              <w:rPr>
                <w:rFonts w:ascii="Verdana" w:hAnsi="Verdana" w:cs="Arial"/>
                <w:sz w:val="16"/>
                <w:szCs w:val="16"/>
                <w:lang w:eastAsia="es-ES"/>
              </w:rPr>
              <w:t xml:space="preserve"> </w:t>
            </w:r>
            <w:r w:rsidR="00697766" w:rsidRPr="00A869FE">
              <w:rPr>
                <w:rFonts w:ascii="Verdana" w:eastAsia="Calibri" w:hAnsi="Verdana" w:cs="Times New Roman"/>
                <w:sz w:val="16"/>
                <w:szCs w:val="16"/>
              </w:rPr>
              <w:t>de la Subdirección de Gestión Contractual</w:t>
            </w:r>
          </w:p>
        </w:tc>
      </w:tr>
      <w:tr w:rsidR="00697766" w:rsidRPr="00A869FE" w14:paraId="467DDAAE" w14:textId="77777777" w:rsidTr="000047C2">
        <w:trPr>
          <w:trHeight w:val="330"/>
        </w:trPr>
        <w:tc>
          <w:tcPr>
            <w:tcW w:w="893" w:type="dxa"/>
            <w:vAlign w:val="center"/>
            <w:hideMark/>
          </w:tcPr>
          <w:p w14:paraId="08B7B21E" w14:textId="77777777" w:rsidR="00697766" w:rsidRPr="00A869FE" w:rsidRDefault="00697766" w:rsidP="000047C2">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38D27D" w14:textId="77777777" w:rsidR="00697766" w:rsidRPr="00EB7A79" w:rsidRDefault="00697766" w:rsidP="000047C2">
            <w:pPr>
              <w:rPr>
                <w:rFonts w:ascii="Verdana" w:eastAsia="Times New Roman" w:hAnsi="Verdana" w:cs="Arial"/>
                <w:sz w:val="16"/>
                <w:szCs w:val="16"/>
                <w:lang w:eastAsia="es-ES"/>
              </w:rPr>
            </w:pPr>
            <w:r w:rsidRPr="00EB7A79">
              <w:rPr>
                <w:rFonts w:ascii="Verdana" w:eastAsia="Times New Roman" w:hAnsi="Verdana" w:cs="Arial"/>
                <w:sz w:val="16"/>
                <w:szCs w:val="16"/>
                <w:lang w:eastAsia="es-ES"/>
              </w:rPr>
              <w:t>Alejandro Sarmiento Cantillo</w:t>
            </w:r>
          </w:p>
          <w:p w14:paraId="40EFB19E" w14:textId="77777777" w:rsidR="00697766" w:rsidRPr="00A869FE" w:rsidRDefault="00697766" w:rsidP="000047C2">
            <w:pPr>
              <w:pStyle w:val="paragraph"/>
              <w:spacing w:before="0" w:beforeAutospacing="0" w:after="0" w:afterAutospacing="0"/>
              <w:contextualSpacing/>
              <w:textAlignment w:val="baseline"/>
              <w:rPr>
                <w:rFonts w:ascii="Verdana" w:hAnsi="Verdana" w:cs="Segoe UI"/>
                <w:sz w:val="16"/>
                <w:szCs w:val="16"/>
              </w:rPr>
            </w:pPr>
            <w:r w:rsidRPr="00EB7A79">
              <w:rPr>
                <w:rFonts w:ascii="Verdana" w:hAnsi="Verdana" w:cs="Arial"/>
                <w:sz w:val="16"/>
                <w:szCs w:val="16"/>
                <w:lang w:eastAsia="es-ES"/>
              </w:rPr>
              <w:t>Gestor T1 ‒ 15 de la Subdirección de Gestión Contractual</w:t>
            </w:r>
          </w:p>
        </w:tc>
      </w:tr>
      <w:tr w:rsidR="00697766" w:rsidRPr="00A869FE" w14:paraId="659B793B" w14:textId="77777777" w:rsidTr="000047C2">
        <w:trPr>
          <w:trHeight w:val="300"/>
        </w:trPr>
        <w:tc>
          <w:tcPr>
            <w:tcW w:w="893" w:type="dxa"/>
            <w:vAlign w:val="center"/>
          </w:tcPr>
          <w:p w14:paraId="653B2EB5" w14:textId="77777777" w:rsidR="00697766" w:rsidRPr="00A869FE" w:rsidRDefault="00697766" w:rsidP="000047C2">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7BCC5E" w14:textId="77777777" w:rsidR="00697766" w:rsidRPr="00A869FE" w:rsidRDefault="00697766" w:rsidP="000047C2">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6A5BFA3A" w14:textId="77777777" w:rsidR="00697766" w:rsidRPr="00A869FE" w:rsidRDefault="00697766" w:rsidP="000047C2">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0F293BF4" w14:textId="0C264A14" w:rsidR="00127233" w:rsidRPr="00697766" w:rsidRDefault="00127233" w:rsidP="00697766"/>
    <w:sectPr w:rsidR="00127233" w:rsidRPr="00697766"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41082" w14:textId="77777777" w:rsidR="00C67E32" w:rsidRDefault="00C67E32" w:rsidP="004A1847">
      <w:pPr>
        <w:spacing w:after="0" w:line="240" w:lineRule="auto"/>
      </w:pPr>
      <w:r>
        <w:separator/>
      </w:r>
    </w:p>
  </w:endnote>
  <w:endnote w:type="continuationSeparator" w:id="0">
    <w:p w14:paraId="2D91BB31" w14:textId="77777777" w:rsidR="00C67E32" w:rsidRDefault="00C67E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E4690" w14:textId="77777777" w:rsidR="00C67E32" w:rsidRDefault="00C67E32" w:rsidP="004A1847">
      <w:pPr>
        <w:spacing w:after="0" w:line="240" w:lineRule="auto"/>
      </w:pPr>
      <w:r>
        <w:separator/>
      </w:r>
    </w:p>
  </w:footnote>
  <w:footnote w:type="continuationSeparator" w:id="0">
    <w:p w14:paraId="6515345C" w14:textId="77777777" w:rsidR="00C67E32" w:rsidRDefault="00C67E32" w:rsidP="004A1847">
      <w:pPr>
        <w:spacing w:after="0" w:line="240" w:lineRule="auto"/>
      </w:pPr>
      <w:r>
        <w:continuationSeparator/>
      </w:r>
    </w:p>
  </w:footnote>
  <w:footnote w:id="1">
    <w:p w14:paraId="73C06540" w14:textId="77777777" w:rsidR="00220F9E" w:rsidRPr="00F833C9" w:rsidRDefault="00220F9E" w:rsidP="00220F9E">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MEDINA LÓPEZ, Diego Eduardo. El derecho de los jueces: obligatoriedad del precedente constitucional, análisis de sentencias y líneas jurisprudenciales y teoría del derecho judicial. Bogotá: Legis, 2006.</w:t>
      </w:r>
    </w:p>
    <w:p w14:paraId="36F93246" w14:textId="77777777" w:rsidR="00220F9E" w:rsidRPr="00F833C9" w:rsidRDefault="00220F9E" w:rsidP="00220F9E">
      <w:pPr>
        <w:pStyle w:val="Textonotapie"/>
        <w:ind w:firstLine="709"/>
        <w:jc w:val="both"/>
        <w:rPr>
          <w:rFonts w:ascii="Verdana" w:hAnsi="Verdana" w:cs="Arial"/>
          <w:color w:val="000000" w:themeColor="text1"/>
          <w:sz w:val="16"/>
          <w:szCs w:val="16"/>
        </w:rPr>
      </w:pPr>
    </w:p>
  </w:footnote>
  <w:footnote w:id="2">
    <w:p w14:paraId="110A822C" w14:textId="26C78A0C" w:rsidR="00220F9E" w:rsidRPr="00F833C9" w:rsidRDefault="00220F9E" w:rsidP="00220F9E">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EXPÓSITO VÉLEZ, Juan Carlos. Definición de los </w:t>
      </w:r>
      <w:r w:rsidR="00B5473E">
        <w:rPr>
          <w:rFonts w:ascii="Verdana" w:hAnsi="Verdana" w:cs="Arial"/>
          <w:color w:val="000000" w:themeColor="text1"/>
          <w:sz w:val="16"/>
          <w:szCs w:val="16"/>
        </w:rPr>
        <w:t>“</w:t>
      </w:r>
      <w:r w:rsidRPr="00F833C9">
        <w:rPr>
          <w:rFonts w:ascii="Verdana" w:hAnsi="Verdana" w:cs="Arial"/>
          <w:color w:val="000000" w:themeColor="text1"/>
          <w:sz w:val="16"/>
          <w:szCs w:val="16"/>
        </w:rPr>
        <w:t>Contratos Estatales</w:t>
      </w:r>
      <w:r w:rsidR="00B5473E">
        <w:rPr>
          <w:rFonts w:ascii="Verdana" w:hAnsi="Verdana" w:cs="Arial"/>
          <w:color w:val="000000" w:themeColor="text1"/>
          <w:sz w:val="16"/>
          <w:szCs w:val="16"/>
        </w:rPr>
        <w:t>”</w:t>
      </w:r>
      <w:r w:rsidRPr="00F833C9">
        <w:rPr>
          <w:rFonts w:ascii="Verdana" w:hAnsi="Verdana" w:cs="Arial"/>
          <w:color w:val="000000" w:themeColor="text1"/>
          <w:sz w:val="16"/>
          <w:szCs w:val="16"/>
        </w:rPr>
        <w:t xml:space="preserve">.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p w14:paraId="5B30842F" w14:textId="77777777" w:rsidR="00220F9E" w:rsidRPr="00F833C9" w:rsidRDefault="00220F9E" w:rsidP="00220F9E">
      <w:pPr>
        <w:pStyle w:val="Textonotapie"/>
        <w:ind w:firstLine="709"/>
        <w:jc w:val="both"/>
        <w:rPr>
          <w:rFonts w:ascii="Verdana" w:hAnsi="Verdana" w:cs="Arial"/>
          <w:color w:val="000000" w:themeColor="text1"/>
          <w:sz w:val="16"/>
          <w:szCs w:val="16"/>
        </w:rPr>
      </w:pPr>
    </w:p>
  </w:footnote>
  <w:footnote w:id="3">
    <w:p w14:paraId="6F4BF3BC" w14:textId="77777777" w:rsidR="00220F9E" w:rsidRPr="00F833C9" w:rsidRDefault="00220F9E" w:rsidP="00220F9E">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CONSEJO DE ESTADO. Sección Tercera. Auto del 20 de agosto de 1998. </w:t>
      </w:r>
      <w:r w:rsidRPr="00F833C9">
        <w:rPr>
          <w:rFonts w:ascii="Verdana" w:hAnsi="Verdana" w:cs="Arial"/>
          <w:color w:val="000000" w:themeColor="text1"/>
          <w:sz w:val="16"/>
          <w:szCs w:val="16"/>
        </w:rPr>
        <w:t xml:space="preserve">Exp. 14.202.  C.P. Juan de Dios Montes Bermúdez. </w:t>
      </w:r>
    </w:p>
  </w:footnote>
  <w:footnote w:id="4">
    <w:p w14:paraId="4FD26C61" w14:textId="092A5933" w:rsidR="00220F9E" w:rsidRPr="00F833C9" w:rsidRDefault="00220F9E" w:rsidP="00220F9E">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w:t>
      </w:r>
      <w:bookmarkStart w:id="3" w:name="66"/>
      <w:r w:rsidR="00DE3B6D">
        <w:rPr>
          <w:rFonts w:ascii="Verdana" w:hAnsi="Verdana" w:cs="Arial"/>
          <w:color w:val="000000" w:themeColor="text1"/>
          <w:sz w:val="16"/>
          <w:szCs w:val="16"/>
        </w:rPr>
        <w:t>“</w:t>
      </w:r>
      <w:r w:rsidRPr="00F833C9">
        <w:rPr>
          <w:rFonts w:ascii="Verdana" w:hAnsi="Verdana" w:cs="Arial"/>
          <w:color w:val="000000" w:themeColor="text1"/>
          <w:sz w:val="16"/>
          <w:szCs w:val="16"/>
        </w:rPr>
        <w:t>Artículo 66. Medidas especiales de contratación.</w:t>
      </w:r>
      <w:bookmarkEnd w:id="3"/>
      <w:r w:rsidRPr="00F833C9">
        <w:rPr>
          <w:rFonts w:ascii="Verdana" w:hAnsi="Verdana" w:cs="Arial"/>
          <w:color w:val="000000" w:themeColor="text1"/>
          <w:sz w:val="16"/>
          <w:szCs w:val="16"/>
        </w:rPr>
        <w:t>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hyperlink r:id="rId1" w:anchor="13" w:history="1">
        <w:r w:rsidRPr="00F833C9">
          <w:rPr>
            <w:rStyle w:val="Hipervnculo"/>
            <w:rFonts w:ascii="Verdana" w:hAnsi="Verdana" w:cs="Arial"/>
            <w:color w:val="000000" w:themeColor="text1"/>
            <w:sz w:val="16"/>
            <w:szCs w:val="16"/>
          </w:rPr>
          <w:t>13</w:t>
        </w:r>
      </w:hyperlink>
      <w:r w:rsidRPr="00F833C9">
        <w:rPr>
          <w:rFonts w:ascii="Verdana" w:hAnsi="Verdana" w:cs="Arial"/>
          <w:color w:val="000000" w:themeColor="text1"/>
          <w:sz w:val="16"/>
          <w:szCs w:val="16"/>
        </w:rPr>
        <w:t> de la Ley 1150 de 2007, y podrán contemplar cláusulas excepcionales de conformidad con lo dispuesto en los artículos </w:t>
      </w:r>
      <w:hyperlink r:id="rId2" w:anchor="14" w:history="1">
        <w:r w:rsidRPr="00F833C9">
          <w:rPr>
            <w:rStyle w:val="Hipervnculo"/>
            <w:rFonts w:ascii="Verdana" w:hAnsi="Verdana" w:cs="Arial"/>
            <w:color w:val="000000" w:themeColor="text1"/>
            <w:sz w:val="16"/>
            <w:szCs w:val="16"/>
          </w:rPr>
          <w:t>14</w:t>
        </w:r>
      </w:hyperlink>
      <w:r w:rsidRPr="00F833C9">
        <w:rPr>
          <w:rFonts w:ascii="Verdana" w:hAnsi="Verdana" w:cs="Arial"/>
          <w:color w:val="000000" w:themeColor="text1"/>
          <w:sz w:val="16"/>
          <w:szCs w:val="16"/>
        </w:rPr>
        <w:t> a </w:t>
      </w:r>
      <w:hyperlink r:id="rId3" w:anchor="18" w:history="1">
        <w:r w:rsidRPr="00F833C9">
          <w:rPr>
            <w:rStyle w:val="Hipervnculo"/>
            <w:rFonts w:ascii="Verdana" w:hAnsi="Verdana" w:cs="Arial"/>
            <w:color w:val="000000" w:themeColor="text1"/>
            <w:sz w:val="16"/>
            <w:szCs w:val="16"/>
          </w:rPr>
          <w:t>18</w:t>
        </w:r>
      </w:hyperlink>
      <w:r w:rsidRPr="00F833C9">
        <w:rPr>
          <w:rFonts w:ascii="Verdana" w:hAnsi="Verdana" w:cs="Arial"/>
          <w:color w:val="000000" w:themeColor="text1"/>
          <w:sz w:val="16"/>
          <w:szCs w:val="16"/>
        </w:rPr>
        <w:t> de la Ley 80 de 1993.</w:t>
      </w:r>
      <w:r w:rsidR="00DE3B6D">
        <w:rPr>
          <w:rStyle w:val="baj"/>
          <w:rFonts w:ascii="Verdana" w:hAnsi="Verdana" w:cs="Arial"/>
          <w:color w:val="000000" w:themeColor="text1"/>
          <w:sz w:val="16"/>
          <w:szCs w:val="16"/>
        </w:rPr>
        <w:t>”</w:t>
      </w:r>
      <w:r w:rsidRPr="00F833C9">
        <w:rPr>
          <w:rStyle w:val="baj"/>
          <w:rFonts w:ascii="Verdana" w:hAnsi="Verdana" w:cs="Arial"/>
          <w:color w:val="000000" w:themeColor="text1"/>
          <w:sz w:val="16"/>
          <w:szCs w:val="16"/>
        </w:rPr>
        <w:t xml:space="preserve"> PARÁGRAFO.</w:t>
      </w:r>
      <w:r w:rsidRPr="00F833C9">
        <w:rPr>
          <w:rFonts w:ascii="Verdana" w:hAnsi="Verdana" w:cs="Arial"/>
          <w:color w:val="000000" w:themeColor="text1"/>
          <w:sz w:val="16"/>
          <w:szCs w:val="16"/>
        </w:rPr>
        <w:t> Los contratos celebrados por las entidades territoriales en virtud del artículo anterior se someterán al control fiscal dispuesto para los celebrados en el marco de la declaratoria de urgencia manifiesta contemplada en los artículos </w:t>
      </w:r>
      <w:hyperlink r:id="rId4" w:anchor="42" w:history="1">
        <w:r w:rsidRPr="00F833C9">
          <w:rPr>
            <w:rStyle w:val="Hipervnculo"/>
            <w:rFonts w:ascii="Verdana" w:hAnsi="Verdana" w:cs="Arial"/>
            <w:color w:val="000000" w:themeColor="text1"/>
            <w:sz w:val="16"/>
            <w:szCs w:val="16"/>
          </w:rPr>
          <w:t>42</w:t>
        </w:r>
      </w:hyperlink>
      <w:r w:rsidRPr="00F833C9">
        <w:rPr>
          <w:rFonts w:ascii="Verdana" w:hAnsi="Verdana" w:cs="Arial"/>
          <w:color w:val="000000" w:themeColor="text1"/>
          <w:sz w:val="16"/>
          <w:szCs w:val="16"/>
        </w:rPr>
        <w:t> y </w:t>
      </w:r>
      <w:hyperlink r:id="rId5" w:anchor="43" w:history="1">
        <w:r w:rsidRPr="00F833C9">
          <w:rPr>
            <w:rStyle w:val="Hipervnculo"/>
            <w:rFonts w:ascii="Verdana" w:hAnsi="Verdana" w:cs="Arial"/>
            <w:color w:val="000000" w:themeColor="text1"/>
            <w:sz w:val="16"/>
            <w:szCs w:val="16"/>
          </w:rPr>
          <w:t>43</w:t>
        </w:r>
      </w:hyperlink>
      <w:r w:rsidRPr="00F833C9">
        <w:rPr>
          <w:rFonts w:ascii="Verdana" w:hAnsi="Verdana" w:cs="Arial"/>
          <w:color w:val="000000" w:themeColor="text1"/>
          <w:sz w:val="16"/>
          <w:szCs w:val="16"/>
        </w:rPr>
        <w:t> de la Ley 80 de 1993 y demás normas que la modifiquen</w:t>
      </w:r>
      <w:r w:rsidR="00DE3B6D">
        <w:rPr>
          <w:rFonts w:ascii="Verdana" w:hAnsi="Verdana" w:cs="Arial"/>
          <w:color w:val="000000" w:themeColor="text1"/>
          <w:sz w:val="16"/>
          <w:szCs w:val="16"/>
        </w:rPr>
        <w:t>”</w:t>
      </w:r>
      <w:r w:rsidRPr="00F833C9">
        <w:rPr>
          <w:rFonts w:ascii="Verdana" w:hAnsi="Verdana" w:cs="Arial"/>
          <w:color w:val="000000" w:themeColor="text1"/>
          <w:sz w:val="16"/>
          <w:szCs w:val="16"/>
        </w:rPr>
        <w:t>.</w:t>
      </w:r>
    </w:p>
  </w:footnote>
  <w:footnote w:id="5">
    <w:p w14:paraId="5694B375" w14:textId="77777777" w:rsidR="00220F9E" w:rsidRPr="00F833C9" w:rsidRDefault="00220F9E" w:rsidP="00220F9E">
      <w:pPr>
        <w:pStyle w:val="Textonotapie"/>
        <w:ind w:firstLine="708"/>
        <w:rPr>
          <w:rFonts w:ascii="Verdana" w:hAnsi="Verdana"/>
          <w:sz w:val="16"/>
          <w:szCs w:val="16"/>
          <w:lang w:val="es-CO"/>
        </w:rPr>
      </w:pPr>
      <w:r w:rsidRPr="00F833C9">
        <w:rPr>
          <w:rStyle w:val="Refdenotaalpie"/>
          <w:rFonts w:ascii="Verdana" w:hAnsi="Verdana"/>
          <w:sz w:val="16"/>
          <w:szCs w:val="16"/>
        </w:rPr>
        <w:footnoteRef/>
      </w:r>
      <w:r w:rsidRPr="00F833C9">
        <w:rPr>
          <w:rFonts w:ascii="Verdana" w:hAnsi="Verdana"/>
          <w:sz w:val="16"/>
          <w:szCs w:val="16"/>
        </w:rPr>
        <w:t xml:space="preserve"> </w:t>
      </w:r>
      <w:r w:rsidRPr="00F833C9">
        <w:rPr>
          <w:rFonts w:ascii="Verdana" w:hAnsi="Verdana"/>
          <w:sz w:val="16"/>
          <w:szCs w:val="16"/>
          <w:lang w:val="es-CO"/>
        </w:rPr>
        <w:t>Corte Constitucional, Sentencia C-665 del 8 de junio de 2000. Expediente D-2705. Dr. José Gregorio Hernández Galindo</w:t>
      </w:r>
    </w:p>
  </w:footnote>
  <w:footnote w:id="6">
    <w:p w14:paraId="21B570C3" w14:textId="77777777" w:rsidR="00220F9E" w:rsidRPr="00F833C9" w:rsidRDefault="00220F9E" w:rsidP="00220F9E">
      <w:pPr>
        <w:pStyle w:val="Textonotapie"/>
        <w:ind w:firstLine="708"/>
        <w:jc w:val="both"/>
        <w:rPr>
          <w:rFonts w:ascii="Verdana" w:hAnsi="Verdana" w:cs="Arial"/>
          <w:color w:val="000000" w:themeColor="text1"/>
          <w:sz w:val="16"/>
          <w:szCs w:val="16"/>
          <w:lang w:val="es-CO"/>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Consejo de Estado. Sala de Consulta y Servicio Civil. Concepto del 27 de agosto de 1998, radicación No. 1.127, M.P. Javier Henao Hidrón; y </w:t>
      </w:r>
      <w:r w:rsidRPr="00F833C9">
        <w:rPr>
          <w:rFonts w:ascii="Verdana" w:hAnsi="Verdana" w:cs="Arial"/>
          <w:color w:val="000000" w:themeColor="text1"/>
          <w:sz w:val="16"/>
          <w:szCs w:val="16"/>
          <w:lang w:val="es-CO"/>
        </w:rPr>
        <w:t>concepto del 6 de abril de 2000. Radicación No. 1.263, M.P. Flavio Augusto Rodriguez Arce</w:t>
      </w:r>
    </w:p>
    <w:p w14:paraId="48B3B9D6" w14:textId="77777777" w:rsidR="00220F9E" w:rsidRPr="00F833C9" w:rsidRDefault="00220F9E" w:rsidP="00220F9E">
      <w:pPr>
        <w:pStyle w:val="Textonotapie"/>
        <w:jc w:val="both"/>
        <w:rPr>
          <w:rFonts w:ascii="Verdana" w:hAnsi="Verdana" w:cs="Arial"/>
          <w:color w:val="000000" w:themeColor="text1"/>
          <w:sz w:val="16"/>
          <w:szCs w:val="16"/>
        </w:rPr>
      </w:pPr>
    </w:p>
  </w:footnote>
  <w:footnote w:id="7">
    <w:p w14:paraId="31ED2E25" w14:textId="77777777" w:rsidR="00220F9E" w:rsidRPr="00F833C9" w:rsidRDefault="00220F9E" w:rsidP="00220F9E">
      <w:pPr>
        <w:pStyle w:val="Textonotapie"/>
        <w:ind w:firstLine="709"/>
        <w:jc w:val="both"/>
        <w:rPr>
          <w:rFonts w:ascii="Verdana" w:hAnsi="Verdana" w:cs="Arial"/>
          <w:color w:val="000000" w:themeColor="text1"/>
          <w:sz w:val="16"/>
          <w:szCs w:val="16"/>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Ministerio de Salud y la Protección Social. Concepto del 16 de agosto de 2019. Expediente No. 201942301304712. </w:t>
      </w:r>
    </w:p>
    <w:p w14:paraId="73100E64" w14:textId="77777777" w:rsidR="00220F9E" w:rsidRPr="00F833C9" w:rsidRDefault="00220F9E" w:rsidP="00220F9E">
      <w:pPr>
        <w:pStyle w:val="Textonotapie"/>
        <w:ind w:firstLine="709"/>
        <w:jc w:val="both"/>
        <w:rPr>
          <w:rFonts w:ascii="Verdana" w:hAnsi="Verdana" w:cs="Arial"/>
          <w:color w:val="000000" w:themeColor="text1"/>
          <w:sz w:val="16"/>
          <w:szCs w:val="16"/>
        </w:rPr>
      </w:pPr>
    </w:p>
  </w:footnote>
  <w:footnote w:id="8">
    <w:p w14:paraId="4A050112" w14:textId="77777777" w:rsidR="00220F9E" w:rsidRPr="00F833C9" w:rsidRDefault="00220F9E" w:rsidP="00220F9E">
      <w:pPr>
        <w:pStyle w:val="Textonotapie"/>
        <w:ind w:firstLine="708"/>
        <w:jc w:val="both"/>
        <w:rPr>
          <w:rFonts w:ascii="Verdana" w:hAnsi="Verdana" w:cs="Arial"/>
          <w:color w:val="000000" w:themeColor="text1"/>
          <w:sz w:val="16"/>
          <w:szCs w:val="16"/>
          <w:lang w:val="es-ES"/>
        </w:rPr>
      </w:pPr>
      <w:r w:rsidRPr="00F833C9">
        <w:rPr>
          <w:rStyle w:val="Refdenotaalpie"/>
          <w:rFonts w:ascii="Verdana" w:hAnsi="Verdana" w:cs="Arial"/>
          <w:color w:val="000000" w:themeColor="text1"/>
          <w:sz w:val="16"/>
          <w:szCs w:val="16"/>
        </w:rPr>
        <w:footnoteRef/>
      </w:r>
      <w:r w:rsidRPr="00F833C9">
        <w:rPr>
          <w:rFonts w:ascii="Verdana" w:hAnsi="Verdana" w:cs="Arial"/>
          <w:color w:val="000000" w:themeColor="text1"/>
          <w:sz w:val="16"/>
          <w:szCs w:val="16"/>
        </w:rPr>
        <w:t xml:space="preserve"> </w:t>
      </w:r>
      <w:r w:rsidRPr="00F833C9">
        <w:rPr>
          <w:rFonts w:ascii="Verdana" w:hAnsi="Verdana" w:cs="Arial"/>
          <w:color w:val="000000" w:themeColor="text1"/>
          <w:sz w:val="16"/>
          <w:szCs w:val="16"/>
          <w:lang w:val="es-ES"/>
        </w:rPr>
        <w:t>Consejo de Estado. Sección Tercera. Subsección “C”. Providencia del 8 de abril de 2014. Expediente No. 25801. M.P. Enrique Gil Botero.</w:t>
      </w:r>
    </w:p>
    <w:p w14:paraId="3D06FB5D" w14:textId="77777777" w:rsidR="00220F9E" w:rsidRPr="00F833C9" w:rsidRDefault="00220F9E" w:rsidP="00220F9E">
      <w:pPr>
        <w:pStyle w:val="Textonotapie"/>
        <w:ind w:firstLine="708"/>
        <w:jc w:val="both"/>
        <w:rPr>
          <w:rFonts w:ascii="Verdana" w:hAnsi="Verdana" w:cs="Arial"/>
          <w:color w:val="000000" w:themeColor="text1"/>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9089576">
    <w:abstractNumId w:val="10"/>
  </w:num>
  <w:num w:numId="18" w16cid:durableId="1548419692">
    <w:abstractNumId w:val="17"/>
  </w:num>
  <w:num w:numId="19" w16cid:durableId="1443304022">
    <w:abstractNumId w:val="4"/>
  </w:num>
  <w:num w:numId="20" w16cid:durableId="5010510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04E"/>
    <w:rsid w:val="00016F78"/>
    <w:rsid w:val="0001764D"/>
    <w:rsid w:val="00030B92"/>
    <w:rsid w:val="00034E0F"/>
    <w:rsid w:val="00046945"/>
    <w:rsid w:val="00061B2A"/>
    <w:rsid w:val="00082362"/>
    <w:rsid w:val="000A683E"/>
    <w:rsid w:val="000B19B9"/>
    <w:rsid w:val="000D0334"/>
    <w:rsid w:val="000D5DA7"/>
    <w:rsid w:val="000E4057"/>
    <w:rsid w:val="000E47BB"/>
    <w:rsid w:val="000F6486"/>
    <w:rsid w:val="00116940"/>
    <w:rsid w:val="00125105"/>
    <w:rsid w:val="00127233"/>
    <w:rsid w:val="00150111"/>
    <w:rsid w:val="0015699B"/>
    <w:rsid w:val="001700FA"/>
    <w:rsid w:val="00182D09"/>
    <w:rsid w:val="001A33BF"/>
    <w:rsid w:val="001A7824"/>
    <w:rsid w:val="001D63CD"/>
    <w:rsid w:val="001E1262"/>
    <w:rsid w:val="001E2D19"/>
    <w:rsid w:val="001E4177"/>
    <w:rsid w:val="001F0B24"/>
    <w:rsid w:val="001F680F"/>
    <w:rsid w:val="001F7DC6"/>
    <w:rsid w:val="00201B86"/>
    <w:rsid w:val="00204ACE"/>
    <w:rsid w:val="0021137F"/>
    <w:rsid w:val="0022017D"/>
    <w:rsid w:val="00220F9E"/>
    <w:rsid w:val="0022214E"/>
    <w:rsid w:val="0022400B"/>
    <w:rsid w:val="002421BB"/>
    <w:rsid w:val="00244269"/>
    <w:rsid w:val="0025796E"/>
    <w:rsid w:val="00270196"/>
    <w:rsid w:val="002707A2"/>
    <w:rsid w:val="00272010"/>
    <w:rsid w:val="002725F0"/>
    <w:rsid w:val="002951A0"/>
    <w:rsid w:val="002962BC"/>
    <w:rsid w:val="002A093D"/>
    <w:rsid w:val="002A0DD0"/>
    <w:rsid w:val="002A49AC"/>
    <w:rsid w:val="002A64FD"/>
    <w:rsid w:val="002C03A2"/>
    <w:rsid w:val="002C23F8"/>
    <w:rsid w:val="002C7A84"/>
    <w:rsid w:val="002D29B9"/>
    <w:rsid w:val="002D2A34"/>
    <w:rsid w:val="002E2BF8"/>
    <w:rsid w:val="002E4FD9"/>
    <w:rsid w:val="002F29AE"/>
    <w:rsid w:val="0030657A"/>
    <w:rsid w:val="00322A85"/>
    <w:rsid w:val="00324168"/>
    <w:rsid w:val="00330834"/>
    <w:rsid w:val="003448F4"/>
    <w:rsid w:val="00360B08"/>
    <w:rsid w:val="00363964"/>
    <w:rsid w:val="00363D30"/>
    <w:rsid w:val="0036564C"/>
    <w:rsid w:val="00365927"/>
    <w:rsid w:val="00374F5E"/>
    <w:rsid w:val="00377E3E"/>
    <w:rsid w:val="00386570"/>
    <w:rsid w:val="003878B5"/>
    <w:rsid w:val="003A779E"/>
    <w:rsid w:val="003B4708"/>
    <w:rsid w:val="003C29B5"/>
    <w:rsid w:val="003C5CB1"/>
    <w:rsid w:val="003D0F4D"/>
    <w:rsid w:val="003D5B0D"/>
    <w:rsid w:val="003D7AEC"/>
    <w:rsid w:val="003E0499"/>
    <w:rsid w:val="003E4F80"/>
    <w:rsid w:val="003E6439"/>
    <w:rsid w:val="003F3941"/>
    <w:rsid w:val="003F5D15"/>
    <w:rsid w:val="00406575"/>
    <w:rsid w:val="00412CDF"/>
    <w:rsid w:val="00414C74"/>
    <w:rsid w:val="0042123F"/>
    <w:rsid w:val="0042722E"/>
    <w:rsid w:val="0043201C"/>
    <w:rsid w:val="0044528D"/>
    <w:rsid w:val="00461FF9"/>
    <w:rsid w:val="00466E39"/>
    <w:rsid w:val="0046741E"/>
    <w:rsid w:val="004929E6"/>
    <w:rsid w:val="004A1847"/>
    <w:rsid w:val="004A305D"/>
    <w:rsid w:val="004B198A"/>
    <w:rsid w:val="004C298A"/>
    <w:rsid w:val="004E710E"/>
    <w:rsid w:val="004F11C6"/>
    <w:rsid w:val="004F21C4"/>
    <w:rsid w:val="004F685F"/>
    <w:rsid w:val="00505100"/>
    <w:rsid w:val="005259A8"/>
    <w:rsid w:val="00535DE4"/>
    <w:rsid w:val="005510D6"/>
    <w:rsid w:val="005566E8"/>
    <w:rsid w:val="00564C5A"/>
    <w:rsid w:val="00574867"/>
    <w:rsid w:val="005810C8"/>
    <w:rsid w:val="00586DAE"/>
    <w:rsid w:val="00591460"/>
    <w:rsid w:val="005A2648"/>
    <w:rsid w:val="005A368E"/>
    <w:rsid w:val="005A65E0"/>
    <w:rsid w:val="005C3777"/>
    <w:rsid w:val="005C5CDC"/>
    <w:rsid w:val="005D476C"/>
    <w:rsid w:val="0061253C"/>
    <w:rsid w:val="006200BF"/>
    <w:rsid w:val="006219F8"/>
    <w:rsid w:val="006302F7"/>
    <w:rsid w:val="00646B9F"/>
    <w:rsid w:val="0064714F"/>
    <w:rsid w:val="0064758F"/>
    <w:rsid w:val="00661EC4"/>
    <w:rsid w:val="00665D70"/>
    <w:rsid w:val="006775FB"/>
    <w:rsid w:val="00681ADB"/>
    <w:rsid w:val="006822B2"/>
    <w:rsid w:val="006900D9"/>
    <w:rsid w:val="00692700"/>
    <w:rsid w:val="00694EA9"/>
    <w:rsid w:val="00697766"/>
    <w:rsid w:val="006B01D9"/>
    <w:rsid w:val="006B05E9"/>
    <w:rsid w:val="006B74A6"/>
    <w:rsid w:val="006D065E"/>
    <w:rsid w:val="006E7240"/>
    <w:rsid w:val="006F0DEF"/>
    <w:rsid w:val="006F1490"/>
    <w:rsid w:val="00702EF4"/>
    <w:rsid w:val="00706C16"/>
    <w:rsid w:val="00710A6D"/>
    <w:rsid w:val="00711525"/>
    <w:rsid w:val="00722246"/>
    <w:rsid w:val="00724EE9"/>
    <w:rsid w:val="007340C3"/>
    <w:rsid w:val="0075235A"/>
    <w:rsid w:val="00755A24"/>
    <w:rsid w:val="00756841"/>
    <w:rsid w:val="00762EC7"/>
    <w:rsid w:val="00763D3E"/>
    <w:rsid w:val="007649AB"/>
    <w:rsid w:val="007668E9"/>
    <w:rsid w:val="00771D0C"/>
    <w:rsid w:val="0077468F"/>
    <w:rsid w:val="007833AC"/>
    <w:rsid w:val="007A5C1E"/>
    <w:rsid w:val="007B268C"/>
    <w:rsid w:val="007B6029"/>
    <w:rsid w:val="007B7171"/>
    <w:rsid w:val="007C0C0F"/>
    <w:rsid w:val="007C3DC2"/>
    <w:rsid w:val="007E5497"/>
    <w:rsid w:val="00806F5F"/>
    <w:rsid w:val="00816325"/>
    <w:rsid w:val="00820278"/>
    <w:rsid w:val="008258C9"/>
    <w:rsid w:val="008302D2"/>
    <w:rsid w:val="00832053"/>
    <w:rsid w:val="00844AE9"/>
    <w:rsid w:val="00867F95"/>
    <w:rsid w:val="00883639"/>
    <w:rsid w:val="008843B6"/>
    <w:rsid w:val="00891928"/>
    <w:rsid w:val="0089192B"/>
    <w:rsid w:val="00895125"/>
    <w:rsid w:val="008A446D"/>
    <w:rsid w:val="008B25F1"/>
    <w:rsid w:val="008B4354"/>
    <w:rsid w:val="008C5850"/>
    <w:rsid w:val="008D180B"/>
    <w:rsid w:val="008D53C2"/>
    <w:rsid w:val="008F0EA7"/>
    <w:rsid w:val="008F1870"/>
    <w:rsid w:val="008F5FB8"/>
    <w:rsid w:val="00923EEF"/>
    <w:rsid w:val="00925EE0"/>
    <w:rsid w:val="009368BF"/>
    <w:rsid w:val="009419F9"/>
    <w:rsid w:val="0095685E"/>
    <w:rsid w:val="0095745A"/>
    <w:rsid w:val="00961B09"/>
    <w:rsid w:val="00965334"/>
    <w:rsid w:val="0097093E"/>
    <w:rsid w:val="0098051C"/>
    <w:rsid w:val="00981DC4"/>
    <w:rsid w:val="00986384"/>
    <w:rsid w:val="009A0DFA"/>
    <w:rsid w:val="009A1C6F"/>
    <w:rsid w:val="009B2D26"/>
    <w:rsid w:val="009C71FA"/>
    <w:rsid w:val="009C72E7"/>
    <w:rsid w:val="009C7F7E"/>
    <w:rsid w:val="009D3058"/>
    <w:rsid w:val="009E4DC8"/>
    <w:rsid w:val="009E539D"/>
    <w:rsid w:val="009E7A0F"/>
    <w:rsid w:val="009F2312"/>
    <w:rsid w:val="009F3A13"/>
    <w:rsid w:val="009F746E"/>
    <w:rsid w:val="00A00D85"/>
    <w:rsid w:val="00A122D3"/>
    <w:rsid w:val="00A14468"/>
    <w:rsid w:val="00A147C1"/>
    <w:rsid w:val="00A15EAF"/>
    <w:rsid w:val="00A17F13"/>
    <w:rsid w:val="00A20739"/>
    <w:rsid w:val="00A23718"/>
    <w:rsid w:val="00A23AF9"/>
    <w:rsid w:val="00A27B80"/>
    <w:rsid w:val="00A33C78"/>
    <w:rsid w:val="00A62495"/>
    <w:rsid w:val="00A715FD"/>
    <w:rsid w:val="00AA1A2E"/>
    <w:rsid w:val="00AB0ADB"/>
    <w:rsid w:val="00AB0D7F"/>
    <w:rsid w:val="00AC5DE9"/>
    <w:rsid w:val="00AF2F13"/>
    <w:rsid w:val="00B00C0E"/>
    <w:rsid w:val="00B01B1A"/>
    <w:rsid w:val="00B0381D"/>
    <w:rsid w:val="00B04839"/>
    <w:rsid w:val="00B06EDB"/>
    <w:rsid w:val="00B22B1F"/>
    <w:rsid w:val="00B37C2B"/>
    <w:rsid w:val="00B44A47"/>
    <w:rsid w:val="00B46005"/>
    <w:rsid w:val="00B50EB4"/>
    <w:rsid w:val="00B5473E"/>
    <w:rsid w:val="00B61A1B"/>
    <w:rsid w:val="00B72CD3"/>
    <w:rsid w:val="00B72FFF"/>
    <w:rsid w:val="00BC3D36"/>
    <w:rsid w:val="00BD54A6"/>
    <w:rsid w:val="00BD7F72"/>
    <w:rsid w:val="00BE4F6B"/>
    <w:rsid w:val="00BF285C"/>
    <w:rsid w:val="00BF7425"/>
    <w:rsid w:val="00C04FB3"/>
    <w:rsid w:val="00C11D8B"/>
    <w:rsid w:val="00C15139"/>
    <w:rsid w:val="00C25191"/>
    <w:rsid w:val="00C30AAF"/>
    <w:rsid w:val="00C330EB"/>
    <w:rsid w:val="00C47137"/>
    <w:rsid w:val="00C50D69"/>
    <w:rsid w:val="00C5365C"/>
    <w:rsid w:val="00C64141"/>
    <w:rsid w:val="00C67931"/>
    <w:rsid w:val="00C67E32"/>
    <w:rsid w:val="00C754BE"/>
    <w:rsid w:val="00C7596E"/>
    <w:rsid w:val="00C76B1C"/>
    <w:rsid w:val="00C83967"/>
    <w:rsid w:val="00C925AC"/>
    <w:rsid w:val="00CA6F4B"/>
    <w:rsid w:val="00CB5E7E"/>
    <w:rsid w:val="00CB6357"/>
    <w:rsid w:val="00CC1B26"/>
    <w:rsid w:val="00CD3029"/>
    <w:rsid w:val="00CD30F1"/>
    <w:rsid w:val="00CE0C1E"/>
    <w:rsid w:val="00CE0E4E"/>
    <w:rsid w:val="00CF76D1"/>
    <w:rsid w:val="00D0245F"/>
    <w:rsid w:val="00D165B5"/>
    <w:rsid w:val="00D361FD"/>
    <w:rsid w:val="00D423A2"/>
    <w:rsid w:val="00D44E26"/>
    <w:rsid w:val="00D45947"/>
    <w:rsid w:val="00D520D8"/>
    <w:rsid w:val="00D625B0"/>
    <w:rsid w:val="00D63AC2"/>
    <w:rsid w:val="00D7383B"/>
    <w:rsid w:val="00D7788A"/>
    <w:rsid w:val="00D86675"/>
    <w:rsid w:val="00D946E2"/>
    <w:rsid w:val="00D96E10"/>
    <w:rsid w:val="00DA01C9"/>
    <w:rsid w:val="00DA231B"/>
    <w:rsid w:val="00DA39C4"/>
    <w:rsid w:val="00DA7AB3"/>
    <w:rsid w:val="00DB4494"/>
    <w:rsid w:val="00DB7324"/>
    <w:rsid w:val="00DC39FC"/>
    <w:rsid w:val="00DC5A47"/>
    <w:rsid w:val="00DE3B6D"/>
    <w:rsid w:val="00DE4314"/>
    <w:rsid w:val="00DF5080"/>
    <w:rsid w:val="00DF5254"/>
    <w:rsid w:val="00E02524"/>
    <w:rsid w:val="00E102B7"/>
    <w:rsid w:val="00E16408"/>
    <w:rsid w:val="00E20894"/>
    <w:rsid w:val="00E245AB"/>
    <w:rsid w:val="00E2764C"/>
    <w:rsid w:val="00E27F2E"/>
    <w:rsid w:val="00E45AE9"/>
    <w:rsid w:val="00E50AFE"/>
    <w:rsid w:val="00E75C92"/>
    <w:rsid w:val="00E771DC"/>
    <w:rsid w:val="00E84F51"/>
    <w:rsid w:val="00E8772A"/>
    <w:rsid w:val="00E90F6B"/>
    <w:rsid w:val="00E92C27"/>
    <w:rsid w:val="00EA0E3D"/>
    <w:rsid w:val="00EB0917"/>
    <w:rsid w:val="00EC38A7"/>
    <w:rsid w:val="00ED1407"/>
    <w:rsid w:val="00ED1A98"/>
    <w:rsid w:val="00EE1AA8"/>
    <w:rsid w:val="00EE28A2"/>
    <w:rsid w:val="00EE469F"/>
    <w:rsid w:val="00F011B2"/>
    <w:rsid w:val="00F149B6"/>
    <w:rsid w:val="00F173FA"/>
    <w:rsid w:val="00F23FEA"/>
    <w:rsid w:val="00F31EDC"/>
    <w:rsid w:val="00F462B3"/>
    <w:rsid w:val="00F50690"/>
    <w:rsid w:val="00F5664F"/>
    <w:rsid w:val="00F60977"/>
    <w:rsid w:val="00F64F06"/>
    <w:rsid w:val="00F666C4"/>
    <w:rsid w:val="00F707D2"/>
    <w:rsid w:val="00F76AFC"/>
    <w:rsid w:val="00FA47C0"/>
    <w:rsid w:val="00FB22FD"/>
    <w:rsid w:val="00FB3F10"/>
    <w:rsid w:val="00FB5DD1"/>
    <w:rsid w:val="00FC01C6"/>
    <w:rsid w:val="00FC2B5D"/>
    <w:rsid w:val="00FD57B4"/>
    <w:rsid w:val="00FE0A5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468F"/>
    <w:rPr>
      <w:rFonts w:ascii="Geomanist Light" w:hAnsi="Geomanist Light"/>
      <w:lang w:val="es-ES"/>
    </w:rPr>
  </w:style>
  <w:style w:type="paragraph" w:customStyle="1" w:styleId="Appelnotedebasde">
    <w:name w:val="Appel note de bas de..."/>
    <w:basedOn w:val="Normal"/>
    <w:link w:val="Refdenotaalpie"/>
    <w:uiPriority w:val="99"/>
    <w:rsid w:val="0077468F"/>
    <w:pPr>
      <w:spacing w:line="240" w:lineRule="exact"/>
    </w:pPr>
    <w:rPr>
      <w:vertAlign w:val="superscript"/>
    </w:rPr>
  </w:style>
  <w:style w:type="paragraph" w:styleId="Textoindependiente">
    <w:name w:val="Body Text"/>
    <w:basedOn w:val="Normal"/>
    <w:link w:val="TextoindependienteCar"/>
    <w:uiPriority w:val="99"/>
    <w:unhideWhenUsed/>
    <w:rsid w:val="0077468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7468F"/>
    <w:rPr>
      <w:rFonts w:eastAsiaTheme="minorEastAsia"/>
      <w:lang w:eastAsia="es-CO"/>
    </w:rPr>
  </w:style>
  <w:style w:type="table" w:customStyle="1" w:styleId="Tablaconcuadrcula1">
    <w:name w:val="Tabla con cuadrícula1"/>
    <w:basedOn w:val="Tablanormal"/>
    <w:next w:val="Tablaconcuadrcula"/>
    <w:uiPriority w:val="39"/>
    <w:qFormat/>
    <w:rsid w:val="0077468F"/>
    <w:pPr>
      <w:spacing w:after="0" w:line="240" w:lineRule="auto"/>
    </w:pPr>
    <w:tblPr/>
  </w:style>
  <w:style w:type="character" w:customStyle="1" w:styleId="NormalWebCar">
    <w:name w:val="Normal (Web) Car"/>
    <w:link w:val="NormalWeb"/>
    <w:uiPriority w:val="99"/>
    <w:rsid w:val="0077468F"/>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95125"/>
    <w:rPr>
      <w:sz w:val="16"/>
      <w:szCs w:val="16"/>
    </w:rPr>
  </w:style>
  <w:style w:type="paragraph" w:styleId="Textocomentario">
    <w:name w:val="annotation text"/>
    <w:basedOn w:val="Normal"/>
    <w:link w:val="TextocomentarioCar"/>
    <w:uiPriority w:val="99"/>
    <w:unhideWhenUsed/>
    <w:rsid w:val="00895125"/>
    <w:pPr>
      <w:spacing w:line="240" w:lineRule="auto"/>
    </w:pPr>
    <w:rPr>
      <w:sz w:val="20"/>
      <w:szCs w:val="20"/>
    </w:rPr>
  </w:style>
  <w:style w:type="character" w:customStyle="1" w:styleId="TextocomentarioCar">
    <w:name w:val="Texto comentario Car"/>
    <w:basedOn w:val="Fuentedeprrafopredeter"/>
    <w:link w:val="Textocomentario"/>
    <w:uiPriority w:val="99"/>
    <w:rsid w:val="00895125"/>
    <w:rPr>
      <w:sz w:val="20"/>
      <w:szCs w:val="20"/>
    </w:rPr>
  </w:style>
  <w:style w:type="paragraph" w:styleId="Asuntodelcomentario">
    <w:name w:val="annotation subject"/>
    <w:basedOn w:val="Textocomentario"/>
    <w:next w:val="Textocomentario"/>
    <w:link w:val="AsuntodelcomentarioCar"/>
    <w:uiPriority w:val="99"/>
    <w:semiHidden/>
    <w:unhideWhenUsed/>
    <w:rsid w:val="00895125"/>
    <w:rPr>
      <w:b/>
      <w:bCs/>
    </w:rPr>
  </w:style>
  <w:style w:type="character" w:customStyle="1" w:styleId="AsuntodelcomentarioCar">
    <w:name w:val="Asunto del comentario Car"/>
    <w:basedOn w:val="TextocomentarioCar"/>
    <w:link w:val="Asuntodelcomentario"/>
    <w:uiPriority w:val="99"/>
    <w:semiHidden/>
    <w:rsid w:val="00895125"/>
    <w:rPr>
      <w:b/>
      <w:bCs/>
      <w:sz w:val="20"/>
      <w:szCs w:val="20"/>
    </w:rPr>
  </w:style>
  <w:style w:type="paragraph" w:customStyle="1" w:styleId="pf0">
    <w:name w:val="pf0"/>
    <w:basedOn w:val="Normal"/>
    <w:rsid w:val="0089512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220F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colombiacompra.gov.co/archivos/manual/manual-para-determinar-y-verificar-los-requisitos-habilitantes-en-los-procesos-de-contratacio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rezchaconabogado@outlook.co" TargetMode="External"/><Relationship Id="rId5" Type="http://schemas.openxmlformats.org/officeDocument/2006/relationships/styles" Target="styles.xml"/><Relationship Id="rId15" Type="http://schemas.openxmlformats.org/officeDocument/2006/relationships/hyperlink" Target="https://www.colombiacompra.gov.co/archivos/manual/guia-para-determinar-y-verificar-la-capacidad-residual-del-proponente-en-los-procesos-de-contratacion-de-obra-publica"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about:blank"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EDAA2616-333A-4676-B377-4D90A1EC75D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127</TotalTime>
  <Pages>21</Pages>
  <Words>6600</Words>
  <Characters>36302</Characters>
  <Application>Microsoft Office Word</Application>
  <DocSecurity>0</DocSecurity>
  <Lines>302</Lines>
  <Paragraphs>85</Paragraphs>
  <ScaleCrop>false</ScaleCrop>
  <Company/>
  <LinksUpToDate>false</LinksUpToDate>
  <CharactersWithSpaces>42817</CharactersWithSpaces>
  <SharedDoc>false</SharedDoc>
  <HLinks>
    <vt:vector size="36"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65617</vt:i4>
      </vt:variant>
      <vt:variant>
        <vt:i4>6</vt:i4>
      </vt:variant>
      <vt:variant>
        <vt:i4>0</vt:i4>
      </vt:variant>
      <vt:variant>
        <vt:i4>5</vt:i4>
      </vt:variant>
      <vt:variant>
        <vt:lpwstr>https://www.colombiacompra.gov.co/archivos/manual/manual-para-determinar-y-verificar-los-requisitos-habilitantes-en-los-procesos-de-contratacion</vt:lpwstr>
      </vt:variant>
      <vt:variant>
        <vt:lpwstr/>
      </vt:variant>
      <vt:variant>
        <vt:i4>6684780</vt:i4>
      </vt:variant>
      <vt:variant>
        <vt:i4>3</vt:i4>
      </vt:variant>
      <vt:variant>
        <vt:i4>0</vt:i4>
      </vt:variant>
      <vt:variant>
        <vt:i4>5</vt:i4>
      </vt:variant>
      <vt:variant>
        <vt:lpwstr>https://www.colombiacompra.gov.co/archivos/manual/guia-para-determinar-y-verificar-la-capacidad-residual-del-proponente-en-los-procesos-de-contratacion-de-obra-publica</vt:lpwstr>
      </vt:variant>
      <vt:variant>
        <vt:lpwstr/>
      </vt:variant>
      <vt:variant>
        <vt:i4>1245235</vt:i4>
      </vt:variant>
      <vt:variant>
        <vt:i4>0</vt:i4>
      </vt:variant>
      <vt:variant>
        <vt:i4>0</vt:i4>
      </vt:variant>
      <vt:variant>
        <vt:i4>5</vt:i4>
      </vt:variant>
      <vt:variant>
        <vt:lpwstr>mailto:ayalgarrav@gmail.com</vt:lpwstr>
      </vt:variant>
      <vt:variant>
        <vt:lpwstr/>
      </vt:variant>
      <vt:variant>
        <vt:i4>65617</vt:i4>
      </vt:variant>
      <vt:variant>
        <vt:i4>0</vt:i4>
      </vt:variant>
      <vt:variant>
        <vt:i4>0</vt:i4>
      </vt:variant>
      <vt:variant>
        <vt:i4>5</vt:i4>
      </vt:variant>
      <vt:variant>
        <vt:lpwstr>https://www.colombiacompra.gov.co/archivos/manual/manual-para-determinar-y-verificar-los-requisitos-habilitantes-en-los-procesos-de-contratacion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115</cp:revision>
  <cp:lastPrinted>2023-01-10T21:18:00Z</cp:lastPrinted>
  <dcterms:created xsi:type="dcterms:W3CDTF">2026-02-04T23:17:00Z</dcterms:created>
  <dcterms:modified xsi:type="dcterms:W3CDTF">2026-02-11T23:08:00Z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