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D6B4B4" w14:textId="77777777" w:rsidR="00D96CB9" w:rsidRPr="000036B2" w:rsidRDefault="00D96CB9" w:rsidP="00D96CB9">
      <w:pPr>
        <w:spacing w:after="0" w:line="240" w:lineRule="auto"/>
        <w:contextualSpacing/>
        <w:jc w:val="both"/>
        <w:rPr>
          <w:rFonts w:ascii="Verdana" w:eastAsia="Calibri" w:hAnsi="Verdana" w:cs="Arial"/>
          <w:b/>
          <w:lang w:val="es-MX" w:eastAsia="es-MX"/>
        </w:rPr>
      </w:pPr>
      <w:r w:rsidRPr="000036B2">
        <w:rPr>
          <w:rFonts w:ascii="Verdana" w:eastAsia="Calibri" w:hAnsi="Verdana" w:cs="Arial"/>
          <w:b/>
          <w:lang w:val="es-MX" w:eastAsia="es-MX"/>
        </w:rPr>
        <w:t xml:space="preserve">LEY DE GARANTÍAS ELECTORALES – Naturaleza </w:t>
      </w:r>
      <w:r>
        <w:rPr>
          <w:rFonts w:ascii="Verdana" w:eastAsia="Calibri" w:hAnsi="Verdana" w:cs="Arial"/>
          <w:b/>
          <w:lang w:val="es-MX" w:eastAsia="es-MX"/>
        </w:rPr>
        <w:t>j</w:t>
      </w:r>
      <w:r w:rsidRPr="000036B2">
        <w:rPr>
          <w:rFonts w:ascii="Verdana" w:eastAsia="Calibri" w:hAnsi="Verdana" w:cs="Arial"/>
          <w:b/>
          <w:lang w:val="es-MX" w:eastAsia="es-MX"/>
        </w:rPr>
        <w:t xml:space="preserve">urídica </w:t>
      </w:r>
    </w:p>
    <w:p w14:paraId="11DF519C" w14:textId="77777777" w:rsidR="00D96CB9" w:rsidRPr="000036B2" w:rsidRDefault="00D96CB9" w:rsidP="00D96CB9">
      <w:pPr>
        <w:spacing w:after="0" w:line="240" w:lineRule="auto"/>
        <w:contextualSpacing/>
        <w:jc w:val="both"/>
        <w:rPr>
          <w:rFonts w:ascii="Verdana" w:eastAsia="Calibri" w:hAnsi="Verdana" w:cs="Arial"/>
          <w:b/>
          <w:sz w:val="20"/>
          <w:szCs w:val="20"/>
          <w:lang w:val="es-MX" w:eastAsia="es-MX"/>
        </w:rPr>
      </w:pPr>
    </w:p>
    <w:p w14:paraId="3F4A7695" w14:textId="77777777" w:rsidR="00D96CB9" w:rsidRPr="000036B2" w:rsidRDefault="00D96CB9" w:rsidP="00D96CB9">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la citada ley introduce limitaciones para realizar nombramientos, postulaciones, contrataciones o cualquier otro tipo de actividad que implique destinación de recursos públicos bajo el devenir propio de las entidades estatales.</w:t>
      </w:r>
    </w:p>
    <w:p w14:paraId="26B412B7" w14:textId="77777777" w:rsidR="00D96CB9" w:rsidRPr="000036B2" w:rsidRDefault="00D96CB9" w:rsidP="00D96CB9">
      <w:pPr>
        <w:spacing w:after="0" w:line="240" w:lineRule="auto"/>
        <w:jc w:val="both"/>
        <w:rPr>
          <w:rFonts w:ascii="Verdana" w:hAnsi="Verdana"/>
        </w:rPr>
      </w:pPr>
    </w:p>
    <w:p w14:paraId="653EAF20" w14:textId="77777777" w:rsidR="00D96CB9" w:rsidRPr="000036B2" w:rsidRDefault="00D96CB9" w:rsidP="00D96CB9">
      <w:pPr>
        <w:spacing w:after="0" w:line="240" w:lineRule="auto"/>
        <w:contextualSpacing/>
        <w:jc w:val="both"/>
        <w:rPr>
          <w:rFonts w:ascii="Verdana" w:eastAsia="Calibri" w:hAnsi="Verdana" w:cs="Arial"/>
          <w:b/>
          <w:sz w:val="20"/>
          <w:szCs w:val="20"/>
          <w:lang w:val="es-MX" w:eastAsia="es-MX"/>
        </w:rPr>
      </w:pPr>
      <w:r w:rsidRPr="000036B2">
        <w:rPr>
          <w:rFonts w:ascii="Verdana" w:eastAsia="Calibri" w:hAnsi="Verdana" w:cs="Arial"/>
          <w:b/>
          <w:lang w:val="es-MX" w:eastAsia="es-MX"/>
        </w:rPr>
        <w:t>LEY DE GARANTÍAS ELECTORALES – Prohibiciones</w:t>
      </w:r>
      <w:r w:rsidRPr="000036B2">
        <w:rPr>
          <w:rFonts w:ascii="Verdana" w:eastAsia="Calibri" w:hAnsi="Verdana" w:cs="Arial"/>
          <w:b/>
          <w:sz w:val="20"/>
          <w:szCs w:val="20"/>
          <w:lang w:val="es-MX" w:eastAsia="es-MX"/>
        </w:rPr>
        <w:t xml:space="preserve"> </w:t>
      </w:r>
    </w:p>
    <w:p w14:paraId="30D144C1" w14:textId="77777777" w:rsidR="00D96CB9" w:rsidRPr="000036B2" w:rsidRDefault="00D96CB9" w:rsidP="00D96CB9">
      <w:pPr>
        <w:spacing w:after="0" w:line="240" w:lineRule="auto"/>
        <w:contextualSpacing/>
        <w:jc w:val="both"/>
        <w:rPr>
          <w:rFonts w:ascii="Verdana" w:eastAsia="Calibri" w:hAnsi="Verdana" w:cs="Arial"/>
          <w:b/>
          <w:sz w:val="20"/>
          <w:szCs w:val="20"/>
          <w:lang w:val="es-MX" w:eastAsia="es-MX"/>
        </w:rPr>
      </w:pPr>
    </w:p>
    <w:p w14:paraId="674769B1" w14:textId="77777777" w:rsidR="00D96CB9" w:rsidRPr="000036B2" w:rsidRDefault="00D96CB9" w:rsidP="00D96CB9">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De conformidad con lo anterior,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39AE9360" w14:textId="77777777" w:rsidR="00D96CB9" w:rsidRPr="000036B2" w:rsidRDefault="00D96CB9" w:rsidP="00D96CB9">
      <w:pPr>
        <w:spacing w:after="0" w:line="240" w:lineRule="auto"/>
        <w:contextualSpacing/>
        <w:jc w:val="both"/>
        <w:rPr>
          <w:rFonts w:ascii="Verdana" w:eastAsia="Times New Roman" w:hAnsi="Verdana" w:cs="Arial"/>
          <w:bCs/>
          <w:sz w:val="20"/>
          <w:szCs w:val="20"/>
          <w:lang w:val="es-MX" w:eastAsia="es-CO"/>
        </w:rPr>
      </w:pPr>
    </w:p>
    <w:p w14:paraId="7958AF2D" w14:textId="77777777" w:rsidR="00D96CB9" w:rsidRPr="000036B2" w:rsidRDefault="00D96CB9" w:rsidP="00D96CB9">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A45415D" w14:textId="77777777" w:rsidR="00D96CB9" w:rsidRPr="000036B2" w:rsidRDefault="00D96CB9" w:rsidP="00D96CB9">
      <w:pPr>
        <w:spacing w:after="0" w:line="240" w:lineRule="auto"/>
        <w:contextualSpacing/>
        <w:jc w:val="both"/>
        <w:rPr>
          <w:rFonts w:ascii="Verdana" w:eastAsia="Times New Roman" w:hAnsi="Verdana" w:cs="Arial"/>
          <w:bCs/>
          <w:sz w:val="20"/>
          <w:szCs w:val="20"/>
          <w:lang w:val="es-MX" w:eastAsia="es-CO"/>
        </w:rPr>
      </w:pPr>
    </w:p>
    <w:p w14:paraId="2DE97BE8" w14:textId="77777777" w:rsidR="00D96CB9" w:rsidRPr="000036B2" w:rsidRDefault="00D96CB9" w:rsidP="00D96CB9">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71433511" w14:textId="77777777" w:rsidR="00D96CB9" w:rsidRPr="000036B2" w:rsidRDefault="00D96CB9" w:rsidP="00D96CB9">
      <w:pPr>
        <w:tabs>
          <w:tab w:val="left" w:pos="1574"/>
        </w:tabs>
        <w:spacing w:after="0" w:line="240" w:lineRule="auto"/>
        <w:jc w:val="both"/>
        <w:rPr>
          <w:rFonts w:ascii="Verdana" w:eastAsia="Times New Roman" w:hAnsi="Verdana" w:cs="Arial"/>
          <w:bCs/>
          <w:sz w:val="20"/>
          <w:szCs w:val="20"/>
          <w:lang w:val="es-MX" w:eastAsia="es-CO"/>
        </w:rPr>
      </w:pPr>
    </w:p>
    <w:p w14:paraId="3A57B973" w14:textId="77777777" w:rsidR="00D96CB9" w:rsidRPr="000036B2" w:rsidRDefault="00D96CB9" w:rsidP="00D96CB9">
      <w:pPr>
        <w:shd w:val="clear" w:color="auto" w:fill="FFFFFF"/>
        <w:spacing w:after="0" w:line="240" w:lineRule="auto"/>
        <w:contextualSpacing/>
        <w:jc w:val="both"/>
        <w:rPr>
          <w:rFonts w:ascii="Verdana" w:eastAsia="Times New Roman" w:hAnsi="Verdana" w:cs="Arial"/>
          <w:b/>
          <w:bCs/>
          <w:lang w:eastAsia="es-CO"/>
        </w:rPr>
      </w:pPr>
      <w:r w:rsidRPr="000036B2">
        <w:rPr>
          <w:rFonts w:ascii="Verdana" w:eastAsia="Times New Roman" w:hAnsi="Verdana" w:cs="Arial"/>
          <w:b/>
          <w:bCs/>
          <w:lang w:eastAsia="es-CO"/>
        </w:rPr>
        <w:t xml:space="preserve">LEY DE GARANTÍAS ELECTORALES </w:t>
      </w:r>
      <w:r w:rsidRPr="000036B2">
        <w:rPr>
          <w:rFonts w:ascii="Verdana" w:eastAsia="Calibri" w:hAnsi="Verdana" w:cs="Arial"/>
          <w:b/>
          <w:bCs/>
          <w:lang w:val="es-MX"/>
        </w:rPr>
        <w:t xml:space="preserve">─ </w:t>
      </w:r>
      <w:r>
        <w:rPr>
          <w:rFonts w:ascii="Verdana" w:eastAsia="Calibri" w:hAnsi="Verdana" w:cs="Arial"/>
          <w:b/>
          <w:bCs/>
          <w:lang w:val="es-MX"/>
        </w:rPr>
        <w:t>A</w:t>
      </w:r>
      <w:r w:rsidRPr="000036B2">
        <w:rPr>
          <w:rFonts w:ascii="Verdana" w:eastAsia="Calibri" w:hAnsi="Verdana" w:cs="Arial"/>
          <w:b/>
          <w:bCs/>
          <w:lang w:val="es-MX"/>
        </w:rPr>
        <w:t xml:space="preserve">rtículo 33 ‒ </w:t>
      </w:r>
      <w:r w:rsidRPr="000036B2">
        <w:rPr>
          <w:rFonts w:ascii="Verdana" w:eastAsia="Times New Roman" w:hAnsi="Verdana" w:cs="Arial"/>
          <w:b/>
          <w:bCs/>
          <w:lang w:eastAsia="es-CO"/>
        </w:rPr>
        <w:t>Excepciones</w:t>
      </w:r>
    </w:p>
    <w:p w14:paraId="52723663" w14:textId="77777777" w:rsidR="00D96CB9" w:rsidRPr="000036B2" w:rsidRDefault="00D96CB9" w:rsidP="00D96CB9">
      <w:pPr>
        <w:shd w:val="clear" w:color="auto" w:fill="FFFFFF"/>
        <w:spacing w:after="0" w:line="240" w:lineRule="auto"/>
        <w:contextualSpacing/>
        <w:jc w:val="both"/>
        <w:rPr>
          <w:rFonts w:ascii="Verdana" w:eastAsia="Times New Roman" w:hAnsi="Verdana" w:cs="Arial"/>
          <w:b/>
          <w:lang w:eastAsia="es-CO"/>
        </w:rPr>
      </w:pPr>
    </w:p>
    <w:p w14:paraId="029D43FE" w14:textId="77777777" w:rsidR="00D96CB9" w:rsidRDefault="00D96CB9" w:rsidP="00D96CB9">
      <w:pPr>
        <w:tabs>
          <w:tab w:val="left" w:pos="426"/>
        </w:tabs>
        <w:spacing w:after="0" w:line="240" w:lineRule="auto"/>
        <w:contextualSpacing/>
        <w:jc w:val="both"/>
        <w:rPr>
          <w:rFonts w:ascii="Verdana" w:eastAsia="Times New Roman" w:hAnsi="Verdana" w:cs="Arial"/>
          <w:sz w:val="20"/>
          <w:szCs w:val="20"/>
          <w:lang w:eastAsia="x-none"/>
        </w:rPr>
      </w:pPr>
      <w:r w:rsidRPr="000036B2">
        <w:rPr>
          <w:rFonts w:ascii="Verdana" w:eastAsia="Times New Roman" w:hAnsi="Verdana" w:cs="Arial"/>
          <w:sz w:val="20"/>
          <w:szCs w:val="20"/>
          <w:lang w:eastAsia="x-none"/>
        </w:rPr>
        <w:lastRenderedPageBreak/>
        <w:t>[…] , 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66461A73" w14:textId="77777777" w:rsidR="00D96CB9" w:rsidRDefault="00D96CB9" w:rsidP="00D96CB9">
      <w:pPr>
        <w:tabs>
          <w:tab w:val="left" w:pos="426"/>
        </w:tabs>
        <w:spacing w:after="0" w:line="240" w:lineRule="auto"/>
        <w:contextualSpacing/>
        <w:jc w:val="both"/>
        <w:rPr>
          <w:rFonts w:ascii="Verdana" w:eastAsia="Times New Roman" w:hAnsi="Verdana" w:cs="Arial"/>
          <w:sz w:val="20"/>
          <w:szCs w:val="20"/>
          <w:lang w:eastAsia="x-none"/>
        </w:rPr>
      </w:pPr>
    </w:p>
    <w:p w14:paraId="2A7189F1" w14:textId="77777777" w:rsidR="00D96CB9" w:rsidRPr="000036B2" w:rsidRDefault="00D96CB9" w:rsidP="00D96CB9">
      <w:pPr>
        <w:spacing w:after="0" w:line="240" w:lineRule="auto"/>
        <w:contextualSpacing/>
        <w:jc w:val="both"/>
        <w:rPr>
          <w:rFonts w:ascii="Verdana" w:eastAsia="Calibri" w:hAnsi="Verdana" w:cs="Arial"/>
          <w:b/>
          <w:bCs/>
          <w:lang w:val="es-MX"/>
        </w:rPr>
      </w:pPr>
      <w:r w:rsidRPr="000036B2">
        <w:rPr>
          <w:rFonts w:ascii="Verdana" w:eastAsia="Times New Roman" w:hAnsi="Verdana" w:cs="Arial"/>
          <w:b/>
          <w:bCs/>
          <w:lang w:eastAsia="es-CO"/>
        </w:rPr>
        <w:t xml:space="preserve">LEY DE GARANTÍAS ELECTORALES ‒ </w:t>
      </w:r>
      <w:r>
        <w:rPr>
          <w:rFonts w:ascii="Verdana" w:eastAsia="Times New Roman" w:hAnsi="Verdana" w:cs="Arial"/>
          <w:b/>
          <w:bCs/>
          <w:lang w:eastAsia="es-CO"/>
        </w:rPr>
        <w:t>Artículo 38 – Parágrafo - Alcance</w:t>
      </w:r>
    </w:p>
    <w:p w14:paraId="60C5BD10" w14:textId="77777777" w:rsidR="00D96CB9" w:rsidRPr="000036B2" w:rsidRDefault="00D96CB9" w:rsidP="00D96CB9">
      <w:pPr>
        <w:spacing w:after="0" w:line="240" w:lineRule="auto"/>
        <w:contextualSpacing/>
        <w:jc w:val="both"/>
        <w:rPr>
          <w:rFonts w:ascii="Verdana" w:eastAsia="Times New Roman" w:hAnsi="Verdana" w:cs="Arial"/>
          <w:b/>
          <w:lang w:val="es-ES" w:eastAsia="es-CO"/>
        </w:rPr>
      </w:pPr>
    </w:p>
    <w:p w14:paraId="1CF2F8D7" w14:textId="77777777" w:rsidR="00D96CB9" w:rsidRPr="000036B2" w:rsidRDefault="00D96CB9" w:rsidP="00D96CB9">
      <w:pPr>
        <w:tabs>
          <w:tab w:val="left" w:pos="426"/>
        </w:tabs>
        <w:spacing w:after="0" w:line="240" w:lineRule="auto"/>
        <w:contextualSpacing/>
        <w:jc w:val="both"/>
        <w:rPr>
          <w:rFonts w:ascii="Verdana" w:eastAsia="Times New Roman" w:hAnsi="Verdana" w:cs="Arial"/>
          <w:bCs/>
          <w:sz w:val="20"/>
          <w:szCs w:val="20"/>
          <w:lang w:val="es-MX" w:eastAsia="x-none"/>
        </w:rPr>
      </w:pPr>
      <w:r w:rsidRPr="000036B2">
        <w:rPr>
          <w:rFonts w:ascii="Verdana" w:eastAsia="Times New Roman" w:hAnsi="Verdana" w:cs="Arial"/>
          <w:bCs/>
          <w:sz w:val="20"/>
          <w:szCs w:val="20"/>
          <w:lang w:val="es-MX" w:eastAsia="x-none"/>
        </w:rPr>
        <w:t xml:space="preserve">El parágrafo del artículo 38 de la Ley 996 de 2005 dispone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 </w:t>
      </w:r>
    </w:p>
    <w:p w14:paraId="30410468" w14:textId="77777777" w:rsidR="00D96CB9" w:rsidRPr="000036B2" w:rsidRDefault="00D96CB9" w:rsidP="00D96CB9">
      <w:pPr>
        <w:tabs>
          <w:tab w:val="left" w:pos="426"/>
        </w:tabs>
        <w:spacing w:after="0" w:line="240" w:lineRule="auto"/>
        <w:contextualSpacing/>
        <w:jc w:val="both"/>
        <w:rPr>
          <w:rFonts w:ascii="Verdana" w:eastAsia="Times New Roman" w:hAnsi="Verdana" w:cs="Arial"/>
          <w:bCs/>
          <w:sz w:val="20"/>
          <w:szCs w:val="20"/>
          <w:lang w:val="es-MX" w:eastAsia="x-none"/>
        </w:rPr>
      </w:pPr>
    </w:p>
    <w:p w14:paraId="4952DB61" w14:textId="77777777" w:rsidR="00D96CB9" w:rsidRPr="000036B2" w:rsidRDefault="00D96CB9" w:rsidP="00D96CB9">
      <w:pPr>
        <w:tabs>
          <w:tab w:val="left" w:pos="426"/>
        </w:tabs>
        <w:spacing w:after="0" w:line="240" w:lineRule="auto"/>
        <w:contextualSpacing/>
        <w:jc w:val="both"/>
        <w:rPr>
          <w:rFonts w:ascii="Verdana" w:eastAsia="Times New Roman" w:hAnsi="Verdana" w:cs="Arial"/>
          <w:bCs/>
          <w:sz w:val="20"/>
          <w:szCs w:val="20"/>
          <w:lang w:val="es-MX" w:eastAsia="x-none"/>
        </w:rPr>
      </w:pPr>
      <w:r w:rsidRPr="000036B2">
        <w:rPr>
          <w:rFonts w:ascii="Verdana" w:eastAsia="Times New Roman" w:hAnsi="Verdana" w:cs="Arial"/>
          <w:bCs/>
          <w:sz w:val="20"/>
          <w:szCs w:val="20"/>
          <w:lang w:val="es-MX" w:eastAsia="x-none"/>
        </w:rPr>
        <w:t>[…] se reitera la conclusión en el sentido de que lo que define los contratos o convenios interadministrativos es la naturaleza de las partes, de manera que están determinados por un criterio orgánico, en el sentido de que lo serán aquellos celebrados entre entidades estatales. Además, como se indicó en la Circular, no existe una definición legal que diferencie los conceptos de contrato y convenio, por lo que se partió de su asimilación para la aplicación de la Ley de Garantías. En tal sentido, las referencias realizadas por el legislador a estos términos deben asimilarse, salvo que de su contenido se logre inferir que se le quiere otorgar un contenido en particular, pues como se expresó, el legislador usualmente utiliza estos conceptos de forma indistinta.</w:t>
      </w:r>
    </w:p>
    <w:p w14:paraId="0AB6EAAA" w14:textId="77777777" w:rsidR="00D96CB9" w:rsidRDefault="00D96CB9" w:rsidP="00D96CB9">
      <w:pPr>
        <w:tabs>
          <w:tab w:val="left" w:pos="426"/>
        </w:tabs>
        <w:spacing w:after="0" w:line="240" w:lineRule="auto"/>
        <w:contextualSpacing/>
        <w:jc w:val="both"/>
        <w:rPr>
          <w:rFonts w:ascii="Verdana" w:eastAsia="Times New Roman" w:hAnsi="Verdana" w:cs="Arial"/>
          <w:sz w:val="20"/>
          <w:szCs w:val="20"/>
          <w:lang w:eastAsia="x-none"/>
        </w:rPr>
      </w:pPr>
    </w:p>
    <w:p w14:paraId="265527BE" w14:textId="77777777" w:rsidR="00D96CB9" w:rsidRPr="000036B2" w:rsidRDefault="00D96CB9" w:rsidP="00D96CB9">
      <w:pPr>
        <w:tabs>
          <w:tab w:val="left" w:pos="426"/>
        </w:tabs>
        <w:spacing w:after="0" w:line="240" w:lineRule="auto"/>
        <w:contextualSpacing/>
        <w:jc w:val="both"/>
        <w:rPr>
          <w:rFonts w:ascii="Verdana" w:eastAsia="Times New Roman" w:hAnsi="Verdana" w:cs="Arial"/>
          <w:sz w:val="20"/>
          <w:szCs w:val="20"/>
          <w:lang w:eastAsia="x-none"/>
        </w:rPr>
      </w:pPr>
    </w:p>
    <w:p w14:paraId="2BE26F67" w14:textId="77777777" w:rsidR="00D96CB9" w:rsidRPr="000036B2" w:rsidRDefault="00D96CB9" w:rsidP="00D96CB9">
      <w:pPr>
        <w:spacing w:after="0" w:line="240" w:lineRule="auto"/>
        <w:contextualSpacing/>
        <w:jc w:val="both"/>
        <w:rPr>
          <w:rFonts w:ascii="Verdana" w:eastAsia="Times New Roman" w:hAnsi="Verdana" w:cs="Arial"/>
          <w:b/>
          <w:bCs/>
          <w:lang w:eastAsia="es-CO"/>
        </w:rPr>
      </w:pPr>
      <w:r w:rsidRPr="000036B2">
        <w:rPr>
          <w:rFonts w:ascii="Verdana" w:eastAsia="Times New Roman" w:hAnsi="Verdana" w:cs="Arial"/>
          <w:b/>
          <w:bCs/>
          <w:lang w:eastAsia="es-CO"/>
        </w:rPr>
        <w:t>CUERPOS DE BOMBEROS VOLUNTARIOS ‒ Ley de garantías</w:t>
      </w:r>
      <w:r>
        <w:rPr>
          <w:rFonts w:ascii="Verdana" w:eastAsia="Times New Roman" w:hAnsi="Verdana" w:cs="Arial"/>
          <w:b/>
          <w:bCs/>
          <w:lang w:eastAsia="es-CO"/>
        </w:rPr>
        <w:t xml:space="preserve"> electorales</w:t>
      </w:r>
      <w:r w:rsidRPr="000036B2">
        <w:rPr>
          <w:rFonts w:ascii="Verdana" w:eastAsia="Times New Roman" w:hAnsi="Verdana" w:cs="Arial"/>
          <w:b/>
          <w:bCs/>
          <w:lang w:eastAsia="es-CO"/>
        </w:rPr>
        <w:t xml:space="preserve"> – </w:t>
      </w:r>
      <w:r>
        <w:rPr>
          <w:rFonts w:ascii="Verdana" w:eastAsia="Times New Roman" w:hAnsi="Verdana" w:cs="Arial"/>
          <w:b/>
          <w:bCs/>
          <w:lang w:eastAsia="es-CO"/>
        </w:rPr>
        <w:t>Artículo 33 – Parágrafo artículo 38 - Alcance</w:t>
      </w:r>
    </w:p>
    <w:p w14:paraId="28D891EB" w14:textId="77777777" w:rsidR="00D96CB9" w:rsidRPr="000036B2" w:rsidRDefault="00D96CB9" w:rsidP="00D96CB9">
      <w:pPr>
        <w:tabs>
          <w:tab w:val="left" w:pos="426"/>
        </w:tabs>
        <w:spacing w:after="0" w:line="240" w:lineRule="auto"/>
        <w:contextualSpacing/>
        <w:jc w:val="both"/>
        <w:rPr>
          <w:rFonts w:ascii="Verdana" w:eastAsia="Times New Roman" w:hAnsi="Verdana" w:cs="Arial"/>
          <w:bCs/>
          <w:sz w:val="20"/>
          <w:szCs w:val="20"/>
          <w:lang w:val="es-MX" w:eastAsia="x-none"/>
        </w:rPr>
      </w:pPr>
    </w:p>
    <w:p w14:paraId="1762B380" w14:textId="77777777" w:rsidR="00D96CB9" w:rsidRPr="000036B2" w:rsidRDefault="00D96CB9" w:rsidP="00D96CB9">
      <w:pPr>
        <w:tabs>
          <w:tab w:val="left" w:pos="426"/>
        </w:tabs>
        <w:spacing w:after="0" w:line="240" w:lineRule="auto"/>
        <w:contextualSpacing/>
        <w:jc w:val="both"/>
        <w:rPr>
          <w:rFonts w:ascii="Verdana" w:eastAsia="Times New Roman" w:hAnsi="Verdana" w:cs="Arial"/>
          <w:bCs/>
          <w:sz w:val="20"/>
          <w:szCs w:val="20"/>
          <w:lang w:val="es-MX" w:eastAsia="x-none"/>
        </w:rPr>
      </w:pPr>
      <w:r w:rsidRPr="000036B2">
        <w:rPr>
          <w:rFonts w:ascii="Verdana" w:eastAsia="Times New Roman" w:hAnsi="Verdana" w:cs="Arial"/>
          <w:bCs/>
          <w:sz w:val="20"/>
          <w:szCs w:val="20"/>
          <w:lang w:val="es-MX" w:eastAsia="x-none"/>
        </w:rPr>
        <w:t xml:space="preserve">[…] los municipios y distritos, durante el periodo de aplicación de la prohibición establecida en el artículo 33 de la Ley 996 de 2005 podrán celebrar contratos y convenios con Cuerpos de Bomberos Voluntarios siempre que se realice un procedimiento competitivo, que permita la participación de pluralidad de oferentes. Por el contrario, no le será posible a un ente territorial celebrar contratos a través de una contratación directa, entendiendo esta como aquel sistema de selección de contratistas en el que no exista convocatoria pública, ni sea posible la participación de una pluralidad de oferentes, independientemente del régimen de contratación que se aplique. </w:t>
      </w:r>
    </w:p>
    <w:p w14:paraId="408CE1C8" w14:textId="77777777" w:rsidR="00D96CB9" w:rsidRPr="000036B2" w:rsidRDefault="00D96CB9" w:rsidP="00D96CB9">
      <w:pPr>
        <w:tabs>
          <w:tab w:val="left" w:pos="426"/>
        </w:tabs>
        <w:spacing w:after="0" w:line="240" w:lineRule="auto"/>
        <w:contextualSpacing/>
        <w:jc w:val="both"/>
        <w:rPr>
          <w:rFonts w:ascii="Verdana" w:eastAsia="Times New Roman" w:hAnsi="Verdana" w:cs="Arial"/>
          <w:bCs/>
          <w:sz w:val="20"/>
          <w:szCs w:val="20"/>
          <w:lang w:val="es-MX" w:eastAsia="x-none"/>
        </w:rPr>
      </w:pPr>
    </w:p>
    <w:p w14:paraId="77BE9CE8" w14:textId="77777777" w:rsidR="00D96CB9" w:rsidRPr="000036B2" w:rsidRDefault="00D96CB9" w:rsidP="00D96CB9">
      <w:pPr>
        <w:tabs>
          <w:tab w:val="left" w:pos="426"/>
        </w:tabs>
        <w:spacing w:after="0" w:line="240" w:lineRule="auto"/>
        <w:contextualSpacing/>
        <w:jc w:val="both"/>
        <w:rPr>
          <w:rFonts w:ascii="Verdana" w:eastAsia="Times New Roman" w:hAnsi="Verdana" w:cs="Arial"/>
          <w:bCs/>
          <w:sz w:val="20"/>
          <w:szCs w:val="20"/>
          <w:lang w:val="es-MX" w:eastAsia="x-none"/>
        </w:rPr>
      </w:pPr>
      <w:r w:rsidRPr="000036B2">
        <w:rPr>
          <w:rFonts w:ascii="Verdana" w:eastAsia="Times New Roman" w:hAnsi="Verdana" w:cs="Arial"/>
          <w:bCs/>
          <w:sz w:val="20"/>
          <w:szCs w:val="20"/>
          <w:lang w:val="es-MX" w:eastAsia="x-none"/>
        </w:rPr>
        <w:lastRenderedPageBreak/>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669655A8" w14:textId="77777777" w:rsidR="00D96CB9" w:rsidRPr="000036B2" w:rsidRDefault="00D96CB9" w:rsidP="00D96CB9">
      <w:pPr>
        <w:tabs>
          <w:tab w:val="left" w:pos="426"/>
        </w:tabs>
        <w:spacing w:after="0" w:line="240" w:lineRule="auto"/>
        <w:contextualSpacing/>
        <w:jc w:val="both"/>
        <w:rPr>
          <w:rFonts w:ascii="Verdana" w:eastAsia="Times New Roman" w:hAnsi="Verdana" w:cs="Arial"/>
          <w:bCs/>
          <w:sz w:val="20"/>
          <w:szCs w:val="20"/>
          <w:lang w:val="es-MX" w:eastAsia="x-none"/>
        </w:rPr>
      </w:pPr>
    </w:p>
    <w:p w14:paraId="30610518" w14:textId="77777777" w:rsidR="00D96CB9" w:rsidRPr="000036B2" w:rsidRDefault="00D96CB9" w:rsidP="00D96CB9">
      <w:pPr>
        <w:tabs>
          <w:tab w:val="left" w:pos="426"/>
        </w:tabs>
        <w:spacing w:after="0" w:line="240" w:lineRule="auto"/>
        <w:contextualSpacing/>
        <w:jc w:val="both"/>
        <w:rPr>
          <w:rFonts w:ascii="Verdana" w:eastAsia="Times New Roman" w:hAnsi="Verdana" w:cs="Arial"/>
          <w:bCs/>
          <w:sz w:val="20"/>
          <w:szCs w:val="20"/>
          <w:lang w:val="es-MX" w:eastAsia="x-none"/>
        </w:rPr>
      </w:pPr>
      <w:r w:rsidRPr="000036B2">
        <w:rPr>
          <w:rFonts w:ascii="Verdana" w:eastAsia="Times New Roman" w:hAnsi="Verdana" w:cs="Arial"/>
          <w:bCs/>
          <w:sz w:val="20"/>
          <w:szCs w:val="20"/>
          <w:lang w:val="es-MX" w:eastAsia="x-none"/>
        </w:rPr>
        <w:t>Finalmente, dada la naturaleza jurídica privada de los cuerpos de bomberos voluntarios, no les es aplicable la restricción consagrada en el parágrafo del artículo 38 de la Ley de Garantías Electorales, en la media que esta norma prohíbe la celebración de convenios o contratos interadministrativos para la ejecución de recursos públicos y lo que define a estos contratos, conforme el análisis realizado en el numeral 2.3 de este concepto es la naturaleza de las partes, de manera que están determinados por un criterio orgánico, en el sentido de que lo serán aquellos celebrados entre entidades estatales.</w:t>
      </w:r>
    </w:p>
    <w:p w14:paraId="150D3540" w14:textId="77777777" w:rsidR="00D96CB9" w:rsidRPr="00137E43" w:rsidRDefault="00D96CB9" w:rsidP="00D96CB9">
      <w:pPr>
        <w:tabs>
          <w:tab w:val="left" w:pos="426"/>
        </w:tabs>
        <w:spacing w:after="0" w:line="240" w:lineRule="auto"/>
        <w:contextualSpacing/>
        <w:jc w:val="both"/>
        <w:rPr>
          <w:rFonts w:ascii="Arial" w:eastAsia="Times New Roman" w:hAnsi="Arial" w:cs="Arial"/>
          <w:bCs/>
          <w:sz w:val="20"/>
          <w:szCs w:val="20"/>
          <w:lang w:val="es-MX" w:eastAsia="x-none"/>
        </w:rPr>
      </w:pPr>
    </w:p>
    <w:p w14:paraId="36C08F53" w14:textId="77777777" w:rsidR="00D96CB9" w:rsidRPr="00BD1E47" w:rsidRDefault="00D96CB9" w:rsidP="00D96CB9">
      <w:pPr>
        <w:spacing w:after="0"/>
        <w:jc w:val="both"/>
        <w:rPr>
          <w:rFonts w:ascii="Verdana" w:eastAsia="Verdana" w:hAnsi="Verdana" w:cs="Verdana"/>
          <w:color w:val="ED7D31" w:themeColor="accent2"/>
          <w:sz w:val="20"/>
          <w:szCs w:val="20"/>
          <w:lang w:val="es-MX"/>
        </w:rPr>
      </w:pPr>
    </w:p>
    <w:p w14:paraId="14472A0A" w14:textId="77777777" w:rsidR="00D96CB9" w:rsidRPr="009969AD" w:rsidRDefault="00D96CB9" w:rsidP="00D96CB9">
      <w:pPr>
        <w:spacing w:after="0"/>
        <w:jc w:val="both"/>
        <w:rPr>
          <w:rFonts w:ascii="Verdana" w:eastAsia="Verdana" w:hAnsi="Verdana" w:cs="Verdana"/>
          <w:color w:val="ED7D31" w:themeColor="accent2"/>
          <w:sz w:val="20"/>
          <w:szCs w:val="20"/>
        </w:rPr>
      </w:pPr>
    </w:p>
    <w:p w14:paraId="09246EAB" w14:textId="77777777" w:rsidR="00D96CB9" w:rsidRPr="009969AD" w:rsidRDefault="00D96CB9" w:rsidP="00D96CB9">
      <w:pPr>
        <w:spacing w:after="0"/>
        <w:jc w:val="both"/>
        <w:rPr>
          <w:rFonts w:ascii="Verdana" w:eastAsia="Verdana" w:hAnsi="Verdana" w:cs="Verdana"/>
          <w:color w:val="ED7D31" w:themeColor="accent2"/>
          <w:sz w:val="20"/>
          <w:szCs w:val="20"/>
        </w:rPr>
      </w:pPr>
    </w:p>
    <w:p w14:paraId="55B64FF7" w14:textId="77777777" w:rsidR="00D96CB9" w:rsidRPr="009969AD" w:rsidRDefault="00D96CB9" w:rsidP="00D96CB9">
      <w:pPr>
        <w:spacing w:after="0"/>
        <w:jc w:val="both"/>
        <w:rPr>
          <w:rFonts w:ascii="Verdana" w:eastAsia="Verdana" w:hAnsi="Verdana" w:cs="Verdana"/>
          <w:color w:val="ED7D31" w:themeColor="accent2"/>
          <w:sz w:val="20"/>
          <w:szCs w:val="20"/>
        </w:rPr>
      </w:pPr>
    </w:p>
    <w:p w14:paraId="4E269943" w14:textId="77777777" w:rsidR="00D96CB9" w:rsidRPr="009969AD" w:rsidRDefault="00D96CB9" w:rsidP="00D96CB9">
      <w:pPr>
        <w:spacing w:after="0"/>
        <w:jc w:val="both"/>
        <w:rPr>
          <w:rFonts w:ascii="Verdana" w:eastAsia="Verdana" w:hAnsi="Verdana" w:cs="Verdana"/>
          <w:color w:val="ED7D31" w:themeColor="accent2"/>
          <w:sz w:val="20"/>
          <w:szCs w:val="20"/>
        </w:rPr>
      </w:pPr>
    </w:p>
    <w:p w14:paraId="39D273B6" w14:textId="77777777" w:rsidR="00D96CB9" w:rsidRPr="009969AD" w:rsidRDefault="00D96CB9" w:rsidP="00D96CB9">
      <w:pPr>
        <w:spacing w:after="0"/>
        <w:jc w:val="both"/>
        <w:rPr>
          <w:rFonts w:ascii="Verdana" w:eastAsia="Verdana" w:hAnsi="Verdana" w:cs="Verdana"/>
          <w:color w:val="ED7D31" w:themeColor="accent2"/>
          <w:sz w:val="20"/>
          <w:szCs w:val="20"/>
        </w:rPr>
      </w:pPr>
    </w:p>
    <w:p w14:paraId="59ADD4D3" w14:textId="77777777" w:rsidR="00D96CB9" w:rsidRPr="009969AD" w:rsidRDefault="00D96CB9" w:rsidP="00D96CB9">
      <w:pPr>
        <w:spacing w:after="0"/>
        <w:jc w:val="both"/>
        <w:rPr>
          <w:rFonts w:ascii="Verdana" w:eastAsia="Verdana" w:hAnsi="Verdana" w:cs="Verdana"/>
          <w:color w:val="ED7D31" w:themeColor="accent2"/>
          <w:sz w:val="20"/>
          <w:szCs w:val="20"/>
        </w:rPr>
      </w:pPr>
    </w:p>
    <w:p w14:paraId="7CCA75F8" w14:textId="77777777" w:rsidR="00D96CB9" w:rsidRPr="009969AD" w:rsidRDefault="00D96CB9" w:rsidP="00D96CB9">
      <w:pPr>
        <w:spacing w:after="0"/>
        <w:jc w:val="both"/>
        <w:rPr>
          <w:rFonts w:ascii="Verdana" w:eastAsia="Verdana" w:hAnsi="Verdana" w:cs="Verdana"/>
          <w:color w:val="ED7D31" w:themeColor="accent2"/>
          <w:sz w:val="20"/>
          <w:szCs w:val="20"/>
          <w:lang w:val="es-ES"/>
        </w:rPr>
      </w:pPr>
    </w:p>
    <w:p w14:paraId="7E1CAAB1" w14:textId="77777777" w:rsidR="00D96CB9" w:rsidRPr="009969AD" w:rsidRDefault="00D96CB9" w:rsidP="00D96CB9">
      <w:pPr>
        <w:spacing w:after="0"/>
        <w:rPr>
          <w:rFonts w:ascii="Verdana" w:eastAsia="Verdana" w:hAnsi="Verdana" w:cs="Verdana"/>
          <w:color w:val="ED7D31" w:themeColor="accent2"/>
          <w:sz w:val="20"/>
          <w:szCs w:val="20"/>
          <w:lang w:val="es-ES"/>
        </w:rPr>
      </w:pPr>
    </w:p>
    <w:p w14:paraId="2CCD5564" w14:textId="77777777" w:rsidR="00D96CB9" w:rsidRPr="009969AD" w:rsidRDefault="00D96CB9" w:rsidP="00D96CB9">
      <w:pPr>
        <w:spacing w:after="0"/>
        <w:rPr>
          <w:rFonts w:ascii="Verdana" w:hAnsi="Verdana"/>
          <w:color w:val="ED7D31" w:themeColor="accent2"/>
        </w:rPr>
      </w:pPr>
    </w:p>
    <w:p w14:paraId="5C51B85D" w14:textId="77777777" w:rsidR="00D96CB9" w:rsidRPr="009969AD" w:rsidRDefault="00D96CB9" w:rsidP="00D96CB9">
      <w:pPr>
        <w:spacing w:after="0"/>
        <w:rPr>
          <w:rFonts w:ascii="Verdana" w:hAnsi="Verdana"/>
          <w:color w:val="ED7D31" w:themeColor="accent2"/>
        </w:rPr>
      </w:pPr>
    </w:p>
    <w:p w14:paraId="461ABC39" w14:textId="77777777" w:rsidR="00D96CB9" w:rsidRDefault="00D96CB9" w:rsidP="00D96CB9">
      <w:pPr>
        <w:spacing w:after="0"/>
        <w:rPr>
          <w:rFonts w:ascii="Verdana" w:hAnsi="Verdana"/>
          <w:color w:val="ED7D31" w:themeColor="accent2"/>
        </w:rPr>
      </w:pPr>
    </w:p>
    <w:p w14:paraId="0AB3BAE4" w14:textId="77777777" w:rsidR="00D96CB9" w:rsidRDefault="00D96CB9" w:rsidP="00D96CB9">
      <w:pPr>
        <w:spacing w:after="0"/>
        <w:rPr>
          <w:rFonts w:ascii="Verdana" w:hAnsi="Verdana"/>
          <w:color w:val="ED7D31" w:themeColor="accent2"/>
        </w:rPr>
      </w:pPr>
    </w:p>
    <w:p w14:paraId="2C156AB0" w14:textId="77777777" w:rsidR="00D96CB9" w:rsidRDefault="00D96CB9" w:rsidP="00D96CB9">
      <w:pPr>
        <w:spacing w:after="0"/>
        <w:rPr>
          <w:rFonts w:ascii="Verdana" w:hAnsi="Verdana"/>
          <w:color w:val="ED7D31" w:themeColor="accent2"/>
        </w:rPr>
      </w:pPr>
    </w:p>
    <w:p w14:paraId="08E8E94E" w14:textId="77777777" w:rsidR="00D96CB9" w:rsidRDefault="00D96CB9" w:rsidP="00001841">
      <w:pPr>
        <w:spacing w:after="0"/>
        <w:rPr>
          <w:rFonts w:ascii="Verdana" w:hAnsi="Verdana"/>
        </w:rPr>
      </w:pPr>
    </w:p>
    <w:p w14:paraId="5E61056B" w14:textId="77777777" w:rsidR="00D96CB9" w:rsidRDefault="00D96CB9" w:rsidP="00001841">
      <w:pPr>
        <w:spacing w:after="0"/>
        <w:rPr>
          <w:rFonts w:ascii="Verdana" w:hAnsi="Verdana"/>
        </w:rPr>
      </w:pPr>
    </w:p>
    <w:p w14:paraId="374BF98B" w14:textId="77777777" w:rsidR="00D96CB9" w:rsidRDefault="00D96CB9" w:rsidP="00001841">
      <w:pPr>
        <w:spacing w:after="0"/>
        <w:rPr>
          <w:rFonts w:ascii="Verdana" w:hAnsi="Verdana"/>
        </w:rPr>
      </w:pPr>
    </w:p>
    <w:p w14:paraId="3EF0288D" w14:textId="77777777" w:rsidR="00D96CB9" w:rsidRDefault="00D96CB9" w:rsidP="00001841">
      <w:pPr>
        <w:spacing w:after="0"/>
        <w:rPr>
          <w:rFonts w:ascii="Verdana" w:hAnsi="Verdana"/>
        </w:rPr>
      </w:pPr>
    </w:p>
    <w:p w14:paraId="12E0418E" w14:textId="77777777" w:rsidR="00D96CB9" w:rsidRDefault="00D96CB9" w:rsidP="00001841">
      <w:pPr>
        <w:spacing w:after="0"/>
        <w:rPr>
          <w:rFonts w:ascii="Verdana" w:hAnsi="Verdana"/>
        </w:rPr>
      </w:pPr>
    </w:p>
    <w:p w14:paraId="64239F30" w14:textId="77777777" w:rsidR="00D96CB9" w:rsidRDefault="00D96CB9" w:rsidP="00001841">
      <w:pPr>
        <w:spacing w:after="0"/>
        <w:rPr>
          <w:rFonts w:ascii="Verdana" w:hAnsi="Verdana"/>
        </w:rPr>
      </w:pPr>
    </w:p>
    <w:p w14:paraId="7AF72D75" w14:textId="77777777" w:rsidR="00D96CB9" w:rsidRDefault="00D96CB9" w:rsidP="00001841">
      <w:pPr>
        <w:spacing w:after="0"/>
        <w:rPr>
          <w:rFonts w:ascii="Verdana" w:hAnsi="Verdana"/>
        </w:rPr>
      </w:pPr>
    </w:p>
    <w:p w14:paraId="191C6A1B" w14:textId="77777777" w:rsidR="00D96CB9" w:rsidRDefault="00D96CB9" w:rsidP="00001841">
      <w:pPr>
        <w:spacing w:after="0"/>
        <w:rPr>
          <w:rFonts w:ascii="Verdana" w:hAnsi="Verdana"/>
        </w:rPr>
      </w:pPr>
    </w:p>
    <w:p w14:paraId="3714FCCB" w14:textId="77777777" w:rsidR="00D96CB9" w:rsidRDefault="00D96CB9" w:rsidP="00001841">
      <w:pPr>
        <w:spacing w:after="0"/>
        <w:rPr>
          <w:rFonts w:ascii="Verdana" w:hAnsi="Verdana"/>
        </w:rPr>
      </w:pPr>
    </w:p>
    <w:p w14:paraId="310A5B39" w14:textId="5008135B" w:rsidR="00001841" w:rsidRPr="007B763A" w:rsidRDefault="00001841" w:rsidP="00001841">
      <w:pPr>
        <w:spacing w:after="0"/>
        <w:rPr>
          <w:rFonts w:ascii="Verdana" w:hAnsi="Verdana"/>
        </w:rPr>
      </w:pPr>
      <w:r w:rsidRPr="007B763A">
        <w:rPr>
          <w:rFonts w:ascii="Verdana" w:hAnsi="Verdana"/>
        </w:rPr>
        <w:lastRenderedPageBreak/>
        <w:t xml:space="preserve">Bogotá D.C., </w:t>
      </w:r>
      <w:r w:rsidR="00CE4D6F">
        <w:rPr>
          <w:rFonts w:ascii="Verdana" w:hAnsi="Verdana"/>
        </w:rPr>
        <w:t xml:space="preserve">18 </w:t>
      </w:r>
      <w:r w:rsidR="00216B49">
        <w:rPr>
          <w:rFonts w:ascii="Verdana" w:hAnsi="Verdana"/>
        </w:rPr>
        <w:t>Febrero 202</w:t>
      </w:r>
      <w:r w:rsidR="00105F16">
        <w:rPr>
          <w:rFonts w:ascii="Verdana" w:hAnsi="Verdana"/>
        </w:rPr>
        <w:t>6</w:t>
      </w:r>
    </w:p>
    <w:p w14:paraId="755A5B7E" w14:textId="40D55588" w:rsidR="00001841" w:rsidRPr="00BB595E" w:rsidRDefault="005E4C79" w:rsidP="00001841">
      <w:pPr>
        <w:spacing w:after="0"/>
        <w:rPr>
          <w:rFonts w:ascii="Verdana" w:hAnsi="Verdana"/>
          <w:lang w:val="es-ES"/>
        </w:rPr>
      </w:pPr>
      <w:r w:rsidRPr="005E4C79">
        <w:rPr>
          <w:rFonts w:ascii="Verdana" w:eastAsia="Calibri" w:hAnsi="Verdana" w:cs="Arial"/>
          <w:b/>
          <w:bCs/>
          <w:lang w:eastAsia="es-ES"/>
        </w:rPr>
        <w:drawing>
          <wp:anchor distT="0" distB="0" distL="114300" distR="114300" simplePos="0" relativeHeight="251658240" behindDoc="1" locked="0" layoutInCell="1" allowOverlap="1" wp14:anchorId="44EA5D2C" wp14:editId="0E97DF00">
            <wp:simplePos x="0" y="0"/>
            <wp:positionH relativeFrom="column">
              <wp:posOffset>3140488</wp:posOffset>
            </wp:positionH>
            <wp:positionV relativeFrom="paragraph">
              <wp:posOffset>29638</wp:posOffset>
            </wp:positionV>
            <wp:extent cx="2457450" cy="762000"/>
            <wp:effectExtent l="0" t="0" r="0" b="0"/>
            <wp:wrapNone/>
            <wp:docPr id="162213979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139798"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457450" cy="762000"/>
                    </a:xfrm>
                    <a:prstGeom prst="rect">
                      <a:avLst/>
                    </a:prstGeom>
                  </pic:spPr>
                </pic:pic>
              </a:graphicData>
            </a:graphic>
          </wp:anchor>
        </w:drawing>
      </w:r>
    </w:p>
    <w:p w14:paraId="2674DD0C" w14:textId="32E4C6D3" w:rsidR="00001841" w:rsidRPr="00BB595E" w:rsidRDefault="00001841" w:rsidP="00001841">
      <w:pPr>
        <w:spacing w:after="0" w:line="240" w:lineRule="auto"/>
        <w:rPr>
          <w:rFonts w:ascii="Verdana" w:hAnsi="Verdana"/>
          <w:lang w:val="es-ES"/>
        </w:rPr>
      </w:pPr>
      <w:bookmarkStart w:id="0" w:name="_Hlk143780582"/>
      <w:r w:rsidRPr="00BB595E">
        <w:rPr>
          <w:rFonts w:ascii="Verdana" w:eastAsia="Calibri" w:hAnsi="Verdana" w:cs="Arial"/>
          <w:lang w:val="es-ES" w:eastAsia="es-ES"/>
        </w:rPr>
        <w:t>Señor</w:t>
      </w:r>
    </w:p>
    <w:p w14:paraId="6C50DAF7" w14:textId="4E41793F" w:rsidR="00001841" w:rsidRPr="00BB595E" w:rsidRDefault="00001841" w:rsidP="00001841">
      <w:pPr>
        <w:spacing w:after="0"/>
        <w:rPr>
          <w:rFonts w:ascii="Verdana" w:eastAsia="Calibri" w:hAnsi="Verdana" w:cs="Arial"/>
          <w:b/>
          <w:bCs/>
          <w:lang w:eastAsia="es-ES"/>
        </w:rPr>
      </w:pPr>
      <w:r>
        <w:rPr>
          <w:rFonts w:ascii="Verdana" w:eastAsia="Calibri" w:hAnsi="Verdana" w:cs="Arial"/>
          <w:b/>
          <w:bCs/>
          <w:lang w:eastAsia="es-ES"/>
        </w:rPr>
        <w:t>Fernando José Gutiérrez Ibañez</w:t>
      </w:r>
    </w:p>
    <w:p w14:paraId="74ED2C1D" w14:textId="77777777" w:rsidR="00001841" w:rsidRPr="009969AD" w:rsidRDefault="00001841" w:rsidP="00001841">
      <w:pPr>
        <w:tabs>
          <w:tab w:val="center" w:pos="4419"/>
        </w:tabs>
        <w:spacing w:after="0"/>
        <w:rPr>
          <w:rFonts w:ascii="Verdana" w:eastAsia="Calibri" w:hAnsi="Verdana" w:cs="Arial"/>
          <w:color w:val="ED7D31" w:themeColor="accent2"/>
          <w:lang w:eastAsia="es-ES"/>
        </w:rPr>
      </w:pPr>
      <w:hyperlink r:id="rId12" w:history="1">
        <w:r w:rsidRPr="00C37472">
          <w:rPr>
            <w:rStyle w:val="Hipervnculo"/>
            <w:rFonts w:ascii="Verdana" w:eastAsia="Calibri" w:hAnsi="Verdana" w:cs="Arial"/>
            <w:lang w:eastAsia="es-ES"/>
          </w:rPr>
          <w:t>fernandog213@hotmail.com</w:t>
        </w:r>
      </w:hyperlink>
      <w:r>
        <w:rPr>
          <w:rFonts w:ascii="Verdana" w:eastAsia="Calibri" w:hAnsi="Verdana" w:cs="Arial"/>
          <w:color w:val="ED7D31" w:themeColor="accent2"/>
          <w:lang w:eastAsia="es-ES"/>
        </w:rPr>
        <w:t xml:space="preserve"> </w:t>
      </w:r>
    </w:p>
    <w:p w14:paraId="49C25470" w14:textId="77777777" w:rsidR="00001841" w:rsidRPr="00BB595E" w:rsidRDefault="00001841" w:rsidP="00001841">
      <w:pPr>
        <w:spacing w:after="0"/>
        <w:rPr>
          <w:rFonts w:ascii="Verdana" w:eastAsia="Calibri" w:hAnsi="Verdana" w:cs="Arial"/>
          <w:lang w:val="es-ES" w:eastAsia="es-ES"/>
        </w:rPr>
      </w:pPr>
      <w:r>
        <w:rPr>
          <w:rFonts w:ascii="Verdana" w:eastAsia="Calibri" w:hAnsi="Verdana" w:cs="Arial"/>
          <w:lang w:eastAsia="es-ES"/>
        </w:rPr>
        <w:t>Valledupar, César</w:t>
      </w:r>
    </w:p>
    <w:p w14:paraId="3F2E28ED" w14:textId="77777777" w:rsidR="00001841" w:rsidRPr="009969AD" w:rsidRDefault="00001841" w:rsidP="00001841">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001841" w:rsidRPr="009969AD" w14:paraId="56FCFFB8" w14:textId="77777777" w:rsidTr="00343897">
        <w:trPr>
          <w:trHeight w:val="300"/>
        </w:trPr>
        <w:tc>
          <w:tcPr>
            <w:tcW w:w="2410" w:type="dxa"/>
          </w:tcPr>
          <w:p w14:paraId="68E4D693" w14:textId="77777777" w:rsidR="00001841" w:rsidRPr="009969AD" w:rsidRDefault="00001841" w:rsidP="00343897">
            <w:pPr>
              <w:ind w:left="-142"/>
              <w:jc w:val="both"/>
              <w:rPr>
                <w:rFonts w:ascii="Verdana" w:eastAsia="Calibri" w:hAnsi="Verdana" w:cs="Arial"/>
                <w:b/>
                <w:bCs/>
                <w:color w:val="ED7D31" w:themeColor="accent2"/>
                <w:lang w:val="es-ES" w:eastAsia="es-ES_tradnl"/>
              </w:rPr>
            </w:pPr>
          </w:p>
        </w:tc>
        <w:tc>
          <w:tcPr>
            <w:tcW w:w="6100" w:type="dxa"/>
          </w:tcPr>
          <w:p w14:paraId="2E08B45F" w14:textId="77777777" w:rsidR="00001841" w:rsidRPr="00C92B1A" w:rsidRDefault="00001841" w:rsidP="00343897">
            <w:pPr>
              <w:ind w:left="3"/>
              <w:jc w:val="both"/>
              <w:rPr>
                <w:rFonts w:ascii="Verdana" w:eastAsia="Calibri" w:hAnsi="Verdana" w:cs="Arial"/>
                <w:b/>
                <w:bCs/>
                <w:lang w:val="es-ES" w:eastAsia="es-ES"/>
              </w:rPr>
            </w:pPr>
            <w:r w:rsidRPr="00C92B1A">
              <w:rPr>
                <w:rFonts w:ascii="Verdana" w:eastAsia="Calibri" w:hAnsi="Verdana" w:cs="Arial"/>
                <w:b/>
                <w:bCs/>
                <w:lang w:val="es-ES" w:eastAsia="es-ES"/>
              </w:rPr>
              <w:t>Concepto C-02</w:t>
            </w:r>
            <w:r>
              <w:rPr>
                <w:rFonts w:ascii="Verdana" w:eastAsia="Calibri" w:hAnsi="Verdana" w:cs="Arial"/>
                <w:b/>
                <w:bCs/>
                <w:lang w:val="es-ES" w:eastAsia="es-ES"/>
              </w:rPr>
              <w:t>4</w:t>
            </w:r>
            <w:r w:rsidRPr="00C92B1A">
              <w:rPr>
                <w:rFonts w:ascii="Verdana" w:eastAsia="Calibri" w:hAnsi="Verdana" w:cs="Arial"/>
                <w:b/>
                <w:bCs/>
                <w:lang w:val="es-ES" w:eastAsia="es-ES"/>
              </w:rPr>
              <w:t xml:space="preserve"> de 2026</w:t>
            </w:r>
          </w:p>
          <w:p w14:paraId="1EFC7ABA" w14:textId="77777777" w:rsidR="00001841" w:rsidRPr="00C92B1A" w:rsidRDefault="00001841" w:rsidP="00343897">
            <w:pPr>
              <w:ind w:left="3"/>
              <w:jc w:val="both"/>
              <w:rPr>
                <w:rFonts w:ascii="Verdana" w:eastAsia="Calibri" w:hAnsi="Verdana" w:cs="Arial"/>
                <w:b/>
                <w:bCs/>
                <w:lang w:val="es-ES" w:eastAsia="es-ES"/>
              </w:rPr>
            </w:pPr>
          </w:p>
        </w:tc>
      </w:tr>
      <w:tr w:rsidR="00001841" w:rsidRPr="009969AD" w14:paraId="641EA0DB" w14:textId="77777777" w:rsidTr="00343897">
        <w:trPr>
          <w:trHeight w:val="300"/>
        </w:trPr>
        <w:tc>
          <w:tcPr>
            <w:tcW w:w="2410" w:type="dxa"/>
          </w:tcPr>
          <w:p w14:paraId="42EB20FE" w14:textId="77777777" w:rsidR="00001841" w:rsidRPr="009969AD" w:rsidRDefault="00001841" w:rsidP="00343897">
            <w:pPr>
              <w:ind w:left="424" w:firstLine="137"/>
              <w:jc w:val="both"/>
              <w:rPr>
                <w:rFonts w:ascii="Verdana" w:eastAsia="Calibri" w:hAnsi="Verdana" w:cs="Arial"/>
                <w:color w:val="ED7D31" w:themeColor="accent2"/>
                <w:lang w:val="es-ES" w:eastAsia="es-ES_tradnl"/>
              </w:rPr>
            </w:pPr>
            <w:r w:rsidRPr="00FA7089">
              <w:rPr>
                <w:rFonts w:ascii="Verdana" w:eastAsia="Calibri" w:hAnsi="Verdana" w:cs="Arial"/>
                <w:b/>
                <w:lang w:val="es-ES" w:eastAsia="es-ES_tradnl"/>
              </w:rPr>
              <w:t>Temas:</w:t>
            </w:r>
            <w:r w:rsidRPr="00FA7089">
              <w:rPr>
                <w:rFonts w:ascii="Verdana" w:eastAsia="Calibri" w:hAnsi="Verdana" w:cs="Arial"/>
                <w:lang w:val="es-ES" w:eastAsia="es-ES_tradnl"/>
              </w:rPr>
              <w:t xml:space="preserve">              </w:t>
            </w:r>
          </w:p>
        </w:tc>
        <w:tc>
          <w:tcPr>
            <w:tcW w:w="6100" w:type="dxa"/>
          </w:tcPr>
          <w:p w14:paraId="515D805F" w14:textId="77777777" w:rsidR="00001841" w:rsidRPr="0061670C" w:rsidRDefault="00001841" w:rsidP="00343897">
            <w:pPr>
              <w:jc w:val="both"/>
              <w:rPr>
                <w:rFonts w:ascii="Verdana" w:eastAsia="Calibri" w:hAnsi="Verdana" w:cs="Arial"/>
                <w:bCs/>
              </w:rPr>
            </w:pPr>
            <w:r w:rsidRPr="0061670C">
              <w:rPr>
                <w:rFonts w:ascii="Verdana" w:eastAsia="Calibri" w:hAnsi="Verdana" w:cs="Arial"/>
                <w:bCs/>
              </w:rPr>
              <w:t>LEY DE GARANTÍAS ELECTORALES – Naturaleza jurídica / LEY DE GARANTÍAS ELECTORALES – Prohibiciones / LEY DE GARANTÍAS ELECTORALES ─ Artículo 33 ‒ Excepciones / LEY DE GARANTÍAS ELECTORALES ‒ Artículo 38 – Parágrafo - Alcance / CUERPOS DE BOMBEROS VOLUNTARIOS ‒ Ley de garantías electorales – Artículo 33 – Parágrafo artículo 38 – Alcance</w:t>
            </w:r>
          </w:p>
          <w:p w14:paraId="0B129D06" w14:textId="77777777" w:rsidR="00001841" w:rsidRPr="0061670C" w:rsidRDefault="00001841" w:rsidP="00343897">
            <w:pPr>
              <w:jc w:val="both"/>
              <w:rPr>
                <w:rFonts w:ascii="Verdana" w:hAnsi="Verdana"/>
              </w:rPr>
            </w:pPr>
          </w:p>
        </w:tc>
      </w:tr>
      <w:tr w:rsidR="00001841" w:rsidRPr="009969AD" w14:paraId="5B2A2403" w14:textId="77777777" w:rsidTr="00343897">
        <w:trPr>
          <w:trHeight w:val="204"/>
        </w:trPr>
        <w:tc>
          <w:tcPr>
            <w:tcW w:w="2410" w:type="dxa"/>
          </w:tcPr>
          <w:p w14:paraId="060DDBD0" w14:textId="77777777" w:rsidR="00001841" w:rsidRPr="00FA7089" w:rsidRDefault="00001841" w:rsidP="00343897">
            <w:pPr>
              <w:ind w:left="561"/>
              <w:jc w:val="both"/>
              <w:rPr>
                <w:rFonts w:ascii="Verdana" w:eastAsia="Calibri" w:hAnsi="Verdana" w:cs="Arial"/>
                <w:b/>
                <w:lang w:val="es-ES" w:eastAsia="es-ES_tradnl"/>
              </w:rPr>
            </w:pPr>
            <w:r w:rsidRPr="00FA7089">
              <w:rPr>
                <w:rFonts w:ascii="Verdana" w:eastAsia="Calibri" w:hAnsi="Verdana" w:cs="Arial"/>
                <w:b/>
                <w:lang w:val="es-ES" w:eastAsia="es-ES_tradnl"/>
              </w:rPr>
              <w:t>Radicación:</w:t>
            </w:r>
            <w:r w:rsidRPr="00FA7089">
              <w:rPr>
                <w:rFonts w:ascii="Verdana" w:eastAsia="Calibri" w:hAnsi="Verdana" w:cs="Arial"/>
                <w:lang w:val="es-ES" w:eastAsia="es-ES_tradnl"/>
              </w:rPr>
              <w:t xml:space="preserve">              </w:t>
            </w:r>
          </w:p>
        </w:tc>
        <w:tc>
          <w:tcPr>
            <w:tcW w:w="6100" w:type="dxa"/>
          </w:tcPr>
          <w:p w14:paraId="5CB65D67" w14:textId="77777777" w:rsidR="00001841" w:rsidRPr="00FA7089" w:rsidRDefault="00001841" w:rsidP="00343897">
            <w:pPr>
              <w:ind w:left="3"/>
              <w:jc w:val="both"/>
              <w:rPr>
                <w:rFonts w:ascii="Verdana" w:hAnsi="Verdana"/>
                <w:lang w:val="es-ES"/>
              </w:rPr>
            </w:pPr>
            <w:r w:rsidRPr="00FA7089">
              <w:rPr>
                <w:rFonts w:ascii="Verdana" w:eastAsia="Calibri" w:hAnsi="Verdana" w:cs="Arial"/>
                <w:lang w:val="es-ES" w:eastAsia="es-ES"/>
              </w:rPr>
              <w:t xml:space="preserve">Respuesta a consulta con radicado No. </w:t>
            </w:r>
            <w:r w:rsidRPr="0085190A">
              <w:rPr>
                <w:rFonts w:ascii="Verdana" w:eastAsia="Calibri" w:hAnsi="Verdana" w:cs="Arial"/>
                <w:lang w:val="es-ES" w:eastAsia="es-ES"/>
              </w:rPr>
              <w:t>1_2026_01_09_000210</w:t>
            </w:r>
          </w:p>
        </w:tc>
      </w:tr>
    </w:tbl>
    <w:p w14:paraId="7AB480FF" w14:textId="77777777" w:rsidR="00001841" w:rsidRPr="009969AD" w:rsidRDefault="00001841" w:rsidP="00001841">
      <w:pPr>
        <w:spacing w:after="0" w:line="276" w:lineRule="auto"/>
        <w:jc w:val="both"/>
        <w:rPr>
          <w:rFonts w:ascii="Verdana" w:eastAsia="Calibri" w:hAnsi="Verdana" w:cs="Arial"/>
          <w:color w:val="ED7D31" w:themeColor="accent2"/>
          <w:lang w:val="es-ES" w:eastAsia="es-ES"/>
        </w:rPr>
      </w:pPr>
    </w:p>
    <w:p w14:paraId="79C5A4C7" w14:textId="77777777" w:rsidR="00001841" w:rsidRPr="00BB595E" w:rsidRDefault="00001841" w:rsidP="00001841">
      <w:pPr>
        <w:spacing w:after="0" w:line="276" w:lineRule="auto"/>
        <w:jc w:val="both"/>
        <w:rPr>
          <w:rFonts w:ascii="Verdana" w:eastAsia="Calibri" w:hAnsi="Verdana" w:cs="Arial"/>
          <w:lang w:eastAsia="es-ES"/>
        </w:rPr>
      </w:pPr>
      <w:r w:rsidRPr="00BB595E">
        <w:rPr>
          <w:rFonts w:ascii="Verdana" w:eastAsia="Calibri" w:hAnsi="Verdana" w:cs="Arial"/>
          <w:lang w:eastAsia="es-ES"/>
        </w:rPr>
        <w:t xml:space="preserve">Estimado señor </w:t>
      </w:r>
      <w:r>
        <w:rPr>
          <w:rFonts w:ascii="Verdana" w:eastAsia="Calibri" w:hAnsi="Verdana" w:cs="Arial"/>
          <w:lang w:eastAsia="es-ES"/>
        </w:rPr>
        <w:t>Gutiérrez</w:t>
      </w:r>
      <w:r w:rsidRPr="00BB595E">
        <w:rPr>
          <w:rFonts w:ascii="Verdana" w:eastAsia="Calibri" w:hAnsi="Verdana" w:cs="Arial"/>
          <w:lang w:eastAsia="es-ES"/>
        </w:rPr>
        <w:t>:</w:t>
      </w:r>
    </w:p>
    <w:p w14:paraId="2E4F6719" w14:textId="77777777" w:rsidR="00001841" w:rsidRPr="00BB595E" w:rsidRDefault="00001841" w:rsidP="00001841">
      <w:pPr>
        <w:spacing w:after="0" w:line="276" w:lineRule="auto"/>
        <w:jc w:val="both"/>
        <w:rPr>
          <w:rFonts w:ascii="Verdana" w:eastAsia="Calibri" w:hAnsi="Verdana" w:cs="Arial"/>
          <w:lang w:eastAsia="es-ES"/>
        </w:rPr>
      </w:pPr>
      <w:r w:rsidRPr="00BB595E">
        <w:rPr>
          <w:rFonts w:ascii="Verdana" w:eastAsia="Calibri" w:hAnsi="Verdana" w:cs="Arial"/>
          <w:lang w:eastAsia="es-ES"/>
        </w:rPr>
        <w:t xml:space="preserve"> </w:t>
      </w:r>
    </w:p>
    <w:p w14:paraId="3732E6DA" w14:textId="77777777" w:rsidR="00001841" w:rsidRDefault="00001841" w:rsidP="00001841">
      <w:pPr>
        <w:tabs>
          <w:tab w:val="left" w:pos="3768"/>
        </w:tabs>
        <w:spacing w:after="0" w:line="276" w:lineRule="auto"/>
        <w:jc w:val="both"/>
        <w:rPr>
          <w:rFonts w:ascii="Verdana" w:eastAsia="Calibri" w:hAnsi="Verdana" w:cs="Arial"/>
          <w:lang w:eastAsia="es-ES"/>
        </w:rPr>
      </w:pPr>
      <w:r w:rsidRPr="00BB595E">
        <w:rPr>
          <w:rFonts w:ascii="Verdana" w:eastAsia="Calibri" w:hAnsi="Verdana" w:cs="Arial"/>
          <w:lang w:eastAsia="es-ES"/>
        </w:rPr>
        <w:t>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0</w:t>
      </w:r>
      <w:r>
        <w:rPr>
          <w:rFonts w:ascii="Verdana" w:eastAsia="Calibri" w:hAnsi="Verdana" w:cs="Arial"/>
          <w:lang w:eastAsia="es-ES"/>
        </w:rPr>
        <w:t>9</w:t>
      </w:r>
      <w:r w:rsidRPr="00BB595E">
        <w:rPr>
          <w:rFonts w:ascii="Verdana" w:eastAsia="Calibri" w:hAnsi="Verdana" w:cs="Arial"/>
          <w:lang w:eastAsia="es-ES"/>
        </w:rPr>
        <w:t xml:space="preserve"> de enero de 2026, en la cual manifiesta lo siguiente: </w:t>
      </w:r>
    </w:p>
    <w:p w14:paraId="36CEF896" w14:textId="77777777" w:rsidR="00001841" w:rsidRPr="00121C00" w:rsidRDefault="00001841" w:rsidP="00001841">
      <w:pPr>
        <w:tabs>
          <w:tab w:val="left" w:pos="3768"/>
        </w:tabs>
        <w:spacing w:after="0" w:line="276" w:lineRule="auto"/>
        <w:jc w:val="both"/>
        <w:rPr>
          <w:rFonts w:ascii="Verdana" w:eastAsia="Calibri" w:hAnsi="Verdana" w:cs="Arial"/>
          <w:lang w:eastAsia="es-ES"/>
        </w:rPr>
      </w:pPr>
    </w:p>
    <w:p w14:paraId="3D235F98" w14:textId="77777777" w:rsidR="00001841" w:rsidRPr="00121C00" w:rsidRDefault="00001841" w:rsidP="00001841">
      <w:pPr>
        <w:spacing w:before="120" w:after="120"/>
        <w:ind w:left="709" w:right="709"/>
        <w:contextualSpacing/>
        <w:jc w:val="both"/>
        <w:rPr>
          <w:rFonts w:ascii="Verdana" w:eastAsia="Century Gothic" w:hAnsi="Verdana" w:cs="Century Gothic"/>
          <w:i/>
          <w:iCs/>
          <w:sz w:val="20"/>
          <w:szCs w:val="20"/>
          <w:lang w:val="es-ES"/>
        </w:rPr>
      </w:pPr>
      <w:r w:rsidRPr="00121C00">
        <w:rPr>
          <w:rFonts w:ascii="Verdana" w:eastAsia="Century Gothic" w:hAnsi="Verdana" w:cs="Century Gothic"/>
          <w:i/>
          <w:iCs/>
          <w:sz w:val="20"/>
          <w:szCs w:val="20"/>
          <w:lang w:val="es-ES"/>
        </w:rPr>
        <w:t xml:space="preserve">“(…) </w:t>
      </w:r>
      <w:r w:rsidRPr="00AD3814">
        <w:rPr>
          <w:rFonts w:ascii="Verdana" w:eastAsia="Century Gothic" w:hAnsi="Verdana" w:cs="Century Gothic"/>
          <w:i/>
          <w:iCs/>
          <w:sz w:val="20"/>
          <w:szCs w:val="20"/>
          <w:lang w:val="es-ES"/>
        </w:rPr>
        <w:t>en ley de garantías se puede suscribir convenio o contrato con el cuerpo de</w:t>
      </w:r>
      <w:r>
        <w:rPr>
          <w:rFonts w:ascii="Verdana" w:eastAsia="Century Gothic" w:hAnsi="Verdana" w:cs="Century Gothic"/>
          <w:i/>
          <w:iCs/>
          <w:sz w:val="20"/>
          <w:szCs w:val="20"/>
          <w:lang w:val="es-ES"/>
        </w:rPr>
        <w:t xml:space="preserve"> </w:t>
      </w:r>
      <w:r w:rsidRPr="00AD3814">
        <w:rPr>
          <w:rFonts w:ascii="Verdana" w:eastAsia="Century Gothic" w:hAnsi="Verdana" w:cs="Century Gothic"/>
          <w:i/>
          <w:iCs/>
          <w:sz w:val="20"/>
          <w:szCs w:val="20"/>
          <w:lang w:val="es-ES"/>
        </w:rPr>
        <w:t>bomberos del municipio siendo que estos estarían dentro de las excepciones</w:t>
      </w:r>
      <w:r>
        <w:rPr>
          <w:rFonts w:ascii="Verdana" w:eastAsia="Century Gothic" w:hAnsi="Verdana" w:cs="Century Gothic"/>
          <w:i/>
          <w:iCs/>
          <w:sz w:val="20"/>
          <w:szCs w:val="20"/>
          <w:lang w:val="es-ES"/>
        </w:rPr>
        <w:t xml:space="preserve"> </w:t>
      </w:r>
      <w:r w:rsidRPr="00AD3814">
        <w:rPr>
          <w:rFonts w:ascii="Verdana" w:eastAsia="Century Gothic" w:hAnsi="Verdana" w:cs="Century Gothic"/>
          <w:i/>
          <w:iCs/>
          <w:sz w:val="20"/>
          <w:szCs w:val="20"/>
          <w:lang w:val="es-ES"/>
        </w:rPr>
        <w:t xml:space="preserve">descritas en la norma </w:t>
      </w:r>
      <w:r w:rsidRPr="00121C00">
        <w:rPr>
          <w:rFonts w:ascii="Verdana" w:eastAsia="Century Gothic" w:hAnsi="Verdana" w:cs="Century Gothic"/>
          <w:i/>
          <w:iCs/>
          <w:sz w:val="20"/>
          <w:szCs w:val="20"/>
          <w:lang w:val="es-ES"/>
        </w:rPr>
        <w:t>(…)”</w:t>
      </w:r>
    </w:p>
    <w:p w14:paraId="1117208A" w14:textId="77777777" w:rsidR="00001841" w:rsidRPr="009969AD" w:rsidRDefault="00001841" w:rsidP="00001841">
      <w:pPr>
        <w:spacing w:before="120" w:after="120"/>
        <w:ind w:right="709"/>
        <w:contextualSpacing/>
        <w:jc w:val="both"/>
        <w:rPr>
          <w:rFonts w:ascii="Verdana" w:eastAsia="Century Gothic" w:hAnsi="Verdana" w:cs="Century Gothic"/>
          <w:i/>
          <w:iCs/>
          <w:color w:val="ED7D31" w:themeColor="accent2"/>
          <w:sz w:val="20"/>
          <w:szCs w:val="20"/>
          <w:lang w:val="es-ES"/>
        </w:rPr>
      </w:pPr>
    </w:p>
    <w:p w14:paraId="3F480B33" w14:textId="77777777" w:rsidR="00001841" w:rsidRPr="00DC2EF1" w:rsidRDefault="00001841" w:rsidP="00001841">
      <w:pPr>
        <w:spacing w:after="120" w:line="276" w:lineRule="auto"/>
        <w:ind w:firstLine="708"/>
        <w:jc w:val="both"/>
        <w:rPr>
          <w:rFonts w:ascii="Verdana" w:eastAsia="Calibri" w:hAnsi="Verdana" w:cs="Arial"/>
          <w:lang w:val="es-ES" w:eastAsia="es-ES"/>
        </w:rPr>
      </w:pPr>
      <w:r w:rsidRPr="00DC2EF1">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sidRPr="00DC2EF1">
        <w:rPr>
          <w:rFonts w:ascii="Verdana" w:eastAsia="Calibri" w:hAnsi="Verdana" w:cs="Arial"/>
          <w:lang w:val="es-ES" w:eastAsia="es-ES"/>
        </w:rPr>
        <w:lastRenderedPageBreak/>
        <w:t xml:space="preserve">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C2EF1">
        <w:rPr>
          <w:rFonts w:ascii="Verdana" w:hAnsi="Verdana"/>
          <w:lang w:val="es-ES"/>
        </w:rPr>
        <w:tab/>
      </w:r>
    </w:p>
    <w:p w14:paraId="49E27ECA" w14:textId="77777777" w:rsidR="00001841" w:rsidRPr="00DC2EF1" w:rsidRDefault="00001841" w:rsidP="00001841">
      <w:pPr>
        <w:spacing w:after="0" w:line="276" w:lineRule="auto"/>
        <w:ind w:firstLine="709"/>
        <w:jc w:val="both"/>
        <w:rPr>
          <w:rFonts w:ascii="Verdana" w:eastAsia="Calibri" w:hAnsi="Verdana" w:cs="Arial"/>
          <w:lang w:val="es-ES" w:eastAsia="es-ES"/>
        </w:rPr>
      </w:pPr>
      <w:r w:rsidRPr="00DC2EF1">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1126EE5E" w14:textId="77777777" w:rsidR="00001841" w:rsidRPr="00DC2EF1" w:rsidRDefault="00001841" w:rsidP="00001841">
      <w:pPr>
        <w:spacing w:after="0" w:line="276" w:lineRule="auto"/>
        <w:ind w:firstLine="709"/>
        <w:jc w:val="both"/>
        <w:rPr>
          <w:rFonts w:ascii="Verdana" w:eastAsia="Calibri" w:hAnsi="Verdana" w:cs="Arial"/>
          <w:lang w:val="es-ES" w:eastAsia="es-ES"/>
        </w:rPr>
      </w:pPr>
    </w:p>
    <w:p w14:paraId="1D933D9B" w14:textId="77777777" w:rsidR="00001841" w:rsidRPr="00DC2EF1" w:rsidRDefault="00001841" w:rsidP="00001841">
      <w:pPr>
        <w:tabs>
          <w:tab w:val="left" w:pos="142"/>
          <w:tab w:val="left" w:pos="284"/>
        </w:tabs>
        <w:spacing w:after="0" w:line="276" w:lineRule="auto"/>
        <w:contextualSpacing/>
        <w:jc w:val="both"/>
        <w:rPr>
          <w:rFonts w:ascii="Verdana" w:eastAsia="Century Gothic" w:hAnsi="Verdana" w:cs="Century Gothic"/>
          <w:b/>
          <w:lang w:val="es-ES"/>
        </w:rPr>
      </w:pPr>
      <w:r w:rsidRPr="00DC2EF1">
        <w:rPr>
          <w:rFonts w:ascii="Verdana" w:eastAsia="Century Gothic" w:hAnsi="Verdana" w:cs="Century Gothic"/>
          <w:b/>
          <w:lang w:val="es-ES"/>
        </w:rPr>
        <w:t>1. Problema planteado:</w:t>
      </w:r>
    </w:p>
    <w:p w14:paraId="34AF124A" w14:textId="77777777" w:rsidR="00001841" w:rsidRPr="009969AD" w:rsidRDefault="00001841" w:rsidP="00001841">
      <w:pPr>
        <w:tabs>
          <w:tab w:val="left" w:pos="426"/>
        </w:tabs>
        <w:spacing w:after="0" w:line="276" w:lineRule="auto"/>
        <w:jc w:val="both"/>
        <w:rPr>
          <w:rFonts w:ascii="Verdana" w:eastAsia="Century Gothic" w:hAnsi="Verdana" w:cs="Century Gothic"/>
          <w:color w:val="ED7D31" w:themeColor="accent2"/>
          <w:lang w:val="es-ES"/>
        </w:rPr>
      </w:pPr>
    </w:p>
    <w:p w14:paraId="3B5D7674" w14:textId="77777777" w:rsidR="00001841" w:rsidRPr="009969AD" w:rsidRDefault="00001841" w:rsidP="00001841">
      <w:pPr>
        <w:spacing w:after="0" w:line="276" w:lineRule="auto"/>
        <w:jc w:val="both"/>
        <w:rPr>
          <w:rFonts w:ascii="Verdana" w:eastAsia="Century Gothic" w:hAnsi="Verdana" w:cs="Century Gothic"/>
          <w:color w:val="ED7D31" w:themeColor="accent2"/>
        </w:rPr>
      </w:pPr>
      <w:r w:rsidRPr="00B02B2F">
        <w:rPr>
          <w:rFonts w:ascii="Verdana" w:eastAsia="Century Gothic" w:hAnsi="Verdana" w:cs="Century Gothic"/>
          <w:lang w:val="es-ES"/>
        </w:rPr>
        <w:t xml:space="preserve">De acuerdo con el contenido de su solicitud, esta Agencia resolverá el siguiente problema </w:t>
      </w:r>
      <w:r w:rsidRPr="00A16078">
        <w:rPr>
          <w:rFonts w:ascii="Verdana" w:eastAsia="Century Gothic" w:hAnsi="Verdana" w:cs="Century Gothic"/>
          <w:lang w:val="es-ES"/>
        </w:rPr>
        <w:t xml:space="preserve">jurídico: </w:t>
      </w:r>
      <w:r w:rsidRPr="00E32C2E">
        <w:rPr>
          <w:rFonts w:ascii="Verdana" w:eastAsia="Century Gothic" w:hAnsi="Verdana" w:cs="Century Gothic"/>
        </w:rPr>
        <w:t>¿Pueden las entidades territoriales suscribir convenios o contratos con el Cuerpo de Bomberos del municipio durante la vigencia de la Ley 996 de 2005?</w:t>
      </w:r>
    </w:p>
    <w:p w14:paraId="0B960441" w14:textId="77777777" w:rsidR="00001841" w:rsidRDefault="00001841" w:rsidP="00001841">
      <w:pPr>
        <w:spacing w:after="0" w:line="276" w:lineRule="auto"/>
        <w:jc w:val="both"/>
        <w:rPr>
          <w:rFonts w:ascii="Verdana" w:eastAsia="Century Gothic" w:hAnsi="Verdana" w:cs="Century Gothic"/>
        </w:rPr>
      </w:pPr>
    </w:p>
    <w:p w14:paraId="152DE95D" w14:textId="77777777" w:rsidR="00001841" w:rsidRPr="00121C00" w:rsidRDefault="00001841" w:rsidP="00001841">
      <w:pPr>
        <w:tabs>
          <w:tab w:val="left" w:pos="142"/>
          <w:tab w:val="left" w:pos="284"/>
        </w:tabs>
        <w:spacing w:after="0" w:line="276" w:lineRule="auto"/>
        <w:jc w:val="both"/>
        <w:rPr>
          <w:rFonts w:ascii="Verdana" w:eastAsia="Century Gothic" w:hAnsi="Verdana" w:cs="Century Gothic"/>
          <w:b/>
          <w:lang w:val="es-ES"/>
        </w:rPr>
      </w:pPr>
      <w:r w:rsidRPr="00121C00">
        <w:rPr>
          <w:rFonts w:ascii="Verdana" w:eastAsia="Century Gothic" w:hAnsi="Verdana" w:cs="Century Gothic"/>
          <w:b/>
          <w:lang w:val="es-ES"/>
        </w:rPr>
        <w:t>2. Respuesta:</w:t>
      </w:r>
    </w:p>
    <w:p w14:paraId="1D5E4DA8" w14:textId="77777777" w:rsidR="00001841" w:rsidRPr="009969AD" w:rsidRDefault="00001841" w:rsidP="00001841">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01841" w:rsidRPr="009969AD" w14:paraId="4E01E79F" w14:textId="77777777" w:rsidTr="00343897">
        <w:tc>
          <w:tcPr>
            <w:tcW w:w="8828" w:type="dxa"/>
          </w:tcPr>
          <w:p w14:paraId="45D5FAB3" w14:textId="77777777" w:rsidR="00001841" w:rsidRDefault="00001841" w:rsidP="00343897">
            <w:pPr>
              <w:spacing w:before="120" w:after="120" w:line="276" w:lineRule="auto"/>
              <w:jc w:val="both"/>
              <w:rPr>
                <w:rFonts w:ascii="Verdana" w:eastAsia="Arial" w:hAnsi="Verdana" w:cs="Arial"/>
                <w:lang w:eastAsia="es-ES" w:bidi="es-ES"/>
              </w:rPr>
            </w:pPr>
            <w:r w:rsidRPr="00C26B37">
              <w:rPr>
                <w:rFonts w:ascii="Verdana" w:eastAsia="Calibri" w:hAnsi="Verdana" w:cs="Arial"/>
              </w:rPr>
              <w:t xml:space="preserve">Para resolver el problema jurídico planteado, en primer lugar, es importante precisar que las restricciones de las que versa </w:t>
            </w:r>
            <w:r>
              <w:rPr>
                <w:rFonts w:ascii="Verdana" w:eastAsia="Calibri" w:hAnsi="Verdana" w:cs="Arial"/>
              </w:rPr>
              <w:t xml:space="preserve">la Ley 996 de 2005, </w:t>
            </w:r>
            <w:r w:rsidRPr="00C26B37">
              <w:rPr>
                <w:rFonts w:ascii="Verdana" w:eastAsia="Arial" w:hAnsi="Verdana" w:cs="Arial"/>
                <w:lang w:eastAsia="es-ES" w:bidi="es-ES"/>
              </w:rPr>
              <w:t>se dirigen a dos (2) tipos de campañas electorales diferenciadas: i) las presidenciales y ii) las que se adelanten para la elección de los demás cargos de elección popular, tanto a nivel nacional como territorial.</w:t>
            </w:r>
            <w:r>
              <w:rPr>
                <w:rFonts w:ascii="Verdana" w:eastAsia="Arial" w:hAnsi="Verdana" w:cs="Arial"/>
                <w:lang w:eastAsia="es-ES" w:bidi="es-ES"/>
              </w:rPr>
              <w:t xml:space="preserve"> </w:t>
            </w:r>
          </w:p>
          <w:p w14:paraId="3CFF889C" w14:textId="77777777" w:rsidR="00001841" w:rsidRPr="00FF007A" w:rsidRDefault="00001841" w:rsidP="00343897">
            <w:pPr>
              <w:spacing w:before="120" w:after="120" w:line="276" w:lineRule="auto"/>
              <w:ind w:firstLine="709"/>
              <w:jc w:val="both"/>
              <w:rPr>
                <w:rFonts w:ascii="Verdana" w:eastAsia="Calibri" w:hAnsi="Verdana" w:cs="Arial"/>
              </w:rPr>
            </w:pPr>
            <w:r>
              <w:rPr>
                <w:rFonts w:ascii="Verdana" w:eastAsia="Arial" w:hAnsi="Verdana" w:cs="Arial"/>
                <w:lang w:eastAsia="es-ES" w:bidi="es-ES"/>
              </w:rPr>
              <w:t xml:space="preserve">Las primeras están estipuladas en el artículo 33 de la mencionada ley la cual </w:t>
            </w:r>
            <w:r w:rsidRPr="00FF007A">
              <w:rPr>
                <w:rFonts w:ascii="Verdana" w:eastAsia="Calibri" w:hAnsi="Verdana" w:cs="Arial"/>
              </w:rPr>
              <w:t xml:space="preserve"> “</w:t>
            </w:r>
            <w:r>
              <w:rPr>
                <w:rFonts w:ascii="Verdana" w:eastAsia="Calibri" w:hAnsi="Verdana" w:cs="Arial"/>
              </w:rPr>
              <w:t>[…]</w:t>
            </w:r>
            <w:r w:rsidRPr="00FF007A">
              <w:rPr>
                <w:rFonts w:ascii="Verdana" w:eastAsia="Calibri" w:hAnsi="Verdana" w:cs="Arial"/>
              </w:rPr>
              <w:t xml:space="preserve"> la contratación directa por parte de </w:t>
            </w:r>
            <w:r w:rsidRPr="00FF007A">
              <w:rPr>
                <w:rFonts w:ascii="Verdana" w:eastAsia="Calibri" w:hAnsi="Verdana" w:cs="Arial"/>
                <w:i/>
                <w:iCs/>
              </w:rPr>
              <w:t>todos los entes del Estado</w:t>
            </w:r>
            <w:r w:rsidRPr="00FF007A">
              <w:rPr>
                <w:rFonts w:ascii="Verdana" w:eastAsia="Calibri" w:hAnsi="Verdana" w:cs="Arial"/>
              </w:rPr>
              <w:t xml:space="preserve">” durante los cuatro (4) meses anteriores a las </w:t>
            </w:r>
            <w:r w:rsidRPr="00FF007A">
              <w:rPr>
                <w:rFonts w:ascii="Verdana" w:eastAsia="Calibri" w:hAnsi="Verdana" w:cs="Arial"/>
                <w:i/>
                <w:iCs/>
              </w:rPr>
              <w:t>elecciones presidenciales</w:t>
            </w:r>
            <w:r w:rsidRPr="00FF007A">
              <w:rPr>
                <w:rFonts w:ascii="Verdana" w:eastAsia="Calibri" w:hAnsi="Verdana" w:cs="Arial"/>
              </w:rPr>
              <w:t xml:space="preserve">,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w:t>
            </w:r>
            <w:r w:rsidRPr="00FF007A">
              <w:rPr>
                <w:rFonts w:ascii="Verdana" w:eastAsia="Calibri" w:hAnsi="Verdana" w:cs="Arial"/>
              </w:rPr>
              <w:lastRenderedPageBreak/>
              <w:t>naturales o casos de fuerza mayor, y los que deban realizar las entidades sanitarias y hospitalarias”.</w:t>
            </w:r>
          </w:p>
          <w:p w14:paraId="32288B82" w14:textId="77777777" w:rsidR="00001841" w:rsidRDefault="00001841" w:rsidP="00343897">
            <w:pPr>
              <w:spacing w:after="120" w:line="276" w:lineRule="auto"/>
              <w:ind w:firstLine="709"/>
              <w:jc w:val="both"/>
              <w:rPr>
                <w:rFonts w:ascii="Verdana" w:eastAsia="Times New Roman" w:hAnsi="Verdana" w:cs="Arial"/>
                <w:lang w:eastAsia="es-CO"/>
              </w:rPr>
            </w:pPr>
            <w:r>
              <w:rPr>
                <w:rFonts w:ascii="Verdana" w:eastAsia="Calibri" w:hAnsi="Verdana" w:cs="Arial"/>
              </w:rPr>
              <w:t>Y p</w:t>
            </w:r>
            <w:r w:rsidRPr="00FF007A">
              <w:rPr>
                <w:rFonts w:ascii="Verdana" w:eastAsia="Calibri" w:hAnsi="Verdana" w:cs="Arial"/>
              </w:rPr>
              <w:t>or otr</w:t>
            </w:r>
            <w:r>
              <w:rPr>
                <w:rFonts w:ascii="Verdana" w:eastAsia="Calibri" w:hAnsi="Verdana" w:cs="Arial"/>
              </w:rPr>
              <w:t>a parte</w:t>
            </w:r>
            <w:r w:rsidRPr="00FF007A">
              <w:rPr>
                <w:rFonts w:ascii="Verdana" w:eastAsia="Calibri" w:hAnsi="Verdana" w:cs="Arial"/>
              </w:rPr>
              <w:t>,</w:t>
            </w:r>
            <w:r>
              <w:rPr>
                <w:rFonts w:ascii="Verdana" w:eastAsia="Calibri" w:hAnsi="Verdana" w:cs="Arial"/>
              </w:rPr>
              <w:t xml:space="preserve"> para las segundas,</w:t>
            </w:r>
            <w:r w:rsidRPr="00FF007A">
              <w:rPr>
                <w:rFonts w:ascii="Verdana" w:eastAsia="Calibri" w:hAnsi="Verdana" w:cs="Arial"/>
              </w:rPr>
              <w:t xml:space="preserve"> </w:t>
            </w:r>
            <w:r w:rsidRPr="00FF007A">
              <w:rPr>
                <w:rFonts w:ascii="Verdana" w:eastAsia="Calibri" w:hAnsi="Verdana" w:cs="Arial"/>
                <w:i/>
                <w:iCs/>
              </w:rPr>
              <w:t xml:space="preserve">el parágrafo del artículo 38 </w:t>
            </w:r>
            <w:r w:rsidRPr="00FF007A">
              <w:rPr>
                <w:rFonts w:ascii="Verdana" w:eastAsia="Calibri" w:hAnsi="Verdana" w:cs="Arial"/>
              </w:rPr>
              <w:t xml:space="preserve">de la Ley 996 de 2005 prevé una restricción, aplicable respecto de </w:t>
            </w:r>
            <w:r w:rsidRPr="00FF007A">
              <w:rPr>
                <w:rFonts w:ascii="Verdana" w:eastAsia="Calibri" w:hAnsi="Verdana" w:cs="Arial"/>
                <w:i/>
                <w:iCs/>
              </w:rPr>
              <w:t>cualquier tipo de contienda electoral</w:t>
            </w:r>
            <w:r w:rsidRPr="00FF007A">
              <w:rPr>
                <w:rFonts w:ascii="Verdana" w:eastAsia="Calibri" w:hAnsi="Verdana" w:cs="Arial"/>
              </w:rPr>
              <w:t>, que prohíbe a los gobernadores, alcaldes municipales o distritales, secretarios, gerentes y directores de entidades descentralizadas del orden municipal, departamental o distrital “</w:t>
            </w:r>
            <w:r>
              <w:rPr>
                <w:rFonts w:ascii="Verdana" w:eastAsia="Calibri" w:hAnsi="Verdana" w:cs="Arial"/>
              </w:rPr>
              <w:t xml:space="preserve">[…] </w:t>
            </w:r>
            <w:r w:rsidRPr="00FF007A">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F007A">
              <w:rPr>
                <w:rFonts w:ascii="Verdana" w:eastAsia="Arial" w:hAnsi="Verdana" w:cs="Arial"/>
                <w:lang w:eastAsia="es-ES" w:bidi="es-ES"/>
              </w:rPr>
              <w:t xml:space="preserve"> </w:t>
            </w:r>
            <w:r w:rsidRPr="00667CD6">
              <w:rPr>
                <w:rFonts w:ascii="Verdana" w:eastAsia="Times New Roman" w:hAnsi="Verdana" w:cs="Arial"/>
                <w:lang w:eastAsia="es-CO"/>
              </w:rPr>
              <w:t xml:space="preserve">En este sentido, si una o ambas partes de la relación contractual es una entidad de aquellas descritas en el parágrafo, no podrá celebrar tales </w:t>
            </w:r>
            <w:r w:rsidRPr="00667CD6">
              <w:rPr>
                <w:rFonts w:ascii="Verdana" w:eastAsia="Times New Roman" w:hAnsi="Verdana" w:cs="Arial"/>
                <w:i/>
                <w:iCs/>
                <w:lang w:eastAsia="es-CO"/>
              </w:rPr>
              <w:t>convenios</w:t>
            </w:r>
            <w:r w:rsidRPr="00667CD6">
              <w:rPr>
                <w:rFonts w:ascii="Verdana" w:eastAsia="Times New Roman" w:hAnsi="Verdana" w:cs="Arial"/>
                <w:lang w:eastAsia="es-CO"/>
              </w:rPr>
              <w:t xml:space="preserve"> durante la aplicación de la Ley de Garantías Electorales</w:t>
            </w:r>
            <w:r>
              <w:rPr>
                <w:rFonts w:ascii="Verdana" w:eastAsia="Times New Roman" w:hAnsi="Verdana" w:cs="Arial"/>
                <w:lang w:eastAsia="es-CO"/>
              </w:rPr>
              <w:t>.</w:t>
            </w:r>
          </w:p>
          <w:p w14:paraId="587CD4F7" w14:textId="77777777" w:rsidR="00001841" w:rsidRPr="00D92AF8" w:rsidRDefault="00001841" w:rsidP="00343897">
            <w:pPr>
              <w:spacing w:after="120" w:line="276" w:lineRule="auto"/>
              <w:ind w:firstLine="709"/>
              <w:jc w:val="both"/>
              <w:rPr>
                <w:rFonts w:ascii="Verdana" w:hAnsi="Verdana" w:cs="Arial"/>
                <w:lang w:eastAsia="x-none"/>
              </w:rPr>
            </w:pPr>
            <w:r>
              <w:rPr>
                <w:rFonts w:ascii="Verdana" w:eastAsia="Times New Roman" w:hAnsi="Verdana" w:cs="Arial"/>
                <w:lang w:eastAsia="es-CO"/>
              </w:rPr>
              <w:t xml:space="preserve">En ese contexto, </w:t>
            </w:r>
            <w:r w:rsidRPr="00D92AF8">
              <w:rPr>
                <w:rFonts w:ascii="Verdana" w:hAnsi="Verdana" w:cs="Arial"/>
                <w:bCs/>
                <w:lang w:val="es-MX" w:eastAsia="x-none"/>
              </w:rPr>
              <w:t xml:space="preserve">para efectos de la Ley de Garantías Electorales y, en particular, para la prohibición o restricción temporal contenida en su artículo 33, que la </w:t>
            </w:r>
            <w:r>
              <w:rPr>
                <w:rFonts w:ascii="Verdana" w:hAnsi="Verdana" w:cs="Arial"/>
                <w:bCs/>
                <w:lang w:val="es-MX" w:eastAsia="x-none"/>
              </w:rPr>
              <w:t>“</w:t>
            </w:r>
            <w:r w:rsidRPr="00D92AF8">
              <w:rPr>
                <w:rFonts w:ascii="Verdana" w:hAnsi="Verdana" w:cs="Arial"/>
                <w:bCs/>
                <w:lang w:val="es-MX" w:eastAsia="x-none"/>
              </w:rPr>
              <w:t>contratación directa</w:t>
            </w:r>
            <w:r>
              <w:rPr>
                <w:rFonts w:ascii="Verdana" w:hAnsi="Verdana" w:cs="Arial"/>
                <w:bCs/>
                <w:lang w:val="es-MX" w:eastAsia="x-none"/>
              </w:rPr>
              <w:t>”</w:t>
            </w:r>
            <w:r w:rsidRPr="00D92AF8">
              <w:rPr>
                <w:rFonts w:ascii="Verdana"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 De lo anterior se desprende que la prohibición aplica, sin perjuicio de las excepciones establecidas en la misma ley, para celebrar cualquier contrato que se celebre de forma directa, esto es, sin que exista un proceso abierto y competitivo.</w:t>
            </w:r>
            <w:r w:rsidRPr="00D92AF8">
              <w:rPr>
                <w:rFonts w:ascii="Verdana" w:hAnsi="Verdana" w:cs="Arial"/>
                <w:lang w:eastAsia="x-none"/>
              </w:rPr>
              <w:t xml:space="preserve"> </w:t>
            </w:r>
          </w:p>
          <w:p w14:paraId="4802E04C" w14:textId="77777777" w:rsidR="00001841" w:rsidRDefault="00001841" w:rsidP="00343897">
            <w:pPr>
              <w:tabs>
                <w:tab w:val="left" w:pos="426"/>
              </w:tabs>
              <w:spacing w:after="120" w:line="276" w:lineRule="auto"/>
              <w:ind w:firstLine="709"/>
              <w:jc w:val="both"/>
              <w:rPr>
                <w:rFonts w:ascii="Verdana" w:eastAsia="Times New Roman" w:hAnsi="Verdana" w:cs="Arial"/>
                <w:bCs/>
                <w:lang w:eastAsia="es-CO"/>
              </w:rPr>
            </w:pPr>
            <w:r w:rsidRPr="00D92AF8">
              <w:rPr>
                <w:rFonts w:ascii="Verdana" w:hAnsi="Verdana" w:cs="Arial"/>
                <w:bCs/>
                <w:lang w:val="es-MX" w:eastAsia="x-none"/>
              </w:rPr>
              <w:t>Así las cosas, los distritos y municipios, quienes tienen a cargo la prestación del servicio público bomberil, durante los cuatro (4) meses anteriores a la elección presidencial y hasta la realización de la elección en la segunda vuelta</w:t>
            </w:r>
            <w:r w:rsidRPr="00D92AF8">
              <w:rPr>
                <w:rFonts w:ascii="Verdana" w:eastAsia="Times New Roman" w:hAnsi="Verdana" w:cs="Arial"/>
                <w:bCs/>
                <w:lang w:eastAsia="es-CO"/>
              </w:rPr>
              <w:t xml:space="preserve"> podrán celebrar contratos y convenios con Cuerpos de Bomberos Voluntarios siempre que la escogencia del contratista se realice mediante un procedimiento abierto y competitivo, que permita la participación de una pluralidad de oferentes. Por el contrario, no le será posible a estos entes territoriales celebrar contratos de forma directa, esto es a través de cualquier sistema de selección de contratistas en el que no exista convocatoria pública, ni sea posible la participación de una pluralidad de oferentes, independientemente del régimen de contratación que se aplique. </w:t>
            </w:r>
          </w:p>
          <w:p w14:paraId="316391E9" w14:textId="77777777" w:rsidR="00001841" w:rsidRPr="009746EF" w:rsidRDefault="00001841" w:rsidP="00343897">
            <w:pPr>
              <w:tabs>
                <w:tab w:val="left" w:pos="426"/>
              </w:tabs>
              <w:spacing w:after="120" w:line="276" w:lineRule="auto"/>
              <w:ind w:firstLine="709"/>
              <w:jc w:val="both"/>
              <w:rPr>
                <w:rFonts w:ascii="Verdana" w:eastAsia="Times New Roman" w:hAnsi="Verdana" w:cs="Arial"/>
                <w:bCs/>
                <w:lang w:val="es-MX" w:eastAsia="es-CO"/>
              </w:rPr>
            </w:pPr>
            <w:r w:rsidRPr="00D92AF8">
              <w:rPr>
                <w:rFonts w:ascii="Verdana" w:eastAsia="Times New Roman" w:hAnsi="Verdana" w:cs="Arial"/>
                <w:bCs/>
                <w:lang w:eastAsia="es-CO"/>
              </w:rPr>
              <w:lastRenderedPageBreak/>
              <w:t xml:space="preserve">Lo último, salvo que el contrato específico a celebrar se enmarque en alguna de las excepciones establecidas en el inciso segundo del artículo 33 de la Ley 996 de 2005, bajo los cuales se excepciona la prohibición de la contratación directa, esto es, lo referente a: </w:t>
            </w:r>
            <w:r w:rsidRPr="00D92AF8">
              <w:rPr>
                <w:rFonts w:ascii="Verdana" w:eastAsia="Times New Roman" w:hAnsi="Verdana" w:cs="Arial"/>
                <w:bCs/>
                <w:lang w:val="es-MX" w:eastAsia="x-none"/>
              </w:rPr>
              <w:t>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D92AF8">
              <w:rPr>
                <w:rFonts w:ascii="Verdana" w:eastAsia="Times New Roman" w:hAnsi="Verdana" w:cs="Arial"/>
                <w:bCs/>
                <w:lang w:val="es-MX" w:eastAsia="es-CO"/>
              </w:rPr>
              <w:t xml:space="preserve"> Es responsabilidad del respectivo ente del Estado, examinar en cada caso concreto si el contrato a </w:t>
            </w:r>
            <w:r w:rsidRPr="009746EF">
              <w:rPr>
                <w:rFonts w:ascii="Verdana" w:eastAsia="Times New Roman" w:hAnsi="Verdana" w:cs="Arial"/>
                <w:bCs/>
                <w:lang w:val="es-MX" w:eastAsia="es-CO"/>
              </w:rPr>
              <w:t>celebrar se enmarca en alguna de las mencionadas excepciones.</w:t>
            </w:r>
          </w:p>
          <w:p w14:paraId="53E16A5D" w14:textId="77777777" w:rsidR="00001841" w:rsidRPr="008218EB" w:rsidRDefault="00001841" w:rsidP="00343897">
            <w:pPr>
              <w:spacing w:after="120" w:line="276" w:lineRule="auto"/>
              <w:ind w:firstLine="709"/>
              <w:jc w:val="both"/>
              <w:rPr>
                <w:rFonts w:ascii="Verdana" w:eastAsia="Arial" w:hAnsi="Verdana" w:cs="Arial"/>
                <w:color w:val="ED7D31" w:themeColor="accent2"/>
              </w:rPr>
            </w:pPr>
            <w:r w:rsidRPr="008218EB">
              <w:rPr>
                <w:rFonts w:ascii="Verdana" w:eastAsia="Arial" w:hAnsi="Verdana" w:cs="Arial"/>
              </w:rPr>
              <w:t>De igual forma, el parágrafo del artículo 38 de la Ley 996 de 2005 prohíbe a los alcaldes, gobernadores, así como a los secretarios, gerentes y directores de entidades del orden municipal, departamental o distrital, celebrar convenios interadministrativos para la ejecución de recursos públicos dentro de los cuatro (4) meses anteriores a las elecciones. En consecuencia, durante el ámbito temporal de dicha prohibición, las entidades allí señaladas no podrán suscribir este tipo de convenios.</w:t>
            </w:r>
            <w:r w:rsidRPr="009746EF">
              <w:rPr>
                <w:rFonts w:ascii="Verdana" w:eastAsia="Arial" w:hAnsi="Verdana" w:cs="Arial"/>
              </w:rPr>
              <w:t xml:space="preserve"> </w:t>
            </w:r>
            <w:r w:rsidRPr="008218EB">
              <w:rPr>
                <w:rFonts w:ascii="Verdana" w:eastAsia="Arial" w:hAnsi="Verdana" w:cs="Arial"/>
              </w:rPr>
              <w:t>No obstante, considerando la naturaleza jurídica privada de los Cuerpos de Bomberos Voluntarios, la restricción prevista en la disposición citada no resultaría aplicable cuando el convenio se celebre con estos, en la medida en que no tendría carácter interadministrativo, al no cumplirse el criterio orgánico que caracteriza esta modalidad contractual</w:t>
            </w:r>
            <w:r w:rsidRPr="008218EB">
              <w:rPr>
                <w:rFonts w:ascii="Verdana" w:eastAsia="Arial" w:hAnsi="Verdana" w:cs="Arial"/>
                <w:color w:val="ED7D31" w:themeColor="accent2"/>
              </w:rPr>
              <w:t>.</w:t>
            </w:r>
          </w:p>
          <w:p w14:paraId="09BA6002" w14:textId="77777777" w:rsidR="00001841" w:rsidRPr="009969AD" w:rsidRDefault="00001841" w:rsidP="00343897">
            <w:pPr>
              <w:spacing w:before="120" w:after="120" w:line="276" w:lineRule="auto"/>
              <w:ind w:firstLine="709"/>
              <w:jc w:val="both"/>
              <w:rPr>
                <w:rFonts w:ascii="Verdana" w:eastAsia="Calibri" w:hAnsi="Verdana" w:cs="Arial"/>
                <w:color w:val="ED7D31" w:themeColor="accent2"/>
              </w:rPr>
            </w:pPr>
            <w:r w:rsidRPr="00952B33">
              <w:rPr>
                <w:rFonts w:ascii="Verdana" w:eastAsia="Calibri" w:hAnsi="Verdana" w:cs="Arial"/>
                <w:bCs/>
              </w:rPr>
              <w:t>Finalmente</w:t>
            </w:r>
            <w:r w:rsidRPr="00952B33">
              <w:rPr>
                <w:rFonts w:ascii="Verdana" w:eastAsia="Calibri" w:hAnsi="Verdana" w:cs="Times New Roman"/>
                <w:lang w:val="es-ES"/>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952B33">
              <w:rPr>
                <w:rFonts w:ascii="Verdana" w:hAnsi="Verdana"/>
              </w:rPr>
              <w:t xml:space="preserve"> </w:t>
            </w:r>
          </w:p>
        </w:tc>
      </w:tr>
    </w:tbl>
    <w:p w14:paraId="3A1F8FC3" w14:textId="77777777" w:rsidR="00001841" w:rsidRPr="009969AD" w:rsidRDefault="00001841" w:rsidP="00001841">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67DAECE0" w14:textId="77777777" w:rsidR="00001841" w:rsidRPr="00B02B2F" w:rsidRDefault="00001841" w:rsidP="00001841">
      <w:pPr>
        <w:tabs>
          <w:tab w:val="left" w:pos="142"/>
          <w:tab w:val="left" w:pos="284"/>
        </w:tabs>
        <w:spacing w:after="0" w:line="276" w:lineRule="auto"/>
        <w:jc w:val="both"/>
        <w:rPr>
          <w:rFonts w:ascii="Verdana" w:eastAsia="Century Gothic" w:hAnsi="Verdana" w:cs="Century Gothic"/>
          <w:b/>
          <w:lang w:val="es-ES"/>
        </w:rPr>
      </w:pPr>
      <w:r w:rsidRPr="00B02B2F">
        <w:rPr>
          <w:rFonts w:ascii="Verdana" w:eastAsia="Century Gothic" w:hAnsi="Verdana" w:cs="Century Gothic"/>
          <w:b/>
          <w:lang w:val="es-ES"/>
        </w:rPr>
        <w:t>3. Razones de la respuesta:</w:t>
      </w:r>
    </w:p>
    <w:p w14:paraId="54BE40B0" w14:textId="77777777" w:rsidR="00001841" w:rsidRPr="00B02B2F" w:rsidRDefault="00001841" w:rsidP="00001841">
      <w:pPr>
        <w:tabs>
          <w:tab w:val="left" w:pos="142"/>
          <w:tab w:val="left" w:pos="284"/>
        </w:tabs>
        <w:spacing w:after="0" w:line="276" w:lineRule="auto"/>
        <w:jc w:val="both"/>
        <w:rPr>
          <w:rFonts w:ascii="Verdana" w:eastAsia="Century Gothic" w:hAnsi="Verdana" w:cs="Century Gothic"/>
          <w:b/>
          <w:lang w:val="es-ES"/>
        </w:rPr>
      </w:pPr>
    </w:p>
    <w:p w14:paraId="21C48EAF" w14:textId="77777777" w:rsidR="00001841" w:rsidRDefault="00001841" w:rsidP="00001841">
      <w:pPr>
        <w:tabs>
          <w:tab w:val="left" w:pos="7451"/>
        </w:tabs>
        <w:spacing w:after="0" w:line="276" w:lineRule="auto"/>
        <w:jc w:val="both"/>
        <w:rPr>
          <w:rFonts w:ascii="Verdana" w:eastAsia="Calibri" w:hAnsi="Verdana" w:cs="Arial"/>
          <w:lang w:val="es-ES"/>
        </w:rPr>
      </w:pPr>
      <w:r w:rsidRPr="00B02B2F">
        <w:rPr>
          <w:rFonts w:ascii="Verdana" w:eastAsia="Calibri" w:hAnsi="Verdana" w:cs="Arial"/>
          <w:lang w:val="es-ES"/>
        </w:rPr>
        <w:t>Lo anterior se sustenta en las siguientes consideraciones</w:t>
      </w:r>
      <w:r>
        <w:rPr>
          <w:rFonts w:ascii="Verdana" w:eastAsia="Calibri" w:hAnsi="Verdana" w:cs="Arial"/>
          <w:lang w:val="es-ES"/>
        </w:rPr>
        <w:t>:</w:t>
      </w:r>
      <w:r>
        <w:rPr>
          <w:rFonts w:ascii="Verdana" w:eastAsia="Calibri" w:hAnsi="Verdana" w:cs="Arial"/>
          <w:lang w:val="es-ES"/>
        </w:rPr>
        <w:tab/>
      </w:r>
    </w:p>
    <w:p w14:paraId="0CA294E3" w14:textId="77777777" w:rsidR="00001841" w:rsidRPr="00F60E4C" w:rsidRDefault="00001841" w:rsidP="00001841">
      <w:pPr>
        <w:tabs>
          <w:tab w:val="left" w:pos="7451"/>
        </w:tabs>
        <w:spacing w:after="0" w:line="276" w:lineRule="auto"/>
        <w:jc w:val="both"/>
        <w:rPr>
          <w:rFonts w:ascii="Verdana" w:eastAsia="Calibri" w:hAnsi="Verdana" w:cs="Arial"/>
          <w:lang w:val="es-ES"/>
        </w:rPr>
      </w:pPr>
    </w:p>
    <w:p w14:paraId="54367C9D" w14:textId="77777777" w:rsidR="00001841" w:rsidRPr="005A676F" w:rsidRDefault="00001841" w:rsidP="00001841">
      <w:pPr>
        <w:tabs>
          <w:tab w:val="left" w:pos="426"/>
        </w:tabs>
        <w:spacing w:after="120" w:line="276" w:lineRule="auto"/>
        <w:jc w:val="both"/>
        <w:rPr>
          <w:rFonts w:ascii="Verdana" w:eastAsia="Calibri" w:hAnsi="Verdana" w:cs="Arial"/>
          <w:bCs/>
          <w:lang w:val="es-ES_tradnl" w:eastAsia="es-CO"/>
        </w:rPr>
      </w:pPr>
      <w:r w:rsidRPr="005A676F">
        <w:rPr>
          <w:rFonts w:ascii="Verdana" w:eastAsia="Calibri" w:hAnsi="Verdana" w:cs="Arial"/>
          <w:bCs/>
          <w:lang w:eastAsia="es-ES_tradnl"/>
        </w:rPr>
        <w:t>i.</w:t>
      </w:r>
      <w:r>
        <w:rPr>
          <w:rFonts w:ascii="Verdana" w:eastAsia="Calibri" w:hAnsi="Verdana" w:cs="Arial"/>
          <w:bCs/>
          <w:lang w:eastAsia="es-ES_tradnl"/>
        </w:rPr>
        <w:t xml:space="preserve"> </w:t>
      </w:r>
      <w:r w:rsidRPr="005A676F">
        <w:rPr>
          <w:rFonts w:ascii="Verdana" w:eastAsia="Calibri" w:hAnsi="Verdana" w:cs="Arial"/>
          <w:bCs/>
          <w:lang w:val="es-ES_tradnl" w:eastAsia="es-ES_tradnl"/>
        </w:rPr>
        <w:t>El ordenamiento jurídico colombiano contempla previsiones claras para evitar la obtención de beneficios personales en asuntos propios de la administración pública</w:t>
      </w:r>
      <w:r w:rsidRPr="005A676F">
        <w:rPr>
          <w:rFonts w:ascii="Verdana" w:eastAsia="Calibri" w:hAnsi="Verdana" w:cs="Arial"/>
          <w:bCs/>
          <w:i/>
          <w:iCs/>
          <w:lang w:val="es-ES_tradnl" w:eastAsia="es-ES_tradnl"/>
        </w:rPr>
        <w:t xml:space="preserve">. </w:t>
      </w:r>
      <w:r w:rsidRPr="005A676F">
        <w:rPr>
          <w:rFonts w:ascii="Verdana" w:eastAsia="Calibri" w:hAnsi="Verdana" w:cs="Arial"/>
          <w:bCs/>
          <w:lang w:val="es-ES_tradnl" w:eastAsia="es-ES_tradnl"/>
        </w:rPr>
        <w:t>Por ejemplo, el artículo 127 de la Constitución Política establece una prohibición contractual a los servidores públicos y, en cuanto a aspectos políticos establece restricciones a ciertos empleados del Estado, incluso en época no electoral</w:t>
      </w:r>
      <w:r w:rsidRPr="005A676F">
        <w:rPr>
          <w:rFonts w:ascii="Verdana" w:eastAsia="Calibri" w:hAnsi="Verdana" w:cs="Arial"/>
          <w:bCs/>
          <w:vertAlign w:val="superscript"/>
          <w:lang w:val="es-ES_tradnl" w:eastAsia="es-ES_tradnl"/>
        </w:rPr>
        <w:footnoteReference w:id="1"/>
      </w:r>
      <w:r w:rsidRPr="005A676F">
        <w:rPr>
          <w:rFonts w:ascii="Verdana" w:eastAsia="Calibri" w:hAnsi="Verdana" w:cs="Arial"/>
          <w:bCs/>
          <w:lang w:val="es-ES_tradnl" w:eastAsia="es-ES_tradnl"/>
        </w:rPr>
        <w:t xml:space="preserve">. </w:t>
      </w:r>
    </w:p>
    <w:p w14:paraId="49577D0F" w14:textId="77777777" w:rsidR="00001841" w:rsidRDefault="00001841" w:rsidP="00001841">
      <w:pPr>
        <w:tabs>
          <w:tab w:val="left" w:pos="426"/>
        </w:tabs>
        <w:spacing w:after="0" w:line="276" w:lineRule="auto"/>
        <w:ind w:firstLine="709"/>
        <w:jc w:val="both"/>
        <w:rPr>
          <w:rFonts w:ascii="Verdana" w:eastAsia="Calibri" w:hAnsi="Verdana" w:cs="Arial"/>
          <w:bCs/>
          <w:lang w:val="es-ES_tradnl" w:eastAsia="es-CO"/>
        </w:rPr>
      </w:pPr>
      <w:r w:rsidRPr="005A676F">
        <w:rPr>
          <w:rFonts w:ascii="Verdana" w:eastAsia="Calibri" w:hAnsi="Verdana" w:cs="Arial"/>
          <w:bCs/>
          <w:lang w:val="es-ES_tradnl" w:eastAsia="es-CO"/>
        </w:rPr>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5A676F">
        <w:rPr>
          <w:rFonts w:ascii="Verdana" w:eastAsia="Calibri" w:hAnsi="Verdana" w:cs="Arial"/>
          <w:bCs/>
          <w:vertAlign w:val="superscript"/>
          <w:lang w:val="es-ES_tradnl" w:eastAsia="es-CO"/>
        </w:rPr>
        <w:footnoteReference w:id="2"/>
      </w:r>
      <w:r w:rsidRPr="005A676F">
        <w:rPr>
          <w:rFonts w:ascii="Verdana" w:eastAsia="Calibri" w:hAnsi="Verdana" w:cs="Arial"/>
          <w:bCs/>
          <w:lang w:val="es-ES_tradnl" w:eastAsia="es-CO"/>
        </w:rPr>
        <w:t>. En esta medida, introduce limitaciones para realizar nombramientos, postulaciones, contrataciones o cualquier otro tipo de actividad que implique destinación de recursos públicos bajo el devenir propio de las entidades estatales.</w:t>
      </w:r>
      <w:r w:rsidRPr="005A676F">
        <w:rPr>
          <w:rFonts w:ascii="Verdana" w:eastAsia="Calibri" w:hAnsi="Verdana" w:cs="Arial"/>
          <w:noProof/>
          <w:lang w:val="es-ES_tradnl" w:eastAsia="es-ES_tradnl"/>
        </w:rPr>
        <w:t xml:space="preserve"> </w:t>
      </w:r>
      <w:r w:rsidRPr="005A676F">
        <w:rPr>
          <w:rFonts w:ascii="Verdana" w:eastAsia="Calibri" w:hAnsi="Verdana" w:cs="Arial"/>
          <w:bCs/>
          <w:lang w:val="es-ES_tradnl" w:eastAsia="es-CO"/>
        </w:rPr>
        <w:t>En armonía con lo anterior, la Corte Constitucional ha abordado la definición de la Ley de Garantías Electorales, en los siguientes términos:</w:t>
      </w:r>
    </w:p>
    <w:p w14:paraId="3C65831D" w14:textId="77777777" w:rsidR="00001841" w:rsidRPr="00432152" w:rsidRDefault="00001841" w:rsidP="00001841">
      <w:pPr>
        <w:tabs>
          <w:tab w:val="left" w:pos="426"/>
        </w:tabs>
        <w:spacing w:after="0" w:line="276" w:lineRule="auto"/>
        <w:ind w:firstLine="709"/>
        <w:jc w:val="both"/>
        <w:rPr>
          <w:rFonts w:ascii="Verdana" w:eastAsia="Calibri" w:hAnsi="Verdana" w:cs="Arial"/>
          <w:bCs/>
          <w:lang w:val="es-ES_tradnl" w:eastAsia="es-CO"/>
        </w:rPr>
      </w:pPr>
    </w:p>
    <w:p w14:paraId="1D63C122" w14:textId="77777777" w:rsidR="00001841" w:rsidRPr="00432152" w:rsidRDefault="00001841" w:rsidP="00001841">
      <w:pPr>
        <w:spacing w:after="0" w:line="240" w:lineRule="auto"/>
        <w:ind w:left="709" w:right="709"/>
        <w:jc w:val="both"/>
        <w:rPr>
          <w:rFonts w:ascii="Verdana" w:eastAsia="Calibri" w:hAnsi="Verdana" w:cs="Arial"/>
          <w:bCs/>
          <w:sz w:val="20"/>
          <w:szCs w:val="20"/>
          <w:lang w:val="es-ES_tradnl" w:eastAsia="es-CO"/>
        </w:rPr>
      </w:pPr>
      <w:r w:rsidRPr="00432152">
        <w:rPr>
          <w:rFonts w:ascii="Verdana" w:eastAsia="Calibri" w:hAnsi="Verdana" w:cs="Arial"/>
          <w:sz w:val="20"/>
          <w:szCs w:val="20"/>
          <w:lang w:val="es-ES" w:eastAsia="es-CO"/>
        </w:rPr>
        <w:t xml:space="preserve">[…] </w:t>
      </w:r>
      <w:r w:rsidRPr="00432152">
        <w:rPr>
          <w:rFonts w:ascii="Verdana" w:eastAsia="Calibri" w:hAnsi="Verdana" w:cs="Arial"/>
          <w:bCs/>
          <w:sz w:val="20"/>
          <w:szCs w:val="20"/>
          <w:lang w:val="es-ES_tradnl" w:eastAsia="es-CO"/>
        </w:rPr>
        <w:t>la definición de reglas claras que permitan acceder a los canales de expresión democrática de manera efectiva e igualitaria. El objetivo de una ley de garantías es definir esas reglas.</w:t>
      </w:r>
    </w:p>
    <w:p w14:paraId="16F507C7" w14:textId="77777777" w:rsidR="00001841" w:rsidRPr="00432152" w:rsidRDefault="00001841" w:rsidP="00001841">
      <w:pPr>
        <w:spacing w:after="0" w:line="240" w:lineRule="auto"/>
        <w:ind w:left="709" w:right="709"/>
        <w:jc w:val="both"/>
        <w:rPr>
          <w:rFonts w:ascii="Verdana" w:eastAsia="Calibri" w:hAnsi="Verdana" w:cs="Arial"/>
          <w:bCs/>
          <w:sz w:val="20"/>
          <w:szCs w:val="20"/>
          <w:lang w:val="es-ES_tradnl" w:eastAsia="es-CO"/>
        </w:rPr>
      </w:pPr>
      <w:r w:rsidRPr="00432152">
        <w:rPr>
          <w:rFonts w:ascii="Verdana" w:eastAsia="Calibri" w:hAnsi="Verdana" w:cs="Arial"/>
          <w:bCs/>
          <w:sz w:val="20"/>
          <w:szCs w:val="20"/>
          <w:lang w:val="es-ES_tradnl" w:eastAsia="es-CO"/>
        </w:rPr>
        <w:t xml:space="preserve">[…] </w:t>
      </w:r>
    </w:p>
    <w:p w14:paraId="51380946" w14:textId="77777777" w:rsidR="00001841" w:rsidRDefault="00001841" w:rsidP="00001841">
      <w:pPr>
        <w:spacing w:after="0" w:line="240" w:lineRule="auto"/>
        <w:ind w:left="709" w:right="709"/>
        <w:jc w:val="both"/>
        <w:rPr>
          <w:rFonts w:ascii="Verdana" w:eastAsia="Calibri" w:hAnsi="Verdana" w:cs="Arial"/>
          <w:bCs/>
          <w:sz w:val="20"/>
          <w:szCs w:val="20"/>
          <w:lang w:val="es-ES_tradnl" w:eastAsia="es-CO"/>
        </w:rPr>
      </w:pPr>
      <w:r w:rsidRPr="00432152">
        <w:rPr>
          <w:rFonts w:ascii="Verdana" w:eastAsia="Calibri" w:hAnsi="Verdana" w:cs="Arial"/>
          <w:bCs/>
          <w:sz w:val="20"/>
          <w:szCs w:val="20"/>
          <w:lang w:val="es-ES_tradnl"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w:t>
      </w:r>
      <w:r w:rsidRPr="00432152">
        <w:rPr>
          <w:rFonts w:ascii="Verdana" w:eastAsia="Calibri" w:hAnsi="Verdana" w:cs="Arial"/>
          <w:bCs/>
          <w:sz w:val="20"/>
          <w:szCs w:val="20"/>
          <w:lang w:val="es-ES_tradnl" w:eastAsia="es-CO"/>
        </w:rPr>
        <w:lastRenderedPageBreak/>
        <w:t>una ley de garantías debe permitir que, en el debate democrático, sean las ideas y las propuestas las que definan el ascenso al poder, y no el músculo económico de los que se lo disputan.</w:t>
      </w:r>
      <w:r w:rsidRPr="00432152">
        <w:rPr>
          <w:rFonts w:ascii="Verdana" w:eastAsia="Calibri" w:hAnsi="Verdana" w:cs="Arial"/>
          <w:sz w:val="20"/>
          <w:szCs w:val="20"/>
          <w:vertAlign w:val="superscript"/>
          <w:lang w:val="es-ES_tradnl" w:eastAsia="es-ES_tradnl"/>
        </w:rPr>
        <w:footnoteReference w:id="3"/>
      </w:r>
    </w:p>
    <w:p w14:paraId="6DC8B42B" w14:textId="77777777" w:rsidR="00001841" w:rsidRPr="00432152" w:rsidRDefault="00001841" w:rsidP="00001841">
      <w:pPr>
        <w:spacing w:after="0" w:line="240" w:lineRule="auto"/>
        <w:ind w:left="709" w:right="709"/>
        <w:jc w:val="both"/>
        <w:rPr>
          <w:rFonts w:ascii="Verdana" w:eastAsia="Calibri" w:hAnsi="Verdana" w:cs="Arial"/>
          <w:bCs/>
          <w:sz w:val="20"/>
          <w:szCs w:val="20"/>
          <w:lang w:val="es-ES_tradnl" w:eastAsia="es-CO"/>
        </w:rPr>
      </w:pPr>
    </w:p>
    <w:p w14:paraId="47B4CB7C" w14:textId="77777777" w:rsidR="00001841" w:rsidRDefault="00001841" w:rsidP="00001841">
      <w:pPr>
        <w:spacing w:after="120" w:line="276" w:lineRule="auto"/>
        <w:ind w:firstLine="709"/>
        <w:jc w:val="both"/>
        <w:rPr>
          <w:rFonts w:ascii="Verdana" w:eastAsia="Times New Roman" w:hAnsi="Verdana" w:cs="Arial"/>
          <w:bCs/>
          <w:lang w:val="es-MX" w:eastAsia="es-CO"/>
        </w:rPr>
      </w:pPr>
      <w:bookmarkStart w:id="1" w:name="_Hlk78818186"/>
      <w:r w:rsidRPr="00432152">
        <w:rPr>
          <w:rFonts w:ascii="Verdana" w:eastAsia="Times New Roman" w:hAnsi="Verdana" w:cs="Arial"/>
          <w:bCs/>
          <w:lang w:val="es-MX" w:eastAsia="es-CO"/>
        </w:rPr>
        <w:t xml:space="preserve">En este contexto, la Ley de Garantías Electorales establece el marco jurídico para el desarrollo de las elecciones, procurando condiciones de igualdad y transparencia para los aspirantes y, paralelamente, incluyendo restricciones en el actuar de los servidores públicos, las cuales buscan evitar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w:t>
      </w:r>
    </w:p>
    <w:p w14:paraId="7DEF233E" w14:textId="77777777" w:rsidR="00001841" w:rsidRPr="00432152" w:rsidRDefault="00001841" w:rsidP="00001841">
      <w:pPr>
        <w:spacing w:after="200" w:line="276" w:lineRule="auto"/>
        <w:ind w:left="142" w:firstLine="709"/>
        <w:jc w:val="both"/>
        <w:rPr>
          <w:rFonts w:ascii="Verdana" w:eastAsia="Calibri" w:hAnsi="Verdana" w:cs="Arial"/>
          <w:bCs/>
          <w:lang w:val="es-ES_tradnl" w:eastAsia="es-CO"/>
        </w:rPr>
      </w:pPr>
      <w:r w:rsidRPr="00432152">
        <w:rPr>
          <w:rFonts w:ascii="Verdana" w:eastAsia="Times New Roman" w:hAnsi="Verdana" w:cs="Arial"/>
          <w:bCs/>
          <w:lang w:val="es-MX" w:eastAsia="es-CO"/>
        </w:rPr>
        <w:t>En efecto, la Sala de Consulta y Servicio Civil del Consejo de Estado al analizar la referida ley, precisó lo siguiente:</w:t>
      </w:r>
      <w:bookmarkEnd w:id="1"/>
    </w:p>
    <w:p w14:paraId="5A280180" w14:textId="77777777" w:rsidR="00001841" w:rsidRDefault="00001841" w:rsidP="00001841">
      <w:pPr>
        <w:spacing w:after="0" w:line="240" w:lineRule="auto"/>
        <w:ind w:left="851" w:right="709"/>
        <w:jc w:val="both"/>
        <w:rPr>
          <w:rFonts w:ascii="Verdana" w:eastAsia="Calibri" w:hAnsi="Verdana" w:cs="Arial"/>
          <w:sz w:val="20"/>
          <w:szCs w:val="20"/>
          <w:lang w:val="es-ES" w:eastAsia="es-CO"/>
        </w:rPr>
      </w:pPr>
      <w:r w:rsidRPr="4057FCD2">
        <w:rPr>
          <w:rFonts w:ascii="Verdana" w:eastAsia="Calibri" w:hAnsi="Verdana" w:cs="Arial"/>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BCE6EA1" w14:textId="77777777" w:rsidR="00001841" w:rsidRPr="00432152" w:rsidRDefault="00001841" w:rsidP="00001841">
      <w:pPr>
        <w:spacing w:after="0" w:line="240" w:lineRule="auto"/>
        <w:ind w:left="851" w:right="709"/>
        <w:jc w:val="both"/>
        <w:rPr>
          <w:rFonts w:ascii="Verdana" w:eastAsia="Calibri" w:hAnsi="Verdana" w:cs="Arial"/>
          <w:sz w:val="20"/>
          <w:szCs w:val="20"/>
          <w:lang w:val="es-ES" w:eastAsia="es-CO"/>
        </w:rPr>
      </w:pPr>
    </w:p>
    <w:p w14:paraId="4976FC3E" w14:textId="77777777" w:rsidR="00001841" w:rsidRDefault="00001841" w:rsidP="00001841">
      <w:pPr>
        <w:spacing w:after="0" w:line="240" w:lineRule="auto"/>
        <w:ind w:left="851" w:right="709"/>
        <w:jc w:val="both"/>
        <w:rPr>
          <w:rFonts w:ascii="Verdana" w:eastAsia="Calibri" w:hAnsi="Verdana" w:cs="Arial"/>
          <w:bCs/>
          <w:sz w:val="20"/>
          <w:szCs w:val="20"/>
          <w:lang w:val="es-ES_tradnl" w:eastAsia="es-CO"/>
        </w:rPr>
      </w:pPr>
      <w:r w:rsidRPr="00432152">
        <w:rPr>
          <w:rFonts w:ascii="Verdana" w:eastAsia="Calibri" w:hAnsi="Verdana" w:cs="Arial"/>
          <w:bCs/>
          <w:sz w:val="20"/>
          <w:szCs w:val="20"/>
          <w:lang w:val="es-ES_tradnl" w:eastAsia="es-CO"/>
        </w:rPr>
        <w:t>La jurisprudencia de la Corte Constitucional</w:t>
      </w:r>
      <w:r w:rsidRPr="00432152">
        <w:rPr>
          <w:rFonts w:ascii="Verdana" w:eastAsia="Calibri" w:hAnsi="Verdana" w:cs="Arial"/>
          <w:bCs/>
          <w:sz w:val="20"/>
          <w:szCs w:val="20"/>
          <w:vertAlign w:val="superscript"/>
          <w:lang w:val="es-ES_tradnl" w:eastAsia="es-CO"/>
        </w:rPr>
        <w:footnoteReference w:id="4"/>
      </w:r>
      <w:r w:rsidRPr="00432152">
        <w:rPr>
          <w:rFonts w:ascii="Verdana" w:eastAsia="Calibri" w:hAnsi="Verdana" w:cs="Arial"/>
          <w:bCs/>
          <w:sz w:val="20"/>
          <w:szCs w:val="20"/>
          <w:lang w:val="es-ES_tradnl" w:eastAsia="es-CO"/>
        </w:rPr>
        <w:t> y del Consejo de Estado</w:t>
      </w:r>
      <w:r w:rsidRPr="00432152">
        <w:rPr>
          <w:rFonts w:ascii="Verdana" w:eastAsia="Calibri" w:hAnsi="Verdana" w:cs="Arial"/>
          <w:bCs/>
          <w:sz w:val="20"/>
          <w:szCs w:val="20"/>
          <w:vertAlign w:val="superscript"/>
          <w:lang w:val="es-ES_tradnl" w:eastAsia="es-CO"/>
        </w:rPr>
        <w:footnoteReference w:id="5"/>
      </w:r>
      <w:r w:rsidRPr="00432152">
        <w:rPr>
          <w:rFonts w:ascii="Verdana" w:eastAsia="Calibri" w:hAnsi="Verdana" w:cs="Arial"/>
          <w:bCs/>
          <w:sz w:val="20"/>
          <w:szCs w:val="20"/>
          <w:lang w:val="es-ES_tradnl"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w:t>
      </w:r>
      <w:r w:rsidRPr="00432152">
        <w:rPr>
          <w:rFonts w:ascii="Verdana" w:eastAsia="Calibri" w:hAnsi="Verdana" w:cs="Arial"/>
          <w:bCs/>
          <w:sz w:val="20"/>
          <w:szCs w:val="20"/>
          <w:lang w:val="es-ES_tradnl" w:eastAsia="es-CO"/>
        </w:rPr>
        <w:lastRenderedPageBreak/>
        <w:t>justificada- a la libertad de actuar o capacidad de obrar, sobrepasar sus precisos términos comporta el desconocimiento de la voluntad del legislador</w:t>
      </w:r>
      <w:r w:rsidRPr="00432152">
        <w:rPr>
          <w:rFonts w:ascii="Verdana" w:eastAsia="Calibri" w:hAnsi="Verdana" w:cs="Arial"/>
          <w:bCs/>
          <w:sz w:val="20"/>
          <w:szCs w:val="20"/>
          <w:vertAlign w:val="superscript"/>
          <w:lang w:val="es-ES_tradnl" w:eastAsia="es-CO"/>
        </w:rPr>
        <w:footnoteReference w:id="6"/>
      </w:r>
      <w:r w:rsidRPr="00432152">
        <w:rPr>
          <w:rFonts w:ascii="Verdana" w:eastAsia="Calibri" w:hAnsi="Verdana" w:cs="Arial"/>
          <w:bCs/>
          <w:sz w:val="20"/>
          <w:szCs w:val="20"/>
          <w:lang w:val="es-ES_tradnl" w:eastAsia="es-CO"/>
        </w:rPr>
        <w:t>.</w:t>
      </w:r>
    </w:p>
    <w:p w14:paraId="74B7A39F" w14:textId="77777777" w:rsidR="00001841" w:rsidRPr="00432152" w:rsidRDefault="00001841" w:rsidP="00001841">
      <w:pPr>
        <w:spacing w:after="0" w:line="240" w:lineRule="auto"/>
        <w:ind w:left="851" w:right="709"/>
        <w:jc w:val="both"/>
        <w:rPr>
          <w:rFonts w:ascii="Verdana" w:eastAsia="Calibri" w:hAnsi="Verdana" w:cs="Arial"/>
          <w:bCs/>
          <w:sz w:val="20"/>
          <w:szCs w:val="20"/>
          <w:lang w:val="es-ES_tradnl" w:eastAsia="es-CO"/>
        </w:rPr>
      </w:pPr>
    </w:p>
    <w:p w14:paraId="440D0771" w14:textId="77777777" w:rsidR="00001841" w:rsidRPr="00432152" w:rsidRDefault="00001841" w:rsidP="00001841">
      <w:pPr>
        <w:spacing w:after="120" w:line="276" w:lineRule="auto"/>
        <w:ind w:left="142"/>
        <w:jc w:val="both"/>
        <w:rPr>
          <w:rFonts w:ascii="Verdana" w:eastAsia="Arial" w:hAnsi="Verdana" w:cs="Arial"/>
          <w:lang w:val="es-ES" w:eastAsia="es-ES" w:bidi="es-ES"/>
        </w:rPr>
      </w:pPr>
      <w:r w:rsidRPr="00432152">
        <w:rPr>
          <w:rFonts w:ascii="Verdana" w:eastAsia="Calibri" w:hAnsi="Verdana" w:cs="Arial"/>
          <w:bCs/>
          <w:lang w:val="es-ES_tradnl" w:eastAsia="es-CO"/>
        </w:rPr>
        <w:tab/>
        <w:t>De</w:t>
      </w:r>
      <w:r w:rsidRPr="00432152">
        <w:rPr>
          <w:rFonts w:ascii="Verdana" w:eastAsia="Arial" w:hAnsi="Verdana" w:cs="Arial"/>
          <w:lang w:val="es-ES" w:eastAsia="es-ES" w:bidi="es-ES"/>
        </w:rPr>
        <w:t xml:space="preserve"> conformidad con lo anterior, </w:t>
      </w:r>
      <w:bookmarkStart w:id="2" w:name="_Hlk77236098"/>
      <w:r w:rsidRPr="00432152">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2"/>
    </w:p>
    <w:p w14:paraId="42E35D7B" w14:textId="77777777" w:rsidR="00001841" w:rsidRDefault="00001841" w:rsidP="00001841">
      <w:pPr>
        <w:spacing w:after="0" w:line="276" w:lineRule="auto"/>
        <w:ind w:firstLine="709"/>
        <w:contextualSpacing/>
        <w:jc w:val="both"/>
        <w:rPr>
          <w:rFonts w:ascii="Verdana" w:eastAsia="Calibri" w:hAnsi="Verdana" w:cs="Arial"/>
          <w:lang w:val="es-ES_tradnl" w:eastAsia="es-ES_tradnl"/>
        </w:rPr>
      </w:pPr>
      <w:r w:rsidRPr="00432152">
        <w:rPr>
          <w:rFonts w:ascii="Verdana" w:eastAsia="Calibri" w:hAnsi="Verdana" w:cs="Arial"/>
          <w:lang w:val="es-ES_tradnl" w:eastAsia="es-ES_tradnl"/>
        </w:rPr>
        <w:t xml:space="preserve">Por un lado, el artículo 33 de la Ley 996 de 2005 prohíbe </w:t>
      </w:r>
      <w:r>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la contratación directa por parte de todos los entes del Estado</w:t>
      </w:r>
      <w:r>
        <w:rPr>
          <w:rFonts w:ascii="Verdana" w:eastAsia="Calibri" w:hAnsi="Verdana" w:cs="Arial"/>
          <w:bCs/>
          <w:lang w:val="es-ES_tradnl" w:eastAsia="es-ES_tradnl"/>
        </w:rPr>
        <w:t>”</w:t>
      </w:r>
      <w:r w:rsidRPr="00432152">
        <w:rPr>
          <w:rFonts w:ascii="Verdana" w:eastAsia="Calibri" w:hAnsi="Verdana" w:cs="Arial"/>
          <w:lang w:val="es-ES_tradnl" w:eastAsia="es-ES_tradnl"/>
        </w:rPr>
        <w:t xml:space="preserve"> durante los cuatro (4) meses anteriores a las elecciones presidenciales, salvo </w:t>
      </w:r>
      <w:r>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lang w:val="es-ES_tradnl" w:eastAsia="es-ES_tradnl"/>
        </w:rPr>
        <w:t>”</w:t>
      </w:r>
      <w:r w:rsidRPr="00432152">
        <w:rPr>
          <w:rFonts w:ascii="Verdana" w:eastAsia="Calibri" w:hAnsi="Verdana" w:cs="Arial"/>
          <w:bCs/>
          <w:vertAlign w:val="superscript"/>
          <w:lang w:val="es-ES_tradnl" w:eastAsia="es-ES_tradnl"/>
        </w:rPr>
        <w:footnoteReference w:id="7"/>
      </w:r>
      <w:r w:rsidRPr="00432152">
        <w:rPr>
          <w:rFonts w:ascii="Verdana" w:eastAsia="Calibri" w:hAnsi="Verdana" w:cs="Arial"/>
          <w:lang w:val="es-ES_tradnl" w:eastAsia="es-ES_tradnl"/>
        </w:rPr>
        <w:t>.</w:t>
      </w:r>
    </w:p>
    <w:p w14:paraId="278612F3" w14:textId="77777777" w:rsidR="00001841" w:rsidRPr="00432152" w:rsidRDefault="00001841" w:rsidP="00001841">
      <w:pPr>
        <w:spacing w:after="0" w:line="276" w:lineRule="auto"/>
        <w:ind w:firstLine="709"/>
        <w:contextualSpacing/>
        <w:jc w:val="both"/>
        <w:rPr>
          <w:rFonts w:ascii="Verdana" w:eastAsia="Calibri" w:hAnsi="Verdana" w:cs="Arial"/>
          <w:lang w:val="es-ES_tradnl" w:eastAsia="es-ES_tradnl"/>
        </w:rPr>
      </w:pPr>
    </w:p>
    <w:p w14:paraId="5D91B0E5" w14:textId="77777777" w:rsidR="00001841" w:rsidRDefault="00001841" w:rsidP="00001841">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432152">
        <w:rPr>
          <w:rFonts w:ascii="Verdana" w:eastAsia="Calibri" w:hAnsi="Verdana" w:cs="Arial"/>
          <w:lang w:val="es-ES_tradnl" w:eastAsia="es-ES_tradn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 xml:space="preserve">celebrar convenios interadministrativos para la </w:t>
      </w:r>
      <w:r w:rsidRPr="00432152">
        <w:rPr>
          <w:rFonts w:ascii="Verdana" w:eastAsia="Calibri" w:hAnsi="Verdana" w:cs="Arial"/>
          <w:lang w:val="es-ES_tradnl" w:eastAsia="es-ES_tradnl"/>
        </w:rPr>
        <w:lastRenderedPageBreak/>
        <w:t>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lang w:val="es-ES_tradnl" w:eastAsia="es-ES_tradnl"/>
        </w:rPr>
        <w:t>”</w:t>
      </w:r>
      <w:r w:rsidRPr="00432152">
        <w:rPr>
          <w:rFonts w:ascii="Verdana" w:eastAsia="Calibri" w:hAnsi="Verdana" w:cs="Arial"/>
          <w:bCs/>
          <w:vertAlign w:val="superscript"/>
          <w:lang w:val="es-ES_tradnl" w:eastAsia="es-ES_tradnl"/>
        </w:rPr>
        <w:footnoteReference w:id="8"/>
      </w:r>
      <w:r w:rsidRPr="00432152">
        <w:rPr>
          <w:rFonts w:ascii="Verdana" w:eastAsia="Calibri" w:hAnsi="Verdana" w:cs="Arial"/>
          <w:lang w:val="es-ES_tradnl" w:eastAsia="es-ES_tradnl"/>
        </w:rPr>
        <w:t>.</w:t>
      </w:r>
      <w:r w:rsidRPr="00432152">
        <w:rPr>
          <w:rFonts w:ascii="Verdana" w:eastAsia="Arial" w:hAnsi="Verdana" w:cs="Arial"/>
          <w:lang w:val="es-ES" w:eastAsia="es-ES" w:bidi="es-ES"/>
        </w:rPr>
        <w:t xml:space="preserve"> </w:t>
      </w:r>
    </w:p>
    <w:p w14:paraId="393C1902" w14:textId="77777777" w:rsidR="00001841" w:rsidRDefault="00001841" w:rsidP="00001841">
      <w:pPr>
        <w:widowControl w:val="0"/>
        <w:autoSpaceDE w:val="0"/>
        <w:autoSpaceDN w:val="0"/>
        <w:spacing w:after="0" w:line="276" w:lineRule="auto"/>
        <w:ind w:firstLine="709"/>
        <w:contextualSpacing/>
        <w:jc w:val="both"/>
        <w:rPr>
          <w:rFonts w:ascii="Verdana" w:eastAsia="Arial" w:hAnsi="Verdana" w:cs="Arial"/>
          <w:lang w:val="es-ES" w:eastAsia="es-ES" w:bidi="es-ES"/>
        </w:rPr>
      </w:pPr>
    </w:p>
    <w:p w14:paraId="51983712" w14:textId="77777777" w:rsidR="00001841" w:rsidRPr="00432152" w:rsidRDefault="00001841" w:rsidP="00001841">
      <w:pPr>
        <w:widowControl w:val="0"/>
        <w:autoSpaceDE w:val="0"/>
        <w:autoSpaceDN w:val="0"/>
        <w:spacing w:after="0" w:line="276" w:lineRule="auto"/>
        <w:ind w:left="142" w:right="113" w:firstLine="708"/>
        <w:jc w:val="both"/>
        <w:rPr>
          <w:rFonts w:ascii="Verdana" w:eastAsia="Arial" w:hAnsi="Verdana" w:cs="Arial"/>
          <w:lang w:val="es-ES" w:eastAsia="es-ES" w:bidi="es-ES"/>
        </w:rPr>
      </w:pPr>
      <w:r w:rsidRPr="004321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5785831B" w14:textId="77777777" w:rsidR="00001841" w:rsidRDefault="00001841" w:rsidP="00001841">
      <w:pPr>
        <w:widowControl w:val="0"/>
        <w:autoSpaceDE w:val="0"/>
        <w:autoSpaceDN w:val="0"/>
        <w:spacing w:after="0" w:line="240" w:lineRule="auto"/>
        <w:ind w:left="851" w:right="709"/>
        <w:jc w:val="both"/>
        <w:rPr>
          <w:rFonts w:ascii="Verdana" w:eastAsia="Arial" w:hAnsi="Verdana" w:cs="Arial"/>
          <w:sz w:val="20"/>
          <w:szCs w:val="20"/>
          <w:lang w:val="es-ES" w:eastAsia="es-ES" w:bidi="es-ES"/>
        </w:rPr>
      </w:pPr>
    </w:p>
    <w:p w14:paraId="38038D48" w14:textId="77777777" w:rsidR="00001841" w:rsidRPr="00432152" w:rsidRDefault="00001841" w:rsidP="00001841">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432152">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432152">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sidRPr="00432152">
        <w:rPr>
          <w:rFonts w:ascii="Verdana" w:eastAsia="Arial" w:hAnsi="Verdana" w:cs="Arial"/>
          <w:sz w:val="20"/>
          <w:szCs w:val="20"/>
          <w:vertAlign w:val="superscript"/>
          <w:lang w:val="es-ES" w:eastAsia="es-ES" w:bidi="es-ES"/>
        </w:rPr>
        <w:footnoteReference w:id="9"/>
      </w:r>
      <w:r w:rsidRPr="00432152">
        <w:rPr>
          <w:rFonts w:ascii="Verdana" w:eastAsia="Arial" w:hAnsi="Verdana" w:cs="Arial"/>
          <w:sz w:val="20"/>
          <w:szCs w:val="20"/>
          <w:lang w:val="es-ES" w:eastAsia="es-ES" w:bidi="es-ES"/>
        </w:rPr>
        <w:t>.</w:t>
      </w:r>
    </w:p>
    <w:p w14:paraId="7B4FE143" w14:textId="77777777" w:rsidR="00001841" w:rsidRDefault="00001841" w:rsidP="00001841">
      <w:pPr>
        <w:spacing w:after="0" w:line="276" w:lineRule="auto"/>
        <w:ind w:left="142" w:firstLine="709"/>
        <w:jc w:val="both"/>
        <w:rPr>
          <w:rFonts w:ascii="Verdana" w:eastAsia="Arial" w:hAnsi="Verdana" w:cs="Arial"/>
          <w:lang w:val="es-ES" w:eastAsia="es-ES" w:bidi="es-ES"/>
        </w:rPr>
      </w:pPr>
    </w:p>
    <w:p w14:paraId="4281CCF0" w14:textId="77777777" w:rsidR="00001841" w:rsidRPr="00432152" w:rsidRDefault="00001841" w:rsidP="00001841">
      <w:pPr>
        <w:spacing w:after="120" w:line="276" w:lineRule="auto"/>
        <w:ind w:firstLine="709"/>
        <w:jc w:val="both"/>
        <w:rPr>
          <w:rFonts w:ascii="Verdana" w:eastAsia="Arial" w:hAnsi="Verdana" w:cs="Arial"/>
          <w:lang w:val="es-ES" w:eastAsia="es-ES" w:bidi="es-ES"/>
        </w:rPr>
      </w:pPr>
      <w:r w:rsidRPr="00432152">
        <w:rPr>
          <w:rFonts w:ascii="Verdana" w:eastAsia="Arial" w:hAnsi="Verdana" w:cs="Arial"/>
          <w:lang w:val="es-ES" w:eastAsia="es-ES" w:bidi="es-ES"/>
        </w:rPr>
        <w:t xml:space="preserve">De lo anterior se desprende que </w:t>
      </w:r>
      <w:bookmarkStart w:id="4" w:name="_Hlk77236420"/>
      <w:bookmarkStart w:id="5" w:name="_Hlk78818435"/>
      <w:r w:rsidRPr="00432152">
        <w:rPr>
          <w:rFonts w:ascii="Verdana" w:eastAsia="Arial" w:hAnsi="Verdana" w:cs="Arial"/>
          <w:lang w:val="es-ES" w:eastAsia="es-ES" w:bidi="es-ES"/>
        </w:rPr>
        <w:t xml:space="preserve">la Ley 996 de 2005 establece dos (2) tipos de restricciones en materia de contratación, las cuales coinciden parcialmente. </w:t>
      </w:r>
      <w:r w:rsidRPr="00432152">
        <w:rPr>
          <w:rFonts w:ascii="Verdana" w:eastAsia="Arial" w:hAnsi="Verdana" w:cs="Arial"/>
          <w:i/>
          <w:iCs/>
          <w:lang w:val="es-ES" w:eastAsia="es-ES" w:bidi="es-ES"/>
        </w:rPr>
        <w:t>En primer lugar</w:t>
      </w:r>
      <w:r w:rsidRPr="004321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w:t>
      </w:r>
      <w:r w:rsidRPr="00432152">
        <w:rPr>
          <w:rFonts w:ascii="Verdana" w:eastAsia="Arial" w:hAnsi="Verdana" w:cs="Arial"/>
          <w:lang w:val="es-ES" w:eastAsia="es-ES" w:bidi="es-ES"/>
        </w:rPr>
        <w:lastRenderedPageBreak/>
        <w:t xml:space="preserve">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432152">
        <w:rPr>
          <w:rFonts w:ascii="Verdana" w:eastAsia="Arial" w:hAnsi="Verdana" w:cs="Arial"/>
          <w:i/>
          <w:iCs/>
          <w:lang w:val="es-ES" w:eastAsia="es-ES" w:bidi="es-ES"/>
        </w:rPr>
        <w:t>En segundo lugar</w:t>
      </w:r>
      <w:r w:rsidRPr="004321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4"/>
    </w:p>
    <w:bookmarkEnd w:id="5"/>
    <w:p w14:paraId="089FE7EF" w14:textId="77777777" w:rsidR="00001841" w:rsidRPr="00432152" w:rsidRDefault="00001841" w:rsidP="00001841">
      <w:pPr>
        <w:spacing w:after="120" w:line="276" w:lineRule="auto"/>
        <w:ind w:firstLine="709"/>
        <w:jc w:val="both"/>
        <w:rPr>
          <w:rFonts w:ascii="Verdana" w:eastAsia="Arial" w:hAnsi="Verdana" w:cs="Arial"/>
          <w:lang w:val="es-ES" w:eastAsia="es-ES" w:bidi="es-ES"/>
        </w:rPr>
      </w:pPr>
      <w:r w:rsidRPr="00432152">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79918001" w14:textId="77777777" w:rsidR="00001841" w:rsidRPr="00D8028D" w:rsidRDefault="00001841" w:rsidP="00001841">
      <w:pPr>
        <w:spacing w:after="0" w:line="276" w:lineRule="auto"/>
        <w:ind w:firstLine="708"/>
        <w:jc w:val="both"/>
        <w:rPr>
          <w:rFonts w:ascii="Verdana" w:eastAsia="Arial" w:hAnsi="Verdana" w:cs="Arial"/>
          <w:lang w:val="es-ES" w:eastAsia="es-ES" w:bidi="es-ES"/>
        </w:rPr>
      </w:pPr>
      <w:r w:rsidRPr="004321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w:t>
      </w:r>
      <w:r w:rsidRPr="00D8028D">
        <w:rPr>
          <w:rFonts w:ascii="Verdana" w:eastAsia="Arial" w:hAnsi="Verdana" w:cs="Arial"/>
          <w:lang w:val="es-ES" w:eastAsia="es-ES" w:bidi="es-ES"/>
        </w:rPr>
        <w:t xml:space="preserve">para el Vicepresidente que no haya ejercido la presidencia o que la haya ejercido por un tiempo inferior a tres (3) meses durante el respectivo cuatrienio, en forma continua o discontinua, conforme al artículo 197 de la Constitución Política.  </w:t>
      </w:r>
    </w:p>
    <w:p w14:paraId="5DE8B1CE" w14:textId="77777777" w:rsidR="00001841" w:rsidRPr="00D8028D" w:rsidRDefault="00001841" w:rsidP="00001841">
      <w:pPr>
        <w:spacing w:after="0" w:line="276" w:lineRule="auto"/>
        <w:jc w:val="both"/>
        <w:rPr>
          <w:rFonts w:ascii="Verdana" w:eastAsia="Calibri" w:hAnsi="Verdana" w:cs="Arial"/>
          <w:lang w:val="es-ES"/>
        </w:rPr>
      </w:pPr>
    </w:p>
    <w:p w14:paraId="42FA0706" w14:textId="77777777" w:rsidR="00001841" w:rsidRPr="00D8028D" w:rsidRDefault="00001841" w:rsidP="00001841">
      <w:pPr>
        <w:spacing w:after="0" w:line="276" w:lineRule="auto"/>
        <w:jc w:val="both"/>
        <w:rPr>
          <w:rFonts w:ascii="Verdana" w:eastAsia="Calibri" w:hAnsi="Verdana" w:cs="Arial"/>
          <w:lang w:val="es-ES_tradnl" w:eastAsia="es-CO"/>
        </w:rPr>
      </w:pPr>
      <w:r w:rsidRPr="00D8028D">
        <w:rPr>
          <w:rFonts w:ascii="Verdana" w:eastAsia="Calibri" w:hAnsi="Verdana" w:cs="Arial"/>
          <w:bCs/>
          <w:lang w:val="es-ES" w:eastAsia="es-CO"/>
        </w:rPr>
        <w:t xml:space="preserve">ii. </w:t>
      </w:r>
      <w:r w:rsidRPr="00D8028D">
        <w:rPr>
          <w:rFonts w:ascii="Verdana" w:eastAsia="Calibri" w:hAnsi="Verdana" w:cs="Arial"/>
          <w:bCs/>
          <w:lang w:val="es-ES_tradnl" w:eastAsia="x-none"/>
        </w:rPr>
        <w:t xml:space="preserve">El ámbito material de la prohibición contenida en el artículo 33 de la ley 996 de 2005 está delimitado por la expresión </w:t>
      </w:r>
      <w:r w:rsidRPr="00D8028D">
        <w:rPr>
          <w:rFonts w:ascii="Verdana" w:eastAsia="Calibri" w:hAnsi="Verdana" w:cs="Arial"/>
          <w:bCs/>
          <w:lang w:val="es-ES_tradnl" w:eastAsia="es-ES_tradnl"/>
        </w:rPr>
        <w:t>“</w:t>
      </w:r>
      <w:r w:rsidRPr="00D8028D">
        <w:rPr>
          <w:rFonts w:ascii="Verdana" w:eastAsia="Calibri" w:hAnsi="Verdana" w:cs="Arial"/>
          <w:bCs/>
          <w:lang w:val="es-ES_tradnl" w:eastAsia="x-none"/>
        </w:rPr>
        <w:t>queda prohibida la contratación directa</w:t>
      </w:r>
      <w:r w:rsidRPr="00D8028D">
        <w:rPr>
          <w:rFonts w:ascii="Verdana" w:eastAsia="Calibri" w:hAnsi="Verdana" w:cs="Arial"/>
          <w:lang w:val="es-ES_tradnl" w:eastAsia="es-ES_tradnl"/>
        </w:rPr>
        <w:t>”</w:t>
      </w:r>
      <w:r w:rsidRPr="00D8028D">
        <w:rPr>
          <w:rFonts w:ascii="Verdana" w:eastAsia="Calibri" w:hAnsi="Verdana" w:cs="Arial"/>
          <w:bCs/>
          <w:lang w:val="es-ES_tradnl" w:eastAsia="x-none"/>
        </w:rPr>
        <w:t xml:space="preserve">. </w:t>
      </w:r>
      <w:r w:rsidRPr="00D8028D">
        <w:rPr>
          <w:rFonts w:ascii="Verdana" w:eastAsia="Calibri" w:hAnsi="Verdana" w:cs="Arial"/>
          <w:lang w:val="es-ES_tradnl" w:eastAsia="es-CO"/>
        </w:rPr>
        <w:t xml:space="preserve"> A propósito de esta restricción de la Ley de Garantías Electorales, la Sala de Consulta y Servicio Civil del Consejo de Estado ha considerado que:</w:t>
      </w:r>
    </w:p>
    <w:p w14:paraId="0CEC4D32" w14:textId="77777777" w:rsidR="00001841" w:rsidRPr="00D8028D" w:rsidRDefault="00001841" w:rsidP="00001841">
      <w:pPr>
        <w:spacing w:after="0" w:line="276" w:lineRule="auto"/>
        <w:jc w:val="both"/>
        <w:rPr>
          <w:rFonts w:ascii="Verdana" w:eastAsia="Calibri" w:hAnsi="Verdana" w:cs="Arial"/>
          <w:bCs/>
          <w:lang w:val="es-ES_tradnl" w:eastAsia="es-CO"/>
        </w:rPr>
      </w:pPr>
    </w:p>
    <w:p w14:paraId="605A2CBC" w14:textId="77777777" w:rsidR="00001841" w:rsidRPr="00D8028D" w:rsidRDefault="00001841" w:rsidP="00001841">
      <w:pPr>
        <w:spacing w:after="0" w:line="240" w:lineRule="auto"/>
        <w:ind w:left="709" w:right="709"/>
        <w:jc w:val="both"/>
        <w:rPr>
          <w:rFonts w:ascii="Verdana" w:eastAsia="Calibri" w:hAnsi="Verdana" w:cs="Arial"/>
          <w:sz w:val="20"/>
          <w:szCs w:val="20"/>
          <w:lang w:val="es-ES_tradnl" w:eastAsia="es-ES_tradnl"/>
        </w:rPr>
      </w:pPr>
      <w:r w:rsidRPr="00D8028D">
        <w:rPr>
          <w:rFonts w:ascii="Verdana" w:eastAsia="Calibri" w:hAnsi="Verdana" w:cs="Arial"/>
          <w:sz w:val="20"/>
          <w:szCs w:val="20"/>
          <w:lang w:val="es-ES_tradnl" w:eastAsia="es-ES_tradnl"/>
        </w:rPr>
        <w:lastRenderedPageBreak/>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D8028D">
        <w:rPr>
          <w:rFonts w:ascii="Verdana" w:eastAsia="Calibri" w:hAnsi="Verdana" w:cs="Arial"/>
          <w:sz w:val="20"/>
          <w:szCs w:val="20"/>
          <w:vertAlign w:val="superscript"/>
          <w:lang w:val="es-ES_tradnl" w:eastAsia="es-CO"/>
        </w:rPr>
        <w:footnoteReference w:id="10"/>
      </w:r>
      <w:r w:rsidRPr="00D8028D">
        <w:rPr>
          <w:rFonts w:ascii="Verdana" w:eastAsia="Calibri" w:hAnsi="Verdana" w:cs="Arial"/>
          <w:sz w:val="20"/>
          <w:szCs w:val="20"/>
          <w:lang w:val="es-ES_tradnl" w:eastAsia="es-ES_tradnl"/>
        </w:rPr>
        <w:t>.</w:t>
      </w:r>
    </w:p>
    <w:p w14:paraId="7E7323A0" w14:textId="77777777" w:rsidR="00001841" w:rsidRPr="00D8028D" w:rsidRDefault="00001841" w:rsidP="00001841">
      <w:pPr>
        <w:spacing w:after="0" w:line="240" w:lineRule="auto"/>
        <w:ind w:left="709" w:right="709"/>
        <w:jc w:val="both"/>
        <w:rPr>
          <w:rFonts w:ascii="Verdana" w:eastAsia="Calibri" w:hAnsi="Verdana" w:cs="Arial"/>
          <w:sz w:val="20"/>
          <w:szCs w:val="20"/>
          <w:lang w:val="es-ES_tradnl" w:eastAsia="es-ES_tradnl"/>
        </w:rPr>
      </w:pPr>
    </w:p>
    <w:p w14:paraId="222AB095" w14:textId="77777777" w:rsidR="00001841" w:rsidRPr="00D8028D" w:rsidRDefault="00001841" w:rsidP="00001841">
      <w:pPr>
        <w:spacing w:after="0" w:line="240" w:lineRule="auto"/>
        <w:ind w:left="709" w:right="709"/>
        <w:jc w:val="both"/>
        <w:rPr>
          <w:rFonts w:ascii="Verdana" w:eastAsia="Calibri" w:hAnsi="Verdana" w:cs="Arial"/>
          <w:sz w:val="20"/>
          <w:szCs w:val="20"/>
          <w:lang w:val="es-ES" w:eastAsia="es-ES"/>
        </w:rPr>
      </w:pPr>
      <w:r w:rsidRPr="00D8028D">
        <w:rPr>
          <w:rFonts w:ascii="Verdana" w:eastAsia="Calibri" w:hAnsi="Verdana" w:cs="Arial"/>
          <w:sz w:val="20"/>
          <w:szCs w:val="20"/>
          <w:lang w:val="es-ES" w:eastAsia="es-ES"/>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D8028D">
        <w:rPr>
          <w:rFonts w:ascii="Verdana" w:eastAsia="Calibri" w:hAnsi="Verdana" w:cs="Arial"/>
          <w:sz w:val="20"/>
          <w:szCs w:val="20"/>
          <w:vertAlign w:val="superscript"/>
          <w:lang w:val="es-ES" w:eastAsia="es-ES"/>
        </w:rPr>
        <w:footnoteReference w:id="11"/>
      </w:r>
      <w:r w:rsidRPr="00D8028D">
        <w:rPr>
          <w:rFonts w:ascii="Verdana" w:eastAsia="Calibri" w:hAnsi="Verdana" w:cs="Arial"/>
          <w:sz w:val="20"/>
          <w:szCs w:val="20"/>
          <w:vertAlign w:val="superscript"/>
          <w:lang w:val="es-ES" w:eastAsia="es-ES"/>
        </w:rPr>
        <w:t>.</w:t>
      </w:r>
      <w:r w:rsidRPr="00D8028D">
        <w:rPr>
          <w:rFonts w:ascii="Verdana" w:eastAsia="Calibri" w:hAnsi="Verdana" w:cs="Arial"/>
          <w:sz w:val="20"/>
          <w:szCs w:val="20"/>
          <w:lang w:val="es-ES" w:eastAsia="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D8028D">
        <w:rPr>
          <w:rFonts w:ascii="Verdana" w:eastAsia="Calibri" w:hAnsi="Verdana" w:cs="Arial"/>
          <w:sz w:val="20"/>
          <w:szCs w:val="20"/>
          <w:vertAlign w:val="superscript"/>
          <w:lang w:val="es-ES" w:eastAsia="es-CO"/>
        </w:rPr>
        <w:footnoteReference w:id="12"/>
      </w:r>
      <w:r w:rsidRPr="00D8028D">
        <w:rPr>
          <w:rFonts w:ascii="Verdana" w:eastAsia="Calibri" w:hAnsi="Verdana" w:cs="Arial"/>
          <w:sz w:val="20"/>
          <w:szCs w:val="20"/>
          <w:lang w:val="es-ES" w:eastAsia="es-ES"/>
        </w:rPr>
        <w:t xml:space="preserve"> .</w:t>
      </w:r>
    </w:p>
    <w:p w14:paraId="5AC4F68E" w14:textId="77777777" w:rsidR="00001841" w:rsidRPr="00D8028D" w:rsidRDefault="00001841" w:rsidP="00001841">
      <w:pPr>
        <w:spacing w:after="0" w:line="240" w:lineRule="auto"/>
        <w:ind w:left="709" w:right="709"/>
        <w:jc w:val="both"/>
        <w:rPr>
          <w:rFonts w:ascii="Verdana" w:eastAsia="Calibri" w:hAnsi="Verdana" w:cs="Arial"/>
          <w:sz w:val="20"/>
          <w:szCs w:val="20"/>
          <w:lang w:val="es-ES" w:eastAsia="es-ES"/>
        </w:rPr>
      </w:pPr>
    </w:p>
    <w:p w14:paraId="513388CA" w14:textId="77777777" w:rsidR="00001841" w:rsidRPr="00D8028D" w:rsidRDefault="00001841" w:rsidP="00001841">
      <w:pPr>
        <w:spacing w:after="120" w:line="276" w:lineRule="auto"/>
        <w:ind w:firstLine="708"/>
        <w:jc w:val="both"/>
        <w:rPr>
          <w:rFonts w:ascii="Verdana" w:eastAsia="Times New Roman" w:hAnsi="Verdana" w:cs="Arial"/>
          <w:bCs/>
          <w:lang w:val="es-ES_tradnl" w:eastAsia="x-none"/>
        </w:rPr>
      </w:pPr>
      <w:r w:rsidRPr="00D8028D">
        <w:rPr>
          <w:rFonts w:ascii="Verdana" w:eastAsia="Calibri" w:hAnsi="Verdana" w:cs="Arial"/>
          <w:lang w:val="es-ES_tradnl" w:eastAsia="x-none"/>
        </w:rPr>
        <w:t xml:space="preserve">De acuerdo con el citado concepto, la prohibición del artículo 33 de la Ley de Garantías Electorales se refiere a </w:t>
      </w:r>
      <w:r w:rsidRPr="00D8028D">
        <w:rPr>
          <w:rFonts w:ascii="Verdana" w:eastAsia="Calibri" w:hAnsi="Verdana" w:cs="Arial"/>
          <w:lang w:val="es-ES_tradnl" w:eastAsia="en-GB"/>
        </w:rPr>
        <w:t>“</w:t>
      </w:r>
      <w:r w:rsidRPr="00D8028D">
        <w:rPr>
          <w:rFonts w:ascii="Verdana" w:eastAsia="Calibri" w:hAnsi="Verdana" w:cs="Arial"/>
          <w:lang w:val="es-ES_tradnl" w:eastAsia="x-none"/>
        </w:rPr>
        <w:t>cualquier sistema que no implique convocatoria pública y posibilidad de pluralidad de oferentes</w:t>
      </w:r>
      <w:r w:rsidRPr="00D8028D">
        <w:rPr>
          <w:rFonts w:ascii="Verdana" w:eastAsia="Calibri" w:hAnsi="Verdana" w:cs="Arial"/>
          <w:lang w:val="es-ES_tradnl" w:eastAsia="en-GB"/>
        </w:rPr>
        <w:t>”</w:t>
      </w:r>
      <w:r w:rsidRPr="00D8028D">
        <w:rPr>
          <w:rFonts w:ascii="Verdana" w:eastAsia="Calibri" w:hAnsi="Verdana" w:cs="Arial"/>
          <w:lang w:val="es-ES_tradnl" w:eastAsia="x-none"/>
        </w:rPr>
        <w:t xml:space="preserve">, por lo que excluye las demás modalidades de contratación previstas en la Ley 1150 de 2007, es decir, la licitación pública, la selección abreviada, el concurso de méritos y la mínima cuantía u otros previstos en normas especiales, que contemplen en alguna de sus etapas la posible participación de pluralidad de oferentes. Esta posición es congruente con la expedición de la Ley 1150 de 2007 que, entre otras reformas, introdujo la selección abreviada, rediseñó el concurso de méritos y sistematizó las causales de contratación directa, </w:t>
      </w:r>
      <w:r w:rsidRPr="00D8028D">
        <w:rPr>
          <w:rFonts w:ascii="Verdana" w:eastAsia="Calibri" w:hAnsi="Verdana" w:cs="Arial"/>
          <w:color w:val="000000"/>
          <w:lang w:val="es-ES_tradnl" w:eastAsia="x-none"/>
        </w:rPr>
        <w:t>además lo es con la posterior creación de la modalidad de mínima cuantía establecida actualmente en el numeral 5 del artículo 2 de la Ley 1150 de 2007, de acuerdo con las modificaciones realizadas por leyes posteriores</w:t>
      </w:r>
      <w:r w:rsidRPr="00D8028D">
        <w:rPr>
          <w:rFonts w:ascii="Verdana" w:eastAsia="Calibri" w:hAnsi="Verdana" w:cs="Arial"/>
          <w:color w:val="000000"/>
          <w:vertAlign w:val="superscript"/>
          <w:lang w:val="es-ES_tradnl" w:eastAsia="x-none"/>
        </w:rPr>
        <w:footnoteReference w:id="13"/>
      </w:r>
      <w:r w:rsidRPr="00D8028D">
        <w:rPr>
          <w:rFonts w:ascii="Verdana" w:eastAsia="Calibri" w:hAnsi="Verdana" w:cs="Arial"/>
          <w:color w:val="000000"/>
          <w:lang w:val="es-ES_tradnl" w:eastAsia="x-none"/>
        </w:rPr>
        <w:t>.</w:t>
      </w:r>
      <w:r w:rsidRPr="00D8028D">
        <w:rPr>
          <w:rFonts w:ascii="Verdana" w:eastAsia="Times New Roman" w:hAnsi="Verdana" w:cs="Arial"/>
          <w:lang w:val="es-ES_tradnl" w:eastAsia="x-none"/>
        </w:rPr>
        <w:t xml:space="preserve"> </w:t>
      </w:r>
    </w:p>
    <w:p w14:paraId="41139A1B" w14:textId="77777777" w:rsidR="00001841" w:rsidRPr="00D8028D" w:rsidRDefault="00001841" w:rsidP="00001841">
      <w:pPr>
        <w:spacing w:after="120" w:line="276" w:lineRule="auto"/>
        <w:ind w:firstLine="708"/>
        <w:jc w:val="both"/>
        <w:rPr>
          <w:rFonts w:ascii="Verdana" w:eastAsia="Calibri" w:hAnsi="Verdana" w:cs="Arial"/>
          <w:lang w:val="es-ES_tradnl" w:eastAsia="x-none"/>
        </w:rPr>
      </w:pPr>
      <w:r w:rsidRPr="00D8028D">
        <w:rPr>
          <w:rFonts w:ascii="Verdana" w:eastAsia="Calibri" w:hAnsi="Verdana" w:cs="Arial"/>
          <w:lang w:val="es-ES_tradnl" w:eastAsia="x-none"/>
        </w:rPr>
        <w:lastRenderedPageBreak/>
        <w:t xml:space="preserve">De esta forma, con fundamento en la evolución de la normativa sobre la contratación pública, se ha depurado la noción de </w:t>
      </w:r>
      <w:r w:rsidRPr="00D8028D">
        <w:rPr>
          <w:rFonts w:ascii="Verdana" w:eastAsia="Calibri" w:hAnsi="Verdana" w:cs="Arial"/>
          <w:lang w:val="es-ES_tradnl" w:eastAsia="en-GB"/>
        </w:rPr>
        <w:t>“</w:t>
      </w:r>
      <w:r w:rsidRPr="00D8028D">
        <w:rPr>
          <w:rFonts w:ascii="Verdana" w:eastAsia="Calibri" w:hAnsi="Verdana" w:cs="Arial"/>
          <w:lang w:val="es-ES_tradnl" w:eastAsia="x-none"/>
        </w:rPr>
        <w:t>contratación directa</w:t>
      </w:r>
      <w:r w:rsidRPr="00D8028D">
        <w:rPr>
          <w:rFonts w:ascii="Verdana" w:eastAsia="Calibri" w:hAnsi="Verdana" w:cs="Arial"/>
          <w:lang w:val="es-ES_tradnl" w:eastAsia="en-GB"/>
        </w:rPr>
        <w:t>”</w:t>
      </w:r>
      <w:r w:rsidRPr="00D8028D">
        <w:rPr>
          <w:rFonts w:ascii="Verdana" w:eastAsia="Calibri" w:hAnsi="Verdana" w:cs="Arial"/>
          <w:lang w:val="es-ES_tradnl"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D8028D">
        <w:rPr>
          <w:rFonts w:ascii="Verdana" w:eastAsia="Calibri" w:hAnsi="Verdana" w:cs="Arial"/>
          <w:vertAlign w:val="superscript"/>
          <w:lang w:val="en-GB" w:eastAsia="x-none"/>
        </w:rPr>
        <w:footnoteReference w:id="14"/>
      </w:r>
      <w:r w:rsidRPr="00D8028D">
        <w:rPr>
          <w:rFonts w:ascii="Verdana" w:eastAsia="Calibri" w:hAnsi="Verdana" w:cs="Arial"/>
          <w:lang w:val="es-ES_tradnl" w:eastAsia="x-none"/>
        </w:rPr>
        <w:t>, han establecido sistemas de contratación que implican convocatoria pública y participación de varios oferentes</w:t>
      </w:r>
      <w:r w:rsidRPr="00D8028D">
        <w:rPr>
          <w:rFonts w:ascii="Verdana" w:eastAsia="Calibri" w:hAnsi="Verdana" w:cs="Arial"/>
          <w:lang w:val="es-ES_tradnl" w:eastAsia="en-GB"/>
        </w:rPr>
        <w:t>”</w:t>
      </w:r>
      <w:r w:rsidRPr="00D8028D">
        <w:rPr>
          <w:rFonts w:ascii="Verdana" w:eastAsia="Calibri" w:hAnsi="Verdana" w:cs="Arial"/>
          <w:lang w:val="es-ES_tradnl" w:eastAsia="x-none"/>
        </w:rPr>
        <w:t xml:space="preserve">. </w:t>
      </w:r>
    </w:p>
    <w:p w14:paraId="280BC6CA" w14:textId="77777777" w:rsidR="00001841" w:rsidRPr="00D8028D" w:rsidRDefault="00001841" w:rsidP="00001841">
      <w:pPr>
        <w:spacing w:after="120" w:line="276" w:lineRule="auto"/>
        <w:ind w:firstLine="708"/>
        <w:jc w:val="both"/>
        <w:rPr>
          <w:rFonts w:ascii="Verdana" w:eastAsia="Calibri" w:hAnsi="Verdana" w:cs="Arial"/>
          <w:bCs/>
          <w:lang w:val="es-ES_tradnl" w:eastAsia="es-CO"/>
        </w:rPr>
      </w:pPr>
      <w:r w:rsidRPr="00D8028D">
        <w:rPr>
          <w:rFonts w:ascii="Verdana" w:eastAsia="Calibri" w:hAnsi="Verdana" w:cs="Arial"/>
          <w:bCs/>
          <w:lang w:val="es-ES_tradnl" w:eastAsia="x-none"/>
        </w:rPr>
        <w:t>E</w:t>
      </w:r>
      <w:r w:rsidRPr="00D8028D">
        <w:rPr>
          <w:rFonts w:ascii="Verdana" w:eastAsia="Calibri" w:hAnsi="Verdana" w:cs="Arial"/>
          <w:lang w:val="es-ES_tradnl"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D8028D">
        <w:rPr>
          <w:rFonts w:ascii="Verdana" w:eastAsia="Calibri" w:hAnsi="Verdana" w:cs="Arial"/>
          <w:vertAlign w:val="superscript"/>
          <w:lang w:val="es-ES_tradnl" w:eastAsia="x-none"/>
        </w:rPr>
        <w:footnoteReference w:id="15"/>
      </w:r>
      <w:r w:rsidRPr="00D8028D">
        <w:rPr>
          <w:rFonts w:ascii="Verdana" w:eastAsia="Calibri" w:hAnsi="Verdana" w:cs="Arial"/>
          <w:lang w:val="es-ES_tradnl" w:eastAsia="x-none"/>
        </w:rPr>
        <w:t xml:space="preserve">. </w:t>
      </w:r>
    </w:p>
    <w:p w14:paraId="66D60A13" w14:textId="77777777" w:rsidR="00001841" w:rsidRPr="00D8028D" w:rsidRDefault="00001841" w:rsidP="00001841">
      <w:pPr>
        <w:spacing w:after="120" w:line="276" w:lineRule="auto"/>
        <w:ind w:firstLine="708"/>
        <w:jc w:val="both"/>
        <w:rPr>
          <w:rFonts w:ascii="Verdana" w:eastAsia="Calibri" w:hAnsi="Verdana" w:cs="Arial"/>
          <w:lang w:val="es-ES" w:eastAsia="es-CO"/>
        </w:rPr>
      </w:pPr>
      <w:r w:rsidRPr="00D8028D">
        <w:rPr>
          <w:rFonts w:ascii="Verdana" w:eastAsia="Calibri" w:hAnsi="Verdana" w:cs="Arial"/>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C4D5AD0" w14:textId="77777777" w:rsidR="00001841" w:rsidRPr="00D8028D" w:rsidRDefault="00001841" w:rsidP="00001841">
      <w:pPr>
        <w:spacing w:after="120" w:line="276" w:lineRule="auto"/>
        <w:ind w:firstLine="708"/>
        <w:jc w:val="both"/>
        <w:rPr>
          <w:rFonts w:ascii="Verdana" w:eastAsia="Calibri" w:hAnsi="Verdana" w:cs="Arial"/>
          <w:bCs/>
          <w:lang w:val="es-ES_tradnl" w:eastAsia="x-none"/>
        </w:rPr>
      </w:pPr>
      <w:r w:rsidRPr="00D8028D">
        <w:rPr>
          <w:rFonts w:ascii="Verdana" w:eastAsia="Calibri" w:hAnsi="Verdana" w:cs="Arial"/>
          <w:bCs/>
          <w:lang w:val="es-ES_tradnl" w:eastAsia="x-none"/>
        </w:rPr>
        <w:t xml:space="preserve"> Así las cosas, ha de entenderse que, para los efectos de la Ley de Garantías Electorales y, en particular, para la prohibición o restricción temporal </w:t>
      </w:r>
      <w:r w:rsidRPr="00D8028D">
        <w:rPr>
          <w:rFonts w:ascii="Verdana" w:eastAsia="Calibri" w:hAnsi="Verdana" w:cs="Arial"/>
          <w:bCs/>
          <w:lang w:val="es-ES_tradnl" w:eastAsia="x-none"/>
        </w:rPr>
        <w:lastRenderedPageBreak/>
        <w:t>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D8028D">
        <w:rPr>
          <w:rFonts w:ascii="Verdana" w:eastAsia="Calibri" w:hAnsi="Verdana" w:cs="Arial"/>
          <w:vertAlign w:val="superscript"/>
          <w:lang w:val="es-ES_tradnl" w:eastAsia="x-none"/>
        </w:rPr>
        <w:footnoteReference w:id="16"/>
      </w:r>
      <w:r w:rsidRPr="00D8028D">
        <w:rPr>
          <w:rFonts w:ascii="Verdana" w:eastAsia="Calibri" w:hAnsi="Verdana" w:cs="Arial"/>
          <w:bCs/>
          <w:lang w:val="es-ES_tradnl" w:eastAsia="x-none"/>
        </w:rPr>
        <w:t>.</w:t>
      </w:r>
      <w:r w:rsidRPr="00D8028D">
        <w:rPr>
          <w:rFonts w:ascii="Verdana" w:eastAsia="Calibri" w:hAnsi="Verdana" w:cs="Arial"/>
          <w:vertAlign w:val="superscript"/>
          <w:lang w:val="es-ES_tradnl" w:eastAsia="x-none"/>
        </w:rPr>
        <w:t xml:space="preserve"> </w:t>
      </w:r>
    </w:p>
    <w:p w14:paraId="7EA1A437" w14:textId="77777777" w:rsidR="00001841" w:rsidRPr="00D8028D" w:rsidRDefault="00001841" w:rsidP="00001841">
      <w:pPr>
        <w:spacing w:after="120" w:line="276" w:lineRule="auto"/>
        <w:ind w:firstLine="708"/>
        <w:jc w:val="both"/>
        <w:rPr>
          <w:rFonts w:ascii="Verdana" w:eastAsia="Calibri" w:hAnsi="Verdana" w:cs="Arial"/>
          <w:lang w:val="es-ES_tradnl" w:eastAsia="x-none"/>
        </w:rPr>
      </w:pPr>
      <w:r w:rsidRPr="00D8028D">
        <w:rPr>
          <w:rFonts w:ascii="Verdana" w:eastAsia="Calibri" w:hAnsi="Verdana" w:cs="Arial"/>
          <w:bCs/>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D8028D">
        <w:rPr>
          <w:rFonts w:ascii="Verdana" w:eastAsia="Calibri" w:hAnsi="Verdana" w:cs="Arial"/>
          <w:lang w:val="es-ES_tradnl"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1A25DD33" w14:textId="77777777" w:rsidR="00001841" w:rsidRPr="00D8028D" w:rsidRDefault="00001841" w:rsidP="00001841">
      <w:pPr>
        <w:spacing w:after="120" w:line="276" w:lineRule="auto"/>
        <w:ind w:firstLine="708"/>
        <w:jc w:val="both"/>
        <w:rPr>
          <w:rFonts w:ascii="Verdana" w:eastAsia="Calibri" w:hAnsi="Verdana" w:cs="Arial"/>
          <w:lang w:val="es-ES"/>
        </w:rPr>
      </w:pPr>
      <w:r w:rsidRPr="00D8028D">
        <w:rPr>
          <w:rFonts w:ascii="Verdana" w:eastAsia="Calibri" w:hAnsi="Verdana" w:cs="Arial"/>
          <w:lang w:val="es-ES"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p>
    <w:p w14:paraId="39A3B3E3" w14:textId="77777777" w:rsidR="00001841" w:rsidRPr="00D8028D" w:rsidRDefault="00001841" w:rsidP="00001841">
      <w:pPr>
        <w:spacing w:after="120" w:line="276" w:lineRule="auto"/>
        <w:ind w:firstLine="708"/>
        <w:jc w:val="both"/>
        <w:rPr>
          <w:rFonts w:ascii="Verdana" w:eastAsia="Calibri" w:hAnsi="Verdana" w:cs="Arial"/>
          <w:lang w:val="es-ES" w:eastAsia="es-CO"/>
        </w:rPr>
      </w:pPr>
      <w:r w:rsidRPr="00D8028D">
        <w:rPr>
          <w:rFonts w:ascii="Verdana" w:eastAsia="Calibri" w:hAnsi="Verdana" w:cs="Arial"/>
          <w:lang w:val="es-ES"/>
        </w:rPr>
        <w:t>De otro lado, 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D8028D">
        <w:rPr>
          <w:rFonts w:ascii="Verdana" w:eastAsia="Calibri" w:hAnsi="Verdana" w:cs="Arial"/>
          <w:lang w:val="es-ES" w:eastAsia="es-CO"/>
        </w:rPr>
        <w:t xml:space="preserve"> Es responsabilidad del respectivo ente del Estado, examinar en cada caso la naturaleza de las actividades que adelanta y determinar si las mismas se </w:t>
      </w:r>
      <w:r w:rsidRPr="00D8028D">
        <w:rPr>
          <w:rFonts w:ascii="Verdana" w:eastAsia="Calibri" w:hAnsi="Verdana" w:cs="Arial"/>
          <w:lang w:val="es-ES" w:eastAsia="es-CO"/>
        </w:rPr>
        <w:lastRenderedPageBreak/>
        <w:t>enmarcan en alguna de las mencionadas excepciones, de manera que se le permita realizar la contratación que necesite en forma directa.</w:t>
      </w:r>
    </w:p>
    <w:p w14:paraId="5838D472" w14:textId="77777777" w:rsidR="00001841" w:rsidRPr="00D8028D" w:rsidRDefault="00001841" w:rsidP="00001841">
      <w:pPr>
        <w:spacing w:after="120" w:line="276" w:lineRule="auto"/>
        <w:ind w:firstLine="708"/>
        <w:jc w:val="both"/>
        <w:rPr>
          <w:rFonts w:ascii="Verdana" w:eastAsia="Calibri" w:hAnsi="Verdana" w:cs="Arial"/>
          <w:bCs/>
          <w:lang w:val="es-ES_tradnl" w:eastAsia="x-none"/>
        </w:rPr>
      </w:pPr>
      <w:r w:rsidRPr="00D8028D">
        <w:rPr>
          <w:rFonts w:ascii="Verdana" w:eastAsia="Calibri" w:hAnsi="Verdana" w:cs="Arial"/>
          <w:bCs/>
          <w:lang w:val="es-ES_tradnl" w:eastAsia="x-none"/>
        </w:rPr>
        <w:t>En esta labor es importante tener en cuenta, como lo anotó la Corte Constitucional, en Sentencia C-1153 de noviembre 11 de 2005</w:t>
      </w:r>
      <w:r w:rsidRPr="00D8028D">
        <w:rPr>
          <w:rFonts w:ascii="Verdana" w:eastAsia="Calibri" w:hAnsi="Verdana" w:cs="Calibri"/>
          <w:vertAlign w:val="superscript"/>
          <w:lang w:val="es-ES_tradnl" w:eastAsia="es-ES_tradnl"/>
        </w:rPr>
        <w:t>,</w:t>
      </w:r>
      <w:r w:rsidRPr="00D8028D">
        <w:rPr>
          <w:rFonts w:ascii="Verdana" w:eastAsia="Calibri" w:hAnsi="Verdana" w:cs="Arial"/>
          <w:bCs/>
          <w:lang w:val="es-ES_tradnl" w:eastAsia="x-none"/>
        </w:rPr>
        <w:t xml:space="preserve">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D8028D">
        <w:rPr>
          <w:rFonts w:ascii="Verdana" w:eastAsia="Calibri" w:hAnsi="Verdana" w:cs="Arial"/>
          <w:vertAlign w:val="superscript"/>
          <w:lang w:val="es-ES_tradnl" w:eastAsia="es-ES_tradnl"/>
        </w:rPr>
        <w:footnoteReference w:id="17"/>
      </w:r>
      <w:r w:rsidRPr="00D8028D">
        <w:rPr>
          <w:rFonts w:ascii="Verdana" w:eastAsia="Calibri" w:hAnsi="Verdana" w:cs="Arial"/>
          <w:bCs/>
          <w:lang w:val="es-ES_tradnl"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173AF01C" w14:textId="77777777" w:rsidR="00001841" w:rsidRPr="00D8028D" w:rsidRDefault="00001841" w:rsidP="00001841">
      <w:pPr>
        <w:spacing w:after="120" w:line="276" w:lineRule="auto"/>
        <w:ind w:firstLine="709"/>
        <w:jc w:val="both"/>
        <w:rPr>
          <w:rFonts w:ascii="Verdana" w:eastAsia="Times New Roman" w:hAnsi="Verdana" w:cs="Arial"/>
          <w:bCs/>
          <w:lang w:val="es-MX" w:eastAsia="es-CO"/>
        </w:rPr>
      </w:pPr>
      <w:r w:rsidRPr="00D8028D">
        <w:rPr>
          <w:rFonts w:ascii="Verdana" w:eastAsia="Calibri" w:hAnsi="Verdana" w:cs="Arial"/>
          <w:bCs/>
          <w:color w:val="000000"/>
          <w:lang w:val="es-MX" w:eastAsia="x-none"/>
        </w:rPr>
        <w:t>En relación con los destinatarios de la restricción analizada</w:t>
      </w:r>
      <w:r w:rsidRPr="00D8028D">
        <w:rPr>
          <w:rFonts w:ascii="Verdana" w:eastAsia="Times New Roman" w:hAnsi="Verdana" w:cs="Arial"/>
          <w:bCs/>
          <w:lang w:val="es-MX" w:eastAsia="x-none"/>
        </w:rPr>
        <w:t>, 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D8028D">
        <w:rPr>
          <w:rFonts w:ascii="Verdana" w:eastAsia="Calibri" w:hAnsi="Verdana" w:cs="Arial"/>
          <w:lang w:val="es-MX"/>
        </w:rPr>
        <w:t xml:space="preserve"> </w:t>
      </w:r>
      <w:r w:rsidRPr="00D8028D">
        <w:rPr>
          <w:rFonts w:ascii="Verdana" w:eastAsia="Times New Roman" w:hAnsi="Verdana" w:cs="Arial"/>
          <w:bCs/>
          <w:lang w:val="es-MX" w:eastAsia="x-none"/>
        </w:rPr>
        <w:t>En efecto, tal como lo ha sostenido el Consejo de Estado, el vocablo “todos” utilizado por el legislador comprende</w:t>
      </w:r>
      <w:r w:rsidRPr="00D8028D">
        <w:rPr>
          <w:rFonts w:ascii="Verdana" w:eastAsia="Calibri" w:hAnsi="Verdana" w:cs="Arial"/>
          <w:lang w:val="es-MX"/>
        </w:rPr>
        <w:t xml:space="preserve"> </w:t>
      </w:r>
      <w:r w:rsidRPr="00D8028D">
        <w:rPr>
          <w:rFonts w:ascii="Verdana" w:eastAsia="Times New Roman" w:hAnsi="Verdana" w:cs="Arial"/>
          <w:bCs/>
          <w:lang w:val="es-MX"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Sobre el particular, el Consejo de Estado, en Concepto con radicado 1727 de fecha 20 de febrero de 2006, consideró que</w:t>
      </w:r>
      <w:bookmarkStart w:id="6" w:name="_Hlk75787147"/>
      <w:r w:rsidRPr="00D8028D">
        <w:rPr>
          <w:rFonts w:ascii="Verdana" w:eastAsia="Times New Roman" w:hAnsi="Verdana" w:cs="Arial"/>
          <w:bCs/>
          <w:lang w:val="es-MX" w:eastAsia="x-none"/>
        </w:rPr>
        <w:t xml:space="preserve"> </w:t>
      </w:r>
      <w:r w:rsidRPr="00D8028D">
        <w:rPr>
          <w:rFonts w:ascii="Verdana" w:eastAsia="Calibri" w:hAnsi="Verdana" w:cs="Arial"/>
          <w:bCs/>
          <w:color w:val="000000"/>
          <w:lang w:val="es-MX" w:eastAsia="x-none"/>
        </w:rPr>
        <w:t xml:space="preserve">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w:t>
      </w:r>
      <w:r w:rsidRPr="00D8028D">
        <w:rPr>
          <w:rFonts w:ascii="Verdana" w:eastAsia="Calibri" w:hAnsi="Verdana" w:cs="Arial"/>
          <w:bCs/>
          <w:color w:val="000000"/>
          <w:lang w:val="es-MX" w:eastAsia="x-none"/>
        </w:rPr>
        <w:lastRenderedPageBreak/>
        <w:t>y a los municipios prestadores directos, incluyendo las excepciones contenidas en el segundo inciso de esta norma”</w:t>
      </w:r>
      <w:r w:rsidRPr="00D8028D">
        <w:rPr>
          <w:rFonts w:ascii="Verdana" w:eastAsia="Calibri" w:hAnsi="Verdana" w:cs="Arial"/>
          <w:bCs/>
          <w:color w:val="000000"/>
          <w:vertAlign w:val="superscript"/>
          <w:lang w:val="es-MX" w:eastAsia="x-none"/>
        </w:rPr>
        <w:footnoteReference w:id="18"/>
      </w:r>
      <w:r w:rsidRPr="00D8028D">
        <w:rPr>
          <w:rFonts w:ascii="Verdana" w:eastAsia="Calibri" w:hAnsi="Verdana" w:cs="Arial"/>
          <w:bCs/>
          <w:color w:val="000000"/>
          <w:lang w:val="es-MX" w:eastAsia="x-none"/>
        </w:rPr>
        <w:t>.</w:t>
      </w:r>
    </w:p>
    <w:p w14:paraId="4B1A1BB7" w14:textId="77777777" w:rsidR="00001841" w:rsidRDefault="00001841" w:rsidP="00001841">
      <w:pPr>
        <w:spacing w:after="0" w:line="276" w:lineRule="auto"/>
        <w:ind w:firstLine="708"/>
        <w:jc w:val="both"/>
        <w:rPr>
          <w:rFonts w:ascii="Verdana" w:eastAsia="Times New Roman" w:hAnsi="Verdana" w:cs="Arial"/>
          <w:bCs/>
          <w:lang w:val="es-MX" w:eastAsia="x-none"/>
        </w:rPr>
      </w:pPr>
      <w:bookmarkStart w:id="7" w:name="_Hlk77237229"/>
      <w:bookmarkEnd w:id="6"/>
      <w:r w:rsidRPr="00D8028D">
        <w:rPr>
          <w:rFonts w:ascii="Verdana" w:eastAsia="Calibri" w:hAnsi="Verdana" w:cs="Arial"/>
          <w:lang w:val="es-MX"/>
        </w:rPr>
        <w:t>Por lo tanto, la restricción prevista en la Ley 996 de 200</w:t>
      </w:r>
      <w:bookmarkStart w:id="8" w:name="_Hlk75741539"/>
      <w:r w:rsidRPr="00D8028D">
        <w:rPr>
          <w:rFonts w:ascii="Verdana" w:eastAsia="Calibri" w:hAnsi="Verdana" w:cs="Arial"/>
          <w:lang w:val="es-MX"/>
        </w:rPr>
        <w:t xml:space="preserve">5, </w:t>
      </w:r>
      <w:r w:rsidRPr="00D8028D">
        <w:rPr>
          <w:rFonts w:ascii="Verdana" w:eastAsia="Times New Roman" w:hAnsi="Verdana" w:cs="Arial"/>
          <w:bCs/>
          <w:lang w:val="es-MX" w:eastAsia="x-none"/>
        </w:rPr>
        <w:t>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bookmarkEnd w:id="7"/>
      <w:bookmarkEnd w:id="8"/>
      <w:r>
        <w:rPr>
          <w:rFonts w:ascii="Verdana" w:eastAsia="Times New Roman" w:hAnsi="Verdana" w:cs="Arial"/>
          <w:bCs/>
          <w:lang w:val="es-MX" w:eastAsia="x-none"/>
        </w:rPr>
        <w:t>.</w:t>
      </w:r>
    </w:p>
    <w:p w14:paraId="43A62880" w14:textId="77777777" w:rsidR="00001841" w:rsidRDefault="00001841" w:rsidP="00001841">
      <w:pPr>
        <w:spacing w:after="0" w:line="276" w:lineRule="auto"/>
        <w:ind w:firstLine="708"/>
        <w:jc w:val="both"/>
        <w:rPr>
          <w:rFonts w:ascii="Verdana" w:eastAsia="Times New Roman" w:hAnsi="Verdana" w:cs="Arial"/>
          <w:bCs/>
          <w:lang w:val="es-MX" w:eastAsia="x-none"/>
        </w:rPr>
      </w:pPr>
    </w:p>
    <w:p w14:paraId="586C9B5A" w14:textId="77777777" w:rsidR="00001841" w:rsidRPr="00343E12" w:rsidRDefault="00001841" w:rsidP="00001841">
      <w:pPr>
        <w:spacing w:after="0" w:line="276" w:lineRule="auto"/>
        <w:jc w:val="both"/>
        <w:rPr>
          <w:rFonts w:ascii="Verdana" w:eastAsia="Times New Roman" w:hAnsi="Verdana" w:cs="Arial"/>
          <w:lang w:eastAsia="es-CO"/>
        </w:rPr>
      </w:pPr>
      <w:r>
        <w:rPr>
          <w:rFonts w:ascii="Verdana" w:eastAsia="Times New Roman" w:hAnsi="Verdana" w:cs="Arial"/>
          <w:bCs/>
          <w:lang w:val="es-MX" w:eastAsia="x-none"/>
        </w:rPr>
        <w:t xml:space="preserve">iii. En ese contexto, es importante precisar, </w:t>
      </w:r>
      <w:r>
        <w:rPr>
          <w:rFonts w:ascii="Verdana" w:eastAsia="Times New Roman" w:hAnsi="Verdana" w:cs="Arial"/>
          <w:lang w:val="es-MX" w:eastAsia="es-CO"/>
        </w:rPr>
        <w:t>l</w:t>
      </w:r>
      <w:r w:rsidRPr="00725218">
        <w:rPr>
          <w:rFonts w:ascii="Verdana" w:eastAsia="Times New Roman" w:hAnsi="Verdana" w:cs="Arial"/>
          <w:lang w:val="es-MX" w:eastAsia="es-CO"/>
        </w:rPr>
        <w:t>a prohibición</w:t>
      </w:r>
      <w:r>
        <w:rPr>
          <w:rFonts w:ascii="Verdana" w:eastAsia="Times New Roman" w:hAnsi="Verdana" w:cs="Arial"/>
          <w:lang w:val="es-MX" w:eastAsia="es-CO"/>
        </w:rPr>
        <w:t xml:space="preserve"> establecida en el parágrafo del artículo 38 de la Ley 996 de 2005,</w:t>
      </w:r>
      <w:r w:rsidRPr="00725218">
        <w:rPr>
          <w:rFonts w:ascii="Verdana" w:eastAsia="Times New Roman" w:hAnsi="Verdana" w:cs="Arial"/>
          <w:lang w:val="es-MX" w:eastAsia="es-CO"/>
        </w:rPr>
        <w:t xml:space="preserve"> la Circular Externa No. 006 de 2025 expedida por la ANCP -CCE, en los literales ii) y iv) del numeral 2</w:t>
      </w:r>
      <w:r w:rsidRPr="00725218">
        <w:rPr>
          <w:rFonts w:ascii="Verdana" w:eastAsia="Times New Roman" w:hAnsi="Verdana" w:cs="Arial"/>
          <w:lang w:eastAsia="es-CO"/>
        </w:rPr>
        <w:t>,</w:t>
      </w:r>
      <w:r w:rsidRPr="00725218">
        <w:rPr>
          <w:rFonts w:ascii="Verdana" w:eastAsia="Times New Roman" w:hAnsi="Verdana" w:cs="Arial"/>
          <w:lang w:val="es-MX" w:eastAsia="es-CO"/>
        </w:rPr>
        <w:t xml:space="preserve"> indica que </w:t>
      </w:r>
      <w:r>
        <w:rPr>
          <w:rFonts w:ascii="Verdana" w:eastAsia="Times New Roman" w:hAnsi="Verdana" w:cs="Arial"/>
          <w:lang w:val="es-MX" w:eastAsia="es-CO"/>
        </w:rPr>
        <w:t>esta disposición</w:t>
      </w:r>
      <w:r w:rsidRPr="00343E12">
        <w:rPr>
          <w:rFonts w:ascii="Verdana" w:eastAsia="Times New Roman" w:hAnsi="Verdana" w:cs="Arial"/>
          <w:lang w:eastAsia="es-CO"/>
        </w:rPr>
        <w:t xml:space="preserve"> cobija expresamente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343E12">
        <w:rPr>
          <w:rFonts w:ascii="Verdana" w:eastAsia="Times New Roman" w:hAnsi="Verdana" w:cs="Arial"/>
          <w:i/>
          <w:iCs/>
          <w:lang w:eastAsia="es-CO"/>
        </w:rPr>
        <w:t>“aunque se configure alguno de los supuestos de excepción que señaló el inciso final del artículo 33”.</w:t>
      </w:r>
      <w:r w:rsidRPr="00343E12">
        <w:rPr>
          <w:rFonts w:ascii="Verdana" w:eastAsia="Times New Roman" w:hAnsi="Verdana" w:cs="Arial"/>
          <w:lang w:eastAsia="es-CO"/>
        </w:rPr>
        <w:t xml:space="preserve"> </w:t>
      </w:r>
    </w:p>
    <w:p w14:paraId="5990B844" w14:textId="77777777" w:rsidR="00001841" w:rsidRPr="00343E12" w:rsidRDefault="00001841" w:rsidP="00001841">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w:t>
      </w:r>
      <w:r w:rsidRPr="00343E12">
        <w:rPr>
          <w:rFonts w:ascii="Verdana" w:eastAsia="Times New Roman" w:hAnsi="Verdana" w:cs="Arial"/>
          <w:i/>
          <w:iCs/>
          <w:lang w:eastAsia="es-CO"/>
        </w:rPr>
        <w:t>ejecución de recursos públicos</w:t>
      </w:r>
      <w:r w:rsidRPr="00343E12">
        <w:rPr>
          <w:rFonts w:ascii="Verdana" w:eastAsia="Times New Roman" w:hAnsi="Verdana" w:cs="Arial"/>
          <w:lang w:eastAsia="es-CO"/>
        </w:rPr>
        <w:t xml:space="preserve">. Esto significa que la prohibición no resulta aplicable a </w:t>
      </w:r>
      <w:r w:rsidRPr="00343E12">
        <w:rPr>
          <w:rFonts w:ascii="Verdana" w:eastAsia="Times New Roman" w:hAnsi="Verdana" w:cs="Arial"/>
          <w:i/>
          <w:iCs/>
          <w:lang w:eastAsia="es-CO"/>
        </w:rPr>
        <w:t>convenios interadministrativos a título gratuito,</w:t>
      </w:r>
      <w:r w:rsidRPr="00343E12">
        <w:rPr>
          <w:rFonts w:ascii="Verdana" w:eastAsia="Times New Roman" w:hAnsi="Verdana" w:cs="Arial"/>
          <w:lang w:eastAsia="es-CO"/>
        </w:rPr>
        <w:t xml:space="preserve"> los cuales pueden celebrarse válidamente durante la vigencia de la mencionada restricción. </w:t>
      </w:r>
    </w:p>
    <w:p w14:paraId="1FF9EA1D" w14:textId="77777777" w:rsidR="00001841" w:rsidRPr="00FD6CE7" w:rsidRDefault="00001841" w:rsidP="00001841">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lastRenderedPageBreak/>
        <w:t xml:space="preserve">De esta manera, conforme a lo dispuesto en la Circular referida, si se suscriben </w:t>
      </w:r>
      <w:r w:rsidRPr="00343E12">
        <w:rPr>
          <w:rFonts w:ascii="Verdana" w:eastAsia="Times New Roman" w:hAnsi="Verdana" w:cs="Arial"/>
          <w:i/>
          <w:iCs/>
          <w:lang w:eastAsia="es-CO"/>
        </w:rPr>
        <w:t>convenios interadministrativos para la ejecución de recursos públicos</w:t>
      </w:r>
      <w:r w:rsidRPr="00343E12">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343E12">
        <w:rPr>
          <w:rFonts w:ascii="Verdana" w:eastAsia="Times New Roman" w:hAnsi="Verdana" w:cs="Arial"/>
          <w:i/>
          <w:iCs/>
          <w:lang w:eastAsia="es-CO"/>
        </w:rPr>
        <w:t>ibidem</w:t>
      </w:r>
      <w:r w:rsidRPr="00343E12">
        <w:rPr>
          <w:rFonts w:ascii="Verdana" w:eastAsia="Times New Roman" w:hAnsi="Verdana" w:cs="Arial"/>
          <w:lang w:eastAsia="es-CO"/>
        </w:rPr>
        <w:t>, independientemente de que se configure alguno de los supuestos de excepción que señaló el inciso final del artículo 33, es decir, que se trate de:</w:t>
      </w:r>
      <w:r w:rsidRPr="00343E12">
        <w:rPr>
          <w:rFonts w:ascii="Verdana" w:eastAsia="Aptos"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343E12">
        <w:rPr>
          <w:rFonts w:ascii="Verdana" w:eastAsia="Aptos" w:hAnsi="Verdana" w:cs="Arial"/>
          <w:bCs/>
          <w:lang w:val="es-MX" w:eastAsia="es-CO"/>
        </w:rPr>
        <w:t xml:space="preserve"> </w:t>
      </w:r>
      <w:r w:rsidRPr="00343E12">
        <w:rPr>
          <w:rFonts w:ascii="Verdana" w:eastAsia="Times New Roman" w:hAnsi="Verdana" w:cs="Arial"/>
          <w:lang w:eastAsia="es-CO"/>
        </w:rPr>
        <w:t xml:space="preserve">  </w:t>
      </w:r>
    </w:p>
    <w:p w14:paraId="5197131B" w14:textId="77777777" w:rsidR="00001841" w:rsidRPr="00343E12" w:rsidRDefault="00001841" w:rsidP="00001841">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En este punto, teniendo en cuenta lo señalado en el contenido de su petición, vale la pena destacar que, </w:t>
      </w:r>
      <w:r w:rsidRPr="00343E12">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343E12">
        <w:rPr>
          <w:rFonts w:ascii="Verdana" w:eastAsia="Aptos" w:hAnsi="Verdana" w:cs="Arial"/>
        </w:rPr>
        <w:t>numeral 16.2 de la Circular Externa Única de 2022 expedida por la Agencia Nacional de Contratación Pública -Colombia Compra Eficiente-, concretamente, respecto de los siguientes apartes normativos</w:t>
      </w:r>
      <w:r w:rsidRPr="00343E12">
        <w:rPr>
          <w:rFonts w:ascii="Verdana" w:eastAsia="Aptos" w:hAnsi="Verdana" w:cs="Arial"/>
          <w:vertAlign w:val="superscript"/>
        </w:rPr>
        <w:footnoteReference w:id="19"/>
      </w:r>
      <w:r w:rsidRPr="00343E12">
        <w:rPr>
          <w:rFonts w:ascii="Verdana" w:eastAsia="Aptos" w:hAnsi="Verdana" w:cs="Arial"/>
        </w:rPr>
        <w:t xml:space="preserve">: </w:t>
      </w:r>
    </w:p>
    <w:p w14:paraId="2BC4D1F8" w14:textId="77777777" w:rsidR="00001841" w:rsidRPr="00343E12" w:rsidRDefault="00001841" w:rsidP="00001841">
      <w:pPr>
        <w:spacing w:after="0" w:line="276" w:lineRule="auto"/>
        <w:ind w:firstLine="709"/>
        <w:jc w:val="both"/>
        <w:rPr>
          <w:rFonts w:ascii="Verdana" w:eastAsia="Aptos" w:hAnsi="Verdana" w:cs="Arial"/>
        </w:rPr>
      </w:pPr>
    </w:p>
    <w:p w14:paraId="38B7E4CC" w14:textId="77777777" w:rsidR="00001841" w:rsidRPr="00343E12" w:rsidRDefault="00001841" w:rsidP="00001841">
      <w:pPr>
        <w:spacing w:after="0" w:line="240" w:lineRule="auto"/>
        <w:ind w:left="709" w:right="709"/>
        <w:jc w:val="both"/>
        <w:rPr>
          <w:rFonts w:ascii="Verdana" w:eastAsia="Aptos" w:hAnsi="Verdana" w:cs="Arial"/>
          <w:sz w:val="20"/>
          <w:szCs w:val="20"/>
        </w:rPr>
      </w:pPr>
      <w:r w:rsidRPr="00343E12">
        <w:rPr>
          <w:rFonts w:ascii="Verdana" w:eastAsia="Aptos" w:hAnsi="Verdana" w:cs="Arial"/>
          <w:sz w:val="20"/>
          <w:szCs w:val="20"/>
          <w:lang w:val="es-MX"/>
        </w:rPr>
        <w:t>i)</w:t>
      </w:r>
      <w:r w:rsidRPr="00343E12">
        <w:rPr>
          <w:rFonts w:ascii="Verdana" w:eastAsia="Aptos"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01D12773" w14:textId="77777777" w:rsidR="00001841" w:rsidRPr="00343E12" w:rsidRDefault="00001841" w:rsidP="00001841">
      <w:pPr>
        <w:spacing w:after="0" w:line="240" w:lineRule="auto"/>
        <w:ind w:left="709" w:right="709"/>
        <w:jc w:val="both"/>
        <w:rPr>
          <w:rFonts w:ascii="Verdana" w:eastAsia="Aptos" w:hAnsi="Verdana" w:cs="Arial"/>
          <w:sz w:val="20"/>
          <w:szCs w:val="20"/>
        </w:rPr>
      </w:pPr>
    </w:p>
    <w:p w14:paraId="4FE3293D" w14:textId="77777777" w:rsidR="00001841" w:rsidRPr="00343E12" w:rsidRDefault="00001841" w:rsidP="00001841">
      <w:pPr>
        <w:spacing w:after="0" w:line="240" w:lineRule="auto"/>
        <w:ind w:left="709" w:right="709"/>
        <w:jc w:val="both"/>
        <w:rPr>
          <w:rFonts w:ascii="Verdana" w:eastAsia="Aptos" w:hAnsi="Verdana" w:cs="Arial"/>
          <w:sz w:val="20"/>
          <w:szCs w:val="20"/>
        </w:rPr>
      </w:pPr>
      <w:r w:rsidRPr="00343E12">
        <w:rPr>
          <w:rFonts w:ascii="Verdana" w:eastAsia="Aptos"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58B1E76C" w14:textId="77777777" w:rsidR="00001841" w:rsidRPr="00343E12" w:rsidRDefault="00001841" w:rsidP="00001841">
      <w:pPr>
        <w:spacing w:after="0" w:line="276" w:lineRule="auto"/>
        <w:ind w:left="709" w:right="709"/>
        <w:jc w:val="both"/>
        <w:rPr>
          <w:rFonts w:ascii="Verdana" w:eastAsia="Aptos" w:hAnsi="Verdana" w:cs="Arial"/>
        </w:rPr>
      </w:pPr>
    </w:p>
    <w:p w14:paraId="3C07F80C" w14:textId="77777777" w:rsidR="00001841" w:rsidRPr="00343E12" w:rsidRDefault="00001841" w:rsidP="00001841">
      <w:pPr>
        <w:spacing w:after="120" w:line="276" w:lineRule="auto"/>
        <w:ind w:firstLine="709"/>
        <w:jc w:val="both"/>
        <w:rPr>
          <w:rFonts w:ascii="Verdana" w:eastAsia="Arial" w:hAnsi="Verdana" w:cs="Arial"/>
          <w:i/>
          <w:iCs/>
          <w:lang w:eastAsia="es-ES" w:bidi="es-ES"/>
        </w:rPr>
      </w:pPr>
      <w:r w:rsidRPr="00343E12">
        <w:rPr>
          <w:rFonts w:ascii="Verdana" w:eastAsia="Arial" w:hAnsi="Verdana" w:cs="Arial"/>
          <w:lang w:val="es-MX" w:eastAsia="es-ES" w:bidi="es-ES"/>
        </w:rPr>
        <w:t xml:space="preserve">De conformidad con los argumentos de dicha providencia, se parte de la distinción entre los conceptos </w:t>
      </w:r>
      <w:r w:rsidRPr="00343E12">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343E12">
        <w:rPr>
          <w:rFonts w:ascii="Verdana" w:eastAsia="Aptos" w:hAnsi="Verdana" w:cs="Times New Roman"/>
          <w:sz w:val="24"/>
          <w:szCs w:val="24"/>
          <w:lang w:eastAsia="es-CO"/>
        </w:rPr>
        <w:t xml:space="preserve"> </w:t>
      </w:r>
      <w:r w:rsidRPr="00343E12">
        <w:rPr>
          <w:rFonts w:ascii="Verdana" w:eastAsia="Arial" w:hAnsi="Verdana" w:cs="Arial"/>
          <w:lang w:eastAsia="es-ES" w:bidi="es-ES"/>
        </w:rPr>
        <w:t xml:space="preserve">En este sentido, en relación con el parágrafo del artículo 38 de la Ley 996 de 2005 concluyó que </w:t>
      </w:r>
      <w:r w:rsidRPr="00343E12">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343E12">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343E12">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18C3A7B9" w14:textId="77777777" w:rsidR="00001841" w:rsidRPr="00343E12" w:rsidRDefault="00001841" w:rsidP="00001841">
      <w:pPr>
        <w:spacing w:after="120" w:line="276" w:lineRule="auto"/>
        <w:ind w:firstLine="709"/>
        <w:jc w:val="both"/>
        <w:rPr>
          <w:rFonts w:ascii="Verdana" w:eastAsia="Arial" w:hAnsi="Verdana" w:cs="Arial"/>
          <w:lang w:eastAsia="es-ES" w:bidi="es-ES"/>
        </w:rPr>
      </w:pPr>
      <w:r w:rsidRPr="00343E12">
        <w:rPr>
          <w:rFonts w:ascii="Verdana" w:eastAsia="Arial" w:hAnsi="Verdana" w:cs="Arial"/>
          <w:lang w:eastAsia="es-ES" w:bidi="es-ES"/>
        </w:rPr>
        <w:t>De igual manera, mediante auto del 6 de noviembre de 2025, el Consejo de Estado, Subsección A de la Sección Tercera, decretó</w:t>
      </w:r>
      <w:r w:rsidRPr="00343E12">
        <w:rPr>
          <w:rFonts w:ascii="Verdana" w:eastAsia="Arial" w:hAnsi="Verdana" w:cs="Arial"/>
          <w:b/>
          <w:bCs/>
          <w:lang w:eastAsia="es-ES" w:bidi="es-ES"/>
        </w:rPr>
        <w:t xml:space="preserve"> </w:t>
      </w:r>
      <w:r w:rsidRPr="00343E12">
        <w:rPr>
          <w:rFonts w:ascii="Verdana" w:eastAsia="Arial" w:hAnsi="Verdana" w:cs="Arial"/>
          <w:lang w:eastAsia="es-ES" w:bidi="es-ES"/>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25062300" w14:textId="77777777" w:rsidR="00001841" w:rsidRPr="00343E12" w:rsidRDefault="00001841" w:rsidP="00001841">
      <w:pPr>
        <w:spacing w:after="120" w:line="276" w:lineRule="auto"/>
        <w:ind w:firstLine="709"/>
        <w:jc w:val="both"/>
        <w:rPr>
          <w:rFonts w:ascii="Verdana" w:eastAsia="Times New Roman" w:hAnsi="Verdana" w:cs="Times New Roman"/>
          <w:lang w:eastAsia="es-ES"/>
        </w:rPr>
      </w:pPr>
      <w:r w:rsidRPr="00343E12">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343E12">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777972B7" w14:textId="77777777" w:rsidR="00001841" w:rsidRPr="00343E12" w:rsidRDefault="00001841" w:rsidP="00001841">
      <w:pPr>
        <w:spacing w:after="120" w:line="276" w:lineRule="auto"/>
        <w:ind w:firstLine="709"/>
        <w:jc w:val="both"/>
        <w:rPr>
          <w:rFonts w:ascii="Verdana" w:eastAsia="Times New Roman" w:hAnsi="Verdana" w:cs="Times New Roman"/>
          <w:lang w:eastAsia="es-ES"/>
        </w:rPr>
      </w:pPr>
      <w:r w:rsidRPr="00343E12">
        <w:rPr>
          <w:rFonts w:ascii="Verdana" w:eastAsia="Times New Roman" w:hAnsi="Verdana" w:cs="Times New Roman"/>
          <w:lang w:eastAsia="es-ES"/>
        </w:rPr>
        <w:lastRenderedPageBreak/>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343E12">
        <w:rPr>
          <w:rFonts w:ascii="Verdana" w:eastAsia="Times New Roman" w:hAnsi="Verdana" w:cs="Times New Roman"/>
          <w:vertAlign w:val="superscript"/>
          <w:lang w:eastAsia="es-ES"/>
        </w:rPr>
        <w:footnoteReference w:id="20"/>
      </w:r>
      <w:r w:rsidRPr="00343E1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0932CDC5" w14:textId="77777777" w:rsidR="00001841" w:rsidRPr="00343E12" w:rsidRDefault="00001841" w:rsidP="00001841">
      <w:pPr>
        <w:spacing w:after="120" w:line="276" w:lineRule="auto"/>
        <w:ind w:firstLine="709"/>
        <w:jc w:val="both"/>
        <w:rPr>
          <w:rFonts w:ascii="Verdana" w:eastAsia="Times New Roman" w:hAnsi="Verdana" w:cs="Times New Roman"/>
          <w:lang w:eastAsia="es-ES"/>
        </w:rPr>
      </w:pPr>
      <w:r w:rsidRPr="00343E1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7D0CB8A2" w14:textId="77777777" w:rsidR="00001841" w:rsidRDefault="00001841" w:rsidP="00001841">
      <w:pPr>
        <w:spacing w:after="0" w:line="276" w:lineRule="auto"/>
        <w:ind w:firstLine="709"/>
        <w:jc w:val="both"/>
        <w:rPr>
          <w:rFonts w:ascii="Verdana" w:eastAsia="Times New Roman" w:hAnsi="Verdana" w:cs="Arial"/>
          <w:lang w:eastAsia="es-CO"/>
        </w:rPr>
      </w:pPr>
      <w:r w:rsidRPr="00343E12">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343E12">
        <w:rPr>
          <w:rFonts w:ascii="Verdana" w:eastAsia="Times New Roman" w:hAnsi="Verdana" w:cs="Arial"/>
          <w:i/>
          <w:iCs/>
          <w:lang w:eastAsia="es-CO"/>
        </w:rPr>
        <w:t>contratos interadministrativos</w:t>
      </w:r>
      <w:r w:rsidRPr="00343E12">
        <w:rPr>
          <w:rFonts w:ascii="Verdana" w:eastAsia="Times New Roman" w:hAnsi="Verdana" w:cs="Arial"/>
          <w:lang w:eastAsia="es-CO"/>
        </w:rPr>
        <w:t>, esta prohibición solo aplicaría a los convenios interadministrativos que impliquen la ejecución de recursos públicos</w:t>
      </w:r>
      <w:r w:rsidRPr="00343E12">
        <w:rPr>
          <w:rFonts w:ascii="Verdana" w:eastAsia="Times New Roman" w:hAnsi="Verdana" w:cs="Arial"/>
          <w:vertAlign w:val="superscript"/>
          <w:lang w:eastAsia="es-CO"/>
        </w:rPr>
        <w:footnoteReference w:id="21"/>
      </w:r>
    </w:p>
    <w:p w14:paraId="6C141649" w14:textId="77777777" w:rsidR="00001841" w:rsidRDefault="00001841" w:rsidP="00001841">
      <w:pPr>
        <w:spacing w:after="0" w:line="276" w:lineRule="auto"/>
        <w:ind w:firstLine="709"/>
        <w:jc w:val="both"/>
        <w:rPr>
          <w:rFonts w:ascii="Verdana" w:eastAsia="Times New Roman" w:hAnsi="Verdana" w:cs="Arial"/>
          <w:lang w:eastAsia="es-CO"/>
        </w:rPr>
      </w:pPr>
    </w:p>
    <w:p w14:paraId="17D79F7A" w14:textId="3DE1CCD8" w:rsidR="00001841" w:rsidRPr="003F43F1" w:rsidRDefault="00001841" w:rsidP="003A245C">
      <w:pPr>
        <w:spacing w:before="120" w:after="0" w:line="276" w:lineRule="auto"/>
        <w:jc w:val="both"/>
        <w:rPr>
          <w:rFonts w:ascii="Verdana" w:eastAsia="Times New Roman" w:hAnsi="Verdana" w:cs="Arial"/>
          <w:bCs/>
          <w:lang w:eastAsia="es-CO"/>
        </w:rPr>
      </w:pPr>
      <w:r>
        <w:rPr>
          <w:rFonts w:ascii="Verdana" w:eastAsia="Times New Roman" w:hAnsi="Verdana" w:cs="Arial"/>
          <w:lang w:eastAsia="es-CO"/>
        </w:rPr>
        <w:t>iv) Ahora bien, para dar respuesta al problema jurídico e</w:t>
      </w:r>
      <w:r w:rsidRPr="00122A17">
        <w:rPr>
          <w:rFonts w:ascii="Verdana" w:eastAsia="Times New Roman" w:hAnsi="Verdana" w:cs="Arial"/>
          <w:bCs/>
          <w:lang w:eastAsia="es-CO"/>
        </w:rPr>
        <w:t xml:space="preserve">l artículo 1 la Ley 1575 de 2012, denominada “Ley General de Bomberos de Colombia”, define el servicio </w:t>
      </w:r>
      <w:r w:rsidRPr="00122A17">
        <w:rPr>
          <w:rFonts w:ascii="Verdana" w:eastAsia="Times New Roman" w:hAnsi="Verdana" w:cs="Arial"/>
          <w:bCs/>
          <w:lang w:eastAsia="es-CO"/>
        </w:rPr>
        <w:lastRenderedPageBreak/>
        <w:t>bomberil como un servicio público esencial y señala que este será prestado mediante instituciones Bomberiles</w:t>
      </w:r>
      <w:r w:rsidRPr="00122A17">
        <w:rPr>
          <w:rFonts w:ascii="Verdana" w:eastAsia="Times New Roman" w:hAnsi="Verdana" w:cs="Arial"/>
          <w:bCs/>
          <w:vertAlign w:val="superscript"/>
          <w:lang w:eastAsia="es-CO"/>
        </w:rPr>
        <w:footnoteReference w:id="22"/>
      </w:r>
      <w:r w:rsidRPr="00122A17">
        <w:rPr>
          <w:rFonts w:ascii="Verdana" w:eastAsia="Times New Roman" w:hAnsi="Verdana" w:cs="Arial"/>
          <w:bCs/>
          <w:lang w:eastAsia="es-CO"/>
        </w:rPr>
        <w:t>. Mediante la citada ley se les impone a los distritos, con asiento en su respectiva jurisdicción, y a los municipios la obligación de prestar este servicio público esencial a través de sus cuerpos de bomberos oficiales o mediante la celebración de contratos y/o convenios con los cuerpos de bomberos voluntarios</w:t>
      </w:r>
      <w:r w:rsidRPr="00122A17">
        <w:rPr>
          <w:rFonts w:ascii="Verdana" w:eastAsia="Times New Roman" w:hAnsi="Verdana" w:cs="Arial"/>
          <w:bCs/>
          <w:vertAlign w:val="superscript"/>
          <w:lang w:eastAsia="es-CO"/>
        </w:rPr>
        <w:footnoteReference w:id="23"/>
      </w:r>
      <w:r w:rsidRPr="00122A17">
        <w:rPr>
          <w:rFonts w:ascii="Verdana" w:eastAsia="Times New Roman" w:hAnsi="Verdana" w:cs="Arial"/>
          <w:bCs/>
          <w:lang w:eastAsia="es-CO"/>
        </w:rPr>
        <w:t>.</w:t>
      </w:r>
    </w:p>
    <w:p w14:paraId="460DD2CD" w14:textId="77777777" w:rsidR="00001841" w:rsidRPr="00122A17" w:rsidRDefault="00001841" w:rsidP="003A245C">
      <w:pPr>
        <w:tabs>
          <w:tab w:val="left" w:pos="426"/>
        </w:tabs>
        <w:spacing w:before="120" w:after="120" w:line="276" w:lineRule="auto"/>
        <w:ind w:firstLine="709"/>
        <w:jc w:val="both"/>
        <w:rPr>
          <w:rFonts w:ascii="Verdana" w:eastAsia="Times New Roman" w:hAnsi="Verdana" w:cs="Arial"/>
          <w:bCs/>
          <w:lang w:eastAsia="es-CO"/>
        </w:rPr>
      </w:pPr>
      <w:r w:rsidRPr="00122A17">
        <w:rPr>
          <w:rFonts w:ascii="Verdana" w:eastAsia="Times New Roman" w:hAnsi="Verdana" w:cs="Arial"/>
          <w:bCs/>
          <w:lang w:eastAsia="es-CO"/>
        </w:rPr>
        <w:t xml:space="preserve">En consonancia con lo anterior, el artículo 18 clasifica a los cuerpos de bomberos en: bomberos oficiales, bomberos voluntarios y bomberos aeronáuticos, definiendo a los cuerpos voluntarios como aquellos “organizados como asociaciones sin ánimo de lucro, de utilidad común y con personería jurídica expedida por las secretarías de gobierno departamentales, organizadas para la prestación del servicio público para la gestión integral del riesgo contra incendio, los preparativos y atención de rescates en todas sus modalidades y la atención de incidentes con materiales peligrosos, en los términos del artículo segundo de la presente ley y con certificado de cumplimiento expedido por la dirección Nacional de Bomberos”. </w:t>
      </w:r>
    </w:p>
    <w:p w14:paraId="1B5CE741" w14:textId="77777777" w:rsidR="00001841" w:rsidRPr="008806B0" w:rsidRDefault="00001841" w:rsidP="00001841">
      <w:pPr>
        <w:tabs>
          <w:tab w:val="left" w:pos="426"/>
        </w:tabs>
        <w:spacing w:after="0" w:line="276" w:lineRule="auto"/>
        <w:ind w:firstLine="709"/>
        <w:jc w:val="both"/>
        <w:rPr>
          <w:rFonts w:ascii="Verdana" w:eastAsia="Times New Roman" w:hAnsi="Verdana" w:cs="Arial"/>
          <w:bCs/>
          <w:lang w:eastAsia="es-CO"/>
        </w:rPr>
      </w:pPr>
      <w:r w:rsidRPr="00122A17">
        <w:rPr>
          <w:rFonts w:ascii="Verdana" w:eastAsia="Times New Roman" w:hAnsi="Verdana" w:cs="Arial"/>
          <w:bCs/>
          <w:lang w:eastAsia="es-CO"/>
        </w:rPr>
        <w:t xml:space="preserve">De conformidad con las normas citadas, la gestión integral del riesgo contra incendio, los preparativos y atención de rescates y la atención de incidentes con materiales peligrosos se constituyen como un servicio público esencial a cargo del Estado, cuya prestación le fue asignada a los municipios y distritos, por lo tanto, es su deber asegurar la prestación eficiente a todos los habitantes del territorio nacional. Con el fin de prestar de forma eficiente el servicio público bomberil, los municipios y distritos pueden constituir su propio cuerpo de bomberos oficiales o </w:t>
      </w:r>
      <w:r w:rsidRPr="008806B0">
        <w:rPr>
          <w:rFonts w:ascii="Verdana" w:eastAsia="Times New Roman" w:hAnsi="Verdana" w:cs="Arial"/>
          <w:bCs/>
          <w:lang w:eastAsia="es-CO"/>
        </w:rPr>
        <w:t xml:space="preserve">pueden optar por celebrar contratos o convenios con cuerpos de bomberos voluntarios. Sobre la prestación del servicio objeto de la consulta, esta Agencia se pronunció mediante el concepto con radicado </w:t>
      </w:r>
      <w:r w:rsidRPr="008806B0">
        <w:rPr>
          <w:rFonts w:ascii="Verdana" w:eastAsia="Times New Roman" w:hAnsi="Verdana" w:cs="Arial"/>
          <w:bCs/>
          <w:lang w:eastAsia="es-CO"/>
        </w:rPr>
        <w:lastRenderedPageBreak/>
        <w:t xml:space="preserve">número 2201913000008606, del 19 de noviembre de 2019, indicando lo siguiente: </w:t>
      </w:r>
    </w:p>
    <w:p w14:paraId="562067DA" w14:textId="77777777" w:rsidR="00001841" w:rsidRPr="008806B0" w:rsidRDefault="00001841" w:rsidP="00001841">
      <w:pPr>
        <w:tabs>
          <w:tab w:val="left" w:pos="426"/>
        </w:tabs>
        <w:spacing w:after="0" w:line="276" w:lineRule="auto"/>
        <w:ind w:firstLine="709"/>
        <w:jc w:val="both"/>
        <w:rPr>
          <w:rFonts w:ascii="Verdana" w:eastAsia="Times New Roman" w:hAnsi="Verdana" w:cs="Arial"/>
          <w:bCs/>
          <w:lang w:eastAsia="es-CO"/>
        </w:rPr>
      </w:pPr>
    </w:p>
    <w:p w14:paraId="343CFBB9" w14:textId="77777777" w:rsidR="00001841" w:rsidRPr="008806B0" w:rsidRDefault="00001841" w:rsidP="00001841">
      <w:pPr>
        <w:spacing w:after="0" w:line="240" w:lineRule="auto"/>
        <w:ind w:left="709" w:right="709"/>
        <w:jc w:val="both"/>
        <w:rPr>
          <w:rFonts w:ascii="Verdana" w:eastAsia="Calibri" w:hAnsi="Verdana" w:cs="Arial"/>
          <w:sz w:val="20"/>
          <w:szCs w:val="20"/>
          <w:lang w:val="es-ES_tradnl"/>
        </w:rPr>
      </w:pPr>
      <w:r w:rsidRPr="008806B0">
        <w:rPr>
          <w:rFonts w:ascii="Verdana" w:eastAsia="Calibri" w:hAnsi="Verdana" w:cs="Arial"/>
          <w:sz w:val="20"/>
          <w:szCs w:val="20"/>
          <w:lang w:val="es-ES_tradnl"/>
        </w:rPr>
        <w:t xml:space="preserve">Ahora bien, recopilando los fundamentos normativos del concepto, la Ley 1575 de 2012, artículo 3, inciso 4, establece que los municipios pueden cumplir la obligación de prestar el servicio esencial de gestión del riesgo contra incendios mediante: i) la constitución de cuerpos de bomberos oficiales o ii) la celebración de contratos y/o convenios con los cuerpos de bomberos voluntarios. </w:t>
      </w:r>
    </w:p>
    <w:p w14:paraId="2291C6C5" w14:textId="77777777" w:rsidR="00001841" w:rsidRPr="008806B0" w:rsidRDefault="00001841" w:rsidP="00001841">
      <w:pPr>
        <w:spacing w:after="0" w:line="240" w:lineRule="auto"/>
        <w:ind w:left="709" w:right="709"/>
        <w:jc w:val="both"/>
        <w:rPr>
          <w:rFonts w:ascii="Verdana" w:eastAsia="Calibri" w:hAnsi="Verdana" w:cs="Arial"/>
          <w:sz w:val="20"/>
          <w:szCs w:val="20"/>
          <w:lang w:val="es-ES_tradnl"/>
        </w:rPr>
      </w:pPr>
      <w:r w:rsidRPr="008806B0">
        <w:rPr>
          <w:rFonts w:ascii="Verdana" w:eastAsia="Calibri" w:hAnsi="Verdana" w:cs="Arial"/>
          <w:sz w:val="20"/>
          <w:szCs w:val="20"/>
          <w:lang w:val="es-ES_tradnl"/>
        </w:rPr>
        <w:t>[…]</w:t>
      </w:r>
    </w:p>
    <w:p w14:paraId="4D832FE2" w14:textId="77777777" w:rsidR="00001841" w:rsidRDefault="00001841" w:rsidP="00001841">
      <w:pPr>
        <w:spacing w:after="0" w:line="240" w:lineRule="auto"/>
        <w:ind w:left="709" w:right="709"/>
        <w:jc w:val="both"/>
        <w:rPr>
          <w:rFonts w:ascii="Verdana" w:hAnsi="Verdana" w:cs="Arial"/>
          <w:i/>
          <w:iCs/>
          <w:sz w:val="20"/>
          <w:szCs w:val="20"/>
        </w:rPr>
      </w:pPr>
      <w:r w:rsidRPr="008806B0">
        <w:rPr>
          <w:rFonts w:ascii="Verdana" w:eastAsia="Calibri" w:hAnsi="Verdana" w:cs="Arial"/>
          <w:sz w:val="20"/>
          <w:szCs w:val="20"/>
          <w:lang w:val="es-ES_tradnl"/>
        </w:rPr>
        <w:t>El texto de la norma no obliga a contratar con los bomberos voluntario, sino que faculta al municipio a hacerlo cuando no cuente con un cuerpo de bomberos oficiales, es más, la norma dispone que los municipios de menos de veinte mil habitantes cuentan con apoyo técnico del departamento, quien podrá asesorarlos con el fin de escoger la opción que mejor convenga entre constituir un cuerpo de bomberos oficial o contratar con uno voluntario</w:t>
      </w:r>
      <w:r w:rsidRPr="008806B0">
        <w:rPr>
          <w:rFonts w:ascii="Verdana" w:hAnsi="Verdana" w:cs="Arial"/>
          <w:i/>
          <w:iCs/>
          <w:sz w:val="20"/>
          <w:szCs w:val="20"/>
        </w:rPr>
        <w:t>.</w:t>
      </w:r>
    </w:p>
    <w:p w14:paraId="3CD0D368" w14:textId="77777777" w:rsidR="00001841" w:rsidRPr="00F70638" w:rsidRDefault="00001841" w:rsidP="00001841">
      <w:pPr>
        <w:spacing w:after="0" w:line="240" w:lineRule="auto"/>
        <w:ind w:left="709" w:right="709"/>
        <w:jc w:val="both"/>
        <w:rPr>
          <w:rFonts w:ascii="Verdana" w:hAnsi="Verdana" w:cs="Arial"/>
          <w:i/>
          <w:iCs/>
          <w:sz w:val="18"/>
          <w:szCs w:val="18"/>
        </w:rPr>
      </w:pPr>
    </w:p>
    <w:p w14:paraId="324B229C" w14:textId="77777777" w:rsidR="00001841" w:rsidRPr="00F70638" w:rsidRDefault="00001841" w:rsidP="00001841">
      <w:pPr>
        <w:spacing w:after="0" w:line="240" w:lineRule="auto"/>
        <w:ind w:left="709" w:right="709"/>
        <w:jc w:val="both"/>
        <w:rPr>
          <w:rFonts w:ascii="Verdana" w:eastAsia="Times New Roman" w:hAnsi="Verdana" w:cs="Arial"/>
          <w:bCs/>
          <w:sz w:val="20"/>
          <w:szCs w:val="20"/>
          <w:lang w:eastAsia="es-CO"/>
        </w:rPr>
      </w:pPr>
      <w:r w:rsidRPr="00F70638">
        <w:rPr>
          <w:rFonts w:ascii="Verdana" w:eastAsia="Times New Roman" w:hAnsi="Verdana" w:cs="Arial"/>
          <w:bCs/>
          <w:sz w:val="20"/>
          <w:szCs w:val="20"/>
          <w:lang w:eastAsia="es-CO"/>
        </w:rPr>
        <w:t>Los elementos del contrato o convenio dados por la ley 1575 de 2012 son: i) el objeto contractual: la gestión integral del riesgo contra incendio, los preparativos y atención de rescates en todas sus modalidades y la atención de incidentes con materiales peligrosos, actividades que están a cargo de instituciones bomberiles; y ii) las partes: un municipio, a cuyo cargo esta la prestación del servicio público esencial de atención integral del riesgo de incendio, y un cuerpo de bomberos voluntarios reconocido, que sea capaz de prestar el servicio y cumpla con la regulación propia de su actividad</w:t>
      </w:r>
      <w:r w:rsidRPr="00F70638">
        <w:rPr>
          <w:rFonts w:ascii="Verdana" w:eastAsia="Times New Roman" w:hAnsi="Verdana" w:cs="Arial"/>
          <w:bCs/>
          <w:sz w:val="20"/>
          <w:szCs w:val="20"/>
          <w:vertAlign w:val="superscript"/>
          <w:lang w:eastAsia="es-CO"/>
        </w:rPr>
        <w:footnoteReference w:id="24"/>
      </w:r>
      <w:r w:rsidRPr="00F70638">
        <w:rPr>
          <w:rFonts w:ascii="Verdana" w:eastAsia="Times New Roman" w:hAnsi="Verdana" w:cs="Arial"/>
          <w:bCs/>
          <w:sz w:val="20"/>
          <w:szCs w:val="20"/>
          <w:lang w:eastAsia="es-CO"/>
        </w:rPr>
        <w:t xml:space="preserve">. </w:t>
      </w:r>
    </w:p>
    <w:p w14:paraId="077B8EBF" w14:textId="77777777" w:rsidR="00001841" w:rsidRPr="008806B0" w:rsidRDefault="00001841" w:rsidP="00001841">
      <w:pPr>
        <w:spacing w:after="0" w:line="240" w:lineRule="auto"/>
        <w:ind w:left="709" w:right="709"/>
        <w:jc w:val="both"/>
        <w:rPr>
          <w:rFonts w:ascii="Verdana" w:eastAsia="Times New Roman" w:hAnsi="Verdana" w:cs="Arial"/>
          <w:bCs/>
          <w:lang w:eastAsia="es-CO"/>
        </w:rPr>
      </w:pPr>
    </w:p>
    <w:p w14:paraId="2A1FE139" w14:textId="77777777" w:rsidR="00001841" w:rsidRDefault="00001841" w:rsidP="00001841">
      <w:pPr>
        <w:tabs>
          <w:tab w:val="left" w:pos="426"/>
        </w:tabs>
        <w:spacing w:after="120" w:line="276" w:lineRule="auto"/>
        <w:ind w:firstLine="709"/>
        <w:jc w:val="both"/>
        <w:rPr>
          <w:rFonts w:ascii="Verdana" w:eastAsia="Times New Roman" w:hAnsi="Verdana" w:cs="Arial"/>
          <w:bCs/>
          <w:lang w:eastAsia="es-CO"/>
        </w:rPr>
      </w:pPr>
      <w:r w:rsidRPr="008806B0">
        <w:rPr>
          <w:rFonts w:ascii="Verdana" w:eastAsia="Times New Roman" w:hAnsi="Verdana" w:cs="Arial"/>
          <w:bCs/>
          <w:lang w:eastAsia="es-CO"/>
        </w:rPr>
        <w:t>Respecto al proceso de selección para la celebración de un contrato con el cuerpo de bomberos voluntarios, como se señaló en el concepto 4201913000006918 –radicado de salida 2201913000008606– del 19 de noviembre de 2019, el artículo 9 de la Ley 322 de 1996 disponía que los distritos, municipios y territorios indígenas debían contratar directamente con los Cuerpos de Bomberos Voluntarios, cuando no contaran con un cuerpo oficial</w:t>
      </w:r>
      <w:r w:rsidRPr="008806B0">
        <w:rPr>
          <w:rStyle w:val="Refdenotaalpie"/>
          <w:rFonts w:ascii="Verdana" w:eastAsia="Times New Roman" w:hAnsi="Verdana" w:cs="Arial"/>
          <w:bCs/>
          <w:lang w:eastAsia="es-CO"/>
        </w:rPr>
        <w:footnoteReference w:id="25"/>
      </w:r>
      <w:r w:rsidRPr="008806B0">
        <w:rPr>
          <w:rFonts w:ascii="Verdana" w:eastAsia="Times New Roman" w:hAnsi="Verdana" w:cs="Arial"/>
          <w:bCs/>
          <w:lang w:eastAsia="es-CO"/>
        </w:rPr>
        <w:t xml:space="preserve">. No obstante, dicha norma fue derogada con la expedición de la Ley 1575 de 2012, la cual no establece una modalidad de selección específica para la elección del contratista, de lo cual se concluye que quedó derogada la posibilidad de que los </w:t>
      </w:r>
      <w:r w:rsidRPr="008806B0">
        <w:rPr>
          <w:rFonts w:ascii="Verdana" w:eastAsia="Times New Roman" w:hAnsi="Verdana" w:cs="Arial"/>
          <w:bCs/>
          <w:lang w:eastAsia="es-CO"/>
        </w:rPr>
        <w:lastRenderedPageBreak/>
        <w:t xml:space="preserve">municipios contrataran directamente el servicio bomberil con fundamento </w:t>
      </w:r>
      <w:r w:rsidRPr="00122A17">
        <w:rPr>
          <w:rFonts w:ascii="Verdana" w:eastAsia="Times New Roman" w:hAnsi="Verdana" w:cs="Arial"/>
          <w:bCs/>
          <w:lang w:eastAsia="es-CO"/>
        </w:rPr>
        <w:t xml:space="preserve">en aquella causal. </w:t>
      </w:r>
    </w:p>
    <w:p w14:paraId="24100526" w14:textId="77777777" w:rsidR="00001841" w:rsidRPr="00122A17" w:rsidRDefault="00001841" w:rsidP="00001841">
      <w:pPr>
        <w:tabs>
          <w:tab w:val="left" w:pos="426"/>
        </w:tabs>
        <w:spacing w:after="120" w:line="276" w:lineRule="auto"/>
        <w:ind w:firstLine="709"/>
        <w:jc w:val="both"/>
        <w:rPr>
          <w:rFonts w:ascii="Verdana" w:eastAsia="Times New Roman" w:hAnsi="Verdana" w:cs="Arial"/>
          <w:bCs/>
          <w:lang w:eastAsia="es-CO"/>
        </w:rPr>
      </w:pPr>
      <w:r w:rsidRPr="00122A17">
        <w:rPr>
          <w:rFonts w:ascii="Verdana" w:eastAsia="Times New Roman" w:hAnsi="Verdana" w:cs="Arial"/>
          <w:bCs/>
          <w:lang w:eastAsia="es-CO"/>
        </w:rPr>
        <w:t>En efecto, consultada la exposición de motivos de la Ley 1575 de 2012 no se encuentra una justificación para dicha modificación, ni tampoco se encuentran los motivos que condujeron a que el legislador no determinara cuál es la modalidad de selección para la contratación con cuerpos de bomberos voluntarios. Así las cosas, dado que no existe una modalidad de selección y que el contrato es celebrado por una entidad estatal, es necesario acudir al artículo 2 de la Ley 1150 de 2007</w:t>
      </w:r>
      <w:r w:rsidRPr="00122A17">
        <w:rPr>
          <w:rFonts w:ascii="Verdana" w:eastAsia="Times New Roman" w:hAnsi="Verdana" w:cs="Arial"/>
          <w:bCs/>
          <w:vertAlign w:val="superscript"/>
          <w:lang w:eastAsia="es-CO"/>
        </w:rPr>
        <w:footnoteReference w:id="26"/>
      </w:r>
      <w:r w:rsidRPr="00122A17">
        <w:rPr>
          <w:rFonts w:ascii="Verdana" w:eastAsia="Times New Roman" w:hAnsi="Verdana" w:cs="Arial"/>
          <w:bCs/>
          <w:lang w:eastAsia="es-CO"/>
        </w:rPr>
        <w:t xml:space="preserve">, que dispone que la escogencia del contratista se efectúa con arreglo a las modalidades de selección de licitación pública, selección abreviada, concurso de méritos, mínima cuantía o contratación directa, con base en las reglas y causales que el mismo artículo establece. </w:t>
      </w:r>
    </w:p>
    <w:p w14:paraId="15A25A8C" w14:textId="77777777" w:rsidR="00001841" w:rsidRPr="00122A17" w:rsidRDefault="00001841" w:rsidP="00001841">
      <w:pPr>
        <w:tabs>
          <w:tab w:val="left" w:pos="426"/>
        </w:tabs>
        <w:spacing w:after="120" w:line="276" w:lineRule="auto"/>
        <w:ind w:firstLine="709"/>
        <w:jc w:val="both"/>
        <w:rPr>
          <w:rFonts w:ascii="Verdana" w:eastAsia="Times New Roman" w:hAnsi="Verdana" w:cs="Arial"/>
          <w:bCs/>
          <w:lang w:eastAsia="es-CO"/>
        </w:rPr>
      </w:pPr>
      <w:r w:rsidRPr="00122A17">
        <w:rPr>
          <w:rFonts w:ascii="Verdana" w:eastAsia="Times New Roman" w:hAnsi="Verdana" w:cs="Arial"/>
          <w:bCs/>
          <w:lang w:eastAsia="es-CO"/>
        </w:rPr>
        <w:t xml:space="preserve">Teniendo en cuenta el análisis precedente, de cara a la aplicación de la Ley de Garantías Electorales, los municipios y distritos, durante el periodo de aplicación de la prohibición establecida en el artículo 33 de la Ley 996 de 2005 podrán celebrar contratos y convenios con Cuerpos de Bomberos Voluntarios siempre que se realice un procedimiento competitivo, que permita la participación de pluralidad de oferentes. Por el contrario, no le será posible a un ente territorial celebrar contratos a través de una contratación directa, entendiendo esta como aquel sistema de selección de contratistas en el que no exista convocatoria pública, ni sea posible la participación de una pluralidad de oferentes, independientemente del régimen de contratación que se aplique. </w:t>
      </w:r>
    </w:p>
    <w:p w14:paraId="10787B3D" w14:textId="77777777" w:rsidR="00001841" w:rsidRPr="00122A17" w:rsidRDefault="00001841" w:rsidP="00001841">
      <w:pPr>
        <w:tabs>
          <w:tab w:val="left" w:pos="426"/>
        </w:tabs>
        <w:spacing w:after="120" w:line="276" w:lineRule="auto"/>
        <w:ind w:firstLine="709"/>
        <w:jc w:val="both"/>
        <w:rPr>
          <w:rFonts w:ascii="Verdana" w:eastAsia="Times New Roman" w:hAnsi="Verdana" w:cs="Arial"/>
          <w:bCs/>
          <w:lang w:val="es-MX" w:eastAsia="es-CO"/>
        </w:rPr>
      </w:pPr>
      <w:r w:rsidRPr="00122A17">
        <w:rPr>
          <w:rFonts w:ascii="Verdana" w:eastAsia="Times New Roman" w:hAnsi="Verdana" w:cs="Arial"/>
          <w:bCs/>
          <w:lang w:eastAsia="es-CO"/>
        </w:rPr>
        <w:t xml:space="preserve">Ahora bien, las entidades públicas, de acuerdo con el inciso final del artículo 33 de la Ley 996 de 2005 –Ley de Garantías Electorales–, y previo análisis de la </w:t>
      </w:r>
      <w:r w:rsidRPr="00122A17">
        <w:rPr>
          <w:rFonts w:ascii="Verdana" w:eastAsia="Times New Roman" w:hAnsi="Verdana" w:cs="Arial"/>
          <w:bCs/>
          <w:lang w:val="es-MX" w:eastAsia="es-CO"/>
        </w:rPr>
        <w:t xml:space="preserve">naturaleza de las actividades que adelantan, </w:t>
      </w:r>
      <w:r w:rsidRPr="00122A17">
        <w:rPr>
          <w:rFonts w:ascii="Verdana" w:eastAsia="Times New Roman" w:hAnsi="Verdana" w:cs="Arial"/>
          <w:bCs/>
          <w:lang w:eastAsia="es-CO"/>
        </w:rPr>
        <w:t xml:space="preserve">podrán </w:t>
      </w:r>
      <w:r w:rsidRPr="00122A17">
        <w:rPr>
          <w:rFonts w:ascii="Verdana" w:eastAsia="Times New Roman" w:hAnsi="Verdana" w:cs="Arial"/>
          <w:bCs/>
          <w:lang w:val="es-MX" w:eastAsia="x-none"/>
        </w:rPr>
        <w:t xml:space="preserve">realizar procedimientos de selección directa en períodos previos a la contienda electoral por la Presidencia, cuando el contrato a celebrar se enmarquen dentro de algunas de las excepciones consagradas en dicha disposición, esto es: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w:t>
      </w:r>
      <w:r w:rsidRPr="00122A17">
        <w:rPr>
          <w:rFonts w:ascii="Verdana" w:eastAsia="Times New Roman" w:hAnsi="Verdana" w:cs="Arial"/>
          <w:bCs/>
          <w:lang w:val="es-MX" w:eastAsia="x-none"/>
        </w:rPr>
        <w:lastRenderedPageBreak/>
        <w:t>acciones terroristas, desastres naturales o casos de fuerza mayor; y, v) los que deban realizar las entidades sanitarias y hospitalarias.</w:t>
      </w:r>
      <w:r w:rsidRPr="00122A17">
        <w:rPr>
          <w:rFonts w:ascii="Verdana" w:eastAsia="Times New Roman" w:hAnsi="Verdana" w:cs="Arial"/>
          <w:bCs/>
          <w:lang w:val="es-MX" w:eastAsia="es-CO"/>
        </w:rPr>
        <w:t xml:space="preserve"> </w:t>
      </w:r>
    </w:p>
    <w:p w14:paraId="791C867C" w14:textId="77777777" w:rsidR="00001841" w:rsidRPr="008806B0" w:rsidRDefault="00001841" w:rsidP="00001841">
      <w:pPr>
        <w:spacing w:after="120" w:line="276" w:lineRule="auto"/>
        <w:ind w:firstLine="708"/>
        <w:jc w:val="both"/>
        <w:rPr>
          <w:rFonts w:ascii="Verdana" w:eastAsia="Calibri" w:hAnsi="Verdana" w:cs="Arial"/>
          <w:color w:val="ED7D31" w:themeColor="accent2"/>
          <w:lang w:val="es-MX"/>
        </w:rPr>
      </w:pPr>
      <w:r>
        <w:rPr>
          <w:rFonts w:ascii="Verdana" w:eastAsia="Times New Roman" w:hAnsi="Verdana" w:cs="Arial"/>
          <w:bCs/>
          <w:lang w:eastAsia="es-CO"/>
        </w:rPr>
        <w:t>En ese sentido</w:t>
      </w:r>
      <w:r w:rsidRPr="00122A17">
        <w:rPr>
          <w:rFonts w:ascii="Verdana" w:eastAsia="Times New Roman" w:hAnsi="Verdana" w:cs="Arial"/>
          <w:bCs/>
          <w:lang w:eastAsia="es-CO"/>
        </w:rPr>
        <w:t xml:space="preserve">, dada la naturaleza jurídica privada de los cuerpos de bomberos voluntarios, no les es aplicable la restricción consagrada en el parágrafo del artículo 38 de la Ley de Garantías Electorales, en la media que esta norma prohíbe la celebración de convenios o contratos interadministrativos para la ejecución de recursos públicos y lo que define a estos contratos, conforme el análisis realizado en el numeral 2.3 de este concepto es la naturaleza de las partes, de manera que están determinados por un criterio </w:t>
      </w:r>
      <w:r w:rsidRPr="00512049">
        <w:rPr>
          <w:rFonts w:ascii="Verdana" w:eastAsia="Times New Roman" w:hAnsi="Verdana" w:cs="Arial"/>
          <w:i/>
          <w:iCs/>
          <w:lang w:eastAsia="es-CO"/>
        </w:rPr>
        <w:t xml:space="preserve">orgánico, en el sentido de que lo serán aquellos celebrados entre entidades </w:t>
      </w:r>
      <w:r w:rsidRPr="008806B0">
        <w:rPr>
          <w:rFonts w:ascii="Verdana" w:eastAsia="Times New Roman" w:hAnsi="Verdana" w:cs="Arial"/>
          <w:i/>
          <w:iCs/>
          <w:lang w:eastAsia="es-CO"/>
        </w:rPr>
        <w:t>estatales.</w:t>
      </w:r>
    </w:p>
    <w:p w14:paraId="56602D25" w14:textId="77777777" w:rsidR="00001841" w:rsidRPr="00AC0049" w:rsidRDefault="00001841" w:rsidP="00001841">
      <w:pPr>
        <w:shd w:val="clear" w:color="auto" w:fill="FFFFFF"/>
        <w:spacing w:after="120" w:line="276" w:lineRule="auto"/>
        <w:ind w:right="51" w:firstLine="709"/>
        <w:jc w:val="both"/>
        <w:rPr>
          <w:rFonts w:ascii="Verdana" w:eastAsia="Times New Roman" w:hAnsi="Verdana" w:cs="Times New Roman"/>
          <w:lang w:eastAsia="es-ES"/>
        </w:rPr>
      </w:pPr>
      <w:bookmarkStart w:id="9" w:name="_Hlk102983874"/>
      <w:bookmarkStart w:id="10" w:name="_Hlk102388095"/>
      <w:r w:rsidRPr="008806B0">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8806B0">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9"/>
      <w:bookmarkEnd w:id="10"/>
    </w:p>
    <w:p w14:paraId="42B0C613" w14:textId="77777777" w:rsidR="00001841" w:rsidRPr="00AC0049" w:rsidRDefault="00001841" w:rsidP="00001841">
      <w:pPr>
        <w:spacing w:after="0" w:line="276" w:lineRule="auto"/>
        <w:ind w:firstLine="709"/>
        <w:jc w:val="both"/>
        <w:rPr>
          <w:rFonts w:ascii="Verdana" w:eastAsia="Times New Roman" w:hAnsi="Verdana" w:cs="Times New Roman"/>
          <w:lang w:eastAsia="es-ES"/>
        </w:rPr>
      </w:pPr>
    </w:p>
    <w:p w14:paraId="6B02B459" w14:textId="39E0B521" w:rsidR="003A245C" w:rsidRDefault="00001841" w:rsidP="00001841">
      <w:pPr>
        <w:spacing w:after="120" w:line="276" w:lineRule="auto"/>
        <w:jc w:val="both"/>
        <w:rPr>
          <w:rFonts w:ascii="Verdana" w:eastAsia="Century Gothic" w:hAnsi="Verdana" w:cs="Century Gothic"/>
          <w:b/>
          <w:lang w:val="es-ES"/>
        </w:rPr>
      </w:pPr>
      <w:r w:rsidRPr="00AC0049">
        <w:rPr>
          <w:rFonts w:ascii="Verdana" w:eastAsia="Century Gothic" w:hAnsi="Verdana" w:cs="Century Gothic"/>
          <w:b/>
          <w:lang w:val="es-ES"/>
        </w:rPr>
        <w:t xml:space="preserve">4. </w:t>
      </w:r>
      <w:r w:rsidRPr="00C124EB">
        <w:rPr>
          <w:rFonts w:ascii="Verdana" w:eastAsia="Century Gothic" w:hAnsi="Verdana" w:cs="Century Gothic"/>
          <w:b/>
          <w:lang w:val="es-ES"/>
        </w:rPr>
        <w:t>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01841" w:rsidRPr="00C124EB" w14:paraId="5EA82735" w14:textId="77777777" w:rsidTr="00343897">
        <w:trPr>
          <w:trHeight w:val="1689"/>
        </w:trPr>
        <w:tc>
          <w:tcPr>
            <w:tcW w:w="8647" w:type="dxa"/>
          </w:tcPr>
          <w:p w14:paraId="5B682008" w14:textId="77777777" w:rsidR="00001841" w:rsidRPr="00C124EB" w:rsidRDefault="00001841" w:rsidP="00343897">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Constitución Política de Colombia. Artículo 127.</w:t>
            </w:r>
          </w:p>
          <w:p w14:paraId="44A1C818" w14:textId="77777777" w:rsidR="00001841" w:rsidRPr="00C124EB" w:rsidRDefault="00001841" w:rsidP="00343897">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Ley 996 de 2005. Artículos 33 y 38.</w:t>
            </w:r>
          </w:p>
          <w:p w14:paraId="0D861DDC" w14:textId="77777777" w:rsidR="00001841" w:rsidRPr="00C124EB" w:rsidRDefault="00001841" w:rsidP="00343897">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Ley 1150 de 2007. Artículo 2.</w:t>
            </w:r>
          </w:p>
          <w:p w14:paraId="6D342BEE" w14:textId="77777777" w:rsidR="00001841" w:rsidRPr="00C124EB" w:rsidRDefault="00001841" w:rsidP="00343897">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Ley 1575 de 2012. Artículos 1 y 18.</w:t>
            </w:r>
          </w:p>
          <w:p w14:paraId="05862D58" w14:textId="77777777" w:rsidR="00001841" w:rsidRPr="00C124EB" w:rsidRDefault="00001841" w:rsidP="00343897">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Corte Constitucional, Sentencia C- 1153 de 2005. M.P. Marco Gerardo Monroy Cabra.</w:t>
            </w:r>
          </w:p>
          <w:p w14:paraId="07864165" w14:textId="77777777" w:rsidR="00001841" w:rsidRPr="00C124EB" w:rsidRDefault="00001841" w:rsidP="00343897">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 xml:space="preserve">Consejo de Estado, Sala de Consulta y Servicio Civil de fecha 24 de julio de 2013, radicado 2166, Consejero Ponente: Álvaro Namén Vargas.  </w:t>
            </w:r>
          </w:p>
          <w:p w14:paraId="44876A8D" w14:textId="77777777" w:rsidR="00001841" w:rsidRPr="00C124EB" w:rsidRDefault="00001841" w:rsidP="00343897">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lastRenderedPageBreak/>
              <w:t>Consejo de Estado. Sala de Consulta y Servicio Civil. Concepto del 17 de febrero de 2015. C.P. William Zambrano Cetina. Radicación No. 11001-03-06-000-2015-00164-00 (2269).</w:t>
            </w:r>
          </w:p>
          <w:p w14:paraId="1A0F792B" w14:textId="77777777" w:rsidR="00001841" w:rsidRPr="00C124EB" w:rsidRDefault="00001841" w:rsidP="00343897">
            <w:pPr>
              <w:widowControl w:val="0"/>
              <w:numPr>
                <w:ilvl w:val="0"/>
                <w:numId w:val="16"/>
              </w:numPr>
              <w:autoSpaceDE w:val="0"/>
              <w:autoSpaceDN w:val="0"/>
              <w:spacing w:line="276" w:lineRule="auto"/>
              <w:jc w:val="both"/>
              <w:rPr>
                <w:rFonts w:ascii="Verdana" w:eastAsia="Arial MT" w:hAnsi="Verdana" w:cs="Arial"/>
                <w:bCs/>
                <w:lang w:eastAsia="es-ES" w:bidi="es-ES"/>
              </w:rPr>
            </w:pPr>
            <w:r w:rsidRPr="00C124EB">
              <w:rPr>
                <w:rFonts w:ascii="Verdana" w:eastAsia="Arial MT" w:hAnsi="Verdana" w:cs="Arial"/>
                <w:bCs/>
                <w:lang w:eastAsia="es-ES" w:bidi="es-ES"/>
              </w:rPr>
              <w:t>Consejo de Estado. Sala de Consulta y Servicio Civil, Concepto de 8 de mayo de 2018. Radicación Número: 11001-03-06-000-2018-00095-00(2382). Consejero Ponente: Álvaro Namén Vargas.</w:t>
            </w:r>
          </w:p>
        </w:tc>
      </w:tr>
    </w:tbl>
    <w:p w14:paraId="73F50C1E" w14:textId="77777777" w:rsidR="00001841" w:rsidRPr="009969AD" w:rsidRDefault="00001841" w:rsidP="00001841">
      <w:pPr>
        <w:widowControl w:val="0"/>
        <w:autoSpaceDE w:val="0"/>
        <w:autoSpaceDN w:val="0"/>
        <w:spacing w:after="0" w:line="276" w:lineRule="auto"/>
        <w:jc w:val="both"/>
        <w:rPr>
          <w:rFonts w:ascii="Verdana" w:hAnsi="Verdana" w:cs="Arial"/>
          <w:color w:val="ED7D31" w:themeColor="accent2"/>
          <w:lang w:val="es-ES"/>
        </w:rPr>
      </w:pPr>
    </w:p>
    <w:p w14:paraId="1ADEE25F" w14:textId="77777777" w:rsidR="00001841" w:rsidRPr="00AC0049" w:rsidRDefault="00001841" w:rsidP="00001841">
      <w:pPr>
        <w:tabs>
          <w:tab w:val="left" w:pos="142"/>
          <w:tab w:val="left" w:pos="284"/>
        </w:tabs>
        <w:spacing w:after="0" w:line="276" w:lineRule="auto"/>
        <w:jc w:val="both"/>
        <w:rPr>
          <w:rFonts w:ascii="Verdana" w:eastAsia="Century Gothic" w:hAnsi="Verdana" w:cs="Century Gothic"/>
          <w:b/>
          <w:lang w:val="es-ES"/>
        </w:rPr>
      </w:pPr>
      <w:r w:rsidRPr="00AC0049">
        <w:rPr>
          <w:rFonts w:ascii="Verdana" w:eastAsia="Century Gothic" w:hAnsi="Verdana" w:cs="Century Gothic"/>
          <w:b/>
          <w:lang w:val="es-ES"/>
        </w:rPr>
        <w:t>5. Doctrina de la Agencia Nacional de Contratación Pública:</w:t>
      </w:r>
    </w:p>
    <w:p w14:paraId="739F1992" w14:textId="77777777" w:rsidR="00001841" w:rsidRPr="009969AD" w:rsidRDefault="00001841" w:rsidP="00001841">
      <w:pPr>
        <w:widowControl w:val="0"/>
        <w:autoSpaceDE w:val="0"/>
        <w:autoSpaceDN w:val="0"/>
        <w:spacing w:after="0" w:line="276" w:lineRule="auto"/>
        <w:jc w:val="both"/>
        <w:rPr>
          <w:rFonts w:ascii="Verdana" w:hAnsi="Verdana" w:cs="Arial"/>
          <w:color w:val="ED7D31" w:themeColor="accent2"/>
          <w:lang w:val="es-ES"/>
        </w:rPr>
      </w:pPr>
    </w:p>
    <w:p w14:paraId="39A4E5AF" w14:textId="77777777" w:rsidR="00001841" w:rsidRPr="009969AD" w:rsidRDefault="00001841" w:rsidP="00001841">
      <w:pPr>
        <w:spacing w:after="0" w:line="276" w:lineRule="auto"/>
        <w:jc w:val="both"/>
        <w:rPr>
          <w:rStyle w:val="normaltextrun"/>
          <w:rFonts w:ascii="Verdana" w:hAnsi="Verdana" w:cs="Arial"/>
          <w:color w:val="ED7D31" w:themeColor="accent2"/>
          <w:shd w:val="clear" w:color="auto" w:fill="FFFFFF"/>
          <w:lang w:val="es-ES"/>
        </w:rPr>
      </w:pPr>
      <w:r w:rsidRPr="00064E6A">
        <w:rPr>
          <w:rFonts w:ascii="Verdana" w:eastAsia="Calibri" w:hAnsi="Verdana" w:cs="Arial"/>
          <w:lang w:val="es-ES"/>
        </w:rPr>
        <w:t xml:space="preserve">La Agencia Nacional de Contratación Pública – Colombia Compra Eficiente se ha referido </w:t>
      </w:r>
      <w:r w:rsidRPr="00064E6A">
        <w:rPr>
          <w:rFonts w:ascii="Verdana" w:hAnsi="Verdana" w:cs="Arial"/>
          <w:shd w:val="clear" w:color="auto" w:fill="FFFFFF"/>
          <w:lang w:val="es-ES"/>
        </w:rPr>
        <w:t xml:space="preserve">sobre </w:t>
      </w:r>
      <w:r w:rsidRPr="00064E6A">
        <w:rPr>
          <w:rFonts w:ascii="Verdana" w:hAnsi="Verdana" w:cs="Arial"/>
        </w:rPr>
        <w:t xml:space="preserve">sobre </w:t>
      </w:r>
      <w:r w:rsidRPr="00FC7D77">
        <w:rPr>
          <w:rFonts w:ascii="Verdana" w:hAnsi="Verdana" w:cs="Arial"/>
        </w:rPr>
        <w:t>la Ley de Garantías Electorales</w:t>
      </w:r>
      <w:r w:rsidRPr="009969AD">
        <w:rPr>
          <w:rFonts w:ascii="Verdana" w:hAnsi="Verdana" w:cs="Arial"/>
          <w:color w:val="ED7D31" w:themeColor="accent2"/>
          <w:shd w:val="clear" w:color="auto" w:fill="FFFFFF"/>
        </w:rPr>
        <w:t xml:space="preserve"> </w:t>
      </w:r>
      <w:r w:rsidRPr="00FC7D77">
        <w:rPr>
          <w:rFonts w:ascii="Verdana" w:hAnsi="Verdana" w:cs="Arial"/>
        </w:rPr>
        <w:t xml:space="preserve">en los Conceptos C- 022 del 21 de febrero de 2022, C-045 del 3 de marzo de 2022, C-064 del 8 de marzo de 2022, C-072 del 11 de marzo de 2022, C- 097 del 18 de febrero de 2022, C-116 del 18 de febrero de 2022 y C-077 del 17 de marzo de 2022, </w:t>
      </w:r>
      <w:r w:rsidRPr="00FC7D77">
        <w:rPr>
          <w:rFonts w:ascii="Verdana" w:hAnsi="Verdana" w:cs="Arial"/>
          <w:shd w:val="clear" w:color="auto" w:fill="FFFFFF"/>
        </w:rPr>
        <w:t xml:space="preserve">C-180 del 21 de marzo de 2025, C-317 del 25 de abril de 2025, C-510 del 4 de junio de 2025, </w:t>
      </w:r>
      <w:r w:rsidRPr="00FC7D77">
        <w:rPr>
          <w:rFonts w:ascii="Verdana" w:hAnsi="Verdana" w:cs="Arial"/>
          <w:shd w:val="clear" w:color="auto" w:fill="FFFFFF"/>
          <w:lang w:val="es-ES"/>
        </w:rPr>
        <w:t xml:space="preserve">646 del 26 de junio de 2025, C-957 del 23 de agosto de 2025, C-975 del 28 de agosto de 2025, C-1015 del 4 de septiembre de 2025, C-1096 del 28 de agosto de 2025, C-1170 del 16 de septiembre de 2025, </w:t>
      </w:r>
      <w:r w:rsidRPr="00FC7D77">
        <w:rPr>
          <w:rFonts w:ascii="Verdana" w:hAnsi="Verdana" w:cs="Arial"/>
          <w:shd w:val="clear" w:color="auto" w:fill="FFFFFF"/>
        </w:rPr>
        <w:t>C–750 de 17 de julio 2025, C-868 del 12 de agosto de 2025, C-1057 del 5 de septiembre de 2025, C-1195 del 3 de octubre de 2025, C-1350 del 19 de septiembre de 2025</w:t>
      </w:r>
      <w:r>
        <w:rPr>
          <w:rFonts w:ascii="Verdana" w:hAnsi="Verdana" w:cs="Arial"/>
          <w:shd w:val="clear" w:color="auto" w:fill="FFFFFF"/>
        </w:rPr>
        <w:t>,</w:t>
      </w:r>
      <w:r w:rsidRPr="00FC7D77">
        <w:rPr>
          <w:rFonts w:ascii="Verdana" w:hAnsi="Verdana" w:cs="Arial"/>
          <w:shd w:val="clear" w:color="auto" w:fill="FFFFFF"/>
        </w:rPr>
        <w:t xml:space="preserve"> C- 1236 del 27 de octubre de 2025</w:t>
      </w:r>
      <w:r>
        <w:rPr>
          <w:rFonts w:ascii="Verdana" w:hAnsi="Verdana" w:cs="Arial"/>
          <w:shd w:val="clear" w:color="auto" w:fill="FFFFFF"/>
        </w:rPr>
        <w:t xml:space="preserve"> y C-1835 del 21 de enero de 2026</w:t>
      </w:r>
      <w:r w:rsidRPr="00FC7D77">
        <w:rPr>
          <w:rFonts w:ascii="Verdana" w:hAnsi="Verdana" w:cs="Arial"/>
          <w:shd w:val="clear" w:color="auto" w:fill="FFFFFF"/>
        </w:rPr>
        <w:t xml:space="preserve">, </w:t>
      </w:r>
      <w:r w:rsidRPr="00FC7D77">
        <w:rPr>
          <w:rFonts w:ascii="Verdana" w:hAnsi="Verdana" w:cs="Arial"/>
        </w:rPr>
        <w:t>entre otros</w:t>
      </w:r>
      <w:r w:rsidRPr="00FC7D77">
        <w:rPr>
          <w:rFonts w:ascii="Verdana" w:hAnsi="Verdana" w:cs="Arial"/>
          <w:shd w:val="clear" w:color="auto" w:fill="FFFFFF"/>
        </w:rPr>
        <w:t>.</w:t>
      </w:r>
    </w:p>
    <w:p w14:paraId="060C36EE" w14:textId="77777777" w:rsidR="00001841" w:rsidRPr="009969AD" w:rsidRDefault="00001841" w:rsidP="00001841">
      <w:pPr>
        <w:spacing w:after="0" w:line="276" w:lineRule="auto"/>
        <w:jc w:val="both"/>
        <w:rPr>
          <w:rStyle w:val="normaltextrun"/>
          <w:rFonts w:ascii="Verdana" w:hAnsi="Verdana" w:cs="Arial"/>
          <w:color w:val="ED7D31" w:themeColor="accent2"/>
          <w:shd w:val="clear" w:color="auto" w:fill="FFFFFF"/>
          <w:lang w:val="es-ES"/>
        </w:rPr>
      </w:pPr>
    </w:p>
    <w:p w14:paraId="1DA3FF76" w14:textId="77777777" w:rsidR="00001841" w:rsidRPr="00492128" w:rsidRDefault="00001841" w:rsidP="00001841">
      <w:pPr>
        <w:spacing w:after="0" w:line="276" w:lineRule="auto"/>
        <w:jc w:val="both"/>
        <w:rPr>
          <w:rFonts w:ascii="Verdana" w:hAnsi="Verdana"/>
          <w:color w:val="0000FF"/>
          <w:lang w:val="es-ES"/>
        </w:rPr>
      </w:pPr>
      <w:r w:rsidRPr="00AC0049">
        <w:rPr>
          <w:rFonts w:ascii="Verdana" w:hAnsi="Verdana" w:cs="Arial"/>
          <w:shd w:val="clear" w:color="auto" w:fill="FFFFFF"/>
          <w:lang w:val="es-ES"/>
        </w:rPr>
        <w:t>Estos</w:t>
      </w:r>
      <w:r w:rsidRPr="00AC0049">
        <w:rPr>
          <w:rFonts w:ascii="Verdana" w:hAnsi="Verdana"/>
          <w:lang w:val="es-ES"/>
        </w:rPr>
        <w:t xml:space="preserve"> y otros se encuentran disponibles para consulta en el Sistema de relatoría de la Agencia, al cual se puede acceder a través del siguiente enlace:</w:t>
      </w:r>
      <w:r w:rsidRPr="00AC0049">
        <w:rPr>
          <w:rFonts w:ascii="Verdana" w:hAnsi="Verdana" w:cs="Arial"/>
          <w:shd w:val="clear" w:color="auto" w:fill="FFFFFF"/>
          <w:lang w:val="es-ES"/>
        </w:rPr>
        <w:t xml:space="preserve"> </w:t>
      </w:r>
      <w:hyperlink r:id="rId13" w:history="1">
        <w:r w:rsidRPr="00492128">
          <w:rPr>
            <w:rStyle w:val="Hipervnculo"/>
            <w:rFonts w:ascii="Verdana" w:hAnsi="Verdana" w:cs="Arial"/>
            <w:shd w:val="clear" w:color="auto" w:fill="FFFFFF"/>
            <w:lang w:val="es-ES"/>
          </w:rPr>
          <w:t>https://relatoria.colombiacompra.gov.co/busqueda/conceptos</w:t>
        </w:r>
      </w:hyperlink>
    </w:p>
    <w:p w14:paraId="378C11C8" w14:textId="77777777" w:rsidR="00001841" w:rsidRPr="009969AD" w:rsidRDefault="00001841" w:rsidP="00001841">
      <w:pPr>
        <w:spacing w:after="0"/>
        <w:jc w:val="both"/>
        <w:rPr>
          <w:rFonts w:ascii="Verdana" w:hAnsi="Verdana" w:cs="Arial"/>
          <w:color w:val="ED7D31" w:themeColor="accent2"/>
          <w:shd w:val="clear" w:color="auto" w:fill="FFFFFF"/>
          <w:lang w:val="es-ES"/>
        </w:rPr>
      </w:pPr>
    </w:p>
    <w:p w14:paraId="1392FD2D" w14:textId="77777777" w:rsidR="00001841" w:rsidRPr="00AC0049" w:rsidRDefault="00001841" w:rsidP="00001841">
      <w:pPr>
        <w:spacing w:after="0"/>
        <w:jc w:val="both"/>
        <w:rPr>
          <w:rFonts w:ascii="Verdana" w:hAnsi="Verdana" w:cs="Arial"/>
          <w:shd w:val="clear" w:color="auto" w:fill="FFFFFF"/>
        </w:rPr>
      </w:pPr>
      <w:r w:rsidRPr="00AC0049">
        <w:rPr>
          <w:rFonts w:ascii="Verdana" w:hAnsi="Verdana" w:cs="Arial"/>
          <w:shd w:val="clear" w:color="auto" w:fill="FFFFFF"/>
        </w:rPr>
        <w:t>También le contamos que ya se encuentra disponible la </w:t>
      </w:r>
      <w:r w:rsidRPr="00AC0049">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AC0049">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AC0049">
          <w:rPr>
            <w:rStyle w:val="Hipervnculo"/>
            <w:rFonts w:ascii="Verdana" w:hAnsi="Verdana"/>
          </w:rPr>
          <w:t>Guía de lineamientos de transparencia y selección objetiva para el departamento de La Guajira – Objetivo sexto constitucional de la Sentencia T-302 del 2017</w:t>
        </w:r>
      </w:hyperlink>
    </w:p>
    <w:p w14:paraId="090760D2" w14:textId="77777777" w:rsidR="00001841" w:rsidRPr="00AC0049" w:rsidRDefault="00001841" w:rsidP="00001841">
      <w:pPr>
        <w:spacing w:after="0"/>
        <w:jc w:val="both"/>
        <w:rPr>
          <w:rFonts w:ascii="Verdana" w:hAnsi="Verdana" w:cs="Arial"/>
          <w:shd w:val="clear" w:color="auto" w:fill="FFFFFF"/>
        </w:rPr>
      </w:pPr>
    </w:p>
    <w:p w14:paraId="7B1A17FA" w14:textId="77777777" w:rsidR="00001841" w:rsidRPr="00AC0049" w:rsidRDefault="00001841" w:rsidP="00001841">
      <w:pPr>
        <w:spacing w:after="0"/>
        <w:jc w:val="both"/>
        <w:rPr>
          <w:rFonts w:ascii="Verdana" w:hAnsi="Verdana" w:cs="Arial"/>
          <w:shd w:val="clear" w:color="auto" w:fill="FFFFFF"/>
        </w:rPr>
      </w:pPr>
      <w:r w:rsidRPr="00AC0049">
        <w:rPr>
          <w:rFonts w:ascii="Verdana" w:hAnsi="Verdana" w:cs="Arial"/>
          <w:shd w:val="clear" w:color="auto" w:fill="FFFFFF"/>
        </w:rPr>
        <w:t xml:space="preserve">Por último, lo invitamos a seguirnos en las redes sociales en las cuales se difunde información institucional: </w:t>
      </w:r>
    </w:p>
    <w:p w14:paraId="3316BACC" w14:textId="77777777" w:rsidR="00001841" w:rsidRPr="00AC0049" w:rsidRDefault="00001841" w:rsidP="00001841">
      <w:pPr>
        <w:spacing w:after="0"/>
        <w:jc w:val="both"/>
        <w:rPr>
          <w:rFonts w:ascii="Verdana" w:hAnsi="Verdana" w:cs="Arial"/>
          <w:shd w:val="clear" w:color="auto" w:fill="FFFFFF"/>
        </w:rPr>
      </w:pPr>
    </w:p>
    <w:p w14:paraId="0A08EA05" w14:textId="77777777" w:rsidR="00001841" w:rsidRPr="00AC0049" w:rsidRDefault="00001841" w:rsidP="00001841">
      <w:pPr>
        <w:spacing w:after="0"/>
        <w:jc w:val="both"/>
        <w:rPr>
          <w:rFonts w:ascii="Verdana" w:hAnsi="Verdana" w:cs="Arial"/>
          <w:shd w:val="clear" w:color="auto" w:fill="FFFFFF"/>
        </w:rPr>
      </w:pPr>
      <w:r w:rsidRPr="00AC0049">
        <w:rPr>
          <w:rFonts w:ascii="Verdana" w:hAnsi="Verdana" w:cs="Arial"/>
          <w:shd w:val="clear" w:color="auto" w:fill="FFFFFF"/>
        </w:rPr>
        <w:t xml:space="preserve">Twitter: </w:t>
      </w:r>
      <w:r w:rsidRPr="00AC0049">
        <w:rPr>
          <w:rStyle w:val="Hipervnculo"/>
          <w:rFonts w:ascii="Verdana" w:hAnsi="Verdana"/>
          <w:lang w:val="es-ES"/>
        </w:rPr>
        <w:t xml:space="preserve">@colombiacompra </w:t>
      </w:r>
    </w:p>
    <w:p w14:paraId="1306875A" w14:textId="77777777" w:rsidR="00001841" w:rsidRPr="00AC0049" w:rsidRDefault="00001841" w:rsidP="00001841">
      <w:pPr>
        <w:spacing w:after="0"/>
        <w:jc w:val="both"/>
        <w:rPr>
          <w:rFonts w:ascii="Verdana" w:hAnsi="Verdana" w:cs="Arial"/>
          <w:shd w:val="clear" w:color="auto" w:fill="FFFFFF"/>
        </w:rPr>
      </w:pPr>
      <w:r w:rsidRPr="00AC0049">
        <w:rPr>
          <w:rFonts w:ascii="Verdana" w:hAnsi="Verdana" w:cs="Arial"/>
          <w:shd w:val="clear" w:color="auto" w:fill="FFFFFF"/>
        </w:rPr>
        <w:t>Facebook:</w:t>
      </w:r>
      <w:r w:rsidRPr="00AC0049">
        <w:rPr>
          <w:rStyle w:val="Hipervnculo"/>
          <w:rFonts w:ascii="Verdana" w:hAnsi="Verdana"/>
          <w:color w:val="auto"/>
          <w:lang w:val="es-ES"/>
        </w:rPr>
        <w:t xml:space="preserve"> </w:t>
      </w:r>
      <w:r w:rsidRPr="00AC0049">
        <w:rPr>
          <w:rStyle w:val="Hipervnculo"/>
          <w:rFonts w:ascii="Verdana" w:hAnsi="Verdana"/>
          <w:lang w:val="es-ES"/>
        </w:rPr>
        <w:t>ColombiaCompraEficiente</w:t>
      </w:r>
    </w:p>
    <w:p w14:paraId="7C8350BF" w14:textId="77777777" w:rsidR="00001841" w:rsidRPr="00AC0049" w:rsidRDefault="00001841" w:rsidP="00001841">
      <w:pPr>
        <w:spacing w:after="0"/>
        <w:jc w:val="both"/>
        <w:rPr>
          <w:rFonts w:ascii="Verdana" w:hAnsi="Verdana" w:cs="Arial"/>
          <w:color w:val="0000FF"/>
          <w:shd w:val="clear" w:color="auto" w:fill="FFFFFF"/>
        </w:rPr>
      </w:pPr>
      <w:r w:rsidRPr="00AC0049">
        <w:rPr>
          <w:rFonts w:ascii="Verdana" w:hAnsi="Verdana" w:cs="Arial"/>
          <w:shd w:val="clear" w:color="auto" w:fill="FFFFFF"/>
        </w:rPr>
        <w:t xml:space="preserve">LinkedIn: </w:t>
      </w:r>
      <w:r w:rsidRPr="00AC0049">
        <w:rPr>
          <w:rStyle w:val="Hipervnculo"/>
          <w:rFonts w:ascii="Verdana" w:hAnsi="Verdana"/>
          <w:lang w:val="es-ES"/>
        </w:rPr>
        <w:t>Agencia Nacional de Contratación Pública - Colombia Compra Eficiente</w:t>
      </w:r>
      <w:r w:rsidRPr="00AC0049">
        <w:rPr>
          <w:rFonts w:ascii="Verdana" w:hAnsi="Verdana" w:cs="Arial"/>
          <w:color w:val="0000FF"/>
          <w:shd w:val="clear" w:color="auto" w:fill="FFFFFF"/>
        </w:rPr>
        <w:t xml:space="preserve"> </w:t>
      </w:r>
    </w:p>
    <w:p w14:paraId="54BDB369" w14:textId="77777777" w:rsidR="00001841" w:rsidRPr="00AC0049" w:rsidRDefault="00001841" w:rsidP="00001841">
      <w:pPr>
        <w:spacing w:after="0"/>
        <w:jc w:val="both"/>
        <w:rPr>
          <w:rFonts w:ascii="Verdana" w:hAnsi="Verdana" w:cs="Arial"/>
          <w:shd w:val="clear" w:color="auto" w:fill="FFFFFF"/>
        </w:rPr>
      </w:pPr>
      <w:r w:rsidRPr="00AC0049">
        <w:rPr>
          <w:rFonts w:ascii="Verdana" w:hAnsi="Verdana" w:cs="Arial"/>
          <w:shd w:val="clear" w:color="auto" w:fill="FFFFFF"/>
        </w:rPr>
        <w:t xml:space="preserve">Instagram: </w:t>
      </w:r>
      <w:r w:rsidRPr="00AC0049">
        <w:rPr>
          <w:rStyle w:val="Hipervnculo"/>
          <w:rFonts w:ascii="Verdana" w:hAnsi="Verdana"/>
          <w:lang w:val="es-ES"/>
        </w:rPr>
        <w:t>@colombiacompraeficiente_cce</w:t>
      </w:r>
    </w:p>
    <w:p w14:paraId="0C989F16" w14:textId="77777777" w:rsidR="00001841" w:rsidRPr="00AC0049" w:rsidRDefault="00001841" w:rsidP="00001841">
      <w:pPr>
        <w:widowControl w:val="0"/>
        <w:autoSpaceDE w:val="0"/>
        <w:autoSpaceDN w:val="0"/>
        <w:spacing w:after="0" w:line="276" w:lineRule="auto"/>
        <w:jc w:val="both"/>
        <w:rPr>
          <w:rFonts w:ascii="Verdana" w:hAnsi="Verdana" w:cs="Arial"/>
          <w:lang w:val="es-ES"/>
        </w:rPr>
      </w:pPr>
    </w:p>
    <w:p w14:paraId="561BBD99" w14:textId="77777777" w:rsidR="00001841" w:rsidRPr="00AC0049" w:rsidRDefault="00001841" w:rsidP="00001841">
      <w:pPr>
        <w:widowControl w:val="0"/>
        <w:autoSpaceDE w:val="0"/>
        <w:autoSpaceDN w:val="0"/>
        <w:spacing w:after="0" w:line="276" w:lineRule="auto"/>
        <w:jc w:val="both"/>
        <w:rPr>
          <w:rFonts w:ascii="Verdana" w:hAnsi="Verdana" w:cs="Arial"/>
          <w:lang w:val="es-ES"/>
        </w:rPr>
      </w:pPr>
      <w:r w:rsidRPr="00AC0049">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1456FAD" w14:textId="77777777" w:rsidR="00001841" w:rsidRPr="009969AD" w:rsidRDefault="00001841" w:rsidP="00001841">
      <w:pPr>
        <w:widowControl w:val="0"/>
        <w:autoSpaceDE w:val="0"/>
        <w:autoSpaceDN w:val="0"/>
        <w:spacing w:after="0" w:line="276" w:lineRule="auto"/>
        <w:jc w:val="both"/>
        <w:rPr>
          <w:rFonts w:ascii="Verdana" w:hAnsi="Verdana" w:cs="Arial"/>
          <w:color w:val="ED7D31" w:themeColor="accent2"/>
          <w:lang w:val="es-ES"/>
        </w:rPr>
      </w:pPr>
    </w:p>
    <w:p w14:paraId="72B30531" w14:textId="71776C21" w:rsidR="00001841" w:rsidRPr="004B6D91" w:rsidRDefault="00001841" w:rsidP="004B6D91">
      <w:pPr>
        <w:spacing w:after="0" w:line="276" w:lineRule="auto"/>
        <w:rPr>
          <w:rFonts w:ascii="Verdana" w:hAnsi="Verdana" w:cs="Arial"/>
          <w:lang w:val="es-ES" w:eastAsia="es-CO"/>
        </w:rPr>
      </w:pPr>
      <w:r w:rsidRPr="00AC0049">
        <w:rPr>
          <w:rFonts w:ascii="Verdana" w:eastAsia="Times New Roman" w:hAnsi="Verdana" w:cs="Arial"/>
          <w:lang w:val="es-ES" w:eastAsia="es-CO"/>
        </w:rPr>
        <w:t>Atentamente,</w:t>
      </w:r>
    </w:p>
    <w:p w14:paraId="623B3470" w14:textId="6AE3F0E5" w:rsidR="00001841" w:rsidRDefault="004B6D91" w:rsidP="00001841">
      <w:pPr>
        <w:spacing w:after="0" w:line="276" w:lineRule="auto"/>
        <w:jc w:val="center"/>
        <w:rPr>
          <w:rFonts w:ascii="Verdana" w:hAnsi="Verdana" w:cs="Arial"/>
          <w:lang w:val="es-ES" w:eastAsia="es-CO"/>
        </w:rPr>
      </w:pPr>
      <w:r w:rsidRPr="004B6D91">
        <w:rPr>
          <w:rFonts w:ascii="Verdana" w:hAnsi="Verdana" w:cs="Arial"/>
          <w:lang w:val="es-ES" w:eastAsia="es-CO"/>
        </w:rPr>
        <w:drawing>
          <wp:inline distT="0" distB="0" distL="0" distR="0" wp14:anchorId="2B1AC6F6" wp14:editId="715C3B2A">
            <wp:extent cx="2867425" cy="1143160"/>
            <wp:effectExtent l="0" t="0" r="0" b="0"/>
            <wp:docPr id="41236231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362311" name="Imagen 1" descr="Texto&#10;&#10;El contenido generado por IA puede ser incorrecto."/>
                    <pic:cNvPicPr/>
                  </pic:nvPicPr>
                  <pic:blipFill>
                    <a:blip r:embed="rId15"/>
                    <a:stretch>
                      <a:fillRect/>
                    </a:stretch>
                  </pic:blipFill>
                  <pic:spPr>
                    <a:xfrm>
                      <a:off x="0" y="0"/>
                      <a:ext cx="2867425" cy="1143160"/>
                    </a:xfrm>
                    <a:prstGeom prst="rect">
                      <a:avLst/>
                    </a:prstGeom>
                  </pic:spPr>
                </pic:pic>
              </a:graphicData>
            </a:graphic>
          </wp:inline>
        </w:drawing>
      </w:r>
    </w:p>
    <w:p w14:paraId="17415E07" w14:textId="77777777" w:rsidR="003A245C" w:rsidRPr="00AC0049" w:rsidRDefault="003A245C" w:rsidP="00001841">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01841" w:rsidRPr="00AC0049" w14:paraId="6D440DC4" w14:textId="77777777" w:rsidTr="00343897">
        <w:trPr>
          <w:trHeight w:val="315"/>
        </w:trPr>
        <w:tc>
          <w:tcPr>
            <w:tcW w:w="893" w:type="dxa"/>
            <w:vAlign w:val="center"/>
            <w:hideMark/>
          </w:tcPr>
          <w:p w14:paraId="14578A0D" w14:textId="77777777" w:rsidR="00001841" w:rsidRPr="00AC0049" w:rsidRDefault="00001841" w:rsidP="00343897">
            <w:pPr>
              <w:contextualSpacing/>
              <w:rPr>
                <w:rFonts w:ascii="Verdana" w:hAnsi="Verdana" w:cs="Arial"/>
                <w:sz w:val="16"/>
                <w:szCs w:val="16"/>
                <w:lang w:val="es-ES" w:eastAsia="es-ES"/>
              </w:rPr>
            </w:pPr>
            <w:r w:rsidRPr="00AC004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57D4A2" w14:textId="77777777" w:rsidR="00001841" w:rsidRPr="00AC0049" w:rsidRDefault="00001841" w:rsidP="00343897">
            <w:pPr>
              <w:rPr>
                <w:rFonts w:ascii="Verdana" w:eastAsia="Times New Roman" w:hAnsi="Verdana" w:cs="Arial"/>
                <w:sz w:val="16"/>
                <w:szCs w:val="16"/>
                <w:lang w:eastAsia="es-ES"/>
              </w:rPr>
            </w:pPr>
            <w:r w:rsidRPr="00AC0049">
              <w:rPr>
                <w:rFonts w:ascii="Verdana" w:eastAsia="Times New Roman" w:hAnsi="Verdana" w:cs="Arial"/>
                <w:sz w:val="16"/>
                <w:szCs w:val="16"/>
                <w:lang w:eastAsia="es-ES"/>
              </w:rPr>
              <w:t>Camila Alejandra Naranjo Gómez</w:t>
            </w:r>
          </w:p>
          <w:p w14:paraId="2D8548BC" w14:textId="77777777" w:rsidR="00001841" w:rsidRPr="00AC0049" w:rsidRDefault="00001841" w:rsidP="00343897">
            <w:pPr>
              <w:contextualSpacing/>
              <w:rPr>
                <w:rFonts w:ascii="Verdana" w:eastAsia="Arial" w:hAnsi="Verdana" w:cs="Arial"/>
                <w:sz w:val="16"/>
                <w:szCs w:val="16"/>
                <w:lang w:val="es-ES"/>
              </w:rPr>
            </w:pPr>
            <w:r w:rsidRPr="00AC0049">
              <w:rPr>
                <w:rFonts w:ascii="Verdana" w:eastAsia="Times New Roman" w:hAnsi="Verdana" w:cs="Arial"/>
                <w:sz w:val="16"/>
                <w:szCs w:val="16"/>
                <w:lang w:eastAsia="es-ES"/>
              </w:rPr>
              <w:t>Analista T2-02 de la Subdirección de Gestión Contractual</w:t>
            </w:r>
          </w:p>
        </w:tc>
      </w:tr>
      <w:tr w:rsidR="00001841" w:rsidRPr="00AC0049" w14:paraId="0E8F72CD" w14:textId="77777777" w:rsidTr="00343897">
        <w:trPr>
          <w:trHeight w:val="330"/>
        </w:trPr>
        <w:tc>
          <w:tcPr>
            <w:tcW w:w="893" w:type="dxa"/>
            <w:vAlign w:val="center"/>
            <w:hideMark/>
          </w:tcPr>
          <w:p w14:paraId="66D0FE41" w14:textId="77777777" w:rsidR="00001841" w:rsidRPr="00AC0049" w:rsidRDefault="00001841" w:rsidP="00343897">
            <w:pPr>
              <w:contextualSpacing/>
              <w:rPr>
                <w:rFonts w:ascii="Verdana" w:hAnsi="Verdana" w:cs="Arial"/>
                <w:sz w:val="16"/>
                <w:szCs w:val="16"/>
                <w:lang w:val="es-ES" w:eastAsia="es-ES"/>
              </w:rPr>
            </w:pPr>
            <w:r w:rsidRPr="00AC004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AB6ECBC" w14:textId="77777777" w:rsidR="00001841" w:rsidRPr="00AC0049" w:rsidRDefault="00001841" w:rsidP="00343897">
            <w:pPr>
              <w:rPr>
                <w:rFonts w:ascii="Verdana" w:eastAsia="Times New Roman" w:hAnsi="Verdana" w:cs="Arial"/>
                <w:sz w:val="16"/>
                <w:szCs w:val="16"/>
                <w:lang w:eastAsia="es-ES"/>
              </w:rPr>
            </w:pPr>
            <w:r>
              <w:rPr>
                <w:rFonts w:ascii="Verdana" w:eastAsia="Times New Roman" w:hAnsi="Verdana" w:cs="Arial"/>
                <w:sz w:val="16"/>
                <w:szCs w:val="16"/>
                <w:lang w:eastAsia="es-ES"/>
              </w:rPr>
              <w:t>Juan David Cárdenas Cabeza</w:t>
            </w:r>
          </w:p>
          <w:p w14:paraId="56A4E26E" w14:textId="77777777" w:rsidR="00001841" w:rsidRPr="00AC0049" w:rsidRDefault="00001841" w:rsidP="00343897">
            <w:pPr>
              <w:pStyle w:val="paragraph"/>
              <w:spacing w:before="0" w:beforeAutospacing="0" w:after="0" w:afterAutospacing="0"/>
              <w:contextualSpacing/>
              <w:textAlignment w:val="baseline"/>
              <w:rPr>
                <w:rFonts w:ascii="Verdana" w:hAnsi="Verdana" w:cs="Segoe UI"/>
                <w:sz w:val="16"/>
                <w:szCs w:val="16"/>
                <w:lang w:val="es-ES"/>
              </w:rPr>
            </w:pPr>
            <w:r>
              <w:rPr>
                <w:rFonts w:ascii="Verdana" w:hAnsi="Verdana" w:cs="Arial"/>
                <w:sz w:val="16"/>
                <w:szCs w:val="16"/>
                <w:lang w:eastAsia="es-ES"/>
              </w:rPr>
              <w:t xml:space="preserve">Contratista </w:t>
            </w:r>
            <w:r w:rsidRPr="00AC0049">
              <w:rPr>
                <w:rFonts w:ascii="Verdana" w:hAnsi="Verdana" w:cs="Arial"/>
                <w:sz w:val="16"/>
                <w:szCs w:val="16"/>
                <w:lang w:eastAsia="es-ES"/>
              </w:rPr>
              <w:t>de la Subdirección de Gestión Contractual</w:t>
            </w:r>
          </w:p>
        </w:tc>
      </w:tr>
      <w:tr w:rsidR="00001841" w:rsidRPr="00AC0049" w14:paraId="5AABB6D2" w14:textId="77777777" w:rsidTr="00343897">
        <w:trPr>
          <w:trHeight w:val="300"/>
        </w:trPr>
        <w:tc>
          <w:tcPr>
            <w:tcW w:w="893" w:type="dxa"/>
            <w:vAlign w:val="center"/>
          </w:tcPr>
          <w:p w14:paraId="3033D7F9" w14:textId="77777777" w:rsidR="00001841" w:rsidRPr="00AC0049" w:rsidRDefault="00001841" w:rsidP="00343897">
            <w:pPr>
              <w:contextualSpacing/>
              <w:rPr>
                <w:rFonts w:ascii="Verdana" w:hAnsi="Verdana" w:cs="Arial"/>
                <w:sz w:val="16"/>
                <w:szCs w:val="16"/>
                <w:lang w:val="es-ES" w:eastAsia="es-ES"/>
              </w:rPr>
            </w:pPr>
            <w:r w:rsidRPr="00AC004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FF13975" w14:textId="77777777" w:rsidR="00001841" w:rsidRPr="00AC0049" w:rsidRDefault="00001841" w:rsidP="00343897">
            <w:pPr>
              <w:contextualSpacing/>
              <w:rPr>
                <w:rFonts w:ascii="Verdana" w:eastAsia="Calibri" w:hAnsi="Verdana" w:cs="Arial"/>
                <w:sz w:val="16"/>
                <w:szCs w:val="16"/>
                <w:lang w:val="es-ES" w:eastAsia="es-ES"/>
              </w:rPr>
            </w:pPr>
            <w:r w:rsidRPr="00AC0049">
              <w:rPr>
                <w:rFonts w:ascii="Verdana" w:eastAsia="Calibri" w:hAnsi="Verdana" w:cs="Arial"/>
                <w:sz w:val="16"/>
                <w:szCs w:val="16"/>
                <w:lang w:val="es-ES" w:eastAsia="es-ES"/>
              </w:rPr>
              <w:t>Carolina Quintero Gacharná</w:t>
            </w:r>
          </w:p>
          <w:p w14:paraId="74361AB6" w14:textId="77777777" w:rsidR="00001841" w:rsidRPr="00AC0049" w:rsidRDefault="00001841" w:rsidP="00343897">
            <w:pPr>
              <w:contextualSpacing/>
              <w:rPr>
                <w:rFonts w:ascii="Verdana" w:eastAsia="Calibri" w:hAnsi="Verdana" w:cs="Arial"/>
                <w:sz w:val="16"/>
                <w:szCs w:val="16"/>
                <w:lang w:val="es-ES" w:eastAsia="es-ES"/>
              </w:rPr>
            </w:pPr>
            <w:r w:rsidRPr="00AC0049">
              <w:rPr>
                <w:rFonts w:ascii="Verdana" w:eastAsia="Calibri" w:hAnsi="Verdana" w:cs="Arial"/>
                <w:sz w:val="16"/>
                <w:szCs w:val="16"/>
                <w:lang w:val="es-ES" w:eastAsia="es-ES"/>
              </w:rPr>
              <w:t>Subdirectora de Gestión Contractual ANCP – CCE</w:t>
            </w:r>
          </w:p>
        </w:tc>
      </w:tr>
      <w:bookmarkEnd w:id="0"/>
    </w:tbl>
    <w:p w14:paraId="0F293BF4" w14:textId="5565255A" w:rsidR="00127233" w:rsidRDefault="00127233" w:rsidP="00001841"/>
    <w:p w14:paraId="7804A284" w14:textId="533F0E9C" w:rsidR="00F2502B" w:rsidRPr="00001841" w:rsidRDefault="00F2502B" w:rsidP="00001841"/>
    <w:sectPr w:rsidR="00F2502B" w:rsidRPr="00001841"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722D83" w14:textId="77777777" w:rsidR="00A8275C" w:rsidRDefault="00A8275C" w:rsidP="004A1847">
      <w:pPr>
        <w:spacing w:after="0" w:line="240" w:lineRule="auto"/>
      </w:pPr>
      <w:r>
        <w:separator/>
      </w:r>
    </w:p>
  </w:endnote>
  <w:endnote w:type="continuationSeparator" w:id="0">
    <w:p w14:paraId="771653A4" w14:textId="77777777" w:rsidR="00A8275C" w:rsidRDefault="00A8275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Arial"/>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7FF471" w14:textId="77777777" w:rsidR="00A8275C" w:rsidRDefault="00A8275C" w:rsidP="004A1847">
      <w:pPr>
        <w:spacing w:after="0" w:line="240" w:lineRule="auto"/>
      </w:pPr>
      <w:r>
        <w:separator/>
      </w:r>
    </w:p>
  </w:footnote>
  <w:footnote w:type="continuationSeparator" w:id="0">
    <w:p w14:paraId="0A25832A" w14:textId="77777777" w:rsidR="00A8275C" w:rsidRDefault="00A8275C" w:rsidP="004A1847">
      <w:pPr>
        <w:spacing w:after="0" w:line="240" w:lineRule="auto"/>
      </w:pPr>
      <w:r>
        <w:continuationSeparator/>
      </w:r>
    </w:p>
  </w:footnote>
  <w:footnote w:id="1">
    <w:p w14:paraId="1FAA4478" w14:textId="77777777" w:rsidR="00001841" w:rsidRPr="00492128" w:rsidRDefault="00001841" w:rsidP="00001841">
      <w:pPr>
        <w:pStyle w:val="Textonotapie"/>
        <w:ind w:firstLine="709"/>
        <w:jc w:val="both"/>
        <w:rPr>
          <w:rFonts w:ascii="Verdana" w:hAnsi="Verdana" w:cs="Arial"/>
          <w:sz w:val="16"/>
          <w:szCs w:val="16"/>
        </w:rPr>
      </w:pPr>
      <w:r w:rsidRPr="00492128">
        <w:rPr>
          <w:rStyle w:val="Refdenotaalpie"/>
          <w:rFonts w:ascii="Verdana" w:hAnsi="Verdana" w:cs="Arial"/>
          <w:sz w:val="16"/>
          <w:szCs w:val="16"/>
        </w:rPr>
        <w:footnoteRef/>
      </w:r>
      <w:r w:rsidRPr="00492128">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2116E28" w14:textId="77777777" w:rsidR="00001841" w:rsidRPr="00492128" w:rsidRDefault="00001841" w:rsidP="00001841">
      <w:pPr>
        <w:pStyle w:val="Textonotapie"/>
        <w:ind w:firstLine="709"/>
        <w:jc w:val="both"/>
        <w:rPr>
          <w:rFonts w:ascii="Verdana" w:hAnsi="Verdana" w:cs="Arial"/>
          <w:sz w:val="16"/>
          <w:szCs w:val="16"/>
        </w:rPr>
      </w:pPr>
      <w:r w:rsidRPr="00492128">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51BBE812" w14:textId="77777777" w:rsidR="00001841" w:rsidRPr="00492128" w:rsidRDefault="00001841" w:rsidP="00001841">
      <w:pPr>
        <w:pStyle w:val="Textonotapie"/>
        <w:ind w:firstLine="709"/>
        <w:jc w:val="both"/>
        <w:rPr>
          <w:rFonts w:ascii="Verdana" w:hAnsi="Verdana" w:cs="Arial"/>
          <w:sz w:val="16"/>
          <w:szCs w:val="16"/>
        </w:rPr>
      </w:pPr>
      <w:r w:rsidRPr="00492128">
        <w:rPr>
          <w:rStyle w:val="Refdenotaalpie"/>
          <w:rFonts w:ascii="Verdana" w:hAnsi="Verdana" w:cs="Arial"/>
          <w:sz w:val="16"/>
          <w:szCs w:val="16"/>
        </w:rPr>
        <w:footnoteRef/>
      </w:r>
      <w:r w:rsidRPr="00492128">
        <w:rPr>
          <w:rFonts w:ascii="Verdana" w:hAnsi="Verdana" w:cs="Arial"/>
          <w:sz w:val="16"/>
          <w:szCs w:val="16"/>
        </w:rPr>
        <w:t xml:space="preserve"> Gaceta del Congreso de la República No. 71 del 2005.</w:t>
      </w:r>
    </w:p>
    <w:p w14:paraId="30C2D7D3" w14:textId="77777777" w:rsidR="00001841" w:rsidRPr="00492128" w:rsidRDefault="00001841" w:rsidP="00001841">
      <w:pPr>
        <w:pStyle w:val="Textonotapie"/>
        <w:ind w:firstLine="709"/>
        <w:jc w:val="both"/>
        <w:rPr>
          <w:rFonts w:ascii="Verdana" w:hAnsi="Verdana" w:cs="Arial"/>
          <w:sz w:val="16"/>
          <w:szCs w:val="16"/>
        </w:rPr>
      </w:pPr>
    </w:p>
  </w:footnote>
  <w:footnote w:id="3">
    <w:p w14:paraId="1F9EF102" w14:textId="08BC5E35" w:rsidR="00001841" w:rsidRPr="00492128" w:rsidRDefault="00001841" w:rsidP="00001841">
      <w:pPr>
        <w:pStyle w:val="Textonotapie"/>
        <w:ind w:firstLine="709"/>
        <w:jc w:val="both"/>
        <w:rPr>
          <w:rFonts w:ascii="Verdana" w:hAnsi="Verdana" w:cs="Arial"/>
          <w:sz w:val="16"/>
          <w:szCs w:val="16"/>
        </w:rPr>
      </w:pPr>
      <w:r w:rsidRPr="00492128">
        <w:rPr>
          <w:rStyle w:val="Refdenotaalpie"/>
          <w:rFonts w:ascii="Verdana" w:hAnsi="Verdana" w:cs="Arial"/>
          <w:sz w:val="16"/>
          <w:szCs w:val="16"/>
        </w:rPr>
        <w:footnoteRef/>
      </w:r>
      <w:r w:rsidRPr="00492128">
        <w:rPr>
          <w:rFonts w:ascii="Verdana" w:hAnsi="Verdana" w:cs="Arial"/>
          <w:sz w:val="16"/>
          <w:szCs w:val="16"/>
        </w:rPr>
        <w:t xml:space="preserve"> Corte Constitucional, Sentencia C- 1153 de 2005, M.P. Marco Gerardo Monroy Cabra.</w:t>
      </w:r>
    </w:p>
  </w:footnote>
  <w:footnote w:id="4">
    <w:p w14:paraId="585D6BDD" w14:textId="6A74F799" w:rsidR="00001841" w:rsidRPr="00492128" w:rsidRDefault="00001841" w:rsidP="00001841">
      <w:pPr>
        <w:pStyle w:val="Textonotapie"/>
        <w:ind w:firstLine="709"/>
        <w:jc w:val="both"/>
        <w:rPr>
          <w:rFonts w:ascii="Verdana" w:hAnsi="Verdana" w:cs="Arial"/>
          <w:sz w:val="16"/>
          <w:szCs w:val="16"/>
        </w:rPr>
      </w:pPr>
      <w:r w:rsidRPr="00492128">
        <w:rPr>
          <w:rStyle w:val="Refdenotaalpie"/>
          <w:rFonts w:ascii="Verdana" w:hAnsi="Verdana" w:cs="Arial"/>
          <w:sz w:val="16"/>
          <w:szCs w:val="16"/>
        </w:rPr>
        <w:footnoteRef/>
      </w:r>
      <w:r w:rsidRPr="00492128">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12FFD481" w14:textId="77777777" w:rsidR="00001841" w:rsidRPr="00492128" w:rsidRDefault="00001841" w:rsidP="00001841">
      <w:pPr>
        <w:pStyle w:val="Textonotapie"/>
        <w:ind w:firstLine="708"/>
        <w:jc w:val="both"/>
        <w:rPr>
          <w:rFonts w:ascii="Verdana" w:hAnsi="Verdana" w:cs="Arial"/>
          <w:sz w:val="16"/>
          <w:szCs w:val="16"/>
          <w:lang w:val="es-CO"/>
        </w:rPr>
      </w:pPr>
      <w:r w:rsidRPr="00492128">
        <w:rPr>
          <w:rStyle w:val="Refdenotaalpie"/>
          <w:rFonts w:ascii="Verdana" w:hAnsi="Verdana" w:cs="Arial"/>
          <w:sz w:val="16"/>
          <w:szCs w:val="16"/>
        </w:rPr>
        <w:footnoteRef/>
      </w:r>
      <w:r w:rsidRPr="00492128">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7B881CD2" w14:textId="77777777" w:rsidR="00001841" w:rsidRPr="00492128" w:rsidRDefault="00001841" w:rsidP="00001841">
      <w:pPr>
        <w:pStyle w:val="Textonotapie"/>
        <w:ind w:firstLine="708"/>
        <w:jc w:val="both"/>
        <w:rPr>
          <w:rFonts w:ascii="Verdana" w:hAnsi="Verdana" w:cs="Arial"/>
          <w:sz w:val="16"/>
          <w:szCs w:val="16"/>
          <w:lang w:val="es-CO"/>
        </w:rPr>
      </w:pPr>
    </w:p>
  </w:footnote>
  <w:footnote w:id="6">
    <w:p w14:paraId="712E7847" w14:textId="795868BE" w:rsidR="00001841" w:rsidRPr="00492128" w:rsidRDefault="00001841" w:rsidP="00001841">
      <w:pPr>
        <w:pStyle w:val="Textonotapie"/>
        <w:ind w:firstLine="709"/>
        <w:jc w:val="both"/>
        <w:rPr>
          <w:rFonts w:ascii="Verdana" w:hAnsi="Verdana" w:cs="Arial"/>
          <w:sz w:val="16"/>
          <w:szCs w:val="16"/>
        </w:rPr>
      </w:pPr>
      <w:r w:rsidRPr="00492128">
        <w:rPr>
          <w:rStyle w:val="Refdenotaalpie"/>
          <w:rFonts w:ascii="Verdana" w:hAnsi="Verdana" w:cs="Arial"/>
          <w:sz w:val="16"/>
          <w:szCs w:val="16"/>
        </w:rPr>
        <w:footnoteRef/>
      </w:r>
      <w:r w:rsidRPr="00492128">
        <w:rPr>
          <w:rFonts w:ascii="Verdana" w:hAnsi="Verdana" w:cs="Arial"/>
          <w:sz w:val="16"/>
          <w:szCs w:val="16"/>
        </w:rPr>
        <w:t xml:space="preserve"> Consejo de Estado, Sala de Consulta y Servicio Civil de fecha 24 de julio de 2013, radicado 2166, Consejero Ponente: Álvaro Namén Vargas.  </w:t>
      </w:r>
    </w:p>
  </w:footnote>
  <w:footnote w:id="7">
    <w:p w14:paraId="1EC91DA7" w14:textId="77777777" w:rsidR="00001841" w:rsidRPr="00492128" w:rsidRDefault="00001841" w:rsidP="00001841">
      <w:pPr>
        <w:spacing w:after="0" w:line="240" w:lineRule="auto"/>
        <w:ind w:firstLine="709"/>
        <w:jc w:val="both"/>
        <w:rPr>
          <w:rFonts w:ascii="Verdana" w:hAnsi="Verdana" w:cs="Arial"/>
          <w:sz w:val="16"/>
          <w:szCs w:val="16"/>
        </w:rPr>
      </w:pPr>
      <w:r w:rsidRPr="00492128">
        <w:rPr>
          <w:rStyle w:val="Refdenotaalpie"/>
          <w:rFonts w:ascii="Verdana" w:hAnsi="Verdana" w:cs="Arial"/>
          <w:sz w:val="16"/>
          <w:szCs w:val="16"/>
        </w:rPr>
        <w:footnoteRef/>
      </w:r>
      <w:r w:rsidRPr="00492128">
        <w:rPr>
          <w:rFonts w:ascii="Verdana" w:hAnsi="Verdana" w:cs="Arial"/>
          <w:sz w:val="16"/>
          <w:szCs w:val="16"/>
        </w:rPr>
        <w:t xml:space="preserve"> </w:t>
      </w:r>
      <w:r w:rsidRPr="00492128">
        <w:rPr>
          <w:rFonts w:ascii="Verdana" w:hAnsi="Verdana" w:cs="Arial"/>
          <w:bCs/>
          <w:color w:val="000000"/>
          <w:sz w:val="16"/>
          <w:szCs w:val="16"/>
        </w:rPr>
        <w:t>“</w:t>
      </w:r>
      <w:r w:rsidRPr="00492128">
        <w:rPr>
          <w:rFonts w:ascii="Verdana"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24834BD6" w14:textId="77777777" w:rsidR="00001841" w:rsidRPr="00492128" w:rsidRDefault="00001841" w:rsidP="00001841">
      <w:pPr>
        <w:spacing w:after="0" w:line="240" w:lineRule="auto"/>
        <w:ind w:firstLine="709"/>
        <w:jc w:val="both"/>
        <w:rPr>
          <w:rFonts w:ascii="Verdana" w:hAnsi="Verdana" w:cs="Arial"/>
          <w:sz w:val="16"/>
          <w:szCs w:val="16"/>
        </w:rPr>
      </w:pPr>
      <w:r w:rsidRPr="00492128">
        <w:rPr>
          <w:rFonts w:ascii="Verdana"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92128">
        <w:rPr>
          <w:rFonts w:ascii="Verdana" w:hAnsi="Verdana" w:cs="Arial"/>
          <w:bCs/>
          <w:color w:val="000000"/>
          <w:sz w:val="16"/>
          <w:szCs w:val="16"/>
        </w:rPr>
        <w:t>”</w:t>
      </w:r>
      <w:r w:rsidRPr="00492128">
        <w:rPr>
          <w:rFonts w:ascii="Verdana" w:hAnsi="Verdana" w:cs="Arial"/>
          <w:sz w:val="16"/>
          <w:szCs w:val="16"/>
        </w:rPr>
        <w:t>.</w:t>
      </w:r>
    </w:p>
    <w:p w14:paraId="5C01251C" w14:textId="77777777" w:rsidR="00001841" w:rsidRPr="00492128" w:rsidRDefault="00001841" w:rsidP="00001841">
      <w:pPr>
        <w:spacing w:after="0" w:line="240" w:lineRule="auto"/>
        <w:ind w:firstLine="709"/>
        <w:jc w:val="both"/>
        <w:rPr>
          <w:rFonts w:ascii="Verdana" w:hAnsi="Verdana" w:cs="Arial"/>
          <w:sz w:val="16"/>
          <w:szCs w:val="16"/>
        </w:rPr>
      </w:pPr>
    </w:p>
  </w:footnote>
  <w:footnote w:id="8">
    <w:p w14:paraId="2B45CAD8" w14:textId="09C74EE2" w:rsidR="00001841" w:rsidRPr="00492128" w:rsidRDefault="00001841" w:rsidP="00001841">
      <w:pPr>
        <w:pStyle w:val="NormalWeb"/>
        <w:spacing w:before="0" w:beforeAutospacing="0" w:after="0" w:afterAutospacing="0"/>
        <w:ind w:firstLine="709"/>
        <w:jc w:val="both"/>
        <w:rPr>
          <w:rFonts w:ascii="Verdana" w:hAnsi="Verdana" w:cs="Arial"/>
          <w:sz w:val="16"/>
          <w:szCs w:val="16"/>
          <w:lang w:val="es-MX"/>
        </w:rPr>
      </w:pPr>
      <w:r w:rsidRPr="00492128">
        <w:rPr>
          <w:rStyle w:val="Refdenotaalpie"/>
          <w:rFonts w:ascii="Verdana" w:hAnsi="Verdana" w:cs="Arial"/>
          <w:sz w:val="16"/>
          <w:szCs w:val="16"/>
        </w:rPr>
        <w:footnoteRef/>
      </w:r>
      <w:r w:rsidRPr="00492128">
        <w:rPr>
          <w:rFonts w:ascii="Verdana" w:hAnsi="Verdana" w:cs="Arial"/>
          <w:sz w:val="16"/>
          <w:szCs w:val="16"/>
        </w:rPr>
        <w:t xml:space="preserve"> </w:t>
      </w:r>
      <w:bookmarkStart w:id="3" w:name="38"/>
      <w:r w:rsidRPr="00492128">
        <w:rPr>
          <w:rFonts w:ascii="Verdana" w:hAnsi="Verdana" w:cs="Arial"/>
          <w:sz w:val="16"/>
          <w:szCs w:val="16"/>
        </w:rPr>
        <w:t>“</w:t>
      </w:r>
      <w:r w:rsidRPr="00492128">
        <w:rPr>
          <w:rFonts w:ascii="Verdana" w:hAnsi="Verdana" w:cs="Arial"/>
          <w:sz w:val="16"/>
          <w:szCs w:val="16"/>
          <w:lang w:val="es-MX"/>
        </w:rPr>
        <w:t>Artículo 38. Prohibiciones para los servidores públicos. A los empleados del Estado les está prohibido:</w:t>
      </w:r>
      <w:bookmarkEnd w:id="3"/>
      <w:r w:rsidRPr="00492128">
        <w:rPr>
          <w:rFonts w:ascii="Verdana" w:hAnsi="Verdana" w:cs="Arial"/>
          <w:sz w:val="16"/>
          <w:szCs w:val="16"/>
          <w:lang w:val="es-MX"/>
        </w:rPr>
        <w:t xml:space="preserve"> […] </w:t>
      </w:r>
      <w:r w:rsidRPr="00492128">
        <w:rPr>
          <w:rStyle w:val="baj"/>
          <w:rFonts w:ascii="Verdana" w:hAnsi="Verdana" w:cs="Arial"/>
          <w:sz w:val="16"/>
          <w:szCs w:val="16"/>
          <w:lang w:val="es-MX"/>
        </w:rPr>
        <w:t>Parágrafo.</w:t>
      </w:r>
      <w:r w:rsidRPr="00492128">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92128">
        <w:rPr>
          <w:rFonts w:ascii="Verdana" w:eastAsia="Calibri" w:hAnsi="Verdana" w:cs="Arial"/>
          <w:bCs/>
          <w:color w:val="000000"/>
          <w:sz w:val="16"/>
          <w:szCs w:val="16"/>
        </w:rPr>
        <w:t>”</w:t>
      </w:r>
      <w:r w:rsidRPr="00492128">
        <w:rPr>
          <w:rFonts w:ascii="Verdana" w:hAnsi="Verdana" w:cs="Arial"/>
          <w:sz w:val="16"/>
          <w:szCs w:val="16"/>
          <w:lang w:val="es-MX"/>
        </w:rPr>
        <w:t>.</w:t>
      </w:r>
    </w:p>
  </w:footnote>
  <w:footnote w:id="9">
    <w:p w14:paraId="2F8399B6" w14:textId="77777777" w:rsidR="00001841" w:rsidRPr="00492128" w:rsidRDefault="00001841" w:rsidP="00001841">
      <w:pPr>
        <w:spacing w:after="0" w:line="240" w:lineRule="auto"/>
        <w:ind w:firstLine="709"/>
        <w:jc w:val="both"/>
        <w:rPr>
          <w:rFonts w:ascii="Verdana" w:hAnsi="Verdana" w:cs="Arial"/>
          <w:sz w:val="16"/>
          <w:szCs w:val="16"/>
        </w:rPr>
      </w:pPr>
      <w:r w:rsidRPr="00492128">
        <w:rPr>
          <w:rStyle w:val="Refdenotaalpie"/>
          <w:rFonts w:ascii="Verdana" w:hAnsi="Verdana" w:cs="Arial"/>
          <w:sz w:val="16"/>
          <w:szCs w:val="16"/>
        </w:rPr>
        <w:footnoteRef/>
      </w:r>
      <w:r w:rsidRPr="00492128">
        <w:rPr>
          <w:rFonts w:ascii="Verdana" w:hAnsi="Verdana" w:cs="Arial"/>
          <w:sz w:val="16"/>
          <w:szCs w:val="16"/>
        </w:rPr>
        <w:t xml:space="preserve"> Consejo de Estado. Sala de Consulta y Servicio Civil. Concepto del 17 de febrero de 2015. C.P. William Zambrano Cetina. Radicación No. 11001-03-06-000-2015-00164-00(2269).</w:t>
      </w:r>
    </w:p>
    <w:p w14:paraId="66AC9B67" w14:textId="77777777" w:rsidR="00001841" w:rsidRPr="00492128" w:rsidRDefault="00001841" w:rsidP="00001841">
      <w:pPr>
        <w:spacing w:after="0" w:line="240" w:lineRule="auto"/>
        <w:ind w:firstLine="709"/>
        <w:jc w:val="both"/>
        <w:rPr>
          <w:rFonts w:ascii="Verdana" w:hAnsi="Verdana" w:cs="Arial"/>
          <w:sz w:val="16"/>
          <w:szCs w:val="16"/>
          <w:lang w:val="es-ES"/>
        </w:rPr>
      </w:pPr>
    </w:p>
  </w:footnote>
  <w:footnote w:id="10">
    <w:p w14:paraId="5D077585" w14:textId="3963F558" w:rsidR="00001841" w:rsidRPr="00492128" w:rsidRDefault="00001841" w:rsidP="00001841">
      <w:pPr>
        <w:pStyle w:val="Textonotapie"/>
        <w:ind w:firstLine="709"/>
        <w:jc w:val="both"/>
        <w:rPr>
          <w:rFonts w:ascii="Verdana" w:hAnsi="Verdana" w:cs="Arial"/>
          <w:sz w:val="16"/>
          <w:szCs w:val="16"/>
        </w:rPr>
      </w:pPr>
      <w:r w:rsidRPr="00492128">
        <w:rPr>
          <w:rStyle w:val="Refdenotaalpie"/>
          <w:rFonts w:ascii="Verdana" w:hAnsi="Verdana" w:cs="Arial"/>
          <w:sz w:val="16"/>
          <w:szCs w:val="16"/>
        </w:rPr>
        <w:footnoteRef/>
      </w:r>
      <w:r w:rsidRPr="00492128">
        <w:rPr>
          <w:rFonts w:ascii="Verdana" w:hAnsi="Verdana" w:cs="Arial"/>
          <w:sz w:val="16"/>
          <w:szCs w:val="16"/>
        </w:rPr>
        <w:t xml:space="preserve"> Consejo de Estado. Sección Tercera. Sentencia de 3 de diciembre de 2007. Radicados: 24.715, 25.206, 25.409, 24.524, 27.834, 25.410, 26.105, 28.244, 31.447 -acumulados- “.</w:t>
      </w:r>
    </w:p>
  </w:footnote>
  <w:footnote w:id="11">
    <w:p w14:paraId="2D03BCE4" w14:textId="00BE3ABE" w:rsidR="00001841" w:rsidRPr="00492128" w:rsidRDefault="00001841" w:rsidP="00001841">
      <w:pPr>
        <w:pStyle w:val="Textonotapie"/>
        <w:ind w:firstLine="709"/>
        <w:jc w:val="both"/>
        <w:rPr>
          <w:rFonts w:ascii="Verdana" w:hAnsi="Verdana" w:cs="Arial"/>
          <w:sz w:val="16"/>
          <w:szCs w:val="16"/>
        </w:rPr>
      </w:pPr>
      <w:r w:rsidRPr="00492128">
        <w:rPr>
          <w:rStyle w:val="Refdenotaalpie"/>
          <w:rFonts w:ascii="Verdana" w:hAnsi="Verdana" w:cs="Arial"/>
          <w:sz w:val="16"/>
          <w:szCs w:val="16"/>
        </w:rPr>
        <w:footnoteRef/>
      </w:r>
      <w:r w:rsidRPr="00492128">
        <w:rPr>
          <w:rFonts w:ascii="Verdana" w:hAnsi="Verdana" w:cs="Arial"/>
          <w:sz w:val="16"/>
          <w:szCs w:val="16"/>
        </w:rPr>
        <w:t xml:space="preserve"> “Al respecto ver el concepto 1712 de 2 de febrero de 2006. Consejo de Estado Sala de Consulta y Servicio Civil”.</w:t>
      </w:r>
    </w:p>
  </w:footnote>
  <w:footnote w:id="12">
    <w:p w14:paraId="037248BB" w14:textId="77777777" w:rsidR="00001841" w:rsidRPr="00492128" w:rsidRDefault="00001841" w:rsidP="00001841">
      <w:pPr>
        <w:pStyle w:val="Textonotapie"/>
        <w:ind w:firstLine="709"/>
        <w:jc w:val="both"/>
        <w:rPr>
          <w:rFonts w:ascii="Verdana" w:hAnsi="Verdana" w:cs="Arial"/>
          <w:sz w:val="16"/>
          <w:szCs w:val="16"/>
        </w:rPr>
      </w:pPr>
      <w:r w:rsidRPr="00492128">
        <w:rPr>
          <w:rStyle w:val="Refdenotaalpie"/>
          <w:rFonts w:ascii="Verdana" w:hAnsi="Verdana" w:cs="Arial"/>
          <w:sz w:val="16"/>
          <w:szCs w:val="16"/>
        </w:rPr>
        <w:footnoteRef/>
      </w:r>
      <w:r w:rsidRPr="00492128">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525CE681" w14:textId="77777777" w:rsidR="00001841" w:rsidRPr="00492128" w:rsidRDefault="00001841" w:rsidP="00001841">
      <w:pPr>
        <w:pStyle w:val="Textonotapie"/>
        <w:ind w:firstLine="709"/>
        <w:jc w:val="both"/>
        <w:rPr>
          <w:rFonts w:ascii="Verdana" w:hAnsi="Verdana" w:cs="Arial"/>
          <w:sz w:val="16"/>
          <w:szCs w:val="16"/>
        </w:rPr>
      </w:pPr>
    </w:p>
  </w:footnote>
  <w:footnote w:id="13">
    <w:p w14:paraId="5103C206" w14:textId="77777777" w:rsidR="00001841" w:rsidRPr="00492128" w:rsidRDefault="00001841" w:rsidP="00001841">
      <w:pPr>
        <w:pStyle w:val="Textonotapie"/>
        <w:ind w:firstLine="708"/>
        <w:jc w:val="both"/>
        <w:rPr>
          <w:rFonts w:ascii="Verdana" w:hAnsi="Verdana" w:cs="Arial"/>
          <w:sz w:val="16"/>
          <w:szCs w:val="16"/>
        </w:rPr>
      </w:pPr>
      <w:r w:rsidRPr="00492128">
        <w:rPr>
          <w:rStyle w:val="Refdenotaalpie"/>
          <w:rFonts w:ascii="Verdana" w:hAnsi="Verdana" w:cs="Arial"/>
          <w:sz w:val="16"/>
          <w:szCs w:val="16"/>
        </w:rPr>
        <w:footnoteRef/>
      </w:r>
      <w:r w:rsidRPr="00492128">
        <w:rPr>
          <w:rFonts w:ascii="Verdana" w:hAnsi="Verdana" w:cs="Arial"/>
          <w:sz w:val="16"/>
          <w:szCs w:val="16"/>
        </w:rPr>
        <w:t xml:space="preserve"> “Artículo 2. De Las Modalidades De Selección. La escogencia del contratista se efectuará con arreglo a las modalidades de selección de licitación pública, selección abreviada, concurso de méritos y contratación directa, con base en las siguientes reglas: </w:t>
      </w:r>
    </w:p>
    <w:p w14:paraId="18372DE2" w14:textId="77777777" w:rsidR="00001841" w:rsidRPr="00492128" w:rsidRDefault="00001841" w:rsidP="00001841">
      <w:pPr>
        <w:pStyle w:val="Textonotapie"/>
        <w:ind w:firstLine="708"/>
        <w:jc w:val="both"/>
        <w:rPr>
          <w:rFonts w:ascii="Verdana" w:hAnsi="Verdana" w:cs="Arial"/>
          <w:sz w:val="16"/>
          <w:szCs w:val="16"/>
        </w:rPr>
      </w:pPr>
      <w:r w:rsidRPr="00492128">
        <w:rPr>
          <w:rFonts w:ascii="Verdana" w:hAnsi="Verdana" w:cs="Arial"/>
          <w:sz w:val="16"/>
          <w:szCs w:val="16"/>
        </w:rPr>
        <w:t>[…]</w:t>
      </w:r>
    </w:p>
    <w:p w14:paraId="17E7F871" w14:textId="77777777" w:rsidR="00001841" w:rsidRPr="00492128" w:rsidRDefault="00001841" w:rsidP="00001841">
      <w:pPr>
        <w:pStyle w:val="Textonotapie"/>
        <w:ind w:firstLine="708"/>
        <w:jc w:val="both"/>
        <w:rPr>
          <w:rFonts w:ascii="Verdana" w:hAnsi="Verdana" w:cs="Arial"/>
          <w:sz w:val="16"/>
          <w:szCs w:val="16"/>
        </w:rPr>
      </w:pPr>
      <w:r w:rsidRPr="00492128">
        <w:rPr>
          <w:rFonts w:ascii="Verdana" w:hAnsi="Verdana" w:cs="Arial"/>
          <w:sz w:val="16"/>
          <w:szCs w:val="16"/>
        </w:rPr>
        <w:t>5. Contratación mínima cuantía. [Numeral modificado por el artículo 30 de la Ley 2069 de 2020]”.</w:t>
      </w:r>
    </w:p>
  </w:footnote>
  <w:footnote w:id="14">
    <w:p w14:paraId="6C6984D9" w14:textId="554DECC9" w:rsidR="00001841" w:rsidRPr="00492128" w:rsidRDefault="00001841" w:rsidP="00001841">
      <w:pPr>
        <w:pStyle w:val="Textonotapie"/>
        <w:ind w:firstLine="709"/>
        <w:jc w:val="both"/>
        <w:rPr>
          <w:rFonts w:ascii="Verdana" w:hAnsi="Verdana" w:cs="Arial"/>
          <w:sz w:val="16"/>
          <w:szCs w:val="16"/>
          <w:lang w:val="es-ES"/>
        </w:rPr>
      </w:pPr>
      <w:r w:rsidRPr="00492128">
        <w:rPr>
          <w:rStyle w:val="Refdenotaalpie"/>
          <w:rFonts w:ascii="Verdana" w:hAnsi="Verdana" w:cs="Arial"/>
          <w:sz w:val="16"/>
          <w:szCs w:val="16"/>
        </w:rPr>
        <w:footnoteRef/>
      </w:r>
      <w:r w:rsidRPr="00492128">
        <w:rPr>
          <w:rStyle w:val="Refdenotaalpie"/>
          <w:rFonts w:ascii="Verdana" w:hAnsi="Verdana" w:cs="Arial"/>
          <w:sz w:val="16"/>
          <w:szCs w:val="16"/>
        </w:rPr>
        <w:t xml:space="preserve"> </w:t>
      </w:r>
      <w:r w:rsidRPr="00492128">
        <w:rPr>
          <w:rFonts w:ascii="Verdana" w:hAnsi="Verdana" w:cs="Arial"/>
          <w:sz w:val="16"/>
          <w:szCs w:val="16"/>
          <w:lang w:val="es-ES"/>
        </w:rPr>
        <w:t xml:space="preserve">“[…] A este respecto, cabe recordar que el artículo 860 del Código de Comercio regula la licitación en el derecho privado”. </w:t>
      </w:r>
    </w:p>
  </w:footnote>
  <w:footnote w:id="15">
    <w:p w14:paraId="271A6601" w14:textId="77777777" w:rsidR="00001841" w:rsidRPr="00492128" w:rsidRDefault="00001841" w:rsidP="00001841">
      <w:pPr>
        <w:shd w:val="clear" w:color="auto" w:fill="FFFFFF"/>
        <w:spacing w:after="0" w:line="240" w:lineRule="auto"/>
        <w:ind w:firstLine="709"/>
        <w:jc w:val="both"/>
        <w:rPr>
          <w:rFonts w:ascii="Verdana" w:hAnsi="Verdana" w:cs="Arial"/>
          <w:sz w:val="16"/>
          <w:szCs w:val="16"/>
          <w:lang w:val="es-ES"/>
        </w:rPr>
      </w:pPr>
      <w:r w:rsidRPr="00492128">
        <w:rPr>
          <w:rStyle w:val="Refdenotaalpie"/>
          <w:rFonts w:ascii="Verdana" w:hAnsi="Verdana" w:cs="Arial"/>
          <w:sz w:val="16"/>
          <w:szCs w:val="16"/>
        </w:rPr>
        <w:footnoteRef/>
      </w:r>
      <w:r w:rsidRPr="00492128">
        <w:rPr>
          <w:rStyle w:val="Refdenotaalpie"/>
          <w:rFonts w:ascii="Verdana" w:hAnsi="Verdana" w:cs="Arial"/>
          <w:sz w:val="16"/>
          <w:szCs w:val="16"/>
        </w:rPr>
        <w:t xml:space="preserve"> </w:t>
      </w:r>
      <w:r w:rsidRPr="00492128">
        <w:rPr>
          <w:rFonts w:ascii="Verdana" w:hAnsi="Verdana" w:cs="Arial"/>
          <w:sz w:val="16"/>
          <w:szCs w:val="16"/>
          <w:lang w:val="es-ES"/>
        </w:rPr>
        <w:t>Consejo de Estado. Sala de Consulta y Servicio Civil, Concepto de 8 de mayo de 2018. Radicación Número: 11001-03-06-000-2018-00095-00(2382). Consejero Ponente: Álvaro Namén Vargas.</w:t>
      </w:r>
    </w:p>
    <w:p w14:paraId="3AC800DE" w14:textId="77777777" w:rsidR="00001841" w:rsidRPr="00492128" w:rsidRDefault="00001841" w:rsidP="00001841">
      <w:pPr>
        <w:shd w:val="clear" w:color="auto" w:fill="FFFFFF"/>
        <w:spacing w:after="0" w:line="240" w:lineRule="auto"/>
        <w:ind w:firstLine="709"/>
        <w:jc w:val="both"/>
        <w:rPr>
          <w:rFonts w:ascii="Verdana" w:hAnsi="Verdana" w:cs="Arial"/>
          <w:sz w:val="16"/>
          <w:szCs w:val="16"/>
          <w:lang w:val="es-ES"/>
        </w:rPr>
      </w:pPr>
    </w:p>
  </w:footnote>
  <w:footnote w:id="16">
    <w:p w14:paraId="1F3A772B" w14:textId="78204A78" w:rsidR="00001841" w:rsidRPr="00492128" w:rsidRDefault="00001841" w:rsidP="00001841">
      <w:pPr>
        <w:pStyle w:val="Textonotapie"/>
        <w:ind w:firstLine="709"/>
        <w:jc w:val="both"/>
        <w:rPr>
          <w:rFonts w:ascii="Verdana" w:hAnsi="Verdana" w:cs="Arial"/>
          <w:sz w:val="16"/>
          <w:szCs w:val="16"/>
        </w:rPr>
      </w:pPr>
      <w:r w:rsidRPr="00492128">
        <w:rPr>
          <w:rStyle w:val="Refdenotaalpie"/>
          <w:rFonts w:ascii="Verdana" w:hAnsi="Verdana" w:cs="Arial"/>
          <w:sz w:val="16"/>
          <w:szCs w:val="16"/>
        </w:rPr>
        <w:footnoteRef/>
      </w:r>
      <w:r w:rsidRPr="00492128">
        <w:rPr>
          <w:rFonts w:ascii="Verdana" w:hAnsi="Verdana" w:cs="Arial"/>
          <w:sz w:val="16"/>
          <w:szCs w:val="16"/>
        </w:rPr>
        <w:t xml:space="preserve"> Consejo de Estado. Sala de Consulta y Servicio Civil. Concepto del 08 de mayo de 2018. Exp. 2.382. C.P. Álvaro Namén Vargas.</w:t>
      </w:r>
    </w:p>
  </w:footnote>
  <w:footnote w:id="17">
    <w:p w14:paraId="40091378" w14:textId="5845357C" w:rsidR="00001841" w:rsidRPr="00492128" w:rsidRDefault="00001841" w:rsidP="00001841">
      <w:pPr>
        <w:pStyle w:val="Textonotapie"/>
        <w:ind w:firstLine="709"/>
        <w:jc w:val="both"/>
        <w:rPr>
          <w:rFonts w:ascii="Verdana" w:hAnsi="Verdana" w:cs="Arial"/>
          <w:sz w:val="16"/>
          <w:szCs w:val="16"/>
        </w:rPr>
      </w:pPr>
      <w:r w:rsidRPr="00492128">
        <w:rPr>
          <w:rStyle w:val="Refdenotaalpie"/>
          <w:rFonts w:ascii="Verdana" w:hAnsi="Verdana" w:cs="Arial"/>
          <w:sz w:val="16"/>
          <w:szCs w:val="16"/>
        </w:rPr>
        <w:footnoteRef/>
      </w:r>
      <w:r w:rsidRPr="00492128">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8">
    <w:p w14:paraId="317D0FD5" w14:textId="44CC157B" w:rsidR="00001841" w:rsidRPr="00492128" w:rsidRDefault="00001841" w:rsidP="00001841">
      <w:pPr>
        <w:spacing w:after="0" w:line="240" w:lineRule="auto"/>
        <w:ind w:firstLine="709"/>
        <w:jc w:val="both"/>
        <w:rPr>
          <w:rFonts w:ascii="Verdana" w:hAnsi="Verdana" w:cs="Arial"/>
          <w:color w:val="000000"/>
          <w:sz w:val="16"/>
          <w:szCs w:val="16"/>
        </w:rPr>
      </w:pPr>
      <w:r w:rsidRPr="00492128">
        <w:rPr>
          <w:rStyle w:val="Refdenotaalpie"/>
          <w:rFonts w:ascii="Verdana" w:hAnsi="Verdana" w:cs="Arial"/>
          <w:color w:val="000000"/>
          <w:sz w:val="16"/>
          <w:szCs w:val="16"/>
        </w:rPr>
        <w:footnoteRef/>
      </w:r>
      <w:r w:rsidRPr="00492128">
        <w:rPr>
          <w:rFonts w:ascii="Verdana" w:hAnsi="Verdana" w:cs="Arial"/>
          <w:color w:val="000000"/>
          <w:sz w:val="16"/>
          <w:szCs w:val="16"/>
        </w:rPr>
        <w:t xml:space="preserve"> Consejo de Estado. Sala de Consulta y Servicio Civil. Concepto de 20 de febrero de 2006. Radicación Número: 11001-03-06-000-2006-00026-00 (1727).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9">
    <w:p w14:paraId="7D53CB1C" w14:textId="184624FA" w:rsidR="00001841" w:rsidRPr="00492128" w:rsidRDefault="00001841" w:rsidP="00001841">
      <w:pPr>
        <w:pStyle w:val="Textonotapie"/>
        <w:ind w:firstLine="709"/>
        <w:jc w:val="both"/>
        <w:rPr>
          <w:rFonts w:ascii="Verdana" w:hAnsi="Verdana"/>
          <w:sz w:val="16"/>
          <w:szCs w:val="16"/>
          <w:lang w:val="es-CO"/>
        </w:rPr>
      </w:pPr>
      <w:r w:rsidRPr="00492128">
        <w:rPr>
          <w:rStyle w:val="Refdenotaalpie"/>
          <w:rFonts w:ascii="Verdana" w:hAnsi="Verdana"/>
          <w:sz w:val="16"/>
          <w:szCs w:val="16"/>
        </w:rPr>
        <w:footnoteRef/>
      </w:r>
      <w:r w:rsidRPr="00492128">
        <w:rPr>
          <w:rFonts w:ascii="Verdana" w:hAnsi="Verdana"/>
          <w:sz w:val="16"/>
          <w:szCs w:val="16"/>
          <w:lang w:val="es-CO"/>
        </w:rPr>
        <w:t xml:space="preserve"> Consejo de Estado, Sección Tercera. Auto del 4 de octubre de 2024. Exp. 70.313. C.P: Fredy Ibarra Martínez.</w:t>
      </w:r>
    </w:p>
  </w:footnote>
  <w:footnote w:id="20">
    <w:p w14:paraId="37589713" w14:textId="6F75C658" w:rsidR="00001841" w:rsidRPr="00492128" w:rsidRDefault="00001841" w:rsidP="00001841">
      <w:pPr>
        <w:spacing w:after="0" w:line="240" w:lineRule="auto"/>
        <w:ind w:firstLine="709"/>
        <w:jc w:val="both"/>
        <w:rPr>
          <w:rFonts w:ascii="Verdana" w:eastAsia="Times New Roman" w:hAnsi="Verdana" w:cs="Times New Roman"/>
          <w:sz w:val="16"/>
          <w:szCs w:val="16"/>
          <w:lang w:eastAsia="es-ES"/>
        </w:rPr>
      </w:pPr>
      <w:r w:rsidRPr="00492128">
        <w:rPr>
          <w:rStyle w:val="Refdenotaalpie"/>
          <w:rFonts w:ascii="Verdana" w:hAnsi="Verdana"/>
          <w:sz w:val="16"/>
          <w:szCs w:val="16"/>
        </w:rPr>
        <w:footnoteRef/>
      </w:r>
      <w:r w:rsidRPr="00492128">
        <w:rPr>
          <w:rFonts w:ascii="Verdana" w:hAnsi="Verdana"/>
          <w:sz w:val="16"/>
          <w:szCs w:val="16"/>
        </w:rPr>
        <w:t xml:space="preserve"> </w:t>
      </w:r>
      <w:r w:rsidRPr="00492128">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492128">
        <w:rPr>
          <w:rFonts w:ascii="Verdana" w:hAnsi="Verdana"/>
          <w:sz w:val="16"/>
          <w:szCs w:val="16"/>
        </w:rPr>
        <w:t xml:space="preserve">La parte de la providencia señala: </w:t>
      </w:r>
      <w:r w:rsidRPr="00492128">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1">
    <w:p w14:paraId="5CA87264" w14:textId="77777777" w:rsidR="00001841" w:rsidRPr="00146191" w:rsidRDefault="00001841" w:rsidP="00001841">
      <w:pPr>
        <w:pStyle w:val="Textonotapie"/>
        <w:ind w:firstLine="709"/>
        <w:jc w:val="both"/>
        <w:rPr>
          <w:rFonts w:ascii="Verdana" w:hAnsi="Verdana"/>
          <w:sz w:val="12"/>
          <w:szCs w:val="12"/>
          <w:lang w:val="es-CO"/>
        </w:rPr>
      </w:pPr>
      <w:r w:rsidRPr="00492128">
        <w:rPr>
          <w:rStyle w:val="Refdenotaalpie"/>
          <w:rFonts w:ascii="Verdana" w:hAnsi="Verdana"/>
          <w:sz w:val="16"/>
          <w:szCs w:val="16"/>
        </w:rPr>
        <w:footnoteRef/>
      </w:r>
      <w:r w:rsidRPr="00492128">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2">
    <w:p w14:paraId="5C00164D" w14:textId="0E0A9E47" w:rsidR="00001841" w:rsidRPr="008E047B" w:rsidRDefault="00001841" w:rsidP="00001841">
      <w:pPr>
        <w:pStyle w:val="Textonotapie"/>
        <w:ind w:firstLine="708"/>
        <w:jc w:val="both"/>
        <w:rPr>
          <w:rStyle w:val="Refdenotaalpie"/>
          <w:rFonts w:ascii="Verdana" w:hAnsi="Verdana" w:cs="Arial"/>
          <w:sz w:val="16"/>
          <w:szCs w:val="16"/>
          <w:vertAlign w:val="baseline"/>
        </w:rPr>
      </w:pPr>
      <w:r w:rsidRPr="008E047B">
        <w:rPr>
          <w:rStyle w:val="Refdenotaalpie"/>
          <w:rFonts w:ascii="Verdana" w:hAnsi="Verdana" w:cs="Arial"/>
          <w:sz w:val="16"/>
          <w:szCs w:val="16"/>
        </w:rPr>
        <w:footnoteRef/>
      </w:r>
      <w:r w:rsidRPr="008E047B">
        <w:rPr>
          <w:rStyle w:val="Refdenotaalpie"/>
          <w:rFonts w:ascii="Verdana" w:hAnsi="Verdana" w:cs="Arial"/>
          <w:sz w:val="16"/>
          <w:szCs w:val="16"/>
        </w:rPr>
        <w:t xml:space="preserve"> </w:t>
      </w:r>
      <w:r w:rsidRPr="008E047B">
        <w:rPr>
          <w:rStyle w:val="Refdenotaalpie"/>
          <w:rFonts w:ascii="Verdana" w:hAnsi="Verdana" w:cs="Arial"/>
          <w:sz w:val="16"/>
          <w:szCs w:val="16"/>
          <w:vertAlign w:val="baseline"/>
        </w:rPr>
        <w:t>Artículo 1. Ley 1575 de 20212. La gestión integral del riesgo contra incendio, los preparativos y atención de rescates en todas sus modalidades y la atención de incidentes con materiales peligrosos, constituyen un servicio público esencial a cargo del Estado. Este servicio se presta a través de instituciones Bomberiles, según lo regulado por la Ley 1575 de 2012 “Ley General de Bomberos de Colombia.</w:t>
      </w:r>
    </w:p>
  </w:footnote>
  <w:footnote w:id="23">
    <w:p w14:paraId="0A646723" w14:textId="77777777" w:rsidR="00001841" w:rsidRPr="008E047B" w:rsidRDefault="00001841" w:rsidP="00001841">
      <w:pPr>
        <w:pStyle w:val="Textonotapie"/>
        <w:ind w:firstLine="708"/>
        <w:jc w:val="both"/>
        <w:rPr>
          <w:rStyle w:val="Refdenotaalpie"/>
          <w:rFonts w:ascii="Verdana" w:hAnsi="Verdana" w:cs="Arial"/>
          <w:sz w:val="16"/>
          <w:szCs w:val="16"/>
          <w:vertAlign w:val="baseline"/>
        </w:rPr>
      </w:pPr>
      <w:r w:rsidRPr="008E047B">
        <w:rPr>
          <w:rStyle w:val="Refdenotaalpie"/>
          <w:rFonts w:ascii="Verdana" w:hAnsi="Verdana" w:cs="Arial"/>
          <w:sz w:val="16"/>
          <w:szCs w:val="16"/>
        </w:rPr>
        <w:footnoteRef/>
      </w:r>
      <w:r w:rsidRPr="008E047B">
        <w:rPr>
          <w:rStyle w:val="Refdenotaalpie"/>
          <w:rFonts w:ascii="Verdana" w:hAnsi="Verdana" w:cs="Arial"/>
          <w:sz w:val="16"/>
          <w:szCs w:val="16"/>
          <w:vertAlign w:val="baseline"/>
        </w:rPr>
        <w:t xml:space="preserve"> Ley 1575 de 2012. </w:t>
      </w:r>
      <w:r w:rsidRPr="008E047B">
        <w:rPr>
          <w:rFonts w:ascii="Verdana" w:hAnsi="Verdana" w:cs="Arial"/>
          <w:sz w:val="16"/>
          <w:szCs w:val="16"/>
        </w:rPr>
        <w:t>“</w:t>
      </w:r>
      <w:r w:rsidRPr="008E047B">
        <w:rPr>
          <w:rStyle w:val="Refdenotaalpie"/>
          <w:rFonts w:ascii="Verdana" w:hAnsi="Verdana" w:cs="Arial"/>
          <w:sz w:val="16"/>
          <w:szCs w:val="16"/>
          <w:vertAlign w:val="baseline"/>
        </w:rPr>
        <w:t>Artículo 3. Competencias Del Nivel Nacional Y Territorial. El servicio público esencial se prestará con fundamento en los principios de subsidiariedad, coordinación y concurrencia, en cumplimiento de lo dispuesto en el artículo 288 de la Constitución.   </w:t>
      </w:r>
    </w:p>
    <w:p w14:paraId="48D5510D" w14:textId="77777777" w:rsidR="00001841" w:rsidRPr="008E047B" w:rsidRDefault="00001841" w:rsidP="00001841">
      <w:pPr>
        <w:pStyle w:val="Textonotapie"/>
        <w:ind w:firstLine="708"/>
        <w:jc w:val="both"/>
        <w:rPr>
          <w:rStyle w:val="Refdenotaalpie"/>
          <w:rFonts w:ascii="Verdana" w:hAnsi="Verdana" w:cs="Arial"/>
          <w:sz w:val="16"/>
          <w:szCs w:val="16"/>
          <w:vertAlign w:val="baseline"/>
        </w:rPr>
      </w:pPr>
      <w:r w:rsidRPr="008E047B">
        <w:rPr>
          <w:rFonts w:ascii="Verdana" w:hAnsi="Verdana" w:cs="Arial"/>
          <w:sz w:val="16"/>
          <w:szCs w:val="16"/>
        </w:rPr>
        <w:t>[</w:t>
      </w:r>
      <w:r w:rsidRPr="008E047B">
        <w:rPr>
          <w:rStyle w:val="Refdenotaalpie"/>
          <w:rFonts w:ascii="Verdana" w:hAnsi="Verdana" w:cs="Arial"/>
          <w:sz w:val="16"/>
          <w:szCs w:val="16"/>
          <w:vertAlign w:val="baseline"/>
        </w:rPr>
        <w:t>…</w:t>
      </w:r>
      <w:r w:rsidRPr="008E047B">
        <w:rPr>
          <w:rFonts w:ascii="Verdana" w:hAnsi="Verdana" w:cs="Arial"/>
          <w:sz w:val="16"/>
          <w:szCs w:val="16"/>
        </w:rPr>
        <w:t>]</w:t>
      </w:r>
      <w:r w:rsidRPr="008E047B">
        <w:rPr>
          <w:rStyle w:val="Refdenotaalpie"/>
          <w:rFonts w:ascii="Verdana" w:hAnsi="Verdana" w:cs="Arial"/>
          <w:sz w:val="16"/>
          <w:szCs w:val="16"/>
          <w:vertAlign w:val="baseline"/>
        </w:rPr>
        <w:t>   </w:t>
      </w:r>
    </w:p>
    <w:p w14:paraId="3A93476D" w14:textId="77777777" w:rsidR="00001841" w:rsidRPr="008E047B" w:rsidRDefault="00001841" w:rsidP="00001841">
      <w:pPr>
        <w:pStyle w:val="Textonotapie"/>
        <w:ind w:firstLine="707"/>
        <w:jc w:val="both"/>
        <w:rPr>
          <w:rStyle w:val="Refdenotaalpie"/>
          <w:rFonts w:ascii="Verdana" w:hAnsi="Verdana" w:cs="Arial"/>
          <w:sz w:val="16"/>
          <w:szCs w:val="16"/>
          <w:vertAlign w:val="baseline"/>
        </w:rPr>
      </w:pPr>
      <w:r w:rsidRPr="008E047B">
        <w:rPr>
          <w:rFonts w:ascii="Verdana" w:hAnsi="Verdana" w:cs="Arial"/>
          <w:sz w:val="16"/>
          <w:szCs w:val="16"/>
        </w:rPr>
        <w:t>“</w:t>
      </w:r>
      <w:r w:rsidRPr="008E047B">
        <w:rPr>
          <w:rStyle w:val="Refdenotaalpie"/>
          <w:rFonts w:ascii="Verdana" w:hAnsi="Verdana" w:cs="Arial"/>
          <w:sz w:val="16"/>
          <w:szCs w:val="16"/>
          <w:vertAlign w:val="baseline"/>
        </w:rPr>
        <w:t>Es obligación de los distritos, con asiento en su respectiva jurisdicción y de los municipios la prestación del servicio público esencial a través de los cuerpos de bomberos oficiales o mediante la celebración de contratos y/o convenios con los cuerpos de bomberos voluntarios</w:t>
      </w:r>
      <w:r w:rsidRPr="008E047B">
        <w:rPr>
          <w:rFonts w:ascii="Verdana" w:hAnsi="Verdana" w:cs="Arial"/>
          <w:sz w:val="16"/>
          <w:szCs w:val="16"/>
        </w:rPr>
        <w:t>”</w:t>
      </w:r>
      <w:r w:rsidRPr="008E047B">
        <w:rPr>
          <w:rStyle w:val="Refdenotaalpie"/>
          <w:rFonts w:ascii="Verdana" w:hAnsi="Verdana" w:cs="Arial"/>
          <w:sz w:val="16"/>
          <w:szCs w:val="16"/>
          <w:vertAlign w:val="baseline"/>
        </w:rPr>
        <w:t>. </w:t>
      </w:r>
    </w:p>
    <w:p w14:paraId="3F27E30F" w14:textId="77777777" w:rsidR="00001841" w:rsidRPr="008E047B" w:rsidRDefault="00001841" w:rsidP="00001841">
      <w:pPr>
        <w:pStyle w:val="Textonotapie"/>
        <w:jc w:val="both"/>
        <w:rPr>
          <w:rFonts w:ascii="Verdana" w:hAnsi="Verdana" w:cs="Arial"/>
          <w:sz w:val="16"/>
          <w:szCs w:val="16"/>
          <w:lang w:val="es-ES"/>
        </w:rPr>
      </w:pPr>
    </w:p>
  </w:footnote>
  <w:footnote w:id="24">
    <w:p w14:paraId="13DBD0ED" w14:textId="52D01350" w:rsidR="00001841" w:rsidRPr="008E047B" w:rsidRDefault="00001841" w:rsidP="00001841">
      <w:pPr>
        <w:spacing w:after="0" w:line="240" w:lineRule="auto"/>
        <w:ind w:firstLine="707"/>
        <w:jc w:val="both"/>
        <w:rPr>
          <w:rFonts w:ascii="Verdana" w:hAnsi="Verdana" w:cs="Arial"/>
          <w:sz w:val="16"/>
          <w:szCs w:val="16"/>
        </w:rPr>
      </w:pPr>
      <w:r w:rsidRPr="008E047B">
        <w:rPr>
          <w:rStyle w:val="Refdenotaalpie"/>
          <w:rFonts w:ascii="Verdana" w:hAnsi="Verdana" w:cs="Arial"/>
          <w:sz w:val="16"/>
          <w:szCs w:val="16"/>
        </w:rPr>
        <w:footnoteRef/>
      </w:r>
      <w:r w:rsidRPr="008E047B">
        <w:rPr>
          <w:rFonts w:ascii="Verdana" w:hAnsi="Verdana" w:cs="Arial"/>
          <w:sz w:val="16"/>
          <w:szCs w:val="16"/>
        </w:rPr>
        <w:t xml:space="preserve"> </w:t>
      </w:r>
      <w:r w:rsidRPr="008E047B">
        <w:rPr>
          <w:rFonts w:ascii="Verdana" w:hAnsi="Verdana" w:cs="Arial"/>
          <w:position w:val="6"/>
          <w:sz w:val="16"/>
          <w:szCs w:val="16"/>
        </w:rPr>
        <w:t xml:space="preserve"> </w:t>
      </w:r>
      <w:r w:rsidRPr="008E047B">
        <w:rPr>
          <w:rFonts w:ascii="Verdana" w:hAnsi="Verdana" w:cs="Arial"/>
          <w:sz w:val="16"/>
          <w:szCs w:val="16"/>
        </w:rPr>
        <w:t>Colombia Compra Eficiente. Concepto 2201913000008606, del 19 de noviembre de 2019.</w:t>
      </w:r>
    </w:p>
  </w:footnote>
  <w:footnote w:id="25">
    <w:p w14:paraId="72EAE099" w14:textId="77777777" w:rsidR="00001841" w:rsidRPr="008E047B" w:rsidRDefault="00001841" w:rsidP="00001841">
      <w:pPr>
        <w:pStyle w:val="Textonotapie"/>
        <w:ind w:firstLine="707"/>
        <w:jc w:val="both"/>
        <w:rPr>
          <w:rFonts w:ascii="Verdana" w:hAnsi="Verdana" w:cs="Arial"/>
          <w:sz w:val="16"/>
          <w:szCs w:val="16"/>
          <w:lang w:val="es-CO"/>
        </w:rPr>
      </w:pPr>
      <w:r w:rsidRPr="008E047B">
        <w:rPr>
          <w:rStyle w:val="Refdenotaalpie"/>
          <w:rFonts w:ascii="Verdana" w:hAnsi="Verdana" w:cs="Arial"/>
          <w:sz w:val="16"/>
          <w:szCs w:val="16"/>
        </w:rPr>
        <w:footnoteRef/>
      </w:r>
      <w:r w:rsidRPr="008E047B">
        <w:rPr>
          <w:rFonts w:ascii="Verdana" w:hAnsi="Verdana" w:cs="Arial"/>
          <w:sz w:val="16"/>
          <w:szCs w:val="16"/>
        </w:rPr>
        <w:t xml:space="preserve"> “Artículo 9. Los distritos, municipios y territorios indígenas que no cuenten con sus propios Cuerpos de Bomberos Oficiales, o cuando la cobertura de éstos no sea la adecuada, de acuerdo con los parámetros que fije la Junta Nacional de Bomberos de Colombia, deberán contratar directamente con los Cuerpos de Bomberos Voluntarios, que se organicen conforme a la presente Ley, la prestación total o parcial según sea el caso del servicio público a su cargo”.</w:t>
      </w:r>
    </w:p>
  </w:footnote>
  <w:footnote w:id="26">
    <w:p w14:paraId="0B0DEDC7" w14:textId="456108C1" w:rsidR="00001841" w:rsidRPr="008E047B" w:rsidRDefault="00001841" w:rsidP="003A245C">
      <w:pPr>
        <w:spacing w:after="0" w:line="240" w:lineRule="auto"/>
        <w:ind w:firstLine="620"/>
        <w:jc w:val="both"/>
        <w:rPr>
          <w:rFonts w:ascii="Verdana" w:hAnsi="Verdana" w:cs="Arial"/>
          <w:sz w:val="16"/>
          <w:szCs w:val="16"/>
        </w:rPr>
      </w:pPr>
      <w:r w:rsidRPr="008E047B">
        <w:rPr>
          <w:rStyle w:val="Refdenotaalpie"/>
          <w:rFonts w:ascii="Verdana" w:hAnsi="Verdana" w:cs="Arial"/>
          <w:sz w:val="16"/>
          <w:szCs w:val="16"/>
        </w:rPr>
        <w:footnoteRef/>
      </w:r>
      <w:r w:rsidRPr="008E047B">
        <w:rPr>
          <w:rFonts w:ascii="Verdana" w:hAnsi="Verdana" w:cs="Arial"/>
          <w:sz w:val="16"/>
          <w:szCs w:val="16"/>
        </w:rPr>
        <w:t xml:space="preserve"> “Artículo 2. De las modalidades de selección. La escogencia del contratista se efectuará con arreglo a las modalidades de selección de licitación pública, selección abreviada, concurso de méritos y contratación directa, con base en las siguientes reglas:</w:t>
      </w:r>
      <w:r w:rsidRPr="008E047B">
        <w:rPr>
          <w:rFonts w:ascii="Verdana" w:hAnsi="Verdana" w:cs="Arial"/>
          <w:spacing w:val="-7"/>
          <w:sz w:val="16"/>
          <w:szCs w:val="16"/>
        </w:rPr>
        <w:t xml:space="preserve"> </w:t>
      </w:r>
      <w:r w:rsidRPr="008E047B">
        <w:rPr>
          <w:rFonts w:ascii="Verdana" w:hAnsi="Verdana"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11.7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841"/>
    <w:rsid w:val="00016F78"/>
    <w:rsid w:val="00046945"/>
    <w:rsid w:val="00061B2A"/>
    <w:rsid w:val="00082362"/>
    <w:rsid w:val="00096C90"/>
    <w:rsid w:val="000A67F4"/>
    <w:rsid w:val="000A683E"/>
    <w:rsid w:val="000B19B9"/>
    <w:rsid w:val="000D0334"/>
    <w:rsid w:val="000D5DA7"/>
    <w:rsid w:val="000F6486"/>
    <w:rsid w:val="000F698B"/>
    <w:rsid w:val="00105F16"/>
    <w:rsid w:val="00116940"/>
    <w:rsid w:val="00125105"/>
    <w:rsid w:val="00127233"/>
    <w:rsid w:val="0015699B"/>
    <w:rsid w:val="001A33BF"/>
    <w:rsid w:val="001E4177"/>
    <w:rsid w:val="001F0B24"/>
    <w:rsid w:val="001F7DC6"/>
    <w:rsid w:val="00216B49"/>
    <w:rsid w:val="0022400B"/>
    <w:rsid w:val="00233111"/>
    <w:rsid w:val="002421BB"/>
    <w:rsid w:val="0025796E"/>
    <w:rsid w:val="002707A2"/>
    <w:rsid w:val="002951A0"/>
    <w:rsid w:val="002962BC"/>
    <w:rsid w:val="002A093D"/>
    <w:rsid w:val="002A0DD0"/>
    <w:rsid w:val="002A49AC"/>
    <w:rsid w:val="002A64FD"/>
    <w:rsid w:val="002C7A84"/>
    <w:rsid w:val="002C7AC1"/>
    <w:rsid w:val="002E2BF8"/>
    <w:rsid w:val="002E4FD9"/>
    <w:rsid w:val="0030657A"/>
    <w:rsid w:val="00322A85"/>
    <w:rsid w:val="00324168"/>
    <w:rsid w:val="00330834"/>
    <w:rsid w:val="003448F4"/>
    <w:rsid w:val="00374F5E"/>
    <w:rsid w:val="00377E3E"/>
    <w:rsid w:val="003A245C"/>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B6D91"/>
    <w:rsid w:val="004C6AC2"/>
    <w:rsid w:val="004F21C4"/>
    <w:rsid w:val="004F685F"/>
    <w:rsid w:val="005566E8"/>
    <w:rsid w:val="00574867"/>
    <w:rsid w:val="00591460"/>
    <w:rsid w:val="005A65E0"/>
    <w:rsid w:val="005C3777"/>
    <w:rsid w:val="005C5CDC"/>
    <w:rsid w:val="005D476C"/>
    <w:rsid w:val="005E4C79"/>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15E"/>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275C"/>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23C6A"/>
    <w:rsid w:val="00C330EB"/>
    <w:rsid w:val="00C50D69"/>
    <w:rsid w:val="00C5365C"/>
    <w:rsid w:val="00C754BE"/>
    <w:rsid w:val="00C76B1C"/>
    <w:rsid w:val="00C925AC"/>
    <w:rsid w:val="00CB6357"/>
    <w:rsid w:val="00CC1B26"/>
    <w:rsid w:val="00CD2BE0"/>
    <w:rsid w:val="00CE4D6F"/>
    <w:rsid w:val="00D361FD"/>
    <w:rsid w:val="00D423A2"/>
    <w:rsid w:val="00D44E26"/>
    <w:rsid w:val="00D520D8"/>
    <w:rsid w:val="00D63AC2"/>
    <w:rsid w:val="00D7383B"/>
    <w:rsid w:val="00D7788A"/>
    <w:rsid w:val="00D92B4C"/>
    <w:rsid w:val="00D96CB9"/>
    <w:rsid w:val="00DA231B"/>
    <w:rsid w:val="00DC39FC"/>
    <w:rsid w:val="00DF5254"/>
    <w:rsid w:val="00E02524"/>
    <w:rsid w:val="00E10537"/>
    <w:rsid w:val="00E16408"/>
    <w:rsid w:val="00E20894"/>
    <w:rsid w:val="00E22F25"/>
    <w:rsid w:val="00E245AB"/>
    <w:rsid w:val="00E2764C"/>
    <w:rsid w:val="00E27F2E"/>
    <w:rsid w:val="00E50AFE"/>
    <w:rsid w:val="00E75C92"/>
    <w:rsid w:val="00E771DC"/>
    <w:rsid w:val="00E8772A"/>
    <w:rsid w:val="00E90F6B"/>
    <w:rsid w:val="00E92C27"/>
    <w:rsid w:val="00EA0E3D"/>
    <w:rsid w:val="00EC38A7"/>
    <w:rsid w:val="00ED47FA"/>
    <w:rsid w:val="00EE1AA8"/>
    <w:rsid w:val="00F23FEA"/>
    <w:rsid w:val="00F2502B"/>
    <w:rsid w:val="00F31EDC"/>
    <w:rsid w:val="00F462B3"/>
    <w:rsid w:val="00F5664F"/>
    <w:rsid w:val="00F666C4"/>
    <w:rsid w:val="00F76AFC"/>
    <w:rsid w:val="00FA47C0"/>
    <w:rsid w:val="00FB5DD1"/>
    <w:rsid w:val="00FC2B5D"/>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01841"/>
    <w:pPr>
      <w:spacing w:line="240" w:lineRule="exact"/>
    </w:pPr>
    <w:rPr>
      <w:vertAlign w:val="superscript"/>
    </w:rPr>
  </w:style>
  <w:style w:type="character" w:customStyle="1" w:styleId="baj">
    <w:name w:val="b_aj"/>
    <w:basedOn w:val="Fuentedeprrafopredeter"/>
    <w:rsid w:val="00001841"/>
  </w:style>
  <w:style w:type="character" w:customStyle="1" w:styleId="NormalWebCar">
    <w:name w:val="Normal (Web) Car"/>
    <w:link w:val="NormalWeb"/>
    <w:uiPriority w:val="99"/>
    <w:locked/>
    <w:rsid w:val="00001841"/>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fernandog213@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52C53B4-7FAE-4C7B-8803-16BD94099BC9}">
  <ds:schemaRefs>
    <ds:schemaRef ds:uri="http://schemas.openxmlformats.org/officeDocument/2006/bibliography"/>
  </ds:schemaRefs>
</ds:datastoreItem>
</file>

<file path=customXml/itemProps4.xml><?xml version="1.0" encoding="utf-8"?>
<ds:datastoreItem xmlns:ds="http://schemas.openxmlformats.org/officeDocument/2006/customXml" ds:itemID="{46DECE47-D267-4084-86CD-5FACF38CD0AC}"/>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26</Pages>
  <Words>8913</Words>
  <Characters>48401</Characters>
  <Application>Microsoft Office Word</Application>
  <DocSecurity>0</DocSecurity>
  <Lines>913</Lines>
  <Paragraphs>154</Paragraphs>
  <ScaleCrop>false</ScaleCrop>
  <Company/>
  <LinksUpToDate>false</LinksUpToDate>
  <CharactersWithSpaces>57160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13</cp:revision>
  <cp:lastPrinted>2023-01-10T21:18:00Z</cp:lastPrinted>
  <dcterms:created xsi:type="dcterms:W3CDTF">2026-02-18T21:25:00Z</dcterms:created>
  <dcterms:modified xsi:type="dcterms:W3CDTF">2026-02-18T22:13:00Z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