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B5948" w14:textId="77777777" w:rsidR="00844643" w:rsidRPr="00844643" w:rsidRDefault="00844643" w:rsidP="00844643">
      <w:pPr>
        <w:jc w:val="both"/>
        <w:rPr>
          <w:rFonts w:ascii="Verdana" w:hAnsi="Verdana"/>
          <w:b/>
          <w:bCs/>
        </w:rPr>
      </w:pPr>
      <w:bookmarkStart w:id="0" w:name="_Hlk143780582"/>
    </w:p>
    <w:p w14:paraId="3151CCAB" w14:textId="6D76EC9A" w:rsidR="00844643" w:rsidRDefault="00844643" w:rsidP="00844643">
      <w:pPr>
        <w:jc w:val="both"/>
        <w:rPr>
          <w:rFonts w:ascii="Verdana" w:hAnsi="Verdana"/>
        </w:rPr>
      </w:pPr>
      <w:r w:rsidRPr="00844643">
        <w:rPr>
          <w:rFonts w:ascii="Verdana" w:hAnsi="Verdana" w:cs="Arial"/>
          <w:b/>
          <w:bCs/>
          <w:lang w:val="es-ES" w:eastAsia="es-ES"/>
        </w:rPr>
        <w:t>LEY DE GARANTÍAS ELECTORALES – Finalidad</w:t>
      </w:r>
      <w:r>
        <w:rPr>
          <w:rFonts w:ascii="Verdana" w:hAnsi="Verdana"/>
        </w:rPr>
        <w:t xml:space="preserve"> </w:t>
      </w:r>
    </w:p>
    <w:p w14:paraId="08E5F0D0" w14:textId="0E3AD77B" w:rsidR="00844643" w:rsidRDefault="00844643" w:rsidP="00844643">
      <w:pPr>
        <w:jc w:val="both"/>
        <w:rPr>
          <w:rFonts w:ascii="Verdana" w:eastAsia="Calibri" w:hAnsi="Verdana" w:cs="Arial"/>
          <w:bCs/>
          <w:sz w:val="20"/>
          <w:szCs w:val="20"/>
          <w:lang w:val="es-ES_tradnl" w:eastAsia="es-ES_tradnl"/>
        </w:rPr>
      </w:pPr>
      <w:r w:rsidRPr="00844643">
        <w:rPr>
          <w:rFonts w:ascii="Verdana" w:eastAsia="Calibri" w:hAnsi="Verdana" w:cs="Arial"/>
          <w:bCs/>
          <w:sz w:val="20"/>
          <w:szCs w:val="20"/>
          <w:lang w:val="es-ES_tradnl" w:eastAsia="es-ES_tradnl"/>
        </w:rPr>
        <w:t>El ordenamiento jurídico colombiano contempla previsiones claras para evitar la obtención de beneficios personales en asuntos propios de la administración pública</w:t>
      </w:r>
      <w:r w:rsidRPr="00844643">
        <w:rPr>
          <w:rFonts w:ascii="Verdana" w:eastAsia="Calibri" w:hAnsi="Verdana" w:cs="Arial"/>
          <w:bCs/>
          <w:i/>
          <w:iCs/>
          <w:sz w:val="20"/>
          <w:szCs w:val="20"/>
          <w:lang w:val="es-ES_tradnl" w:eastAsia="es-ES_tradnl"/>
        </w:rPr>
        <w:t xml:space="preserve">. </w:t>
      </w:r>
      <w:r w:rsidRPr="00844643">
        <w:rPr>
          <w:rFonts w:ascii="Verdana" w:eastAsia="Calibri" w:hAnsi="Verdana" w:cs="Arial"/>
          <w:bCs/>
          <w:sz w:val="20"/>
          <w:szCs w:val="20"/>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Pr>
          <w:rFonts w:ascii="Verdana" w:eastAsia="Calibri" w:hAnsi="Verdana" w:cs="Arial"/>
          <w:bCs/>
          <w:sz w:val="20"/>
          <w:szCs w:val="20"/>
          <w:lang w:val="es-ES_tradnl" w:eastAsia="es-ES_tradnl"/>
        </w:rPr>
        <w:t>.</w:t>
      </w:r>
    </w:p>
    <w:p w14:paraId="18016253" w14:textId="3D378B04" w:rsidR="00844643" w:rsidRDefault="00844643" w:rsidP="00844643">
      <w:pPr>
        <w:jc w:val="both"/>
        <w:rPr>
          <w:rFonts w:ascii="Verdana" w:hAnsi="Verdana"/>
          <w:b/>
          <w:bCs/>
          <w:sz w:val="20"/>
          <w:szCs w:val="20"/>
        </w:rPr>
      </w:pPr>
      <w:r w:rsidRPr="00844643">
        <w:rPr>
          <w:rFonts w:ascii="Verdana" w:hAnsi="Verdana" w:cs="Arial"/>
          <w:b/>
          <w:bCs/>
          <w:lang w:val="es-ES" w:eastAsia="es-ES"/>
        </w:rPr>
        <w:t>LEY DE GARANTÍAS ELECTORALES ‒ Restricciones ‒ Contratación ‒ Tipos de elección</w:t>
      </w:r>
      <w:r w:rsidRPr="00844643">
        <w:rPr>
          <w:rFonts w:ascii="Verdana" w:hAnsi="Verdana"/>
          <w:b/>
          <w:bCs/>
          <w:sz w:val="20"/>
          <w:szCs w:val="20"/>
        </w:rPr>
        <w:t xml:space="preserve"> </w:t>
      </w:r>
    </w:p>
    <w:p w14:paraId="79A5CF5A" w14:textId="3BB9EC8D" w:rsidR="0080385D" w:rsidRPr="0080385D" w:rsidRDefault="0080385D" w:rsidP="0080385D">
      <w:pPr>
        <w:tabs>
          <w:tab w:val="left" w:pos="426"/>
        </w:tabs>
        <w:spacing w:after="120" w:line="276" w:lineRule="auto"/>
        <w:jc w:val="both"/>
        <w:rPr>
          <w:rFonts w:ascii="Verdana" w:eastAsia="Calibri" w:hAnsi="Verdana" w:cs="Arial"/>
          <w:bCs/>
          <w:sz w:val="20"/>
          <w:szCs w:val="20"/>
          <w:lang w:val="es-ES_tradnl" w:eastAsia="es-CO"/>
        </w:rPr>
      </w:pPr>
      <w:r w:rsidRPr="0080385D">
        <w:rPr>
          <w:rFonts w:ascii="Verdana" w:eastAsia="Calibri" w:hAnsi="Verdana" w:cs="Arial"/>
          <w:bCs/>
          <w:sz w:val="20"/>
          <w:szCs w:val="20"/>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80385D">
        <w:rPr>
          <w:rFonts w:ascii="Verdana" w:eastAsia="Calibri" w:hAnsi="Verdana" w:cs="Arial"/>
          <w:noProof/>
          <w:sz w:val="20"/>
          <w:szCs w:val="20"/>
          <w:lang w:val="es-ES_tradnl" w:eastAsia="es-ES_tradnl"/>
        </w:rPr>
        <w:t xml:space="preserve"> </w:t>
      </w:r>
      <w:r w:rsidRPr="0080385D">
        <w:rPr>
          <w:rFonts w:ascii="Verdana" w:eastAsia="Calibri" w:hAnsi="Verdana" w:cs="Arial"/>
          <w:bCs/>
          <w:sz w:val="20"/>
          <w:szCs w:val="20"/>
          <w:lang w:val="es-ES_tradnl" w:eastAsia="es-CO"/>
        </w:rPr>
        <w:t>En armonía con lo anterior, la Corte Constitucional ha abordado la definición de la Ley de Garantías Electorales, en los siguientes términos:</w:t>
      </w:r>
    </w:p>
    <w:p w14:paraId="6910B48A" w14:textId="77777777" w:rsidR="0080385D" w:rsidRPr="0080385D" w:rsidRDefault="0080385D" w:rsidP="0080385D">
      <w:pPr>
        <w:tabs>
          <w:tab w:val="left" w:pos="426"/>
        </w:tabs>
        <w:spacing w:after="0" w:line="276" w:lineRule="auto"/>
        <w:ind w:firstLine="709"/>
        <w:jc w:val="both"/>
        <w:rPr>
          <w:rFonts w:ascii="Verdana" w:eastAsia="Calibri" w:hAnsi="Verdana" w:cs="Arial"/>
          <w:bCs/>
          <w:sz w:val="20"/>
          <w:szCs w:val="20"/>
          <w:lang w:val="es-ES_tradnl" w:eastAsia="es-CO"/>
        </w:rPr>
      </w:pPr>
    </w:p>
    <w:p w14:paraId="40EB1449" w14:textId="77777777" w:rsidR="0080385D" w:rsidRPr="0080385D" w:rsidRDefault="0080385D" w:rsidP="0080385D">
      <w:pPr>
        <w:spacing w:after="0" w:line="240" w:lineRule="auto"/>
        <w:ind w:right="709"/>
        <w:jc w:val="both"/>
        <w:rPr>
          <w:rFonts w:ascii="Verdana" w:eastAsia="Calibri" w:hAnsi="Verdana" w:cs="Arial"/>
          <w:bCs/>
          <w:sz w:val="20"/>
          <w:szCs w:val="20"/>
          <w:lang w:val="es-ES_tradnl" w:eastAsia="es-CO"/>
        </w:rPr>
      </w:pPr>
      <w:r w:rsidRPr="0080385D">
        <w:rPr>
          <w:rFonts w:ascii="Verdana" w:eastAsia="Calibri" w:hAnsi="Verdana" w:cs="Arial"/>
          <w:sz w:val="20"/>
          <w:szCs w:val="20"/>
          <w:lang w:val="es-ES" w:eastAsia="es-CO"/>
        </w:rPr>
        <w:t xml:space="preserve">[…] </w:t>
      </w:r>
      <w:r w:rsidRPr="0080385D">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1575FB8E" w14:textId="77777777" w:rsidR="0080385D" w:rsidRPr="0080385D" w:rsidRDefault="0080385D" w:rsidP="0080385D">
      <w:pPr>
        <w:spacing w:after="0" w:line="240" w:lineRule="auto"/>
        <w:ind w:right="709"/>
        <w:jc w:val="both"/>
        <w:rPr>
          <w:rFonts w:ascii="Verdana" w:eastAsia="Calibri" w:hAnsi="Verdana" w:cs="Arial"/>
          <w:bCs/>
          <w:sz w:val="20"/>
          <w:szCs w:val="20"/>
          <w:lang w:val="es-ES_tradnl" w:eastAsia="es-CO"/>
        </w:rPr>
      </w:pPr>
      <w:r w:rsidRPr="0080385D">
        <w:rPr>
          <w:rFonts w:ascii="Verdana" w:eastAsia="Calibri" w:hAnsi="Verdana" w:cs="Arial"/>
          <w:bCs/>
          <w:sz w:val="20"/>
          <w:szCs w:val="20"/>
          <w:lang w:val="es-ES_tradnl" w:eastAsia="es-CO"/>
        </w:rPr>
        <w:t xml:space="preserve">[…] </w:t>
      </w:r>
    </w:p>
    <w:p w14:paraId="47F2ED9F" w14:textId="6A40318D" w:rsidR="0080385D" w:rsidRDefault="0080385D" w:rsidP="0080385D">
      <w:pPr>
        <w:jc w:val="both"/>
        <w:rPr>
          <w:rFonts w:ascii="Verdana" w:eastAsia="Calibri" w:hAnsi="Verdana" w:cs="Arial"/>
          <w:bCs/>
          <w:sz w:val="20"/>
          <w:szCs w:val="20"/>
          <w:lang w:val="es-ES_tradnl" w:eastAsia="es-CO"/>
        </w:rPr>
      </w:pPr>
      <w:r w:rsidRPr="0080385D">
        <w:rPr>
          <w:rFonts w:ascii="Verdana" w:eastAsia="Calibri" w:hAnsi="Verdana" w:cs="Arial"/>
          <w:bCs/>
          <w:sz w:val="20"/>
          <w:szCs w:val="20"/>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2D84619D" w14:textId="77777777" w:rsidR="0080385D" w:rsidRPr="00E53316" w:rsidRDefault="0080385D" w:rsidP="0080385D">
      <w:pPr>
        <w:jc w:val="both"/>
        <w:rPr>
          <w:rFonts w:ascii="Verdana" w:eastAsia="Calibri" w:hAnsi="Verdana" w:cs="Arial"/>
          <w:b/>
          <w:sz w:val="20"/>
          <w:szCs w:val="20"/>
          <w:lang w:val="es-ES_tradnl" w:eastAsia="es-CO"/>
        </w:rPr>
      </w:pPr>
    </w:p>
    <w:p w14:paraId="34A87241" w14:textId="4E06FDFC" w:rsidR="0080385D" w:rsidRPr="00E53316" w:rsidRDefault="008E65CB" w:rsidP="0080385D">
      <w:pPr>
        <w:jc w:val="both"/>
        <w:rPr>
          <w:rFonts w:ascii="Verdana" w:hAnsi="Verdana" w:cs="Arial"/>
          <w:b/>
          <w:lang w:val="es-ES" w:eastAsia="es-ES"/>
        </w:rPr>
      </w:pPr>
      <w:r w:rsidRPr="00E53316">
        <w:rPr>
          <w:rFonts w:ascii="Verdana" w:hAnsi="Verdana" w:cs="Arial"/>
          <w:b/>
          <w:lang w:val="es-ES" w:eastAsia="es-ES"/>
        </w:rPr>
        <w:t>LEY DE GARANTÍAS ELECTORALES ‒ Artículo 33</w:t>
      </w:r>
      <w:r w:rsidR="00E53316" w:rsidRPr="00E53316">
        <w:rPr>
          <w:rFonts w:ascii="Verdana" w:hAnsi="Verdana" w:cs="Arial"/>
          <w:b/>
          <w:lang w:val="es-ES" w:eastAsia="es-ES"/>
        </w:rPr>
        <w:t xml:space="preserve"> - Ámbito material – Contratación directa - Alcance</w:t>
      </w:r>
    </w:p>
    <w:p w14:paraId="562E3A36" w14:textId="3ADC7687" w:rsidR="008E65CB" w:rsidRDefault="008E65CB" w:rsidP="0080385D">
      <w:pPr>
        <w:jc w:val="both"/>
        <w:rPr>
          <w:rFonts w:ascii="Verdana" w:eastAsia="Calibri" w:hAnsi="Verdana" w:cs="Arial"/>
          <w:sz w:val="20"/>
          <w:szCs w:val="20"/>
          <w:lang w:val="es-ES_tradnl" w:eastAsia="es-ES_tradnl"/>
        </w:rPr>
      </w:pPr>
      <w:r w:rsidRPr="008E65CB">
        <w:rPr>
          <w:rFonts w:ascii="Verdana" w:eastAsia="Calibri" w:hAnsi="Verdana" w:cs="Arial"/>
          <w:sz w:val="20"/>
          <w:szCs w:val="20"/>
          <w:lang w:val="es-ES_tradnl" w:eastAsia="es-ES_tradnl"/>
        </w:rPr>
        <w:t xml:space="preserve">Por un lado, el artículo 33 de la Ley 996 de 2005 prohíbe </w:t>
      </w:r>
      <w:r w:rsidRPr="008E65CB">
        <w:rPr>
          <w:rFonts w:ascii="Verdana" w:eastAsia="Calibri" w:hAnsi="Verdana" w:cs="Arial"/>
          <w:bCs/>
          <w:sz w:val="20"/>
          <w:szCs w:val="20"/>
          <w:lang w:val="es-ES_tradnl" w:eastAsia="es-ES_tradnl"/>
        </w:rPr>
        <w:t xml:space="preserve">“[…] </w:t>
      </w:r>
      <w:r w:rsidRPr="008E65CB">
        <w:rPr>
          <w:rFonts w:ascii="Verdana" w:eastAsia="Calibri" w:hAnsi="Verdana" w:cs="Arial"/>
          <w:sz w:val="20"/>
          <w:szCs w:val="20"/>
          <w:lang w:val="es-ES_tradnl" w:eastAsia="es-ES_tradnl"/>
        </w:rPr>
        <w:t>la contratación directa por parte de todos los entes del Estado</w:t>
      </w:r>
      <w:r w:rsidRPr="008E65CB">
        <w:rPr>
          <w:rFonts w:ascii="Verdana" w:eastAsia="Calibri" w:hAnsi="Verdana" w:cs="Arial"/>
          <w:bCs/>
          <w:sz w:val="20"/>
          <w:szCs w:val="20"/>
          <w:lang w:val="es-ES_tradnl" w:eastAsia="es-ES_tradnl"/>
        </w:rPr>
        <w:t>”</w:t>
      </w:r>
      <w:r w:rsidRPr="008E65CB">
        <w:rPr>
          <w:rFonts w:ascii="Verdana" w:eastAsia="Calibri" w:hAnsi="Verdana" w:cs="Arial"/>
          <w:sz w:val="20"/>
          <w:szCs w:val="20"/>
          <w:lang w:val="es-ES_tradnl" w:eastAsia="es-ES_tradnl"/>
        </w:rPr>
        <w:t xml:space="preserve"> durante los cuatro (4) meses anteriores a las elecciones presidenciales, salvo </w:t>
      </w:r>
      <w:r w:rsidRPr="008E65CB">
        <w:rPr>
          <w:rFonts w:ascii="Verdana" w:eastAsia="Calibri" w:hAnsi="Verdana" w:cs="Arial"/>
          <w:bCs/>
          <w:sz w:val="20"/>
          <w:szCs w:val="20"/>
          <w:lang w:val="es-ES_tradnl" w:eastAsia="es-ES_tradnl"/>
        </w:rPr>
        <w:t xml:space="preserve">“[…] </w:t>
      </w:r>
      <w:r w:rsidRPr="008E65CB">
        <w:rPr>
          <w:rFonts w:ascii="Verdana" w:eastAsia="Calibri" w:hAnsi="Verdana" w:cs="Arial"/>
          <w:sz w:val="20"/>
          <w:szCs w:val="20"/>
          <w:lang w:val="es-ES_tradnl" w:eastAsia="es-ES_tradnl"/>
        </w:rPr>
        <w:t xml:space="preserve">lo referente a la defensa y seguridad del Estado, los contratos de crédito público, los requeridos para cubrir las emergencias educativas, </w:t>
      </w:r>
      <w:r w:rsidRPr="008E65CB">
        <w:rPr>
          <w:rFonts w:ascii="Verdana" w:eastAsia="Calibri" w:hAnsi="Verdana" w:cs="Arial"/>
          <w:sz w:val="20"/>
          <w:szCs w:val="20"/>
          <w:lang w:val="es-ES_tradnl" w:eastAsia="es-ES_tradnl"/>
        </w:rPr>
        <w:lastRenderedPageBreak/>
        <w:t>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sz w:val="20"/>
          <w:szCs w:val="20"/>
          <w:lang w:val="es-ES_tradnl" w:eastAsia="es-ES_tradnl"/>
        </w:rPr>
        <w:t>.</w:t>
      </w:r>
    </w:p>
    <w:p w14:paraId="61A40DD1" w14:textId="77777777" w:rsidR="008E65CB" w:rsidRDefault="008E65CB" w:rsidP="0080385D">
      <w:pPr>
        <w:jc w:val="both"/>
        <w:rPr>
          <w:rFonts w:ascii="Verdana" w:eastAsia="Calibri" w:hAnsi="Verdana" w:cs="Arial"/>
          <w:sz w:val="20"/>
          <w:szCs w:val="20"/>
          <w:lang w:val="es-ES_tradnl" w:eastAsia="es-ES_tradnl"/>
        </w:rPr>
      </w:pPr>
    </w:p>
    <w:p w14:paraId="06AAFA97" w14:textId="1BE2F11D" w:rsidR="008E65CB" w:rsidRDefault="00E53316" w:rsidP="0080385D">
      <w:pPr>
        <w:jc w:val="both"/>
        <w:rPr>
          <w:rFonts w:ascii="Verdana" w:hAnsi="Verdana" w:cs="Arial"/>
          <w:b/>
          <w:bCs/>
          <w:lang w:val="es-ES" w:eastAsia="es-ES"/>
        </w:rPr>
      </w:pPr>
      <w:r w:rsidRPr="00E53316">
        <w:rPr>
          <w:rFonts w:ascii="Verdana" w:hAnsi="Verdana" w:cs="Arial"/>
          <w:b/>
          <w:bCs/>
          <w:lang w:val="es-ES" w:eastAsia="es-ES"/>
        </w:rPr>
        <w:t>LEY DE GARANTÍAS ELECTORALES – Artículo 38</w:t>
      </w:r>
    </w:p>
    <w:p w14:paraId="296FDEE6" w14:textId="77777777" w:rsidR="00E53316" w:rsidRDefault="00E53316" w:rsidP="0080385D">
      <w:pPr>
        <w:jc w:val="both"/>
        <w:rPr>
          <w:rFonts w:ascii="Verdana" w:hAnsi="Verdana" w:cs="Arial"/>
          <w:b/>
          <w:bCs/>
          <w:lang w:val="es-ES" w:eastAsia="es-ES"/>
        </w:rPr>
      </w:pPr>
    </w:p>
    <w:p w14:paraId="4453405F" w14:textId="7DF6C66E" w:rsidR="008E65CB" w:rsidRDefault="00E53316" w:rsidP="0080385D">
      <w:pPr>
        <w:jc w:val="both"/>
        <w:rPr>
          <w:rFonts w:ascii="Verdana" w:eastAsia="Calibri" w:hAnsi="Verdana" w:cs="Arial"/>
          <w:sz w:val="20"/>
          <w:szCs w:val="20"/>
          <w:lang w:val="es-ES_tradnl" w:eastAsia="es-ES_tradnl"/>
        </w:rPr>
      </w:pPr>
      <w:r w:rsidRPr="00E53316">
        <w:rPr>
          <w:rFonts w:ascii="Verdana" w:eastAsia="Calibri" w:hAnsi="Verdana" w:cs="Arial"/>
          <w:sz w:val="20"/>
          <w:szCs w:val="20"/>
          <w:lang w:val="es-ES_tradnl" w:eastAsia="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E53316">
        <w:rPr>
          <w:rFonts w:ascii="Verdana" w:eastAsia="Calibri" w:hAnsi="Verdana" w:cs="Arial"/>
          <w:bCs/>
          <w:sz w:val="20"/>
          <w:szCs w:val="20"/>
          <w:lang w:val="es-ES_tradnl" w:eastAsia="es-ES_tradnl"/>
        </w:rPr>
        <w:t xml:space="preserve">“[…] </w:t>
      </w:r>
      <w:r w:rsidRPr="00E53316">
        <w:rPr>
          <w:rFonts w:ascii="Verdana" w:eastAsia="Calibri" w:hAnsi="Verdana" w:cs="Arial"/>
          <w:sz w:val="20"/>
          <w:szCs w:val="20"/>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sz w:val="20"/>
          <w:szCs w:val="20"/>
          <w:lang w:val="es-ES_tradnl" w:eastAsia="es-ES_tradnl"/>
        </w:rPr>
        <w:t xml:space="preserve">”. </w:t>
      </w:r>
    </w:p>
    <w:p w14:paraId="059A715D" w14:textId="77777777" w:rsidR="00E53316" w:rsidRPr="00E53316" w:rsidRDefault="00E53316" w:rsidP="00E53316">
      <w:pPr>
        <w:widowControl w:val="0"/>
        <w:autoSpaceDE w:val="0"/>
        <w:autoSpaceDN w:val="0"/>
        <w:spacing w:after="120" w:line="276" w:lineRule="auto"/>
        <w:jc w:val="both"/>
        <w:rPr>
          <w:rFonts w:ascii="Verdana" w:eastAsia="Arial" w:hAnsi="Verdana" w:cs="Arial"/>
          <w:sz w:val="20"/>
          <w:szCs w:val="20"/>
          <w:lang w:val="es-ES" w:eastAsia="es-ES" w:bidi="es-ES"/>
        </w:rPr>
      </w:pPr>
      <w:r w:rsidRPr="00E53316">
        <w:rPr>
          <w:rFonts w:ascii="Verdana" w:eastAsia="Arial" w:hAnsi="Verdana" w:cs="Arial"/>
          <w:sz w:val="20"/>
          <w:szCs w:val="20"/>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0FBA8FF" w14:textId="77777777" w:rsidR="00E53316" w:rsidRPr="00E53316" w:rsidRDefault="00E53316" w:rsidP="00E53316">
      <w:pPr>
        <w:widowControl w:val="0"/>
        <w:autoSpaceDE w:val="0"/>
        <w:autoSpaceDN w:val="0"/>
        <w:spacing w:after="120" w:line="276" w:lineRule="auto"/>
        <w:ind w:firstLine="709"/>
        <w:jc w:val="both"/>
        <w:rPr>
          <w:rFonts w:ascii="Verdana" w:eastAsia="Arial" w:hAnsi="Verdana" w:cs="Arial"/>
          <w:sz w:val="20"/>
          <w:szCs w:val="20"/>
          <w:lang w:val="es-ES" w:eastAsia="es-ES" w:bidi="es-ES"/>
        </w:rPr>
      </w:pPr>
    </w:p>
    <w:p w14:paraId="262C1E7D" w14:textId="3F67BFDB" w:rsidR="00E53316" w:rsidRDefault="00E53316" w:rsidP="00E53316">
      <w:pPr>
        <w:jc w:val="both"/>
        <w:rPr>
          <w:rFonts w:ascii="Verdana" w:eastAsia="Arial" w:hAnsi="Verdana" w:cs="Arial"/>
          <w:bCs/>
          <w:sz w:val="20"/>
          <w:szCs w:val="20"/>
          <w:lang w:val="es-ES" w:eastAsia="es-ES" w:bidi="es-ES"/>
        </w:rPr>
      </w:pPr>
      <w:r w:rsidRPr="00E53316">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E53316">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bCs/>
          <w:sz w:val="20"/>
          <w:szCs w:val="20"/>
          <w:lang w:val="es-ES" w:eastAsia="es-ES" w:bidi="es-ES"/>
        </w:rPr>
        <w:t>.</w:t>
      </w:r>
    </w:p>
    <w:p w14:paraId="743E4E42" w14:textId="77777777" w:rsidR="00E53316" w:rsidRDefault="00E53316" w:rsidP="00E53316">
      <w:pPr>
        <w:jc w:val="both"/>
        <w:rPr>
          <w:rFonts w:ascii="Verdana" w:eastAsia="Arial" w:hAnsi="Verdana" w:cs="Arial"/>
          <w:bCs/>
          <w:sz w:val="20"/>
          <w:szCs w:val="20"/>
          <w:lang w:val="es-ES" w:eastAsia="es-ES" w:bidi="es-ES"/>
        </w:rPr>
      </w:pPr>
    </w:p>
    <w:p w14:paraId="4EBDC875" w14:textId="61C010DC" w:rsidR="00E53316" w:rsidRDefault="00E53316" w:rsidP="00E53316">
      <w:pPr>
        <w:jc w:val="both"/>
        <w:rPr>
          <w:rFonts w:ascii="Verdana" w:hAnsi="Verdana" w:cs="Arial"/>
          <w:b/>
          <w:bCs/>
          <w:lang w:val="es-ES" w:eastAsia="es-ES"/>
        </w:rPr>
      </w:pPr>
      <w:r w:rsidRPr="00E53316">
        <w:rPr>
          <w:rFonts w:ascii="Verdana" w:hAnsi="Verdana" w:cs="Arial"/>
          <w:b/>
          <w:bCs/>
          <w:lang w:val="es-ES" w:eastAsia="es-ES"/>
        </w:rPr>
        <w:t>LEY DE GARANTÍAS ELECTORALES - Excepción Contratación por parte de entidades hospitalarias</w:t>
      </w:r>
    </w:p>
    <w:p w14:paraId="35C1B179" w14:textId="77777777" w:rsidR="00E53316" w:rsidRDefault="00E53316" w:rsidP="00E53316">
      <w:pPr>
        <w:jc w:val="both"/>
        <w:rPr>
          <w:rFonts w:ascii="Verdana" w:hAnsi="Verdana" w:cs="Arial"/>
          <w:b/>
          <w:bCs/>
          <w:lang w:val="es-ES" w:eastAsia="es-ES"/>
        </w:rPr>
      </w:pPr>
    </w:p>
    <w:p w14:paraId="5F08DA19" w14:textId="77777777" w:rsidR="00E53316" w:rsidRPr="00E53316" w:rsidRDefault="00E53316" w:rsidP="00E53316">
      <w:pPr>
        <w:tabs>
          <w:tab w:val="left" w:pos="426"/>
        </w:tabs>
        <w:spacing w:after="120" w:line="276" w:lineRule="auto"/>
        <w:jc w:val="both"/>
        <w:rPr>
          <w:rFonts w:ascii="Verdana" w:eastAsia="Times New Roman" w:hAnsi="Verdana" w:cs="Arial"/>
          <w:bCs/>
          <w:sz w:val="20"/>
          <w:szCs w:val="20"/>
          <w:lang w:eastAsia="es-CO"/>
        </w:rPr>
      </w:pPr>
      <w:r w:rsidRPr="00E53316">
        <w:rPr>
          <w:rFonts w:ascii="Verdana" w:eastAsia="Calibri" w:hAnsi="Verdana" w:cs="Arial"/>
          <w:sz w:val="20"/>
          <w:szCs w:val="20"/>
        </w:rPr>
        <w:lastRenderedPageBreak/>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4ED4D54B" w14:textId="3BF01845" w:rsidR="00E53316" w:rsidRPr="00E53316" w:rsidRDefault="00E53316" w:rsidP="00E53316">
      <w:pPr>
        <w:jc w:val="both"/>
        <w:rPr>
          <w:rFonts w:ascii="Verdana" w:eastAsia="Arial" w:hAnsi="Verdana" w:cs="Arial"/>
          <w:b/>
          <w:bCs/>
          <w:sz w:val="20"/>
          <w:szCs w:val="20"/>
          <w:lang w:val="es-ES" w:eastAsia="es-ES" w:bidi="es-ES"/>
        </w:rPr>
      </w:pPr>
      <w:r w:rsidRPr="00E53316">
        <w:rPr>
          <w:rFonts w:ascii="Verdana" w:eastAsia="Calibri" w:hAnsi="Verdana" w:cs="Arial"/>
          <w:sz w:val="20"/>
          <w:szCs w:val="20"/>
        </w:rPr>
        <w:t>En particular, cada Entidad Estatal deberá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E53316">
        <w:rPr>
          <w:rFonts w:ascii="Verdana" w:hAnsi="Verdana" w:cs="Arial"/>
          <w:sz w:val="20"/>
          <w:szCs w:val="20"/>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w:t>
      </w:r>
      <w:r>
        <w:rPr>
          <w:rFonts w:ascii="Verdana" w:hAnsi="Verdana" w:cs="Arial"/>
          <w:sz w:val="20"/>
          <w:szCs w:val="20"/>
          <w:lang w:eastAsia="es-CO"/>
        </w:rPr>
        <w:t xml:space="preserve"> </w:t>
      </w:r>
      <w:r w:rsidR="00353172">
        <w:rPr>
          <w:rFonts w:ascii="Verdana" w:hAnsi="Verdana" w:cs="Arial"/>
          <w:sz w:val="20"/>
          <w:szCs w:val="20"/>
          <w:lang w:eastAsia="es-CO"/>
        </w:rPr>
        <w:t xml:space="preserve">por el artículo 33 o el parágrafo del artículo 38 de </w:t>
      </w:r>
      <w:r w:rsidR="004B59EB">
        <w:rPr>
          <w:rFonts w:ascii="Verdana" w:hAnsi="Verdana" w:cs="Arial"/>
          <w:sz w:val="20"/>
          <w:szCs w:val="20"/>
          <w:lang w:eastAsia="es-CO"/>
        </w:rPr>
        <w:t>la Ley 996 de 2005.</w:t>
      </w:r>
    </w:p>
    <w:p w14:paraId="214E4A98" w14:textId="77777777" w:rsidR="00E53316" w:rsidRPr="00E53316" w:rsidRDefault="00E53316" w:rsidP="00E53316">
      <w:pPr>
        <w:jc w:val="both"/>
        <w:rPr>
          <w:rFonts w:ascii="Verdana" w:eastAsia="Calibri" w:hAnsi="Verdana" w:cs="Arial"/>
          <w:b/>
          <w:bCs/>
          <w:sz w:val="20"/>
          <w:szCs w:val="20"/>
          <w:lang w:val="es-ES_tradnl" w:eastAsia="es-CO"/>
        </w:rPr>
      </w:pPr>
    </w:p>
    <w:p w14:paraId="1F6A4494" w14:textId="12C5C3BD" w:rsidR="00844643" w:rsidRPr="0080385D" w:rsidRDefault="00844643" w:rsidP="00844643">
      <w:pPr>
        <w:jc w:val="both"/>
        <w:rPr>
          <w:rFonts w:ascii="Verdana" w:hAnsi="Verdana"/>
          <w:b/>
          <w:bCs/>
        </w:rPr>
      </w:pPr>
      <w:r w:rsidRPr="0080385D">
        <w:rPr>
          <w:rFonts w:ascii="Verdana" w:hAnsi="Verdana"/>
          <w:b/>
          <w:bCs/>
        </w:rPr>
        <w:br w:type="page"/>
      </w:r>
    </w:p>
    <w:p w14:paraId="1468C46D" w14:textId="5E6E2755" w:rsidR="00C15139" w:rsidRPr="0024624F" w:rsidRDefault="00BE0C24" w:rsidP="008360E5">
      <w:pPr>
        <w:jc w:val="both"/>
        <w:rPr>
          <w:rFonts w:ascii="Verdana" w:hAnsi="Verdana"/>
        </w:rPr>
      </w:pPr>
      <w:r w:rsidRPr="00BE0C24">
        <w:rPr>
          <w:rFonts w:ascii="Verdana" w:hAnsi="Verdana"/>
        </w:rPr>
        <w:lastRenderedPageBreak/>
        <w:t xml:space="preserve">Bogotá D.C., 19 </w:t>
      </w:r>
      <w:r>
        <w:rPr>
          <w:rFonts w:ascii="Verdana" w:hAnsi="Verdana"/>
        </w:rPr>
        <w:t>f</w:t>
      </w:r>
      <w:r w:rsidRPr="00BE0C24">
        <w:rPr>
          <w:rFonts w:ascii="Verdana" w:hAnsi="Verdana"/>
        </w:rPr>
        <w:t>ebrero 2026</w:t>
      </w:r>
    </w:p>
    <w:p w14:paraId="12443EE0" w14:textId="6B6DADD3" w:rsidR="00C15139" w:rsidRPr="0024624F" w:rsidRDefault="00FA43E7" w:rsidP="00C15139">
      <w:pPr>
        <w:spacing w:after="0"/>
        <w:rPr>
          <w:rFonts w:ascii="Verdana" w:hAnsi="Verdana"/>
        </w:rPr>
      </w:pPr>
      <w:r w:rsidRPr="00FA43E7">
        <w:rPr>
          <w:rFonts w:ascii="Verdana" w:hAnsi="Verdana"/>
          <w:noProof/>
          <w:lang w:val="es-MX"/>
        </w:rPr>
        <w:drawing>
          <wp:anchor distT="0" distB="0" distL="114300" distR="114300" simplePos="0" relativeHeight="251658240" behindDoc="1" locked="0" layoutInCell="1" allowOverlap="1" wp14:anchorId="78F8ECE6" wp14:editId="175DCD6B">
            <wp:simplePos x="0" y="0"/>
            <wp:positionH relativeFrom="column">
              <wp:posOffset>3155950</wp:posOffset>
            </wp:positionH>
            <wp:positionV relativeFrom="paragraph">
              <wp:posOffset>12065</wp:posOffset>
            </wp:positionV>
            <wp:extent cx="2122170" cy="771525"/>
            <wp:effectExtent l="0" t="0" r="0" b="9525"/>
            <wp:wrapTight wrapText="bothSides">
              <wp:wrapPolygon edited="0">
                <wp:start x="0" y="0"/>
                <wp:lineTo x="0" y="21333"/>
                <wp:lineTo x="21329" y="21333"/>
                <wp:lineTo x="21329" y="0"/>
                <wp:lineTo x="0" y="0"/>
              </wp:wrapPolygon>
            </wp:wrapTight>
            <wp:docPr id="15499811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2170" cy="771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ED72CF" w14:textId="5D8B9BB2" w:rsidR="00C15139" w:rsidRDefault="00C15139" w:rsidP="00334667">
      <w:pPr>
        <w:spacing w:after="0"/>
        <w:rPr>
          <w:rFonts w:ascii="Verdana" w:hAnsi="Verdana"/>
          <w:lang w:val="es-MX"/>
        </w:rPr>
      </w:pPr>
      <w:r w:rsidRPr="0024624F">
        <w:rPr>
          <w:rFonts w:ascii="Verdana" w:hAnsi="Verdana"/>
          <w:lang w:val="es-MX"/>
        </w:rPr>
        <w:t>Señor</w:t>
      </w:r>
      <w:r w:rsidR="00FA43E7">
        <w:rPr>
          <w:rFonts w:ascii="Verdana" w:hAnsi="Verdana"/>
          <w:lang w:val="es-MX"/>
        </w:rPr>
        <w:t xml:space="preserve"> </w:t>
      </w:r>
    </w:p>
    <w:p w14:paraId="4D96D50B" w14:textId="74C98EE4" w:rsidR="00334667" w:rsidRPr="00DA48FD" w:rsidRDefault="00334667" w:rsidP="00334667">
      <w:pPr>
        <w:spacing w:after="0"/>
        <w:rPr>
          <w:rFonts w:ascii="Verdana" w:hAnsi="Verdana"/>
          <w:b/>
          <w:bCs/>
          <w:lang w:val="es-MX"/>
        </w:rPr>
      </w:pPr>
      <w:r w:rsidRPr="00DA48FD">
        <w:rPr>
          <w:rFonts w:ascii="Verdana" w:hAnsi="Verdana"/>
          <w:b/>
          <w:bCs/>
          <w:lang w:val="es-MX"/>
        </w:rPr>
        <w:t xml:space="preserve">Fernando José Gutiérrez Ibañez </w:t>
      </w:r>
    </w:p>
    <w:p w14:paraId="6C55F0E9" w14:textId="2AADA87A" w:rsidR="00334667" w:rsidRDefault="00032893" w:rsidP="00334667">
      <w:pPr>
        <w:spacing w:after="0"/>
        <w:rPr>
          <w:rFonts w:ascii="Verdana" w:hAnsi="Verdana"/>
          <w:lang w:val="es-MX"/>
        </w:rPr>
      </w:pPr>
      <w:hyperlink r:id="rId11" w:history="1">
        <w:r w:rsidRPr="007C056C">
          <w:rPr>
            <w:rStyle w:val="Hipervnculo"/>
            <w:rFonts w:ascii="Verdana" w:hAnsi="Verdana"/>
            <w:lang w:val="es-MX"/>
          </w:rPr>
          <w:t>Fernandog213@hotmail.com</w:t>
        </w:r>
      </w:hyperlink>
      <w:r>
        <w:rPr>
          <w:rFonts w:ascii="Verdana" w:hAnsi="Verdana"/>
          <w:lang w:val="es-MX"/>
        </w:rPr>
        <w:t xml:space="preserve"> </w:t>
      </w:r>
    </w:p>
    <w:p w14:paraId="4F18AB47" w14:textId="60D22F5A" w:rsidR="00032893" w:rsidRPr="00334667" w:rsidRDefault="00032893" w:rsidP="00334667">
      <w:pPr>
        <w:spacing w:after="0"/>
        <w:rPr>
          <w:rFonts w:ascii="Verdana" w:hAnsi="Verdana"/>
          <w:lang w:val="es-MX"/>
        </w:rPr>
      </w:pPr>
      <w:r>
        <w:rPr>
          <w:rFonts w:ascii="Verdana" w:hAnsi="Verdana"/>
          <w:lang w:val="es-MX"/>
        </w:rPr>
        <w:t>Valledupar, Colombia</w:t>
      </w:r>
    </w:p>
    <w:p w14:paraId="4B03230F" w14:textId="77777777" w:rsidR="00E245AB" w:rsidRDefault="00E245AB" w:rsidP="005A65E0">
      <w:pPr>
        <w:spacing w:after="0"/>
        <w:rPr>
          <w:rFonts w:ascii="Verdana" w:hAnsi="Verdana"/>
        </w:rPr>
      </w:pPr>
    </w:p>
    <w:p w14:paraId="5325A775" w14:textId="77777777" w:rsidR="003921B4" w:rsidRPr="003921B4" w:rsidRDefault="003921B4" w:rsidP="003921B4">
      <w:pPr>
        <w:spacing w:after="0"/>
        <w:rPr>
          <w:rFonts w:ascii="Verdana" w:hAnsi="Verdana"/>
          <w:b/>
          <w:bCs/>
          <w:lang w:val="es-ES_tradnl"/>
        </w:rPr>
      </w:pPr>
    </w:p>
    <w:tbl>
      <w:tblPr>
        <w:tblW w:w="8789" w:type="dxa"/>
        <w:tblCellMar>
          <w:left w:w="0" w:type="dxa"/>
          <w:right w:w="0" w:type="dxa"/>
        </w:tblCellMar>
        <w:tblLook w:val="04A0" w:firstRow="1" w:lastRow="0" w:firstColumn="1" w:lastColumn="0" w:noHBand="0" w:noVBand="1"/>
      </w:tblPr>
      <w:tblGrid>
        <w:gridCol w:w="2689"/>
        <w:gridCol w:w="6100"/>
      </w:tblGrid>
      <w:tr w:rsidR="000C7120" w:rsidRPr="003921B4" w14:paraId="0CFC6B26" w14:textId="77777777" w:rsidTr="00695E6E">
        <w:trPr>
          <w:trHeight w:val="633"/>
        </w:trPr>
        <w:tc>
          <w:tcPr>
            <w:tcW w:w="2689" w:type="dxa"/>
          </w:tcPr>
          <w:p w14:paraId="6696198E" w14:textId="77777777" w:rsidR="003921B4" w:rsidRPr="003921B4" w:rsidRDefault="003921B4" w:rsidP="003921B4">
            <w:pPr>
              <w:rPr>
                <w:rFonts w:ascii="Verdana" w:hAnsi="Verdana"/>
                <w:b/>
                <w:bCs/>
                <w:lang w:val="es-ES_tradnl"/>
              </w:rPr>
            </w:pPr>
          </w:p>
        </w:tc>
        <w:tc>
          <w:tcPr>
            <w:tcW w:w="6100" w:type="dxa"/>
          </w:tcPr>
          <w:p w14:paraId="275F4590" w14:textId="54FA564E" w:rsidR="003921B4" w:rsidRPr="003921B4" w:rsidRDefault="003921B4" w:rsidP="003921B4">
            <w:pPr>
              <w:rPr>
                <w:rFonts w:ascii="Verdana" w:hAnsi="Verdana"/>
                <w:b/>
                <w:bCs/>
                <w:lang w:val="es-ES_tradnl"/>
              </w:rPr>
            </w:pPr>
            <w:r w:rsidRPr="003921B4">
              <w:rPr>
                <w:rFonts w:ascii="Verdana" w:hAnsi="Verdana"/>
                <w:b/>
                <w:bCs/>
                <w:lang w:val="es-ES_tradnl"/>
              </w:rPr>
              <w:t>Concepto C –</w:t>
            </w:r>
            <w:r w:rsidR="00D12A26">
              <w:rPr>
                <w:rFonts w:ascii="Verdana" w:hAnsi="Verdana"/>
                <w:b/>
                <w:bCs/>
                <w:lang w:val="es-ES_tradnl"/>
              </w:rPr>
              <w:t>025</w:t>
            </w:r>
            <w:r w:rsidRPr="003921B4">
              <w:rPr>
                <w:rFonts w:ascii="Verdana" w:hAnsi="Verdana"/>
                <w:b/>
                <w:bCs/>
                <w:lang w:val="es-ES_tradnl"/>
              </w:rPr>
              <w:t xml:space="preserve"> de 202</w:t>
            </w:r>
            <w:r w:rsidR="00D12A26">
              <w:rPr>
                <w:rFonts w:ascii="Verdana" w:hAnsi="Verdana"/>
                <w:b/>
                <w:bCs/>
                <w:lang w:val="es-ES_tradnl"/>
              </w:rPr>
              <w:t>6</w:t>
            </w:r>
          </w:p>
        </w:tc>
      </w:tr>
      <w:tr w:rsidR="00F97231" w:rsidRPr="003921B4" w14:paraId="08402F05" w14:textId="77777777" w:rsidTr="00695E6E">
        <w:trPr>
          <w:trHeight w:val="884"/>
        </w:trPr>
        <w:tc>
          <w:tcPr>
            <w:tcW w:w="2689" w:type="dxa"/>
          </w:tcPr>
          <w:p w14:paraId="4AA74F5F" w14:textId="77777777" w:rsidR="003921B4" w:rsidRPr="003921B4" w:rsidRDefault="003921B4" w:rsidP="003921B4">
            <w:pPr>
              <w:rPr>
                <w:rFonts w:ascii="Verdana" w:hAnsi="Verdana"/>
                <w:lang w:val="es-ES_tradnl"/>
              </w:rPr>
            </w:pPr>
            <w:r w:rsidRPr="003921B4">
              <w:rPr>
                <w:rFonts w:ascii="Verdana" w:hAnsi="Verdana"/>
                <w:b/>
                <w:lang w:val="es-ES_tradnl"/>
              </w:rPr>
              <w:t>Temas:</w:t>
            </w:r>
            <w:r w:rsidRPr="003921B4">
              <w:rPr>
                <w:rFonts w:ascii="Verdana" w:hAnsi="Verdana"/>
                <w:lang w:val="es-ES_tradnl"/>
              </w:rPr>
              <w:t xml:space="preserve">                   </w:t>
            </w:r>
          </w:p>
        </w:tc>
        <w:tc>
          <w:tcPr>
            <w:tcW w:w="6100" w:type="dxa"/>
          </w:tcPr>
          <w:p w14:paraId="0AFF893A" w14:textId="04A28323" w:rsidR="003921B4" w:rsidRPr="003921B4" w:rsidRDefault="00421925" w:rsidP="00EB7490">
            <w:pPr>
              <w:jc w:val="both"/>
              <w:rPr>
                <w:rFonts w:ascii="Verdana" w:hAnsi="Verdana"/>
                <w:bCs/>
              </w:rPr>
            </w:pPr>
            <w:r w:rsidRPr="00D437AC">
              <w:rPr>
                <w:rFonts w:ascii="Verdana"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hAnsi="Verdana" w:cs="Arial"/>
                <w:lang w:val="es-ES" w:eastAsia="es-ES"/>
              </w:rPr>
              <w:t xml:space="preserve"> – Contratación directa - Alcance</w:t>
            </w:r>
            <w:r w:rsidRPr="00D437AC">
              <w:rPr>
                <w:rFonts w:ascii="Verdana" w:hAnsi="Verdana" w:cs="Arial"/>
                <w:lang w:val="es-ES" w:eastAsia="es-ES"/>
              </w:rPr>
              <w:t xml:space="preserve"> </w:t>
            </w:r>
            <w:r>
              <w:rPr>
                <w:rFonts w:ascii="Verdana" w:hAnsi="Verdana" w:cs="Arial"/>
                <w:bCs/>
                <w:color w:val="000000" w:themeColor="text1"/>
              </w:rPr>
              <w:t>/</w:t>
            </w:r>
            <w:r>
              <w:rPr>
                <w:rFonts w:ascii="Verdana" w:hAnsi="Verdana" w:cs="Arial"/>
                <w:lang w:val="es-ES" w:eastAsia="es-ES"/>
              </w:rPr>
              <w:t xml:space="preserve"> </w:t>
            </w:r>
            <w:r w:rsidRPr="00D437AC">
              <w:rPr>
                <w:rFonts w:ascii="Verdana" w:hAnsi="Verdana" w:cs="Arial"/>
                <w:lang w:val="es-ES" w:eastAsia="es-ES"/>
              </w:rPr>
              <w:t>LEY DE GARANTÍAS ELECTORALES –</w:t>
            </w:r>
            <w:r>
              <w:rPr>
                <w:rFonts w:ascii="Verdana" w:hAnsi="Verdana" w:cs="Arial"/>
                <w:lang w:val="es-ES" w:eastAsia="es-ES"/>
              </w:rPr>
              <w:t xml:space="preserve"> Artículo 38 </w:t>
            </w:r>
            <w:r w:rsidR="00E0160E">
              <w:rPr>
                <w:rFonts w:ascii="Verdana" w:hAnsi="Verdana" w:cs="Arial"/>
                <w:lang w:val="es-ES" w:eastAsia="es-ES"/>
              </w:rPr>
              <w:t>–</w:t>
            </w:r>
            <w:r w:rsidR="00BC77C4">
              <w:rPr>
                <w:rFonts w:ascii="Verdana" w:hAnsi="Verdana" w:cs="Arial"/>
                <w:lang w:val="es-ES" w:eastAsia="es-ES"/>
              </w:rPr>
              <w:t xml:space="preserve"> </w:t>
            </w:r>
            <w:r w:rsidR="00E0160E">
              <w:rPr>
                <w:rFonts w:ascii="Verdana" w:hAnsi="Verdana" w:cs="Arial"/>
                <w:lang w:val="es-ES" w:eastAsia="es-ES"/>
              </w:rPr>
              <w:t>LEY DE GARANTÍAS ELECTORALES</w:t>
            </w:r>
            <w:r w:rsidR="00C915D5">
              <w:rPr>
                <w:rFonts w:ascii="Verdana" w:hAnsi="Verdana" w:cs="Arial"/>
                <w:lang w:val="es-ES" w:eastAsia="es-ES"/>
              </w:rPr>
              <w:t xml:space="preserve"> -</w:t>
            </w:r>
            <w:r w:rsidR="00E0160E">
              <w:rPr>
                <w:rFonts w:ascii="Verdana" w:hAnsi="Verdana" w:cs="Arial"/>
                <w:lang w:val="es-ES" w:eastAsia="es-ES"/>
              </w:rPr>
              <w:t xml:space="preserve"> </w:t>
            </w:r>
            <w:r w:rsidR="00F0027F">
              <w:rPr>
                <w:rFonts w:ascii="Verdana" w:hAnsi="Verdana" w:cs="Arial"/>
                <w:lang w:val="es-ES" w:eastAsia="es-ES"/>
              </w:rPr>
              <w:t xml:space="preserve">Excepción </w:t>
            </w:r>
            <w:r w:rsidR="00FE50FA">
              <w:rPr>
                <w:rFonts w:ascii="Verdana" w:hAnsi="Verdana" w:cs="Arial"/>
                <w:lang w:val="es-ES" w:eastAsia="es-ES"/>
              </w:rPr>
              <w:t>Contratación por parte de entidades hospitalarias</w:t>
            </w:r>
          </w:p>
        </w:tc>
      </w:tr>
      <w:tr w:rsidR="00F97231" w:rsidRPr="003921B4" w14:paraId="0394E31E" w14:textId="77777777" w:rsidTr="003921B4">
        <w:tblPrEx>
          <w:tblCellMar>
            <w:left w:w="108" w:type="dxa"/>
            <w:right w:w="108" w:type="dxa"/>
          </w:tblCellMar>
        </w:tblPrEx>
        <w:trPr>
          <w:trHeight w:val="884"/>
        </w:trPr>
        <w:tc>
          <w:tcPr>
            <w:tcW w:w="2689" w:type="dxa"/>
          </w:tcPr>
          <w:p w14:paraId="05E17C5D" w14:textId="77777777" w:rsidR="003921B4" w:rsidRPr="003921B4" w:rsidRDefault="003921B4" w:rsidP="00900DB1">
            <w:pPr>
              <w:jc w:val="both"/>
              <w:rPr>
                <w:rFonts w:ascii="Verdana" w:hAnsi="Verdana"/>
                <w:b/>
                <w:lang w:val="es-ES_tradnl"/>
              </w:rPr>
            </w:pPr>
            <w:r w:rsidRPr="003921B4">
              <w:rPr>
                <w:rFonts w:ascii="Verdana" w:hAnsi="Verdana"/>
                <w:b/>
                <w:lang w:val="es-ES_tradnl"/>
              </w:rPr>
              <w:t xml:space="preserve">Radicación:               </w:t>
            </w:r>
          </w:p>
        </w:tc>
        <w:tc>
          <w:tcPr>
            <w:tcW w:w="6100" w:type="dxa"/>
          </w:tcPr>
          <w:p w14:paraId="366CB628" w14:textId="651E9697" w:rsidR="003921B4" w:rsidRPr="003921B4" w:rsidRDefault="003921B4" w:rsidP="00900DB1">
            <w:pPr>
              <w:jc w:val="both"/>
              <w:rPr>
                <w:rFonts w:ascii="Verdana" w:hAnsi="Verdana"/>
                <w:lang w:val="es-ES"/>
              </w:rPr>
            </w:pPr>
            <w:r w:rsidRPr="003921B4">
              <w:rPr>
                <w:rFonts w:ascii="Verdana" w:hAnsi="Verdana"/>
                <w:lang w:val="es-ES"/>
              </w:rPr>
              <w:t xml:space="preserve">Respuesta a la consulta con radicado No. </w:t>
            </w:r>
            <w:r w:rsidR="004E3156" w:rsidRPr="004E3156">
              <w:rPr>
                <w:rFonts w:ascii="Verdana" w:hAnsi="Verdana"/>
                <w:lang w:val="es-ES"/>
              </w:rPr>
              <w:t>1_2026_01_09_000211</w:t>
            </w:r>
          </w:p>
        </w:tc>
      </w:tr>
    </w:tbl>
    <w:p w14:paraId="5F41B534" w14:textId="7629C049" w:rsidR="00032893" w:rsidRDefault="004E3156" w:rsidP="00900DB1">
      <w:pPr>
        <w:spacing w:after="0"/>
        <w:jc w:val="both"/>
        <w:rPr>
          <w:rFonts w:ascii="Verdana" w:hAnsi="Verdana"/>
          <w:lang w:val="es-ES_tradnl"/>
        </w:rPr>
      </w:pPr>
      <w:r>
        <w:rPr>
          <w:rFonts w:ascii="Verdana" w:hAnsi="Verdana"/>
          <w:lang w:val="es-ES_tradnl"/>
        </w:rPr>
        <w:t xml:space="preserve">Estimado señor Gutiérrez, cordial saludo, </w:t>
      </w:r>
    </w:p>
    <w:p w14:paraId="5A169A1F" w14:textId="77777777" w:rsidR="004E3156" w:rsidRDefault="004E3156" w:rsidP="00900DB1">
      <w:pPr>
        <w:spacing w:after="0"/>
        <w:jc w:val="both"/>
        <w:rPr>
          <w:rFonts w:ascii="Verdana" w:hAnsi="Verdana"/>
          <w:lang w:val="es-ES_tradnl"/>
        </w:rPr>
      </w:pPr>
    </w:p>
    <w:p w14:paraId="1F6CE3B4" w14:textId="77777777" w:rsidR="004A4DA1" w:rsidRDefault="004E3156" w:rsidP="00900DB1">
      <w:pPr>
        <w:spacing w:after="0"/>
        <w:jc w:val="both"/>
        <w:rPr>
          <w:rFonts w:ascii="Verdana" w:hAnsi="Verdana"/>
          <w:lang w:val="es-ES_tradnl"/>
        </w:rPr>
      </w:pPr>
      <w:r>
        <w:rPr>
          <w:rFonts w:ascii="Verdana" w:hAnsi="Verdana"/>
          <w:lang w:val="es-ES_tradnl"/>
        </w:rPr>
        <w:t>En ejercicio de la competencia otorgada por los artículos 3, numeral 5°</w:t>
      </w:r>
      <w:r w:rsidR="00095453">
        <w:rPr>
          <w:rFonts w:ascii="Verdana" w:hAnsi="Verdana"/>
          <w:lang w:val="es-ES_tradnl"/>
        </w:rPr>
        <w:t>, y 11, numeral 8°, del Decreto 4170 de 2011, así como lo establecido en la Resolución 469 de 2025 expedida por esta E</w:t>
      </w:r>
      <w:r w:rsidR="000123A5">
        <w:rPr>
          <w:rFonts w:ascii="Verdana" w:hAnsi="Verdana"/>
          <w:lang w:val="es-ES_tradnl"/>
        </w:rPr>
        <w:t xml:space="preserve">ntidad, la Agencia Nacional de Contratación </w:t>
      </w:r>
      <w:r w:rsidR="00900DB1">
        <w:rPr>
          <w:rFonts w:ascii="Verdana" w:hAnsi="Verdana"/>
          <w:lang w:val="es-ES_tradnl"/>
        </w:rPr>
        <w:t>Pública – Colombia Compra Eficiente</w:t>
      </w:r>
      <w:r w:rsidR="001D340E">
        <w:rPr>
          <w:rFonts w:ascii="Verdana" w:hAnsi="Verdana"/>
          <w:lang w:val="es-ES_tradnl"/>
        </w:rPr>
        <w:t xml:space="preserve"> responde su solicitud de consulta de fecha del 9 de enero de 2026, en la cual</w:t>
      </w:r>
      <w:r w:rsidR="004A4DA1">
        <w:rPr>
          <w:rFonts w:ascii="Verdana" w:hAnsi="Verdana"/>
          <w:lang w:val="es-ES_tradnl"/>
        </w:rPr>
        <w:t xml:space="preserve">, respecto de la aplicación de Ley de Garantías Electorales en la que usted manifiesta lo siguiente: </w:t>
      </w:r>
    </w:p>
    <w:p w14:paraId="49AD87E3" w14:textId="77777777" w:rsidR="004A4DA1" w:rsidRPr="00BE18FB" w:rsidRDefault="004A4DA1" w:rsidP="00945331">
      <w:pPr>
        <w:spacing w:after="0"/>
        <w:ind w:left="709" w:right="709"/>
        <w:jc w:val="both"/>
        <w:rPr>
          <w:rFonts w:ascii="Verdana" w:hAnsi="Verdana"/>
          <w:i/>
          <w:iCs/>
          <w:sz w:val="21"/>
          <w:szCs w:val="21"/>
          <w:lang w:val="es-ES_tradnl"/>
        </w:rPr>
      </w:pPr>
    </w:p>
    <w:p w14:paraId="11C73679" w14:textId="77777777" w:rsidR="008676D2" w:rsidRPr="00BE18FB" w:rsidRDefault="00E178BF" w:rsidP="4227F9BE">
      <w:pPr>
        <w:spacing w:after="0"/>
        <w:ind w:left="709" w:right="709"/>
        <w:jc w:val="both"/>
        <w:rPr>
          <w:rFonts w:ascii="Verdana" w:hAnsi="Verdana"/>
          <w:i/>
          <w:iCs/>
          <w:sz w:val="21"/>
          <w:szCs w:val="21"/>
          <w:lang w:val="es-ES"/>
        </w:rPr>
      </w:pPr>
      <w:r w:rsidRPr="4227F9BE">
        <w:rPr>
          <w:rFonts w:ascii="Verdana" w:hAnsi="Verdana"/>
          <w:i/>
          <w:iCs/>
          <w:sz w:val="21"/>
          <w:szCs w:val="21"/>
          <w:lang w:val="es-ES"/>
        </w:rPr>
        <w:t>“</w:t>
      </w:r>
      <w:r w:rsidR="008676D2" w:rsidRPr="4227F9BE">
        <w:rPr>
          <w:rFonts w:ascii="Verdana" w:hAnsi="Verdana"/>
          <w:i/>
          <w:iCs/>
          <w:sz w:val="21"/>
          <w:szCs w:val="21"/>
          <w:lang w:val="es-ES"/>
        </w:rPr>
        <w:t>en ley de garantías se puede suscribir convenio o contrato con el hospital del municipio para la ejecución del pics Plan de Intervenciones colectivas siendo obligación realizarlo con esa entidad a pesar de ley de garantía” (SIC).</w:t>
      </w:r>
    </w:p>
    <w:p w14:paraId="597E6EC8" w14:textId="77777777" w:rsidR="008676D2" w:rsidRDefault="008676D2" w:rsidP="00900DB1">
      <w:pPr>
        <w:spacing w:after="0"/>
        <w:jc w:val="both"/>
        <w:rPr>
          <w:rFonts w:ascii="Verdana" w:hAnsi="Verdana"/>
          <w:lang w:val="es-ES_tradnl"/>
        </w:rPr>
      </w:pPr>
    </w:p>
    <w:p w14:paraId="72882700" w14:textId="77777777" w:rsidR="00945331" w:rsidRPr="00945331" w:rsidRDefault="00945331" w:rsidP="00BE18FB">
      <w:pPr>
        <w:spacing w:after="120" w:line="276" w:lineRule="auto"/>
        <w:ind w:firstLine="709"/>
        <w:jc w:val="both"/>
        <w:rPr>
          <w:rFonts w:ascii="Verdana" w:hAnsi="Verdana"/>
          <w:lang w:val="es-ES"/>
        </w:rPr>
      </w:pPr>
      <w:r w:rsidRPr="00945331">
        <w:rPr>
          <w:rFonts w:ascii="Verdana" w:hAnsi="Verdana"/>
          <w:lang w:val="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w:t>
      </w:r>
      <w:r w:rsidRPr="00945331">
        <w:rPr>
          <w:rFonts w:ascii="Verdana" w:hAnsi="Verdana"/>
          <w:lang w:val="es-ES"/>
        </w:rPr>
        <w:lastRenderedPageBreak/>
        <w:t xml:space="preserve">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45331">
        <w:rPr>
          <w:rFonts w:ascii="Verdana" w:hAnsi="Verdana"/>
        </w:rPr>
        <w:tab/>
      </w:r>
    </w:p>
    <w:p w14:paraId="6C4D26EE" w14:textId="77777777" w:rsidR="00945331" w:rsidRPr="00945331" w:rsidRDefault="00945331" w:rsidP="00BE18FB">
      <w:pPr>
        <w:spacing w:after="120" w:line="276" w:lineRule="auto"/>
        <w:ind w:firstLine="709"/>
        <w:jc w:val="both"/>
        <w:rPr>
          <w:rFonts w:ascii="Verdana" w:hAnsi="Verdana"/>
          <w:lang w:val="es-ES_tradnl"/>
        </w:rPr>
      </w:pPr>
      <w:r w:rsidRPr="00945331">
        <w:rPr>
          <w:rFonts w:ascii="Verdana" w:hAnsi="Verdana"/>
          <w:lang w:val="es-ES_tradnl"/>
        </w:rPr>
        <w:t xml:space="preserve">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 problema jurídico de su consulta.  </w:t>
      </w:r>
    </w:p>
    <w:p w14:paraId="6B18BAE7" w14:textId="77777777" w:rsidR="00BE18FB" w:rsidRDefault="00BE18FB" w:rsidP="00BE18FB">
      <w:pPr>
        <w:spacing w:after="0"/>
        <w:jc w:val="both"/>
        <w:rPr>
          <w:rFonts w:ascii="Verdana" w:hAnsi="Verdana"/>
          <w:lang w:val="es-ES_tradnl"/>
        </w:rPr>
      </w:pPr>
    </w:p>
    <w:p w14:paraId="097508C1" w14:textId="28FC1CC5" w:rsidR="00945331" w:rsidRDefault="00BE18FB" w:rsidP="00BE18FB">
      <w:pPr>
        <w:spacing w:after="0"/>
        <w:jc w:val="both"/>
        <w:rPr>
          <w:rFonts w:ascii="Verdana" w:hAnsi="Verdana"/>
          <w:b/>
          <w:bCs/>
          <w:lang w:val="es-ES_tradnl"/>
        </w:rPr>
      </w:pPr>
      <w:r w:rsidRPr="00BE18FB">
        <w:rPr>
          <w:rFonts w:ascii="Verdana" w:hAnsi="Verdana"/>
          <w:b/>
          <w:bCs/>
          <w:lang w:val="es-ES_tradnl"/>
        </w:rPr>
        <w:t>1.</w:t>
      </w:r>
      <w:r>
        <w:rPr>
          <w:rFonts w:ascii="Verdana" w:hAnsi="Verdana"/>
          <w:lang w:val="es-ES_tradnl"/>
        </w:rPr>
        <w:t xml:space="preserve"> </w:t>
      </w:r>
      <w:r w:rsidR="00945331" w:rsidRPr="00945331">
        <w:rPr>
          <w:rFonts w:ascii="Verdana" w:hAnsi="Verdana"/>
          <w:b/>
          <w:bCs/>
          <w:lang w:val="es-ES_tradnl"/>
        </w:rPr>
        <w:t>Problema planteado:</w:t>
      </w:r>
    </w:p>
    <w:p w14:paraId="7319CA67" w14:textId="77777777" w:rsidR="00BE18FB" w:rsidRDefault="00BE18FB" w:rsidP="00BE18FB">
      <w:pPr>
        <w:spacing w:after="0"/>
        <w:jc w:val="both"/>
        <w:rPr>
          <w:rFonts w:ascii="Verdana" w:hAnsi="Verdana"/>
          <w:b/>
          <w:bCs/>
          <w:lang w:val="es-ES_tradnl"/>
        </w:rPr>
      </w:pPr>
    </w:p>
    <w:p w14:paraId="70732CB4" w14:textId="09E2E40F" w:rsidR="00E76537" w:rsidRPr="00E76537" w:rsidRDefault="00BE18FB" w:rsidP="00E76537">
      <w:pPr>
        <w:spacing w:after="0"/>
        <w:jc w:val="both"/>
        <w:rPr>
          <w:rFonts w:ascii="Verdana" w:hAnsi="Verdana"/>
          <w:lang w:val="es-ES"/>
        </w:rPr>
      </w:pPr>
      <w:r>
        <w:rPr>
          <w:rFonts w:ascii="Verdana" w:hAnsi="Verdana"/>
          <w:lang w:val="es-ES_tradnl"/>
        </w:rPr>
        <w:t xml:space="preserve">De acuerdo con el contenido de su solicitud, esta Agencia resolverá el siguiente problema jurídico: </w:t>
      </w:r>
      <w:r w:rsidR="00F7276B" w:rsidRPr="00F7276B">
        <w:rPr>
          <w:rFonts w:ascii="Verdana" w:hAnsi="Verdana"/>
        </w:rPr>
        <w:t xml:space="preserve">¿Es jurídicamente viable suscribir un convenio o contrato </w:t>
      </w:r>
      <w:r w:rsidR="00E24D66">
        <w:rPr>
          <w:rFonts w:ascii="Verdana" w:hAnsi="Verdana"/>
        </w:rPr>
        <w:t xml:space="preserve">con un hospital </w:t>
      </w:r>
      <w:r w:rsidR="00F7276B">
        <w:rPr>
          <w:rFonts w:ascii="Verdana" w:hAnsi="Verdana"/>
        </w:rPr>
        <w:t>durante la ley de Garantías Electorales?</w:t>
      </w:r>
    </w:p>
    <w:p w14:paraId="0D86E051" w14:textId="77777777" w:rsidR="00E76537" w:rsidRPr="00E76537" w:rsidRDefault="00E76537" w:rsidP="00E76537">
      <w:pPr>
        <w:spacing w:after="0"/>
        <w:jc w:val="both"/>
        <w:rPr>
          <w:rFonts w:ascii="Verdana" w:hAnsi="Verdana"/>
        </w:rPr>
      </w:pPr>
    </w:p>
    <w:p w14:paraId="4B7A1C56" w14:textId="0D5E1DDF" w:rsidR="00BE18FB" w:rsidRDefault="00470773" w:rsidP="00BE18FB">
      <w:pPr>
        <w:spacing w:after="0"/>
        <w:jc w:val="both"/>
        <w:rPr>
          <w:rFonts w:ascii="Verdana" w:hAnsi="Verdana"/>
          <w:b/>
          <w:bCs/>
        </w:rPr>
      </w:pPr>
      <w:r w:rsidRPr="00470773">
        <w:rPr>
          <w:rFonts w:ascii="Verdana" w:hAnsi="Verdana"/>
          <w:b/>
          <w:bCs/>
        </w:rPr>
        <w:t xml:space="preserve">2. Respuesta: </w:t>
      </w:r>
    </w:p>
    <w:p w14:paraId="6E77710A" w14:textId="77777777" w:rsidR="00470773" w:rsidRDefault="00470773" w:rsidP="00BE18FB">
      <w:pPr>
        <w:spacing w:after="0"/>
        <w:jc w:val="both"/>
        <w:rPr>
          <w:rFonts w:ascii="Verdana" w:hAnsi="Verdana"/>
          <w:b/>
          <w:bCs/>
        </w:rPr>
      </w:pPr>
    </w:p>
    <w:p w14:paraId="1E86FD39" w14:textId="77777777" w:rsidR="00457782" w:rsidRDefault="00457782" w:rsidP="00457782">
      <w:pPr>
        <w:pBdr>
          <w:top w:val="single" w:sz="4" w:space="1" w:color="auto"/>
          <w:left w:val="single" w:sz="4" w:space="4" w:color="auto"/>
          <w:bottom w:val="single" w:sz="4" w:space="1" w:color="auto"/>
          <w:right w:val="single" w:sz="4" w:space="4" w:color="auto"/>
        </w:pBdr>
        <w:tabs>
          <w:tab w:val="left" w:pos="426"/>
        </w:tabs>
        <w:spacing w:after="120" w:line="276" w:lineRule="auto"/>
        <w:ind w:firstLine="425"/>
        <w:jc w:val="both"/>
        <w:rPr>
          <w:rFonts w:ascii="Verdana" w:eastAsia="Times New Roman" w:hAnsi="Verdana" w:cs="Arial"/>
          <w:bCs/>
          <w:lang w:eastAsia="es-CO"/>
        </w:rPr>
      </w:pPr>
      <w:r>
        <w:rPr>
          <w:rFonts w:ascii="Verdana" w:eastAsia="Times New Roman" w:hAnsi="Verdana" w:cs="Arial"/>
          <w:bCs/>
          <w:lang w:eastAsia="es-CO"/>
        </w:rPr>
        <w:t xml:space="preserve">De acuerdo con el problemas planteado, es importante considerar que, cuando la necesidad de celebrar el contrato no se presenta en función de la necesidad de atender una emergencia o desastre especifico efectivamente declarado, no resulta viable acudir a causales de contratación directa como la urgencia manifiesta y ni a lo regulado en el artículo 66 de la Ley 1523 de 2012, por lo que, en principio, es necesario que la entidad estatal desarrolle un proceso competitivo para escoger el prestador del servicio, supuesto en el cual, por sustracción de materia, no sería aplicable ninguna de las excepciones establecidas en el segundo inciso del artículo 33 de la Ley 996 de 2005. </w:t>
      </w:r>
    </w:p>
    <w:p w14:paraId="52631AF8" w14:textId="2233B7ED" w:rsidR="00E24D66" w:rsidRDefault="00457782" w:rsidP="00E24D66">
      <w:pPr>
        <w:pBdr>
          <w:top w:val="single" w:sz="4" w:space="1" w:color="auto"/>
          <w:left w:val="single" w:sz="4" w:space="4" w:color="auto"/>
          <w:bottom w:val="single" w:sz="4" w:space="1" w:color="auto"/>
          <w:right w:val="single" w:sz="4" w:space="4" w:color="auto"/>
        </w:pBdr>
        <w:tabs>
          <w:tab w:val="left" w:pos="426"/>
        </w:tabs>
        <w:spacing w:after="120" w:line="276" w:lineRule="auto"/>
        <w:ind w:firstLine="425"/>
        <w:jc w:val="both"/>
        <w:rPr>
          <w:rFonts w:ascii="Verdana" w:eastAsia="Times New Roman" w:hAnsi="Verdana" w:cs="Arial"/>
          <w:bCs/>
          <w:lang w:eastAsia="es-CO"/>
        </w:rPr>
      </w:pPr>
      <w:r>
        <w:rPr>
          <w:rFonts w:ascii="Verdana" w:eastAsia="Times New Roman" w:hAnsi="Verdana" w:cs="Arial"/>
          <w:bCs/>
          <w:lang w:eastAsia="es-CO"/>
        </w:rPr>
        <w:t>No obstante, en caso de que se cumplan los presupuestos para la aplicación de alguna de las otras causales de contratación directa previstas en las normas que rigen la contratación de la entidad estatal contratante, esta podrá valorar la posibilidad de celebrar directamente el contrato para la prestación del servicio establecido</w:t>
      </w:r>
      <w:r w:rsidR="007C477F">
        <w:rPr>
          <w:rFonts w:ascii="Verdana" w:eastAsia="Times New Roman" w:hAnsi="Verdana" w:cs="Arial"/>
          <w:bCs/>
          <w:lang w:eastAsia="es-CO"/>
        </w:rPr>
        <w:t>.</w:t>
      </w:r>
      <w:r>
        <w:rPr>
          <w:rFonts w:ascii="Verdana" w:eastAsia="Times New Roman" w:hAnsi="Verdana" w:cs="Arial"/>
          <w:bCs/>
          <w:lang w:eastAsia="es-CO"/>
        </w:rPr>
        <w:t xml:space="preserve"> </w:t>
      </w:r>
    </w:p>
    <w:p w14:paraId="56BB8120" w14:textId="77777777" w:rsidR="00E24D66" w:rsidRDefault="005C1909" w:rsidP="00E24D66">
      <w:pPr>
        <w:pBdr>
          <w:top w:val="single" w:sz="4" w:space="1" w:color="auto"/>
          <w:left w:val="single" w:sz="4" w:space="4" w:color="auto"/>
          <w:bottom w:val="single" w:sz="4" w:space="1" w:color="auto"/>
          <w:right w:val="single" w:sz="4" w:space="4" w:color="auto"/>
        </w:pBdr>
        <w:tabs>
          <w:tab w:val="left" w:pos="426"/>
        </w:tabs>
        <w:spacing w:after="120" w:line="276" w:lineRule="auto"/>
        <w:ind w:firstLine="425"/>
        <w:jc w:val="both"/>
        <w:rPr>
          <w:rFonts w:ascii="Verdana" w:eastAsia="Times New Roman" w:hAnsi="Verdana" w:cs="Arial"/>
          <w:bCs/>
          <w:lang w:eastAsia="es-CO"/>
        </w:rPr>
      </w:pPr>
      <w:r>
        <w:rPr>
          <w:rFonts w:ascii="Verdana" w:hAnsi="Verdana"/>
        </w:rPr>
        <w:lastRenderedPageBreak/>
        <w:t xml:space="preserve">Ahora bien, con </w:t>
      </w:r>
      <w:r w:rsidR="00E24D66">
        <w:rPr>
          <w:rFonts w:ascii="Verdana" w:eastAsia="Times New Roman" w:hAnsi="Verdana" w:cs="Arial"/>
          <w:bCs/>
          <w:lang w:val="es-ES" w:eastAsia="es-CO"/>
        </w:rPr>
        <w:t xml:space="preserve">respecto a la prohibición del parágrafo del artículo 38, es importante resaltar que el Ministerio de Salud y Protección Social </w:t>
      </w:r>
      <w:r w:rsidR="00E24D66">
        <w:rPr>
          <w:rFonts w:ascii="Verdana" w:eastAsia="Arial" w:hAnsi="Verdana" w:cs="Arial"/>
          <w:bCs/>
          <w:color w:val="000000" w:themeColor="text1"/>
          <w:lang w:val="es-ES"/>
        </w:rPr>
        <w:t xml:space="preserve">dispuso </w:t>
      </w:r>
      <w:r w:rsidR="00E24D66" w:rsidRPr="00FC6F34">
        <w:rPr>
          <w:rFonts w:ascii="Verdana" w:eastAsia="Arial" w:hAnsi="Verdana" w:cs="Arial"/>
          <w:bCs/>
          <w:color w:val="000000" w:themeColor="text1"/>
          <w:lang w:val="es-ES"/>
        </w:rPr>
        <w:t>que</w:t>
      </w:r>
      <w:r w:rsidR="00E24D66">
        <w:rPr>
          <w:rFonts w:ascii="Verdana" w:eastAsia="Arial" w:hAnsi="Verdana" w:cs="Arial"/>
          <w:bCs/>
          <w:color w:val="000000" w:themeColor="text1"/>
          <w:lang w:val="es-ES"/>
        </w:rPr>
        <w:t>,</w:t>
      </w:r>
      <w:r w:rsidR="00E24D66" w:rsidRPr="00FC6F34">
        <w:rPr>
          <w:rFonts w:ascii="Verdana" w:eastAsia="Arial" w:hAnsi="Verdana" w:cs="Arial"/>
          <w:bCs/>
          <w:color w:val="000000" w:themeColor="text1"/>
          <w:lang w:val="es-ES"/>
        </w:rPr>
        <w:t xml:space="preserve"> con el fin de garantizar la continuidad de</w:t>
      </w:r>
      <w:r w:rsidR="00E24D66">
        <w:rPr>
          <w:rFonts w:ascii="Verdana" w:eastAsia="Arial" w:hAnsi="Verdana" w:cs="Arial"/>
          <w:bCs/>
          <w:color w:val="000000" w:themeColor="text1"/>
          <w:lang w:val="es-ES"/>
        </w:rPr>
        <w:t xml:space="preserve"> </w:t>
      </w:r>
      <w:r w:rsidR="00E24D66" w:rsidRPr="00FC6F34">
        <w:rPr>
          <w:rFonts w:ascii="Verdana" w:eastAsia="Arial" w:hAnsi="Verdana" w:cs="Arial"/>
          <w:bCs/>
          <w:color w:val="000000" w:themeColor="text1"/>
          <w:lang w:val="es-ES"/>
        </w:rPr>
        <w:t xml:space="preserve">las intervenciones de promoción de salud y prevención, “se debe acudir a </w:t>
      </w:r>
      <w:r w:rsidR="00E24D66">
        <w:rPr>
          <w:rFonts w:ascii="Verdana" w:eastAsia="Arial" w:hAnsi="Verdana" w:cs="Arial"/>
          <w:bCs/>
          <w:color w:val="000000" w:themeColor="text1"/>
          <w:lang w:val="es-ES"/>
        </w:rPr>
        <w:t>l</w:t>
      </w:r>
      <w:r w:rsidR="00E24D66" w:rsidRPr="00FC6F34">
        <w:rPr>
          <w:rFonts w:ascii="Verdana" w:eastAsia="Arial" w:hAnsi="Verdana" w:cs="Arial"/>
          <w:bCs/>
          <w:color w:val="000000" w:themeColor="text1"/>
          <w:lang w:val="es-ES"/>
        </w:rPr>
        <w:t xml:space="preserve">as demás modalidades de contratación autorizadas por la ley de manera que no se afecte la ejecución de las intervenciones colectivas a cargo de las entidades territoriales”. </w:t>
      </w:r>
      <w:r w:rsidR="00E24D66">
        <w:rPr>
          <w:rFonts w:ascii="Verdana" w:eastAsia="Arial" w:hAnsi="Verdana" w:cs="Arial"/>
          <w:bCs/>
          <w:color w:val="000000" w:themeColor="text1"/>
          <w:lang w:val="es-ES"/>
        </w:rPr>
        <w:t xml:space="preserve">Lo anterior, considerando que esta prohibición no fijó excepción alguna para su aplicación. </w:t>
      </w:r>
    </w:p>
    <w:p w14:paraId="2C1444ED" w14:textId="77777777" w:rsidR="00E24D66" w:rsidRDefault="00E24D66" w:rsidP="00E24D66">
      <w:pPr>
        <w:pBdr>
          <w:top w:val="single" w:sz="4" w:space="1" w:color="auto"/>
          <w:left w:val="single" w:sz="4" w:space="4" w:color="auto"/>
          <w:bottom w:val="single" w:sz="4" w:space="1" w:color="auto"/>
          <w:right w:val="single" w:sz="4" w:space="4" w:color="auto"/>
        </w:pBdr>
        <w:tabs>
          <w:tab w:val="left" w:pos="426"/>
        </w:tabs>
        <w:spacing w:after="120" w:line="276" w:lineRule="auto"/>
        <w:ind w:firstLine="425"/>
        <w:jc w:val="both"/>
        <w:rPr>
          <w:rFonts w:ascii="Verdana" w:eastAsia="Times New Roman" w:hAnsi="Verdana" w:cs="Arial"/>
          <w:bCs/>
          <w:lang w:eastAsia="es-CO"/>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7C11D0FF" w14:textId="49C1D4FA" w:rsidR="006B6916" w:rsidRPr="0018662C" w:rsidRDefault="00E24D66" w:rsidP="00E24D66">
      <w:pPr>
        <w:pBdr>
          <w:top w:val="single" w:sz="4" w:space="1" w:color="auto"/>
          <w:left w:val="single" w:sz="4" w:space="4" w:color="auto"/>
          <w:bottom w:val="single" w:sz="4" w:space="1" w:color="auto"/>
          <w:right w:val="single" w:sz="4" w:space="4" w:color="auto"/>
        </w:pBdr>
        <w:tabs>
          <w:tab w:val="left" w:pos="426"/>
        </w:tabs>
        <w:spacing w:after="120" w:line="276" w:lineRule="auto"/>
        <w:ind w:firstLine="425"/>
        <w:jc w:val="both"/>
        <w:rPr>
          <w:rFonts w:ascii="Verdana" w:hAnsi="Verdana"/>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r>
        <w:rPr>
          <w:rFonts w:ascii="Verdana" w:hAnsi="Verdana" w:cs="Arial"/>
          <w:lang w:eastAsia="es-CO"/>
        </w:rPr>
        <w:t>.</w:t>
      </w:r>
    </w:p>
    <w:p w14:paraId="72D421ED" w14:textId="77777777" w:rsidR="00685F19" w:rsidRPr="00685F19" w:rsidRDefault="00685F19" w:rsidP="00685F19">
      <w:pPr>
        <w:spacing w:after="120" w:line="276" w:lineRule="auto"/>
        <w:jc w:val="both"/>
        <w:rPr>
          <w:rFonts w:ascii="Verdana" w:hAnsi="Verdana"/>
          <w:bCs/>
        </w:rPr>
      </w:pPr>
    </w:p>
    <w:p w14:paraId="7AD82A22" w14:textId="0DB2880B" w:rsidR="004E3156" w:rsidRPr="00026A42" w:rsidRDefault="007A66E6" w:rsidP="00900DB1">
      <w:pPr>
        <w:spacing w:after="0"/>
        <w:jc w:val="both"/>
        <w:rPr>
          <w:rFonts w:ascii="Verdana" w:hAnsi="Verdana"/>
          <w:b/>
          <w:bCs/>
        </w:rPr>
      </w:pPr>
      <w:r w:rsidRPr="00026A42">
        <w:rPr>
          <w:rFonts w:ascii="Verdana" w:hAnsi="Verdana"/>
          <w:b/>
          <w:bCs/>
        </w:rPr>
        <w:t xml:space="preserve">3. Razones de la respuesta: </w:t>
      </w:r>
    </w:p>
    <w:p w14:paraId="6C3DE651" w14:textId="77777777" w:rsidR="007A66E6" w:rsidRDefault="007A66E6" w:rsidP="00900DB1">
      <w:pPr>
        <w:spacing w:after="0"/>
        <w:jc w:val="both"/>
        <w:rPr>
          <w:rFonts w:ascii="Verdana" w:hAnsi="Verdana"/>
        </w:rPr>
      </w:pPr>
    </w:p>
    <w:p w14:paraId="18EF0752" w14:textId="75B933D4" w:rsidR="007A66E6" w:rsidRDefault="007A66E6" w:rsidP="00900DB1">
      <w:pPr>
        <w:spacing w:after="0"/>
        <w:jc w:val="both"/>
        <w:rPr>
          <w:rFonts w:ascii="Verdana" w:hAnsi="Verdana"/>
        </w:rPr>
      </w:pPr>
      <w:r>
        <w:rPr>
          <w:rFonts w:ascii="Verdana" w:hAnsi="Verdana"/>
        </w:rPr>
        <w:t xml:space="preserve"> Lo anterior se sustenta en las siguientes consideraciones: </w:t>
      </w:r>
    </w:p>
    <w:p w14:paraId="223C354E" w14:textId="77777777" w:rsidR="00EB7490" w:rsidRDefault="00EB7490" w:rsidP="00900DB1">
      <w:pPr>
        <w:spacing w:after="0"/>
        <w:jc w:val="both"/>
        <w:rPr>
          <w:rFonts w:ascii="Verdana" w:hAnsi="Verdana"/>
        </w:rPr>
      </w:pPr>
    </w:p>
    <w:p w14:paraId="73B2D39E" w14:textId="39739251" w:rsidR="00EB7490" w:rsidRDefault="00F50931" w:rsidP="00662CBB">
      <w:pPr>
        <w:spacing w:after="0"/>
        <w:jc w:val="both"/>
        <w:rPr>
          <w:rFonts w:ascii="Verdana" w:eastAsia="Calibri" w:hAnsi="Verdana" w:cs="Arial"/>
          <w:bCs/>
          <w:lang w:val="es-ES_tradnl" w:eastAsia="es-ES_tradnl"/>
        </w:rPr>
      </w:pPr>
      <w:r w:rsidRPr="005A676F">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5A676F">
        <w:rPr>
          <w:rFonts w:ascii="Verdana" w:eastAsia="Calibri" w:hAnsi="Verdana" w:cs="Arial"/>
          <w:bCs/>
          <w:i/>
          <w:iCs/>
          <w:lang w:val="es-ES_tradnl" w:eastAsia="es-ES_tradnl"/>
        </w:rPr>
        <w:t xml:space="preserve">. </w:t>
      </w:r>
      <w:r w:rsidRPr="005A676F">
        <w:rPr>
          <w:rFonts w:ascii="Verdana" w:eastAsia="Calibri" w:hAnsi="Verdana" w:cs="Arial"/>
          <w:bCs/>
          <w:lang w:val="es-ES_tradnl" w:eastAsia="es-ES_tradnl"/>
        </w:rPr>
        <w:t xml:space="preserve">Por ejemplo, el artículo 127 de la Constitución Política establece una prohibición contractual a los servidores públicos y, en cuanto a aspectos políticos </w:t>
      </w:r>
      <w:r w:rsidRPr="005A676F">
        <w:rPr>
          <w:rFonts w:ascii="Verdana" w:eastAsia="Calibri" w:hAnsi="Verdana" w:cs="Arial"/>
          <w:bCs/>
          <w:lang w:val="es-ES_tradnl" w:eastAsia="es-ES_tradnl"/>
        </w:rPr>
        <w:lastRenderedPageBreak/>
        <w:t>establece restricciones a ciertos empleados del Estado, incluso en época no electoral</w:t>
      </w:r>
      <w:r w:rsidRPr="005A676F">
        <w:rPr>
          <w:rFonts w:ascii="Verdana" w:eastAsia="Calibri" w:hAnsi="Verdana" w:cs="Arial"/>
          <w:bCs/>
          <w:vertAlign w:val="superscript"/>
          <w:lang w:val="es-ES_tradnl" w:eastAsia="es-ES_tradnl"/>
        </w:rPr>
        <w:footnoteReference w:id="1"/>
      </w:r>
      <w:r w:rsidRPr="005A676F">
        <w:rPr>
          <w:rFonts w:ascii="Verdana" w:eastAsia="Calibri" w:hAnsi="Verdana" w:cs="Arial"/>
          <w:bCs/>
          <w:lang w:val="es-ES_tradnl" w:eastAsia="es-ES_tradnl"/>
        </w:rPr>
        <w:t>.</w:t>
      </w:r>
    </w:p>
    <w:p w14:paraId="1AF6D419" w14:textId="77777777" w:rsidR="0066363F" w:rsidRDefault="0066363F" w:rsidP="0066363F">
      <w:pPr>
        <w:tabs>
          <w:tab w:val="left" w:pos="426"/>
        </w:tabs>
        <w:spacing w:after="120" w:line="276" w:lineRule="auto"/>
        <w:ind w:firstLine="709"/>
        <w:jc w:val="both"/>
        <w:rPr>
          <w:rFonts w:ascii="Verdana" w:eastAsia="Calibri" w:hAnsi="Verdana" w:cs="Arial"/>
          <w:bCs/>
          <w:lang w:val="es-ES_tradnl" w:eastAsia="es-CO"/>
        </w:rPr>
      </w:pPr>
      <w:r w:rsidRPr="005A676F">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A676F">
        <w:rPr>
          <w:rFonts w:ascii="Verdana" w:eastAsia="Calibri" w:hAnsi="Verdana" w:cs="Arial"/>
          <w:bCs/>
          <w:vertAlign w:val="superscript"/>
          <w:lang w:val="es-ES_tradnl" w:eastAsia="es-CO"/>
        </w:rPr>
        <w:footnoteReference w:id="2"/>
      </w:r>
      <w:r w:rsidRPr="005A676F">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5A676F">
        <w:rPr>
          <w:rFonts w:ascii="Verdana" w:eastAsia="Calibri" w:hAnsi="Verdana" w:cs="Arial"/>
          <w:noProof/>
          <w:lang w:val="es-ES_tradnl" w:eastAsia="es-ES_tradnl"/>
        </w:rPr>
        <w:t xml:space="preserve"> </w:t>
      </w:r>
      <w:r w:rsidRPr="005A676F">
        <w:rPr>
          <w:rFonts w:ascii="Verdana" w:eastAsia="Calibri" w:hAnsi="Verdana" w:cs="Arial"/>
          <w:bCs/>
          <w:lang w:val="es-ES_tradnl" w:eastAsia="es-CO"/>
        </w:rPr>
        <w:t>En armonía con lo anterior, la Corte Constitucional ha abordado la definición de la Ley de Garantías Electorales, en los siguientes términos:</w:t>
      </w:r>
    </w:p>
    <w:p w14:paraId="0A338C5E" w14:textId="77777777" w:rsidR="0066363F" w:rsidRPr="00432152" w:rsidRDefault="0066363F" w:rsidP="0066363F">
      <w:pPr>
        <w:tabs>
          <w:tab w:val="left" w:pos="426"/>
        </w:tabs>
        <w:spacing w:after="0" w:line="276" w:lineRule="auto"/>
        <w:ind w:firstLine="709"/>
        <w:jc w:val="both"/>
        <w:rPr>
          <w:rFonts w:ascii="Verdana" w:eastAsia="Calibri" w:hAnsi="Verdana" w:cs="Arial"/>
          <w:bCs/>
          <w:lang w:val="es-ES_tradnl" w:eastAsia="es-CO"/>
        </w:rPr>
      </w:pPr>
    </w:p>
    <w:p w14:paraId="769C97FC" w14:textId="77777777" w:rsidR="0066363F" w:rsidRPr="0066363F" w:rsidRDefault="0066363F" w:rsidP="0066363F">
      <w:pPr>
        <w:spacing w:after="0" w:line="240" w:lineRule="auto"/>
        <w:ind w:left="709" w:right="709"/>
        <w:jc w:val="both"/>
        <w:rPr>
          <w:rFonts w:ascii="Verdana" w:eastAsia="Calibri" w:hAnsi="Verdana" w:cs="Arial"/>
          <w:bCs/>
          <w:sz w:val="21"/>
          <w:szCs w:val="21"/>
          <w:lang w:val="es-ES_tradnl" w:eastAsia="es-CO"/>
        </w:rPr>
      </w:pPr>
      <w:r w:rsidRPr="0066363F">
        <w:rPr>
          <w:rFonts w:ascii="Verdana" w:eastAsia="Calibri" w:hAnsi="Verdana" w:cs="Arial"/>
          <w:sz w:val="21"/>
          <w:szCs w:val="21"/>
          <w:lang w:val="es-ES" w:eastAsia="es-CO"/>
        </w:rPr>
        <w:t xml:space="preserve">[…] </w:t>
      </w:r>
      <w:r w:rsidRPr="0066363F">
        <w:rPr>
          <w:rFonts w:ascii="Verdana" w:eastAsia="Calibri" w:hAnsi="Verdana" w:cs="Arial"/>
          <w:bCs/>
          <w:sz w:val="21"/>
          <w:szCs w:val="21"/>
          <w:lang w:val="es-ES_tradnl" w:eastAsia="es-CO"/>
        </w:rPr>
        <w:t>la definición de reglas claras que permitan acceder a los canales de expresión democrática de manera efectiva e igualitaria. El objetivo de una ley de garantías es definir esas reglas.</w:t>
      </w:r>
    </w:p>
    <w:p w14:paraId="707F9455" w14:textId="77777777" w:rsidR="0066363F" w:rsidRPr="0066363F" w:rsidRDefault="0066363F" w:rsidP="0066363F">
      <w:pPr>
        <w:spacing w:after="0" w:line="240" w:lineRule="auto"/>
        <w:ind w:left="709" w:right="709"/>
        <w:jc w:val="both"/>
        <w:rPr>
          <w:rFonts w:ascii="Verdana" w:eastAsia="Calibri" w:hAnsi="Verdana" w:cs="Arial"/>
          <w:bCs/>
          <w:sz w:val="21"/>
          <w:szCs w:val="21"/>
          <w:lang w:val="es-ES_tradnl" w:eastAsia="es-CO"/>
        </w:rPr>
      </w:pPr>
      <w:r w:rsidRPr="0066363F">
        <w:rPr>
          <w:rFonts w:ascii="Verdana" w:eastAsia="Calibri" w:hAnsi="Verdana" w:cs="Arial"/>
          <w:bCs/>
          <w:sz w:val="21"/>
          <w:szCs w:val="21"/>
          <w:lang w:val="es-ES_tradnl" w:eastAsia="es-CO"/>
        </w:rPr>
        <w:t xml:space="preserve">[…] </w:t>
      </w:r>
    </w:p>
    <w:p w14:paraId="696A6F65" w14:textId="77777777" w:rsidR="0066363F" w:rsidRDefault="0066363F" w:rsidP="0066363F">
      <w:pPr>
        <w:spacing w:after="0" w:line="240" w:lineRule="auto"/>
        <w:ind w:left="709" w:right="709"/>
        <w:jc w:val="both"/>
        <w:rPr>
          <w:rFonts w:ascii="Verdana" w:eastAsia="Calibri" w:hAnsi="Verdana" w:cs="Arial"/>
          <w:bCs/>
          <w:sz w:val="21"/>
          <w:szCs w:val="21"/>
          <w:lang w:val="es-ES_tradnl" w:eastAsia="es-CO"/>
        </w:rPr>
      </w:pPr>
      <w:r w:rsidRPr="0066363F">
        <w:rPr>
          <w:rFonts w:ascii="Verdana" w:eastAsia="Calibri" w:hAnsi="Verdana" w:cs="Arial"/>
          <w:bCs/>
          <w:sz w:val="21"/>
          <w:szCs w:val="21"/>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6363F">
        <w:rPr>
          <w:rFonts w:ascii="Verdana" w:eastAsia="Calibri" w:hAnsi="Verdana" w:cs="Arial"/>
          <w:sz w:val="21"/>
          <w:szCs w:val="21"/>
          <w:vertAlign w:val="superscript"/>
          <w:lang w:val="es-ES_tradnl" w:eastAsia="es-ES_tradnl"/>
        </w:rPr>
        <w:footnoteReference w:id="3"/>
      </w:r>
    </w:p>
    <w:p w14:paraId="6801BD2C" w14:textId="77777777" w:rsidR="00D52ACA" w:rsidRDefault="00D52ACA" w:rsidP="0066363F">
      <w:pPr>
        <w:spacing w:after="0" w:line="240" w:lineRule="auto"/>
        <w:ind w:left="709" w:right="709"/>
        <w:jc w:val="both"/>
        <w:rPr>
          <w:rFonts w:ascii="Verdana" w:eastAsia="Calibri" w:hAnsi="Verdana" w:cs="Arial"/>
          <w:bCs/>
          <w:sz w:val="21"/>
          <w:szCs w:val="21"/>
          <w:lang w:val="es-ES_tradnl" w:eastAsia="es-CO"/>
        </w:rPr>
      </w:pPr>
    </w:p>
    <w:p w14:paraId="62B33B24" w14:textId="77777777" w:rsidR="00D52ACA" w:rsidRDefault="00D52ACA" w:rsidP="00D52ACA">
      <w:pPr>
        <w:spacing w:after="120" w:line="276" w:lineRule="auto"/>
        <w:ind w:firstLine="709"/>
        <w:jc w:val="both"/>
        <w:rPr>
          <w:rFonts w:ascii="Verdana" w:eastAsia="Times New Roman" w:hAnsi="Verdana" w:cs="Arial"/>
          <w:bCs/>
          <w:lang w:val="es-MX" w:eastAsia="es-CO"/>
        </w:rPr>
      </w:pPr>
      <w:bookmarkStart w:id="1" w:name="_Hlk78818186"/>
      <w:r w:rsidRPr="00432152">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w:t>
      </w:r>
      <w:r w:rsidRPr="00432152">
        <w:rPr>
          <w:rFonts w:ascii="Verdana" w:eastAsia="Times New Roman" w:hAnsi="Verdana" w:cs="Arial"/>
          <w:bCs/>
          <w:lang w:val="es-MX" w:eastAsia="es-CO"/>
        </w:rPr>
        <w:lastRenderedPageBreak/>
        <w:t xml:space="preserve">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10F0AFA5" w14:textId="77777777" w:rsidR="00D52ACA" w:rsidRDefault="00D52ACA" w:rsidP="00D52ACA">
      <w:pPr>
        <w:spacing w:after="120" w:line="276" w:lineRule="auto"/>
        <w:ind w:firstLine="709"/>
        <w:jc w:val="both"/>
        <w:rPr>
          <w:rFonts w:ascii="Verdana" w:eastAsia="Times New Roman" w:hAnsi="Verdana" w:cs="Arial"/>
          <w:bCs/>
          <w:lang w:val="es-MX" w:eastAsia="es-CO"/>
        </w:rPr>
      </w:pPr>
      <w:r w:rsidRPr="00432152">
        <w:rPr>
          <w:rFonts w:ascii="Verdana" w:eastAsia="Times New Roman" w:hAnsi="Verdana" w:cs="Arial"/>
          <w:bCs/>
          <w:lang w:val="es-MX" w:eastAsia="es-CO"/>
        </w:rPr>
        <w:t>En efecto, la Sala de Consulta y Servicio Civil del Consejo de Estado al analizar la referida ley, precisó lo siguiente:</w:t>
      </w:r>
      <w:bookmarkEnd w:id="1"/>
    </w:p>
    <w:p w14:paraId="5AE23840" w14:textId="77777777" w:rsidR="00E14D02" w:rsidRPr="00E14D02" w:rsidRDefault="00E14D02" w:rsidP="00E14D02">
      <w:pPr>
        <w:spacing w:after="0" w:line="240" w:lineRule="auto"/>
        <w:ind w:left="851" w:right="709"/>
        <w:jc w:val="both"/>
        <w:rPr>
          <w:rFonts w:ascii="Verdana" w:eastAsia="Calibri" w:hAnsi="Verdana" w:cs="Arial"/>
          <w:sz w:val="21"/>
          <w:szCs w:val="21"/>
          <w:lang w:val="es-ES" w:eastAsia="es-CO"/>
        </w:rPr>
      </w:pPr>
      <w:r w:rsidRPr="00E14D02">
        <w:rPr>
          <w:rFonts w:ascii="Verdana" w:eastAsia="Calibri" w:hAnsi="Verdana" w:cs="Arial"/>
          <w:sz w:val="21"/>
          <w:szCs w:val="21"/>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394DBAC" w14:textId="77777777" w:rsidR="00E14D02" w:rsidRPr="00E14D02" w:rsidRDefault="00E14D02" w:rsidP="00E14D02">
      <w:pPr>
        <w:spacing w:after="0" w:line="240" w:lineRule="auto"/>
        <w:ind w:left="851" w:right="709"/>
        <w:jc w:val="both"/>
        <w:rPr>
          <w:rFonts w:ascii="Verdana" w:eastAsia="Calibri" w:hAnsi="Verdana" w:cs="Arial"/>
          <w:sz w:val="21"/>
          <w:szCs w:val="21"/>
          <w:lang w:val="es-ES" w:eastAsia="es-CO"/>
        </w:rPr>
      </w:pPr>
    </w:p>
    <w:p w14:paraId="70BC28F4" w14:textId="77777777" w:rsidR="00E14D02" w:rsidRPr="00E14D02" w:rsidRDefault="00E14D02" w:rsidP="00E14D02">
      <w:pPr>
        <w:spacing w:after="0" w:line="240" w:lineRule="auto"/>
        <w:ind w:left="851" w:right="709"/>
        <w:jc w:val="both"/>
        <w:rPr>
          <w:rFonts w:ascii="Verdana" w:eastAsia="Calibri" w:hAnsi="Verdana" w:cs="Arial"/>
          <w:bCs/>
          <w:sz w:val="21"/>
          <w:szCs w:val="21"/>
          <w:lang w:val="es-ES_tradnl" w:eastAsia="es-CO"/>
        </w:rPr>
      </w:pPr>
      <w:r w:rsidRPr="00E14D02">
        <w:rPr>
          <w:rFonts w:ascii="Verdana" w:eastAsia="Calibri" w:hAnsi="Verdana" w:cs="Arial"/>
          <w:bCs/>
          <w:sz w:val="21"/>
          <w:szCs w:val="21"/>
          <w:lang w:val="es-ES_tradnl" w:eastAsia="es-CO"/>
        </w:rPr>
        <w:t>La jurisprudencia de la Corte Constitucional</w:t>
      </w:r>
      <w:r w:rsidRPr="00E14D02">
        <w:rPr>
          <w:rFonts w:ascii="Verdana" w:eastAsia="Calibri" w:hAnsi="Verdana" w:cs="Arial"/>
          <w:bCs/>
          <w:sz w:val="21"/>
          <w:szCs w:val="21"/>
          <w:vertAlign w:val="superscript"/>
          <w:lang w:val="es-ES_tradnl" w:eastAsia="es-CO"/>
        </w:rPr>
        <w:footnoteReference w:id="4"/>
      </w:r>
      <w:r w:rsidRPr="00E14D02">
        <w:rPr>
          <w:rFonts w:ascii="Verdana" w:eastAsia="Calibri" w:hAnsi="Verdana" w:cs="Arial"/>
          <w:bCs/>
          <w:sz w:val="21"/>
          <w:szCs w:val="21"/>
          <w:lang w:val="es-ES_tradnl" w:eastAsia="es-CO"/>
        </w:rPr>
        <w:t> y del Consejo de Estado</w:t>
      </w:r>
      <w:r w:rsidRPr="00E14D02">
        <w:rPr>
          <w:rFonts w:ascii="Verdana" w:eastAsia="Calibri" w:hAnsi="Verdana" w:cs="Arial"/>
          <w:bCs/>
          <w:sz w:val="21"/>
          <w:szCs w:val="21"/>
          <w:vertAlign w:val="superscript"/>
          <w:lang w:val="es-ES_tradnl" w:eastAsia="es-CO"/>
        </w:rPr>
        <w:footnoteReference w:id="5"/>
      </w:r>
      <w:r w:rsidRPr="00E14D02">
        <w:rPr>
          <w:rFonts w:ascii="Verdana" w:eastAsia="Calibri" w:hAnsi="Verdana" w:cs="Arial"/>
          <w:bCs/>
          <w:sz w:val="21"/>
          <w:szCs w:val="21"/>
          <w:lang w:val="es-ES_tradnl"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14D02">
        <w:rPr>
          <w:rFonts w:ascii="Verdana" w:eastAsia="Calibri" w:hAnsi="Verdana" w:cs="Arial"/>
          <w:bCs/>
          <w:sz w:val="21"/>
          <w:szCs w:val="21"/>
          <w:vertAlign w:val="superscript"/>
          <w:lang w:val="es-ES_tradnl" w:eastAsia="es-CO"/>
        </w:rPr>
        <w:footnoteReference w:id="6"/>
      </w:r>
      <w:r w:rsidRPr="00E14D02">
        <w:rPr>
          <w:rFonts w:ascii="Verdana" w:eastAsia="Calibri" w:hAnsi="Verdana" w:cs="Arial"/>
          <w:bCs/>
          <w:sz w:val="21"/>
          <w:szCs w:val="21"/>
          <w:lang w:val="es-ES_tradnl" w:eastAsia="es-CO"/>
        </w:rPr>
        <w:t>.</w:t>
      </w:r>
    </w:p>
    <w:p w14:paraId="5F59FB7E" w14:textId="77777777" w:rsidR="007A66E6" w:rsidRDefault="007A66E6" w:rsidP="00900DB1">
      <w:pPr>
        <w:spacing w:after="0"/>
        <w:jc w:val="both"/>
        <w:rPr>
          <w:rFonts w:ascii="Verdana" w:hAnsi="Verdana"/>
        </w:rPr>
      </w:pPr>
    </w:p>
    <w:p w14:paraId="0302EE4B" w14:textId="77777777" w:rsidR="00ED1E12" w:rsidRDefault="00ED1E12" w:rsidP="00ED1E12">
      <w:pPr>
        <w:spacing w:after="120"/>
        <w:ind w:firstLine="708"/>
        <w:jc w:val="both"/>
        <w:rPr>
          <w:rFonts w:ascii="Verdana" w:hAnsi="Verdana"/>
        </w:rPr>
      </w:pPr>
      <w:r w:rsidRPr="00ED1E12">
        <w:rPr>
          <w:rFonts w:ascii="Verdana" w:hAnsi="Verdana"/>
        </w:rPr>
        <w:lastRenderedPageBreak/>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FB45DDC" w14:textId="77777777" w:rsidR="0096749D" w:rsidRDefault="0096749D" w:rsidP="0096749D">
      <w:pPr>
        <w:spacing w:after="120" w:line="276" w:lineRule="auto"/>
        <w:ind w:firstLine="708"/>
        <w:jc w:val="both"/>
        <w:rPr>
          <w:rFonts w:ascii="Verdana" w:eastAsia="Arial" w:hAnsi="Verdana" w:cs="Arial"/>
          <w:lang w:val="es-ES" w:eastAsia="es-ES" w:bidi="es-ES"/>
        </w:rPr>
      </w:pPr>
      <w:r w:rsidRPr="004321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55E47519" w14:textId="77777777" w:rsidR="00540505" w:rsidRDefault="00540505" w:rsidP="00540505">
      <w:pPr>
        <w:spacing w:after="120" w:line="276" w:lineRule="auto"/>
        <w:ind w:firstLine="709"/>
        <w:contextualSpacing/>
        <w:jc w:val="both"/>
        <w:rPr>
          <w:rFonts w:ascii="Verdana" w:eastAsia="Calibri" w:hAnsi="Verdana" w:cs="Arial"/>
          <w:lang w:val="es-ES_tradnl" w:eastAsia="es-ES_tradnl"/>
        </w:rPr>
      </w:pPr>
      <w:r w:rsidRPr="00432152">
        <w:rPr>
          <w:rFonts w:ascii="Verdana" w:eastAsia="Calibri" w:hAnsi="Verdana" w:cs="Arial"/>
          <w:lang w:val="es-ES_tradnl" w:eastAsia="es-ES_tradnl"/>
        </w:rPr>
        <w:t xml:space="preserve">Por un lado, el artículo 33 de la Ley 996 de 2005 prohíbe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la contratación directa por parte de todos los entes del Estado</w:t>
      </w:r>
      <w:r>
        <w:rPr>
          <w:rFonts w:ascii="Verdana" w:eastAsia="Calibri" w:hAnsi="Verdana" w:cs="Arial"/>
          <w:bCs/>
          <w:lang w:val="es-ES_tradnl" w:eastAsia="es-ES_tradnl"/>
        </w:rPr>
        <w:t>”</w:t>
      </w:r>
      <w:r w:rsidRPr="00432152">
        <w:rPr>
          <w:rFonts w:ascii="Verdana" w:eastAsia="Calibri" w:hAnsi="Verdana" w:cs="Arial"/>
          <w:lang w:val="es-ES_tradnl" w:eastAsia="es-ES_tradnl"/>
        </w:rPr>
        <w:t xml:space="preserve"> durante los cuatro (4) meses anteriores a las elecciones presidenciales, salvo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7"/>
      </w:r>
      <w:r w:rsidRPr="00432152">
        <w:rPr>
          <w:rFonts w:ascii="Verdana" w:eastAsia="Calibri" w:hAnsi="Verdana" w:cs="Arial"/>
          <w:lang w:val="es-ES_tradnl" w:eastAsia="es-ES_tradnl"/>
        </w:rPr>
        <w:t>.</w:t>
      </w:r>
    </w:p>
    <w:p w14:paraId="386D2D07" w14:textId="77777777" w:rsidR="00540505" w:rsidRPr="00432152" w:rsidRDefault="00540505" w:rsidP="00540505">
      <w:pPr>
        <w:spacing w:after="120" w:line="276" w:lineRule="auto"/>
        <w:ind w:firstLine="709"/>
        <w:contextualSpacing/>
        <w:jc w:val="both"/>
        <w:rPr>
          <w:rFonts w:ascii="Verdana" w:eastAsia="Calibri" w:hAnsi="Verdana" w:cs="Arial"/>
          <w:lang w:val="es-ES_tradnl" w:eastAsia="es-ES_tradnl"/>
        </w:rPr>
      </w:pPr>
    </w:p>
    <w:p w14:paraId="4F65436D" w14:textId="77777777" w:rsidR="00540505" w:rsidRDefault="00540505" w:rsidP="00540505">
      <w:pPr>
        <w:widowControl w:val="0"/>
        <w:autoSpaceDE w:val="0"/>
        <w:autoSpaceDN w:val="0"/>
        <w:spacing w:after="120" w:line="276" w:lineRule="auto"/>
        <w:ind w:firstLine="709"/>
        <w:contextualSpacing/>
        <w:jc w:val="both"/>
        <w:rPr>
          <w:rFonts w:ascii="Verdana" w:eastAsia="Arial" w:hAnsi="Verdana" w:cs="Arial"/>
          <w:lang w:val="es-ES" w:eastAsia="es-ES" w:bidi="es-ES"/>
        </w:rPr>
      </w:pPr>
      <w:r w:rsidRPr="00432152">
        <w:rPr>
          <w:rFonts w:ascii="Verdana" w:eastAsia="Calibri" w:hAnsi="Verdana" w:cs="Arial"/>
          <w:lang w:val="es-ES_tradnl" w:eastAsia="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8"/>
      </w:r>
      <w:r w:rsidRPr="00432152">
        <w:rPr>
          <w:rFonts w:ascii="Verdana" w:eastAsia="Calibri" w:hAnsi="Verdana" w:cs="Arial"/>
          <w:lang w:val="es-ES_tradnl" w:eastAsia="es-ES_tradnl"/>
        </w:rPr>
        <w:t>.</w:t>
      </w:r>
      <w:r w:rsidRPr="00432152">
        <w:rPr>
          <w:rFonts w:ascii="Verdana" w:eastAsia="Arial" w:hAnsi="Verdana" w:cs="Arial"/>
          <w:lang w:val="es-ES" w:eastAsia="es-ES" w:bidi="es-ES"/>
        </w:rPr>
        <w:t xml:space="preserve"> </w:t>
      </w:r>
    </w:p>
    <w:p w14:paraId="7AD89D49" w14:textId="77777777" w:rsidR="00540505" w:rsidRDefault="00540505" w:rsidP="00540505">
      <w:pPr>
        <w:widowControl w:val="0"/>
        <w:autoSpaceDE w:val="0"/>
        <w:autoSpaceDN w:val="0"/>
        <w:spacing w:after="120" w:line="276" w:lineRule="auto"/>
        <w:ind w:firstLine="709"/>
        <w:contextualSpacing/>
        <w:jc w:val="both"/>
        <w:rPr>
          <w:rFonts w:ascii="Verdana" w:eastAsia="Arial" w:hAnsi="Verdana" w:cs="Arial"/>
          <w:lang w:val="es-ES" w:eastAsia="es-ES" w:bidi="es-ES"/>
        </w:rPr>
      </w:pPr>
    </w:p>
    <w:p w14:paraId="631700EA" w14:textId="77777777" w:rsidR="00540505" w:rsidRDefault="00540505" w:rsidP="00540505">
      <w:pPr>
        <w:widowControl w:val="0"/>
        <w:autoSpaceDE w:val="0"/>
        <w:autoSpaceDN w:val="0"/>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524AC236" w14:textId="77777777" w:rsidR="001E6BC8" w:rsidRPr="00432152" w:rsidRDefault="001E6BC8" w:rsidP="00540505">
      <w:pPr>
        <w:widowControl w:val="0"/>
        <w:autoSpaceDE w:val="0"/>
        <w:autoSpaceDN w:val="0"/>
        <w:spacing w:after="120" w:line="276" w:lineRule="auto"/>
        <w:ind w:firstLine="709"/>
        <w:jc w:val="both"/>
        <w:rPr>
          <w:rFonts w:ascii="Verdana" w:eastAsia="Arial" w:hAnsi="Verdana" w:cs="Arial"/>
          <w:lang w:val="es-ES" w:eastAsia="es-ES" w:bidi="es-ES"/>
        </w:rPr>
      </w:pPr>
    </w:p>
    <w:p w14:paraId="537EA7FB" w14:textId="77777777" w:rsidR="00BC7F95" w:rsidRPr="001E6BC8" w:rsidRDefault="00BC7F95" w:rsidP="00BC7F95">
      <w:pPr>
        <w:widowControl w:val="0"/>
        <w:autoSpaceDE w:val="0"/>
        <w:autoSpaceDN w:val="0"/>
        <w:spacing w:after="0" w:line="240" w:lineRule="auto"/>
        <w:ind w:left="709" w:right="709"/>
        <w:jc w:val="both"/>
        <w:rPr>
          <w:rFonts w:ascii="Verdana" w:eastAsia="Arial" w:hAnsi="Verdana" w:cs="Arial"/>
          <w:sz w:val="21"/>
          <w:szCs w:val="21"/>
          <w:lang w:val="es-ES" w:eastAsia="es-ES" w:bidi="es-ES"/>
        </w:rPr>
      </w:pPr>
      <w:r w:rsidRPr="001E6BC8">
        <w:rPr>
          <w:rFonts w:ascii="Verdana" w:eastAsia="Arial" w:hAnsi="Verdana" w:cs="Arial"/>
          <w:sz w:val="21"/>
          <w:szCs w:val="21"/>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1E6BC8">
        <w:rPr>
          <w:rFonts w:ascii="Verdana" w:eastAsia="Arial" w:hAnsi="Verdana" w:cs="Arial"/>
          <w:bCs/>
          <w:sz w:val="21"/>
          <w:szCs w:val="21"/>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sidRPr="001E6BC8">
        <w:rPr>
          <w:rFonts w:ascii="Verdana" w:eastAsia="Arial" w:hAnsi="Verdana" w:cs="Arial"/>
          <w:sz w:val="21"/>
          <w:szCs w:val="21"/>
          <w:vertAlign w:val="superscript"/>
          <w:lang w:val="es-ES" w:eastAsia="es-ES" w:bidi="es-ES"/>
        </w:rPr>
        <w:footnoteReference w:id="9"/>
      </w:r>
      <w:r w:rsidRPr="001E6BC8">
        <w:rPr>
          <w:rFonts w:ascii="Verdana" w:eastAsia="Arial" w:hAnsi="Verdana" w:cs="Arial"/>
          <w:sz w:val="21"/>
          <w:szCs w:val="21"/>
          <w:lang w:val="es-ES" w:eastAsia="es-ES" w:bidi="es-ES"/>
        </w:rPr>
        <w:t>.</w:t>
      </w:r>
    </w:p>
    <w:p w14:paraId="3CFF36B4" w14:textId="77777777" w:rsidR="00BC7F95" w:rsidRDefault="00BC7F95" w:rsidP="00BC7F95">
      <w:pPr>
        <w:spacing w:after="0" w:line="276" w:lineRule="auto"/>
        <w:ind w:left="142" w:firstLine="709"/>
        <w:jc w:val="both"/>
        <w:rPr>
          <w:rFonts w:ascii="Verdana" w:eastAsia="Arial" w:hAnsi="Verdana" w:cs="Arial"/>
          <w:lang w:val="es-ES" w:eastAsia="es-ES" w:bidi="es-ES"/>
        </w:rPr>
      </w:pPr>
    </w:p>
    <w:p w14:paraId="25E26E29" w14:textId="77777777" w:rsidR="00BC7F95" w:rsidRDefault="00BC7F95" w:rsidP="00BC7F95">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 xml:space="preserve">De lo anterior se desprende que </w:t>
      </w:r>
      <w:bookmarkStart w:id="3" w:name="_Hlk77236420"/>
      <w:bookmarkStart w:id="4" w:name="_Hlk78818435"/>
      <w:r w:rsidRPr="00432152">
        <w:rPr>
          <w:rFonts w:ascii="Verdana" w:eastAsia="Arial" w:hAnsi="Verdana" w:cs="Arial"/>
          <w:lang w:val="es-ES" w:eastAsia="es-ES" w:bidi="es-ES"/>
        </w:rPr>
        <w:t xml:space="preserve">la Ley 996 de 2005 establece dos (2) tipos de restricciones en materia de contratación, las cuales coinciden parcialmente. </w:t>
      </w:r>
      <w:r w:rsidRPr="00432152">
        <w:rPr>
          <w:rFonts w:ascii="Verdana" w:eastAsia="Arial" w:hAnsi="Verdana" w:cs="Arial"/>
          <w:i/>
          <w:iCs/>
          <w:lang w:val="es-ES" w:eastAsia="es-ES" w:bidi="es-ES"/>
        </w:rPr>
        <w:t>En primer lugar</w:t>
      </w:r>
      <w:r w:rsidRPr="004321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32152">
        <w:rPr>
          <w:rFonts w:ascii="Verdana" w:eastAsia="Arial" w:hAnsi="Verdana" w:cs="Arial"/>
          <w:i/>
          <w:iCs/>
          <w:lang w:val="es-ES" w:eastAsia="es-ES" w:bidi="es-ES"/>
        </w:rPr>
        <w:t>En segundo lugar</w:t>
      </w:r>
      <w:r w:rsidRPr="00432152">
        <w:rPr>
          <w:rFonts w:ascii="Verdana" w:eastAsia="Arial" w:hAnsi="Verdana" w:cs="Arial"/>
          <w:lang w:val="es-ES" w:eastAsia="es-ES" w:bidi="es-ES"/>
        </w:rPr>
        <w:t xml:space="preserve">, también se </w:t>
      </w:r>
      <w:r w:rsidRPr="00432152">
        <w:rPr>
          <w:rFonts w:ascii="Verdana" w:eastAsia="Arial" w:hAnsi="Verdana" w:cs="Arial"/>
          <w:lang w:val="es-ES" w:eastAsia="es-ES" w:bidi="es-ES"/>
        </w:rPr>
        <w:lastRenderedPageBreak/>
        <w:t>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3"/>
    </w:p>
    <w:p w14:paraId="358B309C" w14:textId="77777777" w:rsidR="00551AAD" w:rsidRPr="00432152" w:rsidRDefault="00551AAD" w:rsidP="00551AAD">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37D4ABB6" w14:textId="77777777" w:rsidR="00551AAD" w:rsidRPr="00D8028D" w:rsidRDefault="00551AAD" w:rsidP="00551AAD">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w:t>
      </w:r>
      <w:r w:rsidRPr="00D8028D">
        <w:rPr>
          <w:rFonts w:ascii="Verdana" w:eastAsia="Arial" w:hAnsi="Verdana" w:cs="Arial"/>
          <w:lang w:val="es-ES" w:eastAsia="es-ES" w:bidi="es-ES"/>
        </w:rPr>
        <w:t xml:space="preserve">para el Vicepresidente que no haya ejercido la presidencia o que la haya ejercido por un tiempo inferior a tres (3) meses durante el respectivo cuatrienio, en forma continua o discontinua, conforme al artículo 197 de la Constitución Política.  </w:t>
      </w:r>
    </w:p>
    <w:p w14:paraId="443C3C55" w14:textId="77777777" w:rsidR="00060C3D" w:rsidRPr="00D8028D" w:rsidRDefault="00060C3D" w:rsidP="00060C3D">
      <w:pPr>
        <w:spacing w:after="120" w:line="276" w:lineRule="auto"/>
        <w:ind w:firstLine="709"/>
        <w:jc w:val="both"/>
        <w:rPr>
          <w:rFonts w:ascii="Verdana" w:eastAsia="Calibri" w:hAnsi="Verdana" w:cs="Arial"/>
          <w:lang w:val="es-ES_tradnl" w:eastAsia="es-CO"/>
        </w:rPr>
      </w:pPr>
      <w:r w:rsidRPr="00D8028D">
        <w:rPr>
          <w:rFonts w:ascii="Verdana" w:eastAsia="Calibri" w:hAnsi="Verdana" w:cs="Arial"/>
          <w:bCs/>
          <w:lang w:val="es-ES_tradnl" w:eastAsia="x-none"/>
        </w:rPr>
        <w:t xml:space="preserve">El ámbito material de la prohibición contenida en el artículo 33 de la ley 996 de 2005 está delimitado por la expresión </w:t>
      </w:r>
      <w:r w:rsidRPr="00D8028D">
        <w:rPr>
          <w:rFonts w:ascii="Verdana" w:eastAsia="Calibri" w:hAnsi="Verdana" w:cs="Arial"/>
          <w:bCs/>
          <w:lang w:val="es-ES_tradnl" w:eastAsia="es-ES_tradnl"/>
        </w:rPr>
        <w:t>“</w:t>
      </w:r>
      <w:r w:rsidRPr="00D8028D">
        <w:rPr>
          <w:rFonts w:ascii="Verdana" w:eastAsia="Calibri" w:hAnsi="Verdana" w:cs="Arial"/>
          <w:bCs/>
          <w:lang w:val="es-ES_tradnl" w:eastAsia="x-none"/>
        </w:rPr>
        <w:t>queda prohibida la contratación directa</w:t>
      </w:r>
      <w:r w:rsidRPr="00D8028D">
        <w:rPr>
          <w:rFonts w:ascii="Verdana" w:eastAsia="Calibri" w:hAnsi="Verdana" w:cs="Arial"/>
          <w:lang w:val="es-ES_tradnl" w:eastAsia="es-ES_tradnl"/>
        </w:rPr>
        <w:t>”</w:t>
      </w:r>
      <w:r w:rsidRPr="00D8028D">
        <w:rPr>
          <w:rFonts w:ascii="Verdana" w:eastAsia="Calibri" w:hAnsi="Verdana" w:cs="Arial"/>
          <w:bCs/>
          <w:lang w:val="es-ES_tradnl" w:eastAsia="x-none"/>
        </w:rPr>
        <w:t xml:space="preserve">. </w:t>
      </w:r>
      <w:r w:rsidRPr="00D8028D">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55E36617" w14:textId="77777777" w:rsidR="00060C3D" w:rsidRPr="00D8028D" w:rsidRDefault="00060C3D" w:rsidP="00060C3D">
      <w:pPr>
        <w:spacing w:after="0" w:line="276" w:lineRule="auto"/>
        <w:jc w:val="both"/>
        <w:rPr>
          <w:rFonts w:ascii="Verdana" w:eastAsia="Calibri" w:hAnsi="Verdana" w:cs="Arial"/>
          <w:bCs/>
          <w:lang w:val="es-ES_tradnl" w:eastAsia="es-CO"/>
        </w:rPr>
      </w:pPr>
    </w:p>
    <w:p w14:paraId="0FD058B3" w14:textId="77777777" w:rsidR="00060C3D" w:rsidRPr="00060C3D" w:rsidRDefault="00060C3D" w:rsidP="00060C3D">
      <w:pPr>
        <w:spacing w:after="0" w:line="240" w:lineRule="auto"/>
        <w:ind w:left="709" w:right="709"/>
        <w:jc w:val="both"/>
        <w:rPr>
          <w:rFonts w:ascii="Verdana" w:eastAsia="Calibri" w:hAnsi="Verdana" w:cs="Arial"/>
          <w:sz w:val="21"/>
          <w:szCs w:val="21"/>
          <w:lang w:val="es-ES_tradnl" w:eastAsia="es-ES_tradnl"/>
        </w:rPr>
      </w:pPr>
      <w:r w:rsidRPr="00060C3D">
        <w:rPr>
          <w:rFonts w:ascii="Verdana" w:eastAsia="Calibri" w:hAnsi="Verdana" w:cs="Arial"/>
          <w:sz w:val="21"/>
          <w:szCs w:val="21"/>
          <w:lang w:val="es-ES_tradnl" w:eastAsia="es-ES_tradnl"/>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w:t>
      </w:r>
      <w:r w:rsidRPr="00060C3D">
        <w:rPr>
          <w:rFonts w:ascii="Verdana" w:eastAsia="Calibri" w:hAnsi="Verdana" w:cs="Arial"/>
          <w:sz w:val="21"/>
          <w:szCs w:val="21"/>
          <w:lang w:val="es-ES_tradnl" w:eastAsia="es-ES_tradnl"/>
        </w:rPr>
        <w:lastRenderedPageBreak/>
        <w:t>(numeral 4, artículo 2, ley 1150 de 2007), y cumpliendo siempre los principios que rigen la contratación pública</w:t>
      </w:r>
      <w:r w:rsidRPr="00060C3D">
        <w:rPr>
          <w:rFonts w:ascii="Verdana" w:eastAsia="Calibri" w:hAnsi="Verdana" w:cs="Arial"/>
          <w:sz w:val="21"/>
          <w:szCs w:val="21"/>
          <w:vertAlign w:val="superscript"/>
          <w:lang w:val="es-ES_tradnl" w:eastAsia="es-CO"/>
        </w:rPr>
        <w:footnoteReference w:id="10"/>
      </w:r>
      <w:r w:rsidRPr="00060C3D">
        <w:rPr>
          <w:rFonts w:ascii="Verdana" w:eastAsia="Calibri" w:hAnsi="Verdana" w:cs="Arial"/>
          <w:sz w:val="21"/>
          <w:szCs w:val="21"/>
          <w:lang w:val="es-ES_tradnl" w:eastAsia="es-ES_tradnl"/>
        </w:rPr>
        <w:t>.</w:t>
      </w:r>
    </w:p>
    <w:p w14:paraId="46E7846C" w14:textId="77777777" w:rsidR="00060C3D" w:rsidRPr="00060C3D" w:rsidRDefault="00060C3D" w:rsidP="00060C3D">
      <w:pPr>
        <w:spacing w:after="0" w:line="240" w:lineRule="auto"/>
        <w:ind w:left="709" w:right="709"/>
        <w:jc w:val="both"/>
        <w:rPr>
          <w:rFonts w:ascii="Verdana" w:eastAsia="Calibri" w:hAnsi="Verdana" w:cs="Arial"/>
          <w:sz w:val="21"/>
          <w:szCs w:val="21"/>
          <w:lang w:val="es-ES_tradnl" w:eastAsia="es-ES_tradnl"/>
        </w:rPr>
      </w:pPr>
    </w:p>
    <w:p w14:paraId="3AD00252" w14:textId="77777777" w:rsidR="00060C3D" w:rsidRPr="00060C3D" w:rsidRDefault="00060C3D" w:rsidP="00060C3D">
      <w:pPr>
        <w:spacing w:after="0" w:line="240" w:lineRule="auto"/>
        <w:ind w:left="709" w:right="709"/>
        <w:jc w:val="both"/>
        <w:rPr>
          <w:rFonts w:ascii="Verdana" w:eastAsia="Calibri" w:hAnsi="Verdana" w:cs="Arial"/>
          <w:sz w:val="21"/>
          <w:szCs w:val="21"/>
          <w:lang w:val="es-ES" w:eastAsia="es-ES"/>
        </w:rPr>
      </w:pPr>
      <w:r w:rsidRPr="00060C3D">
        <w:rPr>
          <w:rFonts w:ascii="Verdana" w:eastAsia="Calibri" w:hAnsi="Verdana" w:cs="Arial"/>
          <w:sz w:val="21"/>
          <w:szCs w:val="21"/>
          <w:lang w:val="es-ES" w:eastAsia="es-ES"/>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060C3D">
        <w:rPr>
          <w:rFonts w:ascii="Verdana" w:eastAsia="Calibri" w:hAnsi="Verdana" w:cs="Arial"/>
          <w:sz w:val="21"/>
          <w:szCs w:val="21"/>
          <w:vertAlign w:val="superscript"/>
          <w:lang w:val="es-ES" w:eastAsia="es-ES"/>
        </w:rPr>
        <w:footnoteReference w:id="11"/>
      </w:r>
      <w:r w:rsidRPr="00060C3D">
        <w:rPr>
          <w:rFonts w:ascii="Verdana" w:eastAsia="Calibri" w:hAnsi="Verdana" w:cs="Arial"/>
          <w:sz w:val="21"/>
          <w:szCs w:val="21"/>
          <w:vertAlign w:val="superscript"/>
          <w:lang w:val="es-ES" w:eastAsia="es-ES"/>
        </w:rPr>
        <w:t>.</w:t>
      </w:r>
      <w:r w:rsidRPr="00060C3D">
        <w:rPr>
          <w:rFonts w:ascii="Verdana" w:eastAsia="Calibri" w:hAnsi="Verdana" w:cs="Arial"/>
          <w:sz w:val="21"/>
          <w:szCs w:val="21"/>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060C3D">
        <w:rPr>
          <w:rFonts w:ascii="Verdana" w:eastAsia="Calibri" w:hAnsi="Verdana" w:cs="Arial"/>
          <w:sz w:val="21"/>
          <w:szCs w:val="21"/>
          <w:vertAlign w:val="superscript"/>
          <w:lang w:val="es-ES" w:eastAsia="es-CO"/>
        </w:rPr>
        <w:footnoteReference w:id="12"/>
      </w:r>
      <w:r w:rsidRPr="00060C3D">
        <w:rPr>
          <w:rFonts w:ascii="Verdana" w:eastAsia="Calibri" w:hAnsi="Verdana" w:cs="Arial"/>
          <w:sz w:val="21"/>
          <w:szCs w:val="21"/>
          <w:lang w:val="es-ES" w:eastAsia="es-ES"/>
        </w:rPr>
        <w:t xml:space="preserve"> .</w:t>
      </w:r>
    </w:p>
    <w:p w14:paraId="74CC3331" w14:textId="77777777" w:rsidR="00060C3D" w:rsidRPr="00060C3D" w:rsidRDefault="00060C3D" w:rsidP="00060C3D">
      <w:pPr>
        <w:spacing w:after="0" w:line="240" w:lineRule="auto"/>
        <w:ind w:left="709" w:right="709"/>
        <w:jc w:val="both"/>
        <w:rPr>
          <w:rFonts w:ascii="Verdana" w:eastAsia="Calibri" w:hAnsi="Verdana" w:cs="Arial"/>
          <w:sz w:val="21"/>
          <w:szCs w:val="21"/>
          <w:lang w:val="es-ES" w:eastAsia="es-ES"/>
        </w:rPr>
      </w:pPr>
    </w:p>
    <w:p w14:paraId="258151D0" w14:textId="77777777" w:rsidR="00462B56" w:rsidRPr="00D8028D" w:rsidRDefault="00462B56" w:rsidP="00462B56">
      <w:pPr>
        <w:spacing w:after="120" w:line="276" w:lineRule="auto"/>
        <w:ind w:firstLine="709"/>
        <w:jc w:val="both"/>
        <w:rPr>
          <w:rFonts w:ascii="Verdana" w:eastAsia="Times New Roman" w:hAnsi="Verdana" w:cs="Arial"/>
          <w:bCs/>
          <w:lang w:val="es-ES_tradnl" w:eastAsia="x-none"/>
        </w:rPr>
      </w:pPr>
      <w:r w:rsidRPr="00D8028D">
        <w:rPr>
          <w:rFonts w:ascii="Verdana" w:eastAsia="Calibri" w:hAnsi="Verdana" w:cs="Arial"/>
          <w:lang w:val="es-ES_tradnl" w:eastAsia="x-none"/>
        </w:rPr>
        <w:t xml:space="preserve">De acuerdo con el citado concepto, la prohibición del artículo 33 de la Ley de Garantías Electorales se refiere a </w:t>
      </w:r>
      <w:r w:rsidRPr="00D8028D">
        <w:rPr>
          <w:rFonts w:ascii="Verdana" w:eastAsia="Calibri" w:hAnsi="Verdana" w:cs="Arial"/>
          <w:lang w:val="es-ES_tradnl" w:eastAsia="en-GB"/>
        </w:rPr>
        <w:t>“</w:t>
      </w:r>
      <w:r w:rsidRPr="00D8028D">
        <w:rPr>
          <w:rFonts w:ascii="Verdana" w:eastAsia="Calibri" w:hAnsi="Verdana" w:cs="Arial"/>
          <w:lang w:val="es-ES_tradnl" w:eastAsia="x-none"/>
        </w:rPr>
        <w:t>cualquier sistema que no implique convocatoria pública y posibilidad de pluralidad de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D8028D">
        <w:rPr>
          <w:rFonts w:ascii="Verdana" w:eastAsia="Calibri" w:hAnsi="Verdana" w:cs="Arial"/>
          <w:color w:val="000000"/>
          <w:lang w:val="es-ES_tradnl" w:eastAsia="x-none"/>
        </w:rPr>
        <w:t>además lo es con la posterior creación de la modalidad de mínima cuantía establecida actualmente en el numeral 5 del artículo 2 de la Ley 1150 de 2007, de acuerdo con las modificaciones realizadas por leyes posteriores</w:t>
      </w:r>
      <w:r w:rsidRPr="00D8028D">
        <w:rPr>
          <w:rFonts w:ascii="Verdana" w:eastAsia="Calibri" w:hAnsi="Verdana" w:cs="Arial"/>
          <w:color w:val="000000"/>
          <w:vertAlign w:val="superscript"/>
          <w:lang w:val="es-ES_tradnl" w:eastAsia="x-none"/>
        </w:rPr>
        <w:footnoteReference w:id="13"/>
      </w:r>
      <w:r w:rsidRPr="00D8028D">
        <w:rPr>
          <w:rFonts w:ascii="Verdana" w:eastAsia="Calibri" w:hAnsi="Verdana" w:cs="Arial"/>
          <w:color w:val="000000"/>
          <w:lang w:val="es-ES_tradnl" w:eastAsia="x-none"/>
        </w:rPr>
        <w:t>.</w:t>
      </w:r>
      <w:r w:rsidRPr="00D8028D">
        <w:rPr>
          <w:rFonts w:ascii="Verdana" w:eastAsia="Times New Roman" w:hAnsi="Verdana" w:cs="Arial"/>
          <w:lang w:val="es-ES_tradnl" w:eastAsia="x-none"/>
        </w:rPr>
        <w:t xml:space="preserve"> </w:t>
      </w:r>
    </w:p>
    <w:p w14:paraId="57748F96" w14:textId="6D2C5E51" w:rsidR="001E6BC8" w:rsidRDefault="00462B56" w:rsidP="00462B56">
      <w:pPr>
        <w:spacing w:after="120" w:line="276" w:lineRule="auto"/>
        <w:ind w:firstLine="709"/>
        <w:jc w:val="both"/>
        <w:rPr>
          <w:rFonts w:ascii="Verdana" w:eastAsia="Calibri" w:hAnsi="Verdana" w:cs="Arial"/>
          <w:lang w:val="es-ES_tradnl" w:eastAsia="x-none"/>
        </w:rPr>
      </w:pPr>
      <w:r w:rsidRPr="00D8028D">
        <w:rPr>
          <w:rFonts w:ascii="Verdana" w:eastAsia="Calibri" w:hAnsi="Verdana" w:cs="Arial"/>
          <w:lang w:val="es-ES_tradnl" w:eastAsia="x-none"/>
        </w:rPr>
        <w:t xml:space="preserve">De esta forma, con fundamento en la evolución de la normativa sobre la contratación pública, se ha depurado la noción de </w:t>
      </w:r>
      <w:r w:rsidRPr="00D8028D">
        <w:rPr>
          <w:rFonts w:ascii="Verdana" w:eastAsia="Calibri" w:hAnsi="Verdana" w:cs="Arial"/>
          <w:lang w:val="es-ES_tradnl" w:eastAsia="en-GB"/>
        </w:rPr>
        <w:t>“</w:t>
      </w:r>
      <w:r w:rsidRPr="00D8028D">
        <w:rPr>
          <w:rFonts w:ascii="Verdana" w:eastAsia="Calibri" w:hAnsi="Verdana" w:cs="Arial"/>
          <w:lang w:val="es-ES_tradnl" w:eastAsia="x-none"/>
        </w:rPr>
        <w:t>contratación directa</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w:t>
      </w:r>
      <w:r w:rsidRPr="00D8028D">
        <w:rPr>
          <w:rFonts w:ascii="Verdana" w:eastAsia="Calibri" w:hAnsi="Verdana" w:cs="Arial"/>
          <w:lang w:val="es-ES_tradnl" w:eastAsia="x-none"/>
        </w:rPr>
        <w:lastRenderedPageBreak/>
        <w:t>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D8028D">
        <w:rPr>
          <w:rFonts w:ascii="Verdana" w:eastAsia="Calibri" w:hAnsi="Verdana" w:cs="Arial"/>
          <w:vertAlign w:val="superscript"/>
          <w:lang w:val="en-GB" w:eastAsia="x-none"/>
        </w:rPr>
        <w:footnoteReference w:id="14"/>
      </w:r>
      <w:r w:rsidRPr="00D8028D">
        <w:rPr>
          <w:rFonts w:ascii="Verdana" w:eastAsia="Calibri" w:hAnsi="Verdana" w:cs="Arial"/>
          <w:lang w:val="es-ES_tradnl" w:eastAsia="x-none"/>
        </w:rPr>
        <w:t>, han establecido sistemas de contratación que implican convocatoria pública y participación de varios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w:t>
      </w:r>
    </w:p>
    <w:p w14:paraId="1AD3CEF0" w14:textId="77777777" w:rsidR="0066143A" w:rsidRPr="00D8028D" w:rsidRDefault="0066143A" w:rsidP="0066143A">
      <w:pPr>
        <w:spacing w:after="120" w:line="276" w:lineRule="auto"/>
        <w:ind w:firstLine="709"/>
        <w:jc w:val="both"/>
        <w:rPr>
          <w:rFonts w:ascii="Verdana" w:eastAsia="Calibri" w:hAnsi="Verdana" w:cs="Arial"/>
          <w:bCs/>
          <w:lang w:val="es-ES_tradnl" w:eastAsia="es-CO"/>
        </w:rPr>
      </w:pPr>
      <w:r w:rsidRPr="00D8028D">
        <w:rPr>
          <w:rFonts w:ascii="Verdana" w:eastAsia="Calibri" w:hAnsi="Verdana" w:cs="Arial"/>
          <w:bCs/>
          <w:lang w:val="es-ES_tradnl" w:eastAsia="x-none"/>
        </w:rPr>
        <w:t>E</w:t>
      </w:r>
      <w:r w:rsidRPr="00D8028D">
        <w:rPr>
          <w:rFonts w:ascii="Verdana" w:eastAsia="Calibri" w:hAnsi="Verdana"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D8028D">
        <w:rPr>
          <w:rFonts w:ascii="Verdana" w:eastAsia="Calibri" w:hAnsi="Verdana" w:cs="Arial"/>
          <w:vertAlign w:val="superscript"/>
          <w:lang w:val="es-ES_tradnl" w:eastAsia="x-none"/>
        </w:rPr>
        <w:footnoteReference w:id="15"/>
      </w:r>
      <w:r w:rsidRPr="00D8028D">
        <w:rPr>
          <w:rFonts w:ascii="Verdana" w:eastAsia="Calibri" w:hAnsi="Verdana" w:cs="Arial"/>
          <w:lang w:val="es-ES_tradnl" w:eastAsia="x-none"/>
        </w:rPr>
        <w:t xml:space="preserve">. </w:t>
      </w:r>
    </w:p>
    <w:p w14:paraId="4AB67D97" w14:textId="77777777" w:rsidR="0066143A" w:rsidRPr="00D8028D" w:rsidRDefault="0066143A" w:rsidP="0066143A">
      <w:pPr>
        <w:spacing w:after="120" w:line="276" w:lineRule="auto"/>
        <w:ind w:firstLine="709"/>
        <w:jc w:val="both"/>
        <w:rPr>
          <w:rFonts w:ascii="Verdana" w:eastAsia="Calibri" w:hAnsi="Verdana" w:cs="Arial"/>
          <w:lang w:val="es-ES" w:eastAsia="es-CO"/>
        </w:rPr>
      </w:pPr>
      <w:r w:rsidRPr="00D8028D">
        <w:rPr>
          <w:rFonts w:ascii="Verdana" w:eastAsia="Calibri" w:hAnsi="Verdana" w:cs="Arial"/>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55FCF0BB" w14:textId="77777777" w:rsidR="0066143A" w:rsidRPr="00D8028D" w:rsidRDefault="0066143A" w:rsidP="0066143A">
      <w:pPr>
        <w:spacing w:after="120" w:line="276" w:lineRule="auto"/>
        <w:ind w:firstLine="709"/>
        <w:jc w:val="both"/>
        <w:rPr>
          <w:rFonts w:ascii="Verdana" w:eastAsia="Calibri" w:hAnsi="Verdana" w:cs="Arial"/>
          <w:bCs/>
          <w:lang w:val="es-ES_tradnl" w:eastAsia="x-none"/>
        </w:rPr>
      </w:pPr>
      <w:r w:rsidRPr="00D8028D">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w:t>
      </w:r>
      <w:r w:rsidRPr="00D8028D">
        <w:rPr>
          <w:rFonts w:ascii="Verdana" w:eastAsia="Calibri" w:hAnsi="Verdana" w:cs="Arial"/>
          <w:bCs/>
          <w:lang w:val="es-ES_tradnl" w:eastAsia="x-none"/>
        </w:rPr>
        <w:lastRenderedPageBreak/>
        <w:t>que no incluya la convocatoria pública en alguna de sus etapas, ni permita la participación de una pluralidad de oferentes</w:t>
      </w:r>
      <w:r w:rsidRPr="00D8028D">
        <w:rPr>
          <w:rFonts w:ascii="Verdana" w:eastAsia="Calibri" w:hAnsi="Verdana" w:cs="Arial"/>
          <w:vertAlign w:val="superscript"/>
          <w:lang w:val="es-ES_tradnl" w:eastAsia="x-none"/>
        </w:rPr>
        <w:footnoteReference w:id="16"/>
      </w:r>
      <w:r w:rsidRPr="00D8028D">
        <w:rPr>
          <w:rFonts w:ascii="Verdana" w:eastAsia="Calibri" w:hAnsi="Verdana" w:cs="Arial"/>
          <w:bCs/>
          <w:lang w:val="es-ES_tradnl" w:eastAsia="x-none"/>
        </w:rPr>
        <w:t>.</w:t>
      </w:r>
      <w:r w:rsidRPr="00D8028D">
        <w:rPr>
          <w:rFonts w:ascii="Verdana" w:eastAsia="Calibri" w:hAnsi="Verdana" w:cs="Arial"/>
          <w:vertAlign w:val="superscript"/>
          <w:lang w:val="es-ES_tradnl" w:eastAsia="x-none"/>
        </w:rPr>
        <w:t xml:space="preserve"> </w:t>
      </w:r>
    </w:p>
    <w:p w14:paraId="63AC1ED5" w14:textId="77777777" w:rsidR="0066143A" w:rsidRPr="00D8028D" w:rsidRDefault="0066143A" w:rsidP="0066143A">
      <w:pPr>
        <w:spacing w:after="120" w:line="276" w:lineRule="auto"/>
        <w:ind w:firstLine="709"/>
        <w:jc w:val="both"/>
        <w:rPr>
          <w:rFonts w:ascii="Verdana" w:eastAsia="Calibri" w:hAnsi="Verdana" w:cs="Arial"/>
          <w:lang w:val="es-ES_tradnl" w:eastAsia="x-none"/>
        </w:rPr>
      </w:pPr>
      <w:r w:rsidRPr="00D8028D">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D8028D">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5D27B69B" w14:textId="77777777" w:rsidR="0066143A" w:rsidRPr="00D8028D" w:rsidRDefault="0066143A" w:rsidP="0066143A">
      <w:pPr>
        <w:spacing w:after="120" w:line="276" w:lineRule="auto"/>
        <w:ind w:firstLine="709"/>
        <w:jc w:val="both"/>
        <w:rPr>
          <w:rFonts w:ascii="Verdana" w:eastAsia="Calibri" w:hAnsi="Verdana" w:cs="Arial"/>
          <w:lang w:val="es-ES"/>
        </w:rPr>
      </w:pPr>
      <w:r w:rsidRPr="00D8028D">
        <w:rPr>
          <w:rFonts w:ascii="Verdana" w:eastAsia="Calibri" w:hAnsi="Verdana" w:cs="Arial"/>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5795415B" w14:textId="77777777" w:rsidR="0066143A" w:rsidRDefault="0066143A" w:rsidP="0066143A">
      <w:pPr>
        <w:spacing w:after="120" w:line="276" w:lineRule="auto"/>
        <w:ind w:firstLine="709"/>
        <w:jc w:val="both"/>
        <w:rPr>
          <w:rFonts w:ascii="Verdana" w:eastAsia="Calibri" w:hAnsi="Verdana" w:cs="Arial"/>
          <w:lang w:val="es-ES" w:eastAsia="es-CO"/>
        </w:rPr>
      </w:pPr>
      <w:r w:rsidRPr="00D8028D">
        <w:rPr>
          <w:rFonts w:ascii="Verdana" w:eastAsia="Calibri" w:hAnsi="Verdana" w:cs="Arial"/>
          <w:lang w:val="es-ES"/>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w:t>
      </w:r>
      <w:proofErr w:type="spellStart"/>
      <w:r w:rsidRPr="00D8028D">
        <w:rPr>
          <w:rFonts w:ascii="Verdana" w:eastAsia="Calibri" w:hAnsi="Verdana" w:cs="Arial"/>
          <w:lang w:val="es-ES"/>
        </w:rPr>
        <w:t>iv</w:t>
      </w:r>
      <w:proofErr w:type="spellEnd"/>
      <w:r w:rsidRPr="00D8028D">
        <w:rPr>
          <w:rFonts w:ascii="Verdana" w:eastAsia="Calibri" w:hAnsi="Verdana" w:cs="Arial"/>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8028D">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1A61109" w14:textId="77777777" w:rsidR="007F735E" w:rsidRPr="00D8028D" w:rsidRDefault="007F735E" w:rsidP="007F735E">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En esta labor es importante tener en cuenta, como lo anotó la Corte Constitucional, en Sentencia C-1153 de noviembre 11 de 2005</w:t>
      </w:r>
      <w:r w:rsidRPr="00D8028D">
        <w:rPr>
          <w:rFonts w:ascii="Verdana" w:eastAsia="Calibri" w:hAnsi="Verdana" w:cs="Calibri"/>
          <w:vertAlign w:val="superscript"/>
          <w:lang w:val="es-ES_tradnl" w:eastAsia="es-ES_tradnl"/>
        </w:rPr>
        <w:t>,</w:t>
      </w:r>
      <w:r w:rsidRPr="00D8028D">
        <w:rPr>
          <w:rFonts w:ascii="Verdana" w:eastAsia="Calibri" w:hAnsi="Verdana" w:cs="Arial"/>
          <w:bCs/>
          <w:lang w:val="es-ES_tradnl" w:eastAsia="x-none"/>
        </w:rPr>
        <w:t xml:space="preserve"> que </w:t>
      </w:r>
      <w:r>
        <w:rPr>
          <w:rFonts w:ascii="Verdana" w:eastAsia="Calibri" w:hAnsi="Verdana" w:cs="Arial"/>
          <w:bCs/>
          <w:lang w:val="es-ES_tradnl" w:eastAsia="x-none"/>
        </w:rPr>
        <w:t>“</w:t>
      </w:r>
      <w:r w:rsidRPr="00D8028D">
        <w:rPr>
          <w:rFonts w:ascii="Verdana" w:eastAsia="Calibri" w:hAnsi="Verdana" w:cs="Arial"/>
          <w:bCs/>
          <w:lang w:val="es-ES_tradnl" w:eastAsia="x-none"/>
        </w:rPr>
        <w:t xml:space="preserve">si bien la limitación garantiza la igualdad de condiciones, también es necesario que tal </w:t>
      </w:r>
      <w:r w:rsidRPr="00D8028D">
        <w:rPr>
          <w:rFonts w:ascii="Verdana" w:eastAsia="Calibri" w:hAnsi="Verdana" w:cs="Arial"/>
          <w:bCs/>
          <w:lang w:val="es-ES_tradnl" w:eastAsia="x-none"/>
        </w:rPr>
        <w:lastRenderedPageBreak/>
        <w:t>limitación que pretende la igualdad no termine yendo en detrimento de intereses públicos, cuya garantía está en cabeza del ejecutivo, como son los inmersos en las excepciones para la prohibición de contratación”</w:t>
      </w:r>
      <w:r w:rsidRPr="00D8028D">
        <w:rPr>
          <w:rFonts w:ascii="Verdana" w:eastAsia="Calibri" w:hAnsi="Verdana" w:cs="Arial"/>
          <w:vertAlign w:val="superscript"/>
          <w:lang w:val="es-ES_tradnl" w:eastAsia="es-ES_tradnl"/>
        </w:rPr>
        <w:footnoteReference w:id="17"/>
      </w:r>
      <w:r w:rsidRPr="00D8028D">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AE856BF" w14:textId="77777777" w:rsidR="007F735E" w:rsidRPr="00D8028D" w:rsidRDefault="007F735E" w:rsidP="007F735E">
      <w:pPr>
        <w:spacing w:after="120" w:line="276" w:lineRule="auto"/>
        <w:ind w:firstLine="709"/>
        <w:jc w:val="both"/>
        <w:rPr>
          <w:rFonts w:ascii="Verdana" w:eastAsia="Times New Roman" w:hAnsi="Verdana" w:cs="Arial"/>
          <w:bCs/>
          <w:lang w:val="es-MX" w:eastAsia="es-CO"/>
        </w:rPr>
      </w:pPr>
      <w:r w:rsidRPr="00D8028D">
        <w:rPr>
          <w:rFonts w:ascii="Verdana" w:eastAsia="Calibri" w:hAnsi="Verdana" w:cs="Arial"/>
          <w:bCs/>
          <w:color w:val="000000"/>
          <w:lang w:val="es-MX" w:eastAsia="x-none"/>
        </w:rPr>
        <w:t>En relación con los destinatarios de la restricción analizada</w:t>
      </w:r>
      <w:r w:rsidRPr="00D8028D">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D8028D">
        <w:rPr>
          <w:rFonts w:ascii="Verdana" w:eastAsia="Calibri" w:hAnsi="Verdana" w:cs="Arial"/>
          <w:lang w:val="es-MX"/>
        </w:rPr>
        <w:t xml:space="preserve"> </w:t>
      </w:r>
      <w:r w:rsidRPr="00D8028D">
        <w:rPr>
          <w:rFonts w:ascii="Verdana" w:eastAsia="Times New Roman" w:hAnsi="Verdana" w:cs="Arial"/>
          <w:bCs/>
          <w:lang w:val="es-MX" w:eastAsia="x-none"/>
        </w:rPr>
        <w:t>En efecto, tal como lo ha sostenido el Consejo de Estado, el vocablo “todos” utilizado por el legislador comprende</w:t>
      </w:r>
      <w:r w:rsidRPr="00D8028D">
        <w:rPr>
          <w:rFonts w:ascii="Verdana" w:eastAsia="Calibri" w:hAnsi="Verdana" w:cs="Arial"/>
          <w:lang w:val="es-MX"/>
        </w:rPr>
        <w:t xml:space="preserve"> </w:t>
      </w:r>
      <w:r w:rsidRPr="00D8028D">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5" w:name="_Hlk75787147"/>
      <w:r w:rsidRPr="00D8028D">
        <w:rPr>
          <w:rFonts w:ascii="Verdana" w:eastAsia="Times New Roman" w:hAnsi="Verdana" w:cs="Arial"/>
          <w:bCs/>
          <w:lang w:val="es-MX" w:eastAsia="x-none"/>
        </w:rPr>
        <w:t xml:space="preserve"> </w:t>
      </w:r>
      <w:r w:rsidRPr="00D8028D">
        <w:rPr>
          <w:rFonts w:ascii="Verdana" w:eastAsia="Calibri" w:hAnsi="Verdana" w:cs="Arial"/>
          <w:bCs/>
          <w:color w:val="00000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D8028D">
        <w:rPr>
          <w:rFonts w:ascii="Verdana" w:eastAsia="Calibri" w:hAnsi="Verdana" w:cs="Arial"/>
          <w:bCs/>
          <w:color w:val="000000"/>
          <w:vertAlign w:val="superscript"/>
          <w:lang w:val="es-MX" w:eastAsia="x-none"/>
        </w:rPr>
        <w:footnoteReference w:id="18"/>
      </w:r>
      <w:r w:rsidRPr="00D8028D">
        <w:rPr>
          <w:rFonts w:ascii="Verdana" w:eastAsia="Calibri" w:hAnsi="Verdana" w:cs="Arial"/>
          <w:bCs/>
          <w:color w:val="000000"/>
          <w:lang w:val="es-MX" w:eastAsia="x-none"/>
        </w:rPr>
        <w:t>.</w:t>
      </w:r>
    </w:p>
    <w:p w14:paraId="5E549402" w14:textId="77777777" w:rsidR="007F735E" w:rsidRDefault="007F735E" w:rsidP="007F735E">
      <w:pPr>
        <w:spacing w:after="0" w:line="276" w:lineRule="auto"/>
        <w:ind w:firstLine="708"/>
        <w:jc w:val="both"/>
        <w:rPr>
          <w:rFonts w:ascii="Verdana" w:eastAsia="Times New Roman" w:hAnsi="Verdana" w:cs="Arial"/>
          <w:bCs/>
          <w:lang w:val="es-MX" w:eastAsia="x-none"/>
        </w:rPr>
      </w:pPr>
      <w:bookmarkStart w:id="6" w:name="_Hlk77237229"/>
      <w:bookmarkEnd w:id="5"/>
      <w:r w:rsidRPr="00D8028D">
        <w:rPr>
          <w:rFonts w:ascii="Verdana" w:eastAsia="Calibri" w:hAnsi="Verdana" w:cs="Arial"/>
          <w:lang w:val="es-MX"/>
        </w:rPr>
        <w:t>Por lo tanto, la restricción prevista en la Ley 996 de 200</w:t>
      </w:r>
      <w:bookmarkStart w:id="7" w:name="_Hlk75741539"/>
      <w:r w:rsidRPr="00D8028D">
        <w:rPr>
          <w:rFonts w:ascii="Verdana" w:eastAsia="Calibri" w:hAnsi="Verdana" w:cs="Arial"/>
          <w:lang w:val="es-MX"/>
        </w:rPr>
        <w:t xml:space="preserve">5, </w:t>
      </w:r>
      <w:r w:rsidRPr="00D8028D">
        <w:rPr>
          <w:rFonts w:ascii="Verdana" w:eastAsia="Times New Roman" w:hAnsi="Verdana" w:cs="Arial"/>
          <w:bCs/>
          <w:lang w:val="es-MX" w:eastAsia="x-none"/>
        </w:rPr>
        <w:t xml:space="preserve">teniendo en cuenta la finalidad de la Ley de Garantías Electorales, cobija a cualquier ente </w:t>
      </w:r>
      <w:r w:rsidRPr="00D8028D">
        <w:rPr>
          <w:rFonts w:ascii="Verdana" w:eastAsia="Times New Roman" w:hAnsi="Verdana" w:cs="Arial"/>
          <w:bCs/>
          <w:lang w:val="es-MX" w:eastAsia="x-none"/>
        </w:rPr>
        <w:lastRenderedPageBreak/>
        <w:t>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6"/>
      <w:bookmarkEnd w:id="7"/>
      <w:r>
        <w:rPr>
          <w:rFonts w:ascii="Verdana" w:eastAsia="Times New Roman" w:hAnsi="Verdana" w:cs="Arial"/>
          <w:bCs/>
          <w:lang w:val="es-MX" w:eastAsia="x-none"/>
        </w:rPr>
        <w:t>.</w:t>
      </w:r>
    </w:p>
    <w:p w14:paraId="6DBEFA86" w14:textId="77777777" w:rsidR="007F735E" w:rsidRPr="0076277C" w:rsidRDefault="007F735E" w:rsidP="007F735E">
      <w:pPr>
        <w:spacing w:after="0" w:line="276" w:lineRule="auto"/>
        <w:jc w:val="both"/>
        <w:rPr>
          <w:rFonts w:ascii="Verdana" w:eastAsia="Times New Roman" w:hAnsi="Verdana" w:cs="Arial"/>
          <w:bCs/>
          <w:lang w:val="es-ES" w:eastAsia="x-none"/>
        </w:rPr>
      </w:pPr>
    </w:p>
    <w:p w14:paraId="529DD2CD" w14:textId="77777777" w:rsidR="007F735E" w:rsidRPr="00343E12" w:rsidRDefault="007F735E" w:rsidP="007F735E">
      <w:pPr>
        <w:spacing w:after="0" w:line="276" w:lineRule="auto"/>
        <w:jc w:val="both"/>
        <w:rPr>
          <w:rFonts w:ascii="Verdana" w:eastAsia="Times New Roman" w:hAnsi="Verdana" w:cs="Arial"/>
          <w:lang w:eastAsia="es-CO"/>
        </w:rPr>
      </w:pPr>
      <w:r>
        <w:rPr>
          <w:rFonts w:ascii="Verdana" w:eastAsia="Times New Roman" w:hAnsi="Verdana" w:cs="Arial"/>
          <w:bCs/>
          <w:lang w:val="es-MX" w:eastAsia="x-none"/>
        </w:rPr>
        <w:t xml:space="preserve">iii. De otra parte, es importante precisar que, </w:t>
      </w:r>
      <w:r>
        <w:rPr>
          <w:rFonts w:ascii="Verdana" w:eastAsia="Times New Roman" w:hAnsi="Verdana" w:cs="Arial"/>
          <w:lang w:val="es-MX" w:eastAsia="es-CO"/>
        </w:rPr>
        <w:t>l</w:t>
      </w:r>
      <w:r w:rsidRPr="00725218">
        <w:rPr>
          <w:rFonts w:ascii="Verdana" w:eastAsia="Times New Roman" w:hAnsi="Verdana" w:cs="Arial"/>
          <w:lang w:val="es-MX" w:eastAsia="es-CO"/>
        </w:rPr>
        <w:t>a prohibición</w:t>
      </w:r>
      <w:r>
        <w:rPr>
          <w:rFonts w:ascii="Verdana" w:eastAsia="Times New Roman" w:hAnsi="Verdana" w:cs="Arial"/>
          <w:lang w:val="es-MX" w:eastAsia="es-CO"/>
        </w:rPr>
        <w:t xml:space="preserve"> establecida en el parágrafo del artículo 38 de la Ley 996 de 2005,</w:t>
      </w:r>
      <w:r w:rsidRPr="00725218">
        <w:rPr>
          <w:rFonts w:ascii="Verdana" w:eastAsia="Times New Roman" w:hAnsi="Verdana" w:cs="Arial"/>
          <w:lang w:val="es-MX" w:eastAsia="es-CO"/>
        </w:rPr>
        <w:t xml:space="preserve"> la Circular Externa No. 006 de 2025 expedida por la ANCP -CCE, en los literales </w:t>
      </w:r>
      <w:proofErr w:type="spellStart"/>
      <w:r w:rsidRPr="00725218">
        <w:rPr>
          <w:rFonts w:ascii="Verdana" w:eastAsia="Times New Roman" w:hAnsi="Verdana" w:cs="Arial"/>
          <w:lang w:val="es-MX" w:eastAsia="es-CO"/>
        </w:rPr>
        <w:t>ii</w:t>
      </w:r>
      <w:proofErr w:type="spellEnd"/>
      <w:r w:rsidRPr="00725218">
        <w:rPr>
          <w:rFonts w:ascii="Verdana" w:eastAsia="Times New Roman" w:hAnsi="Verdana" w:cs="Arial"/>
          <w:lang w:val="es-MX" w:eastAsia="es-CO"/>
        </w:rPr>
        <w:t xml:space="preserve">) y </w:t>
      </w:r>
      <w:proofErr w:type="spellStart"/>
      <w:r w:rsidRPr="00725218">
        <w:rPr>
          <w:rFonts w:ascii="Verdana" w:eastAsia="Times New Roman" w:hAnsi="Verdana" w:cs="Arial"/>
          <w:lang w:val="es-MX" w:eastAsia="es-CO"/>
        </w:rPr>
        <w:t>iv</w:t>
      </w:r>
      <w:proofErr w:type="spellEnd"/>
      <w:r w:rsidRPr="00725218">
        <w:rPr>
          <w:rFonts w:ascii="Verdana" w:eastAsia="Times New Roman" w:hAnsi="Verdana" w:cs="Arial"/>
          <w:lang w:val="es-MX" w:eastAsia="es-CO"/>
        </w:rPr>
        <w:t>) del numeral 2</w:t>
      </w:r>
      <w:r w:rsidRPr="00725218">
        <w:rPr>
          <w:rFonts w:ascii="Verdana" w:eastAsia="Times New Roman" w:hAnsi="Verdana" w:cs="Arial"/>
          <w:lang w:eastAsia="es-CO"/>
        </w:rPr>
        <w:t>,</w:t>
      </w:r>
      <w:r w:rsidRPr="00725218">
        <w:rPr>
          <w:rFonts w:ascii="Verdana" w:eastAsia="Times New Roman" w:hAnsi="Verdana" w:cs="Arial"/>
          <w:lang w:val="es-MX" w:eastAsia="es-CO"/>
        </w:rPr>
        <w:t xml:space="preserve"> indica que </w:t>
      </w:r>
      <w:r>
        <w:rPr>
          <w:rFonts w:ascii="Verdana" w:eastAsia="Times New Roman" w:hAnsi="Verdana" w:cs="Arial"/>
          <w:lang w:val="es-MX" w:eastAsia="es-CO"/>
        </w:rPr>
        <w:t>esta disposición</w:t>
      </w:r>
      <w:r w:rsidRPr="00343E12">
        <w:rPr>
          <w:rFonts w:ascii="Verdana" w:eastAsia="Times New Roman" w:hAnsi="Verdana" w:cs="Arial"/>
          <w:lang w:eastAsia="es-CO"/>
        </w:rPr>
        <w:t xml:space="preserve">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0BACE083" w14:textId="77777777" w:rsidR="007F735E" w:rsidRPr="00343E12" w:rsidRDefault="007F735E" w:rsidP="007F735E">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022DB37F" w14:textId="77777777" w:rsidR="007F735E" w:rsidRPr="00FD6CE7" w:rsidRDefault="007F735E" w:rsidP="007F735E">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w:t>
      </w:r>
      <w:proofErr w:type="spellStart"/>
      <w:r w:rsidRPr="00343E12">
        <w:rPr>
          <w:rFonts w:ascii="Verdana" w:eastAsia="Aptos" w:hAnsi="Verdana" w:cs="Arial"/>
          <w:bCs/>
          <w:lang w:val="es-MX" w:eastAsia="x-none"/>
        </w:rPr>
        <w:t>iv</w:t>
      </w:r>
      <w:proofErr w:type="spellEnd"/>
      <w:r w:rsidRPr="00343E12">
        <w:rPr>
          <w:rFonts w:ascii="Verdana" w:eastAsia="Aptos"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w:t>
      </w:r>
      <w:r w:rsidRPr="00343E12">
        <w:rPr>
          <w:rFonts w:ascii="Verdana" w:eastAsia="Aptos" w:hAnsi="Verdana" w:cs="Arial"/>
          <w:bCs/>
          <w:lang w:val="es-MX" w:eastAsia="x-none"/>
        </w:rPr>
        <w:lastRenderedPageBreak/>
        <w:t>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2E4BC191" w14:textId="77777777" w:rsidR="007F735E" w:rsidRPr="00343E12" w:rsidRDefault="007F735E" w:rsidP="007F735E">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En este punto, teniendo en cuenta lo señalado en el contenido de su petición, vale la pena destacar que,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19"/>
      </w:r>
      <w:r w:rsidRPr="00343E12">
        <w:rPr>
          <w:rFonts w:ascii="Verdana" w:eastAsia="Aptos" w:hAnsi="Verdana" w:cs="Arial"/>
        </w:rPr>
        <w:t xml:space="preserve">: </w:t>
      </w:r>
    </w:p>
    <w:p w14:paraId="2B4D9486" w14:textId="77777777" w:rsidR="007F735E" w:rsidRPr="00343E12" w:rsidRDefault="007F735E" w:rsidP="007F735E">
      <w:pPr>
        <w:spacing w:after="0" w:line="276" w:lineRule="auto"/>
        <w:ind w:firstLine="709"/>
        <w:jc w:val="both"/>
        <w:rPr>
          <w:rFonts w:ascii="Verdana" w:eastAsia="Aptos" w:hAnsi="Verdana" w:cs="Arial"/>
        </w:rPr>
      </w:pPr>
    </w:p>
    <w:p w14:paraId="5A478FAD" w14:textId="77777777" w:rsidR="007F735E" w:rsidRPr="00343E12" w:rsidRDefault="007F735E" w:rsidP="007F735E">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065FC621" w14:textId="77777777" w:rsidR="007F735E" w:rsidRPr="00343E12" w:rsidRDefault="007F735E" w:rsidP="007F735E">
      <w:pPr>
        <w:spacing w:after="0" w:line="240" w:lineRule="auto"/>
        <w:ind w:left="709" w:right="709"/>
        <w:jc w:val="both"/>
        <w:rPr>
          <w:rFonts w:ascii="Verdana" w:eastAsia="Aptos" w:hAnsi="Verdana" w:cs="Arial"/>
          <w:sz w:val="20"/>
          <w:szCs w:val="20"/>
        </w:rPr>
      </w:pPr>
    </w:p>
    <w:p w14:paraId="23409125" w14:textId="77777777" w:rsidR="007F735E" w:rsidRPr="00343E12" w:rsidRDefault="007F735E" w:rsidP="007F735E">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F0CF1E8" w14:textId="77777777" w:rsidR="007F735E" w:rsidRPr="00343E12" w:rsidRDefault="007F735E" w:rsidP="007F735E">
      <w:pPr>
        <w:spacing w:after="0" w:line="276" w:lineRule="auto"/>
        <w:ind w:left="709" w:right="709"/>
        <w:jc w:val="both"/>
        <w:rPr>
          <w:rFonts w:ascii="Verdana" w:eastAsia="Aptos" w:hAnsi="Verdana" w:cs="Arial"/>
        </w:rPr>
      </w:pPr>
    </w:p>
    <w:p w14:paraId="2EA95DB3" w14:textId="77777777" w:rsidR="007F735E" w:rsidRPr="00343E12" w:rsidRDefault="007F735E" w:rsidP="007F735E">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w:t>
      </w:r>
      <w:r w:rsidRPr="00343E12">
        <w:rPr>
          <w:rFonts w:ascii="Verdana" w:eastAsia="Arial" w:hAnsi="Verdana" w:cs="Arial"/>
          <w:lang w:eastAsia="es-ES" w:bidi="es-ES"/>
        </w:rPr>
        <w:lastRenderedPageBreak/>
        <w:t xml:space="preserve">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327C5ECA" w14:textId="77777777" w:rsidR="007F735E" w:rsidRPr="00343E12" w:rsidRDefault="007F735E" w:rsidP="007F735E">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684D3F27" w14:textId="77777777" w:rsidR="007F735E" w:rsidRPr="00343E12" w:rsidRDefault="007F735E" w:rsidP="007F735E">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767C97DA" w14:textId="77777777" w:rsidR="007F735E" w:rsidRPr="00343E12" w:rsidRDefault="007F735E" w:rsidP="007F735E">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0"/>
      </w:r>
      <w:r w:rsidRPr="00343E12">
        <w:rPr>
          <w:rFonts w:ascii="Verdana" w:eastAsia="Times New Roman" w:hAnsi="Verdana" w:cs="Times New Roman"/>
          <w:lang w:eastAsia="es-ES"/>
        </w:rPr>
        <w:t xml:space="preserve">. Sobre el </w:t>
      </w:r>
      <w:r w:rsidRPr="00343E1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4DA7A7C" w14:textId="77777777" w:rsidR="007F735E" w:rsidRDefault="007F735E" w:rsidP="007F735E">
      <w:pPr>
        <w:spacing w:after="120" w:line="276" w:lineRule="auto"/>
        <w:ind w:firstLine="709"/>
        <w:jc w:val="both"/>
        <w:rPr>
          <w:rFonts w:ascii="Verdana" w:eastAsia="Times New Roman" w:hAnsi="Verdana" w:cs="Arial"/>
          <w:lang w:eastAsia="es-CO"/>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Pr>
          <w:rFonts w:ascii="Verdana" w:eastAsia="Times New Roman" w:hAnsi="Verdana" w:cs="Arial"/>
          <w:lang w:eastAsia="es-CO"/>
        </w:rPr>
        <w:t xml:space="preserve"> </w:t>
      </w: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1"/>
      </w:r>
      <w:r>
        <w:rPr>
          <w:rFonts w:ascii="Verdana" w:eastAsia="Times New Roman" w:hAnsi="Verdana" w:cs="Arial"/>
          <w:lang w:eastAsia="es-CO"/>
        </w:rPr>
        <w:t xml:space="preserve">. </w:t>
      </w:r>
    </w:p>
    <w:p w14:paraId="6C99BD49" w14:textId="2B21FDD8" w:rsidR="007F735E" w:rsidRPr="0004207F" w:rsidRDefault="007F735E" w:rsidP="00B03164">
      <w:pPr>
        <w:spacing w:after="120" w:line="276" w:lineRule="auto"/>
        <w:ind w:firstLine="708"/>
        <w:jc w:val="both"/>
        <w:rPr>
          <w:rFonts w:ascii="Verdana" w:hAnsi="Verdana" w:cs="Arial"/>
          <w:bCs/>
          <w:lang w:val="es-MX" w:eastAsia="x-none"/>
        </w:rPr>
      </w:pPr>
      <w:r w:rsidRPr="0004207F">
        <w:rPr>
          <w:rFonts w:ascii="Verdana" w:hAnsi="Verdana" w:cs="Arial"/>
          <w:bCs/>
          <w:lang w:val="es-MX" w:eastAsia="x-none"/>
        </w:rPr>
        <w:t>Es importante reiterar que</w:t>
      </w:r>
      <w:r>
        <w:rPr>
          <w:rFonts w:ascii="Verdana" w:hAnsi="Verdana" w:cs="Arial"/>
          <w:bCs/>
          <w:lang w:val="es-MX" w:eastAsia="x-none"/>
        </w:rPr>
        <w:t>,</w:t>
      </w:r>
      <w:r w:rsidRPr="0004207F">
        <w:rPr>
          <w:rFonts w:ascii="Verdana" w:hAnsi="Verdana" w:cs="Arial"/>
          <w:bCs/>
          <w:lang w:val="es-MX" w:eastAsia="x-none"/>
        </w:rPr>
        <w:t xml:space="preserv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2"/>
      </w:r>
      <w:r w:rsidRPr="0004207F">
        <w:rPr>
          <w:rFonts w:ascii="Verdana" w:hAnsi="Verdana" w:cs="Arial"/>
          <w:bCs/>
          <w:lang w:val="es-MX" w:eastAsia="x-none"/>
        </w:rPr>
        <w:t>.</w:t>
      </w:r>
    </w:p>
    <w:p w14:paraId="60FF9C58" w14:textId="77777777" w:rsidR="007F735E" w:rsidRPr="0004207F" w:rsidRDefault="007F735E" w:rsidP="007F735E">
      <w:pPr>
        <w:shd w:val="clear" w:color="auto" w:fill="FFFFFF" w:themeFill="background1"/>
        <w:spacing w:after="120" w:line="276" w:lineRule="auto"/>
        <w:ind w:firstLine="709"/>
        <w:jc w:val="both"/>
        <w:rPr>
          <w:rFonts w:ascii="Verdana" w:hAnsi="Verdana" w:cs="Arial"/>
          <w:lang w:val="es-ES" w:eastAsia="es-CO"/>
        </w:rPr>
      </w:pPr>
      <w:r w:rsidRPr="37D461F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w:t>
      </w:r>
      <w:r w:rsidRPr="37D461F2">
        <w:rPr>
          <w:rFonts w:ascii="Verdana" w:hAnsi="Verdana" w:cs="Arial"/>
          <w:lang w:val="es-ES" w:eastAsia="es-CO"/>
        </w:rPr>
        <w:lastRenderedPageBreak/>
        <w:t>a no limitar desproporcionadamente la acción del Estado en el cumplimiento de sus fines, en procura de la igualdad entre candidatos como garantía electoral”</w:t>
      </w:r>
      <w:r w:rsidRPr="0004207F">
        <w:rPr>
          <w:rStyle w:val="Refdenotaalpie"/>
          <w:rFonts w:ascii="Verdana" w:hAnsi="Verdana" w:cs="Arial"/>
          <w:lang w:val="es-ES_tradnl" w:eastAsia="es-CO"/>
        </w:rPr>
        <w:footnoteReference w:id="23"/>
      </w:r>
      <w:r w:rsidRPr="37D461F2">
        <w:rPr>
          <w:rFonts w:ascii="Verdana" w:hAnsi="Verdana" w:cs="Arial"/>
          <w:lang w:val="es-ES" w:eastAsia="es-CO"/>
        </w:rPr>
        <w:t xml:space="preserve">. </w:t>
      </w:r>
    </w:p>
    <w:p w14:paraId="491DBB81" w14:textId="77777777" w:rsidR="007F735E" w:rsidRPr="0004207F" w:rsidRDefault="007F735E" w:rsidP="007F735E">
      <w:pPr>
        <w:shd w:val="clear" w:color="auto" w:fill="FFFFFF"/>
        <w:spacing w:after="120"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4ECB095A" w14:textId="320B2FD5" w:rsidR="007F735E" w:rsidRDefault="007F735E" w:rsidP="00B03164">
      <w:pPr>
        <w:spacing w:after="120" w:line="276" w:lineRule="auto"/>
        <w:ind w:firstLine="709"/>
        <w:jc w:val="both"/>
        <w:rPr>
          <w:rFonts w:ascii="Verdana" w:eastAsia="Calibri" w:hAnsi="Verdana" w:cs="Arial"/>
          <w:bCs/>
          <w:color w:val="000000" w:themeColor="text1"/>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4"/>
      </w:r>
      <w:r w:rsidRPr="0004207F">
        <w:rPr>
          <w:rFonts w:ascii="Verdana" w:eastAsia="Calibri" w:hAnsi="Verdana" w:cs="Arial"/>
          <w:bCs/>
          <w:color w:val="000000" w:themeColor="text1"/>
        </w:rPr>
        <w:t>.</w:t>
      </w:r>
    </w:p>
    <w:p w14:paraId="65DDA0B4" w14:textId="347C4A02" w:rsidR="00CA421E" w:rsidRDefault="00CA421E" w:rsidP="00E45CDC">
      <w:pPr>
        <w:tabs>
          <w:tab w:val="left" w:pos="426"/>
        </w:tabs>
        <w:spacing w:after="120" w:line="276" w:lineRule="auto"/>
        <w:ind w:firstLine="425"/>
        <w:jc w:val="both"/>
        <w:rPr>
          <w:rFonts w:ascii="Verdana" w:eastAsia="Times New Roman" w:hAnsi="Verdana" w:cs="Arial"/>
          <w:bCs/>
          <w:lang w:eastAsia="es-CO"/>
        </w:rPr>
      </w:pPr>
      <w:r>
        <w:rPr>
          <w:rFonts w:ascii="Verdana" w:eastAsia="Times New Roman" w:hAnsi="Verdana" w:cs="Arial"/>
          <w:bCs/>
          <w:lang w:eastAsia="es-CO"/>
        </w:rPr>
        <w:t xml:space="preserve">Sin perjuicio de lo anterior, es importante considerar que, cuando la necesidad de celebrar el contrato no se presenta en función de la necesidad de atender una emergencia o desastre especifico efectivamente declarado, no resulta viable acudir a causales de contratación directa como la urgencia </w:t>
      </w:r>
      <w:r>
        <w:rPr>
          <w:rFonts w:ascii="Verdana" w:eastAsia="Times New Roman" w:hAnsi="Verdana" w:cs="Arial"/>
          <w:bCs/>
          <w:lang w:eastAsia="es-CO"/>
        </w:rPr>
        <w:lastRenderedPageBreak/>
        <w:t xml:space="preserve">manifiesta y ni a lo regulado en el artículo 66 de la Ley 1523 de 2012, por lo que, en principio, es necesario que la entidad estatal desarrolle un proceso competitivo para escoger el prestador del servicio, supuesto en el cual, por sustracción de materia, no sería aplicable ninguna de las excepciones establecidas en el segundo inciso del artículo 33 de la Ley 996 de 2005. </w:t>
      </w:r>
    </w:p>
    <w:p w14:paraId="67E29956" w14:textId="77777777" w:rsidR="00E45CDC" w:rsidRDefault="00E45CDC" w:rsidP="00E45CDC">
      <w:pPr>
        <w:tabs>
          <w:tab w:val="left" w:pos="426"/>
        </w:tabs>
        <w:spacing w:after="120" w:line="276" w:lineRule="auto"/>
        <w:ind w:firstLine="425"/>
        <w:jc w:val="both"/>
        <w:rPr>
          <w:rFonts w:ascii="Verdana" w:eastAsia="Times New Roman" w:hAnsi="Verdana" w:cs="Arial"/>
          <w:bCs/>
          <w:lang w:eastAsia="es-CO"/>
        </w:rPr>
      </w:pPr>
      <w:r>
        <w:rPr>
          <w:rFonts w:ascii="Verdana" w:hAnsi="Verdana"/>
        </w:rPr>
        <w:t xml:space="preserve">Ahora bien, con </w:t>
      </w:r>
      <w:r>
        <w:rPr>
          <w:rFonts w:ascii="Verdana" w:eastAsia="Times New Roman" w:hAnsi="Verdana" w:cs="Arial"/>
          <w:bCs/>
          <w:lang w:val="es-ES" w:eastAsia="es-CO"/>
        </w:rPr>
        <w:t xml:space="preserve">respecto a la prohibición del parágrafo del artículo 38, es importante resaltar que el Ministerio de Salud y Protección Social </w:t>
      </w:r>
      <w:r>
        <w:rPr>
          <w:rFonts w:ascii="Verdana" w:eastAsia="Arial" w:hAnsi="Verdana" w:cs="Arial"/>
          <w:bCs/>
          <w:color w:val="000000" w:themeColor="text1"/>
          <w:lang w:val="es-ES"/>
        </w:rPr>
        <w:t xml:space="preserve">dispuso </w:t>
      </w:r>
      <w:r w:rsidRPr="00FC6F34">
        <w:rPr>
          <w:rFonts w:ascii="Verdana" w:eastAsia="Arial" w:hAnsi="Verdana" w:cs="Arial"/>
          <w:bCs/>
          <w:color w:val="000000" w:themeColor="text1"/>
          <w:lang w:val="es-ES"/>
        </w:rPr>
        <w:t>que</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con el fin de garantizar la continuidad de</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las intervenciones de promoción de salud y prevención, “se debe acudir 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as demás modalidades de contratación autorizadas por la ley de manera que no se afecte la ejecución de las intervenciones colectivas a cargo de las entidades territoriales”. </w:t>
      </w:r>
      <w:r>
        <w:rPr>
          <w:rFonts w:ascii="Verdana" w:eastAsia="Arial" w:hAnsi="Verdana" w:cs="Arial"/>
          <w:bCs/>
          <w:color w:val="000000" w:themeColor="text1"/>
          <w:lang w:val="es-ES"/>
        </w:rPr>
        <w:t xml:space="preserve">Lo anterior, considerando que esta prohibición no fijó excepción alguna para su aplicación. </w:t>
      </w:r>
    </w:p>
    <w:p w14:paraId="7B21608A" w14:textId="77777777" w:rsidR="00E45CDC" w:rsidRDefault="00E45CDC" w:rsidP="00E45CDC">
      <w:pPr>
        <w:tabs>
          <w:tab w:val="left" w:pos="426"/>
        </w:tabs>
        <w:spacing w:after="120" w:line="276" w:lineRule="auto"/>
        <w:ind w:firstLine="425"/>
        <w:jc w:val="both"/>
        <w:rPr>
          <w:rFonts w:ascii="Verdana" w:eastAsia="Times New Roman" w:hAnsi="Verdana" w:cs="Arial"/>
          <w:bCs/>
          <w:lang w:eastAsia="es-CO"/>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1476EEDA" w14:textId="77777777" w:rsidR="00E45CDC" w:rsidRDefault="00E45CDC" w:rsidP="00E45CDC">
      <w:pPr>
        <w:tabs>
          <w:tab w:val="left" w:pos="426"/>
        </w:tabs>
        <w:spacing w:after="120" w:line="276" w:lineRule="auto"/>
        <w:ind w:firstLine="425"/>
        <w:jc w:val="both"/>
        <w:rPr>
          <w:rFonts w:ascii="Verdana" w:hAnsi="Verdana"/>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r>
        <w:rPr>
          <w:rFonts w:ascii="Verdana" w:hAnsi="Verdana" w:cs="Arial"/>
          <w:lang w:eastAsia="es-CO"/>
        </w:rPr>
        <w:t>.</w:t>
      </w:r>
      <w:bookmarkStart w:id="8" w:name="_Hlk102983874"/>
      <w:bookmarkStart w:id="9" w:name="_Hlk102388095"/>
    </w:p>
    <w:p w14:paraId="026B0DAF" w14:textId="77777777" w:rsidR="00CA421E" w:rsidRPr="00AC0049" w:rsidRDefault="00CA421E" w:rsidP="00E45CDC">
      <w:pPr>
        <w:tabs>
          <w:tab w:val="left" w:pos="426"/>
        </w:tabs>
        <w:spacing w:after="120" w:line="276" w:lineRule="auto"/>
        <w:ind w:firstLine="425"/>
        <w:jc w:val="both"/>
        <w:rPr>
          <w:rFonts w:ascii="Verdana" w:eastAsia="Times New Roman" w:hAnsi="Verdana" w:cs="Times New Roman"/>
          <w:lang w:eastAsia="es-ES"/>
        </w:rPr>
      </w:pPr>
      <w:r w:rsidRPr="008806B0">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w:t>
      </w:r>
      <w:r w:rsidRPr="008806B0">
        <w:rPr>
          <w:rFonts w:ascii="Verdana" w:eastAsia="Calibri" w:hAnsi="Verdana" w:cs="Arial"/>
        </w:rPr>
        <w:lastRenderedPageBreak/>
        <w:t xml:space="preserve">caso particular y concreto, con los principios básicos y las normas que rigen el EGCAP.  </w:t>
      </w:r>
      <w:r w:rsidRPr="008806B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8"/>
      <w:bookmarkEnd w:id="9"/>
    </w:p>
    <w:bookmarkEnd w:id="4"/>
    <w:p w14:paraId="0EFC79DD" w14:textId="77777777" w:rsidR="00F846BD" w:rsidRDefault="00F846BD" w:rsidP="00457782">
      <w:pPr>
        <w:spacing w:after="0" w:line="276" w:lineRule="auto"/>
        <w:jc w:val="both"/>
        <w:rPr>
          <w:rFonts w:ascii="Verdana" w:eastAsia="Calibri" w:hAnsi="Verdana" w:cs="Arial"/>
          <w:bCs/>
          <w:color w:val="000000" w:themeColor="text1"/>
        </w:rPr>
      </w:pPr>
    </w:p>
    <w:p w14:paraId="7A15F7BB" w14:textId="0F140B26" w:rsidR="00457782" w:rsidRDefault="00D80202" w:rsidP="00457782">
      <w:pPr>
        <w:spacing w:after="0" w:line="276" w:lineRule="auto"/>
        <w:jc w:val="both"/>
        <w:rPr>
          <w:rFonts w:ascii="Verdana" w:hAnsi="Verdana"/>
          <w:b/>
        </w:rPr>
      </w:pPr>
      <w:r w:rsidRPr="00D44639">
        <w:rPr>
          <w:rFonts w:ascii="Verdana" w:hAnsi="Verdana"/>
          <w:b/>
        </w:rPr>
        <w:t xml:space="preserve">4. </w:t>
      </w:r>
      <w:r w:rsidR="00C47604" w:rsidRPr="00D44639">
        <w:rPr>
          <w:rFonts w:ascii="Verdana" w:hAnsi="Verdana"/>
          <w:b/>
        </w:rPr>
        <w:t>Referencias normativas y jurisprudenciales:</w:t>
      </w:r>
    </w:p>
    <w:p w14:paraId="4B29A737" w14:textId="77777777" w:rsidR="00457782" w:rsidRPr="00457782" w:rsidRDefault="00457782" w:rsidP="00457782">
      <w:pPr>
        <w:spacing w:after="0" w:line="276" w:lineRule="auto"/>
        <w:jc w:val="both"/>
        <w:rPr>
          <w:rFonts w:ascii="Verdana" w:hAnsi="Verdana"/>
          <w:b/>
        </w:rPr>
      </w:pPr>
    </w:p>
    <w:p w14:paraId="374D6359" w14:textId="77777777" w:rsidR="00C47604" w:rsidRPr="00C47604" w:rsidRDefault="00C47604" w:rsidP="00C47604">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Times New Roman" w:hAnsi="Verdana" w:cs="Arial"/>
          <w:lang w:eastAsia="es-ES"/>
        </w:rPr>
      </w:pPr>
      <w:r w:rsidRPr="00C47604">
        <w:rPr>
          <w:rFonts w:ascii="Verdana" w:eastAsia="Times New Roman" w:hAnsi="Verdana" w:cs="Arial"/>
          <w:lang w:eastAsia="es-ES"/>
        </w:rPr>
        <w:t>Constitución Política. Artículo 127.</w:t>
      </w:r>
    </w:p>
    <w:p w14:paraId="2EE90E99" w14:textId="77777777" w:rsidR="00C47604" w:rsidRPr="00C47604" w:rsidRDefault="00C47604" w:rsidP="00C47604">
      <w:pPr>
        <w:numPr>
          <w:ilvl w:val="0"/>
          <w:numId w:val="17"/>
        </w:numPr>
        <w:pBdr>
          <w:top w:val="single" w:sz="4" w:space="1" w:color="auto"/>
          <w:left w:val="single" w:sz="4" w:space="4" w:color="auto"/>
          <w:bottom w:val="single" w:sz="4" w:space="1" w:color="auto"/>
          <w:right w:val="single" w:sz="4" w:space="4" w:color="auto"/>
        </w:pBdr>
        <w:spacing w:line="276" w:lineRule="auto"/>
        <w:contextualSpacing/>
        <w:jc w:val="both"/>
        <w:rPr>
          <w:rFonts w:ascii="Verdana" w:eastAsia="Times New Roman" w:hAnsi="Verdana" w:cs="Arial"/>
        </w:rPr>
      </w:pPr>
      <w:r w:rsidRPr="00C47604">
        <w:rPr>
          <w:rFonts w:ascii="Verdana" w:eastAsia="Times New Roman" w:hAnsi="Verdana" w:cs="Arial"/>
        </w:rPr>
        <w:t>Ley 80 de 1993. Artículos 30 y 32.</w:t>
      </w:r>
    </w:p>
    <w:p w14:paraId="3DE1BF13" w14:textId="77777777" w:rsidR="00C47604" w:rsidRPr="00C47604" w:rsidRDefault="00C47604" w:rsidP="00C47604">
      <w:pPr>
        <w:numPr>
          <w:ilvl w:val="0"/>
          <w:numId w:val="17"/>
        </w:numPr>
        <w:pBdr>
          <w:top w:val="single" w:sz="4" w:space="1" w:color="auto"/>
          <w:left w:val="single" w:sz="4" w:space="4" w:color="auto"/>
          <w:bottom w:val="single" w:sz="4" w:space="1" w:color="auto"/>
          <w:right w:val="single" w:sz="4" w:space="4" w:color="auto"/>
        </w:pBdr>
        <w:spacing w:line="276" w:lineRule="auto"/>
        <w:contextualSpacing/>
        <w:jc w:val="both"/>
        <w:rPr>
          <w:rFonts w:ascii="Verdana" w:eastAsia="Times New Roman" w:hAnsi="Verdana" w:cs="Arial"/>
        </w:rPr>
      </w:pPr>
      <w:r w:rsidRPr="00C47604">
        <w:rPr>
          <w:rFonts w:ascii="Verdana" w:eastAsia="Times New Roman" w:hAnsi="Verdana" w:cs="Arial"/>
          <w:color w:val="000000" w:themeColor="text1"/>
        </w:rPr>
        <w:t>Ley 100 de 1993. Artículos 194 y 197.</w:t>
      </w:r>
    </w:p>
    <w:p w14:paraId="186C1E49" w14:textId="77777777" w:rsidR="00C47604" w:rsidRPr="00C47604" w:rsidRDefault="00C47604" w:rsidP="00C47604">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Times New Roman" w:hAnsi="Verdana" w:cs="Arial"/>
          <w:lang w:eastAsia="es-ES"/>
        </w:rPr>
      </w:pPr>
      <w:r w:rsidRPr="00C47604">
        <w:rPr>
          <w:rFonts w:ascii="Verdana" w:eastAsia="Times New Roman" w:hAnsi="Verdana" w:cs="Arial"/>
          <w:bCs/>
          <w:lang w:eastAsia="es-ES"/>
        </w:rPr>
        <w:t>Ley 996 de 2005. Artículos 33 y 38.</w:t>
      </w:r>
    </w:p>
    <w:p w14:paraId="06D29CF5" w14:textId="77777777" w:rsidR="00C47604" w:rsidRPr="00C47604" w:rsidRDefault="00C47604" w:rsidP="00C47604">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Times New Roman" w:hAnsi="Verdana" w:cs="Arial"/>
        </w:rPr>
      </w:pPr>
      <w:r w:rsidRPr="00C47604">
        <w:rPr>
          <w:rFonts w:ascii="Verdana" w:eastAsia="Times New Roman" w:hAnsi="Verdana" w:cs="Arial"/>
          <w:bCs/>
          <w:color w:val="000000" w:themeColor="text1"/>
        </w:rPr>
        <w:t>Decreto 780 de 2016. Artículos 2.8.8.1.4.2, 2.8.8.1.1.3.</w:t>
      </w:r>
    </w:p>
    <w:p w14:paraId="58DC0C97" w14:textId="77777777" w:rsidR="00CF69AF" w:rsidRDefault="00C47604" w:rsidP="00CF69AF">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Times New Roman" w:hAnsi="Verdana" w:cs="Arial"/>
          <w:lang w:eastAsia="es-ES"/>
        </w:rPr>
      </w:pPr>
      <w:r w:rsidRPr="00C47604">
        <w:rPr>
          <w:rFonts w:ascii="Verdana" w:eastAsia="Times New Roman" w:hAnsi="Verdana" w:cs="Times New Roman"/>
          <w:lang w:eastAsia="es-MX"/>
        </w:rPr>
        <w:t>Ley 1150 de 2007. A</w:t>
      </w:r>
      <w:r w:rsidRPr="00C47604">
        <w:rPr>
          <w:rFonts w:ascii="Verdana" w:eastAsia="Times New Roman" w:hAnsi="Verdana" w:cs="Arial"/>
          <w:lang w:eastAsia="es-ES"/>
        </w:rPr>
        <w:t xml:space="preserve">rtículos 2, numeral 4. </w:t>
      </w:r>
    </w:p>
    <w:p w14:paraId="767C581F" w14:textId="77777777" w:rsidR="00CF69AF" w:rsidRDefault="00CF69AF" w:rsidP="00CF69AF">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Times New Roman" w:hAnsi="Verdana" w:cs="Arial"/>
          <w:lang w:eastAsia="es-ES"/>
        </w:rPr>
      </w:pPr>
      <w:r w:rsidRPr="00CF69AF">
        <w:rPr>
          <w:rFonts w:ascii="Verdana" w:eastAsia="Arial MT" w:hAnsi="Verdana" w:cs="Arial"/>
          <w:bCs/>
          <w:lang w:eastAsia="es-ES" w:bidi="es-ES"/>
        </w:rPr>
        <w:t>Ley 1575 de 2012. Artículos 1, 2, 3, y 18, 22.</w:t>
      </w:r>
    </w:p>
    <w:p w14:paraId="69351639" w14:textId="77777777" w:rsidR="00CF69AF" w:rsidRDefault="00CF69AF" w:rsidP="00CF69AF">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Times New Roman" w:hAnsi="Verdana" w:cs="Arial"/>
          <w:lang w:eastAsia="es-ES"/>
        </w:rPr>
      </w:pPr>
      <w:r w:rsidRPr="00CF69AF">
        <w:rPr>
          <w:rFonts w:ascii="Verdana" w:eastAsia="Arial MT" w:hAnsi="Verdana" w:cs="Arial"/>
          <w:bCs/>
          <w:lang w:eastAsia="es-ES" w:bidi="es-ES"/>
        </w:rPr>
        <w:t>Corte Constitucional, Sentencia C- 1153 de 2005. M.P. Marco Gerardo Monroy Cabra.</w:t>
      </w:r>
    </w:p>
    <w:p w14:paraId="4DBA7ADB" w14:textId="77777777" w:rsidR="00CF69AF" w:rsidRDefault="00CF69AF" w:rsidP="00CF69AF">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Times New Roman" w:hAnsi="Verdana" w:cs="Arial"/>
          <w:lang w:eastAsia="es-ES"/>
        </w:rPr>
      </w:pPr>
      <w:r w:rsidRPr="00CF69AF">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6D82962E" w14:textId="61567B06" w:rsidR="00CF69AF" w:rsidRPr="00CF69AF" w:rsidRDefault="00CF69AF" w:rsidP="00CF69AF">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eastAsia="Times New Roman" w:hAnsi="Verdana" w:cs="Arial"/>
          <w:lang w:eastAsia="es-ES"/>
        </w:rPr>
      </w:pPr>
      <w:r w:rsidRPr="00CF69AF">
        <w:rPr>
          <w:rFonts w:ascii="Verdana" w:eastAsia="Arial MT" w:hAnsi="Verdana" w:cs="Arial"/>
          <w:bCs/>
          <w:lang w:eastAsia="es-ES" w:bidi="es-ES"/>
        </w:rPr>
        <w:t>Consejo de Estado. Sala de Consulta y Servicio Civil. Concepto del 17 de febrero de 2015. C.P. William Zambrano Cetina. Radicación No. 11001-03-06-000-2015-00164-00 (2269).</w:t>
      </w:r>
    </w:p>
    <w:p w14:paraId="71B75E7B" w14:textId="2D3A263E" w:rsidR="000F73C0" w:rsidRPr="00D80202" w:rsidRDefault="00BD423A" w:rsidP="00C47604">
      <w:pPr>
        <w:widowControl w:val="0"/>
        <w:numPr>
          <w:ilvl w:val="0"/>
          <w:numId w:val="17"/>
        </w:numPr>
        <w:pBdr>
          <w:top w:val="single" w:sz="4" w:space="1" w:color="auto"/>
          <w:left w:val="single" w:sz="4" w:space="4" w:color="auto"/>
          <w:bottom w:val="single" w:sz="4" w:space="1" w:color="auto"/>
          <w:right w:val="single" w:sz="4" w:space="4" w:color="auto"/>
        </w:pBdr>
        <w:autoSpaceDE w:val="0"/>
        <w:autoSpaceDN w:val="0"/>
        <w:spacing w:line="276" w:lineRule="auto"/>
        <w:contextualSpacing/>
        <w:jc w:val="both"/>
        <w:rPr>
          <w:rFonts w:ascii="Verdana" w:hAnsi="Verdana"/>
        </w:rPr>
      </w:pPr>
      <w:r w:rsidRPr="00C124EB">
        <w:rPr>
          <w:rFonts w:ascii="Verdana" w:eastAsia="Arial MT" w:hAnsi="Verdana" w:cs="Arial"/>
          <w:bCs/>
          <w:lang w:eastAsia="es-ES" w:bidi="es-ES"/>
        </w:rPr>
        <w:t>Consejo de Estado. Sala de Consulta y Servicio Civil, Concepto de 8 de mayo de 2018. Radicación Número: 11001-03-06-000-2018-00095-00(2382). Consejero Ponente: Álvaro Namén Vargas</w:t>
      </w:r>
      <w:r>
        <w:rPr>
          <w:rFonts w:ascii="Verdana" w:eastAsia="Arial MT" w:hAnsi="Verdana" w:cs="Arial"/>
          <w:bCs/>
          <w:lang w:eastAsia="es-ES" w:bidi="es-ES"/>
        </w:rPr>
        <w:t>.</w:t>
      </w:r>
    </w:p>
    <w:p w14:paraId="446F3E06" w14:textId="77777777" w:rsidR="00FC5B65" w:rsidRPr="00D44639" w:rsidRDefault="00FC5B65" w:rsidP="00C47604">
      <w:pPr>
        <w:spacing w:after="120" w:line="276" w:lineRule="auto"/>
        <w:jc w:val="both"/>
        <w:rPr>
          <w:rFonts w:ascii="Verdana" w:hAnsi="Verdana"/>
          <w:b/>
        </w:rPr>
      </w:pPr>
    </w:p>
    <w:p w14:paraId="3DA006AD" w14:textId="42E4378E" w:rsidR="00D2103F" w:rsidRPr="00D44639" w:rsidRDefault="00C47604" w:rsidP="00C47604">
      <w:pPr>
        <w:spacing w:after="120" w:line="276" w:lineRule="auto"/>
        <w:jc w:val="both"/>
        <w:rPr>
          <w:rFonts w:ascii="Verdana" w:hAnsi="Verdana"/>
          <w:b/>
        </w:rPr>
      </w:pPr>
      <w:r w:rsidRPr="00D44639">
        <w:rPr>
          <w:rFonts w:ascii="Verdana" w:hAnsi="Verdana"/>
          <w:b/>
        </w:rPr>
        <w:t xml:space="preserve">5. </w:t>
      </w:r>
      <w:r w:rsidR="00D2103F" w:rsidRPr="00D44639">
        <w:rPr>
          <w:rFonts w:ascii="Verdana" w:hAnsi="Verdana"/>
          <w:b/>
        </w:rPr>
        <w:t xml:space="preserve">Doctrina de la Agencia Nacional de Contratación Pública: </w:t>
      </w:r>
    </w:p>
    <w:p w14:paraId="1CB7BFD6" w14:textId="77777777" w:rsidR="00D2103F" w:rsidRDefault="00D2103F" w:rsidP="00C47604">
      <w:pPr>
        <w:spacing w:after="120" w:line="276" w:lineRule="auto"/>
        <w:jc w:val="both"/>
        <w:rPr>
          <w:rFonts w:ascii="Verdana" w:hAnsi="Verdana"/>
          <w:bCs/>
        </w:rPr>
      </w:pPr>
    </w:p>
    <w:p w14:paraId="78EA71C5" w14:textId="2D14DD0A" w:rsidR="00D44639" w:rsidRPr="00D44639" w:rsidRDefault="00D44639" w:rsidP="00D44639">
      <w:pPr>
        <w:spacing w:after="120" w:line="276" w:lineRule="auto"/>
        <w:jc w:val="both"/>
        <w:rPr>
          <w:rFonts w:ascii="Verdana" w:hAnsi="Verdana"/>
          <w:bCs/>
          <w:lang w:val="es-ES"/>
        </w:rPr>
      </w:pPr>
      <w:r w:rsidRPr="00D44639">
        <w:rPr>
          <w:rFonts w:ascii="Verdana" w:hAnsi="Verdana"/>
          <w:bCs/>
        </w:rPr>
        <w:t>La Agencia Nacional de Contratación Pública – Colombia Compra Eficiente se ha referido sobre la Ley de Garantías Electorales en los conceptos</w:t>
      </w:r>
      <w:r w:rsidR="00BD423A">
        <w:rPr>
          <w:rFonts w:ascii="Verdana" w:hAnsi="Verdana"/>
          <w:bCs/>
        </w:rPr>
        <w:t xml:space="preserve"> </w:t>
      </w:r>
      <w:r w:rsidR="00457782" w:rsidRPr="00FC7D77">
        <w:rPr>
          <w:rFonts w:ascii="Verdana" w:hAnsi="Verdana" w:cs="Arial"/>
        </w:rPr>
        <w:t xml:space="preserve">C- 022 del 21 de febrero de 2022, C-045 del 3 de marzo de 2022, C-064 del 8 de marzo de 2022, C-072 del 11 de marzo de 2022, C- 097 del 18 de febrero de 2022, C-116 del 18 de febrero de 2022 y C-077 del 17 de marzo de 2022, </w:t>
      </w:r>
      <w:r w:rsidR="00457782" w:rsidRPr="00FC7D77">
        <w:rPr>
          <w:rFonts w:ascii="Verdana" w:hAnsi="Verdana" w:cs="Arial"/>
          <w:shd w:val="clear" w:color="auto" w:fill="FFFFFF"/>
        </w:rPr>
        <w:t xml:space="preserve">C-180 del 21 de marzo de 2025, C-317 del 25 de abril de 2025, C-510 del 4 de junio de 2025, </w:t>
      </w:r>
      <w:r w:rsidR="00457782" w:rsidRPr="00FC7D77">
        <w:rPr>
          <w:rFonts w:ascii="Verdana" w:hAnsi="Verdana" w:cs="Arial"/>
          <w:shd w:val="clear" w:color="auto" w:fill="FFFFFF"/>
          <w:lang w:val="es-ES"/>
        </w:rPr>
        <w:t xml:space="preserve">646 del </w:t>
      </w:r>
      <w:r w:rsidR="00457782" w:rsidRPr="00FC7D77">
        <w:rPr>
          <w:rFonts w:ascii="Verdana" w:hAnsi="Verdana" w:cs="Arial"/>
          <w:shd w:val="clear" w:color="auto" w:fill="FFFFFF"/>
          <w:lang w:val="es-ES"/>
        </w:rPr>
        <w:lastRenderedPageBreak/>
        <w:t xml:space="preserve">26 de junio de 2025, C-957 del 23 de agosto de 2025, C-975 del 28 de agosto de 2025, C-1015 del 4 de septiembre de 2025, C-1096 del 28 de agosto de 2025, C-1170 del 16 de septiembre de 2025, </w:t>
      </w:r>
      <w:r w:rsidR="00457782" w:rsidRPr="00FC7D77">
        <w:rPr>
          <w:rFonts w:ascii="Verdana" w:hAnsi="Verdana" w:cs="Arial"/>
          <w:shd w:val="clear" w:color="auto" w:fill="FFFFFF"/>
        </w:rPr>
        <w:t>C–750 de 17 de julio 2025, C-868 del 12 de agosto de 2025, C-1057 del 5 de septiembre de 2025, C-1195 del 3 de octubre de 2025, C-1350 del 19 de septiembre de 2025</w:t>
      </w:r>
      <w:r w:rsidR="00457782">
        <w:rPr>
          <w:rFonts w:ascii="Verdana" w:hAnsi="Verdana" w:cs="Arial"/>
          <w:shd w:val="clear" w:color="auto" w:fill="FFFFFF"/>
        </w:rPr>
        <w:t>,</w:t>
      </w:r>
      <w:r w:rsidR="00457782" w:rsidRPr="00FC7D77">
        <w:rPr>
          <w:rFonts w:ascii="Verdana" w:hAnsi="Verdana" w:cs="Arial"/>
          <w:shd w:val="clear" w:color="auto" w:fill="FFFFFF"/>
        </w:rPr>
        <w:t xml:space="preserve"> C- 1236 del 27 de octubre de 2025</w:t>
      </w:r>
      <w:r w:rsidR="00457782">
        <w:rPr>
          <w:rFonts w:ascii="Verdana" w:hAnsi="Verdana" w:cs="Arial"/>
          <w:shd w:val="clear" w:color="auto" w:fill="FFFFFF"/>
        </w:rPr>
        <w:t xml:space="preserve"> y C-1835 del 21 de enero de 2026</w:t>
      </w:r>
      <w:r w:rsidR="00457782" w:rsidRPr="00FC7D77">
        <w:rPr>
          <w:rFonts w:ascii="Verdana" w:hAnsi="Verdana" w:cs="Arial"/>
          <w:shd w:val="clear" w:color="auto" w:fill="FFFFFF"/>
        </w:rPr>
        <w:t xml:space="preserve">, </w:t>
      </w:r>
      <w:r w:rsidR="00457782" w:rsidRPr="00FC7D77">
        <w:rPr>
          <w:rFonts w:ascii="Verdana" w:hAnsi="Verdana" w:cs="Arial"/>
        </w:rPr>
        <w:t>entre otros</w:t>
      </w:r>
      <w:r w:rsidR="00457782" w:rsidRPr="00FC7D77">
        <w:rPr>
          <w:rFonts w:ascii="Verdana" w:hAnsi="Verdana" w:cs="Arial"/>
          <w:shd w:val="clear" w:color="auto" w:fill="FFFFFF"/>
        </w:rPr>
        <w:t>.</w:t>
      </w:r>
      <w:r w:rsidR="00457782">
        <w:rPr>
          <w:rFonts w:ascii="Verdana" w:hAnsi="Verdana" w:cs="Arial"/>
          <w:shd w:val="clear" w:color="auto" w:fill="FFFFFF"/>
          <w:lang w:val="es-ES"/>
        </w:rPr>
        <w:t xml:space="preserve"> </w:t>
      </w:r>
      <w:r w:rsidR="00457782" w:rsidRPr="00AC0049">
        <w:rPr>
          <w:rFonts w:ascii="Verdana" w:hAnsi="Verdana" w:cs="Arial"/>
          <w:shd w:val="clear" w:color="auto" w:fill="FFFFFF"/>
          <w:lang w:val="es-ES"/>
        </w:rPr>
        <w:t>Estos</w:t>
      </w:r>
      <w:r w:rsidR="00457782" w:rsidRPr="00AC0049">
        <w:rPr>
          <w:rFonts w:ascii="Verdana" w:hAnsi="Verdana"/>
          <w:lang w:val="es-ES"/>
        </w:rPr>
        <w:t xml:space="preserve"> y otros se encuentran disponibles para consulta en el Sistema de relatoría de la Agencia, al cual se puede acceder a través del siguiente enlace</w:t>
      </w:r>
      <w:r w:rsidR="00457782">
        <w:rPr>
          <w:rFonts w:ascii="Verdana" w:hAnsi="Verdana"/>
          <w:lang w:val="es-ES"/>
        </w:rPr>
        <w:t>:</w:t>
      </w:r>
    </w:p>
    <w:p w14:paraId="551B7865" w14:textId="77777777" w:rsidR="00D44639" w:rsidRPr="00D44639" w:rsidRDefault="00D44639" w:rsidP="00D44639">
      <w:pPr>
        <w:spacing w:after="120" w:line="276" w:lineRule="auto"/>
        <w:jc w:val="both"/>
        <w:rPr>
          <w:rFonts w:ascii="Verdana" w:hAnsi="Verdana"/>
          <w:bCs/>
        </w:rPr>
      </w:pPr>
      <w:hyperlink r:id="rId12" w:history="1">
        <w:r w:rsidRPr="00D44639">
          <w:rPr>
            <w:rStyle w:val="Hipervnculo"/>
            <w:rFonts w:ascii="Verdana" w:hAnsi="Verdana"/>
            <w:bCs/>
          </w:rPr>
          <w:t>https://relatoria.colombiacompra.gov.co/busqueda/conceptos</w:t>
        </w:r>
      </w:hyperlink>
      <w:r w:rsidRPr="00D44639">
        <w:rPr>
          <w:rFonts w:ascii="Verdana" w:hAnsi="Verdana"/>
          <w:bCs/>
        </w:rPr>
        <w:t>.   </w:t>
      </w:r>
    </w:p>
    <w:p w14:paraId="19E68ED7" w14:textId="77777777" w:rsidR="00D44639" w:rsidRPr="00D44639" w:rsidRDefault="00D44639" w:rsidP="00D44639">
      <w:pPr>
        <w:spacing w:after="120" w:line="276" w:lineRule="auto"/>
        <w:jc w:val="both"/>
        <w:rPr>
          <w:rFonts w:ascii="Verdana" w:hAnsi="Verdana"/>
          <w:bCs/>
        </w:rPr>
      </w:pPr>
    </w:p>
    <w:p w14:paraId="3D0280E8" w14:textId="77777777" w:rsidR="00D44639" w:rsidRPr="00D44639" w:rsidRDefault="00D44639" w:rsidP="00D44639">
      <w:pPr>
        <w:spacing w:after="120" w:line="276" w:lineRule="auto"/>
        <w:jc w:val="both"/>
        <w:rPr>
          <w:rFonts w:ascii="Verdana" w:hAnsi="Verdana"/>
          <w:bCs/>
        </w:rPr>
      </w:pPr>
      <w:r w:rsidRPr="00D44639">
        <w:rPr>
          <w:rFonts w:ascii="Verdana" w:hAnsi="Verdana"/>
          <w:bCs/>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41823F7" w14:textId="77777777" w:rsidR="00D44639" w:rsidRPr="00D44639" w:rsidRDefault="00D44639" w:rsidP="00D44639">
      <w:pPr>
        <w:numPr>
          <w:ilvl w:val="0"/>
          <w:numId w:val="15"/>
        </w:numPr>
        <w:spacing w:after="120" w:line="276" w:lineRule="auto"/>
        <w:jc w:val="both"/>
        <w:rPr>
          <w:rFonts w:ascii="Verdana" w:hAnsi="Verdana"/>
          <w:bCs/>
        </w:rPr>
      </w:pPr>
      <w:r w:rsidRPr="00D44639">
        <w:rPr>
          <w:rFonts w:ascii="Verdana" w:hAnsi="Verdana"/>
          <w:bCs/>
        </w:rPr>
        <w:t>Línea nacional gratuita o servicio a la ciudadanía: 01800 0520808</w:t>
      </w:r>
    </w:p>
    <w:p w14:paraId="4D2892D8" w14:textId="77777777" w:rsidR="00D44639" w:rsidRPr="00D44639" w:rsidRDefault="00D44639" w:rsidP="00D44639">
      <w:pPr>
        <w:numPr>
          <w:ilvl w:val="0"/>
          <w:numId w:val="15"/>
        </w:numPr>
        <w:spacing w:after="120" w:line="276" w:lineRule="auto"/>
        <w:jc w:val="both"/>
        <w:rPr>
          <w:rFonts w:ascii="Verdana" w:hAnsi="Verdana"/>
          <w:bCs/>
        </w:rPr>
      </w:pPr>
      <w:r w:rsidRPr="00D44639">
        <w:rPr>
          <w:rFonts w:ascii="Verdana" w:hAnsi="Verdana"/>
          <w:bCs/>
        </w:rPr>
        <w:t>Línea en Bogotá (Mesa de servicio): +57 601 7456788</w:t>
      </w:r>
    </w:p>
    <w:p w14:paraId="289659B0" w14:textId="77777777" w:rsidR="00D44639" w:rsidRPr="00D44639" w:rsidRDefault="00D44639" w:rsidP="00D44639">
      <w:pPr>
        <w:numPr>
          <w:ilvl w:val="0"/>
          <w:numId w:val="15"/>
        </w:numPr>
        <w:spacing w:after="120" w:line="276" w:lineRule="auto"/>
        <w:jc w:val="both"/>
        <w:rPr>
          <w:rFonts w:ascii="Verdana" w:hAnsi="Verdana"/>
          <w:bCs/>
        </w:rPr>
      </w:pPr>
      <w:r w:rsidRPr="00D44639">
        <w:rPr>
          <w:rFonts w:ascii="Verdana" w:hAnsi="Verdana"/>
          <w:bCs/>
        </w:rPr>
        <w:t>Línea de servicio y atención al ciudadano: +57 601 7956600</w:t>
      </w:r>
    </w:p>
    <w:p w14:paraId="2AFB7A06" w14:textId="77777777" w:rsidR="00D44639" w:rsidRPr="00D44639" w:rsidRDefault="00D44639" w:rsidP="00D44639">
      <w:pPr>
        <w:numPr>
          <w:ilvl w:val="0"/>
          <w:numId w:val="15"/>
        </w:numPr>
        <w:spacing w:after="120" w:line="276" w:lineRule="auto"/>
        <w:jc w:val="both"/>
        <w:rPr>
          <w:rFonts w:ascii="Verdana" w:hAnsi="Verdana"/>
          <w:bCs/>
        </w:rPr>
      </w:pPr>
      <w:r w:rsidRPr="00D44639">
        <w:rPr>
          <w:rFonts w:ascii="Verdana" w:hAnsi="Verdana"/>
          <w:bCs/>
        </w:rPr>
        <w:t xml:space="preserve">Página web: </w:t>
      </w:r>
      <w:hyperlink r:id="rId13" w:history="1">
        <w:r w:rsidRPr="00D44639">
          <w:rPr>
            <w:rStyle w:val="Hipervnculo"/>
            <w:rFonts w:ascii="Verdana" w:hAnsi="Verdana"/>
            <w:bCs/>
          </w:rPr>
          <w:t>www.colombiacompra.gov.co</w:t>
        </w:r>
      </w:hyperlink>
    </w:p>
    <w:p w14:paraId="0C84FDCB" w14:textId="77777777" w:rsidR="00D44639" w:rsidRPr="00D44639" w:rsidRDefault="00D44639" w:rsidP="00D44639">
      <w:pPr>
        <w:spacing w:after="120" w:line="276" w:lineRule="auto"/>
        <w:jc w:val="both"/>
        <w:rPr>
          <w:rFonts w:ascii="Verdana" w:hAnsi="Verdana"/>
          <w:bCs/>
        </w:rPr>
      </w:pPr>
      <w:r w:rsidRPr="00D44639">
        <w:rPr>
          <w:rFonts w:ascii="Verdana" w:hAnsi="Verdana"/>
          <w:bCs/>
        </w:rPr>
        <w:t xml:space="preserve">Por último, lo invitamos a seguirnos en las redes sociales en las cuales se difunde información institucional: </w:t>
      </w:r>
    </w:p>
    <w:p w14:paraId="6508FE67" w14:textId="77777777" w:rsidR="00D44639" w:rsidRPr="00D44639" w:rsidRDefault="00D44639" w:rsidP="00D44639">
      <w:pPr>
        <w:spacing w:after="120" w:line="276" w:lineRule="auto"/>
        <w:jc w:val="both"/>
        <w:rPr>
          <w:rFonts w:ascii="Verdana" w:hAnsi="Verdana"/>
          <w:bCs/>
        </w:rPr>
      </w:pPr>
    </w:p>
    <w:p w14:paraId="2514B553" w14:textId="77777777" w:rsidR="00D44639" w:rsidRPr="00D44639" w:rsidRDefault="00D44639" w:rsidP="00D44639">
      <w:pPr>
        <w:spacing w:after="120" w:line="276" w:lineRule="auto"/>
        <w:jc w:val="both"/>
        <w:rPr>
          <w:rFonts w:ascii="Verdana" w:hAnsi="Verdana"/>
          <w:bCs/>
        </w:rPr>
      </w:pPr>
      <w:r w:rsidRPr="00D44639">
        <w:rPr>
          <w:rFonts w:ascii="Verdana" w:hAnsi="Verdana"/>
          <w:bCs/>
        </w:rPr>
        <w:t xml:space="preserve">Twitter: </w:t>
      </w:r>
      <w:r w:rsidRPr="00D44639">
        <w:rPr>
          <w:rFonts w:ascii="Verdana" w:hAnsi="Verdana"/>
          <w:bCs/>
          <w:u w:val="single"/>
        </w:rPr>
        <w:t>@colombiacompra</w:t>
      </w:r>
      <w:r w:rsidRPr="00D44639">
        <w:rPr>
          <w:rFonts w:ascii="Verdana" w:hAnsi="Verdana"/>
          <w:bCs/>
        </w:rPr>
        <w:t xml:space="preserve"> </w:t>
      </w:r>
    </w:p>
    <w:p w14:paraId="267CE6F4" w14:textId="77777777" w:rsidR="00D44639" w:rsidRPr="00D44639" w:rsidRDefault="00D44639" w:rsidP="00D44639">
      <w:pPr>
        <w:spacing w:after="120" w:line="276" w:lineRule="auto"/>
        <w:jc w:val="both"/>
        <w:rPr>
          <w:rFonts w:ascii="Verdana" w:hAnsi="Verdana"/>
          <w:bCs/>
        </w:rPr>
      </w:pPr>
      <w:r w:rsidRPr="00D44639">
        <w:rPr>
          <w:rFonts w:ascii="Verdana" w:hAnsi="Verdana"/>
          <w:bCs/>
        </w:rPr>
        <w:t xml:space="preserve">Facebook: </w:t>
      </w:r>
      <w:proofErr w:type="spellStart"/>
      <w:r w:rsidRPr="00D44639">
        <w:rPr>
          <w:rFonts w:ascii="Verdana" w:hAnsi="Verdana"/>
          <w:bCs/>
          <w:u w:val="single"/>
        </w:rPr>
        <w:t>ColombiaCompraEficiente</w:t>
      </w:r>
      <w:proofErr w:type="spellEnd"/>
    </w:p>
    <w:p w14:paraId="20B4E227" w14:textId="3348A896" w:rsidR="00D44639" w:rsidRPr="00D44639" w:rsidRDefault="00D44639" w:rsidP="00D44639">
      <w:pPr>
        <w:spacing w:after="120" w:line="276" w:lineRule="auto"/>
        <w:jc w:val="both"/>
        <w:rPr>
          <w:rFonts w:ascii="Verdana" w:hAnsi="Verdana"/>
          <w:bCs/>
        </w:rPr>
      </w:pPr>
      <w:r w:rsidRPr="00D44639">
        <w:rPr>
          <w:rFonts w:ascii="Verdana" w:hAnsi="Verdana"/>
          <w:bCs/>
        </w:rPr>
        <w:t xml:space="preserve">LinkedIn: </w:t>
      </w:r>
      <w:r w:rsidRPr="00D44639">
        <w:rPr>
          <w:rFonts w:ascii="Verdana" w:hAnsi="Verdana"/>
          <w:bCs/>
          <w:u w:val="single"/>
        </w:rPr>
        <w:t>Agencia Nacional de Contratación Pública - Colombia Compra Eficiente</w:t>
      </w:r>
      <w:r w:rsidRPr="00D44639">
        <w:rPr>
          <w:rFonts w:ascii="Verdana" w:hAnsi="Verdana"/>
          <w:bCs/>
        </w:rPr>
        <w:t xml:space="preserve"> Instagram: </w:t>
      </w:r>
      <w:r w:rsidRPr="00D44639">
        <w:rPr>
          <w:rFonts w:ascii="Verdana" w:hAnsi="Verdana"/>
          <w:bCs/>
          <w:u w:val="single"/>
        </w:rPr>
        <w:t>@colombiacompraeficiente_cce</w:t>
      </w:r>
    </w:p>
    <w:p w14:paraId="08A8EE59" w14:textId="77777777" w:rsidR="00E43F6E" w:rsidRDefault="00D44639" w:rsidP="00D44639">
      <w:pPr>
        <w:spacing w:after="120" w:line="276" w:lineRule="auto"/>
        <w:jc w:val="both"/>
        <w:rPr>
          <w:rFonts w:ascii="Verdana" w:hAnsi="Verdana"/>
          <w:bCs/>
        </w:rPr>
      </w:pPr>
      <w:r w:rsidRPr="00D44639">
        <w:rPr>
          <w:rFonts w:ascii="Verdana" w:hAnsi="Verdana"/>
          <w:bCs/>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661D195" w14:textId="00B3B164" w:rsidR="00D44639" w:rsidRDefault="00E43F6E" w:rsidP="00D44639">
      <w:pPr>
        <w:spacing w:after="120" w:line="276" w:lineRule="auto"/>
        <w:jc w:val="both"/>
        <w:rPr>
          <w:rFonts w:ascii="Verdana" w:hAnsi="Verdana"/>
          <w:bCs/>
        </w:rPr>
      </w:pPr>
      <w:r w:rsidRPr="00580D84">
        <w:rPr>
          <w:rFonts w:ascii="Verdana" w:eastAsia="Verdana" w:hAnsi="Verdana" w:cs="Verdana"/>
          <w:b/>
          <w:bCs/>
          <w:noProof/>
          <w:lang w:val="es-MX"/>
        </w:rPr>
        <w:lastRenderedPageBreak/>
        <w:drawing>
          <wp:anchor distT="0" distB="0" distL="114300" distR="114300" simplePos="0" relativeHeight="251662336" behindDoc="1" locked="0" layoutInCell="1" allowOverlap="1" wp14:anchorId="44BF7FB1" wp14:editId="663DD9BD">
            <wp:simplePos x="0" y="0"/>
            <wp:positionH relativeFrom="column">
              <wp:posOffset>1100583</wp:posOffset>
            </wp:positionH>
            <wp:positionV relativeFrom="paragraph">
              <wp:posOffset>-227</wp:posOffset>
            </wp:positionV>
            <wp:extent cx="3007995" cy="879475"/>
            <wp:effectExtent l="0" t="0" r="1905" b="0"/>
            <wp:wrapTight wrapText="bothSides">
              <wp:wrapPolygon edited="0">
                <wp:start x="0" y="0"/>
                <wp:lineTo x="0" y="21054"/>
                <wp:lineTo x="21477" y="21054"/>
                <wp:lineTo x="21477"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007995" cy="879475"/>
                    </a:xfrm>
                    <a:prstGeom prst="rect">
                      <a:avLst/>
                    </a:prstGeom>
                  </pic:spPr>
                </pic:pic>
              </a:graphicData>
            </a:graphic>
            <wp14:sizeRelV relativeFrom="margin">
              <wp14:pctHeight>0</wp14:pctHeight>
            </wp14:sizeRelV>
          </wp:anchor>
        </w:drawing>
      </w:r>
      <w:r w:rsidR="00D44639" w:rsidRPr="00D44639">
        <w:rPr>
          <w:rFonts w:ascii="Verdana" w:hAnsi="Verdana"/>
          <w:bCs/>
        </w:rPr>
        <w:t>Atentamente,</w:t>
      </w:r>
    </w:p>
    <w:p w14:paraId="74E58146" w14:textId="2241FBB2" w:rsidR="00844643" w:rsidRPr="00D44639" w:rsidRDefault="00844643" w:rsidP="00D44639">
      <w:pPr>
        <w:spacing w:after="120" w:line="276" w:lineRule="auto"/>
        <w:jc w:val="both"/>
        <w:rPr>
          <w:rFonts w:ascii="Verdana" w:hAnsi="Verdana"/>
          <w:bCs/>
        </w:rPr>
      </w:pPr>
    </w:p>
    <w:p w14:paraId="33A1243B" w14:textId="77777777" w:rsidR="00C61CA2" w:rsidRDefault="00C61CA2" w:rsidP="00776B6F">
      <w:pPr>
        <w:spacing w:after="120"/>
        <w:jc w:val="both"/>
        <w:rPr>
          <w:rFonts w:ascii="Verdana" w:hAnsi="Verdana"/>
        </w:rPr>
      </w:pPr>
    </w:p>
    <w:p w14:paraId="1E874C33" w14:textId="77777777" w:rsidR="00776B6F" w:rsidRPr="00C61CA2" w:rsidRDefault="00776B6F" w:rsidP="00776B6F">
      <w:pPr>
        <w:spacing w:after="120"/>
        <w:jc w:val="both"/>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F735E" w:rsidRPr="00286805" w14:paraId="1A4E589F" w14:textId="77777777" w:rsidTr="00695E6E">
        <w:trPr>
          <w:trHeight w:val="315"/>
        </w:trPr>
        <w:tc>
          <w:tcPr>
            <w:tcW w:w="893" w:type="dxa"/>
            <w:vAlign w:val="center"/>
            <w:hideMark/>
          </w:tcPr>
          <w:p w14:paraId="1D90EC51" w14:textId="77777777" w:rsidR="00776B6F" w:rsidRPr="00286805" w:rsidRDefault="00776B6F" w:rsidP="00695E6E">
            <w:pPr>
              <w:rPr>
                <w:rFonts w:ascii="Verdana" w:eastAsia="Calibri" w:hAnsi="Verdana" w:cs="Arial"/>
                <w:sz w:val="16"/>
                <w:szCs w:val="16"/>
                <w:lang w:eastAsia="es-ES"/>
              </w:rPr>
            </w:pPr>
            <w:r w:rsidRPr="00286805">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5BC69B38" w14:textId="77777777" w:rsidR="00776B6F" w:rsidRPr="00286805" w:rsidRDefault="00776B6F" w:rsidP="00695E6E">
            <w:pPr>
              <w:rPr>
                <w:rFonts w:ascii="Verdana" w:eastAsia="Arial" w:hAnsi="Verdana" w:cs="Arial"/>
                <w:sz w:val="16"/>
                <w:szCs w:val="16"/>
              </w:rPr>
            </w:pPr>
            <w:r>
              <w:rPr>
                <w:rFonts w:ascii="Verdana" w:eastAsia="Arial" w:hAnsi="Verdana" w:cs="Arial"/>
                <w:sz w:val="16"/>
                <w:szCs w:val="16"/>
              </w:rPr>
              <w:t>Kelmis Yirama Brugés Alvarado</w:t>
            </w:r>
          </w:p>
          <w:p w14:paraId="6D3D8B3B" w14:textId="77777777" w:rsidR="00776B6F" w:rsidRPr="00286805" w:rsidRDefault="00776B6F" w:rsidP="00695E6E">
            <w:pPr>
              <w:rPr>
                <w:rFonts w:ascii="Verdana" w:eastAsia="Arial" w:hAnsi="Verdana" w:cs="Arial"/>
                <w:sz w:val="16"/>
                <w:szCs w:val="16"/>
              </w:rPr>
            </w:pPr>
            <w:r>
              <w:rPr>
                <w:rFonts w:ascii="Verdana" w:eastAsia="Arial" w:hAnsi="Verdana" w:cs="Arial"/>
                <w:sz w:val="16"/>
                <w:szCs w:val="16"/>
              </w:rPr>
              <w:t>Analista T2-Grado 04</w:t>
            </w:r>
            <w:r w:rsidRPr="00286805">
              <w:rPr>
                <w:rFonts w:ascii="Verdana" w:eastAsia="Arial" w:hAnsi="Verdana" w:cs="Arial"/>
                <w:sz w:val="16"/>
                <w:szCs w:val="16"/>
              </w:rPr>
              <w:t xml:space="preserve"> de la Subdirección de Gestión Contractual</w:t>
            </w:r>
          </w:p>
          <w:p w14:paraId="6D13591B" w14:textId="77777777" w:rsidR="00776B6F" w:rsidRPr="00286805" w:rsidRDefault="00776B6F" w:rsidP="00695E6E">
            <w:pPr>
              <w:rPr>
                <w:rFonts w:ascii="Verdana" w:eastAsia="Arial" w:hAnsi="Verdana" w:cs="Arial"/>
                <w:sz w:val="16"/>
                <w:szCs w:val="16"/>
              </w:rPr>
            </w:pPr>
          </w:p>
        </w:tc>
      </w:tr>
      <w:tr w:rsidR="007F735E" w:rsidRPr="00286805" w14:paraId="2A27CE06" w14:textId="77777777" w:rsidTr="00695E6E">
        <w:trPr>
          <w:trHeight w:val="330"/>
        </w:trPr>
        <w:tc>
          <w:tcPr>
            <w:tcW w:w="893" w:type="dxa"/>
            <w:vAlign w:val="center"/>
            <w:hideMark/>
          </w:tcPr>
          <w:p w14:paraId="4AAA9052" w14:textId="77777777" w:rsidR="00776B6F" w:rsidRPr="00286805" w:rsidRDefault="00776B6F" w:rsidP="00695E6E">
            <w:pPr>
              <w:rPr>
                <w:rFonts w:ascii="Verdana" w:eastAsia="Calibri" w:hAnsi="Verdana" w:cs="Arial"/>
                <w:sz w:val="16"/>
                <w:szCs w:val="16"/>
                <w:lang w:eastAsia="es-ES"/>
              </w:rPr>
            </w:pPr>
            <w:r w:rsidRPr="00286805">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C6F7B59" w14:textId="77777777" w:rsidR="00776B6F" w:rsidRPr="00286805" w:rsidRDefault="00776B6F" w:rsidP="00695E6E">
            <w:pPr>
              <w:textAlignment w:val="baseline"/>
              <w:rPr>
                <w:rFonts w:ascii="Verdana" w:eastAsia="Times New Roman" w:hAnsi="Verdana" w:cs="Aptos"/>
                <w:sz w:val="16"/>
                <w:szCs w:val="16"/>
                <w:lang w:eastAsia="es-CO"/>
              </w:rPr>
            </w:pPr>
            <w:r>
              <w:rPr>
                <w:rFonts w:ascii="Verdana" w:eastAsia="Times New Roman" w:hAnsi="Verdana" w:cs="Aptos"/>
                <w:sz w:val="16"/>
                <w:szCs w:val="16"/>
                <w:lang w:eastAsia="es-CO"/>
              </w:rPr>
              <w:t>Juan David Cárdenas Cabezas</w:t>
            </w:r>
          </w:p>
          <w:p w14:paraId="2BDBCBD7" w14:textId="77777777" w:rsidR="00776B6F" w:rsidRPr="00286805" w:rsidRDefault="00776B6F" w:rsidP="00695E6E">
            <w:pPr>
              <w:textAlignment w:val="baseline"/>
              <w:rPr>
                <w:rFonts w:ascii="Verdana" w:eastAsia="Times New Roman" w:hAnsi="Verdana" w:cs="Segoe UI"/>
                <w:sz w:val="16"/>
                <w:szCs w:val="16"/>
                <w:lang w:eastAsia="es-ES_tradnl"/>
              </w:rPr>
            </w:pPr>
            <w:r>
              <w:rPr>
                <w:rFonts w:ascii="Verdana" w:eastAsia="Times New Roman" w:hAnsi="Verdana" w:cs="Segoe UI"/>
                <w:sz w:val="16"/>
                <w:szCs w:val="16"/>
                <w:lang w:eastAsia="es-ES_tradnl"/>
              </w:rPr>
              <w:t>Contratista</w:t>
            </w:r>
            <w:r w:rsidRPr="00286805">
              <w:rPr>
                <w:rFonts w:ascii="Verdana" w:eastAsia="Times New Roman" w:hAnsi="Verdana" w:cs="Segoe UI"/>
                <w:sz w:val="16"/>
                <w:szCs w:val="16"/>
                <w:lang w:eastAsia="es-ES_tradnl"/>
              </w:rPr>
              <w:t xml:space="preserve"> de la Subdirección de</w:t>
            </w:r>
            <w:r w:rsidRPr="00286805">
              <w:rPr>
                <w:rFonts w:ascii="Verdana" w:eastAsia="Calibri" w:hAnsi="Verdana" w:cs="Arial"/>
                <w:sz w:val="16"/>
                <w:szCs w:val="16"/>
                <w:lang w:eastAsia="es-ES"/>
              </w:rPr>
              <w:t xml:space="preserve"> Gestión Contractual </w:t>
            </w:r>
          </w:p>
        </w:tc>
      </w:tr>
      <w:tr w:rsidR="007F735E" w:rsidRPr="00286805" w14:paraId="54A672E0" w14:textId="77777777" w:rsidTr="00695E6E">
        <w:trPr>
          <w:trHeight w:val="300"/>
        </w:trPr>
        <w:tc>
          <w:tcPr>
            <w:tcW w:w="893" w:type="dxa"/>
            <w:vAlign w:val="center"/>
          </w:tcPr>
          <w:p w14:paraId="54178AA1" w14:textId="77777777" w:rsidR="00776B6F" w:rsidRPr="00286805" w:rsidRDefault="00776B6F" w:rsidP="00695E6E">
            <w:pPr>
              <w:rPr>
                <w:rFonts w:ascii="Verdana" w:eastAsia="Calibri" w:hAnsi="Verdana" w:cs="Arial"/>
                <w:sz w:val="16"/>
                <w:szCs w:val="16"/>
                <w:lang w:eastAsia="es-ES"/>
              </w:rPr>
            </w:pPr>
            <w:r w:rsidRPr="00286805">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262E2326" w14:textId="77777777" w:rsidR="00776B6F" w:rsidRPr="00286805" w:rsidRDefault="00776B6F" w:rsidP="00695E6E">
            <w:pPr>
              <w:rPr>
                <w:rFonts w:ascii="Verdana" w:eastAsia="Calibri" w:hAnsi="Verdana" w:cs="Arial"/>
                <w:sz w:val="16"/>
                <w:szCs w:val="16"/>
                <w:lang w:eastAsia="es-ES"/>
              </w:rPr>
            </w:pPr>
            <w:r w:rsidRPr="00286805">
              <w:rPr>
                <w:rFonts w:ascii="Verdana" w:eastAsia="Calibri" w:hAnsi="Verdana" w:cs="Arial"/>
                <w:sz w:val="16"/>
                <w:szCs w:val="16"/>
                <w:lang w:eastAsia="es-ES"/>
              </w:rPr>
              <w:t>Carolina Quintero Gacharná</w:t>
            </w:r>
          </w:p>
          <w:p w14:paraId="5307286B" w14:textId="77777777" w:rsidR="00776B6F" w:rsidRPr="00286805" w:rsidRDefault="00776B6F" w:rsidP="00695E6E">
            <w:pPr>
              <w:rPr>
                <w:rFonts w:ascii="Verdana" w:eastAsia="Calibri" w:hAnsi="Verdana" w:cs="Arial"/>
                <w:sz w:val="16"/>
                <w:szCs w:val="16"/>
                <w:lang w:eastAsia="es-ES"/>
              </w:rPr>
            </w:pPr>
            <w:r w:rsidRPr="00286805">
              <w:rPr>
                <w:rFonts w:ascii="Verdana" w:eastAsia="Calibri" w:hAnsi="Verdana" w:cs="Arial"/>
                <w:sz w:val="16"/>
                <w:szCs w:val="16"/>
                <w:lang w:eastAsia="es-ES"/>
              </w:rPr>
              <w:t>Subdirectora de Gestión Contractual ANCP – CCE</w:t>
            </w:r>
          </w:p>
        </w:tc>
      </w:tr>
    </w:tbl>
    <w:p w14:paraId="08D9EC24" w14:textId="77777777" w:rsidR="00ED1E12" w:rsidRPr="00ED1E12" w:rsidRDefault="00ED1E12" w:rsidP="00ED1E12">
      <w:pPr>
        <w:spacing w:after="120"/>
        <w:ind w:firstLine="708"/>
        <w:jc w:val="both"/>
        <w:rPr>
          <w:rFonts w:ascii="Verdana" w:hAnsi="Verdana"/>
        </w:rPr>
      </w:pPr>
    </w:p>
    <w:p w14:paraId="1CF91B07" w14:textId="69ADF1F0" w:rsidR="00C6421B" w:rsidRPr="00C6421B" w:rsidRDefault="00C6421B" w:rsidP="00D26169">
      <w:pPr>
        <w:spacing w:after="120"/>
        <w:jc w:val="both"/>
        <w:rPr>
          <w:rFonts w:ascii="Verdana" w:hAnsi="Verdana"/>
        </w:rPr>
      </w:pPr>
    </w:p>
    <w:p w14:paraId="2D822635" w14:textId="77777777" w:rsidR="005438EA" w:rsidRPr="005438EA" w:rsidRDefault="005438EA" w:rsidP="005438EA">
      <w:pPr>
        <w:spacing w:after="120"/>
        <w:ind w:left="709" w:right="709" w:firstLine="709"/>
        <w:jc w:val="both"/>
        <w:rPr>
          <w:rFonts w:ascii="Verdana" w:hAnsi="Verdana"/>
        </w:rPr>
      </w:pPr>
    </w:p>
    <w:p w14:paraId="6C6EA56C" w14:textId="77777777" w:rsidR="008D4D3F" w:rsidRPr="008D4D3F" w:rsidRDefault="008D4D3F" w:rsidP="008D4D3F">
      <w:pPr>
        <w:spacing w:after="120"/>
        <w:ind w:firstLine="709"/>
        <w:jc w:val="both"/>
        <w:rPr>
          <w:rFonts w:ascii="Verdana" w:hAnsi="Verdana"/>
        </w:rPr>
      </w:pPr>
    </w:p>
    <w:p w14:paraId="3E08E7B2" w14:textId="77777777" w:rsidR="007A66E6" w:rsidRDefault="007A66E6" w:rsidP="00900DB1">
      <w:pPr>
        <w:spacing w:after="0"/>
        <w:jc w:val="both"/>
        <w:rPr>
          <w:rFonts w:ascii="Verdana" w:hAnsi="Verdana"/>
        </w:rPr>
      </w:pPr>
    </w:p>
    <w:p w14:paraId="52511893" w14:textId="77777777" w:rsidR="007A66E6" w:rsidRDefault="007A66E6" w:rsidP="00900DB1">
      <w:pPr>
        <w:spacing w:after="0"/>
        <w:jc w:val="both"/>
        <w:rPr>
          <w:rFonts w:ascii="Verdana" w:hAnsi="Verdana"/>
        </w:rPr>
      </w:pPr>
    </w:p>
    <w:bookmarkEnd w:id="0"/>
    <w:p w14:paraId="56945E6B" w14:textId="77777777" w:rsidR="007A66E6" w:rsidRPr="003921B4" w:rsidRDefault="007A66E6" w:rsidP="00900DB1">
      <w:pPr>
        <w:spacing w:after="0"/>
        <w:jc w:val="both"/>
        <w:rPr>
          <w:rFonts w:ascii="Verdana" w:hAnsi="Verdana"/>
          <w:lang w:val="es-ES_tradnl"/>
        </w:rPr>
      </w:pPr>
    </w:p>
    <w:sectPr w:rsidR="007A66E6" w:rsidRPr="003921B4"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53AF4" w14:textId="77777777" w:rsidR="009D62B0" w:rsidRDefault="009D62B0" w:rsidP="004A1847">
      <w:pPr>
        <w:spacing w:after="0" w:line="240" w:lineRule="auto"/>
      </w:pPr>
      <w:r>
        <w:separator/>
      </w:r>
    </w:p>
  </w:endnote>
  <w:endnote w:type="continuationSeparator" w:id="0">
    <w:p w14:paraId="367F9302" w14:textId="77777777" w:rsidR="009D62B0" w:rsidRDefault="009D62B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13397" w14:textId="77777777" w:rsidR="009D62B0" w:rsidRDefault="009D62B0" w:rsidP="004A1847">
      <w:pPr>
        <w:spacing w:after="0" w:line="240" w:lineRule="auto"/>
      </w:pPr>
      <w:r>
        <w:separator/>
      </w:r>
    </w:p>
  </w:footnote>
  <w:footnote w:type="continuationSeparator" w:id="0">
    <w:p w14:paraId="2EDD8128" w14:textId="77777777" w:rsidR="009D62B0" w:rsidRDefault="009D62B0" w:rsidP="004A1847">
      <w:pPr>
        <w:spacing w:after="0" w:line="240" w:lineRule="auto"/>
      </w:pPr>
      <w:r>
        <w:continuationSeparator/>
      </w:r>
    </w:p>
  </w:footnote>
  <w:footnote w:id="1">
    <w:p w14:paraId="21C0FECD" w14:textId="77777777" w:rsidR="00F50931" w:rsidRPr="00E526D8" w:rsidRDefault="00F50931" w:rsidP="00F50931">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3FBBBFE" w14:textId="77777777" w:rsidR="00F50931" w:rsidRDefault="00F50931" w:rsidP="00F50931">
      <w:pPr>
        <w:pStyle w:val="Textonotapie"/>
        <w:ind w:firstLine="709"/>
        <w:jc w:val="both"/>
        <w:rPr>
          <w:rFonts w:ascii="Verdana" w:hAnsi="Verdana" w:cs="Arial"/>
          <w:sz w:val="16"/>
          <w:szCs w:val="16"/>
        </w:rPr>
      </w:pPr>
      <w:r w:rsidRPr="00E526D8">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B67B79E" w14:textId="77777777" w:rsidR="00F50931" w:rsidRPr="00E526D8" w:rsidRDefault="00F50931" w:rsidP="00F50931">
      <w:pPr>
        <w:pStyle w:val="Textonotapie"/>
        <w:ind w:firstLine="709"/>
        <w:jc w:val="both"/>
        <w:rPr>
          <w:rFonts w:ascii="Verdana" w:hAnsi="Verdana" w:cs="Arial"/>
          <w:sz w:val="16"/>
          <w:szCs w:val="16"/>
        </w:rPr>
      </w:pPr>
    </w:p>
  </w:footnote>
  <w:footnote w:id="2">
    <w:p w14:paraId="334072E6" w14:textId="77777777" w:rsidR="0066363F" w:rsidRPr="00E526D8" w:rsidRDefault="0066363F" w:rsidP="0066363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Gaceta del Congreso de la República No. 71 del 2005.</w:t>
      </w:r>
    </w:p>
    <w:p w14:paraId="4A84A909" w14:textId="77777777" w:rsidR="0066363F" w:rsidRPr="00E526D8" w:rsidRDefault="0066363F" w:rsidP="0066363F">
      <w:pPr>
        <w:pStyle w:val="Textonotapie"/>
        <w:ind w:firstLine="709"/>
        <w:jc w:val="both"/>
        <w:rPr>
          <w:rFonts w:ascii="Verdana" w:hAnsi="Verdana" w:cs="Arial"/>
          <w:sz w:val="16"/>
          <w:szCs w:val="16"/>
        </w:rPr>
      </w:pPr>
    </w:p>
  </w:footnote>
  <w:footnote w:id="3">
    <w:p w14:paraId="5E55A30C" w14:textId="77777777" w:rsidR="0066363F" w:rsidRPr="00E526D8" w:rsidRDefault="0066363F" w:rsidP="0066363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Corte Constitucional, Sentencia C- 1153 de 2005, M.P. Marco Gerardo Monroy Cabra.</w:t>
      </w:r>
    </w:p>
    <w:p w14:paraId="165CE8F7" w14:textId="77777777" w:rsidR="0066363F" w:rsidRPr="00E526D8" w:rsidRDefault="0066363F" w:rsidP="0066363F">
      <w:pPr>
        <w:pStyle w:val="Textonotapie"/>
        <w:ind w:firstLine="709"/>
        <w:jc w:val="both"/>
        <w:rPr>
          <w:rFonts w:ascii="Verdana" w:hAnsi="Verdana" w:cs="Arial"/>
          <w:sz w:val="16"/>
          <w:szCs w:val="16"/>
        </w:rPr>
      </w:pPr>
    </w:p>
  </w:footnote>
  <w:footnote w:id="4">
    <w:p w14:paraId="1911D36A" w14:textId="77777777" w:rsidR="00E14D02" w:rsidRPr="00E526D8" w:rsidRDefault="00E14D02" w:rsidP="00E14D0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5BE83EEE" w14:textId="77777777" w:rsidR="00E14D02" w:rsidRPr="00E526D8" w:rsidRDefault="00E14D02" w:rsidP="00E14D02">
      <w:pPr>
        <w:pStyle w:val="Textonotapie"/>
        <w:ind w:firstLine="709"/>
        <w:jc w:val="both"/>
        <w:rPr>
          <w:rFonts w:ascii="Verdana" w:hAnsi="Verdana" w:cs="Arial"/>
          <w:sz w:val="16"/>
          <w:szCs w:val="16"/>
        </w:rPr>
      </w:pPr>
    </w:p>
  </w:footnote>
  <w:footnote w:id="5">
    <w:p w14:paraId="77C31DDA" w14:textId="77777777" w:rsidR="00E14D02" w:rsidRPr="00E526D8" w:rsidRDefault="00E14D02" w:rsidP="00E14D02">
      <w:pPr>
        <w:pStyle w:val="Textonotapie"/>
        <w:ind w:firstLine="708"/>
        <w:jc w:val="both"/>
        <w:rPr>
          <w:rFonts w:ascii="Verdana" w:hAnsi="Verdana" w:cs="Arial"/>
          <w:sz w:val="16"/>
          <w:szCs w:val="16"/>
          <w:lang w:val="es-CO"/>
        </w:rPr>
      </w:pPr>
      <w:r w:rsidRPr="00E526D8">
        <w:rPr>
          <w:rStyle w:val="Refdenotaalpie"/>
          <w:rFonts w:ascii="Verdana" w:hAnsi="Verdana" w:cs="Arial"/>
          <w:sz w:val="16"/>
          <w:szCs w:val="16"/>
        </w:rPr>
        <w:footnoteRef/>
      </w:r>
      <w:r w:rsidRPr="00E526D8">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135D3BE5" w14:textId="77777777" w:rsidR="00E14D02" w:rsidRPr="00E526D8" w:rsidRDefault="00E14D02" w:rsidP="00E14D02">
      <w:pPr>
        <w:pStyle w:val="Textonotapie"/>
        <w:ind w:firstLine="708"/>
        <w:jc w:val="both"/>
        <w:rPr>
          <w:rFonts w:ascii="Verdana" w:hAnsi="Verdana" w:cs="Arial"/>
          <w:sz w:val="16"/>
          <w:szCs w:val="16"/>
          <w:lang w:val="es-CO"/>
        </w:rPr>
      </w:pPr>
    </w:p>
  </w:footnote>
  <w:footnote w:id="6">
    <w:p w14:paraId="7ACF71DE" w14:textId="77777777" w:rsidR="00E14D02" w:rsidRPr="00E526D8" w:rsidRDefault="00E14D02" w:rsidP="00E14D0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de fecha 24 de julio de 2013, radicado 2166, Consejero Ponente: Álvaro Namén Vargas.  </w:t>
      </w:r>
    </w:p>
    <w:p w14:paraId="03503BE7" w14:textId="77777777" w:rsidR="00E14D02" w:rsidRPr="00E526D8" w:rsidRDefault="00E14D02" w:rsidP="00E14D02">
      <w:pPr>
        <w:pStyle w:val="Textonotapie"/>
        <w:ind w:firstLine="709"/>
        <w:jc w:val="both"/>
        <w:rPr>
          <w:rFonts w:ascii="Verdana" w:hAnsi="Verdana" w:cs="Arial"/>
          <w:sz w:val="16"/>
          <w:szCs w:val="16"/>
        </w:rPr>
      </w:pPr>
    </w:p>
  </w:footnote>
  <w:footnote w:id="7">
    <w:p w14:paraId="048AF38B" w14:textId="77777777" w:rsidR="00540505" w:rsidRPr="00E526D8" w:rsidRDefault="00540505" w:rsidP="00540505">
      <w:pPr>
        <w:spacing w:after="0" w:line="240" w:lineRule="auto"/>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w:t>
      </w:r>
      <w:r w:rsidRPr="00E526D8">
        <w:rPr>
          <w:rFonts w:ascii="Verdana" w:hAnsi="Verdana" w:cs="Arial"/>
          <w:bCs/>
          <w:color w:val="000000"/>
          <w:sz w:val="16"/>
          <w:szCs w:val="16"/>
        </w:rPr>
        <w:t>“</w:t>
      </w:r>
      <w:r w:rsidRPr="00E526D8">
        <w:rPr>
          <w:rFonts w:ascii="Verdana"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1ADC980" w14:textId="77777777" w:rsidR="00540505" w:rsidRPr="00E526D8" w:rsidRDefault="00540505" w:rsidP="00540505">
      <w:pPr>
        <w:spacing w:after="0" w:line="240" w:lineRule="auto"/>
        <w:ind w:firstLine="709"/>
        <w:jc w:val="both"/>
        <w:rPr>
          <w:rFonts w:ascii="Verdana" w:hAnsi="Verdana" w:cs="Arial"/>
          <w:sz w:val="16"/>
          <w:szCs w:val="16"/>
        </w:rPr>
      </w:pPr>
      <w:r w:rsidRPr="00E526D8">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526D8">
        <w:rPr>
          <w:rFonts w:ascii="Verdana" w:hAnsi="Verdana" w:cs="Arial"/>
          <w:bCs/>
          <w:color w:val="000000"/>
          <w:sz w:val="16"/>
          <w:szCs w:val="16"/>
        </w:rPr>
        <w:t>”</w:t>
      </w:r>
      <w:r w:rsidRPr="00E526D8">
        <w:rPr>
          <w:rFonts w:ascii="Verdana" w:hAnsi="Verdana" w:cs="Arial"/>
          <w:sz w:val="16"/>
          <w:szCs w:val="16"/>
        </w:rPr>
        <w:t>.</w:t>
      </w:r>
    </w:p>
    <w:p w14:paraId="63182191" w14:textId="77777777" w:rsidR="00540505" w:rsidRPr="00E526D8" w:rsidRDefault="00540505" w:rsidP="00540505">
      <w:pPr>
        <w:spacing w:after="0" w:line="240" w:lineRule="auto"/>
        <w:ind w:firstLine="709"/>
        <w:jc w:val="both"/>
        <w:rPr>
          <w:rFonts w:ascii="Verdana" w:hAnsi="Verdana" w:cs="Arial"/>
          <w:sz w:val="16"/>
          <w:szCs w:val="16"/>
        </w:rPr>
      </w:pPr>
    </w:p>
  </w:footnote>
  <w:footnote w:id="8">
    <w:p w14:paraId="2FCCB15C" w14:textId="77777777" w:rsidR="00540505" w:rsidRPr="00E526D8" w:rsidRDefault="00540505" w:rsidP="00540505">
      <w:pPr>
        <w:pStyle w:val="NormalWeb"/>
        <w:spacing w:before="0" w:beforeAutospacing="0" w:after="0" w:afterAutospacing="0"/>
        <w:ind w:firstLine="709"/>
        <w:jc w:val="both"/>
        <w:rPr>
          <w:rFonts w:ascii="Verdana" w:hAnsi="Verdana" w:cs="Arial"/>
          <w:sz w:val="16"/>
          <w:szCs w:val="16"/>
          <w:lang w:val="es-MX"/>
        </w:rPr>
      </w:pPr>
      <w:r w:rsidRPr="00E526D8">
        <w:rPr>
          <w:rStyle w:val="Refdenotaalpie"/>
          <w:rFonts w:ascii="Verdana" w:hAnsi="Verdana" w:cs="Arial"/>
          <w:sz w:val="16"/>
          <w:szCs w:val="16"/>
        </w:rPr>
        <w:footnoteRef/>
      </w:r>
      <w:r w:rsidRPr="00E526D8">
        <w:rPr>
          <w:rFonts w:ascii="Verdana" w:hAnsi="Verdana" w:cs="Arial"/>
          <w:sz w:val="16"/>
          <w:szCs w:val="16"/>
        </w:rPr>
        <w:t xml:space="preserve"> </w:t>
      </w:r>
      <w:bookmarkStart w:id="2" w:name="38"/>
      <w:r w:rsidRPr="00E526D8">
        <w:rPr>
          <w:rFonts w:ascii="Verdana" w:hAnsi="Verdana" w:cs="Arial"/>
          <w:sz w:val="16"/>
          <w:szCs w:val="16"/>
        </w:rPr>
        <w:t>“</w:t>
      </w:r>
      <w:r w:rsidRPr="00E526D8">
        <w:rPr>
          <w:rFonts w:ascii="Verdana" w:hAnsi="Verdana" w:cs="Arial"/>
          <w:sz w:val="16"/>
          <w:szCs w:val="16"/>
          <w:lang w:val="es-MX"/>
        </w:rPr>
        <w:t>Artículo 38. Prohibiciones para los servidores públicos. A los empleados del Estado les está prohibido:</w:t>
      </w:r>
      <w:bookmarkEnd w:id="2"/>
      <w:r w:rsidRPr="00E526D8">
        <w:rPr>
          <w:rFonts w:ascii="Verdana" w:hAnsi="Verdana" w:cs="Arial"/>
          <w:sz w:val="16"/>
          <w:szCs w:val="16"/>
          <w:lang w:val="es-MX"/>
        </w:rPr>
        <w:t xml:space="preserve"> […] </w:t>
      </w:r>
      <w:r w:rsidRPr="00E526D8">
        <w:rPr>
          <w:rStyle w:val="baj"/>
          <w:rFonts w:ascii="Verdana" w:hAnsi="Verdana" w:cs="Arial"/>
          <w:sz w:val="16"/>
          <w:szCs w:val="16"/>
          <w:lang w:val="es-MX"/>
        </w:rPr>
        <w:t>Parágrafo.</w:t>
      </w:r>
      <w:r w:rsidRPr="00E526D8">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526D8">
        <w:rPr>
          <w:rFonts w:ascii="Verdana" w:eastAsia="Calibri" w:hAnsi="Verdana" w:cs="Arial"/>
          <w:bCs/>
          <w:color w:val="000000"/>
          <w:sz w:val="16"/>
          <w:szCs w:val="16"/>
        </w:rPr>
        <w:t>”</w:t>
      </w:r>
      <w:r w:rsidRPr="00E526D8">
        <w:rPr>
          <w:rFonts w:ascii="Verdana" w:hAnsi="Verdana" w:cs="Arial"/>
          <w:sz w:val="16"/>
          <w:szCs w:val="16"/>
          <w:lang w:val="es-MX"/>
        </w:rPr>
        <w:t>.</w:t>
      </w:r>
    </w:p>
    <w:p w14:paraId="5ABCEFA9" w14:textId="77777777" w:rsidR="00540505" w:rsidRPr="00E526D8" w:rsidRDefault="00540505" w:rsidP="00540505">
      <w:pPr>
        <w:pStyle w:val="NormalWeb"/>
        <w:spacing w:before="0" w:beforeAutospacing="0" w:after="0" w:afterAutospacing="0"/>
        <w:ind w:firstLine="709"/>
        <w:jc w:val="both"/>
        <w:rPr>
          <w:rFonts w:ascii="Verdana" w:hAnsi="Verdana" w:cs="Arial"/>
          <w:sz w:val="16"/>
          <w:szCs w:val="16"/>
          <w:lang w:val="es-MX"/>
        </w:rPr>
      </w:pPr>
    </w:p>
  </w:footnote>
  <w:footnote w:id="9">
    <w:p w14:paraId="7AA8DB68" w14:textId="77777777" w:rsidR="00BC7F95" w:rsidRPr="00E526D8" w:rsidRDefault="00BC7F95" w:rsidP="00BC7F95">
      <w:pPr>
        <w:spacing w:after="0" w:line="240" w:lineRule="auto"/>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17 de febrero de 2015. C.P. William Zambrano Cetina. Radicación No. 11001-03-06-000-2015-00164-00(2269).</w:t>
      </w:r>
    </w:p>
    <w:p w14:paraId="3AF60DAE" w14:textId="77777777" w:rsidR="00BC7F95" w:rsidRPr="00E526D8" w:rsidRDefault="00BC7F95" w:rsidP="00BC7F95">
      <w:pPr>
        <w:spacing w:after="0" w:line="240" w:lineRule="auto"/>
        <w:ind w:firstLine="709"/>
        <w:jc w:val="both"/>
        <w:rPr>
          <w:rFonts w:ascii="Verdana" w:hAnsi="Verdana" w:cs="Arial"/>
          <w:sz w:val="16"/>
          <w:szCs w:val="16"/>
          <w:lang w:val="es-ES"/>
        </w:rPr>
      </w:pPr>
    </w:p>
  </w:footnote>
  <w:footnote w:id="10">
    <w:p w14:paraId="68673C23" w14:textId="77777777" w:rsidR="00060C3D" w:rsidRPr="00E526D8" w:rsidRDefault="00060C3D" w:rsidP="00060C3D">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Sección Tercera. Sentencia de 3 de diciembre de 2007. Radicados: 24.715, 25.206, 25.409, 24.524, 27.834, 25.410, 26.105, 28.244, 31.447 -acumulados- “.</w:t>
      </w:r>
    </w:p>
    <w:p w14:paraId="5B7AF32A" w14:textId="77777777" w:rsidR="00060C3D" w:rsidRPr="00E526D8" w:rsidRDefault="00060C3D" w:rsidP="00060C3D">
      <w:pPr>
        <w:pStyle w:val="Textonotapie"/>
        <w:ind w:firstLine="709"/>
        <w:jc w:val="both"/>
        <w:rPr>
          <w:rFonts w:ascii="Verdana" w:hAnsi="Verdana" w:cs="Arial"/>
          <w:sz w:val="16"/>
          <w:szCs w:val="16"/>
        </w:rPr>
      </w:pPr>
    </w:p>
  </w:footnote>
  <w:footnote w:id="11">
    <w:p w14:paraId="16CF740B" w14:textId="77777777" w:rsidR="00060C3D" w:rsidRPr="00E526D8" w:rsidRDefault="00060C3D" w:rsidP="00060C3D">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“Al respecto ver el concepto 1712 de 2 de febrero de 2006. Consejo de Estado Sala de Consulta y Servicio Civil”.</w:t>
      </w:r>
    </w:p>
    <w:p w14:paraId="2FA37F0C" w14:textId="77777777" w:rsidR="00060C3D" w:rsidRPr="00E526D8" w:rsidRDefault="00060C3D" w:rsidP="00060C3D">
      <w:pPr>
        <w:pStyle w:val="Textonotapie"/>
        <w:ind w:firstLine="709"/>
        <w:jc w:val="both"/>
        <w:rPr>
          <w:rFonts w:ascii="Verdana" w:hAnsi="Verdana" w:cs="Arial"/>
          <w:sz w:val="16"/>
          <w:szCs w:val="16"/>
        </w:rPr>
      </w:pPr>
    </w:p>
  </w:footnote>
  <w:footnote w:id="12">
    <w:p w14:paraId="2E4DB9EA" w14:textId="77777777" w:rsidR="00060C3D" w:rsidRPr="00E526D8" w:rsidRDefault="00060C3D" w:rsidP="00060C3D">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76E21594" w14:textId="77777777" w:rsidR="00060C3D" w:rsidRPr="00E526D8" w:rsidRDefault="00060C3D" w:rsidP="00060C3D">
      <w:pPr>
        <w:pStyle w:val="Textonotapie"/>
        <w:ind w:firstLine="709"/>
        <w:jc w:val="both"/>
        <w:rPr>
          <w:rFonts w:ascii="Verdana" w:hAnsi="Verdana" w:cs="Arial"/>
          <w:sz w:val="16"/>
          <w:szCs w:val="16"/>
        </w:rPr>
      </w:pPr>
    </w:p>
  </w:footnote>
  <w:footnote w:id="13">
    <w:p w14:paraId="5A2B4DBF" w14:textId="77777777" w:rsidR="00462B56" w:rsidRPr="00E526D8" w:rsidRDefault="00462B56" w:rsidP="00462B56">
      <w:pPr>
        <w:pStyle w:val="Textonotapie"/>
        <w:ind w:firstLine="708"/>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4A529032" w14:textId="77777777" w:rsidR="00462B56" w:rsidRPr="00E526D8" w:rsidRDefault="00462B56" w:rsidP="00462B56">
      <w:pPr>
        <w:pStyle w:val="Textonotapie"/>
        <w:ind w:firstLine="708"/>
        <w:jc w:val="both"/>
        <w:rPr>
          <w:rFonts w:ascii="Verdana" w:hAnsi="Verdana" w:cs="Arial"/>
          <w:sz w:val="16"/>
          <w:szCs w:val="16"/>
        </w:rPr>
      </w:pPr>
      <w:r w:rsidRPr="00E526D8">
        <w:rPr>
          <w:rFonts w:ascii="Verdana" w:hAnsi="Verdana" w:cs="Arial"/>
          <w:sz w:val="16"/>
          <w:szCs w:val="16"/>
        </w:rPr>
        <w:t>[…]</w:t>
      </w:r>
    </w:p>
    <w:p w14:paraId="5C72B903" w14:textId="77777777" w:rsidR="00462B56" w:rsidRPr="00E526D8" w:rsidRDefault="00462B56" w:rsidP="00462B56">
      <w:pPr>
        <w:pStyle w:val="Textonotapie"/>
        <w:ind w:firstLine="708"/>
        <w:jc w:val="both"/>
        <w:rPr>
          <w:rFonts w:ascii="Verdana" w:hAnsi="Verdana" w:cs="Arial"/>
          <w:sz w:val="16"/>
          <w:szCs w:val="16"/>
        </w:rPr>
      </w:pPr>
      <w:r w:rsidRPr="00E526D8">
        <w:rPr>
          <w:rFonts w:ascii="Verdana" w:hAnsi="Verdana" w:cs="Arial"/>
          <w:sz w:val="16"/>
          <w:szCs w:val="16"/>
        </w:rPr>
        <w:t>5. Contratación mínima cuantía. [Numeral modificado por el artículo 30 de la Ley 2069 de 2020]”.</w:t>
      </w:r>
    </w:p>
  </w:footnote>
  <w:footnote w:id="14">
    <w:p w14:paraId="383082AE" w14:textId="77777777" w:rsidR="00462B56" w:rsidRPr="00E526D8" w:rsidRDefault="00462B56" w:rsidP="00462B56">
      <w:pPr>
        <w:pStyle w:val="Textonotapie"/>
        <w:ind w:firstLine="709"/>
        <w:jc w:val="both"/>
        <w:rPr>
          <w:rFonts w:ascii="Verdana" w:hAnsi="Verdana" w:cs="Arial"/>
          <w:sz w:val="16"/>
          <w:szCs w:val="16"/>
          <w:lang w:val="es-ES"/>
        </w:rPr>
      </w:pPr>
      <w:r w:rsidRPr="00E526D8">
        <w:rPr>
          <w:rStyle w:val="Refdenotaalpie"/>
          <w:rFonts w:ascii="Verdana" w:hAnsi="Verdana" w:cs="Arial"/>
          <w:sz w:val="16"/>
          <w:szCs w:val="16"/>
        </w:rPr>
        <w:footnoteRef/>
      </w:r>
      <w:r w:rsidRPr="00E526D8">
        <w:rPr>
          <w:rStyle w:val="Refdenotaalpie"/>
          <w:rFonts w:ascii="Verdana" w:hAnsi="Verdana" w:cs="Arial"/>
          <w:sz w:val="16"/>
          <w:szCs w:val="16"/>
        </w:rPr>
        <w:t xml:space="preserve"> </w:t>
      </w:r>
      <w:r w:rsidRPr="00E526D8">
        <w:rPr>
          <w:rFonts w:ascii="Verdana" w:hAnsi="Verdana" w:cs="Arial"/>
          <w:sz w:val="16"/>
          <w:szCs w:val="16"/>
          <w:lang w:val="es-ES"/>
        </w:rPr>
        <w:t xml:space="preserve">“[…] A este respecto, cabe recordar que el artículo 860 del Código de Comercio regula la licitación en el derecho privado”. </w:t>
      </w:r>
    </w:p>
    <w:p w14:paraId="381217D7" w14:textId="77777777" w:rsidR="00462B56" w:rsidRPr="00E526D8" w:rsidRDefault="00462B56" w:rsidP="00462B56">
      <w:pPr>
        <w:pStyle w:val="Textonotapie"/>
        <w:ind w:firstLine="709"/>
        <w:jc w:val="both"/>
        <w:rPr>
          <w:rFonts w:ascii="Verdana" w:hAnsi="Verdana" w:cs="Arial"/>
          <w:sz w:val="16"/>
          <w:szCs w:val="16"/>
          <w:lang w:val="es-ES"/>
        </w:rPr>
      </w:pPr>
    </w:p>
  </w:footnote>
  <w:footnote w:id="15">
    <w:p w14:paraId="13F9333A" w14:textId="77777777" w:rsidR="0066143A" w:rsidRPr="00E526D8" w:rsidRDefault="0066143A" w:rsidP="0066143A">
      <w:pPr>
        <w:shd w:val="clear" w:color="auto" w:fill="FFFFFF"/>
        <w:spacing w:after="0" w:line="240" w:lineRule="auto"/>
        <w:ind w:firstLine="709"/>
        <w:jc w:val="both"/>
        <w:rPr>
          <w:rFonts w:ascii="Verdana" w:hAnsi="Verdana" w:cs="Arial"/>
          <w:sz w:val="16"/>
          <w:szCs w:val="16"/>
          <w:lang w:val="es-ES"/>
        </w:rPr>
      </w:pPr>
      <w:r w:rsidRPr="00E526D8">
        <w:rPr>
          <w:rStyle w:val="Refdenotaalpie"/>
          <w:rFonts w:ascii="Verdana" w:hAnsi="Verdana" w:cs="Arial"/>
          <w:sz w:val="16"/>
          <w:szCs w:val="16"/>
        </w:rPr>
        <w:footnoteRef/>
      </w:r>
      <w:r w:rsidRPr="00E526D8">
        <w:rPr>
          <w:rStyle w:val="Refdenotaalpie"/>
          <w:rFonts w:ascii="Verdana" w:hAnsi="Verdana" w:cs="Arial"/>
          <w:sz w:val="16"/>
          <w:szCs w:val="16"/>
        </w:rPr>
        <w:t xml:space="preserve"> </w:t>
      </w:r>
      <w:r w:rsidRPr="00E526D8">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5A2EF283" w14:textId="77777777" w:rsidR="0066143A" w:rsidRPr="00E526D8" w:rsidRDefault="0066143A" w:rsidP="0066143A">
      <w:pPr>
        <w:shd w:val="clear" w:color="auto" w:fill="FFFFFF"/>
        <w:spacing w:after="0" w:line="240" w:lineRule="auto"/>
        <w:ind w:firstLine="709"/>
        <w:jc w:val="both"/>
        <w:rPr>
          <w:rFonts w:ascii="Verdana" w:hAnsi="Verdana" w:cs="Arial"/>
          <w:sz w:val="16"/>
          <w:szCs w:val="16"/>
          <w:lang w:val="es-ES"/>
        </w:rPr>
      </w:pPr>
    </w:p>
  </w:footnote>
  <w:footnote w:id="16">
    <w:p w14:paraId="561A7F81" w14:textId="77777777" w:rsidR="0066143A" w:rsidRPr="00E526D8" w:rsidRDefault="0066143A" w:rsidP="0066143A">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08 de mayo de 2018. Exp. 2.382. C.P. Álvaro Namén Vargas.</w:t>
      </w:r>
    </w:p>
    <w:p w14:paraId="519A51A0" w14:textId="77777777" w:rsidR="0066143A" w:rsidRPr="00E526D8" w:rsidRDefault="0066143A" w:rsidP="0066143A">
      <w:pPr>
        <w:pStyle w:val="Textonotapie"/>
        <w:ind w:firstLine="709"/>
        <w:jc w:val="both"/>
        <w:rPr>
          <w:rFonts w:ascii="Verdana" w:hAnsi="Verdana" w:cs="Arial"/>
          <w:sz w:val="16"/>
          <w:szCs w:val="16"/>
        </w:rPr>
      </w:pPr>
    </w:p>
  </w:footnote>
  <w:footnote w:id="17">
    <w:p w14:paraId="1ABA8F18" w14:textId="77777777" w:rsidR="007F735E" w:rsidRPr="00E526D8" w:rsidRDefault="007F735E" w:rsidP="007F735E">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No 216/05 Senado, No 235-Cámara que dio lugar a la Ley de Garantías Electorales.</w:t>
      </w:r>
    </w:p>
    <w:p w14:paraId="0210500F" w14:textId="77777777" w:rsidR="007F735E" w:rsidRPr="00E526D8" w:rsidRDefault="007F735E" w:rsidP="007F735E">
      <w:pPr>
        <w:pStyle w:val="Textonotapie"/>
        <w:ind w:firstLine="709"/>
        <w:jc w:val="both"/>
        <w:rPr>
          <w:rFonts w:ascii="Verdana" w:hAnsi="Verdana" w:cs="Arial"/>
          <w:sz w:val="16"/>
          <w:szCs w:val="16"/>
        </w:rPr>
      </w:pPr>
    </w:p>
  </w:footnote>
  <w:footnote w:id="18">
    <w:p w14:paraId="46DBF5BD" w14:textId="77777777" w:rsidR="007F735E" w:rsidRPr="00E526D8" w:rsidRDefault="007F735E" w:rsidP="007F735E">
      <w:pPr>
        <w:spacing w:after="0" w:line="240" w:lineRule="auto"/>
        <w:ind w:firstLine="709"/>
        <w:jc w:val="both"/>
        <w:rPr>
          <w:rFonts w:ascii="Verdana" w:hAnsi="Verdana" w:cs="Arial"/>
          <w:color w:val="000000"/>
          <w:sz w:val="16"/>
          <w:szCs w:val="16"/>
        </w:rPr>
      </w:pPr>
      <w:r w:rsidRPr="00E526D8">
        <w:rPr>
          <w:rStyle w:val="Refdenotaalpie"/>
          <w:rFonts w:ascii="Verdana" w:hAnsi="Verdana" w:cs="Arial"/>
          <w:color w:val="000000"/>
          <w:sz w:val="16"/>
          <w:szCs w:val="16"/>
        </w:rPr>
        <w:footnoteRef/>
      </w:r>
      <w:r w:rsidRPr="00E526D8">
        <w:rPr>
          <w:rFonts w:ascii="Verdana" w:hAnsi="Verdana" w:cs="Arial"/>
          <w:color w:val="000000"/>
          <w:sz w:val="16"/>
          <w:szCs w:val="16"/>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7F6F2688" w14:textId="77777777" w:rsidR="007F735E" w:rsidRPr="00E526D8" w:rsidRDefault="007F735E" w:rsidP="007F735E">
      <w:pPr>
        <w:spacing w:after="0" w:line="240" w:lineRule="auto"/>
        <w:ind w:firstLine="709"/>
        <w:jc w:val="both"/>
        <w:rPr>
          <w:rFonts w:ascii="Verdana" w:hAnsi="Verdana" w:cs="Arial"/>
          <w:color w:val="000000"/>
          <w:sz w:val="16"/>
          <w:szCs w:val="16"/>
        </w:rPr>
      </w:pPr>
    </w:p>
  </w:footnote>
  <w:footnote w:id="19">
    <w:p w14:paraId="66261C33" w14:textId="77777777" w:rsidR="007F735E" w:rsidRPr="00E526D8" w:rsidRDefault="007F735E" w:rsidP="007F735E">
      <w:pPr>
        <w:pStyle w:val="Textonotapie"/>
        <w:ind w:firstLine="709"/>
        <w:jc w:val="both"/>
        <w:rPr>
          <w:rFonts w:ascii="Verdana" w:hAnsi="Verdana"/>
          <w:sz w:val="16"/>
          <w:szCs w:val="16"/>
          <w:lang w:val="es-CO"/>
        </w:rPr>
      </w:pPr>
      <w:r w:rsidRPr="00E526D8">
        <w:rPr>
          <w:rStyle w:val="Refdenotaalpie"/>
          <w:rFonts w:ascii="Verdana" w:hAnsi="Verdana"/>
          <w:sz w:val="16"/>
          <w:szCs w:val="16"/>
        </w:rPr>
        <w:footnoteRef/>
      </w:r>
      <w:r w:rsidRPr="00E526D8">
        <w:rPr>
          <w:rFonts w:ascii="Verdana" w:hAnsi="Verdana"/>
          <w:sz w:val="16"/>
          <w:szCs w:val="16"/>
          <w:lang w:val="es-CO"/>
        </w:rPr>
        <w:t xml:space="preserve"> Consejo de Estado, Sección Tercera. Auto del 4 de octubre de 2024. Exp. 70.313. C.P: Fredy Ibarra Martínez.</w:t>
      </w:r>
    </w:p>
    <w:p w14:paraId="5F14C6D6" w14:textId="77777777" w:rsidR="007F735E" w:rsidRPr="00E526D8" w:rsidRDefault="007F735E" w:rsidP="007F735E">
      <w:pPr>
        <w:pStyle w:val="Textonotapie"/>
        <w:ind w:firstLine="709"/>
        <w:jc w:val="both"/>
        <w:rPr>
          <w:rFonts w:ascii="Verdana" w:hAnsi="Verdana"/>
          <w:sz w:val="16"/>
          <w:szCs w:val="16"/>
          <w:lang w:val="es-CO"/>
        </w:rPr>
      </w:pPr>
    </w:p>
  </w:footnote>
  <w:footnote w:id="20">
    <w:p w14:paraId="3B1CF8AD" w14:textId="77777777" w:rsidR="007F735E" w:rsidRPr="00E526D8" w:rsidRDefault="007F735E" w:rsidP="007F735E">
      <w:pPr>
        <w:spacing w:after="0" w:line="240" w:lineRule="auto"/>
        <w:ind w:firstLine="709"/>
        <w:jc w:val="both"/>
        <w:rPr>
          <w:rFonts w:ascii="Verdana" w:eastAsia="Times New Roman" w:hAnsi="Verdana" w:cs="Times New Roman"/>
          <w:sz w:val="16"/>
          <w:szCs w:val="16"/>
          <w:lang w:eastAsia="es-ES"/>
        </w:rPr>
      </w:pPr>
      <w:r w:rsidRPr="00E526D8">
        <w:rPr>
          <w:rStyle w:val="Refdenotaalpie"/>
          <w:rFonts w:ascii="Verdana" w:hAnsi="Verdana"/>
          <w:sz w:val="16"/>
          <w:szCs w:val="16"/>
        </w:rPr>
        <w:footnoteRef/>
      </w:r>
      <w:r w:rsidRPr="00E526D8">
        <w:rPr>
          <w:rFonts w:ascii="Verdana" w:hAnsi="Verdana"/>
          <w:sz w:val="16"/>
          <w:szCs w:val="16"/>
        </w:rPr>
        <w:t xml:space="preserve"> </w:t>
      </w:r>
      <w:r w:rsidRPr="00E526D8">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E526D8">
        <w:rPr>
          <w:rFonts w:ascii="Verdana" w:hAnsi="Verdana"/>
          <w:sz w:val="16"/>
          <w:szCs w:val="16"/>
        </w:rPr>
        <w:t xml:space="preserve">La parte de la providencia señala: </w:t>
      </w:r>
      <w:r w:rsidRPr="00E526D8">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617CE521" w14:textId="77777777" w:rsidR="007F735E" w:rsidRPr="00E526D8" w:rsidRDefault="007F735E" w:rsidP="007F735E">
      <w:pPr>
        <w:spacing w:after="0" w:line="240" w:lineRule="auto"/>
        <w:ind w:firstLine="709"/>
        <w:jc w:val="both"/>
        <w:rPr>
          <w:rFonts w:ascii="Verdana" w:eastAsia="Times New Roman" w:hAnsi="Verdana" w:cs="Times New Roman"/>
          <w:sz w:val="16"/>
          <w:szCs w:val="16"/>
          <w:lang w:eastAsia="es-ES"/>
        </w:rPr>
      </w:pPr>
    </w:p>
  </w:footnote>
  <w:footnote w:id="21">
    <w:p w14:paraId="0F6F0C7E" w14:textId="77777777" w:rsidR="007F735E" w:rsidRPr="00E526D8" w:rsidRDefault="007F735E" w:rsidP="007F735E">
      <w:pPr>
        <w:pStyle w:val="Textonotapie"/>
        <w:ind w:firstLine="709"/>
        <w:jc w:val="both"/>
        <w:rPr>
          <w:rFonts w:ascii="Verdana" w:hAnsi="Verdana"/>
          <w:sz w:val="16"/>
          <w:szCs w:val="16"/>
          <w:lang w:val="es-CO"/>
        </w:rPr>
      </w:pPr>
      <w:r w:rsidRPr="00E526D8">
        <w:rPr>
          <w:rStyle w:val="Refdenotaalpie"/>
          <w:rFonts w:ascii="Verdana" w:hAnsi="Verdana"/>
          <w:sz w:val="16"/>
          <w:szCs w:val="16"/>
        </w:rPr>
        <w:footnoteRef/>
      </w:r>
      <w:r w:rsidRPr="00E526D8">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2">
    <w:p w14:paraId="323EE7A9" w14:textId="77777777" w:rsidR="007F735E" w:rsidRPr="00A0267C" w:rsidRDefault="007F735E" w:rsidP="007F735E">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3">
    <w:p w14:paraId="324A067A" w14:textId="77777777" w:rsidR="007F735E" w:rsidRPr="00A0267C" w:rsidRDefault="007F735E" w:rsidP="007F735E">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Corte Constitucional. Sentencia C-1153 de 2005 M.P. Marco Gerardo Monroy Cabra. </w:t>
      </w:r>
    </w:p>
  </w:footnote>
  <w:footnote w:id="24">
    <w:p w14:paraId="5CE7461E" w14:textId="77777777" w:rsidR="007F735E" w:rsidRPr="00A0267C" w:rsidRDefault="007F735E" w:rsidP="007F735E">
      <w:pPr>
        <w:pStyle w:val="Textonotapie"/>
        <w:ind w:firstLine="708"/>
        <w:jc w:val="both"/>
        <w:rPr>
          <w:rFonts w:ascii="Verdana" w:hAnsi="Verdana"/>
          <w:sz w:val="16"/>
          <w:szCs w:val="16"/>
          <w:lang w:val="es-CO"/>
        </w:rPr>
      </w:pPr>
      <w:r w:rsidRPr="00A0267C">
        <w:rPr>
          <w:rStyle w:val="Refdenotaalpie"/>
          <w:rFonts w:ascii="Verdana" w:hAnsi="Verdana"/>
          <w:sz w:val="16"/>
          <w:szCs w:val="16"/>
        </w:rPr>
        <w:footnoteRef/>
      </w:r>
      <w:r w:rsidRPr="00A0267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A0267C">
        <w:rPr>
          <w:rFonts w:ascii="Verdana" w:hAnsi="Verdana"/>
          <w:i/>
          <w:iCs/>
          <w:sz w:val="16"/>
          <w:szCs w:val="16"/>
        </w:rPr>
        <w:t>las palabras de la ley se entenderán en su sentido natural y obvio, según el uso general de las mismas palabras</w:t>
      </w:r>
      <w:r w:rsidRPr="00A0267C">
        <w:rPr>
          <w:rFonts w:ascii="Verdana" w:hAnsi="Verdana"/>
          <w:sz w:val="16"/>
          <w:szCs w:val="16"/>
        </w:rPr>
        <w:t>’, es decir, el uso de la gente educada. El Diccionario de la Lengua publicado por la Real Academia Española goza a este respecto de gran autoridad. ‘</w:t>
      </w:r>
      <w:r w:rsidRPr="00A0267C">
        <w:rPr>
          <w:rFonts w:ascii="Verdana" w:hAnsi="Verdana"/>
          <w:i/>
          <w:iCs/>
          <w:sz w:val="16"/>
          <w:szCs w:val="16"/>
        </w:rPr>
        <w:t>Pero cuando el legislador</w:t>
      </w:r>
      <w:r w:rsidRPr="00A0267C">
        <w:rPr>
          <w:rFonts w:ascii="Verdana" w:hAnsi="Verdana"/>
          <w:sz w:val="16"/>
          <w:szCs w:val="16"/>
        </w:rPr>
        <w:t xml:space="preserve">, agrega el artículo 20, </w:t>
      </w:r>
      <w:r w:rsidRPr="00A0267C">
        <w:rPr>
          <w:rFonts w:ascii="Verdana" w:hAnsi="Verdana"/>
          <w:i/>
          <w:iCs/>
          <w:sz w:val="16"/>
          <w:szCs w:val="16"/>
        </w:rPr>
        <w:t>las haya definido expresamente para ciertas materias se les dará en éstas su significado legal</w:t>
      </w:r>
      <w:r w:rsidRPr="00A0267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17DBBCA6"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FFFFFFFF"/>
    <w:lvl w:ilvl="0">
      <w:start w:val="1"/>
      <w:numFmt w:val="upperRoman"/>
      <w:lvlText w:val="%1."/>
      <w:lvlJc w:val="right"/>
      <w:pPr>
        <w:ind w:left="1068" w:hanging="360"/>
      </w:pPr>
      <w:rPr>
        <w:rFonts w:cs="Times New Roman"/>
        <w:b/>
        <w:color w:val="000000" w:themeColor="text1"/>
      </w:rPr>
    </w:lvl>
    <w:lvl w:ilvl="1">
      <w:start w:val="2"/>
      <w:numFmt w:val="decimal"/>
      <w:isLgl/>
      <w:lvlText w:val="%1.%2"/>
      <w:lvlJc w:val="left"/>
      <w:pPr>
        <w:ind w:left="708" w:hanging="360"/>
      </w:pPr>
      <w:rPr>
        <w:rFonts w:cs="Times New Roman"/>
      </w:rPr>
    </w:lvl>
    <w:lvl w:ilvl="2">
      <w:start w:val="1"/>
      <w:numFmt w:val="decimal"/>
      <w:isLgl/>
      <w:lvlText w:val="%1.%2.%3"/>
      <w:lvlJc w:val="left"/>
      <w:pPr>
        <w:ind w:left="1428" w:hanging="720"/>
      </w:pPr>
      <w:rPr>
        <w:rFonts w:cs="Times New Roman"/>
      </w:rPr>
    </w:lvl>
    <w:lvl w:ilvl="3">
      <w:start w:val="1"/>
      <w:numFmt w:val="decimal"/>
      <w:isLgl/>
      <w:lvlText w:val="%1.%2.%3.%4"/>
      <w:lvlJc w:val="left"/>
      <w:pPr>
        <w:ind w:left="1428" w:hanging="720"/>
      </w:pPr>
      <w:rPr>
        <w:rFonts w:cs="Times New Roman"/>
      </w:rPr>
    </w:lvl>
    <w:lvl w:ilvl="4">
      <w:start w:val="1"/>
      <w:numFmt w:val="decimal"/>
      <w:isLgl/>
      <w:lvlText w:val="%1.%2.%3.%4.%5"/>
      <w:lvlJc w:val="left"/>
      <w:pPr>
        <w:ind w:left="1788" w:hanging="1080"/>
      </w:pPr>
      <w:rPr>
        <w:rFonts w:cs="Times New Roman"/>
      </w:rPr>
    </w:lvl>
    <w:lvl w:ilvl="5">
      <w:start w:val="1"/>
      <w:numFmt w:val="decimal"/>
      <w:isLgl/>
      <w:lvlText w:val="%1.%2.%3.%4.%5.%6"/>
      <w:lvlJc w:val="left"/>
      <w:pPr>
        <w:ind w:left="1788" w:hanging="1080"/>
      </w:pPr>
      <w:rPr>
        <w:rFonts w:cs="Times New Roman"/>
      </w:rPr>
    </w:lvl>
    <w:lvl w:ilvl="6">
      <w:start w:val="1"/>
      <w:numFmt w:val="decimal"/>
      <w:isLgl/>
      <w:lvlText w:val="%1.%2.%3.%4.%5.%6.%7"/>
      <w:lvlJc w:val="left"/>
      <w:pPr>
        <w:ind w:left="2148" w:hanging="1440"/>
      </w:pPr>
      <w:rPr>
        <w:rFonts w:cs="Times New Roman"/>
      </w:rPr>
    </w:lvl>
    <w:lvl w:ilvl="7">
      <w:start w:val="1"/>
      <w:numFmt w:val="decimal"/>
      <w:isLgl/>
      <w:lvlText w:val="%1.%2.%3.%4.%5.%6.%7.%8"/>
      <w:lvlJc w:val="left"/>
      <w:pPr>
        <w:ind w:left="2148" w:hanging="1440"/>
      </w:pPr>
      <w:rPr>
        <w:rFonts w:cs="Times New Roman"/>
      </w:rPr>
    </w:lvl>
    <w:lvl w:ilvl="8">
      <w:start w:val="1"/>
      <w:numFmt w:val="decimal"/>
      <w:isLgl/>
      <w:lvlText w:val="%1.%2.%3.%4.%5.%6.%7.%8.%9"/>
      <w:lvlJc w:val="left"/>
      <w:pPr>
        <w:ind w:left="2508"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851649729">
    <w:abstractNumId w:val="0"/>
  </w:num>
  <w:num w:numId="17" w16cid:durableId="1968314411">
    <w:abstractNumId w:val="3"/>
  </w:num>
  <w:num w:numId="18" w16cid:durableId="1532558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EEC"/>
    <w:rsid w:val="000123A5"/>
    <w:rsid w:val="00016F78"/>
    <w:rsid w:val="00026A42"/>
    <w:rsid w:val="00032893"/>
    <w:rsid w:val="00035A89"/>
    <w:rsid w:val="00045F35"/>
    <w:rsid w:val="00046945"/>
    <w:rsid w:val="00057449"/>
    <w:rsid w:val="00060C3D"/>
    <w:rsid w:val="00061B2A"/>
    <w:rsid w:val="00063DB0"/>
    <w:rsid w:val="00074009"/>
    <w:rsid w:val="00074C37"/>
    <w:rsid w:val="00080316"/>
    <w:rsid w:val="00082362"/>
    <w:rsid w:val="00083BDF"/>
    <w:rsid w:val="00095453"/>
    <w:rsid w:val="000A683E"/>
    <w:rsid w:val="000A69AC"/>
    <w:rsid w:val="000B19B9"/>
    <w:rsid w:val="000B7DF6"/>
    <w:rsid w:val="000C3D3C"/>
    <w:rsid w:val="000C7120"/>
    <w:rsid w:val="000D0334"/>
    <w:rsid w:val="000D0578"/>
    <w:rsid w:val="000D3AFB"/>
    <w:rsid w:val="000D5DA7"/>
    <w:rsid w:val="000D6C0F"/>
    <w:rsid w:val="000F1CBC"/>
    <w:rsid w:val="000F3A4D"/>
    <w:rsid w:val="000F6486"/>
    <w:rsid w:val="000F73C0"/>
    <w:rsid w:val="00116940"/>
    <w:rsid w:val="00125105"/>
    <w:rsid w:val="00125507"/>
    <w:rsid w:val="00127233"/>
    <w:rsid w:val="00142E8F"/>
    <w:rsid w:val="00150298"/>
    <w:rsid w:val="001561B8"/>
    <w:rsid w:val="0015699B"/>
    <w:rsid w:val="00167CB7"/>
    <w:rsid w:val="00173C7B"/>
    <w:rsid w:val="0018662C"/>
    <w:rsid w:val="001A33BF"/>
    <w:rsid w:val="001A4C55"/>
    <w:rsid w:val="001B6AAB"/>
    <w:rsid w:val="001C288C"/>
    <w:rsid w:val="001D340E"/>
    <w:rsid w:val="001E105C"/>
    <w:rsid w:val="001E4177"/>
    <w:rsid w:val="001E6BC8"/>
    <w:rsid w:val="001F0B24"/>
    <w:rsid w:val="001F4E27"/>
    <w:rsid w:val="001F7DC6"/>
    <w:rsid w:val="00207193"/>
    <w:rsid w:val="00212AB6"/>
    <w:rsid w:val="0022400B"/>
    <w:rsid w:val="002421BB"/>
    <w:rsid w:val="0024698C"/>
    <w:rsid w:val="0025796E"/>
    <w:rsid w:val="002707A2"/>
    <w:rsid w:val="00291A72"/>
    <w:rsid w:val="002951A0"/>
    <w:rsid w:val="00295F4F"/>
    <w:rsid w:val="00295FF6"/>
    <w:rsid w:val="002962BC"/>
    <w:rsid w:val="002A0659"/>
    <w:rsid w:val="002A093D"/>
    <w:rsid w:val="002A0DD0"/>
    <w:rsid w:val="002A49AC"/>
    <w:rsid w:val="002A64FD"/>
    <w:rsid w:val="002A755D"/>
    <w:rsid w:val="002C1A14"/>
    <w:rsid w:val="002C7A84"/>
    <w:rsid w:val="002C7CFF"/>
    <w:rsid w:val="002D09F9"/>
    <w:rsid w:val="002E2BF8"/>
    <w:rsid w:val="002E4FD9"/>
    <w:rsid w:val="0030657A"/>
    <w:rsid w:val="00322810"/>
    <w:rsid w:val="00322A85"/>
    <w:rsid w:val="00324168"/>
    <w:rsid w:val="003252B1"/>
    <w:rsid w:val="00330834"/>
    <w:rsid w:val="00334667"/>
    <w:rsid w:val="003374DD"/>
    <w:rsid w:val="003448C9"/>
    <w:rsid w:val="003448F4"/>
    <w:rsid w:val="00353172"/>
    <w:rsid w:val="00374F5E"/>
    <w:rsid w:val="00375C8D"/>
    <w:rsid w:val="00377E3E"/>
    <w:rsid w:val="003921B4"/>
    <w:rsid w:val="003A779E"/>
    <w:rsid w:val="003C26D0"/>
    <w:rsid w:val="003D0F4D"/>
    <w:rsid w:val="003D5B0D"/>
    <w:rsid w:val="003D5DB4"/>
    <w:rsid w:val="003E0499"/>
    <w:rsid w:val="003E4F80"/>
    <w:rsid w:val="003E6439"/>
    <w:rsid w:val="003E6813"/>
    <w:rsid w:val="003F3941"/>
    <w:rsid w:val="0040417C"/>
    <w:rsid w:val="004048FA"/>
    <w:rsid w:val="00406575"/>
    <w:rsid w:val="00410209"/>
    <w:rsid w:val="00414C74"/>
    <w:rsid w:val="00421925"/>
    <w:rsid w:val="0042722E"/>
    <w:rsid w:val="00433478"/>
    <w:rsid w:val="0044528D"/>
    <w:rsid w:val="00457782"/>
    <w:rsid w:val="00462B56"/>
    <w:rsid w:val="00466E39"/>
    <w:rsid w:val="00467415"/>
    <w:rsid w:val="00470773"/>
    <w:rsid w:val="00473389"/>
    <w:rsid w:val="00481955"/>
    <w:rsid w:val="004A1847"/>
    <w:rsid w:val="004A305D"/>
    <w:rsid w:val="004A4DA1"/>
    <w:rsid w:val="004B36EC"/>
    <w:rsid w:val="004B59EB"/>
    <w:rsid w:val="004E3156"/>
    <w:rsid w:val="004F21C4"/>
    <w:rsid w:val="004F685F"/>
    <w:rsid w:val="00504D1B"/>
    <w:rsid w:val="00515006"/>
    <w:rsid w:val="00520751"/>
    <w:rsid w:val="00540505"/>
    <w:rsid w:val="005406DE"/>
    <w:rsid w:val="005438EA"/>
    <w:rsid w:val="00551AAD"/>
    <w:rsid w:val="005566E8"/>
    <w:rsid w:val="00574867"/>
    <w:rsid w:val="00591460"/>
    <w:rsid w:val="005949E8"/>
    <w:rsid w:val="0059738B"/>
    <w:rsid w:val="00597DD9"/>
    <w:rsid w:val="005A08CC"/>
    <w:rsid w:val="005A306C"/>
    <w:rsid w:val="005A65E0"/>
    <w:rsid w:val="005B15E0"/>
    <w:rsid w:val="005B5BF2"/>
    <w:rsid w:val="005B7173"/>
    <w:rsid w:val="005C1909"/>
    <w:rsid w:val="005C3777"/>
    <w:rsid w:val="005C5CDC"/>
    <w:rsid w:val="005D476C"/>
    <w:rsid w:val="005E15BD"/>
    <w:rsid w:val="005F5EF1"/>
    <w:rsid w:val="00602DF7"/>
    <w:rsid w:val="006036AE"/>
    <w:rsid w:val="00613AFE"/>
    <w:rsid w:val="00614D2A"/>
    <w:rsid w:val="006200BF"/>
    <w:rsid w:val="006219F8"/>
    <w:rsid w:val="006302F7"/>
    <w:rsid w:val="00645AC0"/>
    <w:rsid w:val="00646B9F"/>
    <w:rsid w:val="0066143A"/>
    <w:rsid w:val="00662CBB"/>
    <w:rsid w:val="0066363F"/>
    <w:rsid w:val="00665D70"/>
    <w:rsid w:val="00667643"/>
    <w:rsid w:val="00685F19"/>
    <w:rsid w:val="006861C9"/>
    <w:rsid w:val="006900D9"/>
    <w:rsid w:val="00695E6E"/>
    <w:rsid w:val="006962D9"/>
    <w:rsid w:val="006B6916"/>
    <w:rsid w:val="006C40B3"/>
    <w:rsid w:val="006D779A"/>
    <w:rsid w:val="006D78F4"/>
    <w:rsid w:val="006F6AD3"/>
    <w:rsid w:val="00706C16"/>
    <w:rsid w:val="007152AE"/>
    <w:rsid w:val="00715716"/>
    <w:rsid w:val="00715E71"/>
    <w:rsid w:val="00724FC2"/>
    <w:rsid w:val="007340C3"/>
    <w:rsid w:val="00747314"/>
    <w:rsid w:val="00750C41"/>
    <w:rsid w:val="0075235A"/>
    <w:rsid w:val="00756841"/>
    <w:rsid w:val="007649AB"/>
    <w:rsid w:val="00771D0C"/>
    <w:rsid w:val="00776B6F"/>
    <w:rsid w:val="007833AC"/>
    <w:rsid w:val="00792E13"/>
    <w:rsid w:val="00792E47"/>
    <w:rsid w:val="007A1C4D"/>
    <w:rsid w:val="007A66E6"/>
    <w:rsid w:val="007B268C"/>
    <w:rsid w:val="007B26AA"/>
    <w:rsid w:val="007B7171"/>
    <w:rsid w:val="007C0C0F"/>
    <w:rsid w:val="007C30C5"/>
    <w:rsid w:val="007C3DC2"/>
    <w:rsid w:val="007C477F"/>
    <w:rsid w:val="007C61E8"/>
    <w:rsid w:val="007E1B10"/>
    <w:rsid w:val="007E5497"/>
    <w:rsid w:val="007E6A6B"/>
    <w:rsid w:val="007F5E76"/>
    <w:rsid w:val="007F735E"/>
    <w:rsid w:val="007F7451"/>
    <w:rsid w:val="00802AD0"/>
    <w:rsid w:val="0080385D"/>
    <w:rsid w:val="008054B5"/>
    <w:rsid w:val="00806F5F"/>
    <w:rsid w:val="00807A3E"/>
    <w:rsid w:val="00820278"/>
    <w:rsid w:val="008237F5"/>
    <w:rsid w:val="008258C9"/>
    <w:rsid w:val="0083590C"/>
    <w:rsid w:val="008360E5"/>
    <w:rsid w:val="00844643"/>
    <w:rsid w:val="00844AE9"/>
    <w:rsid w:val="008513E5"/>
    <w:rsid w:val="008537EB"/>
    <w:rsid w:val="008676D2"/>
    <w:rsid w:val="00867F95"/>
    <w:rsid w:val="00882141"/>
    <w:rsid w:val="008843B6"/>
    <w:rsid w:val="00891928"/>
    <w:rsid w:val="008A02B0"/>
    <w:rsid w:val="008A446D"/>
    <w:rsid w:val="008B25F1"/>
    <w:rsid w:val="008D0CFD"/>
    <w:rsid w:val="008D180B"/>
    <w:rsid w:val="008D4D3F"/>
    <w:rsid w:val="008E65CB"/>
    <w:rsid w:val="008F0EA7"/>
    <w:rsid w:val="008F3CAF"/>
    <w:rsid w:val="00900DB1"/>
    <w:rsid w:val="00911F34"/>
    <w:rsid w:val="00920980"/>
    <w:rsid w:val="00923EEF"/>
    <w:rsid w:val="009419F9"/>
    <w:rsid w:val="00945331"/>
    <w:rsid w:val="0095685E"/>
    <w:rsid w:val="009605BD"/>
    <w:rsid w:val="00961B09"/>
    <w:rsid w:val="00965334"/>
    <w:rsid w:val="0096749D"/>
    <w:rsid w:val="00967B71"/>
    <w:rsid w:val="0097093E"/>
    <w:rsid w:val="00972537"/>
    <w:rsid w:val="00972651"/>
    <w:rsid w:val="009A0DFA"/>
    <w:rsid w:val="009A1C6F"/>
    <w:rsid w:val="009B2D26"/>
    <w:rsid w:val="009C71FA"/>
    <w:rsid w:val="009C72E7"/>
    <w:rsid w:val="009C7BED"/>
    <w:rsid w:val="009C7F7E"/>
    <w:rsid w:val="009D3058"/>
    <w:rsid w:val="009D62B0"/>
    <w:rsid w:val="009F0E5C"/>
    <w:rsid w:val="009F3A13"/>
    <w:rsid w:val="00A01929"/>
    <w:rsid w:val="00A0306B"/>
    <w:rsid w:val="00A032A2"/>
    <w:rsid w:val="00A122D3"/>
    <w:rsid w:val="00A14468"/>
    <w:rsid w:val="00A14A9E"/>
    <w:rsid w:val="00A17F13"/>
    <w:rsid w:val="00A20739"/>
    <w:rsid w:val="00A23AF9"/>
    <w:rsid w:val="00A33C78"/>
    <w:rsid w:val="00A35651"/>
    <w:rsid w:val="00A57959"/>
    <w:rsid w:val="00A76FCE"/>
    <w:rsid w:val="00A8634F"/>
    <w:rsid w:val="00A922DE"/>
    <w:rsid w:val="00A934ED"/>
    <w:rsid w:val="00A94234"/>
    <w:rsid w:val="00AA047C"/>
    <w:rsid w:val="00AA381F"/>
    <w:rsid w:val="00AA62AC"/>
    <w:rsid w:val="00AB0ADB"/>
    <w:rsid w:val="00AC0368"/>
    <w:rsid w:val="00AC287C"/>
    <w:rsid w:val="00AD5435"/>
    <w:rsid w:val="00AE536A"/>
    <w:rsid w:val="00B00C0E"/>
    <w:rsid w:val="00B01B1A"/>
    <w:rsid w:val="00B03164"/>
    <w:rsid w:val="00B0381D"/>
    <w:rsid w:val="00B03948"/>
    <w:rsid w:val="00B07074"/>
    <w:rsid w:val="00B16175"/>
    <w:rsid w:val="00B3570F"/>
    <w:rsid w:val="00B44A47"/>
    <w:rsid w:val="00B53625"/>
    <w:rsid w:val="00B65F23"/>
    <w:rsid w:val="00B72CD3"/>
    <w:rsid w:val="00B72FFF"/>
    <w:rsid w:val="00B81AA8"/>
    <w:rsid w:val="00B85C94"/>
    <w:rsid w:val="00B95441"/>
    <w:rsid w:val="00BA262B"/>
    <w:rsid w:val="00BA3514"/>
    <w:rsid w:val="00BB03BB"/>
    <w:rsid w:val="00BB4081"/>
    <w:rsid w:val="00BC3D36"/>
    <w:rsid w:val="00BC68BD"/>
    <w:rsid w:val="00BC77C4"/>
    <w:rsid w:val="00BC7F95"/>
    <w:rsid w:val="00BD423A"/>
    <w:rsid w:val="00BD54A6"/>
    <w:rsid w:val="00BD653A"/>
    <w:rsid w:val="00BD7EFB"/>
    <w:rsid w:val="00BD7F72"/>
    <w:rsid w:val="00BE0C24"/>
    <w:rsid w:val="00BE18FB"/>
    <w:rsid w:val="00BF7425"/>
    <w:rsid w:val="00C02225"/>
    <w:rsid w:val="00C04FB3"/>
    <w:rsid w:val="00C101EB"/>
    <w:rsid w:val="00C11D8B"/>
    <w:rsid w:val="00C14C85"/>
    <w:rsid w:val="00C15139"/>
    <w:rsid w:val="00C23EB0"/>
    <w:rsid w:val="00C24E90"/>
    <w:rsid w:val="00C25A9D"/>
    <w:rsid w:val="00C30C92"/>
    <w:rsid w:val="00C330EB"/>
    <w:rsid w:val="00C40097"/>
    <w:rsid w:val="00C414DB"/>
    <w:rsid w:val="00C4433D"/>
    <w:rsid w:val="00C46DF5"/>
    <w:rsid w:val="00C47604"/>
    <w:rsid w:val="00C50D69"/>
    <w:rsid w:val="00C5365C"/>
    <w:rsid w:val="00C5488B"/>
    <w:rsid w:val="00C61CA2"/>
    <w:rsid w:val="00C6421B"/>
    <w:rsid w:val="00C67C2C"/>
    <w:rsid w:val="00C754BE"/>
    <w:rsid w:val="00C76B1C"/>
    <w:rsid w:val="00C81665"/>
    <w:rsid w:val="00C915D5"/>
    <w:rsid w:val="00C925AC"/>
    <w:rsid w:val="00CA0660"/>
    <w:rsid w:val="00CA3EA7"/>
    <w:rsid w:val="00CA421E"/>
    <w:rsid w:val="00CA5106"/>
    <w:rsid w:val="00CA5F9B"/>
    <w:rsid w:val="00CB6357"/>
    <w:rsid w:val="00CC1B26"/>
    <w:rsid w:val="00CC44C8"/>
    <w:rsid w:val="00CD35F0"/>
    <w:rsid w:val="00CE2A68"/>
    <w:rsid w:val="00CE7178"/>
    <w:rsid w:val="00CF6321"/>
    <w:rsid w:val="00CF69AF"/>
    <w:rsid w:val="00D03320"/>
    <w:rsid w:val="00D03451"/>
    <w:rsid w:val="00D06B34"/>
    <w:rsid w:val="00D11069"/>
    <w:rsid w:val="00D12A26"/>
    <w:rsid w:val="00D2103F"/>
    <w:rsid w:val="00D22CD9"/>
    <w:rsid w:val="00D26169"/>
    <w:rsid w:val="00D361FD"/>
    <w:rsid w:val="00D423A2"/>
    <w:rsid w:val="00D44639"/>
    <w:rsid w:val="00D44E26"/>
    <w:rsid w:val="00D520D8"/>
    <w:rsid w:val="00D52ACA"/>
    <w:rsid w:val="00D5527B"/>
    <w:rsid w:val="00D63AC2"/>
    <w:rsid w:val="00D63CCB"/>
    <w:rsid w:val="00D64FB9"/>
    <w:rsid w:val="00D7383B"/>
    <w:rsid w:val="00D7788A"/>
    <w:rsid w:val="00D80202"/>
    <w:rsid w:val="00D8504D"/>
    <w:rsid w:val="00DA231B"/>
    <w:rsid w:val="00DA2A9D"/>
    <w:rsid w:val="00DA48FD"/>
    <w:rsid w:val="00DA5A2A"/>
    <w:rsid w:val="00DB3C50"/>
    <w:rsid w:val="00DB3D2E"/>
    <w:rsid w:val="00DC39FC"/>
    <w:rsid w:val="00DE72FA"/>
    <w:rsid w:val="00DF5254"/>
    <w:rsid w:val="00E002F3"/>
    <w:rsid w:val="00E0160E"/>
    <w:rsid w:val="00E02524"/>
    <w:rsid w:val="00E10EB4"/>
    <w:rsid w:val="00E11001"/>
    <w:rsid w:val="00E14D02"/>
    <w:rsid w:val="00E16408"/>
    <w:rsid w:val="00E178BF"/>
    <w:rsid w:val="00E20894"/>
    <w:rsid w:val="00E245AB"/>
    <w:rsid w:val="00E24D66"/>
    <w:rsid w:val="00E24F1D"/>
    <w:rsid w:val="00E2764C"/>
    <w:rsid w:val="00E27F2E"/>
    <w:rsid w:val="00E43F6E"/>
    <w:rsid w:val="00E45CDC"/>
    <w:rsid w:val="00E50AFE"/>
    <w:rsid w:val="00E51530"/>
    <w:rsid w:val="00E53316"/>
    <w:rsid w:val="00E73EC9"/>
    <w:rsid w:val="00E75C92"/>
    <w:rsid w:val="00E76537"/>
    <w:rsid w:val="00E771DC"/>
    <w:rsid w:val="00E85AAA"/>
    <w:rsid w:val="00E8772A"/>
    <w:rsid w:val="00E90F6B"/>
    <w:rsid w:val="00E92C27"/>
    <w:rsid w:val="00EA0E3D"/>
    <w:rsid w:val="00EB5F26"/>
    <w:rsid w:val="00EB7490"/>
    <w:rsid w:val="00EC38A7"/>
    <w:rsid w:val="00EC4F38"/>
    <w:rsid w:val="00ED1E12"/>
    <w:rsid w:val="00EE1AA8"/>
    <w:rsid w:val="00EE3373"/>
    <w:rsid w:val="00EE3E83"/>
    <w:rsid w:val="00EF138A"/>
    <w:rsid w:val="00F0027F"/>
    <w:rsid w:val="00F17F9C"/>
    <w:rsid w:val="00F23FEA"/>
    <w:rsid w:val="00F31EDC"/>
    <w:rsid w:val="00F462B3"/>
    <w:rsid w:val="00F50931"/>
    <w:rsid w:val="00F5664F"/>
    <w:rsid w:val="00F60222"/>
    <w:rsid w:val="00F666C4"/>
    <w:rsid w:val="00F7276B"/>
    <w:rsid w:val="00F76AFC"/>
    <w:rsid w:val="00F846BD"/>
    <w:rsid w:val="00F86955"/>
    <w:rsid w:val="00F97231"/>
    <w:rsid w:val="00FA43E7"/>
    <w:rsid w:val="00FA47C0"/>
    <w:rsid w:val="00FB075A"/>
    <w:rsid w:val="00FB5DD1"/>
    <w:rsid w:val="00FC295F"/>
    <w:rsid w:val="00FC2B5D"/>
    <w:rsid w:val="00FC5B65"/>
    <w:rsid w:val="00FD275F"/>
    <w:rsid w:val="00FE50FA"/>
    <w:rsid w:val="00FE74C8"/>
    <w:rsid w:val="00FF1449"/>
    <w:rsid w:val="00FF5213"/>
    <w:rsid w:val="00FF7963"/>
    <w:rsid w:val="071B8F93"/>
    <w:rsid w:val="09908A09"/>
    <w:rsid w:val="0FF4CCA8"/>
    <w:rsid w:val="13CFC91B"/>
    <w:rsid w:val="19A2EC2C"/>
    <w:rsid w:val="2859CA1B"/>
    <w:rsid w:val="32A4F9CF"/>
    <w:rsid w:val="356CEDFD"/>
    <w:rsid w:val="4227F9BE"/>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E519726-085F-42B7-A88C-029177C82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31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Lista vistosa - Énfasis 1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3921B4"/>
    <w:pPr>
      <w:spacing w:after="0" w:line="240" w:lineRule="auto"/>
    </w:pPr>
    <w:rPr>
      <w:rFonts w:eastAsia="Times New Roman" w:cs="Times New Roman"/>
    </w:rPr>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47604"/>
    <w:rPr>
      <w:rFonts w:ascii="Geomanist Light" w:hAnsi="Geomanist Light"/>
      <w:lang w:val="es-ES"/>
    </w:rPr>
  </w:style>
  <w:style w:type="paragraph" w:customStyle="1" w:styleId="Appelnotedebasde">
    <w:name w:val="Appel note de bas de..."/>
    <w:basedOn w:val="Normal"/>
    <w:link w:val="Refdenotaalpie"/>
    <w:uiPriority w:val="99"/>
    <w:rsid w:val="00F50931"/>
    <w:pPr>
      <w:spacing w:line="240" w:lineRule="exact"/>
    </w:pPr>
    <w:rPr>
      <w:vertAlign w:val="superscript"/>
    </w:rPr>
  </w:style>
  <w:style w:type="character" w:customStyle="1" w:styleId="baj">
    <w:name w:val="b_aj"/>
    <w:basedOn w:val="Fuentedeprrafopredeter"/>
    <w:rsid w:val="00540505"/>
  </w:style>
  <w:style w:type="character" w:customStyle="1" w:styleId="NormalWebCar">
    <w:name w:val="Normal (Web) Car"/>
    <w:link w:val="NormalWeb"/>
    <w:uiPriority w:val="99"/>
    <w:locked/>
    <w:rsid w:val="00540505"/>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nandog213@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D8F8BAD-7CA2-4C7A-B2BD-9CA7F94C61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24</Pages>
  <Words>8225</Words>
  <Characters>42855</Characters>
  <Application>Microsoft Office Word</Application>
  <DocSecurity>0</DocSecurity>
  <Lines>874</Lines>
  <Paragraphs>228</Paragraphs>
  <ScaleCrop>false</ScaleCrop>
  <Company/>
  <LinksUpToDate>false</LinksUpToDate>
  <CharactersWithSpaces>50852</CharactersWithSpaces>
  <SharedDoc>false</SharedDoc>
  <HLinks>
    <vt:vector size="18" baseType="variant">
      <vt:variant>
        <vt:i4>6029407</vt:i4>
      </vt:variant>
      <vt:variant>
        <vt:i4>6</vt:i4>
      </vt:variant>
      <vt:variant>
        <vt:i4>0</vt:i4>
      </vt:variant>
      <vt:variant>
        <vt:i4>5</vt:i4>
      </vt:variant>
      <vt:variant>
        <vt:lpwstr>http://www.colombiacompra.gov.co/</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5177395</vt:i4>
      </vt:variant>
      <vt:variant>
        <vt:i4>0</vt:i4>
      </vt:variant>
      <vt:variant>
        <vt:i4>0</vt:i4>
      </vt:variant>
      <vt:variant>
        <vt:i4>5</vt:i4>
      </vt:variant>
      <vt:variant>
        <vt:lpwstr>mailto:Fernandog213@hotmail.com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8</cp:revision>
  <cp:lastPrinted>2023-01-10T21:18:00Z</cp:lastPrinted>
  <dcterms:created xsi:type="dcterms:W3CDTF">2026-02-23T13:23:00Z</dcterms:created>
  <dcterms:modified xsi:type="dcterms:W3CDTF">2026-02-24T17:23:00Z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