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48AE6" w14:textId="204FE7A8" w:rsidR="00086B72" w:rsidRPr="0023281D" w:rsidRDefault="00086B72" w:rsidP="00086B72">
      <w:pPr>
        <w:spacing w:after="0" w:line="240" w:lineRule="auto"/>
        <w:jc w:val="both"/>
        <w:rPr>
          <w:rFonts w:ascii="Verdana" w:hAnsi="Verdana"/>
          <w:b/>
          <w:bCs/>
        </w:rPr>
      </w:pPr>
      <w:r w:rsidRPr="0023281D">
        <w:rPr>
          <w:rFonts w:ascii="Verdana" w:eastAsia="Calibri" w:hAnsi="Verdana" w:cs="Arial"/>
          <w:b/>
          <w:bCs/>
          <w:lang w:val="es-ES_tradnl" w:eastAsia="es-ES_tradnl"/>
        </w:rPr>
        <w:t>CONTRATOS CON ESAL – Artículo 355 – Constitución – Fundamento</w:t>
      </w:r>
    </w:p>
    <w:p w14:paraId="7845C6D7" w14:textId="77777777" w:rsidR="00086B72" w:rsidRPr="00086B72" w:rsidRDefault="00086B72" w:rsidP="00086B72">
      <w:pPr>
        <w:spacing w:after="0" w:line="240" w:lineRule="auto"/>
        <w:jc w:val="both"/>
        <w:rPr>
          <w:rFonts w:ascii="Verdana" w:hAnsi="Verdana"/>
        </w:rPr>
      </w:pPr>
    </w:p>
    <w:p w14:paraId="31A18D3F" w14:textId="77777777" w:rsidR="00086B72" w:rsidRPr="00086B72" w:rsidRDefault="00086B72" w:rsidP="00086B72">
      <w:pPr>
        <w:spacing w:after="0" w:line="240" w:lineRule="auto"/>
        <w:jc w:val="both"/>
        <w:rPr>
          <w:rFonts w:ascii="Verdana" w:hAnsi="Verdana"/>
          <w:sz w:val="20"/>
          <w:szCs w:val="20"/>
        </w:rPr>
      </w:pPr>
      <w:r w:rsidRPr="00086B72">
        <w:rPr>
          <w:rFonts w:ascii="Verdana" w:hAnsi="Verdana"/>
          <w:sz w:val="20"/>
          <w:szCs w:val="20"/>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1D50BC9F" w14:textId="77777777" w:rsidR="004E6F31" w:rsidRDefault="004E6F31" w:rsidP="00052D1B">
      <w:pPr>
        <w:spacing w:after="0" w:line="240" w:lineRule="auto"/>
        <w:jc w:val="both"/>
        <w:rPr>
          <w:rFonts w:ascii="Verdana" w:hAnsi="Verdana"/>
        </w:rPr>
      </w:pPr>
    </w:p>
    <w:p w14:paraId="479D10EF" w14:textId="5188360A" w:rsidR="004E6F31" w:rsidRPr="0023281D" w:rsidRDefault="0023281D" w:rsidP="00052D1B">
      <w:pPr>
        <w:spacing w:after="0" w:line="240" w:lineRule="auto"/>
        <w:jc w:val="both"/>
        <w:rPr>
          <w:rFonts w:ascii="Verdana" w:hAnsi="Verdana"/>
          <w:b/>
          <w:bCs/>
        </w:rPr>
      </w:pPr>
      <w:r w:rsidRPr="0023281D">
        <w:rPr>
          <w:rFonts w:ascii="Verdana" w:hAnsi="Verdana" w:cs="Arial"/>
          <w:b/>
          <w:bCs/>
          <w:color w:val="000000"/>
          <w:kern w:val="2"/>
          <w14:ligatures w14:val="standardContextual"/>
        </w:rPr>
        <w:t xml:space="preserve">DECRETO 092 DE 2017 – Convenios de interés público – Convenios de asociación </w:t>
      </w:r>
    </w:p>
    <w:p w14:paraId="60565BDE" w14:textId="77777777" w:rsidR="004E6F31" w:rsidRDefault="004E6F31" w:rsidP="00052D1B">
      <w:pPr>
        <w:spacing w:after="0" w:line="240" w:lineRule="auto"/>
        <w:jc w:val="both"/>
        <w:rPr>
          <w:rFonts w:ascii="Verdana" w:hAnsi="Verdana"/>
        </w:rPr>
      </w:pPr>
    </w:p>
    <w:p w14:paraId="21337956" w14:textId="4D9B9B30" w:rsidR="004E6F31" w:rsidRDefault="00C040BE" w:rsidP="00052D1B">
      <w:pPr>
        <w:spacing w:after="0" w:line="240" w:lineRule="auto"/>
        <w:jc w:val="both"/>
        <w:rPr>
          <w:rFonts w:ascii="Verdana" w:hAnsi="Verdana"/>
          <w:sz w:val="20"/>
          <w:szCs w:val="20"/>
        </w:rPr>
      </w:pPr>
      <w:r w:rsidRPr="00C040BE">
        <w:rPr>
          <w:rFonts w:ascii="Verdana" w:hAnsi="Verdana"/>
          <w:sz w:val="20"/>
          <w:szCs w:val="20"/>
        </w:rPr>
        <w:t>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w:t>
      </w:r>
    </w:p>
    <w:p w14:paraId="50FF39D6" w14:textId="77777777" w:rsidR="002912B3" w:rsidRDefault="002912B3" w:rsidP="00052D1B">
      <w:pPr>
        <w:spacing w:after="0" w:line="240" w:lineRule="auto"/>
        <w:jc w:val="both"/>
        <w:rPr>
          <w:rFonts w:ascii="Verdana" w:hAnsi="Verdana"/>
          <w:sz w:val="20"/>
          <w:szCs w:val="20"/>
        </w:rPr>
      </w:pPr>
    </w:p>
    <w:p w14:paraId="335BF3F4" w14:textId="791AB55D" w:rsidR="002912B3" w:rsidRPr="002912B3" w:rsidRDefault="002912B3" w:rsidP="00052D1B">
      <w:pPr>
        <w:spacing w:after="0" w:line="240" w:lineRule="auto"/>
        <w:jc w:val="both"/>
        <w:rPr>
          <w:rFonts w:ascii="Verdana" w:hAnsi="Verdana" w:cs="Arial"/>
          <w:b/>
          <w:bCs/>
          <w:color w:val="000000"/>
          <w:kern w:val="2"/>
          <w14:ligatures w14:val="standardContextual"/>
        </w:rPr>
      </w:pPr>
      <w:r w:rsidRPr="002912B3">
        <w:rPr>
          <w:rFonts w:ascii="Verdana" w:hAnsi="Verdana" w:cs="Arial"/>
          <w:b/>
          <w:bCs/>
          <w:color w:val="000000"/>
          <w:kern w:val="2"/>
          <w14:ligatures w14:val="standardContextual"/>
        </w:rPr>
        <w:t xml:space="preserve">DECRETO 092 DE 2017 – Convenios de colaboración o de interés público – Características – carácter no conmutativo </w:t>
      </w:r>
    </w:p>
    <w:p w14:paraId="49DE24CD" w14:textId="77777777" w:rsidR="002912B3" w:rsidRPr="002912B3" w:rsidRDefault="002912B3" w:rsidP="00052D1B">
      <w:pPr>
        <w:spacing w:after="0" w:line="240" w:lineRule="auto"/>
        <w:jc w:val="both"/>
        <w:rPr>
          <w:rFonts w:ascii="Verdana" w:hAnsi="Verdana"/>
          <w:b/>
          <w:bCs/>
          <w:sz w:val="20"/>
          <w:szCs w:val="20"/>
        </w:rPr>
      </w:pPr>
    </w:p>
    <w:p w14:paraId="5559027E" w14:textId="7E56AE48" w:rsidR="002912B3" w:rsidRPr="002912B3" w:rsidRDefault="002912B3" w:rsidP="00052D1B">
      <w:pPr>
        <w:spacing w:after="0" w:line="240" w:lineRule="auto"/>
        <w:jc w:val="both"/>
        <w:rPr>
          <w:rFonts w:ascii="Verdana" w:hAnsi="Verdana"/>
          <w:sz w:val="20"/>
          <w:szCs w:val="20"/>
        </w:rPr>
      </w:pPr>
      <w:r w:rsidRPr="002912B3">
        <w:rPr>
          <w:rFonts w:ascii="Verdana" w:hAnsi="Verdana"/>
          <w:sz w:val="20"/>
          <w:szCs w:val="20"/>
        </w:rPr>
        <w:t xml:space="preserve">De otro lado, los convenios de asociación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 </w:t>
      </w:r>
    </w:p>
    <w:p w14:paraId="0EFD4B5C" w14:textId="77777777" w:rsidR="004E6F31" w:rsidRDefault="004E6F31" w:rsidP="00052D1B">
      <w:pPr>
        <w:spacing w:after="0" w:line="240" w:lineRule="auto"/>
        <w:jc w:val="both"/>
        <w:rPr>
          <w:rFonts w:ascii="Verdana" w:hAnsi="Verdana"/>
        </w:rPr>
      </w:pPr>
    </w:p>
    <w:p w14:paraId="52BB1F34" w14:textId="30766D85" w:rsidR="004E6F31" w:rsidRDefault="008E3122" w:rsidP="008E3122">
      <w:pPr>
        <w:spacing w:line="276" w:lineRule="auto"/>
        <w:jc w:val="both"/>
        <w:rPr>
          <w:rFonts w:ascii="Verdana" w:hAnsi="Verdana"/>
        </w:rPr>
      </w:pPr>
      <w:r w:rsidRPr="008E3122">
        <w:rPr>
          <w:rFonts w:ascii="Verdana" w:hAnsi="Verdana" w:cs="Arial"/>
          <w:b/>
          <w:bCs/>
          <w:color w:val="000000"/>
          <w:kern w:val="2"/>
          <w14:ligatures w14:val="standardContextual"/>
        </w:rPr>
        <w:t>SUSPENSIÓN PROVISIONAL PARCIAL – Decreto 092 de 2017 – Suspensión inciso segundo artículo 2; literales a) y c) e inciso quinto del artículo 2; inciso segundo artículo 3 e inciso final artículo</w:t>
      </w:r>
      <w:r w:rsidRPr="00AD0731">
        <w:rPr>
          <w:rFonts w:ascii="Verdana" w:hAnsi="Verdana" w:cs="Arial"/>
          <w:color w:val="000000"/>
          <w:kern w:val="2"/>
          <w14:ligatures w14:val="standardContextual"/>
        </w:rPr>
        <w:t xml:space="preserve"> 4</w:t>
      </w:r>
      <w:r w:rsidRPr="00AD0731">
        <w:rPr>
          <w:rFonts w:ascii="Verdana" w:hAnsi="Verdana" w:cs="Arial"/>
          <w:lang w:val="es-ES" w:eastAsia="es-ES"/>
        </w:rPr>
        <w:t>.</w:t>
      </w:r>
    </w:p>
    <w:p w14:paraId="3D954531" w14:textId="24042AD1" w:rsidR="004E6F31" w:rsidRPr="00C33A3D" w:rsidRDefault="00C33A3D" w:rsidP="00052D1B">
      <w:pPr>
        <w:spacing w:after="0" w:line="240" w:lineRule="auto"/>
        <w:jc w:val="both"/>
        <w:rPr>
          <w:rFonts w:ascii="Verdana" w:hAnsi="Verdana"/>
          <w:sz w:val="20"/>
          <w:szCs w:val="20"/>
        </w:rPr>
      </w:pPr>
      <w:r w:rsidRPr="00C33A3D">
        <w:rPr>
          <w:rFonts w:ascii="Verdana" w:hAnsi="Verdana"/>
          <w:sz w:val="20"/>
          <w:szCs w:val="20"/>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C33A3D">
        <w:rPr>
          <w:rFonts w:ascii="Verdana" w:hAnsi="Verdana"/>
          <w:sz w:val="20"/>
          <w:szCs w:val="20"/>
        </w:rPr>
        <w:lastRenderedPageBreak/>
        <w:t>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14:paraId="7AB455EF" w14:textId="77777777" w:rsidR="004E6F31" w:rsidRDefault="004E6F31" w:rsidP="00052D1B">
      <w:pPr>
        <w:spacing w:after="0" w:line="240" w:lineRule="auto"/>
        <w:jc w:val="both"/>
        <w:rPr>
          <w:rFonts w:ascii="Verdana" w:hAnsi="Verdana"/>
        </w:rPr>
      </w:pPr>
    </w:p>
    <w:p w14:paraId="4D384100" w14:textId="77777777" w:rsidR="002912B3" w:rsidRDefault="002912B3" w:rsidP="00052D1B">
      <w:pPr>
        <w:spacing w:after="0" w:line="240" w:lineRule="auto"/>
        <w:jc w:val="both"/>
        <w:rPr>
          <w:rFonts w:ascii="Verdana" w:hAnsi="Verdana"/>
        </w:rPr>
      </w:pPr>
    </w:p>
    <w:p w14:paraId="0246A47A" w14:textId="77777777" w:rsidR="002912B3" w:rsidRDefault="002912B3" w:rsidP="00052D1B">
      <w:pPr>
        <w:spacing w:after="0" w:line="240" w:lineRule="auto"/>
        <w:jc w:val="both"/>
        <w:rPr>
          <w:rFonts w:ascii="Verdana" w:hAnsi="Verdana"/>
        </w:rPr>
      </w:pPr>
    </w:p>
    <w:p w14:paraId="59482427" w14:textId="77777777" w:rsidR="002912B3" w:rsidRDefault="002912B3" w:rsidP="00052D1B">
      <w:pPr>
        <w:spacing w:after="0" w:line="240" w:lineRule="auto"/>
        <w:jc w:val="both"/>
        <w:rPr>
          <w:rFonts w:ascii="Verdana" w:hAnsi="Verdana"/>
        </w:rPr>
      </w:pPr>
    </w:p>
    <w:p w14:paraId="704B0316" w14:textId="77777777" w:rsidR="002912B3" w:rsidRDefault="002912B3" w:rsidP="00052D1B">
      <w:pPr>
        <w:spacing w:after="0" w:line="240" w:lineRule="auto"/>
        <w:jc w:val="both"/>
        <w:rPr>
          <w:rFonts w:ascii="Verdana" w:hAnsi="Verdana"/>
        </w:rPr>
      </w:pPr>
    </w:p>
    <w:p w14:paraId="201A3851" w14:textId="77777777" w:rsidR="002912B3" w:rsidRDefault="002912B3" w:rsidP="00052D1B">
      <w:pPr>
        <w:spacing w:after="0" w:line="240" w:lineRule="auto"/>
        <w:jc w:val="both"/>
        <w:rPr>
          <w:rFonts w:ascii="Verdana" w:hAnsi="Verdana"/>
        </w:rPr>
      </w:pPr>
    </w:p>
    <w:p w14:paraId="7C14F802" w14:textId="77777777" w:rsidR="002912B3" w:rsidRDefault="002912B3" w:rsidP="00052D1B">
      <w:pPr>
        <w:spacing w:after="0" w:line="240" w:lineRule="auto"/>
        <w:jc w:val="both"/>
        <w:rPr>
          <w:rFonts w:ascii="Verdana" w:hAnsi="Verdana"/>
        </w:rPr>
      </w:pPr>
    </w:p>
    <w:p w14:paraId="562F838D" w14:textId="77777777" w:rsidR="002912B3" w:rsidRDefault="002912B3" w:rsidP="00052D1B">
      <w:pPr>
        <w:spacing w:after="0" w:line="240" w:lineRule="auto"/>
        <w:jc w:val="both"/>
        <w:rPr>
          <w:rFonts w:ascii="Verdana" w:hAnsi="Verdana"/>
        </w:rPr>
      </w:pPr>
    </w:p>
    <w:p w14:paraId="7FBC49D0" w14:textId="77777777" w:rsidR="002912B3" w:rsidRDefault="002912B3" w:rsidP="00052D1B">
      <w:pPr>
        <w:spacing w:after="0" w:line="240" w:lineRule="auto"/>
        <w:jc w:val="both"/>
        <w:rPr>
          <w:rFonts w:ascii="Verdana" w:hAnsi="Verdana"/>
        </w:rPr>
      </w:pPr>
    </w:p>
    <w:p w14:paraId="4E3ACAF7" w14:textId="77777777" w:rsidR="002912B3" w:rsidRDefault="002912B3" w:rsidP="00052D1B">
      <w:pPr>
        <w:spacing w:after="0" w:line="240" w:lineRule="auto"/>
        <w:jc w:val="both"/>
        <w:rPr>
          <w:rFonts w:ascii="Verdana" w:hAnsi="Verdana"/>
        </w:rPr>
      </w:pPr>
    </w:p>
    <w:p w14:paraId="6BD45BA8" w14:textId="77777777" w:rsidR="002912B3" w:rsidRDefault="002912B3" w:rsidP="00052D1B">
      <w:pPr>
        <w:spacing w:after="0" w:line="240" w:lineRule="auto"/>
        <w:jc w:val="both"/>
        <w:rPr>
          <w:rFonts w:ascii="Verdana" w:hAnsi="Verdana"/>
        </w:rPr>
      </w:pPr>
    </w:p>
    <w:p w14:paraId="78252032" w14:textId="77777777" w:rsidR="002912B3" w:rsidRDefault="002912B3" w:rsidP="00052D1B">
      <w:pPr>
        <w:spacing w:after="0" w:line="240" w:lineRule="auto"/>
        <w:jc w:val="both"/>
        <w:rPr>
          <w:rFonts w:ascii="Verdana" w:hAnsi="Verdana"/>
        </w:rPr>
      </w:pPr>
    </w:p>
    <w:p w14:paraId="1A3D6B84" w14:textId="77777777" w:rsidR="002912B3" w:rsidRDefault="002912B3" w:rsidP="00052D1B">
      <w:pPr>
        <w:spacing w:after="0" w:line="240" w:lineRule="auto"/>
        <w:jc w:val="both"/>
        <w:rPr>
          <w:rFonts w:ascii="Verdana" w:hAnsi="Verdana"/>
        </w:rPr>
      </w:pPr>
    </w:p>
    <w:p w14:paraId="112D0B13" w14:textId="77777777" w:rsidR="002912B3" w:rsidRDefault="002912B3" w:rsidP="00052D1B">
      <w:pPr>
        <w:spacing w:after="0" w:line="240" w:lineRule="auto"/>
        <w:jc w:val="both"/>
        <w:rPr>
          <w:rFonts w:ascii="Verdana" w:hAnsi="Verdana"/>
        </w:rPr>
      </w:pPr>
    </w:p>
    <w:p w14:paraId="307EBFFD" w14:textId="77777777" w:rsidR="002912B3" w:rsidRDefault="002912B3" w:rsidP="00052D1B">
      <w:pPr>
        <w:spacing w:after="0" w:line="240" w:lineRule="auto"/>
        <w:jc w:val="both"/>
        <w:rPr>
          <w:rFonts w:ascii="Verdana" w:hAnsi="Verdana"/>
        </w:rPr>
      </w:pPr>
    </w:p>
    <w:p w14:paraId="2D4A02F7" w14:textId="77777777" w:rsidR="002912B3" w:rsidRDefault="002912B3" w:rsidP="00052D1B">
      <w:pPr>
        <w:spacing w:after="0" w:line="240" w:lineRule="auto"/>
        <w:jc w:val="both"/>
        <w:rPr>
          <w:rFonts w:ascii="Verdana" w:hAnsi="Verdana"/>
        </w:rPr>
      </w:pPr>
    </w:p>
    <w:p w14:paraId="1355F135" w14:textId="77777777" w:rsidR="002912B3" w:rsidRDefault="002912B3" w:rsidP="00052D1B">
      <w:pPr>
        <w:spacing w:after="0" w:line="240" w:lineRule="auto"/>
        <w:jc w:val="both"/>
        <w:rPr>
          <w:rFonts w:ascii="Verdana" w:hAnsi="Verdana"/>
        </w:rPr>
      </w:pPr>
    </w:p>
    <w:p w14:paraId="71C3CBF9" w14:textId="77777777" w:rsidR="002912B3" w:rsidRDefault="002912B3" w:rsidP="00052D1B">
      <w:pPr>
        <w:spacing w:after="0" w:line="240" w:lineRule="auto"/>
        <w:jc w:val="both"/>
        <w:rPr>
          <w:rFonts w:ascii="Verdana" w:hAnsi="Verdana"/>
        </w:rPr>
      </w:pPr>
    </w:p>
    <w:p w14:paraId="498A70B2" w14:textId="77777777" w:rsidR="002912B3" w:rsidRDefault="002912B3" w:rsidP="00052D1B">
      <w:pPr>
        <w:spacing w:after="0" w:line="240" w:lineRule="auto"/>
        <w:jc w:val="both"/>
        <w:rPr>
          <w:rFonts w:ascii="Verdana" w:hAnsi="Verdana"/>
        </w:rPr>
      </w:pPr>
    </w:p>
    <w:p w14:paraId="57FE4D54" w14:textId="77777777" w:rsidR="002912B3" w:rsidRDefault="002912B3" w:rsidP="00052D1B">
      <w:pPr>
        <w:spacing w:after="0" w:line="240" w:lineRule="auto"/>
        <w:jc w:val="both"/>
        <w:rPr>
          <w:rFonts w:ascii="Verdana" w:hAnsi="Verdana"/>
        </w:rPr>
      </w:pPr>
    </w:p>
    <w:p w14:paraId="042AC656" w14:textId="77777777" w:rsidR="002912B3" w:rsidRDefault="002912B3" w:rsidP="00052D1B">
      <w:pPr>
        <w:spacing w:after="0" w:line="240" w:lineRule="auto"/>
        <w:jc w:val="both"/>
        <w:rPr>
          <w:rFonts w:ascii="Verdana" w:hAnsi="Verdana"/>
        </w:rPr>
      </w:pPr>
    </w:p>
    <w:p w14:paraId="52C360CB" w14:textId="77777777" w:rsidR="002912B3" w:rsidRDefault="002912B3" w:rsidP="00052D1B">
      <w:pPr>
        <w:spacing w:after="0" w:line="240" w:lineRule="auto"/>
        <w:jc w:val="both"/>
        <w:rPr>
          <w:rFonts w:ascii="Verdana" w:hAnsi="Verdana"/>
        </w:rPr>
      </w:pPr>
    </w:p>
    <w:p w14:paraId="3E9C45F5" w14:textId="77777777" w:rsidR="002912B3" w:rsidRDefault="002912B3" w:rsidP="00052D1B">
      <w:pPr>
        <w:spacing w:after="0" w:line="240" w:lineRule="auto"/>
        <w:jc w:val="both"/>
        <w:rPr>
          <w:rFonts w:ascii="Verdana" w:hAnsi="Verdana"/>
        </w:rPr>
      </w:pPr>
    </w:p>
    <w:p w14:paraId="5BE0D9BE" w14:textId="77777777" w:rsidR="002912B3" w:rsidRDefault="002912B3" w:rsidP="00052D1B">
      <w:pPr>
        <w:spacing w:after="0" w:line="240" w:lineRule="auto"/>
        <w:jc w:val="both"/>
        <w:rPr>
          <w:rFonts w:ascii="Verdana" w:hAnsi="Verdana"/>
        </w:rPr>
      </w:pPr>
    </w:p>
    <w:p w14:paraId="2564233C" w14:textId="77777777" w:rsidR="002912B3" w:rsidRDefault="002912B3" w:rsidP="00052D1B">
      <w:pPr>
        <w:spacing w:after="0" w:line="240" w:lineRule="auto"/>
        <w:jc w:val="both"/>
        <w:rPr>
          <w:rFonts w:ascii="Verdana" w:hAnsi="Verdana"/>
        </w:rPr>
      </w:pPr>
    </w:p>
    <w:p w14:paraId="15AB9DF1" w14:textId="77777777" w:rsidR="002912B3" w:rsidRDefault="002912B3" w:rsidP="00052D1B">
      <w:pPr>
        <w:spacing w:after="0" w:line="240" w:lineRule="auto"/>
        <w:jc w:val="both"/>
        <w:rPr>
          <w:rFonts w:ascii="Verdana" w:hAnsi="Verdana"/>
        </w:rPr>
      </w:pPr>
    </w:p>
    <w:p w14:paraId="17626E98" w14:textId="77777777" w:rsidR="002912B3" w:rsidRDefault="002912B3" w:rsidP="00052D1B">
      <w:pPr>
        <w:spacing w:after="0" w:line="240" w:lineRule="auto"/>
        <w:jc w:val="both"/>
        <w:rPr>
          <w:rFonts w:ascii="Verdana" w:hAnsi="Verdana"/>
        </w:rPr>
      </w:pPr>
    </w:p>
    <w:p w14:paraId="270F4CAC" w14:textId="6A11AEB8" w:rsidR="00052D1B" w:rsidRPr="008E4F36" w:rsidRDefault="006D544D" w:rsidP="00052D1B">
      <w:pPr>
        <w:spacing w:after="0" w:line="240" w:lineRule="auto"/>
        <w:jc w:val="both"/>
        <w:rPr>
          <w:rFonts w:ascii="Verdana" w:hAnsi="Verdana"/>
        </w:rPr>
      </w:pPr>
      <w:r w:rsidRPr="006D544D">
        <w:rPr>
          <w:rFonts w:ascii="Verdana" w:hAnsi="Verdana"/>
        </w:rPr>
        <w:lastRenderedPageBreak/>
        <w:t>Bogotá D.C., 20 febrero 2026</w:t>
      </w:r>
      <w:r>
        <w:rPr>
          <w:rFonts w:ascii="Verdana" w:hAnsi="Verdana"/>
        </w:rPr>
        <w:t xml:space="preserve"> </w:t>
      </w:r>
      <w:r w:rsidR="00052D1B">
        <w:rPr>
          <w:rFonts w:ascii="Verdana" w:hAnsi="Verdana"/>
        </w:rPr>
        <w:t xml:space="preserve"> </w:t>
      </w:r>
    </w:p>
    <w:p w14:paraId="59C0F93D" w14:textId="210F8DB7" w:rsidR="004515A2" w:rsidRDefault="00DC676B" w:rsidP="00052D1B">
      <w:pPr>
        <w:spacing w:after="0" w:line="240" w:lineRule="auto"/>
        <w:jc w:val="both"/>
        <w:rPr>
          <w:rFonts w:ascii="Verdana" w:eastAsia="Calibri" w:hAnsi="Verdana" w:cs="Arial"/>
          <w:lang w:eastAsia="es-ES"/>
        </w:rPr>
      </w:pPr>
      <w:bookmarkStart w:id="0" w:name="_Hlk197462763"/>
      <w:bookmarkStart w:id="1" w:name="_Hlk197529996"/>
      <w:r w:rsidRPr="004515A2">
        <w:rPr>
          <w:rFonts w:ascii="Verdana" w:eastAsia="Calibri" w:hAnsi="Verdana" w:cs="Arial"/>
          <w:noProof/>
          <w:lang w:eastAsia="es-ES"/>
        </w:rPr>
        <w:drawing>
          <wp:anchor distT="0" distB="0" distL="114300" distR="114300" simplePos="0" relativeHeight="251660288" behindDoc="1" locked="0" layoutInCell="1" allowOverlap="1" wp14:anchorId="5F1CE2BA" wp14:editId="4172F439">
            <wp:simplePos x="0" y="0"/>
            <wp:positionH relativeFrom="column">
              <wp:posOffset>2666365</wp:posOffset>
            </wp:positionH>
            <wp:positionV relativeFrom="paragraph">
              <wp:posOffset>107950</wp:posOffset>
            </wp:positionV>
            <wp:extent cx="3168650" cy="840740"/>
            <wp:effectExtent l="0" t="0" r="0" b="0"/>
            <wp:wrapTight wrapText="bothSides">
              <wp:wrapPolygon edited="0">
                <wp:start x="0" y="0"/>
                <wp:lineTo x="0" y="21045"/>
                <wp:lineTo x="21427" y="21045"/>
                <wp:lineTo x="21427" y="0"/>
                <wp:lineTo x="0" y="0"/>
              </wp:wrapPolygon>
            </wp:wrapTight>
            <wp:docPr id="1133999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997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68650" cy="840740"/>
                    </a:xfrm>
                    <a:prstGeom prst="rect">
                      <a:avLst/>
                    </a:prstGeom>
                  </pic:spPr>
                </pic:pic>
              </a:graphicData>
            </a:graphic>
            <wp14:sizeRelH relativeFrom="margin">
              <wp14:pctWidth>0</wp14:pctWidth>
            </wp14:sizeRelH>
            <wp14:sizeRelV relativeFrom="margin">
              <wp14:pctHeight>0</wp14:pctHeight>
            </wp14:sizeRelV>
          </wp:anchor>
        </w:drawing>
      </w:r>
    </w:p>
    <w:p w14:paraId="6C504198" w14:textId="1439411E" w:rsidR="004515A2" w:rsidRDefault="004515A2" w:rsidP="00052D1B">
      <w:pPr>
        <w:spacing w:after="0" w:line="240" w:lineRule="auto"/>
        <w:jc w:val="both"/>
        <w:rPr>
          <w:rFonts w:ascii="Verdana" w:eastAsia="Calibri" w:hAnsi="Verdana" w:cs="Arial"/>
          <w:lang w:eastAsia="es-ES"/>
        </w:rPr>
      </w:pPr>
    </w:p>
    <w:p w14:paraId="0D33DC9D" w14:textId="701F3682" w:rsidR="004515A2" w:rsidRPr="008E4F36" w:rsidRDefault="004515A2" w:rsidP="00052D1B">
      <w:pPr>
        <w:spacing w:after="0" w:line="240" w:lineRule="auto"/>
        <w:jc w:val="both"/>
        <w:rPr>
          <w:rFonts w:ascii="Verdana" w:eastAsia="Calibri" w:hAnsi="Verdana" w:cs="Arial"/>
          <w:lang w:eastAsia="es-ES"/>
        </w:rPr>
      </w:pPr>
    </w:p>
    <w:p w14:paraId="591AC636" w14:textId="77777777" w:rsidR="00052D1B" w:rsidRDefault="00052D1B" w:rsidP="00052D1B">
      <w:pPr>
        <w:spacing w:after="0" w:line="240" w:lineRule="auto"/>
        <w:jc w:val="both"/>
        <w:rPr>
          <w:rFonts w:ascii="Verdana" w:eastAsia="Calibri" w:hAnsi="Verdana" w:cs="Arial"/>
          <w:lang w:eastAsia="es-ES"/>
        </w:rPr>
      </w:pPr>
    </w:p>
    <w:p w14:paraId="7332D8B6" w14:textId="77777777" w:rsidR="00052D1B" w:rsidRPr="008E4F36" w:rsidRDefault="00052D1B" w:rsidP="00052D1B">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00B0A8D2" w14:textId="77777777" w:rsidR="00052D1B" w:rsidRPr="000F2158" w:rsidRDefault="00052D1B" w:rsidP="00052D1B">
      <w:pPr>
        <w:spacing w:after="0" w:line="240" w:lineRule="auto"/>
        <w:jc w:val="both"/>
        <w:rPr>
          <w:rFonts w:ascii="Verdana" w:eastAsia="Calibri" w:hAnsi="Verdana" w:cs="Arial"/>
          <w:b/>
          <w:highlight w:val="yellow"/>
          <w:lang w:eastAsia="es-ES_tradnl"/>
        </w:rPr>
      </w:pPr>
      <w:r w:rsidRPr="00AF78B7">
        <w:rPr>
          <w:rFonts w:ascii="Verdana" w:eastAsia="Calibri" w:hAnsi="Verdana" w:cs="Arial"/>
          <w:b/>
          <w:lang w:eastAsia="es-ES_tradnl"/>
        </w:rPr>
        <w:t>Fernando José</w:t>
      </w:r>
      <w:r>
        <w:rPr>
          <w:rFonts w:ascii="Verdana" w:eastAsia="Calibri" w:hAnsi="Verdana" w:cs="Arial"/>
          <w:b/>
          <w:lang w:eastAsia="es-ES_tradnl"/>
        </w:rPr>
        <w:t xml:space="preserve"> </w:t>
      </w:r>
      <w:r w:rsidRPr="00EB0954">
        <w:rPr>
          <w:rFonts w:ascii="Verdana" w:eastAsia="Calibri" w:hAnsi="Verdana" w:cs="Arial"/>
          <w:b/>
          <w:lang w:eastAsia="es-ES_tradnl"/>
        </w:rPr>
        <w:t>Gutiérrez Ibañez</w:t>
      </w:r>
      <w:r>
        <w:rPr>
          <w:rFonts w:ascii="Verdana" w:eastAsia="Calibri" w:hAnsi="Verdana" w:cs="Arial"/>
          <w:b/>
          <w:lang w:eastAsia="es-ES_tradnl"/>
        </w:rPr>
        <w:t xml:space="preserve"> </w:t>
      </w:r>
    </w:p>
    <w:p w14:paraId="14492695" w14:textId="77777777" w:rsidR="00052D1B" w:rsidRPr="000F2158" w:rsidRDefault="00052D1B" w:rsidP="00052D1B">
      <w:pPr>
        <w:spacing w:after="0" w:line="240" w:lineRule="auto"/>
        <w:jc w:val="both"/>
        <w:rPr>
          <w:rFonts w:ascii="Verdana" w:eastAsia="Calibri" w:hAnsi="Verdana" w:cs="Arial"/>
          <w:b/>
          <w:highlight w:val="yellow"/>
          <w:lang w:eastAsia="es-ES_tradnl"/>
        </w:rPr>
      </w:pPr>
      <w:hyperlink r:id="rId11" w:history="1">
        <w:r w:rsidRPr="00930DB9">
          <w:rPr>
            <w:rStyle w:val="Hipervnculo"/>
            <w:rFonts w:ascii="Verdana" w:eastAsia="Calibri" w:hAnsi="Verdana" w:cs="Arial"/>
            <w:b/>
            <w:lang w:eastAsia="es-ES_tradnl"/>
          </w:rPr>
          <w:t>fernandog213@hotmail.com</w:t>
        </w:r>
      </w:hyperlink>
      <w:r>
        <w:rPr>
          <w:rFonts w:ascii="Verdana" w:eastAsia="Calibri" w:hAnsi="Verdana" w:cs="Arial"/>
          <w:b/>
          <w:lang w:eastAsia="es-ES_tradnl"/>
        </w:rPr>
        <w:t xml:space="preserve"> </w:t>
      </w:r>
    </w:p>
    <w:p w14:paraId="5559CEA3" w14:textId="77777777" w:rsidR="00052D1B" w:rsidRPr="004E1BE4" w:rsidRDefault="00052D1B" w:rsidP="00052D1B">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71592482" w14:textId="77777777" w:rsidR="00052D1B" w:rsidRPr="005B4C57" w:rsidRDefault="00052D1B" w:rsidP="00052D1B">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52D1B" w:rsidRPr="002842E0" w14:paraId="52AF8698" w14:textId="77777777" w:rsidTr="00090C96">
        <w:trPr>
          <w:trHeight w:val="162"/>
        </w:trPr>
        <w:tc>
          <w:tcPr>
            <w:tcW w:w="3119" w:type="dxa"/>
          </w:tcPr>
          <w:p w14:paraId="03DA76EE" w14:textId="77777777" w:rsidR="00052D1B" w:rsidRPr="005B4C57" w:rsidRDefault="00052D1B" w:rsidP="00090C96">
            <w:pPr>
              <w:jc w:val="both"/>
              <w:rPr>
                <w:rFonts w:ascii="Verdana" w:eastAsia="Calibri" w:hAnsi="Verdana" w:cs="Arial"/>
                <w:b/>
                <w:bCs/>
                <w:color w:val="7030A0"/>
                <w:lang w:val="it-CH" w:eastAsia="es-ES_tradnl"/>
              </w:rPr>
            </w:pPr>
          </w:p>
        </w:tc>
        <w:tc>
          <w:tcPr>
            <w:tcW w:w="5670" w:type="dxa"/>
          </w:tcPr>
          <w:p w14:paraId="6F114AEB" w14:textId="77777777" w:rsidR="00052D1B" w:rsidRPr="00801462" w:rsidRDefault="00052D1B" w:rsidP="00090C96">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027 de 2026</w:t>
            </w:r>
          </w:p>
          <w:p w14:paraId="05741E00" w14:textId="77777777" w:rsidR="00052D1B" w:rsidRPr="00801462" w:rsidRDefault="00052D1B" w:rsidP="00090C96">
            <w:pPr>
              <w:jc w:val="both"/>
              <w:rPr>
                <w:rFonts w:ascii="Verdana" w:eastAsia="Calibri" w:hAnsi="Verdana" w:cs="Arial"/>
                <w:b/>
                <w:bCs/>
                <w:color w:val="7030A0"/>
                <w:lang w:eastAsia="es-ES"/>
              </w:rPr>
            </w:pPr>
          </w:p>
        </w:tc>
      </w:tr>
      <w:tr w:rsidR="00052D1B" w:rsidRPr="002842E0" w14:paraId="1E5CB051" w14:textId="77777777" w:rsidTr="00090C96">
        <w:trPr>
          <w:trHeight w:val="884"/>
        </w:trPr>
        <w:tc>
          <w:tcPr>
            <w:tcW w:w="3119" w:type="dxa"/>
          </w:tcPr>
          <w:p w14:paraId="32CB4F95" w14:textId="77777777" w:rsidR="00052D1B" w:rsidRPr="00801462" w:rsidRDefault="00052D1B" w:rsidP="00090C96">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3CB8E337" w14:textId="1F5B1991" w:rsidR="00052D1B" w:rsidRPr="00AD0731" w:rsidRDefault="00052D1B" w:rsidP="00090C96">
            <w:pPr>
              <w:spacing w:line="276" w:lineRule="auto"/>
              <w:jc w:val="both"/>
              <w:rPr>
                <w:rFonts w:ascii="Verdana" w:hAnsi="Verdana"/>
              </w:rPr>
            </w:pPr>
            <w:r w:rsidRPr="00416961">
              <w:rPr>
                <w:rFonts w:ascii="Verdana" w:eastAsia="Calibri" w:hAnsi="Verdana" w:cs="Arial"/>
                <w:lang w:val="es-ES_tradnl" w:eastAsia="es-ES_tradnl"/>
              </w:rPr>
              <w:t xml:space="preserve">CONTRATOS CON ESAL – Artículo 355 – Constitución – Fundamento, </w:t>
            </w:r>
            <w:r w:rsidRPr="00AD0731">
              <w:rPr>
                <w:rFonts w:ascii="Verdana" w:hAnsi="Verdana" w:cs="Arial"/>
                <w:color w:val="000000"/>
                <w:kern w:val="2"/>
                <w14:ligatures w14:val="standardContextual"/>
              </w:rPr>
              <w:t xml:space="preserve">DECRETO 092 DE 2017 – Convenios de interés público – Convenios de asociación- DECRETO 092 DE 2017 – Convenios de colaboración o de interés público – Características – </w:t>
            </w:r>
            <w:r w:rsidR="005F00E0">
              <w:rPr>
                <w:rFonts w:ascii="Verdana" w:hAnsi="Verdana" w:cs="Arial"/>
                <w:color w:val="000000"/>
                <w:kern w:val="2"/>
                <w14:ligatures w14:val="standardContextual"/>
              </w:rPr>
              <w:t>C</w:t>
            </w:r>
            <w:r w:rsidRPr="00AD0731">
              <w:rPr>
                <w:rFonts w:ascii="Verdana" w:hAnsi="Verdana" w:cs="Arial"/>
                <w:color w:val="000000"/>
                <w:kern w:val="2"/>
                <w14:ligatures w14:val="standardContextual"/>
              </w:rPr>
              <w:t>arácter no conmutativo- SUSPENSIÓN PROVISIONAL PARCIAL – Decreto 092 de 2017 – Suspensión inciso segundo artículo 2; literales a) y c) e inciso quinto del artículo 2; inciso segundo artículo 3 e inciso final artículo 4</w:t>
            </w:r>
            <w:r w:rsidRPr="00AD0731">
              <w:rPr>
                <w:rFonts w:ascii="Verdana" w:hAnsi="Verdana" w:cs="Arial"/>
                <w:lang w:val="es-ES" w:eastAsia="es-ES"/>
              </w:rPr>
              <w:t>.</w:t>
            </w:r>
          </w:p>
          <w:p w14:paraId="1BF197E3" w14:textId="77777777" w:rsidR="00052D1B" w:rsidRPr="00654E18" w:rsidRDefault="00052D1B" w:rsidP="00090C96">
            <w:pPr>
              <w:spacing w:line="276" w:lineRule="auto"/>
              <w:jc w:val="both"/>
              <w:rPr>
                <w:rFonts w:ascii="Verdana" w:eastAsia="Calibri" w:hAnsi="Verdana" w:cs="Arial"/>
                <w:lang w:val="es-ES" w:eastAsia="es-ES"/>
              </w:rPr>
            </w:pPr>
          </w:p>
        </w:tc>
      </w:tr>
      <w:tr w:rsidR="00052D1B" w:rsidRPr="002842E0" w14:paraId="364631CB" w14:textId="77777777" w:rsidTr="00090C96">
        <w:tc>
          <w:tcPr>
            <w:tcW w:w="3119" w:type="dxa"/>
          </w:tcPr>
          <w:p w14:paraId="64E4C686" w14:textId="77777777" w:rsidR="00052D1B" w:rsidRPr="00801462" w:rsidRDefault="00052D1B" w:rsidP="00090C96">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37A0FE3D" w14:textId="77777777" w:rsidR="00052D1B" w:rsidRPr="00801462" w:rsidRDefault="00052D1B" w:rsidP="00090C96">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781F25">
              <w:rPr>
                <w:rFonts w:ascii="Verdana" w:eastAsia="Calibri" w:hAnsi="Verdana" w:cs="Arial"/>
                <w:lang w:eastAsia="es-ES_tradnl"/>
              </w:rPr>
              <w:t>1_2026_01_09_000213</w:t>
            </w:r>
            <w:r>
              <w:rPr>
                <w:rFonts w:ascii="Verdana" w:eastAsia="Calibri" w:hAnsi="Verdana" w:cs="Arial"/>
                <w:lang w:eastAsia="es-ES_tradnl"/>
              </w:rPr>
              <w:t xml:space="preserve"> </w:t>
            </w:r>
          </w:p>
        </w:tc>
      </w:tr>
    </w:tbl>
    <w:p w14:paraId="3DF10519" w14:textId="77777777" w:rsidR="00052D1B" w:rsidRDefault="00052D1B" w:rsidP="00052D1B">
      <w:pPr>
        <w:spacing w:after="0" w:line="276" w:lineRule="auto"/>
        <w:jc w:val="both"/>
        <w:rPr>
          <w:rFonts w:ascii="Verdana" w:eastAsia="Calibri" w:hAnsi="Verdana" w:cs="Arial"/>
          <w:lang w:eastAsia="es-ES_tradnl"/>
        </w:rPr>
      </w:pPr>
    </w:p>
    <w:p w14:paraId="625D6D71" w14:textId="77777777" w:rsidR="00052D1B" w:rsidRDefault="00052D1B" w:rsidP="00052D1B">
      <w:pPr>
        <w:spacing w:after="0" w:line="276" w:lineRule="auto"/>
        <w:jc w:val="both"/>
        <w:rPr>
          <w:rFonts w:ascii="Verdana" w:eastAsia="Calibri" w:hAnsi="Verdana" w:cs="Arial"/>
          <w:lang w:eastAsia="es-ES_tradnl"/>
        </w:rPr>
      </w:pPr>
    </w:p>
    <w:p w14:paraId="353C6E54" w14:textId="77777777" w:rsidR="00052D1B" w:rsidRPr="008E4F36" w:rsidRDefault="00052D1B" w:rsidP="00052D1B">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sidRPr="00094FD0">
        <w:rPr>
          <w:rFonts w:ascii="Verdana" w:eastAsia="Calibri" w:hAnsi="Verdana" w:cs="Arial"/>
          <w:bCs/>
          <w:lang w:eastAsia="es-ES_tradnl"/>
        </w:rPr>
        <w:t>Gutiérrez</w:t>
      </w:r>
      <w:r w:rsidRPr="00083AB6">
        <w:rPr>
          <w:rFonts w:ascii="Verdana" w:eastAsia="Calibri" w:hAnsi="Verdana" w:cs="Arial"/>
          <w:lang w:eastAsia="es-ES"/>
        </w:rPr>
        <w:t>:</w:t>
      </w:r>
      <w:r w:rsidRPr="008E4F36">
        <w:rPr>
          <w:rFonts w:ascii="Verdana" w:eastAsia="Calibri" w:hAnsi="Verdana" w:cs="Arial"/>
          <w:lang w:eastAsia="es-ES"/>
        </w:rPr>
        <w:t xml:space="preserve"> </w:t>
      </w:r>
    </w:p>
    <w:p w14:paraId="6A616408" w14:textId="77777777" w:rsidR="00052D1B" w:rsidRDefault="00052D1B" w:rsidP="00052D1B">
      <w:pPr>
        <w:tabs>
          <w:tab w:val="left" w:pos="3768"/>
        </w:tabs>
        <w:spacing w:after="0" w:line="240" w:lineRule="auto"/>
        <w:jc w:val="both"/>
        <w:rPr>
          <w:rFonts w:ascii="Verdana" w:eastAsia="Calibri" w:hAnsi="Verdana" w:cs="Arial"/>
          <w:lang w:eastAsia="es-ES"/>
        </w:rPr>
      </w:pPr>
    </w:p>
    <w:p w14:paraId="354766BE" w14:textId="77777777" w:rsidR="00052D1B" w:rsidRPr="008E4F36" w:rsidRDefault="00052D1B" w:rsidP="00052D1B">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9</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0F3D46B7" w14:textId="77777777" w:rsidR="00052D1B" w:rsidRPr="008E4F36" w:rsidRDefault="00052D1B" w:rsidP="00052D1B">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3CCE9D18" w14:textId="77777777" w:rsidR="00052D1B" w:rsidRPr="00617A31" w:rsidRDefault="00052D1B" w:rsidP="00052D1B">
      <w:pPr>
        <w:spacing w:after="0"/>
        <w:ind w:left="709"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t>“</w:t>
      </w:r>
      <w:bookmarkEnd w:id="2"/>
      <w:bookmarkEnd w:id="3"/>
      <w:r w:rsidRPr="00FF7C03">
        <w:rPr>
          <w:rFonts w:ascii="Verdana" w:eastAsia="Century Gothic" w:hAnsi="Verdana" w:cs="Century Gothic"/>
          <w:sz w:val="20"/>
          <w:szCs w:val="20"/>
        </w:rPr>
        <w:t>1</w:t>
      </w:r>
      <w:r w:rsidRPr="00204D2A">
        <w:t xml:space="preserve"> </w:t>
      </w:r>
      <w:r w:rsidRPr="00204D2A">
        <w:rPr>
          <w:rFonts w:ascii="Verdana" w:eastAsia="Century Gothic" w:hAnsi="Verdana" w:cs="Century Gothic"/>
          <w:sz w:val="20"/>
          <w:szCs w:val="20"/>
        </w:rPr>
        <w:t xml:space="preserve">en atencion a la suspencion de algunos articulos del decreto 092 de 2017, pueden realizar procesos competitivos, deben ser unicamente para la poblacion que se estipulo en el decreto o se puede realizar para </w:t>
      </w:r>
      <w:r w:rsidRPr="00204D2A">
        <w:rPr>
          <w:rFonts w:ascii="Verdana" w:eastAsia="Century Gothic" w:hAnsi="Verdana" w:cs="Century Gothic"/>
          <w:sz w:val="20"/>
          <w:szCs w:val="20"/>
        </w:rPr>
        <w:lastRenderedPageBreak/>
        <w:t>proyectos agricolas, empredemiento empresarial, agropecuarios, deportivos y demas despues que se ecuentre en lo paramtros descitos en el plan de desarrollo:</w:t>
      </w:r>
      <w:r>
        <w:rPr>
          <w:rFonts w:ascii="Verdana" w:eastAsia="Century Gothic" w:hAnsi="Verdana" w:cs="Century Gothic"/>
          <w:sz w:val="20"/>
          <w:szCs w:val="20"/>
        </w:rPr>
        <w:t>”(SIC)</w:t>
      </w:r>
    </w:p>
    <w:p w14:paraId="5D6D678D" w14:textId="77777777" w:rsidR="00052D1B" w:rsidRPr="008E4F36" w:rsidRDefault="00052D1B" w:rsidP="00052D1B">
      <w:pPr>
        <w:spacing w:after="0" w:line="240" w:lineRule="auto"/>
        <w:ind w:left="709" w:right="709"/>
        <w:jc w:val="both"/>
        <w:rPr>
          <w:rFonts w:ascii="Verdana" w:hAnsi="Verdana"/>
          <w:sz w:val="20"/>
          <w:szCs w:val="20"/>
        </w:rPr>
      </w:pPr>
    </w:p>
    <w:p w14:paraId="492A7127" w14:textId="77777777" w:rsidR="00052D1B" w:rsidRDefault="00052D1B" w:rsidP="00052D1B">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C43B257" w14:textId="77777777" w:rsidR="00052D1B" w:rsidRPr="00054383" w:rsidRDefault="00052D1B" w:rsidP="00052D1B">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4C1DB741" w14:textId="77777777" w:rsidR="00052D1B" w:rsidRPr="008E4F36" w:rsidRDefault="00052D1B" w:rsidP="00052D1B">
      <w:pPr>
        <w:spacing w:after="0"/>
        <w:ind w:firstLine="709"/>
        <w:jc w:val="both"/>
        <w:rPr>
          <w:rFonts w:ascii="Verdana" w:eastAsia="Calibri" w:hAnsi="Verdana" w:cs="Arial"/>
          <w:color w:val="000000"/>
          <w:lang w:eastAsia="es-ES"/>
        </w:rPr>
      </w:pPr>
    </w:p>
    <w:p w14:paraId="2B0C1800" w14:textId="77777777" w:rsidR="00052D1B" w:rsidRDefault="00052D1B" w:rsidP="00052D1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A01743F" w14:textId="77777777" w:rsidR="00052D1B" w:rsidRDefault="00052D1B" w:rsidP="00052D1B">
      <w:pPr>
        <w:spacing w:after="0" w:line="276" w:lineRule="auto"/>
        <w:jc w:val="both"/>
        <w:rPr>
          <w:rFonts w:ascii="Verdana" w:eastAsia="Calibri" w:hAnsi="Verdana" w:cs="Arial"/>
          <w:color w:val="000000"/>
          <w:highlight w:val="yellow"/>
          <w:lang w:eastAsia="es-ES"/>
        </w:rPr>
      </w:pPr>
    </w:p>
    <w:p w14:paraId="74D549DC" w14:textId="77777777" w:rsidR="00052D1B" w:rsidRPr="005A3B40" w:rsidRDefault="00052D1B" w:rsidP="00052D1B">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3B43E4">
        <w:rPr>
          <w:rFonts w:ascii="Verdana" w:eastAsia="Calibri" w:hAnsi="Verdana" w:cs="Arial"/>
          <w:color w:val="000000"/>
          <w:lang w:eastAsia="es-ES"/>
        </w:rPr>
        <w:t xml:space="preserve">¿Con ocasión de la suspensión de algunos artículos del Decreto 092 de 2017, los procesos competitivos deben limitarse a la población allí prevista o pueden extenderse a otros proyectos contemplados en el Plan </w:t>
      </w:r>
      <w:r>
        <w:rPr>
          <w:rFonts w:ascii="Verdana" w:eastAsia="Calibri" w:hAnsi="Verdana" w:cs="Arial"/>
          <w:color w:val="000000"/>
          <w:lang w:eastAsia="es-ES"/>
        </w:rPr>
        <w:t xml:space="preserve">Nacional </w:t>
      </w:r>
      <w:r w:rsidRPr="003B43E4">
        <w:rPr>
          <w:rFonts w:ascii="Verdana" w:eastAsia="Calibri" w:hAnsi="Verdana" w:cs="Arial"/>
          <w:color w:val="000000"/>
          <w:lang w:eastAsia="es-ES"/>
        </w:rPr>
        <w:t>de Desarrollo?</w:t>
      </w:r>
      <w:r>
        <w:rPr>
          <w:rFonts w:ascii="Verdana" w:eastAsia="Calibri" w:hAnsi="Verdana" w:cs="Arial"/>
          <w:color w:val="000000"/>
          <w:lang w:eastAsia="es-ES"/>
        </w:rPr>
        <w:t xml:space="preserve"> </w:t>
      </w:r>
    </w:p>
    <w:p w14:paraId="357F66DF" w14:textId="77777777" w:rsidR="00052D1B" w:rsidRPr="00BF422F" w:rsidRDefault="00052D1B" w:rsidP="00052D1B">
      <w:pPr>
        <w:spacing w:after="0" w:line="276" w:lineRule="auto"/>
        <w:jc w:val="both"/>
        <w:rPr>
          <w:rFonts w:ascii="Verdana" w:eastAsia="Calibri" w:hAnsi="Verdana" w:cs="Times New Roman"/>
          <w:i/>
          <w:iCs/>
          <w:lang w:val="es-ES"/>
        </w:rPr>
      </w:pPr>
    </w:p>
    <w:p w14:paraId="739A4CDB" w14:textId="77777777" w:rsidR="00052D1B" w:rsidRPr="008E4F36" w:rsidRDefault="00052D1B" w:rsidP="00052D1B">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01835138" w14:textId="77777777" w:rsidR="00052D1B" w:rsidRPr="008E4F36" w:rsidRDefault="00052D1B" w:rsidP="00052D1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8828"/>
      </w:tblGrid>
      <w:tr w:rsidR="00052D1B" w:rsidRPr="008E4F36" w14:paraId="1B313A71" w14:textId="77777777" w:rsidTr="00090C96">
        <w:tc>
          <w:tcPr>
            <w:tcW w:w="8828" w:type="dxa"/>
          </w:tcPr>
          <w:p w14:paraId="25CF74F0" w14:textId="77777777" w:rsidR="00052D1B" w:rsidRPr="00DB4737" w:rsidRDefault="00052D1B" w:rsidP="00090C96">
            <w:pPr>
              <w:spacing w:after="120" w:line="276" w:lineRule="auto"/>
              <w:jc w:val="both"/>
              <w:rPr>
                <w:rFonts w:ascii="Verdana" w:eastAsia="Aptos" w:hAnsi="Verdana" w:cs="Times New Roman"/>
              </w:rPr>
            </w:pPr>
            <w:r>
              <w:rPr>
                <w:rFonts w:ascii="Verdana" w:hAnsi="Verdana" w:cs="Arial"/>
                <w:lang w:eastAsia="es-ES"/>
              </w:rPr>
              <w:t>En respuesta al tema objeto de consulta debe señalarse que, e</w:t>
            </w:r>
            <w:r w:rsidRPr="00DB4737">
              <w:rPr>
                <w:rFonts w:ascii="Verdana" w:eastAsia="Aptos" w:hAnsi="Verdana" w:cs="Times New Roman"/>
              </w:rPr>
              <w:t xml:space="preserve">l Decreto 092 de 2017, </w:t>
            </w:r>
            <w:r w:rsidRPr="00A27A5B">
              <w:rPr>
                <w:rFonts w:ascii="Verdana" w:hAnsi="Verdana" w:cs="Arial"/>
                <w:lang w:eastAsia="es-ES"/>
              </w:rPr>
              <w:t>reglamentario del artículo 355 de la Constitución Política de Colombia</w:t>
            </w:r>
            <w:r>
              <w:rPr>
                <w:rFonts w:ascii="Verdana" w:hAnsi="Verdana" w:cs="Arial"/>
                <w:lang w:eastAsia="es-ES"/>
              </w:rPr>
              <w:t xml:space="preserve"> y del artículo 96 de la Ley 489 de 1998,</w:t>
            </w:r>
            <w:r w:rsidRPr="00DB4737">
              <w:rPr>
                <w:rFonts w:ascii="Verdana" w:eastAsia="Aptos" w:hAnsi="Verdana" w:cs="Times New Roman"/>
              </w:rPr>
              <w:t xml:space="preserve"> resulta aplicable a las contrataciones </w:t>
            </w:r>
            <w:r w:rsidRPr="00DB4737">
              <w:rPr>
                <w:rFonts w:ascii="Verdana" w:eastAsia="Aptos" w:hAnsi="Verdana" w:cs="Times New Roman"/>
              </w:rPr>
              <w:lastRenderedPageBreak/>
              <w:t>que las Entidades Estatales realicen con las Entidades Privadas Sin Ánimo de Lucro y de Reconocida Idoneidad. Dicho decreto regula, particularmente, dos (2) tipos de contrataciones: i) los contratos de colaboración o de interés público, con el fin impulsar programas y actividades de interés público de acuerdo con el Plan Nacional o los planes seccionales de desarrollo, en los términos del artículo 355 de la Constitución Política y; ii) los convenios de asociación, para el desarrollo conjunto de actividades relacionadas con las funciones de las Entidades Estatales, en desarrollo del artículo 96 de la Ley 489 de 1998. Los primeros están regulados en el artículo 2 del Decreto 092 de 2017, mientras que los segundos en los artículos 5, 6, 7 y 8 ibidem. Es posible diferenciar, pues, los convenios de asociación, regulados en el artículo 5, de los contratos de colaboración, establecidos en el artículo 2 del Decreto 092 de 2017.</w:t>
            </w:r>
          </w:p>
          <w:p w14:paraId="22C5D962" w14:textId="77777777" w:rsidR="00052D1B" w:rsidRPr="00B70775" w:rsidRDefault="00052D1B" w:rsidP="00090C96">
            <w:pPr>
              <w:spacing w:after="120" w:line="276" w:lineRule="auto"/>
              <w:ind w:firstLine="709"/>
              <w:jc w:val="both"/>
              <w:rPr>
                <w:rFonts w:ascii="Verdana" w:hAnsi="Verdana" w:cs="Arial"/>
                <w:color w:val="000000" w:themeColor="text1"/>
              </w:rPr>
            </w:pPr>
            <w:r w:rsidRPr="00A27A5B">
              <w:rPr>
                <w:rFonts w:ascii="Verdana" w:hAnsi="Verdana" w:cs="Arial"/>
                <w:lang w:eastAsia="es-ES"/>
              </w:rPr>
              <w:t>Originalmente, el artículo 2 literal a) de dicho decreto delimitaba las actividades susceptibles de contratación bajo este esquema</w:t>
            </w:r>
            <w:r>
              <w:rPr>
                <w:rFonts w:ascii="Verdana" w:hAnsi="Verdana" w:cs="Arial"/>
                <w:lang w:eastAsia="es-ES"/>
              </w:rPr>
              <w:t xml:space="preserve">, exigiemd además que el proyecto vaya dirigido exclusivamente a promover </w:t>
            </w:r>
            <w:r w:rsidRPr="0066429D">
              <w:rPr>
                <w:rFonts w:ascii="Verdana" w:hAnsi="Verdana" w:cs="Arial"/>
                <w:i/>
                <w:iCs/>
                <w:lang w:eastAsia="es-ES"/>
              </w:rPr>
              <w:t>“los derechos de personas en situación de debilidad manifiesta o indefensión, los derechos de las minorías, el derecho a la educación, el derecho a la paz, las manifestaciones artísticas, culturales, deportivas y de promoción de la diversidad étnica colombiana”</w:t>
            </w:r>
            <w:r>
              <w:rPr>
                <w:rFonts w:ascii="Verdana" w:hAnsi="Verdana" w:cs="Arial"/>
                <w:i/>
                <w:iCs/>
                <w:lang w:eastAsia="es-ES"/>
              </w:rPr>
              <w:t xml:space="preserve">. </w:t>
            </w:r>
            <w:r>
              <w:rPr>
                <w:rFonts w:ascii="Verdana" w:hAnsi="Verdana" w:cs="Arial"/>
                <w:lang w:eastAsia="es-ES"/>
              </w:rPr>
              <w:t>No obstante, tras la suspensión provisional de decretada respecto de dicha disposición por la Sección Tercera del Consejo de Estado mediante a</w:t>
            </w:r>
            <w:r w:rsidRPr="00DB4737">
              <w:rPr>
                <w:rFonts w:ascii="Verdana" w:eastAsia="Calibri" w:hAnsi="Verdana" w:cs="Arial"/>
              </w:rPr>
              <w:t>uto del 6 de agosto de 2019</w:t>
            </w:r>
            <w:r>
              <w:rPr>
                <w:rFonts w:ascii="Verdana" w:eastAsia="Calibri" w:hAnsi="Verdana" w:cs="Arial"/>
              </w:rPr>
              <w:t xml:space="preserve">, confirmada por la Sala Plena de dicha corporación mediante el auto 15 de marzo de 2022, </w:t>
            </w:r>
            <w:r>
              <w:rPr>
                <w:rFonts w:ascii="Verdana" w:hAnsi="Verdana" w:cs="Arial"/>
                <w:lang w:eastAsia="es-ES"/>
              </w:rPr>
              <w:t>no existe limitación normativa que impida</w:t>
            </w:r>
            <w:r w:rsidRPr="009B72F6">
              <w:rPr>
                <w:rFonts w:ascii="Verdana" w:hAnsi="Verdana" w:cs="Arial"/>
                <w:lang w:eastAsia="es-ES"/>
              </w:rPr>
              <w:t xml:space="preserve"> </w:t>
            </w:r>
            <w:r>
              <w:rPr>
                <w:rFonts w:ascii="Verdana" w:hAnsi="Verdana" w:cs="Arial"/>
                <w:lang w:eastAsia="es-ES"/>
              </w:rPr>
              <w:t>desarrollar</w:t>
            </w:r>
            <w:r w:rsidRPr="009B72F6">
              <w:rPr>
                <w:rFonts w:ascii="Verdana" w:hAnsi="Verdana" w:cs="Arial"/>
                <w:lang w:eastAsia="es-ES"/>
              </w:rPr>
              <w:t xml:space="preserve"> </w:t>
            </w:r>
            <w:r>
              <w:rPr>
                <w:rFonts w:ascii="Verdana" w:hAnsi="Verdana" w:cs="Arial"/>
                <w:lang w:eastAsia="es-ES"/>
              </w:rPr>
              <w:t xml:space="preserve">procesos </w:t>
            </w:r>
            <w:r w:rsidRPr="009B72F6">
              <w:rPr>
                <w:rFonts w:ascii="Verdana" w:hAnsi="Verdana" w:cs="Arial"/>
                <w:lang w:eastAsia="es-ES"/>
              </w:rPr>
              <w:t>competitivos</w:t>
            </w:r>
            <w:r>
              <w:rPr>
                <w:rFonts w:ascii="Verdana" w:hAnsi="Verdana" w:cs="Arial"/>
                <w:lang w:eastAsia="es-ES"/>
              </w:rPr>
              <w:t>,</w:t>
            </w:r>
            <w:r w:rsidRPr="009B72F6">
              <w:rPr>
                <w:rFonts w:ascii="Verdana" w:hAnsi="Verdana" w:cs="Arial"/>
                <w:lang w:eastAsia="es-ES"/>
              </w:rPr>
              <w:t xml:space="preserve"> </w:t>
            </w:r>
            <w:r>
              <w:rPr>
                <w:rFonts w:ascii="Verdana" w:hAnsi="Verdana" w:cs="Arial"/>
                <w:lang w:eastAsia="es-ES"/>
              </w:rPr>
              <w:t>de acuerdo con los artículos 4 y 5</w:t>
            </w:r>
            <w:r w:rsidRPr="009B72F6">
              <w:rPr>
                <w:rFonts w:ascii="Verdana" w:hAnsi="Verdana" w:cs="Arial"/>
                <w:lang w:eastAsia="es-ES"/>
              </w:rPr>
              <w:t xml:space="preserve"> </w:t>
            </w:r>
            <w:r>
              <w:rPr>
                <w:rFonts w:ascii="Verdana" w:hAnsi="Verdana" w:cs="Arial"/>
                <w:lang w:eastAsia="es-ES"/>
              </w:rPr>
              <w:t>de</w:t>
            </w:r>
            <w:r w:rsidRPr="009B72F6">
              <w:rPr>
                <w:rFonts w:ascii="Verdana" w:hAnsi="Verdana" w:cs="Arial"/>
                <w:lang w:eastAsia="es-ES"/>
              </w:rPr>
              <w:t>l Decreto 092 de 2017</w:t>
            </w:r>
            <w:r>
              <w:rPr>
                <w:rFonts w:ascii="Verdana" w:hAnsi="Verdana" w:cs="Arial"/>
                <w:lang w:eastAsia="es-ES"/>
              </w:rPr>
              <w:t xml:space="preserve">, para contratar proyectos dirigidos a beneficiar a población distinta de la referida en la norma suspendida, siempre que estén acodes con los instrumentos de política pública respectivos.    </w:t>
            </w:r>
          </w:p>
        </w:tc>
      </w:tr>
    </w:tbl>
    <w:p w14:paraId="4A9BB4DD" w14:textId="77777777" w:rsidR="00052D1B" w:rsidRDefault="00052D1B" w:rsidP="00052D1B">
      <w:pPr>
        <w:tabs>
          <w:tab w:val="left" w:pos="142"/>
          <w:tab w:val="left" w:pos="284"/>
        </w:tabs>
        <w:spacing w:after="0" w:line="276" w:lineRule="auto"/>
        <w:jc w:val="both"/>
        <w:rPr>
          <w:rFonts w:ascii="Verdana" w:eastAsia="Century Gothic" w:hAnsi="Verdana" w:cs="Century Gothic"/>
          <w:b/>
          <w:bCs/>
        </w:rPr>
      </w:pPr>
    </w:p>
    <w:p w14:paraId="52766022" w14:textId="77777777" w:rsidR="00052D1B" w:rsidRPr="008E4F36" w:rsidRDefault="00052D1B" w:rsidP="00052D1B">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252D26B" w14:textId="77777777" w:rsidR="00052D1B" w:rsidRDefault="00052D1B" w:rsidP="00052D1B">
      <w:pPr>
        <w:pStyle w:val="Prrafodelista"/>
        <w:tabs>
          <w:tab w:val="left" w:pos="142"/>
          <w:tab w:val="left" w:pos="284"/>
        </w:tabs>
        <w:spacing w:after="0" w:line="276" w:lineRule="auto"/>
        <w:ind w:left="0"/>
        <w:contextualSpacing w:val="0"/>
        <w:jc w:val="both"/>
        <w:rPr>
          <w:rFonts w:ascii="Verdana" w:eastAsia="Calibri" w:hAnsi="Verdana" w:cs="Arial"/>
        </w:rPr>
      </w:pPr>
    </w:p>
    <w:p w14:paraId="5E5F1315" w14:textId="77777777" w:rsidR="00052D1B" w:rsidRDefault="00052D1B" w:rsidP="00052D1B">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006C0006" w14:textId="77777777" w:rsidR="00052D1B" w:rsidRDefault="00052D1B" w:rsidP="00052D1B">
      <w:pPr>
        <w:spacing w:after="0" w:line="276" w:lineRule="auto"/>
        <w:contextualSpacing/>
        <w:jc w:val="both"/>
        <w:rPr>
          <w:rFonts w:ascii="Verdana" w:eastAsia="Calibri" w:hAnsi="Verdana" w:cs="Times New Roman"/>
          <w:lang w:val="es-ES"/>
        </w:rPr>
      </w:pPr>
      <w:bookmarkStart w:id="4" w:name="_Hlk204856061"/>
      <w:bookmarkStart w:id="5" w:name="_Hlk78820161"/>
      <w:bookmarkStart w:id="6" w:name="_Hlk204854194"/>
    </w:p>
    <w:p w14:paraId="4A498F2A" w14:textId="77777777" w:rsidR="00052D1B" w:rsidRPr="0066429D" w:rsidRDefault="00052D1B" w:rsidP="00052D1B">
      <w:pPr>
        <w:spacing w:after="120" w:line="276" w:lineRule="auto"/>
        <w:jc w:val="both"/>
        <w:rPr>
          <w:rFonts w:ascii="Verdana" w:eastAsia="Calibri" w:hAnsi="Verdana" w:cs="Times New Roman"/>
        </w:rPr>
      </w:pPr>
      <w:r w:rsidRPr="0066429D">
        <w:rPr>
          <w:rFonts w:ascii="Verdana" w:eastAsia="Calibri" w:hAnsi="Verdana" w:cs="Times New Roman"/>
          <w:lang w:val="es-ES"/>
        </w:rPr>
        <w:t>i.</w:t>
      </w:r>
      <w:r>
        <w:rPr>
          <w:rFonts w:ascii="Verdana" w:eastAsia="Calibri" w:hAnsi="Verdana" w:cs="Times New Roman"/>
        </w:rPr>
        <w:t xml:space="preserve"> </w:t>
      </w:r>
      <w:r w:rsidRPr="0066429D">
        <w:rPr>
          <w:rFonts w:ascii="Verdana" w:eastAsia="Calibri" w:hAnsi="Verdana" w:cs="Times New Roman"/>
        </w:rPr>
        <w:t xml:space="preserve">El artículo 355 de la Constitución Política prohíbe a las ramas y órganos del poder público decretar auxilios o donaciones en favor de personas naturales o </w:t>
      </w:r>
      <w:r w:rsidRPr="0066429D">
        <w:rPr>
          <w:rFonts w:ascii="Verdana" w:eastAsia="Calibri" w:hAnsi="Verdana" w:cs="Times New Roman"/>
        </w:rPr>
        <w:lastRenderedPageBreak/>
        <w:t>jurídicas. Igualmente, establece que las entidades del orden nacional, departamental, distrital y municipal podrán, con sus propios recursos, contratar con Entidades Privadas Sin Ánimo de Lucro y de reconocida idoneidad, en adelante ESAL, con el fin de impulsar programas y actividades de interés público acordes con el plan nacional y los planes seccionales de desarrollo</w:t>
      </w:r>
      <w:r w:rsidRPr="00DB4737">
        <w:rPr>
          <w:rFonts w:ascii="Aptos" w:eastAsia="Aptos" w:hAnsi="Aptos"/>
          <w:vertAlign w:val="superscript"/>
        </w:rPr>
        <w:footnoteReference w:id="1"/>
      </w:r>
      <w:r w:rsidRPr="0066429D">
        <w:rPr>
          <w:rFonts w:ascii="Verdana" w:eastAsia="Calibri" w:hAnsi="Verdana" w:cs="Times New Roman"/>
        </w:rPr>
        <w:t xml:space="preserve">. </w:t>
      </w:r>
      <w:bookmarkStart w:id="7" w:name="_Hlk164688501"/>
      <w:r w:rsidRPr="0066429D">
        <w:rPr>
          <w:rFonts w:ascii="Verdana" w:eastAsia="Calibri" w:hAnsi="Verdana" w:cs="Times New Roman"/>
        </w:rPr>
        <w:t>Por otra parte, el artículo 96 de la Ley 489 de 1998</w:t>
      </w:r>
      <w:r w:rsidRPr="00DB4737">
        <w:rPr>
          <w:rFonts w:ascii="Aptos" w:eastAsia="Aptos" w:hAnsi="Aptos"/>
          <w:vertAlign w:val="superscript"/>
        </w:rPr>
        <w:footnoteReference w:id="2"/>
      </w:r>
      <w:r w:rsidRPr="0066429D">
        <w:rPr>
          <w:rFonts w:ascii="Verdana" w:eastAsia="Calibri" w:hAnsi="Verdana" w:cs="Times New Roman"/>
        </w:rPr>
        <w:t xml:space="preserve">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7"/>
      <w:r w:rsidRPr="0066429D">
        <w:rPr>
          <w:rFonts w:ascii="Verdana" w:eastAsia="Calibri" w:hAnsi="Verdana" w:cs="Times New Roman"/>
        </w:rPr>
        <w:t>.</w:t>
      </w:r>
    </w:p>
    <w:p w14:paraId="030625D0" w14:textId="77777777" w:rsidR="00052D1B" w:rsidRPr="00DB4737" w:rsidRDefault="00052D1B" w:rsidP="00052D1B">
      <w:pPr>
        <w:spacing w:after="120" w:line="276" w:lineRule="auto"/>
        <w:ind w:firstLine="708"/>
        <w:jc w:val="both"/>
        <w:rPr>
          <w:rFonts w:ascii="Verdana" w:eastAsia="Calibri" w:hAnsi="Verdana" w:cs="Times New Roman"/>
          <w:lang w:val="es-ES"/>
        </w:rPr>
      </w:pPr>
      <w:bookmarkStart w:id="8" w:name="_Hlk171946092"/>
      <w:r w:rsidRPr="00DB4737">
        <w:rPr>
          <w:rFonts w:ascii="Verdana" w:eastAsia="Calibri" w:hAnsi="Verdana" w:cs="Times New Roman"/>
          <w:lang w:val="es-ES"/>
        </w:rPr>
        <w:t xml:space="preserve">El Gobierno Nacional, en desarrollo del artículo 355 de la Constitución Política, expidió el Decreto 092 de 2017, que dispone las reglas para las contrataciones que realicen las Entidades Estatales con las ESAL. El Decreto regula dos (2) eventos: i) los contratos de colaboración o de interés público, con el fin impulsar programas y actividades de interés público de acuerdo con el Plan Nacional o los planes seccionales de desarrollo, en los términos del artículo 355 de la Constitución Política y; ii) los convenios de asociación, para el desarrollo conjunto de actividades relacionadas con las funciones de las Entidades Estatales, en desarrollo del artículo 96 de la Ley 489 de 1998. Los primeros están regulados en el artículo 2 del Decreto 092 de 2017, mientras que los segundos en los artículos 5, 6, 7 y 8 ibidem. </w:t>
      </w:r>
      <w:bookmarkEnd w:id="8"/>
      <w:r w:rsidRPr="00DB4737">
        <w:rPr>
          <w:rFonts w:ascii="Verdana" w:eastAsia="Calibri" w:hAnsi="Verdana" w:cs="Times New Roman"/>
          <w:lang w:val="es-ES"/>
        </w:rPr>
        <w:t>Es posible diferenciar, pues, los convenios de asociación, regulados en el artículo 5, de los contratos de colaboración, establecidos en el artículo 2 del Decreto 092 de 2017</w:t>
      </w:r>
      <w:r w:rsidRPr="00DB4737">
        <w:rPr>
          <w:rFonts w:ascii="Aptos" w:eastAsia="Aptos" w:hAnsi="Aptos" w:cs="Times New Roman"/>
          <w:vertAlign w:val="superscript"/>
          <w:lang w:val="es-ES"/>
        </w:rPr>
        <w:footnoteReference w:id="3"/>
      </w:r>
      <w:r w:rsidRPr="00DB4737">
        <w:rPr>
          <w:rFonts w:ascii="Verdana" w:eastAsia="Calibri" w:hAnsi="Verdana" w:cs="Times New Roman"/>
          <w:lang w:val="es-ES"/>
        </w:rPr>
        <w:t>.</w:t>
      </w:r>
    </w:p>
    <w:p w14:paraId="1DE55C8E" w14:textId="77777777" w:rsidR="00052D1B" w:rsidRPr="00DB4737" w:rsidRDefault="00052D1B" w:rsidP="00052D1B">
      <w:pPr>
        <w:spacing w:after="120" w:line="276" w:lineRule="auto"/>
        <w:ind w:firstLine="708"/>
        <w:jc w:val="both"/>
        <w:rPr>
          <w:rFonts w:ascii="Verdana" w:eastAsia="Calibri" w:hAnsi="Verdana" w:cs="Times New Roman"/>
          <w:lang w:val="es-ES"/>
        </w:rPr>
      </w:pPr>
      <w:bookmarkStart w:id="9" w:name="_Hlk171946110"/>
      <w:r w:rsidRPr="00DB4737">
        <w:rPr>
          <w:rFonts w:ascii="Verdana" w:eastAsia="Calibri" w:hAnsi="Verdana" w:cs="Times New Roman"/>
          <w:lang w:val="es-ES"/>
        </w:rPr>
        <w:lastRenderedPageBreak/>
        <w:t xml:space="preserve">De un lado, 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031C6BB7" w14:textId="77777777" w:rsidR="00052D1B" w:rsidRPr="00DB4737" w:rsidRDefault="00052D1B" w:rsidP="00052D1B">
      <w:pPr>
        <w:spacing w:after="120" w:line="276" w:lineRule="auto"/>
        <w:ind w:firstLine="708"/>
        <w:jc w:val="both"/>
        <w:rPr>
          <w:rFonts w:ascii="Verdana" w:eastAsia="Calibri" w:hAnsi="Verdana" w:cs="Times New Roman"/>
          <w:lang w:val="es-ES"/>
        </w:rPr>
      </w:pPr>
      <w:bookmarkStart w:id="10" w:name="_Hlk171946189"/>
      <w:bookmarkEnd w:id="9"/>
      <w:r w:rsidRPr="00DB4737">
        <w:rPr>
          <w:rFonts w:ascii="Verdana" w:eastAsia="Calibri" w:hAnsi="Verdana" w:cs="Times New Roman"/>
          <w:lang w:val="es-ES"/>
        </w:rPr>
        <w:t>Por otra parte, los convenios de asociación “[…]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DB4737">
        <w:rPr>
          <w:rFonts w:ascii="Aptos" w:eastAsia="Aptos" w:hAnsi="Aptos" w:cs="Times New Roman"/>
          <w:lang w:val="es-ES"/>
        </w:rPr>
        <w:footnoteReference w:id="4"/>
      </w:r>
      <w:r w:rsidRPr="00DB4737">
        <w:rPr>
          <w:rFonts w:ascii="Verdana" w:eastAsia="Calibri" w:hAnsi="Verdana" w:cs="Times New Roman"/>
          <w:lang w:val="es-ES"/>
        </w:rPr>
        <w:t xml:space="preserve">. </w:t>
      </w:r>
      <w:bookmarkEnd w:id="10"/>
      <w:r w:rsidRPr="00DB4737">
        <w:rPr>
          <w:rFonts w:ascii="Verdana" w:eastAsia="Calibri" w:hAnsi="Verdana" w:cs="Times New Roman"/>
          <w:lang w:val="es-ES"/>
        </w:rPr>
        <w:t xml:space="preserve">De conformidad con el inciso segundo del </w:t>
      </w:r>
      <w:bookmarkStart w:id="11" w:name="_Hlk171946223"/>
      <w:r w:rsidRPr="00DB4737">
        <w:rPr>
          <w:rFonts w:ascii="Verdana" w:eastAsia="Calibri" w:hAnsi="Verdana" w:cs="Times New Roman"/>
          <w:lang w:val="es-ES"/>
        </w:rPr>
        <w:t>artículo 96 de la Ley 489 de 1998</w:t>
      </w:r>
      <w:bookmarkEnd w:id="11"/>
      <w:r w:rsidRPr="00DB4737">
        <w:rPr>
          <w:rFonts w:ascii="Verdana" w:eastAsia="Calibri" w:hAnsi="Verdana" w:cs="Times New Roman"/>
          <w:lang w:val="es-ES"/>
        </w:rPr>
        <w:t xml:space="preserve">, en estos convenios debe determinarse “con precisión su objeto, término, obligaciones de las partes, aportes, coordinación y todos aquellos aspectos que se consideren pertinentes”. En estos convenios no existe contraprestación o pago, sino aportes, los cuales están dirigidos, exclusivamente, a lograr la ejecución del convenio no a remunerar la actividad o actuaciones del asociado. </w:t>
      </w:r>
    </w:p>
    <w:p w14:paraId="745CF177" w14:textId="77777777" w:rsidR="00052D1B" w:rsidRPr="00DB4737" w:rsidRDefault="00052D1B" w:rsidP="00052D1B">
      <w:pPr>
        <w:spacing w:after="120" w:line="276" w:lineRule="auto"/>
        <w:ind w:firstLine="708"/>
        <w:jc w:val="both"/>
        <w:rPr>
          <w:rFonts w:ascii="Verdana" w:eastAsia="Calibri" w:hAnsi="Verdana" w:cs="Arial"/>
          <w:lang w:val="es-ES"/>
        </w:rPr>
      </w:pPr>
      <w:r w:rsidRPr="00DB4737">
        <w:rPr>
          <w:rFonts w:ascii="Verdana" w:eastAsia="Calibri" w:hAnsi="Verdana" w:cs="Times New Roman"/>
          <w:lang w:val="es-ES"/>
        </w:rPr>
        <w:t xml:space="preserve">En ese sentido, debe destacarse que </w:t>
      </w:r>
      <w:r w:rsidRPr="00DB4737">
        <w:rPr>
          <w:rFonts w:ascii="Verdana" w:eastAsia="Calibri" w:hAnsi="Verdana" w:cs="Arial"/>
          <w:lang w:val="es-ES"/>
        </w:rPr>
        <w:t>una característica esencial de los convenios a los que se refiere el inciso segundo del artículo 355 Constitucional –contratos de colaboración– es que su objeto esté determinado por la realización de programas y actividades de interés público acordes con el Plan Nacional de Desarrollo y los planes seccionales de desarrollo</w:t>
      </w:r>
      <w:r w:rsidRPr="00DB4737">
        <w:rPr>
          <w:rFonts w:ascii="Verdana" w:eastAsia="Calibri" w:hAnsi="Verdana" w:cs="Arial"/>
          <w:vertAlign w:val="superscript"/>
          <w:lang w:val="es-ES"/>
        </w:rPr>
        <w:footnoteReference w:id="5"/>
      </w:r>
      <w:r w:rsidRPr="00DB4737">
        <w:rPr>
          <w:rFonts w:ascii="Verdana" w:eastAsia="Calibri" w:hAnsi="Verdana" w:cs="Arial"/>
          <w:lang w:val="es-ES"/>
        </w:rPr>
        <w:t xml:space="preserve">, los cuales se encuentran regulados en los artículos 339 a 344 de la Constitución Política. Sobre este aspecto, la Corte Constitucional ha indicado que el objeto de estos convenios es el "desarrollo de actividades esencialmente benéficas, no como instrumento económico, sino con un propósito meramente asistencial y altruista, en el que, </w:t>
      </w:r>
      <w:r w:rsidRPr="00DB4737">
        <w:rPr>
          <w:rFonts w:ascii="Verdana" w:eastAsia="Calibri" w:hAnsi="Verdana" w:cs="Arial"/>
          <w:lang w:val="es-ES"/>
        </w:rPr>
        <w:lastRenderedPageBreak/>
        <w:t>a diferencia del pasado, no se privilegia la arbitrariedad y unilateralidad del gasto público, sino que se exige un grado aceptable de reciprocidad por parte del beneficiario de la ayuda"</w:t>
      </w:r>
      <w:r w:rsidRPr="00DB4737">
        <w:rPr>
          <w:rFonts w:ascii="Verdana" w:eastAsia="Calibri" w:hAnsi="Verdana" w:cs="Arial"/>
          <w:vertAlign w:val="superscript"/>
          <w:lang w:val="es-ES"/>
        </w:rPr>
        <w:footnoteReference w:id="6"/>
      </w:r>
      <w:r w:rsidRPr="00DB4737">
        <w:rPr>
          <w:rFonts w:ascii="Verdana" w:eastAsia="Calibri" w:hAnsi="Verdana" w:cs="Arial"/>
          <w:lang w:val="es-ES"/>
        </w:rPr>
        <w:t>.</w:t>
      </w:r>
    </w:p>
    <w:p w14:paraId="2CA865F5" w14:textId="77777777" w:rsidR="00052D1B" w:rsidRPr="0066429D" w:rsidRDefault="00052D1B" w:rsidP="00052D1B">
      <w:pPr>
        <w:spacing w:line="276" w:lineRule="auto"/>
        <w:jc w:val="both"/>
        <w:rPr>
          <w:rFonts w:ascii="Verdana" w:eastAsia="Calibri" w:hAnsi="Verdana" w:cs="Arial"/>
          <w:color w:val="000000"/>
          <w:szCs w:val="24"/>
          <w:lang w:eastAsia="es-ES_tradnl"/>
        </w:rPr>
      </w:pPr>
      <w:r w:rsidRPr="002F3C7D">
        <w:rPr>
          <w:rFonts w:ascii="Verdana" w:eastAsia="Calibri" w:hAnsi="Verdana" w:cs="Arial"/>
        </w:rPr>
        <w:t xml:space="preserve">ii. </w:t>
      </w:r>
      <w:r w:rsidRPr="0066429D">
        <w:rPr>
          <w:rFonts w:ascii="Verdana" w:eastAsia="Calibri" w:hAnsi="Verdana" w:cs="Arial"/>
          <w:color w:val="000000"/>
          <w:szCs w:val="24"/>
          <w:lang w:eastAsia="es-ES_tradnl"/>
        </w:rPr>
        <w:t>El Consejo de Estado, en el Auto del 6 de agosto de 2019 de la Sección Tercera, Subsección A, radicado No. 11001-03-26-000-2018-00113-00 (62.003), Consejero Ponente Carlos Alberto Zambrano Barrera, estudió la solicitud de suspensión provisional del inciso 2 del artículo 1, literales a y c del artículo 2, inciso 5 del artículo 2, inciso 2 del artículo 3, inciso final del artículo 4 y artículo 5 del Decreto 092 de 2017</w:t>
      </w:r>
      <w:r w:rsidRPr="0066429D">
        <w:rPr>
          <w:rFonts w:ascii="Verdana" w:eastAsia="Calibri" w:hAnsi="Verdana" w:cs="Arial"/>
          <w:color w:val="000000"/>
          <w:szCs w:val="24"/>
          <w:vertAlign w:val="superscript"/>
          <w:lang w:eastAsia="es-ES_tradnl"/>
        </w:rPr>
        <w:footnoteReference w:id="7"/>
      </w:r>
      <w:r w:rsidRPr="0066429D">
        <w:rPr>
          <w:rFonts w:ascii="Verdana" w:eastAsia="Calibri" w:hAnsi="Verdana" w:cs="Arial"/>
          <w:color w:val="000000"/>
          <w:szCs w:val="24"/>
          <w:lang w:eastAsia="es-ES_tradnl"/>
        </w:rPr>
        <w:t xml:space="preserve">. </w:t>
      </w:r>
    </w:p>
    <w:p w14:paraId="535C3EFF" w14:textId="77777777" w:rsidR="00052D1B" w:rsidRPr="0066429D" w:rsidRDefault="00052D1B" w:rsidP="00052D1B">
      <w:pPr>
        <w:spacing w:before="120" w:after="0" w:line="276" w:lineRule="auto"/>
        <w:ind w:firstLine="708"/>
        <w:jc w:val="both"/>
        <w:rPr>
          <w:rFonts w:ascii="Verdana" w:eastAsia="Calibri" w:hAnsi="Verdana" w:cs="Arial"/>
          <w:color w:val="000000"/>
          <w:szCs w:val="24"/>
          <w:lang w:eastAsia="es-ES_tradnl"/>
        </w:rPr>
      </w:pPr>
      <w:r w:rsidRPr="0066429D">
        <w:rPr>
          <w:rFonts w:ascii="Verdana" w:eastAsia="Calibri" w:hAnsi="Verdana" w:cs="Arial"/>
          <w:color w:val="000000"/>
          <w:szCs w:val="24"/>
          <w:lang w:eastAsia="es-ES_tradnl"/>
        </w:rPr>
        <w:t xml:space="preserve">La </w:t>
      </w:r>
      <w:r w:rsidRPr="0066429D">
        <w:rPr>
          <w:rFonts w:ascii="Verdana" w:eastAsia="Calibri" w:hAnsi="Verdana" w:cs="Arial"/>
          <w:i/>
          <w:iCs/>
          <w:color w:val="000000"/>
          <w:szCs w:val="24"/>
          <w:lang w:eastAsia="es-ES_tradnl"/>
        </w:rPr>
        <w:t>primera</w:t>
      </w:r>
      <w:r w:rsidRPr="0066429D">
        <w:rPr>
          <w:rFonts w:ascii="Verdana" w:eastAsia="Calibri" w:hAnsi="Verdana" w:cs="Arial"/>
          <w:color w:val="000000"/>
          <w:szCs w:val="24"/>
          <w:lang w:eastAsia="es-ES_tradnl"/>
        </w:rPr>
        <w:t xml:space="preserve"> norma que estudió el Consejo de Estado fue el inciso 2 del artículo 1 del Decreto 092 de 2017, el cual establece que la interpretación de las expresiones que se encuentran en mayúsculas en el Decreto 092 de 2017 se harían de conformidad con la guía que expida la Agencia Nacional de Contratación Pública</w:t>
      </w:r>
      <w:r w:rsidRPr="0066429D">
        <w:rPr>
          <w:rFonts w:ascii="Verdana" w:eastAsia="Calibri" w:hAnsi="Verdana" w:cs="Arial"/>
          <w:color w:val="000000"/>
          <w:szCs w:val="24"/>
          <w:vertAlign w:val="superscript"/>
          <w:lang w:eastAsia="es-ES_tradnl"/>
        </w:rPr>
        <w:footnoteReference w:id="8"/>
      </w:r>
      <w:r w:rsidRPr="0066429D">
        <w:rPr>
          <w:rFonts w:ascii="Verdana" w:eastAsia="Calibri" w:hAnsi="Verdana" w:cs="Arial"/>
          <w:color w:val="000000"/>
          <w:szCs w:val="24"/>
          <w:lang w:eastAsia="es-ES_tradnl"/>
        </w:rPr>
        <w:t>. Señaló que esta disposición, así como el inciso segundo del artículo 3 del Decreto 092 de 2017</w:t>
      </w:r>
      <w:r w:rsidRPr="0066429D">
        <w:rPr>
          <w:rFonts w:ascii="Verdana" w:eastAsia="Calibri" w:hAnsi="Verdana" w:cs="Arial"/>
          <w:color w:val="000000"/>
          <w:szCs w:val="24"/>
          <w:vertAlign w:val="superscript"/>
          <w:lang w:eastAsia="es-ES_tradnl"/>
        </w:rPr>
        <w:footnoteReference w:id="9"/>
      </w:r>
      <w:r w:rsidRPr="0066429D">
        <w:rPr>
          <w:rFonts w:ascii="Verdana" w:eastAsia="Calibri" w:hAnsi="Verdana" w:cs="Arial"/>
          <w:color w:val="000000"/>
          <w:szCs w:val="24"/>
          <w:lang w:eastAsia="es-ES_tradnl"/>
        </w:rPr>
        <w:t xml:space="preserve">, exceden la potestad reglamentaria, que está exclusivamente asignada al Presidente de la República, toda vez que la esencia de la facultad reglamentaria es de carácter permanente, inalienable, intransferible e irrenunciable, y el Presidente no la puede delegar en una entidad </w:t>
      </w:r>
      <w:r w:rsidRPr="0066429D">
        <w:rPr>
          <w:rFonts w:ascii="Verdana" w:eastAsia="Calibri" w:hAnsi="Verdana" w:cs="Arial"/>
          <w:color w:val="000000"/>
          <w:szCs w:val="24"/>
          <w:lang w:eastAsia="es-ES_tradnl"/>
        </w:rPr>
        <w:lastRenderedPageBreak/>
        <w:t xml:space="preserve">como la Agencia Nacional de Contratación Pública – Colombia Compra Eficiente, para que a través de una guía reglamente los vacíos de un Decreto. Al respecto señala: </w:t>
      </w:r>
    </w:p>
    <w:p w14:paraId="14E9920F" w14:textId="77777777" w:rsidR="00052D1B" w:rsidRPr="00D86A6D" w:rsidRDefault="00052D1B" w:rsidP="00052D1B">
      <w:pPr>
        <w:spacing w:after="0" w:line="276" w:lineRule="auto"/>
        <w:jc w:val="both"/>
        <w:rPr>
          <w:rFonts w:ascii="Arial" w:eastAsia="Calibri" w:hAnsi="Arial" w:cs="Arial"/>
          <w:color w:val="000000"/>
          <w:szCs w:val="24"/>
          <w:lang w:eastAsia="es-ES_tradnl"/>
        </w:rPr>
      </w:pPr>
    </w:p>
    <w:p w14:paraId="5F94FF9F" w14:textId="77777777" w:rsidR="00052D1B" w:rsidRPr="0066429D" w:rsidRDefault="00052D1B" w:rsidP="00052D1B">
      <w:pPr>
        <w:tabs>
          <w:tab w:val="left" w:pos="8789"/>
        </w:tabs>
        <w:spacing w:after="0" w:line="240" w:lineRule="auto"/>
        <w:ind w:left="708" w:right="709"/>
        <w:jc w:val="both"/>
        <w:rPr>
          <w:rFonts w:ascii="Arial" w:eastAsia="Calibri" w:hAnsi="Arial" w:cs="Arial"/>
          <w:color w:val="000000"/>
          <w:sz w:val="20"/>
          <w:szCs w:val="20"/>
          <w:lang w:eastAsia="es-ES_tradnl"/>
        </w:rPr>
      </w:pPr>
      <w:r w:rsidRPr="0066429D">
        <w:rPr>
          <w:rFonts w:ascii="Arial" w:eastAsia="Calibri" w:hAnsi="Arial" w:cs="Arial"/>
          <w:color w:val="000000"/>
          <w:sz w:val="20"/>
          <w:szCs w:val="20"/>
          <w:lang w:eastAsia="es-ES_tradnl"/>
        </w:rPr>
        <w:t>“En efecto, dejar espacios “vacíos” para que Colombia Compra Eficiente defina el alcance y la interpretación de ciertas expresiones y dicte las “pautas” y “criterios” para desarrollar la materia reglamentada no es otra cosa que delegar la reglamentación, pues materialmente se le encomienda a otra autoridad administrativa la labor de completar el ejercicio reglamentario que hizo el Gobierno Nacional o, cuando menos, se le encomienda la tarea de complementar una reglamentación insuficiente que hizo la autoridad competente, tarea que no puede ser asignada por el Presidente de la República a ningún otro organismo o entidad de la administración (distinto del Gobierno Nacional), puesto que, sin duda, quien estaría concurriendo materialmente en tal caso a reglamentar la norma constitucional sería la autoridad delegataria y no el competente para ello, según lo dispuesto por el constituyente”.</w:t>
      </w:r>
    </w:p>
    <w:p w14:paraId="721F5D1C" w14:textId="77777777" w:rsidR="00052D1B" w:rsidRPr="00D86A6D" w:rsidRDefault="00052D1B" w:rsidP="00052D1B">
      <w:pPr>
        <w:tabs>
          <w:tab w:val="left" w:pos="8789"/>
        </w:tabs>
        <w:spacing w:after="0" w:line="276" w:lineRule="auto"/>
        <w:ind w:left="708" w:right="709"/>
        <w:jc w:val="both"/>
        <w:rPr>
          <w:rFonts w:ascii="Arial" w:eastAsia="Calibri" w:hAnsi="Arial" w:cs="Arial"/>
          <w:color w:val="000000"/>
          <w:sz w:val="21"/>
          <w:szCs w:val="21"/>
          <w:lang w:eastAsia="es-ES_tradnl"/>
        </w:rPr>
      </w:pPr>
    </w:p>
    <w:p w14:paraId="38440005" w14:textId="77777777" w:rsidR="00052D1B" w:rsidRPr="0066429D" w:rsidRDefault="00052D1B" w:rsidP="00052D1B">
      <w:pPr>
        <w:spacing w:after="0" w:line="276" w:lineRule="auto"/>
        <w:ind w:firstLine="709"/>
        <w:jc w:val="both"/>
        <w:rPr>
          <w:rFonts w:ascii="Verdana" w:eastAsia="Calibri" w:hAnsi="Verdana" w:cs="Arial"/>
          <w:color w:val="000000"/>
          <w:szCs w:val="24"/>
          <w:lang w:eastAsia="es-ES_tradnl"/>
        </w:rPr>
      </w:pPr>
      <w:bookmarkStart w:id="13" w:name="_Hlk95756437"/>
      <w:r w:rsidRPr="0066429D">
        <w:rPr>
          <w:rFonts w:ascii="Verdana" w:eastAsia="Calibri" w:hAnsi="Verdana" w:cs="Arial"/>
          <w:color w:val="000000"/>
          <w:szCs w:val="24"/>
          <w:lang w:eastAsia="es-ES_tradnl"/>
        </w:rPr>
        <w:t>En virtud de este análisis, el Consejo de Estado suspendió provisionalmente el inciso 2 del artículo primero y el inciso 2 del artículo 3, lo que significa que los contratos celebrados con entidades sin ánimo de lucro no tienen que aplicar la “Guía para la contratación con entidades privadas sin ánimo de lucro y de reconocida idoneidad”, expedida por la Agencia Nacional de Contratación Pública–Colombia Compra Eficiente</w:t>
      </w:r>
      <w:bookmarkEnd w:id="13"/>
      <w:r w:rsidRPr="0066429D">
        <w:rPr>
          <w:rFonts w:ascii="Verdana" w:eastAsia="Calibri" w:hAnsi="Verdana" w:cs="Arial"/>
          <w:color w:val="000000"/>
          <w:szCs w:val="24"/>
          <w:lang w:eastAsia="es-ES_tradnl"/>
        </w:rPr>
        <w:t xml:space="preserve">. </w:t>
      </w:r>
    </w:p>
    <w:p w14:paraId="23C19B9B" w14:textId="77777777" w:rsidR="00052D1B" w:rsidRPr="0066429D" w:rsidRDefault="00052D1B" w:rsidP="00052D1B">
      <w:pPr>
        <w:spacing w:before="120" w:after="0" w:line="276" w:lineRule="auto"/>
        <w:ind w:firstLine="709"/>
        <w:jc w:val="both"/>
        <w:rPr>
          <w:rFonts w:ascii="Verdana" w:eastAsia="Calibri" w:hAnsi="Verdana" w:cs="Arial"/>
          <w:color w:val="000000"/>
          <w:szCs w:val="24"/>
          <w:lang w:eastAsia="es-ES_tradnl"/>
        </w:rPr>
      </w:pPr>
      <w:r w:rsidRPr="0066429D">
        <w:rPr>
          <w:rFonts w:ascii="Verdana" w:eastAsia="Calibri" w:hAnsi="Verdana" w:cs="Arial"/>
          <w:color w:val="000000"/>
          <w:szCs w:val="24"/>
          <w:lang w:eastAsia="es-ES_tradnl"/>
        </w:rPr>
        <w:t xml:space="preserve">La </w:t>
      </w:r>
      <w:r w:rsidRPr="0066429D">
        <w:rPr>
          <w:rFonts w:ascii="Verdana" w:eastAsia="Calibri" w:hAnsi="Verdana" w:cs="Arial"/>
          <w:i/>
          <w:iCs/>
          <w:color w:val="000000"/>
          <w:szCs w:val="24"/>
          <w:lang w:eastAsia="es-ES_tradnl"/>
        </w:rPr>
        <w:t>segunda</w:t>
      </w:r>
      <w:r w:rsidRPr="0066429D">
        <w:rPr>
          <w:rFonts w:ascii="Verdana" w:eastAsia="Calibri" w:hAnsi="Verdana" w:cs="Arial"/>
          <w:color w:val="000000"/>
          <w:szCs w:val="24"/>
          <w:lang w:eastAsia="es-ES_tradnl"/>
        </w:rPr>
        <w:t xml:space="preserve"> norma que analizó el Consejo de Estado fue el literal a), del artículo 2, del Decreto 092, que establece que únicamente se podrá contratar con entidades privadas sin ánimo de lucro cuando el objeto corresponda directamente con los planes de desarrollo y busque exclusivamente promover los derechos de personas en situación de debilidad manifiesta o indefensión, los derechos de las minorías, el derecho a la educación, el derecho a la paz, las manifestaciones artísticas, culturales, deportivas y de promoción de la diversidad étnica colombiana</w:t>
      </w:r>
      <w:r w:rsidRPr="0066429D">
        <w:rPr>
          <w:rFonts w:ascii="Verdana" w:eastAsia="Times New Roman" w:hAnsi="Verdana" w:cs="Arial"/>
          <w:color w:val="000000"/>
          <w:szCs w:val="24"/>
          <w:vertAlign w:val="superscript"/>
          <w:lang w:eastAsia="es-ES_tradnl"/>
        </w:rPr>
        <w:footnoteReference w:id="10"/>
      </w:r>
      <w:r w:rsidRPr="0066429D">
        <w:rPr>
          <w:rFonts w:ascii="Verdana" w:eastAsia="Calibri" w:hAnsi="Verdana" w:cs="Arial"/>
          <w:color w:val="000000"/>
          <w:szCs w:val="24"/>
          <w:lang w:eastAsia="es-ES_tradnl"/>
        </w:rPr>
        <w:t xml:space="preserve">. </w:t>
      </w:r>
      <w:bookmarkStart w:id="14" w:name="_Hlk95756502"/>
      <w:r w:rsidRPr="0066429D">
        <w:rPr>
          <w:rFonts w:ascii="Verdana" w:eastAsia="Calibri" w:hAnsi="Verdana" w:cs="Arial"/>
          <w:color w:val="000000"/>
          <w:szCs w:val="24"/>
          <w:lang w:eastAsia="es-ES_tradnl"/>
        </w:rPr>
        <w:t xml:space="preserve">En relación con esta norma, encontró que el </w:t>
      </w:r>
      <w:r w:rsidRPr="0066429D">
        <w:rPr>
          <w:rFonts w:ascii="Verdana" w:eastAsia="Calibri" w:hAnsi="Verdana" w:cs="Arial"/>
          <w:color w:val="000000"/>
          <w:szCs w:val="24"/>
          <w:lang w:eastAsia="es-ES_tradnl"/>
        </w:rPr>
        <w:lastRenderedPageBreak/>
        <w:t xml:space="preserve">literal a) del artículo 2 establece dos condiciones contrarias al artículo 355 de la Constitución Política: primero, que el objeto tenga que estar </w:t>
      </w:r>
      <w:r w:rsidRPr="002F3C7D">
        <w:rPr>
          <w:rFonts w:ascii="Verdana" w:eastAsia="Calibri" w:hAnsi="Verdana" w:cs="Arial"/>
          <w:color w:val="000000"/>
          <w:szCs w:val="24"/>
          <w:lang w:eastAsia="es-ES_tradnl"/>
        </w:rPr>
        <w:t>“</w:t>
      </w:r>
      <w:r w:rsidRPr="0066429D">
        <w:rPr>
          <w:rFonts w:ascii="Verdana" w:eastAsia="Calibri" w:hAnsi="Verdana" w:cs="Arial"/>
          <w:color w:val="000000"/>
          <w:szCs w:val="24"/>
          <w:lang w:eastAsia="es-ES_tradnl"/>
        </w:rPr>
        <w:t>directamente</w:t>
      </w:r>
      <w:r w:rsidRPr="002F3C7D">
        <w:rPr>
          <w:rFonts w:ascii="Verdana" w:eastAsia="Calibri" w:hAnsi="Verdana" w:cs="Arial"/>
          <w:color w:val="000000"/>
          <w:szCs w:val="24"/>
          <w:lang w:eastAsia="es-ES_tradnl"/>
        </w:rPr>
        <w:t>”</w:t>
      </w:r>
      <w:r w:rsidRPr="0066429D">
        <w:rPr>
          <w:rFonts w:ascii="Verdana" w:eastAsia="Calibri" w:hAnsi="Verdana" w:cs="Arial"/>
          <w:color w:val="000000"/>
          <w:szCs w:val="24"/>
          <w:lang w:eastAsia="es-ES_tradnl"/>
        </w:rPr>
        <w:t xml:space="preserve"> en los planes de desarrollo –nacional o territorial– cuando la norma constitucional establece que el objeto debe ser </w:t>
      </w:r>
      <w:r w:rsidRPr="002F3C7D">
        <w:rPr>
          <w:rFonts w:ascii="Verdana" w:eastAsia="Calibri" w:hAnsi="Verdana" w:cs="Arial"/>
          <w:color w:val="000000"/>
          <w:szCs w:val="24"/>
          <w:lang w:eastAsia="es-ES_tradnl"/>
        </w:rPr>
        <w:t>“</w:t>
      </w:r>
      <w:r w:rsidRPr="0066429D">
        <w:rPr>
          <w:rFonts w:ascii="Verdana" w:eastAsia="Calibri" w:hAnsi="Verdana" w:cs="Arial"/>
          <w:color w:val="000000"/>
          <w:szCs w:val="24"/>
          <w:lang w:eastAsia="es-ES_tradnl"/>
        </w:rPr>
        <w:t>acorde</w:t>
      </w:r>
      <w:r w:rsidRPr="002F3C7D">
        <w:rPr>
          <w:rFonts w:ascii="Verdana" w:eastAsia="Calibri" w:hAnsi="Verdana" w:cs="Arial"/>
          <w:color w:val="000000"/>
          <w:szCs w:val="24"/>
          <w:lang w:eastAsia="es-ES_tradnl"/>
        </w:rPr>
        <w:t>”</w:t>
      </w:r>
      <w:r w:rsidRPr="0066429D">
        <w:rPr>
          <w:rFonts w:ascii="Verdana" w:eastAsia="Calibri" w:hAnsi="Verdana" w:cs="Arial"/>
          <w:color w:val="000000"/>
          <w:szCs w:val="24"/>
          <w:lang w:eastAsia="es-ES_tradnl"/>
        </w:rPr>
        <w:t xml:space="preserve"> con el plan nacional o seccional de desarrollo, lo que implica que el objeto del contrato no debe estar explícitamente en el plan de desarrollo sino que se encuentre en armonía con este. </w:t>
      </w:r>
      <w:bookmarkEnd w:id="14"/>
      <w:r w:rsidRPr="0066429D">
        <w:rPr>
          <w:rFonts w:ascii="Verdana" w:eastAsia="Calibri" w:hAnsi="Verdana" w:cs="Arial"/>
          <w:color w:val="000000"/>
          <w:szCs w:val="24"/>
          <w:lang w:eastAsia="es-ES_tradnl"/>
        </w:rPr>
        <w:t xml:space="preserve">En relación con lo anterior, el auto del Consejo de Estado explica que: </w:t>
      </w:r>
    </w:p>
    <w:p w14:paraId="557B5057" w14:textId="77777777" w:rsidR="00052D1B" w:rsidRPr="0066429D" w:rsidRDefault="00052D1B" w:rsidP="00052D1B">
      <w:pPr>
        <w:spacing w:after="0" w:line="276" w:lineRule="auto"/>
        <w:jc w:val="both"/>
        <w:rPr>
          <w:rFonts w:ascii="Verdana" w:eastAsia="Calibri" w:hAnsi="Verdana" w:cs="Arial"/>
          <w:color w:val="000000"/>
          <w:szCs w:val="24"/>
          <w:lang w:eastAsia="es-ES_tradnl"/>
        </w:rPr>
      </w:pPr>
    </w:p>
    <w:p w14:paraId="76C5FAEF" w14:textId="77777777" w:rsidR="00052D1B" w:rsidRPr="0066429D" w:rsidRDefault="00052D1B" w:rsidP="00052D1B">
      <w:pPr>
        <w:spacing w:after="0" w:line="240" w:lineRule="auto"/>
        <w:ind w:left="708" w:right="709"/>
        <w:jc w:val="both"/>
        <w:rPr>
          <w:rFonts w:ascii="Verdana" w:eastAsia="Calibri" w:hAnsi="Verdana" w:cs="Arial"/>
          <w:color w:val="000000"/>
          <w:sz w:val="20"/>
          <w:szCs w:val="20"/>
          <w:lang w:eastAsia="es-ES_tradnl"/>
        </w:rPr>
      </w:pPr>
      <w:r w:rsidRPr="0066429D">
        <w:rPr>
          <w:rFonts w:ascii="Verdana" w:eastAsia="Calibri" w:hAnsi="Verdana" w:cs="Arial"/>
          <w:color w:val="000000"/>
          <w:sz w:val="20"/>
          <w:szCs w:val="20"/>
          <w:lang w:eastAsia="es-ES_tradnl"/>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14:paraId="2438A128" w14:textId="77777777" w:rsidR="00052D1B" w:rsidRPr="0066429D" w:rsidRDefault="00052D1B" w:rsidP="00052D1B">
      <w:pPr>
        <w:spacing w:after="0" w:line="276" w:lineRule="auto"/>
        <w:jc w:val="both"/>
        <w:rPr>
          <w:rFonts w:ascii="Verdana" w:eastAsia="Calibri" w:hAnsi="Verdana" w:cs="Arial"/>
          <w:color w:val="000000"/>
          <w:szCs w:val="24"/>
          <w:lang w:eastAsia="es-ES_tradnl"/>
        </w:rPr>
      </w:pPr>
    </w:p>
    <w:p w14:paraId="2B8B3899" w14:textId="77777777" w:rsidR="00052D1B" w:rsidRPr="0066429D" w:rsidRDefault="00052D1B" w:rsidP="00052D1B">
      <w:pPr>
        <w:spacing w:after="0" w:line="276" w:lineRule="auto"/>
        <w:ind w:firstLine="708"/>
        <w:jc w:val="both"/>
        <w:rPr>
          <w:rFonts w:ascii="Verdana" w:eastAsia="Calibri" w:hAnsi="Verdana" w:cs="Arial"/>
          <w:color w:val="000000"/>
          <w:szCs w:val="24"/>
          <w:lang w:eastAsia="es-ES_tradnl"/>
        </w:rPr>
      </w:pPr>
      <w:r w:rsidRPr="0066429D">
        <w:rPr>
          <w:rFonts w:ascii="Verdana" w:eastAsia="Calibri" w:hAnsi="Verdana" w:cs="Arial"/>
          <w:color w:val="000000"/>
          <w:szCs w:val="24"/>
          <w:lang w:eastAsia="es-ES_tradnl"/>
        </w:rPr>
        <w:t xml:space="preserve">Así 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14:paraId="170720D9" w14:textId="77777777" w:rsidR="00052D1B" w:rsidRPr="00D86A6D" w:rsidRDefault="00052D1B" w:rsidP="00052D1B">
      <w:pPr>
        <w:spacing w:after="0" w:line="276" w:lineRule="auto"/>
        <w:jc w:val="both"/>
        <w:rPr>
          <w:rFonts w:ascii="Arial" w:eastAsia="Calibri" w:hAnsi="Arial" w:cs="Arial"/>
          <w:color w:val="000000"/>
          <w:szCs w:val="24"/>
          <w:lang w:eastAsia="es-ES_tradnl"/>
        </w:rPr>
      </w:pPr>
    </w:p>
    <w:p w14:paraId="0783E174" w14:textId="77777777" w:rsidR="00052D1B" w:rsidRPr="0066429D" w:rsidRDefault="00052D1B" w:rsidP="00052D1B">
      <w:pPr>
        <w:tabs>
          <w:tab w:val="left" w:pos="8080"/>
        </w:tabs>
        <w:spacing w:after="0" w:line="240" w:lineRule="auto"/>
        <w:ind w:left="708" w:right="709"/>
        <w:jc w:val="both"/>
        <w:rPr>
          <w:rFonts w:ascii="Verdana" w:eastAsia="Calibri" w:hAnsi="Verdana" w:cs="Arial"/>
          <w:color w:val="000000"/>
          <w:sz w:val="20"/>
          <w:szCs w:val="20"/>
          <w:lang w:eastAsia="es-ES_tradnl"/>
        </w:rPr>
      </w:pPr>
      <w:r w:rsidRPr="0066429D">
        <w:rPr>
          <w:rFonts w:ascii="Verdana" w:eastAsia="Calibri" w:hAnsi="Verdana" w:cs="Arial"/>
          <w:color w:val="000000"/>
          <w:sz w:val="20"/>
          <w:szCs w:val="20"/>
          <w:lang w:eastAsia="es-ES_tradnl"/>
        </w:rPr>
        <w:t xml:space="preserve">“Una limitación del anterior calado implica, sin duda, establecer una condición no prevista en la norma constitucional reglamentada. Esta última solo establece una restricción y es que la </w:t>
      </w:r>
      <w:r>
        <w:rPr>
          <w:rFonts w:ascii="Verdana" w:eastAsia="Calibri" w:hAnsi="Verdana" w:cs="Arial"/>
          <w:color w:val="000000"/>
          <w:sz w:val="20"/>
          <w:szCs w:val="20"/>
          <w:lang w:eastAsia="es-ES_tradnl"/>
        </w:rPr>
        <w:t>“</w:t>
      </w:r>
      <w:r w:rsidRPr="0066429D">
        <w:rPr>
          <w:rFonts w:ascii="Verdana" w:eastAsia="Calibri" w:hAnsi="Verdana" w:cs="Arial"/>
          <w:color w:val="000000"/>
          <w:sz w:val="20"/>
          <w:szCs w:val="20"/>
          <w:lang w:eastAsia="es-ES_tradnl"/>
        </w:rPr>
        <w:t>causa</w:t>
      </w:r>
      <w:r>
        <w:rPr>
          <w:rFonts w:ascii="Verdana" w:eastAsia="Calibri" w:hAnsi="Verdana" w:cs="Arial"/>
          <w:color w:val="000000"/>
          <w:sz w:val="20"/>
          <w:szCs w:val="20"/>
          <w:lang w:eastAsia="es-ES_tradnl"/>
        </w:rPr>
        <w:t>”</w:t>
      </w:r>
      <w:r w:rsidRPr="0066429D">
        <w:rPr>
          <w:rFonts w:ascii="Verdana" w:eastAsia="Calibri" w:hAnsi="Verdana" w:cs="Arial"/>
          <w:color w:val="000000"/>
          <w:sz w:val="20"/>
          <w:szCs w:val="20"/>
          <w:lang w:eastAsia="es-ES_tradnl"/>
        </w:rPr>
        <w:t xml:space="preserve"> del contrato tenga como finalidad </w:t>
      </w:r>
      <w:r>
        <w:rPr>
          <w:rFonts w:ascii="Verdana" w:eastAsia="Calibri" w:hAnsi="Verdana" w:cs="Arial"/>
          <w:color w:val="000000"/>
          <w:sz w:val="20"/>
          <w:szCs w:val="20"/>
          <w:lang w:eastAsia="es-ES_tradnl"/>
        </w:rPr>
        <w:t>“</w:t>
      </w:r>
      <w:r w:rsidRPr="0066429D">
        <w:rPr>
          <w:rFonts w:ascii="Verdana" w:eastAsia="Calibri" w:hAnsi="Verdana" w:cs="Arial"/>
          <w:color w:val="000000"/>
          <w:sz w:val="20"/>
          <w:szCs w:val="20"/>
          <w:lang w:eastAsia="es-ES_tradnl"/>
        </w:rPr>
        <w:t>… impulsar programas y actividades de interés público acordes con el plan de desarrollo</w:t>
      </w:r>
      <w:r>
        <w:rPr>
          <w:rFonts w:ascii="Verdana" w:eastAsia="Calibri" w:hAnsi="Verdana" w:cs="Arial"/>
          <w:color w:val="000000"/>
          <w:sz w:val="20"/>
          <w:szCs w:val="20"/>
          <w:lang w:eastAsia="es-ES_tradnl"/>
        </w:rPr>
        <w:t>”</w:t>
      </w:r>
      <w:r w:rsidRPr="0066429D">
        <w:rPr>
          <w:rFonts w:ascii="Verdana" w:eastAsia="Calibri" w:hAnsi="Verdana" w:cs="Arial"/>
          <w:color w:val="000000"/>
          <w:sz w:val="20"/>
          <w:szCs w:val="20"/>
          <w:lang w:eastAsia="es-ES_tradnl"/>
        </w:rPr>
        <w:t xml:space="preserve">, mientras que, por su parte, la norma acusada limita la celebración de tales contratos a que tengan como objeto la promoción de las actividades enunciadas anteriormente [letra a, art. 2 ibidem]. Si la norma constitucional restringe sólo la causa o la finalidad del contrato, quiere decir ello que, independientemente de su objeto, puede celebrarse en cualquier modalidad, siempre y cuando –claro está– su causa sea </w:t>
      </w:r>
      <w:r>
        <w:rPr>
          <w:rFonts w:ascii="Verdana" w:eastAsia="Calibri" w:hAnsi="Verdana" w:cs="Arial"/>
          <w:color w:val="000000"/>
          <w:sz w:val="20"/>
          <w:szCs w:val="20"/>
          <w:lang w:eastAsia="es-ES_tradnl"/>
        </w:rPr>
        <w:t>“</w:t>
      </w:r>
      <w:r w:rsidRPr="0066429D">
        <w:rPr>
          <w:rFonts w:ascii="Verdana" w:eastAsia="Calibri" w:hAnsi="Verdana" w:cs="Arial"/>
          <w:color w:val="000000"/>
          <w:sz w:val="20"/>
          <w:szCs w:val="20"/>
          <w:lang w:eastAsia="es-ES_tradnl"/>
        </w:rPr>
        <w:t>acorde</w:t>
      </w:r>
      <w:r>
        <w:rPr>
          <w:rFonts w:ascii="Verdana" w:eastAsia="Calibri" w:hAnsi="Verdana" w:cs="Arial"/>
          <w:color w:val="000000"/>
          <w:sz w:val="20"/>
          <w:szCs w:val="20"/>
          <w:lang w:eastAsia="es-ES_tradnl"/>
        </w:rPr>
        <w:t>”</w:t>
      </w:r>
      <w:r w:rsidRPr="0066429D">
        <w:rPr>
          <w:rFonts w:ascii="Verdana" w:eastAsia="Calibri" w:hAnsi="Verdana" w:cs="Arial"/>
          <w:color w:val="000000"/>
          <w:sz w:val="20"/>
          <w:szCs w:val="20"/>
          <w:lang w:eastAsia="es-ES_tradnl"/>
        </w:rPr>
        <w:t xml:space="preserve"> con los planes de desarrollo, que es, en últimas, el propósito de la norma constitucional”. </w:t>
      </w:r>
    </w:p>
    <w:p w14:paraId="696CD097" w14:textId="77777777" w:rsidR="00052D1B" w:rsidRPr="00D86A6D" w:rsidRDefault="00052D1B" w:rsidP="00052D1B">
      <w:pPr>
        <w:spacing w:after="0" w:line="276" w:lineRule="auto"/>
        <w:jc w:val="both"/>
        <w:rPr>
          <w:rFonts w:ascii="Arial" w:eastAsia="Calibri" w:hAnsi="Arial" w:cs="Arial"/>
          <w:color w:val="000000"/>
          <w:szCs w:val="24"/>
          <w:lang w:eastAsia="es-ES_tradnl"/>
        </w:rPr>
      </w:pPr>
      <w:r w:rsidRPr="00D86A6D">
        <w:rPr>
          <w:rFonts w:ascii="Arial" w:eastAsia="Calibri" w:hAnsi="Arial" w:cs="Arial"/>
          <w:color w:val="000000"/>
          <w:szCs w:val="24"/>
          <w:lang w:eastAsia="es-ES_tradnl"/>
        </w:rPr>
        <w:t xml:space="preserve"> </w:t>
      </w:r>
    </w:p>
    <w:p w14:paraId="0E8B2C91" w14:textId="77777777" w:rsidR="00052D1B" w:rsidRPr="0066429D" w:rsidRDefault="00052D1B" w:rsidP="00052D1B">
      <w:pPr>
        <w:spacing w:before="120" w:after="0" w:line="276" w:lineRule="auto"/>
        <w:ind w:firstLine="709"/>
        <w:jc w:val="both"/>
        <w:rPr>
          <w:rFonts w:ascii="Verdana" w:eastAsia="Calibri" w:hAnsi="Verdana" w:cs="Arial"/>
          <w:color w:val="000000"/>
          <w:szCs w:val="24"/>
          <w:lang w:eastAsia="es-ES_tradnl"/>
        </w:rPr>
      </w:pPr>
      <w:bookmarkStart w:id="15" w:name="_Hlk95756534"/>
      <w:r w:rsidRPr="0066429D">
        <w:rPr>
          <w:rFonts w:ascii="Verdana" w:eastAsia="Calibri" w:hAnsi="Verdana" w:cs="Arial"/>
          <w:color w:val="000000"/>
          <w:szCs w:val="24"/>
          <w:lang w:eastAsia="es-ES_tradnl"/>
        </w:rPr>
        <w:lastRenderedPageBreak/>
        <w:t>Así las cosas, el Consejo de Estado suspendió provisionalmente el literal a), por lo cual el objeto de los contratos debe ser acorde con los planes nacionales o seccionales de desarrollo; y no necesariamente estar previstos directamente en ellos. Por lo demás, no solo se pueden celebrar contratos para los objetos específicos señalados en el Decreto 092 de 2017.</w:t>
      </w:r>
    </w:p>
    <w:bookmarkEnd w:id="15"/>
    <w:p w14:paraId="0C3965E2" w14:textId="77777777" w:rsidR="00052D1B" w:rsidRPr="0066429D" w:rsidRDefault="00052D1B" w:rsidP="00052D1B">
      <w:pPr>
        <w:spacing w:before="120" w:after="0" w:line="276" w:lineRule="auto"/>
        <w:ind w:firstLine="709"/>
        <w:jc w:val="both"/>
        <w:rPr>
          <w:rFonts w:ascii="Verdana" w:eastAsia="Calibri" w:hAnsi="Verdana" w:cs="Arial"/>
          <w:color w:val="000000"/>
          <w:szCs w:val="24"/>
          <w:lang w:eastAsia="es-ES_tradnl"/>
        </w:rPr>
      </w:pPr>
      <w:r w:rsidRPr="0066429D">
        <w:rPr>
          <w:rFonts w:ascii="Verdana" w:eastAsia="Calibri" w:hAnsi="Verdana" w:cs="Arial"/>
          <w:color w:val="000000"/>
          <w:szCs w:val="24"/>
          <w:lang w:eastAsia="es-ES_tradnl"/>
        </w:rPr>
        <w:t xml:space="preserve">El Consejo de Estado, en </w:t>
      </w:r>
      <w:r w:rsidRPr="0066429D">
        <w:rPr>
          <w:rFonts w:ascii="Verdana" w:eastAsia="Calibri" w:hAnsi="Verdana" w:cs="Arial"/>
          <w:i/>
          <w:iCs/>
          <w:color w:val="000000"/>
          <w:szCs w:val="24"/>
          <w:lang w:eastAsia="es-ES_tradnl"/>
        </w:rPr>
        <w:t>tercer</w:t>
      </w:r>
      <w:r w:rsidRPr="0066429D">
        <w:rPr>
          <w:rFonts w:ascii="Verdana" w:eastAsia="Calibri" w:hAnsi="Verdana" w:cs="Arial"/>
          <w:color w:val="000000"/>
          <w:szCs w:val="24"/>
          <w:lang w:eastAsia="es-ES_tradnl"/>
        </w:rPr>
        <w:t xml:space="preserve"> lugar, examinó el literal c) y el inciso 5 del artículo 2 del Decreto</w:t>
      </w:r>
      <w:r w:rsidRPr="0066429D">
        <w:rPr>
          <w:rFonts w:ascii="Verdana" w:eastAsia="Calibri" w:hAnsi="Verdana" w:cs="Arial"/>
          <w:color w:val="000000"/>
          <w:szCs w:val="24"/>
          <w:vertAlign w:val="superscript"/>
          <w:lang w:eastAsia="es-ES_tradnl"/>
        </w:rPr>
        <w:footnoteReference w:id="11"/>
      </w:r>
      <w:r w:rsidRPr="0066429D">
        <w:rPr>
          <w:rFonts w:ascii="Verdana" w:eastAsia="Calibri" w:hAnsi="Verdana" w:cs="Arial"/>
          <w:color w:val="000000"/>
          <w:szCs w:val="24"/>
          <w:lang w:eastAsia="es-ES_tradnl"/>
        </w:rPr>
        <w:t xml:space="preserve">, señalando que contraría la norma constitucional al condicionar que los contratos solo se pueden celebrar cuando no exista oferta en el mercado, sometiendo su celebración contratación a que, de existir oferta, la contratación con las entidades sin ánimo de lucro represente la optimización de los recursos públicos en términos de eficiencia, eficacia, economía y manejo del riesgo, toda vez que se desconocería la naturaleza de las entidades sin ánimo de lucro que implica que ellas no participan en el mercado de bienes y servicios de la misma forma que las demás sociedades. En este sentido, el Consejo de Estado manifestó: </w:t>
      </w:r>
    </w:p>
    <w:p w14:paraId="11065337" w14:textId="77777777" w:rsidR="00052D1B" w:rsidRPr="00D86A6D" w:rsidRDefault="00052D1B" w:rsidP="00052D1B">
      <w:pPr>
        <w:spacing w:after="0" w:line="276" w:lineRule="auto"/>
        <w:jc w:val="both"/>
        <w:rPr>
          <w:rFonts w:ascii="Arial" w:eastAsia="Calibri" w:hAnsi="Arial" w:cs="Arial"/>
          <w:color w:val="000000"/>
          <w:szCs w:val="24"/>
          <w:lang w:eastAsia="es-ES_tradnl"/>
        </w:rPr>
      </w:pPr>
    </w:p>
    <w:p w14:paraId="3AB31CBA" w14:textId="77777777" w:rsidR="00052D1B" w:rsidRPr="0066429D" w:rsidRDefault="00052D1B" w:rsidP="00052D1B">
      <w:pPr>
        <w:spacing w:after="0" w:line="240" w:lineRule="auto"/>
        <w:ind w:left="708" w:right="709"/>
        <w:jc w:val="both"/>
        <w:rPr>
          <w:rFonts w:ascii="Arial" w:eastAsia="Calibri" w:hAnsi="Arial" w:cs="Arial"/>
          <w:color w:val="000000"/>
          <w:sz w:val="20"/>
          <w:szCs w:val="20"/>
          <w:lang w:eastAsia="es-ES_tradnl"/>
        </w:rPr>
      </w:pPr>
      <w:r w:rsidRPr="0066429D">
        <w:rPr>
          <w:rFonts w:ascii="Arial" w:eastAsia="Calibri" w:hAnsi="Arial" w:cs="Arial"/>
          <w:color w:val="000000"/>
          <w:sz w:val="20"/>
          <w:szCs w:val="20"/>
          <w:lang w:eastAsia="es-ES_tradnl"/>
        </w:rPr>
        <w:t>“El propósito de garantizar la libre competencia en el mercado –como se advierte de la lectura del acto acusado– no se ajusta a la finalidad de la norma constitucional en cita, pues desconoce que las entidades sin ánimo de lucro no participan en el mercado de bienes y servicios como lo hacen las demás y, por la misma razón, no se les pueden aplicar las reglas de selección contenidas en el Estatuto General de la Contratación Pública. Las entidades a las cuales la norma constitucional busca apoyar son entidades que (i) no tienen ánimo de lucro y (ii) desarrollan programas y actividades de interés público con reconocida idoneidad. No son, entonces, entidades creadas para competir en el mercado”.</w:t>
      </w:r>
    </w:p>
    <w:p w14:paraId="0461EACF" w14:textId="77777777" w:rsidR="00052D1B" w:rsidRPr="00D86A6D" w:rsidRDefault="00052D1B" w:rsidP="00052D1B">
      <w:pPr>
        <w:spacing w:after="0" w:line="276" w:lineRule="auto"/>
        <w:jc w:val="both"/>
        <w:rPr>
          <w:rFonts w:ascii="Arial" w:eastAsia="Calibri" w:hAnsi="Arial" w:cs="Arial"/>
          <w:color w:val="000000"/>
          <w:szCs w:val="24"/>
          <w:lang w:eastAsia="es-ES_tradnl"/>
        </w:rPr>
      </w:pPr>
    </w:p>
    <w:p w14:paraId="3B79B581" w14:textId="77777777" w:rsidR="00052D1B" w:rsidRPr="0066429D" w:rsidRDefault="00052D1B" w:rsidP="00052D1B">
      <w:pPr>
        <w:spacing w:after="0" w:line="276" w:lineRule="auto"/>
        <w:ind w:firstLine="709"/>
        <w:jc w:val="both"/>
        <w:rPr>
          <w:rFonts w:ascii="Verdana" w:eastAsia="Calibri" w:hAnsi="Verdana" w:cs="Arial"/>
          <w:color w:val="000000"/>
          <w:szCs w:val="24"/>
          <w:lang w:eastAsia="es-ES_tradnl"/>
        </w:rPr>
      </w:pPr>
      <w:r w:rsidRPr="0066429D">
        <w:rPr>
          <w:rFonts w:ascii="Verdana" w:eastAsia="Calibri" w:hAnsi="Verdana" w:cs="Arial"/>
          <w:color w:val="000000"/>
          <w:szCs w:val="24"/>
          <w:lang w:eastAsia="es-ES_tradnl"/>
        </w:rPr>
        <w:t xml:space="preserve">Por tanto, suspendió provisionalmente el literal c) y el inciso 5º del artículo 2 del Decreto 092 de 2017, razón por la cual los procesos de contratación con entidades privadas sin ánimo de lucro no quedan condicionados a la inexistencia de oferta en el mercado de bienes y servicios, ni a que la ESAL garantice la mejor oferta y la optimización de los recursos públicos. Lo anterior, en la medida que estas condiciones son propias de la contratación del Estatuto General de </w:t>
      </w:r>
      <w:r w:rsidRPr="0066429D">
        <w:rPr>
          <w:rFonts w:ascii="Verdana" w:eastAsia="Calibri" w:hAnsi="Verdana" w:cs="Arial"/>
          <w:color w:val="000000"/>
          <w:szCs w:val="24"/>
          <w:lang w:eastAsia="es-ES_tradnl"/>
        </w:rPr>
        <w:lastRenderedPageBreak/>
        <w:t>Contratación de la Administración Pública, no del régimen jurídico especial que establece el artículo 355 de la Constitución Política.</w:t>
      </w:r>
    </w:p>
    <w:p w14:paraId="4734F971" w14:textId="77777777" w:rsidR="00052D1B" w:rsidRPr="0066429D" w:rsidRDefault="00052D1B" w:rsidP="00052D1B">
      <w:pPr>
        <w:spacing w:before="120" w:after="0" w:line="276" w:lineRule="auto"/>
        <w:ind w:firstLine="709"/>
        <w:jc w:val="both"/>
        <w:rPr>
          <w:rFonts w:ascii="Verdana" w:eastAsia="Calibri" w:hAnsi="Verdana" w:cs="Arial"/>
          <w:color w:val="000000"/>
          <w:szCs w:val="24"/>
          <w:lang w:eastAsia="es-ES_tradnl"/>
        </w:rPr>
      </w:pPr>
      <w:r w:rsidRPr="0066429D">
        <w:rPr>
          <w:rFonts w:ascii="Verdana" w:eastAsia="Calibri" w:hAnsi="Verdana" w:cs="Arial"/>
          <w:color w:val="000000"/>
          <w:szCs w:val="24"/>
          <w:lang w:eastAsia="es-ES_tradnl"/>
        </w:rPr>
        <w:t xml:space="preserve">La </w:t>
      </w:r>
      <w:r w:rsidRPr="0066429D">
        <w:rPr>
          <w:rFonts w:ascii="Verdana" w:eastAsia="Calibri" w:hAnsi="Verdana" w:cs="Arial"/>
          <w:i/>
          <w:iCs/>
          <w:color w:val="000000"/>
          <w:szCs w:val="24"/>
          <w:lang w:eastAsia="es-ES_tradnl"/>
        </w:rPr>
        <w:t>cuarta</w:t>
      </w:r>
      <w:r w:rsidRPr="0066429D">
        <w:rPr>
          <w:rFonts w:ascii="Verdana" w:eastAsia="Calibri" w:hAnsi="Verdana" w:cs="Arial"/>
          <w:color w:val="000000"/>
          <w:szCs w:val="24"/>
          <w:lang w:eastAsia="es-ES_tradnl"/>
        </w:rPr>
        <w:t xml:space="preserve"> norma que estudió el Consejo de Estado fue el inciso final del artículo 4 del Decreto 092 de 2017, el cual hace referencia a la posibilidad de contratar directamente cuando el objeto del contrato esté relacionado con actividades artísticas, culturales, deportivas y de promoción de la diversidad étnica colombiana, que únicamente pueden ejecutar determinadas personas jurídicas o naturales</w:t>
      </w:r>
      <w:r w:rsidRPr="0066429D">
        <w:rPr>
          <w:rFonts w:ascii="Verdana" w:eastAsia="Calibri" w:hAnsi="Verdana" w:cs="Arial"/>
          <w:color w:val="000000"/>
          <w:szCs w:val="24"/>
          <w:vertAlign w:val="superscript"/>
          <w:lang w:eastAsia="es-ES_tradnl"/>
        </w:rPr>
        <w:footnoteReference w:id="12"/>
      </w:r>
      <w:r w:rsidRPr="0066429D">
        <w:rPr>
          <w:rFonts w:ascii="Verdana" w:eastAsia="Calibri" w:hAnsi="Verdana" w:cs="Arial"/>
          <w:color w:val="000000"/>
          <w:szCs w:val="24"/>
          <w:lang w:eastAsia="es-ES_tradnl"/>
        </w:rPr>
        <w:t xml:space="preserve">. Para la Sala, esta norma vulnera el principio de igualdad, por establecer un privilegio para determinadas personas jurídicas o naturales que ejecutaran únicamente las actividades allí previstas, contratándolas sin realizar un proceso competitivo. El Consejo de Estado se pronunció en los siguientes términos: </w:t>
      </w:r>
    </w:p>
    <w:p w14:paraId="56524D40" w14:textId="77777777" w:rsidR="00052D1B" w:rsidRPr="00D86A6D" w:rsidRDefault="00052D1B" w:rsidP="00052D1B">
      <w:pPr>
        <w:spacing w:after="0" w:line="276" w:lineRule="auto"/>
        <w:jc w:val="both"/>
        <w:rPr>
          <w:rFonts w:ascii="Arial" w:eastAsia="Calibri" w:hAnsi="Arial" w:cs="Arial"/>
          <w:color w:val="000000"/>
          <w:szCs w:val="24"/>
          <w:lang w:eastAsia="es-ES_tradnl"/>
        </w:rPr>
      </w:pPr>
    </w:p>
    <w:p w14:paraId="2E6A6AFD" w14:textId="77777777" w:rsidR="00052D1B" w:rsidRPr="0066429D" w:rsidRDefault="00052D1B" w:rsidP="00052D1B">
      <w:pPr>
        <w:spacing w:after="0" w:line="240" w:lineRule="auto"/>
        <w:ind w:left="708" w:right="709"/>
        <w:jc w:val="both"/>
        <w:rPr>
          <w:rFonts w:ascii="Verdana" w:eastAsia="Calibri" w:hAnsi="Verdana" w:cs="Arial"/>
          <w:color w:val="000000"/>
          <w:sz w:val="20"/>
          <w:szCs w:val="20"/>
          <w:lang w:eastAsia="es-ES_tradnl"/>
        </w:rPr>
      </w:pPr>
      <w:r w:rsidRPr="0066429D">
        <w:rPr>
          <w:rFonts w:ascii="Verdana" w:eastAsia="Calibri" w:hAnsi="Verdana" w:cs="Arial"/>
          <w:color w:val="000000"/>
          <w:sz w:val="20"/>
          <w:szCs w:val="20"/>
          <w:lang w:eastAsia="es-ES_tradnl"/>
        </w:rPr>
        <w:t xml:space="preserve">“Puestas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a la diversidad étnica) frente a las actividades de interés público de otra naturaleza”. </w:t>
      </w:r>
    </w:p>
    <w:p w14:paraId="4397447A" w14:textId="77777777" w:rsidR="00052D1B" w:rsidRPr="00D86A6D" w:rsidRDefault="00052D1B" w:rsidP="00052D1B">
      <w:pPr>
        <w:spacing w:after="0" w:line="276" w:lineRule="auto"/>
        <w:ind w:firstLine="709"/>
        <w:jc w:val="both"/>
        <w:rPr>
          <w:rFonts w:ascii="Arial" w:eastAsia="Calibri" w:hAnsi="Arial" w:cs="Arial"/>
          <w:color w:val="000000"/>
          <w:szCs w:val="24"/>
          <w:lang w:eastAsia="es-ES_tradnl"/>
        </w:rPr>
      </w:pPr>
    </w:p>
    <w:p w14:paraId="1D2ACA9F" w14:textId="77777777" w:rsidR="00052D1B" w:rsidRPr="0066429D" w:rsidRDefault="00052D1B" w:rsidP="00052D1B">
      <w:pPr>
        <w:spacing w:after="0" w:line="276" w:lineRule="auto"/>
        <w:ind w:firstLine="709"/>
        <w:jc w:val="both"/>
        <w:rPr>
          <w:rFonts w:ascii="Verdana" w:eastAsia="Calibri" w:hAnsi="Verdana" w:cs="Arial"/>
          <w:color w:val="000000"/>
          <w:szCs w:val="24"/>
          <w:lang w:eastAsia="es-ES_tradnl"/>
        </w:rPr>
      </w:pPr>
      <w:r w:rsidRPr="0066429D">
        <w:rPr>
          <w:rFonts w:ascii="Verdana" w:eastAsia="Calibri" w:hAnsi="Verdana" w:cs="Arial"/>
          <w:color w:val="000000"/>
          <w:szCs w:val="24"/>
          <w:lang w:eastAsia="es-ES_tradnl"/>
        </w:rPr>
        <w:t xml:space="preserve">Por consiguiente, se suspendió provisionalmente el inciso final del artículo 4 por violar el principio de igualdad, de manera que la contratación de actividades y programas de interés público debe realizarse a través de un proceso competitivo para escoger a la entidad sin ánimo de lucro. En estos procesos, entonces, se debe acudir a los criterios aplicables a los otros negocios </w:t>
      </w:r>
      <w:r w:rsidRPr="0066429D">
        <w:rPr>
          <w:rFonts w:ascii="Verdana" w:eastAsia="Calibri" w:hAnsi="Verdana" w:cs="Arial"/>
          <w:color w:val="000000"/>
          <w:szCs w:val="24"/>
          <w:lang w:eastAsia="es-ES_tradnl"/>
        </w:rPr>
        <w:lastRenderedPageBreak/>
        <w:t xml:space="preserve">jurídicos que regula el Decreto 092 de 2017, particularmente las exigencias del artículo 2 </w:t>
      </w:r>
      <w:r w:rsidRPr="0066429D">
        <w:rPr>
          <w:rFonts w:ascii="Verdana" w:eastAsia="Calibri" w:hAnsi="Verdana" w:cs="Arial"/>
          <w:i/>
          <w:iCs/>
          <w:color w:val="000000"/>
          <w:szCs w:val="24"/>
          <w:lang w:eastAsia="es-ES_tradnl"/>
        </w:rPr>
        <w:t>ibidem</w:t>
      </w:r>
      <w:r w:rsidRPr="0066429D">
        <w:rPr>
          <w:rFonts w:ascii="Verdana" w:eastAsia="Calibri" w:hAnsi="Verdana" w:cs="Arial"/>
          <w:color w:val="000000"/>
          <w:szCs w:val="24"/>
          <w:lang w:eastAsia="es-ES_tradnl"/>
        </w:rPr>
        <w:t xml:space="preserve">. Incluso, habría que tener en cuenta las exigencias del inciso 2 del artículo 4 </w:t>
      </w:r>
      <w:r w:rsidRPr="0066429D">
        <w:rPr>
          <w:rFonts w:ascii="Verdana" w:eastAsia="Calibri" w:hAnsi="Verdana" w:cs="Arial"/>
          <w:i/>
          <w:iCs/>
          <w:color w:val="000000"/>
          <w:szCs w:val="24"/>
          <w:lang w:eastAsia="es-ES_tradnl"/>
        </w:rPr>
        <w:t>íbídem</w:t>
      </w:r>
      <w:r w:rsidRPr="0066429D">
        <w:rPr>
          <w:rFonts w:ascii="Verdana" w:eastAsia="Calibri" w:hAnsi="Verdana" w:cs="Arial"/>
          <w:color w:val="000000"/>
          <w:szCs w:val="24"/>
          <w:lang w:eastAsia="es-ES_tradnl"/>
        </w:rPr>
        <w:t>, siempre que se configuren los supuestos de aplicación de dicha normativa, esto es, siempre que exista más de una entidad sin ánimo de lucro de reconocida idoneidad.</w:t>
      </w:r>
    </w:p>
    <w:p w14:paraId="0DAC087C" w14:textId="77777777" w:rsidR="00052D1B" w:rsidRPr="0066429D" w:rsidRDefault="00052D1B" w:rsidP="00052D1B">
      <w:pPr>
        <w:spacing w:before="120" w:after="0" w:line="276" w:lineRule="auto"/>
        <w:ind w:firstLine="709"/>
        <w:jc w:val="both"/>
        <w:rPr>
          <w:rFonts w:ascii="Verdana" w:eastAsia="Calibri" w:hAnsi="Verdana" w:cs="Arial"/>
          <w:color w:val="000000"/>
          <w:szCs w:val="24"/>
          <w:lang w:eastAsia="es-ES_tradnl"/>
        </w:rPr>
      </w:pPr>
      <w:bookmarkStart w:id="16" w:name="_Hlk95757095"/>
      <w:r w:rsidRPr="0066429D">
        <w:rPr>
          <w:rFonts w:ascii="Verdana" w:eastAsia="Calibri" w:hAnsi="Verdana" w:cs="Arial"/>
          <w:color w:val="000000"/>
          <w:szCs w:val="24"/>
          <w:lang w:eastAsia="es-ES_tradnl"/>
        </w:rPr>
        <w:t xml:space="preserve">Por último, en </w:t>
      </w:r>
      <w:r w:rsidRPr="0066429D">
        <w:rPr>
          <w:rFonts w:ascii="Verdana" w:eastAsia="Calibri" w:hAnsi="Verdana" w:cs="Arial"/>
          <w:i/>
          <w:iCs/>
          <w:color w:val="000000"/>
          <w:szCs w:val="24"/>
          <w:lang w:eastAsia="es-ES_tradnl"/>
        </w:rPr>
        <w:t xml:space="preserve">quinto </w:t>
      </w:r>
      <w:r w:rsidRPr="0066429D">
        <w:rPr>
          <w:rFonts w:ascii="Verdana" w:eastAsia="Calibri" w:hAnsi="Verdana" w:cs="Arial"/>
          <w:color w:val="000000"/>
          <w:szCs w:val="24"/>
          <w:lang w:eastAsia="es-ES_tradnl"/>
        </w:rPr>
        <w:t xml:space="preserve">lugar, el Consejo de Estado analizó la solicitud de suspensión del artículo 5 del Decreto 092 de 2017, que reglamenta los convenios de asociación que prevé el artículo 96 de la Ley 489 de 1998. Concluyó que el análisis de esta norma debe realizarse a profundidad para establecer si efectivamente existe una contradicción normativa que implique que se afectó la competencia del legislador, en consecuencia, negó la solicitud de suspensión provisional, reservando el análisis sobre la legalidad de dicho artículo a la sentencia. </w:t>
      </w:r>
    </w:p>
    <w:p w14:paraId="1BCE44E8" w14:textId="77777777" w:rsidR="00052D1B" w:rsidRPr="0066429D" w:rsidRDefault="00052D1B" w:rsidP="00052D1B">
      <w:pPr>
        <w:spacing w:before="120" w:after="0" w:line="276" w:lineRule="auto"/>
        <w:ind w:firstLine="709"/>
        <w:jc w:val="both"/>
        <w:rPr>
          <w:rFonts w:ascii="Verdana" w:eastAsia="Times New Roman" w:hAnsi="Verdana" w:cs="Arial"/>
          <w:lang w:eastAsia="es-ES_tradnl"/>
        </w:rPr>
      </w:pPr>
      <w:r w:rsidRPr="0066429D">
        <w:rPr>
          <w:rFonts w:ascii="Verdana" w:eastAsia="Calibri" w:hAnsi="Verdana" w:cs="Arial"/>
          <w:color w:val="000000"/>
          <w:lang w:eastAsia="es-ES_tradnl"/>
        </w:rPr>
        <w:t xml:space="preserve">Ahora bien, la Sala Plena de lo Contencioso Administrativo del Consejo de Estado mediante auto de 15 de marzo de 2022 resolvió </w:t>
      </w:r>
      <w:r w:rsidRPr="0066429D">
        <w:rPr>
          <w:rFonts w:ascii="Verdana" w:eastAsia="Times New Roman" w:hAnsi="Verdana" w:cs="Arial"/>
          <w:lang w:eastAsia="es-ES_tradnl"/>
        </w:rPr>
        <w:t>recurso de súplica interpuesto por el Departamento Nacional de Planeación contra el auto del 6 de agosto de 2019. En esta providencia, respecto de la decisión tomada en el auto objeto de suplica sobre el inciso segundo del articulo 1 y el inciso segundo del artículo 3 se sostuvo:</w:t>
      </w:r>
    </w:p>
    <w:p w14:paraId="5336332D" w14:textId="77777777" w:rsidR="00052D1B" w:rsidRPr="002F3C7D" w:rsidRDefault="00052D1B" w:rsidP="00052D1B">
      <w:pPr>
        <w:spacing w:after="0" w:line="240" w:lineRule="auto"/>
        <w:ind w:left="709" w:right="709" w:firstLine="709"/>
        <w:jc w:val="both"/>
        <w:rPr>
          <w:rFonts w:ascii="Arial" w:eastAsia="Times New Roman" w:hAnsi="Arial" w:cs="Arial"/>
          <w:sz w:val="21"/>
          <w:szCs w:val="21"/>
          <w:lang w:eastAsia="es-ES_tradnl"/>
        </w:rPr>
      </w:pPr>
    </w:p>
    <w:p w14:paraId="61561658"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t xml:space="preserve">“Contrario a la conclusión a la que se arribó en el auto suplicado, la Sala observa que de la simple confrontación de la norma no se advierte, prima facie, que lo ordenado en el inciso segundo del artículo 1, así como en el inciso segundo del artículo 3 del Decreto 092 de 2017, conlleve, per se, la delegación de la facultad reglamentaria directa de la Constitución, atribuida al Gobierno nacional en el artículo 355 superior. Veamos porque: </w:t>
      </w:r>
    </w:p>
    <w:p w14:paraId="3EA4155F"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p>
    <w:p w14:paraId="37D4AA77"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t xml:space="preserve">29. El inciso segundo del artículo 1 demandado, indica que la Agencia Nacional de Contratación Pública –Colombia Compra Eficiente– debe expedir una guía en la cual se establezca el significado de las expresiones que contengan una mayúscula inicial, a efectos de que sirva como parámetro de interpretación del Decreto 092 de 2017. </w:t>
      </w:r>
    </w:p>
    <w:p w14:paraId="749C5F9C"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p>
    <w:p w14:paraId="2E0CCF58"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t>30. A su turno, esas expresiones en mayúscula inicial 10 indicadas en el mencionado reglamento autónomo, corresponden a términos jurídicos que se encuentran previstos tanto en el ordenamiento general como en el de la contratación estatal, previamente introducidos a éste, por virtud de otras disposiciones, de manera que existe parámetro de referencia para su definición y entendimiento en el marco del Decreto 092 de 2017.</w:t>
      </w:r>
    </w:p>
    <w:p w14:paraId="3C7B3D8F"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p>
    <w:p w14:paraId="5EF56194"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lastRenderedPageBreak/>
        <w:t xml:space="preserve">31. Conforme con ello, lo que se advierte es que a Colombia Compra Eficiente se le encargó la expedición de una guía que oriente a los destinatarios del Decreto 092 de 2017 en el entendimiento homogéneo de algunos términos propios del lenguaje técnico-jurídico. </w:t>
      </w:r>
    </w:p>
    <w:p w14:paraId="06AD4150"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p>
    <w:p w14:paraId="3FAF45AC"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t xml:space="preserve">32. De esta manera, en un análisis preliminar, la expedición de la guía que señale el sentido de esas expresiones no constituye por ese sólo hecho, el ejercicio de una facultad reglamentaria por parte de la Agencia Colombia Compra Eficiente ni tampoco la indebida delegación de la potestad reglamentaria directa de la Constitución por parte del Gobierno nacional. </w:t>
      </w:r>
    </w:p>
    <w:p w14:paraId="4210A662"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p>
    <w:p w14:paraId="13CBE1B5"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t xml:space="preserve">33. Sustenta la anterior afirmación el hecho de que las condiciones generales de forma de un decreto constitucional o autónomo no son previstas por la Constitución. Respecto del contenido de fondo, se observa que, por desarrollar la Constitución, debe respetarla y estar acorde con los preceptos en ella integrados. Sin embargo, por no existir una previsión normativa sobre cómo debe desarrollarse su contenido y forma, se entiende que no hay sujeción a ley previa de forma directa, sino que se trata de una facultad que la misma Constitución otorga al gobierno con mayor espectro de configuración normativa tanto en se forma como en su contenido. </w:t>
      </w:r>
    </w:p>
    <w:p w14:paraId="0F9EAA02"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p>
    <w:p w14:paraId="54ECCC9E"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t xml:space="preserve">[…] </w:t>
      </w:r>
    </w:p>
    <w:p w14:paraId="1B72A497"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p>
    <w:p w14:paraId="1820EA82"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t xml:space="preserve">36. A la misma conclusión se llega de la literalidad del inciso segundo del artículo 3 demandado, pues la norma indica que las entidades estatales definirán, en los documentos del proceso, las características que debe acreditar la entidad sin ánimo de lucro de reconocida idoneidad en el proceso de contratación, y que para ello deberán tomar en consideración las pautas y criterios establecidos en la guía que para el efecto expida la Agencia Colombia Compra Eficiente. </w:t>
      </w:r>
    </w:p>
    <w:p w14:paraId="41D132CD"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p>
    <w:p w14:paraId="1196B772" w14:textId="77777777" w:rsidR="00052D1B" w:rsidRPr="0066429D" w:rsidRDefault="00052D1B" w:rsidP="00052D1B">
      <w:pPr>
        <w:spacing w:after="0" w:line="240" w:lineRule="auto"/>
        <w:ind w:left="709" w:right="709"/>
        <w:jc w:val="both"/>
        <w:rPr>
          <w:rFonts w:ascii="Arial" w:eastAsia="Times New Roman" w:hAnsi="Arial" w:cs="Arial"/>
          <w:sz w:val="20"/>
          <w:szCs w:val="20"/>
          <w:lang w:eastAsia="es-ES_tradnl"/>
        </w:rPr>
      </w:pPr>
      <w:r w:rsidRPr="0066429D">
        <w:rPr>
          <w:rFonts w:ascii="Arial" w:eastAsia="Times New Roman" w:hAnsi="Arial" w:cs="Arial"/>
          <w:sz w:val="20"/>
          <w:szCs w:val="20"/>
          <w:lang w:eastAsia="es-ES_tradnl"/>
        </w:rPr>
        <w:t>37. A primera vista no es posible establecer que ese carácter orientador o de referencia previsto para la guía en el Decreto 092 de 2017 se identifique con el ejercicio de la potestad reglamentaria de la Constitución atribuida al Gobierno nacional, en la medida en que no surge inequívocamente una consecuencia normativa capaz de crear, modificar o extinguir las situaciones jurídicas de los destinatarios de la norma”</w:t>
      </w:r>
      <w:r w:rsidRPr="0066429D">
        <w:rPr>
          <w:rFonts w:ascii="Arial" w:eastAsia="Times New Roman" w:hAnsi="Arial" w:cs="Arial"/>
          <w:sz w:val="20"/>
          <w:szCs w:val="20"/>
          <w:vertAlign w:val="superscript"/>
          <w:lang w:eastAsia="es-ES_tradnl"/>
        </w:rPr>
        <w:footnoteReference w:id="13"/>
      </w:r>
      <w:r w:rsidRPr="0066429D">
        <w:rPr>
          <w:rFonts w:ascii="Arial" w:eastAsia="Times New Roman" w:hAnsi="Arial" w:cs="Arial"/>
          <w:sz w:val="20"/>
          <w:szCs w:val="20"/>
          <w:lang w:eastAsia="es-ES_tradnl"/>
        </w:rPr>
        <w:t>.</w:t>
      </w:r>
    </w:p>
    <w:p w14:paraId="5E084324" w14:textId="77777777" w:rsidR="00052D1B" w:rsidRPr="002F3C7D" w:rsidRDefault="00052D1B" w:rsidP="00052D1B">
      <w:pPr>
        <w:spacing w:after="0" w:line="276" w:lineRule="auto"/>
        <w:ind w:firstLine="709"/>
        <w:jc w:val="both"/>
        <w:rPr>
          <w:rFonts w:ascii="Arial" w:eastAsia="Calibri" w:hAnsi="Arial" w:cs="Arial"/>
          <w:color w:val="000000"/>
          <w:lang w:eastAsia="es-ES_tradnl"/>
        </w:rPr>
      </w:pPr>
    </w:p>
    <w:p w14:paraId="7E0494CA" w14:textId="77777777" w:rsidR="00052D1B" w:rsidRPr="0066429D" w:rsidRDefault="00052D1B" w:rsidP="00052D1B">
      <w:pPr>
        <w:spacing w:after="0" w:line="276" w:lineRule="auto"/>
        <w:ind w:firstLine="709"/>
        <w:jc w:val="both"/>
        <w:rPr>
          <w:rFonts w:ascii="Verdana" w:eastAsia="Calibri" w:hAnsi="Verdana" w:cs="Arial"/>
          <w:color w:val="000000"/>
          <w:lang w:eastAsia="es-ES_tradnl"/>
        </w:rPr>
      </w:pPr>
      <w:r w:rsidRPr="0066429D">
        <w:rPr>
          <w:rFonts w:ascii="Verdana" w:eastAsia="Calibri" w:hAnsi="Verdana" w:cs="Arial"/>
          <w:color w:val="000000"/>
          <w:lang w:eastAsia="es-ES_tradnl"/>
        </w:rPr>
        <w:t xml:space="preserve">De conformidad con lo anterior, el auto de 15 de marzo de 2022 dispuso revocar el </w:t>
      </w:r>
      <w:r w:rsidRPr="0066429D">
        <w:rPr>
          <w:rFonts w:ascii="Verdana" w:eastAsia="Times New Roman" w:hAnsi="Verdana" w:cs="Arial"/>
          <w:lang w:eastAsia="es-ES_tradnl"/>
        </w:rPr>
        <w:t xml:space="preserve">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solicitada en relación con dichas disposiciones. Sin embargo, el auto también </w:t>
      </w:r>
      <w:r w:rsidRPr="0066429D">
        <w:rPr>
          <w:rFonts w:ascii="Verdana" w:eastAsia="Times New Roman" w:hAnsi="Verdana" w:cs="Arial"/>
          <w:lang w:eastAsia="es-ES_tradnl"/>
        </w:rPr>
        <w:lastRenderedPageBreak/>
        <w:t xml:space="preserve">confirmó la suspensión provisional de los literales a) y c) del artículo segundo y el inciso quinto de la misma norma, así como del inciso final del artículo 4 del Decreto 92 de 2017. </w:t>
      </w:r>
    </w:p>
    <w:p w14:paraId="10CD0BFC" w14:textId="77777777" w:rsidR="00052D1B" w:rsidRPr="0066429D" w:rsidRDefault="00052D1B" w:rsidP="00052D1B">
      <w:pPr>
        <w:spacing w:before="120" w:after="0" w:line="276" w:lineRule="auto"/>
        <w:ind w:firstLine="709"/>
        <w:jc w:val="both"/>
        <w:rPr>
          <w:rFonts w:ascii="Verdana" w:eastAsia="Calibri" w:hAnsi="Verdana" w:cs="Arial"/>
          <w:color w:val="000000"/>
          <w:lang w:eastAsia="es-ES_tradnl"/>
        </w:rPr>
      </w:pPr>
      <w:bookmarkStart w:id="17" w:name="_Hlk95757157"/>
      <w:bookmarkEnd w:id="16"/>
      <w:r w:rsidRPr="0066429D">
        <w:rPr>
          <w:rFonts w:ascii="Verdana" w:eastAsia="Times New Roman" w:hAnsi="Verdana" w:cs="Arial"/>
          <w:color w:val="000000"/>
          <w:lang w:eastAsia="es-ES_tradnl"/>
        </w:rPr>
        <w:t>De lo anterior se desprende que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deberán contratar con ESAL de reconocida idoneidad, como ya se dijo,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14:paraId="25518D1A" w14:textId="77777777" w:rsidR="00052D1B" w:rsidRPr="0066429D" w:rsidRDefault="00052D1B" w:rsidP="00052D1B">
      <w:pPr>
        <w:spacing w:before="120" w:after="0" w:line="276" w:lineRule="auto"/>
        <w:ind w:firstLine="709"/>
        <w:jc w:val="both"/>
        <w:rPr>
          <w:rFonts w:ascii="Verdana" w:eastAsia="Calibri" w:hAnsi="Verdana" w:cs="Arial"/>
          <w:color w:val="000000"/>
          <w:lang w:eastAsia="es-ES_tradnl"/>
        </w:rPr>
      </w:pPr>
      <w:r w:rsidRPr="0066429D">
        <w:rPr>
          <w:rFonts w:ascii="Verdana" w:eastAsia="Calibri" w:hAnsi="Verdana" w:cs="Arial"/>
          <w:color w:val="000000"/>
          <w:lang w:eastAsia="es-ES_tradnl"/>
        </w:rPr>
        <w:t xml:space="preserve">Ahora, si se pretende realizar un </w:t>
      </w:r>
      <w:r w:rsidRPr="0066429D">
        <w:rPr>
          <w:rFonts w:ascii="Verdana" w:eastAsia="Calibri" w:hAnsi="Verdana" w:cs="Arial"/>
          <w:i/>
          <w:iCs/>
          <w:color w:val="000000"/>
          <w:lang w:eastAsia="es-ES_tradnl"/>
        </w:rPr>
        <w:t>convenio de asociación</w:t>
      </w:r>
      <w:r w:rsidRPr="0066429D">
        <w:rPr>
          <w:rFonts w:ascii="Verdana" w:eastAsia="Calibri" w:hAnsi="Verdana" w:cs="Arial"/>
          <w:color w:val="000000"/>
          <w:lang w:eastAsia="es-ES_tradnl"/>
        </w:rPr>
        <w:t xml:space="preserve"> con ESAL de reconocida idoneidad para el cumplimiento de las funciones que la ley les asigna a las entidades públicas, deberá aplicar lo dispuesto en el artículo 5 del Decreto 092 de 2017. De esta manera, </w:t>
      </w:r>
      <w:bookmarkEnd w:id="17"/>
      <w:r w:rsidRPr="0066429D">
        <w:rPr>
          <w:rFonts w:ascii="Verdana" w:eastAsia="Calibri" w:hAnsi="Verdana" w:cs="Arial"/>
          <w:color w:val="000000"/>
          <w:lang w:eastAsia="es-ES_tradnl"/>
        </w:rPr>
        <w:t>deben estar sujetos a competencia, salvo en aquellos casos en que una entidad sin ánimo de lucro comprometa recursos en dinero por un valor igual o superior al 30% del valor total del convenio</w:t>
      </w:r>
      <w:r w:rsidRPr="0066429D">
        <w:rPr>
          <w:rFonts w:ascii="Verdana" w:eastAsia="Times New Roman" w:hAnsi="Verdana" w:cs="Arial"/>
          <w:color w:val="000000"/>
          <w:vertAlign w:val="superscript"/>
          <w:lang w:eastAsia="es-ES_tradnl"/>
        </w:rPr>
        <w:footnoteReference w:id="14"/>
      </w:r>
      <w:r w:rsidRPr="0066429D">
        <w:rPr>
          <w:rFonts w:ascii="Verdana" w:eastAsia="Calibri" w:hAnsi="Verdana" w:cs="Arial"/>
          <w:color w:val="000000"/>
          <w:lang w:eastAsia="es-ES_tradnl"/>
        </w:rPr>
        <w:t xml:space="preserve">, y </w:t>
      </w:r>
      <w:r w:rsidRPr="0066429D">
        <w:rPr>
          <w:rFonts w:ascii="Verdana" w:eastAsia="Calibri" w:hAnsi="Verdana" w:cs="Arial"/>
          <w:color w:val="000000"/>
          <w:lang w:eastAsia="es-ES_tradnl"/>
        </w:rPr>
        <w:lastRenderedPageBreak/>
        <w:t xml:space="preserve">siempre que la entidad estatal verifique previamente que no existe ninguna otra entidad sin ánimo de lucro que ofrezca aportes iguales o superiores al 30%. </w:t>
      </w:r>
    </w:p>
    <w:p w14:paraId="449EEE05" w14:textId="77777777" w:rsidR="00052D1B" w:rsidRDefault="00052D1B" w:rsidP="00052D1B">
      <w:pPr>
        <w:spacing w:before="120" w:after="120" w:line="276" w:lineRule="auto"/>
        <w:jc w:val="both"/>
        <w:rPr>
          <w:rFonts w:ascii="Verdana" w:eastAsia="Calibri" w:hAnsi="Verdana" w:cs="Times New Roman"/>
          <w:lang w:val="es-ES"/>
        </w:rPr>
      </w:pPr>
      <w:r>
        <w:rPr>
          <w:rFonts w:ascii="Arial" w:eastAsia="Calibri" w:hAnsi="Arial" w:cs="Arial"/>
          <w:color w:val="000000"/>
          <w:szCs w:val="24"/>
          <w:lang w:eastAsia="es-ES_tradnl"/>
        </w:rPr>
        <w:t xml:space="preserve">iii. </w:t>
      </w:r>
      <w:r>
        <w:rPr>
          <w:rFonts w:ascii="Verdana" w:hAnsi="Verdana" w:cs="Arial"/>
          <w:lang w:eastAsia="es-ES"/>
        </w:rPr>
        <w:t>En conclusión</w:t>
      </w:r>
      <w:r w:rsidRPr="00A27A5B">
        <w:rPr>
          <w:rFonts w:ascii="Verdana" w:hAnsi="Verdana" w:cs="Arial"/>
          <w:lang w:eastAsia="es-ES"/>
        </w:rPr>
        <w:t>,</w:t>
      </w:r>
      <w:r>
        <w:rPr>
          <w:rFonts w:ascii="Verdana" w:hAnsi="Verdana" w:cs="Arial"/>
          <w:lang w:eastAsia="es-ES"/>
        </w:rPr>
        <w:t xml:space="preserve"> en</w:t>
      </w:r>
      <w:r w:rsidRPr="00A27A5B">
        <w:rPr>
          <w:rFonts w:ascii="Verdana" w:hAnsi="Verdana" w:cs="Arial"/>
          <w:lang w:eastAsia="es-ES"/>
        </w:rPr>
        <w:t xml:space="preserve"> </w:t>
      </w:r>
      <w:r>
        <w:rPr>
          <w:rFonts w:ascii="Verdana" w:hAnsi="Verdana" w:cs="Arial"/>
          <w:lang w:eastAsia="es-ES"/>
        </w:rPr>
        <w:t xml:space="preserve">respuesta al problema objeto de consulta debe advertirse que, tras la suspensión provisional decretada por el Consejo de Estado respecto del literal a) del artículo 2 del Decreto 092 de 2017, la celebración de contratos de colaboración no se encuentra restringida a objetos que beneficien a la población señalada en dicha disposición. En ese sentido, </w:t>
      </w:r>
      <w:r w:rsidRPr="00A27A5B">
        <w:rPr>
          <w:rFonts w:ascii="Verdana" w:hAnsi="Verdana" w:cs="Arial"/>
          <w:lang w:eastAsia="es-ES"/>
        </w:rPr>
        <w:t xml:space="preserve">tras la suspensión provisional de </w:t>
      </w:r>
      <w:r>
        <w:rPr>
          <w:rFonts w:ascii="Verdana" w:hAnsi="Verdana" w:cs="Arial"/>
          <w:lang w:eastAsia="es-ES"/>
        </w:rPr>
        <w:t>dicha norma</w:t>
      </w:r>
      <w:r w:rsidRPr="00A27A5B">
        <w:rPr>
          <w:rFonts w:ascii="Verdana" w:hAnsi="Verdana" w:cs="Arial"/>
          <w:lang w:eastAsia="es-ES"/>
        </w:rPr>
        <w:t xml:space="preserve">, </w:t>
      </w:r>
      <w:r>
        <w:rPr>
          <w:rFonts w:ascii="Verdana" w:hAnsi="Verdana" w:cs="Arial"/>
          <w:lang w:eastAsia="es-ES"/>
        </w:rPr>
        <w:t>no existe limitación legal para</w:t>
      </w:r>
      <w:r w:rsidRPr="009B72F6">
        <w:rPr>
          <w:rFonts w:ascii="Verdana" w:hAnsi="Verdana" w:cs="Arial"/>
          <w:lang w:eastAsia="es-ES"/>
        </w:rPr>
        <w:t xml:space="preserve"> aplicar el procedimiento</w:t>
      </w:r>
      <w:r>
        <w:rPr>
          <w:rFonts w:ascii="Verdana" w:hAnsi="Verdana" w:cs="Arial"/>
          <w:lang w:eastAsia="es-ES"/>
        </w:rPr>
        <w:t>s</w:t>
      </w:r>
      <w:r w:rsidRPr="009B72F6">
        <w:rPr>
          <w:rFonts w:ascii="Verdana" w:hAnsi="Verdana" w:cs="Arial"/>
          <w:lang w:eastAsia="es-ES"/>
        </w:rPr>
        <w:t xml:space="preserve"> competitivos con ESAL, conforme al Decreto 092 de 2017</w:t>
      </w:r>
      <w:r>
        <w:rPr>
          <w:rFonts w:ascii="Verdana" w:hAnsi="Verdana" w:cs="Arial"/>
          <w:lang w:eastAsia="es-ES"/>
        </w:rPr>
        <w:t xml:space="preserve"> </w:t>
      </w:r>
      <w:r w:rsidRPr="009B72F6">
        <w:rPr>
          <w:rFonts w:ascii="Verdana" w:hAnsi="Verdana" w:cs="Arial"/>
          <w:lang w:eastAsia="es-ES"/>
        </w:rPr>
        <w:t xml:space="preserve">a proyectos </w:t>
      </w:r>
      <w:r>
        <w:rPr>
          <w:rFonts w:ascii="Verdana" w:hAnsi="Verdana" w:cs="Arial"/>
          <w:lang w:eastAsia="es-ES"/>
        </w:rPr>
        <w:t>acordes con</w:t>
      </w:r>
      <w:r w:rsidRPr="009B72F6">
        <w:rPr>
          <w:rFonts w:ascii="Verdana" w:hAnsi="Verdana" w:cs="Arial"/>
          <w:lang w:eastAsia="es-ES"/>
        </w:rPr>
        <w:t xml:space="preserve"> los planes de desarrollo territoriales o nacionales</w:t>
      </w:r>
      <w:r>
        <w:rPr>
          <w:rFonts w:ascii="Verdana" w:hAnsi="Verdana" w:cs="Arial"/>
          <w:lang w:eastAsia="es-ES"/>
        </w:rPr>
        <w:t xml:space="preserve">, independientemente del grupo poblacional que contemple beneficiar el proyecto. </w:t>
      </w:r>
    </w:p>
    <w:p w14:paraId="201E0BE9" w14:textId="77777777" w:rsidR="00052D1B" w:rsidRPr="00DB4737" w:rsidRDefault="00052D1B" w:rsidP="00052D1B">
      <w:pPr>
        <w:spacing w:after="120" w:line="276" w:lineRule="auto"/>
        <w:jc w:val="both"/>
        <w:rPr>
          <w:rFonts w:ascii="Verdana" w:eastAsia="Calibri" w:hAnsi="Verdana" w:cs="Times New Roman"/>
          <w:lang w:val="es-ES"/>
        </w:rPr>
      </w:pPr>
      <w:r>
        <w:rPr>
          <w:rFonts w:ascii="Verdana" w:eastAsia="Calibri" w:hAnsi="Verdana" w:cs="Times New Roman"/>
          <w:lang w:val="es-ES"/>
        </w:rPr>
        <w:t xml:space="preserve">iv. </w:t>
      </w:r>
      <w:r w:rsidRPr="00DB4737">
        <w:rPr>
          <w:rFonts w:ascii="Verdana" w:eastAsia="Calibri" w:hAnsi="Verdana" w:cs="Times New Roman"/>
          <w:lang w:val="es-ES"/>
        </w:rPr>
        <w:t>Finalmente debe advertirse, que el análisis para resolver problemas específicos en torno a la aplicabilidad del Decreto 092 de 2017 a un proceso de selección determinado,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BBBB82C" w14:textId="77777777" w:rsidR="00052D1B" w:rsidRPr="00DB4737" w:rsidRDefault="00052D1B" w:rsidP="00052D1B">
      <w:pPr>
        <w:spacing w:after="0" w:line="276" w:lineRule="auto"/>
        <w:ind w:firstLine="708"/>
        <w:contextualSpacing/>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2B953140" w14:textId="77777777" w:rsidR="00052D1B" w:rsidRDefault="00052D1B" w:rsidP="00052D1B">
      <w:pPr>
        <w:spacing w:after="0" w:line="276" w:lineRule="auto"/>
        <w:ind w:firstLine="708"/>
        <w:jc w:val="both"/>
        <w:rPr>
          <w:rFonts w:ascii="Verdana" w:eastAsia="Calibri" w:hAnsi="Verdana" w:cs="Arial"/>
        </w:rPr>
      </w:pPr>
    </w:p>
    <w:p w14:paraId="158F1FBF" w14:textId="77777777" w:rsidR="00052D1B" w:rsidRDefault="00052D1B" w:rsidP="00052D1B">
      <w:pPr>
        <w:widowControl w:val="0"/>
        <w:autoSpaceDE w:val="0"/>
        <w:autoSpaceDN w:val="0"/>
        <w:spacing w:after="120" w:line="276" w:lineRule="auto"/>
        <w:jc w:val="both"/>
        <w:rPr>
          <w:rFonts w:ascii="Verdana" w:hAnsi="Verdana" w:cs="Arial"/>
          <w:lang w:eastAsia="es-ES"/>
        </w:rPr>
      </w:pPr>
      <w:r>
        <w:rPr>
          <w:rFonts w:ascii="Verdana" w:hAnsi="Verdana" w:cs="Arial"/>
          <w:lang w:eastAsia="es-ES"/>
        </w:rPr>
        <w:t xml:space="preserve">iii. </w:t>
      </w:r>
      <w:r w:rsidRPr="006539F8">
        <w:rPr>
          <w:rFonts w:ascii="Verdana" w:hAnsi="Verdana" w:cs="Arial"/>
          <w:lang w:eastAsia="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w:t>
      </w:r>
      <w:r w:rsidRPr="006539F8">
        <w:rPr>
          <w:rFonts w:ascii="Verdana" w:hAnsi="Verdana" w:cs="Arial"/>
          <w:lang w:eastAsia="es-ES"/>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EC19E68" w14:textId="77777777" w:rsidR="00052D1B" w:rsidRPr="00706044" w:rsidRDefault="00052D1B" w:rsidP="00052D1B">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54E6C237" w14:textId="77777777" w:rsidR="00052D1B" w:rsidRPr="00C54887" w:rsidRDefault="00052D1B" w:rsidP="00052D1B">
      <w:pPr>
        <w:widowControl w:val="0"/>
        <w:autoSpaceDE w:val="0"/>
        <w:autoSpaceDN w:val="0"/>
        <w:spacing w:after="0" w:line="276" w:lineRule="auto"/>
        <w:ind w:firstLine="708"/>
        <w:jc w:val="both"/>
        <w:rPr>
          <w:rFonts w:ascii="Verdana" w:hAnsi="Verdana" w:cs="Arial"/>
          <w:lang w:eastAsia="es-ES"/>
        </w:rPr>
      </w:pPr>
    </w:p>
    <w:bookmarkEnd w:id="4"/>
    <w:bookmarkEnd w:id="5"/>
    <w:p w14:paraId="33B587EE" w14:textId="77777777" w:rsidR="00052D1B" w:rsidRPr="001F283D" w:rsidRDefault="00052D1B" w:rsidP="00052D1B">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562C8808" w14:textId="77777777" w:rsidR="00052D1B" w:rsidRPr="00593A5F" w:rsidRDefault="00052D1B" w:rsidP="00052D1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52D1B" w:rsidRPr="002407CE" w14:paraId="1E7BB0E9" w14:textId="77777777" w:rsidTr="00090C96">
        <w:trPr>
          <w:trHeight w:val="870"/>
          <w:jc w:val="center"/>
        </w:trPr>
        <w:tc>
          <w:tcPr>
            <w:tcW w:w="8647" w:type="dxa"/>
          </w:tcPr>
          <w:p w14:paraId="056B7B31"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r w:rsidRPr="002C1358">
              <w:rPr>
                <w:rFonts w:ascii="Verdana" w:eastAsia="Calibri" w:hAnsi="Verdana" w:cs="Arial"/>
                <w:lang w:val="es-ES"/>
              </w:rPr>
              <w:t>Constitución Política: Artículo 355.</w:t>
            </w:r>
          </w:p>
          <w:p w14:paraId="0761C9F1"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r w:rsidRPr="002C1358">
              <w:rPr>
                <w:rFonts w:ascii="Verdana" w:eastAsia="Calibri" w:hAnsi="Verdana" w:cs="Arial"/>
                <w:lang w:val="es-ES"/>
              </w:rPr>
              <w:t>Ley 142 de 1994: Artículo 31 y 32.</w:t>
            </w:r>
          </w:p>
          <w:p w14:paraId="4D8CCC6F"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r w:rsidRPr="002C1358">
              <w:rPr>
                <w:rFonts w:ascii="Verdana" w:eastAsia="Calibri" w:hAnsi="Verdana" w:cs="Arial"/>
                <w:lang w:val="es-ES"/>
              </w:rPr>
              <w:t>Ley 489 de 1998: Artículo 96.</w:t>
            </w:r>
          </w:p>
          <w:p w14:paraId="2D8BACC5"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r w:rsidRPr="002C1358">
              <w:rPr>
                <w:rFonts w:ascii="Verdana" w:eastAsia="Calibri" w:hAnsi="Verdana" w:cs="Arial"/>
                <w:lang w:val="es-ES"/>
              </w:rPr>
              <w:t>Decreto 092 de 2017: Artículos 1, 2–literal a)–, 4, 5 y 8.</w:t>
            </w:r>
          </w:p>
          <w:p w14:paraId="626FD15D"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r w:rsidRPr="002C1358">
              <w:rPr>
                <w:rFonts w:ascii="Verdana" w:eastAsia="Calibri" w:hAnsi="Verdana" w:cs="Arial"/>
                <w:lang w:val="es-ES"/>
              </w:rPr>
              <w:t>CORTE CONSTITUCIONAL.  Sala Plena. Sentencia C-324 de 2009. M.P.: Juan Carlos Henao Pérez. En igual sentido, véase Corte Constitucional, Sala Plena. Sentencia C-027 de 2016.</w:t>
            </w:r>
          </w:p>
          <w:p w14:paraId="76BFC7C8"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r w:rsidRPr="002C1358">
              <w:rPr>
                <w:rFonts w:ascii="Verdana" w:eastAsia="Calibri" w:hAnsi="Verdana" w:cs="Arial"/>
                <w:lang w:val="es-ES"/>
              </w:rPr>
              <w:t>CONSEJO DE ESTADO. Sección Tercera, Subsección A, Auto del 6 de agosto de 2019, Exp. No. 62.003, C.P. Carlos Alberto Zambrano Barrera.</w:t>
            </w:r>
          </w:p>
          <w:p w14:paraId="36602C2F"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r w:rsidRPr="002C1358">
              <w:rPr>
                <w:rFonts w:ascii="Verdana" w:eastAsia="Calibri" w:hAnsi="Verdana" w:cs="Arial"/>
                <w:lang w:val="es-ES"/>
              </w:rPr>
              <w:t>CONSEJO DE ESTADO Sala Plena de lo Contencioso Administrativo. Auto de 15 de marzo de 2022. Exp. 62.003.  CP: Rocío Araújo Oñate.</w:t>
            </w:r>
          </w:p>
          <w:p w14:paraId="228BC98A"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p>
          <w:p w14:paraId="67BF6B07" w14:textId="77777777" w:rsidR="00052D1B" w:rsidRPr="002C1358" w:rsidRDefault="00052D1B" w:rsidP="00052D1B">
            <w:pPr>
              <w:widowControl w:val="0"/>
              <w:numPr>
                <w:ilvl w:val="0"/>
                <w:numId w:val="2"/>
              </w:numPr>
              <w:autoSpaceDE w:val="0"/>
              <w:autoSpaceDN w:val="0"/>
              <w:spacing w:after="120" w:line="276" w:lineRule="auto"/>
              <w:contextualSpacing/>
              <w:jc w:val="both"/>
              <w:rPr>
                <w:rFonts w:ascii="Verdana" w:eastAsia="Calibri" w:hAnsi="Verdana" w:cs="Arial"/>
                <w:lang w:val="es-ES"/>
              </w:rPr>
            </w:pPr>
            <w:r w:rsidRPr="002C1358">
              <w:rPr>
                <w:rFonts w:ascii="Verdana" w:eastAsia="Calibri" w:hAnsi="Verdana" w:cs="Arial"/>
                <w:lang w:val="es-ES"/>
              </w:rPr>
              <w:t xml:space="preserve">GÓMEZ Velásquez, Alejandro y DÍAZ Díez Cristian Andrés. Los convenios de interés público y de asociación en el régimen de contratación pública colombiana. Revista Derecho del Estado. Universidad Externado de Colombia. </w:t>
            </w:r>
          </w:p>
          <w:p w14:paraId="3579D8B7" w14:textId="77777777" w:rsidR="00052D1B" w:rsidRPr="00A57FA0" w:rsidRDefault="00052D1B" w:rsidP="00052D1B">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2C1358">
              <w:rPr>
                <w:rFonts w:ascii="Verdana" w:eastAsia="Calibri" w:hAnsi="Verdana" w:cs="Arial"/>
                <w:lang w:val="es-ES"/>
              </w:rPr>
              <w:lastRenderedPageBreak/>
              <w:t xml:space="preserve">Guía para la contratación con Entidades Privadas Sin Ánimo de Lucro y de Reconocida Idoneidad. Disponible </w:t>
            </w:r>
            <w:hyperlink r:id="rId12" w:history="1">
              <w:r w:rsidRPr="002C1358">
                <w:rPr>
                  <w:rFonts w:ascii="Verdana" w:eastAsia="Calibri" w:hAnsi="Verdana" w:cs="Arial"/>
                  <w:color w:val="0000FF"/>
                  <w:u w:val="single"/>
                  <w:lang w:val="es-ES"/>
                </w:rPr>
                <w:t>aquí</w:t>
              </w:r>
            </w:hyperlink>
          </w:p>
        </w:tc>
      </w:tr>
    </w:tbl>
    <w:p w14:paraId="0A3E989D" w14:textId="77777777" w:rsidR="00052D1B" w:rsidRPr="00277E26" w:rsidRDefault="00052D1B" w:rsidP="00052D1B">
      <w:pPr>
        <w:widowControl w:val="0"/>
        <w:autoSpaceDE w:val="0"/>
        <w:autoSpaceDN w:val="0"/>
        <w:spacing w:after="0" w:line="276" w:lineRule="auto"/>
        <w:jc w:val="both"/>
        <w:rPr>
          <w:rFonts w:ascii="Verdana" w:hAnsi="Verdana" w:cs="Arial"/>
        </w:rPr>
      </w:pPr>
    </w:p>
    <w:p w14:paraId="1E717AD5" w14:textId="77777777" w:rsidR="00052D1B" w:rsidRPr="001F283D" w:rsidRDefault="00052D1B" w:rsidP="00052D1B">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0281EEE9" w14:textId="77777777" w:rsidR="00052D1B" w:rsidRDefault="00052D1B" w:rsidP="00052D1B">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4DB71698" w14:textId="77777777" w:rsidR="00052D1B" w:rsidRDefault="00052D1B" w:rsidP="00052D1B">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3775F4">
        <w:rPr>
          <w:rFonts w:ascii="Verdana" w:eastAsia="Calibri" w:hAnsi="Verdana" w:cs="Arial"/>
          <w:shd w:val="clear" w:color="auto" w:fill="FFFFFF"/>
        </w:rPr>
        <w:t>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w:t>
      </w:r>
      <w:r>
        <w:rPr>
          <w:rFonts w:ascii="Verdana" w:eastAsia="Calibri" w:hAnsi="Verdana" w:cs="Arial"/>
          <w:shd w:val="clear" w:color="auto" w:fill="FFFFFF"/>
        </w:rPr>
        <w:t>,</w:t>
      </w:r>
      <w:r w:rsidRPr="003775F4">
        <w:rPr>
          <w:rFonts w:ascii="Verdana" w:eastAsia="Calibri" w:hAnsi="Verdana" w:cs="Arial"/>
          <w:shd w:val="clear" w:color="auto" w:fill="FFFFFF"/>
        </w:rPr>
        <w:t xml:space="preserve"> C-957 del 17 de diciembre de 2024</w:t>
      </w:r>
      <w:r>
        <w:rPr>
          <w:rFonts w:ascii="Verdana" w:eastAsia="Calibri" w:hAnsi="Verdana" w:cs="Arial"/>
          <w:shd w:val="clear" w:color="auto" w:fill="FFFFFF"/>
        </w:rPr>
        <w:t xml:space="preserve"> y C-967 del 1˚ de agosto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3EA96AC" w14:textId="77777777" w:rsidR="00052D1B" w:rsidRDefault="00052D1B" w:rsidP="00052D1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9A2F99B" w14:textId="77777777" w:rsidR="00052D1B" w:rsidRPr="009A385A" w:rsidRDefault="00052D1B" w:rsidP="00052D1B">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w:t>
      </w:r>
      <w:r w:rsidRPr="009A385A">
        <w:rPr>
          <w:rFonts w:ascii="Verdana" w:hAnsi="Verdana"/>
        </w:rPr>
        <w:lastRenderedPageBreak/>
        <w:t xml:space="preserve">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5C4EA731" w14:textId="77777777" w:rsidR="00052D1B" w:rsidRDefault="00052D1B" w:rsidP="00052D1B">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5070F49E" w14:textId="77777777" w:rsidR="00052D1B" w:rsidRPr="009A385A" w:rsidRDefault="00052D1B" w:rsidP="00052D1B">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86527DE" w14:textId="77777777" w:rsidR="00052D1B" w:rsidRPr="00900D7D" w:rsidRDefault="00052D1B" w:rsidP="00052D1B">
      <w:pPr>
        <w:widowControl w:val="0"/>
        <w:autoSpaceDE w:val="0"/>
        <w:autoSpaceDN w:val="0"/>
        <w:spacing w:after="120" w:line="276" w:lineRule="auto"/>
        <w:jc w:val="both"/>
        <w:rPr>
          <w:rFonts w:ascii="Verdana" w:eastAsia="Calibri" w:hAnsi="Verdana" w:cs="Arial"/>
          <w:color w:val="000000" w:themeColor="text1"/>
          <w:lang w:eastAsia="es-ES_tradnl"/>
        </w:rPr>
      </w:pPr>
    </w:p>
    <w:p w14:paraId="7BB73AA6" w14:textId="77777777" w:rsidR="00052D1B" w:rsidRPr="00237766" w:rsidRDefault="00052D1B" w:rsidP="00052D1B">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F51EBB0" w14:textId="77777777" w:rsidR="00052D1B" w:rsidRPr="008E4F36" w:rsidRDefault="00052D1B" w:rsidP="00052D1B">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44CBA2AB" w14:textId="77777777" w:rsidR="00052D1B" w:rsidRPr="008E4F36" w:rsidRDefault="00052D1B" w:rsidP="00052D1B">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532C4AE5" w14:textId="77777777" w:rsidR="00052D1B" w:rsidRPr="008E4F36" w:rsidRDefault="00052D1B" w:rsidP="00052D1B">
      <w:pPr>
        <w:pStyle w:val="Prrafodelista"/>
        <w:numPr>
          <w:ilvl w:val="0"/>
          <w:numId w:val="3"/>
        </w:numPr>
        <w:spacing w:after="0" w:line="276" w:lineRule="auto"/>
        <w:contextualSpacing w:val="0"/>
        <w:jc w:val="both"/>
        <w:rPr>
          <w:rFonts w:ascii="Verdana" w:hAnsi="Verdana"/>
        </w:rPr>
      </w:pPr>
      <w:r w:rsidRPr="008E4F36">
        <w:rPr>
          <w:rFonts w:ascii="Verdana" w:hAnsi="Verdana"/>
        </w:rPr>
        <w:lastRenderedPageBreak/>
        <w:t>Línea de servicio y atención al ciudadano: +57 601 7956600</w:t>
      </w:r>
    </w:p>
    <w:p w14:paraId="654205AF" w14:textId="77777777" w:rsidR="00052D1B" w:rsidRPr="008E4F36" w:rsidRDefault="00052D1B" w:rsidP="00052D1B">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7" w:history="1">
        <w:r w:rsidRPr="008E4F36">
          <w:rPr>
            <w:rStyle w:val="Hipervnculo"/>
            <w:rFonts w:ascii="Verdana" w:hAnsi="Verdana"/>
          </w:rPr>
          <w:t>www.colombiacompra.gov.co</w:t>
        </w:r>
      </w:hyperlink>
    </w:p>
    <w:p w14:paraId="30E10A41" w14:textId="77777777" w:rsidR="00052D1B" w:rsidRPr="008E4F36" w:rsidRDefault="00052D1B" w:rsidP="00052D1B">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445326DF" w14:textId="77777777" w:rsidR="00052D1B" w:rsidRPr="008E4F36" w:rsidRDefault="00052D1B" w:rsidP="00052D1B">
      <w:pPr>
        <w:spacing w:after="0" w:line="276" w:lineRule="auto"/>
        <w:jc w:val="both"/>
        <w:rPr>
          <w:rFonts w:ascii="Verdana" w:hAnsi="Verdana"/>
        </w:rPr>
      </w:pPr>
    </w:p>
    <w:p w14:paraId="450708E3" w14:textId="77777777" w:rsidR="00052D1B" w:rsidRPr="008E4F36" w:rsidRDefault="00052D1B" w:rsidP="00052D1B">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39ECB811" w14:textId="77777777" w:rsidR="00052D1B" w:rsidRPr="008E4F36" w:rsidRDefault="00052D1B" w:rsidP="00052D1B">
      <w:pPr>
        <w:spacing w:after="0" w:line="276" w:lineRule="auto"/>
        <w:jc w:val="both"/>
        <w:rPr>
          <w:rFonts w:ascii="Verdana" w:hAnsi="Verdana"/>
        </w:rPr>
      </w:pPr>
      <w:r w:rsidRPr="008E4F36">
        <w:rPr>
          <w:rFonts w:ascii="Verdana" w:hAnsi="Verdana"/>
        </w:rPr>
        <w:t xml:space="preserve">Facebook: </w:t>
      </w:r>
      <w:r w:rsidRPr="008E4F36">
        <w:rPr>
          <w:rStyle w:val="Hipervnculo"/>
          <w:rFonts w:ascii="Verdana" w:hAnsi="Verdana"/>
        </w:rPr>
        <w:t>ColombiaCompraEficiente</w:t>
      </w:r>
    </w:p>
    <w:p w14:paraId="495E4894" w14:textId="77777777" w:rsidR="00052D1B" w:rsidRPr="008E4F36" w:rsidRDefault="00052D1B" w:rsidP="00052D1B">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41133EE4" w14:textId="77777777" w:rsidR="00052D1B" w:rsidRDefault="00052D1B" w:rsidP="00052D1B">
      <w:pPr>
        <w:spacing w:before="120" w:after="0" w:line="276" w:lineRule="auto"/>
        <w:jc w:val="both"/>
        <w:rPr>
          <w:rFonts w:ascii="Verdana" w:hAnsi="Verdana"/>
        </w:rPr>
      </w:pPr>
    </w:p>
    <w:p w14:paraId="1A60849A" w14:textId="77777777" w:rsidR="00052D1B" w:rsidRPr="00FB6C33" w:rsidRDefault="00052D1B" w:rsidP="00052D1B">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3CBBE46" w14:textId="77777777" w:rsidR="00052D1B" w:rsidRPr="008E4F36" w:rsidRDefault="00052D1B" w:rsidP="00052D1B">
      <w:pPr>
        <w:spacing w:after="0" w:line="276" w:lineRule="auto"/>
        <w:jc w:val="both"/>
        <w:rPr>
          <w:rFonts w:ascii="Verdana" w:eastAsia="Calibri" w:hAnsi="Verdana" w:cs="Times New Roman"/>
        </w:rPr>
      </w:pPr>
    </w:p>
    <w:p w14:paraId="3A4F2AFE" w14:textId="77777777" w:rsidR="00052D1B" w:rsidRDefault="00052D1B" w:rsidP="00052D1B">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0A312885" w14:textId="77777777" w:rsidR="00052D1B" w:rsidRDefault="00052D1B" w:rsidP="00052D1B">
      <w:pPr>
        <w:spacing w:after="0" w:line="256" w:lineRule="auto"/>
        <w:jc w:val="both"/>
        <w:rPr>
          <w:rFonts w:ascii="Verdana" w:eastAsia="Calibri" w:hAnsi="Verdana" w:cs="Times New Roman"/>
        </w:rPr>
      </w:pPr>
    </w:p>
    <w:p w14:paraId="1AEC2C6B" w14:textId="13FB311E" w:rsidR="00052D1B" w:rsidRPr="001D36FE" w:rsidRDefault="00DF344B" w:rsidP="00052D1B">
      <w:pPr>
        <w:spacing w:after="0" w:line="256" w:lineRule="auto"/>
        <w:jc w:val="center"/>
        <w:rPr>
          <w:noProof/>
        </w:rPr>
      </w:pPr>
      <w:r>
        <w:rPr>
          <w:noProof/>
        </w:rPr>
        <w:drawing>
          <wp:anchor distT="0" distB="0" distL="114300" distR="114300" simplePos="0" relativeHeight="251661312" behindDoc="1" locked="0" layoutInCell="1" allowOverlap="1" wp14:anchorId="5AE73873" wp14:editId="15CB12C6">
            <wp:simplePos x="0" y="0"/>
            <wp:positionH relativeFrom="column">
              <wp:posOffset>1195871</wp:posOffset>
            </wp:positionH>
            <wp:positionV relativeFrom="paragraph">
              <wp:posOffset>63058</wp:posOffset>
            </wp:positionV>
            <wp:extent cx="3771900" cy="1400175"/>
            <wp:effectExtent l="0" t="0" r="0" b="9525"/>
            <wp:wrapTight wrapText="bothSides">
              <wp:wrapPolygon edited="0">
                <wp:start x="0" y="0"/>
                <wp:lineTo x="0" y="21453"/>
                <wp:lineTo x="21491" y="21453"/>
                <wp:lineTo x="2149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anchor>
        </w:drawing>
      </w:r>
    </w:p>
    <w:bookmarkEnd w:id="0"/>
    <w:bookmarkEnd w:id="1"/>
    <w:p w14:paraId="7170BDE4" w14:textId="7D2709A3" w:rsidR="00052D1B" w:rsidRDefault="00052D1B" w:rsidP="00052D1B">
      <w:pPr>
        <w:spacing w:after="0"/>
        <w:rPr>
          <w:rFonts w:ascii="Verdana" w:hAnsi="Verdana"/>
        </w:rPr>
      </w:pPr>
    </w:p>
    <w:p w14:paraId="0D31B670" w14:textId="0086D305" w:rsidR="00052D1B" w:rsidRDefault="00052D1B" w:rsidP="00052D1B">
      <w:pPr>
        <w:spacing w:after="0"/>
        <w:rPr>
          <w:rFonts w:ascii="Verdana" w:hAnsi="Verdana"/>
        </w:rPr>
      </w:pPr>
    </w:p>
    <w:p w14:paraId="47309BA9" w14:textId="2E1120C1" w:rsidR="00052D1B" w:rsidRDefault="00052D1B" w:rsidP="00052D1B">
      <w:pPr>
        <w:spacing w:after="0"/>
        <w:rPr>
          <w:rFonts w:ascii="Verdana" w:hAnsi="Verdana"/>
        </w:rPr>
      </w:pPr>
    </w:p>
    <w:p w14:paraId="2ED08C58" w14:textId="450CB7FD" w:rsidR="00052D1B" w:rsidRDefault="00052D1B" w:rsidP="00052D1B">
      <w:pPr>
        <w:spacing w:after="0"/>
        <w:rPr>
          <w:rFonts w:ascii="Verdana" w:hAnsi="Verdana"/>
        </w:rPr>
      </w:pPr>
    </w:p>
    <w:p w14:paraId="11A4DFAB" w14:textId="77777777" w:rsidR="00052D1B" w:rsidRDefault="00052D1B" w:rsidP="00052D1B">
      <w:pPr>
        <w:spacing w:after="0"/>
        <w:rPr>
          <w:rFonts w:ascii="Verdana" w:hAnsi="Verdana"/>
        </w:rPr>
      </w:pPr>
    </w:p>
    <w:p w14:paraId="7D255279" w14:textId="77777777" w:rsidR="00052D1B" w:rsidRDefault="00052D1B" w:rsidP="00052D1B">
      <w:pPr>
        <w:spacing w:after="0"/>
        <w:rPr>
          <w:rFonts w:ascii="Verdana" w:hAnsi="Verdana"/>
        </w:rPr>
      </w:pPr>
    </w:p>
    <w:p w14:paraId="1BD9E45F" w14:textId="77777777" w:rsidR="00052D1B" w:rsidRDefault="00052D1B" w:rsidP="00052D1B">
      <w:pPr>
        <w:spacing w:after="0"/>
        <w:rPr>
          <w:rFonts w:ascii="Verdana" w:hAnsi="Verdana"/>
        </w:rPr>
      </w:pPr>
    </w:p>
    <w:p w14:paraId="111AC018" w14:textId="77777777" w:rsidR="00052D1B" w:rsidRDefault="00052D1B" w:rsidP="00052D1B">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52D1B" w:rsidRPr="002423D6" w14:paraId="397D5C10" w14:textId="77777777" w:rsidTr="00090C96">
        <w:trPr>
          <w:trHeight w:val="315"/>
        </w:trPr>
        <w:tc>
          <w:tcPr>
            <w:tcW w:w="893" w:type="dxa"/>
            <w:vAlign w:val="center"/>
            <w:hideMark/>
          </w:tcPr>
          <w:p w14:paraId="4A48194E" w14:textId="77777777" w:rsidR="00052D1B" w:rsidRPr="002423D6" w:rsidRDefault="00052D1B" w:rsidP="00090C9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AFFB534" w14:textId="77777777" w:rsidR="00052D1B" w:rsidRPr="002423D6" w:rsidRDefault="00052D1B" w:rsidP="00090C96">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Andreina Cerpa Muñoz</w:t>
            </w:r>
            <w:r w:rsidRPr="002423D6">
              <w:rPr>
                <w:rFonts w:ascii="Verdana" w:eastAsia="Arial" w:hAnsi="Verdana" w:cs="Arial"/>
                <w:color w:val="000000" w:themeColor="text1"/>
                <w:sz w:val="16"/>
                <w:szCs w:val="16"/>
              </w:rPr>
              <w:t xml:space="preserve"> </w:t>
            </w:r>
          </w:p>
          <w:p w14:paraId="4ED76CFF" w14:textId="77777777" w:rsidR="00052D1B" w:rsidRPr="002423D6" w:rsidRDefault="00052D1B" w:rsidP="00090C9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052D1B" w:rsidRPr="002423D6" w14:paraId="1853D10E" w14:textId="77777777" w:rsidTr="00090C96">
        <w:trPr>
          <w:trHeight w:val="330"/>
        </w:trPr>
        <w:tc>
          <w:tcPr>
            <w:tcW w:w="893" w:type="dxa"/>
            <w:vAlign w:val="center"/>
            <w:hideMark/>
          </w:tcPr>
          <w:p w14:paraId="19419B18" w14:textId="77777777" w:rsidR="00052D1B" w:rsidRPr="002423D6" w:rsidRDefault="00052D1B" w:rsidP="00090C9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E7B3ED" w14:textId="77777777" w:rsidR="00052D1B" w:rsidRPr="002423D6" w:rsidRDefault="00052D1B" w:rsidP="00090C9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47EE3429" w14:textId="77777777" w:rsidR="00052D1B" w:rsidRPr="002423D6" w:rsidRDefault="00052D1B" w:rsidP="00090C96">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052D1B" w:rsidRPr="002423D6" w14:paraId="76438319" w14:textId="77777777" w:rsidTr="00090C96">
        <w:trPr>
          <w:trHeight w:val="300"/>
        </w:trPr>
        <w:tc>
          <w:tcPr>
            <w:tcW w:w="893" w:type="dxa"/>
            <w:vAlign w:val="center"/>
          </w:tcPr>
          <w:p w14:paraId="6287B67D" w14:textId="77777777" w:rsidR="00052D1B" w:rsidRPr="002423D6" w:rsidRDefault="00052D1B" w:rsidP="00090C9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70C04A" w14:textId="77777777" w:rsidR="00052D1B" w:rsidRPr="002423D6" w:rsidRDefault="00052D1B" w:rsidP="00090C9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7F8D996A" w14:textId="77777777" w:rsidR="00052D1B" w:rsidRPr="002423D6" w:rsidRDefault="00052D1B" w:rsidP="00090C9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719FAABC" w14:textId="77777777" w:rsidR="00052D1B" w:rsidRDefault="00052D1B" w:rsidP="00052D1B"/>
    <w:p w14:paraId="1565DE78" w14:textId="77777777" w:rsidR="00052D1B" w:rsidRPr="004E0EAA" w:rsidRDefault="00052D1B" w:rsidP="00052D1B"/>
    <w:p w14:paraId="05A72933" w14:textId="77777777" w:rsidR="000F5A42" w:rsidRPr="000E31E3" w:rsidRDefault="000F5A42" w:rsidP="000E31E3"/>
    <w:sectPr w:rsidR="000F5A42" w:rsidRPr="000E31E3" w:rsidSect="00EC13F0">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5BC5A" w14:textId="77777777" w:rsidR="00972BF0" w:rsidRDefault="00972BF0" w:rsidP="00EC13F0">
      <w:pPr>
        <w:spacing w:after="0" w:line="240" w:lineRule="auto"/>
      </w:pPr>
      <w:r>
        <w:separator/>
      </w:r>
    </w:p>
  </w:endnote>
  <w:endnote w:type="continuationSeparator" w:id="0">
    <w:p w14:paraId="2CA3BCF8" w14:textId="77777777" w:rsidR="00972BF0" w:rsidRDefault="00972BF0" w:rsidP="00EC1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4D3D3" w14:textId="77777777" w:rsidR="00EC13F0" w:rsidRDefault="00EC13F0" w:rsidP="000849D5">
    <w:pPr>
      <w:spacing w:after="0"/>
      <w:rPr>
        <w:rFonts w:ascii="Verdana" w:hAnsi="Verdana"/>
        <w:b/>
        <w:bCs/>
        <w:sz w:val="20"/>
        <w:szCs w:val="20"/>
      </w:rPr>
    </w:pPr>
  </w:p>
  <w:p w14:paraId="463EF9A7" w14:textId="77777777" w:rsidR="00EC13F0" w:rsidRPr="00174B77" w:rsidRDefault="00EC13F0"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8FC57C0" w14:textId="77777777" w:rsidR="00EC13F0" w:rsidRDefault="00EC13F0"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03BF6A06" w14:textId="77777777" w:rsidR="00EC13F0" w:rsidRPr="00E41027" w:rsidRDefault="00EC13F0" w:rsidP="000849D5">
    <w:pPr>
      <w:spacing w:after="0"/>
      <w:jc w:val="both"/>
      <w:rPr>
        <w:rFonts w:ascii="Verdana" w:hAnsi="Verdana"/>
        <w:sz w:val="18"/>
        <w:szCs w:val="18"/>
      </w:rPr>
    </w:pPr>
    <w:r w:rsidRPr="00E41027">
      <w:rPr>
        <w:rFonts w:ascii="Verdana" w:hAnsi="Verdana"/>
        <w:sz w:val="18"/>
        <w:szCs w:val="18"/>
      </w:rPr>
      <w:t>Mesa de servicio: (+57) 601 7456788</w:t>
    </w:r>
  </w:p>
  <w:p w14:paraId="615312AA" w14:textId="77777777" w:rsidR="00EC13F0" w:rsidRDefault="00EC13F0"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4AFFDD39" w14:textId="77777777" w:rsidR="00EC13F0" w:rsidRPr="007D04B2" w:rsidRDefault="00EC13F0" w:rsidP="000849D5">
    <w:pPr>
      <w:pStyle w:val="Piedepgina"/>
    </w:pPr>
  </w:p>
  <w:p w14:paraId="54D6A8E6" w14:textId="77777777" w:rsidR="00EC13F0" w:rsidRPr="000849D5" w:rsidRDefault="00EC13F0"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9350C" w14:textId="77777777" w:rsidR="00972BF0" w:rsidRDefault="00972BF0" w:rsidP="00EC13F0">
      <w:pPr>
        <w:spacing w:after="0" w:line="240" w:lineRule="auto"/>
      </w:pPr>
      <w:r>
        <w:separator/>
      </w:r>
    </w:p>
  </w:footnote>
  <w:footnote w:type="continuationSeparator" w:id="0">
    <w:p w14:paraId="016E73E2" w14:textId="77777777" w:rsidR="00972BF0" w:rsidRDefault="00972BF0" w:rsidP="00EC13F0">
      <w:pPr>
        <w:spacing w:after="0" w:line="240" w:lineRule="auto"/>
      </w:pPr>
      <w:r>
        <w:continuationSeparator/>
      </w:r>
    </w:p>
  </w:footnote>
  <w:footnote w:id="1">
    <w:p w14:paraId="260FD35C" w14:textId="77777777" w:rsidR="00052D1B" w:rsidRPr="004D1013" w:rsidRDefault="00052D1B" w:rsidP="00052D1B">
      <w:pPr>
        <w:pStyle w:val="Textonotapie"/>
        <w:ind w:firstLine="709"/>
        <w:jc w:val="both"/>
        <w:rPr>
          <w:rFonts w:ascii="Verdana" w:hAnsi="Verdana" w:cs="Arial"/>
          <w:color w:val="000000"/>
          <w:sz w:val="16"/>
          <w:szCs w:val="16"/>
        </w:rPr>
      </w:pPr>
      <w:r w:rsidRPr="004D1013">
        <w:rPr>
          <w:rStyle w:val="Refdenotaalpie"/>
          <w:rFonts w:ascii="Verdana" w:hAnsi="Verdana" w:cs="Arial"/>
          <w:color w:val="000000"/>
          <w:sz w:val="16"/>
          <w:szCs w:val="16"/>
        </w:rPr>
        <w:footnoteRef/>
      </w:r>
      <w:r w:rsidRPr="004D1013">
        <w:rPr>
          <w:rFonts w:ascii="Verdana" w:hAnsi="Verdana" w:cs="Arial"/>
          <w:color w:val="000000"/>
          <w:sz w:val="16"/>
          <w:szCs w:val="16"/>
        </w:rPr>
        <w:t xml:space="preserve"> Sobre esta norma, consultar los conceptos del 8 de octubre de 2019, con radicado No. 2201913000007532, y del 20 de diciembre de 2019, con radicado No. 4201913000008240, dictado por la Agencia Nacional de Contratación Pública – Colombia Compra Eficiente.</w:t>
      </w:r>
    </w:p>
  </w:footnote>
  <w:footnote w:id="2">
    <w:p w14:paraId="482C3CB3" w14:textId="77777777" w:rsidR="00052D1B" w:rsidRPr="004D1013" w:rsidRDefault="00052D1B" w:rsidP="00052D1B">
      <w:pPr>
        <w:pStyle w:val="Textonotapie"/>
        <w:ind w:firstLine="709"/>
        <w:jc w:val="both"/>
        <w:rPr>
          <w:rFonts w:ascii="Verdana" w:hAnsi="Verdana" w:cs="Arial"/>
          <w:color w:val="000000"/>
          <w:sz w:val="16"/>
          <w:szCs w:val="16"/>
        </w:rPr>
      </w:pPr>
    </w:p>
    <w:p w14:paraId="6421756B" w14:textId="77777777" w:rsidR="00052D1B" w:rsidRPr="004D1013" w:rsidRDefault="00052D1B" w:rsidP="00052D1B">
      <w:pPr>
        <w:pStyle w:val="Textonotapie"/>
        <w:ind w:firstLine="709"/>
        <w:jc w:val="both"/>
        <w:rPr>
          <w:rFonts w:ascii="Verdana" w:hAnsi="Verdana" w:cs="Arial"/>
          <w:color w:val="000000"/>
          <w:sz w:val="16"/>
          <w:szCs w:val="16"/>
        </w:rPr>
      </w:pPr>
      <w:r w:rsidRPr="004D1013">
        <w:rPr>
          <w:rStyle w:val="Refdenotaalpie"/>
          <w:rFonts w:ascii="Verdana" w:hAnsi="Verdana" w:cs="Arial"/>
          <w:color w:val="000000"/>
          <w:sz w:val="16"/>
          <w:szCs w:val="16"/>
        </w:rPr>
        <w:footnoteRef/>
      </w:r>
      <w:r w:rsidRPr="004D1013">
        <w:rPr>
          <w:rFonts w:ascii="Verdana" w:hAnsi="Verdana" w:cs="Arial"/>
          <w:color w:val="000000"/>
          <w:sz w:val="16"/>
          <w:szCs w:val="16"/>
        </w:rPr>
        <w:t xml:space="preserve"> 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72A27444" w14:textId="77777777" w:rsidR="00052D1B" w:rsidRPr="004D1013" w:rsidRDefault="00052D1B" w:rsidP="00052D1B">
      <w:pPr>
        <w:pStyle w:val="Textonotapie"/>
        <w:ind w:firstLine="709"/>
        <w:jc w:val="both"/>
        <w:rPr>
          <w:rFonts w:ascii="Verdana" w:hAnsi="Verdana" w:cs="Arial"/>
          <w:color w:val="000000"/>
          <w:sz w:val="16"/>
          <w:szCs w:val="16"/>
        </w:rPr>
      </w:pPr>
      <w:r w:rsidRPr="004D1013">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3">
    <w:p w14:paraId="5D535235" w14:textId="77777777" w:rsidR="00052D1B" w:rsidRPr="004D1013" w:rsidRDefault="00052D1B" w:rsidP="00052D1B">
      <w:pPr>
        <w:pStyle w:val="Textonotapie"/>
        <w:ind w:firstLine="708"/>
        <w:jc w:val="both"/>
        <w:rPr>
          <w:rFonts w:ascii="Verdana" w:hAnsi="Verdana" w:cs="Arial"/>
          <w:color w:val="000000"/>
          <w:sz w:val="16"/>
          <w:szCs w:val="16"/>
        </w:rPr>
      </w:pPr>
      <w:r w:rsidRPr="004D1013">
        <w:rPr>
          <w:rStyle w:val="Refdenotaalpie"/>
          <w:rFonts w:ascii="Verdana" w:hAnsi="Verdana" w:cs="Arial"/>
          <w:color w:val="000000"/>
          <w:sz w:val="16"/>
          <w:szCs w:val="16"/>
        </w:rPr>
        <w:footnoteRef/>
      </w:r>
      <w:r w:rsidRPr="004D1013">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4">
    <w:p w14:paraId="60859EAF" w14:textId="77777777" w:rsidR="00052D1B" w:rsidRPr="004D1013" w:rsidRDefault="00052D1B" w:rsidP="00052D1B">
      <w:pPr>
        <w:pStyle w:val="Textonotapie"/>
        <w:ind w:firstLine="709"/>
        <w:jc w:val="both"/>
        <w:rPr>
          <w:rFonts w:ascii="Verdana" w:hAnsi="Verdana" w:cs="Arial"/>
          <w:color w:val="000000"/>
          <w:sz w:val="16"/>
          <w:szCs w:val="16"/>
        </w:rPr>
      </w:pPr>
    </w:p>
    <w:p w14:paraId="01257AD7" w14:textId="77777777" w:rsidR="00052D1B" w:rsidRPr="004D1013" w:rsidRDefault="00052D1B" w:rsidP="00052D1B">
      <w:pPr>
        <w:pStyle w:val="Textonotapie"/>
        <w:ind w:firstLine="709"/>
        <w:contextualSpacing/>
        <w:jc w:val="both"/>
        <w:rPr>
          <w:rFonts w:ascii="Verdana" w:hAnsi="Verdana" w:cs="Arial"/>
          <w:color w:val="000000"/>
          <w:sz w:val="16"/>
          <w:szCs w:val="16"/>
        </w:rPr>
      </w:pPr>
      <w:r w:rsidRPr="004D1013">
        <w:rPr>
          <w:rStyle w:val="Refdenotaalpie"/>
          <w:rFonts w:ascii="Verdana" w:hAnsi="Verdana" w:cs="Arial"/>
          <w:color w:val="000000"/>
          <w:sz w:val="16"/>
          <w:szCs w:val="16"/>
        </w:rPr>
        <w:footnoteRef/>
      </w:r>
      <w:r w:rsidRPr="004D1013">
        <w:rPr>
          <w:rFonts w:ascii="Verdana" w:hAnsi="Verdana" w:cs="Arial"/>
          <w:color w:val="000000"/>
          <w:sz w:val="16"/>
          <w:szCs w:val="16"/>
        </w:rPr>
        <w:t xml:space="preserve"> Concepto del 3 de septiembre de 2019, con radicado No. 2201913000006512, dictado por la Agencia Nacional de Contratación Pública – Colombia Compra Eficiente.</w:t>
      </w:r>
    </w:p>
  </w:footnote>
  <w:footnote w:id="5">
    <w:p w14:paraId="15E646BA" w14:textId="77777777" w:rsidR="00052D1B" w:rsidRPr="004D1013" w:rsidRDefault="00052D1B" w:rsidP="00052D1B">
      <w:pPr>
        <w:spacing w:after="0" w:line="240" w:lineRule="auto"/>
        <w:ind w:firstLine="708"/>
        <w:contextualSpacing/>
        <w:jc w:val="both"/>
        <w:rPr>
          <w:rFonts w:ascii="Verdana" w:eastAsia="Times New Roman" w:hAnsi="Verdana" w:cs="Times New Roman"/>
          <w:color w:val="000000"/>
          <w:sz w:val="16"/>
          <w:szCs w:val="16"/>
          <w:shd w:val="clear" w:color="auto" w:fill="FFFFFF"/>
          <w:lang w:eastAsia="es-ES_tradnl"/>
        </w:rPr>
      </w:pPr>
      <w:r w:rsidRPr="004D1013">
        <w:rPr>
          <w:rStyle w:val="Refdenotaalpie"/>
          <w:rFonts w:ascii="Verdana" w:hAnsi="Verdana"/>
          <w:color w:val="000000"/>
          <w:sz w:val="16"/>
          <w:szCs w:val="16"/>
        </w:rPr>
        <w:footnoteRef/>
      </w:r>
      <w:r w:rsidRPr="004D1013">
        <w:rPr>
          <w:rFonts w:ascii="Verdana" w:hAnsi="Verdana"/>
          <w:color w:val="000000"/>
          <w:sz w:val="16"/>
          <w:szCs w:val="16"/>
        </w:rPr>
        <w:t xml:space="preserve"> </w:t>
      </w:r>
      <w:r w:rsidRPr="004D1013">
        <w:rPr>
          <w:rStyle w:val="author-name"/>
          <w:rFonts w:ascii="Verdana" w:hAnsi="Verdana"/>
          <w:color w:val="000000"/>
          <w:sz w:val="16"/>
          <w:szCs w:val="16"/>
        </w:rPr>
        <w:t xml:space="preserve">GÓMEZ Velásquez, Alejandro y DÍAZ Díez Cristian Andrés. </w:t>
      </w:r>
      <w:r w:rsidRPr="004D1013">
        <w:rPr>
          <w:rFonts w:ascii="Verdana" w:eastAsia="Times New Roman" w:hAnsi="Verdana" w:cs="Times New Roman"/>
          <w:i/>
          <w:iCs/>
          <w:color w:val="000000"/>
          <w:sz w:val="16"/>
          <w:szCs w:val="16"/>
          <w:shd w:val="clear" w:color="auto" w:fill="FFFFFF"/>
          <w:lang w:eastAsia="es-ES_tradnl"/>
        </w:rPr>
        <w:t>Los convenios de interés público y de asociación en el régimen de contratación pública colombiana.</w:t>
      </w:r>
      <w:r w:rsidRPr="004D1013">
        <w:rPr>
          <w:rFonts w:ascii="Verdana" w:eastAsia="Times New Roman" w:hAnsi="Verdana" w:cs="Times New Roman"/>
          <w:color w:val="000000"/>
          <w:sz w:val="16"/>
          <w:szCs w:val="16"/>
          <w:shd w:val="clear" w:color="auto" w:fill="FFFFFF"/>
          <w:lang w:eastAsia="es-ES_tradnl"/>
        </w:rPr>
        <w:t xml:space="preserve"> Revista Derecho del Estado. Universidad Externado de Colombia.</w:t>
      </w:r>
      <w:r w:rsidRPr="004D1013">
        <w:rPr>
          <w:rFonts w:ascii="Verdana" w:eastAsia="Times New Roman" w:hAnsi="Verdana" w:cs="Times New Roman"/>
          <w:i/>
          <w:iCs/>
          <w:color w:val="000000"/>
          <w:sz w:val="16"/>
          <w:szCs w:val="16"/>
          <w:shd w:val="clear" w:color="auto" w:fill="FFFFFF"/>
          <w:lang w:eastAsia="es-ES_tradnl"/>
        </w:rPr>
        <w:t xml:space="preserve"> </w:t>
      </w:r>
      <w:r w:rsidRPr="004D1013">
        <w:rPr>
          <w:rFonts w:ascii="Verdana" w:eastAsia="Times New Roman" w:hAnsi="Verdana" w:cs="Times New Roman"/>
          <w:color w:val="000000"/>
          <w:sz w:val="16"/>
          <w:szCs w:val="16"/>
          <w:shd w:val="clear" w:color="auto" w:fill="FFFFFF"/>
          <w:lang w:eastAsia="es-ES_tradnl"/>
        </w:rPr>
        <w:t xml:space="preserve">Se puede consultar en el siguiente enlace: </w:t>
      </w:r>
      <w:hyperlink r:id="rId1" w:anchor="figures" w:history="1">
        <w:r w:rsidRPr="004D1013">
          <w:rPr>
            <w:rStyle w:val="Hipervnculo"/>
            <w:rFonts w:ascii="Verdana" w:eastAsia="Times New Roman" w:hAnsi="Verdana" w:cs="Times New Roman"/>
            <w:color w:val="000000"/>
            <w:sz w:val="16"/>
            <w:szCs w:val="16"/>
            <w:shd w:val="clear" w:color="auto" w:fill="FFFFFF"/>
            <w:lang w:eastAsia="es-ES_tradnl"/>
          </w:rPr>
          <w:t>https://revistas.uexternado.edu.co/index.php/derest/article/view/6151/8606#figures</w:t>
        </w:r>
      </w:hyperlink>
    </w:p>
  </w:footnote>
  <w:footnote w:id="6">
    <w:p w14:paraId="3E33FF06" w14:textId="77777777" w:rsidR="00052D1B" w:rsidRPr="004D1013" w:rsidRDefault="00052D1B" w:rsidP="00052D1B">
      <w:pPr>
        <w:spacing w:after="0" w:line="240" w:lineRule="auto"/>
        <w:ind w:firstLine="708"/>
        <w:contextualSpacing/>
        <w:jc w:val="both"/>
        <w:rPr>
          <w:rFonts w:ascii="Verdana" w:hAnsi="Verdana"/>
          <w:sz w:val="16"/>
          <w:szCs w:val="16"/>
        </w:rPr>
      </w:pPr>
    </w:p>
    <w:p w14:paraId="6BCB6A06" w14:textId="77777777" w:rsidR="00052D1B" w:rsidRPr="004D1013" w:rsidRDefault="00052D1B" w:rsidP="00052D1B">
      <w:pPr>
        <w:spacing w:after="0" w:line="240" w:lineRule="auto"/>
        <w:ind w:firstLine="708"/>
        <w:contextualSpacing/>
        <w:jc w:val="both"/>
        <w:rPr>
          <w:rFonts w:ascii="Verdana" w:eastAsia="Times New Roman" w:hAnsi="Verdana" w:cs="Times New Roman"/>
          <w:color w:val="000000"/>
          <w:sz w:val="16"/>
          <w:szCs w:val="16"/>
          <w:shd w:val="clear" w:color="auto" w:fill="FFFFFF"/>
          <w:lang w:eastAsia="es-ES_tradnl"/>
        </w:rPr>
      </w:pPr>
      <w:r w:rsidRPr="004D1013">
        <w:rPr>
          <w:rStyle w:val="Refdenotaalpie"/>
          <w:rFonts w:ascii="Verdana" w:hAnsi="Verdana"/>
          <w:sz w:val="16"/>
          <w:szCs w:val="16"/>
        </w:rPr>
        <w:footnoteRef/>
      </w:r>
      <w:r w:rsidRPr="004D1013">
        <w:rPr>
          <w:rFonts w:ascii="Verdana" w:hAnsi="Verdana"/>
          <w:sz w:val="16"/>
          <w:szCs w:val="16"/>
        </w:rPr>
        <w:t xml:space="preserve"> </w:t>
      </w:r>
      <w:bookmarkStart w:id="12" w:name="_Hlk171946540"/>
      <w:r w:rsidRPr="004D1013">
        <w:rPr>
          <w:rFonts w:ascii="Verdana" w:eastAsia="Times New Roman" w:hAnsi="Verdana" w:cs="Times New Roman"/>
          <w:color w:val="000000"/>
          <w:sz w:val="16"/>
          <w:szCs w:val="16"/>
          <w:shd w:val="clear" w:color="auto" w:fill="FFFFFF"/>
          <w:lang w:eastAsia="es-ES_tradnl"/>
        </w:rPr>
        <w:t>Corte Constitucional.  Sala Plena. Sentencia C-324 de 2009. M.P.: Juan Carlos Henao Pérez. En igual sentido, véase Corte Constitucional, Sala Plena. Sentencia C-027 de 2016.</w:t>
      </w:r>
      <w:bookmarkEnd w:id="12"/>
    </w:p>
  </w:footnote>
  <w:footnote w:id="7">
    <w:p w14:paraId="75AF4C6E" w14:textId="77777777" w:rsidR="00052D1B" w:rsidRPr="00D86A6D" w:rsidRDefault="00052D1B" w:rsidP="00052D1B">
      <w:pPr>
        <w:pStyle w:val="Textonotapie"/>
        <w:ind w:firstLine="708"/>
        <w:jc w:val="both"/>
        <w:rPr>
          <w:rFonts w:ascii="Arial" w:hAnsi="Arial" w:cs="Arial"/>
          <w:color w:val="000000"/>
          <w:sz w:val="19"/>
          <w:szCs w:val="19"/>
        </w:rPr>
      </w:pPr>
      <w:r w:rsidRPr="00D86A6D">
        <w:rPr>
          <w:rStyle w:val="Refdenotaalpie"/>
          <w:rFonts w:ascii="Arial" w:hAnsi="Arial" w:cs="Arial"/>
          <w:color w:val="000000"/>
          <w:sz w:val="19"/>
          <w:szCs w:val="19"/>
        </w:rPr>
        <w:footnoteRef/>
      </w:r>
      <w:r w:rsidRPr="00D86A6D">
        <w:rPr>
          <w:rFonts w:ascii="Arial" w:hAnsi="Arial" w:cs="Arial"/>
          <w:color w:val="000000"/>
          <w:sz w:val="19"/>
          <w:szCs w:val="19"/>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611419A9" w14:textId="77777777" w:rsidR="00052D1B" w:rsidRPr="00D86A6D" w:rsidRDefault="00052D1B" w:rsidP="00052D1B">
      <w:pPr>
        <w:pStyle w:val="Textonotapie"/>
        <w:ind w:firstLine="708"/>
        <w:jc w:val="both"/>
        <w:rPr>
          <w:rFonts w:ascii="Arial" w:hAnsi="Arial" w:cs="Arial"/>
          <w:color w:val="000000"/>
          <w:sz w:val="19"/>
          <w:szCs w:val="19"/>
          <w:lang w:val="es-ES"/>
        </w:rPr>
      </w:pPr>
    </w:p>
  </w:footnote>
  <w:footnote w:id="8">
    <w:p w14:paraId="5B29526B" w14:textId="77777777" w:rsidR="00052D1B" w:rsidRPr="00D86A6D" w:rsidRDefault="00052D1B" w:rsidP="00052D1B">
      <w:pPr>
        <w:pStyle w:val="Textonotapie"/>
        <w:ind w:firstLine="708"/>
        <w:jc w:val="both"/>
        <w:rPr>
          <w:rFonts w:ascii="Arial" w:eastAsia="Calibri" w:hAnsi="Arial" w:cs="Arial"/>
          <w:color w:val="000000"/>
          <w:sz w:val="19"/>
          <w:szCs w:val="19"/>
        </w:rPr>
      </w:pPr>
      <w:r w:rsidRPr="00D86A6D">
        <w:rPr>
          <w:rStyle w:val="Refdenotaalpie"/>
          <w:rFonts w:ascii="Arial" w:hAnsi="Arial" w:cs="Arial"/>
          <w:color w:val="000000"/>
          <w:sz w:val="19"/>
          <w:szCs w:val="19"/>
        </w:rPr>
        <w:footnoteRef/>
      </w:r>
      <w:r w:rsidRPr="00D86A6D">
        <w:rPr>
          <w:rFonts w:ascii="Arial" w:hAnsi="Arial" w:cs="Arial"/>
          <w:color w:val="000000"/>
          <w:sz w:val="19"/>
          <w:szCs w:val="19"/>
        </w:rPr>
        <w:t xml:space="preserve"> </w:t>
      </w:r>
      <w:r w:rsidRPr="00D86A6D">
        <w:rPr>
          <w:rFonts w:ascii="Arial" w:eastAsia="Calibri" w:hAnsi="Arial" w:cs="Arial"/>
          <w:color w:val="000000"/>
          <w:sz w:val="19"/>
          <w:szCs w:val="19"/>
        </w:rPr>
        <w:t>Decreto 092 de 2017, artículo 1, inciso 2: «Para la interpretación del presente decreto, las expresiones aquí utilizadas con mayúscula inicial deben ser entendidas con el significado indicado en la guía que expida la Agencia Nacional de Contratación Pública –Colombia Compra Eficiente– para la aplicación del presente decreto».</w:t>
      </w:r>
    </w:p>
    <w:p w14:paraId="5B4BAD88" w14:textId="77777777" w:rsidR="00052D1B" w:rsidRPr="00D86A6D" w:rsidRDefault="00052D1B" w:rsidP="00052D1B">
      <w:pPr>
        <w:pStyle w:val="Textonotapie"/>
        <w:ind w:firstLine="708"/>
        <w:jc w:val="both"/>
        <w:rPr>
          <w:rFonts w:ascii="Arial" w:hAnsi="Arial" w:cs="Arial"/>
          <w:color w:val="000000"/>
          <w:sz w:val="19"/>
          <w:szCs w:val="19"/>
          <w:lang w:val="es-ES"/>
        </w:rPr>
      </w:pPr>
    </w:p>
  </w:footnote>
  <w:footnote w:id="9">
    <w:p w14:paraId="014D325F" w14:textId="77777777" w:rsidR="00052D1B" w:rsidRPr="00D86A6D" w:rsidRDefault="00052D1B" w:rsidP="00052D1B">
      <w:pPr>
        <w:pStyle w:val="Textonotapie"/>
        <w:ind w:firstLine="708"/>
        <w:jc w:val="both"/>
        <w:rPr>
          <w:rFonts w:ascii="Arial" w:hAnsi="Arial" w:cs="Arial"/>
          <w:color w:val="000000"/>
          <w:sz w:val="19"/>
          <w:szCs w:val="19"/>
        </w:rPr>
      </w:pPr>
      <w:r w:rsidRPr="00D86A6D">
        <w:rPr>
          <w:rStyle w:val="Refdenotaalpie"/>
          <w:rFonts w:ascii="Arial" w:hAnsi="Arial" w:cs="Arial"/>
          <w:color w:val="000000"/>
          <w:sz w:val="19"/>
          <w:szCs w:val="19"/>
        </w:rPr>
        <w:footnoteRef/>
      </w:r>
      <w:r w:rsidRPr="00D86A6D">
        <w:rPr>
          <w:rFonts w:ascii="Arial" w:hAnsi="Arial" w:cs="Arial"/>
          <w:color w:val="000000"/>
          <w:sz w:val="19"/>
          <w:szCs w:val="19"/>
        </w:rPr>
        <w:t xml:space="preserve"> </w:t>
      </w:r>
      <w:r w:rsidRPr="00D86A6D">
        <w:rPr>
          <w:rFonts w:ascii="Arial" w:eastAsia="Calibri" w:hAnsi="Arial" w:cs="Arial"/>
          <w:color w:val="000000"/>
          <w:sz w:val="19"/>
          <w:szCs w:val="19"/>
        </w:rPr>
        <w:t>Decreto 092 de 2017, artículo 3, inciso 2: «</w:t>
      </w:r>
      <w:r w:rsidRPr="00D86A6D">
        <w:rPr>
          <w:rFonts w:ascii="Arial" w:hAnsi="Arial" w:cs="Arial"/>
          <w:color w:val="000000"/>
          <w:sz w:val="19"/>
          <w:szCs w:val="19"/>
        </w:rPr>
        <w:t>La Entidad Estatal debe definir en los Documentos del Proceso las características que debe acreditar la entidad sin ánimo de lucro. Para el efecto, deberá tomar en consideración las pautas y criterios establecidos en la guía que expida la Agencia Nacional de Contratación Pública –Colombia Compra Eficiente, la cual deberá tener en cuenta las normas de trasparencia y acceso a la información aplicable a las entidades privadas sin ánimo de lucro que contratan con cargo a recursos de origen público y las mejores prácticas en materia de prohibiciones, inhabilidades, incompatibilidades y conflictos de interés».</w:t>
      </w:r>
    </w:p>
    <w:p w14:paraId="09921293" w14:textId="77777777" w:rsidR="00052D1B" w:rsidRPr="00D86A6D" w:rsidRDefault="00052D1B" w:rsidP="00052D1B">
      <w:pPr>
        <w:pStyle w:val="Textonotapie"/>
        <w:ind w:firstLine="708"/>
        <w:jc w:val="both"/>
        <w:rPr>
          <w:rFonts w:ascii="Arial" w:hAnsi="Arial" w:cs="Arial"/>
          <w:color w:val="000000"/>
          <w:sz w:val="19"/>
          <w:szCs w:val="19"/>
          <w:lang w:val="es-ES"/>
        </w:rPr>
      </w:pPr>
    </w:p>
  </w:footnote>
  <w:footnote w:id="10">
    <w:p w14:paraId="43DF3D63" w14:textId="77777777" w:rsidR="00052D1B" w:rsidRPr="00D86A6D" w:rsidRDefault="00052D1B" w:rsidP="00052D1B">
      <w:pPr>
        <w:ind w:firstLine="708"/>
        <w:jc w:val="both"/>
        <w:rPr>
          <w:rFonts w:ascii="Arial" w:hAnsi="Arial" w:cs="Arial"/>
          <w:color w:val="000000"/>
          <w:sz w:val="19"/>
          <w:szCs w:val="19"/>
        </w:rPr>
      </w:pPr>
      <w:r w:rsidRPr="00D86A6D">
        <w:rPr>
          <w:rStyle w:val="Refdenotaalpie"/>
          <w:rFonts w:ascii="Arial" w:hAnsi="Arial" w:cs="Arial"/>
          <w:color w:val="000000"/>
          <w:sz w:val="19"/>
          <w:szCs w:val="19"/>
        </w:rPr>
        <w:footnoteRef/>
      </w:r>
      <w:r w:rsidRPr="00D86A6D">
        <w:rPr>
          <w:rFonts w:ascii="Arial" w:hAnsi="Arial" w:cs="Arial"/>
          <w:color w:val="000000"/>
          <w:sz w:val="19"/>
          <w:szCs w:val="19"/>
        </w:rPr>
        <w:t xml:space="preserve"> Decreto 092 de 2017, Artículo 2, literal a: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p w14:paraId="6642D5D8" w14:textId="77777777" w:rsidR="00052D1B" w:rsidRPr="00D86A6D" w:rsidRDefault="00052D1B" w:rsidP="00052D1B">
      <w:pPr>
        <w:ind w:firstLine="708"/>
        <w:jc w:val="both"/>
        <w:rPr>
          <w:rFonts w:ascii="Arial" w:hAnsi="Arial" w:cs="Arial"/>
          <w:color w:val="000000"/>
          <w:sz w:val="19"/>
          <w:szCs w:val="19"/>
        </w:rPr>
      </w:pPr>
    </w:p>
  </w:footnote>
  <w:footnote w:id="11">
    <w:p w14:paraId="2D129D95" w14:textId="77777777" w:rsidR="00052D1B" w:rsidRPr="00D86A6D" w:rsidRDefault="00052D1B" w:rsidP="00052D1B">
      <w:pPr>
        <w:pStyle w:val="Textonotapie"/>
        <w:ind w:firstLine="708"/>
        <w:jc w:val="both"/>
        <w:rPr>
          <w:rFonts w:ascii="Arial" w:hAnsi="Arial" w:cs="Arial"/>
          <w:color w:val="000000"/>
          <w:sz w:val="19"/>
          <w:szCs w:val="19"/>
        </w:rPr>
      </w:pPr>
      <w:r w:rsidRPr="00D86A6D">
        <w:rPr>
          <w:rStyle w:val="Refdenotaalpie"/>
          <w:rFonts w:ascii="Arial" w:hAnsi="Arial" w:cs="Arial"/>
          <w:color w:val="000000"/>
          <w:sz w:val="19"/>
          <w:szCs w:val="19"/>
        </w:rPr>
        <w:footnoteRef/>
      </w:r>
      <w:r w:rsidRPr="00D86A6D">
        <w:rPr>
          <w:rFonts w:ascii="Arial" w:hAnsi="Arial" w:cs="Arial"/>
          <w:color w:val="000000"/>
          <w:sz w:val="19"/>
          <w:szCs w:val="19"/>
        </w:rPr>
        <w:t xml:space="preserve"> Decreto 092 de 2017, Artículo 2, literal a: «Que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p w14:paraId="3E341600" w14:textId="77777777" w:rsidR="00052D1B" w:rsidRPr="00D86A6D" w:rsidRDefault="00052D1B" w:rsidP="00052D1B">
      <w:pPr>
        <w:pStyle w:val="Textonotapie"/>
        <w:ind w:firstLine="708"/>
        <w:jc w:val="both"/>
        <w:rPr>
          <w:rFonts w:ascii="Arial" w:hAnsi="Arial" w:cs="Arial"/>
          <w:color w:val="000000"/>
          <w:sz w:val="19"/>
          <w:szCs w:val="19"/>
          <w:lang w:val="es-ES"/>
        </w:rPr>
      </w:pPr>
    </w:p>
  </w:footnote>
  <w:footnote w:id="12">
    <w:p w14:paraId="6F3CD2AB" w14:textId="77777777" w:rsidR="00052D1B" w:rsidRPr="00D86A6D" w:rsidRDefault="00052D1B" w:rsidP="00052D1B">
      <w:pPr>
        <w:pStyle w:val="Textonotapie"/>
        <w:ind w:firstLine="708"/>
        <w:jc w:val="both"/>
        <w:rPr>
          <w:rFonts w:ascii="Arial" w:hAnsi="Arial" w:cs="Arial"/>
          <w:color w:val="000000"/>
          <w:sz w:val="19"/>
          <w:szCs w:val="19"/>
          <w:lang w:val="es-ES"/>
        </w:rPr>
      </w:pPr>
      <w:r w:rsidRPr="00D86A6D">
        <w:rPr>
          <w:rStyle w:val="Refdenotaalpie"/>
          <w:rFonts w:ascii="Arial" w:hAnsi="Arial" w:cs="Arial"/>
          <w:color w:val="000000"/>
          <w:sz w:val="19"/>
          <w:szCs w:val="19"/>
        </w:rPr>
        <w:footnoteRef/>
      </w:r>
      <w:r w:rsidRPr="00D86A6D">
        <w:rPr>
          <w:rFonts w:ascii="Arial" w:hAnsi="Arial" w:cs="Arial"/>
          <w:color w:val="000000"/>
          <w:sz w:val="19"/>
          <w:szCs w:val="19"/>
        </w:rPr>
        <w:t xml:space="preserve"> Decreto 092 de 2017, artículo 4: «(…)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w:t>
      </w:r>
    </w:p>
  </w:footnote>
  <w:footnote w:id="13">
    <w:p w14:paraId="0B6ACDB4" w14:textId="77777777" w:rsidR="00052D1B" w:rsidRPr="00686628" w:rsidRDefault="00052D1B" w:rsidP="00052D1B">
      <w:pPr>
        <w:pStyle w:val="Textonotapie"/>
        <w:ind w:firstLine="708"/>
        <w:jc w:val="both"/>
        <w:rPr>
          <w:rFonts w:ascii="Arial" w:hAnsi="Arial" w:cs="Arial"/>
          <w:sz w:val="19"/>
          <w:szCs w:val="19"/>
        </w:rPr>
      </w:pPr>
      <w:r w:rsidRPr="00686628">
        <w:rPr>
          <w:rStyle w:val="Refdenotaalpie"/>
          <w:rFonts w:ascii="Arial" w:hAnsi="Arial" w:cs="Arial"/>
          <w:sz w:val="19"/>
          <w:szCs w:val="19"/>
        </w:rPr>
        <w:footnoteRef/>
      </w:r>
      <w:r w:rsidRPr="00686628">
        <w:rPr>
          <w:rFonts w:ascii="Arial" w:hAnsi="Arial" w:cs="Arial"/>
          <w:sz w:val="19"/>
          <w:szCs w:val="19"/>
        </w:rPr>
        <w:t xml:space="preserve"> CONSEJO DE ESTADO Sala Plena de lo Contencioso Administrativo. Auto de 15 de marzo de 2022. Exp. 62.003.  CP: Rocío Araújo Oñate.</w:t>
      </w:r>
    </w:p>
  </w:footnote>
  <w:footnote w:id="14">
    <w:p w14:paraId="1B62354E" w14:textId="77777777" w:rsidR="00052D1B" w:rsidRPr="002F3C7D" w:rsidRDefault="00052D1B" w:rsidP="00052D1B">
      <w:pPr>
        <w:pStyle w:val="Textonotapie"/>
        <w:ind w:firstLine="708"/>
        <w:jc w:val="both"/>
        <w:rPr>
          <w:rFonts w:ascii="Arial" w:hAnsi="Arial" w:cs="Arial"/>
          <w:color w:val="000000"/>
          <w:sz w:val="19"/>
          <w:szCs w:val="19"/>
        </w:rPr>
      </w:pPr>
      <w:r w:rsidRPr="002F3C7D">
        <w:rPr>
          <w:rStyle w:val="Refdenotaalpie"/>
          <w:rFonts w:ascii="Arial" w:hAnsi="Arial" w:cs="Arial"/>
          <w:color w:val="000000"/>
          <w:sz w:val="19"/>
          <w:szCs w:val="19"/>
        </w:rPr>
        <w:footnoteRef/>
      </w:r>
      <w:r w:rsidRPr="002F3C7D">
        <w:rPr>
          <w:rFonts w:ascii="Arial" w:hAnsi="Arial" w:cs="Arial"/>
          <w:color w:val="000000"/>
          <w:sz w:val="19"/>
          <w:szCs w:val="19"/>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21A3ACAE" w14:textId="77777777" w:rsidR="00052D1B" w:rsidRPr="002F3C7D" w:rsidRDefault="00052D1B" w:rsidP="00052D1B">
      <w:pPr>
        <w:pStyle w:val="Textonotapie"/>
        <w:jc w:val="both"/>
        <w:rPr>
          <w:rFonts w:ascii="Arial" w:hAnsi="Arial" w:cs="Arial"/>
          <w:color w:val="000000"/>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48552" w14:textId="77777777" w:rsidR="00EC13F0" w:rsidRDefault="00EC13F0"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3A68861" wp14:editId="16CAD14D">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DCC2533" wp14:editId="1BBC188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06B5B9A" w14:textId="77777777" w:rsidR="00EC13F0" w:rsidRDefault="00EC13F0" w:rsidP="00515FB5">
    <w:pPr>
      <w:pStyle w:val="Encabezado"/>
    </w:pPr>
  </w:p>
  <w:p w14:paraId="11A6015C" w14:textId="77777777" w:rsidR="00EC13F0" w:rsidRDefault="00EC13F0" w:rsidP="00515FB5">
    <w:pPr>
      <w:pStyle w:val="Encabezado"/>
    </w:pPr>
  </w:p>
  <w:p w14:paraId="6AC24FE4" w14:textId="77777777" w:rsidR="00EC13F0" w:rsidRPr="00515FB5" w:rsidRDefault="00EC13F0"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3F0"/>
    <w:rsid w:val="00052D1B"/>
    <w:rsid w:val="00086B72"/>
    <w:rsid w:val="000A0E5A"/>
    <w:rsid w:val="000E31E3"/>
    <w:rsid w:val="000F5A42"/>
    <w:rsid w:val="0023281D"/>
    <w:rsid w:val="0027604F"/>
    <w:rsid w:val="002912B3"/>
    <w:rsid w:val="002A20B2"/>
    <w:rsid w:val="003549E0"/>
    <w:rsid w:val="003A6ACD"/>
    <w:rsid w:val="003B43E4"/>
    <w:rsid w:val="00421663"/>
    <w:rsid w:val="00426DC0"/>
    <w:rsid w:val="004515A2"/>
    <w:rsid w:val="00486829"/>
    <w:rsid w:val="00493F1A"/>
    <w:rsid w:val="004E6F31"/>
    <w:rsid w:val="00543424"/>
    <w:rsid w:val="005F00E0"/>
    <w:rsid w:val="00654E18"/>
    <w:rsid w:val="006751ED"/>
    <w:rsid w:val="006A20E2"/>
    <w:rsid w:val="006A24EF"/>
    <w:rsid w:val="006D500A"/>
    <w:rsid w:val="006D544D"/>
    <w:rsid w:val="006F6AD3"/>
    <w:rsid w:val="00706044"/>
    <w:rsid w:val="00814636"/>
    <w:rsid w:val="00841E73"/>
    <w:rsid w:val="00884005"/>
    <w:rsid w:val="008E3122"/>
    <w:rsid w:val="008F403F"/>
    <w:rsid w:val="00920C2F"/>
    <w:rsid w:val="00972BF0"/>
    <w:rsid w:val="009A1C3E"/>
    <w:rsid w:val="009F0986"/>
    <w:rsid w:val="00A12218"/>
    <w:rsid w:val="00A40C52"/>
    <w:rsid w:val="00A414AF"/>
    <w:rsid w:val="00A90678"/>
    <w:rsid w:val="00A97F85"/>
    <w:rsid w:val="00AD0E97"/>
    <w:rsid w:val="00B10EC6"/>
    <w:rsid w:val="00B4611A"/>
    <w:rsid w:val="00BD5C16"/>
    <w:rsid w:val="00C0301A"/>
    <w:rsid w:val="00C040BE"/>
    <w:rsid w:val="00C33A3D"/>
    <w:rsid w:val="00C6003C"/>
    <w:rsid w:val="00C70595"/>
    <w:rsid w:val="00D02C7A"/>
    <w:rsid w:val="00DC676B"/>
    <w:rsid w:val="00DF344B"/>
    <w:rsid w:val="00E44650"/>
    <w:rsid w:val="00EC13F0"/>
    <w:rsid w:val="00F25AFC"/>
    <w:rsid w:val="00FF68F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5321C3"/>
  <w15:chartTrackingRefBased/>
  <w15:docId w15:val="{02E3E5A9-4942-47C9-825C-19CBDD940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3122"/>
    <w:rPr>
      <w:kern w:val="0"/>
      <w14:ligatures w14:val="none"/>
    </w:rPr>
  </w:style>
  <w:style w:type="paragraph" w:styleId="Ttulo1">
    <w:name w:val="heading 1"/>
    <w:basedOn w:val="Normal"/>
    <w:next w:val="Normal"/>
    <w:link w:val="Ttulo1Car"/>
    <w:uiPriority w:val="9"/>
    <w:qFormat/>
    <w:rsid w:val="00EC13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C13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C13F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C13F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C13F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C13F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C13F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C13F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C13F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C13F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C13F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C13F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C13F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C13F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C13F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C13F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C13F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C13F0"/>
    <w:rPr>
      <w:rFonts w:eastAsiaTheme="majorEastAsia" w:cstheme="majorBidi"/>
      <w:color w:val="272727" w:themeColor="text1" w:themeTint="D8"/>
    </w:rPr>
  </w:style>
  <w:style w:type="paragraph" w:styleId="Ttulo">
    <w:name w:val="Title"/>
    <w:basedOn w:val="Normal"/>
    <w:next w:val="Normal"/>
    <w:link w:val="TtuloCar"/>
    <w:uiPriority w:val="10"/>
    <w:qFormat/>
    <w:rsid w:val="00EC13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C13F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C13F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C13F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C13F0"/>
    <w:pPr>
      <w:spacing w:before="160"/>
      <w:jc w:val="center"/>
    </w:pPr>
    <w:rPr>
      <w:i/>
      <w:iCs/>
      <w:color w:val="404040" w:themeColor="text1" w:themeTint="BF"/>
    </w:rPr>
  </w:style>
  <w:style w:type="character" w:customStyle="1" w:styleId="CitaCar">
    <w:name w:val="Cita Car"/>
    <w:basedOn w:val="Fuentedeprrafopredeter"/>
    <w:link w:val="Cita"/>
    <w:uiPriority w:val="29"/>
    <w:rsid w:val="00EC13F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EC13F0"/>
    <w:pPr>
      <w:ind w:left="720"/>
      <w:contextualSpacing/>
    </w:pPr>
  </w:style>
  <w:style w:type="character" w:styleId="nfasisintenso">
    <w:name w:val="Intense Emphasis"/>
    <w:basedOn w:val="Fuentedeprrafopredeter"/>
    <w:uiPriority w:val="21"/>
    <w:qFormat/>
    <w:rsid w:val="00EC13F0"/>
    <w:rPr>
      <w:i/>
      <w:iCs/>
      <w:color w:val="0F4761" w:themeColor="accent1" w:themeShade="BF"/>
    </w:rPr>
  </w:style>
  <w:style w:type="paragraph" w:styleId="Citadestacada">
    <w:name w:val="Intense Quote"/>
    <w:basedOn w:val="Normal"/>
    <w:next w:val="Normal"/>
    <w:link w:val="CitadestacadaCar"/>
    <w:uiPriority w:val="30"/>
    <w:qFormat/>
    <w:rsid w:val="00EC13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C13F0"/>
    <w:rPr>
      <w:i/>
      <w:iCs/>
      <w:color w:val="0F4761" w:themeColor="accent1" w:themeShade="BF"/>
    </w:rPr>
  </w:style>
  <w:style w:type="character" w:styleId="Referenciaintensa">
    <w:name w:val="Intense Reference"/>
    <w:basedOn w:val="Fuentedeprrafopredeter"/>
    <w:uiPriority w:val="32"/>
    <w:qFormat/>
    <w:rsid w:val="00EC13F0"/>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C13F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C13F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C13F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C13F0"/>
    <w:rPr>
      <w:vertAlign w:val="superscript"/>
    </w:rPr>
  </w:style>
  <w:style w:type="paragraph" w:customStyle="1" w:styleId="Appelnotedebasde">
    <w:name w:val="Appel note de bas de..."/>
    <w:basedOn w:val="Normal"/>
    <w:link w:val="Refdenotaalpie"/>
    <w:uiPriority w:val="99"/>
    <w:rsid w:val="00EC13F0"/>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EC13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C13F0"/>
    <w:rPr>
      <w:kern w:val="0"/>
      <w14:ligatures w14:val="none"/>
    </w:rPr>
  </w:style>
  <w:style w:type="paragraph" w:styleId="Piedepgina">
    <w:name w:val="footer"/>
    <w:basedOn w:val="Normal"/>
    <w:link w:val="PiedepginaCar"/>
    <w:uiPriority w:val="99"/>
    <w:unhideWhenUsed/>
    <w:rsid w:val="00EC13F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C13F0"/>
    <w:rPr>
      <w:kern w:val="0"/>
      <w14:ligatures w14:val="none"/>
    </w:rPr>
  </w:style>
  <w:style w:type="table" w:styleId="Tablaconcuadrcula">
    <w:name w:val="Table Grid"/>
    <w:basedOn w:val="Tablanormal"/>
    <w:uiPriority w:val="39"/>
    <w:qFormat/>
    <w:rsid w:val="00EC13F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C13F0"/>
    <w:rPr>
      <w:color w:val="467886" w:themeColor="hyperlink"/>
      <w:u w:val="single"/>
    </w:rPr>
  </w:style>
  <w:style w:type="character" w:customStyle="1" w:styleId="normaltextrun">
    <w:name w:val="normaltextrun"/>
    <w:basedOn w:val="Fuentedeprrafopredeter"/>
    <w:rsid w:val="00EC13F0"/>
  </w:style>
  <w:style w:type="character" w:customStyle="1" w:styleId="eop">
    <w:name w:val="eop"/>
    <w:basedOn w:val="Fuentedeprrafopredeter"/>
    <w:rsid w:val="00EC13F0"/>
  </w:style>
  <w:style w:type="paragraph" w:customStyle="1" w:styleId="paragraph">
    <w:name w:val="paragraph"/>
    <w:basedOn w:val="Normal"/>
    <w:rsid w:val="00EC13F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C13F0"/>
  </w:style>
  <w:style w:type="paragraph" w:styleId="NormalWeb">
    <w:name w:val="Normal (Web)"/>
    <w:basedOn w:val="Normal"/>
    <w:link w:val="NormalWebCar"/>
    <w:uiPriority w:val="99"/>
    <w:unhideWhenUsed/>
    <w:rsid w:val="00EC13F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EC13F0"/>
    <w:rPr>
      <w:rFonts w:ascii="Times New Roman" w:eastAsia="Times New Roman" w:hAnsi="Times New Roman" w:cs="Times New Roman"/>
      <w:kern w:val="0"/>
      <w:sz w:val="24"/>
      <w:szCs w:val="24"/>
      <w:lang w:eastAsia="es-CO"/>
      <w14:ligatures w14:val="none"/>
    </w:rPr>
  </w:style>
  <w:style w:type="paragraph" w:styleId="Sinespaciado">
    <w:name w:val="No Spacing"/>
    <w:aliases w:val="No Indent"/>
    <w:uiPriority w:val="3"/>
    <w:qFormat/>
    <w:rsid w:val="00EC13F0"/>
    <w:pPr>
      <w:spacing w:after="0" w:line="240" w:lineRule="auto"/>
    </w:pPr>
    <w:rPr>
      <w:kern w:val="0"/>
      <w:sz w:val="24"/>
      <w:lang w:val="es-MX"/>
      <w14:ligatures w14:val="none"/>
    </w:rPr>
  </w:style>
  <w:style w:type="character" w:customStyle="1" w:styleId="author-name">
    <w:name w:val="author-name"/>
    <w:basedOn w:val="Fuentedeprrafopredeter"/>
    <w:rsid w:val="00052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chrome-extension://efaidnbmnnnibpcajpcglclefindmkaj/https:/www.colombiacompra.gov.co/sites/cce_public/files/cce_documents/cce_guia_esal.pdf"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nandog213@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uexternado.edu.co/index.php/derest/article/view/6151/860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6DC9A74-9A23-46F1-8E8B-A44791B874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255945-A5BD-4B8A-8332-EEECD429D850}">
  <ds:schemaRefs>
    <ds:schemaRef ds:uri="http://schemas.microsoft.com/sharepoint/v3/contenttype/forms"/>
  </ds:schemaRefs>
</ds:datastoreItem>
</file>

<file path=customXml/itemProps3.xml><?xml version="1.0" encoding="utf-8"?>
<ds:datastoreItem xmlns:ds="http://schemas.openxmlformats.org/officeDocument/2006/customXml" ds:itemID="{12015F10-850E-4594-86D3-AEA51DE37FC0}">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94</TotalTime>
  <Pages>20</Pages>
  <Words>6636</Words>
  <Characters>35638</Characters>
  <Application>Microsoft Office Word</Application>
  <DocSecurity>0</DocSecurity>
  <Lines>712</Lines>
  <Paragraphs>126</Paragraphs>
  <ScaleCrop>false</ScaleCrop>
  <Company/>
  <LinksUpToDate>false</LinksUpToDate>
  <CharactersWithSpaces>42148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45</cp:revision>
  <dcterms:created xsi:type="dcterms:W3CDTF">2026-02-20T15:26:00Z</dcterms:created>
  <dcterms:modified xsi:type="dcterms:W3CDTF">2026-02-24T20:07:00Z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